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3E4A43" w:rsidRDefault="00FF6E25" w:rsidP="008577CC">
      <w:pPr>
        <w:jc w:val="center"/>
        <w:rPr>
          <w:rFonts w:asciiTheme="minorHAnsi" w:hAnsiTheme="minorHAnsi" w:cstheme="minorHAnsi"/>
          <w:b/>
          <w:szCs w:val="24"/>
          <w:u w:val="single"/>
        </w:rPr>
      </w:pPr>
      <w:r w:rsidRPr="003E4A43">
        <w:rPr>
          <w:rFonts w:asciiTheme="minorHAnsi" w:hAnsiTheme="minorHAnsi" w:cstheme="minorHAnsi"/>
          <w:b/>
          <w:szCs w:val="24"/>
          <w:u w:val="single"/>
        </w:rPr>
        <w:t>EXPLANATORY STATEMENT</w:t>
      </w:r>
    </w:p>
    <w:p w14:paraId="145EC655" w14:textId="776AB6EC" w:rsidR="0088497A" w:rsidRPr="003E4A43" w:rsidRDefault="0088497A" w:rsidP="008577CC">
      <w:pPr>
        <w:jc w:val="center"/>
        <w:rPr>
          <w:rFonts w:asciiTheme="minorHAnsi" w:hAnsiTheme="minorHAnsi" w:cstheme="minorHAnsi"/>
          <w:b/>
          <w:bCs/>
          <w:szCs w:val="24"/>
        </w:rPr>
      </w:pPr>
      <w:r w:rsidRPr="003E4A43">
        <w:rPr>
          <w:rFonts w:asciiTheme="minorHAnsi" w:hAnsiTheme="minorHAnsi" w:cstheme="minorHAnsi"/>
          <w:b/>
          <w:bCs/>
          <w:szCs w:val="24"/>
        </w:rPr>
        <w:t>Issued by the authority of</w:t>
      </w:r>
      <w:r w:rsidR="007F507F" w:rsidRPr="003E4A43">
        <w:rPr>
          <w:rFonts w:asciiTheme="minorHAnsi" w:hAnsiTheme="minorHAnsi" w:cstheme="minorHAnsi"/>
          <w:b/>
          <w:bCs/>
          <w:szCs w:val="24"/>
        </w:rPr>
        <w:t xml:space="preserve"> the Minister for </w:t>
      </w:r>
      <w:r w:rsidR="00206E38" w:rsidRPr="003E4A43">
        <w:rPr>
          <w:rFonts w:asciiTheme="minorHAnsi" w:hAnsiTheme="minorHAnsi" w:cstheme="minorHAnsi"/>
          <w:b/>
          <w:bCs/>
          <w:szCs w:val="24"/>
        </w:rPr>
        <w:t>Education</w:t>
      </w:r>
    </w:p>
    <w:p w14:paraId="12EB6806" w14:textId="075707CE" w:rsidR="00455C2A" w:rsidRPr="003E4A43" w:rsidRDefault="007F507F" w:rsidP="008577CC">
      <w:pPr>
        <w:jc w:val="center"/>
        <w:rPr>
          <w:rFonts w:asciiTheme="minorHAnsi" w:hAnsiTheme="minorHAnsi" w:cstheme="minorHAnsi"/>
          <w:b/>
          <w:i/>
          <w:szCs w:val="24"/>
        </w:rPr>
      </w:pPr>
      <w:r w:rsidRPr="003E4A43">
        <w:rPr>
          <w:rFonts w:asciiTheme="minorHAnsi" w:hAnsiTheme="minorHAnsi" w:cstheme="minorHAnsi"/>
          <w:b/>
          <w:i/>
          <w:szCs w:val="24"/>
        </w:rPr>
        <w:t>Higher Education Support Act 2003</w:t>
      </w:r>
    </w:p>
    <w:p w14:paraId="6C026A0C" w14:textId="118750B3" w:rsidR="00503218" w:rsidRPr="003E4A43" w:rsidRDefault="007F507F" w:rsidP="008577CC">
      <w:pPr>
        <w:jc w:val="center"/>
        <w:rPr>
          <w:rFonts w:asciiTheme="minorHAnsi" w:hAnsiTheme="minorHAnsi" w:cstheme="minorHAnsi"/>
          <w:b/>
          <w:i/>
          <w:szCs w:val="24"/>
        </w:rPr>
      </w:pPr>
      <w:r w:rsidRPr="003E4A43">
        <w:rPr>
          <w:rFonts w:asciiTheme="minorHAnsi" w:hAnsiTheme="minorHAnsi" w:cstheme="minorHAnsi"/>
          <w:b/>
          <w:i/>
          <w:szCs w:val="24"/>
        </w:rPr>
        <w:t>Higher Education Provider Guidelines 202</w:t>
      </w:r>
      <w:r w:rsidR="00CF19BB" w:rsidRPr="003E4A43">
        <w:rPr>
          <w:rFonts w:asciiTheme="minorHAnsi" w:hAnsiTheme="minorHAnsi" w:cstheme="minorHAnsi"/>
          <w:b/>
          <w:i/>
          <w:szCs w:val="24"/>
        </w:rPr>
        <w:t>3</w:t>
      </w:r>
      <w:r w:rsidRPr="003E4A43">
        <w:rPr>
          <w:rFonts w:asciiTheme="minorHAnsi" w:hAnsiTheme="minorHAnsi" w:cstheme="minorHAnsi"/>
          <w:b/>
          <w:i/>
          <w:szCs w:val="24"/>
        </w:rPr>
        <w:t xml:space="preserve"> </w:t>
      </w:r>
    </w:p>
    <w:p w14:paraId="33AB2D38" w14:textId="77777777" w:rsidR="00455C2A" w:rsidRPr="003E4A43" w:rsidRDefault="00144950" w:rsidP="008577CC">
      <w:pPr>
        <w:pStyle w:val="Heading2"/>
        <w:keepNext w:val="0"/>
        <w:rPr>
          <w:rFonts w:asciiTheme="minorHAnsi" w:hAnsiTheme="minorHAnsi" w:cstheme="minorHAnsi"/>
          <w:color w:val="auto"/>
        </w:rPr>
      </w:pPr>
      <w:bookmarkStart w:id="0" w:name="_Toc23942238"/>
      <w:bookmarkStart w:id="1" w:name="_Toc34293358"/>
      <w:r w:rsidRPr="003E4A43">
        <w:rPr>
          <w:rFonts w:asciiTheme="minorHAnsi" w:hAnsiTheme="minorHAnsi" w:cstheme="minorHAnsi"/>
          <w:color w:val="auto"/>
        </w:rPr>
        <w:t>AUTHORITY</w:t>
      </w:r>
    </w:p>
    <w:p w14:paraId="586F616F" w14:textId="355D5651" w:rsidR="007F507F" w:rsidRPr="003E4A43" w:rsidRDefault="007F507F" w:rsidP="00D2714D">
      <w:pPr>
        <w:shd w:val="clear" w:color="auto" w:fill="FFFFFF"/>
        <w:spacing w:before="120" w:after="120"/>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 xml:space="preserve">The </w:t>
      </w:r>
      <w:r w:rsidRPr="003E4A43">
        <w:rPr>
          <w:rFonts w:asciiTheme="minorHAnsi" w:hAnsiTheme="minorHAnsi" w:cstheme="minorHAnsi"/>
          <w:bCs/>
          <w:i/>
          <w:szCs w:val="24"/>
        </w:rPr>
        <w:t>Higher Education Provider Guidelines 202</w:t>
      </w:r>
      <w:r w:rsidR="009153F8" w:rsidRPr="003E4A43">
        <w:rPr>
          <w:rFonts w:asciiTheme="minorHAnsi" w:hAnsiTheme="minorHAnsi" w:cstheme="minorHAnsi"/>
          <w:bCs/>
          <w:i/>
          <w:szCs w:val="24"/>
        </w:rPr>
        <w:t>3</w:t>
      </w:r>
      <w:r w:rsidRPr="003E4A43">
        <w:rPr>
          <w:rFonts w:asciiTheme="minorHAnsi" w:hAnsiTheme="minorHAnsi" w:cstheme="minorHAnsi"/>
          <w:bCs/>
          <w:i/>
          <w:szCs w:val="24"/>
        </w:rPr>
        <w:t xml:space="preserve"> </w:t>
      </w:r>
      <w:r w:rsidR="00206E38" w:rsidRPr="003E4A43">
        <w:rPr>
          <w:rFonts w:asciiTheme="minorHAnsi" w:hAnsiTheme="minorHAnsi" w:cstheme="minorHAnsi"/>
          <w:bCs/>
          <w:iCs/>
          <w:szCs w:val="24"/>
        </w:rPr>
        <w:t>(‘</w:t>
      </w:r>
      <w:r w:rsidRPr="003E4A43">
        <w:rPr>
          <w:rFonts w:ascii="Calibri" w:eastAsia="Times New Roman" w:hAnsi="Calibri" w:cs="Calibri"/>
          <w:color w:val="000000"/>
          <w:szCs w:val="24"/>
          <w:lang w:eastAsia="en-AU"/>
        </w:rPr>
        <w:t>Guidelines</w:t>
      </w:r>
      <w:r w:rsidR="00950C2E" w:rsidRPr="003E4A43">
        <w:rPr>
          <w:rFonts w:ascii="Calibri" w:eastAsia="Times New Roman" w:hAnsi="Calibri" w:cs="Calibri"/>
          <w:color w:val="000000"/>
          <w:szCs w:val="24"/>
          <w:lang w:eastAsia="en-AU"/>
        </w:rPr>
        <w:t>’</w:t>
      </w:r>
      <w:r w:rsidRPr="003E4A43">
        <w:rPr>
          <w:rFonts w:ascii="Calibri" w:eastAsia="Times New Roman" w:hAnsi="Calibri" w:cs="Calibri"/>
          <w:color w:val="000000"/>
          <w:szCs w:val="24"/>
          <w:lang w:eastAsia="en-AU"/>
        </w:rPr>
        <w:t xml:space="preserve">) are made under section 238-10 of the </w:t>
      </w:r>
      <w:r w:rsidRPr="003E4A43">
        <w:rPr>
          <w:rFonts w:ascii="Calibri" w:eastAsia="Times New Roman" w:hAnsi="Calibri" w:cs="Calibri"/>
          <w:i/>
          <w:iCs/>
          <w:color w:val="000000"/>
          <w:szCs w:val="24"/>
          <w:lang w:eastAsia="en-AU"/>
        </w:rPr>
        <w:t xml:space="preserve">Higher Education Support Act 2003 </w:t>
      </w:r>
      <w:r w:rsidRPr="003E4A43">
        <w:rPr>
          <w:rFonts w:ascii="Calibri" w:eastAsia="Times New Roman" w:hAnsi="Calibri" w:cs="Calibri"/>
          <w:color w:val="000000"/>
          <w:szCs w:val="24"/>
          <w:lang w:eastAsia="en-AU"/>
        </w:rPr>
        <w:t>(</w:t>
      </w:r>
      <w:r w:rsidR="00950C2E" w:rsidRPr="003E4A43">
        <w:rPr>
          <w:rFonts w:ascii="Calibri" w:eastAsia="Times New Roman" w:hAnsi="Calibri" w:cs="Calibri"/>
          <w:color w:val="000000"/>
          <w:szCs w:val="24"/>
          <w:lang w:eastAsia="en-AU"/>
        </w:rPr>
        <w:t>‘</w:t>
      </w:r>
      <w:r w:rsidR="00715B17" w:rsidRPr="003E4A43">
        <w:rPr>
          <w:rFonts w:ascii="Calibri" w:eastAsia="Times New Roman" w:hAnsi="Calibri" w:cs="Calibri"/>
          <w:color w:val="000000"/>
          <w:szCs w:val="24"/>
          <w:lang w:eastAsia="en-AU"/>
        </w:rPr>
        <w:t>the Act’</w:t>
      </w:r>
      <w:r w:rsidRPr="003E4A43">
        <w:rPr>
          <w:rFonts w:ascii="Calibri" w:eastAsia="Times New Roman" w:hAnsi="Calibri" w:cs="Calibri"/>
          <w:color w:val="000000"/>
          <w:szCs w:val="24"/>
          <w:lang w:eastAsia="en-AU"/>
        </w:rPr>
        <w:t>)</w:t>
      </w:r>
      <w:r w:rsidR="00C42005" w:rsidRPr="003E4A43">
        <w:rPr>
          <w:rFonts w:ascii="Calibri" w:eastAsia="Times New Roman" w:hAnsi="Calibri" w:cs="Calibri"/>
          <w:color w:val="000000"/>
          <w:szCs w:val="24"/>
          <w:lang w:eastAsia="en-AU"/>
        </w:rPr>
        <w:t xml:space="preserve">. In particular, </w:t>
      </w:r>
      <w:r w:rsidRPr="003E4A43">
        <w:rPr>
          <w:rFonts w:ascii="Calibri" w:eastAsia="Times New Roman" w:hAnsi="Calibri" w:cs="Calibri"/>
          <w:color w:val="000000"/>
          <w:szCs w:val="24"/>
          <w:lang w:eastAsia="en-AU"/>
        </w:rPr>
        <w:t xml:space="preserve">item 6 of the table </w:t>
      </w:r>
      <w:r w:rsidR="000500AC" w:rsidRPr="003E4A43">
        <w:rPr>
          <w:rFonts w:ascii="Calibri" w:eastAsia="Times New Roman" w:hAnsi="Calibri" w:cs="Calibri"/>
          <w:color w:val="000000"/>
          <w:szCs w:val="24"/>
          <w:lang w:eastAsia="en-AU"/>
        </w:rPr>
        <w:t>in</w:t>
      </w:r>
      <w:r w:rsidR="00D6086B" w:rsidRPr="003E4A43">
        <w:rPr>
          <w:rFonts w:ascii="Calibri" w:eastAsia="Times New Roman" w:hAnsi="Calibri" w:cs="Calibri"/>
          <w:color w:val="000000"/>
          <w:szCs w:val="24"/>
          <w:lang w:eastAsia="en-AU"/>
        </w:rPr>
        <w:t xml:space="preserve"> </w:t>
      </w:r>
      <w:r w:rsidR="005763CC" w:rsidRPr="003E4A43">
        <w:rPr>
          <w:rFonts w:ascii="Calibri" w:eastAsia="Times New Roman" w:hAnsi="Calibri" w:cs="Calibri"/>
          <w:color w:val="000000"/>
          <w:szCs w:val="24"/>
          <w:lang w:eastAsia="en-AU"/>
        </w:rPr>
        <w:t>subsection 238-10(</w:t>
      </w:r>
      <w:r w:rsidR="00305E31" w:rsidRPr="003E4A43">
        <w:rPr>
          <w:rFonts w:ascii="Calibri" w:eastAsia="Times New Roman" w:hAnsi="Calibri" w:cs="Calibri"/>
          <w:color w:val="000000"/>
          <w:szCs w:val="24"/>
          <w:lang w:eastAsia="en-AU"/>
        </w:rPr>
        <w:t xml:space="preserve">1) of the Act </w:t>
      </w:r>
      <w:r w:rsidRPr="003E4A43">
        <w:rPr>
          <w:rFonts w:ascii="Calibri" w:eastAsia="Times New Roman" w:hAnsi="Calibri" w:cs="Calibri"/>
          <w:color w:val="000000"/>
          <w:szCs w:val="24"/>
          <w:lang w:eastAsia="en-AU"/>
        </w:rPr>
        <w:t xml:space="preserve">specifies that the Minister </w:t>
      </w:r>
      <w:r w:rsidR="00E75F81" w:rsidRPr="003E4A43">
        <w:rPr>
          <w:rFonts w:ascii="Calibri" w:eastAsia="Times New Roman" w:hAnsi="Calibri" w:cs="Calibri"/>
          <w:color w:val="000000"/>
          <w:szCs w:val="24"/>
          <w:lang w:eastAsia="en-AU"/>
        </w:rPr>
        <w:t>for Education</w:t>
      </w:r>
      <w:r w:rsidR="004E0EE1" w:rsidRPr="003E4A43">
        <w:rPr>
          <w:rFonts w:ascii="Calibri" w:eastAsia="Times New Roman" w:hAnsi="Calibri" w:cs="Calibri"/>
          <w:color w:val="000000"/>
          <w:szCs w:val="24"/>
          <w:lang w:eastAsia="en-AU"/>
        </w:rPr>
        <w:t xml:space="preserve"> (‘the Minister’)</w:t>
      </w:r>
      <w:r w:rsidR="00E75F81" w:rsidRPr="003E4A43">
        <w:rPr>
          <w:rFonts w:ascii="Calibri" w:eastAsia="Times New Roman" w:hAnsi="Calibri" w:cs="Calibri"/>
          <w:color w:val="000000"/>
          <w:szCs w:val="24"/>
          <w:lang w:eastAsia="en-AU"/>
        </w:rPr>
        <w:t xml:space="preserve"> </w:t>
      </w:r>
      <w:r w:rsidRPr="003E4A43">
        <w:rPr>
          <w:rFonts w:ascii="Calibri" w:eastAsia="Times New Roman" w:hAnsi="Calibri" w:cs="Calibri"/>
          <w:color w:val="000000"/>
          <w:szCs w:val="24"/>
          <w:lang w:eastAsia="en-AU"/>
        </w:rPr>
        <w:t xml:space="preserve">may make Higher Education Provider Guidelines to give effect to matters under various provisions in </w:t>
      </w:r>
      <w:r w:rsidR="003637D2" w:rsidRPr="003E4A43">
        <w:rPr>
          <w:rFonts w:ascii="Calibri" w:eastAsia="Times New Roman" w:hAnsi="Calibri" w:cs="Calibri"/>
          <w:color w:val="000000"/>
          <w:szCs w:val="24"/>
          <w:lang w:eastAsia="en-AU"/>
        </w:rPr>
        <w:t>the Act</w:t>
      </w:r>
      <w:r w:rsidRPr="003E4A43">
        <w:rPr>
          <w:rFonts w:ascii="Calibri" w:eastAsia="Times New Roman" w:hAnsi="Calibri" w:cs="Calibri"/>
          <w:color w:val="000000"/>
          <w:szCs w:val="24"/>
          <w:lang w:eastAsia="en-AU"/>
        </w:rPr>
        <w:t>.</w:t>
      </w:r>
    </w:p>
    <w:p w14:paraId="2DC77D82" w14:textId="5B66B797" w:rsidR="00842564" w:rsidRPr="003E4A43" w:rsidRDefault="00842564" w:rsidP="00842564">
      <w:pPr>
        <w:spacing w:before="120" w:after="120"/>
        <w:rPr>
          <w:rFonts w:asciiTheme="minorHAnsi" w:hAnsiTheme="minorHAnsi" w:cstheme="minorHAnsi"/>
          <w:iCs/>
          <w:szCs w:val="24"/>
        </w:rPr>
      </w:pPr>
      <w:r w:rsidRPr="003E4A43">
        <w:rPr>
          <w:rFonts w:asciiTheme="minorHAnsi" w:hAnsiTheme="minorHAnsi" w:cstheme="minorHAnsi"/>
          <w:iCs/>
          <w:szCs w:val="24"/>
        </w:rPr>
        <w:t>Under subsection 33(3) of the </w:t>
      </w:r>
      <w:r w:rsidRPr="003E4A43">
        <w:rPr>
          <w:rFonts w:asciiTheme="minorHAnsi" w:hAnsiTheme="minorHAnsi" w:cstheme="minorHAnsi"/>
          <w:i/>
          <w:iCs/>
          <w:szCs w:val="24"/>
        </w:rPr>
        <w:t>Acts Interpretation Act 1901</w:t>
      </w:r>
      <w:r w:rsidRPr="003E4A43">
        <w:rPr>
          <w:rFonts w:asciiTheme="minorHAnsi" w:hAnsiTheme="minorHAnsi" w:cstheme="minorHAnsi"/>
          <w:iCs/>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The repeal of the </w:t>
      </w:r>
      <w:r w:rsidRPr="003E4A43">
        <w:rPr>
          <w:rFonts w:asciiTheme="minorHAnsi" w:hAnsiTheme="minorHAnsi" w:cstheme="minorHAnsi"/>
          <w:bCs/>
          <w:i/>
          <w:iCs/>
          <w:szCs w:val="24"/>
        </w:rPr>
        <w:t xml:space="preserve">Higher Education </w:t>
      </w:r>
      <w:r w:rsidR="00415D52" w:rsidRPr="003E4A43">
        <w:rPr>
          <w:rFonts w:asciiTheme="minorHAnsi" w:hAnsiTheme="minorHAnsi" w:cstheme="minorHAnsi"/>
          <w:bCs/>
          <w:i/>
          <w:iCs/>
          <w:szCs w:val="24"/>
        </w:rPr>
        <w:t>Provider Guidelines</w:t>
      </w:r>
      <w:r w:rsidRPr="003E4A43">
        <w:rPr>
          <w:rFonts w:asciiTheme="minorHAnsi" w:hAnsiTheme="minorHAnsi" w:cstheme="minorHAnsi"/>
          <w:bCs/>
          <w:i/>
          <w:iCs/>
          <w:szCs w:val="24"/>
        </w:rPr>
        <w:t xml:space="preserve"> 2012 </w:t>
      </w:r>
      <w:r w:rsidRPr="003E4A43">
        <w:rPr>
          <w:rFonts w:asciiTheme="minorHAnsi" w:hAnsiTheme="minorHAnsi" w:cstheme="minorHAnsi"/>
          <w:bCs/>
          <w:szCs w:val="24"/>
        </w:rPr>
        <w:t xml:space="preserve">(the Former </w:t>
      </w:r>
      <w:r w:rsidR="00415D52" w:rsidRPr="003E4A43">
        <w:rPr>
          <w:rFonts w:asciiTheme="minorHAnsi" w:hAnsiTheme="minorHAnsi" w:cstheme="minorHAnsi"/>
          <w:bCs/>
          <w:szCs w:val="24"/>
        </w:rPr>
        <w:t>Guidelines</w:t>
      </w:r>
      <w:r w:rsidRPr="003E4A43">
        <w:rPr>
          <w:rFonts w:asciiTheme="minorHAnsi" w:hAnsiTheme="minorHAnsi" w:cstheme="minorHAnsi"/>
          <w:bCs/>
          <w:szCs w:val="24"/>
        </w:rPr>
        <w:t>)</w:t>
      </w:r>
      <w:r w:rsidRPr="003E4A43">
        <w:rPr>
          <w:rFonts w:asciiTheme="minorHAnsi" w:hAnsiTheme="minorHAnsi" w:cstheme="minorHAnsi"/>
          <w:bCs/>
          <w:i/>
          <w:iCs/>
          <w:szCs w:val="24"/>
        </w:rPr>
        <w:t xml:space="preserve"> </w:t>
      </w:r>
      <w:r w:rsidRPr="003E4A43">
        <w:rPr>
          <w:rFonts w:asciiTheme="minorHAnsi" w:hAnsiTheme="minorHAnsi" w:cstheme="minorHAnsi"/>
          <w:iCs/>
          <w:szCs w:val="24"/>
        </w:rPr>
        <w:t xml:space="preserve">by the Schedule to the </w:t>
      </w:r>
      <w:r w:rsidR="00037038" w:rsidRPr="003E4A43">
        <w:rPr>
          <w:rFonts w:asciiTheme="minorHAnsi" w:hAnsiTheme="minorHAnsi" w:cstheme="minorHAnsi"/>
          <w:iCs/>
          <w:szCs w:val="24"/>
        </w:rPr>
        <w:t>Guidelines</w:t>
      </w:r>
      <w:r w:rsidRPr="003E4A43">
        <w:rPr>
          <w:rFonts w:asciiTheme="minorHAnsi" w:hAnsiTheme="minorHAnsi" w:cstheme="minorHAnsi"/>
          <w:iCs/>
          <w:szCs w:val="24"/>
        </w:rPr>
        <w:t xml:space="preserve"> relies on that provision.</w:t>
      </w:r>
    </w:p>
    <w:bookmarkEnd w:id="0"/>
    <w:bookmarkEnd w:id="1"/>
    <w:p w14:paraId="56CDA376" w14:textId="50AC9ADC" w:rsidR="00DA552F" w:rsidRPr="003E4A43" w:rsidRDefault="00144950" w:rsidP="008577CC">
      <w:pPr>
        <w:pStyle w:val="Heading2"/>
        <w:keepNext w:val="0"/>
        <w:rPr>
          <w:rFonts w:asciiTheme="minorHAnsi" w:hAnsiTheme="minorHAnsi" w:cstheme="minorHAnsi"/>
          <w:color w:val="auto"/>
        </w:rPr>
      </w:pPr>
      <w:r w:rsidRPr="003E4A43">
        <w:rPr>
          <w:rFonts w:asciiTheme="minorHAnsi" w:hAnsiTheme="minorHAnsi" w:cstheme="minorHAnsi"/>
          <w:color w:val="auto"/>
        </w:rPr>
        <w:t>PURPOSE AND OPERATION</w:t>
      </w:r>
    </w:p>
    <w:p w14:paraId="100068A9" w14:textId="1243E072" w:rsidR="00B36409" w:rsidRPr="003E4A43" w:rsidRDefault="00230B64" w:rsidP="008577CC">
      <w:p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The Guidelines are made for the purposes of setting out:</w:t>
      </w:r>
    </w:p>
    <w:p w14:paraId="510622BF" w14:textId="5D92D7B8" w:rsidR="00230B64" w:rsidRPr="003E4A43" w:rsidRDefault="00F46633" w:rsidP="00161985">
      <w:pPr>
        <w:pStyle w:val="ListParagraph"/>
        <w:numPr>
          <w:ilvl w:val="0"/>
          <w:numId w:val="3"/>
        </w:num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 xml:space="preserve">requirements </w:t>
      </w:r>
      <w:r w:rsidR="00AD6F9C" w:rsidRPr="003E4A43">
        <w:rPr>
          <w:rFonts w:ascii="Calibri" w:eastAsia="Times New Roman" w:hAnsi="Calibri" w:cs="Calibri"/>
          <w:color w:val="000000"/>
          <w:szCs w:val="24"/>
          <w:lang w:eastAsia="en-AU"/>
        </w:rPr>
        <w:t>for</w:t>
      </w:r>
      <w:r w:rsidRPr="003E4A43">
        <w:rPr>
          <w:rFonts w:ascii="Calibri" w:eastAsia="Times New Roman" w:hAnsi="Calibri" w:cs="Calibri"/>
          <w:color w:val="000000"/>
          <w:szCs w:val="24"/>
          <w:lang w:eastAsia="en-AU"/>
        </w:rPr>
        <w:t xml:space="preserve"> higher education providers in relation to </w:t>
      </w:r>
      <w:r w:rsidR="00CE0620" w:rsidRPr="003E4A43">
        <w:rPr>
          <w:rFonts w:ascii="Calibri" w:eastAsia="Times New Roman" w:hAnsi="Calibri" w:cs="Calibri"/>
          <w:color w:val="000000"/>
          <w:szCs w:val="24"/>
          <w:lang w:eastAsia="en-AU"/>
        </w:rPr>
        <w:t xml:space="preserve">tuition </w:t>
      </w:r>
      <w:proofErr w:type="gramStart"/>
      <w:r w:rsidR="00CE0620" w:rsidRPr="003E4A43">
        <w:rPr>
          <w:rFonts w:ascii="Calibri" w:eastAsia="Times New Roman" w:hAnsi="Calibri" w:cs="Calibri"/>
          <w:color w:val="000000"/>
          <w:szCs w:val="24"/>
          <w:lang w:eastAsia="en-AU"/>
        </w:rPr>
        <w:t>protection</w:t>
      </w:r>
      <w:r w:rsidR="00B93CD2" w:rsidRPr="003E4A43">
        <w:rPr>
          <w:rFonts w:ascii="Calibri" w:eastAsia="Times New Roman" w:hAnsi="Calibri" w:cs="Calibri"/>
          <w:color w:val="000000"/>
          <w:szCs w:val="24"/>
          <w:lang w:eastAsia="en-AU"/>
        </w:rPr>
        <w:t>;</w:t>
      </w:r>
      <w:proofErr w:type="gramEnd"/>
    </w:p>
    <w:p w14:paraId="4EB8D1D6" w14:textId="28EB3EFA" w:rsidR="00B93CD2" w:rsidRPr="003E4A43" w:rsidRDefault="00B93CD2" w:rsidP="00161985">
      <w:pPr>
        <w:pStyle w:val="ListParagraph"/>
        <w:numPr>
          <w:ilvl w:val="0"/>
          <w:numId w:val="3"/>
        </w:num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the fee</w:t>
      </w:r>
      <w:r w:rsidR="00F93596" w:rsidRPr="003E4A43">
        <w:rPr>
          <w:rFonts w:ascii="Calibri" w:eastAsia="Times New Roman" w:hAnsi="Calibri" w:cs="Calibri"/>
          <w:color w:val="000000"/>
          <w:szCs w:val="24"/>
          <w:lang w:eastAsia="en-AU"/>
        </w:rPr>
        <w:t xml:space="preserve"> to </w:t>
      </w:r>
      <w:r w:rsidR="00492151" w:rsidRPr="003E4A43">
        <w:rPr>
          <w:rFonts w:ascii="Calibri" w:eastAsia="Times New Roman" w:hAnsi="Calibri" w:cs="Calibri"/>
          <w:color w:val="000000"/>
          <w:szCs w:val="24"/>
          <w:lang w:eastAsia="en-AU"/>
        </w:rPr>
        <w:t>accompany an application to be approved</w:t>
      </w:r>
      <w:r w:rsidR="00F93596" w:rsidRPr="003E4A43">
        <w:rPr>
          <w:rFonts w:ascii="Calibri" w:eastAsia="Times New Roman" w:hAnsi="Calibri" w:cs="Calibri"/>
          <w:color w:val="000000"/>
          <w:szCs w:val="24"/>
          <w:lang w:eastAsia="en-AU"/>
        </w:rPr>
        <w:t xml:space="preserve"> as a higher education </w:t>
      </w:r>
      <w:proofErr w:type="gramStart"/>
      <w:r w:rsidR="00F93596" w:rsidRPr="003E4A43">
        <w:rPr>
          <w:rFonts w:ascii="Calibri" w:eastAsia="Times New Roman" w:hAnsi="Calibri" w:cs="Calibri"/>
          <w:color w:val="000000"/>
          <w:szCs w:val="24"/>
          <w:lang w:eastAsia="en-AU"/>
        </w:rPr>
        <w:t>provider;</w:t>
      </w:r>
      <w:proofErr w:type="gramEnd"/>
    </w:p>
    <w:p w14:paraId="1F0B2982" w14:textId="4BC11ACF" w:rsidR="00F93596" w:rsidRPr="003E4A43" w:rsidRDefault="00CE3046" w:rsidP="00161985">
      <w:pPr>
        <w:pStyle w:val="ListParagraph"/>
        <w:numPr>
          <w:ilvl w:val="0"/>
          <w:numId w:val="3"/>
        </w:num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 xml:space="preserve">requirements for higher education providers </w:t>
      </w:r>
      <w:r w:rsidR="00276257" w:rsidRPr="003E4A43">
        <w:rPr>
          <w:rFonts w:ascii="Calibri" w:eastAsia="Times New Roman" w:hAnsi="Calibri" w:cs="Calibri"/>
          <w:color w:val="000000"/>
          <w:szCs w:val="24"/>
          <w:lang w:eastAsia="en-AU"/>
        </w:rPr>
        <w:t xml:space="preserve">to have in place grievance procedures and </w:t>
      </w:r>
      <w:r w:rsidR="00C84FCF" w:rsidRPr="003E4A43">
        <w:rPr>
          <w:rFonts w:ascii="Calibri" w:eastAsia="Times New Roman" w:hAnsi="Calibri" w:cs="Calibri"/>
          <w:color w:val="000000"/>
          <w:szCs w:val="24"/>
          <w:lang w:eastAsia="en-AU"/>
        </w:rPr>
        <w:t xml:space="preserve">procedures </w:t>
      </w:r>
      <w:r w:rsidR="00276257" w:rsidRPr="003E4A43">
        <w:rPr>
          <w:rFonts w:ascii="Calibri" w:eastAsia="Times New Roman" w:hAnsi="Calibri" w:cs="Calibri"/>
          <w:color w:val="000000"/>
          <w:szCs w:val="24"/>
          <w:lang w:eastAsia="en-AU"/>
        </w:rPr>
        <w:t xml:space="preserve">for reviewing decisions in relation to assistance under Chapter 3 of the </w:t>
      </w:r>
      <w:proofErr w:type="gramStart"/>
      <w:r w:rsidR="00276257" w:rsidRPr="003E4A43">
        <w:rPr>
          <w:rFonts w:ascii="Calibri" w:eastAsia="Times New Roman" w:hAnsi="Calibri" w:cs="Calibri"/>
          <w:color w:val="000000"/>
          <w:szCs w:val="24"/>
          <w:lang w:eastAsia="en-AU"/>
        </w:rPr>
        <w:t>Act</w:t>
      </w:r>
      <w:r w:rsidR="00995735" w:rsidRPr="003E4A43">
        <w:rPr>
          <w:rFonts w:ascii="Calibri" w:eastAsia="Times New Roman" w:hAnsi="Calibri" w:cs="Calibri"/>
          <w:color w:val="000000"/>
          <w:szCs w:val="24"/>
          <w:lang w:eastAsia="en-AU"/>
        </w:rPr>
        <w:t>;</w:t>
      </w:r>
      <w:proofErr w:type="gramEnd"/>
    </w:p>
    <w:p w14:paraId="0BA7EDB9" w14:textId="63C59F1D" w:rsidR="00995735" w:rsidRPr="003E4A43" w:rsidRDefault="00F128C1" w:rsidP="00161985">
      <w:pPr>
        <w:pStyle w:val="ListParagraph"/>
        <w:numPr>
          <w:ilvl w:val="0"/>
          <w:numId w:val="3"/>
        </w:num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 xml:space="preserve">requirements for higher education providers in relation to </w:t>
      </w:r>
      <w:r w:rsidR="00AE0FEF" w:rsidRPr="003E4A43">
        <w:rPr>
          <w:rFonts w:ascii="Calibri" w:eastAsia="Times New Roman" w:hAnsi="Calibri" w:cs="Calibri"/>
          <w:color w:val="000000"/>
          <w:szCs w:val="24"/>
          <w:lang w:eastAsia="en-AU"/>
        </w:rPr>
        <w:t xml:space="preserve">student contribution amounts and tuition </w:t>
      </w:r>
      <w:proofErr w:type="gramStart"/>
      <w:r w:rsidR="00AE0FEF" w:rsidRPr="003E4A43">
        <w:rPr>
          <w:rFonts w:ascii="Calibri" w:eastAsia="Times New Roman" w:hAnsi="Calibri" w:cs="Calibri"/>
          <w:color w:val="000000"/>
          <w:szCs w:val="24"/>
          <w:lang w:eastAsia="en-AU"/>
        </w:rPr>
        <w:t>fees</w:t>
      </w:r>
      <w:r w:rsidR="0038783C" w:rsidRPr="003E4A43">
        <w:rPr>
          <w:rFonts w:ascii="Calibri" w:eastAsia="Times New Roman" w:hAnsi="Calibri" w:cs="Calibri"/>
          <w:color w:val="000000"/>
          <w:szCs w:val="24"/>
          <w:lang w:eastAsia="en-AU"/>
        </w:rPr>
        <w:t>;</w:t>
      </w:r>
      <w:proofErr w:type="gramEnd"/>
    </w:p>
    <w:p w14:paraId="540EB52C" w14:textId="1849B574" w:rsidR="00840DE8" w:rsidRPr="003E4A43" w:rsidRDefault="00840DE8" w:rsidP="00161985">
      <w:pPr>
        <w:pStyle w:val="ListParagraph"/>
        <w:numPr>
          <w:ilvl w:val="0"/>
          <w:numId w:val="3"/>
        </w:num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 xml:space="preserve">requirements for higher education providers when determining fees in respect of overseas </w:t>
      </w:r>
      <w:proofErr w:type="gramStart"/>
      <w:r w:rsidRPr="003E4A43">
        <w:rPr>
          <w:rFonts w:ascii="Calibri" w:eastAsia="Times New Roman" w:hAnsi="Calibri" w:cs="Calibri"/>
          <w:color w:val="000000"/>
          <w:szCs w:val="24"/>
          <w:lang w:eastAsia="en-AU"/>
        </w:rPr>
        <w:t>students;</w:t>
      </w:r>
      <w:proofErr w:type="gramEnd"/>
    </w:p>
    <w:p w14:paraId="5EC2E7EC" w14:textId="7935D215" w:rsidR="0038783C" w:rsidRPr="003E4A43" w:rsidRDefault="00336BCB" w:rsidP="00161985">
      <w:pPr>
        <w:pStyle w:val="ListParagraph"/>
        <w:numPr>
          <w:ilvl w:val="0"/>
          <w:numId w:val="3"/>
        </w:num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criteria fo</w:t>
      </w:r>
      <w:r w:rsidR="00485DD9" w:rsidRPr="003E4A43">
        <w:rPr>
          <w:rFonts w:ascii="Calibri" w:eastAsia="Times New Roman" w:hAnsi="Calibri" w:cs="Calibri"/>
          <w:color w:val="000000"/>
          <w:szCs w:val="24"/>
          <w:lang w:eastAsia="en-AU"/>
        </w:rPr>
        <w:t xml:space="preserve">r determining whether a fee </w:t>
      </w:r>
      <w:r w:rsidR="006837DE" w:rsidRPr="003E4A43">
        <w:rPr>
          <w:rFonts w:ascii="Calibri" w:eastAsia="Times New Roman" w:hAnsi="Calibri" w:cs="Calibri"/>
          <w:color w:val="000000"/>
          <w:szCs w:val="24"/>
          <w:lang w:eastAsia="en-AU"/>
        </w:rPr>
        <w:t>is of a kind that is incidental to studies</w:t>
      </w:r>
      <w:r w:rsidR="007C5695" w:rsidRPr="003E4A43">
        <w:rPr>
          <w:rFonts w:ascii="Calibri" w:eastAsia="Times New Roman" w:hAnsi="Calibri" w:cs="Calibri"/>
          <w:color w:val="000000"/>
          <w:szCs w:val="24"/>
          <w:lang w:eastAsia="en-AU"/>
        </w:rPr>
        <w:t xml:space="preserve"> that may be undertaken </w:t>
      </w:r>
      <w:r w:rsidR="005520A3" w:rsidRPr="003E4A43">
        <w:rPr>
          <w:rFonts w:ascii="Calibri" w:eastAsia="Times New Roman" w:hAnsi="Calibri" w:cs="Calibri"/>
          <w:color w:val="000000"/>
          <w:szCs w:val="24"/>
          <w:lang w:eastAsia="en-AU"/>
        </w:rPr>
        <w:t xml:space="preserve">with a higher education </w:t>
      </w:r>
      <w:proofErr w:type="gramStart"/>
      <w:r w:rsidR="005520A3" w:rsidRPr="003E4A43">
        <w:rPr>
          <w:rFonts w:ascii="Calibri" w:eastAsia="Times New Roman" w:hAnsi="Calibri" w:cs="Calibri"/>
          <w:color w:val="000000"/>
          <w:szCs w:val="24"/>
          <w:lang w:eastAsia="en-AU"/>
        </w:rPr>
        <w:t>provider;</w:t>
      </w:r>
      <w:proofErr w:type="gramEnd"/>
    </w:p>
    <w:p w14:paraId="20C97681" w14:textId="016BF54A" w:rsidR="007923A1" w:rsidRPr="003E4A43" w:rsidRDefault="00753332" w:rsidP="00161985">
      <w:pPr>
        <w:pStyle w:val="ListParagraph"/>
        <w:numPr>
          <w:ilvl w:val="0"/>
          <w:numId w:val="3"/>
        </w:num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 xml:space="preserve">additional quality, accountability and other administrative requirements for higher education </w:t>
      </w:r>
      <w:proofErr w:type="gramStart"/>
      <w:r w:rsidRPr="003E4A43">
        <w:rPr>
          <w:rFonts w:ascii="Calibri" w:eastAsia="Times New Roman" w:hAnsi="Calibri" w:cs="Calibri"/>
          <w:color w:val="000000"/>
          <w:szCs w:val="24"/>
          <w:lang w:eastAsia="en-AU"/>
        </w:rPr>
        <w:t>providers</w:t>
      </w:r>
      <w:r w:rsidR="00F3164A" w:rsidRPr="003E4A43">
        <w:rPr>
          <w:rFonts w:ascii="Calibri" w:eastAsia="Times New Roman" w:hAnsi="Calibri" w:cs="Calibri"/>
          <w:color w:val="000000"/>
          <w:szCs w:val="24"/>
          <w:lang w:eastAsia="en-AU"/>
        </w:rPr>
        <w:t>;</w:t>
      </w:r>
      <w:proofErr w:type="gramEnd"/>
    </w:p>
    <w:p w14:paraId="7712A427" w14:textId="14971B03" w:rsidR="007265E6" w:rsidRPr="003E4A43" w:rsidRDefault="007265E6" w:rsidP="00161985">
      <w:pPr>
        <w:pStyle w:val="ListParagraph"/>
        <w:numPr>
          <w:ilvl w:val="0"/>
          <w:numId w:val="3"/>
        </w:num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 xml:space="preserve">matters that </w:t>
      </w:r>
      <w:r w:rsidR="007B4FA4" w:rsidRPr="003E4A43">
        <w:rPr>
          <w:rFonts w:ascii="Calibri" w:eastAsia="Times New Roman" w:hAnsi="Calibri" w:cs="Calibri"/>
          <w:color w:val="000000"/>
          <w:szCs w:val="24"/>
          <w:lang w:eastAsia="en-AU"/>
        </w:rPr>
        <w:t xml:space="preserve">the Secretary </w:t>
      </w:r>
      <w:r w:rsidR="00E75F81" w:rsidRPr="003E4A43">
        <w:rPr>
          <w:rFonts w:ascii="Calibri" w:eastAsia="Times New Roman" w:hAnsi="Calibri" w:cs="Calibri"/>
          <w:color w:val="000000"/>
          <w:szCs w:val="24"/>
          <w:lang w:eastAsia="en-AU"/>
        </w:rPr>
        <w:t xml:space="preserve">of the Department of Education </w:t>
      </w:r>
      <w:r w:rsidR="007B4FA4" w:rsidRPr="003E4A43">
        <w:rPr>
          <w:rFonts w:ascii="Calibri" w:eastAsia="Times New Roman" w:hAnsi="Calibri" w:cs="Calibri"/>
          <w:color w:val="000000"/>
          <w:szCs w:val="24"/>
          <w:lang w:eastAsia="en-AU"/>
        </w:rPr>
        <w:t>must</w:t>
      </w:r>
      <w:r w:rsidR="000111FA" w:rsidRPr="003E4A43">
        <w:rPr>
          <w:rFonts w:ascii="Calibri" w:eastAsia="Times New Roman" w:hAnsi="Calibri" w:cs="Calibri"/>
          <w:color w:val="000000"/>
          <w:szCs w:val="24"/>
          <w:lang w:eastAsia="en-AU"/>
        </w:rPr>
        <w:t xml:space="preserve"> </w:t>
      </w:r>
      <w:r w:rsidR="007B4FA4" w:rsidRPr="003E4A43">
        <w:rPr>
          <w:rFonts w:ascii="Calibri" w:eastAsia="Times New Roman" w:hAnsi="Calibri" w:cs="Calibri"/>
          <w:color w:val="000000"/>
          <w:szCs w:val="24"/>
          <w:lang w:eastAsia="en-AU"/>
        </w:rPr>
        <w:t>consider</w:t>
      </w:r>
      <w:r w:rsidR="007754F1" w:rsidRPr="003E4A43">
        <w:rPr>
          <w:rFonts w:ascii="Calibri" w:eastAsia="Times New Roman" w:hAnsi="Calibri" w:cs="Calibri"/>
          <w:color w:val="000000"/>
          <w:szCs w:val="24"/>
          <w:lang w:eastAsia="en-AU"/>
        </w:rPr>
        <w:t xml:space="preserve"> in</w:t>
      </w:r>
      <w:r w:rsidR="00F3164A" w:rsidRPr="003E4A43">
        <w:rPr>
          <w:rFonts w:ascii="Calibri" w:eastAsia="Times New Roman" w:hAnsi="Calibri" w:cs="Calibri"/>
          <w:color w:val="000000"/>
          <w:szCs w:val="24"/>
          <w:lang w:eastAsia="en-AU"/>
        </w:rPr>
        <w:t xml:space="preserve"> determining whether a student is a genuine student;</w:t>
      </w:r>
      <w:r w:rsidR="004C51A1" w:rsidRPr="003E4A43">
        <w:rPr>
          <w:rFonts w:ascii="Calibri" w:eastAsia="Times New Roman" w:hAnsi="Calibri" w:cs="Calibri"/>
          <w:color w:val="000000"/>
          <w:szCs w:val="24"/>
          <w:lang w:eastAsia="en-AU"/>
        </w:rPr>
        <w:t xml:space="preserve"> and</w:t>
      </w:r>
    </w:p>
    <w:p w14:paraId="41390A49" w14:textId="4093C407" w:rsidR="004C51A1" w:rsidRPr="003E4A43" w:rsidRDefault="004C51A1" w:rsidP="00161985">
      <w:pPr>
        <w:pStyle w:val="ListParagraph"/>
        <w:numPr>
          <w:ilvl w:val="0"/>
          <w:numId w:val="3"/>
        </w:num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 xml:space="preserve">requirements in relation to the higher education provider charge. </w:t>
      </w:r>
    </w:p>
    <w:p w14:paraId="42544F50" w14:textId="7992D9E1" w:rsidR="00230B64" w:rsidRPr="003E4A43" w:rsidRDefault="007F005B" w:rsidP="008577CC">
      <w:p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lastRenderedPageBreak/>
        <w:t xml:space="preserve">The purpose of the Guidelines </w:t>
      </w:r>
      <w:proofErr w:type="gramStart"/>
      <w:r w:rsidR="00685A0D" w:rsidRPr="003E4A43">
        <w:rPr>
          <w:rFonts w:ascii="Calibri" w:eastAsia="Times New Roman" w:hAnsi="Calibri" w:cs="Calibri"/>
          <w:color w:val="000000"/>
          <w:szCs w:val="24"/>
          <w:lang w:eastAsia="en-AU"/>
        </w:rPr>
        <w:t>are</w:t>
      </w:r>
      <w:proofErr w:type="gramEnd"/>
      <w:r w:rsidRPr="003E4A43">
        <w:rPr>
          <w:rFonts w:ascii="Calibri" w:eastAsia="Times New Roman" w:hAnsi="Calibri" w:cs="Calibri"/>
          <w:color w:val="000000"/>
          <w:szCs w:val="24"/>
          <w:lang w:eastAsia="en-AU"/>
        </w:rPr>
        <w:t xml:space="preserve"> to repeal and replace t</w:t>
      </w:r>
      <w:r w:rsidR="00230B64" w:rsidRPr="003E4A43">
        <w:rPr>
          <w:rFonts w:ascii="Calibri" w:eastAsia="Times New Roman" w:hAnsi="Calibri" w:cs="Calibri"/>
          <w:color w:val="000000"/>
          <w:szCs w:val="24"/>
          <w:lang w:eastAsia="en-AU"/>
        </w:rPr>
        <w:t>he Former Guidelines</w:t>
      </w:r>
      <w:r w:rsidRPr="003E4A43">
        <w:rPr>
          <w:rFonts w:ascii="Calibri" w:eastAsia="Times New Roman" w:hAnsi="Calibri" w:cs="Calibri"/>
          <w:color w:val="000000"/>
          <w:szCs w:val="24"/>
          <w:lang w:eastAsia="en-AU"/>
        </w:rPr>
        <w:t>, which w</w:t>
      </w:r>
      <w:r w:rsidR="00685A0D" w:rsidRPr="003E4A43">
        <w:rPr>
          <w:rFonts w:ascii="Calibri" w:eastAsia="Times New Roman" w:hAnsi="Calibri" w:cs="Calibri"/>
          <w:color w:val="000000"/>
          <w:szCs w:val="24"/>
          <w:lang w:eastAsia="en-AU"/>
        </w:rPr>
        <w:t>ere</w:t>
      </w:r>
      <w:r w:rsidRPr="003E4A43">
        <w:rPr>
          <w:rFonts w:ascii="Calibri" w:eastAsia="Times New Roman" w:hAnsi="Calibri" w:cs="Calibri"/>
          <w:color w:val="000000"/>
          <w:szCs w:val="24"/>
          <w:lang w:eastAsia="en-AU"/>
        </w:rPr>
        <w:t xml:space="preserve"> due to </w:t>
      </w:r>
      <w:r w:rsidR="00230B64" w:rsidRPr="003E4A43">
        <w:rPr>
          <w:rFonts w:ascii="Calibri" w:eastAsia="Times New Roman" w:hAnsi="Calibri" w:cs="Calibri"/>
          <w:color w:val="000000"/>
          <w:szCs w:val="24"/>
          <w:lang w:eastAsia="en-AU"/>
        </w:rPr>
        <w:t>sunset on 1 April 2023</w:t>
      </w:r>
      <w:r w:rsidR="00E557C2" w:rsidRPr="003E4A43">
        <w:rPr>
          <w:rFonts w:ascii="Calibri" w:eastAsia="Times New Roman" w:hAnsi="Calibri" w:cs="Calibri"/>
          <w:color w:val="000000"/>
          <w:szCs w:val="24"/>
          <w:lang w:eastAsia="en-AU"/>
        </w:rPr>
        <w:t xml:space="preserve">. </w:t>
      </w:r>
      <w:r w:rsidR="00C81D76" w:rsidRPr="003E4A43">
        <w:rPr>
          <w:rFonts w:ascii="Calibri" w:eastAsia="Times New Roman" w:hAnsi="Calibri" w:cs="Calibri"/>
          <w:color w:val="000000"/>
          <w:szCs w:val="24"/>
          <w:lang w:eastAsia="en-AU"/>
        </w:rPr>
        <w:t xml:space="preserve">The Guidelines are largely </w:t>
      </w:r>
      <w:r w:rsidR="00572675" w:rsidRPr="003E4A43">
        <w:rPr>
          <w:rFonts w:ascii="Calibri" w:eastAsia="Times New Roman" w:hAnsi="Calibri" w:cs="Calibri"/>
          <w:color w:val="000000"/>
          <w:szCs w:val="24"/>
          <w:lang w:eastAsia="en-AU"/>
        </w:rPr>
        <w:t>the same as</w:t>
      </w:r>
      <w:r w:rsidR="00C81D76" w:rsidRPr="003E4A43">
        <w:rPr>
          <w:rFonts w:ascii="Calibri" w:eastAsia="Times New Roman" w:hAnsi="Calibri" w:cs="Calibri"/>
          <w:color w:val="000000"/>
          <w:szCs w:val="24"/>
          <w:lang w:eastAsia="en-AU"/>
        </w:rPr>
        <w:t xml:space="preserve"> the Former Guidelines</w:t>
      </w:r>
      <w:r w:rsidR="001A27FA" w:rsidRPr="003E4A43">
        <w:rPr>
          <w:rFonts w:ascii="Calibri" w:eastAsia="Times New Roman" w:hAnsi="Calibri" w:cs="Calibri"/>
          <w:color w:val="000000"/>
          <w:szCs w:val="24"/>
          <w:lang w:eastAsia="en-AU"/>
        </w:rPr>
        <w:t xml:space="preserve"> and </w:t>
      </w:r>
      <w:r w:rsidR="00230B64" w:rsidRPr="003E4A43">
        <w:rPr>
          <w:rFonts w:ascii="Calibri" w:eastAsia="Times New Roman" w:hAnsi="Calibri" w:cs="Calibri"/>
          <w:color w:val="000000"/>
          <w:szCs w:val="24"/>
          <w:lang w:eastAsia="en-AU"/>
        </w:rPr>
        <w:t xml:space="preserve">are made to ensure that the above </w:t>
      </w:r>
      <w:r w:rsidR="00670378" w:rsidRPr="003E4A43">
        <w:rPr>
          <w:rFonts w:ascii="Calibri" w:eastAsia="Times New Roman" w:hAnsi="Calibri" w:cs="Calibri"/>
          <w:color w:val="000000"/>
          <w:szCs w:val="24"/>
          <w:lang w:eastAsia="en-AU"/>
        </w:rPr>
        <w:t xml:space="preserve">requirements </w:t>
      </w:r>
      <w:r w:rsidR="00230B64" w:rsidRPr="003E4A43">
        <w:rPr>
          <w:rFonts w:ascii="Calibri" w:eastAsia="Times New Roman" w:hAnsi="Calibri" w:cs="Calibri"/>
          <w:color w:val="000000"/>
          <w:szCs w:val="24"/>
          <w:lang w:eastAsia="en-AU"/>
        </w:rPr>
        <w:t xml:space="preserve">will continue to be in place. </w:t>
      </w:r>
    </w:p>
    <w:p w14:paraId="401C939A" w14:textId="361BB361" w:rsidR="00B57524" w:rsidRPr="003E4A43" w:rsidRDefault="00AE32C5" w:rsidP="00426599">
      <w:pPr>
        <w:shd w:val="clear" w:color="auto" w:fill="FFFFFF"/>
        <w:rPr>
          <w:rFonts w:ascii="Calibri" w:eastAsia="Times New Roman" w:hAnsi="Calibri" w:cs="Calibri"/>
          <w:iCs/>
          <w:color w:val="000000"/>
          <w:szCs w:val="24"/>
          <w:lang w:eastAsia="en-AU"/>
        </w:rPr>
      </w:pPr>
      <w:r w:rsidRPr="003E4A43">
        <w:rPr>
          <w:rFonts w:ascii="Calibri" w:eastAsia="Times New Roman" w:hAnsi="Calibri" w:cs="Calibri"/>
          <w:color w:val="000000"/>
          <w:szCs w:val="24"/>
          <w:lang w:eastAsia="en-AU"/>
        </w:rPr>
        <w:t>Some minor changes have been made to t</w:t>
      </w:r>
      <w:r w:rsidR="00F85DB4" w:rsidRPr="003E4A43">
        <w:rPr>
          <w:rFonts w:ascii="Calibri" w:eastAsia="Times New Roman" w:hAnsi="Calibri" w:cs="Calibri"/>
          <w:color w:val="000000"/>
          <w:szCs w:val="24"/>
          <w:lang w:eastAsia="en-AU"/>
        </w:rPr>
        <w:t>he Guidelines</w:t>
      </w:r>
      <w:r w:rsidRPr="003E4A43">
        <w:rPr>
          <w:rFonts w:ascii="Calibri" w:eastAsia="Times New Roman" w:hAnsi="Calibri" w:cs="Calibri"/>
          <w:color w:val="000000"/>
          <w:szCs w:val="24"/>
          <w:lang w:eastAsia="en-AU"/>
        </w:rPr>
        <w:t xml:space="preserve"> to</w:t>
      </w:r>
      <w:r w:rsidR="006D1C33" w:rsidRPr="003E4A43">
        <w:rPr>
          <w:rFonts w:asciiTheme="minorHAnsi" w:hAnsiTheme="minorHAnsi" w:cstheme="minorHAnsi"/>
          <w:iCs/>
          <w:szCs w:val="24"/>
        </w:rPr>
        <w:t xml:space="preserve"> clarify and include additional procedural matters relating to the tuition protection requirements</w:t>
      </w:r>
      <w:r w:rsidR="002B0AFB" w:rsidRPr="003E4A43">
        <w:rPr>
          <w:rFonts w:ascii="Calibri" w:eastAsia="Times New Roman" w:hAnsi="Calibri" w:cs="Calibri"/>
          <w:color w:val="000000"/>
          <w:szCs w:val="24"/>
          <w:lang w:eastAsia="en-AU"/>
        </w:rPr>
        <w:t xml:space="preserve"> </w:t>
      </w:r>
      <w:r w:rsidR="009A4310" w:rsidRPr="003E4A43">
        <w:rPr>
          <w:rFonts w:ascii="Calibri" w:eastAsia="Times New Roman" w:hAnsi="Calibri" w:cs="Calibri"/>
          <w:iCs/>
          <w:color w:val="000000"/>
          <w:szCs w:val="24"/>
          <w:lang w:eastAsia="en-AU"/>
        </w:rPr>
        <w:t>to</w:t>
      </w:r>
      <w:r w:rsidR="00B57524" w:rsidRPr="003E4A43">
        <w:rPr>
          <w:rFonts w:ascii="Calibri" w:eastAsia="Times New Roman" w:hAnsi="Calibri" w:cs="Calibri"/>
          <w:iCs/>
          <w:color w:val="000000"/>
          <w:szCs w:val="24"/>
          <w:lang w:eastAsia="en-AU"/>
        </w:rPr>
        <w:t>:</w:t>
      </w:r>
    </w:p>
    <w:p w14:paraId="56C10371" w14:textId="6ED01AB0" w:rsidR="00B57524" w:rsidRPr="003E4A43" w:rsidRDefault="009A4310" w:rsidP="00B57524">
      <w:pPr>
        <w:pStyle w:val="ListParagraph"/>
        <w:numPr>
          <w:ilvl w:val="0"/>
          <w:numId w:val="3"/>
        </w:numPr>
        <w:shd w:val="clear" w:color="auto" w:fill="FFFFFF"/>
        <w:rPr>
          <w:rFonts w:asciiTheme="minorHAnsi" w:hAnsiTheme="minorHAnsi" w:cstheme="minorHAnsi"/>
          <w:iCs/>
          <w:szCs w:val="24"/>
        </w:rPr>
      </w:pPr>
      <w:r w:rsidRPr="003E4A43">
        <w:rPr>
          <w:rFonts w:asciiTheme="minorHAnsi" w:hAnsiTheme="minorHAnsi" w:cstheme="minorHAnsi"/>
          <w:iCs/>
          <w:szCs w:val="24"/>
        </w:rPr>
        <w:t>specify further circumstances as to when a provider defaults in relation to a student and providing an exception where a student was unable to enrol in any units of study because of the student’s personal circumstances (including but not limited to their medical, financial or employment circumstances) or family circumstances (including but not limited to the family’s medical, financial or employment</w:t>
      </w:r>
      <w:r w:rsidR="00132A58" w:rsidRPr="003E4A43">
        <w:rPr>
          <w:rFonts w:asciiTheme="minorHAnsi" w:hAnsiTheme="minorHAnsi" w:cstheme="minorHAnsi"/>
          <w:iCs/>
          <w:szCs w:val="24"/>
        </w:rPr>
        <w:t xml:space="preserve"> circumstances)</w:t>
      </w:r>
      <w:r w:rsidR="00433FEC" w:rsidRPr="003E4A43">
        <w:rPr>
          <w:rFonts w:asciiTheme="minorHAnsi" w:hAnsiTheme="minorHAnsi" w:cstheme="minorHAnsi"/>
          <w:iCs/>
          <w:szCs w:val="24"/>
        </w:rPr>
        <w:t>;</w:t>
      </w:r>
      <w:r w:rsidR="00132A58" w:rsidRPr="003E4A43">
        <w:rPr>
          <w:rFonts w:asciiTheme="minorHAnsi" w:hAnsiTheme="minorHAnsi" w:cstheme="minorHAnsi"/>
          <w:iCs/>
          <w:szCs w:val="24"/>
        </w:rPr>
        <w:t xml:space="preserve"> and</w:t>
      </w:r>
    </w:p>
    <w:p w14:paraId="4D9AE1F0" w14:textId="3F5A8BA5" w:rsidR="00971653" w:rsidRPr="003E4A43" w:rsidRDefault="004735C7" w:rsidP="00B57524">
      <w:pPr>
        <w:pStyle w:val="ListParagraph"/>
        <w:numPr>
          <w:ilvl w:val="0"/>
          <w:numId w:val="3"/>
        </w:numPr>
        <w:shd w:val="clear" w:color="auto" w:fill="FFFFFF"/>
        <w:rPr>
          <w:rFonts w:asciiTheme="minorHAnsi" w:hAnsiTheme="minorHAnsi" w:cstheme="minorHAnsi"/>
          <w:iCs/>
          <w:szCs w:val="24"/>
        </w:rPr>
      </w:pPr>
      <w:r w:rsidRPr="003E4A43">
        <w:rPr>
          <w:rFonts w:asciiTheme="minorHAnsi" w:hAnsiTheme="minorHAnsi" w:cstheme="minorHAnsi"/>
          <w:iCs/>
          <w:szCs w:val="24"/>
        </w:rPr>
        <w:t>require</w:t>
      </w:r>
      <w:r w:rsidR="00971653" w:rsidRPr="003E4A43">
        <w:rPr>
          <w:rFonts w:asciiTheme="minorHAnsi" w:hAnsiTheme="minorHAnsi" w:cstheme="minorHAnsi"/>
          <w:iCs/>
          <w:szCs w:val="24"/>
        </w:rPr>
        <w:t xml:space="preserve"> additional matters that the </w:t>
      </w:r>
      <w:r w:rsidR="00132A58" w:rsidRPr="003E4A43">
        <w:rPr>
          <w:rFonts w:asciiTheme="minorHAnsi" w:hAnsiTheme="minorHAnsi" w:cstheme="minorHAnsi"/>
          <w:iCs/>
          <w:szCs w:val="24"/>
        </w:rPr>
        <w:t xml:space="preserve">Higher Education Tuition Protection </w:t>
      </w:r>
      <w:r w:rsidR="00971653" w:rsidRPr="003E4A43">
        <w:rPr>
          <w:rFonts w:asciiTheme="minorHAnsi" w:hAnsiTheme="minorHAnsi" w:cstheme="minorHAnsi"/>
          <w:iCs/>
          <w:szCs w:val="24"/>
        </w:rPr>
        <w:t>Director must include in its written notice to a student where a suitable replacement course is available</w:t>
      </w:r>
      <w:r w:rsidR="00426599" w:rsidRPr="003E4A43">
        <w:rPr>
          <w:rFonts w:asciiTheme="minorHAnsi" w:hAnsiTheme="minorHAnsi" w:cstheme="minorHAnsi"/>
          <w:iCs/>
          <w:szCs w:val="24"/>
        </w:rPr>
        <w:t>.</w:t>
      </w:r>
    </w:p>
    <w:p w14:paraId="5253A7B7" w14:textId="009B52F1" w:rsidR="00C80B35" w:rsidRPr="003E4A43" w:rsidRDefault="00650CAE" w:rsidP="00426599">
      <w:pPr>
        <w:shd w:val="clear" w:color="auto" w:fill="FFFFFF"/>
        <w:rPr>
          <w:rFonts w:ascii="Calibri" w:eastAsia="Times New Roman" w:hAnsi="Calibri" w:cs="Calibri"/>
          <w:iCs/>
          <w:color w:val="000000"/>
          <w:szCs w:val="24"/>
          <w:lang w:eastAsia="en-AU"/>
        </w:rPr>
      </w:pPr>
      <w:r w:rsidRPr="003E4A43">
        <w:rPr>
          <w:rFonts w:asciiTheme="minorHAnsi" w:hAnsiTheme="minorHAnsi" w:cstheme="minorHAnsi"/>
          <w:iCs/>
          <w:szCs w:val="24"/>
        </w:rPr>
        <w:t>Other changes to t</w:t>
      </w:r>
      <w:r w:rsidR="00C80B35" w:rsidRPr="003E4A43">
        <w:rPr>
          <w:rFonts w:asciiTheme="minorHAnsi" w:hAnsiTheme="minorHAnsi" w:cstheme="minorHAnsi"/>
          <w:iCs/>
          <w:szCs w:val="24"/>
        </w:rPr>
        <w:t xml:space="preserve">he Guidelines </w:t>
      </w:r>
      <w:r w:rsidRPr="003E4A43">
        <w:rPr>
          <w:rFonts w:asciiTheme="minorHAnsi" w:hAnsiTheme="minorHAnsi" w:cstheme="minorHAnsi"/>
          <w:iCs/>
          <w:szCs w:val="24"/>
        </w:rPr>
        <w:t>include making</w:t>
      </w:r>
      <w:r w:rsidR="00C80B35" w:rsidRPr="003E4A43">
        <w:rPr>
          <w:rFonts w:asciiTheme="minorHAnsi" w:hAnsiTheme="minorHAnsi" w:cstheme="minorHAnsi"/>
          <w:iCs/>
          <w:szCs w:val="24"/>
        </w:rPr>
        <w:t xml:space="preserve"> updates</w:t>
      </w:r>
      <w:r w:rsidR="00C65FBB" w:rsidRPr="003E4A43">
        <w:rPr>
          <w:rFonts w:asciiTheme="minorHAnsi" w:hAnsiTheme="minorHAnsi" w:cstheme="minorHAnsi"/>
          <w:iCs/>
          <w:szCs w:val="24"/>
        </w:rPr>
        <w:t xml:space="preserve"> to</w:t>
      </w:r>
      <w:r w:rsidR="004E0EE1" w:rsidRPr="003E4A43">
        <w:rPr>
          <w:rFonts w:asciiTheme="minorHAnsi" w:hAnsiTheme="minorHAnsi" w:cstheme="minorHAnsi"/>
          <w:iCs/>
          <w:szCs w:val="24"/>
        </w:rPr>
        <w:t xml:space="preserve"> the</w:t>
      </w:r>
      <w:r w:rsidR="00C65FBB" w:rsidRPr="003E4A43">
        <w:rPr>
          <w:rFonts w:asciiTheme="minorHAnsi" w:hAnsiTheme="minorHAnsi" w:cstheme="minorHAnsi"/>
          <w:iCs/>
          <w:szCs w:val="24"/>
        </w:rPr>
        <w:t>:</w:t>
      </w:r>
      <w:r w:rsidR="00C80B35" w:rsidRPr="003E4A43">
        <w:rPr>
          <w:rFonts w:asciiTheme="minorHAnsi" w:hAnsiTheme="minorHAnsi" w:cstheme="minorHAnsi"/>
          <w:iCs/>
          <w:szCs w:val="24"/>
        </w:rPr>
        <w:t xml:space="preserve"> </w:t>
      </w:r>
    </w:p>
    <w:p w14:paraId="5C59E917" w14:textId="61C99A93" w:rsidR="00971653" w:rsidRPr="003E4A43" w:rsidRDefault="00C80B35" w:rsidP="006456C4">
      <w:pPr>
        <w:pStyle w:val="ListParagraph"/>
        <w:numPr>
          <w:ilvl w:val="0"/>
          <w:numId w:val="3"/>
        </w:numPr>
        <w:shd w:val="clear" w:color="auto" w:fill="FFFFFF"/>
        <w:rPr>
          <w:rFonts w:ascii="Calibri" w:eastAsia="Times New Roman" w:hAnsi="Calibri" w:cs="Calibri"/>
          <w:iCs/>
          <w:color w:val="000000"/>
          <w:szCs w:val="24"/>
          <w:lang w:eastAsia="en-AU"/>
        </w:rPr>
      </w:pPr>
      <w:r w:rsidRPr="003E4A43">
        <w:rPr>
          <w:rFonts w:ascii="Calibri" w:eastAsia="Times New Roman" w:hAnsi="Calibri" w:cs="Calibri"/>
          <w:iCs/>
          <w:color w:val="000000"/>
          <w:szCs w:val="24"/>
          <w:lang w:eastAsia="en-AU"/>
        </w:rPr>
        <w:t xml:space="preserve">minimum indicative course fees for overseas </w:t>
      </w:r>
      <w:proofErr w:type="gramStart"/>
      <w:r w:rsidRPr="003E4A43">
        <w:rPr>
          <w:rFonts w:ascii="Calibri" w:eastAsia="Times New Roman" w:hAnsi="Calibri" w:cs="Calibri"/>
          <w:iCs/>
          <w:color w:val="000000"/>
          <w:szCs w:val="24"/>
          <w:lang w:eastAsia="en-AU"/>
        </w:rPr>
        <w:t>students</w:t>
      </w:r>
      <w:r w:rsidR="00C65FBB" w:rsidRPr="003E4A43">
        <w:rPr>
          <w:rFonts w:ascii="Calibri" w:eastAsia="Times New Roman" w:hAnsi="Calibri" w:cs="Calibri"/>
          <w:iCs/>
          <w:color w:val="000000"/>
          <w:szCs w:val="24"/>
          <w:lang w:eastAsia="en-AU"/>
        </w:rPr>
        <w:t>;</w:t>
      </w:r>
      <w:proofErr w:type="gramEnd"/>
    </w:p>
    <w:p w14:paraId="78677B91" w14:textId="7DEBC3E9" w:rsidR="00C65FBB" w:rsidRPr="003E4A43" w:rsidRDefault="004E0EE1" w:rsidP="006456C4">
      <w:pPr>
        <w:pStyle w:val="ListParagraph"/>
        <w:numPr>
          <w:ilvl w:val="0"/>
          <w:numId w:val="3"/>
        </w:numPr>
        <w:shd w:val="clear" w:color="auto" w:fill="FFFFFF"/>
        <w:rPr>
          <w:rFonts w:ascii="Calibri" w:eastAsia="Times New Roman" w:hAnsi="Calibri" w:cs="Calibri"/>
          <w:iCs/>
          <w:color w:val="000000"/>
          <w:szCs w:val="24"/>
          <w:lang w:eastAsia="en-AU"/>
        </w:rPr>
      </w:pPr>
      <w:r w:rsidRPr="003E4A43">
        <w:rPr>
          <w:rFonts w:ascii="Calibri" w:eastAsia="Times New Roman" w:hAnsi="Calibri" w:cs="Calibri"/>
          <w:iCs/>
          <w:color w:val="000000"/>
          <w:szCs w:val="24"/>
          <w:lang w:eastAsia="en-AU"/>
        </w:rPr>
        <w:t xml:space="preserve">requirements for </w:t>
      </w:r>
      <w:r w:rsidR="001C6BC1" w:rsidRPr="003E4A43">
        <w:rPr>
          <w:rFonts w:ascii="Calibri" w:eastAsia="Times New Roman" w:hAnsi="Calibri" w:cs="Calibri"/>
          <w:iCs/>
          <w:color w:val="000000"/>
          <w:szCs w:val="24"/>
          <w:lang w:eastAsia="en-AU"/>
        </w:rPr>
        <w:t>financial statements that higher education providers must give to the Minister</w:t>
      </w:r>
      <w:r w:rsidR="00D934B6" w:rsidRPr="003E4A43">
        <w:rPr>
          <w:rFonts w:ascii="Calibri" w:eastAsia="Times New Roman" w:hAnsi="Calibri" w:cs="Calibri"/>
          <w:iCs/>
          <w:color w:val="000000"/>
          <w:szCs w:val="24"/>
          <w:lang w:eastAsia="en-AU"/>
        </w:rPr>
        <w:t>;</w:t>
      </w:r>
      <w:r w:rsidR="00396B26" w:rsidRPr="003E4A43">
        <w:rPr>
          <w:rFonts w:ascii="Calibri" w:eastAsia="Times New Roman" w:hAnsi="Calibri" w:cs="Calibri"/>
          <w:iCs/>
          <w:color w:val="000000"/>
          <w:szCs w:val="24"/>
          <w:lang w:eastAsia="en-AU"/>
        </w:rPr>
        <w:t xml:space="preserve"> and</w:t>
      </w:r>
    </w:p>
    <w:p w14:paraId="3EC06E90" w14:textId="56C829A6" w:rsidR="00571E32" w:rsidRPr="003E4A43" w:rsidRDefault="00396B26" w:rsidP="006456C4">
      <w:pPr>
        <w:pStyle w:val="ListParagraph"/>
        <w:numPr>
          <w:ilvl w:val="0"/>
          <w:numId w:val="3"/>
        </w:numPr>
        <w:shd w:val="clear" w:color="auto" w:fill="FFFFFF"/>
        <w:rPr>
          <w:rFonts w:ascii="Calibri" w:eastAsia="Times New Roman" w:hAnsi="Calibri" w:cs="Calibri"/>
          <w:iCs/>
          <w:color w:val="000000"/>
          <w:szCs w:val="24"/>
          <w:lang w:eastAsia="en-AU"/>
        </w:rPr>
      </w:pPr>
      <w:r w:rsidRPr="003E4A43">
        <w:rPr>
          <w:rFonts w:ascii="Calibri" w:eastAsia="Times New Roman" w:hAnsi="Calibri" w:cs="Calibri"/>
          <w:iCs/>
          <w:color w:val="000000"/>
          <w:szCs w:val="24"/>
          <w:lang w:eastAsia="en-AU"/>
        </w:rPr>
        <w:t>matters that the Minister must have regard to</w:t>
      </w:r>
      <w:r w:rsidR="00C65FBB" w:rsidRPr="003E4A43">
        <w:rPr>
          <w:rFonts w:ascii="Calibri" w:eastAsia="Times New Roman" w:hAnsi="Calibri" w:cs="Calibri"/>
          <w:iCs/>
          <w:color w:val="000000"/>
          <w:szCs w:val="24"/>
          <w:lang w:eastAsia="en-AU"/>
        </w:rPr>
        <w:t xml:space="preserve"> when determining</w:t>
      </w:r>
      <w:r w:rsidR="00EC5FB6" w:rsidRPr="003E4A43">
        <w:rPr>
          <w:rFonts w:ascii="Calibri" w:eastAsia="Times New Roman" w:hAnsi="Calibri" w:cs="Calibri"/>
          <w:iCs/>
          <w:color w:val="000000"/>
          <w:szCs w:val="24"/>
          <w:lang w:eastAsia="en-AU"/>
        </w:rPr>
        <w:t xml:space="preserve"> the</w:t>
      </w:r>
      <w:r w:rsidR="00C65FBB" w:rsidRPr="003E4A43">
        <w:rPr>
          <w:rFonts w:ascii="Calibri" w:eastAsia="Times New Roman" w:hAnsi="Calibri" w:cs="Calibri"/>
          <w:iCs/>
          <w:color w:val="000000"/>
          <w:szCs w:val="24"/>
          <w:lang w:eastAsia="en-AU"/>
        </w:rPr>
        <w:t xml:space="preserve"> financial viability</w:t>
      </w:r>
      <w:r w:rsidR="004E0EE1" w:rsidRPr="003E4A43">
        <w:rPr>
          <w:rFonts w:ascii="Calibri" w:eastAsia="Times New Roman" w:hAnsi="Calibri" w:cs="Calibri"/>
          <w:iCs/>
          <w:color w:val="000000"/>
          <w:szCs w:val="24"/>
          <w:lang w:eastAsia="en-AU"/>
        </w:rPr>
        <w:t xml:space="preserve"> of a higher education provider under </w:t>
      </w:r>
      <w:r w:rsidR="00EC5FB6" w:rsidRPr="003E4A43">
        <w:rPr>
          <w:rFonts w:ascii="Calibri" w:eastAsia="Times New Roman" w:hAnsi="Calibri" w:cs="Calibri"/>
          <w:iCs/>
          <w:color w:val="000000"/>
          <w:szCs w:val="24"/>
          <w:lang w:eastAsia="en-AU"/>
        </w:rPr>
        <w:t>Division 19</w:t>
      </w:r>
      <w:r w:rsidR="00070039" w:rsidRPr="003E4A43">
        <w:rPr>
          <w:rFonts w:ascii="Calibri" w:eastAsia="Times New Roman" w:hAnsi="Calibri" w:cs="Calibri"/>
          <w:iCs/>
          <w:color w:val="000000"/>
          <w:szCs w:val="24"/>
          <w:lang w:eastAsia="en-AU"/>
        </w:rPr>
        <w:t xml:space="preserve"> of the Act</w:t>
      </w:r>
      <w:r w:rsidR="00C65FBB" w:rsidRPr="003E4A43">
        <w:rPr>
          <w:rFonts w:ascii="Calibri" w:eastAsia="Times New Roman" w:hAnsi="Calibri" w:cs="Calibri"/>
          <w:iCs/>
          <w:color w:val="000000"/>
          <w:szCs w:val="24"/>
          <w:lang w:eastAsia="en-AU"/>
        </w:rPr>
        <w:t xml:space="preserve">. </w:t>
      </w:r>
    </w:p>
    <w:p w14:paraId="626F1531" w14:textId="556004E5" w:rsidR="00350779" w:rsidRPr="003E4A43" w:rsidRDefault="00144950" w:rsidP="008577CC">
      <w:pPr>
        <w:pStyle w:val="Heading2"/>
        <w:keepNext w:val="0"/>
        <w:rPr>
          <w:rFonts w:asciiTheme="minorHAnsi" w:hAnsiTheme="minorHAnsi" w:cstheme="minorHAnsi"/>
          <w:color w:val="auto"/>
        </w:rPr>
      </w:pPr>
      <w:r w:rsidRPr="003E4A43">
        <w:rPr>
          <w:rFonts w:asciiTheme="minorHAnsi" w:hAnsiTheme="minorHAnsi" w:cstheme="minorHAnsi"/>
          <w:color w:val="auto"/>
        </w:rPr>
        <w:t>IMPACT</w:t>
      </w:r>
      <w:r w:rsidR="003B0379" w:rsidRPr="003E4A43">
        <w:rPr>
          <w:rFonts w:asciiTheme="minorHAnsi" w:hAnsiTheme="minorHAnsi" w:cstheme="minorHAnsi"/>
          <w:color w:val="auto"/>
        </w:rPr>
        <w:t xml:space="preserve"> ANALYSIS</w:t>
      </w:r>
    </w:p>
    <w:p w14:paraId="39250DC5" w14:textId="7C946F37" w:rsidR="005A7542" w:rsidRPr="003E4A43" w:rsidRDefault="005A7542" w:rsidP="008577CC">
      <w:pPr>
        <w:spacing w:before="120" w:after="120"/>
        <w:rPr>
          <w:rFonts w:asciiTheme="minorHAnsi" w:hAnsiTheme="minorHAnsi" w:cstheme="minorHAnsi"/>
          <w:szCs w:val="24"/>
        </w:rPr>
      </w:pPr>
      <w:r w:rsidRPr="003E4A43">
        <w:rPr>
          <w:rFonts w:asciiTheme="minorHAnsi" w:hAnsiTheme="minorHAnsi" w:cstheme="minorHAnsi"/>
          <w:szCs w:val="24"/>
        </w:rPr>
        <w:t xml:space="preserve">The </w:t>
      </w:r>
      <w:r w:rsidR="00E557C2" w:rsidRPr="003E4A43">
        <w:rPr>
          <w:rFonts w:asciiTheme="minorHAnsi" w:hAnsiTheme="minorHAnsi" w:cstheme="minorHAnsi"/>
          <w:szCs w:val="24"/>
        </w:rPr>
        <w:t>Office of Impact Analysis</w:t>
      </w:r>
      <w:r w:rsidRPr="003E4A43">
        <w:rPr>
          <w:rFonts w:asciiTheme="minorHAnsi" w:hAnsiTheme="minorHAnsi" w:cstheme="minorHAnsi"/>
          <w:szCs w:val="24"/>
        </w:rPr>
        <w:t xml:space="preserve"> </w:t>
      </w:r>
      <w:r w:rsidR="00603250" w:rsidRPr="003E4A43">
        <w:rPr>
          <w:rFonts w:asciiTheme="minorHAnsi" w:hAnsiTheme="minorHAnsi" w:cstheme="minorHAnsi"/>
          <w:szCs w:val="24"/>
        </w:rPr>
        <w:t xml:space="preserve">(OIA) </w:t>
      </w:r>
      <w:r w:rsidRPr="003E4A43">
        <w:rPr>
          <w:rFonts w:asciiTheme="minorHAnsi" w:hAnsiTheme="minorHAnsi" w:cstheme="minorHAnsi"/>
          <w:szCs w:val="24"/>
        </w:rPr>
        <w:t>has been consulted and advised</w:t>
      </w:r>
      <w:r w:rsidR="006C1C17" w:rsidRPr="003E4A43">
        <w:rPr>
          <w:rFonts w:asciiTheme="minorHAnsi" w:hAnsiTheme="minorHAnsi" w:cstheme="minorHAnsi"/>
          <w:szCs w:val="24"/>
        </w:rPr>
        <w:t xml:space="preserve"> </w:t>
      </w:r>
      <w:r w:rsidR="00164CDD" w:rsidRPr="003E4A43">
        <w:rPr>
          <w:rFonts w:asciiTheme="minorHAnsi" w:hAnsiTheme="minorHAnsi" w:cstheme="minorHAnsi"/>
          <w:szCs w:val="24"/>
        </w:rPr>
        <w:t>the instrument in its operation has a more than minor impact and requires an Impact Analysis. T</w:t>
      </w:r>
      <w:r w:rsidR="006C1C17" w:rsidRPr="003E4A43">
        <w:rPr>
          <w:rFonts w:asciiTheme="minorHAnsi" w:hAnsiTheme="minorHAnsi" w:cstheme="minorHAnsi"/>
          <w:szCs w:val="24"/>
        </w:rPr>
        <w:t xml:space="preserve">he Department </w:t>
      </w:r>
      <w:r w:rsidR="00603250" w:rsidRPr="003E4A43">
        <w:rPr>
          <w:rFonts w:asciiTheme="minorHAnsi" w:hAnsiTheme="minorHAnsi" w:cstheme="minorHAnsi"/>
          <w:szCs w:val="24"/>
        </w:rPr>
        <w:t xml:space="preserve">has </w:t>
      </w:r>
      <w:r w:rsidR="006C1C17" w:rsidRPr="003E4A43">
        <w:rPr>
          <w:rFonts w:asciiTheme="minorHAnsi" w:hAnsiTheme="minorHAnsi" w:cstheme="minorHAnsi"/>
          <w:szCs w:val="24"/>
        </w:rPr>
        <w:t>self-assess</w:t>
      </w:r>
      <w:r w:rsidR="00603250" w:rsidRPr="003E4A43">
        <w:rPr>
          <w:rFonts w:asciiTheme="minorHAnsi" w:hAnsiTheme="minorHAnsi" w:cstheme="minorHAnsi"/>
          <w:szCs w:val="24"/>
        </w:rPr>
        <w:t>ed</w:t>
      </w:r>
      <w:r w:rsidR="006C1C17" w:rsidRPr="003E4A43">
        <w:rPr>
          <w:rFonts w:asciiTheme="minorHAnsi" w:hAnsiTheme="minorHAnsi" w:cstheme="minorHAnsi"/>
          <w:szCs w:val="24"/>
        </w:rPr>
        <w:t xml:space="preserve"> that the instrument is</w:t>
      </w:r>
      <w:r w:rsidR="009F7C88" w:rsidRPr="003E4A43">
        <w:t xml:space="preserve"> </w:t>
      </w:r>
      <w:r w:rsidR="009F7C88" w:rsidRPr="003E4A43">
        <w:rPr>
          <w:rFonts w:asciiTheme="minorHAnsi" w:hAnsiTheme="minorHAnsi" w:cstheme="minorHAnsi"/>
          <w:szCs w:val="24"/>
        </w:rPr>
        <w:t xml:space="preserve">operating efficiently and effectively in lieu of an Impact Analysis. The certification of the assessment </w:t>
      </w:r>
      <w:r w:rsidR="00D16BFD" w:rsidRPr="003E4A43">
        <w:rPr>
          <w:rFonts w:asciiTheme="minorHAnsi" w:hAnsiTheme="minorHAnsi" w:cstheme="minorHAnsi"/>
          <w:szCs w:val="24"/>
        </w:rPr>
        <w:t>will be published on OIA’s website</w:t>
      </w:r>
      <w:r w:rsidR="00A560A3" w:rsidRPr="003E4A43">
        <w:rPr>
          <w:rFonts w:asciiTheme="minorHAnsi" w:hAnsiTheme="minorHAnsi" w:cstheme="minorHAnsi"/>
          <w:szCs w:val="24"/>
        </w:rPr>
        <w:t>.</w:t>
      </w:r>
      <w:r w:rsidR="008D5E11" w:rsidRPr="003E4A43">
        <w:rPr>
          <w:rFonts w:asciiTheme="minorHAnsi" w:hAnsiTheme="minorHAnsi" w:cstheme="minorHAnsi"/>
          <w:szCs w:val="24"/>
        </w:rPr>
        <w:t xml:space="preserve"> </w:t>
      </w:r>
      <w:r w:rsidRPr="003E4A43">
        <w:rPr>
          <w:rFonts w:asciiTheme="minorHAnsi" w:hAnsiTheme="minorHAnsi" w:cstheme="minorHAnsi"/>
          <w:szCs w:val="24"/>
        </w:rPr>
        <w:t>(</w:t>
      </w:r>
      <w:r w:rsidR="003B0379" w:rsidRPr="003E4A43">
        <w:rPr>
          <w:rFonts w:asciiTheme="minorHAnsi" w:hAnsiTheme="minorHAnsi" w:cstheme="minorHAnsi"/>
          <w:i/>
          <w:szCs w:val="24"/>
        </w:rPr>
        <w:t>Office of Impact Analysis reference number</w:t>
      </w:r>
      <w:r w:rsidRPr="003E4A43">
        <w:rPr>
          <w:rFonts w:asciiTheme="minorHAnsi" w:hAnsiTheme="minorHAnsi" w:cstheme="minorHAnsi"/>
          <w:szCs w:val="24"/>
        </w:rPr>
        <w:t xml:space="preserve">: </w:t>
      </w:r>
      <w:r w:rsidR="00A560A3" w:rsidRPr="003E4A43">
        <w:rPr>
          <w:rFonts w:asciiTheme="minorHAnsi" w:hAnsiTheme="minorHAnsi" w:cstheme="minorHAnsi"/>
          <w:szCs w:val="24"/>
        </w:rPr>
        <w:t>OIA</w:t>
      </w:r>
      <w:r w:rsidR="00DF1795" w:rsidRPr="003E4A43">
        <w:rPr>
          <w:rFonts w:asciiTheme="minorHAnsi" w:hAnsiTheme="minorHAnsi" w:cstheme="minorHAnsi"/>
          <w:szCs w:val="24"/>
        </w:rPr>
        <w:t>23-04624</w:t>
      </w:r>
      <w:r w:rsidRPr="003E4A43">
        <w:rPr>
          <w:rFonts w:asciiTheme="minorHAnsi" w:hAnsiTheme="minorHAnsi" w:cstheme="minorHAnsi"/>
          <w:szCs w:val="24"/>
        </w:rPr>
        <w:t xml:space="preserve">). </w:t>
      </w:r>
    </w:p>
    <w:p w14:paraId="4818CCF0" w14:textId="77777777" w:rsidR="00696CF0" w:rsidRPr="003E4A43" w:rsidRDefault="00144950" w:rsidP="008577CC">
      <w:pPr>
        <w:pStyle w:val="Heading2"/>
        <w:keepNext w:val="0"/>
        <w:rPr>
          <w:rFonts w:asciiTheme="minorHAnsi" w:hAnsiTheme="minorHAnsi" w:cstheme="minorHAnsi"/>
          <w:color w:val="auto"/>
        </w:rPr>
      </w:pPr>
      <w:r w:rsidRPr="003E4A43">
        <w:rPr>
          <w:rFonts w:asciiTheme="minorHAnsi" w:hAnsiTheme="minorHAnsi" w:cstheme="minorHAnsi"/>
          <w:color w:val="auto"/>
        </w:rPr>
        <w:t>COMMENCEMENT</w:t>
      </w:r>
    </w:p>
    <w:p w14:paraId="7A7AF185" w14:textId="47C7D602" w:rsidR="00696CF0" w:rsidRPr="003E4A43" w:rsidRDefault="00267222" w:rsidP="008577CC">
      <w:pPr>
        <w:spacing w:before="120" w:after="120"/>
        <w:rPr>
          <w:rFonts w:asciiTheme="minorHAnsi" w:hAnsiTheme="minorHAnsi" w:cstheme="minorHAnsi"/>
          <w:iCs/>
          <w:szCs w:val="24"/>
        </w:rPr>
      </w:pPr>
      <w:r w:rsidRPr="003E4A43">
        <w:rPr>
          <w:rFonts w:asciiTheme="minorHAnsi" w:hAnsiTheme="minorHAnsi" w:cstheme="minorHAnsi"/>
          <w:iCs/>
          <w:szCs w:val="24"/>
        </w:rPr>
        <w:t>The Guidelines commence the day after they are registered on the Federal Register of Legislation.</w:t>
      </w:r>
    </w:p>
    <w:p w14:paraId="59906F74" w14:textId="77777777" w:rsidR="00696CF0" w:rsidRPr="003E4A43" w:rsidRDefault="00144950" w:rsidP="008577CC">
      <w:pPr>
        <w:pStyle w:val="Heading2"/>
        <w:keepNext w:val="0"/>
        <w:rPr>
          <w:rFonts w:asciiTheme="minorHAnsi" w:hAnsiTheme="minorHAnsi" w:cstheme="minorHAnsi"/>
          <w:color w:val="auto"/>
        </w:rPr>
      </w:pPr>
      <w:bookmarkStart w:id="2" w:name="_Toc34293360"/>
      <w:r w:rsidRPr="003E4A43">
        <w:rPr>
          <w:rFonts w:asciiTheme="minorHAnsi" w:hAnsiTheme="minorHAnsi" w:cstheme="minorHAnsi"/>
          <w:color w:val="auto"/>
        </w:rPr>
        <w:t>CONSULTATION</w:t>
      </w:r>
      <w:bookmarkEnd w:id="2"/>
    </w:p>
    <w:p w14:paraId="066D3DA0" w14:textId="40A7697D" w:rsidR="0000589C" w:rsidRPr="003E4A43" w:rsidRDefault="002D0C81" w:rsidP="0000589C">
      <w:pPr>
        <w:rPr>
          <w:rFonts w:asciiTheme="minorHAnsi" w:hAnsiTheme="minorHAnsi" w:cstheme="minorHAnsi"/>
          <w:iCs/>
          <w:szCs w:val="24"/>
        </w:rPr>
      </w:pPr>
      <w:r w:rsidRPr="003E4A43">
        <w:rPr>
          <w:rFonts w:ascii="Calibri" w:eastAsia="Times New Roman" w:hAnsi="Calibri" w:cs="Calibri"/>
          <w:color w:val="000000"/>
          <w:szCs w:val="24"/>
          <w:lang w:eastAsia="en-AU"/>
        </w:rPr>
        <w:t xml:space="preserve">The Guidelines are largely the same as the Former Guidelines and </w:t>
      </w:r>
      <w:r w:rsidR="00D04E75" w:rsidRPr="003E4A43">
        <w:rPr>
          <w:rFonts w:asciiTheme="minorHAnsi" w:hAnsiTheme="minorHAnsi" w:cstheme="minorHAnsi"/>
          <w:iCs/>
          <w:szCs w:val="24"/>
        </w:rPr>
        <w:t xml:space="preserve">only minor changes were made to clarify and include additional procedural and administrative matters. </w:t>
      </w:r>
      <w:r w:rsidR="00CD6BC6" w:rsidRPr="003E4A43">
        <w:rPr>
          <w:rFonts w:asciiTheme="minorHAnsi" w:hAnsiTheme="minorHAnsi" w:cstheme="minorHAnsi"/>
          <w:iCs/>
          <w:szCs w:val="24"/>
        </w:rPr>
        <w:t xml:space="preserve">Feedback from higher education providers over the course of business-as-usual communication with the </w:t>
      </w:r>
      <w:r w:rsidR="00E11909" w:rsidRPr="003E4A43">
        <w:rPr>
          <w:rFonts w:asciiTheme="minorHAnsi" w:hAnsiTheme="minorHAnsi" w:cstheme="minorHAnsi"/>
          <w:iCs/>
          <w:szCs w:val="24"/>
        </w:rPr>
        <w:t>D</w:t>
      </w:r>
      <w:r w:rsidR="00CD6BC6" w:rsidRPr="003E4A43">
        <w:rPr>
          <w:rFonts w:asciiTheme="minorHAnsi" w:hAnsiTheme="minorHAnsi" w:cstheme="minorHAnsi"/>
          <w:iCs/>
          <w:szCs w:val="24"/>
        </w:rPr>
        <w:t>epartment</w:t>
      </w:r>
      <w:r w:rsidR="00E11909" w:rsidRPr="003E4A43">
        <w:rPr>
          <w:rFonts w:asciiTheme="minorHAnsi" w:hAnsiTheme="minorHAnsi" w:cstheme="minorHAnsi"/>
          <w:iCs/>
          <w:szCs w:val="24"/>
        </w:rPr>
        <w:t xml:space="preserve"> of Education</w:t>
      </w:r>
      <w:r w:rsidR="00CD6BC6" w:rsidRPr="003E4A43">
        <w:rPr>
          <w:rFonts w:asciiTheme="minorHAnsi" w:hAnsiTheme="minorHAnsi" w:cstheme="minorHAnsi"/>
          <w:iCs/>
          <w:szCs w:val="24"/>
        </w:rPr>
        <w:t xml:space="preserve"> </w:t>
      </w:r>
      <w:r w:rsidR="00983FD0" w:rsidRPr="003E4A43">
        <w:rPr>
          <w:rFonts w:asciiTheme="minorHAnsi" w:hAnsiTheme="minorHAnsi" w:cstheme="minorHAnsi"/>
          <w:iCs/>
          <w:szCs w:val="24"/>
        </w:rPr>
        <w:t>was considered in making the Guidelines.</w:t>
      </w:r>
      <w:r w:rsidR="00C04DCA" w:rsidRPr="003E4A43">
        <w:rPr>
          <w:rFonts w:asciiTheme="minorHAnsi" w:hAnsiTheme="minorHAnsi" w:cstheme="minorHAnsi"/>
          <w:iCs/>
          <w:szCs w:val="24"/>
        </w:rPr>
        <w:t xml:space="preserve"> </w:t>
      </w:r>
      <w:r w:rsidR="0000589C" w:rsidRPr="003E4A43">
        <w:rPr>
          <w:rFonts w:asciiTheme="minorHAnsi" w:hAnsiTheme="minorHAnsi" w:cstheme="minorHAnsi"/>
          <w:iCs/>
          <w:szCs w:val="24"/>
        </w:rPr>
        <w:t xml:space="preserve">The </w:t>
      </w:r>
      <w:r w:rsidR="0000589C" w:rsidRPr="003E4A43">
        <w:rPr>
          <w:rFonts w:asciiTheme="minorHAnsi" w:hAnsiTheme="minorHAnsi" w:cstheme="minorHAnsi"/>
        </w:rPr>
        <w:t xml:space="preserve">consultation process involved: </w:t>
      </w:r>
    </w:p>
    <w:p w14:paraId="27E1DC86" w14:textId="77777777" w:rsidR="0000589C" w:rsidRPr="003E4A43" w:rsidRDefault="0000589C" w:rsidP="0000589C">
      <w:pPr>
        <w:pStyle w:val="ListParagraph"/>
        <w:numPr>
          <w:ilvl w:val="0"/>
          <w:numId w:val="20"/>
        </w:numPr>
        <w:spacing w:after="160" w:line="252" w:lineRule="auto"/>
        <w:rPr>
          <w:rFonts w:asciiTheme="minorHAnsi" w:eastAsia="Times New Roman" w:hAnsiTheme="minorHAnsi" w:cstheme="minorHAnsi"/>
        </w:rPr>
      </w:pPr>
      <w:r w:rsidRPr="003E4A43">
        <w:rPr>
          <w:rFonts w:asciiTheme="minorHAnsi" w:hAnsiTheme="minorHAnsi" w:cstheme="minorHAnsi"/>
        </w:rPr>
        <w:lastRenderedPageBreak/>
        <w:t xml:space="preserve">regular feedback on higher education issues through </w:t>
      </w:r>
      <w:r w:rsidRPr="003E4A43">
        <w:rPr>
          <w:rFonts w:asciiTheme="minorHAnsi" w:eastAsia="Times New Roman" w:hAnsiTheme="minorHAnsi" w:cstheme="minorHAnsi"/>
        </w:rPr>
        <w:t xml:space="preserve">the Higher Education Loan Program (HELP) Communications provider working group meetings that occur four times a year; and </w:t>
      </w:r>
    </w:p>
    <w:p w14:paraId="1ED5B967" w14:textId="0767A4AD" w:rsidR="0000589C" w:rsidRPr="003E4A43" w:rsidRDefault="0000589C" w:rsidP="0000589C">
      <w:pPr>
        <w:pStyle w:val="ListParagraph"/>
        <w:numPr>
          <w:ilvl w:val="0"/>
          <w:numId w:val="20"/>
        </w:numPr>
        <w:spacing w:after="160" w:line="252" w:lineRule="auto"/>
        <w:rPr>
          <w:rFonts w:asciiTheme="minorHAnsi" w:eastAsia="Times New Roman" w:hAnsiTheme="minorHAnsi" w:cstheme="minorHAnsi"/>
        </w:rPr>
      </w:pPr>
      <w:r w:rsidRPr="003E4A43">
        <w:rPr>
          <w:rFonts w:asciiTheme="minorHAnsi" w:eastAsia="Times New Roman" w:hAnsiTheme="minorHAnsi" w:cstheme="minorHAnsi"/>
        </w:rPr>
        <w:t>email communication between higher education providers, other key stakeholders and the Department of Education dealing with higher education matters</w:t>
      </w:r>
      <w:r w:rsidR="00C420C2" w:rsidRPr="003E4A43">
        <w:rPr>
          <w:rFonts w:asciiTheme="minorHAnsi" w:eastAsia="Times New Roman" w:hAnsiTheme="minorHAnsi" w:cstheme="minorHAnsi"/>
        </w:rPr>
        <w:t>.</w:t>
      </w:r>
    </w:p>
    <w:p w14:paraId="37870E74" w14:textId="6827785F" w:rsidR="00F512D0" w:rsidRPr="003E4A43" w:rsidRDefault="00F512D0" w:rsidP="0000589C">
      <w:pPr>
        <w:rPr>
          <w:rFonts w:asciiTheme="minorHAnsi" w:eastAsia="Times New Roman" w:hAnsiTheme="minorHAnsi" w:cstheme="minorHAnsi"/>
        </w:rPr>
      </w:pPr>
      <w:r w:rsidRPr="003E4A43">
        <w:rPr>
          <w:rFonts w:asciiTheme="minorHAnsi" w:eastAsia="Times New Roman" w:hAnsiTheme="minorHAnsi" w:cstheme="minorHAnsi"/>
        </w:rPr>
        <w:t>As part of ongoing communication and provider feedback sessions, providers will be requested to comment on the administrative utility of the Guidelines as they comply with its requirements.</w:t>
      </w:r>
    </w:p>
    <w:p w14:paraId="33B9F130" w14:textId="3A5E0136" w:rsidR="00D04E75" w:rsidRPr="003E4A43" w:rsidRDefault="00F512D0" w:rsidP="007B3371">
      <w:pPr>
        <w:rPr>
          <w:rFonts w:asciiTheme="minorHAnsi" w:eastAsia="Times New Roman" w:hAnsiTheme="minorHAnsi" w:cstheme="minorHAnsi"/>
        </w:rPr>
      </w:pPr>
      <w:r w:rsidRPr="003E4A43">
        <w:rPr>
          <w:rFonts w:asciiTheme="minorHAnsi" w:eastAsia="Times New Roman" w:hAnsiTheme="minorHAnsi" w:cstheme="minorHAnsi"/>
        </w:rPr>
        <w:t xml:space="preserve">The Departmental areas related to the subject areas in the Guidelines were consulted. </w:t>
      </w:r>
    </w:p>
    <w:p w14:paraId="3A6EE0A5" w14:textId="77777777" w:rsidR="00DA552F" w:rsidRPr="003E4A43" w:rsidRDefault="00DA552F" w:rsidP="008577CC">
      <w:pPr>
        <w:spacing w:before="120" w:after="120"/>
        <w:rPr>
          <w:rFonts w:asciiTheme="minorHAnsi" w:hAnsiTheme="minorHAnsi" w:cstheme="minorHAnsi"/>
        </w:rPr>
      </w:pPr>
      <w:r w:rsidRPr="003E4A43">
        <w:rPr>
          <w:rFonts w:asciiTheme="minorHAnsi" w:hAnsiTheme="minorHAnsi" w:cstheme="minorHAnsi"/>
        </w:rPr>
        <w:br w:type="page"/>
      </w:r>
    </w:p>
    <w:p w14:paraId="2023D52E" w14:textId="77777777" w:rsidR="00DA552F" w:rsidRPr="003E4A43" w:rsidRDefault="00DA552F" w:rsidP="008577CC">
      <w:pPr>
        <w:pStyle w:val="Heading2"/>
        <w:keepNext w:val="0"/>
        <w:jc w:val="center"/>
        <w:rPr>
          <w:rFonts w:asciiTheme="minorHAnsi" w:hAnsiTheme="minorHAnsi" w:cstheme="minorHAnsi"/>
          <w:color w:val="auto"/>
        </w:rPr>
      </w:pPr>
      <w:bookmarkStart w:id="3" w:name="_Toc23942241"/>
      <w:bookmarkStart w:id="4" w:name="_Toc34293362"/>
      <w:r w:rsidRPr="003E4A43">
        <w:rPr>
          <w:rFonts w:asciiTheme="minorHAnsi" w:hAnsiTheme="minorHAnsi" w:cstheme="minorHAnsi"/>
          <w:color w:val="auto"/>
        </w:rPr>
        <w:lastRenderedPageBreak/>
        <w:t>STATEMENT OF COMPATIBILITY WITH HUMAN RIGHTS</w:t>
      </w:r>
      <w:bookmarkEnd w:id="3"/>
      <w:bookmarkEnd w:id="4"/>
    </w:p>
    <w:p w14:paraId="19B61A02" w14:textId="77777777" w:rsidR="00DA552F" w:rsidRPr="003E4A43" w:rsidRDefault="00DA552F" w:rsidP="008577CC">
      <w:pPr>
        <w:spacing w:before="120" w:after="120"/>
        <w:jc w:val="center"/>
        <w:rPr>
          <w:rFonts w:asciiTheme="minorHAnsi" w:hAnsiTheme="minorHAnsi" w:cstheme="minorHAnsi"/>
          <w:szCs w:val="24"/>
        </w:rPr>
      </w:pPr>
      <w:r w:rsidRPr="003E4A43">
        <w:rPr>
          <w:rFonts w:asciiTheme="minorHAnsi" w:hAnsiTheme="minorHAnsi" w:cstheme="minorHAnsi"/>
          <w:i/>
          <w:szCs w:val="24"/>
        </w:rPr>
        <w:t xml:space="preserve">Prepared in accordance with Part 3 of the Human Rights (Parliamentary </w:t>
      </w:r>
      <w:r w:rsidR="003440C7" w:rsidRPr="003E4A43">
        <w:rPr>
          <w:rFonts w:asciiTheme="minorHAnsi" w:hAnsiTheme="minorHAnsi" w:cstheme="minorHAnsi"/>
          <w:i/>
          <w:szCs w:val="24"/>
        </w:rPr>
        <w:t>Scrutiny) Act 2011</w:t>
      </w:r>
    </w:p>
    <w:p w14:paraId="7A107F76" w14:textId="2FD2904E" w:rsidR="00DA552F" w:rsidRPr="003E4A43" w:rsidRDefault="007F507F" w:rsidP="008577CC">
      <w:pPr>
        <w:spacing w:before="120" w:after="120"/>
        <w:jc w:val="center"/>
        <w:rPr>
          <w:rFonts w:asciiTheme="minorHAnsi" w:hAnsiTheme="minorHAnsi" w:cstheme="minorHAnsi"/>
          <w:szCs w:val="24"/>
          <w:u w:val="single"/>
        </w:rPr>
      </w:pPr>
      <w:r w:rsidRPr="003E4A43">
        <w:rPr>
          <w:rFonts w:asciiTheme="minorHAnsi" w:hAnsiTheme="minorHAnsi" w:cstheme="minorHAnsi"/>
          <w:szCs w:val="24"/>
          <w:u w:val="single"/>
        </w:rPr>
        <w:t>Higher Education Provider Guidelines 202</w:t>
      </w:r>
      <w:r w:rsidR="001976CC" w:rsidRPr="003E4A43">
        <w:rPr>
          <w:rFonts w:asciiTheme="minorHAnsi" w:hAnsiTheme="minorHAnsi" w:cstheme="minorHAnsi"/>
          <w:szCs w:val="24"/>
          <w:u w:val="single"/>
        </w:rPr>
        <w:t>3</w:t>
      </w:r>
    </w:p>
    <w:p w14:paraId="65F6CFAB" w14:textId="56ECCEA1" w:rsidR="00DA552F" w:rsidRPr="003E4A43" w:rsidRDefault="00F9205E" w:rsidP="008577CC">
      <w:pPr>
        <w:spacing w:before="120" w:after="120"/>
        <w:rPr>
          <w:rFonts w:asciiTheme="minorHAnsi" w:hAnsiTheme="minorHAnsi" w:cstheme="minorHAnsi"/>
          <w:szCs w:val="24"/>
        </w:rPr>
      </w:pPr>
      <w:r w:rsidRPr="003E4A43">
        <w:rPr>
          <w:rFonts w:asciiTheme="minorHAnsi" w:hAnsiTheme="minorHAnsi" w:cstheme="minorHAnsi"/>
          <w:szCs w:val="24"/>
        </w:rPr>
        <w:t xml:space="preserve">The </w:t>
      </w:r>
      <w:r w:rsidR="007F507F" w:rsidRPr="003E4A43">
        <w:rPr>
          <w:rFonts w:asciiTheme="minorHAnsi" w:hAnsiTheme="minorHAnsi" w:cstheme="minorHAnsi"/>
          <w:i/>
          <w:iCs/>
          <w:szCs w:val="24"/>
        </w:rPr>
        <w:t xml:space="preserve">Higher Education Provider </w:t>
      </w:r>
      <w:r w:rsidR="001976CC" w:rsidRPr="003E4A43">
        <w:rPr>
          <w:rFonts w:asciiTheme="minorHAnsi" w:hAnsiTheme="minorHAnsi" w:cstheme="minorHAnsi"/>
          <w:i/>
          <w:iCs/>
          <w:szCs w:val="24"/>
        </w:rPr>
        <w:t>Guidelines 2023</w:t>
      </w:r>
      <w:r w:rsidR="008758B5" w:rsidRPr="003E4A43">
        <w:rPr>
          <w:rFonts w:asciiTheme="minorHAnsi" w:hAnsiTheme="minorHAnsi" w:cstheme="minorHAnsi"/>
          <w:szCs w:val="24"/>
        </w:rPr>
        <w:t xml:space="preserve"> </w:t>
      </w:r>
      <w:r w:rsidR="001E52EB" w:rsidRPr="003E4A43">
        <w:rPr>
          <w:rFonts w:asciiTheme="minorHAnsi" w:hAnsiTheme="minorHAnsi" w:cstheme="minorHAnsi"/>
          <w:szCs w:val="24"/>
        </w:rPr>
        <w:t>(</w:t>
      </w:r>
      <w:r w:rsidR="00977A65" w:rsidRPr="003E4A43">
        <w:rPr>
          <w:rFonts w:asciiTheme="minorHAnsi" w:hAnsiTheme="minorHAnsi" w:cstheme="minorHAnsi"/>
          <w:szCs w:val="24"/>
        </w:rPr>
        <w:t>‘</w:t>
      </w:r>
      <w:r w:rsidR="001E52EB" w:rsidRPr="003E4A43">
        <w:rPr>
          <w:rFonts w:asciiTheme="minorHAnsi" w:hAnsiTheme="minorHAnsi" w:cstheme="minorHAnsi"/>
          <w:szCs w:val="24"/>
        </w:rPr>
        <w:t>the</w:t>
      </w:r>
      <w:r w:rsidR="007F507F" w:rsidRPr="003E4A43">
        <w:rPr>
          <w:rFonts w:asciiTheme="minorHAnsi" w:hAnsiTheme="minorHAnsi" w:cstheme="minorHAnsi"/>
          <w:szCs w:val="24"/>
        </w:rPr>
        <w:t xml:space="preserve"> Guidelines</w:t>
      </w:r>
      <w:r w:rsidR="00977A65" w:rsidRPr="003E4A43">
        <w:rPr>
          <w:rFonts w:asciiTheme="minorHAnsi" w:hAnsiTheme="minorHAnsi" w:cstheme="minorHAnsi"/>
          <w:szCs w:val="24"/>
        </w:rPr>
        <w:t>’</w:t>
      </w:r>
      <w:r w:rsidR="007F507F" w:rsidRPr="003E4A43">
        <w:rPr>
          <w:rFonts w:asciiTheme="minorHAnsi" w:hAnsiTheme="minorHAnsi" w:cstheme="minorHAnsi"/>
          <w:szCs w:val="24"/>
        </w:rPr>
        <w:t>)</w:t>
      </w:r>
      <w:r w:rsidR="001E52EB" w:rsidRPr="003E4A43">
        <w:rPr>
          <w:rFonts w:asciiTheme="minorHAnsi" w:hAnsiTheme="minorHAnsi" w:cstheme="minorHAnsi"/>
          <w:szCs w:val="24"/>
        </w:rPr>
        <w:t xml:space="preserve"> </w:t>
      </w:r>
      <w:r w:rsidR="00267222" w:rsidRPr="003E4A43">
        <w:rPr>
          <w:rFonts w:asciiTheme="minorHAnsi" w:hAnsiTheme="minorHAnsi" w:cstheme="minorHAnsi"/>
          <w:szCs w:val="24"/>
        </w:rPr>
        <w:t>are</w:t>
      </w:r>
      <w:r w:rsidR="002B5C28" w:rsidRPr="003E4A43">
        <w:rPr>
          <w:rFonts w:asciiTheme="minorHAnsi" w:hAnsiTheme="minorHAnsi" w:cstheme="minorHAnsi"/>
          <w:szCs w:val="24"/>
        </w:rPr>
        <w:t xml:space="preserve"> </w:t>
      </w:r>
      <w:r w:rsidRPr="003E4A43">
        <w:rPr>
          <w:rFonts w:asciiTheme="minorHAnsi" w:hAnsiTheme="minorHAnsi" w:cstheme="minorHAnsi"/>
          <w:szCs w:val="24"/>
        </w:rPr>
        <w:t xml:space="preserve">compatible with the human rights and freedoms recognised or declared in the international instruments listed in section 3 of the </w:t>
      </w:r>
      <w:r w:rsidRPr="003E4A43">
        <w:rPr>
          <w:rFonts w:asciiTheme="minorHAnsi" w:hAnsiTheme="minorHAnsi" w:cstheme="minorHAnsi"/>
          <w:i/>
          <w:szCs w:val="24"/>
        </w:rPr>
        <w:t>Human Rights (Parliamentary Scrutiny) Act 2011</w:t>
      </w:r>
      <w:r w:rsidRPr="003E4A43">
        <w:rPr>
          <w:rFonts w:asciiTheme="minorHAnsi" w:hAnsiTheme="minorHAnsi" w:cstheme="minorHAnsi"/>
          <w:szCs w:val="24"/>
        </w:rPr>
        <w:t>.</w:t>
      </w:r>
    </w:p>
    <w:p w14:paraId="4889D26D" w14:textId="28589A1B" w:rsidR="00F9205E" w:rsidRPr="003E4A43" w:rsidRDefault="00F9205E" w:rsidP="008577CC">
      <w:pPr>
        <w:spacing w:before="120" w:after="120"/>
        <w:rPr>
          <w:rFonts w:asciiTheme="minorHAnsi" w:hAnsiTheme="minorHAnsi" w:cstheme="minorHAnsi"/>
          <w:szCs w:val="24"/>
        </w:rPr>
      </w:pPr>
      <w:r w:rsidRPr="003E4A43">
        <w:rPr>
          <w:rFonts w:asciiTheme="minorHAnsi" w:hAnsiTheme="minorHAnsi" w:cstheme="minorHAnsi"/>
          <w:b/>
          <w:szCs w:val="24"/>
        </w:rPr>
        <w:t xml:space="preserve">Overview of the </w:t>
      </w:r>
      <w:r w:rsidR="002C40FB" w:rsidRPr="003E4A43">
        <w:rPr>
          <w:rFonts w:asciiTheme="minorHAnsi" w:hAnsiTheme="minorHAnsi" w:cstheme="minorHAnsi"/>
          <w:b/>
          <w:szCs w:val="24"/>
        </w:rPr>
        <w:t>Legislative Instrument</w:t>
      </w:r>
    </w:p>
    <w:p w14:paraId="5BC02249" w14:textId="77777777" w:rsidR="00EE3077" w:rsidRPr="003E4A43" w:rsidRDefault="00EE3077" w:rsidP="00EE3077">
      <w:p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The Guidelines are made for the purposes of setting out:</w:t>
      </w:r>
    </w:p>
    <w:p w14:paraId="74F04267" w14:textId="77777777" w:rsidR="00EE3077" w:rsidRPr="003E4A43" w:rsidRDefault="00EE3077" w:rsidP="00EE3077">
      <w:pPr>
        <w:pStyle w:val="ListParagraph"/>
        <w:numPr>
          <w:ilvl w:val="0"/>
          <w:numId w:val="3"/>
        </w:num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 xml:space="preserve">requirements for higher education providers in relation to tuition </w:t>
      </w:r>
      <w:proofErr w:type="gramStart"/>
      <w:r w:rsidRPr="003E4A43">
        <w:rPr>
          <w:rFonts w:ascii="Calibri" w:eastAsia="Times New Roman" w:hAnsi="Calibri" w:cs="Calibri"/>
          <w:color w:val="000000"/>
          <w:szCs w:val="24"/>
          <w:lang w:eastAsia="en-AU"/>
        </w:rPr>
        <w:t>protection;</w:t>
      </w:r>
      <w:proofErr w:type="gramEnd"/>
    </w:p>
    <w:p w14:paraId="40305B3C" w14:textId="77777777" w:rsidR="00EE3077" w:rsidRPr="003E4A43" w:rsidRDefault="00EE3077" w:rsidP="00EE3077">
      <w:pPr>
        <w:pStyle w:val="ListParagraph"/>
        <w:numPr>
          <w:ilvl w:val="0"/>
          <w:numId w:val="3"/>
        </w:num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 xml:space="preserve">the fee to accompany an application to be approved as a higher education </w:t>
      </w:r>
      <w:proofErr w:type="gramStart"/>
      <w:r w:rsidRPr="003E4A43">
        <w:rPr>
          <w:rFonts w:ascii="Calibri" w:eastAsia="Times New Roman" w:hAnsi="Calibri" w:cs="Calibri"/>
          <w:color w:val="000000"/>
          <w:szCs w:val="24"/>
          <w:lang w:eastAsia="en-AU"/>
        </w:rPr>
        <w:t>provider;</w:t>
      </w:r>
      <w:proofErr w:type="gramEnd"/>
    </w:p>
    <w:p w14:paraId="1A28E357" w14:textId="77777777" w:rsidR="00EE3077" w:rsidRPr="003E4A43" w:rsidRDefault="00EE3077" w:rsidP="00EE3077">
      <w:pPr>
        <w:pStyle w:val="ListParagraph"/>
        <w:numPr>
          <w:ilvl w:val="0"/>
          <w:numId w:val="3"/>
        </w:num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 xml:space="preserve">requirements for higher education providers to have in place grievance procedures and procedures for reviewing decisions in relation to assistance under Chapter 3 of the </w:t>
      </w:r>
      <w:proofErr w:type="gramStart"/>
      <w:r w:rsidRPr="003E4A43">
        <w:rPr>
          <w:rFonts w:ascii="Calibri" w:eastAsia="Times New Roman" w:hAnsi="Calibri" w:cs="Calibri"/>
          <w:color w:val="000000"/>
          <w:szCs w:val="24"/>
          <w:lang w:eastAsia="en-AU"/>
        </w:rPr>
        <w:t>Act;</w:t>
      </w:r>
      <w:proofErr w:type="gramEnd"/>
    </w:p>
    <w:p w14:paraId="2DA65294" w14:textId="77777777" w:rsidR="00EE3077" w:rsidRPr="003E4A43" w:rsidRDefault="00EE3077" w:rsidP="00EE3077">
      <w:pPr>
        <w:pStyle w:val="ListParagraph"/>
        <w:numPr>
          <w:ilvl w:val="0"/>
          <w:numId w:val="3"/>
        </w:num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 xml:space="preserve">requirements for higher education providers in relation to student contribution amounts and tuition </w:t>
      </w:r>
      <w:proofErr w:type="gramStart"/>
      <w:r w:rsidRPr="003E4A43">
        <w:rPr>
          <w:rFonts w:ascii="Calibri" w:eastAsia="Times New Roman" w:hAnsi="Calibri" w:cs="Calibri"/>
          <w:color w:val="000000"/>
          <w:szCs w:val="24"/>
          <w:lang w:eastAsia="en-AU"/>
        </w:rPr>
        <w:t>fees;</w:t>
      </w:r>
      <w:proofErr w:type="gramEnd"/>
    </w:p>
    <w:p w14:paraId="60BAC6AA" w14:textId="77777777" w:rsidR="00EE3077" w:rsidRPr="003E4A43" w:rsidRDefault="00EE3077" w:rsidP="00EE3077">
      <w:pPr>
        <w:pStyle w:val="ListParagraph"/>
        <w:numPr>
          <w:ilvl w:val="0"/>
          <w:numId w:val="3"/>
        </w:num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 xml:space="preserve">requirements for higher education providers when determining fees in respect of overseas </w:t>
      </w:r>
      <w:proofErr w:type="gramStart"/>
      <w:r w:rsidRPr="003E4A43">
        <w:rPr>
          <w:rFonts w:ascii="Calibri" w:eastAsia="Times New Roman" w:hAnsi="Calibri" w:cs="Calibri"/>
          <w:color w:val="000000"/>
          <w:szCs w:val="24"/>
          <w:lang w:eastAsia="en-AU"/>
        </w:rPr>
        <w:t>students;</w:t>
      </w:r>
      <w:proofErr w:type="gramEnd"/>
    </w:p>
    <w:p w14:paraId="78644BDC" w14:textId="77777777" w:rsidR="00EE3077" w:rsidRPr="003E4A43" w:rsidRDefault="00EE3077" w:rsidP="00EE3077">
      <w:pPr>
        <w:pStyle w:val="ListParagraph"/>
        <w:numPr>
          <w:ilvl w:val="0"/>
          <w:numId w:val="3"/>
        </w:num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 xml:space="preserve">criteria for determining whether a fee is of a kind that is incidental to studies that may be undertaken with a higher education </w:t>
      </w:r>
      <w:proofErr w:type="gramStart"/>
      <w:r w:rsidRPr="003E4A43">
        <w:rPr>
          <w:rFonts w:ascii="Calibri" w:eastAsia="Times New Roman" w:hAnsi="Calibri" w:cs="Calibri"/>
          <w:color w:val="000000"/>
          <w:szCs w:val="24"/>
          <w:lang w:eastAsia="en-AU"/>
        </w:rPr>
        <w:t>provider;</w:t>
      </w:r>
      <w:proofErr w:type="gramEnd"/>
    </w:p>
    <w:p w14:paraId="3ABF2A89" w14:textId="77777777" w:rsidR="00EE3077" w:rsidRPr="003E4A43" w:rsidRDefault="00EE3077" w:rsidP="00EE3077">
      <w:pPr>
        <w:pStyle w:val="ListParagraph"/>
        <w:numPr>
          <w:ilvl w:val="0"/>
          <w:numId w:val="3"/>
        </w:num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 xml:space="preserve">additional quality, accountability and other administrative requirements for higher education </w:t>
      </w:r>
      <w:proofErr w:type="gramStart"/>
      <w:r w:rsidRPr="003E4A43">
        <w:rPr>
          <w:rFonts w:ascii="Calibri" w:eastAsia="Times New Roman" w:hAnsi="Calibri" w:cs="Calibri"/>
          <w:color w:val="000000"/>
          <w:szCs w:val="24"/>
          <w:lang w:eastAsia="en-AU"/>
        </w:rPr>
        <w:t>providers;</w:t>
      </w:r>
      <w:proofErr w:type="gramEnd"/>
    </w:p>
    <w:p w14:paraId="52CFAE19" w14:textId="77777777" w:rsidR="00EE3077" w:rsidRPr="003E4A43" w:rsidRDefault="00EE3077" w:rsidP="00EE3077">
      <w:pPr>
        <w:pStyle w:val="ListParagraph"/>
        <w:numPr>
          <w:ilvl w:val="0"/>
          <w:numId w:val="3"/>
        </w:num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matters that the Secretary of the Department of Education must consider in determining whether a student is a genuine student; and</w:t>
      </w:r>
    </w:p>
    <w:p w14:paraId="0456D73E" w14:textId="77777777" w:rsidR="00EE3077" w:rsidRPr="003E4A43" w:rsidRDefault="00EE3077" w:rsidP="00EE3077">
      <w:pPr>
        <w:pStyle w:val="ListParagraph"/>
        <w:numPr>
          <w:ilvl w:val="0"/>
          <w:numId w:val="3"/>
        </w:num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 xml:space="preserve">requirements in relation to the higher education provider charge. </w:t>
      </w:r>
    </w:p>
    <w:p w14:paraId="128C170E" w14:textId="657F72A6" w:rsidR="00EE3077" w:rsidRPr="003E4A43" w:rsidRDefault="00EE3077" w:rsidP="00EE3077">
      <w:pPr>
        <w:shd w:val="clear" w:color="auto" w:fill="FFFFFF"/>
        <w:rPr>
          <w:rFonts w:ascii="Calibri" w:eastAsia="Times New Roman" w:hAnsi="Calibri" w:cs="Calibri"/>
          <w:color w:val="000000"/>
          <w:szCs w:val="24"/>
          <w:lang w:eastAsia="en-AU"/>
        </w:rPr>
      </w:pPr>
      <w:r w:rsidRPr="003E4A43">
        <w:rPr>
          <w:rFonts w:ascii="Calibri" w:eastAsia="Times New Roman" w:hAnsi="Calibri" w:cs="Calibri"/>
          <w:color w:val="000000"/>
          <w:szCs w:val="24"/>
          <w:lang w:eastAsia="en-AU"/>
        </w:rPr>
        <w:t xml:space="preserve">The purpose of the Guidelines </w:t>
      </w:r>
      <w:proofErr w:type="gramStart"/>
      <w:r w:rsidR="00685A0D" w:rsidRPr="003E4A43">
        <w:rPr>
          <w:rFonts w:ascii="Calibri" w:eastAsia="Times New Roman" w:hAnsi="Calibri" w:cs="Calibri"/>
          <w:color w:val="000000"/>
          <w:szCs w:val="24"/>
          <w:lang w:eastAsia="en-AU"/>
        </w:rPr>
        <w:t>are</w:t>
      </w:r>
      <w:proofErr w:type="gramEnd"/>
      <w:r w:rsidRPr="003E4A43">
        <w:rPr>
          <w:rFonts w:ascii="Calibri" w:eastAsia="Times New Roman" w:hAnsi="Calibri" w:cs="Calibri"/>
          <w:color w:val="000000"/>
          <w:szCs w:val="24"/>
          <w:lang w:eastAsia="en-AU"/>
        </w:rPr>
        <w:t xml:space="preserve"> to repeal and replace the Former Guidelines, which w</w:t>
      </w:r>
      <w:r w:rsidR="00685A0D" w:rsidRPr="003E4A43">
        <w:rPr>
          <w:rFonts w:ascii="Calibri" w:eastAsia="Times New Roman" w:hAnsi="Calibri" w:cs="Calibri"/>
          <w:color w:val="000000"/>
          <w:szCs w:val="24"/>
          <w:lang w:eastAsia="en-AU"/>
        </w:rPr>
        <w:t>ere</w:t>
      </w:r>
      <w:r w:rsidRPr="003E4A43">
        <w:rPr>
          <w:rFonts w:ascii="Calibri" w:eastAsia="Times New Roman" w:hAnsi="Calibri" w:cs="Calibri"/>
          <w:color w:val="000000"/>
          <w:szCs w:val="24"/>
          <w:lang w:eastAsia="en-AU"/>
        </w:rPr>
        <w:t xml:space="preserve"> due to sunset on 1 April 2023. The Guidelines are largely the same as the Former Guidelines and are made to ensure that the above requirements will continue to be in place. </w:t>
      </w:r>
    </w:p>
    <w:p w14:paraId="235D2A09" w14:textId="77777777" w:rsidR="00EE3077" w:rsidRPr="003E4A43" w:rsidRDefault="00EE3077" w:rsidP="00EE3077">
      <w:pPr>
        <w:shd w:val="clear" w:color="auto" w:fill="FFFFFF"/>
        <w:rPr>
          <w:rFonts w:ascii="Calibri" w:eastAsia="Times New Roman" w:hAnsi="Calibri" w:cs="Calibri"/>
          <w:iCs/>
          <w:color w:val="000000"/>
          <w:szCs w:val="24"/>
          <w:lang w:eastAsia="en-AU"/>
        </w:rPr>
      </w:pPr>
      <w:r w:rsidRPr="003E4A43">
        <w:rPr>
          <w:rFonts w:ascii="Calibri" w:eastAsia="Times New Roman" w:hAnsi="Calibri" w:cs="Calibri"/>
          <w:color w:val="000000"/>
          <w:szCs w:val="24"/>
          <w:lang w:eastAsia="en-AU"/>
        </w:rPr>
        <w:t>Some minor changes have been made to the Guidelines to</w:t>
      </w:r>
      <w:r w:rsidRPr="003E4A43">
        <w:rPr>
          <w:rFonts w:asciiTheme="minorHAnsi" w:hAnsiTheme="minorHAnsi" w:cstheme="minorHAnsi"/>
          <w:iCs/>
          <w:szCs w:val="24"/>
        </w:rPr>
        <w:t xml:space="preserve"> clarify and include additional procedural matters relating to the tuition protection requirements</w:t>
      </w:r>
      <w:r w:rsidRPr="003E4A43">
        <w:rPr>
          <w:rFonts w:ascii="Calibri" w:eastAsia="Times New Roman" w:hAnsi="Calibri" w:cs="Calibri"/>
          <w:color w:val="000000"/>
          <w:szCs w:val="24"/>
          <w:lang w:eastAsia="en-AU"/>
        </w:rPr>
        <w:t xml:space="preserve"> </w:t>
      </w:r>
      <w:r w:rsidRPr="003E4A43">
        <w:rPr>
          <w:rFonts w:ascii="Calibri" w:eastAsia="Times New Roman" w:hAnsi="Calibri" w:cs="Calibri"/>
          <w:iCs/>
          <w:color w:val="000000"/>
          <w:szCs w:val="24"/>
          <w:lang w:eastAsia="en-AU"/>
        </w:rPr>
        <w:t>to:</w:t>
      </w:r>
    </w:p>
    <w:p w14:paraId="6C3F4198" w14:textId="1F7AB3FC" w:rsidR="006607C5" w:rsidRPr="003E4A43" w:rsidRDefault="00EE3077" w:rsidP="006607C5">
      <w:pPr>
        <w:pStyle w:val="ListParagraph"/>
        <w:numPr>
          <w:ilvl w:val="0"/>
          <w:numId w:val="3"/>
        </w:numPr>
        <w:shd w:val="clear" w:color="auto" w:fill="FFFFFF"/>
      </w:pPr>
      <w:r w:rsidRPr="003E4A43">
        <w:rPr>
          <w:rFonts w:asciiTheme="minorHAnsi" w:hAnsiTheme="minorHAnsi" w:cstheme="minorHAnsi"/>
          <w:iCs/>
          <w:szCs w:val="24"/>
        </w:rPr>
        <w:t>specify further circumstances as to when a provider defaults in relation to a student and providing an exception where a student was unable to enrol in any units of study because of the student’s personal circumstances (including but not limited to their medical, financial or employment circumstances) or family circumstances (including but not limited to the family’s medical, financial or employment circumstances); and</w:t>
      </w:r>
    </w:p>
    <w:p w14:paraId="6BB19353" w14:textId="77777777" w:rsidR="00EE3077" w:rsidRPr="003E4A43" w:rsidRDefault="00EE3077" w:rsidP="00EE3077">
      <w:pPr>
        <w:pStyle w:val="ListParagraph"/>
        <w:numPr>
          <w:ilvl w:val="0"/>
          <w:numId w:val="3"/>
        </w:numPr>
        <w:shd w:val="clear" w:color="auto" w:fill="FFFFFF"/>
        <w:rPr>
          <w:rFonts w:asciiTheme="minorHAnsi" w:hAnsiTheme="minorHAnsi" w:cstheme="minorHAnsi"/>
          <w:iCs/>
          <w:szCs w:val="24"/>
        </w:rPr>
      </w:pPr>
      <w:r w:rsidRPr="003E4A43">
        <w:rPr>
          <w:rFonts w:asciiTheme="minorHAnsi" w:hAnsiTheme="minorHAnsi" w:cstheme="minorHAnsi"/>
          <w:iCs/>
          <w:szCs w:val="24"/>
        </w:rPr>
        <w:lastRenderedPageBreak/>
        <w:t>require additional matters that the Higher Education Tuition Protection Director must include in its written notice to a student where a suitable replacement course is available.</w:t>
      </w:r>
    </w:p>
    <w:p w14:paraId="166DD81B" w14:textId="77777777" w:rsidR="00EE3077" w:rsidRPr="003E4A43" w:rsidRDefault="00EE3077" w:rsidP="00EE3077">
      <w:pPr>
        <w:shd w:val="clear" w:color="auto" w:fill="FFFFFF"/>
        <w:rPr>
          <w:rFonts w:ascii="Calibri" w:eastAsia="Times New Roman" w:hAnsi="Calibri" w:cs="Calibri"/>
          <w:iCs/>
          <w:color w:val="000000"/>
          <w:szCs w:val="24"/>
          <w:lang w:eastAsia="en-AU"/>
        </w:rPr>
      </w:pPr>
      <w:r w:rsidRPr="003E4A43">
        <w:rPr>
          <w:rFonts w:asciiTheme="minorHAnsi" w:hAnsiTheme="minorHAnsi" w:cstheme="minorHAnsi"/>
          <w:iCs/>
          <w:szCs w:val="24"/>
        </w:rPr>
        <w:t xml:space="preserve">Other changes to the Guidelines include making updates to the: </w:t>
      </w:r>
    </w:p>
    <w:p w14:paraId="0F084E84" w14:textId="77777777" w:rsidR="00EE3077" w:rsidRPr="003E4A43" w:rsidRDefault="00EE3077" w:rsidP="00EE3077">
      <w:pPr>
        <w:pStyle w:val="ListParagraph"/>
        <w:numPr>
          <w:ilvl w:val="0"/>
          <w:numId w:val="3"/>
        </w:numPr>
        <w:shd w:val="clear" w:color="auto" w:fill="FFFFFF"/>
        <w:rPr>
          <w:rFonts w:ascii="Calibri" w:eastAsia="Times New Roman" w:hAnsi="Calibri" w:cs="Calibri"/>
          <w:iCs/>
          <w:color w:val="000000"/>
          <w:szCs w:val="24"/>
          <w:lang w:eastAsia="en-AU"/>
        </w:rPr>
      </w:pPr>
      <w:r w:rsidRPr="003E4A43">
        <w:rPr>
          <w:rFonts w:ascii="Calibri" w:eastAsia="Times New Roman" w:hAnsi="Calibri" w:cs="Calibri"/>
          <w:iCs/>
          <w:color w:val="000000"/>
          <w:szCs w:val="24"/>
          <w:lang w:eastAsia="en-AU"/>
        </w:rPr>
        <w:t xml:space="preserve">minimum indicative course fees for overseas </w:t>
      </w:r>
      <w:proofErr w:type="gramStart"/>
      <w:r w:rsidRPr="003E4A43">
        <w:rPr>
          <w:rFonts w:ascii="Calibri" w:eastAsia="Times New Roman" w:hAnsi="Calibri" w:cs="Calibri"/>
          <w:iCs/>
          <w:color w:val="000000"/>
          <w:szCs w:val="24"/>
          <w:lang w:eastAsia="en-AU"/>
        </w:rPr>
        <w:t>students;</w:t>
      </w:r>
      <w:proofErr w:type="gramEnd"/>
    </w:p>
    <w:p w14:paraId="4CB8D51A" w14:textId="77777777" w:rsidR="00EE3077" w:rsidRPr="003E4A43" w:rsidRDefault="00EE3077" w:rsidP="00EE3077">
      <w:pPr>
        <w:pStyle w:val="ListParagraph"/>
        <w:numPr>
          <w:ilvl w:val="0"/>
          <w:numId w:val="3"/>
        </w:numPr>
        <w:shd w:val="clear" w:color="auto" w:fill="FFFFFF"/>
        <w:rPr>
          <w:rFonts w:ascii="Calibri" w:eastAsia="Times New Roman" w:hAnsi="Calibri" w:cs="Calibri"/>
          <w:iCs/>
          <w:color w:val="000000"/>
          <w:szCs w:val="24"/>
          <w:lang w:eastAsia="en-AU"/>
        </w:rPr>
      </w:pPr>
      <w:r w:rsidRPr="003E4A43">
        <w:rPr>
          <w:rFonts w:ascii="Calibri" w:eastAsia="Times New Roman" w:hAnsi="Calibri" w:cs="Calibri"/>
          <w:iCs/>
          <w:color w:val="000000"/>
          <w:szCs w:val="24"/>
          <w:lang w:eastAsia="en-AU"/>
        </w:rPr>
        <w:t>requirements for financial statements that higher education providers must give to the Minister; and</w:t>
      </w:r>
    </w:p>
    <w:p w14:paraId="69D4144B" w14:textId="77777777" w:rsidR="00EE3077" w:rsidRPr="003E4A43" w:rsidRDefault="00EE3077" w:rsidP="00EE3077">
      <w:pPr>
        <w:pStyle w:val="ListParagraph"/>
        <w:numPr>
          <w:ilvl w:val="0"/>
          <w:numId w:val="3"/>
        </w:numPr>
        <w:shd w:val="clear" w:color="auto" w:fill="FFFFFF"/>
        <w:rPr>
          <w:rFonts w:ascii="Calibri" w:eastAsia="Times New Roman" w:hAnsi="Calibri" w:cs="Calibri"/>
          <w:iCs/>
          <w:color w:val="000000"/>
          <w:szCs w:val="24"/>
          <w:lang w:eastAsia="en-AU"/>
        </w:rPr>
      </w:pPr>
      <w:r w:rsidRPr="003E4A43">
        <w:rPr>
          <w:rFonts w:ascii="Calibri" w:eastAsia="Times New Roman" w:hAnsi="Calibri" w:cs="Calibri"/>
          <w:iCs/>
          <w:color w:val="000000"/>
          <w:szCs w:val="24"/>
          <w:lang w:eastAsia="en-AU"/>
        </w:rPr>
        <w:t xml:space="preserve">matters that the Minister must have regard to when determining the financial viability of a higher education provider under Division 19 of the Act. </w:t>
      </w:r>
    </w:p>
    <w:p w14:paraId="57CC71C9" w14:textId="4DEC1ED0" w:rsidR="00F9205E" w:rsidRPr="003E4A43" w:rsidRDefault="00F9205E" w:rsidP="008577CC">
      <w:pPr>
        <w:spacing w:before="120" w:after="120"/>
        <w:rPr>
          <w:rFonts w:asciiTheme="minorHAnsi" w:hAnsiTheme="minorHAnsi" w:cstheme="minorHAnsi"/>
          <w:szCs w:val="24"/>
        </w:rPr>
      </w:pPr>
      <w:r w:rsidRPr="003E4A43">
        <w:rPr>
          <w:rFonts w:asciiTheme="minorHAnsi" w:hAnsiTheme="minorHAnsi" w:cstheme="minorHAnsi"/>
          <w:b/>
          <w:szCs w:val="24"/>
        </w:rPr>
        <w:t>Human rights implications</w:t>
      </w:r>
    </w:p>
    <w:p w14:paraId="34B6BCED" w14:textId="27D93557" w:rsidR="005F4BD4" w:rsidRPr="003E4A43" w:rsidRDefault="005F4BD4" w:rsidP="008577CC">
      <w:pPr>
        <w:spacing w:before="120" w:after="120"/>
        <w:rPr>
          <w:rFonts w:asciiTheme="minorHAnsi" w:hAnsiTheme="minorHAnsi" w:cstheme="minorHAnsi"/>
          <w:bCs/>
          <w:szCs w:val="24"/>
        </w:rPr>
      </w:pPr>
      <w:r w:rsidRPr="003E4A43">
        <w:rPr>
          <w:rFonts w:asciiTheme="minorHAnsi" w:hAnsiTheme="minorHAnsi" w:cstheme="minorHAnsi"/>
          <w:bCs/>
          <w:szCs w:val="24"/>
        </w:rPr>
        <w:t xml:space="preserve">The </w:t>
      </w:r>
      <w:r w:rsidR="00824F9B" w:rsidRPr="003E4A43">
        <w:rPr>
          <w:rFonts w:asciiTheme="minorHAnsi" w:hAnsiTheme="minorHAnsi" w:cstheme="minorHAnsi"/>
          <w:bCs/>
          <w:szCs w:val="24"/>
        </w:rPr>
        <w:t>Guidelines</w:t>
      </w:r>
      <w:r w:rsidRPr="003E4A43">
        <w:rPr>
          <w:rFonts w:asciiTheme="minorHAnsi" w:hAnsiTheme="minorHAnsi" w:cstheme="minorHAnsi"/>
          <w:bCs/>
          <w:szCs w:val="24"/>
        </w:rPr>
        <w:t xml:space="preserve"> engage the following human rights: </w:t>
      </w:r>
    </w:p>
    <w:p w14:paraId="04CEB98F" w14:textId="333D7712" w:rsidR="00DD0838" w:rsidRPr="003E4A43" w:rsidRDefault="00DD0838" w:rsidP="00DD0838">
      <w:pPr>
        <w:pStyle w:val="ListParagraph"/>
        <w:numPr>
          <w:ilvl w:val="0"/>
          <w:numId w:val="17"/>
        </w:numPr>
        <w:spacing w:before="120" w:after="120"/>
        <w:rPr>
          <w:rFonts w:asciiTheme="minorHAnsi" w:hAnsiTheme="minorHAnsi" w:cstheme="minorHAnsi"/>
          <w:bCs/>
          <w:szCs w:val="24"/>
        </w:rPr>
      </w:pPr>
      <w:r w:rsidRPr="003E4A43">
        <w:rPr>
          <w:rFonts w:asciiTheme="minorHAnsi" w:hAnsiTheme="minorHAnsi" w:cstheme="minorHAnsi"/>
          <w:bCs/>
          <w:szCs w:val="24"/>
        </w:rPr>
        <w:t xml:space="preserve">right to education under </w:t>
      </w:r>
      <w:r w:rsidR="00A5009D" w:rsidRPr="003E4A43">
        <w:rPr>
          <w:rFonts w:asciiTheme="minorHAnsi" w:hAnsiTheme="minorHAnsi" w:cstheme="minorHAnsi"/>
          <w:bCs/>
          <w:szCs w:val="24"/>
        </w:rPr>
        <w:t xml:space="preserve">Article 13 of the </w:t>
      </w:r>
      <w:r w:rsidR="00A5009D" w:rsidRPr="003E4A43">
        <w:rPr>
          <w:rFonts w:asciiTheme="minorHAnsi" w:hAnsiTheme="minorHAnsi" w:cstheme="minorHAnsi"/>
          <w:bCs/>
          <w:i/>
          <w:iCs/>
          <w:szCs w:val="24"/>
        </w:rPr>
        <w:t>International Covenant on Economic, Social and Cultural Rights</w:t>
      </w:r>
      <w:r w:rsidR="00A5009D" w:rsidRPr="003E4A43">
        <w:rPr>
          <w:rFonts w:asciiTheme="minorHAnsi" w:hAnsiTheme="minorHAnsi" w:cstheme="minorHAnsi"/>
          <w:bCs/>
          <w:szCs w:val="24"/>
        </w:rPr>
        <w:t xml:space="preserve"> (ICESCR</w:t>
      </w:r>
      <w:proofErr w:type="gramStart"/>
      <w:r w:rsidR="00A5009D" w:rsidRPr="003E4A43">
        <w:rPr>
          <w:rFonts w:asciiTheme="minorHAnsi" w:hAnsiTheme="minorHAnsi" w:cstheme="minorHAnsi"/>
          <w:bCs/>
          <w:szCs w:val="24"/>
        </w:rPr>
        <w:t>);</w:t>
      </w:r>
      <w:proofErr w:type="gramEnd"/>
      <w:r w:rsidR="00A5009D" w:rsidRPr="003E4A43">
        <w:rPr>
          <w:rFonts w:asciiTheme="minorHAnsi" w:hAnsiTheme="minorHAnsi" w:cstheme="minorHAnsi"/>
          <w:bCs/>
          <w:szCs w:val="24"/>
        </w:rPr>
        <w:t xml:space="preserve"> </w:t>
      </w:r>
    </w:p>
    <w:p w14:paraId="580DB911" w14:textId="57FC5726" w:rsidR="00A5009D" w:rsidRPr="003E4A43" w:rsidRDefault="002A70CF" w:rsidP="00DD0838">
      <w:pPr>
        <w:pStyle w:val="ListParagraph"/>
        <w:numPr>
          <w:ilvl w:val="0"/>
          <w:numId w:val="17"/>
        </w:numPr>
        <w:spacing w:before="120" w:after="120"/>
        <w:rPr>
          <w:rFonts w:asciiTheme="minorHAnsi" w:hAnsiTheme="minorHAnsi" w:cstheme="minorHAnsi"/>
          <w:bCs/>
          <w:szCs w:val="24"/>
        </w:rPr>
      </w:pPr>
      <w:r w:rsidRPr="003E4A43">
        <w:rPr>
          <w:rFonts w:asciiTheme="minorHAnsi" w:hAnsiTheme="minorHAnsi" w:cstheme="minorHAnsi"/>
          <w:bCs/>
          <w:szCs w:val="24"/>
        </w:rPr>
        <w:t xml:space="preserve">right to an effective remedy under Article 2(3) of the </w:t>
      </w:r>
      <w:r w:rsidRPr="003E4A43">
        <w:rPr>
          <w:rFonts w:asciiTheme="minorHAnsi" w:hAnsiTheme="minorHAnsi" w:cstheme="minorHAnsi"/>
          <w:bCs/>
          <w:i/>
          <w:iCs/>
          <w:szCs w:val="24"/>
        </w:rPr>
        <w:t>International Covenant on Civil and Political Rights</w:t>
      </w:r>
      <w:r w:rsidRPr="003E4A43">
        <w:rPr>
          <w:rFonts w:asciiTheme="minorHAnsi" w:hAnsiTheme="minorHAnsi" w:cstheme="minorHAnsi"/>
          <w:bCs/>
          <w:szCs w:val="24"/>
        </w:rPr>
        <w:t xml:space="preserve"> (ICCPR</w:t>
      </w:r>
      <w:proofErr w:type="gramStart"/>
      <w:r w:rsidRPr="003E4A43">
        <w:rPr>
          <w:rFonts w:asciiTheme="minorHAnsi" w:hAnsiTheme="minorHAnsi" w:cstheme="minorHAnsi"/>
          <w:bCs/>
          <w:szCs w:val="24"/>
        </w:rPr>
        <w:t>);</w:t>
      </w:r>
      <w:proofErr w:type="gramEnd"/>
      <w:r w:rsidRPr="003E4A43">
        <w:rPr>
          <w:rFonts w:asciiTheme="minorHAnsi" w:hAnsiTheme="minorHAnsi" w:cstheme="minorHAnsi"/>
          <w:bCs/>
          <w:szCs w:val="24"/>
        </w:rPr>
        <w:t xml:space="preserve"> </w:t>
      </w:r>
    </w:p>
    <w:p w14:paraId="06A8261F" w14:textId="43D26F72" w:rsidR="002A70CF" w:rsidRPr="003E4A43" w:rsidRDefault="002A70CF" w:rsidP="00DD0838">
      <w:pPr>
        <w:pStyle w:val="ListParagraph"/>
        <w:numPr>
          <w:ilvl w:val="0"/>
          <w:numId w:val="17"/>
        </w:numPr>
        <w:spacing w:before="120" w:after="120"/>
        <w:rPr>
          <w:rFonts w:asciiTheme="minorHAnsi" w:hAnsiTheme="minorHAnsi" w:cstheme="minorHAnsi"/>
          <w:bCs/>
          <w:szCs w:val="24"/>
        </w:rPr>
      </w:pPr>
      <w:r w:rsidRPr="003E4A43">
        <w:rPr>
          <w:rFonts w:asciiTheme="minorHAnsi" w:hAnsiTheme="minorHAnsi" w:cstheme="minorHAnsi"/>
          <w:bCs/>
          <w:szCs w:val="24"/>
        </w:rPr>
        <w:t xml:space="preserve">right to a fair hearing under Article 14(1) of the ICCPR; and </w:t>
      </w:r>
    </w:p>
    <w:p w14:paraId="61645C1D" w14:textId="564155F9" w:rsidR="002A70CF" w:rsidRPr="003E4A43" w:rsidRDefault="002A70CF" w:rsidP="005C2626">
      <w:pPr>
        <w:pStyle w:val="ListParagraph"/>
        <w:numPr>
          <w:ilvl w:val="0"/>
          <w:numId w:val="17"/>
        </w:numPr>
        <w:spacing w:before="120" w:after="120"/>
        <w:rPr>
          <w:rFonts w:asciiTheme="minorHAnsi" w:hAnsiTheme="minorHAnsi" w:cstheme="minorHAnsi"/>
          <w:bCs/>
          <w:szCs w:val="24"/>
        </w:rPr>
      </w:pPr>
      <w:r w:rsidRPr="003E4A43">
        <w:rPr>
          <w:rFonts w:asciiTheme="minorHAnsi" w:hAnsiTheme="minorHAnsi" w:cstheme="minorHAnsi"/>
          <w:bCs/>
          <w:szCs w:val="24"/>
        </w:rPr>
        <w:t xml:space="preserve">right to privacy under Article 17 of the ICCPR. </w:t>
      </w:r>
    </w:p>
    <w:p w14:paraId="396EB284" w14:textId="77777777" w:rsidR="005F4BD4" w:rsidRPr="003E4A43" w:rsidRDefault="005F4BD4" w:rsidP="008577CC">
      <w:pPr>
        <w:spacing w:before="120" w:after="120"/>
        <w:rPr>
          <w:rFonts w:asciiTheme="minorHAnsi" w:hAnsiTheme="minorHAnsi" w:cstheme="minorHAnsi"/>
          <w:bCs/>
          <w:szCs w:val="24"/>
          <w:u w:val="single"/>
        </w:rPr>
      </w:pPr>
      <w:r w:rsidRPr="003E4A43">
        <w:rPr>
          <w:rFonts w:asciiTheme="minorHAnsi" w:hAnsiTheme="minorHAnsi" w:cstheme="minorHAnsi"/>
          <w:bCs/>
          <w:szCs w:val="24"/>
          <w:u w:val="single"/>
        </w:rPr>
        <w:t xml:space="preserve">Right to education </w:t>
      </w:r>
    </w:p>
    <w:p w14:paraId="1841E700" w14:textId="3307BE62" w:rsidR="00C716C2" w:rsidRPr="003E4A43" w:rsidRDefault="005F4BD4" w:rsidP="00C716C2">
      <w:pPr>
        <w:spacing w:before="120" w:after="120"/>
        <w:rPr>
          <w:rFonts w:asciiTheme="minorHAnsi" w:hAnsiTheme="minorHAnsi" w:cstheme="minorHAnsi"/>
          <w:bCs/>
          <w:szCs w:val="24"/>
        </w:rPr>
      </w:pPr>
      <w:r w:rsidRPr="003E4A43">
        <w:rPr>
          <w:rFonts w:asciiTheme="minorHAnsi" w:hAnsiTheme="minorHAnsi" w:cstheme="minorHAnsi"/>
          <w:bCs/>
          <w:szCs w:val="24"/>
        </w:rPr>
        <w:t>The</w:t>
      </w:r>
      <w:r w:rsidR="00A52722" w:rsidRPr="003E4A43">
        <w:rPr>
          <w:rFonts w:asciiTheme="minorHAnsi" w:hAnsiTheme="minorHAnsi" w:cstheme="minorHAnsi"/>
          <w:bCs/>
          <w:szCs w:val="24"/>
        </w:rPr>
        <w:t xml:space="preserve"> Guidelines</w:t>
      </w:r>
      <w:r w:rsidRPr="003E4A43">
        <w:rPr>
          <w:rFonts w:asciiTheme="minorHAnsi" w:hAnsiTheme="minorHAnsi" w:cstheme="minorHAnsi"/>
          <w:bCs/>
          <w:szCs w:val="24"/>
        </w:rPr>
        <w:t xml:space="preserve"> engage the right to education in Article 13 of the </w:t>
      </w:r>
      <w:r w:rsidR="00BA6A60" w:rsidRPr="003E4A43">
        <w:rPr>
          <w:rFonts w:asciiTheme="minorHAnsi" w:hAnsiTheme="minorHAnsi" w:cstheme="minorHAnsi"/>
          <w:bCs/>
          <w:szCs w:val="24"/>
        </w:rPr>
        <w:t>ICESCR</w:t>
      </w:r>
      <w:r w:rsidRPr="003E4A43">
        <w:rPr>
          <w:rFonts w:asciiTheme="minorHAnsi" w:hAnsiTheme="minorHAnsi" w:cstheme="minorHAnsi"/>
          <w:bCs/>
          <w:szCs w:val="24"/>
        </w:rPr>
        <w:t xml:space="preserve">. </w:t>
      </w:r>
      <w:r w:rsidR="00C716C2" w:rsidRPr="003E4A43">
        <w:rPr>
          <w:rFonts w:asciiTheme="minorHAnsi" w:hAnsiTheme="minorHAnsi" w:cstheme="minorHAnsi"/>
          <w:iCs/>
          <w:szCs w:val="24"/>
        </w:rPr>
        <w:t>Article 13(2)(c) of the ICESCR provides that ‘higher education shall be made equally accessible to all, on the basis of capacity, by every appropriate means, and in particular by the progressive introduction of free education’.</w:t>
      </w:r>
    </w:p>
    <w:p w14:paraId="1EE2A07A" w14:textId="73034A36" w:rsidR="00332FB3" w:rsidRPr="003E4A43" w:rsidRDefault="005F4BD4" w:rsidP="008577CC">
      <w:pPr>
        <w:spacing w:before="120" w:after="120"/>
        <w:rPr>
          <w:rFonts w:asciiTheme="minorHAnsi" w:hAnsiTheme="minorHAnsi" w:cstheme="minorHAnsi"/>
        </w:rPr>
      </w:pPr>
      <w:r w:rsidRPr="003E4A43">
        <w:rPr>
          <w:rFonts w:asciiTheme="minorHAnsi" w:hAnsiTheme="minorHAnsi" w:cstheme="minorHAnsi"/>
        </w:rPr>
        <w:t xml:space="preserve">The Guidelines </w:t>
      </w:r>
      <w:r w:rsidR="007F5F36" w:rsidRPr="003E4A43">
        <w:rPr>
          <w:rFonts w:asciiTheme="minorHAnsi" w:hAnsiTheme="minorHAnsi" w:cstheme="minorHAnsi"/>
        </w:rPr>
        <w:t xml:space="preserve">provide for requirements </w:t>
      </w:r>
      <w:r w:rsidR="000238DA" w:rsidRPr="003E4A43">
        <w:rPr>
          <w:rFonts w:asciiTheme="minorHAnsi" w:hAnsiTheme="minorHAnsi" w:cstheme="minorHAnsi"/>
        </w:rPr>
        <w:t>that must be met by Australian higher education providers</w:t>
      </w:r>
      <w:r w:rsidR="0082739B" w:rsidRPr="003E4A43">
        <w:rPr>
          <w:rFonts w:asciiTheme="minorHAnsi" w:hAnsiTheme="minorHAnsi" w:cstheme="minorHAnsi"/>
        </w:rPr>
        <w:t xml:space="preserve"> to ensure </w:t>
      </w:r>
      <w:r w:rsidR="00E64A99" w:rsidRPr="003E4A43">
        <w:rPr>
          <w:rFonts w:asciiTheme="minorHAnsi" w:hAnsiTheme="minorHAnsi" w:cstheme="minorHAnsi"/>
        </w:rPr>
        <w:t xml:space="preserve">that providers continue to maintain high standards in </w:t>
      </w:r>
      <w:r w:rsidR="006F38BB" w:rsidRPr="003E4A43">
        <w:rPr>
          <w:rFonts w:asciiTheme="minorHAnsi" w:hAnsiTheme="minorHAnsi" w:cstheme="minorHAnsi"/>
        </w:rPr>
        <w:t xml:space="preserve">the </w:t>
      </w:r>
      <w:r w:rsidR="00E64A99" w:rsidRPr="003E4A43">
        <w:rPr>
          <w:rFonts w:asciiTheme="minorHAnsi" w:hAnsiTheme="minorHAnsi" w:cstheme="minorHAnsi"/>
        </w:rPr>
        <w:t xml:space="preserve">delivery </w:t>
      </w:r>
      <w:r w:rsidR="006F38BB" w:rsidRPr="003E4A43">
        <w:rPr>
          <w:rFonts w:asciiTheme="minorHAnsi" w:hAnsiTheme="minorHAnsi" w:cstheme="minorHAnsi"/>
        </w:rPr>
        <w:t xml:space="preserve">of </w:t>
      </w:r>
      <w:r w:rsidR="00E64A99" w:rsidRPr="003E4A43">
        <w:rPr>
          <w:rFonts w:asciiTheme="minorHAnsi" w:hAnsiTheme="minorHAnsi" w:cstheme="minorHAnsi"/>
        </w:rPr>
        <w:t xml:space="preserve">education services </w:t>
      </w:r>
      <w:r w:rsidR="006F38BB" w:rsidRPr="003E4A43">
        <w:rPr>
          <w:rFonts w:asciiTheme="minorHAnsi" w:hAnsiTheme="minorHAnsi" w:cstheme="minorHAnsi"/>
        </w:rPr>
        <w:t xml:space="preserve">and support </w:t>
      </w:r>
      <w:r w:rsidR="00E64A99" w:rsidRPr="003E4A43">
        <w:rPr>
          <w:rFonts w:asciiTheme="minorHAnsi" w:hAnsiTheme="minorHAnsi" w:cstheme="minorHAnsi"/>
        </w:rPr>
        <w:t>to students</w:t>
      </w:r>
      <w:r w:rsidR="0082739B" w:rsidRPr="003E4A43">
        <w:rPr>
          <w:rFonts w:asciiTheme="minorHAnsi" w:hAnsiTheme="minorHAnsi" w:cstheme="minorHAnsi"/>
        </w:rPr>
        <w:t>, for example,</w:t>
      </w:r>
      <w:r w:rsidR="007F7DCD" w:rsidRPr="003E4A43">
        <w:rPr>
          <w:rFonts w:asciiTheme="minorHAnsi" w:hAnsiTheme="minorHAnsi" w:cstheme="minorHAnsi"/>
        </w:rPr>
        <w:t xml:space="preserve"> </w:t>
      </w:r>
      <w:r w:rsidR="00013FB2" w:rsidRPr="003E4A43">
        <w:rPr>
          <w:rFonts w:asciiTheme="minorHAnsi" w:hAnsiTheme="minorHAnsi" w:cstheme="minorHAnsi"/>
        </w:rPr>
        <w:t>requirements relating to financial information that must be provided to the Minister to assess</w:t>
      </w:r>
      <w:r w:rsidR="009513CF" w:rsidRPr="003E4A43">
        <w:rPr>
          <w:rFonts w:asciiTheme="minorHAnsi" w:hAnsiTheme="minorHAnsi" w:cstheme="minorHAnsi"/>
        </w:rPr>
        <w:t xml:space="preserve"> the</w:t>
      </w:r>
      <w:r w:rsidR="00013FB2" w:rsidRPr="003E4A43">
        <w:rPr>
          <w:rFonts w:asciiTheme="minorHAnsi" w:hAnsiTheme="minorHAnsi" w:cstheme="minorHAnsi"/>
        </w:rPr>
        <w:t xml:space="preserve"> </w:t>
      </w:r>
      <w:r w:rsidR="009513CF" w:rsidRPr="003E4A43">
        <w:rPr>
          <w:rFonts w:asciiTheme="minorHAnsi" w:hAnsiTheme="minorHAnsi" w:cstheme="minorHAnsi"/>
        </w:rPr>
        <w:t xml:space="preserve">provider’s </w:t>
      </w:r>
      <w:r w:rsidR="00013FB2" w:rsidRPr="003E4A43">
        <w:rPr>
          <w:rFonts w:asciiTheme="minorHAnsi" w:hAnsiTheme="minorHAnsi" w:cstheme="minorHAnsi"/>
        </w:rPr>
        <w:t>financial viabilit</w:t>
      </w:r>
      <w:r w:rsidR="009513CF" w:rsidRPr="003E4A43">
        <w:rPr>
          <w:rFonts w:asciiTheme="minorHAnsi" w:hAnsiTheme="minorHAnsi" w:cstheme="minorHAnsi"/>
        </w:rPr>
        <w:t>y</w:t>
      </w:r>
      <w:r w:rsidR="00807C2E" w:rsidRPr="003E4A43">
        <w:rPr>
          <w:rFonts w:asciiTheme="minorHAnsi" w:hAnsiTheme="minorHAnsi" w:cstheme="minorHAnsi"/>
        </w:rPr>
        <w:t xml:space="preserve"> and obligations to keep </w:t>
      </w:r>
      <w:r w:rsidR="00365B32" w:rsidRPr="003E4A43">
        <w:rPr>
          <w:rFonts w:asciiTheme="minorHAnsi" w:hAnsiTheme="minorHAnsi" w:cstheme="minorHAnsi"/>
        </w:rPr>
        <w:t>student records</w:t>
      </w:r>
      <w:r w:rsidR="00E64A99" w:rsidRPr="003E4A43">
        <w:rPr>
          <w:rFonts w:asciiTheme="minorHAnsi" w:hAnsiTheme="minorHAnsi" w:cstheme="minorHAnsi"/>
        </w:rPr>
        <w:t xml:space="preserve">. </w:t>
      </w:r>
      <w:r w:rsidR="005E32F5" w:rsidRPr="003E4A43">
        <w:rPr>
          <w:rFonts w:asciiTheme="minorHAnsi" w:hAnsiTheme="minorHAnsi" w:cstheme="minorHAnsi"/>
        </w:rPr>
        <w:t xml:space="preserve">These requirements </w:t>
      </w:r>
      <w:r w:rsidR="00D02F09" w:rsidRPr="003E4A43">
        <w:rPr>
          <w:rFonts w:asciiTheme="minorHAnsi" w:hAnsiTheme="minorHAnsi" w:cstheme="minorHAnsi"/>
        </w:rPr>
        <w:t xml:space="preserve">also </w:t>
      </w:r>
      <w:r w:rsidR="005E32F5" w:rsidRPr="003E4A43">
        <w:rPr>
          <w:rFonts w:asciiTheme="minorHAnsi" w:hAnsiTheme="minorHAnsi" w:cstheme="minorHAnsi"/>
        </w:rPr>
        <w:t xml:space="preserve">support the right to education </w:t>
      </w:r>
      <w:r w:rsidR="005C05CE" w:rsidRPr="003E4A43">
        <w:rPr>
          <w:rFonts w:asciiTheme="minorHAnsi" w:hAnsiTheme="minorHAnsi" w:cstheme="minorHAnsi"/>
        </w:rPr>
        <w:t>by providing further clarity on matters that affect a student’s education</w:t>
      </w:r>
      <w:r w:rsidR="006F38BB" w:rsidRPr="003E4A43">
        <w:rPr>
          <w:rFonts w:asciiTheme="minorHAnsi" w:hAnsiTheme="minorHAnsi" w:cstheme="minorHAnsi"/>
        </w:rPr>
        <w:t>, for example</w:t>
      </w:r>
      <w:r w:rsidR="00237B8D" w:rsidRPr="003E4A43">
        <w:rPr>
          <w:rFonts w:asciiTheme="minorHAnsi" w:hAnsiTheme="minorHAnsi" w:cstheme="minorHAnsi"/>
        </w:rPr>
        <w:t>,</w:t>
      </w:r>
      <w:r w:rsidR="006F38BB" w:rsidRPr="003E4A43">
        <w:rPr>
          <w:rFonts w:asciiTheme="minorHAnsi" w:hAnsiTheme="minorHAnsi" w:cstheme="minorHAnsi"/>
        </w:rPr>
        <w:t xml:space="preserve"> the imposition of fees</w:t>
      </w:r>
      <w:r w:rsidR="00F26C89" w:rsidRPr="003E4A43">
        <w:rPr>
          <w:rFonts w:asciiTheme="minorHAnsi" w:hAnsiTheme="minorHAnsi" w:cstheme="minorHAnsi"/>
        </w:rPr>
        <w:t xml:space="preserve"> </w:t>
      </w:r>
      <w:r w:rsidR="00176462" w:rsidRPr="003E4A43">
        <w:rPr>
          <w:rFonts w:asciiTheme="minorHAnsi" w:hAnsiTheme="minorHAnsi" w:cstheme="minorHAnsi"/>
        </w:rPr>
        <w:t>in respect of overseas students</w:t>
      </w:r>
      <w:r w:rsidR="00C365BA" w:rsidRPr="003E4A43">
        <w:rPr>
          <w:rFonts w:asciiTheme="minorHAnsi" w:hAnsiTheme="minorHAnsi" w:cstheme="minorHAnsi"/>
        </w:rPr>
        <w:t xml:space="preserve"> and</w:t>
      </w:r>
      <w:r w:rsidR="00C7195E" w:rsidRPr="003E4A43">
        <w:rPr>
          <w:rFonts w:asciiTheme="minorHAnsi" w:hAnsiTheme="minorHAnsi" w:cstheme="minorHAnsi"/>
        </w:rPr>
        <w:t xml:space="preserve"> </w:t>
      </w:r>
      <w:r w:rsidR="00C365BA" w:rsidRPr="003E4A43">
        <w:rPr>
          <w:rFonts w:asciiTheme="minorHAnsi" w:hAnsiTheme="minorHAnsi" w:cstheme="minorHAnsi"/>
        </w:rPr>
        <w:t xml:space="preserve">having </w:t>
      </w:r>
      <w:r w:rsidR="00237B8D" w:rsidRPr="003E4A43">
        <w:rPr>
          <w:rFonts w:asciiTheme="minorHAnsi" w:hAnsiTheme="minorHAnsi" w:cstheme="minorHAnsi"/>
        </w:rPr>
        <w:t xml:space="preserve">procedures to </w:t>
      </w:r>
      <w:r w:rsidR="00936747" w:rsidRPr="003E4A43">
        <w:rPr>
          <w:rFonts w:asciiTheme="minorHAnsi" w:hAnsiTheme="minorHAnsi" w:cstheme="minorHAnsi"/>
        </w:rPr>
        <w:t>withdraw</w:t>
      </w:r>
      <w:r w:rsidR="00C365BA" w:rsidRPr="003E4A43">
        <w:rPr>
          <w:rFonts w:asciiTheme="minorHAnsi" w:hAnsiTheme="minorHAnsi" w:cstheme="minorHAnsi"/>
        </w:rPr>
        <w:t xml:space="preserve"> from units of study. </w:t>
      </w:r>
    </w:p>
    <w:p w14:paraId="3354C2BF" w14:textId="4B1F78F6" w:rsidR="003C08CC" w:rsidRPr="003E4A43" w:rsidRDefault="00600453" w:rsidP="008577CC">
      <w:pPr>
        <w:spacing w:before="120" w:after="120"/>
        <w:rPr>
          <w:rFonts w:asciiTheme="minorHAnsi" w:hAnsiTheme="minorHAnsi" w:cstheme="minorHAnsi"/>
        </w:rPr>
      </w:pPr>
      <w:r w:rsidRPr="003E4A43">
        <w:rPr>
          <w:rFonts w:asciiTheme="minorHAnsi" w:hAnsiTheme="minorHAnsi" w:cstheme="minorHAnsi"/>
        </w:rPr>
        <w:t>Further, t</w:t>
      </w:r>
      <w:r w:rsidR="0004547E" w:rsidRPr="003E4A43">
        <w:rPr>
          <w:rFonts w:asciiTheme="minorHAnsi" w:hAnsiTheme="minorHAnsi" w:cstheme="minorHAnsi"/>
        </w:rPr>
        <w:t xml:space="preserve">he Guidelines aim </w:t>
      </w:r>
      <w:r w:rsidR="000F5FBF" w:rsidRPr="003E4A43">
        <w:rPr>
          <w:rFonts w:asciiTheme="minorHAnsi" w:hAnsiTheme="minorHAnsi" w:cstheme="minorHAnsi"/>
        </w:rPr>
        <w:t>to ensure</w:t>
      </w:r>
      <w:r w:rsidR="0004547E" w:rsidRPr="003E4A43">
        <w:rPr>
          <w:rFonts w:asciiTheme="minorHAnsi" w:hAnsiTheme="minorHAnsi" w:cstheme="minorHAnsi"/>
        </w:rPr>
        <w:t xml:space="preserve"> integrity in the higher education secto</w:t>
      </w:r>
      <w:r w:rsidR="00BD3ECB" w:rsidRPr="003E4A43">
        <w:rPr>
          <w:rFonts w:asciiTheme="minorHAnsi" w:hAnsiTheme="minorHAnsi" w:cstheme="minorHAnsi"/>
        </w:rPr>
        <w:t xml:space="preserve">r, for example, by providing for tuition protection requirements to ensure that higher education providers have arrangements in place </w:t>
      </w:r>
      <w:r w:rsidR="00772D86" w:rsidRPr="003E4A43">
        <w:rPr>
          <w:rFonts w:asciiTheme="minorHAnsi" w:hAnsiTheme="minorHAnsi" w:cstheme="minorHAnsi"/>
        </w:rPr>
        <w:t>so</w:t>
      </w:r>
      <w:r w:rsidR="00BD3ECB" w:rsidRPr="003E4A43">
        <w:rPr>
          <w:rFonts w:asciiTheme="minorHAnsi" w:hAnsiTheme="minorHAnsi" w:cstheme="minorHAnsi"/>
        </w:rPr>
        <w:t xml:space="preserve"> students are guaranteed to be able to complete their course of study and, if necessary, to obtain a refund for any incomplete portion of their course, in the event that the provider is no longer able to deliver the course</w:t>
      </w:r>
      <w:r w:rsidR="00772D86" w:rsidRPr="003E4A43">
        <w:rPr>
          <w:rFonts w:asciiTheme="minorHAnsi" w:hAnsiTheme="minorHAnsi" w:cstheme="minorHAnsi"/>
        </w:rPr>
        <w:t xml:space="preserve">. </w:t>
      </w:r>
      <w:r w:rsidR="00456EE3" w:rsidRPr="003E4A43">
        <w:rPr>
          <w:rFonts w:asciiTheme="minorHAnsi" w:hAnsiTheme="minorHAnsi" w:cstheme="minorHAnsi"/>
        </w:rPr>
        <w:t xml:space="preserve">There are also requirements for grievance and review procedures </w:t>
      </w:r>
      <w:r w:rsidR="000F5FBF" w:rsidRPr="003E4A43">
        <w:rPr>
          <w:rFonts w:asciiTheme="minorHAnsi" w:hAnsiTheme="minorHAnsi" w:cstheme="minorHAnsi"/>
        </w:rPr>
        <w:t xml:space="preserve">in the Guidelines </w:t>
      </w:r>
      <w:r w:rsidR="00456EE3" w:rsidRPr="003E4A43">
        <w:rPr>
          <w:rFonts w:asciiTheme="minorHAnsi" w:hAnsiTheme="minorHAnsi" w:cstheme="minorHAnsi"/>
        </w:rPr>
        <w:t xml:space="preserve">to ensure that </w:t>
      </w:r>
      <w:r w:rsidR="00456EE3" w:rsidRPr="003E4A43">
        <w:rPr>
          <w:rFonts w:asciiTheme="minorHAnsi" w:hAnsiTheme="minorHAnsi" w:cstheme="minorHAnsi"/>
        </w:rPr>
        <w:lastRenderedPageBreak/>
        <w:t xml:space="preserve">providers have appropriate processes in place to guarantee effective and fair handling of complaints about academic and non-academic matters. </w:t>
      </w:r>
    </w:p>
    <w:p w14:paraId="4CDBD30C" w14:textId="21F27E41" w:rsidR="00800B25" w:rsidRPr="003E4A43" w:rsidRDefault="00800B25" w:rsidP="008577CC">
      <w:pPr>
        <w:spacing w:before="120" w:after="120"/>
        <w:rPr>
          <w:rFonts w:asciiTheme="minorHAnsi" w:hAnsiTheme="minorHAnsi" w:cstheme="minorHAnsi"/>
          <w:bCs/>
          <w:szCs w:val="24"/>
          <w:u w:val="single"/>
        </w:rPr>
      </w:pPr>
      <w:r w:rsidRPr="003E4A43">
        <w:rPr>
          <w:rFonts w:asciiTheme="minorHAnsi" w:hAnsiTheme="minorHAnsi" w:cstheme="minorHAnsi"/>
          <w:bCs/>
          <w:szCs w:val="24"/>
          <w:u w:val="single"/>
        </w:rPr>
        <w:t>Right</w:t>
      </w:r>
      <w:r w:rsidR="00B751D3" w:rsidRPr="003E4A43">
        <w:rPr>
          <w:rFonts w:asciiTheme="minorHAnsi" w:hAnsiTheme="minorHAnsi" w:cstheme="minorHAnsi"/>
          <w:bCs/>
          <w:szCs w:val="24"/>
          <w:u w:val="single"/>
        </w:rPr>
        <w:t>s</w:t>
      </w:r>
      <w:r w:rsidRPr="003E4A43">
        <w:rPr>
          <w:rFonts w:asciiTheme="minorHAnsi" w:hAnsiTheme="minorHAnsi" w:cstheme="minorHAnsi"/>
          <w:bCs/>
          <w:szCs w:val="24"/>
          <w:u w:val="single"/>
        </w:rPr>
        <w:t xml:space="preserve"> to </w:t>
      </w:r>
      <w:r w:rsidR="00D45F05" w:rsidRPr="003E4A43">
        <w:rPr>
          <w:rFonts w:asciiTheme="minorHAnsi" w:hAnsiTheme="minorHAnsi" w:cstheme="minorHAnsi"/>
          <w:bCs/>
          <w:szCs w:val="24"/>
          <w:u w:val="single"/>
        </w:rPr>
        <w:t xml:space="preserve">an </w:t>
      </w:r>
      <w:r w:rsidRPr="003E4A43">
        <w:rPr>
          <w:rFonts w:asciiTheme="minorHAnsi" w:hAnsiTheme="minorHAnsi" w:cstheme="minorHAnsi"/>
          <w:bCs/>
          <w:szCs w:val="24"/>
          <w:u w:val="single"/>
        </w:rPr>
        <w:t>effective remedy</w:t>
      </w:r>
      <w:r w:rsidR="00D45F05" w:rsidRPr="003E4A43">
        <w:rPr>
          <w:rFonts w:asciiTheme="minorHAnsi" w:hAnsiTheme="minorHAnsi" w:cstheme="minorHAnsi"/>
          <w:bCs/>
          <w:szCs w:val="24"/>
          <w:u w:val="single"/>
        </w:rPr>
        <w:t xml:space="preserve"> and a fair hearing</w:t>
      </w:r>
    </w:p>
    <w:p w14:paraId="564958C9" w14:textId="3291BE13" w:rsidR="00800B25" w:rsidRPr="003E4A43" w:rsidRDefault="00194565" w:rsidP="008577CC">
      <w:pPr>
        <w:spacing w:before="120" w:after="120"/>
        <w:rPr>
          <w:rFonts w:asciiTheme="minorHAnsi" w:hAnsiTheme="minorHAnsi" w:cstheme="minorHAnsi"/>
        </w:rPr>
      </w:pPr>
      <w:r w:rsidRPr="003E4A43">
        <w:rPr>
          <w:rFonts w:asciiTheme="minorHAnsi" w:hAnsiTheme="minorHAnsi" w:cstheme="minorHAnsi"/>
        </w:rPr>
        <w:t xml:space="preserve">The </w:t>
      </w:r>
      <w:r w:rsidR="00101EEB" w:rsidRPr="003E4A43">
        <w:rPr>
          <w:rFonts w:asciiTheme="minorHAnsi" w:hAnsiTheme="minorHAnsi" w:cstheme="minorHAnsi"/>
        </w:rPr>
        <w:t>Guidelines</w:t>
      </w:r>
      <w:r w:rsidRPr="003E4A43">
        <w:rPr>
          <w:rFonts w:asciiTheme="minorHAnsi" w:hAnsiTheme="minorHAnsi" w:cstheme="minorHAnsi"/>
        </w:rPr>
        <w:t xml:space="preserve"> engage the right</w:t>
      </w:r>
      <w:r w:rsidR="009065B3" w:rsidRPr="003E4A43">
        <w:rPr>
          <w:rFonts w:asciiTheme="minorHAnsi" w:hAnsiTheme="minorHAnsi" w:cstheme="minorHAnsi"/>
        </w:rPr>
        <w:t>s</w:t>
      </w:r>
      <w:r w:rsidRPr="003E4A43">
        <w:rPr>
          <w:rFonts w:asciiTheme="minorHAnsi" w:hAnsiTheme="minorHAnsi" w:cstheme="minorHAnsi"/>
        </w:rPr>
        <w:t xml:space="preserve"> to</w:t>
      </w:r>
      <w:r w:rsidR="009065B3" w:rsidRPr="003E4A43">
        <w:rPr>
          <w:rFonts w:asciiTheme="minorHAnsi" w:hAnsiTheme="minorHAnsi" w:cstheme="minorHAnsi"/>
        </w:rPr>
        <w:t xml:space="preserve"> an effective remedy and</w:t>
      </w:r>
      <w:r w:rsidRPr="003E4A43">
        <w:rPr>
          <w:rFonts w:asciiTheme="minorHAnsi" w:hAnsiTheme="minorHAnsi" w:cstheme="minorHAnsi"/>
        </w:rPr>
        <w:t xml:space="preserve"> a fair hearing </w:t>
      </w:r>
      <w:r w:rsidR="009065B3" w:rsidRPr="003E4A43">
        <w:rPr>
          <w:rFonts w:asciiTheme="minorHAnsi" w:hAnsiTheme="minorHAnsi" w:cstheme="minorHAnsi"/>
        </w:rPr>
        <w:t>contained in Article</w:t>
      </w:r>
      <w:r w:rsidR="00D45F05" w:rsidRPr="003E4A43">
        <w:rPr>
          <w:rFonts w:asciiTheme="minorHAnsi" w:hAnsiTheme="minorHAnsi" w:cstheme="minorHAnsi"/>
        </w:rPr>
        <w:t>s 2(3) and</w:t>
      </w:r>
      <w:r w:rsidRPr="003E4A43">
        <w:rPr>
          <w:rFonts w:asciiTheme="minorHAnsi" w:hAnsiTheme="minorHAnsi" w:cstheme="minorHAnsi"/>
        </w:rPr>
        <w:t xml:space="preserve"> Article 14(1) of the ICCPR. The right to a fair hearing and the right to an effective remedy are complementary and mutually reinforcing — access to a fair hearing in an administrative or judicial forum facilitates the provision of an effective remedy.</w:t>
      </w:r>
    </w:p>
    <w:p w14:paraId="239541FE" w14:textId="655E421E" w:rsidR="005277E8" w:rsidRPr="003E4A43" w:rsidRDefault="0010316C" w:rsidP="008577CC">
      <w:pPr>
        <w:spacing w:before="120" w:after="120"/>
        <w:rPr>
          <w:rFonts w:asciiTheme="minorHAnsi" w:hAnsiTheme="minorHAnsi" w:cstheme="minorHAnsi"/>
        </w:rPr>
      </w:pPr>
      <w:r w:rsidRPr="003E4A43">
        <w:rPr>
          <w:rFonts w:asciiTheme="minorHAnsi" w:hAnsiTheme="minorHAnsi" w:cstheme="minorHAnsi"/>
        </w:rPr>
        <w:t xml:space="preserve">The </w:t>
      </w:r>
      <w:r w:rsidR="00101EEB" w:rsidRPr="003E4A43">
        <w:rPr>
          <w:rFonts w:asciiTheme="minorHAnsi" w:hAnsiTheme="minorHAnsi" w:cstheme="minorHAnsi"/>
        </w:rPr>
        <w:t xml:space="preserve">Guidelines </w:t>
      </w:r>
      <w:r w:rsidRPr="003E4A43">
        <w:rPr>
          <w:rFonts w:asciiTheme="minorHAnsi" w:hAnsiTheme="minorHAnsi" w:cstheme="minorHAnsi"/>
        </w:rPr>
        <w:t xml:space="preserve">provide for the availability of independent merits review by the </w:t>
      </w:r>
      <w:r w:rsidR="00101EEB" w:rsidRPr="003E4A43">
        <w:rPr>
          <w:rFonts w:asciiTheme="minorHAnsi" w:hAnsiTheme="minorHAnsi" w:cstheme="minorHAnsi"/>
        </w:rPr>
        <w:t>Administrative Appeals Tribunal (</w:t>
      </w:r>
      <w:r w:rsidRPr="003E4A43">
        <w:rPr>
          <w:rFonts w:asciiTheme="minorHAnsi" w:hAnsiTheme="minorHAnsi" w:cstheme="minorHAnsi"/>
        </w:rPr>
        <w:t>AAT</w:t>
      </w:r>
      <w:r w:rsidR="00101EEB" w:rsidRPr="003E4A43">
        <w:rPr>
          <w:rFonts w:asciiTheme="minorHAnsi" w:hAnsiTheme="minorHAnsi" w:cstheme="minorHAnsi"/>
        </w:rPr>
        <w:t>)</w:t>
      </w:r>
      <w:r w:rsidRPr="003E4A43">
        <w:rPr>
          <w:rFonts w:asciiTheme="minorHAnsi" w:hAnsiTheme="minorHAnsi" w:cstheme="minorHAnsi"/>
        </w:rPr>
        <w:t xml:space="preserve"> for decisions made by </w:t>
      </w:r>
      <w:r w:rsidR="00675FF1" w:rsidRPr="003E4A43">
        <w:rPr>
          <w:rFonts w:asciiTheme="minorHAnsi" w:hAnsiTheme="minorHAnsi" w:cstheme="minorHAnsi"/>
        </w:rPr>
        <w:t>the Higher Education Tuition Protection Director</w:t>
      </w:r>
      <w:r w:rsidR="00623934" w:rsidRPr="003E4A43">
        <w:rPr>
          <w:rFonts w:asciiTheme="minorHAnsi" w:hAnsiTheme="minorHAnsi" w:cstheme="minorHAnsi"/>
        </w:rPr>
        <w:t xml:space="preserve"> under section 11(3)</w:t>
      </w:r>
      <w:r w:rsidR="00EF5223" w:rsidRPr="003E4A43">
        <w:rPr>
          <w:rFonts w:asciiTheme="minorHAnsi" w:hAnsiTheme="minorHAnsi" w:cstheme="minorHAnsi"/>
        </w:rPr>
        <w:t xml:space="preserve"> of the Guidelines</w:t>
      </w:r>
      <w:r w:rsidR="00F05411" w:rsidRPr="003E4A43">
        <w:rPr>
          <w:rFonts w:asciiTheme="minorHAnsi" w:hAnsiTheme="minorHAnsi" w:cstheme="minorHAnsi"/>
        </w:rPr>
        <w:t xml:space="preserve"> and by the Secretary</w:t>
      </w:r>
      <w:r w:rsidR="00085E23" w:rsidRPr="003E4A43">
        <w:rPr>
          <w:rFonts w:asciiTheme="minorHAnsi" w:hAnsiTheme="minorHAnsi" w:cstheme="minorHAnsi"/>
        </w:rPr>
        <w:t xml:space="preserve"> under</w:t>
      </w:r>
      <w:r w:rsidR="00F05411" w:rsidRPr="003E4A43">
        <w:rPr>
          <w:rFonts w:asciiTheme="minorHAnsi" w:hAnsiTheme="minorHAnsi" w:cstheme="minorHAnsi"/>
        </w:rPr>
        <w:t xml:space="preserve"> section 57(3)</w:t>
      </w:r>
      <w:r w:rsidR="002B6004" w:rsidRPr="003E4A43">
        <w:rPr>
          <w:rFonts w:asciiTheme="minorHAnsi" w:hAnsiTheme="minorHAnsi" w:cstheme="minorHAnsi"/>
        </w:rPr>
        <w:t xml:space="preserve"> of the Guidelines</w:t>
      </w:r>
      <w:r w:rsidR="005277E8" w:rsidRPr="003E4A43">
        <w:rPr>
          <w:rFonts w:asciiTheme="minorHAnsi" w:hAnsiTheme="minorHAnsi" w:cstheme="minorHAnsi"/>
        </w:rPr>
        <w:t>.</w:t>
      </w:r>
    </w:p>
    <w:p w14:paraId="0321308C" w14:textId="063505AB" w:rsidR="005277E8" w:rsidRPr="003E4A43" w:rsidRDefault="005277E8" w:rsidP="005277E8">
      <w:pPr>
        <w:spacing w:before="120" w:after="120"/>
        <w:rPr>
          <w:rFonts w:asciiTheme="minorHAnsi" w:hAnsiTheme="minorHAnsi" w:cstheme="minorHAnsi"/>
        </w:rPr>
      </w:pPr>
      <w:r w:rsidRPr="003E4A43">
        <w:rPr>
          <w:rFonts w:asciiTheme="minorHAnsi" w:hAnsiTheme="minorHAnsi" w:cstheme="minorHAnsi"/>
        </w:rPr>
        <w:t>The availability of merits review by the AAT is an important element in realising an individual’s right to a fair hearing and effective remedy under the ICCPR and provides an accessible and impartial form of administrative oversight within this area of administrative decision-making. Having this tier of independent merits review available to providers promotes public trust and confidence in decision making which is integral to a strong and accountable civil justice system.</w:t>
      </w:r>
    </w:p>
    <w:p w14:paraId="2B501CEA" w14:textId="405AA3B0" w:rsidR="005277E8" w:rsidRPr="003E4A43" w:rsidRDefault="005277E8" w:rsidP="005277E8">
      <w:pPr>
        <w:spacing w:before="120" w:after="120"/>
        <w:rPr>
          <w:rFonts w:asciiTheme="minorHAnsi" w:hAnsiTheme="minorHAnsi" w:cstheme="minorHAnsi"/>
        </w:rPr>
      </w:pPr>
      <w:r w:rsidRPr="003E4A43">
        <w:rPr>
          <w:rFonts w:asciiTheme="minorHAnsi" w:hAnsiTheme="minorHAnsi" w:cstheme="minorHAnsi"/>
        </w:rPr>
        <w:t xml:space="preserve">Therefore, the availability of AAT merits review promotes the right to a fair hearing and to an effective remedy by providing the opportunity for a provider to seek independent review of </w:t>
      </w:r>
      <w:r w:rsidR="00113209" w:rsidRPr="003E4A43">
        <w:rPr>
          <w:rFonts w:asciiTheme="minorHAnsi" w:hAnsiTheme="minorHAnsi" w:cstheme="minorHAnsi"/>
        </w:rPr>
        <w:t xml:space="preserve">certain </w:t>
      </w:r>
      <w:r w:rsidRPr="003E4A43">
        <w:rPr>
          <w:rFonts w:asciiTheme="minorHAnsi" w:hAnsiTheme="minorHAnsi" w:cstheme="minorHAnsi"/>
        </w:rPr>
        <w:t>government decision</w:t>
      </w:r>
      <w:r w:rsidR="00113209" w:rsidRPr="003E4A43">
        <w:rPr>
          <w:rFonts w:asciiTheme="minorHAnsi" w:hAnsiTheme="minorHAnsi" w:cstheme="minorHAnsi"/>
        </w:rPr>
        <w:t>s</w:t>
      </w:r>
      <w:r w:rsidRPr="003E4A43">
        <w:rPr>
          <w:rFonts w:asciiTheme="minorHAnsi" w:hAnsiTheme="minorHAnsi" w:cstheme="minorHAnsi"/>
        </w:rPr>
        <w:t xml:space="preserve"> made under the Guidelines. The ability of the AAT to conduct contemporaneous merits review to reach the correct or preferable decision in these matters, and, in particular, to consider all the relevant facts afresh, is an integral rights-based safeguard for providers.  </w:t>
      </w:r>
    </w:p>
    <w:p w14:paraId="68E4E9F0" w14:textId="76F4471D" w:rsidR="0010316C" w:rsidRPr="003E4A43" w:rsidRDefault="00932073" w:rsidP="008577CC">
      <w:pPr>
        <w:spacing w:before="120" w:after="120"/>
        <w:rPr>
          <w:rFonts w:asciiTheme="minorHAnsi" w:hAnsiTheme="minorHAnsi" w:cstheme="minorHAnsi"/>
          <w:bCs/>
          <w:szCs w:val="24"/>
          <w:u w:val="single"/>
        </w:rPr>
      </w:pPr>
      <w:r w:rsidRPr="003E4A43">
        <w:rPr>
          <w:rFonts w:asciiTheme="minorHAnsi" w:hAnsiTheme="minorHAnsi" w:cstheme="minorHAnsi"/>
          <w:bCs/>
          <w:szCs w:val="24"/>
          <w:u w:val="single"/>
        </w:rPr>
        <w:t>Right to privacy</w:t>
      </w:r>
    </w:p>
    <w:p w14:paraId="7C7825AF" w14:textId="0A76B0B7" w:rsidR="000D0B6C" w:rsidRPr="003E4A43" w:rsidRDefault="00932073" w:rsidP="000D0B6C">
      <w:pPr>
        <w:spacing w:before="120" w:after="120"/>
        <w:rPr>
          <w:rFonts w:asciiTheme="minorHAnsi" w:hAnsiTheme="minorHAnsi" w:cstheme="minorHAnsi"/>
        </w:rPr>
      </w:pPr>
      <w:r w:rsidRPr="003E4A43">
        <w:rPr>
          <w:rFonts w:asciiTheme="minorHAnsi" w:hAnsiTheme="minorHAnsi" w:cstheme="minorHAnsi"/>
        </w:rPr>
        <w:t xml:space="preserve">The </w:t>
      </w:r>
      <w:r w:rsidR="00402B8D" w:rsidRPr="003E4A43">
        <w:rPr>
          <w:rFonts w:asciiTheme="minorHAnsi" w:hAnsiTheme="minorHAnsi" w:cstheme="minorHAnsi"/>
        </w:rPr>
        <w:t xml:space="preserve">Guidelines </w:t>
      </w:r>
      <w:r w:rsidRPr="003E4A43">
        <w:rPr>
          <w:rFonts w:asciiTheme="minorHAnsi" w:hAnsiTheme="minorHAnsi" w:cstheme="minorHAnsi"/>
        </w:rPr>
        <w:t>engage the right to privac</w:t>
      </w:r>
      <w:r w:rsidR="000D0B6C" w:rsidRPr="003E4A43">
        <w:rPr>
          <w:rFonts w:asciiTheme="minorHAnsi" w:hAnsiTheme="minorHAnsi" w:cstheme="minorHAnsi"/>
        </w:rPr>
        <w:t>y</w:t>
      </w:r>
      <w:r w:rsidR="000D0B6C" w:rsidRPr="003E4A43">
        <w:rPr>
          <w:rFonts w:eastAsia="Times New Roman" w:cs="Times New Roman"/>
          <w:color w:val="000000"/>
          <w:szCs w:val="24"/>
          <w:lang w:eastAsia="en-AU"/>
        </w:rPr>
        <w:t xml:space="preserve"> </w:t>
      </w:r>
      <w:r w:rsidR="000D0B6C" w:rsidRPr="003E4A43">
        <w:rPr>
          <w:rFonts w:asciiTheme="minorHAnsi" w:hAnsiTheme="minorHAnsi" w:cstheme="minorHAnsi"/>
        </w:rPr>
        <w:t>outlined in Article 17 of the ICCPR. Article 17 of the ICCPR provides that no one shall be subject to arbitrary or unlawful interference with their privacy, family, home or correspondence, nor t</w:t>
      </w:r>
      <w:r w:rsidR="00881091" w:rsidRPr="003E4A43">
        <w:rPr>
          <w:rFonts w:asciiTheme="minorHAnsi" w:hAnsiTheme="minorHAnsi" w:cstheme="minorHAnsi"/>
        </w:rPr>
        <w:t>he</w:t>
      </w:r>
      <w:r w:rsidR="000D0B6C" w:rsidRPr="003E4A43">
        <w:rPr>
          <w:rFonts w:asciiTheme="minorHAnsi" w:hAnsiTheme="minorHAnsi" w:cstheme="minorHAnsi"/>
        </w:rPr>
        <w:t xml:space="preserve"> unlawful attacks on their honour and reputation.</w:t>
      </w:r>
    </w:p>
    <w:p w14:paraId="145914C1" w14:textId="13D28370" w:rsidR="00932073" w:rsidRPr="003E4A43" w:rsidRDefault="000D0B6C" w:rsidP="008577CC">
      <w:pPr>
        <w:spacing w:before="120" w:after="120"/>
        <w:rPr>
          <w:rFonts w:asciiTheme="minorHAnsi" w:hAnsiTheme="minorHAnsi" w:cstheme="minorHAnsi"/>
        </w:rPr>
      </w:pPr>
      <w:r w:rsidRPr="003E4A43">
        <w:rPr>
          <w:rFonts w:asciiTheme="minorHAnsi" w:hAnsiTheme="minorHAnsi" w:cstheme="minorHAnsi"/>
        </w:rPr>
        <w:t>Section 19-36C of the Act concerns the use of third</w:t>
      </w:r>
      <w:r w:rsidR="005748D1" w:rsidRPr="003E4A43">
        <w:rPr>
          <w:rFonts w:asciiTheme="minorHAnsi" w:hAnsiTheme="minorHAnsi" w:cstheme="minorHAnsi"/>
        </w:rPr>
        <w:t>-</w:t>
      </w:r>
      <w:r w:rsidRPr="003E4A43">
        <w:rPr>
          <w:rFonts w:asciiTheme="minorHAnsi" w:hAnsiTheme="minorHAnsi" w:cstheme="minorHAnsi"/>
        </w:rPr>
        <w:t xml:space="preserve">party contact lists by higher education providers approved under section 16-25 </w:t>
      </w:r>
      <w:r w:rsidR="00C03752" w:rsidRPr="003E4A43">
        <w:rPr>
          <w:rFonts w:asciiTheme="minorHAnsi" w:hAnsiTheme="minorHAnsi" w:cstheme="minorHAnsi"/>
        </w:rPr>
        <w:t xml:space="preserve">of the Act </w:t>
      </w:r>
      <w:r w:rsidRPr="003E4A43">
        <w:rPr>
          <w:rFonts w:asciiTheme="minorHAnsi" w:hAnsiTheme="minorHAnsi" w:cstheme="minorHAnsi"/>
        </w:rPr>
        <w:t xml:space="preserve">to market, advertise or promote a unit of study or a course of study, or enrol a student in a unit </w:t>
      </w:r>
      <w:r w:rsidR="00881091" w:rsidRPr="003E4A43">
        <w:rPr>
          <w:rFonts w:asciiTheme="minorHAnsi" w:hAnsiTheme="minorHAnsi" w:cstheme="minorHAnsi"/>
        </w:rPr>
        <w:t xml:space="preserve">or </w:t>
      </w:r>
      <w:r w:rsidRPr="003E4A43">
        <w:rPr>
          <w:rFonts w:asciiTheme="minorHAnsi" w:hAnsiTheme="minorHAnsi" w:cstheme="minorHAnsi"/>
        </w:rPr>
        <w:t xml:space="preserve">course of study. A provider is prohibited from mentioning the possible availability of FEE-HELP assistance for the students undertaking the unit or course </w:t>
      </w:r>
      <w:r w:rsidR="005748D1" w:rsidRPr="003E4A43">
        <w:rPr>
          <w:rFonts w:asciiTheme="minorHAnsi" w:hAnsiTheme="minorHAnsi" w:cstheme="minorHAnsi"/>
        </w:rPr>
        <w:t xml:space="preserve">of study </w:t>
      </w:r>
      <w:r w:rsidRPr="003E4A43">
        <w:rPr>
          <w:rFonts w:asciiTheme="minorHAnsi" w:hAnsiTheme="minorHAnsi" w:cstheme="minorHAnsi"/>
        </w:rPr>
        <w:t xml:space="preserve">other than in </w:t>
      </w:r>
      <w:r w:rsidR="00867C16" w:rsidRPr="003E4A43">
        <w:rPr>
          <w:rFonts w:asciiTheme="minorHAnsi" w:hAnsiTheme="minorHAnsi" w:cstheme="minorHAnsi"/>
        </w:rPr>
        <w:t xml:space="preserve">the </w:t>
      </w:r>
      <w:r w:rsidRPr="003E4A43">
        <w:rPr>
          <w:rFonts w:asciiTheme="minorHAnsi" w:hAnsiTheme="minorHAnsi" w:cstheme="minorHAnsi"/>
        </w:rPr>
        <w:t>circumstances specified in the Guidelines.</w:t>
      </w:r>
      <w:r w:rsidR="00CB6F68" w:rsidRPr="003E4A43">
        <w:rPr>
          <w:rFonts w:asciiTheme="minorHAnsi" w:hAnsiTheme="minorHAnsi" w:cstheme="minorHAnsi"/>
        </w:rPr>
        <w:t xml:space="preserve"> </w:t>
      </w:r>
      <w:r w:rsidR="009F4C28" w:rsidRPr="003E4A43">
        <w:rPr>
          <w:rFonts w:asciiTheme="minorHAnsi" w:hAnsiTheme="minorHAnsi" w:cstheme="minorHAnsi"/>
        </w:rPr>
        <w:t xml:space="preserve">The Guidelines engage the right to privacy as </w:t>
      </w:r>
      <w:r w:rsidR="00867C16" w:rsidRPr="003E4A43">
        <w:rPr>
          <w:rFonts w:asciiTheme="minorHAnsi" w:hAnsiTheme="minorHAnsi" w:cstheme="minorHAnsi"/>
        </w:rPr>
        <w:t>they</w:t>
      </w:r>
      <w:r w:rsidR="009F4C28" w:rsidRPr="003E4A43">
        <w:rPr>
          <w:rFonts w:asciiTheme="minorHAnsi" w:hAnsiTheme="minorHAnsi" w:cstheme="minorHAnsi"/>
        </w:rPr>
        <w:t xml:space="preserve"> </w:t>
      </w:r>
      <w:r w:rsidR="00B12BBF" w:rsidRPr="003E4A43">
        <w:rPr>
          <w:rFonts w:asciiTheme="minorHAnsi" w:hAnsiTheme="minorHAnsi" w:cstheme="minorHAnsi"/>
        </w:rPr>
        <w:t>specif</w:t>
      </w:r>
      <w:r w:rsidR="00867C16" w:rsidRPr="003E4A43">
        <w:rPr>
          <w:rFonts w:asciiTheme="minorHAnsi" w:hAnsiTheme="minorHAnsi" w:cstheme="minorHAnsi"/>
        </w:rPr>
        <w:t>y</w:t>
      </w:r>
      <w:r w:rsidR="00CB6F68" w:rsidRPr="003E4A43">
        <w:rPr>
          <w:rFonts w:asciiTheme="minorHAnsi" w:hAnsiTheme="minorHAnsi" w:cstheme="minorHAnsi"/>
        </w:rPr>
        <w:t xml:space="preserve"> </w:t>
      </w:r>
      <w:r w:rsidR="00F622D0" w:rsidRPr="003E4A43">
        <w:rPr>
          <w:rFonts w:asciiTheme="minorHAnsi" w:hAnsiTheme="minorHAnsi" w:cstheme="minorHAnsi"/>
        </w:rPr>
        <w:t>that</w:t>
      </w:r>
      <w:r w:rsidR="00B12BBF" w:rsidRPr="003E4A43">
        <w:rPr>
          <w:rFonts w:asciiTheme="minorHAnsi" w:hAnsiTheme="minorHAnsi" w:cstheme="minorHAnsi"/>
        </w:rPr>
        <w:t xml:space="preserve"> a student may be</w:t>
      </w:r>
      <w:r w:rsidR="00F622D0" w:rsidRPr="003E4A43">
        <w:rPr>
          <w:rFonts w:asciiTheme="minorHAnsi" w:hAnsiTheme="minorHAnsi" w:cstheme="minorHAnsi"/>
        </w:rPr>
        <w:t xml:space="preserve"> so</w:t>
      </w:r>
      <w:r w:rsidR="00B12BBF" w:rsidRPr="003E4A43">
        <w:rPr>
          <w:rFonts w:asciiTheme="minorHAnsi" w:hAnsiTheme="minorHAnsi" w:cstheme="minorHAnsi"/>
        </w:rPr>
        <w:t xml:space="preserve"> contacted by the provider when the student has given express consent</w:t>
      </w:r>
      <w:r w:rsidR="009F4C28" w:rsidRPr="003E4A43">
        <w:rPr>
          <w:rFonts w:asciiTheme="minorHAnsi" w:hAnsiTheme="minorHAnsi" w:cstheme="minorHAnsi"/>
        </w:rPr>
        <w:t xml:space="preserve"> and </w:t>
      </w:r>
      <w:r w:rsidR="00B12BBF" w:rsidRPr="003E4A43">
        <w:rPr>
          <w:rFonts w:asciiTheme="minorHAnsi" w:hAnsiTheme="minorHAnsi" w:cstheme="minorHAnsi"/>
        </w:rPr>
        <w:t xml:space="preserve">when a student should be taken to have provided such consent. </w:t>
      </w:r>
    </w:p>
    <w:p w14:paraId="424A9AF5" w14:textId="1D20ED8D" w:rsidR="00113888" w:rsidRPr="003E4A43" w:rsidRDefault="00113888" w:rsidP="00113888">
      <w:pPr>
        <w:spacing w:before="120" w:after="120"/>
        <w:rPr>
          <w:rFonts w:asciiTheme="minorHAnsi" w:hAnsiTheme="minorHAnsi" w:cstheme="minorHAnsi"/>
        </w:rPr>
      </w:pPr>
      <w:r w:rsidRPr="003E4A43">
        <w:rPr>
          <w:rFonts w:asciiTheme="minorHAnsi" w:hAnsiTheme="minorHAnsi" w:cstheme="minorHAnsi"/>
        </w:rPr>
        <w:t>The</w:t>
      </w:r>
      <w:r w:rsidR="00F622D0" w:rsidRPr="003E4A43">
        <w:rPr>
          <w:rFonts w:asciiTheme="minorHAnsi" w:hAnsiTheme="minorHAnsi" w:cstheme="minorHAnsi"/>
        </w:rPr>
        <w:t xml:space="preserve"> Guidelines</w:t>
      </w:r>
      <w:r w:rsidRPr="003E4A43">
        <w:rPr>
          <w:rFonts w:asciiTheme="minorHAnsi" w:hAnsiTheme="minorHAnsi" w:cstheme="minorHAnsi"/>
        </w:rPr>
        <w:t xml:space="preserve"> further engage the right to privacy as a higher education provider which defaults must provide to the </w:t>
      </w:r>
      <w:r w:rsidR="00C40B8C" w:rsidRPr="003E4A43">
        <w:rPr>
          <w:rFonts w:asciiTheme="minorHAnsi" w:hAnsiTheme="minorHAnsi" w:cstheme="minorHAnsi"/>
        </w:rPr>
        <w:t xml:space="preserve">Higher Education </w:t>
      </w:r>
      <w:r w:rsidRPr="003E4A43">
        <w:rPr>
          <w:rFonts w:asciiTheme="minorHAnsi" w:hAnsiTheme="minorHAnsi" w:cstheme="minorHAnsi"/>
        </w:rPr>
        <w:t xml:space="preserve">Tuition Protection Director, in a written </w:t>
      </w:r>
      <w:r w:rsidRPr="003E4A43">
        <w:rPr>
          <w:rFonts w:asciiTheme="minorHAnsi" w:hAnsiTheme="minorHAnsi" w:cstheme="minorHAnsi"/>
        </w:rPr>
        <w:lastRenderedPageBreak/>
        <w:t xml:space="preserve">notice, information about the mode, delivery, location and other requirements of a student’s units of study. This is additional to a provider’s obligations to provide student information when notifying the </w:t>
      </w:r>
      <w:r w:rsidR="00C40B8C" w:rsidRPr="003E4A43">
        <w:rPr>
          <w:rFonts w:asciiTheme="minorHAnsi" w:hAnsiTheme="minorHAnsi" w:cstheme="minorHAnsi"/>
        </w:rPr>
        <w:t>Higher Education</w:t>
      </w:r>
      <w:r w:rsidRPr="003E4A43">
        <w:rPr>
          <w:rFonts w:asciiTheme="minorHAnsi" w:hAnsiTheme="minorHAnsi" w:cstheme="minorHAnsi"/>
        </w:rPr>
        <w:t xml:space="preserve"> Tuition Protection Director of the details of a default at subsection 166-15(3) of the Act. The sharing of this information enables the </w:t>
      </w:r>
      <w:r w:rsidR="00C40B8C" w:rsidRPr="003E4A43">
        <w:rPr>
          <w:rFonts w:asciiTheme="minorHAnsi" w:hAnsiTheme="minorHAnsi" w:cstheme="minorHAnsi"/>
        </w:rPr>
        <w:t xml:space="preserve">Higher Education </w:t>
      </w:r>
      <w:r w:rsidRPr="003E4A43">
        <w:rPr>
          <w:rFonts w:asciiTheme="minorHAnsi" w:hAnsiTheme="minorHAnsi" w:cstheme="minorHAnsi"/>
        </w:rPr>
        <w:t xml:space="preserve">Tuition Protection Director to identify suitable replacement courses and to offer affected students the option of continuing their studies at another higher education provider. The </w:t>
      </w:r>
      <w:r w:rsidR="00C40B8C" w:rsidRPr="003E4A43">
        <w:rPr>
          <w:rFonts w:asciiTheme="minorHAnsi" w:hAnsiTheme="minorHAnsi" w:cstheme="minorHAnsi"/>
        </w:rPr>
        <w:t xml:space="preserve">Higher Education </w:t>
      </w:r>
      <w:r w:rsidRPr="003E4A43">
        <w:rPr>
          <w:rFonts w:asciiTheme="minorHAnsi" w:hAnsiTheme="minorHAnsi" w:cstheme="minorHAnsi"/>
        </w:rPr>
        <w:t>Tuition Protection Director is a Commonwealth officer, thus the scope of the existing provisions at Division 179 of the Act</w:t>
      </w:r>
      <w:r w:rsidR="00122B27" w:rsidRPr="003E4A43">
        <w:rPr>
          <w:rFonts w:asciiTheme="minorHAnsi" w:hAnsiTheme="minorHAnsi" w:cstheme="minorHAnsi"/>
        </w:rPr>
        <w:t>,</w:t>
      </w:r>
      <w:r w:rsidRPr="003E4A43">
        <w:rPr>
          <w:rFonts w:asciiTheme="minorHAnsi" w:hAnsiTheme="minorHAnsi" w:cstheme="minorHAnsi"/>
        </w:rPr>
        <w:t> that deal with the use and disclosure of personal information collected under the Act</w:t>
      </w:r>
      <w:r w:rsidR="00122B27" w:rsidRPr="003E4A43">
        <w:rPr>
          <w:rFonts w:asciiTheme="minorHAnsi" w:hAnsiTheme="minorHAnsi" w:cstheme="minorHAnsi"/>
        </w:rPr>
        <w:t>,</w:t>
      </w:r>
      <w:r w:rsidRPr="003E4A43">
        <w:rPr>
          <w:rFonts w:asciiTheme="minorHAnsi" w:hAnsiTheme="minorHAnsi" w:cstheme="minorHAnsi"/>
        </w:rPr>
        <w:t> apply.</w:t>
      </w:r>
    </w:p>
    <w:p w14:paraId="5BD0E14A" w14:textId="08CE50AA" w:rsidR="00113888" w:rsidRPr="003E4A43" w:rsidRDefault="00113888" w:rsidP="00113888">
      <w:pPr>
        <w:spacing w:before="120" w:after="120"/>
        <w:rPr>
          <w:rFonts w:asciiTheme="minorHAnsi" w:hAnsiTheme="minorHAnsi" w:cstheme="minorHAnsi"/>
        </w:rPr>
      </w:pPr>
      <w:r w:rsidRPr="003E4A43">
        <w:rPr>
          <w:rFonts w:asciiTheme="minorHAnsi" w:hAnsiTheme="minorHAnsi" w:cstheme="minorHAnsi"/>
        </w:rPr>
        <w:t>These measures augment the right to privacy for students as they place important further protective limitations around the authorised use and dissemination of their contact information under the Act and the Guidelines, namely by imposing the strict requirement that there be express consent for contact</w:t>
      </w:r>
      <w:r w:rsidR="00A860A2" w:rsidRPr="003E4A43">
        <w:rPr>
          <w:rFonts w:asciiTheme="minorHAnsi" w:hAnsiTheme="minorHAnsi" w:cstheme="minorHAnsi"/>
        </w:rPr>
        <w:t xml:space="preserve"> from a provider</w:t>
      </w:r>
      <w:r w:rsidRPr="003E4A43">
        <w:rPr>
          <w:rFonts w:asciiTheme="minorHAnsi" w:hAnsiTheme="minorHAnsi" w:cstheme="minorHAnsi"/>
        </w:rPr>
        <w:t xml:space="preserve"> to occur as well </w:t>
      </w:r>
      <w:r w:rsidR="00A860A2" w:rsidRPr="003E4A43">
        <w:rPr>
          <w:rFonts w:asciiTheme="minorHAnsi" w:hAnsiTheme="minorHAnsi" w:cstheme="minorHAnsi"/>
        </w:rPr>
        <w:t xml:space="preserve">as </w:t>
      </w:r>
      <w:r w:rsidRPr="003E4A43">
        <w:rPr>
          <w:rFonts w:asciiTheme="minorHAnsi" w:hAnsiTheme="minorHAnsi" w:cstheme="minorHAnsi"/>
        </w:rPr>
        <w:t>including specifications around the provision of express consent. The management of students’ personal information also remains subject to existing safeguards under the privacy legislation and the Act which continue to ensure the lawful collection, storage, record keeping, access, use and disclosure of personal information.</w:t>
      </w:r>
    </w:p>
    <w:p w14:paraId="0D664062" w14:textId="77777777" w:rsidR="00DA552F" w:rsidRPr="003E4A43" w:rsidRDefault="00F9205E" w:rsidP="008577CC">
      <w:pPr>
        <w:spacing w:before="120" w:after="120"/>
        <w:rPr>
          <w:rFonts w:asciiTheme="minorHAnsi" w:hAnsiTheme="minorHAnsi" w:cstheme="minorHAnsi"/>
          <w:szCs w:val="24"/>
        </w:rPr>
      </w:pPr>
      <w:r w:rsidRPr="003E4A43">
        <w:rPr>
          <w:rFonts w:asciiTheme="minorHAnsi" w:hAnsiTheme="minorHAnsi" w:cstheme="minorHAnsi"/>
          <w:b/>
          <w:szCs w:val="24"/>
        </w:rPr>
        <w:t>Conclusion</w:t>
      </w:r>
    </w:p>
    <w:p w14:paraId="49175299" w14:textId="1345FF9C" w:rsidR="00D8103E" w:rsidRPr="003E4A43" w:rsidRDefault="00255264" w:rsidP="008577CC">
      <w:pPr>
        <w:spacing w:before="120" w:after="120"/>
        <w:rPr>
          <w:rFonts w:asciiTheme="minorHAnsi" w:hAnsiTheme="minorHAnsi" w:cstheme="minorHAnsi"/>
          <w:szCs w:val="24"/>
        </w:rPr>
      </w:pPr>
      <w:r w:rsidRPr="003E4A43">
        <w:rPr>
          <w:rFonts w:asciiTheme="minorHAnsi" w:hAnsiTheme="minorHAnsi" w:cstheme="minorHAnsi"/>
          <w:szCs w:val="24"/>
        </w:rPr>
        <w:t>Th</w:t>
      </w:r>
      <w:r w:rsidR="00E0599C" w:rsidRPr="003E4A43">
        <w:rPr>
          <w:rFonts w:asciiTheme="minorHAnsi" w:hAnsiTheme="minorHAnsi" w:cstheme="minorHAnsi"/>
          <w:szCs w:val="24"/>
        </w:rPr>
        <w:t>e Guidelines are</w:t>
      </w:r>
      <w:r w:rsidRPr="003E4A43">
        <w:rPr>
          <w:rFonts w:asciiTheme="minorHAnsi" w:hAnsiTheme="minorHAnsi" w:cstheme="minorHAnsi"/>
          <w:szCs w:val="24"/>
        </w:rPr>
        <w:t xml:space="preserve"> compatible with human rights because </w:t>
      </w:r>
      <w:r w:rsidR="004432AE" w:rsidRPr="003E4A43">
        <w:rPr>
          <w:rFonts w:asciiTheme="minorHAnsi" w:hAnsiTheme="minorHAnsi" w:cstheme="minorHAnsi"/>
          <w:szCs w:val="24"/>
        </w:rPr>
        <w:t xml:space="preserve">they support the rights to education, </w:t>
      </w:r>
      <w:r w:rsidR="00C37AB1" w:rsidRPr="003E4A43">
        <w:rPr>
          <w:rFonts w:asciiTheme="minorHAnsi" w:hAnsiTheme="minorHAnsi" w:cstheme="minorHAnsi"/>
          <w:szCs w:val="24"/>
        </w:rPr>
        <w:t>an effective remedy, a fair hearing</w:t>
      </w:r>
      <w:r w:rsidR="0045006F" w:rsidRPr="003E4A43">
        <w:rPr>
          <w:rFonts w:asciiTheme="minorHAnsi" w:hAnsiTheme="minorHAnsi" w:cstheme="minorHAnsi"/>
          <w:szCs w:val="24"/>
        </w:rPr>
        <w:t>,</w:t>
      </w:r>
      <w:r w:rsidR="00C37AB1" w:rsidRPr="003E4A43">
        <w:rPr>
          <w:rFonts w:asciiTheme="minorHAnsi" w:hAnsiTheme="minorHAnsi" w:cstheme="minorHAnsi"/>
          <w:szCs w:val="24"/>
        </w:rPr>
        <w:t xml:space="preserve"> and privacy</w:t>
      </w:r>
      <w:r w:rsidRPr="003E4A43">
        <w:rPr>
          <w:rFonts w:asciiTheme="minorHAnsi" w:hAnsiTheme="minorHAnsi" w:cstheme="minorHAnsi"/>
          <w:szCs w:val="24"/>
        </w:rPr>
        <w:t>.</w:t>
      </w:r>
    </w:p>
    <w:p w14:paraId="064FC5BD" w14:textId="77777777" w:rsidR="00E0599C" w:rsidRPr="003E4A43" w:rsidRDefault="00E0599C" w:rsidP="008577CC">
      <w:pPr>
        <w:spacing w:before="120" w:after="120"/>
        <w:rPr>
          <w:rFonts w:asciiTheme="minorHAnsi" w:hAnsiTheme="minorHAnsi" w:cstheme="minorHAnsi"/>
          <w:b/>
          <w:szCs w:val="24"/>
        </w:rPr>
      </w:pPr>
    </w:p>
    <w:p w14:paraId="063009BF" w14:textId="3B06988F" w:rsidR="00310E0D" w:rsidRPr="003E4A43" w:rsidRDefault="0006058F" w:rsidP="00C03752">
      <w:pPr>
        <w:spacing w:before="120" w:after="120"/>
        <w:jc w:val="center"/>
        <w:rPr>
          <w:rFonts w:asciiTheme="minorHAnsi" w:hAnsiTheme="minorHAnsi" w:cstheme="minorHAnsi"/>
          <w:b/>
          <w:bCs/>
        </w:rPr>
      </w:pPr>
      <w:r w:rsidRPr="003E4A43">
        <w:rPr>
          <w:rFonts w:asciiTheme="minorHAnsi" w:hAnsiTheme="minorHAnsi" w:cstheme="minorHAnsi"/>
          <w:b/>
          <w:szCs w:val="24"/>
        </w:rPr>
        <w:t xml:space="preserve">Minister for </w:t>
      </w:r>
      <w:r w:rsidR="00255264" w:rsidRPr="003E4A43">
        <w:rPr>
          <w:rFonts w:asciiTheme="minorHAnsi" w:hAnsiTheme="minorHAnsi" w:cstheme="minorHAnsi"/>
          <w:b/>
          <w:szCs w:val="24"/>
        </w:rPr>
        <w:t>Education</w:t>
      </w:r>
      <w:r w:rsidR="004432AE" w:rsidRPr="003E4A43">
        <w:rPr>
          <w:rFonts w:asciiTheme="minorHAnsi" w:hAnsiTheme="minorHAnsi" w:cstheme="minorHAnsi"/>
          <w:b/>
          <w:bCs/>
        </w:rPr>
        <w:t xml:space="preserve">, </w:t>
      </w:r>
      <w:r w:rsidR="00310E0D" w:rsidRPr="003E4A43">
        <w:rPr>
          <w:rFonts w:asciiTheme="minorHAnsi" w:hAnsiTheme="minorHAnsi" w:cstheme="minorHAnsi"/>
          <w:b/>
          <w:bCs/>
        </w:rPr>
        <w:t xml:space="preserve">The Hon </w:t>
      </w:r>
      <w:r w:rsidR="00883BAF" w:rsidRPr="003E4A43">
        <w:rPr>
          <w:rFonts w:asciiTheme="minorHAnsi" w:hAnsiTheme="minorHAnsi" w:cstheme="minorHAnsi"/>
          <w:b/>
          <w:bCs/>
        </w:rPr>
        <w:t>Jason Clare</w:t>
      </w:r>
      <w:r w:rsidR="00310E0D" w:rsidRPr="003E4A43">
        <w:rPr>
          <w:rFonts w:asciiTheme="minorHAnsi" w:hAnsiTheme="minorHAnsi" w:cstheme="minorHAnsi"/>
          <w:b/>
          <w:bCs/>
        </w:rPr>
        <w:t xml:space="preserve"> MP</w:t>
      </w:r>
    </w:p>
    <w:p w14:paraId="1103BC73" w14:textId="77777777" w:rsidR="00DA552F" w:rsidRPr="003E4A43" w:rsidRDefault="00DA552F" w:rsidP="008577CC">
      <w:pPr>
        <w:spacing w:before="240" w:after="240"/>
        <w:rPr>
          <w:rFonts w:asciiTheme="minorHAnsi" w:hAnsiTheme="minorHAnsi" w:cstheme="minorHAnsi"/>
          <w:szCs w:val="24"/>
        </w:rPr>
        <w:sectPr w:rsidR="00DA552F" w:rsidRPr="003E4A43"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2F1625EE" w:rsidR="00DA552F" w:rsidRPr="003E4A43" w:rsidRDefault="008D3471" w:rsidP="008577CC">
      <w:pPr>
        <w:jc w:val="center"/>
        <w:rPr>
          <w:rFonts w:asciiTheme="minorHAnsi" w:hAnsiTheme="minorHAnsi" w:cstheme="minorHAnsi"/>
          <w:b/>
          <w:szCs w:val="24"/>
        </w:rPr>
      </w:pPr>
      <w:r w:rsidRPr="003E4A43">
        <w:rPr>
          <w:rFonts w:asciiTheme="minorHAnsi" w:hAnsiTheme="minorHAnsi" w:cstheme="minorHAnsi"/>
          <w:b/>
          <w:szCs w:val="24"/>
        </w:rPr>
        <w:lastRenderedPageBreak/>
        <w:t>HIGHER EDUCATION PROVIDER GUIDELINES 202</w:t>
      </w:r>
      <w:r w:rsidR="00113D0B" w:rsidRPr="003E4A43">
        <w:rPr>
          <w:rFonts w:asciiTheme="minorHAnsi" w:hAnsiTheme="minorHAnsi" w:cstheme="minorHAnsi"/>
          <w:b/>
          <w:szCs w:val="24"/>
        </w:rPr>
        <w:t>3</w:t>
      </w:r>
    </w:p>
    <w:p w14:paraId="289E50B9" w14:textId="77777777" w:rsidR="00DA552F" w:rsidRPr="003E4A43" w:rsidRDefault="00DB6247" w:rsidP="008577CC">
      <w:pPr>
        <w:pStyle w:val="Heading2"/>
        <w:keepNext w:val="0"/>
        <w:jc w:val="center"/>
        <w:rPr>
          <w:rFonts w:asciiTheme="minorHAnsi" w:hAnsiTheme="minorHAnsi" w:cstheme="minorHAnsi"/>
          <w:color w:val="auto"/>
        </w:rPr>
      </w:pPr>
      <w:r w:rsidRPr="003E4A43">
        <w:rPr>
          <w:rFonts w:asciiTheme="minorHAnsi" w:hAnsiTheme="minorHAnsi" w:cstheme="minorHAnsi"/>
          <w:color w:val="auto"/>
        </w:rPr>
        <w:t>EXPLANATION OF PROVISIONS</w:t>
      </w:r>
    </w:p>
    <w:p w14:paraId="55D80E4C" w14:textId="56222328" w:rsidR="00D77A28" w:rsidRPr="003E4A43" w:rsidRDefault="00D77A28" w:rsidP="008577CC">
      <w:pPr>
        <w:spacing w:before="360" w:after="120"/>
        <w:rPr>
          <w:rFonts w:asciiTheme="minorHAnsi" w:hAnsiTheme="minorHAnsi" w:cstheme="minorHAnsi"/>
          <w:bCs/>
          <w:i/>
          <w:iCs/>
        </w:rPr>
      </w:pPr>
      <w:r w:rsidRPr="003E4A43">
        <w:rPr>
          <w:rFonts w:asciiTheme="minorHAnsi" w:hAnsiTheme="minorHAnsi" w:cstheme="minorHAnsi"/>
          <w:bCs/>
          <w:i/>
          <w:iCs/>
        </w:rPr>
        <w:t xml:space="preserve">Chapter 1 </w:t>
      </w:r>
      <w:r w:rsidR="000100BB" w:rsidRPr="003E4A43">
        <w:rPr>
          <w:rFonts w:asciiTheme="minorHAnsi" w:hAnsiTheme="minorHAnsi" w:cstheme="minorHAnsi"/>
          <w:bCs/>
          <w:i/>
          <w:iCs/>
        </w:rPr>
        <w:t>–</w:t>
      </w:r>
      <w:r w:rsidRPr="003E4A43">
        <w:rPr>
          <w:rFonts w:asciiTheme="minorHAnsi" w:hAnsiTheme="minorHAnsi" w:cstheme="minorHAnsi"/>
          <w:bCs/>
          <w:i/>
          <w:iCs/>
        </w:rPr>
        <w:t xml:space="preserve"> Preliminary</w:t>
      </w:r>
    </w:p>
    <w:p w14:paraId="5C8B7FC1" w14:textId="52608FD7" w:rsidR="00DA552F" w:rsidRPr="003E4A43" w:rsidRDefault="00DB6247" w:rsidP="008577CC">
      <w:pPr>
        <w:spacing w:before="360" w:after="120"/>
        <w:rPr>
          <w:rFonts w:asciiTheme="minorHAnsi" w:hAnsiTheme="minorHAnsi" w:cstheme="minorHAnsi"/>
          <w:b/>
          <w:u w:val="single"/>
        </w:rPr>
      </w:pPr>
      <w:r w:rsidRPr="003E4A43">
        <w:rPr>
          <w:rFonts w:asciiTheme="minorHAnsi" w:hAnsiTheme="minorHAnsi" w:cstheme="minorHAnsi"/>
          <w:b/>
          <w:u w:val="single"/>
        </w:rPr>
        <w:t>Section</w:t>
      </w:r>
      <w:r w:rsidR="00DA552F" w:rsidRPr="003E4A43">
        <w:rPr>
          <w:rFonts w:asciiTheme="minorHAnsi" w:hAnsiTheme="minorHAnsi" w:cstheme="minorHAnsi"/>
          <w:b/>
          <w:u w:val="single"/>
        </w:rPr>
        <w:t xml:space="preserve"> 1: </w:t>
      </w:r>
      <w:r w:rsidR="00E631F9" w:rsidRPr="003E4A43">
        <w:rPr>
          <w:rFonts w:asciiTheme="minorHAnsi" w:hAnsiTheme="minorHAnsi" w:cstheme="minorHAnsi"/>
          <w:b/>
          <w:u w:val="single"/>
        </w:rPr>
        <w:t>Name</w:t>
      </w:r>
    </w:p>
    <w:p w14:paraId="4ABAD48F" w14:textId="507A0E9D" w:rsidR="00C20FAD" w:rsidRPr="003E4A43" w:rsidRDefault="00C20FAD"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This section specifies the name of the instrument as the </w:t>
      </w:r>
      <w:r w:rsidRPr="003E4A43">
        <w:rPr>
          <w:rFonts w:asciiTheme="minorHAnsi" w:hAnsiTheme="minorHAnsi" w:cstheme="minorHAnsi"/>
          <w:i/>
          <w:iCs/>
        </w:rPr>
        <w:t>Higher Education Provider Guidelines 202</w:t>
      </w:r>
      <w:r w:rsidR="00294893" w:rsidRPr="003E4A43">
        <w:rPr>
          <w:rFonts w:asciiTheme="minorHAnsi" w:hAnsiTheme="minorHAnsi" w:cstheme="minorHAnsi"/>
          <w:i/>
          <w:iCs/>
        </w:rPr>
        <w:t>3</w:t>
      </w:r>
      <w:r w:rsidRPr="003E4A43">
        <w:rPr>
          <w:rFonts w:asciiTheme="minorHAnsi" w:hAnsiTheme="minorHAnsi" w:cstheme="minorHAnsi"/>
          <w:i/>
          <w:iCs/>
        </w:rPr>
        <w:t xml:space="preserve"> </w:t>
      </w:r>
      <w:r w:rsidRPr="003E4A43">
        <w:rPr>
          <w:rFonts w:asciiTheme="minorHAnsi" w:hAnsiTheme="minorHAnsi" w:cstheme="minorHAnsi"/>
        </w:rPr>
        <w:t>(</w:t>
      </w:r>
      <w:r w:rsidR="00D156E4" w:rsidRPr="003E4A43">
        <w:rPr>
          <w:rFonts w:asciiTheme="minorHAnsi" w:hAnsiTheme="minorHAnsi" w:cstheme="minorHAnsi"/>
        </w:rPr>
        <w:t>‘</w:t>
      </w:r>
      <w:r w:rsidRPr="003E4A43">
        <w:rPr>
          <w:rFonts w:asciiTheme="minorHAnsi" w:hAnsiTheme="minorHAnsi" w:cstheme="minorHAnsi"/>
        </w:rPr>
        <w:t>the Guidelines</w:t>
      </w:r>
      <w:r w:rsidR="00D156E4" w:rsidRPr="003E4A43">
        <w:rPr>
          <w:rFonts w:asciiTheme="minorHAnsi" w:hAnsiTheme="minorHAnsi" w:cstheme="minorHAnsi"/>
        </w:rPr>
        <w:t>’</w:t>
      </w:r>
      <w:r w:rsidRPr="003E4A43">
        <w:rPr>
          <w:rFonts w:asciiTheme="minorHAnsi" w:hAnsiTheme="minorHAnsi" w:cstheme="minorHAnsi"/>
        </w:rPr>
        <w:t>).</w:t>
      </w:r>
    </w:p>
    <w:p w14:paraId="153E9ACC" w14:textId="77777777" w:rsidR="00DA552F" w:rsidRPr="003E4A43" w:rsidRDefault="00DB6247" w:rsidP="008577CC">
      <w:pPr>
        <w:rPr>
          <w:rFonts w:asciiTheme="minorHAnsi" w:hAnsiTheme="minorHAnsi" w:cstheme="minorHAnsi"/>
          <w:b/>
          <w:u w:val="single"/>
        </w:rPr>
      </w:pPr>
      <w:r w:rsidRPr="003E4A43">
        <w:rPr>
          <w:rFonts w:asciiTheme="minorHAnsi" w:hAnsiTheme="minorHAnsi" w:cstheme="minorHAnsi"/>
          <w:b/>
          <w:u w:val="single"/>
        </w:rPr>
        <w:t>Section</w:t>
      </w:r>
      <w:r w:rsidR="00DA552F" w:rsidRPr="003E4A43">
        <w:rPr>
          <w:rFonts w:asciiTheme="minorHAnsi" w:hAnsiTheme="minorHAnsi" w:cstheme="minorHAnsi"/>
          <w:b/>
          <w:u w:val="single"/>
        </w:rPr>
        <w:t xml:space="preserve"> 2: Commencement</w:t>
      </w:r>
    </w:p>
    <w:p w14:paraId="489FF3B2" w14:textId="758F7E4F" w:rsidR="00C20FAD" w:rsidRPr="003E4A43" w:rsidRDefault="00C20FAD"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This section specifies that the Guidelines commence on the day after registration on the Federal Register of Legislation.</w:t>
      </w:r>
    </w:p>
    <w:p w14:paraId="3287C071" w14:textId="77777777" w:rsidR="00E631F9" w:rsidRPr="003E4A43" w:rsidRDefault="00E631F9" w:rsidP="008577CC">
      <w:pPr>
        <w:spacing w:before="360" w:after="120"/>
        <w:rPr>
          <w:rFonts w:asciiTheme="minorHAnsi" w:hAnsiTheme="minorHAnsi" w:cstheme="minorHAnsi"/>
          <w:b/>
          <w:u w:val="single"/>
        </w:rPr>
      </w:pPr>
      <w:r w:rsidRPr="003E4A43">
        <w:rPr>
          <w:rFonts w:asciiTheme="minorHAnsi" w:hAnsiTheme="minorHAnsi" w:cstheme="minorHAnsi"/>
          <w:b/>
          <w:u w:val="single"/>
        </w:rPr>
        <w:t>Section 3: Authority</w:t>
      </w:r>
    </w:p>
    <w:p w14:paraId="16220E6C" w14:textId="07177407" w:rsidR="00C20FAD" w:rsidRPr="003E4A43" w:rsidRDefault="00C20FAD"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Th</w:t>
      </w:r>
      <w:r w:rsidR="00003903" w:rsidRPr="003E4A43">
        <w:rPr>
          <w:rFonts w:asciiTheme="minorHAnsi" w:hAnsiTheme="minorHAnsi" w:cstheme="minorHAnsi"/>
        </w:rPr>
        <w:t>is section provides that the</w:t>
      </w:r>
      <w:r w:rsidRPr="003E4A43">
        <w:rPr>
          <w:rFonts w:asciiTheme="minorHAnsi" w:hAnsiTheme="minorHAnsi" w:cstheme="minorHAnsi"/>
        </w:rPr>
        <w:t xml:space="preserve"> Guidelines are made by the Minister under section 238</w:t>
      </w:r>
      <w:r w:rsidRPr="003E4A43">
        <w:rPr>
          <w:rFonts w:asciiTheme="minorHAnsi" w:hAnsiTheme="minorHAnsi" w:cstheme="minorHAnsi"/>
        </w:rPr>
        <w:noBreakHyphen/>
        <w:t xml:space="preserve">10 of the </w:t>
      </w:r>
      <w:r w:rsidRPr="003E4A43">
        <w:rPr>
          <w:rFonts w:asciiTheme="minorHAnsi" w:hAnsiTheme="minorHAnsi" w:cstheme="minorHAnsi"/>
          <w:i/>
          <w:iCs/>
        </w:rPr>
        <w:t>Higher Education Support Act 2003</w:t>
      </w:r>
      <w:r w:rsidRPr="003E4A43">
        <w:rPr>
          <w:rFonts w:asciiTheme="minorHAnsi" w:hAnsiTheme="minorHAnsi" w:cstheme="minorHAnsi"/>
        </w:rPr>
        <w:t xml:space="preserve"> (</w:t>
      </w:r>
      <w:r w:rsidR="000B2B07" w:rsidRPr="003E4A43">
        <w:rPr>
          <w:rFonts w:asciiTheme="minorHAnsi" w:hAnsiTheme="minorHAnsi" w:cstheme="minorHAnsi"/>
        </w:rPr>
        <w:t>‘</w:t>
      </w:r>
      <w:r w:rsidR="00356F1F" w:rsidRPr="003E4A43">
        <w:rPr>
          <w:rFonts w:asciiTheme="minorHAnsi" w:hAnsiTheme="minorHAnsi" w:cstheme="minorHAnsi"/>
        </w:rPr>
        <w:t>the Act</w:t>
      </w:r>
      <w:r w:rsidR="000B2B07" w:rsidRPr="003E4A43">
        <w:rPr>
          <w:rFonts w:asciiTheme="minorHAnsi" w:hAnsiTheme="minorHAnsi" w:cstheme="minorHAnsi"/>
        </w:rPr>
        <w:t>’</w:t>
      </w:r>
      <w:r w:rsidRPr="003E4A43">
        <w:rPr>
          <w:rFonts w:asciiTheme="minorHAnsi" w:hAnsiTheme="minorHAnsi" w:cstheme="minorHAnsi"/>
        </w:rPr>
        <w:t>).</w:t>
      </w:r>
    </w:p>
    <w:p w14:paraId="0296CC14" w14:textId="325DFD7F" w:rsidR="00DA552F" w:rsidRPr="003E4A43" w:rsidRDefault="00E631F9" w:rsidP="008577CC">
      <w:pPr>
        <w:spacing w:before="360" w:after="120"/>
        <w:rPr>
          <w:rFonts w:asciiTheme="minorHAnsi" w:hAnsiTheme="minorHAnsi" w:cstheme="minorHAnsi"/>
        </w:rPr>
      </w:pPr>
      <w:r w:rsidRPr="003E4A43">
        <w:rPr>
          <w:rFonts w:asciiTheme="minorHAnsi" w:hAnsiTheme="minorHAnsi" w:cstheme="minorHAnsi"/>
          <w:b/>
          <w:u w:val="single"/>
        </w:rPr>
        <w:t xml:space="preserve">Section 4: </w:t>
      </w:r>
      <w:r w:rsidR="008818F2" w:rsidRPr="003E4A43">
        <w:rPr>
          <w:rFonts w:asciiTheme="minorHAnsi" w:hAnsiTheme="minorHAnsi" w:cstheme="minorHAnsi"/>
          <w:b/>
          <w:u w:val="single"/>
        </w:rPr>
        <w:t xml:space="preserve">Definitions </w:t>
      </w:r>
    </w:p>
    <w:p w14:paraId="45EC511F" w14:textId="3FCA001C" w:rsidR="008818F2" w:rsidRPr="003E4A43" w:rsidRDefault="00C20FAD"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This section </w:t>
      </w:r>
      <w:r w:rsidR="0092425A" w:rsidRPr="003E4A43">
        <w:rPr>
          <w:rFonts w:asciiTheme="minorHAnsi" w:hAnsiTheme="minorHAnsi" w:cstheme="minorHAnsi"/>
        </w:rPr>
        <w:t>provides</w:t>
      </w:r>
      <w:r w:rsidRPr="003E4A43">
        <w:rPr>
          <w:rFonts w:asciiTheme="minorHAnsi" w:hAnsiTheme="minorHAnsi" w:cstheme="minorHAnsi"/>
        </w:rPr>
        <w:t xml:space="preserve"> </w:t>
      </w:r>
      <w:r w:rsidR="008F5E39" w:rsidRPr="003E4A43">
        <w:rPr>
          <w:rFonts w:asciiTheme="minorHAnsi" w:hAnsiTheme="minorHAnsi" w:cstheme="minorHAnsi"/>
        </w:rPr>
        <w:t>definitions for certain expressions used in the Guidelines, and notes that a number of expressions used in the Guidelines are already defined in Schedule 1 to the Act</w:t>
      </w:r>
      <w:r w:rsidR="00F8599A" w:rsidRPr="003E4A43">
        <w:rPr>
          <w:rFonts w:asciiTheme="minorHAnsi" w:hAnsiTheme="minorHAnsi" w:cstheme="minorHAnsi"/>
        </w:rPr>
        <w:t>.</w:t>
      </w:r>
    </w:p>
    <w:p w14:paraId="11712879" w14:textId="1F2BE35A" w:rsidR="008818F2" w:rsidRPr="003E4A43" w:rsidRDefault="008818F2" w:rsidP="008577CC">
      <w:pPr>
        <w:spacing w:before="360" w:after="120"/>
        <w:rPr>
          <w:rFonts w:asciiTheme="minorHAnsi" w:hAnsiTheme="minorHAnsi" w:cstheme="minorHAnsi"/>
          <w:b/>
          <w:u w:val="single"/>
        </w:rPr>
      </w:pPr>
      <w:r w:rsidRPr="003E4A43">
        <w:rPr>
          <w:rFonts w:asciiTheme="minorHAnsi" w:hAnsiTheme="minorHAnsi" w:cstheme="minorHAnsi"/>
          <w:b/>
          <w:u w:val="single"/>
        </w:rPr>
        <w:t>Section 5: Schedules</w:t>
      </w:r>
    </w:p>
    <w:p w14:paraId="15BECB20" w14:textId="71D5AACE" w:rsidR="008818F2" w:rsidRPr="003E4A43" w:rsidRDefault="008818F2"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This section provides that the instrument that is specified in the Schedule (the </w:t>
      </w:r>
      <w:r w:rsidRPr="003E4A43">
        <w:rPr>
          <w:rFonts w:asciiTheme="minorHAnsi" w:hAnsiTheme="minorHAnsi" w:cstheme="minorHAnsi"/>
          <w:i/>
          <w:iCs/>
        </w:rPr>
        <w:t>Higher Education Provider Guidelines 2012</w:t>
      </w:r>
      <w:r w:rsidR="001B4E1D" w:rsidRPr="003E4A43">
        <w:rPr>
          <w:rFonts w:asciiTheme="minorHAnsi" w:hAnsiTheme="minorHAnsi" w:cstheme="minorHAnsi"/>
        </w:rPr>
        <w:t>) is repealed</w:t>
      </w:r>
      <w:r w:rsidR="00935C5B" w:rsidRPr="003E4A43">
        <w:rPr>
          <w:rFonts w:asciiTheme="minorHAnsi" w:hAnsiTheme="minorHAnsi" w:cstheme="minorHAnsi"/>
        </w:rPr>
        <w:t xml:space="preserve">. </w:t>
      </w:r>
    </w:p>
    <w:p w14:paraId="2D06A1CA" w14:textId="38E3D3CC" w:rsidR="00A74F8F" w:rsidRPr="003E4A43" w:rsidRDefault="008A3E37" w:rsidP="008577CC">
      <w:pPr>
        <w:spacing w:before="360" w:after="120"/>
        <w:rPr>
          <w:rFonts w:asciiTheme="minorHAnsi" w:hAnsiTheme="minorHAnsi" w:cstheme="minorHAnsi"/>
          <w:bCs/>
          <w:i/>
          <w:iCs/>
        </w:rPr>
      </w:pPr>
      <w:r w:rsidRPr="003E4A43">
        <w:rPr>
          <w:rFonts w:asciiTheme="minorHAnsi" w:hAnsiTheme="minorHAnsi" w:cstheme="minorHAnsi"/>
          <w:bCs/>
          <w:i/>
          <w:iCs/>
        </w:rPr>
        <w:t>Chapter 2 – The tuition protection requirements</w:t>
      </w:r>
    </w:p>
    <w:p w14:paraId="1437932E" w14:textId="5EE7370B" w:rsidR="008A3E37" w:rsidRPr="003E4A43" w:rsidRDefault="008A3E37" w:rsidP="008577CC">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6: </w:t>
      </w:r>
      <w:r w:rsidR="00A130C9" w:rsidRPr="003E4A43">
        <w:rPr>
          <w:rFonts w:asciiTheme="minorHAnsi" w:hAnsiTheme="minorHAnsi" w:cstheme="minorHAnsi"/>
          <w:b/>
          <w:u w:val="single"/>
        </w:rPr>
        <w:t>Overview</w:t>
      </w:r>
    </w:p>
    <w:p w14:paraId="53703F73" w14:textId="6CB13EEA" w:rsidR="008818F2" w:rsidRPr="003E4A43" w:rsidRDefault="00E67E9B"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This section </w:t>
      </w:r>
      <w:r w:rsidR="00761D69" w:rsidRPr="003E4A43">
        <w:rPr>
          <w:rFonts w:asciiTheme="minorHAnsi" w:hAnsiTheme="minorHAnsi" w:cstheme="minorHAnsi"/>
        </w:rPr>
        <w:t>specifies the tuition protection requirements for the purposes of paragraph 16-30(b) of the Act. In accordance with section 16-30 of the Act, the tuition protection requirements are the requirements set out in Part 5</w:t>
      </w:r>
      <w:r w:rsidR="00761D69" w:rsidRPr="003E4A43">
        <w:rPr>
          <w:rFonts w:asciiTheme="minorHAnsi" w:hAnsiTheme="minorHAnsi" w:cstheme="minorHAnsi"/>
        </w:rPr>
        <w:noBreakHyphen/>
        <w:t>1A of the Act and this chapter of the Guidelines.</w:t>
      </w:r>
    </w:p>
    <w:p w14:paraId="5CD05AC8" w14:textId="782CCFCF" w:rsidR="00915355" w:rsidRPr="003E4A43" w:rsidRDefault="00915355"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The note to this section explains that the Minister must be satisfied that a body will meet the tuition protection requirements (if applicable) in order to be approved as a higher education provider under paragraph 16-25(1)(c) of the Act. </w:t>
      </w:r>
    </w:p>
    <w:p w14:paraId="6FC2088A" w14:textId="2B77FB03" w:rsidR="009C42E0" w:rsidRPr="003E4A43" w:rsidRDefault="00DD57BA">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The tuition protection requirements specified in this Chapter of the Guidelines support the work of the Higher Education Tuition Protection Director as part of the Tuition Protection Service (TPS). </w:t>
      </w:r>
      <w:r w:rsidR="009C42E0" w:rsidRPr="003E4A43">
        <w:rPr>
          <w:rFonts w:asciiTheme="minorHAnsi" w:hAnsiTheme="minorHAnsi" w:cstheme="minorHAnsi"/>
        </w:rPr>
        <w:t xml:space="preserve">The TPS is sector funded and supported by the </w:t>
      </w:r>
      <w:r w:rsidR="009C42E0" w:rsidRPr="003E4A43">
        <w:rPr>
          <w:rFonts w:asciiTheme="minorHAnsi" w:hAnsiTheme="minorHAnsi" w:cstheme="minorHAnsi"/>
        </w:rPr>
        <w:lastRenderedPageBreak/>
        <w:t>Department of Education.</w:t>
      </w:r>
      <w:r w:rsidR="008009D5" w:rsidRPr="003E4A43">
        <w:rPr>
          <w:rFonts w:asciiTheme="minorHAnsi" w:hAnsiTheme="minorHAnsi" w:cstheme="minorHAnsi"/>
        </w:rPr>
        <w:t xml:space="preserve"> Higher education providers are automatically covered by the TPS. There is no need to register for the TPS.</w:t>
      </w:r>
      <w:r w:rsidR="009C42E0" w:rsidRPr="003E4A43">
        <w:rPr>
          <w:rFonts w:asciiTheme="minorHAnsi" w:hAnsiTheme="minorHAnsi" w:cstheme="minorHAnsi"/>
        </w:rPr>
        <w:t xml:space="preserve"> Providers </w:t>
      </w:r>
      <w:r w:rsidR="00AC6DDA" w:rsidRPr="003E4A43">
        <w:rPr>
          <w:rFonts w:asciiTheme="minorHAnsi" w:hAnsiTheme="minorHAnsi" w:cstheme="minorHAnsi"/>
        </w:rPr>
        <w:t>pay</w:t>
      </w:r>
      <w:r w:rsidR="009C42E0" w:rsidRPr="003E4A43">
        <w:rPr>
          <w:rFonts w:asciiTheme="minorHAnsi" w:hAnsiTheme="minorHAnsi" w:cstheme="minorHAnsi"/>
        </w:rPr>
        <w:t xml:space="preserve"> annual TPS levies commensurate to their size and risk.</w:t>
      </w:r>
    </w:p>
    <w:p w14:paraId="6D72D2AC" w14:textId="3AEC28D9" w:rsidR="009C42E0" w:rsidRPr="003E4A43" w:rsidRDefault="009C42E0">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The TPS protects higher education students at private education providers when their provider defaults, whether the students pay their tuition fees up-front or use a HELP loan. A provider defaults when they stop offering a course or unit of </w:t>
      </w:r>
      <w:proofErr w:type="gramStart"/>
      <w:r w:rsidRPr="003E4A43">
        <w:rPr>
          <w:rFonts w:asciiTheme="minorHAnsi" w:hAnsiTheme="minorHAnsi" w:cstheme="minorHAnsi"/>
        </w:rPr>
        <w:t>study, or</w:t>
      </w:r>
      <w:proofErr w:type="gramEnd"/>
      <w:r w:rsidRPr="003E4A43">
        <w:rPr>
          <w:rFonts w:asciiTheme="minorHAnsi" w:hAnsiTheme="minorHAnsi" w:cstheme="minorHAnsi"/>
        </w:rPr>
        <w:t xml:space="preserve"> fail to start a course or unit of study with enrolled students.</w:t>
      </w:r>
    </w:p>
    <w:p w14:paraId="1BFD36C0" w14:textId="489A7A8C" w:rsidR="009C42E0" w:rsidRPr="003E4A43" w:rsidRDefault="009C42E0">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The TPS helps higher education students to either continue their studies with a replacement provider in an equivalent or similar </w:t>
      </w:r>
      <w:proofErr w:type="gramStart"/>
      <w:r w:rsidRPr="003E4A43">
        <w:rPr>
          <w:rFonts w:asciiTheme="minorHAnsi" w:hAnsiTheme="minorHAnsi" w:cstheme="minorHAnsi"/>
        </w:rPr>
        <w:t>course</w:t>
      </w:r>
      <w:r w:rsidR="003B2E15" w:rsidRPr="003E4A43">
        <w:rPr>
          <w:rFonts w:asciiTheme="minorHAnsi" w:hAnsiTheme="minorHAnsi" w:cstheme="minorHAnsi"/>
        </w:rPr>
        <w:t>,</w:t>
      </w:r>
      <w:r w:rsidRPr="003E4A43">
        <w:rPr>
          <w:rFonts w:asciiTheme="minorHAnsi" w:hAnsiTheme="minorHAnsi" w:cstheme="minorHAnsi"/>
        </w:rPr>
        <w:t xml:space="preserve"> or</w:t>
      </w:r>
      <w:proofErr w:type="gramEnd"/>
      <w:r w:rsidRPr="003E4A43">
        <w:rPr>
          <w:rFonts w:asciiTheme="minorHAnsi" w:hAnsiTheme="minorHAnsi" w:cstheme="minorHAnsi"/>
        </w:rPr>
        <w:t xml:space="preserve"> receive a refund of their tuition fees paid up-front and/or receive a re-credit </w:t>
      </w:r>
      <w:r w:rsidR="00F7345B" w:rsidRPr="003E4A43">
        <w:rPr>
          <w:rFonts w:asciiTheme="minorHAnsi" w:hAnsiTheme="minorHAnsi" w:cstheme="minorHAnsi"/>
        </w:rPr>
        <w:t xml:space="preserve">of their Higher Education Loan Program (HELP) </w:t>
      </w:r>
      <w:r w:rsidR="00B85785" w:rsidRPr="003E4A43">
        <w:rPr>
          <w:rFonts w:asciiTheme="minorHAnsi" w:hAnsiTheme="minorHAnsi" w:cstheme="minorHAnsi"/>
        </w:rPr>
        <w:t>balance</w:t>
      </w:r>
      <w:r w:rsidR="00F7345B" w:rsidRPr="003E4A43">
        <w:rPr>
          <w:rFonts w:asciiTheme="minorHAnsi" w:hAnsiTheme="minorHAnsi" w:cstheme="minorHAnsi"/>
        </w:rPr>
        <w:t xml:space="preserve"> </w:t>
      </w:r>
      <w:r w:rsidRPr="003E4A43">
        <w:rPr>
          <w:rFonts w:asciiTheme="minorHAnsi" w:hAnsiTheme="minorHAnsi" w:cstheme="minorHAnsi"/>
        </w:rPr>
        <w:t>for parts of the course that the student commenced but could not complete due to the provider default.</w:t>
      </w:r>
    </w:p>
    <w:p w14:paraId="6A2D2C1C" w14:textId="2746ECCB" w:rsidR="00DD57BA" w:rsidRPr="003E4A43" w:rsidRDefault="009C42E0" w:rsidP="009C42E0">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While most universities, TAFEs and </w:t>
      </w:r>
      <w:r w:rsidR="00B85785" w:rsidRPr="003E4A43">
        <w:rPr>
          <w:rFonts w:asciiTheme="minorHAnsi" w:hAnsiTheme="minorHAnsi" w:cstheme="minorHAnsi"/>
        </w:rPr>
        <w:t>G</w:t>
      </w:r>
      <w:r w:rsidRPr="003E4A43">
        <w:rPr>
          <w:rFonts w:asciiTheme="minorHAnsi" w:hAnsiTheme="minorHAnsi" w:cstheme="minorHAnsi"/>
        </w:rPr>
        <w:t xml:space="preserve">overnment funded providers are exempt from the tuition protection requirements, this does not prevent those providers from enrolling affected students as replacement providers. </w:t>
      </w:r>
    </w:p>
    <w:p w14:paraId="2F530389" w14:textId="71C378BE" w:rsidR="000373D0" w:rsidRPr="003E4A43" w:rsidRDefault="00EE04E2" w:rsidP="008577CC">
      <w:pPr>
        <w:spacing w:before="360" w:after="120"/>
        <w:rPr>
          <w:rFonts w:asciiTheme="minorHAnsi" w:hAnsiTheme="minorHAnsi" w:cstheme="minorHAnsi"/>
          <w:b/>
          <w:u w:val="single"/>
        </w:rPr>
      </w:pPr>
      <w:r w:rsidRPr="003E4A43">
        <w:rPr>
          <w:rFonts w:asciiTheme="minorHAnsi" w:hAnsiTheme="minorHAnsi" w:cstheme="minorHAnsi"/>
          <w:b/>
          <w:u w:val="single"/>
        </w:rPr>
        <w:t>Section 7: Application</w:t>
      </w:r>
      <w:r w:rsidR="00E00749" w:rsidRPr="003E4A43">
        <w:rPr>
          <w:rFonts w:asciiTheme="minorHAnsi" w:hAnsiTheme="minorHAnsi" w:cstheme="minorHAnsi"/>
          <w:b/>
          <w:u w:val="single"/>
        </w:rPr>
        <w:t xml:space="preserve"> of tuition protection requirements</w:t>
      </w:r>
    </w:p>
    <w:p w14:paraId="2132B17A" w14:textId="5FB548DD" w:rsidR="00EE04E2" w:rsidRPr="003E4A43" w:rsidRDefault="00EE04E2"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This section</w:t>
      </w:r>
      <w:r w:rsidR="00C035D9" w:rsidRPr="003E4A43">
        <w:rPr>
          <w:rFonts w:asciiTheme="minorHAnsi" w:hAnsiTheme="minorHAnsi" w:cstheme="minorHAnsi"/>
        </w:rPr>
        <w:t xml:space="preserve"> is made for the purposes of paragraph 166-5</w:t>
      </w:r>
      <w:r w:rsidR="00642A2D" w:rsidRPr="003E4A43">
        <w:rPr>
          <w:rFonts w:asciiTheme="minorHAnsi" w:hAnsiTheme="minorHAnsi" w:cstheme="minorHAnsi"/>
        </w:rPr>
        <w:t>(1)(b) of the Act to</w:t>
      </w:r>
      <w:r w:rsidRPr="003E4A43">
        <w:rPr>
          <w:rFonts w:asciiTheme="minorHAnsi" w:hAnsiTheme="minorHAnsi" w:cstheme="minorHAnsi"/>
        </w:rPr>
        <w:t xml:space="preserve"> </w:t>
      </w:r>
      <w:r w:rsidR="00AE5795" w:rsidRPr="003E4A43">
        <w:rPr>
          <w:rFonts w:asciiTheme="minorHAnsi" w:hAnsiTheme="minorHAnsi" w:cstheme="minorHAnsi"/>
        </w:rPr>
        <w:t xml:space="preserve">prescribe the kind of providers to whom Part </w:t>
      </w:r>
      <w:r w:rsidR="008777C7" w:rsidRPr="003E4A43">
        <w:rPr>
          <w:rFonts w:asciiTheme="minorHAnsi" w:hAnsiTheme="minorHAnsi" w:cstheme="minorHAnsi"/>
        </w:rPr>
        <w:t xml:space="preserve">5-1A of </w:t>
      </w:r>
      <w:r w:rsidR="00356F1F" w:rsidRPr="003E4A43">
        <w:rPr>
          <w:rFonts w:asciiTheme="minorHAnsi" w:hAnsiTheme="minorHAnsi" w:cstheme="minorHAnsi"/>
        </w:rPr>
        <w:t>the Act</w:t>
      </w:r>
      <w:r w:rsidR="008777C7" w:rsidRPr="003E4A43">
        <w:rPr>
          <w:rFonts w:asciiTheme="minorHAnsi" w:hAnsiTheme="minorHAnsi" w:cstheme="minorHAnsi"/>
        </w:rPr>
        <w:t xml:space="preserve"> does not apply, which includes Commonwealth, State and Territory owned higher education providers</w:t>
      </w:r>
      <w:r w:rsidR="00476A2E" w:rsidRPr="003E4A43">
        <w:rPr>
          <w:rFonts w:asciiTheme="minorHAnsi" w:hAnsiTheme="minorHAnsi" w:cstheme="minorHAnsi"/>
        </w:rPr>
        <w:t xml:space="preserve">. </w:t>
      </w:r>
    </w:p>
    <w:p w14:paraId="4424DE66" w14:textId="625FACDD" w:rsidR="00F75255" w:rsidRPr="003E4A43" w:rsidRDefault="008E1AD7" w:rsidP="008577CC">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8: </w:t>
      </w:r>
      <w:r w:rsidR="005060F3" w:rsidRPr="003E4A43">
        <w:rPr>
          <w:rFonts w:asciiTheme="minorHAnsi" w:hAnsiTheme="minorHAnsi" w:cstheme="minorHAnsi"/>
          <w:b/>
          <w:u w:val="single"/>
        </w:rPr>
        <w:t>Notice of amount of HELP tuition protection levy</w:t>
      </w:r>
    </w:p>
    <w:p w14:paraId="0B778BF4" w14:textId="6B834710" w:rsidR="005060F3" w:rsidRPr="003E4A43" w:rsidRDefault="00D15282"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8(1)</w:t>
      </w:r>
      <w:r w:rsidR="00A34D16" w:rsidRPr="003E4A43">
        <w:rPr>
          <w:rFonts w:asciiTheme="minorHAnsi" w:hAnsiTheme="minorHAnsi" w:cstheme="minorHAnsi"/>
        </w:rPr>
        <w:t xml:space="preserve"> sets out</w:t>
      </w:r>
      <w:r w:rsidR="00956597" w:rsidRPr="003E4A43">
        <w:rPr>
          <w:rFonts w:asciiTheme="minorHAnsi" w:hAnsiTheme="minorHAnsi" w:cstheme="minorHAnsi"/>
        </w:rPr>
        <w:t>, for the purposes of paragraphs 19-66A(3)(a)</w:t>
      </w:r>
      <w:r w:rsidR="005E3FB1" w:rsidRPr="003E4A43">
        <w:rPr>
          <w:rFonts w:asciiTheme="minorHAnsi" w:hAnsiTheme="minorHAnsi" w:cstheme="minorHAnsi"/>
        </w:rPr>
        <w:t xml:space="preserve"> and (b) of the Act,</w:t>
      </w:r>
      <w:r w:rsidR="00A34D16" w:rsidRPr="003E4A43">
        <w:rPr>
          <w:rFonts w:asciiTheme="minorHAnsi" w:hAnsiTheme="minorHAnsi" w:cstheme="minorHAnsi"/>
        </w:rPr>
        <w:t xml:space="preserve"> the matters which the Higher Education </w:t>
      </w:r>
      <w:r w:rsidR="00215098" w:rsidRPr="003E4A43">
        <w:rPr>
          <w:rFonts w:asciiTheme="minorHAnsi" w:hAnsiTheme="minorHAnsi" w:cstheme="minorHAnsi"/>
        </w:rPr>
        <w:t xml:space="preserve">Tuition Protection Director must include in a written notice to each </w:t>
      </w:r>
      <w:r w:rsidR="005A0647" w:rsidRPr="003E4A43">
        <w:rPr>
          <w:rFonts w:asciiTheme="minorHAnsi" w:hAnsiTheme="minorHAnsi" w:cstheme="minorHAnsi"/>
        </w:rPr>
        <w:t xml:space="preserve">higher education </w:t>
      </w:r>
      <w:r w:rsidR="00215098" w:rsidRPr="003E4A43">
        <w:rPr>
          <w:rFonts w:asciiTheme="minorHAnsi" w:hAnsiTheme="minorHAnsi" w:cstheme="minorHAnsi"/>
        </w:rPr>
        <w:t xml:space="preserve">provider who is liable to pay the </w:t>
      </w:r>
      <w:r w:rsidR="00ED2DEF" w:rsidRPr="003E4A43">
        <w:rPr>
          <w:rFonts w:asciiTheme="minorHAnsi" w:hAnsiTheme="minorHAnsi" w:cstheme="minorHAnsi"/>
        </w:rPr>
        <w:t xml:space="preserve">HELP tuition protection levy. </w:t>
      </w:r>
    </w:p>
    <w:p w14:paraId="3A21AD75" w14:textId="7DD7E660" w:rsidR="00D15282" w:rsidRPr="003E4A43" w:rsidRDefault="00D15282"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8(2) clarifies that even if the </w:t>
      </w:r>
      <w:r w:rsidR="0004161B" w:rsidRPr="003E4A43">
        <w:rPr>
          <w:rFonts w:asciiTheme="minorHAnsi" w:hAnsiTheme="minorHAnsi" w:cstheme="minorHAnsi"/>
        </w:rPr>
        <w:t xml:space="preserve">Higher Education Tuition Protection </w:t>
      </w:r>
      <w:r w:rsidRPr="003E4A43">
        <w:rPr>
          <w:rFonts w:asciiTheme="minorHAnsi" w:hAnsiTheme="minorHAnsi" w:cstheme="minorHAnsi"/>
        </w:rPr>
        <w:t xml:space="preserve">Director does not give a provider a notice in accordance with </w:t>
      </w:r>
      <w:r w:rsidR="006127F7" w:rsidRPr="003E4A43">
        <w:rPr>
          <w:rFonts w:asciiTheme="minorHAnsi" w:hAnsiTheme="minorHAnsi" w:cstheme="minorHAnsi"/>
        </w:rPr>
        <w:t>subsection (1)</w:t>
      </w:r>
      <w:r w:rsidR="005D68B4" w:rsidRPr="003E4A43">
        <w:rPr>
          <w:rFonts w:asciiTheme="minorHAnsi" w:hAnsiTheme="minorHAnsi" w:cstheme="minorHAnsi"/>
        </w:rPr>
        <w:t xml:space="preserve">, the provider is still liable to pay the </w:t>
      </w:r>
      <w:r w:rsidR="003F1FC3" w:rsidRPr="003E4A43">
        <w:rPr>
          <w:rFonts w:asciiTheme="minorHAnsi" w:hAnsiTheme="minorHAnsi" w:cstheme="minorHAnsi"/>
        </w:rPr>
        <w:t xml:space="preserve">HELP tuition protection </w:t>
      </w:r>
      <w:r w:rsidR="003374DD" w:rsidRPr="003E4A43">
        <w:rPr>
          <w:rFonts w:asciiTheme="minorHAnsi" w:hAnsiTheme="minorHAnsi" w:cstheme="minorHAnsi"/>
        </w:rPr>
        <w:t>l</w:t>
      </w:r>
      <w:r w:rsidR="005D68B4" w:rsidRPr="003E4A43">
        <w:rPr>
          <w:rFonts w:asciiTheme="minorHAnsi" w:hAnsiTheme="minorHAnsi" w:cstheme="minorHAnsi"/>
        </w:rPr>
        <w:t xml:space="preserve">evy. The notes under </w:t>
      </w:r>
      <w:r w:rsidR="006127F7" w:rsidRPr="003E4A43">
        <w:rPr>
          <w:rFonts w:asciiTheme="minorHAnsi" w:hAnsiTheme="minorHAnsi" w:cstheme="minorHAnsi"/>
        </w:rPr>
        <w:t>subsection (2)</w:t>
      </w:r>
      <w:r w:rsidR="005D68B4" w:rsidRPr="003E4A43">
        <w:rPr>
          <w:rFonts w:asciiTheme="minorHAnsi" w:hAnsiTheme="minorHAnsi" w:cstheme="minorHAnsi"/>
        </w:rPr>
        <w:t xml:space="preserve"> outline that the </w:t>
      </w:r>
      <w:r w:rsidR="003B3AAF" w:rsidRPr="003E4A43">
        <w:rPr>
          <w:rFonts w:asciiTheme="minorHAnsi" w:hAnsiTheme="minorHAnsi" w:cstheme="minorHAnsi"/>
        </w:rPr>
        <w:t xml:space="preserve">HELP tuition protection </w:t>
      </w:r>
      <w:r w:rsidR="004C51D9" w:rsidRPr="003E4A43">
        <w:rPr>
          <w:rFonts w:asciiTheme="minorHAnsi" w:hAnsiTheme="minorHAnsi" w:cstheme="minorHAnsi"/>
        </w:rPr>
        <w:t>l</w:t>
      </w:r>
      <w:r w:rsidR="005D68B4" w:rsidRPr="003E4A43">
        <w:rPr>
          <w:rFonts w:asciiTheme="minorHAnsi" w:hAnsiTheme="minorHAnsi" w:cstheme="minorHAnsi"/>
        </w:rPr>
        <w:t xml:space="preserve">evy is imposed on a higher education provider to whom Part 5-1A of </w:t>
      </w:r>
      <w:r w:rsidR="003374DD" w:rsidRPr="003E4A43">
        <w:rPr>
          <w:rFonts w:asciiTheme="minorHAnsi" w:hAnsiTheme="minorHAnsi" w:cstheme="minorHAnsi"/>
        </w:rPr>
        <w:t>the Act</w:t>
      </w:r>
      <w:r w:rsidR="005D68B4" w:rsidRPr="003E4A43">
        <w:rPr>
          <w:rFonts w:asciiTheme="minorHAnsi" w:hAnsiTheme="minorHAnsi" w:cstheme="minorHAnsi"/>
        </w:rPr>
        <w:t xml:space="preserve"> applies and a provider is required to pay the</w:t>
      </w:r>
      <w:r w:rsidR="003F1FC3" w:rsidRPr="003E4A43">
        <w:rPr>
          <w:rFonts w:asciiTheme="minorHAnsi" w:hAnsiTheme="minorHAnsi" w:cstheme="minorHAnsi"/>
        </w:rPr>
        <w:t xml:space="preserve"> HELP tuition protection</w:t>
      </w:r>
      <w:r w:rsidR="005D68B4" w:rsidRPr="003E4A43">
        <w:rPr>
          <w:rFonts w:asciiTheme="minorHAnsi" w:hAnsiTheme="minorHAnsi" w:cstheme="minorHAnsi"/>
        </w:rPr>
        <w:t xml:space="preserve"> </w:t>
      </w:r>
      <w:r w:rsidR="003374DD" w:rsidRPr="003E4A43">
        <w:rPr>
          <w:rFonts w:asciiTheme="minorHAnsi" w:hAnsiTheme="minorHAnsi" w:cstheme="minorHAnsi"/>
        </w:rPr>
        <w:t>l</w:t>
      </w:r>
      <w:r w:rsidR="005D68B4" w:rsidRPr="003E4A43">
        <w:rPr>
          <w:rFonts w:asciiTheme="minorHAnsi" w:hAnsiTheme="minorHAnsi" w:cstheme="minorHAnsi"/>
        </w:rPr>
        <w:t>evy when it is due and payable.</w:t>
      </w:r>
    </w:p>
    <w:p w14:paraId="531B8C83" w14:textId="55A2BD2D" w:rsidR="00801798" w:rsidRPr="003E4A43" w:rsidRDefault="00801798"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8(3) </w:t>
      </w:r>
      <w:r w:rsidR="00C32596" w:rsidRPr="003E4A43">
        <w:rPr>
          <w:rFonts w:asciiTheme="minorHAnsi" w:hAnsiTheme="minorHAnsi" w:cstheme="minorHAnsi"/>
        </w:rPr>
        <w:t xml:space="preserve">explains that a notice under subsection 8(1) does not need to be given to the </w:t>
      </w:r>
      <w:r w:rsidR="003B3AAF" w:rsidRPr="003E4A43">
        <w:rPr>
          <w:rFonts w:asciiTheme="minorHAnsi" w:hAnsiTheme="minorHAnsi" w:cstheme="minorHAnsi"/>
        </w:rPr>
        <w:t xml:space="preserve">higher education </w:t>
      </w:r>
      <w:r w:rsidR="00C32596" w:rsidRPr="003E4A43">
        <w:rPr>
          <w:rFonts w:asciiTheme="minorHAnsi" w:hAnsiTheme="minorHAnsi" w:cstheme="minorHAnsi"/>
        </w:rPr>
        <w:t xml:space="preserve">provider if the provider’s liability to pay the </w:t>
      </w:r>
      <w:r w:rsidR="003B3AAF" w:rsidRPr="003E4A43">
        <w:rPr>
          <w:rFonts w:asciiTheme="minorHAnsi" w:hAnsiTheme="minorHAnsi" w:cstheme="minorHAnsi"/>
        </w:rPr>
        <w:t xml:space="preserve">HELP tuition protection </w:t>
      </w:r>
      <w:r w:rsidR="003374DD" w:rsidRPr="003E4A43">
        <w:rPr>
          <w:rFonts w:asciiTheme="minorHAnsi" w:hAnsiTheme="minorHAnsi" w:cstheme="minorHAnsi"/>
        </w:rPr>
        <w:t>l</w:t>
      </w:r>
      <w:r w:rsidR="00C32596" w:rsidRPr="003E4A43">
        <w:rPr>
          <w:rFonts w:asciiTheme="minorHAnsi" w:hAnsiTheme="minorHAnsi" w:cstheme="minorHAnsi"/>
        </w:rPr>
        <w:t xml:space="preserve">evy is waived under section 10. </w:t>
      </w:r>
    </w:p>
    <w:p w14:paraId="686B3ABC" w14:textId="6C7528F1" w:rsidR="0062397C" w:rsidRPr="003E4A43" w:rsidRDefault="0062397C" w:rsidP="008577CC">
      <w:pPr>
        <w:spacing w:before="360" w:after="120"/>
        <w:rPr>
          <w:rFonts w:asciiTheme="minorHAnsi" w:hAnsiTheme="minorHAnsi" w:cstheme="minorHAnsi"/>
          <w:b/>
          <w:u w:val="single"/>
        </w:rPr>
      </w:pPr>
      <w:r w:rsidRPr="003E4A43">
        <w:rPr>
          <w:rFonts w:asciiTheme="minorHAnsi" w:hAnsiTheme="minorHAnsi" w:cstheme="minorHAnsi"/>
          <w:b/>
          <w:u w:val="single"/>
        </w:rPr>
        <w:t>Section 9: Overdue notice</w:t>
      </w:r>
    </w:p>
    <w:p w14:paraId="349AF1ED" w14:textId="5F403E30" w:rsidR="007070F8" w:rsidRPr="003E4A43" w:rsidRDefault="003E69C4"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9(1)</w:t>
      </w:r>
      <w:r w:rsidR="007F456D" w:rsidRPr="003E4A43">
        <w:rPr>
          <w:rFonts w:asciiTheme="minorHAnsi" w:hAnsiTheme="minorHAnsi" w:cstheme="minorHAnsi"/>
        </w:rPr>
        <w:t xml:space="preserve"> provides that</w:t>
      </w:r>
      <w:r w:rsidR="00B26E12" w:rsidRPr="003E4A43">
        <w:rPr>
          <w:rFonts w:asciiTheme="minorHAnsi" w:hAnsiTheme="minorHAnsi" w:cstheme="minorHAnsi"/>
        </w:rPr>
        <w:t xml:space="preserve">, for the purposes of </w:t>
      </w:r>
      <w:r w:rsidR="00016FF3" w:rsidRPr="003E4A43">
        <w:rPr>
          <w:rFonts w:asciiTheme="minorHAnsi" w:hAnsiTheme="minorHAnsi" w:cstheme="minorHAnsi"/>
        </w:rPr>
        <w:t>paragraph 19-66A(3)(a) of the Act,</w:t>
      </w:r>
      <w:r w:rsidR="007F456D" w:rsidRPr="003E4A43">
        <w:rPr>
          <w:rFonts w:asciiTheme="minorHAnsi" w:hAnsiTheme="minorHAnsi" w:cstheme="minorHAnsi"/>
        </w:rPr>
        <w:t xml:space="preserve"> the </w:t>
      </w:r>
      <w:r w:rsidR="00080207" w:rsidRPr="003E4A43">
        <w:rPr>
          <w:rFonts w:asciiTheme="minorHAnsi" w:hAnsiTheme="minorHAnsi" w:cstheme="minorHAnsi"/>
        </w:rPr>
        <w:t xml:space="preserve">Higher Education Tuition Protection </w:t>
      </w:r>
      <w:r w:rsidR="007F456D" w:rsidRPr="003E4A43">
        <w:rPr>
          <w:rFonts w:asciiTheme="minorHAnsi" w:hAnsiTheme="minorHAnsi" w:cstheme="minorHAnsi"/>
        </w:rPr>
        <w:t xml:space="preserve">Director may give a written overdue notice </w:t>
      </w:r>
      <w:r w:rsidR="007F456D" w:rsidRPr="003E4A43">
        <w:rPr>
          <w:rFonts w:asciiTheme="minorHAnsi" w:hAnsiTheme="minorHAnsi" w:cstheme="minorHAnsi"/>
        </w:rPr>
        <w:lastRenderedPageBreak/>
        <w:t xml:space="preserve">to </w:t>
      </w:r>
      <w:r w:rsidR="003F1FC3" w:rsidRPr="003E4A43">
        <w:rPr>
          <w:rFonts w:asciiTheme="minorHAnsi" w:hAnsiTheme="minorHAnsi" w:cstheme="minorHAnsi"/>
        </w:rPr>
        <w:t xml:space="preserve">the higher education </w:t>
      </w:r>
      <w:r w:rsidR="007F456D" w:rsidRPr="003E4A43">
        <w:rPr>
          <w:rFonts w:asciiTheme="minorHAnsi" w:hAnsiTheme="minorHAnsi" w:cstheme="minorHAnsi"/>
        </w:rPr>
        <w:t xml:space="preserve">provider to comply with a notice issued under </w:t>
      </w:r>
      <w:r w:rsidRPr="003E4A43">
        <w:rPr>
          <w:rFonts w:asciiTheme="minorHAnsi" w:hAnsiTheme="minorHAnsi" w:cstheme="minorHAnsi"/>
        </w:rPr>
        <w:t>subsection 8(1)</w:t>
      </w:r>
      <w:r w:rsidR="0030639D" w:rsidRPr="003E4A43">
        <w:rPr>
          <w:rFonts w:asciiTheme="minorHAnsi" w:hAnsiTheme="minorHAnsi" w:cstheme="minorHAnsi"/>
        </w:rPr>
        <w:t xml:space="preserve"> </w:t>
      </w:r>
      <w:r w:rsidR="007F456D" w:rsidRPr="003E4A43">
        <w:rPr>
          <w:rFonts w:asciiTheme="minorHAnsi" w:hAnsiTheme="minorHAnsi" w:cstheme="minorHAnsi"/>
        </w:rPr>
        <w:t>after the date the</w:t>
      </w:r>
      <w:r w:rsidR="003B3AAF" w:rsidRPr="003E4A43">
        <w:rPr>
          <w:rFonts w:asciiTheme="minorHAnsi" w:hAnsiTheme="minorHAnsi" w:cstheme="minorHAnsi"/>
        </w:rPr>
        <w:t xml:space="preserve"> HELP tuition protection</w:t>
      </w:r>
      <w:r w:rsidR="007F456D" w:rsidRPr="003E4A43">
        <w:rPr>
          <w:rFonts w:asciiTheme="minorHAnsi" w:hAnsiTheme="minorHAnsi" w:cstheme="minorHAnsi"/>
        </w:rPr>
        <w:t xml:space="preserve"> </w:t>
      </w:r>
      <w:r w:rsidR="00AF2CB9" w:rsidRPr="003E4A43">
        <w:rPr>
          <w:rFonts w:asciiTheme="minorHAnsi" w:hAnsiTheme="minorHAnsi" w:cstheme="minorHAnsi"/>
        </w:rPr>
        <w:t>l</w:t>
      </w:r>
      <w:r w:rsidR="007F456D" w:rsidRPr="003E4A43">
        <w:rPr>
          <w:rFonts w:asciiTheme="minorHAnsi" w:hAnsiTheme="minorHAnsi" w:cstheme="minorHAnsi"/>
        </w:rPr>
        <w:t xml:space="preserve">evy is due and payable. </w:t>
      </w:r>
    </w:p>
    <w:p w14:paraId="2309B44A" w14:textId="677153ED" w:rsidR="007F456D" w:rsidRPr="003E4A43" w:rsidRDefault="007070F8"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9(2)</w:t>
      </w:r>
      <w:r w:rsidR="007F456D" w:rsidRPr="003E4A43">
        <w:rPr>
          <w:rFonts w:asciiTheme="minorHAnsi" w:hAnsiTheme="minorHAnsi" w:cstheme="minorHAnsi"/>
        </w:rPr>
        <w:t xml:space="preserve"> specifies the matters the overdue notice must include. </w:t>
      </w:r>
    </w:p>
    <w:p w14:paraId="465637A6" w14:textId="6D4133C5" w:rsidR="007F456D" w:rsidRPr="003E4A43" w:rsidRDefault="007070F8" w:rsidP="008577CC">
      <w:pPr>
        <w:spacing w:before="360" w:after="120"/>
        <w:rPr>
          <w:rFonts w:asciiTheme="minorHAnsi" w:hAnsiTheme="minorHAnsi" w:cstheme="minorHAnsi"/>
          <w:b/>
          <w:u w:val="single"/>
        </w:rPr>
      </w:pPr>
      <w:r w:rsidRPr="003E4A43">
        <w:rPr>
          <w:rFonts w:asciiTheme="minorHAnsi" w:hAnsiTheme="minorHAnsi" w:cstheme="minorHAnsi"/>
          <w:b/>
          <w:u w:val="single"/>
        </w:rPr>
        <w:t>Section 10: Waiver</w:t>
      </w:r>
    </w:p>
    <w:p w14:paraId="74A1C10E" w14:textId="76A713C4" w:rsidR="007F456D" w:rsidRPr="003E4A43" w:rsidRDefault="00257026"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This section</w:t>
      </w:r>
      <w:r w:rsidR="002212C4" w:rsidRPr="003E4A43">
        <w:rPr>
          <w:rFonts w:asciiTheme="minorHAnsi" w:hAnsiTheme="minorHAnsi" w:cstheme="minorHAnsi"/>
        </w:rPr>
        <w:t xml:space="preserve"> </w:t>
      </w:r>
      <w:r w:rsidR="007F456D" w:rsidRPr="003E4A43">
        <w:rPr>
          <w:rFonts w:asciiTheme="minorHAnsi" w:hAnsiTheme="minorHAnsi" w:cstheme="minorHAnsi"/>
        </w:rPr>
        <w:t>provides that</w:t>
      </w:r>
      <w:r w:rsidR="00DD033E" w:rsidRPr="003E4A43">
        <w:rPr>
          <w:rFonts w:asciiTheme="minorHAnsi" w:hAnsiTheme="minorHAnsi" w:cstheme="minorHAnsi"/>
        </w:rPr>
        <w:t>, for the purposes of paragraph 19-66A(3)(f) of the Act,</w:t>
      </w:r>
      <w:r w:rsidR="007F456D" w:rsidRPr="003E4A43">
        <w:rPr>
          <w:rFonts w:asciiTheme="minorHAnsi" w:hAnsiTheme="minorHAnsi" w:cstheme="minorHAnsi"/>
        </w:rPr>
        <w:t xml:space="preserve"> the liability to pay the </w:t>
      </w:r>
      <w:r w:rsidR="004F7003" w:rsidRPr="003E4A43">
        <w:rPr>
          <w:rFonts w:asciiTheme="minorHAnsi" w:hAnsiTheme="minorHAnsi" w:cstheme="minorHAnsi"/>
        </w:rPr>
        <w:t xml:space="preserve">HELP tuition protection </w:t>
      </w:r>
      <w:r w:rsidR="00AF2CB9" w:rsidRPr="003E4A43">
        <w:rPr>
          <w:rFonts w:asciiTheme="minorHAnsi" w:hAnsiTheme="minorHAnsi" w:cstheme="minorHAnsi"/>
        </w:rPr>
        <w:t>l</w:t>
      </w:r>
      <w:r w:rsidR="007F456D" w:rsidRPr="003E4A43">
        <w:rPr>
          <w:rFonts w:asciiTheme="minorHAnsi" w:hAnsiTheme="minorHAnsi" w:cstheme="minorHAnsi"/>
        </w:rPr>
        <w:t xml:space="preserve">evy is waived if prior to the time the </w:t>
      </w:r>
      <w:r w:rsidR="004F7003" w:rsidRPr="003E4A43">
        <w:rPr>
          <w:rFonts w:asciiTheme="minorHAnsi" w:hAnsiTheme="minorHAnsi" w:cstheme="minorHAnsi"/>
        </w:rPr>
        <w:t xml:space="preserve">Higher Education Tuition Protection </w:t>
      </w:r>
      <w:r w:rsidR="007F456D" w:rsidRPr="003E4A43">
        <w:rPr>
          <w:rFonts w:asciiTheme="minorHAnsi" w:hAnsiTheme="minorHAnsi" w:cstheme="minorHAnsi"/>
        </w:rPr>
        <w:t xml:space="preserve">Director issues a notice under </w:t>
      </w:r>
      <w:r w:rsidR="006567EA" w:rsidRPr="003E4A43">
        <w:rPr>
          <w:rFonts w:asciiTheme="minorHAnsi" w:hAnsiTheme="minorHAnsi" w:cstheme="minorHAnsi"/>
        </w:rPr>
        <w:t>subsection 8(1)</w:t>
      </w:r>
      <w:r w:rsidR="007F456D" w:rsidRPr="003E4A43">
        <w:rPr>
          <w:rFonts w:asciiTheme="minorHAnsi" w:hAnsiTheme="minorHAnsi" w:cstheme="minorHAnsi"/>
        </w:rPr>
        <w:t xml:space="preserve">, the </w:t>
      </w:r>
      <w:r w:rsidR="000D7505" w:rsidRPr="003E4A43">
        <w:rPr>
          <w:rFonts w:asciiTheme="minorHAnsi" w:hAnsiTheme="minorHAnsi" w:cstheme="minorHAnsi"/>
        </w:rPr>
        <w:t xml:space="preserve">higher education </w:t>
      </w:r>
      <w:r w:rsidR="007F456D" w:rsidRPr="003E4A43">
        <w:rPr>
          <w:rFonts w:asciiTheme="minorHAnsi" w:hAnsiTheme="minorHAnsi" w:cstheme="minorHAnsi"/>
        </w:rPr>
        <w:t xml:space="preserve">provider’s approval is revoked under </w:t>
      </w:r>
      <w:r w:rsidR="004C51D9" w:rsidRPr="003E4A43">
        <w:rPr>
          <w:rFonts w:asciiTheme="minorHAnsi" w:hAnsiTheme="minorHAnsi" w:cstheme="minorHAnsi"/>
        </w:rPr>
        <w:t>the Act</w:t>
      </w:r>
      <w:r w:rsidR="007F456D" w:rsidRPr="003E4A43">
        <w:rPr>
          <w:rFonts w:asciiTheme="minorHAnsi" w:hAnsiTheme="minorHAnsi" w:cstheme="minorHAnsi"/>
        </w:rPr>
        <w:t>,</w:t>
      </w:r>
      <w:r w:rsidR="00802FAE" w:rsidRPr="003E4A43">
        <w:rPr>
          <w:rFonts w:asciiTheme="minorHAnsi" w:hAnsiTheme="minorHAnsi" w:cstheme="minorHAnsi"/>
        </w:rPr>
        <w:t xml:space="preserve"> or</w:t>
      </w:r>
      <w:r w:rsidR="007F456D" w:rsidRPr="003E4A43">
        <w:rPr>
          <w:rFonts w:asciiTheme="minorHAnsi" w:hAnsiTheme="minorHAnsi" w:cstheme="minorHAnsi"/>
        </w:rPr>
        <w:t xml:space="preserve"> the provider’s registration is cancelled under the </w:t>
      </w:r>
      <w:r w:rsidR="007F456D" w:rsidRPr="003E4A43">
        <w:rPr>
          <w:rFonts w:asciiTheme="minorHAnsi" w:hAnsiTheme="minorHAnsi" w:cstheme="minorHAnsi"/>
          <w:i/>
          <w:iCs/>
        </w:rPr>
        <w:t xml:space="preserve">Tertiary Education Quality and Standards Agency Act 2011 </w:t>
      </w:r>
      <w:r w:rsidR="007F456D" w:rsidRPr="003E4A43">
        <w:rPr>
          <w:rFonts w:asciiTheme="minorHAnsi" w:hAnsiTheme="minorHAnsi" w:cstheme="minorHAnsi"/>
        </w:rPr>
        <w:t xml:space="preserve">or the provider is no longer in operation. </w:t>
      </w:r>
    </w:p>
    <w:p w14:paraId="451B92A1" w14:textId="4A6C0E8A" w:rsidR="000F06BF" w:rsidRPr="003E4A43" w:rsidRDefault="000F06BF"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The note to this section provides that liability to pay the HELP tuition protection levy was waived for all higher education providers for the calendar years 2020 and 2021. </w:t>
      </w:r>
    </w:p>
    <w:p w14:paraId="7C78298C" w14:textId="2BAB2D42" w:rsidR="007F456D" w:rsidRPr="003E4A43" w:rsidRDefault="00E47497" w:rsidP="008577CC">
      <w:pPr>
        <w:spacing w:before="360" w:after="120"/>
        <w:rPr>
          <w:rFonts w:asciiTheme="minorHAnsi" w:hAnsiTheme="minorHAnsi" w:cstheme="minorHAnsi"/>
          <w:b/>
          <w:u w:val="single"/>
        </w:rPr>
      </w:pPr>
      <w:r w:rsidRPr="003E4A43">
        <w:rPr>
          <w:rFonts w:asciiTheme="minorHAnsi" w:hAnsiTheme="minorHAnsi" w:cstheme="minorHAnsi"/>
          <w:b/>
          <w:u w:val="single"/>
        </w:rPr>
        <w:t>Section 11: Internal review of notice issued under subsection 8(1)</w:t>
      </w:r>
    </w:p>
    <w:p w14:paraId="54016696" w14:textId="6A5D1A2F" w:rsidR="00281337" w:rsidRPr="003E4A43" w:rsidRDefault="00053ECA"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This section</w:t>
      </w:r>
      <w:r w:rsidR="007F456D" w:rsidRPr="003E4A43">
        <w:rPr>
          <w:rFonts w:asciiTheme="minorHAnsi" w:hAnsiTheme="minorHAnsi" w:cstheme="minorHAnsi"/>
        </w:rPr>
        <w:t xml:space="preserve"> sets out</w:t>
      </w:r>
      <w:r w:rsidR="00211BF4" w:rsidRPr="003E4A43">
        <w:rPr>
          <w:rFonts w:asciiTheme="minorHAnsi" w:hAnsiTheme="minorHAnsi" w:cstheme="minorHAnsi"/>
        </w:rPr>
        <w:t xml:space="preserve">, for the purposes of paragraph 19-66A(3)(g) of the Act, </w:t>
      </w:r>
      <w:r w:rsidR="007F456D" w:rsidRPr="003E4A43">
        <w:rPr>
          <w:rFonts w:asciiTheme="minorHAnsi" w:hAnsiTheme="minorHAnsi" w:cstheme="minorHAnsi"/>
        </w:rPr>
        <w:t>the process</w:t>
      </w:r>
      <w:r w:rsidR="00617BAC" w:rsidRPr="003E4A43">
        <w:rPr>
          <w:rFonts w:asciiTheme="minorHAnsi" w:hAnsiTheme="minorHAnsi" w:cstheme="minorHAnsi"/>
        </w:rPr>
        <w:t xml:space="preserve"> </w:t>
      </w:r>
      <w:r w:rsidR="00CF17D2" w:rsidRPr="003E4A43">
        <w:rPr>
          <w:rFonts w:asciiTheme="minorHAnsi" w:hAnsiTheme="minorHAnsi" w:cstheme="minorHAnsi"/>
        </w:rPr>
        <w:t xml:space="preserve">for internal review </w:t>
      </w:r>
      <w:r w:rsidR="00617BAC" w:rsidRPr="003E4A43">
        <w:rPr>
          <w:rFonts w:asciiTheme="minorHAnsi" w:hAnsiTheme="minorHAnsi" w:cstheme="minorHAnsi"/>
        </w:rPr>
        <w:t>of a notice issued under subsection 8(1)</w:t>
      </w:r>
      <w:r w:rsidR="007F456D" w:rsidRPr="003E4A43">
        <w:rPr>
          <w:rFonts w:asciiTheme="minorHAnsi" w:hAnsiTheme="minorHAnsi" w:cstheme="minorHAnsi"/>
        </w:rPr>
        <w:t xml:space="preserve">. </w:t>
      </w:r>
    </w:p>
    <w:p w14:paraId="19D44E8F" w14:textId="10C25FE8" w:rsidR="00D55B98" w:rsidRPr="003E4A43" w:rsidRDefault="00281337"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2212C4" w:rsidRPr="003E4A43">
        <w:rPr>
          <w:rFonts w:asciiTheme="minorHAnsi" w:hAnsiTheme="minorHAnsi" w:cstheme="minorHAnsi"/>
        </w:rPr>
        <w:t xml:space="preserve">11(1) </w:t>
      </w:r>
      <w:r w:rsidR="00D55B98" w:rsidRPr="003E4A43">
        <w:rPr>
          <w:rFonts w:asciiTheme="minorHAnsi" w:hAnsiTheme="minorHAnsi" w:cstheme="minorHAnsi"/>
        </w:rPr>
        <w:t xml:space="preserve">provides that a higher education provider may request the Higher Education Tuition Protection Director </w:t>
      </w:r>
      <w:r w:rsidR="00FF7E5F" w:rsidRPr="003E4A43">
        <w:rPr>
          <w:rFonts w:asciiTheme="minorHAnsi" w:hAnsiTheme="minorHAnsi" w:cstheme="minorHAnsi"/>
        </w:rPr>
        <w:t xml:space="preserve">to reconsider a notice issued under subsection 8(1) </w:t>
      </w:r>
      <w:r w:rsidR="00D32951" w:rsidRPr="003E4A43">
        <w:rPr>
          <w:rFonts w:asciiTheme="minorHAnsi" w:hAnsiTheme="minorHAnsi" w:cstheme="minorHAnsi"/>
        </w:rPr>
        <w:t xml:space="preserve">in </w:t>
      </w:r>
      <w:r w:rsidR="000F7A94" w:rsidRPr="003E4A43">
        <w:rPr>
          <w:rFonts w:asciiTheme="minorHAnsi" w:hAnsiTheme="minorHAnsi" w:cstheme="minorHAnsi"/>
        </w:rPr>
        <w:t>relation to the determination of any components of the HELP tuition protection levy</w:t>
      </w:r>
      <w:r w:rsidR="001964D2" w:rsidRPr="003E4A43">
        <w:rPr>
          <w:rFonts w:asciiTheme="minorHAnsi" w:hAnsiTheme="minorHAnsi" w:cstheme="minorHAnsi"/>
        </w:rPr>
        <w:t xml:space="preserve"> (</w:t>
      </w:r>
      <w:r w:rsidR="001964D2" w:rsidRPr="003E4A43">
        <w:rPr>
          <w:rFonts w:asciiTheme="minorHAnsi" w:hAnsiTheme="minorHAnsi" w:cstheme="minorHAnsi"/>
          <w:b/>
          <w:bCs/>
        </w:rPr>
        <w:t>decision</w:t>
      </w:r>
      <w:r w:rsidR="001964D2" w:rsidRPr="003E4A43">
        <w:rPr>
          <w:rFonts w:asciiTheme="minorHAnsi" w:hAnsiTheme="minorHAnsi" w:cstheme="minorHAnsi"/>
        </w:rPr>
        <w:t>)</w:t>
      </w:r>
      <w:r w:rsidR="000F7A94" w:rsidRPr="003E4A43">
        <w:rPr>
          <w:rFonts w:asciiTheme="minorHAnsi" w:hAnsiTheme="minorHAnsi" w:cstheme="minorHAnsi"/>
        </w:rPr>
        <w:t xml:space="preserve">. </w:t>
      </w:r>
      <w:r w:rsidR="002212C4" w:rsidRPr="003E4A43">
        <w:rPr>
          <w:rFonts w:asciiTheme="minorHAnsi" w:hAnsiTheme="minorHAnsi" w:cstheme="minorHAnsi"/>
        </w:rPr>
        <w:t xml:space="preserve"> </w:t>
      </w:r>
    </w:p>
    <w:p w14:paraId="4984303A" w14:textId="7449E194" w:rsidR="009C32B0" w:rsidRPr="003E4A43" w:rsidRDefault="00D55B98"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11</w:t>
      </w:r>
      <w:r w:rsidR="002212C4" w:rsidRPr="003E4A43">
        <w:rPr>
          <w:rFonts w:asciiTheme="minorHAnsi" w:hAnsiTheme="minorHAnsi" w:cstheme="minorHAnsi"/>
        </w:rPr>
        <w:t xml:space="preserve">(2) provides that </w:t>
      </w:r>
      <w:r w:rsidR="001C457B" w:rsidRPr="003E4A43">
        <w:rPr>
          <w:rFonts w:asciiTheme="minorHAnsi" w:hAnsiTheme="minorHAnsi" w:cstheme="minorHAnsi"/>
        </w:rPr>
        <w:t>the</w:t>
      </w:r>
      <w:r w:rsidR="007F456D" w:rsidRPr="003E4A43">
        <w:rPr>
          <w:rFonts w:asciiTheme="minorHAnsi" w:hAnsiTheme="minorHAnsi" w:cstheme="minorHAnsi"/>
        </w:rPr>
        <w:t xml:space="preserve"> request</w:t>
      </w:r>
      <w:r w:rsidR="00CF62EF" w:rsidRPr="003E4A43">
        <w:rPr>
          <w:rFonts w:asciiTheme="minorHAnsi" w:hAnsiTheme="minorHAnsi" w:cstheme="minorHAnsi"/>
        </w:rPr>
        <w:t xml:space="preserve"> by a higher education provider</w:t>
      </w:r>
      <w:r w:rsidR="001C457B" w:rsidRPr="003E4A43">
        <w:rPr>
          <w:rFonts w:asciiTheme="minorHAnsi" w:hAnsiTheme="minorHAnsi" w:cstheme="minorHAnsi"/>
        </w:rPr>
        <w:t xml:space="preserve"> must be</w:t>
      </w:r>
      <w:r w:rsidR="007F456D" w:rsidRPr="003E4A43">
        <w:rPr>
          <w:rFonts w:asciiTheme="minorHAnsi" w:hAnsiTheme="minorHAnsi" w:cstheme="minorHAnsi"/>
        </w:rPr>
        <w:t xml:space="preserve"> in writing and give</w:t>
      </w:r>
      <w:r w:rsidR="009D3D3B" w:rsidRPr="003E4A43">
        <w:rPr>
          <w:rFonts w:asciiTheme="minorHAnsi" w:hAnsiTheme="minorHAnsi" w:cstheme="minorHAnsi"/>
        </w:rPr>
        <w:t>n</w:t>
      </w:r>
      <w:r w:rsidR="007F456D" w:rsidRPr="003E4A43">
        <w:rPr>
          <w:rFonts w:asciiTheme="minorHAnsi" w:hAnsiTheme="minorHAnsi" w:cstheme="minorHAnsi"/>
        </w:rPr>
        <w:t xml:space="preserve"> to the </w:t>
      </w:r>
      <w:r w:rsidR="00C92F2E" w:rsidRPr="003E4A43">
        <w:rPr>
          <w:rFonts w:asciiTheme="minorHAnsi" w:hAnsiTheme="minorHAnsi" w:cstheme="minorHAnsi"/>
        </w:rPr>
        <w:t xml:space="preserve">Higher Education Tuition Protection </w:t>
      </w:r>
      <w:r w:rsidR="007F456D" w:rsidRPr="003E4A43">
        <w:rPr>
          <w:rFonts w:asciiTheme="minorHAnsi" w:hAnsiTheme="minorHAnsi" w:cstheme="minorHAnsi"/>
        </w:rPr>
        <w:t xml:space="preserve">Director within 14 days after the day on which the provider received the notice. </w:t>
      </w:r>
    </w:p>
    <w:p w14:paraId="0BCC284E" w14:textId="6F6FC045" w:rsidR="00C64B3B" w:rsidRPr="003E4A43" w:rsidRDefault="00C64B3B"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11(3)</w:t>
      </w:r>
      <w:r w:rsidR="007F456D" w:rsidRPr="003E4A43">
        <w:rPr>
          <w:rFonts w:asciiTheme="minorHAnsi" w:hAnsiTheme="minorHAnsi" w:cstheme="minorHAnsi"/>
        </w:rPr>
        <w:t xml:space="preserve"> provides that </w:t>
      </w:r>
      <w:r w:rsidR="001A4488" w:rsidRPr="003E4A43">
        <w:rPr>
          <w:rFonts w:asciiTheme="minorHAnsi" w:hAnsiTheme="minorHAnsi" w:cstheme="minorHAnsi"/>
        </w:rPr>
        <w:t xml:space="preserve">after </w:t>
      </w:r>
      <w:r w:rsidR="00407222" w:rsidRPr="003E4A43">
        <w:rPr>
          <w:rFonts w:asciiTheme="minorHAnsi" w:hAnsiTheme="minorHAnsi" w:cstheme="minorHAnsi"/>
        </w:rPr>
        <w:t xml:space="preserve">receiving the provider’s request, </w:t>
      </w:r>
      <w:r w:rsidR="007F456D" w:rsidRPr="003E4A43">
        <w:rPr>
          <w:rFonts w:asciiTheme="minorHAnsi" w:hAnsiTheme="minorHAnsi" w:cstheme="minorHAnsi"/>
        </w:rPr>
        <w:t xml:space="preserve">the </w:t>
      </w:r>
      <w:r w:rsidR="000A38BF" w:rsidRPr="003E4A43">
        <w:rPr>
          <w:rFonts w:asciiTheme="minorHAnsi" w:hAnsiTheme="minorHAnsi" w:cstheme="minorHAnsi"/>
        </w:rPr>
        <w:t>Higher Education</w:t>
      </w:r>
      <w:r w:rsidR="006902BB" w:rsidRPr="003E4A43">
        <w:rPr>
          <w:rFonts w:asciiTheme="minorHAnsi" w:hAnsiTheme="minorHAnsi" w:cstheme="minorHAnsi"/>
        </w:rPr>
        <w:t xml:space="preserve"> Tuition</w:t>
      </w:r>
      <w:r w:rsidR="000A38BF" w:rsidRPr="003E4A43">
        <w:rPr>
          <w:rFonts w:asciiTheme="minorHAnsi" w:hAnsiTheme="minorHAnsi" w:cstheme="minorHAnsi"/>
        </w:rPr>
        <w:t xml:space="preserve"> Protection </w:t>
      </w:r>
      <w:r w:rsidR="007F456D" w:rsidRPr="003E4A43">
        <w:rPr>
          <w:rFonts w:asciiTheme="minorHAnsi" w:hAnsiTheme="minorHAnsi" w:cstheme="minorHAnsi"/>
        </w:rPr>
        <w:t>Director must reconsider the decision and confirm</w:t>
      </w:r>
      <w:r w:rsidR="007B4889" w:rsidRPr="003E4A43">
        <w:rPr>
          <w:rFonts w:asciiTheme="minorHAnsi" w:hAnsiTheme="minorHAnsi" w:cstheme="minorHAnsi"/>
        </w:rPr>
        <w:t xml:space="preserve"> the decision</w:t>
      </w:r>
      <w:r w:rsidR="00F025DA" w:rsidRPr="003E4A43">
        <w:rPr>
          <w:rFonts w:asciiTheme="minorHAnsi" w:hAnsiTheme="minorHAnsi" w:cstheme="minorHAnsi"/>
        </w:rPr>
        <w:t>,</w:t>
      </w:r>
      <w:r w:rsidR="00F57B79" w:rsidRPr="003E4A43">
        <w:rPr>
          <w:rFonts w:asciiTheme="minorHAnsi" w:hAnsiTheme="minorHAnsi" w:cstheme="minorHAnsi"/>
        </w:rPr>
        <w:t xml:space="preserve"> or</w:t>
      </w:r>
      <w:r w:rsidR="007F456D" w:rsidRPr="003E4A43">
        <w:rPr>
          <w:rFonts w:asciiTheme="minorHAnsi" w:hAnsiTheme="minorHAnsi" w:cstheme="minorHAnsi"/>
        </w:rPr>
        <w:t xml:space="preserve"> vary </w:t>
      </w:r>
      <w:r w:rsidR="00F57B79" w:rsidRPr="003E4A43">
        <w:rPr>
          <w:rFonts w:asciiTheme="minorHAnsi" w:hAnsiTheme="minorHAnsi" w:cstheme="minorHAnsi"/>
        </w:rPr>
        <w:t xml:space="preserve">the decision, </w:t>
      </w:r>
      <w:r w:rsidR="007F456D" w:rsidRPr="003E4A43">
        <w:rPr>
          <w:rFonts w:asciiTheme="minorHAnsi" w:hAnsiTheme="minorHAnsi" w:cstheme="minorHAnsi"/>
        </w:rPr>
        <w:t xml:space="preserve">or set the decision aside and substitute a new decision. </w:t>
      </w:r>
    </w:p>
    <w:p w14:paraId="5480A2AA" w14:textId="121C8C23" w:rsidR="008A6BCC" w:rsidRPr="003E4A43" w:rsidRDefault="00C64B3B"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11(4)</w:t>
      </w:r>
      <w:r w:rsidR="00774CCF" w:rsidRPr="003E4A43">
        <w:rPr>
          <w:rFonts w:asciiTheme="minorHAnsi" w:hAnsiTheme="minorHAnsi" w:cstheme="minorHAnsi"/>
        </w:rPr>
        <w:t xml:space="preserve"> </w:t>
      </w:r>
      <w:r w:rsidRPr="003E4A43">
        <w:rPr>
          <w:rFonts w:asciiTheme="minorHAnsi" w:hAnsiTheme="minorHAnsi" w:cstheme="minorHAnsi"/>
        </w:rPr>
        <w:t>provides that t</w:t>
      </w:r>
      <w:r w:rsidR="007F456D" w:rsidRPr="003E4A43">
        <w:rPr>
          <w:rFonts w:asciiTheme="minorHAnsi" w:hAnsiTheme="minorHAnsi" w:cstheme="minorHAnsi"/>
        </w:rPr>
        <w:t xml:space="preserve">he </w:t>
      </w:r>
      <w:r w:rsidR="006902BB" w:rsidRPr="003E4A43">
        <w:rPr>
          <w:rFonts w:asciiTheme="minorHAnsi" w:hAnsiTheme="minorHAnsi" w:cstheme="minorHAnsi"/>
        </w:rPr>
        <w:t xml:space="preserve">Higher Education Tuition Protection </w:t>
      </w:r>
      <w:r w:rsidR="007F456D" w:rsidRPr="003E4A43">
        <w:rPr>
          <w:rFonts w:asciiTheme="minorHAnsi" w:hAnsiTheme="minorHAnsi" w:cstheme="minorHAnsi"/>
        </w:rPr>
        <w:t xml:space="preserve">Director must </w:t>
      </w:r>
      <w:r w:rsidR="00511DED" w:rsidRPr="003E4A43">
        <w:rPr>
          <w:rFonts w:asciiTheme="minorHAnsi" w:hAnsiTheme="minorHAnsi" w:cstheme="minorHAnsi"/>
        </w:rPr>
        <w:t xml:space="preserve">ensure </w:t>
      </w:r>
      <w:r w:rsidR="007F456D" w:rsidRPr="003E4A43">
        <w:rPr>
          <w:rFonts w:asciiTheme="minorHAnsi" w:hAnsiTheme="minorHAnsi" w:cstheme="minorHAnsi"/>
        </w:rPr>
        <w:t xml:space="preserve">written notice of the </w:t>
      </w:r>
      <w:r w:rsidR="004378F9" w:rsidRPr="003E4A43">
        <w:rPr>
          <w:rFonts w:asciiTheme="minorHAnsi" w:hAnsiTheme="minorHAnsi" w:cstheme="minorHAnsi"/>
        </w:rPr>
        <w:t xml:space="preserve">Higher Education Protection </w:t>
      </w:r>
      <w:r w:rsidR="007F456D" w:rsidRPr="003E4A43">
        <w:rPr>
          <w:rFonts w:asciiTheme="minorHAnsi" w:hAnsiTheme="minorHAnsi" w:cstheme="minorHAnsi"/>
        </w:rPr>
        <w:t>Director’s</w:t>
      </w:r>
      <w:r w:rsidR="003E0FAB" w:rsidRPr="003E4A43">
        <w:rPr>
          <w:rFonts w:asciiTheme="minorHAnsi" w:hAnsiTheme="minorHAnsi" w:cstheme="minorHAnsi"/>
        </w:rPr>
        <w:t xml:space="preserve"> decision under subsection 11(3)</w:t>
      </w:r>
      <w:r w:rsidR="007F456D" w:rsidRPr="003E4A43">
        <w:rPr>
          <w:rFonts w:asciiTheme="minorHAnsi" w:hAnsiTheme="minorHAnsi" w:cstheme="minorHAnsi"/>
        </w:rPr>
        <w:t xml:space="preserve"> </w:t>
      </w:r>
      <w:r w:rsidR="003E0FAB" w:rsidRPr="003E4A43">
        <w:rPr>
          <w:rFonts w:asciiTheme="minorHAnsi" w:hAnsiTheme="minorHAnsi" w:cstheme="minorHAnsi"/>
        </w:rPr>
        <w:t>(</w:t>
      </w:r>
      <w:r w:rsidR="007F456D" w:rsidRPr="003E4A43">
        <w:rPr>
          <w:rFonts w:asciiTheme="minorHAnsi" w:hAnsiTheme="minorHAnsi" w:cstheme="minorHAnsi"/>
          <w:b/>
          <w:bCs/>
        </w:rPr>
        <w:t>internal review decision</w:t>
      </w:r>
      <w:r w:rsidR="003E0FAB" w:rsidRPr="003E4A43">
        <w:rPr>
          <w:rFonts w:asciiTheme="minorHAnsi" w:hAnsiTheme="minorHAnsi" w:cstheme="minorHAnsi"/>
        </w:rPr>
        <w:t>)</w:t>
      </w:r>
      <w:r w:rsidR="00511DED" w:rsidRPr="003E4A43">
        <w:rPr>
          <w:rFonts w:asciiTheme="minorHAnsi" w:hAnsiTheme="minorHAnsi" w:cstheme="minorHAnsi"/>
        </w:rPr>
        <w:t xml:space="preserve"> is given to the</w:t>
      </w:r>
      <w:r w:rsidR="007F456D" w:rsidRPr="003E4A43">
        <w:rPr>
          <w:rFonts w:asciiTheme="minorHAnsi" w:hAnsiTheme="minorHAnsi" w:cstheme="minorHAnsi"/>
        </w:rPr>
        <w:t xml:space="preserve"> </w:t>
      </w:r>
      <w:r w:rsidR="00A74465" w:rsidRPr="003E4A43">
        <w:rPr>
          <w:rFonts w:asciiTheme="minorHAnsi" w:hAnsiTheme="minorHAnsi" w:cstheme="minorHAnsi"/>
        </w:rPr>
        <w:t>higher education provider</w:t>
      </w:r>
      <w:r w:rsidR="008A6BCC" w:rsidRPr="003E4A43">
        <w:rPr>
          <w:rFonts w:asciiTheme="minorHAnsi" w:hAnsiTheme="minorHAnsi" w:cstheme="minorHAnsi"/>
        </w:rPr>
        <w:t>.</w:t>
      </w:r>
    </w:p>
    <w:p w14:paraId="3F5DF57D" w14:textId="481693EA" w:rsidR="007F456D" w:rsidRPr="003E4A43" w:rsidRDefault="008A6BCC"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11(5) provides </w:t>
      </w:r>
      <w:r w:rsidR="00497B1B" w:rsidRPr="003E4A43">
        <w:rPr>
          <w:rFonts w:asciiTheme="minorHAnsi" w:hAnsiTheme="minorHAnsi" w:cstheme="minorHAnsi"/>
        </w:rPr>
        <w:t>that</w:t>
      </w:r>
      <w:r w:rsidR="0073623E" w:rsidRPr="003E4A43">
        <w:rPr>
          <w:rFonts w:asciiTheme="minorHAnsi" w:hAnsiTheme="minorHAnsi" w:cstheme="minorHAnsi"/>
        </w:rPr>
        <w:t xml:space="preserve"> notice of</w:t>
      </w:r>
      <w:r w:rsidR="00497B1B" w:rsidRPr="003E4A43">
        <w:rPr>
          <w:rFonts w:asciiTheme="minorHAnsi" w:hAnsiTheme="minorHAnsi" w:cstheme="minorHAnsi"/>
        </w:rPr>
        <w:t xml:space="preserve"> </w:t>
      </w:r>
      <w:r w:rsidR="0073623E" w:rsidRPr="003E4A43">
        <w:rPr>
          <w:rFonts w:asciiTheme="minorHAnsi" w:hAnsiTheme="minorHAnsi" w:cstheme="minorHAnsi"/>
        </w:rPr>
        <w:t xml:space="preserve">the internal review decision </w:t>
      </w:r>
      <w:r w:rsidR="008E613D" w:rsidRPr="003E4A43">
        <w:rPr>
          <w:rFonts w:asciiTheme="minorHAnsi" w:hAnsiTheme="minorHAnsi" w:cstheme="minorHAnsi"/>
        </w:rPr>
        <w:t xml:space="preserve">must be given </w:t>
      </w:r>
      <w:r w:rsidR="007F456D" w:rsidRPr="003E4A43">
        <w:rPr>
          <w:rFonts w:asciiTheme="minorHAnsi" w:hAnsiTheme="minorHAnsi" w:cstheme="minorHAnsi"/>
        </w:rPr>
        <w:t>within 7 days</w:t>
      </w:r>
      <w:r w:rsidR="008E613D" w:rsidRPr="003E4A43">
        <w:rPr>
          <w:rFonts w:asciiTheme="minorHAnsi" w:hAnsiTheme="minorHAnsi" w:cstheme="minorHAnsi"/>
        </w:rPr>
        <w:t xml:space="preserve">, contain </w:t>
      </w:r>
      <w:r w:rsidR="007F456D" w:rsidRPr="003E4A43">
        <w:rPr>
          <w:rFonts w:asciiTheme="minorHAnsi" w:hAnsiTheme="minorHAnsi" w:cstheme="minorHAnsi"/>
        </w:rPr>
        <w:t xml:space="preserve">a statement of </w:t>
      </w:r>
      <w:r w:rsidR="008E613D" w:rsidRPr="003E4A43">
        <w:rPr>
          <w:rFonts w:asciiTheme="minorHAnsi" w:hAnsiTheme="minorHAnsi" w:cstheme="minorHAnsi"/>
        </w:rPr>
        <w:t xml:space="preserve">the </w:t>
      </w:r>
      <w:r w:rsidR="007F456D" w:rsidRPr="003E4A43">
        <w:rPr>
          <w:rFonts w:asciiTheme="minorHAnsi" w:hAnsiTheme="minorHAnsi" w:cstheme="minorHAnsi"/>
        </w:rPr>
        <w:t>reasons</w:t>
      </w:r>
      <w:r w:rsidR="008E613D" w:rsidRPr="003E4A43">
        <w:rPr>
          <w:rFonts w:asciiTheme="minorHAnsi" w:hAnsiTheme="minorHAnsi" w:cstheme="minorHAnsi"/>
        </w:rPr>
        <w:t xml:space="preserve"> for the </w:t>
      </w:r>
      <w:r w:rsidR="00422383" w:rsidRPr="003E4A43">
        <w:rPr>
          <w:rFonts w:asciiTheme="minorHAnsi" w:hAnsiTheme="minorHAnsi" w:cstheme="minorHAnsi"/>
        </w:rPr>
        <w:t xml:space="preserve">internal review </w:t>
      </w:r>
      <w:r w:rsidR="008E613D" w:rsidRPr="003E4A43">
        <w:rPr>
          <w:rFonts w:asciiTheme="minorHAnsi" w:hAnsiTheme="minorHAnsi" w:cstheme="minorHAnsi"/>
        </w:rPr>
        <w:t>decision</w:t>
      </w:r>
      <w:r w:rsidR="007F456D" w:rsidRPr="003E4A43">
        <w:rPr>
          <w:rFonts w:asciiTheme="minorHAnsi" w:hAnsiTheme="minorHAnsi" w:cstheme="minorHAnsi"/>
        </w:rPr>
        <w:t xml:space="preserve"> and</w:t>
      </w:r>
      <w:r w:rsidR="00405080" w:rsidRPr="003E4A43">
        <w:rPr>
          <w:rFonts w:asciiTheme="minorHAnsi" w:hAnsiTheme="minorHAnsi" w:cstheme="minorHAnsi"/>
        </w:rPr>
        <w:t>, where the decision is varied</w:t>
      </w:r>
      <w:r w:rsidR="0052233F" w:rsidRPr="003E4A43">
        <w:rPr>
          <w:rFonts w:asciiTheme="minorHAnsi" w:hAnsiTheme="minorHAnsi" w:cstheme="minorHAnsi"/>
        </w:rPr>
        <w:t xml:space="preserve">, </w:t>
      </w:r>
      <w:r w:rsidR="00405080" w:rsidRPr="003E4A43">
        <w:rPr>
          <w:rFonts w:asciiTheme="minorHAnsi" w:hAnsiTheme="minorHAnsi" w:cstheme="minorHAnsi"/>
        </w:rPr>
        <w:t xml:space="preserve">or </w:t>
      </w:r>
      <w:r w:rsidR="00AD4CC3" w:rsidRPr="003E4A43">
        <w:rPr>
          <w:rFonts w:asciiTheme="minorHAnsi" w:hAnsiTheme="minorHAnsi" w:cstheme="minorHAnsi"/>
        </w:rPr>
        <w:t xml:space="preserve">set aside and </w:t>
      </w:r>
      <w:r w:rsidR="00405080" w:rsidRPr="003E4A43">
        <w:rPr>
          <w:rFonts w:asciiTheme="minorHAnsi" w:hAnsiTheme="minorHAnsi" w:cstheme="minorHAnsi"/>
        </w:rPr>
        <w:t xml:space="preserve">substituted, also include a new notice under subsection 8(1) </w:t>
      </w:r>
      <w:r w:rsidR="00EE164F" w:rsidRPr="003E4A43">
        <w:rPr>
          <w:rFonts w:asciiTheme="minorHAnsi" w:hAnsiTheme="minorHAnsi" w:cstheme="minorHAnsi"/>
        </w:rPr>
        <w:t>with a due date of the HELP tuition protection levy at least 30 days after the date the provider is notified of the internal review decision</w:t>
      </w:r>
      <w:r w:rsidR="007F456D" w:rsidRPr="003E4A43">
        <w:rPr>
          <w:rFonts w:asciiTheme="minorHAnsi" w:hAnsiTheme="minorHAnsi" w:cstheme="minorHAnsi"/>
        </w:rPr>
        <w:t>.</w:t>
      </w:r>
    </w:p>
    <w:p w14:paraId="129FA59D" w14:textId="2AD99D0E" w:rsidR="007F456D" w:rsidRPr="003E4A43" w:rsidRDefault="00774CCF"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11(6)</w:t>
      </w:r>
      <w:r w:rsidR="007F456D" w:rsidRPr="003E4A43">
        <w:rPr>
          <w:rFonts w:asciiTheme="minorHAnsi" w:hAnsiTheme="minorHAnsi" w:cstheme="minorHAnsi"/>
        </w:rPr>
        <w:t xml:space="preserve"> provides that</w:t>
      </w:r>
      <w:r w:rsidR="00F23552" w:rsidRPr="003E4A43">
        <w:rPr>
          <w:rFonts w:asciiTheme="minorHAnsi" w:hAnsiTheme="minorHAnsi" w:cstheme="minorHAnsi"/>
        </w:rPr>
        <w:t>, for the purposes of paragraph 19-66A(3)(g)</w:t>
      </w:r>
      <w:r w:rsidR="00D25A88" w:rsidRPr="003E4A43">
        <w:rPr>
          <w:rFonts w:asciiTheme="minorHAnsi" w:hAnsiTheme="minorHAnsi" w:cstheme="minorHAnsi"/>
        </w:rPr>
        <w:t xml:space="preserve"> of the Act,</w:t>
      </w:r>
      <w:r w:rsidR="007F456D" w:rsidRPr="003E4A43">
        <w:rPr>
          <w:rFonts w:asciiTheme="minorHAnsi" w:hAnsiTheme="minorHAnsi" w:cstheme="minorHAnsi"/>
        </w:rPr>
        <w:t xml:space="preserve"> a higher education provider may make an application to the Administrative Appeals Tribunal for the review of </w:t>
      </w:r>
      <w:r w:rsidR="00F93B36" w:rsidRPr="003E4A43">
        <w:rPr>
          <w:rFonts w:asciiTheme="minorHAnsi" w:hAnsiTheme="minorHAnsi" w:cstheme="minorHAnsi"/>
        </w:rPr>
        <w:t xml:space="preserve">the internal review </w:t>
      </w:r>
      <w:r w:rsidR="007F456D" w:rsidRPr="003E4A43">
        <w:rPr>
          <w:rFonts w:asciiTheme="minorHAnsi" w:hAnsiTheme="minorHAnsi" w:cstheme="minorHAnsi"/>
        </w:rPr>
        <w:t xml:space="preserve">decision. </w:t>
      </w:r>
      <w:r w:rsidR="00706BCE" w:rsidRPr="003E4A43">
        <w:rPr>
          <w:rFonts w:asciiTheme="minorHAnsi" w:hAnsiTheme="minorHAnsi" w:cstheme="minorHAnsi"/>
        </w:rPr>
        <w:t>This</w:t>
      </w:r>
      <w:r w:rsidR="007F456D" w:rsidRPr="003E4A43">
        <w:rPr>
          <w:rFonts w:asciiTheme="minorHAnsi" w:hAnsiTheme="minorHAnsi" w:cstheme="minorHAnsi"/>
        </w:rPr>
        <w:t xml:space="preserve"> allows a </w:t>
      </w:r>
      <w:r w:rsidR="007F456D" w:rsidRPr="003E4A43">
        <w:rPr>
          <w:rFonts w:asciiTheme="minorHAnsi" w:hAnsiTheme="minorHAnsi" w:cstheme="minorHAnsi"/>
        </w:rPr>
        <w:lastRenderedPageBreak/>
        <w:t xml:space="preserve">provider to apply for independent merits review at the Administrative Appeals Tribunal of the </w:t>
      </w:r>
      <w:r w:rsidR="00763D79" w:rsidRPr="003E4A43">
        <w:rPr>
          <w:rFonts w:asciiTheme="minorHAnsi" w:hAnsiTheme="minorHAnsi" w:cstheme="minorHAnsi"/>
        </w:rPr>
        <w:t xml:space="preserve">Higher Education Tuition </w:t>
      </w:r>
      <w:r w:rsidR="0046160A" w:rsidRPr="003E4A43">
        <w:rPr>
          <w:rFonts w:asciiTheme="minorHAnsi" w:hAnsiTheme="minorHAnsi" w:cstheme="minorHAnsi"/>
        </w:rPr>
        <w:t xml:space="preserve">Protection </w:t>
      </w:r>
      <w:r w:rsidR="007F456D" w:rsidRPr="003E4A43">
        <w:rPr>
          <w:rFonts w:asciiTheme="minorHAnsi" w:hAnsiTheme="minorHAnsi" w:cstheme="minorHAnsi"/>
        </w:rPr>
        <w:t xml:space="preserve">Director’s internal review decision. </w:t>
      </w:r>
    </w:p>
    <w:p w14:paraId="65B09CAF" w14:textId="2ADFB1BA" w:rsidR="0062397C" w:rsidRPr="003E4A43" w:rsidRDefault="00736233" w:rsidP="008577CC">
      <w:pPr>
        <w:spacing w:before="360" w:after="120"/>
        <w:rPr>
          <w:rFonts w:asciiTheme="minorHAnsi" w:hAnsiTheme="minorHAnsi" w:cstheme="minorHAnsi"/>
          <w:b/>
          <w:u w:val="single"/>
        </w:rPr>
      </w:pPr>
      <w:r w:rsidRPr="003E4A43">
        <w:rPr>
          <w:rFonts w:asciiTheme="minorHAnsi" w:hAnsiTheme="minorHAnsi" w:cstheme="minorHAnsi"/>
          <w:b/>
          <w:u w:val="single"/>
        </w:rPr>
        <w:t>Section 12: When a higher education provider defaults in relation to a student</w:t>
      </w:r>
    </w:p>
    <w:p w14:paraId="480AFF89" w14:textId="617CBE08" w:rsidR="006E00F6" w:rsidRPr="003E4A43" w:rsidRDefault="00F86268" w:rsidP="006E00F6">
      <w:pPr>
        <w:numPr>
          <w:ilvl w:val="0"/>
          <w:numId w:val="1"/>
        </w:numPr>
        <w:spacing w:after="160" w:line="240" w:lineRule="auto"/>
        <w:rPr>
          <w:rFonts w:asciiTheme="minorHAnsi" w:hAnsiTheme="minorHAnsi" w:cstheme="minorHAnsi"/>
        </w:rPr>
      </w:pPr>
      <w:r w:rsidRPr="003E4A43">
        <w:rPr>
          <w:rFonts w:asciiTheme="minorHAnsi" w:hAnsiTheme="minorHAnsi" w:cstheme="minorHAnsi"/>
        </w:rPr>
        <w:t>Subsection 12(1)</w:t>
      </w:r>
      <w:r w:rsidR="007E2093" w:rsidRPr="003E4A43">
        <w:rPr>
          <w:rFonts w:asciiTheme="minorHAnsi" w:hAnsiTheme="minorHAnsi" w:cstheme="minorHAnsi"/>
        </w:rPr>
        <w:t xml:space="preserve"> sets out</w:t>
      </w:r>
      <w:r w:rsidR="00FA0F72" w:rsidRPr="003E4A43">
        <w:rPr>
          <w:rFonts w:asciiTheme="minorHAnsi" w:hAnsiTheme="minorHAnsi" w:cstheme="minorHAnsi"/>
        </w:rPr>
        <w:t>, for the purposes of subsection 166-10(3) of the Act,</w:t>
      </w:r>
      <w:r w:rsidR="007E2093" w:rsidRPr="003E4A43">
        <w:rPr>
          <w:rFonts w:asciiTheme="minorHAnsi" w:hAnsiTheme="minorHAnsi" w:cstheme="minorHAnsi"/>
        </w:rPr>
        <w:t xml:space="preserve"> circumstances where a higher education provider defaults in relation to a student. A provider defaults </w:t>
      </w:r>
      <w:r w:rsidR="006E00F6" w:rsidRPr="003E4A43">
        <w:rPr>
          <w:rFonts w:asciiTheme="minorHAnsi" w:hAnsiTheme="minorHAnsi" w:cstheme="minorHAnsi"/>
        </w:rPr>
        <w:t>where:</w:t>
      </w:r>
      <w:r w:rsidR="006E00F6" w:rsidRPr="003E4A43">
        <w:rPr>
          <w:rFonts w:asciiTheme="minorHAnsi" w:hAnsiTheme="minorHAnsi" w:cstheme="minorHAnsi"/>
        </w:rPr>
        <w:tab/>
      </w:r>
    </w:p>
    <w:p w14:paraId="1B00B4CA" w14:textId="7FD5CC49" w:rsidR="006E00F6" w:rsidRPr="003E4A43" w:rsidRDefault="006E00F6" w:rsidP="00161985">
      <w:pPr>
        <w:numPr>
          <w:ilvl w:val="0"/>
          <w:numId w:val="8"/>
        </w:numPr>
        <w:spacing w:after="160" w:line="240" w:lineRule="auto"/>
        <w:rPr>
          <w:rFonts w:asciiTheme="minorHAnsi" w:hAnsiTheme="minorHAnsi" w:cstheme="minorHAnsi"/>
        </w:rPr>
      </w:pPr>
      <w:r w:rsidRPr="003E4A43">
        <w:rPr>
          <w:rFonts w:asciiTheme="minorHAnsi" w:hAnsiTheme="minorHAnsi" w:cstheme="minorHAnsi"/>
        </w:rPr>
        <w:t xml:space="preserve">the student is enrolled in a course of study with that provider and is not enrolled in any units of study within that course; and </w:t>
      </w:r>
    </w:p>
    <w:p w14:paraId="05246E8C" w14:textId="14449729" w:rsidR="006E00F6" w:rsidRPr="003E4A43" w:rsidRDefault="006E00F6" w:rsidP="00161985">
      <w:pPr>
        <w:numPr>
          <w:ilvl w:val="0"/>
          <w:numId w:val="8"/>
        </w:numPr>
        <w:spacing w:after="160" w:line="240" w:lineRule="auto"/>
        <w:rPr>
          <w:rFonts w:asciiTheme="minorHAnsi" w:hAnsiTheme="minorHAnsi" w:cstheme="minorHAnsi"/>
        </w:rPr>
      </w:pPr>
      <w:r w:rsidRPr="003E4A43">
        <w:rPr>
          <w:rFonts w:asciiTheme="minorHAnsi" w:hAnsiTheme="minorHAnsi" w:cstheme="minorHAnsi"/>
        </w:rPr>
        <w:t>the provider fails to commence the course on the day the course was scheduled to start or ceases to provide the course on a day after the course starts but before it is completed; and</w:t>
      </w:r>
    </w:p>
    <w:p w14:paraId="61B19712" w14:textId="25355BAA" w:rsidR="006E00F6" w:rsidRPr="003E4A43" w:rsidRDefault="006E00F6" w:rsidP="00161985">
      <w:pPr>
        <w:numPr>
          <w:ilvl w:val="0"/>
          <w:numId w:val="8"/>
        </w:numPr>
        <w:spacing w:after="160" w:line="240" w:lineRule="auto"/>
        <w:rPr>
          <w:rFonts w:asciiTheme="minorHAnsi" w:hAnsiTheme="minorHAnsi" w:cstheme="minorHAnsi"/>
        </w:rPr>
      </w:pPr>
      <w:r w:rsidRPr="003E4A43">
        <w:rPr>
          <w:rFonts w:asciiTheme="minorHAnsi" w:hAnsiTheme="minorHAnsi" w:cstheme="minorHAnsi"/>
        </w:rPr>
        <w:t>unless subsection 12(2)</w:t>
      </w:r>
      <w:r w:rsidR="00037384" w:rsidRPr="003E4A43">
        <w:rPr>
          <w:rFonts w:asciiTheme="minorHAnsi" w:hAnsiTheme="minorHAnsi" w:cstheme="minorHAnsi"/>
        </w:rPr>
        <w:t xml:space="preserve"> </w:t>
      </w:r>
      <w:r w:rsidRPr="003E4A43">
        <w:rPr>
          <w:rFonts w:asciiTheme="minorHAnsi" w:hAnsiTheme="minorHAnsi" w:cstheme="minorHAnsi"/>
        </w:rPr>
        <w:t xml:space="preserve">applies in relation to the student, either: </w:t>
      </w:r>
    </w:p>
    <w:p w14:paraId="74FD7FCD" w14:textId="74EB8313" w:rsidR="006E00F6" w:rsidRPr="003E4A43" w:rsidRDefault="006E00F6" w:rsidP="00161985">
      <w:pPr>
        <w:numPr>
          <w:ilvl w:val="1"/>
          <w:numId w:val="9"/>
        </w:numPr>
        <w:spacing w:after="160" w:line="240" w:lineRule="auto"/>
        <w:rPr>
          <w:rFonts w:asciiTheme="minorHAnsi" w:hAnsiTheme="minorHAnsi" w:cstheme="minorHAnsi"/>
        </w:rPr>
      </w:pPr>
      <w:r w:rsidRPr="003E4A43">
        <w:rPr>
          <w:rFonts w:asciiTheme="minorHAnsi" w:hAnsiTheme="minorHAnsi" w:cstheme="minorHAnsi"/>
        </w:rPr>
        <w:t>the student was previously enrolled in one or more units of study for that course and the census date for each of those units of study was 24 months or less before the date on which the provider fails to commence the course or ceases to provide the course; or</w:t>
      </w:r>
    </w:p>
    <w:p w14:paraId="3C1CDBC0" w14:textId="0A106E29" w:rsidR="006E00F6" w:rsidRPr="003E4A43" w:rsidRDefault="006E00F6" w:rsidP="00161985">
      <w:pPr>
        <w:numPr>
          <w:ilvl w:val="1"/>
          <w:numId w:val="9"/>
        </w:numPr>
        <w:spacing w:after="160" w:line="240" w:lineRule="auto"/>
        <w:rPr>
          <w:rFonts w:asciiTheme="minorHAnsi" w:hAnsiTheme="minorHAnsi" w:cstheme="minorHAnsi"/>
        </w:rPr>
      </w:pPr>
      <w:r w:rsidRPr="003E4A43">
        <w:rPr>
          <w:rFonts w:asciiTheme="minorHAnsi" w:hAnsiTheme="minorHAnsi" w:cstheme="minorHAnsi"/>
        </w:rPr>
        <w:t>the student was not enrolled in any prior units of study within that course and the date on which the student enrolled in the course was 24 months or less before the date on which the provider fails to commence the course or ceases to provide the course.</w:t>
      </w:r>
    </w:p>
    <w:p w14:paraId="5FD0F54B" w14:textId="11B4583F" w:rsidR="00B34C3F" w:rsidRPr="003E4A43" w:rsidRDefault="0068773C" w:rsidP="007133CE">
      <w:pPr>
        <w:numPr>
          <w:ilvl w:val="0"/>
          <w:numId w:val="1"/>
        </w:numPr>
        <w:spacing w:after="160" w:line="240" w:lineRule="auto"/>
        <w:rPr>
          <w:rFonts w:asciiTheme="minorHAnsi" w:hAnsiTheme="minorHAnsi" w:cstheme="minorHAnsi"/>
          <w:lang w:eastAsia="en-AU"/>
        </w:rPr>
      </w:pPr>
      <w:r w:rsidRPr="003E4A43">
        <w:rPr>
          <w:rFonts w:asciiTheme="minorHAnsi" w:hAnsiTheme="minorHAnsi" w:cstheme="minorHAnsi"/>
          <w:lang w:eastAsia="en-AU"/>
        </w:rPr>
        <w:t xml:space="preserve">Subsection 12(2) </w:t>
      </w:r>
      <w:r w:rsidR="00E856AC" w:rsidRPr="003E4A43">
        <w:rPr>
          <w:rFonts w:asciiTheme="minorHAnsi" w:hAnsiTheme="minorHAnsi" w:cstheme="minorHAnsi"/>
          <w:lang w:eastAsia="en-AU"/>
        </w:rPr>
        <w:t>sets out exception</w:t>
      </w:r>
      <w:r w:rsidR="00527FD8" w:rsidRPr="003E4A43">
        <w:rPr>
          <w:rFonts w:asciiTheme="minorHAnsi" w:hAnsiTheme="minorHAnsi" w:cstheme="minorHAnsi"/>
          <w:lang w:eastAsia="en-AU"/>
        </w:rPr>
        <w:t>s</w:t>
      </w:r>
      <w:r w:rsidR="00E856AC" w:rsidRPr="003E4A43">
        <w:rPr>
          <w:rFonts w:asciiTheme="minorHAnsi" w:hAnsiTheme="minorHAnsi" w:cstheme="minorHAnsi"/>
          <w:lang w:eastAsia="en-AU"/>
        </w:rPr>
        <w:t xml:space="preserve"> to </w:t>
      </w:r>
      <w:r w:rsidR="007C3DD3" w:rsidRPr="003E4A43">
        <w:rPr>
          <w:rFonts w:asciiTheme="minorHAnsi" w:hAnsiTheme="minorHAnsi" w:cstheme="minorHAnsi"/>
          <w:lang w:eastAsia="en-AU"/>
        </w:rPr>
        <w:t>a provider default in relation to a student</w:t>
      </w:r>
      <w:r w:rsidR="00B34C3F" w:rsidRPr="003E4A43">
        <w:rPr>
          <w:rFonts w:asciiTheme="minorHAnsi" w:hAnsiTheme="minorHAnsi" w:cstheme="minorHAnsi"/>
          <w:lang w:eastAsia="en-AU"/>
        </w:rPr>
        <w:t xml:space="preserve"> where:</w:t>
      </w:r>
    </w:p>
    <w:p w14:paraId="6DD7F1CD" w14:textId="0B0A5291" w:rsidR="00E10CC7" w:rsidRPr="003E4A43" w:rsidRDefault="00E10CC7" w:rsidP="00161985">
      <w:pPr>
        <w:numPr>
          <w:ilvl w:val="0"/>
          <w:numId w:val="10"/>
        </w:numPr>
        <w:spacing w:after="160" w:line="240" w:lineRule="auto"/>
        <w:rPr>
          <w:rFonts w:asciiTheme="minorHAnsi" w:hAnsiTheme="minorHAnsi" w:cstheme="minorHAnsi"/>
          <w:lang w:eastAsia="en-AU"/>
        </w:rPr>
      </w:pPr>
      <w:r w:rsidRPr="003E4A43">
        <w:rPr>
          <w:rFonts w:asciiTheme="minorHAnsi" w:hAnsiTheme="minorHAnsi" w:cstheme="minorHAnsi"/>
          <w:lang w:eastAsia="en-AU"/>
        </w:rPr>
        <w:t xml:space="preserve">the student was unable to enrol in any units of study in the applicable 24 month period referred to in paragraph 12(1)(c) because of the student’s personal circumstances, including but not limited to the student’s medical, financial or employment circumstances; or </w:t>
      </w:r>
    </w:p>
    <w:p w14:paraId="3C6BFEF3" w14:textId="260E34EE" w:rsidR="00530288" w:rsidRPr="003E4A43" w:rsidRDefault="00E10CC7" w:rsidP="00161985">
      <w:pPr>
        <w:numPr>
          <w:ilvl w:val="0"/>
          <w:numId w:val="10"/>
        </w:numPr>
        <w:spacing w:after="160" w:line="240" w:lineRule="auto"/>
        <w:rPr>
          <w:rFonts w:asciiTheme="minorHAnsi" w:hAnsiTheme="minorHAnsi" w:cstheme="minorHAnsi"/>
          <w:lang w:eastAsia="en-AU"/>
        </w:rPr>
      </w:pPr>
      <w:r w:rsidRPr="003E4A43">
        <w:rPr>
          <w:rFonts w:asciiTheme="minorHAnsi" w:hAnsiTheme="minorHAnsi" w:cstheme="minorHAnsi"/>
          <w:lang w:eastAsia="en-AU"/>
        </w:rPr>
        <w:t xml:space="preserve">the student was unable to enrol in any units of study in the applicable 24 month period referred in paragraph 12(1)(c) because of the circumstances of the student’s family, including but not limited to the family’s medical, financial or employment circumstances.  </w:t>
      </w:r>
    </w:p>
    <w:p w14:paraId="1FADAEDE" w14:textId="0E3B4147" w:rsidR="007E2093" w:rsidRPr="003E4A43" w:rsidRDefault="00DA3FD8" w:rsidP="008577CC">
      <w:pPr>
        <w:spacing w:before="360" w:after="120"/>
        <w:rPr>
          <w:rFonts w:asciiTheme="minorHAnsi" w:hAnsiTheme="minorHAnsi" w:cstheme="minorHAnsi"/>
          <w:b/>
          <w:u w:val="single"/>
        </w:rPr>
      </w:pPr>
      <w:r w:rsidRPr="003E4A43">
        <w:rPr>
          <w:rFonts w:asciiTheme="minorHAnsi" w:hAnsiTheme="minorHAnsi" w:cstheme="minorHAnsi"/>
          <w:b/>
          <w:u w:val="single"/>
        </w:rPr>
        <w:t>Section 13:</w:t>
      </w:r>
      <w:r w:rsidR="007E2093" w:rsidRPr="003E4A43">
        <w:rPr>
          <w:rFonts w:asciiTheme="minorHAnsi" w:hAnsiTheme="minorHAnsi" w:cstheme="minorHAnsi"/>
          <w:b/>
          <w:u w:val="single"/>
        </w:rPr>
        <w:t xml:space="preserve"> Notifying the Higher Education Tuition Protection Director of the details of the default </w:t>
      </w:r>
    </w:p>
    <w:p w14:paraId="651A3038" w14:textId="5B483BCB" w:rsidR="007E2093" w:rsidRPr="003E4A43" w:rsidRDefault="0091341D"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13(1)</w:t>
      </w:r>
      <w:r w:rsidR="007E2093" w:rsidRPr="003E4A43">
        <w:rPr>
          <w:rFonts w:asciiTheme="minorHAnsi" w:hAnsiTheme="minorHAnsi" w:cstheme="minorHAnsi"/>
        </w:rPr>
        <w:t xml:space="preserve"> sets out</w:t>
      </w:r>
      <w:r w:rsidR="00F023F2" w:rsidRPr="003E4A43">
        <w:rPr>
          <w:rFonts w:asciiTheme="minorHAnsi" w:hAnsiTheme="minorHAnsi" w:cstheme="minorHAnsi"/>
        </w:rPr>
        <w:t>, for the purposes of paragraph 166-15(3)(b) of the Act,</w:t>
      </w:r>
      <w:r w:rsidR="007E2093" w:rsidRPr="003E4A43">
        <w:rPr>
          <w:rFonts w:asciiTheme="minorHAnsi" w:hAnsiTheme="minorHAnsi" w:cstheme="minorHAnsi"/>
        </w:rPr>
        <w:t xml:space="preserve"> </w:t>
      </w:r>
      <w:r w:rsidR="00982027" w:rsidRPr="003E4A43">
        <w:rPr>
          <w:rFonts w:asciiTheme="minorHAnsi" w:hAnsiTheme="minorHAnsi" w:cstheme="minorHAnsi"/>
        </w:rPr>
        <w:t>additional information</w:t>
      </w:r>
      <w:r w:rsidR="00A11F29" w:rsidRPr="003E4A43">
        <w:rPr>
          <w:rFonts w:asciiTheme="minorHAnsi" w:hAnsiTheme="minorHAnsi" w:cstheme="minorHAnsi"/>
        </w:rPr>
        <w:t xml:space="preserve"> on</w:t>
      </w:r>
      <w:r w:rsidR="00982027" w:rsidRPr="003E4A43">
        <w:rPr>
          <w:rFonts w:asciiTheme="minorHAnsi" w:hAnsiTheme="minorHAnsi" w:cstheme="minorHAnsi"/>
        </w:rPr>
        <w:t xml:space="preserve"> </w:t>
      </w:r>
      <w:r w:rsidR="00A11F29" w:rsidRPr="003E4A43">
        <w:rPr>
          <w:rFonts w:asciiTheme="minorHAnsi" w:hAnsiTheme="minorHAnsi" w:cstheme="minorHAnsi"/>
        </w:rPr>
        <w:t xml:space="preserve">the details of the default </w:t>
      </w:r>
      <w:r w:rsidR="007E2093" w:rsidRPr="003E4A43">
        <w:rPr>
          <w:rFonts w:asciiTheme="minorHAnsi" w:hAnsiTheme="minorHAnsi" w:cstheme="minorHAnsi"/>
        </w:rPr>
        <w:t xml:space="preserve">that a higher education provider must notify the </w:t>
      </w:r>
      <w:r w:rsidR="00F321A8" w:rsidRPr="003E4A43">
        <w:rPr>
          <w:rFonts w:asciiTheme="minorHAnsi" w:hAnsiTheme="minorHAnsi" w:cstheme="minorHAnsi"/>
        </w:rPr>
        <w:t xml:space="preserve">Higher Education Tuition </w:t>
      </w:r>
      <w:r w:rsidR="00AC0984" w:rsidRPr="003E4A43">
        <w:rPr>
          <w:rFonts w:asciiTheme="minorHAnsi" w:hAnsiTheme="minorHAnsi" w:cstheme="minorHAnsi"/>
        </w:rPr>
        <w:t xml:space="preserve">Protection </w:t>
      </w:r>
      <w:r w:rsidR="007E2093" w:rsidRPr="003E4A43">
        <w:rPr>
          <w:rFonts w:asciiTheme="minorHAnsi" w:hAnsiTheme="minorHAnsi" w:cstheme="minorHAnsi"/>
        </w:rPr>
        <w:t>Director about</w:t>
      </w:r>
      <w:r w:rsidR="003B3D51" w:rsidRPr="003E4A43">
        <w:rPr>
          <w:rFonts w:asciiTheme="minorHAnsi" w:hAnsiTheme="minorHAnsi" w:cstheme="minorHAnsi"/>
        </w:rPr>
        <w:t xml:space="preserve"> </w:t>
      </w:r>
      <w:r w:rsidR="007E2093" w:rsidRPr="003E4A43">
        <w:rPr>
          <w:rFonts w:asciiTheme="minorHAnsi" w:hAnsiTheme="minorHAnsi" w:cstheme="minorHAnsi"/>
        </w:rPr>
        <w:t xml:space="preserve">in </w:t>
      </w:r>
      <w:r w:rsidR="00A11F29" w:rsidRPr="003E4A43">
        <w:rPr>
          <w:rFonts w:asciiTheme="minorHAnsi" w:hAnsiTheme="minorHAnsi" w:cstheme="minorHAnsi"/>
        </w:rPr>
        <w:t>a</w:t>
      </w:r>
      <w:r w:rsidR="007E2093" w:rsidRPr="003E4A43">
        <w:rPr>
          <w:rFonts w:asciiTheme="minorHAnsi" w:hAnsiTheme="minorHAnsi" w:cstheme="minorHAnsi"/>
        </w:rPr>
        <w:t xml:space="preserve"> written notice given under subsection 166-15(3) of </w:t>
      </w:r>
      <w:r w:rsidR="00A43958" w:rsidRPr="003E4A43">
        <w:rPr>
          <w:rFonts w:asciiTheme="minorHAnsi" w:hAnsiTheme="minorHAnsi" w:cstheme="minorHAnsi"/>
        </w:rPr>
        <w:t>the Act.</w:t>
      </w:r>
      <w:r w:rsidR="007E2093" w:rsidRPr="003E4A43">
        <w:rPr>
          <w:rFonts w:asciiTheme="minorHAnsi" w:hAnsiTheme="minorHAnsi" w:cstheme="minorHAnsi"/>
        </w:rPr>
        <w:t xml:space="preserve"> </w:t>
      </w:r>
    </w:p>
    <w:p w14:paraId="7FA1D73C" w14:textId="107690DD" w:rsidR="00EA7031" w:rsidRPr="003E4A43" w:rsidRDefault="0091341D"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lastRenderedPageBreak/>
        <w:t>Subsection 13(2)</w:t>
      </w:r>
      <w:r w:rsidR="00CE311D" w:rsidRPr="003E4A43">
        <w:rPr>
          <w:rFonts w:asciiTheme="minorHAnsi" w:hAnsiTheme="minorHAnsi" w:cstheme="minorHAnsi"/>
        </w:rPr>
        <w:t xml:space="preserve"> provides that, </w:t>
      </w:r>
      <w:r w:rsidR="00AE5793" w:rsidRPr="003E4A43">
        <w:rPr>
          <w:rFonts w:asciiTheme="minorHAnsi" w:hAnsiTheme="minorHAnsi" w:cstheme="minorHAnsi"/>
        </w:rPr>
        <w:t>for the purposes of subsection 166-15(5) of the Act, the notice given to the Higher Education Tuition Protection Director under subsection 166-15(2) of the Act must include information about the number of students in relation to whom the higher education provider has defaulted.</w:t>
      </w:r>
    </w:p>
    <w:p w14:paraId="2503F8F0" w14:textId="1EFD4AF3" w:rsidR="007E2093" w:rsidRPr="003E4A43" w:rsidRDefault="002D0D6A"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13</w:t>
      </w:r>
      <w:r w:rsidR="0091341D" w:rsidRPr="003E4A43">
        <w:rPr>
          <w:rFonts w:asciiTheme="minorHAnsi" w:hAnsiTheme="minorHAnsi" w:cstheme="minorHAnsi"/>
        </w:rPr>
        <w:t>(3)</w:t>
      </w:r>
      <w:r w:rsidR="007E2093" w:rsidRPr="003E4A43">
        <w:rPr>
          <w:rFonts w:asciiTheme="minorHAnsi" w:hAnsiTheme="minorHAnsi" w:cstheme="minorHAnsi"/>
        </w:rPr>
        <w:t xml:space="preserve"> </w:t>
      </w:r>
      <w:r w:rsidR="00E05287" w:rsidRPr="003E4A43">
        <w:rPr>
          <w:rFonts w:asciiTheme="minorHAnsi" w:hAnsiTheme="minorHAnsi" w:cstheme="minorHAnsi"/>
        </w:rPr>
        <w:t>provides that the information required under subsection 166-15(3) of the Act must be given to the Higher Education Tuition Protection Director in a manner and form approved by the Director</w:t>
      </w:r>
      <w:r w:rsidR="00D7137C" w:rsidRPr="003E4A43">
        <w:rPr>
          <w:rFonts w:asciiTheme="minorHAnsi" w:hAnsiTheme="minorHAnsi" w:cstheme="minorHAnsi"/>
        </w:rPr>
        <w:t>.</w:t>
      </w:r>
    </w:p>
    <w:p w14:paraId="2471E7E8" w14:textId="5D3C4F33" w:rsidR="007E2093" w:rsidRPr="003E4A43" w:rsidRDefault="00B643F9" w:rsidP="008577CC">
      <w:pPr>
        <w:spacing w:before="360" w:after="120"/>
        <w:rPr>
          <w:rFonts w:asciiTheme="minorHAnsi" w:hAnsiTheme="minorHAnsi" w:cstheme="minorHAnsi"/>
          <w:b/>
          <w:u w:val="single"/>
        </w:rPr>
      </w:pPr>
      <w:r w:rsidRPr="003E4A43">
        <w:rPr>
          <w:rFonts w:asciiTheme="minorHAnsi" w:hAnsiTheme="minorHAnsi" w:cstheme="minorHAnsi"/>
          <w:b/>
          <w:u w:val="single"/>
        </w:rPr>
        <w:t>Section 14:</w:t>
      </w:r>
      <w:r w:rsidR="007E2093" w:rsidRPr="003E4A43">
        <w:rPr>
          <w:rFonts w:asciiTheme="minorHAnsi" w:hAnsiTheme="minorHAnsi" w:cstheme="minorHAnsi"/>
          <w:b/>
          <w:u w:val="single"/>
        </w:rPr>
        <w:t xml:space="preserve"> Requirements of notice to student </w:t>
      </w:r>
    </w:p>
    <w:p w14:paraId="4700B1EC" w14:textId="771A6738" w:rsidR="00B643F9" w:rsidRPr="003E4A43" w:rsidRDefault="00B643F9"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14(1)</w:t>
      </w:r>
      <w:r w:rsidR="007E2093" w:rsidRPr="003E4A43">
        <w:rPr>
          <w:rFonts w:asciiTheme="minorHAnsi" w:hAnsiTheme="minorHAnsi" w:cstheme="minorHAnsi"/>
        </w:rPr>
        <w:t xml:space="preserve"> specifies the </w:t>
      </w:r>
      <w:r w:rsidR="00B06828" w:rsidRPr="003E4A43">
        <w:rPr>
          <w:rFonts w:asciiTheme="minorHAnsi" w:hAnsiTheme="minorHAnsi" w:cstheme="minorHAnsi"/>
        </w:rPr>
        <w:t>information</w:t>
      </w:r>
      <w:r w:rsidR="007E2093" w:rsidRPr="003E4A43">
        <w:rPr>
          <w:rFonts w:asciiTheme="minorHAnsi" w:hAnsiTheme="minorHAnsi" w:cstheme="minorHAnsi"/>
        </w:rPr>
        <w:t xml:space="preserve"> a higher education provider must include in a written notice of default to students under section 166-20</w:t>
      </w:r>
      <w:r w:rsidR="005D3581" w:rsidRPr="003E4A43">
        <w:rPr>
          <w:rFonts w:asciiTheme="minorHAnsi" w:hAnsiTheme="minorHAnsi" w:cstheme="minorHAnsi"/>
        </w:rPr>
        <w:t>(3)</w:t>
      </w:r>
      <w:r w:rsidR="007E2093" w:rsidRPr="003E4A43">
        <w:rPr>
          <w:rFonts w:asciiTheme="minorHAnsi" w:hAnsiTheme="minorHAnsi" w:cstheme="minorHAnsi"/>
        </w:rPr>
        <w:t xml:space="preserve"> of </w:t>
      </w:r>
      <w:r w:rsidR="00A43958" w:rsidRPr="003E4A43">
        <w:rPr>
          <w:rFonts w:asciiTheme="minorHAnsi" w:hAnsiTheme="minorHAnsi" w:cstheme="minorHAnsi"/>
        </w:rPr>
        <w:t>the Act</w:t>
      </w:r>
      <w:r w:rsidR="007E2093" w:rsidRPr="003E4A43">
        <w:rPr>
          <w:rFonts w:asciiTheme="minorHAnsi" w:hAnsiTheme="minorHAnsi" w:cstheme="minorHAnsi"/>
        </w:rPr>
        <w:t xml:space="preserve">. </w:t>
      </w:r>
    </w:p>
    <w:p w14:paraId="40DA6528" w14:textId="57265E33" w:rsidR="007E2093" w:rsidRPr="003E4A43" w:rsidRDefault="00B643F9"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14(2)</w:t>
      </w:r>
      <w:r w:rsidR="007E2093" w:rsidRPr="003E4A43">
        <w:rPr>
          <w:rFonts w:asciiTheme="minorHAnsi" w:hAnsiTheme="minorHAnsi" w:cstheme="minorHAnsi"/>
        </w:rPr>
        <w:t xml:space="preserve"> </w:t>
      </w:r>
      <w:r w:rsidR="00B840C3" w:rsidRPr="003E4A43">
        <w:rPr>
          <w:rFonts w:asciiTheme="minorHAnsi" w:hAnsiTheme="minorHAnsi" w:cstheme="minorHAnsi"/>
        </w:rPr>
        <w:t xml:space="preserve">specifies how </w:t>
      </w:r>
      <w:r w:rsidR="007E2093" w:rsidRPr="003E4A43">
        <w:rPr>
          <w:rFonts w:asciiTheme="minorHAnsi" w:hAnsiTheme="minorHAnsi" w:cstheme="minorHAnsi"/>
        </w:rPr>
        <w:t>the provider must send the notice</w:t>
      </w:r>
      <w:r w:rsidR="0077708E" w:rsidRPr="003E4A43">
        <w:rPr>
          <w:rFonts w:asciiTheme="minorHAnsi" w:hAnsiTheme="minorHAnsi" w:cstheme="minorHAnsi"/>
        </w:rPr>
        <w:t xml:space="preserve"> to the student</w:t>
      </w:r>
      <w:r w:rsidR="00BC149D" w:rsidRPr="003E4A43">
        <w:rPr>
          <w:rFonts w:asciiTheme="minorHAnsi" w:hAnsiTheme="minorHAnsi" w:cstheme="minorHAnsi"/>
        </w:rPr>
        <w:t>:</w:t>
      </w:r>
    </w:p>
    <w:p w14:paraId="406B1E93" w14:textId="37913FB6" w:rsidR="00BC149D" w:rsidRPr="003E4A43" w:rsidRDefault="00BC149D" w:rsidP="00161985">
      <w:pPr>
        <w:numPr>
          <w:ilvl w:val="0"/>
          <w:numId w:val="10"/>
        </w:numPr>
        <w:spacing w:after="160" w:line="240" w:lineRule="auto"/>
        <w:rPr>
          <w:rFonts w:asciiTheme="minorHAnsi" w:hAnsiTheme="minorHAnsi" w:cstheme="minorHAnsi"/>
          <w:lang w:eastAsia="en-AU"/>
        </w:rPr>
      </w:pPr>
      <w:r w:rsidRPr="003E4A43">
        <w:rPr>
          <w:rFonts w:asciiTheme="minorHAnsi" w:hAnsiTheme="minorHAnsi" w:cstheme="minorHAnsi"/>
          <w:lang w:eastAsia="en-AU"/>
        </w:rPr>
        <w:t xml:space="preserve">to the student’s personal email address as advised by the </w:t>
      </w:r>
      <w:proofErr w:type="gramStart"/>
      <w:r w:rsidRPr="003E4A43">
        <w:rPr>
          <w:rFonts w:asciiTheme="minorHAnsi" w:hAnsiTheme="minorHAnsi" w:cstheme="minorHAnsi"/>
          <w:lang w:eastAsia="en-AU"/>
        </w:rPr>
        <w:t>student;</w:t>
      </w:r>
      <w:proofErr w:type="gramEnd"/>
    </w:p>
    <w:p w14:paraId="6880BE53" w14:textId="77096A46" w:rsidR="00BC149D" w:rsidRPr="003E4A43" w:rsidRDefault="00BC149D" w:rsidP="00161985">
      <w:pPr>
        <w:numPr>
          <w:ilvl w:val="0"/>
          <w:numId w:val="10"/>
        </w:numPr>
        <w:spacing w:after="160" w:line="240" w:lineRule="auto"/>
        <w:rPr>
          <w:rFonts w:asciiTheme="minorHAnsi" w:hAnsiTheme="minorHAnsi" w:cstheme="minorHAnsi"/>
          <w:lang w:eastAsia="en-AU"/>
        </w:rPr>
      </w:pPr>
      <w:r w:rsidRPr="003E4A43">
        <w:rPr>
          <w:rFonts w:asciiTheme="minorHAnsi" w:hAnsiTheme="minorHAnsi" w:cstheme="minorHAnsi"/>
          <w:lang w:eastAsia="en-AU"/>
        </w:rPr>
        <w:t>to the student’s postal address as advised by the student; or</w:t>
      </w:r>
    </w:p>
    <w:p w14:paraId="465CCBAD" w14:textId="6F7D6CD4" w:rsidR="00BC149D" w:rsidRPr="003E4A43" w:rsidRDefault="00BC149D" w:rsidP="00161985">
      <w:pPr>
        <w:numPr>
          <w:ilvl w:val="0"/>
          <w:numId w:val="10"/>
        </w:numPr>
        <w:spacing w:after="160" w:line="240" w:lineRule="auto"/>
        <w:rPr>
          <w:rFonts w:asciiTheme="minorHAnsi" w:hAnsiTheme="minorHAnsi" w:cstheme="minorHAnsi"/>
          <w:lang w:eastAsia="en-AU"/>
        </w:rPr>
      </w:pPr>
      <w:r w:rsidRPr="003E4A43">
        <w:rPr>
          <w:rFonts w:asciiTheme="minorHAnsi" w:hAnsiTheme="minorHAnsi" w:cstheme="minorHAnsi"/>
          <w:lang w:eastAsia="en-AU"/>
        </w:rPr>
        <w:t>to the student by another method agreed to by the student.</w:t>
      </w:r>
    </w:p>
    <w:p w14:paraId="15677A03" w14:textId="5D71AA83" w:rsidR="007E2093" w:rsidRPr="003E4A43" w:rsidRDefault="00A57035" w:rsidP="008577CC">
      <w:pPr>
        <w:spacing w:before="360" w:after="120"/>
        <w:rPr>
          <w:rFonts w:asciiTheme="minorHAnsi" w:hAnsiTheme="minorHAnsi" w:cstheme="minorHAnsi"/>
          <w:b/>
          <w:u w:val="single"/>
        </w:rPr>
      </w:pPr>
      <w:r w:rsidRPr="003E4A43">
        <w:rPr>
          <w:rFonts w:asciiTheme="minorHAnsi" w:hAnsiTheme="minorHAnsi" w:cstheme="minorHAnsi"/>
          <w:b/>
          <w:u w:val="single"/>
        </w:rPr>
        <w:t>Section 15:</w:t>
      </w:r>
      <w:r w:rsidR="007E2093" w:rsidRPr="003E4A43">
        <w:rPr>
          <w:rFonts w:asciiTheme="minorHAnsi" w:hAnsiTheme="minorHAnsi" w:cstheme="minorHAnsi"/>
          <w:b/>
          <w:u w:val="single"/>
        </w:rPr>
        <w:t xml:space="preserve"> Providers to notify of outcome of discharge of obligations</w:t>
      </w:r>
    </w:p>
    <w:p w14:paraId="3DC08DB2" w14:textId="7BDA6F1C" w:rsidR="007E2093" w:rsidRPr="003E4A43" w:rsidRDefault="00A57035"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This section </w:t>
      </w:r>
      <w:r w:rsidR="00926D1A" w:rsidRPr="003E4A43">
        <w:rPr>
          <w:rFonts w:asciiTheme="minorHAnsi" w:hAnsiTheme="minorHAnsi" w:cstheme="minorHAnsi"/>
        </w:rPr>
        <w:t>provides</w:t>
      </w:r>
      <w:r w:rsidR="000B742D" w:rsidRPr="003E4A43">
        <w:rPr>
          <w:rFonts w:asciiTheme="minorHAnsi" w:hAnsiTheme="minorHAnsi" w:cstheme="minorHAnsi"/>
        </w:rPr>
        <w:t>, for the purposes of subsection 166-26</w:t>
      </w:r>
      <w:proofErr w:type="gramStart"/>
      <w:r w:rsidR="000B742D" w:rsidRPr="003E4A43">
        <w:rPr>
          <w:rFonts w:asciiTheme="minorHAnsi" w:hAnsiTheme="minorHAnsi" w:cstheme="minorHAnsi"/>
        </w:rPr>
        <w:t>A(</w:t>
      </w:r>
      <w:proofErr w:type="gramEnd"/>
      <w:r w:rsidR="000B742D" w:rsidRPr="003E4A43">
        <w:rPr>
          <w:rFonts w:asciiTheme="minorHAnsi" w:hAnsiTheme="minorHAnsi" w:cstheme="minorHAnsi"/>
        </w:rPr>
        <w:t>3) of the Act,</w:t>
      </w:r>
      <w:r w:rsidR="007E2093" w:rsidRPr="003E4A43">
        <w:rPr>
          <w:rFonts w:asciiTheme="minorHAnsi" w:hAnsiTheme="minorHAnsi" w:cstheme="minorHAnsi"/>
        </w:rPr>
        <w:t xml:space="preserve"> </w:t>
      </w:r>
      <w:r w:rsidR="004C76FE" w:rsidRPr="003E4A43">
        <w:rPr>
          <w:rFonts w:asciiTheme="minorHAnsi" w:hAnsiTheme="minorHAnsi" w:cstheme="minorHAnsi"/>
        </w:rPr>
        <w:t xml:space="preserve">that </w:t>
      </w:r>
      <w:r w:rsidR="003B06EA" w:rsidRPr="003E4A43">
        <w:rPr>
          <w:rFonts w:asciiTheme="minorHAnsi" w:hAnsiTheme="minorHAnsi" w:cstheme="minorHAnsi"/>
        </w:rPr>
        <w:t>the higher education provider must include in its written notice to the Higher Education Tuition Protection Director evidence of the arrangement between the student and replacement provider, including any payment arrangements relating to tuition fees, if the provider arranged a replacement unit or replacement course.</w:t>
      </w:r>
    </w:p>
    <w:p w14:paraId="1F08BFE1" w14:textId="64685A4F" w:rsidR="007E2093" w:rsidRPr="003E4A43" w:rsidRDefault="002E3C7B" w:rsidP="008577CC">
      <w:pPr>
        <w:spacing w:before="360" w:after="120"/>
        <w:rPr>
          <w:rFonts w:asciiTheme="minorHAnsi" w:hAnsiTheme="minorHAnsi" w:cstheme="minorHAnsi"/>
          <w:b/>
          <w:u w:val="single"/>
        </w:rPr>
      </w:pPr>
      <w:r w:rsidRPr="003E4A43">
        <w:rPr>
          <w:rFonts w:asciiTheme="minorHAnsi" w:hAnsiTheme="minorHAnsi" w:cstheme="minorHAnsi"/>
          <w:b/>
          <w:u w:val="single"/>
        </w:rPr>
        <w:t>Section 16:</w:t>
      </w:r>
      <w:r w:rsidR="007E2093" w:rsidRPr="003E4A43">
        <w:rPr>
          <w:rFonts w:asciiTheme="minorHAnsi" w:hAnsiTheme="minorHAnsi" w:cstheme="minorHAnsi"/>
          <w:b/>
          <w:u w:val="single"/>
        </w:rPr>
        <w:t xml:space="preserve"> Payments in connection with tuition protection</w:t>
      </w:r>
    </w:p>
    <w:p w14:paraId="46BADC8E" w14:textId="21E17FD9" w:rsidR="00335F2F" w:rsidRPr="003E4A43" w:rsidRDefault="004A41E7"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16(1)</w:t>
      </w:r>
      <w:r w:rsidR="007E2093" w:rsidRPr="003E4A43">
        <w:rPr>
          <w:rFonts w:asciiTheme="minorHAnsi" w:hAnsiTheme="minorHAnsi" w:cstheme="minorHAnsi"/>
        </w:rPr>
        <w:t xml:space="preserve"> provides that</w:t>
      </w:r>
      <w:r w:rsidR="002266D4" w:rsidRPr="003E4A43">
        <w:rPr>
          <w:rFonts w:asciiTheme="minorHAnsi" w:hAnsiTheme="minorHAnsi" w:cstheme="minorHAnsi"/>
        </w:rPr>
        <w:t>, for the purposes of paragraph 167-10(1)(a) of the Act,</w:t>
      </w:r>
      <w:r w:rsidR="007E2093" w:rsidRPr="003E4A43">
        <w:rPr>
          <w:rFonts w:asciiTheme="minorHAnsi" w:hAnsiTheme="minorHAnsi" w:cstheme="minorHAnsi"/>
        </w:rPr>
        <w:t xml:space="preserve"> if a student accepts an offer of a replacement unit or replacement course, the </w:t>
      </w:r>
      <w:r w:rsidR="004113C2" w:rsidRPr="003E4A43">
        <w:rPr>
          <w:rFonts w:asciiTheme="minorHAnsi" w:hAnsiTheme="minorHAnsi" w:cstheme="minorHAnsi"/>
        </w:rPr>
        <w:t xml:space="preserve">Higher Education Tuition Protection </w:t>
      </w:r>
      <w:r w:rsidR="007E2093" w:rsidRPr="003E4A43">
        <w:rPr>
          <w:rFonts w:asciiTheme="minorHAnsi" w:hAnsiTheme="minorHAnsi" w:cstheme="minorHAnsi"/>
        </w:rPr>
        <w:t xml:space="preserve">Director </w:t>
      </w:r>
      <w:r w:rsidR="00247193" w:rsidRPr="003E4A43">
        <w:rPr>
          <w:rFonts w:asciiTheme="minorHAnsi" w:hAnsiTheme="minorHAnsi" w:cstheme="minorHAnsi"/>
        </w:rPr>
        <w:t xml:space="preserve">must ensure </w:t>
      </w:r>
      <w:r w:rsidR="00335F2F" w:rsidRPr="003E4A43">
        <w:rPr>
          <w:rFonts w:asciiTheme="minorHAnsi" w:hAnsiTheme="minorHAnsi" w:cstheme="minorHAnsi"/>
        </w:rPr>
        <w:t>payments of such amounts that the Director considers appropriate is made</w:t>
      </w:r>
      <w:r w:rsidR="007E2093" w:rsidRPr="003E4A43">
        <w:rPr>
          <w:rFonts w:asciiTheme="minorHAnsi" w:hAnsiTheme="minorHAnsi" w:cstheme="minorHAnsi"/>
        </w:rPr>
        <w:t xml:space="preserve"> to the replacement provider or to another person in order to facilitate a student’s placement in a replacement unit or replacement course. </w:t>
      </w:r>
    </w:p>
    <w:p w14:paraId="57C44095" w14:textId="6B61EDC0" w:rsidR="00E715A6" w:rsidRPr="003E4A43" w:rsidRDefault="00187A90" w:rsidP="00E541EC">
      <w:pPr>
        <w:numPr>
          <w:ilvl w:val="0"/>
          <w:numId w:val="1"/>
        </w:numPr>
        <w:spacing w:after="160" w:line="256" w:lineRule="auto"/>
        <w:rPr>
          <w:rFonts w:asciiTheme="minorHAnsi" w:hAnsiTheme="minorHAnsi" w:cstheme="minorHAnsi"/>
        </w:rPr>
      </w:pPr>
      <w:r w:rsidRPr="003E4A43">
        <w:rPr>
          <w:rFonts w:asciiTheme="minorHAnsi" w:hAnsiTheme="minorHAnsi" w:cstheme="minorHAnsi"/>
        </w:rPr>
        <w:t>S</w:t>
      </w:r>
      <w:r w:rsidR="004A41E7" w:rsidRPr="003E4A43">
        <w:rPr>
          <w:rFonts w:asciiTheme="minorHAnsi" w:hAnsiTheme="minorHAnsi" w:cstheme="minorHAnsi"/>
        </w:rPr>
        <w:t>ubsection 16(2)</w:t>
      </w:r>
      <w:r w:rsidR="007E2093" w:rsidRPr="003E4A43">
        <w:rPr>
          <w:rFonts w:asciiTheme="minorHAnsi" w:hAnsiTheme="minorHAnsi" w:cstheme="minorHAnsi"/>
        </w:rPr>
        <w:t xml:space="preserve"> </w:t>
      </w:r>
      <w:r w:rsidR="00E14421" w:rsidRPr="003E4A43">
        <w:rPr>
          <w:rFonts w:asciiTheme="minorHAnsi" w:hAnsiTheme="minorHAnsi" w:cstheme="minorHAnsi"/>
        </w:rPr>
        <w:t>provides that in determining whether to make a payment</w:t>
      </w:r>
      <w:r w:rsidR="000C0C7B" w:rsidRPr="003E4A43">
        <w:rPr>
          <w:rFonts w:asciiTheme="minorHAnsi" w:hAnsiTheme="minorHAnsi" w:cstheme="minorHAnsi"/>
        </w:rPr>
        <w:t>,</w:t>
      </w:r>
      <w:r w:rsidR="00E14421" w:rsidRPr="003E4A43">
        <w:rPr>
          <w:rFonts w:asciiTheme="minorHAnsi" w:hAnsiTheme="minorHAnsi" w:cstheme="minorHAnsi"/>
        </w:rPr>
        <w:t xml:space="preserve"> and the amount of such a payment</w:t>
      </w:r>
      <w:r w:rsidR="000C0C7B" w:rsidRPr="003E4A43">
        <w:rPr>
          <w:rFonts w:asciiTheme="minorHAnsi" w:hAnsiTheme="minorHAnsi" w:cstheme="minorHAnsi"/>
        </w:rPr>
        <w:t>,</w:t>
      </w:r>
      <w:r w:rsidR="00E14421" w:rsidRPr="003E4A43">
        <w:rPr>
          <w:rFonts w:asciiTheme="minorHAnsi" w:hAnsiTheme="minorHAnsi" w:cstheme="minorHAnsi"/>
        </w:rPr>
        <w:t xml:space="preserve"> </w:t>
      </w:r>
      <w:r w:rsidRPr="003E4A43">
        <w:rPr>
          <w:rFonts w:asciiTheme="minorHAnsi" w:hAnsiTheme="minorHAnsi" w:cstheme="minorHAnsi"/>
        </w:rPr>
        <w:t xml:space="preserve">the </w:t>
      </w:r>
      <w:r w:rsidR="004F7E8D" w:rsidRPr="003E4A43">
        <w:rPr>
          <w:rFonts w:asciiTheme="minorHAnsi" w:hAnsiTheme="minorHAnsi" w:cstheme="minorHAnsi"/>
        </w:rPr>
        <w:t xml:space="preserve">Higher Education Tuition Protection </w:t>
      </w:r>
      <w:r w:rsidR="006B06F1" w:rsidRPr="003E4A43">
        <w:rPr>
          <w:rFonts w:asciiTheme="minorHAnsi" w:hAnsiTheme="minorHAnsi" w:cstheme="minorHAnsi"/>
        </w:rPr>
        <w:t xml:space="preserve">Director </w:t>
      </w:r>
      <w:r w:rsidR="009B7B68" w:rsidRPr="003E4A43">
        <w:rPr>
          <w:rFonts w:asciiTheme="minorHAnsi" w:hAnsiTheme="minorHAnsi" w:cstheme="minorHAnsi"/>
        </w:rPr>
        <w:t xml:space="preserve">must have regard to </w:t>
      </w:r>
      <w:r w:rsidR="006D4FAA" w:rsidRPr="003E4A43">
        <w:rPr>
          <w:rFonts w:asciiTheme="minorHAnsi" w:hAnsiTheme="minorHAnsi" w:cstheme="minorHAnsi"/>
        </w:rPr>
        <w:t>the sustainability of the Higher Education Tuition Protection Fund</w:t>
      </w:r>
      <w:r w:rsidR="00821D03" w:rsidRPr="003E4A43">
        <w:rPr>
          <w:rFonts w:asciiTheme="minorHAnsi" w:hAnsiTheme="minorHAnsi" w:cstheme="minorHAnsi"/>
        </w:rPr>
        <w:t xml:space="preserve"> </w:t>
      </w:r>
      <w:r w:rsidR="006D4FAA" w:rsidRPr="003E4A43">
        <w:rPr>
          <w:rFonts w:asciiTheme="minorHAnsi" w:hAnsiTheme="minorHAnsi" w:cstheme="minorHAnsi"/>
        </w:rPr>
        <w:t xml:space="preserve">and </w:t>
      </w:r>
      <w:r w:rsidR="00602732" w:rsidRPr="003E4A43">
        <w:rPr>
          <w:rFonts w:asciiTheme="minorHAnsi" w:hAnsiTheme="minorHAnsi" w:cstheme="minorHAnsi"/>
        </w:rPr>
        <w:t>may have regard</w:t>
      </w:r>
      <w:r w:rsidR="003E7A88" w:rsidRPr="003E4A43">
        <w:rPr>
          <w:rFonts w:asciiTheme="minorHAnsi" w:hAnsiTheme="minorHAnsi" w:cstheme="minorHAnsi"/>
        </w:rPr>
        <w:t xml:space="preserve"> to </w:t>
      </w:r>
      <w:r w:rsidR="006D4FAA" w:rsidRPr="003E4A43">
        <w:rPr>
          <w:rFonts w:asciiTheme="minorHAnsi" w:hAnsiTheme="minorHAnsi" w:cstheme="minorHAnsi"/>
        </w:rPr>
        <w:t>any other matters the Director considers relevant.</w:t>
      </w:r>
    </w:p>
    <w:p w14:paraId="3F7FB84D" w14:textId="5CA92C2F" w:rsidR="002632E4" w:rsidRPr="003E4A43" w:rsidRDefault="002632E4" w:rsidP="008577CC">
      <w:pPr>
        <w:spacing w:before="360" w:after="120"/>
        <w:rPr>
          <w:rFonts w:asciiTheme="minorHAnsi" w:hAnsiTheme="minorHAnsi" w:cstheme="minorHAnsi"/>
          <w:b/>
          <w:u w:val="single"/>
        </w:rPr>
      </w:pPr>
      <w:r w:rsidRPr="003E4A43">
        <w:rPr>
          <w:rFonts w:asciiTheme="minorHAnsi" w:hAnsiTheme="minorHAnsi" w:cstheme="minorHAnsi"/>
          <w:b/>
          <w:u w:val="single"/>
        </w:rPr>
        <w:t>Section 17: Additional matters for notice by the Higher Education Tuition Protection Director where suitable replacement course available</w:t>
      </w:r>
    </w:p>
    <w:p w14:paraId="6110F19F" w14:textId="72B570CD" w:rsidR="002632E4" w:rsidRPr="003E4A43" w:rsidRDefault="00805557"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17(1) provides that</w:t>
      </w:r>
      <w:r w:rsidR="00963956" w:rsidRPr="003E4A43">
        <w:rPr>
          <w:rFonts w:asciiTheme="minorHAnsi" w:hAnsiTheme="minorHAnsi" w:cstheme="minorHAnsi"/>
        </w:rPr>
        <w:t>, for the purposes of paragraph 166-26</w:t>
      </w:r>
      <w:r w:rsidR="00B13710" w:rsidRPr="003E4A43">
        <w:rPr>
          <w:rFonts w:asciiTheme="minorHAnsi" w:hAnsiTheme="minorHAnsi" w:cstheme="minorHAnsi"/>
        </w:rPr>
        <w:t>B(4)(g) of the Act,</w:t>
      </w:r>
      <w:r w:rsidRPr="003E4A43">
        <w:rPr>
          <w:rFonts w:asciiTheme="minorHAnsi" w:hAnsiTheme="minorHAnsi" w:cstheme="minorHAnsi"/>
        </w:rPr>
        <w:t xml:space="preserve"> the </w:t>
      </w:r>
      <w:r w:rsidR="00AB30C7" w:rsidRPr="003E4A43">
        <w:rPr>
          <w:rFonts w:asciiTheme="minorHAnsi" w:hAnsiTheme="minorHAnsi" w:cstheme="minorHAnsi"/>
        </w:rPr>
        <w:t xml:space="preserve">Higher Education Tuition Protection </w:t>
      </w:r>
      <w:r w:rsidRPr="003E4A43">
        <w:rPr>
          <w:rFonts w:asciiTheme="minorHAnsi" w:hAnsiTheme="minorHAnsi" w:cstheme="minorHAnsi"/>
        </w:rPr>
        <w:t xml:space="preserve">Director must include in its written </w:t>
      </w:r>
      <w:r w:rsidRPr="003E4A43">
        <w:rPr>
          <w:rFonts w:asciiTheme="minorHAnsi" w:hAnsiTheme="minorHAnsi" w:cstheme="minorHAnsi"/>
        </w:rPr>
        <w:lastRenderedPageBreak/>
        <w:t>notice</w:t>
      </w:r>
      <w:r w:rsidR="00C10C58" w:rsidRPr="003E4A43">
        <w:rPr>
          <w:rFonts w:asciiTheme="minorHAnsi" w:hAnsiTheme="minorHAnsi" w:cstheme="minorHAnsi"/>
        </w:rPr>
        <w:t xml:space="preserve"> </w:t>
      </w:r>
      <w:r w:rsidRPr="003E4A43">
        <w:rPr>
          <w:rFonts w:asciiTheme="minorHAnsi" w:hAnsiTheme="minorHAnsi" w:cstheme="minorHAnsi"/>
        </w:rPr>
        <w:t>to the student</w:t>
      </w:r>
      <w:r w:rsidR="0092078E" w:rsidRPr="003E4A43">
        <w:rPr>
          <w:rFonts w:asciiTheme="minorHAnsi" w:hAnsiTheme="minorHAnsi" w:cstheme="minorHAnsi"/>
        </w:rPr>
        <w:t xml:space="preserve"> a statement that, if the student elects to have an amount equal to the amounts of FEE-HELP assistance or HECS-HELP assistance that the student received for the affected unit re-credited to the student’s HELP balance, the student must notify the Director in writing within the period specified in subsection (2).</w:t>
      </w:r>
    </w:p>
    <w:p w14:paraId="63BEC464" w14:textId="19EFEFEC" w:rsidR="00633D0E" w:rsidRPr="003E4A43" w:rsidRDefault="00633D0E"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17(2) </w:t>
      </w:r>
      <w:r w:rsidR="00BF79D1" w:rsidRPr="003E4A43">
        <w:rPr>
          <w:rFonts w:asciiTheme="minorHAnsi" w:hAnsiTheme="minorHAnsi" w:cstheme="minorHAnsi"/>
        </w:rPr>
        <w:t>specifies that the period is</w:t>
      </w:r>
      <w:r w:rsidR="002C5D3C" w:rsidRPr="003E4A43">
        <w:rPr>
          <w:rFonts w:asciiTheme="minorHAnsi" w:hAnsiTheme="minorHAnsi" w:cstheme="minorHAnsi"/>
        </w:rPr>
        <w:t xml:space="preserve"> within 30 days after the Director gives notice under section 166-26</w:t>
      </w:r>
      <w:proofErr w:type="gramStart"/>
      <w:r w:rsidR="002C5D3C" w:rsidRPr="003E4A43">
        <w:rPr>
          <w:rFonts w:asciiTheme="minorHAnsi" w:hAnsiTheme="minorHAnsi" w:cstheme="minorHAnsi"/>
        </w:rPr>
        <w:t>B(</w:t>
      </w:r>
      <w:proofErr w:type="gramEnd"/>
      <w:r w:rsidR="002C5D3C" w:rsidRPr="003E4A43">
        <w:rPr>
          <w:rFonts w:asciiTheme="minorHAnsi" w:hAnsiTheme="minorHAnsi" w:cstheme="minorHAnsi"/>
        </w:rPr>
        <w:t>4) of the Act</w:t>
      </w:r>
      <w:r w:rsidR="006D63A7" w:rsidRPr="003E4A43">
        <w:rPr>
          <w:rFonts w:asciiTheme="minorHAnsi" w:hAnsiTheme="minorHAnsi" w:cstheme="minorHAnsi"/>
        </w:rPr>
        <w:t>,</w:t>
      </w:r>
      <w:r w:rsidR="002C5D3C" w:rsidRPr="003E4A43">
        <w:rPr>
          <w:rFonts w:asciiTheme="minorHAnsi" w:hAnsiTheme="minorHAnsi" w:cstheme="minorHAnsi"/>
        </w:rPr>
        <w:t xml:space="preserve"> or</w:t>
      </w:r>
      <w:r w:rsidR="006D63A7" w:rsidRPr="003E4A43">
        <w:rPr>
          <w:rFonts w:asciiTheme="minorHAnsi" w:hAnsiTheme="minorHAnsi" w:cstheme="minorHAnsi"/>
        </w:rPr>
        <w:t>,</w:t>
      </w:r>
      <w:r w:rsidR="002C5D3C" w:rsidRPr="003E4A43">
        <w:rPr>
          <w:rFonts w:asciiTheme="minorHAnsi" w:hAnsiTheme="minorHAnsi" w:cstheme="minorHAnsi"/>
        </w:rPr>
        <w:t xml:space="preserve"> </w:t>
      </w:r>
      <w:r w:rsidR="001F08BC" w:rsidRPr="003E4A43">
        <w:rPr>
          <w:rFonts w:asciiTheme="minorHAnsi" w:hAnsiTheme="minorHAnsi" w:cstheme="minorHAnsi"/>
        </w:rPr>
        <w:t xml:space="preserve">if the Director considers that exceptional circumstances apply, any shorter or longer period (not exceeding </w:t>
      </w:r>
      <w:r w:rsidR="0095462E" w:rsidRPr="003E4A43">
        <w:rPr>
          <w:rFonts w:asciiTheme="minorHAnsi" w:hAnsiTheme="minorHAnsi" w:cstheme="minorHAnsi"/>
        </w:rPr>
        <w:br/>
      </w:r>
      <w:r w:rsidR="001F08BC" w:rsidRPr="003E4A43">
        <w:rPr>
          <w:rFonts w:asciiTheme="minorHAnsi" w:hAnsiTheme="minorHAnsi" w:cstheme="minorHAnsi"/>
        </w:rPr>
        <w:t>12 months) determined in writing by the Director</w:t>
      </w:r>
      <w:r w:rsidR="00D7137C" w:rsidRPr="003E4A43">
        <w:rPr>
          <w:rFonts w:asciiTheme="minorHAnsi" w:hAnsiTheme="minorHAnsi" w:cstheme="minorHAnsi"/>
        </w:rPr>
        <w:t>.</w:t>
      </w:r>
    </w:p>
    <w:p w14:paraId="2B90BBBF" w14:textId="67A5BAE4" w:rsidR="000501F6" w:rsidRPr="003E4A43" w:rsidRDefault="001F08BC" w:rsidP="008577CC">
      <w:pPr>
        <w:spacing w:before="360" w:after="120"/>
        <w:rPr>
          <w:rFonts w:asciiTheme="minorHAnsi" w:hAnsiTheme="minorHAnsi" w:cstheme="minorHAnsi"/>
          <w:b/>
          <w:u w:val="single"/>
        </w:rPr>
      </w:pPr>
      <w:r w:rsidRPr="003E4A43">
        <w:rPr>
          <w:rFonts w:asciiTheme="minorHAnsi" w:hAnsiTheme="minorHAnsi" w:cstheme="minorHAnsi"/>
          <w:b/>
          <w:u w:val="single"/>
        </w:rPr>
        <w:t>Section 18</w:t>
      </w:r>
      <w:r w:rsidR="0028120A" w:rsidRPr="003E4A43">
        <w:rPr>
          <w:rFonts w:asciiTheme="minorHAnsi" w:hAnsiTheme="minorHAnsi" w:cstheme="minorHAnsi"/>
          <w:b/>
          <w:u w:val="single"/>
        </w:rPr>
        <w:t>:</w:t>
      </w:r>
      <w:r w:rsidR="000501F6" w:rsidRPr="003E4A43">
        <w:rPr>
          <w:rFonts w:asciiTheme="minorHAnsi" w:hAnsiTheme="minorHAnsi" w:cstheme="minorHAnsi"/>
          <w:b/>
          <w:u w:val="single"/>
        </w:rPr>
        <w:t xml:space="preserve"> Other tuition protection requirements – special circumstances </w:t>
      </w:r>
    </w:p>
    <w:p w14:paraId="3FEE5C01" w14:textId="7C4977E3" w:rsidR="000501F6" w:rsidRPr="003E4A43" w:rsidRDefault="008348D7"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18(1) </w:t>
      </w:r>
      <w:r w:rsidR="007A6500" w:rsidRPr="003E4A43">
        <w:rPr>
          <w:rFonts w:asciiTheme="minorHAnsi" w:hAnsiTheme="minorHAnsi" w:cstheme="minorHAnsi"/>
        </w:rPr>
        <w:t>sets out</w:t>
      </w:r>
      <w:r w:rsidR="00B55F33" w:rsidRPr="003E4A43">
        <w:rPr>
          <w:rFonts w:asciiTheme="minorHAnsi" w:hAnsiTheme="minorHAnsi" w:cstheme="minorHAnsi"/>
        </w:rPr>
        <w:t>, for the purposes of subsection 36-20(4) of the Act</w:t>
      </w:r>
      <w:r w:rsidR="003F71C8" w:rsidRPr="003E4A43">
        <w:rPr>
          <w:rFonts w:asciiTheme="minorHAnsi" w:hAnsiTheme="minorHAnsi" w:cstheme="minorHAnsi"/>
        </w:rPr>
        <w:t>,</w:t>
      </w:r>
      <w:r w:rsidR="003B2D01" w:rsidRPr="003E4A43">
        <w:rPr>
          <w:rFonts w:asciiTheme="minorHAnsi" w:hAnsiTheme="minorHAnsi" w:cstheme="minorHAnsi"/>
        </w:rPr>
        <w:t xml:space="preserve"> the amount that the defaulting provider is to pay to </w:t>
      </w:r>
      <w:r w:rsidR="009412B6" w:rsidRPr="003E4A43">
        <w:rPr>
          <w:rFonts w:asciiTheme="minorHAnsi" w:hAnsiTheme="minorHAnsi" w:cstheme="minorHAnsi"/>
        </w:rPr>
        <w:t>the person</w:t>
      </w:r>
      <w:r w:rsidRPr="003E4A43">
        <w:rPr>
          <w:rFonts w:asciiTheme="minorHAnsi" w:hAnsiTheme="minorHAnsi" w:cstheme="minorHAnsi"/>
        </w:rPr>
        <w:t xml:space="preserve"> i</w:t>
      </w:r>
      <w:r w:rsidR="000501F6" w:rsidRPr="003E4A43">
        <w:rPr>
          <w:rFonts w:asciiTheme="minorHAnsi" w:hAnsiTheme="minorHAnsi" w:cstheme="minorHAnsi"/>
        </w:rPr>
        <w:t xml:space="preserve">f a higher education provider determines that section 36-20 of </w:t>
      </w:r>
      <w:r w:rsidR="00D16CB7" w:rsidRPr="003E4A43">
        <w:rPr>
          <w:rFonts w:asciiTheme="minorHAnsi" w:hAnsiTheme="minorHAnsi" w:cstheme="minorHAnsi"/>
        </w:rPr>
        <w:t>the Act</w:t>
      </w:r>
      <w:r w:rsidR="000501F6" w:rsidRPr="003E4A43">
        <w:rPr>
          <w:rFonts w:asciiTheme="minorHAnsi" w:hAnsiTheme="minorHAnsi" w:cstheme="minorHAnsi"/>
        </w:rPr>
        <w:t xml:space="preserve"> applies to a person (i.e. amongst other requirements, is satisfied that special circumstances apply to the person under section 36-21 of </w:t>
      </w:r>
      <w:r w:rsidR="00D16CB7" w:rsidRPr="003E4A43">
        <w:rPr>
          <w:rFonts w:asciiTheme="minorHAnsi" w:hAnsiTheme="minorHAnsi" w:cstheme="minorHAnsi"/>
        </w:rPr>
        <w:t>the Act</w:t>
      </w:r>
      <w:r w:rsidR="000501F6" w:rsidRPr="003E4A43">
        <w:rPr>
          <w:rFonts w:asciiTheme="minorHAnsi" w:hAnsiTheme="minorHAnsi" w:cstheme="minorHAnsi"/>
        </w:rPr>
        <w:t>) and the person enrolled in the unit as a replacement unit, then the defaulting provider must:</w:t>
      </w:r>
    </w:p>
    <w:p w14:paraId="364C5F3E" w14:textId="75F8BFB6" w:rsidR="000501F6" w:rsidRPr="003E4A43" w:rsidRDefault="000501F6" w:rsidP="00161985">
      <w:pPr>
        <w:numPr>
          <w:ilvl w:val="0"/>
          <w:numId w:val="10"/>
        </w:numPr>
        <w:spacing w:after="160" w:line="240" w:lineRule="auto"/>
        <w:rPr>
          <w:rFonts w:asciiTheme="minorHAnsi" w:hAnsiTheme="minorHAnsi" w:cstheme="minorHAnsi"/>
          <w:lang w:eastAsia="en-AU"/>
        </w:rPr>
      </w:pPr>
      <w:r w:rsidRPr="003E4A43">
        <w:rPr>
          <w:rFonts w:asciiTheme="minorHAnsi" w:hAnsiTheme="minorHAnsi" w:cstheme="minorHAnsi"/>
          <w:lang w:eastAsia="en-AU"/>
        </w:rPr>
        <w:t>pay the person an amount equal to the payment</w:t>
      </w:r>
      <w:r w:rsidR="006F4722" w:rsidRPr="003E4A43">
        <w:rPr>
          <w:rFonts w:asciiTheme="minorHAnsi" w:hAnsiTheme="minorHAnsi" w:cstheme="minorHAnsi"/>
          <w:lang w:eastAsia="en-AU"/>
        </w:rPr>
        <w:t xml:space="preserve">, </w:t>
      </w:r>
      <w:r w:rsidRPr="003E4A43">
        <w:rPr>
          <w:rFonts w:asciiTheme="minorHAnsi" w:hAnsiTheme="minorHAnsi" w:cstheme="minorHAnsi"/>
          <w:lang w:eastAsia="en-AU"/>
        </w:rPr>
        <w:t>or sum of</w:t>
      </w:r>
      <w:r w:rsidR="00B30D18" w:rsidRPr="003E4A43">
        <w:rPr>
          <w:rFonts w:asciiTheme="minorHAnsi" w:hAnsiTheme="minorHAnsi" w:cstheme="minorHAnsi"/>
          <w:lang w:eastAsia="en-AU"/>
        </w:rPr>
        <w:t xml:space="preserve"> the</w:t>
      </w:r>
      <w:r w:rsidRPr="003E4A43">
        <w:rPr>
          <w:rFonts w:asciiTheme="minorHAnsi" w:hAnsiTheme="minorHAnsi" w:cstheme="minorHAnsi"/>
          <w:lang w:eastAsia="en-AU"/>
        </w:rPr>
        <w:t xml:space="preserve"> payments</w:t>
      </w:r>
      <w:r w:rsidR="006F4722" w:rsidRPr="003E4A43">
        <w:rPr>
          <w:rFonts w:asciiTheme="minorHAnsi" w:hAnsiTheme="minorHAnsi" w:cstheme="minorHAnsi"/>
          <w:lang w:eastAsia="en-AU"/>
        </w:rPr>
        <w:t>,</w:t>
      </w:r>
      <w:r w:rsidRPr="003E4A43">
        <w:rPr>
          <w:rFonts w:asciiTheme="minorHAnsi" w:hAnsiTheme="minorHAnsi" w:cstheme="minorHAnsi"/>
          <w:lang w:eastAsia="en-AU"/>
        </w:rPr>
        <w:t xml:space="preserve"> that the person made in relation to their student contribution amount for the affected unit</w:t>
      </w:r>
      <w:r w:rsidR="00DE7FDE" w:rsidRPr="003E4A43">
        <w:rPr>
          <w:rFonts w:asciiTheme="minorHAnsi" w:hAnsiTheme="minorHAnsi" w:cstheme="minorHAnsi"/>
          <w:lang w:eastAsia="en-AU"/>
        </w:rPr>
        <w:t>; and</w:t>
      </w:r>
      <w:r w:rsidRPr="003E4A43">
        <w:rPr>
          <w:rFonts w:asciiTheme="minorHAnsi" w:hAnsiTheme="minorHAnsi" w:cstheme="minorHAnsi"/>
          <w:lang w:eastAsia="en-AU"/>
        </w:rPr>
        <w:t xml:space="preserve"> </w:t>
      </w:r>
    </w:p>
    <w:p w14:paraId="548D8942" w14:textId="77777777" w:rsidR="00B5346E" w:rsidRPr="003E4A43" w:rsidRDefault="000501F6" w:rsidP="00161985">
      <w:pPr>
        <w:numPr>
          <w:ilvl w:val="0"/>
          <w:numId w:val="10"/>
        </w:numPr>
        <w:spacing w:after="160" w:line="240" w:lineRule="auto"/>
        <w:rPr>
          <w:rFonts w:asciiTheme="minorHAnsi" w:hAnsiTheme="minorHAnsi" w:cstheme="minorHAnsi"/>
          <w:lang w:eastAsia="en-AU"/>
        </w:rPr>
      </w:pPr>
      <w:r w:rsidRPr="003E4A43">
        <w:rPr>
          <w:rFonts w:asciiTheme="minorHAnsi" w:hAnsiTheme="minorHAnsi" w:cstheme="minorHAnsi"/>
          <w:lang w:eastAsia="en-AU"/>
        </w:rPr>
        <w:t xml:space="preserve">pay to the Commonwealth an amount equal to any HECS-HELP assistance to which the person was entitled to for the affected unit. </w:t>
      </w:r>
    </w:p>
    <w:p w14:paraId="3A100651" w14:textId="2D8C7124" w:rsidR="000501F6" w:rsidRPr="003E4A43" w:rsidRDefault="001B3A62"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18(2)</w:t>
      </w:r>
      <w:r w:rsidR="000501F6" w:rsidRPr="003E4A43">
        <w:rPr>
          <w:rFonts w:asciiTheme="minorHAnsi" w:hAnsiTheme="minorHAnsi" w:cstheme="minorHAnsi"/>
        </w:rPr>
        <w:t xml:space="preserve"> provides that</w:t>
      </w:r>
      <w:r w:rsidR="00B41B0A" w:rsidRPr="003E4A43">
        <w:rPr>
          <w:rFonts w:asciiTheme="minorHAnsi" w:hAnsiTheme="minorHAnsi" w:cstheme="minorHAnsi"/>
        </w:rPr>
        <w:t>,</w:t>
      </w:r>
      <w:r w:rsidR="000501F6" w:rsidRPr="003E4A43">
        <w:rPr>
          <w:rFonts w:asciiTheme="minorHAnsi" w:hAnsiTheme="minorHAnsi" w:cstheme="minorHAnsi"/>
        </w:rPr>
        <w:t xml:space="preserve"> if the defaulting provider is unable to repay the person for the purposes of </w:t>
      </w:r>
      <w:r w:rsidR="003B549A" w:rsidRPr="003E4A43">
        <w:rPr>
          <w:rFonts w:asciiTheme="minorHAnsi" w:hAnsiTheme="minorHAnsi" w:cstheme="minorHAnsi"/>
        </w:rPr>
        <w:t>paragraph</w:t>
      </w:r>
      <w:r w:rsidR="002333E2" w:rsidRPr="003E4A43">
        <w:rPr>
          <w:rFonts w:asciiTheme="minorHAnsi" w:hAnsiTheme="minorHAnsi" w:cstheme="minorHAnsi"/>
        </w:rPr>
        <w:t xml:space="preserve"> (1)(a)</w:t>
      </w:r>
      <w:r w:rsidR="000501F6" w:rsidRPr="003E4A43">
        <w:rPr>
          <w:rFonts w:asciiTheme="minorHAnsi" w:hAnsiTheme="minorHAnsi" w:cstheme="minorHAnsi"/>
        </w:rPr>
        <w:t xml:space="preserve">, the </w:t>
      </w:r>
      <w:r w:rsidR="00C57F62" w:rsidRPr="003E4A43">
        <w:rPr>
          <w:rFonts w:asciiTheme="minorHAnsi" w:hAnsiTheme="minorHAnsi" w:cstheme="minorHAnsi"/>
        </w:rPr>
        <w:t xml:space="preserve">Higher Education Tuition Protection </w:t>
      </w:r>
      <w:r w:rsidR="000501F6" w:rsidRPr="003E4A43">
        <w:rPr>
          <w:rFonts w:asciiTheme="minorHAnsi" w:hAnsiTheme="minorHAnsi" w:cstheme="minorHAnsi"/>
        </w:rPr>
        <w:t xml:space="preserve">Director must </w:t>
      </w:r>
      <w:r w:rsidR="00C7155D" w:rsidRPr="003E4A43">
        <w:rPr>
          <w:rFonts w:asciiTheme="minorHAnsi" w:hAnsiTheme="minorHAnsi" w:cstheme="minorHAnsi"/>
        </w:rPr>
        <w:t xml:space="preserve">ensure the person is paid </w:t>
      </w:r>
      <w:r w:rsidR="000501F6" w:rsidRPr="003E4A43">
        <w:rPr>
          <w:rFonts w:asciiTheme="minorHAnsi" w:hAnsiTheme="minorHAnsi" w:cstheme="minorHAnsi"/>
        </w:rPr>
        <w:t>an amount equal to the payment</w:t>
      </w:r>
      <w:r w:rsidR="00C7155D" w:rsidRPr="003E4A43">
        <w:rPr>
          <w:rFonts w:asciiTheme="minorHAnsi" w:hAnsiTheme="minorHAnsi" w:cstheme="minorHAnsi"/>
        </w:rPr>
        <w:t xml:space="preserve">, </w:t>
      </w:r>
      <w:r w:rsidR="000501F6" w:rsidRPr="003E4A43">
        <w:rPr>
          <w:rFonts w:asciiTheme="minorHAnsi" w:hAnsiTheme="minorHAnsi" w:cstheme="minorHAnsi"/>
        </w:rPr>
        <w:t xml:space="preserve">or sum of </w:t>
      </w:r>
      <w:r w:rsidR="00C57F62" w:rsidRPr="003E4A43">
        <w:rPr>
          <w:rFonts w:asciiTheme="minorHAnsi" w:hAnsiTheme="minorHAnsi" w:cstheme="minorHAnsi"/>
        </w:rPr>
        <w:t xml:space="preserve">the </w:t>
      </w:r>
      <w:r w:rsidR="000501F6" w:rsidRPr="003E4A43">
        <w:rPr>
          <w:rFonts w:asciiTheme="minorHAnsi" w:hAnsiTheme="minorHAnsi" w:cstheme="minorHAnsi"/>
        </w:rPr>
        <w:t>payments</w:t>
      </w:r>
      <w:r w:rsidR="00C7155D" w:rsidRPr="003E4A43">
        <w:rPr>
          <w:rFonts w:asciiTheme="minorHAnsi" w:hAnsiTheme="minorHAnsi" w:cstheme="minorHAnsi"/>
        </w:rPr>
        <w:t>,</w:t>
      </w:r>
      <w:r w:rsidR="000501F6" w:rsidRPr="003E4A43">
        <w:rPr>
          <w:rFonts w:asciiTheme="minorHAnsi" w:hAnsiTheme="minorHAnsi" w:cstheme="minorHAnsi"/>
        </w:rPr>
        <w:t xml:space="preserve"> that the person made in relation to their student contribution amount for the affected unit. </w:t>
      </w:r>
    </w:p>
    <w:p w14:paraId="0B37BE59" w14:textId="2EEC9370" w:rsidR="000501F6" w:rsidRPr="003E4A43" w:rsidRDefault="00EB4760"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18(3)</w:t>
      </w:r>
      <w:r w:rsidR="000501F6" w:rsidRPr="003E4A43">
        <w:rPr>
          <w:rFonts w:asciiTheme="minorHAnsi" w:hAnsiTheme="minorHAnsi" w:cstheme="minorHAnsi"/>
        </w:rPr>
        <w:t xml:space="preserve"> provides that if the</w:t>
      </w:r>
      <w:r w:rsidR="00220B61" w:rsidRPr="003E4A43">
        <w:rPr>
          <w:rFonts w:asciiTheme="minorHAnsi" w:hAnsiTheme="minorHAnsi" w:cstheme="minorHAnsi"/>
        </w:rPr>
        <w:t xml:space="preserve"> Higher Education Tuition Protection</w:t>
      </w:r>
      <w:r w:rsidR="000501F6" w:rsidRPr="003E4A43">
        <w:rPr>
          <w:rFonts w:asciiTheme="minorHAnsi" w:hAnsiTheme="minorHAnsi" w:cstheme="minorHAnsi"/>
        </w:rPr>
        <w:t xml:space="preserve"> Director makes a payment under </w:t>
      </w:r>
      <w:r w:rsidRPr="003E4A43">
        <w:rPr>
          <w:rFonts w:asciiTheme="minorHAnsi" w:hAnsiTheme="minorHAnsi" w:cstheme="minorHAnsi"/>
        </w:rPr>
        <w:t>subsection (2)</w:t>
      </w:r>
      <w:r w:rsidR="000501F6" w:rsidRPr="003E4A43">
        <w:rPr>
          <w:rFonts w:asciiTheme="minorHAnsi" w:hAnsiTheme="minorHAnsi" w:cstheme="minorHAnsi"/>
        </w:rPr>
        <w:t>, the defaulting provider must repay that amount to the Commonwealth for the purposes of the</w:t>
      </w:r>
      <w:r w:rsidR="0069249A" w:rsidRPr="003E4A43">
        <w:rPr>
          <w:rFonts w:asciiTheme="minorHAnsi" w:hAnsiTheme="minorHAnsi" w:cstheme="minorHAnsi"/>
        </w:rPr>
        <w:t xml:space="preserve"> Higher Education Tuition Protection</w:t>
      </w:r>
      <w:r w:rsidR="000501F6" w:rsidRPr="003E4A43">
        <w:rPr>
          <w:rFonts w:asciiTheme="minorHAnsi" w:hAnsiTheme="minorHAnsi" w:cstheme="minorHAnsi"/>
        </w:rPr>
        <w:t xml:space="preserve"> Fund. </w:t>
      </w:r>
    </w:p>
    <w:p w14:paraId="094C0683" w14:textId="5E7E6FEE" w:rsidR="000501F6" w:rsidRPr="003E4A43" w:rsidRDefault="00816F57"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w:t>
      </w:r>
      <w:r w:rsidR="008D5E87" w:rsidRPr="003E4A43">
        <w:rPr>
          <w:rFonts w:asciiTheme="minorHAnsi" w:hAnsiTheme="minorHAnsi" w:cstheme="minorHAnsi"/>
        </w:rPr>
        <w:t xml:space="preserve"> 18(4)</w:t>
      </w:r>
      <w:r w:rsidR="000501F6" w:rsidRPr="003E4A43">
        <w:rPr>
          <w:rFonts w:asciiTheme="minorHAnsi" w:hAnsiTheme="minorHAnsi" w:cstheme="minorHAnsi"/>
        </w:rPr>
        <w:t xml:space="preserve"> sets out the tuition protection requirements for the purposes of subsection 110-5(1B) of </w:t>
      </w:r>
      <w:r w:rsidR="00554121" w:rsidRPr="003E4A43">
        <w:rPr>
          <w:rFonts w:asciiTheme="minorHAnsi" w:hAnsiTheme="minorHAnsi" w:cstheme="minorHAnsi"/>
        </w:rPr>
        <w:t>the Act</w:t>
      </w:r>
      <w:r w:rsidR="000501F6" w:rsidRPr="003E4A43">
        <w:rPr>
          <w:rFonts w:asciiTheme="minorHAnsi" w:hAnsiTheme="minorHAnsi" w:cstheme="minorHAnsi"/>
        </w:rPr>
        <w:t xml:space="preserve"> to provide that where the circumstances at subsection 110-5(1A) of </w:t>
      </w:r>
      <w:r w:rsidR="00043130" w:rsidRPr="003E4A43">
        <w:rPr>
          <w:rFonts w:asciiTheme="minorHAnsi" w:hAnsiTheme="minorHAnsi" w:cstheme="minorHAnsi"/>
        </w:rPr>
        <w:t>the Act</w:t>
      </w:r>
      <w:r w:rsidR="000501F6" w:rsidRPr="003E4A43">
        <w:rPr>
          <w:rFonts w:asciiTheme="minorHAnsi" w:hAnsiTheme="minorHAnsi" w:cstheme="minorHAnsi"/>
        </w:rPr>
        <w:t xml:space="preserve"> apply, then the defaulting provider must pay to the Commonwealth an amount equal to any FEE-HELP assistance to which the person was entitled to for the affected unit which the replacement unit replaces. </w:t>
      </w:r>
    </w:p>
    <w:p w14:paraId="696DA5B0" w14:textId="77777777" w:rsidR="00B92AE4" w:rsidRPr="003E4A43" w:rsidRDefault="00B92AE4">
      <w:pPr>
        <w:spacing w:after="160" w:line="259" w:lineRule="auto"/>
        <w:rPr>
          <w:rFonts w:asciiTheme="minorHAnsi" w:hAnsiTheme="minorHAnsi" w:cstheme="minorHAnsi"/>
          <w:bCs/>
          <w:i/>
          <w:iCs/>
        </w:rPr>
      </w:pPr>
      <w:r w:rsidRPr="003E4A43">
        <w:rPr>
          <w:rFonts w:asciiTheme="minorHAnsi" w:hAnsiTheme="minorHAnsi" w:cstheme="minorHAnsi"/>
          <w:bCs/>
          <w:i/>
          <w:iCs/>
        </w:rPr>
        <w:br w:type="page"/>
      </w:r>
    </w:p>
    <w:p w14:paraId="30A20C78" w14:textId="16E1A46D" w:rsidR="00F75255" w:rsidRPr="003E4A43" w:rsidRDefault="001152F6" w:rsidP="00161219">
      <w:pPr>
        <w:spacing w:before="360" w:after="120"/>
        <w:rPr>
          <w:rFonts w:asciiTheme="minorHAnsi" w:hAnsiTheme="minorHAnsi" w:cstheme="minorHAnsi"/>
          <w:bCs/>
          <w:i/>
          <w:iCs/>
        </w:rPr>
      </w:pPr>
      <w:r w:rsidRPr="003E4A43">
        <w:rPr>
          <w:rFonts w:asciiTheme="minorHAnsi" w:hAnsiTheme="minorHAnsi" w:cstheme="minorHAnsi"/>
          <w:bCs/>
          <w:i/>
          <w:iCs/>
        </w:rPr>
        <w:lastRenderedPageBreak/>
        <w:t>Chapter 3 – Higher education provider application fee</w:t>
      </w:r>
    </w:p>
    <w:p w14:paraId="6A929757" w14:textId="198C26CC" w:rsidR="007B677B" w:rsidRPr="003E4A43" w:rsidRDefault="007B677B" w:rsidP="005E7759">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w:t>
      </w:r>
      <w:r w:rsidR="001563DC" w:rsidRPr="003E4A43">
        <w:rPr>
          <w:rFonts w:asciiTheme="minorHAnsi" w:hAnsiTheme="minorHAnsi" w:cstheme="minorHAnsi"/>
          <w:b/>
          <w:u w:val="single"/>
        </w:rPr>
        <w:t>19</w:t>
      </w:r>
      <w:r w:rsidR="001A5DF3" w:rsidRPr="003E4A43">
        <w:rPr>
          <w:rFonts w:asciiTheme="minorHAnsi" w:hAnsiTheme="minorHAnsi" w:cstheme="minorHAnsi"/>
          <w:b/>
          <w:u w:val="single"/>
        </w:rPr>
        <w:t>: Higher education provider application fee</w:t>
      </w:r>
    </w:p>
    <w:p w14:paraId="0600E41A" w14:textId="1318A9A4" w:rsidR="004A222F" w:rsidRPr="003E4A43" w:rsidRDefault="007E1F9D" w:rsidP="008577CC">
      <w:pPr>
        <w:pStyle w:val="ListParagraph"/>
        <w:numPr>
          <w:ilvl w:val="0"/>
          <w:numId w:val="1"/>
        </w:numPr>
        <w:spacing w:after="160" w:line="256" w:lineRule="auto"/>
        <w:rPr>
          <w:rFonts w:asciiTheme="minorHAnsi" w:hAnsiTheme="minorHAnsi" w:cstheme="minorHAnsi"/>
        </w:rPr>
      </w:pPr>
      <w:r w:rsidRPr="003E4A43">
        <w:rPr>
          <w:rFonts w:asciiTheme="minorHAnsi" w:hAnsiTheme="minorHAnsi" w:cstheme="minorHAnsi"/>
        </w:rPr>
        <w:t>The table</w:t>
      </w:r>
      <w:r w:rsidR="004224CD" w:rsidRPr="003E4A43">
        <w:rPr>
          <w:rFonts w:asciiTheme="minorHAnsi" w:hAnsiTheme="minorHAnsi" w:cstheme="minorHAnsi"/>
        </w:rPr>
        <w:t xml:space="preserve"> in this section</w:t>
      </w:r>
      <w:r w:rsidRPr="003E4A43">
        <w:rPr>
          <w:rFonts w:asciiTheme="minorHAnsi" w:hAnsiTheme="minorHAnsi" w:cstheme="minorHAnsi"/>
        </w:rPr>
        <w:t xml:space="preserve"> </w:t>
      </w:r>
      <w:r w:rsidR="004224CD" w:rsidRPr="003E4A43">
        <w:rPr>
          <w:rFonts w:asciiTheme="minorHAnsi" w:hAnsiTheme="minorHAnsi" w:cstheme="minorHAnsi"/>
        </w:rPr>
        <w:t>sets out</w:t>
      </w:r>
      <w:r w:rsidR="009D25F6" w:rsidRPr="003E4A43">
        <w:rPr>
          <w:rFonts w:asciiTheme="minorHAnsi" w:hAnsiTheme="minorHAnsi" w:cstheme="minorHAnsi"/>
        </w:rPr>
        <w:t>, for the purposes of paragraph</w:t>
      </w:r>
      <w:r w:rsidRPr="003E4A43">
        <w:rPr>
          <w:rFonts w:asciiTheme="minorHAnsi" w:hAnsiTheme="minorHAnsi" w:cstheme="minorHAnsi"/>
        </w:rPr>
        <w:t xml:space="preserve"> </w:t>
      </w:r>
      <w:r w:rsidR="009D25F6" w:rsidRPr="003E4A43">
        <w:rPr>
          <w:rFonts w:asciiTheme="minorHAnsi" w:hAnsiTheme="minorHAnsi" w:cstheme="minorHAnsi"/>
        </w:rPr>
        <w:t xml:space="preserve">16-40(2)(c) of the Act, </w:t>
      </w:r>
      <w:r w:rsidRPr="003E4A43">
        <w:rPr>
          <w:rFonts w:asciiTheme="minorHAnsi" w:hAnsiTheme="minorHAnsi" w:cstheme="minorHAnsi"/>
        </w:rPr>
        <w:t>the amount of the</w:t>
      </w:r>
      <w:r w:rsidR="001F4FDB" w:rsidRPr="003E4A43">
        <w:rPr>
          <w:rFonts w:asciiTheme="minorHAnsi" w:hAnsiTheme="minorHAnsi" w:cstheme="minorHAnsi"/>
        </w:rPr>
        <w:t xml:space="preserve"> </w:t>
      </w:r>
      <w:r w:rsidR="00C340B4" w:rsidRPr="003E4A43">
        <w:rPr>
          <w:rFonts w:asciiTheme="minorHAnsi" w:hAnsiTheme="minorHAnsi" w:cstheme="minorHAnsi"/>
        </w:rPr>
        <w:t xml:space="preserve">application </w:t>
      </w:r>
      <w:r w:rsidR="009D1C89" w:rsidRPr="003E4A43">
        <w:rPr>
          <w:rFonts w:asciiTheme="minorHAnsi" w:hAnsiTheme="minorHAnsi" w:cstheme="minorHAnsi"/>
        </w:rPr>
        <w:t xml:space="preserve">fee </w:t>
      </w:r>
      <w:r w:rsidR="00B57176" w:rsidRPr="003E4A43">
        <w:rPr>
          <w:rFonts w:asciiTheme="minorHAnsi" w:hAnsiTheme="minorHAnsi" w:cstheme="minorHAnsi"/>
        </w:rPr>
        <w:t xml:space="preserve">that must accompany </w:t>
      </w:r>
      <w:r w:rsidR="00B109D5" w:rsidRPr="003E4A43">
        <w:rPr>
          <w:rFonts w:asciiTheme="minorHAnsi" w:hAnsiTheme="minorHAnsi" w:cstheme="minorHAnsi"/>
        </w:rPr>
        <w:t xml:space="preserve">a body corporate’s </w:t>
      </w:r>
      <w:r w:rsidR="00B57176" w:rsidRPr="003E4A43">
        <w:rPr>
          <w:rFonts w:asciiTheme="minorHAnsi" w:hAnsiTheme="minorHAnsi" w:cstheme="minorHAnsi"/>
        </w:rPr>
        <w:t>application</w:t>
      </w:r>
      <w:r w:rsidR="004B7BB3" w:rsidRPr="003E4A43">
        <w:rPr>
          <w:rFonts w:asciiTheme="minorHAnsi" w:hAnsiTheme="minorHAnsi" w:cstheme="minorHAnsi"/>
        </w:rPr>
        <w:t xml:space="preserve"> </w:t>
      </w:r>
      <w:r w:rsidR="001F4FDB" w:rsidRPr="003E4A43">
        <w:rPr>
          <w:rFonts w:asciiTheme="minorHAnsi" w:hAnsiTheme="minorHAnsi" w:cstheme="minorHAnsi"/>
        </w:rPr>
        <w:t>to be approved as a higher education provider</w:t>
      </w:r>
      <w:r w:rsidR="00C340B4" w:rsidRPr="003E4A43">
        <w:rPr>
          <w:rFonts w:asciiTheme="minorHAnsi" w:hAnsiTheme="minorHAnsi" w:cstheme="minorHAnsi"/>
        </w:rPr>
        <w:t>, which depends on the year in which the application is</w:t>
      </w:r>
      <w:r w:rsidR="001F4FDB" w:rsidRPr="003E4A43">
        <w:rPr>
          <w:rFonts w:asciiTheme="minorHAnsi" w:hAnsiTheme="minorHAnsi" w:cstheme="minorHAnsi"/>
        </w:rPr>
        <w:t xml:space="preserve"> </w:t>
      </w:r>
      <w:r w:rsidRPr="003E4A43">
        <w:rPr>
          <w:rFonts w:asciiTheme="minorHAnsi" w:hAnsiTheme="minorHAnsi" w:cstheme="minorHAnsi"/>
        </w:rPr>
        <w:t>made.</w:t>
      </w:r>
      <w:r w:rsidR="001B1FAA" w:rsidRPr="003E4A43">
        <w:rPr>
          <w:rFonts w:asciiTheme="minorHAnsi" w:hAnsiTheme="minorHAnsi" w:cstheme="minorHAnsi"/>
        </w:rPr>
        <w:t xml:space="preserve"> </w:t>
      </w:r>
    </w:p>
    <w:p w14:paraId="636AD734" w14:textId="07249284" w:rsidR="000A201F" w:rsidRPr="003E4A43" w:rsidRDefault="000A201F" w:rsidP="008577CC">
      <w:pPr>
        <w:spacing w:before="360" w:after="120"/>
        <w:rPr>
          <w:rFonts w:asciiTheme="minorHAnsi" w:hAnsiTheme="minorHAnsi" w:cstheme="minorHAnsi"/>
          <w:bCs/>
          <w:i/>
          <w:iCs/>
        </w:rPr>
      </w:pPr>
      <w:r w:rsidRPr="003E4A43">
        <w:rPr>
          <w:rFonts w:asciiTheme="minorHAnsi" w:hAnsiTheme="minorHAnsi" w:cstheme="minorHAnsi"/>
          <w:bCs/>
          <w:i/>
          <w:iCs/>
        </w:rPr>
        <w:t>Chapter 4 – Grievance and review procedures</w:t>
      </w:r>
    </w:p>
    <w:p w14:paraId="59A99259" w14:textId="2FFC0AAC" w:rsidR="00E92D75" w:rsidRPr="003E4A43" w:rsidRDefault="008602B6" w:rsidP="005E7759">
      <w:pPr>
        <w:spacing w:before="360" w:after="120"/>
        <w:rPr>
          <w:rFonts w:asciiTheme="minorHAnsi" w:hAnsiTheme="minorHAnsi" w:cstheme="minorHAnsi"/>
          <w:b/>
          <w:u w:val="single"/>
        </w:rPr>
      </w:pPr>
      <w:r w:rsidRPr="003E4A43">
        <w:rPr>
          <w:rFonts w:asciiTheme="minorHAnsi" w:hAnsiTheme="minorHAnsi" w:cstheme="minorHAnsi"/>
          <w:b/>
          <w:u w:val="single"/>
        </w:rPr>
        <w:t>Section 2</w:t>
      </w:r>
      <w:r w:rsidR="00437303" w:rsidRPr="003E4A43">
        <w:rPr>
          <w:rFonts w:asciiTheme="minorHAnsi" w:hAnsiTheme="minorHAnsi" w:cstheme="minorHAnsi"/>
          <w:b/>
          <w:u w:val="single"/>
        </w:rPr>
        <w:t>0</w:t>
      </w:r>
      <w:r w:rsidRPr="003E4A43">
        <w:rPr>
          <w:rFonts w:asciiTheme="minorHAnsi" w:hAnsiTheme="minorHAnsi" w:cstheme="minorHAnsi"/>
          <w:b/>
          <w:u w:val="single"/>
        </w:rPr>
        <w:t>: Requirements for grievance procedures</w:t>
      </w:r>
    </w:p>
    <w:p w14:paraId="59604230" w14:textId="0D8B03E7" w:rsidR="00E92D75" w:rsidRPr="003E4A43" w:rsidRDefault="009214F2"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2</w:t>
      </w:r>
      <w:r w:rsidR="00113945" w:rsidRPr="003E4A43">
        <w:rPr>
          <w:rFonts w:asciiTheme="minorHAnsi" w:hAnsiTheme="minorHAnsi" w:cstheme="minorHAnsi"/>
        </w:rPr>
        <w:t>0</w:t>
      </w:r>
      <w:r w:rsidRPr="003E4A43">
        <w:rPr>
          <w:rFonts w:asciiTheme="minorHAnsi" w:hAnsiTheme="minorHAnsi" w:cstheme="minorHAnsi"/>
        </w:rPr>
        <w:t>(1)</w:t>
      </w:r>
      <w:r w:rsidR="008602B6" w:rsidRPr="003E4A43">
        <w:rPr>
          <w:rFonts w:asciiTheme="minorHAnsi" w:hAnsiTheme="minorHAnsi" w:cstheme="minorHAnsi"/>
        </w:rPr>
        <w:t xml:space="preserve"> provides</w:t>
      </w:r>
      <w:r w:rsidR="005F28E0" w:rsidRPr="003E4A43">
        <w:rPr>
          <w:rFonts w:asciiTheme="minorHAnsi" w:hAnsiTheme="minorHAnsi" w:cstheme="minorHAnsi"/>
        </w:rPr>
        <w:t xml:space="preserve"> that</w:t>
      </w:r>
      <w:r w:rsidR="00083AA3" w:rsidRPr="003E4A43">
        <w:rPr>
          <w:rFonts w:asciiTheme="minorHAnsi" w:hAnsiTheme="minorHAnsi" w:cstheme="minorHAnsi"/>
        </w:rPr>
        <w:t>, for the purposes of paragraphs 19-45(1)(a) and (b)</w:t>
      </w:r>
      <w:r w:rsidR="005F28E0" w:rsidRPr="003E4A43">
        <w:rPr>
          <w:rFonts w:asciiTheme="minorHAnsi" w:hAnsiTheme="minorHAnsi" w:cstheme="minorHAnsi"/>
        </w:rPr>
        <w:t xml:space="preserve"> and subsection 19-45(2) of the Act, </w:t>
      </w:r>
      <w:r w:rsidR="008602B6" w:rsidRPr="003E4A43">
        <w:rPr>
          <w:rFonts w:asciiTheme="minorHAnsi" w:hAnsiTheme="minorHAnsi" w:cstheme="minorHAnsi"/>
        </w:rPr>
        <w:t>a</w:t>
      </w:r>
      <w:r w:rsidR="00E92D75" w:rsidRPr="003E4A43">
        <w:rPr>
          <w:rFonts w:asciiTheme="minorHAnsi" w:hAnsiTheme="minorHAnsi" w:cstheme="minorHAnsi"/>
        </w:rPr>
        <w:t xml:space="preserve"> </w:t>
      </w:r>
      <w:r w:rsidR="00211DD4" w:rsidRPr="003E4A43">
        <w:rPr>
          <w:rFonts w:asciiTheme="minorHAnsi" w:hAnsiTheme="minorHAnsi" w:cstheme="minorHAnsi"/>
        </w:rPr>
        <w:t xml:space="preserve">higher education </w:t>
      </w:r>
      <w:r w:rsidR="00E92D75" w:rsidRPr="003E4A43">
        <w:rPr>
          <w:rFonts w:asciiTheme="minorHAnsi" w:hAnsiTheme="minorHAnsi" w:cstheme="minorHAnsi"/>
        </w:rPr>
        <w:t>provider, other than a Table A provider, must have a grievance procedure</w:t>
      </w:r>
      <w:r w:rsidR="000A2440" w:rsidRPr="003E4A43">
        <w:rPr>
          <w:rFonts w:asciiTheme="minorHAnsi" w:hAnsiTheme="minorHAnsi" w:cstheme="minorHAnsi"/>
        </w:rPr>
        <w:t xml:space="preserve"> that meets the requirements specified in </w:t>
      </w:r>
      <w:r w:rsidR="00437303" w:rsidRPr="003E4A43">
        <w:rPr>
          <w:rFonts w:asciiTheme="minorHAnsi" w:hAnsiTheme="minorHAnsi" w:cstheme="minorHAnsi"/>
        </w:rPr>
        <w:t>sub</w:t>
      </w:r>
      <w:r w:rsidR="000A2440" w:rsidRPr="003E4A43">
        <w:rPr>
          <w:rFonts w:asciiTheme="minorHAnsi" w:hAnsiTheme="minorHAnsi" w:cstheme="minorHAnsi"/>
        </w:rPr>
        <w:t xml:space="preserve">section (2) </w:t>
      </w:r>
      <w:r w:rsidR="00E92D75" w:rsidRPr="003E4A43">
        <w:rPr>
          <w:rFonts w:asciiTheme="minorHAnsi" w:hAnsiTheme="minorHAnsi" w:cstheme="minorHAnsi"/>
        </w:rPr>
        <w:t xml:space="preserve">to </w:t>
      </w:r>
      <w:r w:rsidR="000A2440" w:rsidRPr="003E4A43">
        <w:rPr>
          <w:rFonts w:asciiTheme="minorHAnsi" w:hAnsiTheme="minorHAnsi" w:cstheme="minorHAnsi"/>
        </w:rPr>
        <w:t xml:space="preserve">ensure effective and fair handling </w:t>
      </w:r>
      <w:r w:rsidR="00E175C1" w:rsidRPr="003E4A43">
        <w:rPr>
          <w:rFonts w:asciiTheme="minorHAnsi" w:hAnsiTheme="minorHAnsi" w:cstheme="minorHAnsi"/>
        </w:rPr>
        <w:t>of</w:t>
      </w:r>
      <w:r w:rsidR="00E92D75" w:rsidRPr="003E4A43">
        <w:rPr>
          <w:rFonts w:asciiTheme="minorHAnsi" w:hAnsiTheme="minorHAnsi" w:cstheme="minorHAnsi"/>
        </w:rPr>
        <w:t xml:space="preserve"> complaints from students and persons seeking enrolment relating to non-academic matters</w:t>
      </w:r>
      <w:r w:rsidR="009C7FFC" w:rsidRPr="003E4A43">
        <w:rPr>
          <w:rFonts w:asciiTheme="minorHAnsi" w:hAnsiTheme="minorHAnsi" w:cstheme="minorHAnsi"/>
        </w:rPr>
        <w:t>, an</w:t>
      </w:r>
      <w:r w:rsidR="001F6174" w:rsidRPr="003E4A43">
        <w:rPr>
          <w:rFonts w:asciiTheme="minorHAnsi" w:hAnsiTheme="minorHAnsi" w:cstheme="minorHAnsi"/>
        </w:rPr>
        <w:t xml:space="preserve">d from students relating to academic matters. </w:t>
      </w:r>
    </w:p>
    <w:p w14:paraId="6796F7B8" w14:textId="29216A7E" w:rsidR="00E92D75" w:rsidRPr="003E4A43" w:rsidRDefault="001F6174"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2</w:t>
      </w:r>
      <w:r w:rsidR="00113945" w:rsidRPr="003E4A43">
        <w:rPr>
          <w:rFonts w:asciiTheme="minorHAnsi" w:hAnsiTheme="minorHAnsi" w:cstheme="minorHAnsi"/>
        </w:rPr>
        <w:t>0</w:t>
      </w:r>
      <w:r w:rsidRPr="003E4A43">
        <w:rPr>
          <w:rFonts w:asciiTheme="minorHAnsi" w:hAnsiTheme="minorHAnsi" w:cstheme="minorHAnsi"/>
        </w:rPr>
        <w:t>(2) s</w:t>
      </w:r>
      <w:r w:rsidR="00E92D75" w:rsidRPr="003E4A43">
        <w:rPr>
          <w:rFonts w:asciiTheme="minorHAnsi" w:hAnsiTheme="minorHAnsi" w:cstheme="minorHAnsi"/>
        </w:rPr>
        <w:t xml:space="preserve">ets out the necessary elements </w:t>
      </w:r>
      <w:r w:rsidR="003B4DEF" w:rsidRPr="003E4A43">
        <w:rPr>
          <w:rFonts w:asciiTheme="minorHAnsi" w:hAnsiTheme="minorHAnsi" w:cstheme="minorHAnsi"/>
        </w:rPr>
        <w:t xml:space="preserve">that must </w:t>
      </w:r>
      <w:r w:rsidR="00E92D75" w:rsidRPr="003E4A43">
        <w:rPr>
          <w:rFonts w:asciiTheme="minorHAnsi" w:hAnsiTheme="minorHAnsi" w:cstheme="minorHAnsi"/>
        </w:rPr>
        <w:t>be included in the grievance procedures.</w:t>
      </w:r>
    </w:p>
    <w:p w14:paraId="4812471F" w14:textId="01FF38BF" w:rsidR="00B422EF" w:rsidRPr="003E4A43" w:rsidRDefault="00E53790"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2</w:t>
      </w:r>
      <w:r w:rsidR="00113945" w:rsidRPr="003E4A43">
        <w:rPr>
          <w:rFonts w:asciiTheme="minorHAnsi" w:hAnsiTheme="minorHAnsi" w:cstheme="minorHAnsi"/>
        </w:rPr>
        <w:t>0</w:t>
      </w:r>
      <w:r w:rsidRPr="003E4A43">
        <w:rPr>
          <w:rFonts w:asciiTheme="minorHAnsi" w:hAnsiTheme="minorHAnsi" w:cstheme="minorHAnsi"/>
        </w:rPr>
        <w:t>(3) l</w:t>
      </w:r>
      <w:r w:rsidR="00E92D75" w:rsidRPr="003E4A43">
        <w:rPr>
          <w:rFonts w:asciiTheme="minorHAnsi" w:hAnsiTheme="minorHAnsi" w:cstheme="minorHAnsi"/>
        </w:rPr>
        <w:t>ists other requirements for providers in formulating and implementing grievance procedures such as a mechanism</w:t>
      </w:r>
      <w:r w:rsidR="00B422EF" w:rsidRPr="003E4A43">
        <w:rPr>
          <w:rFonts w:asciiTheme="minorHAnsi" w:hAnsiTheme="minorHAnsi" w:cstheme="minorHAnsi"/>
        </w:rPr>
        <w:t xml:space="preserve"> for</w:t>
      </w:r>
      <w:r w:rsidR="00E92D75" w:rsidRPr="003E4A43">
        <w:rPr>
          <w:rFonts w:asciiTheme="minorHAnsi" w:hAnsiTheme="minorHAnsi" w:cstheme="minorHAnsi"/>
        </w:rPr>
        <w:t xml:space="preserve"> </w:t>
      </w:r>
      <w:r w:rsidR="00B422EF" w:rsidRPr="003E4A43">
        <w:rPr>
          <w:rFonts w:asciiTheme="minorHAnsi" w:hAnsiTheme="minorHAnsi" w:cstheme="minorHAnsi"/>
        </w:rPr>
        <w:t>implementing the grievance procedures, general and specific fairness provisions</w:t>
      </w:r>
      <w:r w:rsidR="00DC0D4D" w:rsidRPr="003E4A43">
        <w:rPr>
          <w:rFonts w:asciiTheme="minorHAnsi" w:hAnsiTheme="minorHAnsi" w:cstheme="minorHAnsi"/>
        </w:rPr>
        <w:t>,</w:t>
      </w:r>
      <w:r w:rsidR="00B422EF" w:rsidRPr="003E4A43">
        <w:rPr>
          <w:rFonts w:asciiTheme="minorHAnsi" w:hAnsiTheme="minorHAnsi" w:cstheme="minorHAnsi"/>
        </w:rPr>
        <w:t xml:space="preserve"> the communication of grievance procedures to the public and staff</w:t>
      </w:r>
      <w:r w:rsidR="00DC0D4D" w:rsidRPr="003E4A43">
        <w:rPr>
          <w:rFonts w:asciiTheme="minorHAnsi" w:hAnsiTheme="minorHAnsi" w:cstheme="minorHAnsi"/>
        </w:rPr>
        <w:t>,</w:t>
      </w:r>
      <w:r w:rsidR="00B422EF" w:rsidRPr="003E4A43">
        <w:rPr>
          <w:rFonts w:asciiTheme="minorHAnsi" w:hAnsiTheme="minorHAnsi" w:cstheme="minorHAnsi"/>
        </w:rPr>
        <w:t xml:space="preserve"> and record keeping requirements.</w:t>
      </w:r>
    </w:p>
    <w:p w14:paraId="600F52DE" w14:textId="3730AA1D" w:rsidR="00B422EF" w:rsidRPr="003E4A43" w:rsidRDefault="00B422EF"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2</w:t>
      </w:r>
      <w:r w:rsidR="00113945" w:rsidRPr="003E4A43">
        <w:rPr>
          <w:rFonts w:asciiTheme="minorHAnsi" w:hAnsiTheme="minorHAnsi" w:cstheme="minorHAnsi"/>
        </w:rPr>
        <w:t>0</w:t>
      </w:r>
      <w:r w:rsidRPr="003E4A43">
        <w:rPr>
          <w:rFonts w:asciiTheme="minorHAnsi" w:hAnsiTheme="minorHAnsi" w:cstheme="minorHAnsi"/>
        </w:rPr>
        <w:t>(4) requires that the grievance procedures cover all students or people seeking to enrol regardless of the location at which the grievance arose, the student</w:t>
      </w:r>
      <w:r w:rsidR="00241102" w:rsidRPr="003E4A43">
        <w:rPr>
          <w:rFonts w:asciiTheme="minorHAnsi" w:hAnsiTheme="minorHAnsi" w:cstheme="minorHAnsi"/>
        </w:rPr>
        <w:t>’</w:t>
      </w:r>
      <w:r w:rsidRPr="003E4A43">
        <w:rPr>
          <w:rFonts w:asciiTheme="minorHAnsi" w:hAnsiTheme="minorHAnsi" w:cstheme="minorHAnsi"/>
        </w:rPr>
        <w:t>s place of residence or mode of study.</w:t>
      </w:r>
    </w:p>
    <w:p w14:paraId="10C48678" w14:textId="60FAF340" w:rsidR="00E92D75" w:rsidRPr="003E4A43" w:rsidRDefault="00B422EF"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2</w:t>
      </w:r>
      <w:r w:rsidR="00113945" w:rsidRPr="003E4A43">
        <w:rPr>
          <w:rFonts w:asciiTheme="minorHAnsi" w:hAnsiTheme="minorHAnsi" w:cstheme="minorHAnsi"/>
        </w:rPr>
        <w:t>0</w:t>
      </w:r>
      <w:r w:rsidRPr="003E4A43">
        <w:rPr>
          <w:rFonts w:asciiTheme="minorHAnsi" w:hAnsiTheme="minorHAnsi" w:cstheme="minorHAnsi"/>
        </w:rPr>
        <w:t>(5) provides that the</w:t>
      </w:r>
      <w:r w:rsidR="00B667C1" w:rsidRPr="003E4A43">
        <w:rPr>
          <w:rFonts w:asciiTheme="minorHAnsi" w:hAnsiTheme="minorHAnsi" w:cstheme="minorHAnsi"/>
        </w:rPr>
        <w:t xml:space="preserve"> procedures set out in the</w:t>
      </w:r>
      <w:r w:rsidRPr="003E4A43">
        <w:rPr>
          <w:rFonts w:asciiTheme="minorHAnsi" w:hAnsiTheme="minorHAnsi" w:cstheme="minorHAnsi"/>
        </w:rPr>
        <w:t xml:space="preserve"> grievance procedures document do not replace or modify procedures or any other responsibilities that may arise under other higher education provider policies or under statute or any other law.</w:t>
      </w:r>
    </w:p>
    <w:p w14:paraId="5E675307" w14:textId="4A206F30" w:rsidR="00E92D75" w:rsidRPr="003E4A43" w:rsidRDefault="00397305" w:rsidP="005E7759">
      <w:pPr>
        <w:spacing w:before="360" w:after="120"/>
        <w:rPr>
          <w:rFonts w:asciiTheme="minorHAnsi" w:hAnsiTheme="minorHAnsi" w:cstheme="minorHAnsi"/>
          <w:b/>
          <w:u w:val="single"/>
        </w:rPr>
      </w:pPr>
      <w:r w:rsidRPr="003E4A43">
        <w:rPr>
          <w:rFonts w:asciiTheme="minorHAnsi" w:hAnsiTheme="minorHAnsi" w:cstheme="minorHAnsi"/>
          <w:b/>
          <w:u w:val="single"/>
        </w:rPr>
        <w:t>Section 2</w:t>
      </w:r>
      <w:r w:rsidR="005423BB" w:rsidRPr="003E4A43">
        <w:rPr>
          <w:rFonts w:asciiTheme="minorHAnsi" w:hAnsiTheme="minorHAnsi" w:cstheme="minorHAnsi"/>
          <w:b/>
          <w:u w:val="single"/>
        </w:rPr>
        <w:t>1</w:t>
      </w:r>
      <w:r w:rsidRPr="003E4A43">
        <w:rPr>
          <w:rFonts w:asciiTheme="minorHAnsi" w:hAnsiTheme="minorHAnsi" w:cstheme="minorHAnsi"/>
          <w:b/>
          <w:u w:val="single"/>
        </w:rPr>
        <w:t>: Requirements for reviewing decisions of a higher education provider</w:t>
      </w:r>
      <w:r w:rsidR="00B422EF" w:rsidRPr="003E4A43">
        <w:rPr>
          <w:rFonts w:asciiTheme="minorHAnsi" w:hAnsiTheme="minorHAnsi" w:cstheme="minorHAnsi"/>
          <w:b/>
          <w:u w:val="single"/>
        </w:rPr>
        <w:t xml:space="preserve"> in relation to assistance under Chapter 3 of the Act</w:t>
      </w:r>
    </w:p>
    <w:p w14:paraId="3CE91E8B" w14:textId="70D77079" w:rsidR="00E92D75" w:rsidRPr="003E4A43" w:rsidRDefault="004F200E"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2</w:t>
      </w:r>
      <w:r w:rsidR="005423BB" w:rsidRPr="003E4A43">
        <w:rPr>
          <w:rFonts w:asciiTheme="minorHAnsi" w:hAnsiTheme="minorHAnsi" w:cstheme="minorHAnsi"/>
        </w:rPr>
        <w:t>1</w:t>
      </w:r>
      <w:r w:rsidRPr="003E4A43">
        <w:rPr>
          <w:rFonts w:asciiTheme="minorHAnsi" w:hAnsiTheme="minorHAnsi" w:cstheme="minorHAnsi"/>
        </w:rPr>
        <w:t xml:space="preserve">(1) </w:t>
      </w:r>
      <w:r w:rsidR="00FA1278" w:rsidRPr="003E4A43">
        <w:rPr>
          <w:rFonts w:asciiTheme="minorHAnsi" w:hAnsiTheme="minorHAnsi" w:cstheme="minorHAnsi"/>
        </w:rPr>
        <w:t>provides</w:t>
      </w:r>
      <w:r w:rsidR="00E92D75" w:rsidRPr="003E4A43">
        <w:rPr>
          <w:rFonts w:asciiTheme="minorHAnsi" w:hAnsiTheme="minorHAnsi" w:cstheme="minorHAnsi"/>
        </w:rPr>
        <w:t xml:space="preserve"> that</w:t>
      </w:r>
      <w:r w:rsidR="00FA1278" w:rsidRPr="003E4A43">
        <w:rPr>
          <w:rFonts w:asciiTheme="minorHAnsi" w:hAnsiTheme="minorHAnsi" w:cstheme="minorHAnsi"/>
        </w:rPr>
        <w:t xml:space="preserve">, for the purposes of </w:t>
      </w:r>
      <w:r w:rsidR="001913FF" w:rsidRPr="003E4A43">
        <w:rPr>
          <w:rFonts w:asciiTheme="minorHAnsi" w:hAnsiTheme="minorHAnsi" w:cstheme="minorHAnsi"/>
        </w:rPr>
        <w:t>sub</w:t>
      </w:r>
      <w:r w:rsidR="00FA1278" w:rsidRPr="003E4A43">
        <w:rPr>
          <w:rFonts w:asciiTheme="minorHAnsi" w:hAnsiTheme="minorHAnsi" w:cstheme="minorHAnsi"/>
        </w:rPr>
        <w:t>parag</w:t>
      </w:r>
      <w:r w:rsidR="00613308" w:rsidRPr="003E4A43">
        <w:rPr>
          <w:rFonts w:asciiTheme="minorHAnsi" w:hAnsiTheme="minorHAnsi" w:cstheme="minorHAnsi"/>
        </w:rPr>
        <w:t xml:space="preserve">raph 19-45(1)(c)(ii), subsection 19-45(3) and </w:t>
      </w:r>
      <w:r w:rsidR="001913FF" w:rsidRPr="003E4A43">
        <w:rPr>
          <w:rFonts w:asciiTheme="minorHAnsi" w:hAnsiTheme="minorHAnsi" w:cstheme="minorHAnsi"/>
        </w:rPr>
        <w:t>paragraph</w:t>
      </w:r>
      <w:r w:rsidR="00613308" w:rsidRPr="003E4A43">
        <w:rPr>
          <w:rFonts w:asciiTheme="minorHAnsi" w:hAnsiTheme="minorHAnsi" w:cstheme="minorHAnsi"/>
        </w:rPr>
        <w:t xml:space="preserve"> 19-45(4)(b) of the Act,</w:t>
      </w:r>
      <w:r w:rsidR="00A43668" w:rsidRPr="003E4A43">
        <w:rPr>
          <w:rFonts w:asciiTheme="minorHAnsi" w:hAnsiTheme="minorHAnsi" w:cstheme="minorHAnsi"/>
        </w:rPr>
        <w:t xml:space="preserve"> a review officer of a</w:t>
      </w:r>
      <w:r w:rsidR="00E92D75" w:rsidRPr="003E4A43">
        <w:rPr>
          <w:rFonts w:asciiTheme="minorHAnsi" w:hAnsiTheme="minorHAnsi" w:cstheme="minorHAnsi"/>
        </w:rPr>
        <w:t xml:space="preserve"> </w:t>
      </w:r>
      <w:r w:rsidR="000D5644" w:rsidRPr="003E4A43">
        <w:rPr>
          <w:rFonts w:asciiTheme="minorHAnsi" w:hAnsiTheme="minorHAnsi" w:cstheme="minorHAnsi"/>
        </w:rPr>
        <w:t xml:space="preserve">higher education </w:t>
      </w:r>
      <w:r w:rsidR="00E92D75" w:rsidRPr="003E4A43">
        <w:rPr>
          <w:rFonts w:asciiTheme="minorHAnsi" w:hAnsiTheme="minorHAnsi" w:cstheme="minorHAnsi"/>
        </w:rPr>
        <w:t>provider</w:t>
      </w:r>
      <w:r w:rsidR="007D4577" w:rsidRPr="003E4A43">
        <w:rPr>
          <w:rFonts w:asciiTheme="minorHAnsi" w:hAnsiTheme="minorHAnsi" w:cstheme="minorHAnsi"/>
        </w:rPr>
        <w:t xml:space="preserve"> must follow the procedures and comply with </w:t>
      </w:r>
      <w:r w:rsidR="00A85354" w:rsidRPr="003E4A43">
        <w:rPr>
          <w:rFonts w:asciiTheme="minorHAnsi" w:hAnsiTheme="minorHAnsi" w:cstheme="minorHAnsi"/>
        </w:rPr>
        <w:t>this section</w:t>
      </w:r>
      <w:r w:rsidR="007D4577" w:rsidRPr="003E4A43">
        <w:rPr>
          <w:rFonts w:asciiTheme="minorHAnsi" w:hAnsiTheme="minorHAnsi" w:cstheme="minorHAnsi"/>
        </w:rPr>
        <w:t xml:space="preserve"> and </w:t>
      </w:r>
      <w:r w:rsidR="00A974D1" w:rsidRPr="003E4A43">
        <w:rPr>
          <w:rFonts w:asciiTheme="minorHAnsi" w:hAnsiTheme="minorHAnsi" w:cstheme="minorHAnsi"/>
        </w:rPr>
        <w:t>Division 209 of the Act when</w:t>
      </w:r>
      <w:r w:rsidR="00E92D75" w:rsidRPr="003E4A43">
        <w:rPr>
          <w:rFonts w:asciiTheme="minorHAnsi" w:hAnsiTheme="minorHAnsi" w:cstheme="minorHAnsi"/>
        </w:rPr>
        <w:t xml:space="preserve"> reviewing reviewable decisions </w:t>
      </w:r>
      <w:r w:rsidR="00C95253" w:rsidRPr="003E4A43">
        <w:rPr>
          <w:rFonts w:asciiTheme="minorHAnsi" w:hAnsiTheme="minorHAnsi" w:cstheme="minorHAnsi"/>
        </w:rPr>
        <w:t xml:space="preserve">made </w:t>
      </w:r>
      <w:r w:rsidR="00E92D75" w:rsidRPr="003E4A43">
        <w:rPr>
          <w:rFonts w:asciiTheme="minorHAnsi" w:hAnsiTheme="minorHAnsi" w:cstheme="minorHAnsi"/>
        </w:rPr>
        <w:t xml:space="preserve">under </w:t>
      </w:r>
      <w:r w:rsidR="000D5644" w:rsidRPr="003E4A43">
        <w:rPr>
          <w:rFonts w:asciiTheme="minorHAnsi" w:hAnsiTheme="minorHAnsi" w:cstheme="minorHAnsi"/>
        </w:rPr>
        <w:t>C</w:t>
      </w:r>
      <w:r w:rsidR="00E92D75" w:rsidRPr="003E4A43">
        <w:rPr>
          <w:rFonts w:asciiTheme="minorHAnsi" w:hAnsiTheme="minorHAnsi" w:cstheme="minorHAnsi"/>
        </w:rPr>
        <w:t>hapter 3 of the Act</w:t>
      </w:r>
      <w:r w:rsidR="00C95253" w:rsidRPr="003E4A43">
        <w:rPr>
          <w:rFonts w:asciiTheme="minorHAnsi" w:hAnsiTheme="minorHAnsi" w:cstheme="minorHAnsi"/>
        </w:rPr>
        <w:t>.</w:t>
      </w:r>
    </w:p>
    <w:p w14:paraId="42CC21C8" w14:textId="471DB07E" w:rsidR="00E92D75" w:rsidRPr="003E4A43" w:rsidRDefault="00BB71C0"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lastRenderedPageBreak/>
        <w:t>Subsection 2</w:t>
      </w:r>
      <w:r w:rsidR="00A85354" w:rsidRPr="003E4A43">
        <w:rPr>
          <w:rFonts w:asciiTheme="minorHAnsi" w:hAnsiTheme="minorHAnsi" w:cstheme="minorHAnsi"/>
        </w:rPr>
        <w:t>1</w:t>
      </w:r>
      <w:r w:rsidRPr="003E4A43">
        <w:rPr>
          <w:rFonts w:asciiTheme="minorHAnsi" w:hAnsiTheme="minorHAnsi" w:cstheme="minorHAnsi"/>
        </w:rPr>
        <w:t>(2) r</w:t>
      </w:r>
      <w:r w:rsidR="00E92D75" w:rsidRPr="003E4A43">
        <w:rPr>
          <w:rFonts w:asciiTheme="minorHAnsi" w:hAnsiTheme="minorHAnsi" w:cstheme="minorHAnsi"/>
        </w:rPr>
        <w:t xml:space="preserve">equires the </w:t>
      </w:r>
      <w:r w:rsidR="00616683" w:rsidRPr="003E4A43">
        <w:rPr>
          <w:rFonts w:asciiTheme="minorHAnsi" w:hAnsiTheme="minorHAnsi" w:cstheme="minorHAnsi"/>
        </w:rPr>
        <w:t xml:space="preserve">higher education </w:t>
      </w:r>
      <w:r w:rsidR="00E92D75" w:rsidRPr="003E4A43">
        <w:rPr>
          <w:rFonts w:asciiTheme="minorHAnsi" w:hAnsiTheme="minorHAnsi" w:cstheme="minorHAnsi"/>
        </w:rPr>
        <w:t xml:space="preserve">provider to acknowledge, in writing, the receipt of an application for review and notify the applicant that the original decision is taken to be confirmed if </w:t>
      </w:r>
      <w:r w:rsidR="00E03E15" w:rsidRPr="003E4A43">
        <w:rPr>
          <w:rFonts w:asciiTheme="minorHAnsi" w:hAnsiTheme="minorHAnsi" w:cstheme="minorHAnsi"/>
        </w:rPr>
        <w:t xml:space="preserve">the reviewer has not advised the applicant of a decision within </w:t>
      </w:r>
      <w:r w:rsidR="00E92D75" w:rsidRPr="003E4A43">
        <w:rPr>
          <w:rFonts w:asciiTheme="minorHAnsi" w:hAnsiTheme="minorHAnsi" w:cstheme="minorHAnsi"/>
        </w:rPr>
        <w:t>45 days</w:t>
      </w:r>
      <w:r w:rsidR="00E03E15" w:rsidRPr="003E4A43">
        <w:rPr>
          <w:rFonts w:asciiTheme="minorHAnsi" w:hAnsiTheme="minorHAnsi" w:cstheme="minorHAnsi"/>
        </w:rPr>
        <w:t xml:space="preserve"> o</w:t>
      </w:r>
      <w:r w:rsidR="00616683" w:rsidRPr="003E4A43">
        <w:rPr>
          <w:rFonts w:asciiTheme="minorHAnsi" w:hAnsiTheme="minorHAnsi" w:cstheme="minorHAnsi"/>
        </w:rPr>
        <w:t>f</w:t>
      </w:r>
      <w:r w:rsidR="00E03E15" w:rsidRPr="003E4A43">
        <w:rPr>
          <w:rFonts w:asciiTheme="minorHAnsi" w:hAnsiTheme="minorHAnsi" w:cstheme="minorHAnsi"/>
        </w:rPr>
        <w:t xml:space="preserve"> receiving the application for review</w:t>
      </w:r>
      <w:r w:rsidR="00E92D75" w:rsidRPr="003E4A43">
        <w:rPr>
          <w:rFonts w:asciiTheme="minorHAnsi" w:hAnsiTheme="minorHAnsi" w:cstheme="minorHAnsi"/>
        </w:rPr>
        <w:t>.</w:t>
      </w:r>
    </w:p>
    <w:p w14:paraId="10BBCF3E" w14:textId="3C30DD45" w:rsidR="004839E4" w:rsidRPr="003E4A43" w:rsidRDefault="00E03E15"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2</w:t>
      </w:r>
      <w:r w:rsidR="00A85354" w:rsidRPr="003E4A43">
        <w:rPr>
          <w:rFonts w:asciiTheme="minorHAnsi" w:hAnsiTheme="minorHAnsi" w:cstheme="minorHAnsi"/>
        </w:rPr>
        <w:t>1</w:t>
      </w:r>
      <w:r w:rsidRPr="003E4A43">
        <w:rPr>
          <w:rFonts w:asciiTheme="minorHAnsi" w:hAnsiTheme="minorHAnsi" w:cstheme="minorHAnsi"/>
        </w:rPr>
        <w:t>(3) r</w:t>
      </w:r>
      <w:r w:rsidR="00E92D75" w:rsidRPr="003E4A43">
        <w:rPr>
          <w:rFonts w:asciiTheme="minorHAnsi" w:hAnsiTheme="minorHAnsi" w:cstheme="minorHAnsi"/>
        </w:rPr>
        <w:t>equires the review</w:t>
      </w:r>
      <w:r w:rsidR="00033A73" w:rsidRPr="003E4A43">
        <w:rPr>
          <w:rFonts w:asciiTheme="minorHAnsi" w:hAnsiTheme="minorHAnsi" w:cstheme="minorHAnsi"/>
        </w:rPr>
        <w:t xml:space="preserve"> officer</w:t>
      </w:r>
      <w:r w:rsidR="00E92D75" w:rsidRPr="003E4A43">
        <w:rPr>
          <w:rFonts w:asciiTheme="minorHAnsi" w:hAnsiTheme="minorHAnsi" w:cstheme="minorHAnsi"/>
        </w:rPr>
        <w:t xml:space="preserve"> to inform the applicant of their right to appeal the decision to</w:t>
      </w:r>
      <w:r w:rsidR="00BE14C7" w:rsidRPr="003E4A43">
        <w:rPr>
          <w:rFonts w:asciiTheme="minorHAnsi" w:hAnsiTheme="minorHAnsi" w:cstheme="minorHAnsi"/>
        </w:rPr>
        <w:t xml:space="preserve"> confirm</w:t>
      </w:r>
      <w:r w:rsidR="00A42336" w:rsidRPr="003E4A43">
        <w:rPr>
          <w:rFonts w:asciiTheme="minorHAnsi" w:hAnsiTheme="minorHAnsi" w:cstheme="minorHAnsi"/>
        </w:rPr>
        <w:t>, vary or set aside</w:t>
      </w:r>
      <w:r w:rsidR="000D568F" w:rsidRPr="003E4A43">
        <w:rPr>
          <w:rFonts w:asciiTheme="minorHAnsi" w:hAnsiTheme="minorHAnsi" w:cstheme="minorHAnsi"/>
        </w:rPr>
        <w:t xml:space="preserve"> the reviewable decision under section 209-5 or 209-10 of the Act</w:t>
      </w:r>
      <w:r w:rsidR="00A42336" w:rsidRPr="003E4A43">
        <w:rPr>
          <w:rFonts w:asciiTheme="minorHAnsi" w:hAnsiTheme="minorHAnsi" w:cstheme="minorHAnsi"/>
        </w:rPr>
        <w:t xml:space="preserve"> to</w:t>
      </w:r>
      <w:r w:rsidR="00E92D75" w:rsidRPr="003E4A43">
        <w:rPr>
          <w:rFonts w:asciiTheme="minorHAnsi" w:hAnsiTheme="minorHAnsi" w:cstheme="minorHAnsi"/>
        </w:rPr>
        <w:t xml:space="preserve"> the Administrative Appeals Tribunal and also requires the review</w:t>
      </w:r>
      <w:r w:rsidR="000D568F" w:rsidRPr="003E4A43">
        <w:rPr>
          <w:rFonts w:asciiTheme="minorHAnsi" w:hAnsiTheme="minorHAnsi" w:cstheme="minorHAnsi"/>
        </w:rPr>
        <w:t xml:space="preserve"> officer</w:t>
      </w:r>
      <w:r w:rsidR="00E92D75" w:rsidRPr="003E4A43">
        <w:rPr>
          <w:rFonts w:asciiTheme="minorHAnsi" w:hAnsiTheme="minorHAnsi" w:cstheme="minorHAnsi"/>
        </w:rPr>
        <w:t xml:space="preserve"> to provide contact details of the closest Administrative Appeals Registry and the approximate cost of lodging the application.</w:t>
      </w:r>
    </w:p>
    <w:p w14:paraId="602A3AB8" w14:textId="6DB0B422" w:rsidR="000A201F" w:rsidRPr="003E4A43" w:rsidRDefault="00935915" w:rsidP="008577CC">
      <w:pPr>
        <w:spacing w:before="360" w:after="120"/>
        <w:rPr>
          <w:rFonts w:asciiTheme="minorHAnsi" w:hAnsiTheme="minorHAnsi" w:cstheme="minorHAnsi"/>
          <w:bCs/>
          <w:i/>
          <w:iCs/>
        </w:rPr>
      </w:pPr>
      <w:r w:rsidRPr="003E4A43">
        <w:rPr>
          <w:rFonts w:asciiTheme="minorHAnsi" w:hAnsiTheme="minorHAnsi" w:cstheme="minorHAnsi"/>
          <w:bCs/>
          <w:i/>
          <w:iCs/>
        </w:rPr>
        <w:t xml:space="preserve">Chapter 5 </w:t>
      </w:r>
      <w:r w:rsidR="004839E4" w:rsidRPr="003E4A43">
        <w:rPr>
          <w:rFonts w:asciiTheme="minorHAnsi" w:hAnsiTheme="minorHAnsi" w:cstheme="minorHAnsi"/>
          <w:bCs/>
          <w:i/>
          <w:iCs/>
        </w:rPr>
        <w:t>–</w:t>
      </w:r>
      <w:r w:rsidR="004829D7" w:rsidRPr="003E4A43">
        <w:rPr>
          <w:rFonts w:asciiTheme="minorHAnsi" w:hAnsiTheme="minorHAnsi" w:cstheme="minorHAnsi"/>
          <w:bCs/>
          <w:i/>
          <w:iCs/>
        </w:rPr>
        <w:t xml:space="preserve"> R</w:t>
      </w:r>
      <w:r w:rsidR="004839E4" w:rsidRPr="003E4A43">
        <w:rPr>
          <w:rFonts w:asciiTheme="minorHAnsi" w:hAnsiTheme="minorHAnsi" w:cstheme="minorHAnsi"/>
          <w:bCs/>
          <w:i/>
          <w:iCs/>
        </w:rPr>
        <w:t>equirements for student contribution amounts and tuition fees</w:t>
      </w:r>
    </w:p>
    <w:p w14:paraId="3CD98AB7" w14:textId="3B80BA28" w:rsidR="007B24F3" w:rsidRPr="003E4A43" w:rsidRDefault="007B24F3" w:rsidP="005E7759">
      <w:pPr>
        <w:spacing w:before="360" w:after="120"/>
        <w:rPr>
          <w:rFonts w:asciiTheme="minorHAnsi" w:hAnsiTheme="minorHAnsi" w:cstheme="minorHAnsi"/>
          <w:b/>
          <w:u w:val="single"/>
        </w:rPr>
      </w:pPr>
      <w:r w:rsidRPr="003E4A43">
        <w:rPr>
          <w:rFonts w:asciiTheme="minorHAnsi" w:hAnsiTheme="minorHAnsi" w:cstheme="minorHAnsi"/>
          <w:b/>
          <w:u w:val="single"/>
        </w:rPr>
        <w:t>Section 2</w:t>
      </w:r>
      <w:r w:rsidR="0044538B" w:rsidRPr="003E4A43">
        <w:rPr>
          <w:rFonts w:asciiTheme="minorHAnsi" w:hAnsiTheme="minorHAnsi" w:cstheme="minorHAnsi"/>
          <w:b/>
          <w:u w:val="single"/>
        </w:rPr>
        <w:t>2</w:t>
      </w:r>
      <w:r w:rsidRPr="003E4A43">
        <w:rPr>
          <w:rFonts w:asciiTheme="minorHAnsi" w:hAnsiTheme="minorHAnsi" w:cstheme="minorHAnsi"/>
          <w:b/>
          <w:u w:val="single"/>
        </w:rPr>
        <w:t>: Period</w:t>
      </w:r>
      <w:r w:rsidR="00D57FE7" w:rsidRPr="003E4A43">
        <w:rPr>
          <w:rFonts w:asciiTheme="minorHAnsi" w:hAnsiTheme="minorHAnsi" w:cstheme="minorHAnsi"/>
          <w:b/>
          <w:u w:val="single"/>
        </w:rPr>
        <w:t xml:space="preserve"> in which a higher education provider provides or proposes to provide a unit of study</w:t>
      </w:r>
    </w:p>
    <w:p w14:paraId="34A1D6BC" w14:textId="42F4C0DE" w:rsidR="002C5C50" w:rsidRPr="003E4A43" w:rsidRDefault="00A70D0C"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This section </w:t>
      </w:r>
      <w:r w:rsidR="00371F32" w:rsidRPr="003E4A43">
        <w:rPr>
          <w:rFonts w:asciiTheme="minorHAnsi" w:hAnsiTheme="minorHAnsi" w:cstheme="minorHAnsi"/>
        </w:rPr>
        <w:t>provides</w:t>
      </w:r>
      <w:r w:rsidR="006E7BC5" w:rsidRPr="003E4A43">
        <w:rPr>
          <w:rFonts w:asciiTheme="minorHAnsi" w:hAnsiTheme="minorHAnsi" w:cstheme="minorHAnsi"/>
        </w:rPr>
        <w:t xml:space="preserve"> that</w:t>
      </w:r>
      <w:r w:rsidRPr="003E4A43">
        <w:rPr>
          <w:rFonts w:asciiTheme="minorHAnsi" w:hAnsiTheme="minorHAnsi" w:cstheme="minorHAnsi"/>
        </w:rPr>
        <w:t xml:space="preserve">, for the purposes of </w:t>
      </w:r>
      <w:r w:rsidR="001C1E96" w:rsidRPr="003E4A43">
        <w:rPr>
          <w:rFonts w:asciiTheme="minorHAnsi" w:hAnsiTheme="minorHAnsi" w:cstheme="minorHAnsi"/>
        </w:rPr>
        <w:t xml:space="preserve">subsections 19-87(1), 19-90(1) and 19-95(1) of the Act, </w:t>
      </w:r>
      <w:r w:rsidR="00371F32" w:rsidRPr="003E4A43">
        <w:rPr>
          <w:rFonts w:asciiTheme="minorHAnsi" w:hAnsiTheme="minorHAnsi" w:cstheme="minorHAnsi"/>
        </w:rPr>
        <w:t>the period commences on the earliest enrolment date for the unit of study as determined by the higher education provider and ends on the completion date for the unit of study as determined by the provider.</w:t>
      </w:r>
    </w:p>
    <w:p w14:paraId="345019A6" w14:textId="565C1D4C" w:rsidR="006A3678" w:rsidRPr="003E4A43" w:rsidRDefault="003652B0" w:rsidP="005E7759">
      <w:pPr>
        <w:spacing w:before="360" w:after="120"/>
        <w:rPr>
          <w:rFonts w:asciiTheme="minorHAnsi" w:hAnsiTheme="minorHAnsi" w:cstheme="minorHAnsi"/>
          <w:b/>
          <w:u w:val="single"/>
        </w:rPr>
      </w:pPr>
      <w:r w:rsidRPr="003E4A43">
        <w:rPr>
          <w:rFonts w:asciiTheme="minorHAnsi" w:hAnsiTheme="minorHAnsi" w:cstheme="minorHAnsi"/>
          <w:b/>
          <w:u w:val="single"/>
        </w:rPr>
        <w:t>Section 2</w:t>
      </w:r>
      <w:r w:rsidR="0044538B" w:rsidRPr="003E4A43">
        <w:rPr>
          <w:rFonts w:asciiTheme="minorHAnsi" w:hAnsiTheme="minorHAnsi" w:cstheme="minorHAnsi"/>
          <w:b/>
          <w:u w:val="single"/>
        </w:rPr>
        <w:t>3</w:t>
      </w:r>
      <w:r w:rsidRPr="003E4A43">
        <w:rPr>
          <w:rFonts w:asciiTheme="minorHAnsi" w:hAnsiTheme="minorHAnsi" w:cstheme="minorHAnsi"/>
          <w:b/>
          <w:u w:val="single"/>
        </w:rPr>
        <w:t xml:space="preserve">: </w:t>
      </w:r>
      <w:r w:rsidR="00852B40" w:rsidRPr="003E4A43">
        <w:rPr>
          <w:rFonts w:asciiTheme="minorHAnsi" w:hAnsiTheme="minorHAnsi" w:cstheme="minorHAnsi"/>
          <w:b/>
          <w:u w:val="single"/>
        </w:rPr>
        <w:t>Date by which, and manner by which, a higher education provider must publish the schedule of student contribution amounts for places and tuition fees for a particular period</w:t>
      </w:r>
    </w:p>
    <w:p w14:paraId="4145070F" w14:textId="547260B4" w:rsidR="00220937" w:rsidRPr="003E4A43" w:rsidRDefault="00FB51EA" w:rsidP="00220937">
      <w:pPr>
        <w:numPr>
          <w:ilvl w:val="0"/>
          <w:numId w:val="1"/>
        </w:numPr>
        <w:spacing w:before="360" w:after="120" w:line="256" w:lineRule="auto"/>
        <w:rPr>
          <w:rFonts w:asciiTheme="minorHAnsi" w:hAnsiTheme="minorHAnsi" w:cstheme="minorHAnsi"/>
        </w:rPr>
      </w:pPr>
      <w:r w:rsidRPr="003E4A43">
        <w:rPr>
          <w:rFonts w:asciiTheme="minorHAnsi" w:hAnsiTheme="minorHAnsi" w:cstheme="minorHAnsi"/>
        </w:rPr>
        <w:t xml:space="preserve">This section </w:t>
      </w:r>
      <w:r w:rsidR="00220937" w:rsidRPr="003E4A43">
        <w:rPr>
          <w:rFonts w:asciiTheme="minorHAnsi" w:hAnsiTheme="minorHAnsi" w:cstheme="minorHAnsi"/>
        </w:rPr>
        <w:t>provides</w:t>
      </w:r>
      <w:r w:rsidR="00147DF5" w:rsidRPr="003E4A43">
        <w:rPr>
          <w:rFonts w:asciiTheme="minorHAnsi" w:hAnsiTheme="minorHAnsi" w:cstheme="minorHAnsi"/>
        </w:rPr>
        <w:t xml:space="preserve"> that</w:t>
      </w:r>
      <w:r w:rsidR="00ED0DE0" w:rsidRPr="003E4A43">
        <w:rPr>
          <w:rFonts w:asciiTheme="minorHAnsi" w:hAnsiTheme="minorHAnsi" w:cstheme="minorHAnsi"/>
        </w:rPr>
        <w:t>, for the purposes of paragraph 19-95(2)(b) of the Act,</w:t>
      </w:r>
      <w:r w:rsidR="006A3678" w:rsidRPr="003E4A43">
        <w:rPr>
          <w:rFonts w:asciiTheme="minorHAnsi" w:hAnsiTheme="minorHAnsi" w:cstheme="minorHAnsi"/>
        </w:rPr>
        <w:t xml:space="preserve"> </w:t>
      </w:r>
      <w:r w:rsidR="00220937" w:rsidRPr="003E4A43">
        <w:rPr>
          <w:rFonts w:asciiTheme="minorHAnsi" w:hAnsiTheme="minorHAnsi" w:cstheme="minorHAnsi"/>
        </w:rPr>
        <w:t>a higher education provider must publish a schedule of student contribution amounts for places and tuition fees on the higher education provider’s website on or before the earliest enrolment date for the unit of study as determined by the provider.</w:t>
      </w:r>
    </w:p>
    <w:p w14:paraId="6A0CBA88" w14:textId="496F6FF3" w:rsidR="006A3678" w:rsidRPr="003E4A43" w:rsidRDefault="00220937" w:rsidP="00220937">
      <w:pPr>
        <w:spacing w:before="360" w:after="120"/>
        <w:rPr>
          <w:rFonts w:asciiTheme="minorHAnsi" w:hAnsiTheme="minorHAnsi" w:cstheme="minorHAnsi"/>
          <w:b/>
          <w:u w:val="single"/>
        </w:rPr>
      </w:pPr>
      <w:r w:rsidRPr="003E4A43">
        <w:rPr>
          <w:rFonts w:asciiTheme="minorHAnsi" w:hAnsiTheme="minorHAnsi" w:cstheme="minorHAnsi"/>
          <w:b/>
          <w:u w:val="single"/>
        </w:rPr>
        <w:t>S</w:t>
      </w:r>
      <w:r w:rsidR="0012613C" w:rsidRPr="003E4A43">
        <w:rPr>
          <w:rFonts w:asciiTheme="minorHAnsi" w:hAnsiTheme="minorHAnsi" w:cstheme="minorHAnsi"/>
          <w:b/>
          <w:u w:val="single"/>
        </w:rPr>
        <w:t>ection 2</w:t>
      </w:r>
      <w:r w:rsidR="0044538B" w:rsidRPr="003E4A43">
        <w:rPr>
          <w:rFonts w:asciiTheme="minorHAnsi" w:hAnsiTheme="minorHAnsi" w:cstheme="minorHAnsi"/>
          <w:b/>
          <w:u w:val="single"/>
        </w:rPr>
        <w:t>4</w:t>
      </w:r>
      <w:r w:rsidR="0012613C" w:rsidRPr="003E4A43">
        <w:rPr>
          <w:rFonts w:asciiTheme="minorHAnsi" w:hAnsiTheme="minorHAnsi" w:cstheme="minorHAnsi"/>
          <w:b/>
          <w:u w:val="single"/>
        </w:rPr>
        <w:t xml:space="preserve">: Matters to which a provider must not have regard </w:t>
      </w:r>
      <w:r w:rsidR="00147DF5" w:rsidRPr="003E4A43">
        <w:rPr>
          <w:rFonts w:asciiTheme="minorHAnsi" w:hAnsiTheme="minorHAnsi" w:cstheme="minorHAnsi"/>
          <w:b/>
          <w:u w:val="single"/>
        </w:rPr>
        <w:t xml:space="preserve">to </w:t>
      </w:r>
      <w:r w:rsidR="0012613C" w:rsidRPr="003E4A43">
        <w:rPr>
          <w:rFonts w:asciiTheme="minorHAnsi" w:hAnsiTheme="minorHAnsi" w:cstheme="minorHAnsi"/>
          <w:b/>
          <w:u w:val="single"/>
        </w:rPr>
        <w:t>when determining more than one student contribution amount or tuition fee</w:t>
      </w:r>
      <w:r w:rsidR="006A3678" w:rsidRPr="003E4A43">
        <w:rPr>
          <w:rFonts w:asciiTheme="minorHAnsi" w:hAnsiTheme="minorHAnsi" w:cstheme="minorHAnsi"/>
          <w:b/>
          <w:u w:val="single"/>
        </w:rPr>
        <w:t> </w:t>
      </w:r>
    </w:p>
    <w:p w14:paraId="055CD5F1" w14:textId="2F69F5EC" w:rsidR="006A3678" w:rsidRPr="003E4A43" w:rsidRDefault="008842B3"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This section s</w:t>
      </w:r>
      <w:r w:rsidR="006A3678" w:rsidRPr="003E4A43">
        <w:rPr>
          <w:rFonts w:asciiTheme="minorHAnsi" w:hAnsiTheme="minorHAnsi" w:cstheme="minorHAnsi"/>
        </w:rPr>
        <w:t>ets out</w:t>
      </w:r>
      <w:r w:rsidR="00B847A7" w:rsidRPr="003E4A43">
        <w:rPr>
          <w:rFonts w:asciiTheme="minorHAnsi" w:hAnsiTheme="minorHAnsi" w:cstheme="minorHAnsi"/>
        </w:rPr>
        <w:t xml:space="preserve"> the </w:t>
      </w:r>
      <w:r w:rsidR="006A3678" w:rsidRPr="003E4A43">
        <w:rPr>
          <w:rFonts w:asciiTheme="minorHAnsi" w:hAnsiTheme="minorHAnsi" w:cstheme="minorHAnsi"/>
        </w:rPr>
        <w:t>matters which a</w:t>
      </w:r>
      <w:r w:rsidR="004A7DF0" w:rsidRPr="003E4A43">
        <w:rPr>
          <w:rFonts w:asciiTheme="minorHAnsi" w:hAnsiTheme="minorHAnsi" w:cstheme="minorHAnsi"/>
        </w:rPr>
        <w:t xml:space="preserve"> higher education</w:t>
      </w:r>
      <w:r w:rsidR="006A3678" w:rsidRPr="003E4A43">
        <w:rPr>
          <w:rFonts w:asciiTheme="minorHAnsi" w:hAnsiTheme="minorHAnsi" w:cstheme="minorHAnsi"/>
        </w:rPr>
        <w:t xml:space="preserve"> provider must not have regard</w:t>
      </w:r>
      <w:r w:rsidR="00274107" w:rsidRPr="003E4A43">
        <w:rPr>
          <w:rFonts w:asciiTheme="minorHAnsi" w:hAnsiTheme="minorHAnsi" w:cstheme="minorHAnsi"/>
        </w:rPr>
        <w:t xml:space="preserve"> to</w:t>
      </w:r>
      <w:r w:rsidR="006A3678" w:rsidRPr="003E4A43">
        <w:rPr>
          <w:rFonts w:asciiTheme="minorHAnsi" w:hAnsiTheme="minorHAnsi" w:cstheme="minorHAnsi"/>
        </w:rPr>
        <w:t xml:space="preserve"> when </w:t>
      </w:r>
      <w:r w:rsidR="00B847A7" w:rsidRPr="003E4A43">
        <w:rPr>
          <w:rFonts w:asciiTheme="minorHAnsi" w:hAnsiTheme="minorHAnsi" w:cstheme="minorHAnsi"/>
        </w:rPr>
        <w:t xml:space="preserve">determining a student contribution amount under subsection 19-87(2A) </w:t>
      </w:r>
      <w:r w:rsidR="003C2A76" w:rsidRPr="003E4A43">
        <w:rPr>
          <w:rFonts w:asciiTheme="minorHAnsi" w:hAnsiTheme="minorHAnsi" w:cstheme="minorHAnsi"/>
        </w:rPr>
        <w:t xml:space="preserve">of the Act </w:t>
      </w:r>
      <w:r w:rsidR="00B847A7" w:rsidRPr="003E4A43">
        <w:rPr>
          <w:rFonts w:asciiTheme="minorHAnsi" w:hAnsiTheme="minorHAnsi" w:cstheme="minorHAnsi"/>
        </w:rPr>
        <w:t>or a tuition fee under subsection 19-90(3) of the Act for a unit</w:t>
      </w:r>
      <w:r w:rsidR="00140421" w:rsidRPr="003E4A43">
        <w:rPr>
          <w:rFonts w:asciiTheme="minorHAnsi" w:hAnsiTheme="minorHAnsi" w:cstheme="minorHAnsi"/>
        </w:rPr>
        <w:t xml:space="preserve"> of study</w:t>
      </w:r>
      <w:r w:rsidR="006A3678" w:rsidRPr="003E4A43">
        <w:rPr>
          <w:rFonts w:asciiTheme="minorHAnsi" w:hAnsiTheme="minorHAnsi" w:cstheme="minorHAnsi"/>
        </w:rPr>
        <w:t>.</w:t>
      </w:r>
    </w:p>
    <w:p w14:paraId="06CBA63E" w14:textId="60AFCA6C" w:rsidR="00003C48" w:rsidRPr="003E4A43" w:rsidRDefault="00003C48" w:rsidP="005E7759">
      <w:pPr>
        <w:spacing w:before="360" w:after="120"/>
        <w:rPr>
          <w:rFonts w:asciiTheme="minorHAnsi" w:hAnsiTheme="minorHAnsi" w:cstheme="minorHAnsi"/>
          <w:b/>
          <w:u w:val="single"/>
        </w:rPr>
      </w:pPr>
      <w:r w:rsidRPr="003E4A43">
        <w:rPr>
          <w:rFonts w:asciiTheme="minorHAnsi" w:hAnsiTheme="minorHAnsi" w:cstheme="minorHAnsi"/>
          <w:b/>
          <w:u w:val="single"/>
        </w:rPr>
        <w:t>Section 2</w:t>
      </w:r>
      <w:r w:rsidR="004A7DF0" w:rsidRPr="003E4A43">
        <w:rPr>
          <w:rFonts w:asciiTheme="minorHAnsi" w:hAnsiTheme="minorHAnsi" w:cstheme="minorHAnsi"/>
          <w:b/>
          <w:u w:val="single"/>
        </w:rPr>
        <w:t>5</w:t>
      </w:r>
      <w:r w:rsidRPr="003E4A43">
        <w:rPr>
          <w:rFonts w:asciiTheme="minorHAnsi" w:hAnsiTheme="minorHAnsi" w:cstheme="minorHAnsi"/>
          <w:b/>
          <w:u w:val="single"/>
        </w:rPr>
        <w:t>: Varying a student contribution amount or tuition fee</w:t>
      </w:r>
    </w:p>
    <w:p w14:paraId="4382C75F" w14:textId="1652D17E" w:rsidR="00447F27" w:rsidRPr="003E4A43" w:rsidRDefault="00F42C87" w:rsidP="00447F27">
      <w:pPr>
        <w:pStyle w:val="ListParagraph"/>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2</w:t>
      </w:r>
      <w:r w:rsidR="000C44E4" w:rsidRPr="003E4A43">
        <w:rPr>
          <w:rFonts w:asciiTheme="minorHAnsi" w:hAnsiTheme="minorHAnsi" w:cstheme="minorHAnsi"/>
        </w:rPr>
        <w:t>5</w:t>
      </w:r>
      <w:r w:rsidRPr="003E4A43">
        <w:rPr>
          <w:rFonts w:asciiTheme="minorHAnsi" w:hAnsiTheme="minorHAnsi" w:cstheme="minorHAnsi"/>
        </w:rPr>
        <w:t xml:space="preserve">(1) </w:t>
      </w:r>
      <w:r w:rsidR="00447F27" w:rsidRPr="003E4A43">
        <w:rPr>
          <w:rFonts w:asciiTheme="minorHAnsi" w:hAnsiTheme="minorHAnsi" w:cstheme="minorHAnsi"/>
        </w:rPr>
        <w:t>provides that</w:t>
      </w:r>
      <w:r w:rsidR="004A71D3" w:rsidRPr="003E4A43">
        <w:rPr>
          <w:rFonts w:asciiTheme="minorHAnsi" w:hAnsiTheme="minorHAnsi" w:cstheme="minorHAnsi"/>
        </w:rPr>
        <w:t>, for the purposes of paragraph 19-87(3)(a) and paragraph 19-90(4)(a) of the Act,</w:t>
      </w:r>
      <w:r w:rsidR="00447F27" w:rsidRPr="003E4A43">
        <w:rPr>
          <w:rFonts w:asciiTheme="minorHAnsi" w:hAnsiTheme="minorHAnsi" w:cstheme="minorHAnsi"/>
        </w:rPr>
        <w:t xml:space="preserve"> a higher education provider may only vary a published student contribution amount or tuition fee if the variation occurs prior to the published census date for the unit of study, and:</w:t>
      </w:r>
    </w:p>
    <w:p w14:paraId="0B276267" w14:textId="10101980" w:rsidR="00447F27" w:rsidRPr="003E4A43" w:rsidRDefault="00447F27" w:rsidP="00161985">
      <w:pPr>
        <w:pStyle w:val="ListParagraph"/>
        <w:numPr>
          <w:ilvl w:val="0"/>
          <w:numId w:val="11"/>
        </w:numPr>
        <w:rPr>
          <w:rFonts w:asciiTheme="minorHAnsi" w:hAnsiTheme="minorHAnsi" w:cstheme="minorHAnsi"/>
        </w:rPr>
      </w:pPr>
      <w:r w:rsidRPr="003E4A43">
        <w:rPr>
          <w:rFonts w:asciiTheme="minorHAnsi" w:hAnsiTheme="minorHAnsi" w:cstheme="minorHAnsi"/>
        </w:rPr>
        <w:lastRenderedPageBreak/>
        <w:t>the variation does not disadvantage a student enrolled, or a person seeking to enrol; and</w:t>
      </w:r>
    </w:p>
    <w:p w14:paraId="00F6C990" w14:textId="57D56006" w:rsidR="00447F27" w:rsidRPr="003E4A43" w:rsidRDefault="00447F27" w:rsidP="00161985">
      <w:pPr>
        <w:pStyle w:val="ListParagraph"/>
        <w:numPr>
          <w:ilvl w:val="0"/>
          <w:numId w:val="11"/>
        </w:numPr>
        <w:rPr>
          <w:rFonts w:asciiTheme="minorHAnsi" w:hAnsiTheme="minorHAnsi" w:cstheme="minorHAnsi"/>
        </w:rPr>
      </w:pPr>
      <w:r w:rsidRPr="003E4A43">
        <w:rPr>
          <w:rFonts w:asciiTheme="minorHAnsi" w:hAnsiTheme="minorHAnsi" w:cstheme="minorHAnsi"/>
        </w:rPr>
        <w:t>the variation is necessary to correct the published student contribution amount or tuition fee due to administrative error or circumstances that did not apply at the time the student contribution amount or tuition fee was determined.</w:t>
      </w:r>
    </w:p>
    <w:p w14:paraId="778429CF" w14:textId="42174ADE" w:rsidR="006A401F" w:rsidRPr="003E4A43" w:rsidRDefault="006A401F" w:rsidP="00C46B2A">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7D0A71" w:rsidRPr="003E4A43">
        <w:rPr>
          <w:rFonts w:asciiTheme="minorHAnsi" w:hAnsiTheme="minorHAnsi" w:cstheme="minorHAnsi"/>
        </w:rPr>
        <w:t>2</w:t>
      </w:r>
      <w:r w:rsidR="000C44E4" w:rsidRPr="003E4A43">
        <w:rPr>
          <w:rFonts w:asciiTheme="minorHAnsi" w:hAnsiTheme="minorHAnsi" w:cstheme="minorHAnsi"/>
        </w:rPr>
        <w:t>5</w:t>
      </w:r>
      <w:r w:rsidRPr="003E4A43">
        <w:rPr>
          <w:rFonts w:asciiTheme="minorHAnsi" w:hAnsiTheme="minorHAnsi" w:cstheme="minorHAnsi"/>
        </w:rPr>
        <w:t>(</w:t>
      </w:r>
      <w:r w:rsidR="00820C9F" w:rsidRPr="003E4A43">
        <w:rPr>
          <w:rFonts w:asciiTheme="minorHAnsi" w:hAnsiTheme="minorHAnsi" w:cstheme="minorHAnsi"/>
        </w:rPr>
        <w:t>2) provides that</w:t>
      </w:r>
      <w:r w:rsidR="0067354E" w:rsidRPr="003E4A43">
        <w:rPr>
          <w:rFonts w:asciiTheme="minorHAnsi" w:hAnsiTheme="minorHAnsi" w:cstheme="minorHAnsi"/>
        </w:rPr>
        <w:t>,</w:t>
      </w:r>
      <w:r w:rsidR="00820C9F" w:rsidRPr="003E4A43">
        <w:rPr>
          <w:rFonts w:asciiTheme="minorHAnsi" w:hAnsiTheme="minorHAnsi" w:cstheme="minorHAnsi"/>
        </w:rPr>
        <w:t xml:space="preserve"> without limiting the generality </w:t>
      </w:r>
      <w:r w:rsidR="00447F27" w:rsidRPr="003E4A43">
        <w:rPr>
          <w:rFonts w:asciiTheme="minorHAnsi" w:hAnsiTheme="minorHAnsi" w:cstheme="minorHAnsi"/>
        </w:rPr>
        <w:t xml:space="preserve">of </w:t>
      </w:r>
      <w:r w:rsidR="00765E08" w:rsidRPr="003E4A43">
        <w:rPr>
          <w:rFonts w:asciiTheme="minorHAnsi" w:hAnsiTheme="minorHAnsi" w:cstheme="minorHAnsi"/>
        </w:rPr>
        <w:t xml:space="preserve">paragraph </w:t>
      </w:r>
      <w:r w:rsidR="00615144" w:rsidRPr="003E4A43">
        <w:rPr>
          <w:rFonts w:asciiTheme="minorHAnsi" w:hAnsiTheme="minorHAnsi" w:cstheme="minorHAnsi"/>
        </w:rPr>
        <w:t>2</w:t>
      </w:r>
      <w:r w:rsidR="000C44E4" w:rsidRPr="003E4A43">
        <w:rPr>
          <w:rFonts w:asciiTheme="minorHAnsi" w:hAnsiTheme="minorHAnsi" w:cstheme="minorHAnsi"/>
        </w:rPr>
        <w:t>5</w:t>
      </w:r>
      <w:r w:rsidR="00765E08" w:rsidRPr="003E4A43">
        <w:rPr>
          <w:rFonts w:asciiTheme="minorHAnsi" w:hAnsiTheme="minorHAnsi" w:cstheme="minorHAnsi"/>
        </w:rPr>
        <w:t xml:space="preserve">(1)(a), a </w:t>
      </w:r>
      <w:r w:rsidR="00261C11" w:rsidRPr="003E4A43">
        <w:rPr>
          <w:rFonts w:asciiTheme="minorHAnsi" w:hAnsiTheme="minorHAnsi" w:cstheme="minorHAnsi"/>
        </w:rPr>
        <w:t xml:space="preserve">student </w:t>
      </w:r>
      <w:r w:rsidR="00346660" w:rsidRPr="003E4A43">
        <w:rPr>
          <w:rFonts w:asciiTheme="minorHAnsi" w:hAnsiTheme="minorHAnsi" w:cstheme="minorHAnsi"/>
        </w:rPr>
        <w:t>will be disadvantaged by a variation that increases the student contribution amount or tuition fee.</w:t>
      </w:r>
    </w:p>
    <w:p w14:paraId="5DD40586" w14:textId="12A000CB" w:rsidR="00346660" w:rsidRPr="003E4A43" w:rsidRDefault="00346660" w:rsidP="00C46B2A">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7D0A71" w:rsidRPr="003E4A43">
        <w:rPr>
          <w:rFonts w:asciiTheme="minorHAnsi" w:hAnsiTheme="minorHAnsi" w:cstheme="minorHAnsi"/>
        </w:rPr>
        <w:t>2</w:t>
      </w:r>
      <w:r w:rsidR="000C44E4" w:rsidRPr="003E4A43">
        <w:rPr>
          <w:rFonts w:asciiTheme="minorHAnsi" w:hAnsiTheme="minorHAnsi" w:cstheme="minorHAnsi"/>
        </w:rPr>
        <w:t>5</w:t>
      </w:r>
      <w:r w:rsidRPr="003E4A43">
        <w:rPr>
          <w:rFonts w:asciiTheme="minorHAnsi" w:hAnsiTheme="minorHAnsi" w:cstheme="minorHAnsi"/>
        </w:rPr>
        <w:t xml:space="preserve">(3) </w:t>
      </w:r>
      <w:r w:rsidR="003B540E" w:rsidRPr="003E4A43">
        <w:rPr>
          <w:rFonts w:asciiTheme="minorHAnsi" w:hAnsiTheme="minorHAnsi" w:cstheme="minorHAnsi"/>
        </w:rPr>
        <w:t>provides that</w:t>
      </w:r>
      <w:r w:rsidR="00A53FCE" w:rsidRPr="003E4A43">
        <w:rPr>
          <w:rFonts w:asciiTheme="minorHAnsi" w:hAnsiTheme="minorHAnsi" w:cstheme="minorHAnsi"/>
        </w:rPr>
        <w:t>,</w:t>
      </w:r>
      <w:r w:rsidR="003B540E" w:rsidRPr="003E4A43">
        <w:rPr>
          <w:rFonts w:asciiTheme="minorHAnsi" w:hAnsiTheme="minorHAnsi" w:cstheme="minorHAnsi"/>
        </w:rPr>
        <w:t xml:space="preserve"> in relation to replacement schedules under subsection 19-95(3) to the Act, the method by which a higher education provider must withdraw the previous schedule, inform the Minister of the variation and give the Minister a replacement schedule incorporating the variation is by publishing the replacement schedule on the higher education provider’s website as soon as practicable after making that decision.</w:t>
      </w:r>
    </w:p>
    <w:p w14:paraId="76D31AF4" w14:textId="1F4B2392" w:rsidR="004839E4" w:rsidRPr="003E4A43" w:rsidRDefault="00EA562E" w:rsidP="005E7759">
      <w:pPr>
        <w:spacing w:before="360" w:after="120"/>
        <w:rPr>
          <w:rFonts w:asciiTheme="minorHAnsi" w:hAnsiTheme="minorHAnsi" w:cstheme="minorHAnsi"/>
          <w:b/>
          <w:u w:val="single"/>
        </w:rPr>
      </w:pPr>
      <w:r w:rsidRPr="003E4A43">
        <w:rPr>
          <w:rFonts w:asciiTheme="minorHAnsi" w:hAnsiTheme="minorHAnsi" w:cstheme="minorHAnsi"/>
          <w:b/>
          <w:u w:val="single"/>
        </w:rPr>
        <w:t>Section</w:t>
      </w:r>
      <w:r w:rsidR="007D0A71" w:rsidRPr="003E4A43">
        <w:rPr>
          <w:rFonts w:asciiTheme="minorHAnsi" w:hAnsiTheme="minorHAnsi" w:cstheme="minorHAnsi"/>
          <w:b/>
          <w:u w:val="single"/>
        </w:rPr>
        <w:t xml:space="preserve"> 26</w:t>
      </w:r>
      <w:r w:rsidRPr="003E4A43">
        <w:rPr>
          <w:rFonts w:asciiTheme="minorHAnsi" w:hAnsiTheme="minorHAnsi" w:cstheme="minorHAnsi"/>
          <w:b/>
          <w:u w:val="single"/>
        </w:rPr>
        <w:t xml:space="preserve">: </w:t>
      </w:r>
      <w:r w:rsidR="00CA104F" w:rsidRPr="003E4A43">
        <w:rPr>
          <w:rFonts w:asciiTheme="minorHAnsi" w:hAnsiTheme="minorHAnsi" w:cstheme="minorHAnsi"/>
          <w:b/>
          <w:u w:val="single"/>
        </w:rPr>
        <w:t>The form in which a higher education provider must give the Minister a schedule of student contribution amounts for places and tuition fees</w:t>
      </w:r>
    </w:p>
    <w:p w14:paraId="53378A85" w14:textId="42492428" w:rsidR="003C37E7" w:rsidRPr="003E4A43" w:rsidRDefault="003C37E7" w:rsidP="008577CC">
      <w:pPr>
        <w:pStyle w:val="ListParagraph"/>
        <w:numPr>
          <w:ilvl w:val="0"/>
          <w:numId w:val="1"/>
        </w:numPr>
        <w:spacing w:after="160" w:line="256" w:lineRule="auto"/>
        <w:rPr>
          <w:rFonts w:asciiTheme="minorHAnsi" w:hAnsiTheme="minorHAnsi" w:cstheme="minorHAnsi"/>
        </w:rPr>
      </w:pPr>
      <w:r w:rsidRPr="003E4A43">
        <w:rPr>
          <w:rFonts w:asciiTheme="minorHAnsi" w:hAnsiTheme="minorHAnsi" w:cstheme="minorHAnsi"/>
        </w:rPr>
        <w:t>This section sets out</w:t>
      </w:r>
      <w:r w:rsidR="00862A49" w:rsidRPr="003E4A43">
        <w:rPr>
          <w:rFonts w:asciiTheme="minorHAnsi" w:hAnsiTheme="minorHAnsi" w:cstheme="minorHAnsi"/>
        </w:rPr>
        <w:t xml:space="preserve">, for the purposes of </w:t>
      </w:r>
      <w:r w:rsidR="00276B82" w:rsidRPr="003E4A43">
        <w:rPr>
          <w:rFonts w:asciiTheme="minorHAnsi" w:hAnsiTheme="minorHAnsi" w:cstheme="minorHAnsi"/>
        </w:rPr>
        <w:t>subsection 19-95(1) of the Act,</w:t>
      </w:r>
      <w:r w:rsidRPr="003E4A43">
        <w:rPr>
          <w:rFonts w:asciiTheme="minorHAnsi" w:hAnsiTheme="minorHAnsi" w:cstheme="minorHAnsi"/>
        </w:rPr>
        <w:t xml:space="preserve"> the form in which a higher education provider must give a schedule of student contribution amounts and tuition fees to the Minister</w:t>
      </w:r>
      <w:r w:rsidR="00800FE2" w:rsidRPr="003E4A43">
        <w:rPr>
          <w:rFonts w:asciiTheme="minorHAnsi" w:hAnsiTheme="minorHAnsi" w:cstheme="minorHAnsi"/>
        </w:rPr>
        <w:t>, that is, by publishing the schedule on the provider’s website</w:t>
      </w:r>
      <w:r w:rsidRPr="003E4A43">
        <w:rPr>
          <w:rFonts w:asciiTheme="minorHAnsi" w:hAnsiTheme="minorHAnsi" w:cstheme="minorHAnsi"/>
        </w:rPr>
        <w:t>.</w:t>
      </w:r>
    </w:p>
    <w:p w14:paraId="63B0C7F1" w14:textId="4AB918A1" w:rsidR="004839E4" w:rsidRPr="003E4A43" w:rsidRDefault="00B35799" w:rsidP="008577CC">
      <w:pPr>
        <w:spacing w:before="360" w:after="120"/>
        <w:rPr>
          <w:rFonts w:asciiTheme="minorHAnsi" w:hAnsiTheme="minorHAnsi" w:cstheme="minorHAnsi"/>
          <w:bCs/>
          <w:i/>
          <w:iCs/>
        </w:rPr>
      </w:pPr>
      <w:r w:rsidRPr="003E4A43">
        <w:rPr>
          <w:rFonts w:asciiTheme="minorHAnsi" w:hAnsiTheme="minorHAnsi" w:cstheme="minorHAnsi"/>
          <w:bCs/>
          <w:i/>
          <w:iCs/>
        </w:rPr>
        <w:t>Chapter 6 – Fees in respect of overseas students</w:t>
      </w:r>
    </w:p>
    <w:p w14:paraId="2178E04D" w14:textId="20A057E1" w:rsidR="008428D3" w:rsidRPr="003E4A43" w:rsidRDefault="008428D3" w:rsidP="005E7759">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w:t>
      </w:r>
      <w:r w:rsidR="007D0A71" w:rsidRPr="003E4A43">
        <w:rPr>
          <w:rFonts w:asciiTheme="minorHAnsi" w:hAnsiTheme="minorHAnsi" w:cstheme="minorHAnsi"/>
          <w:b/>
          <w:u w:val="single"/>
        </w:rPr>
        <w:t>27</w:t>
      </w:r>
      <w:r w:rsidRPr="003E4A43">
        <w:rPr>
          <w:rFonts w:asciiTheme="minorHAnsi" w:hAnsiTheme="minorHAnsi" w:cstheme="minorHAnsi"/>
          <w:b/>
          <w:u w:val="single"/>
        </w:rPr>
        <w:t>: Requirements</w:t>
      </w:r>
      <w:r w:rsidR="00A47A3F" w:rsidRPr="003E4A43">
        <w:rPr>
          <w:rFonts w:asciiTheme="minorHAnsi" w:hAnsiTheme="minorHAnsi" w:cstheme="minorHAnsi"/>
          <w:b/>
          <w:u w:val="single"/>
        </w:rPr>
        <w:t xml:space="preserve"> for determining fees for overseas students</w:t>
      </w:r>
    </w:p>
    <w:p w14:paraId="192E0A1A" w14:textId="108BD762" w:rsidR="008428D3" w:rsidRPr="003E4A43" w:rsidRDefault="008A10A6" w:rsidP="008577CC">
      <w:pPr>
        <w:pStyle w:val="ListParagraph"/>
        <w:numPr>
          <w:ilvl w:val="0"/>
          <w:numId w:val="1"/>
        </w:numPr>
        <w:spacing w:after="160" w:line="256" w:lineRule="auto"/>
        <w:rPr>
          <w:rFonts w:asciiTheme="minorHAnsi" w:hAnsiTheme="minorHAnsi" w:cstheme="minorHAnsi"/>
        </w:rPr>
      </w:pPr>
      <w:r w:rsidRPr="003E4A43">
        <w:rPr>
          <w:rFonts w:asciiTheme="minorHAnsi" w:hAnsiTheme="minorHAnsi" w:cstheme="minorHAnsi"/>
        </w:rPr>
        <w:t>This section s</w:t>
      </w:r>
      <w:r w:rsidR="008428D3" w:rsidRPr="003E4A43">
        <w:rPr>
          <w:rFonts w:asciiTheme="minorHAnsi" w:hAnsiTheme="minorHAnsi" w:cstheme="minorHAnsi"/>
        </w:rPr>
        <w:t>ets out</w:t>
      </w:r>
      <w:r w:rsidR="00A47A3F" w:rsidRPr="003E4A43">
        <w:rPr>
          <w:rFonts w:asciiTheme="minorHAnsi" w:hAnsiTheme="minorHAnsi" w:cstheme="minorHAnsi"/>
        </w:rPr>
        <w:t xml:space="preserve">, for the purposes of paragraph 19-102(3)(d) of the Act, </w:t>
      </w:r>
      <w:r w:rsidR="008428D3" w:rsidRPr="003E4A43">
        <w:rPr>
          <w:rFonts w:asciiTheme="minorHAnsi" w:hAnsiTheme="minorHAnsi" w:cstheme="minorHAnsi"/>
        </w:rPr>
        <w:t xml:space="preserve">requirements for a higher education provider </w:t>
      </w:r>
      <w:r w:rsidR="00204D97" w:rsidRPr="003E4A43">
        <w:rPr>
          <w:rFonts w:asciiTheme="minorHAnsi" w:hAnsiTheme="minorHAnsi" w:cstheme="minorHAnsi"/>
        </w:rPr>
        <w:t>when</w:t>
      </w:r>
      <w:r w:rsidR="008428D3" w:rsidRPr="003E4A43">
        <w:rPr>
          <w:rFonts w:asciiTheme="minorHAnsi" w:hAnsiTheme="minorHAnsi" w:cstheme="minorHAnsi"/>
        </w:rPr>
        <w:t xml:space="preserve"> determining fees for overseas students.</w:t>
      </w:r>
    </w:p>
    <w:p w14:paraId="64341CEF" w14:textId="42582349" w:rsidR="00EB18C4" w:rsidRPr="003E4A43" w:rsidRDefault="00EB18C4" w:rsidP="005E7759">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w:t>
      </w:r>
      <w:r w:rsidR="007D0A71" w:rsidRPr="003E4A43">
        <w:rPr>
          <w:rFonts w:asciiTheme="minorHAnsi" w:hAnsiTheme="minorHAnsi" w:cstheme="minorHAnsi"/>
          <w:b/>
          <w:u w:val="single"/>
        </w:rPr>
        <w:t>28</w:t>
      </w:r>
      <w:r w:rsidRPr="003E4A43">
        <w:rPr>
          <w:rFonts w:asciiTheme="minorHAnsi" w:hAnsiTheme="minorHAnsi" w:cstheme="minorHAnsi"/>
          <w:b/>
          <w:u w:val="single"/>
        </w:rPr>
        <w:t xml:space="preserve">: Circumstances </w:t>
      </w:r>
      <w:r w:rsidR="0041694F" w:rsidRPr="003E4A43">
        <w:rPr>
          <w:rFonts w:asciiTheme="minorHAnsi" w:hAnsiTheme="minorHAnsi" w:cstheme="minorHAnsi"/>
          <w:b/>
          <w:u w:val="single"/>
        </w:rPr>
        <w:t xml:space="preserve">in which the requirements for determining fees for overseas students </w:t>
      </w:r>
      <w:r w:rsidR="00204D97" w:rsidRPr="003E4A43">
        <w:rPr>
          <w:rFonts w:asciiTheme="minorHAnsi" w:hAnsiTheme="minorHAnsi" w:cstheme="minorHAnsi"/>
          <w:b/>
          <w:u w:val="single"/>
        </w:rPr>
        <w:t>do</w:t>
      </w:r>
      <w:r w:rsidR="0041694F" w:rsidRPr="003E4A43">
        <w:rPr>
          <w:rFonts w:asciiTheme="minorHAnsi" w:hAnsiTheme="minorHAnsi" w:cstheme="minorHAnsi"/>
          <w:b/>
          <w:u w:val="single"/>
        </w:rPr>
        <w:t xml:space="preserve"> not apply</w:t>
      </w:r>
    </w:p>
    <w:p w14:paraId="6E6326A2" w14:textId="4AD7EDC5" w:rsidR="006A2383" w:rsidRPr="003E4A43" w:rsidRDefault="0041694F" w:rsidP="008577CC">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7D0A71" w:rsidRPr="003E4A43">
        <w:rPr>
          <w:rFonts w:asciiTheme="minorHAnsi" w:hAnsiTheme="minorHAnsi" w:cstheme="minorHAnsi"/>
        </w:rPr>
        <w:t>28</w:t>
      </w:r>
      <w:r w:rsidRPr="003E4A43">
        <w:rPr>
          <w:rFonts w:asciiTheme="minorHAnsi" w:hAnsiTheme="minorHAnsi" w:cstheme="minorHAnsi"/>
        </w:rPr>
        <w:t>(1) s</w:t>
      </w:r>
      <w:r w:rsidR="008428D3" w:rsidRPr="003E4A43">
        <w:rPr>
          <w:rFonts w:asciiTheme="minorHAnsi" w:hAnsiTheme="minorHAnsi" w:cstheme="minorHAnsi"/>
        </w:rPr>
        <w:t xml:space="preserve">ets out an exemption to </w:t>
      </w:r>
      <w:r w:rsidR="00783333" w:rsidRPr="003E4A43">
        <w:rPr>
          <w:rFonts w:asciiTheme="minorHAnsi" w:hAnsiTheme="minorHAnsi" w:cstheme="minorHAnsi"/>
        </w:rPr>
        <w:t xml:space="preserve">the requirements in </w:t>
      </w:r>
      <w:r w:rsidR="004A357C" w:rsidRPr="003E4A43">
        <w:rPr>
          <w:rFonts w:asciiTheme="minorHAnsi" w:hAnsiTheme="minorHAnsi" w:cstheme="minorHAnsi"/>
        </w:rPr>
        <w:t xml:space="preserve">section </w:t>
      </w:r>
      <w:r w:rsidR="00681667" w:rsidRPr="003E4A43">
        <w:rPr>
          <w:rFonts w:asciiTheme="minorHAnsi" w:hAnsiTheme="minorHAnsi" w:cstheme="minorHAnsi"/>
        </w:rPr>
        <w:t>27</w:t>
      </w:r>
      <w:r w:rsidR="00783333" w:rsidRPr="003E4A43">
        <w:rPr>
          <w:rFonts w:asciiTheme="minorHAnsi" w:hAnsiTheme="minorHAnsi" w:cstheme="minorHAnsi"/>
        </w:rPr>
        <w:t xml:space="preserve"> </w:t>
      </w:r>
      <w:r w:rsidR="008428D3" w:rsidRPr="003E4A43">
        <w:rPr>
          <w:rFonts w:asciiTheme="minorHAnsi" w:hAnsiTheme="minorHAnsi" w:cstheme="minorHAnsi"/>
        </w:rPr>
        <w:t>for formal exchange students and particular categories of postgraduate research students</w:t>
      </w:r>
      <w:r w:rsidR="0041215E" w:rsidRPr="003E4A43">
        <w:rPr>
          <w:rFonts w:asciiTheme="minorHAnsi" w:hAnsiTheme="minorHAnsi" w:cstheme="minorHAnsi"/>
        </w:rPr>
        <w:t>:</w:t>
      </w:r>
    </w:p>
    <w:p w14:paraId="24559D65" w14:textId="5DD0FDA3" w:rsidR="0041215E" w:rsidRPr="003E4A43" w:rsidRDefault="0041215E" w:rsidP="0041215E">
      <w:pPr>
        <w:pStyle w:val="ListParagraph"/>
        <w:numPr>
          <w:ilvl w:val="0"/>
          <w:numId w:val="19"/>
        </w:numPr>
        <w:spacing w:after="160" w:line="256" w:lineRule="auto"/>
        <w:rPr>
          <w:rFonts w:asciiTheme="minorHAnsi" w:hAnsiTheme="minorHAnsi" w:cstheme="minorHAnsi"/>
        </w:rPr>
      </w:pPr>
      <w:r w:rsidRPr="003E4A43">
        <w:rPr>
          <w:rFonts w:asciiTheme="minorHAnsi" w:hAnsiTheme="minorHAnsi" w:cstheme="minorHAnsi"/>
        </w:rPr>
        <w:t>overseas students undertaking study in Australia as part of a formal exchange program; and</w:t>
      </w:r>
    </w:p>
    <w:p w14:paraId="166FEB09" w14:textId="359F3C7E" w:rsidR="0041215E" w:rsidRPr="003E4A43" w:rsidRDefault="0041215E" w:rsidP="0041215E">
      <w:pPr>
        <w:pStyle w:val="ListParagraph"/>
        <w:numPr>
          <w:ilvl w:val="0"/>
          <w:numId w:val="19"/>
        </w:numPr>
        <w:spacing w:after="160" w:line="256" w:lineRule="auto"/>
        <w:rPr>
          <w:rFonts w:asciiTheme="minorHAnsi" w:hAnsiTheme="minorHAnsi" w:cstheme="minorHAnsi"/>
        </w:rPr>
      </w:pPr>
      <w:r w:rsidRPr="003E4A43">
        <w:rPr>
          <w:rFonts w:asciiTheme="minorHAnsi" w:hAnsiTheme="minorHAnsi" w:cstheme="minorHAnsi"/>
        </w:rPr>
        <w:t xml:space="preserve">overseas students undertaking study in Australia towards </w:t>
      </w:r>
      <w:proofErr w:type="gramStart"/>
      <w:r w:rsidRPr="003E4A43">
        <w:rPr>
          <w:rFonts w:asciiTheme="minorHAnsi" w:hAnsiTheme="minorHAnsi" w:cstheme="minorHAnsi"/>
        </w:rPr>
        <w:t>a research</w:t>
      </w:r>
      <w:proofErr w:type="gramEnd"/>
      <w:r w:rsidRPr="003E4A43">
        <w:rPr>
          <w:rFonts w:asciiTheme="minorHAnsi" w:hAnsiTheme="minorHAnsi" w:cstheme="minorHAnsi"/>
        </w:rPr>
        <w:t xml:space="preserve"> </w:t>
      </w:r>
      <w:proofErr w:type="spellStart"/>
      <w:r w:rsidRPr="003E4A43">
        <w:rPr>
          <w:rFonts w:asciiTheme="minorHAnsi" w:hAnsiTheme="minorHAnsi" w:cstheme="minorHAnsi"/>
        </w:rPr>
        <w:t>Masters</w:t>
      </w:r>
      <w:proofErr w:type="spellEnd"/>
      <w:r w:rsidRPr="003E4A43">
        <w:rPr>
          <w:rFonts w:asciiTheme="minorHAnsi" w:hAnsiTheme="minorHAnsi" w:cstheme="minorHAnsi"/>
        </w:rPr>
        <w:t xml:space="preserve"> degree or a research Doctoral degree who have been awarded a scholarship for that study on the basis of merit following a competitive application process.</w:t>
      </w:r>
    </w:p>
    <w:p w14:paraId="573700BC" w14:textId="2B905E93" w:rsidR="00A66009" w:rsidRPr="003E4A43" w:rsidRDefault="006A2383" w:rsidP="00A66009">
      <w:pPr>
        <w:numPr>
          <w:ilvl w:val="0"/>
          <w:numId w:val="1"/>
        </w:numPr>
        <w:spacing w:after="160" w:line="256" w:lineRule="auto"/>
        <w:rPr>
          <w:rFonts w:asciiTheme="minorHAnsi" w:hAnsiTheme="minorHAnsi" w:cstheme="minorHAnsi"/>
        </w:rPr>
      </w:pPr>
      <w:r w:rsidRPr="003E4A43">
        <w:rPr>
          <w:rFonts w:asciiTheme="minorHAnsi" w:hAnsiTheme="minorHAnsi" w:cstheme="minorHAnsi"/>
        </w:rPr>
        <w:lastRenderedPageBreak/>
        <w:t xml:space="preserve">Subsection </w:t>
      </w:r>
      <w:r w:rsidR="007D0A71" w:rsidRPr="003E4A43">
        <w:rPr>
          <w:rFonts w:asciiTheme="minorHAnsi" w:hAnsiTheme="minorHAnsi" w:cstheme="minorHAnsi"/>
        </w:rPr>
        <w:t>28</w:t>
      </w:r>
      <w:r w:rsidRPr="003E4A43">
        <w:rPr>
          <w:rFonts w:asciiTheme="minorHAnsi" w:hAnsiTheme="minorHAnsi" w:cstheme="minorHAnsi"/>
        </w:rPr>
        <w:t>(2)</w:t>
      </w:r>
      <w:r w:rsidR="008428D3" w:rsidRPr="003E4A43">
        <w:rPr>
          <w:rFonts w:asciiTheme="minorHAnsi" w:hAnsiTheme="minorHAnsi" w:cstheme="minorHAnsi"/>
        </w:rPr>
        <w:t xml:space="preserve"> defines ‘formal exchange program’ for the purposes of paragraph </w:t>
      </w:r>
      <w:r w:rsidR="0041215E" w:rsidRPr="003E4A43">
        <w:rPr>
          <w:rFonts w:asciiTheme="minorHAnsi" w:hAnsiTheme="minorHAnsi" w:cstheme="minorHAnsi"/>
        </w:rPr>
        <w:t>28</w:t>
      </w:r>
      <w:r w:rsidR="007A28F2" w:rsidRPr="003E4A43">
        <w:rPr>
          <w:rFonts w:asciiTheme="minorHAnsi" w:hAnsiTheme="minorHAnsi" w:cstheme="minorHAnsi"/>
        </w:rPr>
        <w:t>(1)(a)</w:t>
      </w:r>
      <w:r w:rsidR="0062696C" w:rsidRPr="003E4A43">
        <w:rPr>
          <w:rFonts w:asciiTheme="minorHAnsi" w:hAnsiTheme="minorHAnsi" w:cstheme="minorHAnsi"/>
        </w:rPr>
        <w:t xml:space="preserve"> </w:t>
      </w:r>
      <w:r w:rsidR="007D24A1" w:rsidRPr="003E4A43">
        <w:rPr>
          <w:rFonts w:asciiTheme="minorHAnsi" w:hAnsiTheme="minorHAnsi" w:cstheme="minorHAnsi"/>
        </w:rPr>
        <w:t>as</w:t>
      </w:r>
      <w:r w:rsidR="00A66009" w:rsidRPr="003E4A43">
        <w:rPr>
          <w:rFonts w:asciiTheme="minorHAnsi" w:hAnsiTheme="minorHAnsi" w:cstheme="minorHAnsi"/>
        </w:rPr>
        <w:t xml:space="preserve"> a program established under a formal agreement between an Australian higher education provider and an overseas higher education institution </w:t>
      </w:r>
      <w:r w:rsidR="0019011C" w:rsidRPr="003E4A43">
        <w:rPr>
          <w:rFonts w:asciiTheme="minorHAnsi" w:hAnsiTheme="minorHAnsi" w:cstheme="minorHAnsi"/>
        </w:rPr>
        <w:t>(</w:t>
      </w:r>
      <w:r w:rsidR="000726EA" w:rsidRPr="003E4A43">
        <w:rPr>
          <w:rFonts w:asciiTheme="minorHAnsi" w:hAnsiTheme="minorHAnsi" w:cstheme="minorHAnsi"/>
        </w:rPr>
        <w:t>‘</w:t>
      </w:r>
      <w:r w:rsidR="00A66009" w:rsidRPr="003E4A43">
        <w:rPr>
          <w:rFonts w:asciiTheme="minorHAnsi" w:hAnsiTheme="minorHAnsi" w:cstheme="minorHAnsi"/>
        </w:rPr>
        <w:t>overseas institution</w:t>
      </w:r>
      <w:r w:rsidR="000726EA" w:rsidRPr="003E4A43">
        <w:rPr>
          <w:rFonts w:asciiTheme="minorHAnsi" w:hAnsiTheme="minorHAnsi" w:cstheme="minorHAnsi"/>
        </w:rPr>
        <w:t>’</w:t>
      </w:r>
      <w:r w:rsidR="0019011C" w:rsidRPr="003E4A43">
        <w:rPr>
          <w:rFonts w:asciiTheme="minorHAnsi" w:hAnsiTheme="minorHAnsi" w:cstheme="minorHAnsi"/>
        </w:rPr>
        <w:t>)</w:t>
      </w:r>
      <w:r w:rsidR="00A66009" w:rsidRPr="003E4A43">
        <w:rPr>
          <w:rFonts w:asciiTheme="minorHAnsi" w:hAnsiTheme="minorHAnsi" w:cstheme="minorHAnsi"/>
        </w:rPr>
        <w:t xml:space="preserve"> that provides for:</w:t>
      </w:r>
    </w:p>
    <w:p w14:paraId="74240CE0" w14:textId="06730A29" w:rsidR="00A66009" w:rsidRPr="003E4A43" w:rsidRDefault="00A66009" w:rsidP="00161985">
      <w:pPr>
        <w:numPr>
          <w:ilvl w:val="0"/>
          <w:numId w:val="12"/>
        </w:numPr>
        <w:spacing w:after="160" w:line="256" w:lineRule="auto"/>
        <w:rPr>
          <w:rFonts w:asciiTheme="minorHAnsi" w:hAnsiTheme="minorHAnsi" w:cstheme="minorHAnsi"/>
        </w:rPr>
      </w:pPr>
      <w:r w:rsidRPr="003E4A43">
        <w:rPr>
          <w:rFonts w:asciiTheme="minorHAnsi" w:hAnsiTheme="minorHAnsi" w:cstheme="minorHAnsi"/>
        </w:rPr>
        <w:t xml:space="preserve">students of the Australian higher education provider to undertake study at the overseas institution, where the study at the overseas institution contributes to the requirements of a course of study being undertaken by the students with the Australian higher education </w:t>
      </w:r>
      <w:proofErr w:type="gramStart"/>
      <w:r w:rsidRPr="003E4A43">
        <w:rPr>
          <w:rFonts w:asciiTheme="minorHAnsi" w:hAnsiTheme="minorHAnsi" w:cstheme="minorHAnsi"/>
        </w:rPr>
        <w:t>provider;</w:t>
      </w:r>
      <w:proofErr w:type="gramEnd"/>
    </w:p>
    <w:p w14:paraId="260EF2C0" w14:textId="58EAFAA4" w:rsidR="00A66009" w:rsidRPr="003E4A43" w:rsidRDefault="00A66009" w:rsidP="00161985">
      <w:pPr>
        <w:numPr>
          <w:ilvl w:val="0"/>
          <w:numId w:val="12"/>
        </w:numPr>
        <w:spacing w:after="160" w:line="256" w:lineRule="auto"/>
        <w:rPr>
          <w:rFonts w:asciiTheme="minorHAnsi" w:hAnsiTheme="minorHAnsi" w:cstheme="minorHAnsi"/>
        </w:rPr>
      </w:pPr>
      <w:r w:rsidRPr="003E4A43">
        <w:rPr>
          <w:rFonts w:asciiTheme="minorHAnsi" w:hAnsiTheme="minorHAnsi" w:cstheme="minorHAnsi"/>
        </w:rPr>
        <w:t>students of the overseas institution to undertake study at the Australian higher education provider, where the study at the Australian higher education provider contributes to the requirements of a course of study being undertaken by the students with the overseas institution; and</w:t>
      </w:r>
    </w:p>
    <w:p w14:paraId="599D16EA" w14:textId="7F3FC366" w:rsidR="00A66009" w:rsidRPr="003E4A43" w:rsidRDefault="00A66009" w:rsidP="00161985">
      <w:pPr>
        <w:numPr>
          <w:ilvl w:val="0"/>
          <w:numId w:val="12"/>
        </w:numPr>
        <w:spacing w:after="160" w:line="256" w:lineRule="auto"/>
        <w:rPr>
          <w:rFonts w:asciiTheme="minorHAnsi" w:hAnsiTheme="minorHAnsi" w:cstheme="minorHAnsi"/>
        </w:rPr>
      </w:pPr>
      <w:r w:rsidRPr="003E4A43">
        <w:rPr>
          <w:rFonts w:asciiTheme="minorHAnsi" w:hAnsiTheme="minorHAnsi" w:cstheme="minorHAnsi"/>
        </w:rPr>
        <w:t>the exchange of students between the Australian higher education provider and the overseas institution to be reciprocal over time</w:t>
      </w:r>
      <w:r w:rsidR="00354371" w:rsidRPr="003E4A43">
        <w:rPr>
          <w:rFonts w:asciiTheme="minorHAnsi" w:hAnsiTheme="minorHAnsi" w:cstheme="minorHAnsi"/>
        </w:rPr>
        <w:t>.</w:t>
      </w:r>
    </w:p>
    <w:p w14:paraId="37A7320E" w14:textId="3B273B7B" w:rsidR="00A40A78" w:rsidRPr="003E4A43" w:rsidRDefault="005D0E50" w:rsidP="00A40A78">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41215E" w:rsidRPr="003E4A43">
        <w:rPr>
          <w:rFonts w:asciiTheme="minorHAnsi" w:hAnsiTheme="minorHAnsi" w:cstheme="minorHAnsi"/>
        </w:rPr>
        <w:t>28</w:t>
      </w:r>
      <w:r w:rsidRPr="003E4A43">
        <w:rPr>
          <w:rFonts w:asciiTheme="minorHAnsi" w:hAnsiTheme="minorHAnsi" w:cstheme="minorHAnsi"/>
        </w:rPr>
        <w:t xml:space="preserve">(3) </w:t>
      </w:r>
      <w:r w:rsidR="00B45B86" w:rsidRPr="003E4A43">
        <w:rPr>
          <w:rFonts w:asciiTheme="minorHAnsi" w:hAnsiTheme="minorHAnsi" w:cstheme="minorHAnsi"/>
        </w:rPr>
        <w:t xml:space="preserve">requires that all </w:t>
      </w:r>
      <w:r w:rsidR="00DA6193" w:rsidRPr="003E4A43">
        <w:rPr>
          <w:rFonts w:asciiTheme="minorHAnsi" w:hAnsiTheme="minorHAnsi" w:cstheme="minorHAnsi"/>
        </w:rPr>
        <w:t xml:space="preserve">students of the Australian higher education provider </w:t>
      </w:r>
      <w:r w:rsidR="00A40A78" w:rsidRPr="003E4A43">
        <w:rPr>
          <w:rFonts w:asciiTheme="minorHAnsi" w:hAnsiTheme="minorHAnsi" w:cstheme="minorHAnsi"/>
        </w:rPr>
        <w:t xml:space="preserve">undertaking study in accordance with paragraph </w:t>
      </w:r>
      <w:r w:rsidR="0041215E" w:rsidRPr="003E4A43">
        <w:rPr>
          <w:rFonts w:asciiTheme="minorHAnsi" w:hAnsiTheme="minorHAnsi" w:cstheme="minorHAnsi"/>
        </w:rPr>
        <w:t>28</w:t>
      </w:r>
      <w:r w:rsidR="00A40A78" w:rsidRPr="003E4A43">
        <w:rPr>
          <w:rFonts w:asciiTheme="minorHAnsi" w:hAnsiTheme="minorHAnsi" w:cstheme="minorHAnsi"/>
        </w:rPr>
        <w:t>(2)(a) are charged student contribution amounts and tuition fees in accordance with the Act and are not charged fees at the overseas institution.</w:t>
      </w:r>
    </w:p>
    <w:p w14:paraId="098588C2" w14:textId="77CA2446" w:rsidR="005D0E50" w:rsidRPr="003E4A43" w:rsidRDefault="00A85868" w:rsidP="00A85868">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41215E" w:rsidRPr="003E4A43">
        <w:rPr>
          <w:rFonts w:asciiTheme="minorHAnsi" w:hAnsiTheme="minorHAnsi" w:cstheme="minorHAnsi"/>
        </w:rPr>
        <w:t>28</w:t>
      </w:r>
      <w:r w:rsidRPr="003E4A43">
        <w:rPr>
          <w:rFonts w:asciiTheme="minorHAnsi" w:hAnsiTheme="minorHAnsi" w:cstheme="minorHAnsi"/>
        </w:rPr>
        <w:t xml:space="preserve">(4) requires that all students of the overseas institution undertaking study in accordance with paragraph </w:t>
      </w:r>
      <w:r w:rsidR="0041215E" w:rsidRPr="003E4A43">
        <w:rPr>
          <w:rFonts w:asciiTheme="minorHAnsi" w:hAnsiTheme="minorHAnsi" w:cstheme="minorHAnsi"/>
        </w:rPr>
        <w:t>28</w:t>
      </w:r>
      <w:r w:rsidRPr="003E4A43">
        <w:rPr>
          <w:rFonts w:asciiTheme="minorHAnsi" w:hAnsiTheme="minorHAnsi" w:cstheme="minorHAnsi"/>
        </w:rPr>
        <w:t>(2)(b)</w:t>
      </w:r>
      <w:r w:rsidR="009361D9" w:rsidRPr="003E4A43">
        <w:rPr>
          <w:rFonts w:asciiTheme="minorHAnsi" w:hAnsiTheme="minorHAnsi" w:cstheme="minorHAnsi"/>
        </w:rPr>
        <w:t xml:space="preserve"> </w:t>
      </w:r>
      <w:r w:rsidRPr="003E4A43">
        <w:rPr>
          <w:rFonts w:asciiTheme="minorHAnsi" w:hAnsiTheme="minorHAnsi" w:cstheme="minorHAnsi"/>
        </w:rPr>
        <w:t>are charged fees in accordance with the practices of that overseas institution and are not charged fees at the Australian higher education provider.</w:t>
      </w:r>
    </w:p>
    <w:p w14:paraId="24B2CF65" w14:textId="20DE8A71" w:rsidR="00756A73" w:rsidRPr="003E4A43" w:rsidRDefault="0062696C" w:rsidP="00756A73">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w:t>
      </w:r>
      <w:r w:rsidR="00257D6A" w:rsidRPr="003E4A43">
        <w:rPr>
          <w:rFonts w:asciiTheme="minorHAnsi" w:hAnsiTheme="minorHAnsi" w:cstheme="minorHAnsi"/>
          <w:b/>
          <w:u w:val="single"/>
        </w:rPr>
        <w:t>29</w:t>
      </w:r>
      <w:r w:rsidRPr="003E4A43">
        <w:rPr>
          <w:rFonts w:asciiTheme="minorHAnsi" w:hAnsiTheme="minorHAnsi" w:cstheme="minorHAnsi"/>
          <w:b/>
          <w:u w:val="single"/>
        </w:rPr>
        <w:t>: Minimum indicative course fees</w:t>
      </w:r>
    </w:p>
    <w:p w14:paraId="58D63E34" w14:textId="3CC26034" w:rsidR="006C6562" w:rsidRPr="003E4A43" w:rsidRDefault="0062696C" w:rsidP="006C6562">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257D6A" w:rsidRPr="003E4A43">
        <w:rPr>
          <w:rFonts w:asciiTheme="minorHAnsi" w:hAnsiTheme="minorHAnsi" w:cstheme="minorHAnsi"/>
        </w:rPr>
        <w:t>29</w:t>
      </w:r>
      <w:r w:rsidRPr="003E4A43">
        <w:rPr>
          <w:rFonts w:asciiTheme="minorHAnsi" w:hAnsiTheme="minorHAnsi" w:cstheme="minorHAnsi"/>
        </w:rPr>
        <w:t>(1) s</w:t>
      </w:r>
      <w:r w:rsidR="008428D3" w:rsidRPr="003E4A43">
        <w:rPr>
          <w:rFonts w:asciiTheme="minorHAnsi" w:hAnsiTheme="minorHAnsi" w:cstheme="minorHAnsi"/>
        </w:rPr>
        <w:t>ets out</w:t>
      </w:r>
      <w:r w:rsidR="006C6562" w:rsidRPr="003E4A43">
        <w:rPr>
          <w:rFonts w:asciiTheme="minorHAnsi" w:hAnsiTheme="minorHAnsi" w:cstheme="minorHAnsi"/>
        </w:rPr>
        <w:t xml:space="preserve">, for the purposes of </w:t>
      </w:r>
      <w:r w:rsidR="00825ADD" w:rsidRPr="003E4A43">
        <w:rPr>
          <w:rFonts w:asciiTheme="minorHAnsi" w:hAnsiTheme="minorHAnsi" w:cstheme="minorHAnsi"/>
        </w:rPr>
        <w:t xml:space="preserve">paragraph 19-102(3)(d) of the Act and paragraph </w:t>
      </w:r>
      <w:r w:rsidR="00257D6A" w:rsidRPr="003E4A43">
        <w:rPr>
          <w:rFonts w:asciiTheme="minorHAnsi" w:hAnsiTheme="minorHAnsi" w:cstheme="minorHAnsi"/>
        </w:rPr>
        <w:t>27</w:t>
      </w:r>
      <w:r w:rsidR="00825ADD" w:rsidRPr="003E4A43">
        <w:rPr>
          <w:rFonts w:asciiTheme="minorHAnsi" w:hAnsiTheme="minorHAnsi" w:cstheme="minorHAnsi"/>
        </w:rPr>
        <w:t>(1)(b)</w:t>
      </w:r>
      <w:r w:rsidR="007A1467" w:rsidRPr="003E4A43">
        <w:rPr>
          <w:rFonts w:asciiTheme="minorHAnsi" w:hAnsiTheme="minorHAnsi" w:cstheme="minorHAnsi"/>
        </w:rPr>
        <w:t>,</w:t>
      </w:r>
      <w:r w:rsidR="008428D3" w:rsidRPr="003E4A43">
        <w:rPr>
          <w:rFonts w:asciiTheme="minorHAnsi" w:hAnsiTheme="minorHAnsi" w:cstheme="minorHAnsi"/>
        </w:rPr>
        <w:t xml:space="preserve"> the minimum indicative course fees for 20</w:t>
      </w:r>
      <w:r w:rsidR="007A1467" w:rsidRPr="003E4A43">
        <w:rPr>
          <w:rFonts w:asciiTheme="minorHAnsi" w:hAnsiTheme="minorHAnsi" w:cstheme="minorHAnsi"/>
        </w:rPr>
        <w:t>23</w:t>
      </w:r>
      <w:r w:rsidR="00C4742E" w:rsidRPr="003E4A43">
        <w:rPr>
          <w:rFonts w:asciiTheme="minorHAnsi" w:hAnsiTheme="minorHAnsi" w:cstheme="minorHAnsi"/>
        </w:rPr>
        <w:t>.</w:t>
      </w:r>
      <w:r w:rsidR="008428D3" w:rsidRPr="003E4A43">
        <w:rPr>
          <w:rFonts w:asciiTheme="minorHAnsi" w:hAnsiTheme="minorHAnsi" w:cstheme="minorHAnsi"/>
        </w:rPr>
        <w:t xml:space="preserve"> </w:t>
      </w:r>
    </w:p>
    <w:p w14:paraId="39F2B566" w14:textId="56A3556F" w:rsidR="00B35799" w:rsidRPr="003E4A43" w:rsidRDefault="00262E8D" w:rsidP="006C6562">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257D6A" w:rsidRPr="003E4A43">
        <w:rPr>
          <w:rFonts w:asciiTheme="minorHAnsi" w:hAnsiTheme="minorHAnsi" w:cstheme="minorHAnsi"/>
        </w:rPr>
        <w:t>29</w:t>
      </w:r>
      <w:r w:rsidRPr="003E4A43">
        <w:rPr>
          <w:rFonts w:asciiTheme="minorHAnsi" w:hAnsiTheme="minorHAnsi" w:cstheme="minorHAnsi"/>
        </w:rPr>
        <w:t xml:space="preserve">(2) </w:t>
      </w:r>
      <w:r w:rsidR="008428D3" w:rsidRPr="003E4A43">
        <w:rPr>
          <w:rFonts w:asciiTheme="minorHAnsi" w:hAnsiTheme="minorHAnsi" w:cstheme="minorHAnsi"/>
        </w:rPr>
        <w:t xml:space="preserve">also requires indexation of amounts in </w:t>
      </w:r>
      <w:r w:rsidRPr="003E4A43">
        <w:rPr>
          <w:rFonts w:asciiTheme="minorHAnsi" w:hAnsiTheme="minorHAnsi" w:cstheme="minorHAnsi"/>
        </w:rPr>
        <w:t xml:space="preserve">subsection </w:t>
      </w:r>
      <w:r w:rsidR="00257D6A" w:rsidRPr="003E4A43">
        <w:rPr>
          <w:rFonts w:asciiTheme="minorHAnsi" w:hAnsiTheme="minorHAnsi" w:cstheme="minorHAnsi"/>
        </w:rPr>
        <w:t>29</w:t>
      </w:r>
      <w:r w:rsidRPr="003E4A43">
        <w:rPr>
          <w:rFonts w:asciiTheme="minorHAnsi" w:hAnsiTheme="minorHAnsi" w:cstheme="minorHAnsi"/>
        </w:rPr>
        <w:t>(1)</w:t>
      </w:r>
      <w:r w:rsidR="008428D3" w:rsidRPr="003E4A43">
        <w:rPr>
          <w:rFonts w:asciiTheme="minorHAnsi" w:hAnsiTheme="minorHAnsi" w:cstheme="minorHAnsi"/>
        </w:rPr>
        <w:t xml:space="preserve"> in accordance with the method set out in Division 198 of </w:t>
      </w:r>
      <w:r w:rsidRPr="003E4A43">
        <w:rPr>
          <w:rFonts w:asciiTheme="minorHAnsi" w:hAnsiTheme="minorHAnsi" w:cstheme="minorHAnsi"/>
        </w:rPr>
        <w:t>Chapter 5 of</w:t>
      </w:r>
      <w:r w:rsidR="008428D3" w:rsidRPr="003E4A43">
        <w:rPr>
          <w:rFonts w:asciiTheme="minorHAnsi" w:hAnsiTheme="minorHAnsi" w:cstheme="minorHAnsi"/>
        </w:rPr>
        <w:t xml:space="preserve"> </w:t>
      </w:r>
      <w:r w:rsidR="00F45430" w:rsidRPr="003E4A43">
        <w:rPr>
          <w:rFonts w:asciiTheme="minorHAnsi" w:hAnsiTheme="minorHAnsi" w:cstheme="minorHAnsi"/>
        </w:rPr>
        <w:t>the Act</w:t>
      </w:r>
      <w:r w:rsidR="008428D3" w:rsidRPr="003E4A43">
        <w:rPr>
          <w:rFonts w:asciiTheme="minorHAnsi" w:hAnsiTheme="minorHAnsi" w:cstheme="minorHAnsi"/>
        </w:rPr>
        <w:t>.</w:t>
      </w:r>
    </w:p>
    <w:p w14:paraId="03355D45" w14:textId="1213A853" w:rsidR="004839E4" w:rsidRPr="003E4A43" w:rsidRDefault="00D97D3C" w:rsidP="008577CC">
      <w:pPr>
        <w:spacing w:before="360" w:after="120"/>
        <w:rPr>
          <w:rFonts w:asciiTheme="minorHAnsi" w:hAnsiTheme="minorHAnsi" w:cstheme="minorHAnsi"/>
          <w:bCs/>
          <w:i/>
          <w:iCs/>
        </w:rPr>
      </w:pPr>
      <w:r w:rsidRPr="003E4A43">
        <w:rPr>
          <w:rFonts w:asciiTheme="minorHAnsi" w:hAnsiTheme="minorHAnsi" w:cstheme="minorHAnsi"/>
          <w:bCs/>
          <w:i/>
          <w:iCs/>
        </w:rPr>
        <w:t>Chapter 7 – Fees for goods and services incidental to studies</w:t>
      </w:r>
    </w:p>
    <w:p w14:paraId="66A75831" w14:textId="53116302" w:rsidR="00555A80" w:rsidRPr="003E4A43" w:rsidRDefault="00555A80" w:rsidP="005E7759">
      <w:pPr>
        <w:spacing w:before="360" w:after="120"/>
        <w:rPr>
          <w:rFonts w:asciiTheme="minorHAnsi" w:hAnsiTheme="minorHAnsi" w:cstheme="minorHAnsi"/>
          <w:b/>
          <w:u w:val="single"/>
        </w:rPr>
      </w:pPr>
      <w:r w:rsidRPr="003E4A43">
        <w:rPr>
          <w:rFonts w:asciiTheme="minorHAnsi" w:hAnsiTheme="minorHAnsi" w:cstheme="minorHAnsi"/>
          <w:b/>
          <w:u w:val="single"/>
        </w:rPr>
        <w:t>Section 3</w:t>
      </w:r>
      <w:r w:rsidR="00615144" w:rsidRPr="003E4A43">
        <w:rPr>
          <w:rFonts w:asciiTheme="minorHAnsi" w:hAnsiTheme="minorHAnsi" w:cstheme="minorHAnsi"/>
          <w:b/>
          <w:u w:val="single"/>
        </w:rPr>
        <w:t>0</w:t>
      </w:r>
      <w:r w:rsidRPr="003E4A43">
        <w:rPr>
          <w:rFonts w:asciiTheme="minorHAnsi" w:hAnsiTheme="minorHAnsi" w:cstheme="minorHAnsi"/>
          <w:b/>
          <w:u w:val="single"/>
        </w:rPr>
        <w:t xml:space="preserve">: Fee of a kind </w:t>
      </w:r>
      <w:r w:rsidR="00BB3A83" w:rsidRPr="003E4A43">
        <w:rPr>
          <w:rFonts w:asciiTheme="minorHAnsi" w:hAnsiTheme="minorHAnsi" w:cstheme="minorHAnsi"/>
          <w:b/>
          <w:u w:val="single"/>
        </w:rPr>
        <w:t>that is incidental to studies that may be undertaken with a higher education provider</w:t>
      </w:r>
    </w:p>
    <w:p w14:paraId="422AFB90" w14:textId="5FEC0E8D" w:rsidR="00555A80" w:rsidRPr="003E4A43" w:rsidRDefault="00936138" w:rsidP="00F1270A">
      <w:pPr>
        <w:numPr>
          <w:ilvl w:val="0"/>
          <w:numId w:val="1"/>
        </w:numPr>
        <w:spacing w:after="160" w:line="256" w:lineRule="auto"/>
        <w:rPr>
          <w:rFonts w:asciiTheme="minorHAnsi" w:hAnsiTheme="minorHAnsi" w:cstheme="minorHAnsi"/>
        </w:rPr>
      </w:pPr>
      <w:r w:rsidRPr="003E4A43">
        <w:rPr>
          <w:rFonts w:asciiTheme="minorHAnsi" w:hAnsiTheme="minorHAnsi" w:cstheme="minorHAnsi"/>
        </w:rPr>
        <w:t>This section sets out</w:t>
      </w:r>
      <w:r w:rsidR="00F6712A" w:rsidRPr="003E4A43">
        <w:rPr>
          <w:rFonts w:asciiTheme="minorHAnsi" w:hAnsiTheme="minorHAnsi" w:cstheme="minorHAnsi"/>
        </w:rPr>
        <w:t>,</w:t>
      </w:r>
      <w:r w:rsidRPr="003E4A43">
        <w:rPr>
          <w:rFonts w:asciiTheme="minorHAnsi" w:hAnsiTheme="minorHAnsi" w:cstheme="minorHAnsi"/>
        </w:rPr>
        <w:t xml:space="preserve"> </w:t>
      </w:r>
      <w:r w:rsidR="00F6712A" w:rsidRPr="003E4A43">
        <w:rPr>
          <w:rFonts w:asciiTheme="minorHAnsi" w:hAnsiTheme="minorHAnsi" w:cstheme="minorHAnsi"/>
        </w:rPr>
        <w:t xml:space="preserve">for the purposes of paragraph 19-102(3)(f) of the Act, </w:t>
      </w:r>
      <w:r w:rsidRPr="003E4A43">
        <w:rPr>
          <w:rFonts w:asciiTheme="minorHAnsi" w:hAnsiTheme="minorHAnsi" w:cstheme="minorHAnsi"/>
        </w:rPr>
        <w:t>the categories of fees that are to be considered incidental to studies</w:t>
      </w:r>
      <w:r w:rsidR="00074C7D" w:rsidRPr="003E4A43">
        <w:rPr>
          <w:rFonts w:asciiTheme="minorHAnsi" w:hAnsiTheme="minorHAnsi" w:cstheme="minorHAnsi"/>
        </w:rPr>
        <w:t xml:space="preserve"> that may be undertaken with a higher education provid</w:t>
      </w:r>
      <w:r w:rsidR="00E64DD7" w:rsidRPr="003E4A43">
        <w:rPr>
          <w:rFonts w:asciiTheme="minorHAnsi" w:hAnsiTheme="minorHAnsi" w:cstheme="minorHAnsi"/>
        </w:rPr>
        <w:t>er:</w:t>
      </w:r>
    </w:p>
    <w:p w14:paraId="53D59DB3" w14:textId="5EB71004" w:rsidR="002A4864" w:rsidRPr="003E4A43" w:rsidRDefault="00AA7377" w:rsidP="00E541EC">
      <w:pPr>
        <w:numPr>
          <w:ilvl w:val="0"/>
          <w:numId w:val="12"/>
        </w:numPr>
        <w:spacing w:after="160" w:line="256" w:lineRule="auto"/>
        <w:rPr>
          <w:rFonts w:asciiTheme="minorHAnsi" w:hAnsiTheme="minorHAnsi" w:cstheme="minorHAnsi"/>
        </w:rPr>
      </w:pPr>
      <w:r w:rsidRPr="003E4A43">
        <w:rPr>
          <w:rFonts w:asciiTheme="minorHAnsi" w:hAnsiTheme="minorHAnsi" w:cstheme="minorHAnsi"/>
        </w:rPr>
        <w:t>i</w:t>
      </w:r>
      <w:r w:rsidR="002A4864" w:rsidRPr="003E4A43">
        <w:rPr>
          <w:rFonts w:asciiTheme="minorHAnsi" w:hAnsiTheme="minorHAnsi" w:cstheme="minorHAnsi"/>
        </w:rPr>
        <w:t xml:space="preserve">t is a charge for a good or service that is not essential to the course of </w:t>
      </w:r>
      <w:proofErr w:type="gramStart"/>
      <w:r w:rsidR="002A4864" w:rsidRPr="003E4A43">
        <w:rPr>
          <w:rFonts w:asciiTheme="minorHAnsi" w:hAnsiTheme="minorHAnsi" w:cstheme="minorHAnsi"/>
        </w:rPr>
        <w:t>study</w:t>
      </w:r>
      <w:r w:rsidRPr="003E4A43">
        <w:rPr>
          <w:rFonts w:asciiTheme="minorHAnsi" w:hAnsiTheme="minorHAnsi" w:cstheme="minorHAnsi"/>
        </w:rPr>
        <w:t>;</w:t>
      </w:r>
      <w:proofErr w:type="gramEnd"/>
    </w:p>
    <w:p w14:paraId="450FAD79" w14:textId="637B7BB3" w:rsidR="002A4864" w:rsidRPr="003E4A43" w:rsidRDefault="00C80FC2" w:rsidP="00161985">
      <w:pPr>
        <w:numPr>
          <w:ilvl w:val="0"/>
          <w:numId w:val="12"/>
        </w:numPr>
        <w:spacing w:after="160" w:line="256" w:lineRule="auto"/>
        <w:rPr>
          <w:rFonts w:asciiTheme="minorHAnsi" w:hAnsiTheme="minorHAnsi" w:cstheme="minorHAnsi"/>
        </w:rPr>
      </w:pPr>
      <w:r w:rsidRPr="003E4A43">
        <w:rPr>
          <w:rFonts w:asciiTheme="minorHAnsi" w:hAnsiTheme="minorHAnsi" w:cstheme="minorHAnsi"/>
        </w:rPr>
        <w:lastRenderedPageBreak/>
        <w:t>i</w:t>
      </w:r>
      <w:r w:rsidR="002A4864" w:rsidRPr="003E4A43">
        <w:rPr>
          <w:rFonts w:asciiTheme="minorHAnsi" w:hAnsiTheme="minorHAnsi" w:cstheme="minorHAnsi"/>
        </w:rPr>
        <w:t xml:space="preserve">t is a charge for an alternative form, or alternative forms, of access to a good or service that is an essential component of the course of study but is otherwise made readily available at no additional fee by the higher education </w:t>
      </w:r>
      <w:proofErr w:type="gramStart"/>
      <w:r w:rsidR="002A4864" w:rsidRPr="003E4A43">
        <w:rPr>
          <w:rFonts w:asciiTheme="minorHAnsi" w:hAnsiTheme="minorHAnsi" w:cstheme="minorHAnsi"/>
        </w:rPr>
        <w:t>provider</w:t>
      </w:r>
      <w:r w:rsidRPr="003E4A43">
        <w:rPr>
          <w:rFonts w:asciiTheme="minorHAnsi" w:hAnsiTheme="minorHAnsi" w:cstheme="minorHAnsi"/>
        </w:rPr>
        <w:t>;</w:t>
      </w:r>
      <w:proofErr w:type="gramEnd"/>
      <w:r w:rsidR="002A4864" w:rsidRPr="003E4A43">
        <w:rPr>
          <w:rFonts w:asciiTheme="minorHAnsi" w:hAnsiTheme="minorHAnsi" w:cstheme="minorHAnsi"/>
        </w:rPr>
        <w:t xml:space="preserve"> </w:t>
      </w:r>
    </w:p>
    <w:p w14:paraId="057EE5CF" w14:textId="13456F20" w:rsidR="002A4864" w:rsidRPr="003E4A43" w:rsidRDefault="00C80FC2" w:rsidP="00161985">
      <w:pPr>
        <w:numPr>
          <w:ilvl w:val="0"/>
          <w:numId w:val="12"/>
        </w:numPr>
        <w:spacing w:after="160" w:line="256" w:lineRule="auto"/>
        <w:rPr>
          <w:rFonts w:asciiTheme="minorHAnsi" w:hAnsiTheme="minorHAnsi" w:cstheme="minorHAnsi"/>
        </w:rPr>
      </w:pPr>
      <w:r w:rsidRPr="003E4A43">
        <w:rPr>
          <w:rFonts w:asciiTheme="minorHAnsi" w:hAnsiTheme="minorHAnsi" w:cstheme="minorHAnsi"/>
        </w:rPr>
        <w:t>i</w:t>
      </w:r>
      <w:r w:rsidR="002A4864" w:rsidRPr="003E4A43">
        <w:rPr>
          <w:rFonts w:asciiTheme="minorHAnsi" w:hAnsiTheme="minorHAnsi" w:cstheme="minorHAnsi"/>
        </w:rPr>
        <w:t>t is a charge for an essential good or service that the student has the choice of acquiring from a supplier other than the higher education provider and is for:</w:t>
      </w:r>
    </w:p>
    <w:p w14:paraId="7042EA6C" w14:textId="5B2633A2" w:rsidR="002A4864" w:rsidRPr="003E4A43" w:rsidRDefault="002A4864" w:rsidP="00161985">
      <w:pPr>
        <w:numPr>
          <w:ilvl w:val="1"/>
          <w:numId w:val="13"/>
        </w:numPr>
        <w:spacing w:after="160" w:line="256" w:lineRule="auto"/>
        <w:rPr>
          <w:rFonts w:asciiTheme="minorHAnsi" w:hAnsiTheme="minorHAnsi" w:cstheme="minorHAnsi"/>
        </w:rPr>
      </w:pPr>
      <w:r w:rsidRPr="003E4A43">
        <w:rPr>
          <w:rFonts w:asciiTheme="minorHAnsi" w:hAnsiTheme="minorHAnsi" w:cstheme="minorHAnsi"/>
        </w:rPr>
        <w:t>equipment or items which become the physical property of the student and are not consumed during the course of study; or</w:t>
      </w:r>
    </w:p>
    <w:p w14:paraId="5228223A" w14:textId="69C4E415" w:rsidR="002A4864" w:rsidRPr="003E4A43" w:rsidRDefault="002A4864" w:rsidP="00161985">
      <w:pPr>
        <w:numPr>
          <w:ilvl w:val="1"/>
          <w:numId w:val="13"/>
        </w:numPr>
        <w:spacing w:after="160" w:line="256" w:lineRule="auto"/>
        <w:rPr>
          <w:rFonts w:asciiTheme="minorHAnsi" w:hAnsiTheme="minorHAnsi" w:cstheme="minorHAnsi"/>
        </w:rPr>
      </w:pPr>
      <w:r w:rsidRPr="003E4A43">
        <w:rPr>
          <w:rFonts w:asciiTheme="minorHAnsi" w:hAnsiTheme="minorHAnsi" w:cstheme="minorHAnsi"/>
        </w:rPr>
        <w:t xml:space="preserve">food, transport and accommodation costs associated with the provision of field trips that form part of the course of </w:t>
      </w:r>
      <w:proofErr w:type="gramStart"/>
      <w:r w:rsidRPr="003E4A43">
        <w:rPr>
          <w:rFonts w:asciiTheme="minorHAnsi" w:hAnsiTheme="minorHAnsi" w:cstheme="minorHAnsi"/>
        </w:rPr>
        <w:t>study</w:t>
      </w:r>
      <w:r w:rsidR="00C80FC2" w:rsidRPr="003E4A43">
        <w:rPr>
          <w:rFonts w:asciiTheme="minorHAnsi" w:hAnsiTheme="minorHAnsi" w:cstheme="minorHAnsi"/>
        </w:rPr>
        <w:t>;</w:t>
      </w:r>
      <w:proofErr w:type="gramEnd"/>
    </w:p>
    <w:p w14:paraId="7DF71F72" w14:textId="416EE214" w:rsidR="002A4864" w:rsidRPr="003E4A43" w:rsidRDefault="00C80FC2" w:rsidP="00161985">
      <w:pPr>
        <w:numPr>
          <w:ilvl w:val="0"/>
          <w:numId w:val="12"/>
        </w:numPr>
        <w:spacing w:after="160" w:line="256" w:lineRule="auto"/>
        <w:rPr>
          <w:rFonts w:asciiTheme="minorHAnsi" w:hAnsiTheme="minorHAnsi" w:cstheme="minorHAnsi"/>
        </w:rPr>
      </w:pPr>
      <w:r w:rsidRPr="003E4A43">
        <w:rPr>
          <w:rFonts w:asciiTheme="minorHAnsi" w:hAnsiTheme="minorHAnsi" w:cstheme="minorHAnsi"/>
        </w:rPr>
        <w:t>i</w:t>
      </w:r>
      <w:r w:rsidR="002A4864" w:rsidRPr="003E4A43">
        <w:rPr>
          <w:rFonts w:asciiTheme="minorHAnsi" w:hAnsiTheme="minorHAnsi" w:cstheme="minorHAnsi"/>
        </w:rPr>
        <w:t>t is a fine or a penalty, provided it is imposed by the higher education provider principally as a disincentive and not in order to raise revenue or cover administrative costs.</w:t>
      </w:r>
    </w:p>
    <w:p w14:paraId="082A4501" w14:textId="45673E5E" w:rsidR="00555A80" w:rsidRPr="003E4A43" w:rsidRDefault="006E7A2C" w:rsidP="008577CC">
      <w:pPr>
        <w:spacing w:before="360" w:after="120"/>
        <w:rPr>
          <w:rFonts w:asciiTheme="minorHAnsi" w:hAnsiTheme="minorHAnsi" w:cstheme="minorHAnsi"/>
          <w:bCs/>
          <w:i/>
          <w:iCs/>
        </w:rPr>
      </w:pPr>
      <w:r w:rsidRPr="003E4A43">
        <w:rPr>
          <w:rFonts w:asciiTheme="minorHAnsi" w:hAnsiTheme="minorHAnsi" w:cstheme="minorHAnsi"/>
          <w:bCs/>
          <w:i/>
          <w:iCs/>
        </w:rPr>
        <w:t>Chapter 8 – Quality, accountability and other administrative requirements</w:t>
      </w:r>
    </w:p>
    <w:p w14:paraId="24D0674E" w14:textId="5D101BD7" w:rsidR="006E7A2C" w:rsidRPr="003E4A43" w:rsidRDefault="006E7A2C" w:rsidP="005E7759">
      <w:pPr>
        <w:spacing w:before="360" w:after="120"/>
        <w:rPr>
          <w:rFonts w:asciiTheme="minorHAnsi" w:hAnsiTheme="minorHAnsi" w:cstheme="minorHAnsi"/>
          <w:b/>
          <w:u w:val="single"/>
        </w:rPr>
      </w:pPr>
      <w:r w:rsidRPr="003E4A43">
        <w:rPr>
          <w:rFonts w:asciiTheme="minorHAnsi" w:hAnsiTheme="minorHAnsi" w:cstheme="minorHAnsi"/>
          <w:b/>
          <w:u w:val="single"/>
        </w:rPr>
        <w:t>Section 3</w:t>
      </w:r>
      <w:r w:rsidR="001066A1" w:rsidRPr="003E4A43">
        <w:rPr>
          <w:rFonts w:asciiTheme="minorHAnsi" w:hAnsiTheme="minorHAnsi" w:cstheme="minorHAnsi"/>
          <w:b/>
          <w:u w:val="single"/>
        </w:rPr>
        <w:t>1</w:t>
      </w:r>
      <w:r w:rsidRPr="003E4A43">
        <w:rPr>
          <w:rFonts w:asciiTheme="minorHAnsi" w:hAnsiTheme="minorHAnsi" w:cstheme="minorHAnsi"/>
          <w:b/>
          <w:u w:val="single"/>
        </w:rPr>
        <w:t xml:space="preserve">: </w:t>
      </w:r>
      <w:r w:rsidR="00F1270A" w:rsidRPr="003E4A43">
        <w:rPr>
          <w:rFonts w:asciiTheme="minorHAnsi" w:hAnsiTheme="minorHAnsi" w:cstheme="minorHAnsi"/>
          <w:b/>
          <w:u w:val="single"/>
        </w:rPr>
        <w:t>Overview</w:t>
      </w:r>
    </w:p>
    <w:p w14:paraId="1E5DAFF6" w14:textId="42581836" w:rsidR="006E7A2C" w:rsidRPr="003E4A43" w:rsidRDefault="006E7A2C" w:rsidP="00F1270A">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This section </w:t>
      </w:r>
      <w:r w:rsidR="007B76EA" w:rsidRPr="003E4A43">
        <w:rPr>
          <w:rFonts w:asciiTheme="minorHAnsi" w:hAnsiTheme="minorHAnsi" w:cstheme="minorHAnsi"/>
        </w:rPr>
        <w:t>explains that</w:t>
      </w:r>
      <w:r w:rsidR="00357056" w:rsidRPr="003E4A43">
        <w:rPr>
          <w:rFonts w:asciiTheme="minorHAnsi" w:hAnsiTheme="minorHAnsi" w:cstheme="minorHAnsi"/>
        </w:rPr>
        <w:t xml:space="preserve"> </w:t>
      </w:r>
      <w:r w:rsidR="007B76EA" w:rsidRPr="003E4A43">
        <w:rPr>
          <w:rFonts w:asciiTheme="minorHAnsi" w:hAnsiTheme="minorHAnsi" w:cstheme="minorHAnsi"/>
        </w:rPr>
        <w:t>Chapter 8 specifies</w:t>
      </w:r>
      <w:r w:rsidR="0000274D" w:rsidRPr="003E4A43">
        <w:rPr>
          <w:rFonts w:asciiTheme="minorHAnsi" w:hAnsiTheme="minorHAnsi" w:cstheme="minorHAnsi"/>
        </w:rPr>
        <w:t xml:space="preserve"> additional quality, accountability and other administrative requirements that apply to higher education providers.</w:t>
      </w:r>
    </w:p>
    <w:p w14:paraId="5D7B6D06" w14:textId="4E08F852" w:rsidR="006E7A2C" w:rsidRPr="003E4A43" w:rsidRDefault="006E7A2C" w:rsidP="005E7759">
      <w:pPr>
        <w:spacing w:before="360" w:after="120"/>
        <w:rPr>
          <w:rFonts w:asciiTheme="minorHAnsi" w:hAnsiTheme="minorHAnsi" w:cstheme="minorHAnsi"/>
          <w:b/>
          <w:u w:val="single"/>
        </w:rPr>
      </w:pPr>
      <w:r w:rsidRPr="003E4A43">
        <w:rPr>
          <w:rFonts w:asciiTheme="minorHAnsi" w:hAnsiTheme="minorHAnsi" w:cstheme="minorHAnsi"/>
          <w:b/>
          <w:u w:val="single"/>
        </w:rPr>
        <w:t>Section 3</w:t>
      </w:r>
      <w:r w:rsidR="001066A1" w:rsidRPr="003E4A43">
        <w:rPr>
          <w:rFonts w:asciiTheme="minorHAnsi" w:hAnsiTheme="minorHAnsi" w:cstheme="minorHAnsi"/>
          <w:b/>
          <w:u w:val="single"/>
        </w:rPr>
        <w:t>2</w:t>
      </w:r>
      <w:r w:rsidR="00A23668" w:rsidRPr="003E4A43">
        <w:rPr>
          <w:rFonts w:asciiTheme="minorHAnsi" w:hAnsiTheme="minorHAnsi" w:cstheme="minorHAnsi"/>
          <w:b/>
          <w:u w:val="single"/>
        </w:rPr>
        <w:t>:</w:t>
      </w:r>
      <w:r w:rsidR="001D6699" w:rsidRPr="003E4A43">
        <w:rPr>
          <w:rFonts w:asciiTheme="minorHAnsi" w:hAnsiTheme="minorHAnsi" w:cstheme="minorHAnsi"/>
          <w:b/>
          <w:u w:val="single"/>
        </w:rPr>
        <w:t xml:space="preserve"> Financial statements</w:t>
      </w:r>
    </w:p>
    <w:p w14:paraId="6D58AD31" w14:textId="492B4D3C" w:rsidR="005C4A37" w:rsidRPr="003E4A43" w:rsidRDefault="005C4A37" w:rsidP="0000274D">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1816EB" w:rsidRPr="003E4A43">
        <w:rPr>
          <w:rFonts w:asciiTheme="minorHAnsi" w:hAnsiTheme="minorHAnsi" w:cstheme="minorHAnsi"/>
        </w:rPr>
        <w:t>3</w:t>
      </w:r>
      <w:r w:rsidR="005374A4" w:rsidRPr="003E4A43">
        <w:rPr>
          <w:rFonts w:asciiTheme="minorHAnsi" w:hAnsiTheme="minorHAnsi" w:cstheme="minorHAnsi"/>
        </w:rPr>
        <w:t>2</w:t>
      </w:r>
      <w:r w:rsidR="001816EB" w:rsidRPr="003E4A43">
        <w:rPr>
          <w:rFonts w:asciiTheme="minorHAnsi" w:hAnsiTheme="minorHAnsi" w:cstheme="minorHAnsi"/>
        </w:rPr>
        <w:t>(1) p</w:t>
      </w:r>
      <w:r w:rsidRPr="003E4A43">
        <w:rPr>
          <w:rFonts w:asciiTheme="minorHAnsi" w:hAnsiTheme="minorHAnsi" w:cstheme="minorHAnsi"/>
        </w:rPr>
        <w:t xml:space="preserve">rovides that </w:t>
      </w:r>
      <w:r w:rsidR="00560559" w:rsidRPr="003E4A43">
        <w:rPr>
          <w:rFonts w:asciiTheme="minorHAnsi" w:hAnsiTheme="minorHAnsi" w:cstheme="minorHAnsi"/>
        </w:rPr>
        <w:t xml:space="preserve">this section </w:t>
      </w:r>
      <w:r w:rsidRPr="003E4A43">
        <w:rPr>
          <w:rFonts w:asciiTheme="minorHAnsi" w:hAnsiTheme="minorHAnsi" w:cstheme="minorHAnsi"/>
        </w:rPr>
        <w:t xml:space="preserve">is made for the purpose of paragraph </w:t>
      </w:r>
      <w:r w:rsidR="000B4A54" w:rsidRPr="003E4A43">
        <w:rPr>
          <w:rFonts w:asciiTheme="minorHAnsi" w:hAnsiTheme="minorHAnsi" w:cstheme="minorHAnsi"/>
        </w:rPr>
        <w:br/>
      </w:r>
      <w:r w:rsidRPr="003E4A43">
        <w:rPr>
          <w:rFonts w:asciiTheme="minorHAnsi" w:hAnsiTheme="minorHAnsi" w:cstheme="minorHAnsi"/>
        </w:rPr>
        <w:t xml:space="preserve">19-10(2)(ab) of </w:t>
      </w:r>
      <w:r w:rsidR="00F45430" w:rsidRPr="003E4A43">
        <w:rPr>
          <w:rFonts w:asciiTheme="minorHAnsi" w:hAnsiTheme="minorHAnsi" w:cstheme="minorHAnsi"/>
        </w:rPr>
        <w:t>the Act</w:t>
      </w:r>
      <w:r w:rsidR="00560559" w:rsidRPr="003E4A43">
        <w:rPr>
          <w:rFonts w:asciiTheme="minorHAnsi" w:hAnsiTheme="minorHAnsi" w:cstheme="minorHAnsi"/>
        </w:rPr>
        <w:t xml:space="preserve"> and </w:t>
      </w:r>
      <w:r w:rsidR="009E0347" w:rsidRPr="003E4A43">
        <w:rPr>
          <w:rFonts w:asciiTheme="minorHAnsi" w:hAnsiTheme="minorHAnsi" w:cstheme="minorHAnsi"/>
        </w:rPr>
        <w:t xml:space="preserve">only applies to higher education providers approved under section 16-25 of </w:t>
      </w:r>
      <w:r w:rsidR="00F45430" w:rsidRPr="003E4A43">
        <w:rPr>
          <w:rFonts w:asciiTheme="minorHAnsi" w:hAnsiTheme="minorHAnsi" w:cstheme="minorHAnsi"/>
        </w:rPr>
        <w:t>the Act</w:t>
      </w:r>
      <w:r w:rsidRPr="003E4A43">
        <w:rPr>
          <w:rFonts w:asciiTheme="minorHAnsi" w:hAnsiTheme="minorHAnsi" w:cstheme="minorHAnsi"/>
        </w:rPr>
        <w:t>.</w:t>
      </w:r>
    </w:p>
    <w:p w14:paraId="0B2078EB" w14:textId="1D3EE2C5" w:rsidR="000B4A54" w:rsidRPr="003E4A43" w:rsidRDefault="00C94ED4" w:rsidP="0000274D">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3</w:t>
      </w:r>
      <w:r w:rsidR="005374A4" w:rsidRPr="003E4A43">
        <w:rPr>
          <w:rFonts w:asciiTheme="minorHAnsi" w:hAnsiTheme="minorHAnsi" w:cstheme="minorHAnsi"/>
        </w:rPr>
        <w:t>2</w:t>
      </w:r>
      <w:r w:rsidRPr="003E4A43">
        <w:rPr>
          <w:rFonts w:asciiTheme="minorHAnsi" w:hAnsiTheme="minorHAnsi" w:cstheme="minorHAnsi"/>
        </w:rPr>
        <w:t xml:space="preserve">(2) sets out the requirements for the financial statement for the annual financing reporting period if the higher education provider is a for-profit </w:t>
      </w:r>
      <w:r w:rsidR="00876DE5" w:rsidRPr="003E4A43">
        <w:rPr>
          <w:rFonts w:asciiTheme="minorHAnsi" w:hAnsiTheme="minorHAnsi" w:cstheme="minorHAnsi"/>
        </w:rPr>
        <w:t xml:space="preserve">private </w:t>
      </w:r>
      <w:r w:rsidRPr="003E4A43">
        <w:rPr>
          <w:rFonts w:asciiTheme="minorHAnsi" w:hAnsiTheme="minorHAnsi" w:cstheme="minorHAnsi"/>
        </w:rPr>
        <w:t>sector entity</w:t>
      </w:r>
      <w:r w:rsidR="00006EEB" w:rsidRPr="003E4A43">
        <w:rPr>
          <w:rFonts w:asciiTheme="minorHAnsi" w:hAnsiTheme="minorHAnsi" w:cstheme="minorHAnsi"/>
        </w:rPr>
        <w:t>.</w:t>
      </w:r>
    </w:p>
    <w:p w14:paraId="7DF918A6" w14:textId="108E6F98" w:rsidR="005C4A37" w:rsidRPr="003E4A43" w:rsidRDefault="009E0347" w:rsidP="0000274D">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3</w:t>
      </w:r>
      <w:r w:rsidR="005374A4" w:rsidRPr="003E4A43">
        <w:rPr>
          <w:rFonts w:asciiTheme="minorHAnsi" w:hAnsiTheme="minorHAnsi" w:cstheme="minorHAnsi"/>
        </w:rPr>
        <w:t>2</w:t>
      </w:r>
      <w:r w:rsidRPr="003E4A43">
        <w:rPr>
          <w:rFonts w:asciiTheme="minorHAnsi" w:hAnsiTheme="minorHAnsi" w:cstheme="minorHAnsi"/>
        </w:rPr>
        <w:t>(</w:t>
      </w:r>
      <w:r w:rsidR="00C94ED4" w:rsidRPr="003E4A43">
        <w:rPr>
          <w:rFonts w:asciiTheme="minorHAnsi" w:hAnsiTheme="minorHAnsi" w:cstheme="minorHAnsi"/>
        </w:rPr>
        <w:t>3</w:t>
      </w:r>
      <w:r w:rsidRPr="003E4A43">
        <w:rPr>
          <w:rFonts w:asciiTheme="minorHAnsi" w:hAnsiTheme="minorHAnsi" w:cstheme="minorHAnsi"/>
        </w:rPr>
        <w:t>)</w:t>
      </w:r>
      <w:r w:rsidR="005C4A37" w:rsidRPr="003E4A43">
        <w:rPr>
          <w:rFonts w:asciiTheme="minorHAnsi" w:hAnsiTheme="minorHAnsi" w:cstheme="minorHAnsi"/>
        </w:rPr>
        <w:t xml:space="preserve"> </w:t>
      </w:r>
      <w:r w:rsidR="006D0619" w:rsidRPr="003E4A43">
        <w:rPr>
          <w:rFonts w:asciiTheme="minorHAnsi" w:hAnsiTheme="minorHAnsi" w:cstheme="minorHAnsi"/>
        </w:rPr>
        <w:t xml:space="preserve">sets out the requirements </w:t>
      </w:r>
      <w:r w:rsidR="0023758F" w:rsidRPr="003E4A43">
        <w:rPr>
          <w:rFonts w:asciiTheme="minorHAnsi" w:hAnsiTheme="minorHAnsi" w:cstheme="minorHAnsi"/>
        </w:rPr>
        <w:t>for the financial statement</w:t>
      </w:r>
      <w:r w:rsidR="005C4A37" w:rsidRPr="003E4A43">
        <w:rPr>
          <w:rFonts w:asciiTheme="minorHAnsi" w:hAnsiTheme="minorHAnsi" w:cstheme="minorHAnsi"/>
        </w:rPr>
        <w:t xml:space="preserve"> </w:t>
      </w:r>
      <w:r w:rsidR="000D5531" w:rsidRPr="003E4A43">
        <w:rPr>
          <w:rFonts w:asciiTheme="minorHAnsi" w:hAnsiTheme="minorHAnsi" w:cstheme="minorHAnsi"/>
        </w:rPr>
        <w:t xml:space="preserve">for the annual financing reporting period </w:t>
      </w:r>
      <w:r w:rsidR="005C4A37" w:rsidRPr="003E4A43">
        <w:rPr>
          <w:rFonts w:asciiTheme="minorHAnsi" w:hAnsiTheme="minorHAnsi" w:cstheme="minorHAnsi"/>
        </w:rPr>
        <w:t xml:space="preserve">if the higher education provider </w:t>
      </w:r>
      <w:r w:rsidR="000B4A54" w:rsidRPr="003E4A43">
        <w:rPr>
          <w:rFonts w:asciiTheme="minorHAnsi" w:hAnsiTheme="minorHAnsi" w:cstheme="minorHAnsi"/>
        </w:rPr>
        <w:t>is a not-for-</w:t>
      </w:r>
      <w:r w:rsidR="00C94ED4" w:rsidRPr="003E4A43">
        <w:rPr>
          <w:rFonts w:asciiTheme="minorHAnsi" w:hAnsiTheme="minorHAnsi" w:cstheme="minorHAnsi"/>
        </w:rPr>
        <w:t>profit</w:t>
      </w:r>
      <w:r w:rsidR="00876DE5" w:rsidRPr="003E4A43">
        <w:rPr>
          <w:rFonts w:asciiTheme="minorHAnsi" w:hAnsiTheme="minorHAnsi" w:cstheme="minorHAnsi"/>
        </w:rPr>
        <w:t xml:space="preserve"> private</w:t>
      </w:r>
      <w:r w:rsidR="000B4A54" w:rsidRPr="003E4A43">
        <w:rPr>
          <w:rFonts w:asciiTheme="minorHAnsi" w:hAnsiTheme="minorHAnsi" w:cstheme="minorHAnsi"/>
        </w:rPr>
        <w:t xml:space="preserve"> </w:t>
      </w:r>
      <w:r w:rsidR="00C94ED4" w:rsidRPr="003E4A43">
        <w:rPr>
          <w:rFonts w:asciiTheme="minorHAnsi" w:hAnsiTheme="minorHAnsi" w:cstheme="minorHAnsi"/>
        </w:rPr>
        <w:t xml:space="preserve">sector entity and </w:t>
      </w:r>
      <w:r w:rsidR="005C4A37" w:rsidRPr="003E4A43">
        <w:rPr>
          <w:rFonts w:asciiTheme="minorHAnsi" w:hAnsiTheme="minorHAnsi" w:cstheme="minorHAnsi"/>
        </w:rPr>
        <w:t>had total revenue of $10 million or more for the previous annual financial reporting period</w:t>
      </w:r>
      <w:r w:rsidR="000D5531" w:rsidRPr="003E4A43">
        <w:rPr>
          <w:rFonts w:asciiTheme="minorHAnsi" w:hAnsiTheme="minorHAnsi" w:cstheme="minorHAnsi"/>
        </w:rPr>
        <w:t>.</w:t>
      </w:r>
    </w:p>
    <w:p w14:paraId="08940C55" w14:textId="435BCD65" w:rsidR="005C4A37" w:rsidRPr="003E4A43" w:rsidRDefault="002D2420" w:rsidP="0000274D">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3</w:t>
      </w:r>
      <w:r w:rsidR="005374A4" w:rsidRPr="003E4A43">
        <w:rPr>
          <w:rFonts w:asciiTheme="minorHAnsi" w:hAnsiTheme="minorHAnsi" w:cstheme="minorHAnsi"/>
        </w:rPr>
        <w:t>2</w:t>
      </w:r>
      <w:r w:rsidRPr="003E4A43">
        <w:rPr>
          <w:rFonts w:asciiTheme="minorHAnsi" w:hAnsiTheme="minorHAnsi" w:cstheme="minorHAnsi"/>
        </w:rPr>
        <w:t>(</w:t>
      </w:r>
      <w:r w:rsidR="00C94ED4" w:rsidRPr="003E4A43">
        <w:rPr>
          <w:rFonts w:asciiTheme="minorHAnsi" w:hAnsiTheme="minorHAnsi" w:cstheme="minorHAnsi"/>
        </w:rPr>
        <w:t>4</w:t>
      </w:r>
      <w:r w:rsidRPr="003E4A43">
        <w:rPr>
          <w:rFonts w:asciiTheme="minorHAnsi" w:hAnsiTheme="minorHAnsi" w:cstheme="minorHAnsi"/>
        </w:rPr>
        <w:t>)</w:t>
      </w:r>
      <w:r w:rsidR="005C4A37" w:rsidRPr="003E4A43">
        <w:rPr>
          <w:rFonts w:asciiTheme="minorHAnsi" w:hAnsiTheme="minorHAnsi" w:cstheme="minorHAnsi"/>
        </w:rPr>
        <w:t xml:space="preserve"> </w:t>
      </w:r>
      <w:r w:rsidR="005F4BBD" w:rsidRPr="003E4A43">
        <w:rPr>
          <w:rFonts w:asciiTheme="minorHAnsi" w:hAnsiTheme="minorHAnsi" w:cstheme="minorHAnsi"/>
        </w:rPr>
        <w:t xml:space="preserve">set out the </w:t>
      </w:r>
      <w:r w:rsidR="00BD751B" w:rsidRPr="003E4A43">
        <w:rPr>
          <w:rFonts w:asciiTheme="minorHAnsi" w:hAnsiTheme="minorHAnsi" w:cstheme="minorHAnsi"/>
        </w:rPr>
        <w:t>requirements for the financial statement for the annual financing reporting period</w:t>
      </w:r>
      <w:r w:rsidR="005C4A37" w:rsidRPr="003E4A43">
        <w:rPr>
          <w:rFonts w:asciiTheme="minorHAnsi" w:hAnsiTheme="minorHAnsi" w:cstheme="minorHAnsi"/>
        </w:rPr>
        <w:t xml:space="preserve"> if the higher education provider </w:t>
      </w:r>
      <w:r w:rsidR="001751B8" w:rsidRPr="003E4A43">
        <w:rPr>
          <w:rFonts w:asciiTheme="minorHAnsi" w:hAnsiTheme="minorHAnsi" w:cstheme="minorHAnsi"/>
        </w:rPr>
        <w:t xml:space="preserve">is a not for-profit private sector entity and </w:t>
      </w:r>
      <w:r w:rsidR="005C4A37" w:rsidRPr="003E4A43">
        <w:rPr>
          <w:rFonts w:asciiTheme="minorHAnsi" w:hAnsiTheme="minorHAnsi" w:cstheme="minorHAnsi"/>
        </w:rPr>
        <w:t>had total revenue of less than $10 million</w:t>
      </w:r>
      <w:r w:rsidR="00BD751B" w:rsidRPr="003E4A43">
        <w:rPr>
          <w:rFonts w:asciiTheme="minorHAnsi" w:hAnsiTheme="minorHAnsi" w:cstheme="minorHAnsi"/>
        </w:rPr>
        <w:t>.</w:t>
      </w:r>
    </w:p>
    <w:p w14:paraId="34B8CBC3" w14:textId="33E377DB" w:rsidR="005C4A37" w:rsidRPr="003E4A43" w:rsidRDefault="00CC532C" w:rsidP="0000274D">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3</w:t>
      </w:r>
      <w:r w:rsidR="005374A4" w:rsidRPr="003E4A43">
        <w:rPr>
          <w:rFonts w:asciiTheme="minorHAnsi" w:hAnsiTheme="minorHAnsi" w:cstheme="minorHAnsi"/>
        </w:rPr>
        <w:t>2</w:t>
      </w:r>
      <w:r w:rsidRPr="003E4A43">
        <w:rPr>
          <w:rFonts w:asciiTheme="minorHAnsi" w:hAnsiTheme="minorHAnsi" w:cstheme="minorHAnsi"/>
        </w:rPr>
        <w:t>(</w:t>
      </w:r>
      <w:r w:rsidR="00C94ED4" w:rsidRPr="003E4A43">
        <w:rPr>
          <w:rFonts w:asciiTheme="minorHAnsi" w:hAnsiTheme="minorHAnsi" w:cstheme="minorHAnsi"/>
        </w:rPr>
        <w:t>5</w:t>
      </w:r>
      <w:r w:rsidRPr="003E4A43">
        <w:rPr>
          <w:rFonts w:asciiTheme="minorHAnsi" w:hAnsiTheme="minorHAnsi" w:cstheme="minorHAnsi"/>
        </w:rPr>
        <w:t>)</w:t>
      </w:r>
      <w:r w:rsidR="005C4A37" w:rsidRPr="003E4A43">
        <w:rPr>
          <w:rFonts w:asciiTheme="minorHAnsi" w:hAnsiTheme="minorHAnsi" w:cstheme="minorHAnsi"/>
        </w:rPr>
        <w:t xml:space="preserve"> </w:t>
      </w:r>
      <w:r w:rsidR="00FB5400" w:rsidRPr="003E4A43">
        <w:rPr>
          <w:rFonts w:asciiTheme="minorHAnsi" w:hAnsiTheme="minorHAnsi" w:cstheme="minorHAnsi"/>
        </w:rPr>
        <w:t>sets out the information</w:t>
      </w:r>
      <w:r w:rsidR="00A9028A" w:rsidRPr="003E4A43">
        <w:rPr>
          <w:rFonts w:asciiTheme="minorHAnsi" w:hAnsiTheme="minorHAnsi" w:cstheme="minorHAnsi"/>
        </w:rPr>
        <w:t xml:space="preserve"> that</w:t>
      </w:r>
      <w:r w:rsidR="00FB5400" w:rsidRPr="003E4A43">
        <w:rPr>
          <w:rFonts w:asciiTheme="minorHAnsi" w:hAnsiTheme="minorHAnsi" w:cstheme="minorHAnsi"/>
        </w:rPr>
        <w:t xml:space="preserve"> </w:t>
      </w:r>
      <w:r w:rsidR="00A9028A" w:rsidRPr="003E4A43">
        <w:rPr>
          <w:rFonts w:asciiTheme="minorHAnsi" w:hAnsiTheme="minorHAnsi" w:cstheme="minorHAnsi"/>
        </w:rPr>
        <w:t xml:space="preserve">the financial statement for the annual financial reporting period must be accompanied by </w:t>
      </w:r>
      <w:r w:rsidR="005C4A37" w:rsidRPr="003E4A43">
        <w:rPr>
          <w:rFonts w:asciiTheme="minorHAnsi" w:hAnsiTheme="minorHAnsi" w:cstheme="minorHAnsi"/>
        </w:rPr>
        <w:t>if the higher education provider is part of a consolidated entity</w:t>
      </w:r>
      <w:r w:rsidR="00A9028A" w:rsidRPr="003E4A43">
        <w:rPr>
          <w:rFonts w:asciiTheme="minorHAnsi" w:hAnsiTheme="minorHAnsi" w:cstheme="minorHAnsi"/>
        </w:rPr>
        <w:t>.</w:t>
      </w:r>
    </w:p>
    <w:p w14:paraId="5BB34B72" w14:textId="3879D012" w:rsidR="001D6699" w:rsidRPr="003E4A43" w:rsidRDefault="003804A5" w:rsidP="005E7759">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w:t>
      </w:r>
      <w:r w:rsidR="005374A4" w:rsidRPr="003E4A43">
        <w:rPr>
          <w:rFonts w:asciiTheme="minorHAnsi" w:hAnsiTheme="minorHAnsi" w:cstheme="minorHAnsi"/>
          <w:b/>
          <w:u w:val="single"/>
        </w:rPr>
        <w:t>33</w:t>
      </w:r>
      <w:r w:rsidRPr="003E4A43">
        <w:rPr>
          <w:rFonts w:asciiTheme="minorHAnsi" w:hAnsiTheme="minorHAnsi" w:cstheme="minorHAnsi"/>
          <w:b/>
          <w:u w:val="single"/>
        </w:rPr>
        <w:t>: Financial viability</w:t>
      </w:r>
    </w:p>
    <w:p w14:paraId="7D91C1F6" w14:textId="47D0F20C" w:rsidR="00385CD4" w:rsidRPr="003E4A43" w:rsidRDefault="00576C5E" w:rsidP="00E43D21">
      <w:pPr>
        <w:numPr>
          <w:ilvl w:val="0"/>
          <w:numId w:val="1"/>
        </w:numPr>
        <w:spacing w:after="160" w:line="256" w:lineRule="auto"/>
        <w:rPr>
          <w:rFonts w:asciiTheme="minorHAnsi" w:hAnsiTheme="minorHAnsi" w:cstheme="minorHAnsi"/>
        </w:rPr>
      </w:pPr>
      <w:r w:rsidRPr="003E4A43">
        <w:rPr>
          <w:rFonts w:asciiTheme="minorHAnsi" w:hAnsiTheme="minorHAnsi" w:cstheme="minorHAnsi"/>
        </w:rPr>
        <w:lastRenderedPageBreak/>
        <w:t>This section</w:t>
      </w:r>
      <w:r w:rsidR="00FA34BB" w:rsidRPr="003E4A43">
        <w:rPr>
          <w:rFonts w:asciiTheme="minorHAnsi" w:hAnsiTheme="minorHAnsi" w:cstheme="minorHAnsi"/>
        </w:rPr>
        <w:t xml:space="preserve"> </w:t>
      </w:r>
      <w:r w:rsidR="008131BA" w:rsidRPr="003E4A43">
        <w:rPr>
          <w:rFonts w:asciiTheme="minorHAnsi" w:hAnsiTheme="minorHAnsi" w:cstheme="minorHAnsi"/>
        </w:rPr>
        <w:t>sets out</w:t>
      </w:r>
      <w:r w:rsidR="006A2874" w:rsidRPr="003E4A43">
        <w:rPr>
          <w:rFonts w:asciiTheme="minorHAnsi" w:hAnsiTheme="minorHAnsi" w:cstheme="minorHAnsi"/>
        </w:rPr>
        <w:t>, for the purposes of paragraph 19</w:t>
      </w:r>
      <w:r w:rsidR="006A2874" w:rsidRPr="003E4A43">
        <w:rPr>
          <w:rFonts w:asciiTheme="minorHAnsi" w:hAnsiTheme="minorHAnsi" w:cstheme="minorHAnsi"/>
        </w:rPr>
        <w:noBreakHyphen/>
        <w:t>12(b) of the Act,</w:t>
      </w:r>
      <w:r w:rsidR="008131BA" w:rsidRPr="003E4A43">
        <w:rPr>
          <w:rFonts w:asciiTheme="minorHAnsi" w:hAnsiTheme="minorHAnsi" w:cstheme="minorHAnsi"/>
        </w:rPr>
        <w:t xml:space="preserve"> the matters the</w:t>
      </w:r>
      <w:r w:rsidR="000B5B94" w:rsidRPr="003E4A43">
        <w:rPr>
          <w:rFonts w:asciiTheme="minorHAnsi" w:hAnsiTheme="minorHAnsi" w:cstheme="minorHAnsi"/>
        </w:rPr>
        <w:t xml:space="preserve"> </w:t>
      </w:r>
      <w:r w:rsidR="00FA34BB" w:rsidRPr="003E4A43">
        <w:rPr>
          <w:rFonts w:asciiTheme="minorHAnsi" w:hAnsiTheme="minorHAnsi" w:cstheme="minorHAnsi"/>
        </w:rPr>
        <w:t xml:space="preserve">Minister must have regard </w:t>
      </w:r>
      <w:r w:rsidR="006A2874" w:rsidRPr="003E4A43">
        <w:rPr>
          <w:rFonts w:asciiTheme="minorHAnsi" w:hAnsiTheme="minorHAnsi" w:cstheme="minorHAnsi"/>
        </w:rPr>
        <w:t xml:space="preserve">to </w:t>
      </w:r>
      <w:r w:rsidR="00FA34BB" w:rsidRPr="003E4A43">
        <w:rPr>
          <w:rFonts w:asciiTheme="minorHAnsi" w:hAnsiTheme="minorHAnsi" w:cstheme="minorHAnsi"/>
        </w:rPr>
        <w:t>when determining whether a higher education provider is financially viable, and likely to remain so</w:t>
      </w:r>
      <w:r w:rsidR="000B5B94" w:rsidRPr="003E4A43">
        <w:rPr>
          <w:rFonts w:asciiTheme="minorHAnsi" w:hAnsiTheme="minorHAnsi" w:cstheme="minorHAnsi"/>
        </w:rPr>
        <w:t>.</w:t>
      </w:r>
    </w:p>
    <w:p w14:paraId="4EC623F4" w14:textId="34300F44" w:rsidR="003804A5" w:rsidRPr="003E4A43" w:rsidRDefault="002C51E8" w:rsidP="005E7759">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w:t>
      </w:r>
      <w:r w:rsidR="001D5A5E" w:rsidRPr="003E4A43">
        <w:rPr>
          <w:rFonts w:asciiTheme="minorHAnsi" w:hAnsiTheme="minorHAnsi" w:cstheme="minorHAnsi"/>
          <w:b/>
          <w:u w:val="single"/>
        </w:rPr>
        <w:t>34</w:t>
      </w:r>
      <w:r w:rsidRPr="003E4A43">
        <w:rPr>
          <w:rFonts w:asciiTheme="minorHAnsi" w:hAnsiTheme="minorHAnsi" w:cstheme="minorHAnsi"/>
          <w:b/>
          <w:u w:val="single"/>
        </w:rPr>
        <w:t>: Offering certain inducements</w:t>
      </w:r>
    </w:p>
    <w:p w14:paraId="58948DBB" w14:textId="77777777" w:rsidR="00D70E81" w:rsidRPr="003E4A43" w:rsidRDefault="00847512" w:rsidP="006A2874">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This section </w:t>
      </w:r>
      <w:r w:rsidR="001B3DB2" w:rsidRPr="003E4A43">
        <w:rPr>
          <w:rFonts w:asciiTheme="minorHAnsi" w:hAnsiTheme="minorHAnsi" w:cstheme="minorHAnsi"/>
        </w:rPr>
        <w:t xml:space="preserve">provides, for the purposes of subsection 19-36A(2) of the Act, </w:t>
      </w:r>
      <w:r w:rsidR="00517E05" w:rsidRPr="003E4A43">
        <w:rPr>
          <w:rFonts w:asciiTheme="minorHAnsi" w:hAnsiTheme="minorHAnsi" w:cstheme="minorHAnsi"/>
        </w:rPr>
        <w:t>the</w:t>
      </w:r>
      <w:r w:rsidRPr="003E4A43">
        <w:rPr>
          <w:rFonts w:asciiTheme="minorHAnsi" w:hAnsiTheme="minorHAnsi" w:cstheme="minorHAnsi"/>
        </w:rPr>
        <w:t xml:space="preserve"> </w:t>
      </w:r>
      <w:r w:rsidR="00D70E81" w:rsidRPr="003E4A43">
        <w:rPr>
          <w:rFonts w:asciiTheme="minorHAnsi" w:hAnsiTheme="minorHAnsi" w:cstheme="minorHAnsi"/>
        </w:rPr>
        <w:t xml:space="preserve">specified </w:t>
      </w:r>
      <w:r w:rsidRPr="003E4A43">
        <w:rPr>
          <w:rFonts w:asciiTheme="minorHAnsi" w:hAnsiTheme="minorHAnsi" w:cstheme="minorHAnsi"/>
        </w:rPr>
        <w:t>benefits</w:t>
      </w:r>
      <w:r w:rsidR="00D70E81" w:rsidRPr="003E4A43">
        <w:rPr>
          <w:rFonts w:asciiTheme="minorHAnsi" w:hAnsiTheme="minorHAnsi" w:cstheme="minorHAnsi"/>
        </w:rPr>
        <w:t xml:space="preserve"> that subsection 19-36A(1) of the Act does not apply to:</w:t>
      </w:r>
    </w:p>
    <w:p w14:paraId="0CB97F26" w14:textId="51AAA4B1" w:rsidR="00161985" w:rsidRPr="003E4A43" w:rsidRDefault="00161985" w:rsidP="00161985">
      <w:pPr>
        <w:numPr>
          <w:ilvl w:val="0"/>
          <w:numId w:val="12"/>
        </w:numPr>
        <w:spacing w:after="160" w:line="256" w:lineRule="auto"/>
        <w:rPr>
          <w:rFonts w:asciiTheme="minorHAnsi" w:hAnsiTheme="minorHAnsi" w:cstheme="minorHAnsi"/>
        </w:rPr>
      </w:pPr>
      <w:r w:rsidRPr="003E4A43">
        <w:rPr>
          <w:rFonts w:asciiTheme="minorHAnsi" w:hAnsiTheme="minorHAnsi" w:cstheme="minorHAnsi"/>
        </w:rPr>
        <w:t xml:space="preserve">the content and quality of the unit of </w:t>
      </w:r>
      <w:proofErr w:type="gramStart"/>
      <w:r w:rsidRPr="003E4A43">
        <w:rPr>
          <w:rFonts w:asciiTheme="minorHAnsi" w:hAnsiTheme="minorHAnsi" w:cstheme="minorHAnsi"/>
        </w:rPr>
        <w:t>study;</w:t>
      </w:r>
      <w:proofErr w:type="gramEnd"/>
    </w:p>
    <w:p w14:paraId="434F7F24" w14:textId="27F52908" w:rsidR="00161985" w:rsidRPr="003E4A43" w:rsidRDefault="00161985" w:rsidP="00161985">
      <w:pPr>
        <w:numPr>
          <w:ilvl w:val="0"/>
          <w:numId w:val="12"/>
        </w:numPr>
        <w:spacing w:after="160" w:line="256" w:lineRule="auto"/>
        <w:rPr>
          <w:rFonts w:asciiTheme="minorHAnsi" w:hAnsiTheme="minorHAnsi" w:cstheme="minorHAnsi"/>
        </w:rPr>
      </w:pPr>
      <w:r w:rsidRPr="003E4A43">
        <w:rPr>
          <w:rFonts w:asciiTheme="minorHAnsi" w:hAnsiTheme="minorHAnsi" w:cstheme="minorHAnsi"/>
        </w:rPr>
        <w:t xml:space="preserve">the amount of the tuition fees for the unit of </w:t>
      </w:r>
      <w:proofErr w:type="gramStart"/>
      <w:r w:rsidRPr="003E4A43">
        <w:rPr>
          <w:rFonts w:asciiTheme="minorHAnsi" w:hAnsiTheme="minorHAnsi" w:cstheme="minorHAnsi"/>
        </w:rPr>
        <w:t>study;</w:t>
      </w:r>
      <w:proofErr w:type="gramEnd"/>
    </w:p>
    <w:p w14:paraId="5BCD539B" w14:textId="1F3BDCC1" w:rsidR="00161985" w:rsidRPr="003E4A43" w:rsidRDefault="00161985" w:rsidP="00161985">
      <w:pPr>
        <w:numPr>
          <w:ilvl w:val="0"/>
          <w:numId w:val="12"/>
        </w:numPr>
        <w:spacing w:after="160" w:line="256" w:lineRule="auto"/>
        <w:rPr>
          <w:rFonts w:asciiTheme="minorHAnsi" w:hAnsiTheme="minorHAnsi" w:cstheme="minorHAnsi"/>
        </w:rPr>
      </w:pPr>
      <w:r w:rsidRPr="003E4A43">
        <w:rPr>
          <w:rFonts w:asciiTheme="minorHAnsi" w:hAnsiTheme="minorHAnsi" w:cstheme="minorHAnsi"/>
        </w:rPr>
        <w:t>the availability of FEE</w:t>
      </w:r>
      <w:r w:rsidRPr="003E4A43">
        <w:rPr>
          <w:rFonts w:asciiTheme="minorHAnsi" w:hAnsiTheme="minorHAnsi" w:cstheme="minorHAnsi"/>
        </w:rPr>
        <w:noBreakHyphen/>
        <w:t xml:space="preserve">HELP assistance and HECS-HELP assistance for the unit of </w:t>
      </w:r>
      <w:proofErr w:type="gramStart"/>
      <w:r w:rsidRPr="003E4A43">
        <w:rPr>
          <w:rFonts w:asciiTheme="minorHAnsi" w:hAnsiTheme="minorHAnsi" w:cstheme="minorHAnsi"/>
        </w:rPr>
        <w:t>study;</w:t>
      </w:r>
      <w:proofErr w:type="gramEnd"/>
    </w:p>
    <w:p w14:paraId="6F0D3EBE" w14:textId="004F1DA6" w:rsidR="00161985" w:rsidRPr="003E4A43" w:rsidRDefault="00161985" w:rsidP="00161985">
      <w:pPr>
        <w:numPr>
          <w:ilvl w:val="0"/>
          <w:numId w:val="12"/>
        </w:numPr>
        <w:spacing w:after="160" w:line="256" w:lineRule="auto"/>
        <w:rPr>
          <w:rFonts w:asciiTheme="minorHAnsi" w:hAnsiTheme="minorHAnsi" w:cstheme="minorHAnsi"/>
        </w:rPr>
      </w:pPr>
      <w:r w:rsidRPr="003E4A43">
        <w:rPr>
          <w:rFonts w:asciiTheme="minorHAnsi" w:hAnsiTheme="minorHAnsi" w:cstheme="minorHAnsi"/>
        </w:rPr>
        <w:t xml:space="preserve">marketing merchandise up to the total value of $30 per </w:t>
      </w:r>
      <w:proofErr w:type="gramStart"/>
      <w:r w:rsidRPr="003E4A43">
        <w:rPr>
          <w:rFonts w:asciiTheme="minorHAnsi" w:hAnsiTheme="minorHAnsi" w:cstheme="minorHAnsi"/>
        </w:rPr>
        <w:t>person;</w:t>
      </w:r>
      <w:proofErr w:type="gramEnd"/>
    </w:p>
    <w:p w14:paraId="6A2CEC44" w14:textId="26F7C832" w:rsidR="00161985" w:rsidRPr="003E4A43" w:rsidRDefault="00161985" w:rsidP="00161985">
      <w:pPr>
        <w:numPr>
          <w:ilvl w:val="0"/>
          <w:numId w:val="12"/>
        </w:numPr>
        <w:spacing w:after="160" w:line="256" w:lineRule="auto"/>
        <w:rPr>
          <w:rFonts w:asciiTheme="minorHAnsi" w:hAnsiTheme="minorHAnsi" w:cstheme="minorHAnsi"/>
        </w:rPr>
      </w:pPr>
      <w:r w:rsidRPr="003E4A43">
        <w:rPr>
          <w:rFonts w:asciiTheme="minorHAnsi" w:hAnsiTheme="minorHAnsi" w:cstheme="minorHAnsi"/>
        </w:rPr>
        <w:t>the offering of money in the form of scholarships or bursaries.</w:t>
      </w:r>
    </w:p>
    <w:p w14:paraId="5122DF3B" w14:textId="32C67D8B" w:rsidR="002C51E8" w:rsidRPr="003E4A43" w:rsidRDefault="00D26B26" w:rsidP="005E7759">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w:t>
      </w:r>
      <w:r w:rsidR="001D5A5E" w:rsidRPr="003E4A43">
        <w:rPr>
          <w:rFonts w:asciiTheme="minorHAnsi" w:hAnsiTheme="minorHAnsi" w:cstheme="minorHAnsi"/>
          <w:b/>
          <w:u w:val="single"/>
        </w:rPr>
        <w:t>35</w:t>
      </w:r>
      <w:r w:rsidRPr="003E4A43">
        <w:rPr>
          <w:rFonts w:asciiTheme="minorHAnsi" w:hAnsiTheme="minorHAnsi" w:cstheme="minorHAnsi"/>
          <w:b/>
          <w:u w:val="single"/>
        </w:rPr>
        <w:t>: Use of third party contact lists</w:t>
      </w:r>
    </w:p>
    <w:p w14:paraId="5734941B" w14:textId="03CB0F2C" w:rsidR="009D00FC" w:rsidRPr="003E4A43" w:rsidRDefault="00E732BA" w:rsidP="00FD7ADD">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1D5A5E" w:rsidRPr="003E4A43">
        <w:rPr>
          <w:rFonts w:asciiTheme="minorHAnsi" w:hAnsiTheme="minorHAnsi" w:cstheme="minorHAnsi"/>
        </w:rPr>
        <w:t>35</w:t>
      </w:r>
      <w:r w:rsidRPr="003E4A43">
        <w:rPr>
          <w:rFonts w:asciiTheme="minorHAnsi" w:hAnsiTheme="minorHAnsi" w:cstheme="minorHAnsi"/>
        </w:rPr>
        <w:t>(1)</w:t>
      </w:r>
      <w:r w:rsidR="009D00FC" w:rsidRPr="003E4A43">
        <w:rPr>
          <w:rFonts w:asciiTheme="minorHAnsi" w:hAnsiTheme="minorHAnsi" w:cstheme="minorHAnsi"/>
        </w:rPr>
        <w:t xml:space="preserve"> provides</w:t>
      </w:r>
      <w:r w:rsidR="00BE7E2F" w:rsidRPr="003E4A43">
        <w:rPr>
          <w:rFonts w:asciiTheme="minorHAnsi" w:hAnsiTheme="minorHAnsi" w:cstheme="minorHAnsi"/>
        </w:rPr>
        <w:t xml:space="preserve"> that</w:t>
      </w:r>
      <w:r w:rsidR="00C84089" w:rsidRPr="003E4A43">
        <w:rPr>
          <w:rFonts w:asciiTheme="minorHAnsi" w:hAnsiTheme="minorHAnsi" w:cstheme="minorHAnsi"/>
        </w:rPr>
        <w:t xml:space="preserve">, </w:t>
      </w:r>
      <w:r w:rsidR="009D00FC" w:rsidRPr="003E4A43">
        <w:rPr>
          <w:rFonts w:asciiTheme="minorHAnsi" w:hAnsiTheme="minorHAnsi" w:cstheme="minorHAnsi"/>
        </w:rPr>
        <w:t>for the purposes of subsection 19-36C(3) of the Ac</w:t>
      </w:r>
      <w:r w:rsidR="00C84089" w:rsidRPr="003E4A43">
        <w:rPr>
          <w:rFonts w:asciiTheme="minorHAnsi" w:hAnsiTheme="minorHAnsi" w:cstheme="minorHAnsi"/>
        </w:rPr>
        <w:t xml:space="preserve">t, </w:t>
      </w:r>
      <w:r w:rsidR="009D00FC" w:rsidRPr="003E4A43">
        <w:rPr>
          <w:rFonts w:asciiTheme="minorHAnsi" w:hAnsiTheme="minorHAnsi" w:cstheme="minorHAnsi"/>
        </w:rPr>
        <w:t>subsection 19</w:t>
      </w:r>
      <w:r w:rsidR="009D00FC" w:rsidRPr="003E4A43">
        <w:rPr>
          <w:rFonts w:asciiTheme="minorHAnsi" w:hAnsiTheme="minorHAnsi" w:cstheme="minorHAnsi"/>
        </w:rPr>
        <w:noBreakHyphen/>
        <w:t>36C(2) of the Act does not apply if the student has given express consent to being contacted by the higher education provider.</w:t>
      </w:r>
    </w:p>
    <w:p w14:paraId="1722B8F0" w14:textId="6FC3BA2D" w:rsidR="009D00FC" w:rsidRPr="003E4A43" w:rsidRDefault="0038598B" w:rsidP="0010209E">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1D5A5E" w:rsidRPr="003E4A43">
        <w:rPr>
          <w:rFonts w:asciiTheme="minorHAnsi" w:hAnsiTheme="minorHAnsi" w:cstheme="minorHAnsi"/>
        </w:rPr>
        <w:t>35</w:t>
      </w:r>
      <w:r w:rsidRPr="003E4A43">
        <w:rPr>
          <w:rFonts w:asciiTheme="minorHAnsi" w:hAnsiTheme="minorHAnsi" w:cstheme="minorHAnsi"/>
        </w:rPr>
        <w:t>(</w:t>
      </w:r>
      <w:r w:rsidR="005B7B5E" w:rsidRPr="003E4A43">
        <w:rPr>
          <w:rFonts w:asciiTheme="minorHAnsi" w:hAnsiTheme="minorHAnsi" w:cstheme="minorHAnsi"/>
        </w:rPr>
        <w:t>2</w:t>
      </w:r>
      <w:r w:rsidRPr="003E4A43">
        <w:rPr>
          <w:rFonts w:asciiTheme="minorHAnsi" w:hAnsiTheme="minorHAnsi" w:cstheme="minorHAnsi"/>
        </w:rPr>
        <w:t>)</w:t>
      </w:r>
      <w:r w:rsidR="009D00FC" w:rsidRPr="003E4A43">
        <w:rPr>
          <w:rFonts w:asciiTheme="minorHAnsi" w:hAnsiTheme="minorHAnsi" w:cstheme="minorHAnsi"/>
        </w:rPr>
        <w:t xml:space="preserve"> </w:t>
      </w:r>
      <w:r w:rsidR="00282923" w:rsidRPr="003E4A43">
        <w:rPr>
          <w:rFonts w:asciiTheme="minorHAnsi" w:hAnsiTheme="minorHAnsi" w:cstheme="minorHAnsi"/>
        </w:rPr>
        <w:t>sets out</w:t>
      </w:r>
      <w:r w:rsidR="001342ED" w:rsidRPr="003E4A43">
        <w:rPr>
          <w:rFonts w:asciiTheme="minorHAnsi" w:hAnsiTheme="minorHAnsi" w:cstheme="minorHAnsi"/>
        </w:rPr>
        <w:t xml:space="preserve">, subject to subsection </w:t>
      </w:r>
      <w:r w:rsidR="006B6AB5" w:rsidRPr="003E4A43">
        <w:rPr>
          <w:rFonts w:asciiTheme="minorHAnsi" w:hAnsiTheme="minorHAnsi" w:cstheme="minorHAnsi"/>
        </w:rPr>
        <w:t>35</w:t>
      </w:r>
      <w:r w:rsidR="001342ED" w:rsidRPr="003E4A43">
        <w:rPr>
          <w:rFonts w:asciiTheme="minorHAnsi" w:hAnsiTheme="minorHAnsi" w:cstheme="minorHAnsi"/>
        </w:rPr>
        <w:t>(3),</w:t>
      </w:r>
      <w:r w:rsidR="00282923" w:rsidRPr="003E4A43">
        <w:rPr>
          <w:rFonts w:asciiTheme="minorHAnsi" w:hAnsiTheme="minorHAnsi" w:cstheme="minorHAnsi"/>
        </w:rPr>
        <w:t xml:space="preserve"> the </w:t>
      </w:r>
      <w:r w:rsidR="004177EF" w:rsidRPr="003E4A43">
        <w:rPr>
          <w:rFonts w:asciiTheme="minorHAnsi" w:hAnsiTheme="minorHAnsi" w:cstheme="minorHAnsi"/>
        </w:rPr>
        <w:t xml:space="preserve">circumstances </w:t>
      </w:r>
      <w:r w:rsidR="009D00FC" w:rsidRPr="003E4A43">
        <w:rPr>
          <w:rFonts w:asciiTheme="minorHAnsi" w:hAnsiTheme="minorHAnsi" w:cstheme="minorHAnsi"/>
        </w:rPr>
        <w:t>that the student is taken to have provided express consent</w:t>
      </w:r>
      <w:r w:rsidR="00344DE2" w:rsidRPr="003E4A43">
        <w:rPr>
          <w:rFonts w:asciiTheme="minorHAnsi" w:hAnsiTheme="minorHAnsi" w:cstheme="minorHAnsi"/>
        </w:rPr>
        <w:t>.</w:t>
      </w:r>
    </w:p>
    <w:p w14:paraId="6E7F9D11" w14:textId="42CA42B0" w:rsidR="000A6355" w:rsidRPr="003E4A43" w:rsidRDefault="003E0376" w:rsidP="000A6355">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1D5A5E" w:rsidRPr="003E4A43">
        <w:rPr>
          <w:rFonts w:asciiTheme="minorHAnsi" w:hAnsiTheme="minorHAnsi" w:cstheme="minorHAnsi"/>
        </w:rPr>
        <w:t>35</w:t>
      </w:r>
      <w:r w:rsidRPr="003E4A43">
        <w:rPr>
          <w:rFonts w:asciiTheme="minorHAnsi" w:hAnsiTheme="minorHAnsi" w:cstheme="minorHAnsi"/>
        </w:rPr>
        <w:t>(</w:t>
      </w:r>
      <w:r w:rsidR="005B7B5E" w:rsidRPr="003E4A43">
        <w:rPr>
          <w:rFonts w:asciiTheme="minorHAnsi" w:hAnsiTheme="minorHAnsi" w:cstheme="minorHAnsi"/>
        </w:rPr>
        <w:t>3</w:t>
      </w:r>
      <w:r w:rsidRPr="003E4A43">
        <w:rPr>
          <w:rFonts w:asciiTheme="minorHAnsi" w:hAnsiTheme="minorHAnsi" w:cstheme="minorHAnsi"/>
        </w:rPr>
        <w:t>)</w:t>
      </w:r>
      <w:r w:rsidR="009D00FC" w:rsidRPr="003E4A43">
        <w:rPr>
          <w:rFonts w:asciiTheme="minorHAnsi" w:hAnsiTheme="minorHAnsi" w:cstheme="minorHAnsi"/>
        </w:rPr>
        <w:t xml:space="preserve"> </w:t>
      </w:r>
      <w:r w:rsidR="003B65E8" w:rsidRPr="003E4A43">
        <w:rPr>
          <w:rFonts w:asciiTheme="minorHAnsi" w:hAnsiTheme="minorHAnsi" w:cstheme="minorHAnsi"/>
        </w:rPr>
        <w:t>sets out tha</w:t>
      </w:r>
      <w:r w:rsidR="009D00FC" w:rsidRPr="003E4A43">
        <w:rPr>
          <w:rFonts w:asciiTheme="minorHAnsi" w:hAnsiTheme="minorHAnsi" w:cstheme="minorHAnsi"/>
        </w:rPr>
        <w:t xml:space="preserve">t the student is taken to have provided express consent </w:t>
      </w:r>
      <w:r w:rsidR="000A6355" w:rsidRPr="003E4A43">
        <w:rPr>
          <w:rFonts w:asciiTheme="minorHAnsi" w:hAnsiTheme="minorHAnsi" w:cstheme="minorHAnsi"/>
        </w:rPr>
        <w:t>if the student initiates contact with a third party for the purpose of:</w:t>
      </w:r>
    </w:p>
    <w:p w14:paraId="30B97DC7" w14:textId="3F6C4BCD" w:rsidR="000A6355" w:rsidRPr="003E4A43" w:rsidRDefault="000A6355" w:rsidP="000A6355">
      <w:pPr>
        <w:spacing w:after="160" w:line="256" w:lineRule="auto"/>
        <w:ind w:left="720"/>
        <w:rPr>
          <w:rFonts w:asciiTheme="minorHAnsi" w:hAnsiTheme="minorHAnsi" w:cstheme="minorHAnsi"/>
        </w:rPr>
      </w:pPr>
      <w:r w:rsidRPr="003E4A43">
        <w:rPr>
          <w:rFonts w:asciiTheme="minorHAnsi" w:hAnsiTheme="minorHAnsi" w:cstheme="minorHAnsi"/>
        </w:rPr>
        <w:t>(a) giving information relating to education and training to the provider; or</w:t>
      </w:r>
    </w:p>
    <w:p w14:paraId="38B8B129" w14:textId="6B03E1E5" w:rsidR="00BB191B" w:rsidRPr="003E4A43" w:rsidRDefault="000A6355" w:rsidP="000A6355">
      <w:pPr>
        <w:spacing w:after="160" w:line="256" w:lineRule="auto"/>
        <w:ind w:left="720"/>
        <w:rPr>
          <w:rFonts w:asciiTheme="minorHAnsi" w:hAnsiTheme="minorHAnsi" w:cstheme="minorHAnsi"/>
        </w:rPr>
      </w:pPr>
      <w:r w:rsidRPr="003E4A43">
        <w:rPr>
          <w:rFonts w:asciiTheme="minorHAnsi" w:hAnsiTheme="minorHAnsi" w:cstheme="minorHAnsi"/>
        </w:rPr>
        <w:t>(b) obtaining information relating to higher education from the provider.</w:t>
      </w:r>
    </w:p>
    <w:p w14:paraId="7346DFF1" w14:textId="646D3AF8" w:rsidR="007A3730" w:rsidRPr="003E4A43" w:rsidRDefault="007A3730" w:rsidP="005E7759">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w:t>
      </w:r>
      <w:r w:rsidR="006B6AB5" w:rsidRPr="003E4A43">
        <w:rPr>
          <w:rFonts w:asciiTheme="minorHAnsi" w:hAnsiTheme="minorHAnsi" w:cstheme="minorHAnsi"/>
          <w:b/>
          <w:u w:val="single"/>
        </w:rPr>
        <w:t>36</w:t>
      </w:r>
      <w:r w:rsidRPr="003E4A43">
        <w:rPr>
          <w:rFonts w:asciiTheme="minorHAnsi" w:hAnsiTheme="minorHAnsi" w:cstheme="minorHAnsi"/>
          <w:b/>
          <w:u w:val="single"/>
        </w:rPr>
        <w:t>: Keeping records</w:t>
      </w:r>
    </w:p>
    <w:p w14:paraId="6F0B65A1" w14:textId="4D7C1E8D" w:rsidR="00C73D69" w:rsidRPr="003E4A43" w:rsidRDefault="00844901" w:rsidP="00E42A8B">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6B6AB5" w:rsidRPr="003E4A43">
        <w:rPr>
          <w:rFonts w:asciiTheme="minorHAnsi" w:hAnsiTheme="minorHAnsi" w:cstheme="minorHAnsi"/>
        </w:rPr>
        <w:t>36</w:t>
      </w:r>
      <w:r w:rsidRPr="003E4A43">
        <w:rPr>
          <w:rFonts w:asciiTheme="minorHAnsi" w:hAnsiTheme="minorHAnsi" w:cstheme="minorHAnsi"/>
        </w:rPr>
        <w:t>(</w:t>
      </w:r>
      <w:r w:rsidR="00E42A8B" w:rsidRPr="003E4A43">
        <w:rPr>
          <w:rFonts w:asciiTheme="minorHAnsi" w:hAnsiTheme="minorHAnsi" w:cstheme="minorHAnsi"/>
        </w:rPr>
        <w:t>1</w:t>
      </w:r>
      <w:r w:rsidRPr="003E4A43">
        <w:rPr>
          <w:rFonts w:asciiTheme="minorHAnsi" w:hAnsiTheme="minorHAnsi" w:cstheme="minorHAnsi"/>
        </w:rPr>
        <w:t>)</w:t>
      </w:r>
      <w:r w:rsidR="0056758F" w:rsidRPr="003E4A43">
        <w:rPr>
          <w:rFonts w:asciiTheme="minorHAnsi" w:hAnsiTheme="minorHAnsi" w:cstheme="minorHAnsi"/>
        </w:rPr>
        <w:t xml:space="preserve"> </w:t>
      </w:r>
      <w:r w:rsidR="00EC1C84" w:rsidRPr="003E4A43">
        <w:rPr>
          <w:rFonts w:asciiTheme="minorHAnsi" w:hAnsiTheme="minorHAnsi" w:cstheme="minorHAnsi"/>
        </w:rPr>
        <w:t>sets out</w:t>
      </w:r>
      <w:r w:rsidR="00FA2C54" w:rsidRPr="003E4A43">
        <w:rPr>
          <w:rFonts w:asciiTheme="minorHAnsi" w:hAnsiTheme="minorHAnsi" w:cstheme="minorHAnsi"/>
        </w:rPr>
        <w:t>, for the purposes of section 19</w:t>
      </w:r>
      <w:r w:rsidR="00FA2C54" w:rsidRPr="003E4A43">
        <w:rPr>
          <w:rFonts w:asciiTheme="minorHAnsi" w:hAnsiTheme="minorHAnsi" w:cstheme="minorHAnsi"/>
        </w:rPr>
        <w:noBreakHyphen/>
        <w:t>72 of the Act,</w:t>
      </w:r>
      <w:r w:rsidR="00EC1C84" w:rsidRPr="003E4A43">
        <w:rPr>
          <w:rFonts w:asciiTheme="minorHAnsi" w:hAnsiTheme="minorHAnsi" w:cstheme="minorHAnsi"/>
        </w:rPr>
        <w:t xml:space="preserve"> </w:t>
      </w:r>
      <w:r w:rsidR="0056758F" w:rsidRPr="003E4A43">
        <w:rPr>
          <w:rFonts w:asciiTheme="minorHAnsi" w:hAnsiTheme="minorHAnsi" w:cstheme="minorHAnsi"/>
        </w:rPr>
        <w:t>that a higher education provider must kee</w:t>
      </w:r>
      <w:r w:rsidR="00775D77" w:rsidRPr="003E4A43">
        <w:rPr>
          <w:rFonts w:asciiTheme="minorHAnsi" w:hAnsiTheme="minorHAnsi" w:cstheme="minorHAnsi"/>
        </w:rPr>
        <w:t>p</w:t>
      </w:r>
      <w:r w:rsidR="00C73D69" w:rsidRPr="003E4A43">
        <w:rPr>
          <w:rFonts w:asciiTheme="minorHAnsi" w:hAnsiTheme="minorHAnsi" w:cstheme="minorHAnsi"/>
        </w:rPr>
        <w:t xml:space="preserve"> records relating to:</w:t>
      </w:r>
    </w:p>
    <w:p w14:paraId="3B964552" w14:textId="4A10C261" w:rsidR="00C73D69" w:rsidRPr="003E4A43" w:rsidRDefault="00C73D69" w:rsidP="00C73D69">
      <w:pPr>
        <w:numPr>
          <w:ilvl w:val="0"/>
          <w:numId w:val="12"/>
        </w:numPr>
        <w:spacing w:after="160" w:line="256" w:lineRule="auto"/>
        <w:rPr>
          <w:rFonts w:asciiTheme="minorHAnsi" w:hAnsiTheme="minorHAnsi" w:cstheme="minorHAnsi"/>
        </w:rPr>
      </w:pPr>
      <w:r w:rsidRPr="003E4A43">
        <w:rPr>
          <w:rFonts w:asciiTheme="minorHAnsi" w:hAnsiTheme="minorHAnsi" w:cstheme="minorHAnsi"/>
        </w:rPr>
        <w:t>how the provider assessed a student as academically suited to undertake a unit of study before enrolling the student in the unit of study being undertaken as part of a course of study; and</w:t>
      </w:r>
    </w:p>
    <w:p w14:paraId="0EEE25A5" w14:textId="0620DCB9" w:rsidR="00C73D69" w:rsidRPr="003E4A43" w:rsidRDefault="00C73D69" w:rsidP="00C73D69">
      <w:pPr>
        <w:numPr>
          <w:ilvl w:val="0"/>
          <w:numId w:val="12"/>
        </w:numPr>
        <w:spacing w:after="160" w:line="256" w:lineRule="auto"/>
        <w:rPr>
          <w:rFonts w:asciiTheme="minorHAnsi" w:hAnsiTheme="minorHAnsi" w:cstheme="minorHAnsi"/>
        </w:rPr>
      </w:pPr>
      <w:r w:rsidRPr="003E4A43">
        <w:rPr>
          <w:rFonts w:asciiTheme="minorHAnsi" w:hAnsiTheme="minorHAnsi" w:cstheme="minorHAnsi"/>
        </w:rPr>
        <w:t>if the provider is satisfied that special circumstances apply to a student for the purposes of section 104</w:t>
      </w:r>
      <w:r w:rsidR="00F93700" w:rsidRPr="003E4A43">
        <w:rPr>
          <w:rFonts w:asciiTheme="minorHAnsi" w:hAnsiTheme="minorHAnsi" w:cstheme="minorHAnsi"/>
        </w:rPr>
        <w:t>-</w:t>
      </w:r>
      <w:r w:rsidRPr="003E4A43">
        <w:rPr>
          <w:rFonts w:asciiTheme="minorHAnsi" w:hAnsiTheme="minorHAnsi" w:cstheme="minorHAnsi"/>
        </w:rPr>
        <w:t xml:space="preserve">1A of the Act—the grounds on which the provider is so satisfied; and </w:t>
      </w:r>
    </w:p>
    <w:p w14:paraId="3A8D4111" w14:textId="7B0BD4EA" w:rsidR="00AD0981" w:rsidRPr="003E4A43" w:rsidRDefault="00C73D69" w:rsidP="00C73D69">
      <w:pPr>
        <w:numPr>
          <w:ilvl w:val="0"/>
          <w:numId w:val="12"/>
        </w:numPr>
        <w:spacing w:after="160" w:line="256" w:lineRule="auto"/>
        <w:rPr>
          <w:rFonts w:asciiTheme="minorHAnsi" w:hAnsiTheme="minorHAnsi" w:cstheme="minorHAnsi"/>
        </w:rPr>
      </w:pPr>
      <w:r w:rsidRPr="003E4A43">
        <w:rPr>
          <w:rFonts w:asciiTheme="minorHAnsi" w:hAnsiTheme="minorHAnsi" w:cstheme="minorHAnsi"/>
        </w:rPr>
        <w:t xml:space="preserve">if the provider determines that undertaking a unit will not impose an unreasonable study load on a person for the purposes of subsections 36-12(2) </w:t>
      </w:r>
      <w:r w:rsidRPr="003E4A43">
        <w:rPr>
          <w:rFonts w:asciiTheme="minorHAnsi" w:hAnsiTheme="minorHAnsi" w:cstheme="minorHAnsi"/>
        </w:rPr>
        <w:lastRenderedPageBreak/>
        <w:t>and 104-1AA(2)—the grounds on which the provider made such a determination.</w:t>
      </w:r>
    </w:p>
    <w:p w14:paraId="3D062E2C" w14:textId="67161F40" w:rsidR="0056758F" w:rsidRPr="003E4A43" w:rsidRDefault="00AD0981" w:rsidP="00FA2C54">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Note 1 to subsection </w:t>
      </w:r>
      <w:r w:rsidR="006B6AB5" w:rsidRPr="003E4A43">
        <w:rPr>
          <w:rFonts w:asciiTheme="minorHAnsi" w:hAnsiTheme="minorHAnsi" w:cstheme="minorHAnsi"/>
        </w:rPr>
        <w:t>36</w:t>
      </w:r>
      <w:r w:rsidRPr="003E4A43">
        <w:rPr>
          <w:rFonts w:asciiTheme="minorHAnsi" w:hAnsiTheme="minorHAnsi" w:cstheme="minorHAnsi"/>
        </w:rPr>
        <w:t>(</w:t>
      </w:r>
      <w:r w:rsidR="00282CDB" w:rsidRPr="003E4A43">
        <w:rPr>
          <w:rFonts w:asciiTheme="minorHAnsi" w:hAnsiTheme="minorHAnsi" w:cstheme="minorHAnsi"/>
        </w:rPr>
        <w:t>1</w:t>
      </w:r>
      <w:r w:rsidRPr="003E4A43">
        <w:rPr>
          <w:rFonts w:asciiTheme="minorHAnsi" w:hAnsiTheme="minorHAnsi" w:cstheme="minorHAnsi"/>
        </w:rPr>
        <w:t xml:space="preserve">) </w:t>
      </w:r>
      <w:r w:rsidR="00CD57D4" w:rsidRPr="003E4A43">
        <w:rPr>
          <w:rFonts w:asciiTheme="minorHAnsi" w:hAnsiTheme="minorHAnsi" w:cstheme="minorHAnsi"/>
        </w:rPr>
        <w:t xml:space="preserve">explains </w:t>
      </w:r>
      <w:r w:rsidR="003146BB" w:rsidRPr="003E4A43">
        <w:rPr>
          <w:rFonts w:asciiTheme="minorHAnsi" w:hAnsiTheme="minorHAnsi" w:cstheme="minorHAnsi"/>
        </w:rPr>
        <w:t xml:space="preserve">that </w:t>
      </w:r>
      <w:r w:rsidR="009A559B" w:rsidRPr="003E4A43">
        <w:rPr>
          <w:rFonts w:asciiTheme="minorHAnsi" w:hAnsiTheme="minorHAnsi" w:cstheme="minorHAnsi"/>
        </w:rPr>
        <w:t>the requirement to undertake the assessment mentioned in paragraph </w:t>
      </w:r>
      <w:r w:rsidR="006B6AB5" w:rsidRPr="003E4A43">
        <w:rPr>
          <w:rFonts w:asciiTheme="minorHAnsi" w:hAnsiTheme="minorHAnsi" w:cstheme="minorHAnsi"/>
        </w:rPr>
        <w:t>36</w:t>
      </w:r>
      <w:r w:rsidR="001E56C8" w:rsidRPr="003E4A43">
        <w:rPr>
          <w:rFonts w:asciiTheme="minorHAnsi" w:hAnsiTheme="minorHAnsi" w:cstheme="minorHAnsi"/>
        </w:rPr>
        <w:t>(</w:t>
      </w:r>
      <w:r w:rsidR="00282CDB" w:rsidRPr="003E4A43">
        <w:rPr>
          <w:rFonts w:asciiTheme="minorHAnsi" w:hAnsiTheme="minorHAnsi" w:cstheme="minorHAnsi"/>
        </w:rPr>
        <w:t>1</w:t>
      </w:r>
      <w:r w:rsidR="001E56C8" w:rsidRPr="003E4A43">
        <w:rPr>
          <w:rFonts w:asciiTheme="minorHAnsi" w:hAnsiTheme="minorHAnsi" w:cstheme="minorHAnsi"/>
        </w:rPr>
        <w:t>)</w:t>
      </w:r>
      <w:r w:rsidR="009A559B" w:rsidRPr="003E4A43">
        <w:rPr>
          <w:rFonts w:asciiTheme="minorHAnsi" w:hAnsiTheme="minorHAnsi" w:cstheme="minorHAnsi"/>
        </w:rPr>
        <w:t>(a)</w:t>
      </w:r>
      <w:r w:rsidR="00EA14FC" w:rsidRPr="003E4A43">
        <w:rPr>
          <w:rFonts w:asciiTheme="minorHAnsi" w:hAnsiTheme="minorHAnsi" w:cstheme="minorHAnsi"/>
        </w:rPr>
        <w:t xml:space="preserve"> </w:t>
      </w:r>
      <w:r w:rsidR="009A559B" w:rsidRPr="003E4A43">
        <w:rPr>
          <w:rFonts w:asciiTheme="minorHAnsi" w:hAnsiTheme="minorHAnsi" w:cstheme="minorHAnsi"/>
        </w:rPr>
        <w:t>is imposed under section 19</w:t>
      </w:r>
      <w:r w:rsidR="009A559B" w:rsidRPr="003E4A43">
        <w:rPr>
          <w:rFonts w:asciiTheme="minorHAnsi" w:hAnsiTheme="minorHAnsi" w:cstheme="minorHAnsi"/>
        </w:rPr>
        <w:noBreakHyphen/>
        <w:t>42 of the Act.</w:t>
      </w:r>
    </w:p>
    <w:p w14:paraId="6F7D0629" w14:textId="56B9D582" w:rsidR="009A559B" w:rsidRPr="003E4A43" w:rsidRDefault="009A559B" w:rsidP="00FA2C54">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Note 2 to subsection </w:t>
      </w:r>
      <w:r w:rsidR="00A66371" w:rsidRPr="003E4A43">
        <w:rPr>
          <w:rFonts w:asciiTheme="minorHAnsi" w:hAnsiTheme="minorHAnsi" w:cstheme="minorHAnsi"/>
        </w:rPr>
        <w:t>36</w:t>
      </w:r>
      <w:r w:rsidRPr="003E4A43">
        <w:rPr>
          <w:rFonts w:asciiTheme="minorHAnsi" w:hAnsiTheme="minorHAnsi" w:cstheme="minorHAnsi"/>
        </w:rPr>
        <w:t>(</w:t>
      </w:r>
      <w:r w:rsidR="00282CDB" w:rsidRPr="003E4A43">
        <w:rPr>
          <w:rFonts w:asciiTheme="minorHAnsi" w:hAnsiTheme="minorHAnsi" w:cstheme="minorHAnsi"/>
        </w:rPr>
        <w:t>1</w:t>
      </w:r>
      <w:r w:rsidRPr="003E4A43">
        <w:rPr>
          <w:rFonts w:asciiTheme="minorHAnsi" w:hAnsiTheme="minorHAnsi" w:cstheme="minorHAnsi"/>
        </w:rPr>
        <w:t xml:space="preserve">) </w:t>
      </w:r>
      <w:r w:rsidR="00CD57D4" w:rsidRPr="003E4A43">
        <w:rPr>
          <w:rFonts w:asciiTheme="minorHAnsi" w:hAnsiTheme="minorHAnsi" w:cstheme="minorHAnsi"/>
        </w:rPr>
        <w:t>explains</w:t>
      </w:r>
      <w:r w:rsidRPr="003E4A43">
        <w:rPr>
          <w:rFonts w:asciiTheme="minorHAnsi" w:hAnsiTheme="minorHAnsi" w:cstheme="minorHAnsi"/>
        </w:rPr>
        <w:t xml:space="preserve"> that section 104-30 of the Act</w:t>
      </w:r>
      <w:r w:rsidR="00B9692E" w:rsidRPr="003E4A43">
        <w:rPr>
          <w:rFonts w:asciiTheme="minorHAnsi" w:hAnsiTheme="minorHAnsi" w:cstheme="minorHAnsi"/>
        </w:rPr>
        <w:t xml:space="preserve"> provides for when special circumstances apply to a person. </w:t>
      </w:r>
    </w:p>
    <w:p w14:paraId="31263443" w14:textId="3240AE59" w:rsidR="0056758F" w:rsidRPr="003E4A43" w:rsidRDefault="00B9692E" w:rsidP="00FA2C54">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A66371" w:rsidRPr="003E4A43">
        <w:rPr>
          <w:rFonts w:asciiTheme="minorHAnsi" w:hAnsiTheme="minorHAnsi" w:cstheme="minorHAnsi"/>
        </w:rPr>
        <w:t>36</w:t>
      </w:r>
      <w:r w:rsidRPr="003E4A43">
        <w:rPr>
          <w:rFonts w:asciiTheme="minorHAnsi" w:hAnsiTheme="minorHAnsi" w:cstheme="minorHAnsi"/>
        </w:rPr>
        <w:t>(</w:t>
      </w:r>
      <w:r w:rsidR="001F37A7" w:rsidRPr="003E4A43">
        <w:rPr>
          <w:rFonts w:asciiTheme="minorHAnsi" w:hAnsiTheme="minorHAnsi" w:cstheme="minorHAnsi"/>
        </w:rPr>
        <w:t>2</w:t>
      </w:r>
      <w:r w:rsidRPr="003E4A43">
        <w:rPr>
          <w:rFonts w:asciiTheme="minorHAnsi" w:hAnsiTheme="minorHAnsi" w:cstheme="minorHAnsi"/>
        </w:rPr>
        <w:t>)</w:t>
      </w:r>
      <w:r w:rsidR="0056758F" w:rsidRPr="003E4A43">
        <w:rPr>
          <w:rFonts w:asciiTheme="minorHAnsi" w:hAnsiTheme="minorHAnsi" w:cstheme="minorHAnsi"/>
        </w:rPr>
        <w:t xml:space="preserve"> </w:t>
      </w:r>
      <w:r w:rsidR="00F0087F" w:rsidRPr="003E4A43">
        <w:rPr>
          <w:rFonts w:asciiTheme="minorHAnsi" w:hAnsiTheme="minorHAnsi" w:cstheme="minorHAnsi"/>
        </w:rPr>
        <w:t>provides</w:t>
      </w:r>
      <w:r w:rsidR="001F37A7" w:rsidRPr="003E4A43">
        <w:rPr>
          <w:rFonts w:asciiTheme="minorHAnsi" w:hAnsiTheme="minorHAnsi" w:cstheme="minorHAnsi"/>
        </w:rPr>
        <w:t xml:space="preserve"> that </w:t>
      </w:r>
      <w:r w:rsidR="0056758F" w:rsidRPr="003E4A43">
        <w:rPr>
          <w:rFonts w:asciiTheme="minorHAnsi" w:hAnsiTheme="minorHAnsi" w:cstheme="minorHAnsi"/>
        </w:rPr>
        <w:t>the records must be kept</w:t>
      </w:r>
      <w:r w:rsidR="001F37A7" w:rsidRPr="003E4A43">
        <w:rPr>
          <w:rFonts w:asciiTheme="minorHAnsi" w:hAnsiTheme="minorHAnsi" w:cstheme="minorHAnsi"/>
        </w:rPr>
        <w:t xml:space="preserve"> in a manner so that they can be readily provided upon request to the student concerned, the Minister or the Secretary</w:t>
      </w:r>
      <w:r w:rsidR="001A38F9" w:rsidRPr="003E4A43">
        <w:rPr>
          <w:rFonts w:asciiTheme="minorHAnsi" w:hAnsiTheme="minorHAnsi" w:cstheme="minorHAnsi"/>
        </w:rPr>
        <w:t>.</w:t>
      </w:r>
    </w:p>
    <w:p w14:paraId="21AFC5DC" w14:textId="5E68727B" w:rsidR="0056758F" w:rsidRPr="003E4A43" w:rsidRDefault="00F84D2C" w:rsidP="00FA2C54">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A66371" w:rsidRPr="003E4A43">
        <w:rPr>
          <w:rFonts w:asciiTheme="minorHAnsi" w:hAnsiTheme="minorHAnsi" w:cstheme="minorHAnsi"/>
        </w:rPr>
        <w:t>36</w:t>
      </w:r>
      <w:r w:rsidR="008E1037" w:rsidRPr="003E4A43">
        <w:rPr>
          <w:rFonts w:asciiTheme="minorHAnsi" w:hAnsiTheme="minorHAnsi" w:cstheme="minorHAnsi"/>
        </w:rPr>
        <w:t>(</w:t>
      </w:r>
      <w:r w:rsidR="001F37A7" w:rsidRPr="003E4A43">
        <w:rPr>
          <w:rFonts w:asciiTheme="minorHAnsi" w:hAnsiTheme="minorHAnsi" w:cstheme="minorHAnsi"/>
        </w:rPr>
        <w:t>3</w:t>
      </w:r>
      <w:r w:rsidR="008E1037" w:rsidRPr="003E4A43">
        <w:rPr>
          <w:rFonts w:asciiTheme="minorHAnsi" w:hAnsiTheme="minorHAnsi" w:cstheme="minorHAnsi"/>
        </w:rPr>
        <w:t>)</w:t>
      </w:r>
      <w:r w:rsidR="0056758F" w:rsidRPr="003E4A43">
        <w:rPr>
          <w:rFonts w:asciiTheme="minorHAnsi" w:hAnsiTheme="minorHAnsi" w:cstheme="minorHAnsi"/>
        </w:rPr>
        <w:t xml:space="preserve"> </w:t>
      </w:r>
      <w:r w:rsidR="00E441C4" w:rsidRPr="003E4A43">
        <w:rPr>
          <w:rFonts w:asciiTheme="minorHAnsi" w:hAnsiTheme="minorHAnsi" w:cstheme="minorHAnsi"/>
        </w:rPr>
        <w:t>sets out the period</w:t>
      </w:r>
      <w:r w:rsidR="00094444" w:rsidRPr="003E4A43">
        <w:rPr>
          <w:rFonts w:asciiTheme="minorHAnsi" w:hAnsiTheme="minorHAnsi" w:cstheme="minorHAnsi"/>
        </w:rPr>
        <w:t xml:space="preserve"> </w:t>
      </w:r>
      <w:r w:rsidR="0056758F" w:rsidRPr="003E4A43">
        <w:rPr>
          <w:rFonts w:asciiTheme="minorHAnsi" w:hAnsiTheme="minorHAnsi" w:cstheme="minorHAnsi"/>
        </w:rPr>
        <w:t xml:space="preserve">that a record </w:t>
      </w:r>
      <w:r w:rsidR="00094444" w:rsidRPr="003E4A43">
        <w:rPr>
          <w:rFonts w:asciiTheme="minorHAnsi" w:hAnsiTheme="minorHAnsi" w:cstheme="minorHAnsi"/>
        </w:rPr>
        <w:t xml:space="preserve">is </w:t>
      </w:r>
      <w:r w:rsidR="0056758F" w:rsidRPr="003E4A43">
        <w:rPr>
          <w:rFonts w:asciiTheme="minorHAnsi" w:hAnsiTheme="minorHAnsi" w:cstheme="minorHAnsi"/>
        </w:rPr>
        <w:t xml:space="preserve">required to be kept by a </w:t>
      </w:r>
      <w:r w:rsidR="00B57859" w:rsidRPr="003E4A43">
        <w:rPr>
          <w:rFonts w:asciiTheme="minorHAnsi" w:hAnsiTheme="minorHAnsi" w:cstheme="minorHAnsi"/>
        </w:rPr>
        <w:t xml:space="preserve">higher education </w:t>
      </w:r>
      <w:r w:rsidR="0056758F" w:rsidRPr="003E4A43">
        <w:rPr>
          <w:rFonts w:asciiTheme="minorHAnsi" w:hAnsiTheme="minorHAnsi" w:cstheme="minorHAnsi"/>
        </w:rPr>
        <w:t>provider</w:t>
      </w:r>
      <w:r w:rsidR="00B57859" w:rsidRPr="003E4A43">
        <w:rPr>
          <w:rFonts w:asciiTheme="minorHAnsi" w:hAnsiTheme="minorHAnsi" w:cstheme="minorHAnsi"/>
        </w:rPr>
        <w:t xml:space="preserve">, </w:t>
      </w:r>
      <w:r w:rsidR="00A70E62" w:rsidRPr="003E4A43">
        <w:rPr>
          <w:rFonts w:asciiTheme="minorHAnsi" w:hAnsiTheme="minorHAnsi" w:cstheme="minorHAnsi"/>
        </w:rPr>
        <w:t>which must be for the period of 7 years starting from when the record was made by the provider</w:t>
      </w:r>
      <w:r w:rsidR="0056758F" w:rsidRPr="003E4A43">
        <w:rPr>
          <w:rFonts w:asciiTheme="minorHAnsi" w:hAnsiTheme="minorHAnsi" w:cstheme="minorHAnsi"/>
        </w:rPr>
        <w:t>.</w:t>
      </w:r>
    </w:p>
    <w:p w14:paraId="3522CC55" w14:textId="67FCCD32" w:rsidR="008E1037" w:rsidRPr="003E4A43" w:rsidRDefault="008E1037" w:rsidP="005E7759">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w:t>
      </w:r>
      <w:r w:rsidR="00A66371" w:rsidRPr="003E4A43">
        <w:rPr>
          <w:rFonts w:asciiTheme="minorHAnsi" w:hAnsiTheme="minorHAnsi" w:cstheme="minorHAnsi"/>
          <w:b/>
          <w:u w:val="single"/>
        </w:rPr>
        <w:t>37</w:t>
      </w:r>
      <w:r w:rsidRPr="003E4A43">
        <w:rPr>
          <w:rFonts w:asciiTheme="minorHAnsi" w:hAnsiTheme="minorHAnsi" w:cstheme="minorHAnsi"/>
          <w:b/>
          <w:u w:val="single"/>
        </w:rPr>
        <w:t>: Publishing information</w:t>
      </w:r>
    </w:p>
    <w:p w14:paraId="0719B2EF" w14:textId="6858E24F" w:rsidR="00F44A59" w:rsidRPr="003E4A43" w:rsidRDefault="00F509D4" w:rsidP="00661E55">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A66371" w:rsidRPr="003E4A43">
        <w:rPr>
          <w:rFonts w:asciiTheme="minorHAnsi" w:hAnsiTheme="minorHAnsi" w:cstheme="minorHAnsi"/>
        </w:rPr>
        <w:t>37</w:t>
      </w:r>
      <w:r w:rsidRPr="003E4A43">
        <w:rPr>
          <w:rFonts w:asciiTheme="minorHAnsi" w:hAnsiTheme="minorHAnsi" w:cstheme="minorHAnsi"/>
        </w:rPr>
        <w:t>(1)</w:t>
      </w:r>
      <w:r w:rsidR="00F44A59" w:rsidRPr="003E4A43">
        <w:rPr>
          <w:rFonts w:asciiTheme="minorHAnsi" w:hAnsiTheme="minorHAnsi" w:cstheme="minorHAnsi"/>
        </w:rPr>
        <w:t xml:space="preserve"> </w:t>
      </w:r>
      <w:r w:rsidR="00702C5D" w:rsidRPr="003E4A43">
        <w:rPr>
          <w:rFonts w:asciiTheme="minorHAnsi" w:hAnsiTheme="minorHAnsi" w:cstheme="minorHAnsi"/>
        </w:rPr>
        <w:t>sets out,</w:t>
      </w:r>
      <w:r w:rsidR="00F44A59" w:rsidRPr="003E4A43">
        <w:rPr>
          <w:rFonts w:asciiTheme="minorHAnsi" w:hAnsiTheme="minorHAnsi" w:cstheme="minorHAnsi"/>
        </w:rPr>
        <w:t xml:space="preserve"> for the purposes of section 19-73 of the Act</w:t>
      </w:r>
      <w:r w:rsidR="00702C5D" w:rsidRPr="003E4A43">
        <w:rPr>
          <w:rFonts w:asciiTheme="minorHAnsi" w:hAnsiTheme="minorHAnsi" w:cstheme="minorHAnsi"/>
        </w:rPr>
        <w:t xml:space="preserve">, </w:t>
      </w:r>
      <w:r w:rsidR="00DF5AEB" w:rsidRPr="003E4A43">
        <w:rPr>
          <w:rFonts w:asciiTheme="minorHAnsi" w:hAnsiTheme="minorHAnsi" w:cstheme="minorHAnsi"/>
        </w:rPr>
        <w:t xml:space="preserve">the </w:t>
      </w:r>
      <w:r w:rsidR="00C9332D" w:rsidRPr="003E4A43">
        <w:rPr>
          <w:rFonts w:asciiTheme="minorHAnsi" w:hAnsiTheme="minorHAnsi" w:cstheme="minorHAnsi"/>
        </w:rPr>
        <w:t>kind</w:t>
      </w:r>
      <w:r w:rsidR="00AE4276" w:rsidRPr="003E4A43">
        <w:rPr>
          <w:rFonts w:asciiTheme="minorHAnsi" w:hAnsiTheme="minorHAnsi" w:cstheme="minorHAnsi"/>
        </w:rPr>
        <w:t xml:space="preserve">s </w:t>
      </w:r>
      <w:r w:rsidR="00C9332D" w:rsidRPr="003E4A43">
        <w:rPr>
          <w:rFonts w:asciiTheme="minorHAnsi" w:hAnsiTheme="minorHAnsi" w:cstheme="minorHAnsi"/>
        </w:rPr>
        <w:t xml:space="preserve">of </w:t>
      </w:r>
      <w:r w:rsidR="00DF5AEB" w:rsidRPr="003E4A43">
        <w:rPr>
          <w:rFonts w:asciiTheme="minorHAnsi" w:hAnsiTheme="minorHAnsi" w:cstheme="minorHAnsi"/>
        </w:rPr>
        <w:t>information</w:t>
      </w:r>
      <w:r w:rsidR="00F44A59" w:rsidRPr="003E4A43">
        <w:rPr>
          <w:rFonts w:asciiTheme="minorHAnsi" w:hAnsiTheme="minorHAnsi" w:cstheme="minorHAnsi"/>
        </w:rPr>
        <w:t xml:space="preserve"> that a higher education provider must publish in relation to each unit of study offered by the provider</w:t>
      </w:r>
      <w:r w:rsidR="00DD3566" w:rsidRPr="003E4A43">
        <w:rPr>
          <w:rFonts w:asciiTheme="minorHAnsi" w:hAnsiTheme="minorHAnsi" w:cstheme="minorHAnsi"/>
        </w:rPr>
        <w:t>.</w:t>
      </w:r>
    </w:p>
    <w:p w14:paraId="762A8E00" w14:textId="34EEE729" w:rsidR="00F44A59" w:rsidRPr="003E4A43" w:rsidRDefault="00450B9F" w:rsidP="00A70E62">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A66371" w:rsidRPr="003E4A43">
        <w:rPr>
          <w:rFonts w:asciiTheme="minorHAnsi" w:hAnsiTheme="minorHAnsi" w:cstheme="minorHAnsi"/>
        </w:rPr>
        <w:t>37</w:t>
      </w:r>
      <w:r w:rsidRPr="003E4A43">
        <w:rPr>
          <w:rFonts w:asciiTheme="minorHAnsi" w:hAnsiTheme="minorHAnsi" w:cstheme="minorHAnsi"/>
        </w:rPr>
        <w:t>(</w:t>
      </w:r>
      <w:r w:rsidR="00AE4276" w:rsidRPr="003E4A43">
        <w:rPr>
          <w:rFonts w:asciiTheme="minorHAnsi" w:hAnsiTheme="minorHAnsi" w:cstheme="minorHAnsi"/>
        </w:rPr>
        <w:t>2</w:t>
      </w:r>
      <w:r w:rsidRPr="003E4A43">
        <w:rPr>
          <w:rFonts w:asciiTheme="minorHAnsi" w:hAnsiTheme="minorHAnsi" w:cstheme="minorHAnsi"/>
        </w:rPr>
        <w:t>)</w:t>
      </w:r>
      <w:r w:rsidR="00F44A59" w:rsidRPr="003E4A43">
        <w:rPr>
          <w:rFonts w:asciiTheme="minorHAnsi" w:hAnsiTheme="minorHAnsi" w:cstheme="minorHAnsi"/>
        </w:rPr>
        <w:t xml:space="preserve"> </w:t>
      </w:r>
      <w:r w:rsidR="0017139E" w:rsidRPr="003E4A43">
        <w:rPr>
          <w:rFonts w:asciiTheme="minorHAnsi" w:hAnsiTheme="minorHAnsi" w:cstheme="minorHAnsi"/>
        </w:rPr>
        <w:t xml:space="preserve">sets out </w:t>
      </w:r>
      <w:r w:rsidR="00294DD8" w:rsidRPr="003E4A43">
        <w:rPr>
          <w:rFonts w:asciiTheme="minorHAnsi" w:hAnsiTheme="minorHAnsi" w:cstheme="minorHAnsi"/>
        </w:rPr>
        <w:t>that the information must be published by the provider prominently on its website, and in a manner that is easily accessible without provision of login or contact information.</w:t>
      </w:r>
    </w:p>
    <w:p w14:paraId="3AF981A0" w14:textId="4C26F067" w:rsidR="00450B9F" w:rsidRPr="003E4A43" w:rsidRDefault="00450B9F" w:rsidP="00A32457">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A66371" w:rsidRPr="003E4A43">
        <w:rPr>
          <w:rFonts w:asciiTheme="minorHAnsi" w:hAnsiTheme="minorHAnsi" w:cstheme="minorHAnsi"/>
        </w:rPr>
        <w:t>37</w:t>
      </w:r>
      <w:r w:rsidRPr="003E4A43">
        <w:rPr>
          <w:rFonts w:asciiTheme="minorHAnsi" w:hAnsiTheme="minorHAnsi" w:cstheme="minorHAnsi"/>
        </w:rPr>
        <w:t>(</w:t>
      </w:r>
      <w:r w:rsidR="00EF0970" w:rsidRPr="003E4A43">
        <w:rPr>
          <w:rFonts w:asciiTheme="minorHAnsi" w:hAnsiTheme="minorHAnsi" w:cstheme="minorHAnsi"/>
        </w:rPr>
        <w:t>3</w:t>
      </w:r>
      <w:r w:rsidRPr="003E4A43">
        <w:rPr>
          <w:rFonts w:asciiTheme="minorHAnsi" w:hAnsiTheme="minorHAnsi" w:cstheme="minorHAnsi"/>
        </w:rPr>
        <w:t>)</w:t>
      </w:r>
      <w:r w:rsidR="00F44A59" w:rsidRPr="003E4A43">
        <w:rPr>
          <w:rFonts w:asciiTheme="minorHAnsi" w:hAnsiTheme="minorHAnsi" w:cstheme="minorHAnsi"/>
        </w:rPr>
        <w:t xml:space="preserve"> </w:t>
      </w:r>
      <w:r w:rsidR="00EF0970" w:rsidRPr="003E4A43">
        <w:rPr>
          <w:rFonts w:asciiTheme="minorHAnsi" w:hAnsiTheme="minorHAnsi" w:cstheme="minorHAnsi"/>
        </w:rPr>
        <w:t>provides</w:t>
      </w:r>
      <w:r w:rsidR="006246B9" w:rsidRPr="003E4A43">
        <w:rPr>
          <w:rFonts w:asciiTheme="minorHAnsi" w:hAnsiTheme="minorHAnsi" w:cstheme="minorHAnsi"/>
        </w:rPr>
        <w:t xml:space="preserve"> that the information must be </w:t>
      </w:r>
      <w:r w:rsidR="003D74D8" w:rsidRPr="003E4A43">
        <w:rPr>
          <w:rFonts w:asciiTheme="minorHAnsi" w:hAnsiTheme="minorHAnsi" w:cstheme="minorHAnsi"/>
        </w:rPr>
        <w:t xml:space="preserve">published by </w:t>
      </w:r>
      <w:r w:rsidR="00F8747E" w:rsidRPr="003E4A43">
        <w:rPr>
          <w:rFonts w:asciiTheme="minorHAnsi" w:hAnsiTheme="minorHAnsi" w:cstheme="minorHAnsi"/>
        </w:rPr>
        <w:t xml:space="preserve">the </w:t>
      </w:r>
      <w:r w:rsidR="003D74D8" w:rsidRPr="003E4A43">
        <w:rPr>
          <w:rFonts w:asciiTheme="minorHAnsi" w:hAnsiTheme="minorHAnsi" w:cstheme="minorHAnsi"/>
        </w:rPr>
        <w:t>provider</w:t>
      </w:r>
      <w:r w:rsidR="00A32457" w:rsidRPr="003E4A43">
        <w:rPr>
          <w:rFonts w:eastAsia="Times New Roman" w:cs="Times New Roman"/>
          <w:sz w:val="22"/>
          <w:szCs w:val="20"/>
          <w:lang w:eastAsia="en-AU"/>
        </w:rPr>
        <w:t xml:space="preserve"> </w:t>
      </w:r>
      <w:r w:rsidR="00A32457" w:rsidRPr="003E4A43">
        <w:rPr>
          <w:rFonts w:asciiTheme="minorHAnsi" w:hAnsiTheme="minorHAnsi" w:cstheme="minorHAnsi"/>
        </w:rPr>
        <w:t>before the earliest day for enrolment in the unit of study and must remain published at least until the end of the period in which the unit can be undertaken.</w:t>
      </w:r>
    </w:p>
    <w:p w14:paraId="07299B2E" w14:textId="0CE17776" w:rsidR="005464B3" w:rsidRPr="003E4A43" w:rsidRDefault="005464B3" w:rsidP="005E7759">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w:t>
      </w:r>
      <w:r w:rsidR="00A66371" w:rsidRPr="003E4A43">
        <w:rPr>
          <w:rFonts w:asciiTheme="minorHAnsi" w:hAnsiTheme="minorHAnsi" w:cstheme="minorHAnsi"/>
          <w:b/>
          <w:u w:val="single"/>
        </w:rPr>
        <w:t>38</w:t>
      </w:r>
      <w:r w:rsidRPr="003E4A43">
        <w:rPr>
          <w:rFonts w:asciiTheme="minorHAnsi" w:hAnsiTheme="minorHAnsi" w:cstheme="minorHAnsi"/>
          <w:b/>
          <w:u w:val="single"/>
        </w:rPr>
        <w:t>: Withdrawal from units of study</w:t>
      </w:r>
    </w:p>
    <w:p w14:paraId="174E9FAF" w14:textId="40B0ADC1" w:rsidR="00B0016B" w:rsidRPr="003E4A43" w:rsidRDefault="00B0016B" w:rsidP="00271B0C">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A66371" w:rsidRPr="003E4A43">
        <w:rPr>
          <w:rFonts w:asciiTheme="minorHAnsi" w:hAnsiTheme="minorHAnsi" w:cstheme="minorHAnsi"/>
        </w:rPr>
        <w:t>38</w:t>
      </w:r>
      <w:r w:rsidRPr="003E4A43">
        <w:rPr>
          <w:rFonts w:asciiTheme="minorHAnsi" w:hAnsiTheme="minorHAnsi" w:cstheme="minorHAnsi"/>
        </w:rPr>
        <w:t>(1) provides that</w:t>
      </w:r>
      <w:r w:rsidR="00181A0C" w:rsidRPr="003E4A43">
        <w:rPr>
          <w:rFonts w:asciiTheme="minorHAnsi" w:hAnsiTheme="minorHAnsi" w:cstheme="minorHAnsi"/>
        </w:rPr>
        <w:t xml:space="preserve">, </w:t>
      </w:r>
      <w:r w:rsidRPr="003E4A43">
        <w:rPr>
          <w:rFonts w:asciiTheme="minorHAnsi" w:hAnsiTheme="minorHAnsi" w:cstheme="minorHAnsi"/>
        </w:rPr>
        <w:t>for the purposes of section 169-17 of the Act</w:t>
      </w:r>
      <w:r w:rsidR="00181A0C" w:rsidRPr="003E4A43">
        <w:rPr>
          <w:rFonts w:asciiTheme="minorHAnsi" w:hAnsiTheme="minorHAnsi" w:cstheme="minorHAnsi"/>
        </w:rPr>
        <w:t xml:space="preserve">, </w:t>
      </w:r>
      <w:r w:rsidR="00407BF1" w:rsidRPr="003E4A43">
        <w:rPr>
          <w:rFonts w:asciiTheme="minorHAnsi" w:hAnsiTheme="minorHAnsi" w:cstheme="minorHAnsi"/>
        </w:rPr>
        <w:t>a higher education provider must have</w:t>
      </w:r>
      <w:r w:rsidR="00D37F35" w:rsidRPr="003E4A43">
        <w:rPr>
          <w:rFonts w:asciiTheme="minorHAnsi" w:hAnsiTheme="minorHAnsi" w:cstheme="minorHAnsi"/>
        </w:rPr>
        <w:t xml:space="preserve"> processes and procedures for dealing with student withdrawal from</w:t>
      </w:r>
      <w:r w:rsidR="00AB687A" w:rsidRPr="003E4A43">
        <w:rPr>
          <w:rFonts w:asciiTheme="minorHAnsi" w:hAnsiTheme="minorHAnsi" w:cstheme="minorHAnsi"/>
        </w:rPr>
        <w:t xml:space="preserve"> a</w:t>
      </w:r>
      <w:r w:rsidR="00D37F35" w:rsidRPr="003E4A43">
        <w:rPr>
          <w:rFonts w:asciiTheme="minorHAnsi" w:hAnsiTheme="minorHAnsi" w:cstheme="minorHAnsi"/>
        </w:rPr>
        <w:t xml:space="preserve"> unit of study</w:t>
      </w:r>
      <w:r w:rsidR="00AB687A" w:rsidRPr="003E4A43">
        <w:rPr>
          <w:rFonts w:asciiTheme="minorHAnsi" w:hAnsiTheme="minorHAnsi" w:cstheme="minorHAnsi"/>
        </w:rPr>
        <w:t xml:space="preserve"> or a course of study and </w:t>
      </w:r>
      <w:r w:rsidR="001153A8" w:rsidRPr="003E4A43">
        <w:rPr>
          <w:rFonts w:asciiTheme="minorHAnsi" w:hAnsiTheme="minorHAnsi" w:cstheme="minorHAnsi"/>
        </w:rPr>
        <w:t xml:space="preserve">a procedure for a student to enrol in a unit of study that was part of a course of study with the provider in circumstances where the student had earlier withdrawn from a unit of study of that course undertaken with the provider. </w:t>
      </w:r>
    </w:p>
    <w:p w14:paraId="3E50C854" w14:textId="55068E51" w:rsidR="00B0016B" w:rsidRPr="003E4A43" w:rsidRDefault="007E504A" w:rsidP="004E3495">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FB262A" w:rsidRPr="003E4A43">
        <w:rPr>
          <w:rFonts w:asciiTheme="minorHAnsi" w:hAnsiTheme="minorHAnsi" w:cstheme="minorHAnsi"/>
        </w:rPr>
        <w:t>38</w:t>
      </w:r>
      <w:r w:rsidRPr="003E4A43">
        <w:rPr>
          <w:rFonts w:asciiTheme="minorHAnsi" w:hAnsiTheme="minorHAnsi" w:cstheme="minorHAnsi"/>
        </w:rPr>
        <w:t>(</w:t>
      </w:r>
      <w:r w:rsidR="00DC32FB" w:rsidRPr="003E4A43">
        <w:rPr>
          <w:rFonts w:asciiTheme="minorHAnsi" w:hAnsiTheme="minorHAnsi" w:cstheme="minorHAnsi"/>
        </w:rPr>
        <w:t>2</w:t>
      </w:r>
      <w:r w:rsidRPr="003E4A43">
        <w:rPr>
          <w:rFonts w:asciiTheme="minorHAnsi" w:hAnsiTheme="minorHAnsi" w:cstheme="minorHAnsi"/>
        </w:rPr>
        <w:t>)</w:t>
      </w:r>
      <w:r w:rsidR="00B0016B" w:rsidRPr="003E4A43">
        <w:rPr>
          <w:rFonts w:asciiTheme="minorHAnsi" w:hAnsiTheme="minorHAnsi" w:cstheme="minorHAnsi"/>
        </w:rPr>
        <w:t xml:space="preserve"> provides that the procedures for a student to withdraw from a unit of study or a course of study,</w:t>
      </w:r>
      <w:r w:rsidR="00764808" w:rsidRPr="003E4A43">
        <w:rPr>
          <w:rFonts w:asciiTheme="minorHAnsi" w:hAnsiTheme="minorHAnsi" w:cstheme="minorHAnsi"/>
        </w:rPr>
        <w:t xml:space="preserve"> on or</w:t>
      </w:r>
      <w:r w:rsidR="00B0016B" w:rsidRPr="003E4A43">
        <w:rPr>
          <w:rFonts w:asciiTheme="minorHAnsi" w:hAnsiTheme="minorHAnsi" w:cstheme="minorHAnsi"/>
        </w:rPr>
        <w:t xml:space="preserve"> before a census date for the unit or course, must not involve financial, administrative or other barriers to the withdrawal.</w:t>
      </w:r>
      <w:r w:rsidR="003F31B8" w:rsidRPr="003E4A43">
        <w:rPr>
          <w:rFonts w:ascii="Arial" w:eastAsia="Times New Roman" w:hAnsi="Arial" w:cs="Arial"/>
          <w:i/>
          <w:iCs/>
          <w:sz w:val="22"/>
        </w:rPr>
        <w:t xml:space="preserve"> </w:t>
      </w:r>
      <w:r w:rsidR="003F31B8" w:rsidRPr="003E4A43">
        <w:rPr>
          <w:rFonts w:asciiTheme="minorHAnsi" w:hAnsiTheme="minorHAnsi" w:cstheme="minorHAnsi"/>
        </w:rPr>
        <w:t xml:space="preserve">Barriers to withdrawal may include charging a fee for withdrawal </w:t>
      </w:r>
      <w:r w:rsidR="00ED70D1" w:rsidRPr="003E4A43">
        <w:rPr>
          <w:rFonts w:asciiTheme="minorHAnsi" w:hAnsiTheme="minorHAnsi" w:cstheme="minorHAnsi"/>
        </w:rPr>
        <w:t>from the unit</w:t>
      </w:r>
      <w:r w:rsidR="003F31B8" w:rsidRPr="003E4A43">
        <w:rPr>
          <w:rFonts w:asciiTheme="minorHAnsi" w:hAnsiTheme="minorHAnsi" w:cstheme="minorHAnsi"/>
        </w:rPr>
        <w:t xml:space="preserve"> on or before a census date or making it mandatory for a student to </w:t>
      </w:r>
      <w:proofErr w:type="gramStart"/>
      <w:r w:rsidR="003F31B8" w:rsidRPr="003E4A43">
        <w:rPr>
          <w:rFonts w:asciiTheme="minorHAnsi" w:hAnsiTheme="minorHAnsi" w:cstheme="minorHAnsi"/>
        </w:rPr>
        <w:t>submit an application</w:t>
      </w:r>
      <w:proofErr w:type="gramEnd"/>
      <w:r w:rsidR="003F31B8" w:rsidRPr="003E4A43">
        <w:rPr>
          <w:rFonts w:asciiTheme="minorHAnsi" w:hAnsiTheme="minorHAnsi" w:cstheme="minorHAnsi"/>
        </w:rPr>
        <w:t xml:space="preserve"> for a refund of their student contribution amount or tuition fees paid upfront if the</w:t>
      </w:r>
      <w:r w:rsidR="00ED70D1" w:rsidRPr="003E4A43">
        <w:rPr>
          <w:rFonts w:asciiTheme="minorHAnsi" w:hAnsiTheme="minorHAnsi" w:cstheme="minorHAnsi"/>
        </w:rPr>
        <w:t xml:space="preserve"> student</w:t>
      </w:r>
      <w:r w:rsidR="003F31B8" w:rsidRPr="003E4A43">
        <w:rPr>
          <w:rFonts w:asciiTheme="minorHAnsi" w:hAnsiTheme="minorHAnsi" w:cstheme="minorHAnsi"/>
        </w:rPr>
        <w:t xml:space="preserve"> withdr</w:t>
      </w:r>
      <w:r w:rsidR="00ED70D1" w:rsidRPr="003E4A43">
        <w:rPr>
          <w:rFonts w:asciiTheme="minorHAnsi" w:hAnsiTheme="minorHAnsi" w:cstheme="minorHAnsi"/>
        </w:rPr>
        <w:t>a</w:t>
      </w:r>
      <w:r w:rsidR="003F31B8" w:rsidRPr="003E4A43">
        <w:rPr>
          <w:rFonts w:asciiTheme="minorHAnsi" w:hAnsiTheme="minorHAnsi" w:cstheme="minorHAnsi"/>
        </w:rPr>
        <w:t>w</w:t>
      </w:r>
      <w:r w:rsidR="00ED70D1" w:rsidRPr="003E4A43">
        <w:rPr>
          <w:rFonts w:asciiTheme="minorHAnsi" w:hAnsiTheme="minorHAnsi" w:cstheme="minorHAnsi"/>
        </w:rPr>
        <w:t>s</w:t>
      </w:r>
      <w:r w:rsidR="003F31B8" w:rsidRPr="003E4A43">
        <w:rPr>
          <w:rFonts w:asciiTheme="minorHAnsi" w:hAnsiTheme="minorHAnsi" w:cstheme="minorHAnsi"/>
        </w:rPr>
        <w:t xml:space="preserve"> on or before a census date. The </w:t>
      </w:r>
      <w:r w:rsidR="00ED70D1" w:rsidRPr="003E4A43">
        <w:rPr>
          <w:rFonts w:asciiTheme="minorHAnsi" w:hAnsiTheme="minorHAnsi" w:cstheme="minorHAnsi"/>
        </w:rPr>
        <w:t>student</w:t>
      </w:r>
      <w:r w:rsidR="003F31B8" w:rsidRPr="003E4A43">
        <w:rPr>
          <w:rFonts w:asciiTheme="minorHAnsi" w:hAnsiTheme="minorHAnsi" w:cstheme="minorHAnsi"/>
        </w:rPr>
        <w:t xml:space="preserve"> withdraw</w:t>
      </w:r>
      <w:r w:rsidR="00ED70D1" w:rsidRPr="003E4A43">
        <w:rPr>
          <w:rFonts w:asciiTheme="minorHAnsi" w:hAnsiTheme="minorHAnsi" w:cstheme="minorHAnsi"/>
        </w:rPr>
        <w:t>ing</w:t>
      </w:r>
      <w:r w:rsidR="003F31B8" w:rsidRPr="003E4A43">
        <w:rPr>
          <w:rFonts w:asciiTheme="minorHAnsi" w:hAnsiTheme="minorHAnsi" w:cstheme="minorHAnsi"/>
        </w:rPr>
        <w:t xml:space="preserve"> on or </w:t>
      </w:r>
      <w:r w:rsidR="003F31B8" w:rsidRPr="003E4A43">
        <w:rPr>
          <w:rFonts w:asciiTheme="minorHAnsi" w:hAnsiTheme="minorHAnsi" w:cstheme="minorHAnsi"/>
        </w:rPr>
        <w:lastRenderedPageBreak/>
        <w:t>before the census date should be sufficient to trigger an automatic refund</w:t>
      </w:r>
      <w:r w:rsidR="00EE5C3C" w:rsidRPr="003E4A43">
        <w:rPr>
          <w:rFonts w:asciiTheme="minorHAnsi" w:hAnsiTheme="minorHAnsi" w:cstheme="minorHAnsi"/>
        </w:rPr>
        <w:t xml:space="preserve"> of the relevant fees</w:t>
      </w:r>
      <w:r w:rsidR="003F31B8" w:rsidRPr="003E4A43">
        <w:rPr>
          <w:rFonts w:asciiTheme="minorHAnsi" w:hAnsiTheme="minorHAnsi" w:cstheme="minorHAnsi"/>
        </w:rPr>
        <w:t>.</w:t>
      </w:r>
    </w:p>
    <w:p w14:paraId="3C220A7E" w14:textId="778EA505" w:rsidR="00B0016B" w:rsidRPr="003E4A43" w:rsidRDefault="0039083B" w:rsidP="004E3495">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FB262A" w:rsidRPr="003E4A43">
        <w:rPr>
          <w:rFonts w:asciiTheme="minorHAnsi" w:hAnsiTheme="minorHAnsi" w:cstheme="minorHAnsi"/>
        </w:rPr>
        <w:t>38</w:t>
      </w:r>
      <w:r w:rsidRPr="003E4A43">
        <w:rPr>
          <w:rFonts w:asciiTheme="minorHAnsi" w:hAnsiTheme="minorHAnsi" w:cstheme="minorHAnsi"/>
        </w:rPr>
        <w:t>(</w:t>
      </w:r>
      <w:r w:rsidR="001415B2" w:rsidRPr="003E4A43">
        <w:rPr>
          <w:rFonts w:asciiTheme="minorHAnsi" w:hAnsiTheme="minorHAnsi" w:cstheme="minorHAnsi"/>
        </w:rPr>
        <w:t>3</w:t>
      </w:r>
      <w:r w:rsidRPr="003E4A43">
        <w:rPr>
          <w:rFonts w:asciiTheme="minorHAnsi" w:hAnsiTheme="minorHAnsi" w:cstheme="minorHAnsi"/>
        </w:rPr>
        <w:t>)</w:t>
      </w:r>
      <w:r w:rsidR="00B0016B" w:rsidRPr="003E4A43">
        <w:rPr>
          <w:rFonts w:asciiTheme="minorHAnsi" w:hAnsiTheme="minorHAnsi" w:cstheme="minorHAnsi"/>
        </w:rPr>
        <w:t xml:space="preserve"> provides that if a student withdraws from a unit of study or a course of study, the provider must not, after the withdrawal, enrol the student in a unit of study or course of study without the written permission of the student (which must be given after the withdrawal).</w:t>
      </w:r>
    </w:p>
    <w:p w14:paraId="00F964A9" w14:textId="6893BDE0" w:rsidR="00B0016B" w:rsidRPr="003E4A43" w:rsidRDefault="00105F1A" w:rsidP="006058A5">
      <w:pPr>
        <w:spacing w:after="160" w:line="259" w:lineRule="auto"/>
        <w:rPr>
          <w:rFonts w:asciiTheme="minorHAnsi" w:hAnsiTheme="minorHAnsi" w:cstheme="minorHAnsi"/>
          <w:bCs/>
          <w:i/>
          <w:iCs/>
        </w:rPr>
      </w:pPr>
      <w:r w:rsidRPr="003E4A43">
        <w:rPr>
          <w:rFonts w:asciiTheme="minorHAnsi" w:hAnsiTheme="minorHAnsi" w:cstheme="minorHAnsi"/>
          <w:bCs/>
          <w:i/>
          <w:iCs/>
        </w:rPr>
        <w:t xml:space="preserve">Chapter 9 – </w:t>
      </w:r>
      <w:r w:rsidR="00B0016B" w:rsidRPr="003E4A43">
        <w:rPr>
          <w:rFonts w:asciiTheme="minorHAnsi" w:hAnsiTheme="minorHAnsi" w:cstheme="minorHAnsi"/>
          <w:bCs/>
          <w:i/>
          <w:iCs/>
        </w:rPr>
        <w:t xml:space="preserve">Determining whether </w:t>
      </w:r>
      <w:r w:rsidR="00E64E3A" w:rsidRPr="003E4A43">
        <w:rPr>
          <w:rFonts w:asciiTheme="minorHAnsi" w:hAnsiTheme="minorHAnsi" w:cstheme="minorHAnsi"/>
          <w:bCs/>
          <w:i/>
          <w:iCs/>
        </w:rPr>
        <w:t xml:space="preserve">a </w:t>
      </w:r>
      <w:r w:rsidR="00B0016B" w:rsidRPr="003E4A43">
        <w:rPr>
          <w:rFonts w:asciiTheme="minorHAnsi" w:hAnsiTheme="minorHAnsi" w:cstheme="minorHAnsi"/>
          <w:bCs/>
          <w:i/>
          <w:iCs/>
        </w:rPr>
        <w:t>studen</w:t>
      </w:r>
      <w:r w:rsidR="00E64E3A" w:rsidRPr="003E4A43">
        <w:rPr>
          <w:rFonts w:asciiTheme="minorHAnsi" w:hAnsiTheme="minorHAnsi" w:cstheme="minorHAnsi"/>
          <w:bCs/>
          <w:i/>
          <w:iCs/>
        </w:rPr>
        <w:t>t</w:t>
      </w:r>
      <w:r w:rsidR="00B0016B" w:rsidRPr="003E4A43">
        <w:rPr>
          <w:rFonts w:asciiTheme="minorHAnsi" w:hAnsiTheme="minorHAnsi" w:cstheme="minorHAnsi"/>
          <w:bCs/>
          <w:i/>
          <w:iCs/>
        </w:rPr>
        <w:t xml:space="preserve"> </w:t>
      </w:r>
      <w:r w:rsidR="00E64E3A" w:rsidRPr="003E4A43">
        <w:rPr>
          <w:rFonts w:asciiTheme="minorHAnsi" w:hAnsiTheme="minorHAnsi" w:cstheme="minorHAnsi"/>
          <w:bCs/>
          <w:i/>
          <w:iCs/>
        </w:rPr>
        <w:t>is a</w:t>
      </w:r>
      <w:r w:rsidR="00B0016B" w:rsidRPr="003E4A43">
        <w:rPr>
          <w:rFonts w:asciiTheme="minorHAnsi" w:hAnsiTheme="minorHAnsi" w:cstheme="minorHAnsi"/>
          <w:bCs/>
          <w:i/>
          <w:iCs/>
        </w:rPr>
        <w:t xml:space="preserve"> genuine student</w:t>
      </w:r>
    </w:p>
    <w:p w14:paraId="380A30B4" w14:textId="14A8B18F" w:rsidR="00980315" w:rsidRPr="003E4A43" w:rsidRDefault="00980315" w:rsidP="005E7759">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w:t>
      </w:r>
      <w:r w:rsidR="00FB262A" w:rsidRPr="003E4A43">
        <w:rPr>
          <w:rFonts w:asciiTheme="minorHAnsi" w:hAnsiTheme="minorHAnsi" w:cstheme="minorHAnsi"/>
          <w:b/>
          <w:u w:val="single"/>
        </w:rPr>
        <w:t>39</w:t>
      </w:r>
      <w:r w:rsidRPr="003E4A43">
        <w:rPr>
          <w:rFonts w:asciiTheme="minorHAnsi" w:hAnsiTheme="minorHAnsi" w:cstheme="minorHAnsi"/>
          <w:b/>
          <w:u w:val="single"/>
        </w:rPr>
        <w:t>: Genuine student</w:t>
      </w:r>
    </w:p>
    <w:p w14:paraId="36BD698C" w14:textId="0C3A4642" w:rsidR="00B0016B" w:rsidRPr="003E4A43" w:rsidRDefault="00980315" w:rsidP="00E64E3A">
      <w:pPr>
        <w:numPr>
          <w:ilvl w:val="0"/>
          <w:numId w:val="1"/>
        </w:numPr>
        <w:spacing w:after="160" w:line="256" w:lineRule="auto"/>
        <w:rPr>
          <w:rFonts w:asciiTheme="minorHAnsi" w:hAnsiTheme="minorHAnsi" w:cstheme="minorHAnsi"/>
        </w:rPr>
      </w:pPr>
      <w:r w:rsidRPr="003E4A43">
        <w:rPr>
          <w:rFonts w:asciiTheme="minorHAnsi" w:hAnsiTheme="minorHAnsi" w:cstheme="minorHAnsi"/>
        </w:rPr>
        <w:t>This section</w:t>
      </w:r>
      <w:r w:rsidR="00B0016B" w:rsidRPr="003E4A43">
        <w:rPr>
          <w:rFonts w:asciiTheme="minorHAnsi" w:hAnsiTheme="minorHAnsi" w:cstheme="minorHAnsi"/>
        </w:rPr>
        <w:t xml:space="preserve"> </w:t>
      </w:r>
      <w:r w:rsidR="00777B42" w:rsidRPr="003E4A43">
        <w:rPr>
          <w:rFonts w:asciiTheme="minorHAnsi" w:hAnsiTheme="minorHAnsi" w:cstheme="minorHAnsi"/>
        </w:rPr>
        <w:t>sets out</w:t>
      </w:r>
      <w:r w:rsidR="009E4C78" w:rsidRPr="003E4A43">
        <w:rPr>
          <w:rFonts w:asciiTheme="minorHAnsi" w:hAnsiTheme="minorHAnsi" w:cstheme="minorHAnsi"/>
        </w:rPr>
        <w:t xml:space="preserve">, </w:t>
      </w:r>
      <w:r w:rsidR="00ED4745" w:rsidRPr="003E4A43">
        <w:rPr>
          <w:rFonts w:asciiTheme="minorHAnsi" w:hAnsiTheme="minorHAnsi" w:cstheme="minorHAnsi"/>
        </w:rPr>
        <w:t xml:space="preserve">for the purposes of subsections 36-5(6) and 104-1(1AB) of the Act, </w:t>
      </w:r>
      <w:r w:rsidR="00777B42" w:rsidRPr="003E4A43">
        <w:rPr>
          <w:rFonts w:asciiTheme="minorHAnsi" w:hAnsiTheme="minorHAnsi" w:cstheme="minorHAnsi"/>
        </w:rPr>
        <w:t>the matter</w:t>
      </w:r>
      <w:r w:rsidR="004E18EE" w:rsidRPr="003E4A43">
        <w:rPr>
          <w:rFonts w:asciiTheme="minorHAnsi" w:hAnsiTheme="minorHAnsi" w:cstheme="minorHAnsi"/>
        </w:rPr>
        <w:t>s</w:t>
      </w:r>
      <w:r w:rsidR="003E5051" w:rsidRPr="003E4A43">
        <w:rPr>
          <w:rFonts w:asciiTheme="minorHAnsi" w:hAnsiTheme="minorHAnsi" w:cstheme="minorHAnsi"/>
        </w:rPr>
        <w:t xml:space="preserve"> </w:t>
      </w:r>
      <w:r w:rsidR="00E34BA1" w:rsidRPr="003E4A43">
        <w:rPr>
          <w:rFonts w:asciiTheme="minorHAnsi" w:hAnsiTheme="minorHAnsi" w:cstheme="minorHAnsi"/>
        </w:rPr>
        <w:t xml:space="preserve">that the Secretary must </w:t>
      </w:r>
      <w:proofErr w:type="gramStart"/>
      <w:r w:rsidR="00145CBB" w:rsidRPr="003E4A43">
        <w:rPr>
          <w:rFonts w:asciiTheme="minorHAnsi" w:hAnsiTheme="minorHAnsi" w:cstheme="minorHAnsi"/>
        </w:rPr>
        <w:t>take into account</w:t>
      </w:r>
      <w:proofErr w:type="gramEnd"/>
      <w:r w:rsidR="00145CBB" w:rsidRPr="003E4A43">
        <w:rPr>
          <w:rFonts w:asciiTheme="minorHAnsi" w:hAnsiTheme="minorHAnsi" w:cstheme="minorHAnsi"/>
        </w:rPr>
        <w:t xml:space="preserve"> in determining whether a student undertaking a unit of study provided by a higher education provider</w:t>
      </w:r>
      <w:r w:rsidR="00FB4ECF" w:rsidRPr="003E4A43">
        <w:rPr>
          <w:rFonts w:asciiTheme="minorHAnsi" w:hAnsiTheme="minorHAnsi" w:cstheme="minorHAnsi"/>
        </w:rPr>
        <w:t xml:space="preserve"> is a</w:t>
      </w:r>
      <w:r w:rsidR="00145CBB" w:rsidRPr="003E4A43">
        <w:rPr>
          <w:rFonts w:asciiTheme="minorHAnsi" w:hAnsiTheme="minorHAnsi" w:cstheme="minorHAnsi"/>
        </w:rPr>
        <w:t xml:space="preserve"> genuine student</w:t>
      </w:r>
      <w:r w:rsidR="00DA1ECD" w:rsidRPr="003E4A43">
        <w:rPr>
          <w:rFonts w:asciiTheme="minorHAnsi" w:hAnsiTheme="minorHAnsi" w:cstheme="minorHAnsi"/>
        </w:rPr>
        <w:t>:</w:t>
      </w:r>
    </w:p>
    <w:p w14:paraId="71A7A661" w14:textId="687F678F" w:rsidR="00DA1ECD" w:rsidRPr="003E4A43" w:rsidRDefault="00DA1ECD" w:rsidP="00DA1ECD">
      <w:pPr>
        <w:numPr>
          <w:ilvl w:val="0"/>
          <w:numId w:val="12"/>
        </w:numPr>
        <w:spacing w:after="160" w:line="256" w:lineRule="auto"/>
        <w:rPr>
          <w:rFonts w:asciiTheme="minorHAnsi" w:hAnsiTheme="minorHAnsi" w:cstheme="minorHAnsi"/>
        </w:rPr>
      </w:pPr>
      <w:r w:rsidRPr="003E4A43">
        <w:rPr>
          <w:rFonts w:asciiTheme="minorHAnsi" w:hAnsiTheme="minorHAnsi" w:cstheme="minorHAnsi"/>
        </w:rPr>
        <w:t xml:space="preserve">whether the student is reasonably engaged in the </w:t>
      </w:r>
      <w:proofErr w:type="gramStart"/>
      <w:r w:rsidRPr="003E4A43">
        <w:rPr>
          <w:rFonts w:asciiTheme="minorHAnsi" w:hAnsiTheme="minorHAnsi" w:cstheme="minorHAnsi"/>
        </w:rPr>
        <w:t>course;</w:t>
      </w:r>
      <w:proofErr w:type="gramEnd"/>
    </w:p>
    <w:p w14:paraId="47A6D771" w14:textId="4AEB4671" w:rsidR="00DA1ECD" w:rsidRPr="003E4A43" w:rsidRDefault="00DA1ECD" w:rsidP="00DA1ECD">
      <w:pPr>
        <w:numPr>
          <w:ilvl w:val="0"/>
          <w:numId w:val="12"/>
        </w:numPr>
        <w:spacing w:after="160" w:line="256" w:lineRule="auto"/>
        <w:rPr>
          <w:rFonts w:asciiTheme="minorHAnsi" w:hAnsiTheme="minorHAnsi" w:cstheme="minorHAnsi"/>
        </w:rPr>
      </w:pPr>
      <w:r w:rsidRPr="003E4A43">
        <w:rPr>
          <w:rFonts w:asciiTheme="minorHAnsi" w:hAnsiTheme="minorHAnsi" w:cstheme="minorHAnsi"/>
        </w:rPr>
        <w:t xml:space="preserve">whether the student has been provided with information about the requirements for the course, and the cost and duration of the </w:t>
      </w:r>
      <w:proofErr w:type="gramStart"/>
      <w:r w:rsidRPr="003E4A43">
        <w:rPr>
          <w:rFonts w:asciiTheme="minorHAnsi" w:hAnsiTheme="minorHAnsi" w:cstheme="minorHAnsi"/>
        </w:rPr>
        <w:t>course;</w:t>
      </w:r>
      <w:proofErr w:type="gramEnd"/>
    </w:p>
    <w:p w14:paraId="66A3DBCC" w14:textId="3004C577" w:rsidR="00DA1ECD" w:rsidRPr="003E4A43" w:rsidRDefault="00DA1ECD" w:rsidP="00DA1ECD">
      <w:pPr>
        <w:numPr>
          <w:ilvl w:val="0"/>
          <w:numId w:val="12"/>
        </w:numPr>
        <w:spacing w:after="160" w:line="256" w:lineRule="auto"/>
        <w:rPr>
          <w:rFonts w:asciiTheme="minorHAnsi" w:hAnsiTheme="minorHAnsi" w:cstheme="minorHAnsi"/>
        </w:rPr>
      </w:pPr>
      <w:r w:rsidRPr="003E4A43">
        <w:rPr>
          <w:rFonts w:asciiTheme="minorHAnsi" w:hAnsiTheme="minorHAnsi" w:cstheme="minorHAnsi"/>
        </w:rPr>
        <w:t xml:space="preserve">whether the student has satisfied course requirements for the course or participated in assessment activities for the </w:t>
      </w:r>
      <w:proofErr w:type="gramStart"/>
      <w:r w:rsidRPr="003E4A43">
        <w:rPr>
          <w:rFonts w:asciiTheme="minorHAnsi" w:hAnsiTheme="minorHAnsi" w:cstheme="minorHAnsi"/>
        </w:rPr>
        <w:t>course;</w:t>
      </w:r>
      <w:proofErr w:type="gramEnd"/>
    </w:p>
    <w:p w14:paraId="37340178" w14:textId="4E79D324" w:rsidR="00DA1ECD" w:rsidRPr="003E4A43" w:rsidRDefault="00DA1ECD" w:rsidP="00DA1ECD">
      <w:pPr>
        <w:numPr>
          <w:ilvl w:val="0"/>
          <w:numId w:val="12"/>
        </w:numPr>
        <w:spacing w:after="160" w:line="256" w:lineRule="auto"/>
        <w:rPr>
          <w:rFonts w:asciiTheme="minorHAnsi" w:hAnsiTheme="minorHAnsi" w:cstheme="minorHAnsi"/>
        </w:rPr>
      </w:pPr>
      <w:r w:rsidRPr="003E4A43">
        <w:rPr>
          <w:rFonts w:asciiTheme="minorHAnsi" w:hAnsiTheme="minorHAnsi" w:cstheme="minorHAnsi"/>
        </w:rPr>
        <w:t xml:space="preserve">if the course is an online course—the number of occasions on which the student has logged in to the course is not </w:t>
      </w:r>
      <w:proofErr w:type="gramStart"/>
      <w:r w:rsidRPr="003E4A43">
        <w:rPr>
          <w:rFonts w:asciiTheme="minorHAnsi" w:hAnsiTheme="minorHAnsi" w:cstheme="minorHAnsi"/>
        </w:rPr>
        <w:t>insignificant;</w:t>
      </w:r>
      <w:proofErr w:type="gramEnd"/>
    </w:p>
    <w:p w14:paraId="612922B2" w14:textId="79007D7E" w:rsidR="00DA1ECD" w:rsidRPr="003E4A43" w:rsidRDefault="00DA1ECD" w:rsidP="00DA1ECD">
      <w:pPr>
        <w:numPr>
          <w:ilvl w:val="0"/>
          <w:numId w:val="12"/>
        </w:numPr>
        <w:spacing w:after="160" w:line="256" w:lineRule="auto"/>
        <w:rPr>
          <w:rFonts w:asciiTheme="minorHAnsi" w:hAnsiTheme="minorHAnsi" w:cstheme="minorHAnsi"/>
        </w:rPr>
      </w:pPr>
      <w:r w:rsidRPr="003E4A43">
        <w:rPr>
          <w:rFonts w:asciiTheme="minorHAnsi" w:hAnsiTheme="minorHAnsi" w:cstheme="minorHAnsi"/>
        </w:rPr>
        <w:t>whether the student has provided up to date contact details that enable the Department to contact the student to verify the student’s enrolment in the course; and</w:t>
      </w:r>
    </w:p>
    <w:p w14:paraId="198C9A16" w14:textId="486D0F91" w:rsidR="00DA1ECD" w:rsidRPr="003E4A43" w:rsidRDefault="00DA1ECD" w:rsidP="00DA1ECD">
      <w:pPr>
        <w:numPr>
          <w:ilvl w:val="0"/>
          <w:numId w:val="12"/>
        </w:numPr>
        <w:spacing w:after="160" w:line="256" w:lineRule="auto"/>
        <w:rPr>
          <w:rFonts w:asciiTheme="minorHAnsi" w:hAnsiTheme="minorHAnsi" w:cstheme="minorHAnsi"/>
        </w:rPr>
      </w:pPr>
      <w:r w:rsidRPr="003E4A43">
        <w:rPr>
          <w:rFonts w:asciiTheme="minorHAnsi" w:hAnsiTheme="minorHAnsi" w:cstheme="minorHAnsi"/>
        </w:rPr>
        <w:t>if the student is enrolled in another course—the number of the enrolments and associated course loads would not make successful completion of a course by the student impossible or highly improbable.</w:t>
      </w:r>
    </w:p>
    <w:p w14:paraId="01C3581C" w14:textId="31041A69" w:rsidR="00F50DEA" w:rsidRPr="003E4A43" w:rsidRDefault="00005C39" w:rsidP="008577CC">
      <w:pPr>
        <w:spacing w:before="360" w:after="120"/>
        <w:rPr>
          <w:rFonts w:asciiTheme="minorHAnsi" w:hAnsiTheme="minorHAnsi" w:cstheme="minorHAnsi"/>
          <w:bCs/>
          <w:i/>
          <w:iCs/>
        </w:rPr>
      </w:pPr>
      <w:r w:rsidRPr="003E4A43">
        <w:rPr>
          <w:rFonts w:asciiTheme="minorHAnsi" w:hAnsiTheme="minorHAnsi" w:cstheme="minorHAnsi"/>
          <w:bCs/>
          <w:i/>
          <w:iCs/>
        </w:rPr>
        <w:t xml:space="preserve">Chapter 10 – </w:t>
      </w:r>
      <w:r w:rsidR="00303BC5" w:rsidRPr="003E4A43">
        <w:rPr>
          <w:rFonts w:asciiTheme="minorHAnsi" w:hAnsiTheme="minorHAnsi" w:cstheme="minorHAnsi"/>
          <w:bCs/>
          <w:i/>
          <w:iCs/>
        </w:rPr>
        <w:t>Collection and recovery of h</w:t>
      </w:r>
      <w:r w:rsidRPr="003E4A43">
        <w:rPr>
          <w:rFonts w:asciiTheme="minorHAnsi" w:hAnsiTheme="minorHAnsi" w:cstheme="minorHAnsi"/>
          <w:bCs/>
          <w:i/>
          <w:iCs/>
        </w:rPr>
        <w:t>igher education provider charge</w:t>
      </w:r>
    </w:p>
    <w:p w14:paraId="4847D681" w14:textId="26B07BFD" w:rsidR="00CA66AF" w:rsidRPr="003E4A43" w:rsidRDefault="00412A51" w:rsidP="005E7759">
      <w:pPr>
        <w:spacing w:before="360" w:after="120"/>
        <w:rPr>
          <w:rFonts w:asciiTheme="minorHAnsi" w:hAnsiTheme="minorHAnsi" w:cstheme="minorHAnsi"/>
          <w:b/>
          <w:u w:val="single"/>
        </w:rPr>
      </w:pPr>
      <w:r w:rsidRPr="003E4A43">
        <w:rPr>
          <w:rFonts w:asciiTheme="minorHAnsi" w:hAnsiTheme="minorHAnsi" w:cstheme="minorHAnsi"/>
          <w:b/>
          <w:u w:val="single"/>
        </w:rPr>
        <w:t>Section 4</w:t>
      </w:r>
      <w:r w:rsidR="00E06DE0" w:rsidRPr="003E4A43">
        <w:rPr>
          <w:rFonts w:asciiTheme="minorHAnsi" w:hAnsiTheme="minorHAnsi" w:cstheme="minorHAnsi"/>
          <w:b/>
          <w:u w:val="single"/>
        </w:rPr>
        <w:t>0</w:t>
      </w:r>
      <w:r w:rsidRPr="003E4A43">
        <w:rPr>
          <w:rFonts w:asciiTheme="minorHAnsi" w:hAnsiTheme="minorHAnsi" w:cstheme="minorHAnsi"/>
          <w:b/>
          <w:u w:val="single"/>
        </w:rPr>
        <w:t>:</w:t>
      </w:r>
      <w:r w:rsidR="00FF6CC6" w:rsidRPr="003E4A43">
        <w:rPr>
          <w:rFonts w:asciiTheme="minorHAnsi" w:hAnsiTheme="minorHAnsi" w:cstheme="minorHAnsi"/>
          <w:b/>
          <w:u w:val="single"/>
        </w:rPr>
        <w:t xml:space="preserve"> Overview</w:t>
      </w:r>
    </w:p>
    <w:p w14:paraId="55666CBD" w14:textId="085F3A5E" w:rsidR="00FF6CC6" w:rsidRPr="003E4A43" w:rsidRDefault="007D0975" w:rsidP="007D0975">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This section provides an overview of the Chapter, which is to specify various matters in relation to the collection and recovery of higher </w:t>
      </w:r>
      <w:r w:rsidR="004F67A3" w:rsidRPr="003E4A43">
        <w:rPr>
          <w:rFonts w:asciiTheme="minorHAnsi" w:hAnsiTheme="minorHAnsi" w:cstheme="minorHAnsi"/>
        </w:rPr>
        <w:t xml:space="preserve">education provider charge for the purposes of subsection 19-66(2) of the Act. </w:t>
      </w:r>
    </w:p>
    <w:p w14:paraId="484EEA89" w14:textId="41668464" w:rsidR="004F67A3" w:rsidRPr="003E4A43" w:rsidRDefault="004F67A3" w:rsidP="007D0975">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The note to </w:t>
      </w:r>
      <w:r w:rsidR="000F546E" w:rsidRPr="003E4A43">
        <w:rPr>
          <w:rFonts w:asciiTheme="minorHAnsi" w:hAnsiTheme="minorHAnsi" w:cstheme="minorHAnsi"/>
        </w:rPr>
        <w:t xml:space="preserve">this section explains that </w:t>
      </w:r>
      <w:r w:rsidR="00D515D6" w:rsidRPr="003E4A43">
        <w:rPr>
          <w:rFonts w:asciiTheme="minorHAnsi" w:hAnsiTheme="minorHAnsi" w:cstheme="minorHAnsi"/>
        </w:rPr>
        <w:t>higher education provider charge is imposed by the </w:t>
      </w:r>
      <w:r w:rsidR="00D515D6" w:rsidRPr="003E4A43">
        <w:rPr>
          <w:rFonts w:asciiTheme="minorHAnsi" w:hAnsiTheme="minorHAnsi" w:cstheme="minorHAnsi"/>
          <w:i/>
          <w:iCs/>
        </w:rPr>
        <w:t>Higher Education Support (Charges) Act 2019</w:t>
      </w:r>
      <w:r w:rsidR="00D515D6" w:rsidRPr="003E4A43">
        <w:rPr>
          <w:rFonts w:asciiTheme="minorHAnsi" w:hAnsiTheme="minorHAnsi" w:cstheme="minorHAnsi"/>
        </w:rPr>
        <w:t>. The charge is imposed on a body, for a year starting on or after 1 January 2020, if the body is a higher education provider (within the same meaning of the Act) at any time during that year.</w:t>
      </w:r>
    </w:p>
    <w:p w14:paraId="55AC0B2D" w14:textId="5B9165DC" w:rsidR="007E1F9D" w:rsidRPr="003E4A43" w:rsidRDefault="002F205B" w:rsidP="005E7759">
      <w:pPr>
        <w:spacing w:before="360" w:after="120"/>
        <w:rPr>
          <w:rFonts w:asciiTheme="minorHAnsi" w:hAnsiTheme="minorHAnsi" w:cstheme="minorHAnsi"/>
          <w:b/>
          <w:u w:val="single"/>
        </w:rPr>
      </w:pPr>
      <w:r w:rsidRPr="003E4A43">
        <w:rPr>
          <w:rFonts w:asciiTheme="minorHAnsi" w:hAnsiTheme="minorHAnsi" w:cstheme="minorHAnsi"/>
          <w:b/>
          <w:u w:val="single"/>
        </w:rPr>
        <w:lastRenderedPageBreak/>
        <w:t>Section 4</w:t>
      </w:r>
      <w:r w:rsidR="00E06DE0" w:rsidRPr="003E4A43">
        <w:rPr>
          <w:rFonts w:asciiTheme="minorHAnsi" w:hAnsiTheme="minorHAnsi" w:cstheme="minorHAnsi"/>
          <w:b/>
          <w:u w:val="single"/>
        </w:rPr>
        <w:t>1</w:t>
      </w:r>
      <w:r w:rsidRPr="003E4A43">
        <w:rPr>
          <w:rFonts w:asciiTheme="minorHAnsi" w:hAnsiTheme="minorHAnsi" w:cstheme="minorHAnsi"/>
          <w:b/>
          <w:u w:val="single"/>
        </w:rPr>
        <w:t>: Notice of amount of higher education provider charge</w:t>
      </w:r>
    </w:p>
    <w:p w14:paraId="0F383DBF" w14:textId="73FD97AA" w:rsidR="0060754B" w:rsidRPr="003E4A43" w:rsidRDefault="00F20E47" w:rsidP="004A75DD">
      <w:pPr>
        <w:numPr>
          <w:ilvl w:val="0"/>
          <w:numId w:val="1"/>
        </w:numPr>
        <w:spacing w:after="160" w:line="256" w:lineRule="auto"/>
        <w:rPr>
          <w:rFonts w:asciiTheme="minorHAnsi" w:hAnsiTheme="minorHAnsi" w:cstheme="minorHAnsi"/>
        </w:rPr>
      </w:pPr>
      <w:r w:rsidRPr="003E4A43">
        <w:rPr>
          <w:rFonts w:asciiTheme="minorHAnsi" w:hAnsiTheme="minorHAnsi" w:cstheme="minorHAnsi"/>
        </w:rPr>
        <w:t>Subsection 4</w:t>
      </w:r>
      <w:r w:rsidR="00E06DE0" w:rsidRPr="003E4A43">
        <w:rPr>
          <w:rFonts w:asciiTheme="minorHAnsi" w:hAnsiTheme="minorHAnsi" w:cstheme="minorHAnsi"/>
        </w:rPr>
        <w:t>1</w:t>
      </w:r>
      <w:r w:rsidRPr="003E4A43">
        <w:rPr>
          <w:rFonts w:asciiTheme="minorHAnsi" w:hAnsiTheme="minorHAnsi" w:cstheme="minorHAnsi"/>
        </w:rPr>
        <w:t>(1)</w:t>
      </w:r>
      <w:r w:rsidR="00957A00" w:rsidRPr="003E4A43">
        <w:rPr>
          <w:rFonts w:asciiTheme="minorHAnsi" w:hAnsiTheme="minorHAnsi" w:cstheme="minorHAnsi"/>
        </w:rPr>
        <w:t xml:space="preserve"> sets out</w:t>
      </w:r>
      <w:r w:rsidR="001F4833" w:rsidRPr="003E4A43">
        <w:rPr>
          <w:rFonts w:asciiTheme="minorHAnsi" w:hAnsiTheme="minorHAnsi" w:cstheme="minorHAnsi"/>
        </w:rPr>
        <w:t xml:space="preserve">, for the purposes of paragraphs 19-66(2)(a), (b) and (h) of the Act, </w:t>
      </w:r>
      <w:r w:rsidR="00957A00" w:rsidRPr="003E4A43">
        <w:rPr>
          <w:rFonts w:asciiTheme="minorHAnsi" w:hAnsiTheme="minorHAnsi" w:cstheme="minorHAnsi"/>
        </w:rPr>
        <w:t>the matters to be included in a written notice</w:t>
      </w:r>
      <w:r w:rsidR="00CD1D76" w:rsidRPr="003E4A43">
        <w:rPr>
          <w:rFonts w:asciiTheme="minorHAnsi" w:hAnsiTheme="minorHAnsi" w:cstheme="minorHAnsi"/>
        </w:rPr>
        <w:t xml:space="preserve"> issued by the Secretary</w:t>
      </w:r>
      <w:r w:rsidR="00C6559D" w:rsidRPr="003E4A43">
        <w:rPr>
          <w:rFonts w:asciiTheme="minorHAnsi" w:hAnsiTheme="minorHAnsi" w:cstheme="minorHAnsi"/>
        </w:rPr>
        <w:t xml:space="preserve"> </w:t>
      </w:r>
      <w:r w:rsidR="00894BA4" w:rsidRPr="003E4A43">
        <w:rPr>
          <w:rFonts w:asciiTheme="minorHAnsi" w:hAnsiTheme="minorHAnsi" w:cstheme="minorHAnsi"/>
        </w:rPr>
        <w:t xml:space="preserve">to each higher education provider who is liable to pay </w:t>
      </w:r>
      <w:r w:rsidR="004709B5" w:rsidRPr="003E4A43">
        <w:rPr>
          <w:rFonts w:asciiTheme="minorHAnsi" w:hAnsiTheme="minorHAnsi" w:cstheme="minorHAnsi"/>
        </w:rPr>
        <w:t>the</w:t>
      </w:r>
      <w:r w:rsidR="00894BA4" w:rsidRPr="003E4A43">
        <w:rPr>
          <w:rFonts w:asciiTheme="minorHAnsi" w:hAnsiTheme="minorHAnsi" w:cstheme="minorHAnsi"/>
        </w:rPr>
        <w:t xml:space="preserve"> </w:t>
      </w:r>
      <w:r w:rsidR="001F4833" w:rsidRPr="003E4A43">
        <w:rPr>
          <w:rFonts w:asciiTheme="minorHAnsi" w:hAnsiTheme="minorHAnsi" w:cstheme="minorHAnsi"/>
        </w:rPr>
        <w:t xml:space="preserve">higher education provider </w:t>
      </w:r>
      <w:r w:rsidR="00894BA4" w:rsidRPr="003E4A43">
        <w:rPr>
          <w:rFonts w:asciiTheme="minorHAnsi" w:hAnsiTheme="minorHAnsi" w:cstheme="minorHAnsi"/>
        </w:rPr>
        <w:t>charge</w:t>
      </w:r>
      <w:r w:rsidR="009C70D2" w:rsidRPr="003E4A43">
        <w:rPr>
          <w:rFonts w:asciiTheme="minorHAnsi" w:hAnsiTheme="minorHAnsi" w:cstheme="minorHAnsi"/>
        </w:rPr>
        <w:t>:</w:t>
      </w:r>
    </w:p>
    <w:p w14:paraId="56AAB3B7" w14:textId="2CF801EB" w:rsidR="009C70D2" w:rsidRPr="003E4A43" w:rsidRDefault="009C70D2" w:rsidP="009C70D2">
      <w:pPr>
        <w:numPr>
          <w:ilvl w:val="0"/>
          <w:numId w:val="12"/>
        </w:numPr>
        <w:spacing w:after="160" w:line="256" w:lineRule="auto"/>
        <w:rPr>
          <w:rFonts w:asciiTheme="minorHAnsi" w:hAnsiTheme="minorHAnsi" w:cstheme="minorHAnsi"/>
        </w:rPr>
      </w:pPr>
      <w:r w:rsidRPr="003E4A43">
        <w:rPr>
          <w:rFonts w:asciiTheme="minorHAnsi" w:hAnsiTheme="minorHAnsi" w:cstheme="minorHAnsi"/>
        </w:rPr>
        <w:t xml:space="preserve">the year to which the charge </w:t>
      </w:r>
      <w:proofErr w:type="gramStart"/>
      <w:r w:rsidRPr="003E4A43">
        <w:rPr>
          <w:rFonts w:asciiTheme="minorHAnsi" w:hAnsiTheme="minorHAnsi" w:cstheme="minorHAnsi"/>
        </w:rPr>
        <w:t>relates;</w:t>
      </w:r>
      <w:proofErr w:type="gramEnd"/>
    </w:p>
    <w:p w14:paraId="6DBD5C74" w14:textId="416E4E71" w:rsidR="009C70D2" w:rsidRPr="003E4A43" w:rsidRDefault="009C70D2" w:rsidP="009C70D2">
      <w:pPr>
        <w:numPr>
          <w:ilvl w:val="0"/>
          <w:numId w:val="12"/>
        </w:numPr>
        <w:spacing w:after="160" w:line="256" w:lineRule="auto"/>
        <w:rPr>
          <w:rFonts w:asciiTheme="minorHAnsi" w:hAnsiTheme="minorHAnsi" w:cstheme="minorHAnsi"/>
        </w:rPr>
      </w:pPr>
      <w:r w:rsidRPr="003E4A43">
        <w:rPr>
          <w:rFonts w:asciiTheme="minorHAnsi" w:hAnsiTheme="minorHAnsi" w:cstheme="minorHAnsi"/>
        </w:rPr>
        <w:t xml:space="preserve">the total amount of the provider’s </w:t>
      </w:r>
      <w:proofErr w:type="gramStart"/>
      <w:r w:rsidRPr="003E4A43">
        <w:rPr>
          <w:rFonts w:asciiTheme="minorHAnsi" w:hAnsiTheme="minorHAnsi" w:cstheme="minorHAnsi"/>
        </w:rPr>
        <w:t>charge;</w:t>
      </w:r>
      <w:proofErr w:type="gramEnd"/>
      <w:r w:rsidRPr="003E4A43">
        <w:rPr>
          <w:rFonts w:asciiTheme="minorHAnsi" w:hAnsiTheme="minorHAnsi" w:cstheme="minorHAnsi"/>
        </w:rPr>
        <w:t xml:space="preserve"> </w:t>
      </w:r>
    </w:p>
    <w:p w14:paraId="1490BA57" w14:textId="3FC41620" w:rsidR="009C70D2" w:rsidRPr="003E4A43" w:rsidRDefault="009C70D2" w:rsidP="009C70D2">
      <w:pPr>
        <w:numPr>
          <w:ilvl w:val="0"/>
          <w:numId w:val="12"/>
        </w:numPr>
        <w:spacing w:after="160" w:line="256" w:lineRule="auto"/>
        <w:rPr>
          <w:rFonts w:asciiTheme="minorHAnsi" w:hAnsiTheme="minorHAnsi" w:cstheme="minorHAnsi"/>
        </w:rPr>
      </w:pPr>
      <w:r w:rsidRPr="003E4A43">
        <w:rPr>
          <w:rFonts w:asciiTheme="minorHAnsi" w:hAnsiTheme="minorHAnsi" w:cstheme="minorHAnsi"/>
        </w:rPr>
        <w:t xml:space="preserve">an explanation of how the provider’s charge was </w:t>
      </w:r>
      <w:proofErr w:type="gramStart"/>
      <w:r w:rsidRPr="003E4A43">
        <w:rPr>
          <w:rFonts w:asciiTheme="minorHAnsi" w:hAnsiTheme="minorHAnsi" w:cstheme="minorHAnsi"/>
        </w:rPr>
        <w:t>calculated;</w:t>
      </w:r>
      <w:proofErr w:type="gramEnd"/>
    </w:p>
    <w:p w14:paraId="0F495A2D" w14:textId="609191A1" w:rsidR="009C70D2" w:rsidRPr="003E4A43" w:rsidRDefault="009C70D2" w:rsidP="009C70D2">
      <w:pPr>
        <w:numPr>
          <w:ilvl w:val="0"/>
          <w:numId w:val="12"/>
        </w:numPr>
        <w:spacing w:after="160" w:line="256" w:lineRule="auto"/>
        <w:rPr>
          <w:rFonts w:asciiTheme="minorHAnsi" w:hAnsiTheme="minorHAnsi" w:cstheme="minorHAnsi"/>
        </w:rPr>
      </w:pPr>
      <w:r w:rsidRPr="003E4A43">
        <w:rPr>
          <w:rFonts w:asciiTheme="minorHAnsi" w:hAnsiTheme="minorHAnsi" w:cstheme="minorHAnsi"/>
        </w:rPr>
        <w:t xml:space="preserve">the day by which the charge is due and payable by the provider, which must be at least 30 days after the day the notice is </w:t>
      </w:r>
      <w:proofErr w:type="gramStart"/>
      <w:r w:rsidRPr="003E4A43">
        <w:rPr>
          <w:rFonts w:asciiTheme="minorHAnsi" w:hAnsiTheme="minorHAnsi" w:cstheme="minorHAnsi"/>
        </w:rPr>
        <w:t>given;</w:t>
      </w:r>
      <w:proofErr w:type="gramEnd"/>
      <w:r w:rsidRPr="003E4A43">
        <w:rPr>
          <w:rFonts w:asciiTheme="minorHAnsi" w:hAnsiTheme="minorHAnsi" w:cstheme="minorHAnsi"/>
        </w:rPr>
        <w:t xml:space="preserve"> </w:t>
      </w:r>
    </w:p>
    <w:p w14:paraId="0C15172A" w14:textId="4B8CBCAE" w:rsidR="009C70D2" w:rsidRPr="003E4A43" w:rsidRDefault="009C70D2" w:rsidP="009C70D2">
      <w:pPr>
        <w:numPr>
          <w:ilvl w:val="0"/>
          <w:numId w:val="12"/>
        </w:numPr>
        <w:spacing w:after="160" w:line="256" w:lineRule="auto"/>
        <w:rPr>
          <w:rFonts w:asciiTheme="minorHAnsi" w:hAnsiTheme="minorHAnsi" w:cstheme="minorHAnsi"/>
        </w:rPr>
      </w:pPr>
      <w:r w:rsidRPr="003E4A43">
        <w:rPr>
          <w:rFonts w:asciiTheme="minorHAnsi" w:hAnsiTheme="minorHAnsi" w:cstheme="minorHAnsi"/>
        </w:rPr>
        <w:t>the method or methods by which the provider must pay the charge; and</w:t>
      </w:r>
    </w:p>
    <w:p w14:paraId="179E1A73" w14:textId="712F4E54" w:rsidR="009C70D2" w:rsidRPr="003E4A43" w:rsidRDefault="009C70D2" w:rsidP="009C70D2">
      <w:pPr>
        <w:numPr>
          <w:ilvl w:val="0"/>
          <w:numId w:val="12"/>
        </w:numPr>
        <w:spacing w:after="160" w:line="256" w:lineRule="auto"/>
        <w:rPr>
          <w:rFonts w:asciiTheme="minorHAnsi" w:hAnsiTheme="minorHAnsi" w:cstheme="minorHAnsi"/>
        </w:rPr>
      </w:pPr>
      <w:r w:rsidRPr="003E4A43">
        <w:rPr>
          <w:rFonts w:asciiTheme="minorHAnsi" w:hAnsiTheme="minorHAnsi" w:cstheme="minorHAnsi"/>
        </w:rPr>
        <w:t>information about the consequences of a late payment.</w:t>
      </w:r>
    </w:p>
    <w:p w14:paraId="242AA2E6" w14:textId="62B0406E" w:rsidR="008B7D6B" w:rsidRPr="003E4A43" w:rsidRDefault="008B5324" w:rsidP="004A75DD">
      <w:pPr>
        <w:numPr>
          <w:ilvl w:val="0"/>
          <w:numId w:val="1"/>
        </w:numPr>
        <w:spacing w:after="160" w:line="256" w:lineRule="auto"/>
        <w:rPr>
          <w:rFonts w:asciiTheme="minorHAnsi" w:hAnsiTheme="minorHAnsi" w:cstheme="minorHAnsi"/>
        </w:rPr>
      </w:pPr>
      <w:r w:rsidRPr="003E4A43">
        <w:rPr>
          <w:rFonts w:asciiTheme="minorHAnsi" w:hAnsiTheme="minorHAnsi" w:cstheme="minorHAnsi"/>
        </w:rPr>
        <w:t>T</w:t>
      </w:r>
      <w:r w:rsidR="008B7D6B" w:rsidRPr="003E4A43">
        <w:rPr>
          <w:rFonts w:asciiTheme="minorHAnsi" w:hAnsiTheme="minorHAnsi" w:cstheme="minorHAnsi"/>
        </w:rPr>
        <w:t xml:space="preserve">he note </w:t>
      </w:r>
      <w:r w:rsidR="00D71D52" w:rsidRPr="003E4A43">
        <w:rPr>
          <w:rFonts w:asciiTheme="minorHAnsi" w:hAnsiTheme="minorHAnsi" w:cstheme="minorHAnsi"/>
        </w:rPr>
        <w:t>to</w:t>
      </w:r>
      <w:r w:rsidR="008B7D6B" w:rsidRPr="003E4A43">
        <w:rPr>
          <w:rFonts w:asciiTheme="minorHAnsi" w:hAnsiTheme="minorHAnsi" w:cstheme="minorHAnsi"/>
        </w:rPr>
        <w:t xml:space="preserve"> </w:t>
      </w:r>
      <w:r w:rsidR="00F20E47" w:rsidRPr="003E4A43">
        <w:rPr>
          <w:rFonts w:asciiTheme="minorHAnsi" w:hAnsiTheme="minorHAnsi" w:cstheme="minorHAnsi"/>
        </w:rPr>
        <w:t>subsection 4</w:t>
      </w:r>
      <w:r w:rsidR="00E06DE0" w:rsidRPr="003E4A43">
        <w:rPr>
          <w:rFonts w:asciiTheme="minorHAnsi" w:hAnsiTheme="minorHAnsi" w:cstheme="minorHAnsi"/>
        </w:rPr>
        <w:t>1</w:t>
      </w:r>
      <w:r w:rsidR="00F20E47" w:rsidRPr="003E4A43">
        <w:rPr>
          <w:rFonts w:asciiTheme="minorHAnsi" w:hAnsiTheme="minorHAnsi" w:cstheme="minorHAnsi"/>
        </w:rPr>
        <w:t>(1)</w:t>
      </w:r>
      <w:r w:rsidR="008B7D6B" w:rsidRPr="003E4A43">
        <w:rPr>
          <w:rFonts w:asciiTheme="minorHAnsi" w:hAnsiTheme="minorHAnsi" w:cstheme="minorHAnsi"/>
        </w:rPr>
        <w:t xml:space="preserve"> clarifies that</w:t>
      </w:r>
      <w:r w:rsidR="0092574F" w:rsidRPr="003E4A43">
        <w:rPr>
          <w:rFonts w:asciiTheme="minorHAnsi" w:hAnsiTheme="minorHAnsi" w:cstheme="minorHAnsi"/>
        </w:rPr>
        <w:t xml:space="preserve"> a failure to </w:t>
      </w:r>
      <w:r w:rsidR="00340348" w:rsidRPr="003E4A43">
        <w:rPr>
          <w:rFonts w:asciiTheme="minorHAnsi" w:hAnsiTheme="minorHAnsi" w:cstheme="minorHAnsi"/>
        </w:rPr>
        <w:t>give</w:t>
      </w:r>
      <w:r w:rsidR="0092574F" w:rsidRPr="003E4A43">
        <w:rPr>
          <w:rFonts w:asciiTheme="minorHAnsi" w:hAnsiTheme="minorHAnsi" w:cstheme="minorHAnsi"/>
        </w:rPr>
        <w:t xml:space="preserve"> the notice to a higher education provider does not affect the liability of the provider to pay the charge</w:t>
      </w:r>
      <w:r w:rsidR="00340348" w:rsidRPr="003E4A43">
        <w:rPr>
          <w:rFonts w:asciiTheme="minorHAnsi" w:hAnsiTheme="minorHAnsi" w:cstheme="minorHAnsi"/>
        </w:rPr>
        <w:t xml:space="preserve">. </w:t>
      </w:r>
    </w:p>
    <w:p w14:paraId="00B8F3B9" w14:textId="395E72A2" w:rsidR="0092574F" w:rsidRPr="003E4A43" w:rsidRDefault="00944DDD" w:rsidP="004A75DD">
      <w:pPr>
        <w:numPr>
          <w:ilvl w:val="0"/>
          <w:numId w:val="1"/>
        </w:numPr>
        <w:spacing w:after="160" w:line="256" w:lineRule="auto"/>
        <w:rPr>
          <w:rFonts w:asciiTheme="minorHAnsi" w:hAnsiTheme="minorHAnsi" w:cstheme="minorHAnsi"/>
        </w:rPr>
      </w:pPr>
      <w:r w:rsidRPr="003E4A43">
        <w:rPr>
          <w:rFonts w:asciiTheme="minorHAnsi" w:hAnsiTheme="minorHAnsi" w:cstheme="minorHAnsi"/>
        </w:rPr>
        <w:t>S</w:t>
      </w:r>
      <w:r w:rsidR="00F20E47" w:rsidRPr="003E4A43">
        <w:rPr>
          <w:rFonts w:asciiTheme="minorHAnsi" w:hAnsiTheme="minorHAnsi" w:cstheme="minorHAnsi"/>
        </w:rPr>
        <w:t>ubs</w:t>
      </w:r>
      <w:r w:rsidRPr="003E4A43">
        <w:rPr>
          <w:rFonts w:asciiTheme="minorHAnsi" w:hAnsiTheme="minorHAnsi" w:cstheme="minorHAnsi"/>
        </w:rPr>
        <w:t>ection 4</w:t>
      </w:r>
      <w:r w:rsidR="00E06DE0" w:rsidRPr="003E4A43">
        <w:rPr>
          <w:rFonts w:asciiTheme="minorHAnsi" w:hAnsiTheme="minorHAnsi" w:cstheme="minorHAnsi"/>
        </w:rPr>
        <w:t>1</w:t>
      </w:r>
      <w:r w:rsidRPr="003E4A43">
        <w:rPr>
          <w:rFonts w:asciiTheme="minorHAnsi" w:hAnsiTheme="minorHAnsi" w:cstheme="minorHAnsi"/>
        </w:rPr>
        <w:t>(2)</w:t>
      </w:r>
      <w:r w:rsidR="001F238F" w:rsidRPr="003E4A43">
        <w:rPr>
          <w:rFonts w:asciiTheme="minorHAnsi" w:hAnsiTheme="minorHAnsi" w:cstheme="minorHAnsi"/>
        </w:rPr>
        <w:t xml:space="preserve"> </w:t>
      </w:r>
      <w:r w:rsidR="008B7D6B" w:rsidRPr="003E4A43">
        <w:rPr>
          <w:rFonts w:asciiTheme="minorHAnsi" w:hAnsiTheme="minorHAnsi" w:cstheme="minorHAnsi"/>
        </w:rPr>
        <w:t>provides</w:t>
      </w:r>
      <w:r w:rsidR="0092574F" w:rsidRPr="003E4A43">
        <w:rPr>
          <w:rFonts w:asciiTheme="minorHAnsi" w:hAnsiTheme="minorHAnsi" w:cstheme="minorHAnsi"/>
        </w:rPr>
        <w:t xml:space="preserve"> that the Secretary does not need to give a notice if the </w:t>
      </w:r>
      <w:r w:rsidR="00C508D3" w:rsidRPr="003E4A43">
        <w:rPr>
          <w:rFonts w:asciiTheme="minorHAnsi" w:hAnsiTheme="minorHAnsi" w:cstheme="minorHAnsi"/>
        </w:rPr>
        <w:t>l</w:t>
      </w:r>
      <w:r w:rsidR="0092574F" w:rsidRPr="003E4A43">
        <w:rPr>
          <w:rFonts w:asciiTheme="minorHAnsi" w:hAnsiTheme="minorHAnsi" w:cstheme="minorHAnsi"/>
        </w:rPr>
        <w:t>iability to pay the charge is waive</w:t>
      </w:r>
      <w:r w:rsidR="00C508D3" w:rsidRPr="003E4A43">
        <w:rPr>
          <w:rFonts w:asciiTheme="minorHAnsi" w:hAnsiTheme="minorHAnsi" w:cstheme="minorHAnsi"/>
        </w:rPr>
        <w:t xml:space="preserve">d in accordance with </w:t>
      </w:r>
      <w:r w:rsidR="00725C5A" w:rsidRPr="003E4A43">
        <w:rPr>
          <w:rFonts w:asciiTheme="minorHAnsi" w:hAnsiTheme="minorHAnsi" w:cstheme="minorHAnsi"/>
        </w:rPr>
        <w:t xml:space="preserve">section </w:t>
      </w:r>
      <w:r w:rsidR="009957A7" w:rsidRPr="003E4A43">
        <w:rPr>
          <w:rFonts w:asciiTheme="minorHAnsi" w:hAnsiTheme="minorHAnsi" w:cstheme="minorHAnsi"/>
        </w:rPr>
        <w:t>45</w:t>
      </w:r>
      <w:r w:rsidR="000324B9" w:rsidRPr="003E4A43">
        <w:rPr>
          <w:rFonts w:asciiTheme="minorHAnsi" w:hAnsiTheme="minorHAnsi" w:cstheme="minorHAnsi"/>
        </w:rPr>
        <w:t xml:space="preserve"> </w:t>
      </w:r>
      <w:r w:rsidR="00EB0665" w:rsidRPr="003E4A43">
        <w:rPr>
          <w:rFonts w:asciiTheme="minorHAnsi" w:hAnsiTheme="minorHAnsi" w:cstheme="minorHAnsi"/>
        </w:rPr>
        <w:t>or if the amount of higher education charge for a</w:t>
      </w:r>
      <w:r w:rsidR="00F225DF" w:rsidRPr="003E4A43">
        <w:rPr>
          <w:rFonts w:asciiTheme="minorHAnsi" w:hAnsiTheme="minorHAnsi" w:cstheme="minorHAnsi"/>
        </w:rPr>
        <w:t xml:space="preserve"> higher education provider for the relevant year is nil</w:t>
      </w:r>
      <w:r w:rsidR="00002E42" w:rsidRPr="003E4A43">
        <w:rPr>
          <w:rFonts w:asciiTheme="minorHAnsi" w:hAnsiTheme="minorHAnsi" w:cstheme="minorHAnsi"/>
        </w:rPr>
        <w:t xml:space="preserve">. </w:t>
      </w:r>
    </w:p>
    <w:p w14:paraId="79E05373" w14:textId="77607FE6" w:rsidR="002A3EF2" w:rsidRPr="003E4A43" w:rsidRDefault="002A3EF2" w:rsidP="005E7759">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w:t>
      </w:r>
      <w:r w:rsidR="009957A7" w:rsidRPr="003E4A43">
        <w:rPr>
          <w:rFonts w:asciiTheme="minorHAnsi" w:hAnsiTheme="minorHAnsi" w:cstheme="minorHAnsi"/>
          <w:b/>
          <w:u w:val="single"/>
        </w:rPr>
        <w:t>42</w:t>
      </w:r>
      <w:r w:rsidRPr="003E4A43">
        <w:rPr>
          <w:rFonts w:asciiTheme="minorHAnsi" w:hAnsiTheme="minorHAnsi" w:cstheme="minorHAnsi"/>
          <w:b/>
          <w:u w:val="single"/>
        </w:rPr>
        <w:t>: When higher education provider charge due for payment in the event of revocation of approval</w:t>
      </w:r>
    </w:p>
    <w:p w14:paraId="1F9DDB77" w14:textId="07F9AB16" w:rsidR="005E62C4" w:rsidRPr="003E4A43" w:rsidRDefault="00742D9C" w:rsidP="002279AF">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This section </w:t>
      </w:r>
      <w:r w:rsidR="0092574F" w:rsidRPr="003E4A43">
        <w:rPr>
          <w:rFonts w:asciiTheme="minorHAnsi" w:hAnsiTheme="minorHAnsi" w:cstheme="minorHAnsi"/>
        </w:rPr>
        <w:t xml:space="preserve">provides that, </w:t>
      </w:r>
      <w:r w:rsidR="009E7381" w:rsidRPr="003E4A43">
        <w:rPr>
          <w:rFonts w:asciiTheme="minorHAnsi" w:hAnsiTheme="minorHAnsi" w:cstheme="minorHAnsi"/>
        </w:rPr>
        <w:t xml:space="preserve">for the purposes of paragraph 19-66(2)(b) of the Act, </w:t>
      </w:r>
      <w:r w:rsidR="0092574F" w:rsidRPr="003E4A43">
        <w:rPr>
          <w:rFonts w:asciiTheme="minorHAnsi" w:hAnsiTheme="minorHAnsi" w:cstheme="minorHAnsi"/>
        </w:rPr>
        <w:t xml:space="preserve">where a </w:t>
      </w:r>
      <w:r w:rsidR="009E7381" w:rsidRPr="003E4A43">
        <w:rPr>
          <w:rFonts w:asciiTheme="minorHAnsi" w:hAnsiTheme="minorHAnsi" w:cstheme="minorHAnsi"/>
        </w:rPr>
        <w:t xml:space="preserve">higher education </w:t>
      </w:r>
      <w:r w:rsidR="0092574F" w:rsidRPr="003E4A43">
        <w:rPr>
          <w:rFonts w:asciiTheme="minorHAnsi" w:hAnsiTheme="minorHAnsi" w:cstheme="minorHAnsi"/>
        </w:rPr>
        <w:t xml:space="preserve">provider’s approval is revoked under Division 22 of </w:t>
      </w:r>
      <w:r w:rsidR="009B0AE4" w:rsidRPr="003E4A43">
        <w:rPr>
          <w:rFonts w:asciiTheme="minorHAnsi" w:hAnsiTheme="minorHAnsi" w:cstheme="minorHAnsi"/>
        </w:rPr>
        <w:br/>
      </w:r>
      <w:r w:rsidR="0092574F" w:rsidRPr="003E4A43">
        <w:rPr>
          <w:rFonts w:asciiTheme="minorHAnsi" w:hAnsiTheme="minorHAnsi" w:cstheme="minorHAnsi"/>
        </w:rPr>
        <w:t xml:space="preserve">Part 2-1 of </w:t>
      </w:r>
      <w:r w:rsidR="007A229F" w:rsidRPr="003E4A43">
        <w:rPr>
          <w:rFonts w:asciiTheme="minorHAnsi" w:hAnsiTheme="minorHAnsi" w:cstheme="minorHAnsi"/>
        </w:rPr>
        <w:t>the Act</w:t>
      </w:r>
      <w:r w:rsidR="0092574F" w:rsidRPr="003E4A43">
        <w:rPr>
          <w:rFonts w:asciiTheme="minorHAnsi" w:hAnsiTheme="minorHAnsi" w:cstheme="minorHAnsi"/>
        </w:rPr>
        <w:t xml:space="preserve">, the </w:t>
      </w:r>
      <w:r w:rsidR="00450711" w:rsidRPr="003E4A43">
        <w:rPr>
          <w:rFonts w:asciiTheme="minorHAnsi" w:hAnsiTheme="minorHAnsi" w:cstheme="minorHAnsi"/>
        </w:rPr>
        <w:t xml:space="preserve">amount of </w:t>
      </w:r>
      <w:r w:rsidR="00892FA3" w:rsidRPr="003E4A43">
        <w:rPr>
          <w:rFonts w:asciiTheme="minorHAnsi" w:hAnsiTheme="minorHAnsi" w:cstheme="minorHAnsi"/>
        </w:rPr>
        <w:t xml:space="preserve">the charge </w:t>
      </w:r>
      <w:r w:rsidR="008B7D6B" w:rsidRPr="003E4A43">
        <w:rPr>
          <w:rFonts w:asciiTheme="minorHAnsi" w:hAnsiTheme="minorHAnsi" w:cstheme="minorHAnsi"/>
        </w:rPr>
        <w:t>may be</w:t>
      </w:r>
      <w:r w:rsidR="0092574F" w:rsidRPr="003E4A43">
        <w:rPr>
          <w:rFonts w:asciiTheme="minorHAnsi" w:hAnsiTheme="minorHAnsi" w:cstheme="minorHAnsi"/>
        </w:rPr>
        <w:t xml:space="preserve"> due and payable on a day after the date that revocation takes effect</w:t>
      </w:r>
      <w:r w:rsidR="00CD416D" w:rsidRPr="003E4A43">
        <w:rPr>
          <w:rFonts w:asciiTheme="minorHAnsi" w:hAnsiTheme="minorHAnsi" w:cstheme="minorHAnsi"/>
        </w:rPr>
        <w:t xml:space="preserve"> and either before or after the end of the year</w:t>
      </w:r>
      <w:r w:rsidR="0092574F" w:rsidRPr="003E4A43">
        <w:rPr>
          <w:rFonts w:asciiTheme="minorHAnsi" w:hAnsiTheme="minorHAnsi" w:cstheme="minorHAnsi"/>
        </w:rPr>
        <w:t xml:space="preserve">. </w:t>
      </w:r>
      <w:r w:rsidR="00EE49CD" w:rsidRPr="003E4A43">
        <w:rPr>
          <w:rFonts w:asciiTheme="minorHAnsi" w:hAnsiTheme="minorHAnsi" w:cstheme="minorHAnsi"/>
        </w:rPr>
        <w:t xml:space="preserve">This makes clear that the </w:t>
      </w:r>
      <w:r w:rsidR="0092574F" w:rsidRPr="003E4A43">
        <w:rPr>
          <w:rFonts w:asciiTheme="minorHAnsi" w:hAnsiTheme="minorHAnsi" w:cstheme="minorHAnsi"/>
        </w:rPr>
        <w:t xml:space="preserve">revocation </w:t>
      </w:r>
      <w:r w:rsidR="00EE49CD" w:rsidRPr="003E4A43">
        <w:rPr>
          <w:rFonts w:asciiTheme="minorHAnsi" w:hAnsiTheme="minorHAnsi" w:cstheme="minorHAnsi"/>
        </w:rPr>
        <w:t xml:space="preserve">of a provider’s approval </w:t>
      </w:r>
      <w:r w:rsidR="0092574F" w:rsidRPr="003E4A43">
        <w:rPr>
          <w:rFonts w:asciiTheme="minorHAnsi" w:hAnsiTheme="minorHAnsi" w:cstheme="minorHAnsi"/>
        </w:rPr>
        <w:t xml:space="preserve">does not discharge a provider’s liability </w:t>
      </w:r>
      <w:r w:rsidR="00F1227E" w:rsidRPr="003E4A43">
        <w:rPr>
          <w:rFonts w:asciiTheme="minorHAnsi" w:hAnsiTheme="minorHAnsi" w:cstheme="minorHAnsi"/>
        </w:rPr>
        <w:t>to pay higher education provider charge for a year.</w:t>
      </w:r>
    </w:p>
    <w:p w14:paraId="21EA24F1" w14:textId="4C178C98" w:rsidR="005E62C4" w:rsidRPr="003E4A43" w:rsidRDefault="005E62C4" w:rsidP="005E7759">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w:t>
      </w:r>
      <w:r w:rsidR="009957A7" w:rsidRPr="003E4A43">
        <w:rPr>
          <w:rFonts w:asciiTheme="minorHAnsi" w:hAnsiTheme="minorHAnsi" w:cstheme="minorHAnsi"/>
          <w:b/>
          <w:u w:val="single"/>
        </w:rPr>
        <w:t>43</w:t>
      </w:r>
      <w:r w:rsidRPr="003E4A43">
        <w:rPr>
          <w:rFonts w:asciiTheme="minorHAnsi" w:hAnsiTheme="minorHAnsi" w:cstheme="minorHAnsi"/>
          <w:b/>
          <w:u w:val="single"/>
        </w:rPr>
        <w:t>: Extension notice</w:t>
      </w:r>
    </w:p>
    <w:p w14:paraId="526AA73E" w14:textId="5865DB99" w:rsidR="0092574F" w:rsidRPr="003E4A43" w:rsidRDefault="005E62C4" w:rsidP="002279AF">
      <w:pPr>
        <w:numPr>
          <w:ilvl w:val="0"/>
          <w:numId w:val="1"/>
        </w:numPr>
        <w:spacing w:after="160" w:line="256" w:lineRule="auto"/>
        <w:rPr>
          <w:rFonts w:asciiTheme="minorHAnsi" w:hAnsiTheme="minorHAnsi" w:cstheme="minorHAnsi"/>
        </w:rPr>
      </w:pPr>
      <w:r w:rsidRPr="003E4A43">
        <w:rPr>
          <w:rFonts w:asciiTheme="minorHAnsi" w:hAnsiTheme="minorHAnsi" w:cstheme="minorHAnsi"/>
        </w:rPr>
        <w:t>This section</w:t>
      </w:r>
      <w:r w:rsidR="0092574F" w:rsidRPr="003E4A43">
        <w:rPr>
          <w:rFonts w:asciiTheme="minorHAnsi" w:hAnsiTheme="minorHAnsi" w:cstheme="minorHAnsi"/>
        </w:rPr>
        <w:t xml:space="preserve"> provides that</w:t>
      </w:r>
      <w:r w:rsidR="0000391D" w:rsidRPr="003E4A43">
        <w:rPr>
          <w:rFonts w:asciiTheme="minorHAnsi" w:hAnsiTheme="minorHAnsi" w:cstheme="minorHAnsi"/>
        </w:rPr>
        <w:t xml:space="preserve">, for the purposes of paragraphs 19-66(2)(c) of the Act, </w:t>
      </w:r>
      <w:r w:rsidR="0092574F" w:rsidRPr="003E4A43">
        <w:rPr>
          <w:rFonts w:asciiTheme="minorHAnsi" w:hAnsiTheme="minorHAnsi" w:cstheme="minorHAnsi"/>
        </w:rPr>
        <w:t>the Secretary may issue a</w:t>
      </w:r>
      <w:r w:rsidR="00935DF0" w:rsidRPr="003E4A43">
        <w:rPr>
          <w:rFonts w:asciiTheme="minorHAnsi" w:hAnsiTheme="minorHAnsi" w:cstheme="minorHAnsi"/>
        </w:rPr>
        <w:t xml:space="preserve"> written</w:t>
      </w:r>
      <w:r w:rsidR="0092574F" w:rsidRPr="003E4A43">
        <w:rPr>
          <w:rFonts w:asciiTheme="minorHAnsi" w:hAnsiTheme="minorHAnsi" w:cstheme="minorHAnsi"/>
        </w:rPr>
        <w:t xml:space="preserve"> extension notice to a</w:t>
      </w:r>
      <w:r w:rsidR="00935DF0" w:rsidRPr="003E4A43">
        <w:rPr>
          <w:rFonts w:asciiTheme="minorHAnsi" w:hAnsiTheme="minorHAnsi" w:cstheme="minorHAnsi"/>
        </w:rPr>
        <w:t xml:space="preserve"> higher education</w:t>
      </w:r>
      <w:r w:rsidR="0092574F" w:rsidRPr="003E4A43">
        <w:rPr>
          <w:rFonts w:asciiTheme="minorHAnsi" w:hAnsiTheme="minorHAnsi" w:cstheme="minorHAnsi"/>
        </w:rPr>
        <w:t xml:space="preserve"> provider</w:t>
      </w:r>
      <w:r w:rsidR="009C03D4" w:rsidRPr="003E4A43">
        <w:rPr>
          <w:rFonts w:asciiTheme="minorHAnsi" w:hAnsiTheme="minorHAnsi" w:cstheme="minorHAnsi"/>
        </w:rPr>
        <w:t xml:space="preserve"> that specifies a day that is later than the day specified in subsection 4</w:t>
      </w:r>
      <w:r w:rsidR="009957A7" w:rsidRPr="003E4A43">
        <w:rPr>
          <w:rFonts w:asciiTheme="minorHAnsi" w:hAnsiTheme="minorHAnsi" w:cstheme="minorHAnsi"/>
        </w:rPr>
        <w:t>1</w:t>
      </w:r>
      <w:r w:rsidR="009C03D4" w:rsidRPr="003E4A43">
        <w:rPr>
          <w:rFonts w:asciiTheme="minorHAnsi" w:hAnsiTheme="minorHAnsi" w:cstheme="minorHAnsi"/>
        </w:rPr>
        <w:t>(1)</w:t>
      </w:r>
      <w:r w:rsidR="009816D5" w:rsidRPr="003E4A43">
        <w:rPr>
          <w:rFonts w:asciiTheme="minorHAnsi" w:hAnsiTheme="minorHAnsi" w:cstheme="minorHAnsi"/>
        </w:rPr>
        <w:t xml:space="preserve"> </w:t>
      </w:r>
      <w:r w:rsidR="009C03D4" w:rsidRPr="003E4A43">
        <w:rPr>
          <w:rFonts w:asciiTheme="minorHAnsi" w:hAnsiTheme="minorHAnsi" w:cstheme="minorHAnsi"/>
        </w:rPr>
        <w:t xml:space="preserve"> as the day on which higher education provider charge </w:t>
      </w:r>
      <w:r w:rsidR="00065F42" w:rsidRPr="003E4A43">
        <w:rPr>
          <w:rFonts w:asciiTheme="minorHAnsi" w:hAnsiTheme="minorHAnsi" w:cstheme="minorHAnsi"/>
        </w:rPr>
        <w:t>is due and payable</w:t>
      </w:r>
      <w:r w:rsidR="0092574F" w:rsidRPr="003E4A43">
        <w:rPr>
          <w:rFonts w:asciiTheme="minorHAnsi" w:hAnsiTheme="minorHAnsi" w:cstheme="minorHAnsi"/>
        </w:rPr>
        <w:t xml:space="preserve">. </w:t>
      </w:r>
      <w:r w:rsidR="00065F42" w:rsidRPr="003E4A43">
        <w:rPr>
          <w:rFonts w:asciiTheme="minorHAnsi" w:hAnsiTheme="minorHAnsi" w:cstheme="minorHAnsi"/>
        </w:rPr>
        <w:t>The extension notice has effect according to its terms.</w:t>
      </w:r>
    </w:p>
    <w:p w14:paraId="414F6B22" w14:textId="56A66ED9" w:rsidR="005E62C4" w:rsidRPr="003E4A43" w:rsidRDefault="005E62C4" w:rsidP="005E7759">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w:t>
      </w:r>
      <w:r w:rsidR="008A1276" w:rsidRPr="003E4A43">
        <w:rPr>
          <w:rFonts w:asciiTheme="minorHAnsi" w:hAnsiTheme="minorHAnsi" w:cstheme="minorHAnsi"/>
          <w:b/>
          <w:u w:val="single"/>
        </w:rPr>
        <w:t>44</w:t>
      </w:r>
      <w:r w:rsidRPr="003E4A43">
        <w:rPr>
          <w:rFonts w:asciiTheme="minorHAnsi" w:hAnsiTheme="minorHAnsi" w:cstheme="minorHAnsi"/>
          <w:b/>
          <w:u w:val="single"/>
        </w:rPr>
        <w:t>: Late payment penalty</w:t>
      </w:r>
    </w:p>
    <w:p w14:paraId="7ABFEDDA" w14:textId="49F754BF" w:rsidR="002B55F9" w:rsidRPr="003E4A43" w:rsidRDefault="00245D9A" w:rsidP="002279AF">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8A1276" w:rsidRPr="003E4A43">
        <w:rPr>
          <w:rFonts w:asciiTheme="minorHAnsi" w:hAnsiTheme="minorHAnsi" w:cstheme="minorHAnsi"/>
        </w:rPr>
        <w:t>44</w:t>
      </w:r>
      <w:r w:rsidRPr="003E4A43">
        <w:rPr>
          <w:rFonts w:asciiTheme="minorHAnsi" w:hAnsiTheme="minorHAnsi" w:cstheme="minorHAnsi"/>
        </w:rPr>
        <w:t xml:space="preserve">(1) </w:t>
      </w:r>
      <w:r w:rsidR="00D423C4" w:rsidRPr="003E4A43">
        <w:rPr>
          <w:rFonts w:asciiTheme="minorHAnsi" w:hAnsiTheme="minorHAnsi" w:cstheme="minorHAnsi"/>
        </w:rPr>
        <w:t>specif</w:t>
      </w:r>
      <w:r w:rsidR="008E47A3" w:rsidRPr="003E4A43">
        <w:rPr>
          <w:rFonts w:asciiTheme="minorHAnsi" w:hAnsiTheme="minorHAnsi" w:cstheme="minorHAnsi"/>
        </w:rPr>
        <w:t>ies</w:t>
      </w:r>
      <w:r w:rsidR="00F20FFD" w:rsidRPr="003E4A43">
        <w:rPr>
          <w:rFonts w:asciiTheme="minorHAnsi" w:hAnsiTheme="minorHAnsi" w:cstheme="minorHAnsi"/>
        </w:rPr>
        <w:t>, for the purposes of paragraph 19-66(2)(d) of the Act,</w:t>
      </w:r>
      <w:r w:rsidR="00D423C4" w:rsidRPr="003E4A43">
        <w:rPr>
          <w:rFonts w:asciiTheme="minorHAnsi" w:hAnsiTheme="minorHAnsi" w:cstheme="minorHAnsi"/>
        </w:rPr>
        <w:t xml:space="preserve"> the formula for calculating </w:t>
      </w:r>
      <w:r w:rsidR="00CF4BA2" w:rsidRPr="003E4A43">
        <w:rPr>
          <w:rFonts w:asciiTheme="minorHAnsi" w:hAnsiTheme="minorHAnsi" w:cstheme="minorHAnsi"/>
        </w:rPr>
        <w:t xml:space="preserve">the penalty </w:t>
      </w:r>
      <w:r w:rsidR="00D423C4" w:rsidRPr="003E4A43">
        <w:rPr>
          <w:rFonts w:asciiTheme="minorHAnsi" w:hAnsiTheme="minorHAnsi" w:cstheme="minorHAnsi"/>
        </w:rPr>
        <w:t>for late payment of the charge</w:t>
      </w:r>
      <w:r w:rsidR="00E557DF" w:rsidRPr="003E4A43">
        <w:rPr>
          <w:rFonts w:asciiTheme="minorHAnsi" w:hAnsiTheme="minorHAnsi" w:cstheme="minorHAnsi"/>
        </w:rPr>
        <w:t xml:space="preserve"> payable by a </w:t>
      </w:r>
      <w:r w:rsidR="00E557DF" w:rsidRPr="003E4A43">
        <w:rPr>
          <w:rFonts w:asciiTheme="minorHAnsi" w:hAnsiTheme="minorHAnsi" w:cstheme="minorHAnsi"/>
        </w:rPr>
        <w:lastRenderedPageBreak/>
        <w:t>higher education provider if it remains unpaid after the day on which it is due and payable</w:t>
      </w:r>
      <w:r w:rsidR="002B55F9" w:rsidRPr="003E4A43">
        <w:rPr>
          <w:rFonts w:asciiTheme="minorHAnsi" w:hAnsiTheme="minorHAnsi" w:cstheme="minorHAnsi"/>
        </w:rPr>
        <w:t>.</w:t>
      </w:r>
    </w:p>
    <w:p w14:paraId="171DDD64" w14:textId="307AFC07" w:rsidR="005B2B26" w:rsidRPr="003E4A43" w:rsidRDefault="00245D9A" w:rsidP="002279AF">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8A1276" w:rsidRPr="003E4A43">
        <w:rPr>
          <w:rFonts w:asciiTheme="minorHAnsi" w:hAnsiTheme="minorHAnsi" w:cstheme="minorHAnsi"/>
        </w:rPr>
        <w:t>44</w:t>
      </w:r>
      <w:r w:rsidRPr="003E4A43">
        <w:rPr>
          <w:rFonts w:asciiTheme="minorHAnsi" w:hAnsiTheme="minorHAnsi" w:cstheme="minorHAnsi"/>
        </w:rPr>
        <w:t>(2)</w:t>
      </w:r>
      <w:r w:rsidR="008E47A3" w:rsidRPr="003E4A43">
        <w:rPr>
          <w:rFonts w:asciiTheme="minorHAnsi" w:hAnsiTheme="minorHAnsi" w:cstheme="minorHAnsi"/>
        </w:rPr>
        <w:t xml:space="preserve"> </w:t>
      </w:r>
      <w:r w:rsidR="00932940" w:rsidRPr="003E4A43">
        <w:rPr>
          <w:rFonts w:asciiTheme="minorHAnsi" w:hAnsiTheme="minorHAnsi" w:cstheme="minorHAnsi"/>
        </w:rPr>
        <w:t>clarif</w:t>
      </w:r>
      <w:r w:rsidR="008E47A3" w:rsidRPr="003E4A43">
        <w:rPr>
          <w:rFonts w:asciiTheme="minorHAnsi" w:hAnsiTheme="minorHAnsi" w:cstheme="minorHAnsi"/>
        </w:rPr>
        <w:t>ies</w:t>
      </w:r>
      <w:r w:rsidR="00932940" w:rsidRPr="003E4A43">
        <w:rPr>
          <w:rFonts w:asciiTheme="minorHAnsi" w:hAnsiTheme="minorHAnsi" w:cstheme="minorHAnsi"/>
        </w:rPr>
        <w:t xml:space="preserve"> </w:t>
      </w:r>
      <w:r w:rsidR="00AE75A9" w:rsidRPr="003E4A43">
        <w:rPr>
          <w:rFonts w:asciiTheme="minorHAnsi" w:hAnsiTheme="minorHAnsi" w:cstheme="minorHAnsi"/>
        </w:rPr>
        <w:t>that a late payment penalty</w:t>
      </w:r>
      <w:r w:rsidR="007E78D9" w:rsidRPr="003E4A43">
        <w:rPr>
          <w:rFonts w:asciiTheme="minorHAnsi" w:hAnsiTheme="minorHAnsi" w:cstheme="minorHAnsi"/>
        </w:rPr>
        <w:t xml:space="preserve"> that a provider is liable to pay</w:t>
      </w:r>
      <w:r w:rsidR="00AE75A9" w:rsidRPr="003E4A43">
        <w:rPr>
          <w:rFonts w:asciiTheme="minorHAnsi" w:hAnsiTheme="minorHAnsi" w:cstheme="minorHAnsi"/>
        </w:rPr>
        <w:t xml:space="preserve"> is due and payable immediately</w:t>
      </w:r>
      <w:r w:rsidR="00D423C4" w:rsidRPr="003E4A43">
        <w:rPr>
          <w:rFonts w:asciiTheme="minorHAnsi" w:hAnsiTheme="minorHAnsi" w:cstheme="minorHAnsi"/>
        </w:rPr>
        <w:t>.</w:t>
      </w:r>
    </w:p>
    <w:p w14:paraId="3BECF303" w14:textId="79236DCF" w:rsidR="00245D9A" w:rsidRPr="003E4A43" w:rsidRDefault="00245D9A" w:rsidP="005E7759">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w:t>
      </w:r>
      <w:r w:rsidR="008A1276" w:rsidRPr="003E4A43">
        <w:rPr>
          <w:rFonts w:asciiTheme="minorHAnsi" w:hAnsiTheme="minorHAnsi" w:cstheme="minorHAnsi"/>
          <w:b/>
          <w:u w:val="single"/>
        </w:rPr>
        <w:t>4</w:t>
      </w:r>
      <w:r w:rsidRPr="003E4A43">
        <w:rPr>
          <w:rFonts w:asciiTheme="minorHAnsi" w:hAnsiTheme="minorHAnsi" w:cstheme="minorHAnsi"/>
          <w:b/>
          <w:u w:val="single"/>
        </w:rPr>
        <w:t>5: Waiver of higher education provider charge and late payment penalty</w:t>
      </w:r>
    </w:p>
    <w:p w14:paraId="5280B476" w14:textId="5F389329" w:rsidR="00EC3C7A" w:rsidRPr="003E4A43" w:rsidRDefault="008B0263" w:rsidP="008A4A3B">
      <w:pPr>
        <w:numPr>
          <w:ilvl w:val="0"/>
          <w:numId w:val="1"/>
        </w:numPr>
        <w:spacing w:after="160" w:line="256" w:lineRule="auto"/>
        <w:rPr>
          <w:rFonts w:asciiTheme="minorHAnsi" w:hAnsiTheme="minorHAnsi" w:cstheme="minorHAnsi"/>
        </w:rPr>
      </w:pPr>
      <w:r w:rsidRPr="003E4A43">
        <w:rPr>
          <w:rFonts w:asciiTheme="minorHAnsi" w:hAnsiTheme="minorHAnsi" w:cstheme="minorHAnsi"/>
        </w:rPr>
        <w:t xml:space="preserve">Subsection </w:t>
      </w:r>
      <w:r w:rsidR="008A1276" w:rsidRPr="003E4A43">
        <w:rPr>
          <w:rFonts w:asciiTheme="minorHAnsi" w:hAnsiTheme="minorHAnsi" w:cstheme="minorHAnsi"/>
        </w:rPr>
        <w:t>4</w:t>
      </w:r>
      <w:r w:rsidRPr="003E4A43">
        <w:rPr>
          <w:rFonts w:asciiTheme="minorHAnsi" w:hAnsiTheme="minorHAnsi" w:cstheme="minorHAnsi"/>
        </w:rPr>
        <w:t xml:space="preserve">5(1) provides that, </w:t>
      </w:r>
      <w:r w:rsidR="007A06A7" w:rsidRPr="003E4A43">
        <w:rPr>
          <w:rFonts w:asciiTheme="minorHAnsi" w:hAnsiTheme="minorHAnsi" w:cstheme="minorHAnsi"/>
        </w:rPr>
        <w:t xml:space="preserve">for the purposes of paragraph 19-66(2)(f) of the Act, </w:t>
      </w:r>
      <w:r w:rsidR="00CD6FE7" w:rsidRPr="003E4A43">
        <w:rPr>
          <w:rFonts w:asciiTheme="minorHAnsi" w:hAnsiTheme="minorHAnsi" w:cstheme="minorHAnsi"/>
        </w:rPr>
        <w:t xml:space="preserve">the Secretary </w:t>
      </w:r>
      <w:r w:rsidR="007A06A7" w:rsidRPr="003E4A43">
        <w:rPr>
          <w:rFonts w:asciiTheme="minorHAnsi" w:hAnsiTheme="minorHAnsi" w:cstheme="minorHAnsi"/>
        </w:rPr>
        <w:t>may</w:t>
      </w:r>
      <w:r w:rsidR="00CD6FE7" w:rsidRPr="003E4A43">
        <w:rPr>
          <w:rFonts w:asciiTheme="minorHAnsi" w:hAnsiTheme="minorHAnsi" w:cstheme="minorHAnsi"/>
        </w:rPr>
        <w:t xml:space="preserve">, </w:t>
      </w:r>
      <w:r w:rsidR="00C31BD3" w:rsidRPr="003E4A43">
        <w:rPr>
          <w:rFonts w:asciiTheme="minorHAnsi" w:hAnsiTheme="minorHAnsi" w:cstheme="minorHAnsi"/>
        </w:rPr>
        <w:t>on behalf of the Commonwealth,</w:t>
      </w:r>
      <w:r w:rsidR="005050C4" w:rsidRPr="003E4A43">
        <w:rPr>
          <w:rFonts w:asciiTheme="minorHAnsi" w:hAnsiTheme="minorHAnsi" w:cstheme="minorHAnsi"/>
        </w:rPr>
        <w:t xml:space="preserve"> </w:t>
      </w:r>
      <w:r w:rsidR="007A06A7" w:rsidRPr="003E4A43">
        <w:rPr>
          <w:rFonts w:asciiTheme="minorHAnsi" w:hAnsiTheme="minorHAnsi" w:cstheme="minorHAnsi"/>
        </w:rPr>
        <w:t xml:space="preserve">waive </w:t>
      </w:r>
      <w:r w:rsidR="00C31BD3" w:rsidRPr="003E4A43">
        <w:rPr>
          <w:rFonts w:asciiTheme="minorHAnsi" w:hAnsiTheme="minorHAnsi" w:cstheme="minorHAnsi"/>
        </w:rPr>
        <w:t xml:space="preserve">the payment </w:t>
      </w:r>
      <w:r w:rsidR="005050C4" w:rsidRPr="003E4A43">
        <w:rPr>
          <w:rFonts w:asciiTheme="minorHAnsi" w:hAnsiTheme="minorHAnsi" w:cstheme="minorHAnsi"/>
        </w:rPr>
        <w:t>of the</w:t>
      </w:r>
      <w:r w:rsidR="00C31BD3" w:rsidRPr="003E4A43">
        <w:rPr>
          <w:rFonts w:asciiTheme="minorHAnsi" w:hAnsiTheme="minorHAnsi" w:cstheme="minorHAnsi"/>
        </w:rPr>
        <w:t xml:space="preserve"> </w:t>
      </w:r>
      <w:r w:rsidR="005A1C6B" w:rsidRPr="003E4A43">
        <w:rPr>
          <w:rFonts w:asciiTheme="minorHAnsi" w:hAnsiTheme="minorHAnsi" w:cstheme="minorHAnsi"/>
        </w:rPr>
        <w:t>whole</w:t>
      </w:r>
      <w:r w:rsidR="00AE75A9" w:rsidRPr="003E4A43">
        <w:rPr>
          <w:rFonts w:asciiTheme="minorHAnsi" w:hAnsiTheme="minorHAnsi" w:cstheme="minorHAnsi"/>
        </w:rPr>
        <w:t xml:space="preserve"> or </w:t>
      </w:r>
      <w:r w:rsidR="00D644ED" w:rsidRPr="003E4A43">
        <w:rPr>
          <w:rFonts w:asciiTheme="minorHAnsi" w:hAnsiTheme="minorHAnsi" w:cstheme="minorHAnsi"/>
        </w:rPr>
        <w:t xml:space="preserve">a </w:t>
      </w:r>
      <w:r w:rsidR="00AE75A9" w:rsidRPr="003E4A43">
        <w:rPr>
          <w:rFonts w:asciiTheme="minorHAnsi" w:hAnsiTheme="minorHAnsi" w:cstheme="minorHAnsi"/>
        </w:rPr>
        <w:t>part of the</w:t>
      </w:r>
      <w:r w:rsidR="00EC3C7A" w:rsidRPr="003E4A43">
        <w:rPr>
          <w:rFonts w:asciiTheme="minorHAnsi" w:hAnsiTheme="minorHAnsi" w:cstheme="minorHAnsi"/>
        </w:rPr>
        <w:t xml:space="preserve"> higher education provider</w:t>
      </w:r>
      <w:r w:rsidR="00AE75A9" w:rsidRPr="003E4A43">
        <w:rPr>
          <w:rFonts w:asciiTheme="minorHAnsi" w:hAnsiTheme="minorHAnsi" w:cstheme="minorHAnsi"/>
        </w:rPr>
        <w:t xml:space="preserve"> </w:t>
      </w:r>
      <w:r w:rsidR="00D644ED" w:rsidRPr="003E4A43">
        <w:rPr>
          <w:rFonts w:asciiTheme="minorHAnsi" w:hAnsiTheme="minorHAnsi" w:cstheme="minorHAnsi"/>
        </w:rPr>
        <w:t>charge or late payment penalty</w:t>
      </w:r>
      <w:r w:rsidR="00287066" w:rsidRPr="003E4A43">
        <w:rPr>
          <w:rFonts w:asciiTheme="minorHAnsi" w:hAnsiTheme="minorHAnsi" w:cstheme="minorHAnsi"/>
        </w:rPr>
        <w:t xml:space="preserve"> (or both)</w:t>
      </w:r>
      <w:r w:rsidR="005B236E" w:rsidRPr="003E4A43">
        <w:rPr>
          <w:rFonts w:asciiTheme="minorHAnsi" w:hAnsiTheme="minorHAnsi" w:cstheme="minorHAnsi"/>
        </w:rPr>
        <w:t xml:space="preserve"> that is payable by a higher education provider</w:t>
      </w:r>
      <w:r w:rsidR="00AE75A9" w:rsidRPr="003E4A43">
        <w:rPr>
          <w:rFonts w:asciiTheme="minorHAnsi" w:hAnsiTheme="minorHAnsi" w:cstheme="minorHAnsi"/>
        </w:rPr>
        <w:t xml:space="preserve">. </w:t>
      </w:r>
    </w:p>
    <w:p w14:paraId="105F2F89" w14:textId="18727A91" w:rsidR="00AE75A9" w:rsidRPr="003E4A43" w:rsidRDefault="00EC3C7A" w:rsidP="00BA3A1A">
      <w:pPr>
        <w:numPr>
          <w:ilvl w:val="0"/>
          <w:numId w:val="1"/>
        </w:numPr>
        <w:spacing w:after="160" w:line="257" w:lineRule="auto"/>
        <w:ind w:left="680" w:hanging="680"/>
        <w:rPr>
          <w:rFonts w:asciiTheme="minorHAnsi" w:hAnsiTheme="minorHAnsi" w:cstheme="minorHAnsi"/>
        </w:rPr>
      </w:pPr>
      <w:r w:rsidRPr="003E4A43">
        <w:rPr>
          <w:rFonts w:asciiTheme="minorHAnsi" w:hAnsiTheme="minorHAnsi" w:cstheme="minorHAnsi"/>
        </w:rPr>
        <w:t xml:space="preserve">Subsection </w:t>
      </w:r>
      <w:r w:rsidR="008A1276" w:rsidRPr="003E4A43">
        <w:rPr>
          <w:rFonts w:asciiTheme="minorHAnsi" w:hAnsiTheme="minorHAnsi" w:cstheme="minorHAnsi"/>
        </w:rPr>
        <w:t>4</w:t>
      </w:r>
      <w:r w:rsidRPr="003E4A43">
        <w:rPr>
          <w:rFonts w:asciiTheme="minorHAnsi" w:hAnsiTheme="minorHAnsi" w:cstheme="minorHAnsi"/>
        </w:rPr>
        <w:t xml:space="preserve">5(2) </w:t>
      </w:r>
      <w:r w:rsidR="00E07FC7" w:rsidRPr="003E4A43">
        <w:rPr>
          <w:rFonts w:asciiTheme="minorHAnsi" w:hAnsiTheme="minorHAnsi" w:cstheme="minorHAnsi"/>
        </w:rPr>
        <w:t>provides</w:t>
      </w:r>
      <w:r w:rsidRPr="003E4A43">
        <w:rPr>
          <w:rFonts w:asciiTheme="minorHAnsi" w:hAnsiTheme="minorHAnsi" w:cstheme="minorHAnsi"/>
        </w:rPr>
        <w:t xml:space="preserve"> that t</w:t>
      </w:r>
      <w:r w:rsidR="00AE75A9" w:rsidRPr="003E4A43">
        <w:rPr>
          <w:rFonts w:asciiTheme="minorHAnsi" w:hAnsiTheme="minorHAnsi" w:cstheme="minorHAnsi"/>
        </w:rPr>
        <w:t xml:space="preserve">he Secretary </w:t>
      </w:r>
      <w:r w:rsidR="00BD351D" w:rsidRPr="003E4A43">
        <w:rPr>
          <w:rFonts w:asciiTheme="minorHAnsi" w:hAnsiTheme="minorHAnsi" w:cstheme="minorHAnsi"/>
        </w:rPr>
        <w:t xml:space="preserve">may do so </w:t>
      </w:r>
      <w:r w:rsidR="00AE75A9" w:rsidRPr="003E4A43">
        <w:rPr>
          <w:rFonts w:asciiTheme="minorHAnsi" w:hAnsiTheme="minorHAnsi" w:cstheme="minorHAnsi"/>
        </w:rPr>
        <w:t xml:space="preserve">on his or her initiative or on written application by </w:t>
      </w:r>
      <w:r w:rsidR="00411A26" w:rsidRPr="003E4A43">
        <w:rPr>
          <w:rFonts w:asciiTheme="minorHAnsi" w:hAnsiTheme="minorHAnsi" w:cstheme="minorHAnsi"/>
        </w:rPr>
        <w:t xml:space="preserve">the relevant higher education </w:t>
      </w:r>
      <w:r w:rsidR="00AE75A9" w:rsidRPr="003E4A43">
        <w:rPr>
          <w:rFonts w:asciiTheme="minorHAnsi" w:hAnsiTheme="minorHAnsi" w:cstheme="minorHAnsi"/>
        </w:rPr>
        <w:t xml:space="preserve">provider. </w:t>
      </w:r>
    </w:p>
    <w:p w14:paraId="29578A99" w14:textId="7AD4CB03" w:rsidR="00B27F67" w:rsidRPr="003E4A43" w:rsidRDefault="00B27F67" w:rsidP="005E7759">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w:t>
      </w:r>
      <w:r w:rsidR="008A1276" w:rsidRPr="003E4A43">
        <w:rPr>
          <w:rFonts w:asciiTheme="minorHAnsi" w:hAnsiTheme="minorHAnsi" w:cstheme="minorHAnsi"/>
          <w:b/>
          <w:u w:val="single"/>
        </w:rPr>
        <w:t>46</w:t>
      </w:r>
      <w:r w:rsidRPr="003E4A43">
        <w:rPr>
          <w:rFonts w:asciiTheme="minorHAnsi" w:hAnsiTheme="minorHAnsi" w:cstheme="minorHAnsi"/>
          <w:b/>
          <w:u w:val="single"/>
        </w:rPr>
        <w:t>: Recover</w:t>
      </w:r>
      <w:r w:rsidR="00B97013" w:rsidRPr="003E4A43">
        <w:rPr>
          <w:rFonts w:asciiTheme="minorHAnsi" w:hAnsiTheme="minorHAnsi" w:cstheme="minorHAnsi"/>
          <w:b/>
          <w:u w:val="single"/>
        </w:rPr>
        <w:t>y</w:t>
      </w:r>
      <w:r w:rsidRPr="003E4A43">
        <w:rPr>
          <w:rFonts w:asciiTheme="minorHAnsi" w:hAnsiTheme="minorHAnsi" w:cstheme="minorHAnsi"/>
          <w:b/>
          <w:u w:val="single"/>
        </w:rPr>
        <w:t xml:space="preserve"> of higher education provider charge and late payment penalty</w:t>
      </w:r>
    </w:p>
    <w:p w14:paraId="3F88F732" w14:textId="2D8C02A3" w:rsidR="00AE75A9" w:rsidRPr="003E4A43" w:rsidRDefault="00E61E8A" w:rsidP="00BA3A1A">
      <w:pPr>
        <w:numPr>
          <w:ilvl w:val="0"/>
          <w:numId w:val="1"/>
        </w:numPr>
        <w:spacing w:after="160" w:line="257" w:lineRule="auto"/>
        <w:ind w:left="680" w:hanging="680"/>
        <w:rPr>
          <w:rFonts w:asciiTheme="minorHAnsi" w:hAnsiTheme="minorHAnsi" w:cstheme="minorHAnsi"/>
        </w:rPr>
      </w:pPr>
      <w:r w:rsidRPr="003E4A43">
        <w:rPr>
          <w:rFonts w:asciiTheme="minorHAnsi" w:hAnsiTheme="minorHAnsi" w:cstheme="minorHAnsi"/>
        </w:rPr>
        <w:t>This section</w:t>
      </w:r>
      <w:r w:rsidR="00AE75A9" w:rsidRPr="003E4A43">
        <w:rPr>
          <w:rFonts w:asciiTheme="minorHAnsi" w:hAnsiTheme="minorHAnsi" w:cstheme="minorHAnsi"/>
        </w:rPr>
        <w:t xml:space="preserve"> </w:t>
      </w:r>
      <w:r w:rsidR="00932940" w:rsidRPr="003E4A43">
        <w:rPr>
          <w:rFonts w:asciiTheme="minorHAnsi" w:hAnsiTheme="minorHAnsi" w:cstheme="minorHAnsi"/>
        </w:rPr>
        <w:t>provides</w:t>
      </w:r>
      <w:r w:rsidR="00C22AE3" w:rsidRPr="003E4A43">
        <w:rPr>
          <w:rFonts w:asciiTheme="minorHAnsi" w:hAnsiTheme="minorHAnsi" w:cstheme="minorHAnsi"/>
        </w:rPr>
        <w:t>, for the purposes of paragraph 19-66(2)(f) and (h) of the Act,</w:t>
      </w:r>
      <w:r w:rsidR="00AE75A9" w:rsidRPr="003E4A43">
        <w:rPr>
          <w:rFonts w:asciiTheme="minorHAnsi" w:hAnsiTheme="minorHAnsi" w:cstheme="minorHAnsi"/>
        </w:rPr>
        <w:t xml:space="preserve"> that the</w:t>
      </w:r>
      <w:r w:rsidR="002E0B9F" w:rsidRPr="003E4A43">
        <w:rPr>
          <w:rFonts w:asciiTheme="minorHAnsi" w:hAnsiTheme="minorHAnsi" w:cstheme="minorHAnsi"/>
        </w:rPr>
        <w:t xml:space="preserve"> amount of higher education provider</w:t>
      </w:r>
      <w:r w:rsidR="00AE75A9" w:rsidRPr="003E4A43">
        <w:rPr>
          <w:rFonts w:asciiTheme="minorHAnsi" w:hAnsiTheme="minorHAnsi" w:cstheme="minorHAnsi"/>
        </w:rPr>
        <w:t xml:space="preserve"> charge and late payment penalty may be recovered by the Secretary, on behalf of the Commonwealth, from a higher education provider as debts due to the Commonwealth. </w:t>
      </w:r>
    </w:p>
    <w:p w14:paraId="2C61E060" w14:textId="3A158E82" w:rsidR="00E61E8A" w:rsidRPr="003E4A43" w:rsidRDefault="00E61E8A" w:rsidP="005E7759">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w:t>
      </w:r>
      <w:r w:rsidR="008A1276" w:rsidRPr="003E4A43">
        <w:rPr>
          <w:rFonts w:asciiTheme="minorHAnsi" w:hAnsiTheme="minorHAnsi" w:cstheme="minorHAnsi"/>
          <w:b/>
          <w:u w:val="single"/>
        </w:rPr>
        <w:t>4</w:t>
      </w:r>
      <w:r w:rsidR="00866CB8" w:rsidRPr="003E4A43">
        <w:rPr>
          <w:rFonts w:asciiTheme="minorHAnsi" w:hAnsiTheme="minorHAnsi" w:cstheme="minorHAnsi"/>
          <w:b/>
          <w:u w:val="single"/>
        </w:rPr>
        <w:t>7</w:t>
      </w:r>
      <w:r w:rsidRPr="003E4A43">
        <w:rPr>
          <w:rFonts w:asciiTheme="minorHAnsi" w:hAnsiTheme="minorHAnsi" w:cstheme="minorHAnsi"/>
          <w:b/>
          <w:u w:val="single"/>
        </w:rPr>
        <w:t xml:space="preserve">: Refund of higher education </w:t>
      </w:r>
      <w:r w:rsidR="003E21BB" w:rsidRPr="003E4A43">
        <w:rPr>
          <w:rFonts w:asciiTheme="minorHAnsi" w:hAnsiTheme="minorHAnsi" w:cstheme="minorHAnsi"/>
          <w:b/>
          <w:u w:val="single"/>
        </w:rPr>
        <w:t>provider charge and late payment penalty</w:t>
      </w:r>
    </w:p>
    <w:p w14:paraId="16DC5CE0" w14:textId="6808F04F" w:rsidR="00E07FC7" w:rsidRPr="003E4A43" w:rsidRDefault="00E07FC7" w:rsidP="00BA3A1A">
      <w:pPr>
        <w:numPr>
          <w:ilvl w:val="0"/>
          <w:numId w:val="1"/>
        </w:numPr>
        <w:spacing w:after="160" w:line="257" w:lineRule="auto"/>
        <w:ind w:left="680" w:hanging="680"/>
        <w:rPr>
          <w:rFonts w:asciiTheme="minorHAnsi" w:hAnsiTheme="minorHAnsi" w:cstheme="minorHAnsi"/>
        </w:rPr>
      </w:pPr>
      <w:r w:rsidRPr="003E4A43">
        <w:rPr>
          <w:rFonts w:asciiTheme="minorHAnsi" w:hAnsiTheme="minorHAnsi" w:cstheme="minorHAnsi"/>
        </w:rPr>
        <w:t xml:space="preserve">Subsection </w:t>
      </w:r>
      <w:r w:rsidR="008A1276" w:rsidRPr="003E4A43">
        <w:rPr>
          <w:rFonts w:asciiTheme="minorHAnsi" w:hAnsiTheme="minorHAnsi" w:cstheme="minorHAnsi"/>
        </w:rPr>
        <w:t>4</w:t>
      </w:r>
      <w:r w:rsidR="00866CB8" w:rsidRPr="003E4A43">
        <w:rPr>
          <w:rFonts w:asciiTheme="minorHAnsi" w:hAnsiTheme="minorHAnsi" w:cstheme="minorHAnsi"/>
        </w:rPr>
        <w:t>7</w:t>
      </w:r>
      <w:r w:rsidRPr="003E4A43">
        <w:rPr>
          <w:rFonts w:asciiTheme="minorHAnsi" w:hAnsiTheme="minorHAnsi" w:cstheme="minorHAnsi"/>
        </w:rPr>
        <w:t>(1)</w:t>
      </w:r>
      <w:r w:rsidR="00AE75A9" w:rsidRPr="003E4A43">
        <w:rPr>
          <w:rFonts w:asciiTheme="minorHAnsi" w:hAnsiTheme="minorHAnsi" w:cstheme="minorHAnsi"/>
        </w:rPr>
        <w:t xml:space="preserve"> provide</w:t>
      </w:r>
      <w:r w:rsidR="003E21BB" w:rsidRPr="003E4A43">
        <w:rPr>
          <w:rFonts w:asciiTheme="minorHAnsi" w:hAnsiTheme="minorHAnsi" w:cstheme="minorHAnsi"/>
        </w:rPr>
        <w:t>s</w:t>
      </w:r>
      <w:r w:rsidR="001F2F27" w:rsidRPr="003E4A43">
        <w:rPr>
          <w:rFonts w:asciiTheme="minorHAnsi" w:hAnsiTheme="minorHAnsi" w:cstheme="minorHAnsi"/>
        </w:rPr>
        <w:t>, for the purposes of paragraph 19-66(2)(f) of the Act,</w:t>
      </w:r>
      <w:r w:rsidR="00AE75A9" w:rsidRPr="003E4A43">
        <w:rPr>
          <w:rFonts w:asciiTheme="minorHAnsi" w:hAnsiTheme="minorHAnsi" w:cstheme="minorHAnsi"/>
        </w:rPr>
        <w:t xml:space="preserve"> </w:t>
      </w:r>
      <w:r w:rsidR="00D52D2E" w:rsidRPr="003E4A43">
        <w:rPr>
          <w:rFonts w:asciiTheme="minorHAnsi" w:hAnsiTheme="minorHAnsi" w:cstheme="minorHAnsi"/>
        </w:rPr>
        <w:t>t</w:t>
      </w:r>
      <w:r w:rsidR="00AE75A9" w:rsidRPr="003E4A43">
        <w:rPr>
          <w:rFonts w:asciiTheme="minorHAnsi" w:hAnsiTheme="minorHAnsi" w:cstheme="minorHAnsi"/>
        </w:rPr>
        <w:t xml:space="preserve">he Secretary may refund </w:t>
      </w:r>
      <w:r w:rsidR="009973E2" w:rsidRPr="003E4A43">
        <w:rPr>
          <w:rFonts w:asciiTheme="minorHAnsi" w:hAnsiTheme="minorHAnsi" w:cstheme="minorHAnsi"/>
        </w:rPr>
        <w:t xml:space="preserve">the whole or a part of </w:t>
      </w:r>
      <w:r w:rsidR="00AE75A9" w:rsidRPr="003E4A43">
        <w:rPr>
          <w:rFonts w:asciiTheme="minorHAnsi" w:hAnsiTheme="minorHAnsi" w:cstheme="minorHAnsi"/>
        </w:rPr>
        <w:t xml:space="preserve">the </w:t>
      </w:r>
      <w:r w:rsidR="00D52D2E" w:rsidRPr="003E4A43">
        <w:rPr>
          <w:rFonts w:asciiTheme="minorHAnsi" w:hAnsiTheme="minorHAnsi" w:cstheme="minorHAnsi"/>
        </w:rPr>
        <w:t xml:space="preserve">higher education provider </w:t>
      </w:r>
      <w:r w:rsidR="00AE75A9" w:rsidRPr="003E4A43">
        <w:rPr>
          <w:rFonts w:asciiTheme="minorHAnsi" w:hAnsiTheme="minorHAnsi" w:cstheme="minorHAnsi"/>
        </w:rPr>
        <w:t xml:space="preserve">charge or late payment penalty </w:t>
      </w:r>
      <w:r w:rsidR="009973E2" w:rsidRPr="003E4A43">
        <w:rPr>
          <w:rFonts w:asciiTheme="minorHAnsi" w:hAnsiTheme="minorHAnsi" w:cstheme="minorHAnsi"/>
        </w:rPr>
        <w:t xml:space="preserve">(or both) </w:t>
      </w:r>
      <w:r w:rsidR="00AE75A9" w:rsidRPr="003E4A43">
        <w:rPr>
          <w:rFonts w:asciiTheme="minorHAnsi" w:hAnsiTheme="minorHAnsi" w:cstheme="minorHAnsi"/>
        </w:rPr>
        <w:t xml:space="preserve">if the Secretary is satisfied </w:t>
      </w:r>
      <w:r w:rsidR="00174536" w:rsidRPr="003E4A43">
        <w:rPr>
          <w:rFonts w:asciiTheme="minorHAnsi" w:hAnsiTheme="minorHAnsi" w:cstheme="minorHAnsi"/>
        </w:rPr>
        <w:t xml:space="preserve">that special or unusual circumstances exist that cause the charge or late payment penalty to be unreasonable or </w:t>
      </w:r>
      <w:r w:rsidR="00262AB1" w:rsidRPr="003E4A43">
        <w:rPr>
          <w:rFonts w:asciiTheme="minorHAnsi" w:hAnsiTheme="minorHAnsi" w:cstheme="minorHAnsi"/>
        </w:rPr>
        <w:t>in</w:t>
      </w:r>
      <w:r w:rsidR="00174536" w:rsidRPr="003E4A43">
        <w:rPr>
          <w:rFonts w:asciiTheme="minorHAnsi" w:hAnsiTheme="minorHAnsi" w:cstheme="minorHAnsi"/>
        </w:rPr>
        <w:t>equitable</w:t>
      </w:r>
      <w:r w:rsidR="00AE75A9" w:rsidRPr="003E4A43">
        <w:rPr>
          <w:rFonts w:asciiTheme="minorHAnsi" w:hAnsiTheme="minorHAnsi" w:cstheme="minorHAnsi"/>
        </w:rPr>
        <w:t>.</w:t>
      </w:r>
      <w:r w:rsidR="00262AB1" w:rsidRPr="003E4A43">
        <w:rPr>
          <w:rFonts w:asciiTheme="minorHAnsi" w:hAnsiTheme="minorHAnsi" w:cstheme="minorHAnsi"/>
        </w:rPr>
        <w:t xml:space="preserve"> </w:t>
      </w:r>
    </w:p>
    <w:p w14:paraId="69125C06" w14:textId="39F7F3CC" w:rsidR="00AE75A9" w:rsidRPr="003E4A43" w:rsidRDefault="00E07FC7" w:rsidP="00BA3A1A">
      <w:pPr>
        <w:numPr>
          <w:ilvl w:val="0"/>
          <w:numId w:val="1"/>
        </w:numPr>
        <w:spacing w:after="160" w:line="257" w:lineRule="auto"/>
        <w:ind w:left="680" w:hanging="680"/>
        <w:rPr>
          <w:rFonts w:asciiTheme="minorHAnsi" w:hAnsiTheme="minorHAnsi" w:cstheme="minorHAnsi"/>
        </w:rPr>
      </w:pPr>
      <w:r w:rsidRPr="003E4A43">
        <w:rPr>
          <w:rFonts w:asciiTheme="minorHAnsi" w:hAnsiTheme="minorHAnsi" w:cstheme="minorHAnsi"/>
        </w:rPr>
        <w:t xml:space="preserve">Subsection </w:t>
      </w:r>
      <w:r w:rsidR="008A1276" w:rsidRPr="003E4A43">
        <w:rPr>
          <w:rFonts w:asciiTheme="minorHAnsi" w:hAnsiTheme="minorHAnsi" w:cstheme="minorHAnsi"/>
        </w:rPr>
        <w:t>4</w:t>
      </w:r>
      <w:r w:rsidR="00866CB8" w:rsidRPr="003E4A43">
        <w:rPr>
          <w:rFonts w:asciiTheme="minorHAnsi" w:hAnsiTheme="minorHAnsi" w:cstheme="minorHAnsi"/>
        </w:rPr>
        <w:t>7</w:t>
      </w:r>
      <w:r w:rsidRPr="003E4A43">
        <w:rPr>
          <w:rFonts w:asciiTheme="minorHAnsi" w:hAnsiTheme="minorHAnsi" w:cstheme="minorHAnsi"/>
        </w:rPr>
        <w:t>(2) provides that t</w:t>
      </w:r>
      <w:r w:rsidR="00262AB1" w:rsidRPr="003E4A43">
        <w:rPr>
          <w:rFonts w:asciiTheme="minorHAnsi" w:hAnsiTheme="minorHAnsi" w:cstheme="minorHAnsi"/>
        </w:rPr>
        <w:t xml:space="preserve">he </w:t>
      </w:r>
      <w:r w:rsidR="008A6926" w:rsidRPr="003E4A43">
        <w:rPr>
          <w:rFonts w:asciiTheme="minorHAnsi" w:hAnsiTheme="minorHAnsi" w:cstheme="minorHAnsi"/>
        </w:rPr>
        <w:t xml:space="preserve">Secretary may do so on his or her initiative or on written application </w:t>
      </w:r>
      <w:r w:rsidR="001229D2" w:rsidRPr="003E4A43">
        <w:rPr>
          <w:rFonts w:asciiTheme="minorHAnsi" w:hAnsiTheme="minorHAnsi" w:cstheme="minorHAnsi"/>
        </w:rPr>
        <w:t xml:space="preserve">by the relevant higher education provider. </w:t>
      </w:r>
    </w:p>
    <w:p w14:paraId="40EACBDA" w14:textId="78509E91" w:rsidR="00AE75A9" w:rsidRPr="003E4A43" w:rsidRDefault="005D13E6" w:rsidP="005E7759">
      <w:pPr>
        <w:spacing w:before="360" w:after="120"/>
        <w:rPr>
          <w:rFonts w:asciiTheme="minorHAnsi" w:hAnsiTheme="minorHAnsi" w:cstheme="minorHAnsi"/>
          <w:b/>
          <w:u w:val="single"/>
        </w:rPr>
      </w:pPr>
      <w:r w:rsidRPr="003E4A43">
        <w:rPr>
          <w:rFonts w:asciiTheme="minorHAnsi" w:hAnsiTheme="minorHAnsi" w:cstheme="minorHAnsi"/>
          <w:b/>
          <w:u w:val="single"/>
        </w:rPr>
        <w:t xml:space="preserve">Section </w:t>
      </w:r>
      <w:r w:rsidR="00866CB8" w:rsidRPr="003E4A43">
        <w:rPr>
          <w:rFonts w:asciiTheme="minorHAnsi" w:hAnsiTheme="minorHAnsi" w:cstheme="minorHAnsi"/>
          <w:b/>
          <w:u w:val="single"/>
        </w:rPr>
        <w:t>48</w:t>
      </w:r>
      <w:r w:rsidRPr="003E4A43">
        <w:rPr>
          <w:rFonts w:asciiTheme="minorHAnsi" w:hAnsiTheme="minorHAnsi" w:cstheme="minorHAnsi"/>
          <w:b/>
          <w:u w:val="single"/>
        </w:rPr>
        <w:t>: Reviewable decisions</w:t>
      </w:r>
    </w:p>
    <w:p w14:paraId="3ADB7895" w14:textId="2BBFBFD1" w:rsidR="0028119A" w:rsidRPr="003E4A43" w:rsidRDefault="005D13E6" w:rsidP="00FC477B">
      <w:pPr>
        <w:numPr>
          <w:ilvl w:val="0"/>
          <w:numId w:val="1"/>
        </w:numPr>
        <w:spacing w:after="160" w:line="257" w:lineRule="auto"/>
        <w:ind w:left="680" w:hanging="680"/>
        <w:rPr>
          <w:rFonts w:asciiTheme="minorHAnsi" w:hAnsiTheme="minorHAnsi" w:cstheme="minorHAnsi"/>
        </w:rPr>
      </w:pPr>
      <w:r w:rsidRPr="003E4A43">
        <w:rPr>
          <w:rFonts w:asciiTheme="minorHAnsi" w:hAnsiTheme="minorHAnsi" w:cstheme="minorHAnsi"/>
        </w:rPr>
        <w:t>This section</w:t>
      </w:r>
      <w:r w:rsidR="00AE75A9" w:rsidRPr="003E4A43">
        <w:rPr>
          <w:rFonts w:asciiTheme="minorHAnsi" w:hAnsiTheme="minorHAnsi" w:cstheme="minorHAnsi"/>
        </w:rPr>
        <w:t xml:space="preserve"> provides </w:t>
      </w:r>
      <w:r w:rsidR="0028119A" w:rsidRPr="003E4A43">
        <w:rPr>
          <w:rFonts w:asciiTheme="minorHAnsi" w:hAnsiTheme="minorHAnsi" w:cstheme="minorHAnsi"/>
        </w:rPr>
        <w:t>that</w:t>
      </w:r>
      <w:r w:rsidR="00237515" w:rsidRPr="003E4A43">
        <w:rPr>
          <w:rFonts w:asciiTheme="minorHAnsi" w:hAnsiTheme="minorHAnsi" w:cstheme="minorHAnsi"/>
        </w:rPr>
        <w:t>, for the purposes of paragraph 19-66(2)(g) of the Act,</w:t>
      </w:r>
      <w:r w:rsidR="0028119A" w:rsidRPr="003E4A43">
        <w:rPr>
          <w:rFonts w:asciiTheme="minorHAnsi" w:hAnsiTheme="minorHAnsi" w:cstheme="minorHAnsi"/>
        </w:rPr>
        <w:t xml:space="preserve"> a reviewable decision is:</w:t>
      </w:r>
    </w:p>
    <w:p w14:paraId="07D57E32" w14:textId="78CAF28E" w:rsidR="0028119A" w:rsidRPr="003E4A43" w:rsidRDefault="0028119A" w:rsidP="00161985">
      <w:pPr>
        <w:numPr>
          <w:ilvl w:val="0"/>
          <w:numId w:val="6"/>
        </w:numPr>
        <w:spacing w:after="160" w:line="256" w:lineRule="auto"/>
        <w:rPr>
          <w:rFonts w:asciiTheme="minorHAnsi" w:hAnsiTheme="minorHAnsi" w:cstheme="minorHAnsi"/>
        </w:rPr>
      </w:pPr>
      <w:r w:rsidRPr="003E4A43">
        <w:rPr>
          <w:rFonts w:asciiTheme="minorHAnsi" w:hAnsiTheme="minorHAnsi" w:cstheme="minorHAnsi"/>
        </w:rPr>
        <w:t>a decision to issue a notice under subsection 4</w:t>
      </w:r>
      <w:r w:rsidR="00866CB8" w:rsidRPr="003E4A43">
        <w:rPr>
          <w:rFonts w:asciiTheme="minorHAnsi" w:hAnsiTheme="minorHAnsi" w:cstheme="minorHAnsi"/>
        </w:rPr>
        <w:t>1</w:t>
      </w:r>
      <w:r w:rsidRPr="003E4A43">
        <w:rPr>
          <w:rFonts w:asciiTheme="minorHAnsi" w:hAnsiTheme="minorHAnsi" w:cstheme="minorHAnsi"/>
        </w:rPr>
        <w:t xml:space="preserve">(1) in relation to the determination of the </w:t>
      </w:r>
      <w:r w:rsidR="00E17337" w:rsidRPr="003E4A43">
        <w:rPr>
          <w:rFonts w:asciiTheme="minorHAnsi" w:hAnsiTheme="minorHAnsi" w:cstheme="minorHAnsi"/>
        </w:rPr>
        <w:t xml:space="preserve">higher education provider </w:t>
      </w:r>
      <w:proofErr w:type="gramStart"/>
      <w:r w:rsidRPr="003E4A43">
        <w:rPr>
          <w:rFonts w:asciiTheme="minorHAnsi" w:hAnsiTheme="minorHAnsi" w:cstheme="minorHAnsi"/>
        </w:rPr>
        <w:t>charge;</w:t>
      </w:r>
      <w:proofErr w:type="gramEnd"/>
    </w:p>
    <w:p w14:paraId="49AC9E05" w14:textId="4D43CD36" w:rsidR="0028119A" w:rsidRPr="003E4A43" w:rsidRDefault="0028119A" w:rsidP="00161985">
      <w:pPr>
        <w:numPr>
          <w:ilvl w:val="0"/>
          <w:numId w:val="6"/>
        </w:numPr>
        <w:spacing w:after="160" w:line="256" w:lineRule="auto"/>
        <w:rPr>
          <w:rFonts w:asciiTheme="minorHAnsi" w:hAnsiTheme="minorHAnsi" w:cstheme="minorHAnsi"/>
        </w:rPr>
      </w:pPr>
      <w:r w:rsidRPr="003E4A43">
        <w:rPr>
          <w:rFonts w:asciiTheme="minorHAnsi" w:hAnsiTheme="minorHAnsi" w:cstheme="minorHAnsi"/>
        </w:rPr>
        <w:t xml:space="preserve">a decision not to waive the payment of the whole or a part of an amount of the charge or late payment penalty under subsection </w:t>
      </w:r>
      <w:r w:rsidR="00747C36" w:rsidRPr="003E4A43">
        <w:rPr>
          <w:rFonts w:asciiTheme="minorHAnsi" w:hAnsiTheme="minorHAnsi" w:cstheme="minorHAnsi"/>
        </w:rPr>
        <w:t>4</w:t>
      </w:r>
      <w:r w:rsidRPr="003E4A43">
        <w:rPr>
          <w:rFonts w:asciiTheme="minorHAnsi" w:hAnsiTheme="minorHAnsi" w:cstheme="minorHAnsi"/>
        </w:rPr>
        <w:t>5(1)</w:t>
      </w:r>
      <w:r w:rsidR="00E37DA9" w:rsidRPr="003E4A43">
        <w:rPr>
          <w:rFonts w:asciiTheme="minorHAnsi" w:hAnsiTheme="minorHAnsi" w:cstheme="minorHAnsi"/>
        </w:rPr>
        <w:t xml:space="preserve"> </w:t>
      </w:r>
      <w:r w:rsidRPr="003E4A43">
        <w:rPr>
          <w:rFonts w:asciiTheme="minorHAnsi" w:hAnsiTheme="minorHAnsi" w:cstheme="minorHAnsi"/>
        </w:rPr>
        <w:t xml:space="preserve">following an application by a higher education </w:t>
      </w:r>
      <w:proofErr w:type="gramStart"/>
      <w:r w:rsidRPr="003E4A43">
        <w:rPr>
          <w:rFonts w:asciiTheme="minorHAnsi" w:hAnsiTheme="minorHAnsi" w:cstheme="minorHAnsi"/>
        </w:rPr>
        <w:t>provider;</w:t>
      </w:r>
      <w:proofErr w:type="gramEnd"/>
      <w:r w:rsidRPr="003E4A43">
        <w:rPr>
          <w:rFonts w:asciiTheme="minorHAnsi" w:hAnsiTheme="minorHAnsi" w:cstheme="minorHAnsi"/>
        </w:rPr>
        <w:t xml:space="preserve"> </w:t>
      </w:r>
    </w:p>
    <w:p w14:paraId="3A276091" w14:textId="39DE1320" w:rsidR="0028119A" w:rsidRPr="003E4A43" w:rsidRDefault="0028119A" w:rsidP="00161985">
      <w:pPr>
        <w:numPr>
          <w:ilvl w:val="0"/>
          <w:numId w:val="6"/>
        </w:numPr>
        <w:spacing w:after="160" w:line="256" w:lineRule="auto"/>
        <w:rPr>
          <w:rFonts w:asciiTheme="minorHAnsi" w:hAnsiTheme="minorHAnsi" w:cstheme="minorHAnsi"/>
        </w:rPr>
      </w:pPr>
      <w:r w:rsidRPr="003E4A43">
        <w:rPr>
          <w:rFonts w:asciiTheme="minorHAnsi" w:hAnsiTheme="minorHAnsi" w:cstheme="minorHAnsi"/>
        </w:rPr>
        <w:t xml:space="preserve">a decision not to refund the payment of the whole or a part of an amount of the charge or late payment penalty under subsection </w:t>
      </w:r>
      <w:r w:rsidR="00747C36" w:rsidRPr="003E4A43">
        <w:rPr>
          <w:rFonts w:asciiTheme="minorHAnsi" w:hAnsiTheme="minorHAnsi" w:cstheme="minorHAnsi"/>
        </w:rPr>
        <w:t>47</w:t>
      </w:r>
      <w:r w:rsidRPr="003E4A43">
        <w:rPr>
          <w:rFonts w:asciiTheme="minorHAnsi" w:hAnsiTheme="minorHAnsi" w:cstheme="minorHAnsi"/>
        </w:rPr>
        <w:t xml:space="preserve">(1) following an application by a higher education provider. </w:t>
      </w:r>
    </w:p>
    <w:p w14:paraId="48118BFE" w14:textId="17907816" w:rsidR="00E1036B" w:rsidRPr="003E4A43" w:rsidRDefault="00E1036B" w:rsidP="005E7759">
      <w:pPr>
        <w:spacing w:before="360" w:after="120"/>
        <w:rPr>
          <w:rFonts w:asciiTheme="minorHAnsi" w:hAnsiTheme="minorHAnsi" w:cstheme="minorHAnsi"/>
          <w:b/>
          <w:u w:val="single"/>
        </w:rPr>
      </w:pPr>
      <w:r w:rsidRPr="003E4A43">
        <w:rPr>
          <w:rFonts w:asciiTheme="minorHAnsi" w:hAnsiTheme="minorHAnsi" w:cstheme="minorHAnsi"/>
          <w:b/>
          <w:u w:val="single"/>
        </w:rPr>
        <w:lastRenderedPageBreak/>
        <w:t xml:space="preserve">Section </w:t>
      </w:r>
      <w:r w:rsidR="00747C36" w:rsidRPr="003E4A43">
        <w:rPr>
          <w:rFonts w:asciiTheme="minorHAnsi" w:hAnsiTheme="minorHAnsi" w:cstheme="minorHAnsi"/>
          <w:b/>
          <w:u w:val="single"/>
        </w:rPr>
        <w:t>49</w:t>
      </w:r>
      <w:r w:rsidR="008C4381" w:rsidRPr="003E4A43">
        <w:rPr>
          <w:rFonts w:asciiTheme="minorHAnsi" w:hAnsiTheme="minorHAnsi" w:cstheme="minorHAnsi"/>
          <w:b/>
          <w:u w:val="single"/>
        </w:rPr>
        <w:t>: Internal review</w:t>
      </w:r>
    </w:p>
    <w:p w14:paraId="587F7909" w14:textId="1C5BA615" w:rsidR="00D90602" w:rsidRPr="003E4A43" w:rsidRDefault="00F758A3" w:rsidP="00FC477B">
      <w:pPr>
        <w:numPr>
          <w:ilvl w:val="0"/>
          <w:numId w:val="1"/>
        </w:numPr>
        <w:spacing w:after="160" w:line="257" w:lineRule="auto"/>
        <w:ind w:left="680" w:hanging="680"/>
        <w:rPr>
          <w:rFonts w:asciiTheme="minorHAnsi" w:hAnsiTheme="minorHAnsi" w:cstheme="minorHAnsi"/>
        </w:rPr>
      </w:pPr>
      <w:r w:rsidRPr="003E4A43">
        <w:rPr>
          <w:rFonts w:asciiTheme="minorHAnsi" w:hAnsiTheme="minorHAnsi" w:cstheme="minorHAnsi"/>
        </w:rPr>
        <w:t>Subsectio</w:t>
      </w:r>
      <w:r w:rsidR="0029337C" w:rsidRPr="003E4A43">
        <w:rPr>
          <w:rFonts w:asciiTheme="minorHAnsi" w:hAnsiTheme="minorHAnsi" w:cstheme="minorHAnsi"/>
        </w:rPr>
        <w:t>n</w:t>
      </w:r>
      <w:r w:rsidRPr="003E4A43">
        <w:rPr>
          <w:rFonts w:asciiTheme="minorHAnsi" w:hAnsiTheme="minorHAnsi" w:cstheme="minorHAnsi"/>
        </w:rPr>
        <w:t xml:space="preserve"> </w:t>
      </w:r>
      <w:r w:rsidR="00747C36" w:rsidRPr="003E4A43">
        <w:rPr>
          <w:rFonts w:asciiTheme="minorHAnsi" w:hAnsiTheme="minorHAnsi" w:cstheme="minorHAnsi"/>
        </w:rPr>
        <w:t>49</w:t>
      </w:r>
      <w:r w:rsidRPr="003E4A43">
        <w:rPr>
          <w:rFonts w:asciiTheme="minorHAnsi" w:hAnsiTheme="minorHAnsi" w:cstheme="minorHAnsi"/>
        </w:rPr>
        <w:t xml:space="preserve">(1) </w:t>
      </w:r>
      <w:r w:rsidR="00E2407D" w:rsidRPr="003E4A43">
        <w:rPr>
          <w:rFonts w:asciiTheme="minorHAnsi" w:hAnsiTheme="minorHAnsi" w:cstheme="minorHAnsi"/>
        </w:rPr>
        <w:t>provides that</w:t>
      </w:r>
      <w:r w:rsidR="0073463F" w:rsidRPr="003E4A43">
        <w:rPr>
          <w:rFonts w:asciiTheme="minorHAnsi" w:hAnsiTheme="minorHAnsi" w:cstheme="minorHAnsi"/>
        </w:rPr>
        <w:t>, for the purposes of paragraph 19-66(2)(g) of the Act,</w:t>
      </w:r>
      <w:r w:rsidR="00E2407D" w:rsidRPr="003E4A43">
        <w:rPr>
          <w:rFonts w:asciiTheme="minorHAnsi" w:hAnsiTheme="minorHAnsi" w:cstheme="minorHAnsi"/>
        </w:rPr>
        <w:t xml:space="preserve"> a</w:t>
      </w:r>
      <w:r w:rsidR="00D90602" w:rsidRPr="003E4A43">
        <w:rPr>
          <w:rFonts w:asciiTheme="minorHAnsi" w:hAnsiTheme="minorHAnsi" w:cstheme="minorHAnsi"/>
        </w:rPr>
        <w:t xml:space="preserve"> higher education provider may request the Secretary to reconsider</w:t>
      </w:r>
      <w:r w:rsidR="0008304C" w:rsidRPr="003E4A43">
        <w:rPr>
          <w:rFonts w:asciiTheme="minorHAnsi" w:hAnsiTheme="minorHAnsi" w:cstheme="minorHAnsi"/>
        </w:rPr>
        <w:t xml:space="preserve"> a reviewable decision. </w:t>
      </w:r>
    </w:p>
    <w:p w14:paraId="26A13C0D" w14:textId="74ECF264" w:rsidR="00D8333B" w:rsidRPr="003E4A43" w:rsidRDefault="00A343F7" w:rsidP="00735C28">
      <w:pPr>
        <w:numPr>
          <w:ilvl w:val="0"/>
          <w:numId w:val="1"/>
        </w:numPr>
        <w:spacing w:after="160" w:line="257" w:lineRule="auto"/>
        <w:ind w:left="680" w:hanging="680"/>
        <w:rPr>
          <w:rFonts w:asciiTheme="minorHAnsi" w:hAnsiTheme="minorHAnsi" w:cstheme="minorHAnsi"/>
        </w:rPr>
      </w:pPr>
      <w:r w:rsidRPr="003E4A43">
        <w:rPr>
          <w:rFonts w:asciiTheme="minorHAnsi" w:hAnsiTheme="minorHAnsi" w:cstheme="minorHAnsi"/>
        </w:rPr>
        <w:t xml:space="preserve">Subsection </w:t>
      </w:r>
      <w:r w:rsidR="00747C36" w:rsidRPr="003E4A43">
        <w:rPr>
          <w:rFonts w:asciiTheme="minorHAnsi" w:hAnsiTheme="minorHAnsi" w:cstheme="minorHAnsi"/>
        </w:rPr>
        <w:t>49</w:t>
      </w:r>
      <w:r w:rsidRPr="003E4A43">
        <w:rPr>
          <w:rFonts w:asciiTheme="minorHAnsi" w:hAnsiTheme="minorHAnsi" w:cstheme="minorHAnsi"/>
        </w:rPr>
        <w:t>(2)</w:t>
      </w:r>
      <w:r w:rsidR="00E0586C" w:rsidRPr="003E4A43">
        <w:rPr>
          <w:rFonts w:asciiTheme="minorHAnsi" w:hAnsiTheme="minorHAnsi" w:cstheme="minorHAnsi"/>
        </w:rPr>
        <w:t xml:space="preserve"> requires</w:t>
      </w:r>
      <w:r w:rsidR="0033473F" w:rsidRPr="003E4A43">
        <w:rPr>
          <w:rFonts w:asciiTheme="minorHAnsi" w:hAnsiTheme="minorHAnsi" w:cstheme="minorHAnsi"/>
        </w:rPr>
        <w:t xml:space="preserve"> that a</w:t>
      </w:r>
      <w:r w:rsidR="00D90602" w:rsidRPr="003E4A43">
        <w:rPr>
          <w:rFonts w:asciiTheme="minorHAnsi" w:hAnsiTheme="minorHAnsi" w:cstheme="minorHAnsi"/>
        </w:rPr>
        <w:t xml:space="preserve"> higher education provider</w:t>
      </w:r>
      <w:r w:rsidR="000E4030" w:rsidRPr="003E4A43">
        <w:rPr>
          <w:rFonts w:asciiTheme="minorHAnsi" w:hAnsiTheme="minorHAnsi" w:cstheme="minorHAnsi"/>
        </w:rPr>
        <w:t>’s request</w:t>
      </w:r>
      <w:r w:rsidR="00CC5942" w:rsidRPr="003E4A43">
        <w:rPr>
          <w:rFonts w:asciiTheme="minorHAnsi" w:hAnsiTheme="minorHAnsi" w:cstheme="minorHAnsi"/>
        </w:rPr>
        <w:t xml:space="preserve"> for review</w:t>
      </w:r>
      <w:r w:rsidR="000E4030" w:rsidRPr="003E4A43">
        <w:rPr>
          <w:rFonts w:asciiTheme="minorHAnsi" w:hAnsiTheme="minorHAnsi" w:cstheme="minorHAnsi"/>
        </w:rPr>
        <w:t xml:space="preserve"> </w:t>
      </w:r>
      <w:r w:rsidR="0033473F" w:rsidRPr="003E4A43">
        <w:rPr>
          <w:rFonts w:asciiTheme="minorHAnsi" w:hAnsiTheme="minorHAnsi" w:cstheme="minorHAnsi"/>
        </w:rPr>
        <w:t xml:space="preserve">be made </w:t>
      </w:r>
      <w:r w:rsidR="00D90602" w:rsidRPr="003E4A43">
        <w:rPr>
          <w:rFonts w:asciiTheme="minorHAnsi" w:hAnsiTheme="minorHAnsi" w:cstheme="minorHAnsi"/>
        </w:rPr>
        <w:t xml:space="preserve">in writing and </w:t>
      </w:r>
      <w:r w:rsidR="0033473F" w:rsidRPr="003E4A43">
        <w:rPr>
          <w:rFonts w:asciiTheme="minorHAnsi" w:hAnsiTheme="minorHAnsi" w:cstheme="minorHAnsi"/>
        </w:rPr>
        <w:t xml:space="preserve">be </w:t>
      </w:r>
      <w:r w:rsidR="00D90602" w:rsidRPr="003E4A43">
        <w:rPr>
          <w:rFonts w:asciiTheme="minorHAnsi" w:hAnsiTheme="minorHAnsi" w:cstheme="minorHAnsi"/>
        </w:rPr>
        <w:t>give</w:t>
      </w:r>
      <w:r w:rsidR="0033473F" w:rsidRPr="003E4A43">
        <w:rPr>
          <w:rFonts w:asciiTheme="minorHAnsi" w:hAnsiTheme="minorHAnsi" w:cstheme="minorHAnsi"/>
        </w:rPr>
        <w:t>n</w:t>
      </w:r>
      <w:r w:rsidR="00D8333B" w:rsidRPr="003E4A43">
        <w:rPr>
          <w:rFonts w:asciiTheme="minorHAnsi" w:hAnsiTheme="minorHAnsi" w:cstheme="minorHAnsi"/>
        </w:rPr>
        <w:t xml:space="preserve"> </w:t>
      </w:r>
      <w:r w:rsidR="00D90602" w:rsidRPr="003E4A43">
        <w:rPr>
          <w:rFonts w:asciiTheme="minorHAnsi" w:hAnsiTheme="minorHAnsi" w:cstheme="minorHAnsi"/>
        </w:rPr>
        <w:t>to the Secretary within 14 days</w:t>
      </w:r>
      <w:r w:rsidR="0017047B" w:rsidRPr="003E4A43">
        <w:rPr>
          <w:rFonts w:asciiTheme="minorHAnsi" w:hAnsiTheme="minorHAnsi" w:cstheme="minorHAnsi"/>
        </w:rPr>
        <w:t>, or such longer period as the Secretary allows,</w:t>
      </w:r>
      <w:r w:rsidR="00D90602" w:rsidRPr="003E4A43">
        <w:rPr>
          <w:rFonts w:asciiTheme="minorHAnsi" w:hAnsiTheme="minorHAnsi" w:cstheme="minorHAnsi"/>
        </w:rPr>
        <w:t xml:space="preserve"> after the day on which the provider received the notice</w:t>
      </w:r>
      <w:r w:rsidR="00D8333B" w:rsidRPr="003E4A43">
        <w:rPr>
          <w:rFonts w:asciiTheme="minorHAnsi" w:hAnsiTheme="minorHAnsi" w:cstheme="minorHAnsi"/>
        </w:rPr>
        <w:t xml:space="preserve"> under </w:t>
      </w:r>
      <w:r w:rsidR="0008304C" w:rsidRPr="003E4A43">
        <w:rPr>
          <w:rFonts w:asciiTheme="minorHAnsi" w:hAnsiTheme="minorHAnsi" w:cstheme="minorHAnsi"/>
        </w:rPr>
        <w:t>subsection 4</w:t>
      </w:r>
      <w:r w:rsidR="00B4578E" w:rsidRPr="003E4A43">
        <w:rPr>
          <w:rFonts w:asciiTheme="minorHAnsi" w:hAnsiTheme="minorHAnsi" w:cstheme="minorHAnsi"/>
        </w:rPr>
        <w:t>1</w:t>
      </w:r>
      <w:r w:rsidR="0008304C" w:rsidRPr="003E4A43">
        <w:rPr>
          <w:rFonts w:asciiTheme="minorHAnsi" w:hAnsiTheme="minorHAnsi" w:cstheme="minorHAnsi"/>
        </w:rPr>
        <w:t>(1)</w:t>
      </w:r>
      <w:r w:rsidR="00B33370" w:rsidRPr="003E4A43">
        <w:rPr>
          <w:rFonts w:asciiTheme="minorHAnsi" w:hAnsiTheme="minorHAnsi" w:cstheme="minorHAnsi"/>
        </w:rPr>
        <w:t xml:space="preserve"> </w:t>
      </w:r>
      <w:r w:rsidR="00D8333B" w:rsidRPr="003E4A43">
        <w:rPr>
          <w:rFonts w:asciiTheme="minorHAnsi" w:hAnsiTheme="minorHAnsi" w:cstheme="minorHAnsi"/>
        </w:rPr>
        <w:t xml:space="preserve">or notice of the decision under </w:t>
      </w:r>
      <w:r w:rsidR="0008304C" w:rsidRPr="003E4A43">
        <w:rPr>
          <w:rFonts w:asciiTheme="minorHAnsi" w:hAnsiTheme="minorHAnsi" w:cstheme="minorHAnsi"/>
        </w:rPr>
        <w:t>subsection</w:t>
      </w:r>
      <w:r w:rsidR="00B33370" w:rsidRPr="003E4A43">
        <w:rPr>
          <w:rFonts w:asciiTheme="minorHAnsi" w:hAnsiTheme="minorHAnsi" w:cstheme="minorHAnsi"/>
        </w:rPr>
        <w:t>s</w:t>
      </w:r>
      <w:r w:rsidR="0008304C" w:rsidRPr="003E4A43">
        <w:rPr>
          <w:rFonts w:asciiTheme="minorHAnsi" w:hAnsiTheme="minorHAnsi" w:cstheme="minorHAnsi"/>
        </w:rPr>
        <w:t xml:space="preserve"> </w:t>
      </w:r>
      <w:r w:rsidR="00B4578E" w:rsidRPr="003E4A43">
        <w:rPr>
          <w:rFonts w:asciiTheme="minorHAnsi" w:hAnsiTheme="minorHAnsi" w:cstheme="minorHAnsi"/>
        </w:rPr>
        <w:t>4</w:t>
      </w:r>
      <w:r w:rsidR="0008304C" w:rsidRPr="003E4A43">
        <w:rPr>
          <w:rFonts w:asciiTheme="minorHAnsi" w:hAnsiTheme="minorHAnsi" w:cstheme="minorHAnsi"/>
        </w:rPr>
        <w:t>5(1)</w:t>
      </w:r>
      <w:r w:rsidR="00D8333B" w:rsidRPr="003E4A43">
        <w:rPr>
          <w:rFonts w:asciiTheme="minorHAnsi" w:hAnsiTheme="minorHAnsi" w:cstheme="minorHAnsi"/>
        </w:rPr>
        <w:t xml:space="preserve"> or </w:t>
      </w:r>
      <w:r w:rsidR="00B4578E" w:rsidRPr="003E4A43">
        <w:rPr>
          <w:rFonts w:asciiTheme="minorHAnsi" w:hAnsiTheme="minorHAnsi" w:cstheme="minorHAnsi"/>
        </w:rPr>
        <w:t>47</w:t>
      </w:r>
      <w:r w:rsidR="0008304C" w:rsidRPr="003E4A43">
        <w:rPr>
          <w:rFonts w:asciiTheme="minorHAnsi" w:hAnsiTheme="minorHAnsi" w:cstheme="minorHAnsi"/>
        </w:rPr>
        <w:t>(1)</w:t>
      </w:r>
      <w:r w:rsidR="00D8333B" w:rsidRPr="003E4A43">
        <w:rPr>
          <w:rFonts w:asciiTheme="minorHAnsi" w:hAnsiTheme="minorHAnsi" w:cstheme="minorHAnsi"/>
        </w:rPr>
        <w:t xml:space="preserve">. </w:t>
      </w:r>
    </w:p>
    <w:p w14:paraId="413175ED" w14:textId="411BE7F4" w:rsidR="00D8333B" w:rsidRPr="003E4A43" w:rsidRDefault="0008304C" w:rsidP="00735C28">
      <w:pPr>
        <w:numPr>
          <w:ilvl w:val="0"/>
          <w:numId w:val="1"/>
        </w:numPr>
        <w:spacing w:after="160" w:line="257" w:lineRule="auto"/>
        <w:ind w:left="680" w:hanging="680"/>
        <w:rPr>
          <w:rFonts w:asciiTheme="minorHAnsi" w:hAnsiTheme="minorHAnsi" w:cstheme="minorHAnsi"/>
        </w:rPr>
      </w:pPr>
      <w:r w:rsidRPr="003E4A43">
        <w:rPr>
          <w:rFonts w:asciiTheme="minorHAnsi" w:hAnsiTheme="minorHAnsi" w:cstheme="minorHAnsi"/>
        </w:rPr>
        <w:t xml:space="preserve">Subsection </w:t>
      </w:r>
      <w:r w:rsidR="00B4578E" w:rsidRPr="003E4A43">
        <w:rPr>
          <w:rFonts w:asciiTheme="minorHAnsi" w:hAnsiTheme="minorHAnsi" w:cstheme="minorHAnsi"/>
        </w:rPr>
        <w:t>49</w:t>
      </w:r>
      <w:r w:rsidRPr="003E4A43">
        <w:rPr>
          <w:rFonts w:asciiTheme="minorHAnsi" w:hAnsiTheme="minorHAnsi" w:cstheme="minorHAnsi"/>
        </w:rPr>
        <w:t>(3)</w:t>
      </w:r>
      <w:r w:rsidR="00D90602" w:rsidRPr="003E4A43">
        <w:rPr>
          <w:rFonts w:asciiTheme="minorHAnsi" w:hAnsiTheme="minorHAnsi" w:cstheme="minorHAnsi"/>
        </w:rPr>
        <w:t xml:space="preserve"> provides that</w:t>
      </w:r>
      <w:r w:rsidR="00E00BA4" w:rsidRPr="003E4A43">
        <w:rPr>
          <w:rFonts w:asciiTheme="minorHAnsi" w:hAnsiTheme="minorHAnsi" w:cstheme="minorHAnsi"/>
        </w:rPr>
        <w:t>, after receiving the request,</w:t>
      </w:r>
      <w:r w:rsidR="00D90602" w:rsidRPr="003E4A43">
        <w:rPr>
          <w:rFonts w:asciiTheme="minorHAnsi" w:hAnsiTheme="minorHAnsi" w:cstheme="minorHAnsi"/>
        </w:rPr>
        <w:t xml:space="preserve"> the </w:t>
      </w:r>
      <w:r w:rsidR="00D8333B" w:rsidRPr="003E4A43">
        <w:rPr>
          <w:rFonts w:asciiTheme="minorHAnsi" w:hAnsiTheme="minorHAnsi" w:cstheme="minorHAnsi"/>
        </w:rPr>
        <w:t>Secretary</w:t>
      </w:r>
      <w:r w:rsidR="00D90602" w:rsidRPr="003E4A43">
        <w:rPr>
          <w:rFonts w:asciiTheme="minorHAnsi" w:hAnsiTheme="minorHAnsi" w:cstheme="minorHAnsi"/>
        </w:rPr>
        <w:t xml:space="preserve"> must reconsider the decision and confirm</w:t>
      </w:r>
      <w:r w:rsidR="003B0BF2" w:rsidRPr="003E4A43">
        <w:rPr>
          <w:rFonts w:asciiTheme="minorHAnsi" w:hAnsiTheme="minorHAnsi" w:cstheme="minorHAnsi"/>
        </w:rPr>
        <w:t xml:space="preserve"> or</w:t>
      </w:r>
      <w:r w:rsidR="00D90602" w:rsidRPr="003E4A43">
        <w:rPr>
          <w:rFonts w:asciiTheme="minorHAnsi" w:hAnsiTheme="minorHAnsi" w:cstheme="minorHAnsi"/>
        </w:rPr>
        <w:t xml:space="preserve"> vary</w:t>
      </w:r>
      <w:r w:rsidR="003B0BF2" w:rsidRPr="003E4A43">
        <w:rPr>
          <w:rFonts w:asciiTheme="minorHAnsi" w:hAnsiTheme="minorHAnsi" w:cstheme="minorHAnsi"/>
        </w:rPr>
        <w:t xml:space="preserve"> the </w:t>
      </w:r>
      <w:proofErr w:type="gramStart"/>
      <w:r w:rsidR="003B0BF2" w:rsidRPr="003E4A43">
        <w:rPr>
          <w:rFonts w:asciiTheme="minorHAnsi" w:hAnsiTheme="minorHAnsi" w:cstheme="minorHAnsi"/>
        </w:rPr>
        <w:t>decision,</w:t>
      </w:r>
      <w:r w:rsidR="00D90602" w:rsidRPr="003E4A43">
        <w:rPr>
          <w:rFonts w:asciiTheme="minorHAnsi" w:hAnsiTheme="minorHAnsi" w:cstheme="minorHAnsi"/>
        </w:rPr>
        <w:t xml:space="preserve"> or</w:t>
      </w:r>
      <w:proofErr w:type="gramEnd"/>
      <w:r w:rsidR="00D90602" w:rsidRPr="003E4A43">
        <w:rPr>
          <w:rFonts w:asciiTheme="minorHAnsi" w:hAnsiTheme="minorHAnsi" w:cstheme="minorHAnsi"/>
        </w:rPr>
        <w:t xml:space="preserve"> set the decision aside and substitute a new decision. </w:t>
      </w:r>
    </w:p>
    <w:p w14:paraId="50AE8281" w14:textId="46C4E6DF" w:rsidR="00932940" w:rsidRPr="003E4A43" w:rsidRDefault="0008304C" w:rsidP="00735C28">
      <w:pPr>
        <w:numPr>
          <w:ilvl w:val="0"/>
          <w:numId w:val="1"/>
        </w:numPr>
        <w:spacing w:after="160" w:line="257" w:lineRule="auto"/>
        <w:ind w:left="680" w:hanging="680"/>
        <w:rPr>
          <w:rFonts w:asciiTheme="minorHAnsi" w:hAnsiTheme="minorHAnsi" w:cstheme="minorHAnsi"/>
        </w:rPr>
      </w:pPr>
      <w:r w:rsidRPr="003E4A43">
        <w:rPr>
          <w:rFonts w:asciiTheme="minorHAnsi" w:hAnsiTheme="minorHAnsi" w:cstheme="minorHAnsi"/>
        </w:rPr>
        <w:t xml:space="preserve">Subsection </w:t>
      </w:r>
      <w:r w:rsidR="00B4578E" w:rsidRPr="003E4A43">
        <w:rPr>
          <w:rFonts w:asciiTheme="minorHAnsi" w:hAnsiTheme="minorHAnsi" w:cstheme="minorHAnsi"/>
        </w:rPr>
        <w:t>49</w:t>
      </w:r>
      <w:r w:rsidRPr="003E4A43">
        <w:rPr>
          <w:rFonts w:asciiTheme="minorHAnsi" w:hAnsiTheme="minorHAnsi" w:cstheme="minorHAnsi"/>
        </w:rPr>
        <w:t>(4)</w:t>
      </w:r>
      <w:r w:rsidR="00932940" w:rsidRPr="003E4A43">
        <w:rPr>
          <w:rFonts w:asciiTheme="minorHAnsi" w:hAnsiTheme="minorHAnsi" w:cstheme="minorHAnsi"/>
        </w:rPr>
        <w:t xml:space="preserve"> </w:t>
      </w:r>
      <w:r w:rsidR="00E616BE" w:rsidRPr="003E4A43">
        <w:rPr>
          <w:rFonts w:asciiTheme="minorHAnsi" w:hAnsiTheme="minorHAnsi" w:cstheme="minorHAnsi"/>
        </w:rPr>
        <w:t xml:space="preserve">requires the Secretary </w:t>
      </w:r>
      <w:r w:rsidR="000E534E" w:rsidRPr="003E4A43">
        <w:rPr>
          <w:rFonts w:asciiTheme="minorHAnsi" w:hAnsiTheme="minorHAnsi" w:cstheme="minorHAnsi"/>
        </w:rPr>
        <w:t xml:space="preserve">to give notice of his or her decision under </w:t>
      </w:r>
      <w:r w:rsidR="003E49D0" w:rsidRPr="003E4A43">
        <w:rPr>
          <w:rFonts w:asciiTheme="minorHAnsi" w:hAnsiTheme="minorHAnsi" w:cstheme="minorHAnsi"/>
        </w:rPr>
        <w:t xml:space="preserve">subsection </w:t>
      </w:r>
      <w:r w:rsidR="00B4578E" w:rsidRPr="003E4A43">
        <w:rPr>
          <w:rFonts w:asciiTheme="minorHAnsi" w:hAnsiTheme="minorHAnsi" w:cstheme="minorHAnsi"/>
        </w:rPr>
        <w:t>49</w:t>
      </w:r>
      <w:r w:rsidR="003E49D0" w:rsidRPr="003E4A43">
        <w:rPr>
          <w:rFonts w:asciiTheme="minorHAnsi" w:hAnsiTheme="minorHAnsi" w:cstheme="minorHAnsi"/>
        </w:rPr>
        <w:t>(3)</w:t>
      </w:r>
      <w:r w:rsidR="008E03A7" w:rsidRPr="003E4A43">
        <w:rPr>
          <w:rFonts w:asciiTheme="minorHAnsi" w:hAnsiTheme="minorHAnsi" w:cstheme="minorHAnsi"/>
        </w:rPr>
        <w:t xml:space="preserve"> </w:t>
      </w:r>
      <w:r w:rsidR="00D95823" w:rsidRPr="003E4A43">
        <w:rPr>
          <w:rFonts w:asciiTheme="minorHAnsi" w:hAnsiTheme="minorHAnsi" w:cstheme="minorHAnsi"/>
        </w:rPr>
        <w:t>(</w:t>
      </w:r>
      <w:r w:rsidR="00D95823" w:rsidRPr="003E4A43">
        <w:rPr>
          <w:rFonts w:asciiTheme="minorHAnsi" w:hAnsiTheme="minorHAnsi" w:cstheme="minorHAnsi"/>
          <w:b/>
          <w:bCs/>
        </w:rPr>
        <w:t>internal review decision</w:t>
      </w:r>
      <w:r w:rsidR="00D95823" w:rsidRPr="003E4A43">
        <w:rPr>
          <w:rFonts w:asciiTheme="minorHAnsi" w:hAnsiTheme="minorHAnsi" w:cstheme="minorHAnsi"/>
        </w:rPr>
        <w:t xml:space="preserve">). </w:t>
      </w:r>
      <w:r w:rsidR="00DD4268" w:rsidRPr="003E4A43">
        <w:rPr>
          <w:rFonts w:asciiTheme="minorHAnsi" w:hAnsiTheme="minorHAnsi" w:cstheme="minorHAnsi"/>
        </w:rPr>
        <w:t xml:space="preserve">This requirement is not intended to limit </w:t>
      </w:r>
      <w:r w:rsidR="00932940" w:rsidRPr="003E4A43">
        <w:rPr>
          <w:rFonts w:asciiTheme="minorHAnsi" w:hAnsiTheme="minorHAnsi" w:cstheme="minorHAnsi"/>
        </w:rPr>
        <w:t xml:space="preserve">the obligation imposed on the Secretary under section 27A of the </w:t>
      </w:r>
      <w:r w:rsidR="00932940" w:rsidRPr="003E4A43">
        <w:rPr>
          <w:rFonts w:asciiTheme="minorHAnsi" w:hAnsiTheme="minorHAnsi" w:cstheme="minorHAnsi"/>
          <w:i/>
          <w:iCs/>
        </w:rPr>
        <w:t>Administrative Appeals Tribunal Act 1975</w:t>
      </w:r>
      <w:r w:rsidR="00932940" w:rsidRPr="003E4A43">
        <w:rPr>
          <w:rFonts w:asciiTheme="minorHAnsi" w:hAnsiTheme="minorHAnsi" w:cstheme="minorHAnsi"/>
        </w:rPr>
        <w:t xml:space="preserve">. </w:t>
      </w:r>
    </w:p>
    <w:p w14:paraId="1FDC98B2" w14:textId="0AD9D447" w:rsidR="00D46987" w:rsidRPr="003E4A43" w:rsidRDefault="0008304C" w:rsidP="00735C28">
      <w:pPr>
        <w:numPr>
          <w:ilvl w:val="0"/>
          <w:numId w:val="1"/>
        </w:numPr>
        <w:spacing w:after="160" w:line="257" w:lineRule="auto"/>
        <w:ind w:left="680" w:hanging="680"/>
        <w:rPr>
          <w:rFonts w:asciiTheme="minorHAnsi" w:hAnsiTheme="minorHAnsi" w:cstheme="minorHAnsi"/>
        </w:rPr>
      </w:pPr>
      <w:r w:rsidRPr="003E4A43">
        <w:rPr>
          <w:rFonts w:asciiTheme="minorHAnsi" w:hAnsiTheme="minorHAnsi" w:cstheme="minorHAnsi"/>
        </w:rPr>
        <w:t xml:space="preserve">Subsection </w:t>
      </w:r>
      <w:r w:rsidR="00FB3044" w:rsidRPr="003E4A43">
        <w:rPr>
          <w:rFonts w:asciiTheme="minorHAnsi" w:hAnsiTheme="minorHAnsi" w:cstheme="minorHAnsi"/>
        </w:rPr>
        <w:t>49</w:t>
      </w:r>
      <w:r w:rsidRPr="003E4A43">
        <w:rPr>
          <w:rFonts w:asciiTheme="minorHAnsi" w:hAnsiTheme="minorHAnsi" w:cstheme="minorHAnsi"/>
        </w:rPr>
        <w:t>(5)</w:t>
      </w:r>
      <w:r w:rsidR="00932940" w:rsidRPr="003E4A43">
        <w:rPr>
          <w:rFonts w:asciiTheme="minorHAnsi" w:hAnsiTheme="minorHAnsi" w:cstheme="minorHAnsi"/>
        </w:rPr>
        <w:t xml:space="preserve"> requires </w:t>
      </w:r>
      <w:r w:rsidR="00020B35" w:rsidRPr="003E4A43">
        <w:rPr>
          <w:rFonts w:asciiTheme="minorHAnsi" w:hAnsiTheme="minorHAnsi" w:cstheme="minorHAnsi"/>
        </w:rPr>
        <w:t xml:space="preserve">that </w:t>
      </w:r>
      <w:r w:rsidR="00932940" w:rsidRPr="003E4A43">
        <w:rPr>
          <w:rFonts w:asciiTheme="minorHAnsi" w:hAnsiTheme="minorHAnsi" w:cstheme="minorHAnsi"/>
        </w:rPr>
        <w:t>t</w:t>
      </w:r>
      <w:r w:rsidR="00D90602" w:rsidRPr="003E4A43">
        <w:rPr>
          <w:rFonts w:asciiTheme="minorHAnsi" w:hAnsiTheme="minorHAnsi" w:cstheme="minorHAnsi"/>
        </w:rPr>
        <w:t xml:space="preserve">he </w:t>
      </w:r>
      <w:r w:rsidR="00186602" w:rsidRPr="003E4A43">
        <w:rPr>
          <w:rFonts w:asciiTheme="minorHAnsi" w:hAnsiTheme="minorHAnsi" w:cstheme="minorHAnsi"/>
        </w:rPr>
        <w:t xml:space="preserve">notice </w:t>
      </w:r>
      <w:r w:rsidR="0031697D" w:rsidRPr="003E4A43">
        <w:rPr>
          <w:rFonts w:asciiTheme="minorHAnsi" w:hAnsiTheme="minorHAnsi" w:cstheme="minorHAnsi"/>
        </w:rPr>
        <w:t>of the internal review decision</w:t>
      </w:r>
      <w:r w:rsidR="00CD43A0" w:rsidRPr="003E4A43">
        <w:rPr>
          <w:rFonts w:asciiTheme="minorHAnsi" w:hAnsiTheme="minorHAnsi" w:cstheme="minorHAnsi"/>
        </w:rPr>
        <w:t xml:space="preserve"> must</w:t>
      </w:r>
      <w:r w:rsidR="00020B35" w:rsidRPr="003E4A43">
        <w:rPr>
          <w:rFonts w:asciiTheme="minorHAnsi" w:hAnsiTheme="minorHAnsi" w:cstheme="minorHAnsi"/>
        </w:rPr>
        <w:t>:</w:t>
      </w:r>
      <w:r w:rsidR="0031697D" w:rsidRPr="003E4A43">
        <w:rPr>
          <w:rFonts w:asciiTheme="minorHAnsi" w:hAnsiTheme="minorHAnsi" w:cstheme="minorHAnsi"/>
        </w:rPr>
        <w:t xml:space="preserve"> </w:t>
      </w:r>
    </w:p>
    <w:p w14:paraId="191CADFA" w14:textId="60964368" w:rsidR="00D46987" w:rsidRPr="003E4A43" w:rsidRDefault="00020B35" w:rsidP="00161985">
      <w:pPr>
        <w:numPr>
          <w:ilvl w:val="0"/>
          <w:numId w:val="7"/>
        </w:numPr>
        <w:spacing w:after="160" w:line="257" w:lineRule="auto"/>
        <w:rPr>
          <w:rFonts w:asciiTheme="minorHAnsi" w:hAnsiTheme="minorHAnsi" w:cstheme="minorHAnsi"/>
        </w:rPr>
      </w:pPr>
      <w:r w:rsidRPr="003E4A43">
        <w:rPr>
          <w:rFonts w:asciiTheme="minorHAnsi" w:hAnsiTheme="minorHAnsi" w:cstheme="minorHAnsi"/>
        </w:rPr>
        <w:t xml:space="preserve">be given </w:t>
      </w:r>
      <w:r w:rsidR="00D90602" w:rsidRPr="003E4A43">
        <w:rPr>
          <w:rFonts w:asciiTheme="minorHAnsi" w:hAnsiTheme="minorHAnsi" w:cstheme="minorHAnsi"/>
        </w:rPr>
        <w:t xml:space="preserve">within </w:t>
      </w:r>
      <w:r w:rsidR="00932940" w:rsidRPr="003E4A43">
        <w:rPr>
          <w:rFonts w:asciiTheme="minorHAnsi" w:hAnsiTheme="minorHAnsi" w:cstheme="minorHAnsi"/>
        </w:rPr>
        <w:t>14</w:t>
      </w:r>
      <w:r w:rsidR="00D90602" w:rsidRPr="003E4A43">
        <w:rPr>
          <w:rFonts w:asciiTheme="minorHAnsi" w:hAnsiTheme="minorHAnsi" w:cstheme="minorHAnsi"/>
        </w:rPr>
        <w:t xml:space="preserve"> days after the </w:t>
      </w:r>
      <w:r w:rsidRPr="003E4A43">
        <w:rPr>
          <w:rFonts w:asciiTheme="minorHAnsi" w:hAnsiTheme="minorHAnsi" w:cstheme="minorHAnsi"/>
        </w:rPr>
        <w:t xml:space="preserve">internal review </w:t>
      </w:r>
      <w:r w:rsidR="00D90602" w:rsidRPr="003E4A43">
        <w:rPr>
          <w:rFonts w:asciiTheme="minorHAnsi" w:hAnsiTheme="minorHAnsi" w:cstheme="minorHAnsi"/>
        </w:rPr>
        <w:t xml:space="preserve">decision is </w:t>
      </w:r>
      <w:proofErr w:type="gramStart"/>
      <w:r w:rsidR="00D90602" w:rsidRPr="003E4A43">
        <w:rPr>
          <w:rFonts w:asciiTheme="minorHAnsi" w:hAnsiTheme="minorHAnsi" w:cstheme="minorHAnsi"/>
        </w:rPr>
        <w:t>made</w:t>
      </w:r>
      <w:r w:rsidR="001813A8" w:rsidRPr="003E4A43">
        <w:rPr>
          <w:rFonts w:asciiTheme="minorHAnsi" w:hAnsiTheme="minorHAnsi" w:cstheme="minorHAnsi"/>
        </w:rPr>
        <w:t>;</w:t>
      </w:r>
      <w:proofErr w:type="gramEnd"/>
      <w:r w:rsidR="001813A8" w:rsidRPr="003E4A43">
        <w:rPr>
          <w:rFonts w:asciiTheme="minorHAnsi" w:hAnsiTheme="minorHAnsi" w:cstheme="minorHAnsi"/>
        </w:rPr>
        <w:t xml:space="preserve"> </w:t>
      </w:r>
    </w:p>
    <w:p w14:paraId="66C43585" w14:textId="14A668E0" w:rsidR="00D46987" w:rsidRPr="003E4A43" w:rsidRDefault="001813A8" w:rsidP="00161985">
      <w:pPr>
        <w:numPr>
          <w:ilvl w:val="0"/>
          <w:numId w:val="7"/>
        </w:numPr>
        <w:spacing w:after="160" w:line="257" w:lineRule="auto"/>
        <w:rPr>
          <w:rFonts w:asciiTheme="minorHAnsi" w:hAnsiTheme="minorHAnsi" w:cstheme="minorHAnsi"/>
        </w:rPr>
      </w:pPr>
      <w:r w:rsidRPr="003E4A43">
        <w:rPr>
          <w:rFonts w:asciiTheme="minorHAnsi" w:hAnsiTheme="minorHAnsi" w:cstheme="minorHAnsi"/>
        </w:rPr>
        <w:t xml:space="preserve">contain </w:t>
      </w:r>
      <w:r w:rsidR="00D90602" w:rsidRPr="003E4A43">
        <w:rPr>
          <w:rFonts w:asciiTheme="minorHAnsi" w:hAnsiTheme="minorHAnsi" w:cstheme="minorHAnsi"/>
        </w:rPr>
        <w:t>a statement of reasons</w:t>
      </w:r>
      <w:r w:rsidRPr="003E4A43">
        <w:rPr>
          <w:rFonts w:asciiTheme="minorHAnsi" w:hAnsiTheme="minorHAnsi" w:cstheme="minorHAnsi"/>
        </w:rPr>
        <w:t xml:space="preserve"> for the internal review decision; and </w:t>
      </w:r>
    </w:p>
    <w:p w14:paraId="7476146D" w14:textId="6D65E7F5" w:rsidR="00D90602" w:rsidRPr="003E4A43" w:rsidRDefault="00FF236E" w:rsidP="00161985">
      <w:pPr>
        <w:numPr>
          <w:ilvl w:val="0"/>
          <w:numId w:val="7"/>
        </w:numPr>
        <w:spacing w:after="160" w:line="257" w:lineRule="auto"/>
        <w:rPr>
          <w:rFonts w:asciiTheme="minorHAnsi" w:hAnsiTheme="minorHAnsi" w:cstheme="minorHAnsi"/>
        </w:rPr>
      </w:pPr>
      <w:r w:rsidRPr="003E4A43">
        <w:rPr>
          <w:rFonts w:asciiTheme="minorHAnsi" w:hAnsiTheme="minorHAnsi" w:cstheme="minorHAnsi"/>
        </w:rPr>
        <w:t xml:space="preserve">include a </w:t>
      </w:r>
      <w:r w:rsidR="00D90602" w:rsidRPr="003E4A43">
        <w:rPr>
          <w:rFonts w:asciiTheme="minorHAnsi" w:hAnsiTheme="minorHAnsi" w:cstheme="minorHAnsi"/>
        </w:rPr>
        <w:t xml:space="preserve">new notice under </w:t>
      </w:r>
      <w:r w:rsidR="003E49D0" w:rsidRPr="003E4A43">
        <w:rPr>
          <w:rFonts w:asciiTheme="minorHAnsi" w:hAnsiTheme="minorHAnsi" w:cstheme="minorHAnsi"/>
        </w:rPr>
        <w:t>subsection 4</w:t>
      </w:r>
      <w:r w:rsidR="00FB3044" w:rsidRPr="003E4A43">
        <w:rPr>
          <w:rFonts w:asciiTheme="minorHAnsi" w:hAnsiTheme="minorHAnsi" w:cstheme="minorHAnsi"/>
        </w:rPr>
        <w:t>1</w:t>
      </w:r>
      <w:r w:rsidR="003E49D0" w:rsidRPr="003E4A43">
        <w:rPr>
          <w:rFonts w:asciiTheme="minorHAnsi" w:hAnsiTheme="minorHAnsi" w:cstheme="minorHAnsi"/>
        </w:rPr>
        <w:t>(1)</w:t>
      </w:r>
      <w:r w:rsidR="00D90602" w:rsidRPr="003E4A43">
        <w:rPr>
          <w:rFonts w:asciiTheme="minorHAnsi" w:hAnsiTheme="minorHAnsi" w:cstheme="minorHAnsi"/>
        </w:rPr>
        <w:t xml:space="preserve"> where the </w:t>
      </w:r>
      <w:r w:rsidR="00941EB6" w:rsidRPr="003E4A43">
        <w:rPr>
          <w:rFonts w:asciiTheme="minorHAnsi" w:hAnsiTheme="minorHAnsi" w:cstheme="minorHAnsi"/>
        </w:rPr>
        <w:t>reviewable decision is varied or set aside and a new decision substituted</w:t>
      </w:r>
      <w:r w:rsidR="008A6D81" w:rsidRPr="003E4A43">
        <w:rPr>
          <w:rFonts w:asciiTheme="minorHAnsi" w:hAnsiTheme="minorHAnsi" w:cstheme="minorHAnsi"/>
        </w:rPr>
        <w:t xml:space="preserve">, </w:t>
      </w:r>
      <w:r w:rsidR="00752B8A" w:rsidRPr="003E4A43">
        <w:rPr>
          <w:rFonts w:asciiTheme="minorHAnsi" w:hAnsiTheme="minorHAnsi" w:cstheme="minorHAnsi"/>
        </w:rPr>
        <w:t>with a due date at least 30 days after the date the provider is notified of the internal review decision.</w:t>
      </w:r>
    </w:p>
    <w:p w14:paraId="455D7CFD" w14:textId="69A217FE" w:rsidR="003E1436" w:rsidRPr="003E4A43" w:rsidRDefault="009642A4" w:rsidP="003E1436">
      <w:pPr>
        <w:numPr>
          <w:ilvl w:val="0"/>
          <w:numId w:val="1"/>
        </w:numPr>
        <w:spacing w:after="160" w:line="257" w:lineRule="auto"/>
        <w:ind w:left="680" w:hanging="680"/>
        <w:rPr>
          <w:rFonts w:asciiTheme="minorHAnsi" w:hAnsiTheme="minorHAnsi" w:cstheme="minorHAnsi"/>
        </w:rPr>
      </w:pPr>
      <w:r w:rsidRPr="003E4A43">
        <w:rPr>
          <w:rFonts w:asciiTheme="minorHAnsi" w:hAnsiTheme="minorHAnsi" w:cstheme="minorHAnsi"/>
        </w:rPr>
        <w:t xml:space="preserve">Subsection </w:t>
      </w:r>
      <w:r w:rsidR="00FB3044" w:rsidRPr="003E4A43">
        <w:rPr>
          <w:rFonts w:asciiTheme="minorHAnsi" w:hAnsiTheme="minorHAnsi" w:cstheme="minorHAnsi"/>
        </w:rPr>
        <w:t>49</w:t>
      </w:r>
      <w:r w:rsidRPr="003E4A43">
        <w:rPr>
          <w:rFonts w:asciiTheme="minorHAnsi" w:hAnsiTheme="minorHAnsi" w:cstheme="minorHAnsi"/>
        </w:rPr>
        <w:t>(6)</w:t>
      </w:r>
      <w:r w:rsidR="00D90602" w:rsidRPr="003E4A43">
        <w:rPr>
          <w:rFonts w:asciiTheme="minorHAnsi" w:hAnsiTheme="minorHAnsi" w:cstheme="minorHAnsi"/>
        </w:rPr>
        <w:t xml:space="preserve"> provides that a higher education provider may make an application to the Administrative Appeals Tribunal for the review of a decision that has been confirmed, varied or set aside under </w:t>
      </w:r>
      <w:r w:rsidR="0008304C" w:rsidRPr="003E4A43">
        <w:rPr>
          <w:rFonts w:asciiTheme="minorHAnsi" w:hAnsiTheme="minorHAnsi" w:cstheme="minorHAnsi"/>
        </w:rPr>
        <w:t xml:space="preserve">subsection </w:t>
      </w:r>
      <w:r w:rsidR="00FB3044" w:rsidRPr="003E4A43">
        <w:rPr>
          <w:rFonts w:asciiTheme="minorHAnsi" w:hAnsiTheme="minorHAnsi" w:cstheme="minorHAnsi"/>
        </w:rPr>
        <w:t>49</w:t>
      </w:r>
      <w:r w:rsidR="0008304C" w:rsidRPr="003E4A43">
        <w:rPr>
          <w:rFonts w:asciiTheme="minorHAnsi" w:hAnsiTheme="minorHAnsi" w:cstheme="minorHAnsi"/>
        </w:rPr>
        <w:t>(3)</w:t>
      </w:r>
      <w:r w:rsidR="00D90602" w:rsidRPr="003E4A43">
        <w:rPr>
          <w:rFonts w:asciiTheme="minorHAnsi" w:hAnsiTheme="minorHAnsi" w:cstheme="minorHAnsi"/>
        </w:rPr>
        <w:t xml:space="preserve">. </w:t>
      </w:r>
      <w:r w:rsidR="00D8333B" w:rsidRPr="003E4A43">
        <w:rPr>
          <w:rFonts w:asciiTheme="minorHAnsi" w:hAnsiTheme="minorHAnsi" w:cstheme="minorHAnsi"/>
        </w:rPr>
        <w:t xml:space="preserve">This </w:t>
      </w:r>
      <w:r w:rsidR="00D90602" w:rsidRPr="003E4A43">
        <w:rPr>
          <w:rFonts w:asciiTheme="minorHAnsi" w:hAnsiTheme="minorHAnsi" w:cstheme="minorHAnsi"/>
        </w:rPr>
        <w:t xml:space="preserve">allows a provider to apply for </w:t>
      </w:r>
      <w:r w:rsidR="00DA6352" w:rsidRPr="003E4A43">
        <w:rPr>
          <w:rFonts w:asciiTheme="minorHAnsi" w:hAnsiTheme="minorHAnsi" w:cstheme="minorHAnsi"/>
        </w:rPr>
        <w:t>external</w:t>
      </w:r>
      <w:r w:rsidR="00D90602" w:rsidRPr="003E4A43">
        <w:rPr>
          <w:rFonts w:asciiTheme="minorHAnsi" w:hAnsiTheme="minorHAnsi" w:cstheme="minorHAnsi"/>
        </w:rPr>
        <w:t xml:space="preserve"> merits review of the </w:t>
      </w:r>
      <w:r w:rsidR="00D8333B" w:rsidRPr="003E4A43">
        <w:rPr>
          <w:rFonts w:asciiTheme="minorHAnsi" w:hAnsiTheme="minorHAnsi" w:cstheme="minorHAnsi"/>
        </w:rPr>
        <w:t>Secretary’s</w:t>
      </w:r>
      <w:r w:rsidR="00D90602" w:rsidRPr="003E4A43">
        <w:rPr>
          <w:rFonts w:asciiTheme="minorHAnsi" w:hAnsiTheme="minorHAnsi" w:cstheme="minorHAnsi"/>
        </w:rPr>
        <w:t xml:space="preserve"> internal review decision.</w:t>
      </w:r>
    </w:p>
    <w:p w14:paraId="6450259B" w14:textId="68225070" w:rsidR="003E1436" w:rsidRPr="003E4A43" w:rsidRDefault="003E1436" w:rsidP="003E1436">
      <w:pPr>
        <w:spacing w:before="360" w:after="120"/>
        <w:rPr>
          <w:rFonts w:asciiTheme="minorHAnsi" w:hAnsiTheme="minorHAnsi" w:cstheme="minorHAnsi"/>
          <w:bCs/>
          <w:i/>
          <w:iCs/>
        </w:rPr>
      </w:pPr>
      <w:r w:rsidRPr="003E4A43">
        <w:rPr>
          <w:rFonts w:asciiTheme="minorHAnsi" w:hAnsiTheme="minorHAnsi" w:cstheme="minorHAnsi"/>
          <w:bCs/>
          <w:i/>
          <w:iCs/>
        </w:rPr>
        <w:t>Chapter 1</w:t>
      </w:r>
      <w:r w:rsidR="002A7E27" w:rsidRPr="003E4A43">
        <w:rPr>
          <w:rFonts w:asciiTheme="minorHAnsi" w:hAnsiTheme="minorHAnsi" w:cstheme="minorHAnsi"/>
          <w:bCs/>
          <w:i/>
          <w:iCs/>
        </w:rPr>
        <w:t>1</w:t>
      </w:r>
      <w:r w:rsidRPr="003E4A43">
        <w:rPr>
          <w:rFonts w:asciiTheme="minorHAnsi" w:hAnsiTheme="minorHAnsi" w:cstheme="minorHAnsi"/>
          <w:bCs/>
          <w:i/>
          <w:iCs/>
        </w:rPr>
        <w:t xml:space="preserve"> – </w:t>
      </w:r>
      <w:r w:rsidR="002A7E27" w:rsidRPr="003E4A43">
        <w:rPr>
          <w:rFonts w:asciiTheme="minorHAnsi" w:hAnsiTheme="minorHAnsi" w:cstheme="minorHAnsi"/>
          <w:bCs/>
          <w:i/>
          <w:iCs/>
        </w:rPr>
        <w:t>Application, saving and transitional provisions</w:t>
      </w:r>
    </w:p>
    <w:p w14:paraId="1064AC9A" w14:textId="40196C3E" w:rsidR="002A7E27" w:rsidRPr="003E4A43" w:rsidRDefault="002A7E27" w:rsidP="002A7E27">
      <w:pPr>
        <w:spacing w:before="360" w:after="120"/>
        <w:rPr>
          <w:rFonts w:asciiTheme="minorHAnsi" w:hAnsiTheme="minorHAnsi" w:cstheme="minorHAnsi"/>
        </w:rPr>
      </w:pPr>
      <w:r w:rsidRPr="003E4A43">
        <w:rPr>
          <w:rFonts w:asciiTheme="minorHAnsi" w:hAnsiTheme="minorHAnsi" w:cstheme="minorHAnsi"/>
          <w:b/>
          <w:u w:val="single"/>
        </w:rPr>
        <w:t xml:space="preserve">Section 50: Things done under the </w:t>
      </w:r>
      <w:r w:rsidRPr="003E4A43">
        <w:rPr>
          <w:rFonts w:asciiTheme="minorHAnsi" w:hAnsiTheme="minorHAnsi" w:cstheme="minorHAnsi"/>
          <w:b/>
          <w:i/>
          <w:iCs/>
          <w:u w:val="single"/>
        </w:rPr>
        <w:t>Higher Education Provider Guidelines 2012</w:t>
      </w:r>
    </w:p>
    <w:p w14:paraId="017B96BE" w14:textId="301C1B69" w:rsidR="003E1436" w:rsidRPr="003E4A43" w:rsidRDefault="002A7E27" w:rsidP="00AF40FB">
      <w:pPr>
        <w:numPr>
          <w:ilvl w:val="0"/>
          <w:numId w:val="1"/>
        </w:numPr>
        <w:spacing w:after="160" w:line="257" w:lineRule="auto"/>
        <w:ind w:left="680" w:hanging="680"/>
        <w:rPr>
          <w:rFonts w:asciiTheme="minorHAnsi" w:hAnsiTheme="minorHAnsi" w:cstheme="minorHAnsi"/>
        </w:rPr>
      </w:pPr>
      <w:r w:rsidRPr="003E4A43">
        <w:rPr>
          <w:rFonts w:asciiTheme="minorHAnsi" w:hAnsiTheme="minorHAnsi" w:cstheme="minorHAnsi"/>
        </w:rPr>
        <w:t>This section</w:t>
      </w:r>
      <w:r w:rsidR="003E1436" w:rsidRPr="003E4A43">
        <w:rPr>
          <w:rFonts w:asciiTheme="minorHAnsi" w:hAnsiTheme="minorHAnsi" w:cstheme="minorHAnsi"/>
        </w:rPr>
        <w:t xml:space="preserve"> </w:t>
      </w:r>
      <w:r w:rsidR="005319E7" w:rsidRPr="003E4A43">
        <w:rPr>
          <w:rFonts w:asciiTheme="minorHAnsi" w:hAnsiTheme="minorHAnsi" w:cstheme="minorHAnsi"/>
        </w:rPr>
        <w:t xml:space="preserve">clarifies that things done under the </w:t>
      </w:r>
      <w:r w:rsidR="005319E7" w:rsidRPr="003E4A43">
        <w:rPr>
          <w:rFonts w:asciiTheme="minorHAnsi" w:hAnsiTheme="minorHAnsi" w:cstheme="minorHAnsi"/>
          <w:i/>
          <w:iCs/>
        </w:rPr>
        <w:t xml:space="preserve">Higher Education Provider Guidelines 2012 </w:t>
      </w:r>
      <w:r w:rsidR="005319E7" w:rsidRPr="003E4A43">
        <w:rPr>
          <w:rFonts w:asciiTheme="minorHAnsi" w:hAnsiTheme="minorHAnsi" w:cstheme="minorHAnsi"/>
        </w:rPr>
        <w:t xml:space="preserve">should continue to be valid and have effect as though they were done under this instrument. In particular, subsection </w:t>
      </w:r>
      <w:r w:rsidR="00030564" w:rsidRPr="003E4A43">
        <w:rPr>
          <w:rFonts w:asciiTheme="minorHAnsi" w:hAnsiTheme="minorHAnsi" w:cstheme="minorHAnsi"/>
        </w:rPr>
        <w:t>50</w:t>
      </w:r>
      <w:r w:rsidR="005319E7" w:rsidRPr="003E4A43">
        <w:rPr>
          <w:rFonts w:asciiTheme="minorHAnsi" w:hAnsiTheme="minorHAnsi" w:cstheme="minorHAnsi"/>
        </w:rPr>
        <w:t xml:space="preserve">(1) provides that if a thing was done for a particular purpose under the </w:t>
      </w:r>
      <w:r w:rsidR="00030564" w:rsidRPr="003E4A43">
        <w:rPr>
          <w:rFonts w:asciiTheme="minorHAnsi" w:hAnsiTheme="minorHAnsi" w:cstheme="minorHAnsi"/>
          <w:i/>
          <w:iCs/>
        </w:rPr>
        <w:t>Higher Education Provider Guidelines 2012</w:t>
      </w:r>
      <w:r w:rsidR="005319E7" w:rsidRPr="003E4A43">
        <w:rPr>
          <w:rFonts w:asciiTheme="minorHAnsi" w:hAnsiTheme="minorHAnsi" w:cstheme="minorHAnsi"/>
        </w:rPr>
        <w:t xml:space="preserve"> as in force immediately before </w:t>
      </w:r>
      <w:r w:rsidR="00030564" w:rsidRPr="003E4A43">
        <w:rPr>
          <w:rFonts w:asciiTheme="minorHAnsi" w:hAnsiTheme="minorHAnsi" w:cstheme="minorHAnsi"/>
        </w:rPr>
        <w:t>that instrument was</w:t>
      </w:r>
      <w:r w:rsidR="005319E7" w:rsidRPr="003E4A43">
        <w:rPr>
          <w:rFonts w:asciiTheme="minorHAnsi" w:hAnsiTheme="minorHAnsi" w:cstheme="minorHAnsi"/>
        </w:rPr>
        <w:t xml:space="preserve"> repealed, and the thing could be done for that purpose under this instrument, the thing has effect as if it had been done under this instrument.</w:t>
      </w:r>
    </w:p>
    <w:p w14:paraId="37AF7C46" w14:textId="25F85899" w:rsidR="00A00F4C" w:rsidRPr="003E4A43" w:rsidRDefault="00A00F4C" w:rsidP="00A00F4C">
      <w:pPr>
        <w:spacing w:before="360" w:after="120"/>
        <w:rPr>
          <w:rFonts w:asciiTheme="minorHAnsi" w:hAnsiTheme="minorHAnsi" w:cstheme="minorHAnsi"/>
          <w:bCs/>
          <w:i/>
          <w:iCs/>
        </w:rPr>
      </w:pPr>
      <w:r w:rsidRPr="003E4A43">
        <w:rPr>
          <w:rFonts w:asciiTheme="minorHAnsi" w:hAnsiTheme="minorHAnsi" w:cstheme="minorHAnsi"/>
          <w:bCs/>
          <w:i/>
          <w:iCs/>
        </w:rPr>
        <w:t>Schedule 1</w:t>
      </w:r>
      <w:r w:rsidR="00C82415" w:rsidRPr="003E4A43">
        <w:rPr>
          <w:rFonts w:asciiTheme="minorHAnsi" w:hAnsiTheme="minorHAnsi" w:cstheme="minorHAnsi"/>
          <w:bCs/>
          <w:i/>
          <w:iCs/>
        </w:rPr>
        <w:t xml:space="preserve"> – Repeals </w:t>
      </w:r>
    </w:p>
    <w:p w14:paraId="27CE02F2" w14:textId="61823AE7" w:rsidR="00A00F4C" w:rsidRPr="003E4A43" w:rsidRDefault="00A00F4C" w:rsidP="00A00F4C">
      <w:pPr>
        <w:spacing w:before="360" w:after="120"/>
        <w:rPr>
          <w:rFonts w:asciiTheme="minorHAnsi" w:hAnsiTheme="minorHAnsi" w:cstheme="minorHAnsi"/>
        </w:rPr>
      </w:pPr>
      <w:r w:rsidRPr="003E4A43">
        <w:rPr>
          <w:rFonts w:asciiTheme="minorHAnsi" w:hAnsiTheme="minorHAnsi" w:cstheme="minorHAnsi"/>
          <w:b/>
          <w:u w:val="single"/>
        </w:rPr>
        <w:lastRenderedPageBreak/>
        <w:t>Section 1: The whole of the instrument</w:t>
      </w:r>
    </w:p>
    <w:p w14:paraId="5C1AA04F" w14:textId="2C66FD62" w:rsidR="00A00F4C" w:rsidRPr="003E4A43" w:rsidRDefault="00A00F4C" w:rsidP="00026CD3">
      <w:pPr>
        <w:numPr>
          <w:ilvl w:val="0"/>
          <w:numId w:val="1"/>
        </w:numPr>
        <w:spacing w:after="160" w:line="257" w:lineRule="auto"/>
        <w:ind w:left="680" w:hanging="680"/>
        <w:rPr>
          <w:rFonts w:asciiTheme="minorHAnsi" w:hAnsiTheme="minorHAnsi" w:cstheme="minorHAnsi"/>
        </w:rPr>
      </w:pPr>
      <w:r w:rsidRPr="003E4A43">
        <w:rPr>
          <w:rFonts w:asciiTheme="minorHAnsi" w:hAnsiTheme="minorHAnsi" w:cstheme="minorHAnsi"/>
        </w:rPr>
        <w:t xml:space="preserve"> This section repeals the </w:t>
      </w:r>
      <w:r w:rsidRPr="003E4A43">
        <w:rPr>
          <w:rFonts w:asciiTheme="minorHAnsi" w:hAnsiTheme="minorHAnsi" w:cstheme="minorHAnsi"/>
          <w:i/>
          <w:iCs/>
        </w:rPr>
        <w:t>Higher Education Provider Guidelines 2012</w:t>
      </w:r>
      <w:r w:rsidRPr="003E4A43">
        <w:rPr>
          <w:rFonts w:asciiTheme="minorHAnsi" w:hAnsiTheme="minorHAnsi" w:cstheme="minorHAnsi"/>
        </w:rPr>
        <w:t xml:space="preserve">. </w:t>
      </w:r>
    </w:p>
    <w:sectPr w:rsidR="00A00F4C" w:rsidRPr="003E4A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C3B4" w14:textId="77777777" w:rsidR="00CF18CE" w:rsidRDefault="00CF18CE" w:rsidP="00783FAB">
      <w:pPr>
        <w:spacing w:after="0" w:line="240" w:lineRule="auto"/>
      </w:pPr>
      <w:r>
        <w:separator/>
      </w:r>
    </w:p>
  </w:endnote>
  <w:endnote w:type="continuationSeparator" w:id="0">
    <w:p w14:paraId="44271722" w14:textId="77777777" w:rsidR="00CF18CE" w:rsidRDefault="00CF18CE" w:rsidP="00783FAB">
      <w:pPr>
        <w:spacing w:after="0" w:line="240" w:lineRule="auto"/>
      </w:pPr>
      <w:r>
        <w:continuationSeparator/>
      </w:r>
    </w:p>
  </w:endnote>
  <w:endnote w:type="continuationNotice" w:id="1">
    <w:p w14:paraId="221183E6" w14:textId="77777777" w:rsidR="00CF18CE" w:rsidRDefault="00CF1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1E4C" w14:textId="77777777" w:rsidR="00AA214E" w:rsidRDefault="00AA2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8C77" w14:textId="41CB4B2C" w:rsidR="008134D5" w:rsidRDefault="003E4A43">
    <w:pPr>
      <w:pStyle w:val="Footer"/>
      <w:jc w:val="center"/>
    </w:pPr>
    <w:sdt>
      <w:sdtPr>
        <w:id w:val="-2010061254"/>
        <w:docPartObj>
          <w:docPartGallery w:val="Page Numbers (Bottom of Page)"/>
          <w:docPartUnique/>
        </w:docPartObj>
      </w:sdtPr>
      <w:sdtEndPr>
        <w:rPr>
          <w:noProof/>
        </w:rPr>
      </w:sdtEndPr>
      <w:sdtContent>
        <w:r w:rsidR="008134D5">
          <w:fldChar w:fldCharType="begin"/>
        </w:r>
        <w:r w:rsidR="008134D5">
          <w:instrText xml:space="preserve"> PAGE   \* MERGEFORMAT </w:instrText>
        </w:r>
        <w:r w:rsidR="008134D5">
          <w:fldChar w:fldCharType="separate"/>
        </w:r>
        <w:r w:rsidR="00EF4ACB">
          <w:rPr>
            <w:noProof/>
          </w:rPr>
          <w:t>3</w:t>
        </w:r>
        <w:r w:rsidR="008134D5">
          <w:rPr>
            <w:noProof/>
          </w:rPr>
          <w:fldChar w:fldCharType="end"/>
        </w:r>
      </w:sdtContent>
    </w:sdt>
  </w:p>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16A2" w14:textId="77777777" w:rsidR="00AA214E" w:rsidRDefault="00AA2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8536" w14:textId="77777777" w:rsidR="00CF18CE" w:rsidRDefault="00CF18CE" w:rsidP="00783FAB">
      <w:pPr>
        <w:spacing w:after="0" w:line="240" w:lineRule="auto"/>
      </w:pPr>
      <w:r>
        <w:separator/>
      </w:r>
    </w:p>
  </w:footnote>
  <w:footnote w:type="continuationSeparator" w:id="0">
    <w:p w14:paraId="21862DE6" w14:textId="77777777" w:rsidR="00CF18CE" w:rsidRDefault="00CF18CE" w:rsidP="00783FAB">
      <w:pPr>
        <w:spacing w:after="0" w:line="240" w:lineRule="auto"/>
      </w:pPr>
      <w:r>
        <w:continuationSeparator/>
      </w:r>
    </w:p>
  </w:footnote>
  <w:footnote w:type="continuationNotice" w:id="1">
    <w:p w14:paraId="713EABE7" w14:textId="77777777" w:rsidR="00CF18CE" w:rsidRDefault="00CF18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9CD2" w14:textId="77777777" w:rsidR="00AA214E" w:rsidRDefault="00AA2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0DA3" w14:textId="7C7E0E20" w:rsidR="00F225DF" w:rsidRDefault="00F22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77B8" w14:textId="77777777" w:rsidR="00AA214E" w:rsidRDefault="00AA2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55D"/>
    <w:multiLevelType w:val="hybridMultilevel"/>
    <w:tmpl w:val="91FA8D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F56B14"/>
    <w:multiLevelType w:val="hybridMultilevel"/>
    <w:tmpl w:val="68BEAEC0"/>
    <w:lvl w:ilvl="0" w:tplc="5F800DBE">
      <w:start w:val="1"/>
      <w:numFmt w:val="decimal"/>
      <w:pStyle w:val="MBPoint"/>
      <w:lvlText w:val="%1."/>
      <w:lvlJc w:val="left"/>
      <w:pPr>
        <w:ind w:left="417" w:hanging="360"/>
      </w:pPr>
      <w:rPr>
        <w:rFonts w:hint="default"/>
      </w:rPr>
    </w:lvl>
    <w:lvl w:ilvl="1" w:tplc="AACE4E20">
      <w:start w:val="1"/>
      <w:numFmt w:val="lowerLetter"/>
      <w:lvlText w:val="%2."/>
      <w:lvlJc w:val="left"/>
      <w:pPr>
        <w:ind w:left="1137" w:hanging="360"/>
      </w:pPr>
    </w:lvl>
    <w:lvl w:ilvl="2" w:tplc="9F945D7C" w:tentative="1">
      <w:start w:val="1"/>
      <w:numFmt w:val="lowerRoman"/>
      <w:lvlText w:val="%3."/>
      <w:lvlJc w:val="right"/>
      <w:pPr>
        <w:ind w:left="1857" w:hanging="180"/>
      </w:pPr>
    </w:lvl>
    <w:lvl w:ilvl="3" w:tplc="BCD26E94" w:tentative="1">
      <w:start w:val="1"/>
      <w:numFmt w:val="decimal"/>
      <w:lvlText w:val="%4."/>
      <w:lvlJc w:val="left"/>
      <w:pPr>
        <w:ind w:left="2577" w:hanging="360"/>
      </w:pPr>
    </w:lvl>
    <w:lvl w:ilvl="4" w:tplc="C0DA048C" w:tentative="1">
      <w:start w:val="1"/>
      <w:numFmt w:val="lowerLetter"/>
      <w:lvlText w:val="%5."/>
      <w:lvlJc w:val="left"/>
      <w:pPr>
        <w:ind w:left="3297" w:hanging="360"/>
      </w:pPr>
    </w:lvl>
    <w:lvl w:ilvl="5" w:tplc="ECAC3B64" w:tentative="1">
      <w:start w:val="1"/>
      <w:numFmt w:val="lowerRoman"/>
      <w:lvlText w:val="%6."/>
      <w:lvlJc w:val="right"/>
      <w:pPr>
        <w:ind w:left="4017" w:hanging="180"/>
      </w:pPr>
    </w:lvl>
    <w:lvl w:ilvl="6" w:tplc="F870A8FE" w:tentative="1">
      <w:start w:val="1"/>
      <w:numFmt w:val="decimal"/>
      <w:lvlText w:val="%7."/>
      <w:lvlJc w:val="left"/>
      <w:pPr>
        <w:ind w:left="4737" w:hanging="360"/>
      </w:pPr>
    </w:lvl>
    <w:lvl w:ilvl="7" w:tplc="81528844" w:tentative="1">
      <w:start w:val="1"/>
      <w:numFmt w:val="lowerLetter"/>
      <w:lvlText w:val="%8."/>
      <w:lvlJc w:val="left"/>
      <w:pPr>
        <w:ind w:left="5457" w:hanging="360"/>
      </w:pPr>
    </w:lvl>
    <w:lvl w:ilvl="8" w:tplc="158272A6" w:tentative="1">
      <w:start w:val="1"/>
      <w:numFmt w:val="lowerRoman"/>
      <w:lvlText w:val="%9."/>
      <w:lvlJc w:val="right"/>
      <w:pPr>
        <w:ind w:left="6177" w:hanging="180"/>
      </w:pPr>
    </w:lvl>
  </w:abstractNum>
  <w:abstractNum w:abstractNumId="2" w15:restartNumberingAfterBreak="0">
    <w:nsid w:val="09936E3B"/>
    <w:multiLevelType w:val="hybridMultilevel"/>
    <w:tmpl w:val="4808C748"/>
    <w:lvl w:ilvl="0" w:tplc="0C090001">
      <w:start w:val="1"/>
      <w:numFmt w:val="bullet"/>
      <w:lvlText w:val=""/>
      <w:lvlJc w:val="left"/>
      <w:pPr>
        <w:ind w:left="1211" w:hanging="360"/>
      </w:pPr>
      <w:rPr>
        <w:rFonts w:ascii="Symbol" w:hAnsi="Symbol" w:hint="default"/>
        <w:b w:val="0"/>
        <w:bCs/>
        <w:i w:val="0"/>
        <w:color w:val="auto"/>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0E13273F"/>
    <w:multiLevelType w:val="hybridMultilevel"/>
    <w:tmpl w:val="9A925E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FCD5293"/>
    <w:multiLevelType w:val="hybridMultilevel"/>
    <w:tmpl w:val="E1ECCF88"/>
    <w:lvl w:ilvl="0" w:tplc="C6A42BC0">
      <w:start w:val="3"/>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56A57"/>
    <w:multiLevelType w:val="hybridMultilevel"/>
    <w:tmpl w:val="C50AB78E"/>
    <w:lvl w:ilvl="0" w:tplc="0C090001">
      <w:start w:val="1"/>
      <w:numFmt w:val="bullet"/>
      <w:lvlText w:val=""/>
      <w:lvlJc w:val="left"/>
      <w:pPr>
        <w:ind w:left="1211" w:hanging="360"/>
      </w:pPr>
      <w:rPr>
        <w:rFonts w:ascii="Symbol" w:hAnsi="Symbol" w:hint="default"/>
        <w:b w:val="0"/>
        <w:bCs/>
        <w:i w:val="0"/>
        <w:color w:val="auto"/>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15:restartNumberingAfterBreak="0">
    <w:nsid w:val="18DE35A1"/>
    <w:multiLevelType w:val="hybridMultilevel"/>
    <w:tmpl w:val="24D69964"/>
    <w:lvl w:ilvl="0" w:tplc="0C090001">
      <w:start w:val="1"/>
      <w:numFmt w:val="bullet"/>
      <w:lvlText w:val=""/>
      <w:lvlJc w:val="left"/>
      <w:pPr>
        <w:ind w:left="1211" w:hanging="360"/>
      </w:pPr>
      <w:rPr>
        <w:rFonts w:ascii="Symbol" w:hAnsi="Symbol" w:hint="default"/>
        <w:b w:val="0"/>
        <w:bCs/>
        <w:i w:val="0"/>
        <w:color w:val="auto"/>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 w15:restartNumberingAfterBreak="0">
    <w:nsid w:val="1A670DC8"/>
    <w:multiLevelType w:val="hybridMultilevel"/>
    <w:tmpl w:val="B48A9152"/>
    <w:lvl w:ilvl="0" w:tplc="C1AA130A">
      <w:start w:val="1"/>
      <w:numFmt w:val="decimal"/>
      <w:lvlText w:val="%1."/>
      <w:lvlJc w:val="left"/>
      <w:pPr>
        <w:ind w:left="720" w:hanging="360"/>
      </w:pPr>
      <w:rPr>
        <w:rFonts w:hint="default"/>
        <w:b w:val="0"/>
        <w:bCs/>
        <w:i w:val="0"/>
        <w:color w:val="auto"/>
      </w:rPr>
    </w:lvl>
    <w:lvl w:ilvl="1" w:tplc="0C090019">
      <w:start w:val="1"/>
      <w:numFmt w:val="lowerLetter"/>
      <w:lvlText w:val="%2."/>
      <w:lvlJc w:val="left"/>
      <w:pPr>
        <w:ind w:left="1440" w:hanging="360"/>
      </w:pPr>
    </w:lvl>
    <w:lvl w:ilvl="2" w:tplc="9EF841BC">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0AA62B6"/>
    <w:multiLevelType w:val="hybridMultilevel"/>
    <w:tmpl w:val="718CA150"/>
    <w:lvl w:ilvl="0" w:tplc="0C090001">
      <w:start w:val="1"/>
      <w:numFmt w:val="bullet"/>
      <w:lvlText w:val=""/>
      <w:lvlJc w:val="left"/>
      <w:pPr>
        <w:ind w:left="1211" w:hanging="360"/>
      </w:pPr>
      <w:rPr>
        <w:rFonts w:ascii="Symbol" w:hAnsi="Symbol" w:hint="default"/>
        <w:b w:val="0"/>
        <w:bCs/>
        <w:i w:val="0"/>
        <w:color w:val="auto"/>
      </w:rPr>
    </w:lvl>
    <w:lvl w:ilvl="1" w:tplc="FFFFFFFF">
      <w:start w:val="1"/>
      <w:numFmt w:val="lowerLetter"/>
      <w:lvlText w:val="%2."/>
      <w:lvlJc w:val="left"/>
      <w:pPr>
        <w:ind w:left="1931" w:hanging="360"/>
      </w:pPr>
    </w:lvl>
    <w:lvl w:ilvl="2" w:tplc="FFFFFFFF">
      <w:start w:val="1"/>
      <w:numFmt w:val="lowerLetter"/>
      <w:lvlText w:val="(%3)"/>
      <w:lvlJc w:val="left"/>
      <w:pPr>
        <w:ind w:left="3191" w:hanging="720"/>
      </w:pPr>
      <w:rPr>
        <w:rFonts w:hint="default"/>
      </w:r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 w15:restartNumberingAfterBreak="0">
    <w:nsid w:val="2EE256A6"/>
    <w:multiLevelType w:val="hybridMultilevel"/>
    <w:tmpl w:val="A7B691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3BB3229"/>
    <w:multiLevelType w:val="hybridMultilevel"/>
    <w:tmpl w:val="24402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3F74DD"/>
    <w:multiLevelType w:val="hybridMultilevel"/>
    <w:tmpl w:val="33E8CFA6"/>
    <w:lvl w:ilvl="0" w:tplc="FFFFFFFF">
      <w:start w:val="1"/>
      <w:numFmt w:val="bullet"/>
      <w:lvlText w:val="o"/>
      <w:lvlJc w:val="left"/>
      <w:pPr>
        <w:ind w:left="720" w:hanging="360"/>
      </w:pPr>
      <w:rPr>
        <w:rFonts w:ascii="Courier New" w:hAnsi="Courier New" w:cs="Courier New" w:hint="default"/>
        <w:b w:val="0"/>
        <w:bCs/>
        <w:i w:val="0"/>
        <w:color w:val="auto"/>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C53482"/>
    <w:multiLevelType w:val="hybridMultilevel"/>
    <w:tmpl w:val="2AE03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4625E6"/>
    <w:multiLevelType w:val="hybridMultilevel"/>
    <w:tmpl w:val="A9BE90EE"/>
    <w:lvl w:ilvl="0" w:tplc="0C090001">
      <w:start w:val="1"/>
      <w:numFmt w:val="bullet"/>
      <w:lvlText w:val=""/>
      <w:lvlJc w:val="left"/>
      <w:pPr>
        <w:ind w:left="1440" w:hanging="360"/>
      </w:pPr>
      <w:rPr>
        <w:rFonts w:ascii="Symbol" w:hAnsi="Symbol" w:hint="default"/>
      </w:rPr>
    </w:lvl>
    <w:lvl w:ilvl="1" w:tplc="95AEC570">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E575E2C"/>
    <w:multiLevelType w:val="hybridMultilevel"/>
    <w:tmpl w:val="D8282AAA"/>
    <w:lvl w:ilvl="0" w:tplc="C186C270">
      <w:start w:val="1"/>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D70FB9"/>
    <w:multiLevelType w:val="hybridMultilevel"/>
    <w:tmpl w:val="A6EACD0E"/>
    <w:lvl w:ilvl="0" w:tplc="0C090001">
      <w:start w:val="1"/>
      <w:numFmt w:val="bullet"/>
      <w:lvlText w:val=""/>
      <w:lvlJc w:val="left"/>
      <w:pPr>
        <w:ind w:left="1211" w:hanging="360"/>
      </w:pPr>
      <w:rPr>
        <w:rFonts w:ascii="Symbol" w:hAnsi="Symbol" w:hint="default"/>
        <w:b w:val="0"/>
        <w:bCs/>
        <w:i w:val="0"/>
        <w:color w:val="auto"/>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9" w15:restartNumberingAfterBreak="0">
    <w:nsid w:val="7A2B2829"/>
    <w:multiLevelType w:val="hybridMultilevel"/>
    <w:tmpl w:val="E2709402"/>
    <w:lvl w:ilvl="0" w:tplc="FFFFFFFF">
      <w:start w:val="1"/>
      <w:numFmt w:val="bullet"/>
      <w:lvlText w:val=""/>
      <w:lvlJc w:val="left"/>
      <w:pPr>
        <w:ind w:left="720" w:hanging="360"/>
      </w:pPr>
      <w:rPr>
        <w:rFonts w:ascii="Symbol" w:hAnsi="Symbol" w:hint="default"/>
        <w:b w:val="0"/>
        <w:bCs/>
        <w:i w:val="0"/>
        <w:color w:val="auto"/>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5248415">
    <w:abstractNumId w:val="7"/>
  </w:num>
  <w:num w:numId="2" w16cid:durableId="1612514962">
    <w:abstractNumId w:val="8"/>
  </w:num>
  <w:num w:numId="3" w16cid:durableId="1969192185">
    <w:abstractNumId w:val="4"/>
  </w:num>
  <w:num w:numId="4" w16cid:durableId="907223738">
    <w:abstractNumId w:val="9"/>
  </w:num>
  <w:num w:numId="5" w16cid:durableId="327637755">
    <w:abstractNumId w:val="12"/>
  </w:num>
  <w:num w:numId="6" w16cid:durableId="100611279">
    <w:abstractNumId w:val="6"/>
  </w:num>
  <w:num w:numId="7" w16cid:durableId="688800424">
    <w:abstractNumId w:val="5"/>
  </w:num>
  <w:num w:numId="8" w16cid:durableId="1280645245">
    <w:abstractNumId w:val="2"/>
  </w:num>
  <w:num w:numId="9" w16cid:durableId="1218011068">
    <w:abstractNumId w:val="19"/>
  </w:num>
  <w:num w:numId="10" w16cid:durableId="1872915910">
    <w:abstractNumId w:val="18"/>
  </w:num>
  <w:num w:numId="11" w16cid:durableId="462041840">
    <w:abstractNumId w:val="16"/>
  </w:num>
  <w:num w:numId="12" w16cid:durableId="293219357">
    <w:abstractNumId w:val="10"/>
  </w:num>
  <w:num w:numId="13" w16cid:durableId="1647733542">
    <w:abstractNumId w:val="14"/>
  </w:num>
  <w:num w:numId="14" w16cid:durableId="677345531">
    <w:abstractNumId w:val="0"/>
  </w:num>
  <w:num w:numId="15" w16cid:durableId="667711613">
    <w:abstractNumId w:val="3"/>
  </w:num>
  <w:num w:numId="16" w16cid:durableId="493107532">
    <w:abstractNumId w:val="17"/>
  </w:num>
  <w:num w:numId="17" w16cid:durableId="258028313">
    <w:abstractNumId w:val="15"/>
  </w:num>
  <w:num w:numId="18" w16cid:durableId="552274431">
    <w:abstractNumId w:val="1"/>
  </w:num>
  <w:num w:numId="19" w16cid:durableId="109714454">
    <w:abstractNumId w:val="11"/>
  </w:num>
  <w:num w:numId="20" w16cid:durableId="136513066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274D"/>
    <w:rsid w:val="00002E42"/>
    <w:rsid w:val="00003184"/>
    <w:rsid w:val="000036EB"/>
    <w:rsid w:val="00003903"/>
    <w:rsid w:val="0000391D"/>
    <w:rsid w:val="0000395C"/>
    <w:rsid w:val="00003C48"/>
    <w:rsid w:val="0000589C"/>
    <w:rsid w:val="00005C39"/>
    <w:rsid w:val="00006D80"/>
    <w:rsid w:val="00006EEB"/>
    <w:rsid w:val="00007A88"/>
    <w:rsid w:val="000100BB"/>
    <w:rsid w:val="000111FA"/>
    <w:rsid w:val="00011E4D"/>
    <w:rsid w:val="000138CF"/>
    <w:rsid w:val="00013FB2"/>
    <w:rsid w:val="000140D5"/>
    <w:rsid w:val="000146FA"/>
    <w:rsid w:val="00014F4C"/>
    <w:rsid w:val="0001554B"/>
    <w:rsid w:val="00016AFF"/>
    <w:rsid w:val="00016FF3"/>
    <w:rsid w:val="00017F54"/>
    <w:rsid w:val="00020B35"/>
    <w:rsid w:val="0002129C"/>
    <w:rsid w:val="000238DA"/>
    <w:rsid w:val="00025146"/>
    <w:rsid w:val="00026CD3"/>
    <w:rsid w:val="00030564"/>
    <w:rsid w:val="000305EA"/>
    <w:rsid w:val="00031CAC"/>
    <w:rsid w:val="00031E3C"/>
    <w:rsid w:val="000324B9"/>
    <w:rsid w:val="00032CB3"/>
    <w:rsid w:val="00033A73"/>
    <w:rsid w:val="00036FAE"/>
    <w:rsid w:val="00037038"/>
    <w:rsid w:val="00037384"/>
    <w:rsid w:val="000373D0"/>
    <w:rsid w:val="0004161B"/>
    <w:rsid w:val="00043130"/>
    <w:rsid w:val="000435A5"/>
    <w:rsid w:val="000435B5"/>
    <w:rsid w:val="00044508"/>
    <w:rsid w:val="0004547E"/>
    <w:rsid w:val="00047668"/>
    <w:rsid w:val="00047839"/>
    <w:rsid w:val="00047A2A"/>
    <w:rsid w:val="000500AC"/>
    <w:rsid w:val="000501F6"/>
    <w:rsid w:val="0005020B"/>
    <w:rsid w:val="000539A6"/>
    <w:rsid w:val="00053ECA"/>
    <w:rsid w:val="00054870"/>
    <w:rsid w:val="00057815"/>
    <w:rsid w:val="00057A1E"/>
    <w:rsid w:val="0006058F"/>
    <w:rsid w:val="00060B0C"/>
    <w:rsid w:val="000614A1"/>
    <w:rsid w:val="00062794"/>
    <w:rsid w:val="0006484E"/>
    <w:rsid w:val="00065F42"/>
    <w:rsid w:val="000668B0"/>
    <w:rsid w:val="00070039"/>
    <w:rsid w:val="0007072E"/>
    <w:rsid w:val="000726EA"/>
    <w:rsid w:val="00073875"/>
    <w:rsid w:val="00074C7D"/>
    <w:rsid w:val="000767B7"/>
    <w:rsid w:val="00076C82"/>
    <w:rsid w:val="00076E76"/>
    <w:rsid w:val="00077889"/>
    <w:rsid w:val="00080207"/>
    <w:rsid w:val="0008304C"/>
    <w:rsid w:val="0008357D"/>
    <w:rsid w:val="00083AA3"/>
    <w:rsid w:val="00083F41"/>
    <w:rsid w:val="000846B7"/>
    <w:rsid w:val="00084E0A"/>
    <w:rsid w:val="00085122"/>
    <w:rsid w:val="00085E23"/>
    <w:rsid w:val="00094444"/>
    <w:rsid w:val="000A201F"/>
    <w:rsid w:val="000A2440"/>
    <w:rsid w:val="000A2A28"/>
    <w:rsid w:val="000A2D3A"/>
    <w:rsid w:val="000A3124"/>
    <w:rsid w:val="000A35D6"/>
    <w:rsid w:val="000A38BF"/>
    <w:rsid w:val="000A5C98"/>
    <w:rsid w:val="000A6355"/>
    <w:rsid w:val="000B1BE1"/>
    <w:rsid w:val="000B2B07"/>
    <w:rsid w:val="000B3914"/>
    <w:rsid w:val="000B39E6"/>
    <w:rsid w:val="000B4A54"/>
    <w:rsid w:val="000B5B94"/>
    <w:rsid w:val="000B6430"/>
    <w:rsid w:val="000B742D"/>
    <w:rsid w:val="000C0C7B"/>
    <w:rsid w:val="000C0F78"/>
    <w:rsid w:val="000C224C"/>
    <w:rsid w:val="000C34FD"/>
    <w:rsid w:val="000C44E4"/>
    <w:rsid w:val="000C4D6B"/>
    <w:rsid w:val="000D0B6C"/>
    <w:rsid w:val="000D1472"/>
    <w:rsid w:val="000D3DB8"/>
    <w:rsid w:val="000D5531"/>
    <w:rsid w:val="000D5644"/>
    <w:rsid w:val="000D568F"/>
    <w:rsid w:val="000D5E6D"/>
    <w:rsid w:val="000D6914"/>
    <w:rsid w:val="000D7505"/>
    <w:rsid w:val="000E209E"/>
    <w:rsid w:val="000E3516"/>
    <w:rsid w:val="000E4030"/>
    <w:rsid w:val="000E42A1"/>
    <w:rsid w:val="000E534E"/>
    <w:rsid w:val="000E57DB"/>
    <w:rsid w:val="000E6FD6"/>
    <w:rsid w:val="000F06BF"/>
    <w:rsid w:val="000F1811"/>
    <w:rsid w:val="000F1C30"/>
    <w:rsid w:val="000F2429"/>
    <w:rsid w:val="000F546E"/>
    <w:rsid w:val="000F5FBF"/>
    <w:rsid w:val="000F7A8C"/>
    <w:rsid w:val="000F7A94"/>
    <w:rsid w:val="00101CDD"/>
    <w:rsid w:val="00101EEB"/>
    <w:rsid w:val="0010209E"/>
    <w:rsid w:val="00103015"/>
    <w:rsid w:val="0010316C"/>
    <w:rsid w:val="00103174"/>
    <w:rsid w:val="00103253"/>
    <w:rsid w:val="001042BA"/>
    <w:rsid w:val="00105F1A"/>
    <w:rsid w:val="001066A1"/>
    <w:rsid w:val="00113209"/>
    <w:rsid w:val="00113888"/>
    <w:rsid w:val="00113945"/>
    <w:rsid w:val="00113D0B"/>
    <w:rsid w:val="00113EB0"/>
    <w:rsid w:val="001152F6"/>
    <w:rsid w:val="001153A8"/>
    <w:rsid w:val="00115EAB"/>
    <w:rsid w:val="00117529"/>
    <w:rsid w:val="00117861"/>
    <w:rsid w:val="00120A34"/>
    <w:rsid w:val="001229D2"/>
    <w:rsid w:val="00122B27"/>
    <w:rsid w:val="00124260"/>
    <w:rsid w:val="00125A8E"/>
    <w:rsid w:val="0012613C"/>
    <w:rsid w:val="00127CD8"/>
    <w:rsid w:val="001301AD"/>
    <w:rsid w:val="00132A58"/>
    <w:rsid w:val="001334D9"/>
    <w:rsid w:val="001342ED"/>
    <w:rsid w:val="00136E37"/>
    <w:rsid w:val="001377D9"/>
    <w:rsid w:val="00137ACD"/>
    <w:rsid w:val="00140421"/>
    <w:rsid w:val="00140DAD"/>
    <w:rsid w:val="00140E3D"/>
    <w:rsid w:val="001415B2"/>
    <w:rsid w:val="0014200A"/>
    <w:rsid w:val="001421FE"/>
    <w:rsid w:val="00142B18"/>
    <w:rsid w:val="001437EA"/>
    <w:rsid w:val="0014382D"/>
    <w:rsid w:val="00144950"/>
    <w:rsid w:val="00145BE1"/>
    <w:rsid w:val="00145CBB"/>
    <w:rsid w:val="00147DF5"/>
    <w:rsid w:val="00150898"/>
    <w:rsid w:val="00150E2D"/>
    <w:rsid w:val="00151973"/>
    <w:rsid w:val="00151B31"/>
    <w:rsid w:val="0015276C"/>
    <w:rsid w:val="00152947"/>
    <w:rsid w:val="00152A1B"/>
    <w:rsid w:val="0015508C"/>
    <w:rsid w:val="001563DC"/>
    <w:rsid w:val="00160153"/>
    <w:rsid w:val="00161219"/>
    <w:rsid w:val="00161985"/>
    <w:rsid w:val="00161A1F"/>
    <w:rsid w:val="00161A30"/>
    <w:rsid w:val="00164CDD"/>
    <w:rsid w:val="00165F9C"/>
    <w:rsid w:val="0017006A"/>
    <w:rsid w:val="0017047B"/>
    <w:rsid w:val="0017139E"/>
    <w:rsid w:val="00171623"/>
    <w:rsid w:val="00172629"/>
    <w:rsid w:val="00173A64"/>
    <w:rsid w:val="00173E0C"/>
    <w:rsid w:val="0017420A"/>
    <w:rsid w:val="00174536"/>
    <w:rsid w:val="001751B8"/>
    <w:rsid w:val="00176462"/>
    <w:rsid w:val="001765E4"/>
    <w:rsid w:val="00177001"/>
    <w:rsid w:val="001813A8"/>
    <w:rsid w:val="001816EB"/>
    <w:rsid w:val="00181A0C"/>
    <w:rsid w:val="00184069"/>
    <w:rsid w:val="00185309"/>
    <w:rsid w:val="00185491"/>
    <w:rsid w:val="00185E1C"/>
    <w:rsid w:val="00186602"/>
    <w:rsid w:val="00187A90"/>
    <w:rsid w:val="00187D59"/>
    <w:rsid w:val="0019011C"/>
    <w:rsid w:val="001913FF"/>
    <w:rsid w:val="00193740"/>
    <w:rsid w:val="00194565"/>
    <w:rsid w:val="00195030"/>
    <w:rsid w:val="001964D2"/>
    <w:rsid w:val="00196ACC"/>
    <w:rsid w:val="001976CC"/>
    <w:rsid w:val="00197C3F"/>
    <w:rsid w:val="001A0FB9"/>
    <w:rsid w:val="001A27FA"/>
    <w:rsid w:val="001A2FE9"/>
    <w:rsid w:val="001A38F9"/>
    <w:rsid w:val="001A4389"/>
    <w:rsid w:val="001A4488"/>
    <w:rsid w:val="001A5DF3"/>
    <w:rsid w:val="001A601D"/>
    <w:rsid w:val="001A6B2B"/>
    <w:rsid w:val="001B0E00"/>
    <w:rsid w:val="001B1FAA"/>
    <w:rsid w:val="001B3A62"/>
    <w:rsid w:val="001B3C7A"/>
    <w:rsid w:val="001B3DB2"/>
    <w:rsid w:val="001B4E1D"/>
    <w:rsid w:val="001B5779"/>
    <w:rsid w:val="001B61D9"/>
    <w:rsid w:val="001B657A"/>
    <w:rsid w:val="001C1E96"/>
    <w:rsid w:val="001C3851"/>
    <w:rsid w:val="001C457B"/>
    <w:rsid w:val="001C4A6D"/>
    <w:rsid w:val="001C4CEF"/>
    <w:rsid w:val="001C6BC1"/>
    <w:rsid w:val="001D00E3"/>
    <w:rsid w:val="001D0AF3"/>
    <w:rsid w:val="001D1608"/>
    <w:rsid w:val="001D1D8A"/>
    <w:rsid w:val="001D2850"/>
    <w:rsid w:val="001D36EE"/>
    <w:rsid w:val="001D5A5E"/>
    <w:rsid w:val="001D6699"/>
    <w:rsid w:val="001D6A6F"/>
    <w:rsid w:val="001E07CE"/>
    <w:rsid w:val="001E0F9E"/>
    <w:rsid w:val="001E1BC8"/>
    <w:rsid w:val="001E5133"/>
    <w:rsid w:val="001E52EB"/>
    <w:rsid w:val="001E56C8"/>
    <w:rsid w:val="001E5A0B"/>
    <w:rsid w:val="001E5B0A"/>
    <w:rsid w:val="001F08BC"/>
    <w:rsid w:val="001F127D"/>
    <w:rsid w:val="001F238F"/>
    <w:rsid w:val="001F2C82"/>
    <w:rsid w:val="001F2F27"/>
    <w:rsid w:val="001F3626"/>
    <w:rsid w:val="001F37A7"/>
    <w:rsid w:val="001F4833"/>
    <w:rsid w:val="001F4FDB"/>
    <w:rsid w:val="001F6174"/>
    <w:rsid w:val="001F7336"/>
    <w:rsid w:val="00200358"/>
    <w:rsid w:val="00200402"/>
    <w:rsid w:val="002005CD"/>
    <w:rsid w:val="00200B2B"/>
    <w:rsid w:val="00201F75"/>
    <w:rsid w:val="00202EC1"/>
    <w:rsid w:val="00204283"/>
    <w:rsid w:val="00204431"/>
    <w:rsid w:val="00204D97"/>
    <w:rsid w:val="00204EEF"/>
    <w:rsid w:val="00205DBD"/>
    <w:rsid w:val="00206E38"/>
    <w:rsid w:val="00207297"/>
    <w:rsid w:val="00211BF4"/>
    <w:rsid w:val="00211DD4"/>
    <w:rsid w:val="0021337D"/>
    <w:rsid w:val="00215098"/>
    <w:rsid w:val="00216A1C"/>
    <w:rsid w:val="00220937"/>
    <w:rsid w:val="00220B61"/>
    <w:rsid w:val="002212C4"/>
    <w:rsid w:val="002215AE"/>
    <w:rsid w:val="00221963"/>
    <w:rsid w:val="00221A64"/>
    <w:rsid w:val="0022303F"/>
    <w:rsid w:val="002231ED"/>
    <w:rsid w:val="00223F82"/>
    <w:rsid w:val="00224A5D"/>
    <w:rsid w:val="00224C52"/>
    <w:rsid w:val="002266D4"/>
    <w:rsid w:val="002279AF"/>
    <w:rsid w:val="00230B64"/>
    <w:rsid w:val="00232304"/>
    <w:rsid w:val="002333E2"/>
    <w:rsid w:val="0023559A"/>
    <w:rsid w:val="00237515"/>
    <w:rsid w:val="0023758F"/>
    <w:rsid w:val="002378EE"/>
    <w:rsid w:val="00237B8D"/>
    <w:rsid w:val="00241102"/>
    <w:rsid w:val="00241A00"/>
    <w:rsid w:val="002445E3"/>
    <w:rsid w:val="00245D9A"/>
    <w:rsid w:val="00247193"/>
    <w:rsid w:val="00247EBF"/>
    <w:rsid w:val="00255264"/>
    <w:rsid w:val="00257026"/>
    <w:rsid w:val="00257D6A"/>
    <w:rsid w:val="00261499"/>
    <w:rsid w:val="00261C11"/>
    <w:rsid w:val="00262AB1"/>
    <w:rsid w:val="00262E8D"/>
    <w:rsid w:val="002632E4"/>
    <w:rsid w:val="0026673D"/>
    <w:rsid w:val="00267222"/>
    <w:rsid w:val="002672A4"/>
    <w:rsid w:val="002720E4"/>
    <w:rsid w:val="00274107"/>
    <w:rsid w:val="002742D5"/>
    <w:rsid w:val="002747E8"/>
    <w:rsid w:val="00274EEA"/>
    <w:rsid w:val="00276257"/>
    <w:rsid w:val="0027686D"/>
    <w:rsid w:val="00276B82"/>
    <w:rsid w:val="002808A9"/>
    <w:rsid w:val="0028119A"/>
    <w:rsid w:val="0028120A"/>
    <w:rsid w:val="00281337"/>
    <w:rsid w:val="002817A9"/>
    <w:rsid w:val="00282923"/>
    <w:rsid w:val="00282CDB"/>
    <w:rsid w:val="00284C9D"/>
    <w:rsid w:val="00285E29"/>
    <w:rsid w:val="00287066"/>
    <w:rsid w:val="00287EE1"/>
    <w:rsid w:val="00292863"/>
    <w:rsid w:val="0029337C"/>
    <w:rsid w:val="00294430"/>
    <w:rsid w:val="00294893"/>
    <w:rsid w:val="00294DD8"/>
    <w:rsid w:val="00296CA7"/>
    <w:rsid w:val="00296FAF"/>
    <w:rsid w:val="00297B59"/>
    <w:rsid w:val="00297EAB"/>
    <w:rsid w:val="002A10D8"/>
    <w:rsid w:val="002A15F1"/>
    <w:rsid w:val="002A2158"/>
    <w:rsid w:val="002A2B52"/>
    <w:rsid w:val="002A3EF2"/>
    <w:rsid w:val="002A4864"/>
    <w:rsid w:val="002A4961"/>
    <w:rsid w:val="002A517C"/>
    <w:rsid w:val="002A70CF"/>
    <w:rsid w:val="002A7E27"/>
    <w:rsid w:val="002B0AFB"/>
    <w:rsid w:val="002B313C"/>
    <w:rsid w:val="002B3E99"/>
    <w:rsid w:val="002B441B"/>
    <w:rsid w:val="002B55F9"/>
    <w:rsid w:val="002B56B1"/>
    <w:rsid w:val="002B5AE4"/>
    <w:rsid w:val="002B5C28"/>
    <w:rsid w:val="002B6004"/>
    <w:rsid w:val="002C0831"/>
    <w:rsid w:val="002C1F84"/>
    <w:rsid w:val="002C39E4"/>
    <w:rsid w:val="002C40FB"/>
    <w:rsid w:val="002C51E8"/>
    <w:rsid w:val="002C5C50"/>
    <w:rsid w:val="002C5D3C"/>
    <w:rsid w:val="002D0C81"/>
    <w:rsid w:val="002D0D6A"/>
    <w:rsid w:val="002D1504"/>
    <w:rsid w:val="002D190A"/>
    <w:rsid w:val="002D1A99"/>
    <w:rsid w:val="002D2420"/>
    <w:rsid w:val="002D564A"/>
    <w:rsid w:val="002D7972"/>
    <w:rsid w:val="002E0B9F"/>
    <w:rsid w:val="002E12E6"/>
    <w:rsid w:val="002E3C7B"/>
    <w:rsid w:val="002E44F4"/>
    <w:rsid w:val="002F1CE5"/>
    <w:rsid w:val="002F205B"/>
    <w:rsid w:val="002F3A14"/>
    <w:rsid w:val="002F76C6"/>
    <w:rsid w:val="0030073C"/>
    <w:rsid w:val="00300E3E"/>
    <w:rsid w:val="00303BC5"/>
    <w:rsid w:val="003041F3"/>
    <w:rsid w:val="00304A88"/>
    <w:rsid w:val="00304E64"/>
    <w:rsid w:val="00305E31"/>
    <w:rsid w:val="0030639D"/>
    <w:rsid w:val="00307358"/>
    <w:rsid w:val="0031070C"/>
    <w:rsid w:val="00310E0D"/>
    <w:rsid w:val="003126FC"/>
    <w:rsid w:val="00313612"/>
    <w:rsid w:val="003146BB"/>
    <w:rsid w:val="00316053"/>
    <w:rsid w:val="0031697D"/>
    <w:rsid w:val="003170AC"/>
    <w:rsid w:val="00322202"/>
    <w:rsid w:val="00326C24"/>
    <w:rsid w:val="00330361"/>
    <w:rsid w:val="0033070E"/>
    <w:rsid w:val="003311C7"/>
    <w:rsid w:val="00332FB3"/>
    <w:rsid w:val="0033450F"/>
    <w:rsid w:val="0033473F"/>
    <w:rsid w:val="00334A68"/>
    <w:rsid w:val="00335E2D"/>
    <w:rsid w:val="00335EF6"/>
    <w:rsid w:val="00335F2F"/>
    <w:rsid w:val="00336BCB"/>
    <w:rsid w:val="003374DD"/>
    <w:rsid w:val="00340348"/>
    <w:rsid w:val="0034180C"/>
    <w:rsid w:val="00341DAD"/>
    <w:rsid w:val="00342145"/>
    <w:rsid w:val="003438A2"/>
    <w:rsid w:val="003440C7"/>
    <w:rsid w:val="00344CB1"/>
    <w:rsid w:val="00344DE2"/>
    <w:rsid w:val="00346660"/>
    <w:rsid w:val="00350779"/>
    <w:rsid w:val="00352B6C"/>
    <w:rsid w:val="00353D81"/>
    <w:rsid w:val="00354371"/>
    <w:rsid w:val="00354743"/>
    <w:rsid w:val="00356F1F"/>
    <w:rsid w:val="00357056"/>
    <w:rsid w:val="0036123F"/>
    <w:rsid w:val="003637D2"/>
    <w:rsid w:val="003652B0"/>
    <w:rsid w:val="00365B32"/>
    <w:rsid w:val="00365D2C"/>
    <w:rsid w:val="00367C2D"/>
    <w:rsid w:val="0037028F"/>
    <w:rsid w:val="003719A5"/>
    <w:rsid w:val="003719BF"/>
    <w:rsid w:val="00371F32"/>
    <w:rsid w:val="00375010"/>
    <w:rsid w:val="0037557D"/>
    <w:rsid w:val="0037728A"/>
    <w:rsid w:val="00377427"/>
    <w:rsid w:val="003775FF"/>
    <w:rsid w:val="003804A5"/>
    <w:rsid w:val="00381510"/>
    <w:rsid w:val="00383FD9"/>
    <w:rsid w:val="003848C4"/>
    <w:rsid w:val="0038534F"/>
    <w:rsid w:val="0038598B"/>
    <w:rsid w:val="00385CD4"/>
    <w:rsid w:val="00386B68"/>
    <w:rsid w:val="00386E17"/>
    <w:rsid w:val="0038758C"/>
    <w:rsid w:val="0038783C"/>
    <w:rsid w:val="0039083B"/>
    <w:rsid w:val="003913F1"/>
    <w:rsid w:val="00393294"/>
    <w:rsid w:val="00393A61"/>
    <w:rsid w:val="00394454"/>
    <w:rsid w:val="00394E1F"/>
    <w:rsid w:val="00395655"/>
    <w:rsid w:val="0039579A"/>
    <w:rsid w:val="00395A8D"/>
    <w:rsid w:val="00396B26"/>
    <w:rsid w:val="00397305"/>
    <w:rsid w:val="003A0965"/>
    <w:rsid w:val="003A1005"/>
    <w:rsid w:val="003A373E"/>
    <w:rsid w:val="003A3D0E"/>
    <w:rsid w:val="003A4424"/>
    <w:rsid w:val="003A530C"/>
    <w:rsid w:val="003A5841"/>
    <w:rsid w:val="003A7B17"/>
    <w:rsid w:val="003B0379"/>
    <w:rsid w:val="003B06EA"/>
    <w:rsid w:val="003B0BF2"/>
    <w:rsid w:val="003B15CA"/>
    <w:rsid w:val="003B29B0"/>
    <w:rsid w:val="003B2D01"/>
    <w:rsid w:val="003B2DA8"/>
    <w:rsid w:val="003B2E15"/>
    <w:rsid w:val="003B3044"/>
    <w:rsid w:val="003B3AAF"/>
    <w:rsid w:val="003B3D51"/>
    <w:rsid w:val="003B4DEF"/>
    <w:rsid w:val="003B540E"/>
    <w:rsid w:val="003B549A"/>
    <w:rsid w:val="003B65E8"/>
    <w:rsid w:val="003B6C2D"/>
    <w:rsid w:val="003C08CC"/>
    <w:rsid w:val="003C0D20"/>
    <w:rsid w:val="003C16A9"/>
    <w:rsid w:val="003C202D"/>
    <w:rsid w:val="003C2A76"/>
    <w:rsid w:val="003C2D3A"/>
    <w:rsid w:val="003C37E7"/>
    <w:rsid w:val="003C54E7"/>
    <w:rsid w:val="003C7D3E"/>
    <w:rsid w:val="003D003F"/>
    <w:rsid w:val="003D3D31"/>
    <w:rsid w:val="003D47C4"/>
    <w:rsid w:val="003D5A5E"/>
    <w:rsid w:val="003D74D8"/>
    <w:rsid w:val="003D7CE2"/>
    <w:rsid w:val="003E0376"/>
    <w:rsid w:val="003E0FAB"/>
    <w:rsid w:val="003E1436"/>
    <w:rsid w:val="003E21BB"/>
    <w:rsid w:val="003E3BC2"/>
    <w:rsid w:val="003E4413"/>
    <w:rsid w:val="003E49D0"/>
    <w:rsid w:val="003E4A43"/>
    <w:rsid w:val="003E5051"/>
    <w:rsid w:val="003E5645"/>
    <w:rsid w:val="003E5B26"/>
    <w:rsid w:val="003E6508"/>
    <w:rsid w:val="003E69C4"/>
    <w:rsid w:val="003E7A88"/>
    <w:rsid w:val="003F09F7"/>
    <w:rsid w:val="003F1AA1"/>
    <w:rsid w:val="003F1FC3"/>
    <w:rsid w:val="003F24BC"/>
    <w:rsid w:val="003F31B8"/>
    <w:rsid w:val="003F47F3"/>
    <w:rsid w:val="003F4D0A"/>
    <w:rsid w:val="003F71C8"/>
    <w:rsid w:val="00402A06"/>
    <w:rsid w:val="00402B8D"/>
    <w:rsid w:val="00402CC7"/>
    <w:rsid w:val="00402D70"/>
    <w:rsid w:val="00403403"/>
    <w:rsid w:val="00403761"/>
    <w:rsid w:val="00403CE4"/>
    <w:rsid w:val="00405080"/>
    <w:rsid w:val="00407222"/>
    <w:rsid w:val="004075A3"/>
    <w:rsid w:val="0040773E"/>
    <w:rsid w:val="00407BF1"/>
    <w:rsid w:val="00410A3F"/>
    <w:rsid w:val="004113C2"/>
    <w:rsid w:val="0041144F"/>
    <w:rsid w:val="00411A26"/>
    <w:rsid w:val="0041215E"/>
    <w:rsid w:val="00412A51"/>
    <w:rsid w:val="00413185"/>
    <w:rsid w:val="004143B1"/>
    <w:rsid w:val="00415A55"/>
    <w:rsid w:val="00415D52"/>
    <w:rsid w:val="0041694F"/>
    <w:rsid w:val="004177EF"/>
    <w:rsid w:val="00421887"/>
    <w:rsid w:val="00421890"/>
    <w:rsid w:val="00422383"/>
    <w:rsid w:val="004224CD"/>
    <w:rsid w:val="0042291F"/>
    <w:rsid w:val="00425A1E"/>
    <w:rsid w:val="00425FCB"/>
    <w:rsid w:val="00426491"/>
    <w:rsid w:val="00426599"/>
    <w:rsid w:val="00427DAE"/>
    <w:rsid w:val="00430F1B"/>
    <w:rsid w:val="00431538"/>
    <w:rsid w:val="004327E1"/>
    <w:rsid w:val="00433D8F"/>
    <w:rsid w:val="00433FEC"/>
    <w:rsid w:val="00434240"/>
    <w:rsid w:val="00434641"/>
    <w:rsid w:val="00434CDD"/>
    <w:rsid w:val="004355D0"/>
    <w:rsid w:val="004355E8"/>
    <w:rsid w:val="00436435"/>
    <w:rsid w:val="00437303"/>
    <w:rsid w:val="004378F9"/>
    <w:rsid w:val="00440DFD"/>
    <w:rsid w:val="004411D6"/>
    <w:rsid w:val="004432AE"/>
    <w:rsid w:val="00444084"/>
    <w:rsid w:val="0044538B"/>
    <w:rsid w:val="00445460"/>
    <w:rsid w:val="00446041"/>
    <w:rsid w:val="00446B03"/>
    <w:rsid w:val="0044797F"/>
    <w:rsid w:val="00447F27"/>
    <w:rsid w:val="0045006F"/>
    <w:rsid w:val="00450711"/>
    <w:rsid w:val="00450B9F"/>
    <w:rsid w:val="0045505B"/>
    <w:rsid w:val="00455C2A"/>
    <w:rsid w:val="00456EE3"/>
    <w:rsid w:val="00456F24"/>
    <w:rsid w:val="0046127D"/>
    <w:rsid w:val="0046160A"/>
    <w:rsid w:val="00461EAC"/>
    <w:rsid w:val="00464FB7"/>
    <w:rsid w:val="004709B5"/>
    <w:rsid w:val="00471E2C"/>
    <w:rsid w:val="00472F61"/>
    <w:rsid w:val="004735C7"/>
    <w:rsid w:val="004738B0"/>
    <w:rsid w:val="00476A2E"/>
    <w:rsid w:val="00481DE1"/>
    <w:rsid w:val="004829D7"/>
    <w:rsid w:val="004839E4"/>
    <w:rsid w:val="00484DBC"/>
    <w:rsid w:val="00485DD9"/>
    <w:rsid w:val="00486243"/>
    <w:rsid w:val="00490BA0"/>
    <w:rsid w:val="00492151"/>
    <w:rsid w:val="00494834"/>
    <w:rsid w:val="0049486C"/>
    <w:rsid w:val="004964E3"/>
    <w:rsid w:val="00497B1B"/>
    <w:rsid w:val="004A222F"/>
    <w:rsid w:val="004A2F70"/>
    <w:rsid w:val="004A357C"/>
    <w:rsid w:val="004A409F"/>
    <w:rsid w:val="004A41E7"/>
    <w:rsid w:val="004A441C"/>
    <w:rsid w:val="004A48D9"/>
    <w:rsid w:val="004A4B52"/>
    <w:rsid w:val="004A56F5"/>
    <w:rsid w:val="004A6B2D"/>
    <w:rsid w:val="004A71D3"/>
    <w:rsid w:val="004A75DD"/>
    <w:rsid w:val="004A7DF0"/>
    <w:rsid w:val="004B2C3F"/>
    <w:rsid w:val="004B59B0"/>
    <w:rsid w:val="004B7BB3"/>
    <w:rsid w:val="004C2986"/>
    <w:rsid w:val="004C3452"/>
    <w:rsid w:val="004C51A1"/>
    <w:rsid w:val="004C51D9"/>
    <w:rsid w:val="004C76FE"/>
    <w:rsid w:val="004D3A1B"/>
    <w:rsid w:val="004D3A3B"/>
    <w:rsid w:val="004D5695"/>
    <w:rsid w:val="004D665B"/>
    <w:rsid w:val="004D7B86"/>
    <w:rsid w:val="004E0EE1"/>
    <w:rsid w:val="004E18EE"/>
    <w:rsid w:val="004E3495"/>
    <w:rsid w:val="004F16CA"/>
    <w:rsid w:val="004F200E"/>
    <w:rsid w:val="004F3E3F"/>
    <w:rsid w:val="004F53E6"/>
    <w:rsid w:val="004F54FF"/>
    <w:rsid w:val="004F67A3"/>
    <w:rsid w:val="004F7003"/>
    <w:rsid w:val="004F7E8D"/>
    <w:rsid w:val="00503218"/>
    <w:rsid w:val="0050417A"/>
    <w:rsid w:val="005050C4"/>
    <w:rsid w:val="00505873"/>
    <w:rsid w:val="005060F3"/>
    <w:rsid w:val="005066F9"/>
    <w:rsid w:val="00506F28"/>
    <w:rsid w:val="00511CD8"/>
    <w:rsid w:val="00511DED"/>
    <w:rsid w:val="005130B1"/>
    <w:rsid w:val="005146EC"/>
    <w:rsid w:val="00515BBE"/>
    <w:rsid w:val="005169CB"/>
    <w:rsid w:val="00517337"/>
    <w:rsid w:val="005173FC"/>
    <w:rsid w:val="00517E05"/>
    <w:rsid w:val="0052233F"/>
    <w:rsid w:val="00524226"/>
    <w:rsid w:val="00527330"/>
    <w:rsid w:val="005277E8"/>
    <w:rsid w:val="0052785F"/>
    <w:rsid w:val="00527FD8"/>
    <w:rsid w:val="00530288"/>
    <w:rsid w:val="005319E7"/>
    <w:rsid w:val="00536596"/>
    <w:rsid w:val="005366FF"/>
    <w:rsid w:val="005374A4"/>
    <w:rsid w:val="00537A32"/>
    <w:rsid w:val="005423BB"/>
    <w:rsid w:val="00542E8A"/>
    <w:rsid w:val="0054602B"/>
    <w:rsid w:val="005460B6"/>
    <w:rsid w:val="00546375"/>
    <w:rsid w:val="005464B3"/>
    <w:rsid w:val="00550466"/>
    <w:rsid w:val="00550759"/>
    <w:rsid w:val="005520A3"/>
    <w:rsid w:val="00554121"/>
    <w:rsid w:val="005559D6"/>
    <w:rsid w:val="00555A80"/>
    <w:rsid w:val="00556B2A"/>
    <w:rsid w:val="00557EB3"/>
    <w:rsid w:val="00560559"/>
    <w:rsid w:val="005620CA"/>
    <w:rsid w:val="00562629"/>
    <w:rsid w:val="00563170"/>
    <w:rsid w:val="0056758F"/>
    <w:rsid w:val="00571E32"/>
    <w:rsid w:val="00572401"/>
    <w:rsid w:val="00572675"/>
    <w:rsid w:val="005732E6"/>
    <w:rsid w:val="00573B35"/>
    <w:rsid w:val="00574612"/>
    <w:rsid w:val="005748D1"/>
    <w:rsid w:val="00574DAF"/>
    <w:rsid w:val="005763CC"/>
    <w:rsid w:val="00576C5E"/>
    <w:rsid w:val="00577C30"/>
    <w:rsid w:val="00577F4F"/>
    <w:rsid w:val="005812FF"/>
    <w:rsid w:val="005819C8"/>
    <w:rsid w:val="0058294D"/>
    <w:rsid w:val="0058422E"/>
    <w:rsid w:val="00584B84"/>
    <w:rsid w:val="005857ED"/>
    <w:rsid w:val="005905A0"/>
    <w:rsid w:val="00590C89"/>
    <w:rsid w:val="00591EC0"/>
    <w:rsid w:val="005965FC"/>
    <w:rsid w:val="005972B3"/>
    <w:rsid w:val="00597535"/>
    <w:rsid w:val="005A0647"/>
    <w:rsid w:val="005A1C6B"/>
    <w:rsid w:val="005A2CD9"/>
    <w:rsid w:val="005A4F2D"/>
    <w:rsid w:val="005A51E6"/>
    <w:rsid w:val="005A54B4"/>
    <w:rsid w:val="005A7050"/>
    <w:rsid w:val="005A7542"/>
    <w:rsid w:val="005B236E"/>
    <w:rsid w:val="005B2566"/>
    <w:rsid w:val="005B2B26"/>
    <w:rsid w:val="005B3CBC"/>
    <w:rsid w:val="005B445D"/>
    <w:rsid w:val="005B510A"/>
    <w:rsid w:val="005B7B5E"/>
    <w:rsid w:val="005C05CE"/>
    <w:rsid w:val="005C0740"/>
    <w:rsid w:val="005C18D0"/>
    <w:rsid w:val="005C2626"/>
    <w:rsid w:val="005C4A37"/>
    <w:rsid w:val="005C7A34"/>
    <w:rsid w:val="005D0DEA"/>
    <w:rsid w:val="005D0E50"/>
    <w:rsid w:val="005D13E6"/>
    <w:rsid w:val="005D3581"/>
    <w:rsid w:val="005D508D"/>
    <w:rsid w:val="005D5326"/>
    <w:rsid w:val="005D68B4"/>
    <w:rsid w:val="005E2026"/>
    <w:rsid w:val="005E2772"/>
    <w:rsid w:val="005E32F5"/>
    <w:rsid w:val="005E3FB1"/>
    <w:rsid w:val="005E62C4"/>
    <w:rsid w:val="005E7759"/>
    <w:rsid w:val="005F28E0"/>
    <w:rsid w:val="005F2D88"/>
    <w:rsid w:val="005F4119"/>
    <w:rsid w:val="005F4914"/>
    <w:rsid w:val="005F4BBD"/>
    <w:rsid w:val="005F4BD4"/>
    <w:rsid w:val="005F5DF6"/>
    <w:rsid w:val="005F5FA1"/>
    <w:rsid w:val="005F7D42"/>
    <w:rsid w:val="00600453"/>
    <w:rsid w:val="0060088C"/>
    <w:rsid w:val="00602732"/>
    <w:rsid w:val="00603250"/>
    <w:rsid w:val="00604F05"/>
    <w:rsid w:val="006058A5"/>
    <w:rsid w:val="00606007"/>
    <w:rsid w:val="0060754B"/>
    <w:rsid w:val="00611D31"/>
    <w:rsid w:val="006127F7"/>
    <w:rsid w:val="00613308"/>
    <w:rsid w:val="0061357E"/>
    <w:rsid w:val="00613D01"/>
    <w:rsid w:val="00615144"/>
    <w:rsid w:val="00616683"/>
    <w:rsid w:val="00617BAC"/>
    <w:rsid w:val="006202A1"/>
    <w:rsid w:val="0062319E"/>
    <w:rsid w:val="00623934"/>
    <w:rsid w:val="0062397C"/>
    <w:rsid w:val="006246B9"/>
    <w:rsid w:val="00625432"/>
    <w:rsid w:val="0062696C"/>
    <w:rsid w:val="00626E42"/>
    <w:rsid w:val="00627EDA"/>
    <w:rsid w:val="00631B0B"/>
    <w:rsid w:val="00633D0E"/>
    <w:rsid w:val="00636200"/>
    <w:rsid w:val="006401C5"/>
    <w:rsid w:val="00640DC8"/>
    <w:rsid w:val="00642A2D"/>
    <w:rsid w:val="00642C73"/>
    <w:rsid w:val="00643144"/>
    <w:rsid w:val="006439AE"/>
    <w:rsid w:val="006456C4"/>
    <w:rsid w:val="00645905"/>
    <w:rsid w:val="00645D5B"/>
    <w:rsid w:val="00645DC7"/>
    <w:rsid w:val="0064724F"/>
    <w:rsid w:val="006507CB"/>
    <w:rsid w:val="00650CAE"/>
    <w:rsid w:val="00651D68"/>
    <w:rsid w:val="00652D30"/>
    <w:rsid w:val="00656314"/>
    <w:rsid w:val="006567EA"/>
    <w:rsid w:val="00656835"/>
    <w:rsid w:val="006607C5"/>
    <w:rsid w:val="006611E8"/>
    <w:rsid w:val="00661BE8"/>
    <w:rsid w:val="00662FFF"/>
    <w:rsid w:val="00667B6F"/>
    <w:rsid w:val="00667F82"/>
    <w:rsid w:val="006700AA"/>
    <w:rsid w:val="00670378"/>
    <w:rsid w:val="0067354E"/>
    <w:rsid w:val="00675FF1"/>
    <w:rsid w:val="00677A0D"/>
    <w:rsid w:val="00681667"/>
    <w:rsid w:val="006821CE"/>
    <w:rsid w:val="00682ED1"/>
    <w:rsid w:val="00683087"/>
    <w:rsid w:val="006837DE"/>
    <w:rsid w:val="00685653"/>
    <w:rsid w:val="00685A0D"/>
    <w:rsid w:val="0068773C"/>
    <w:rsid w:val="006902BB"/>
    <w:rsid w:val="006907B4"/>
    <w:rsid w:val="0069249A"/>
    <w:rsid w:val="006930D1"/>
    <w:rsid w:val="006931AD"/>
    <w:rsid w:val="006940BB"/>
    <w:rsid w:val="00695D77"/>
    <w:rsid w:val="00696176"/>
    <w:rsid w:val="00696CF0"/>
    <w:rsid w:val="00697001"/>
    <w:rsid w:val="006979D7"/>
    <w:rsid w:val="006A1788"/>
    <w:rsid w:val="006A2383"/>
    <w:rsid w:val="006A2874"/>
    <w:rsid w:val="006A3034"/>
    <w:rsid w:val="006A3678"/>
    <w:rsid w:val="006A401F"/>
    <w:rsid w:val="006A666D"/>
    <w:rsid w:val="006B06F1"/>
    <w:rsid w:val="006B2D99"/>
    <w:rsid w:val="006B6AB5"/>
    <w:rsid w:val="006B6E38"/>
    <w:rsid w:val="006C1C17"/>
    <w:rsid w:val="006C3576"/>
    <w:rsid w:val="006C4A46"/>
    <w:rsid w:val="006C6562"/>
    <w:rsid w:val="006D0619"/>
    <w:rsid w:val="006D1C33"/>
    <w:rsid w:val="006D2E5E"/>
    <w:rsid w:val="006D4FAA"/>
    <w:rsid w:val="006D58E2"/>
    <w:rsid w:val="006D63A7"/>
    <w:rsid w:val="006D6D12"/>
    <w:rsid w:val="006D7B6B"/>
    <w:rsid w:val="006E00F6"/>
    <w:rsid w:val="006E26E7"/>
    <w:rsid w:val="006E3838"/>
    <w:rsid w:val="006E3C40"/>
    <w:rsid w:val="006E4BF7"/>
    <w:rsid w:val="006E65F4"/>
    <w:rsid w:val="006E7699"/>
    <w:rsid w:val="006E7A2C"/>
    <w:rsid w:val="006E7BC5"/>
    <w:rsid w:val="006F0C88"/>
    <w:rsid w:val="006F2735"/>
    <w:rsid w:val="006F27AC"/>
    <w:rsid w:val="006F38BB"/>
    <w:rsid w:val="006F3E5C"/>
    <w:rsid w:val="006F4722"/>
    <w:rsid w:val="006F4E2E"/>
    <w:rsid w:val="006F627D"/>
    <w:rsid w:val="00701CB8"/>
    <w:rsid w:val="00701E47"/>
    <w:rsid w:val="00702C5D"/>
    <w:rsid w:val="007050A1"/>
    <w:rsid w:val="00706BCE"/>
    <w:rsid w:val="007070F8"/>
    <w:rsid w:val="00707E57"/>
    <w:rsid w:val="00707F49"/>
    <w:rsid w:val="007103B5"/>
    <w:rsid w:val="00715B17"/>
    <w:rsid w:val="007213BB"/>
    <w:rsid w:val="007228D7"/>
    <w:rsid w:val="007229B8"/>
    <w:rsid w:val="00725C5A"/>
    <w:rsid w:val="007265E6"/>
    <w:rsid w:val="0072758F"/>
    <w:rsid w:val="00731121"/>
    <w:rsid w:val="007314EF"/>
    <w:rsid w:val="00731C68"/>
    <w:rsid w:val="007337F5"/>
    <w:rsid w:val="0073463F"/>
    <w:rsid w:val="00735C28"/>
    <w:rsid w:val="00736233"/>
    <w:rsid w:val="0073623E"/>
    <w:rsid w:val="0073763E"/>
    <w:rsid w:val="00742D9C"/>
    <w:rsid w:val="00744C24"/>
    <w:rsid w:val="007452A0"/>
    <w:rsid w:val="0074558D"/>
    <w:rsid w:val="00745FCA"/>
    <w:rsid w:val="00747943"/>
    <w:rsid w:val="00747C36"/>
    <w:rsid w:val="00750DDD"/>
    <w:rsid w:val="00751EBE"/>
    <w:rsid w:val="0075228D"/>
    <w:rsid w:val="00752B8A"/>
    <w:rsid w:val="00752BD5"/>
    <w:rsid w:val="00753090"/>
    <w:rsid w:val="00753332"/>
    <w:rsid w:val="00754CE6"/>
    <w:rsid w:val="0075573F"/>
    <w:rsid w:val="00755D0D"/>
    <w:rsid w:val="00756727"/>
    <w:rsid w:val="00756861"/>
    <w:rsid w:val="00756A73"/>
    <w:rsid w:val="00756D99"/>
    <w:rsid w:val="00756F20"/>
    <w:rsid w:val="00760772"/>
    <w:rsid w:val="00760DDE"/>
    <w:rsid w:val="00761D69"/>
    <w:rsid w:val="0076204A"/>
    <w:rsid w:val="007620AE"/>
    <w:rsid w:val="00763D79"/>
    <w:rsid w:val="00764808"/>
    <w:rsid w:val="00765E08"/>
    <w:rsid w:val="00772715"/>
    <w:rsid w:val="00772D86"/>
    <w:rsid w:val="00774CCF"/>
    <w:rsid w:val="0077536C"/>
    <w:rsid w:val="007754F1"/>
    <w:rsid w:val="00775D77"/>
    <w:rsid w:val="0077708E"/>
    <w:rsid w:val="00777B42"/>
    <w:rsid w:val="0078083C"/>
    <w:rsid w:val="00780C38"/>
    <w:rsid w:val="00782538"/>
    <w:rsid w:val="007828DD"/>
    <w:rsid w:val="00783333"/>
    <w:rsid w:val="00783FAB"/>
    <w:rsid w:val="00785B13"/>
    <w:rsid w:val="00790FC4"/>
    <w:rsid w:val="00791AAC"/>
    <w:rsid w:val="007923A1"/>
    <w:rsid w:val="00795969"/>
    <w:rsid w:val="007A06A7"/>
    <w:rsid w:val="007A1467"/>
    <w:rsid w:val="007A229F"/>
    <w:rsid w:val="007A2337"/>
    <w:rsid w:val="007A28F2"/>
    <w:rsid w:val="007A3730"/>
    <w:rsid w:val="007A610D"/>
    <w:rsid w:val="007A61E3"/>
    <w:rsid w:val="007A6500"/>
    <w:rsid w:val="007A6AF0"/>
    <w:rsid w:val="007B0473"/>
    <w:rsid w:val="007B1E84"/>
    <w:rsid w:val="007B24F3"/>
    <w:rsid w:val="007B3371"/>
    <w:rsid w:val="007B42B8"/>
    <w:rsid w:val="007B44CD"/>
    <w:rsid w:val="007B4836"/>
    <w:rsid w:val="007B4889"/>
    <w:rsid w:val="007B4FA4"/>
    <w:rsid w:val="007B677B"/>
    <w:rsid w:val="007B750B"/>
    <w:rsid w:val="007B76EA"/>
    <w:rsid w:val="007C1930"/>
    <w:rsid w:val="007C1C0A"/>
    <w:rsid w:val="007C29AB"/>
    <w:rsid w:val="007C3DD3"/>
    <w:rsid w:val="007C5020"/>
    <w:rsid w:val="007C5695"/>
    <w:rsid w:val="007D0975"/>
    <w:rsid w:val="007D0A71"/>
    <w:rsid w:val="007D12B2"/>
    <w:rsid w:val="007D18A5"/>
    <w:rsid w:val="007D1F16"/>
    <w:rsid w:val="007D24A1"/>
    <w:rsid w:val="007D29E8"/>
    <w:rsid w:val="007D2A3D"/>
    <w:rsid w:val="007D4577"/>
    <w:rsid w:val="007D4E08"/>
    <w:rsid w:val="007D63B6"/>
    <w:rsid w:val="007E00A8"/>
    <w:rsid w:val="007E16D6"/>
    <w:rsid w:val="007E170A"/>
    <w:rsid w:val="007E1BF4"/>
    <w:rsid w:val="007E1F9D"/>
    <w:rsid w:val="007E2093"/>
    <w:rsid w:val="007E2197"/>
    <w:rsid w:val="007E2482"/>
    <w:rsid w:val="007E3446"/>
    <w:rsid w:val="007E3447"/>
    <w:rsid w:val="007E36E5"/>
    <w:rsid w:val="007E504A"/>
    <w:rsid w:val="007E5200"/>
    <w:rsid w:val="007E6EC6"/>
    <w:rsid w:val="007E78D9"/>
    <w:rsid w:val="007F005B"/>
    <w:rsid w:val="007F3FE4"/>
    <w:rsid w:val="007F438C"/>
    <w:rsid w:val="007F456D"/>
    <w:rsid w:val="007F507F"/>
    <w:rsid w:val="007F514C"/>
    <w:rsid w:val="007F563E"/>
    <w:rsid w:val="007F5F36"/>
    <w:rsid w:val="007F7DCD"/>
    <w:rsid w:val="00800427"/>
    <w:rsid w:val="008009D5"/>
    <w:rsid w:val="00800B25"/>
    <w:rsid w:val="00800FE2"/>
    <w:rsid w:val="00801798"/>
    <w:rsid w:val="00802FAE"/>
    <w:rsid w:val="00803447"/>
    <w:rsid w:val="008035CF"/>
    <w:rsid w:val="00805557"/>
    <w:rsid w:val="0080584E"/>
    <w:rsid w:val="00805B1D"/>
    <w:rsid w:val="00805FEB"/>
    <w:rsid w:val="00807C2E"/>
    <w:rsid w:val="00811E34"/>
    <w:rsid w:val="00812C37"/>
    <w:rsid w:val="008131BA"/>
    <w:rsid w:val="008134C8"/>
    <w:rsid w:val="008134D5"/>
    <w:rsid w:val="00813A38"/>
    <w:rsid w:val="00816F57"/>
    <w:rsid w:val="00820C9F"/>
    <w:rsid w:val="00821D03"/>
    <w:rsid w:val="00822A6E"/>
    <w:rsid w:val="00823B66"/>
    <w:rsid w:val="00823DBE"/>
    <w:rsid w:val="00823F57"/>
    <w:rsid w:val="008243DD"/>
    <w:rsid w:val="00824A98"/>
    <w:rsid w:val="00824DCF"/>
    <w:rsid w:val="00824F9B"/>
    <w:rsid w:val="00825ADD"/>
    <w:rsid w:val="0082739B"/>
    <w:rsid w:val="008310AA"/>
    <w:rsid w:val="00834114"/>
    <w:rsid w:val="008348D7"/>
    <w:rsid w:val="008364FB"/>
    <w:rsid w:val="00840876"/>
    <w:rsid w:val="00840DE8"/>
    <w:rsid w:val="00842564"/>
    <w:rsid w:val="008428D3"/>
    <w:rsid w:val="00843F8A"/>
    <w:rsid w:val="008446B4"/>
    <w:rsid w:val="00844901"/>
    <w:rsid w:val="00844D23"/>
    <w:rsid w:val="00846AA1"/>
    <w:rsid w:val="00847512"/>
    <w:rsid w:val="00847C65"/>
    <w:rsid w:val="008517D8"/>
    <w:rsid w:val="00852B40"/>
    <w:rsid w:val="00855110"/>
    <w:rsid w:val="00855239"/>
    <w:rsid w:val="00856BC4"/>
    <w:rsid w:val="008577CC"/>
    <w:rsid w:val="008602B6"/>
    <w:rsid w:val="00862A49"/>
    <w:rsid w:val="00866459"/>
    <w:rsid w:val="00866CB8"/>
    <w:rsid w:val="00867101"/>
    <w:rsid w:val="00867C16"/>
    <w:rsid w:val="00870F62"/>
    <w:rsid w:val="008755D8"/>
    <w:rsid w:val="008758B5"/>
    <w:rsid w:val="00875B5A"/>
    <w:rsid w:val="00876DE5"/>
    <w:rsid w:val="008777C7"/>
    <w:rsid w:val="008802CF"/>
    <w:rsid w:val="00881091"/>
    <w:rsid w:val="008818F2"/>
    <w:rsid w:val="00883BAF"/>
    <w:rsid w:val="008842B3"/>
    <w:rsid w:val="0088497A"/>
    <w:rsid w:val="00885C6C"/>
    <w:rsid w:val="00892FA3"/>
    <w:rsid w:val="008944F7"/>
    <w:rsid w:val="00894BA4"/>
    <w:rsid w:val="00895D1E"/>
    <w:rsid w:val="008A10A6"/>
    <w:rsid w:val="008A1276"/>
    <w:rsid w:val="008A1F97"/>
    <w:rsid w:val="008A3E37"/>
    <w:rsid w:val="008A4A3B"/>
    <w:rsid w:val="008A6224"/>
    <w:rsid w:val="008A6926"/>
    <w:rsid w:val="008A6BCC"/>
    <w:rsid w:val="008A6D81"/>
    <w:rsid w:val="008B0263"/>
    <w:rsid w:val="008B2A60"/>
    <w:rsid w:val="008B478B"/>
    <w:rsid w:val="008B5324"/>
    <w:rsid w:val="008B61B7"/>
    <w:rsid w:val="008B6735"/>
    <w:rsid w:val="008B7A7A"/>
    <w:rsid w:val="008B7D6B"/>
    <w:rsid w:val="008C4381"/>
    <w:rsid w:val="008C48EF"/>
    <w:rsid w:val="008C497B"/>
    <w:rsid w:val="008C6E19"/>
    <w:rsid w:val="008C76D3"/>
    <w:rsid w:val="008C76FD"/>
    <w:rsid w:val="008D1E4F"/>
    <w:rsid w:val="008D2C2C"/>
    <w:rsid w:val="008D3471"/>
    <w:rsid w:val="008D38A6"/>
    <w:rsid w:val="008D3CF0"/>
    <w:rsid w:val="008D511E"/>
    <w:rsid w:val="008D5E11"/>
    <w:rsid w:val="008D5E87"/>
    <w:rsid w:val="008D69A2"/>
    <w:rsid w:val="008D6DAD"/>
    <w:rsid w:val="008D72EA"/>
    <w:rsid w:val="008D7625"/>
    <w:rsid w:val="008E03A7"/>
    <w:rsid w:val="008E1037"/>
    <w:rsid w:val="008E10E4"/>
    <w:rsid w:val="008E1AD7"/>
    <w:rsid w:val="008E27CA"/>
    <w:rsid w:val="008E30D6"/>
    <w:rsid w:val="008E30D9"/>
    <w:rsid w:val="008E46D9"/>
    <w:rsid w:val="008E47A3"/>
    <w:rsid w:val="008E613D"/>
    <w:rsid w:val="008E68D3"/>
    <w:rsid w:val="008E7635"/>
    <w:rsid w:val="008E79DF"/>
    <w:rsid w:val="008F002D"/>
    <w:rsid w:val="008F43E8"/>
    <w:rsid w:val="008F5E39"/>
    <w:rsid w:val="00900B66"/>
    <w:rsid w:val="00902A26"/>
    <w:rsid w:val="00903257"/>
    <w:rsid w:val="00903267"/>
    <w:rsid w:val="009048A2"/>
    <w:rsid w:val="00905C61"/>
    <w:rsid w:val="00905D5C"/>
    <w:rsid w:val="00905D9B"/>
    <w:rsid w:val="009065B3"/>
    <w:rsid w:val="00907D61"/>
    <w:rsid w:val="00910064"/>
    <w:rsid w:val="0091086B"/>
    <w:rsid w:val="009114DC"/>
    <w:rsid w:val="00911D92"/>
    <w:rsid w:val="009121D3"/>
    <w:rsid w:val="00912DA8"/>
    <w:rsid w:val="00913290"/>
    <w:rsid w:val="0091341D"/>
    <w:rsid w:val="00915355"/>
    <w:rsid w:val="009153F8"/>
    <w:rsid w:val="009176F5"/>
    <w:rsid w:val="0092078E"/>
    <w:rsid w:val="009214F2"/>
    <w:rsid w:val="0092425A"/>
    <w:rsid w:val="0092574F"/>
    <w:rsid w:val="009257BC"/>
    <w:rsid w:val="00926D1A"/>
    <w:rsid w:val="00927A65"/>
    <w:rsid w:val="00927EC9"/>
    <w:rsid w:val="00932073"/>
    <w:rsid w:val="00932940"/>
    <w:rsid w:val="00933AD6"/>
    <w:rsid w:val="00934F4A"/>
    <w:rsid w:val="00935915"/>
    <w:rsid w:val="00935C5B"/>
    <w:rsid w:val="00935DF0"/>
    <w:rsid w:val="00936138"/>
    <w:rsid w:val="009361D9"/>
    <w:rsid w:val="00936747"/>
    <w:rsid w:val="00937484"/>
    <w:rsid w:val="009412B6"/>
    <w:rsid w:val="00941E13"/>
    <w:rsid w:val="00941EB6"/>
    <w:rsid w:val="009421AA"/>
    <w:rsid w:val="0094476A"/>
    <w:rsid w:val="00944DDD"/>
    <w:rsid w:val="0094774B"/>
    <w:rsid w:val="00947B58"/>
    <w:rsid w:val="00950C2E"/>
    <w:rsid w:val="009513CF"/>
    <w:rsid w:val="0095462E"/>
    <w:rsid w:val="009547B3"/>
    <w:rsid w:val="00956597"/>
    <w:rsid w:val="00957A00"/>
    <w:rsid w:val="009615EA"/>
    <w:rsid w:val="00961D62"/>
    <w:rsid w:val="00962841"/>
    <w:rsid w:val="00963956"/>
    <w:rsid w:val="009642A4"/>
    <w:rsid w:val="00964B5C"/>
    <w:rsid w:val="00965785"/>
    <w:rsid w:val="009670D9"/>
    <w:rsid w:val="00970AAB"/>
    <w:rsid w:val="00971653"/>
    <w:rsid w:val="00974504"/>
    <w:rsid w:val="00975A4A"/>
    <w:rsid w:val="00976413"/>
    <w:rsid w:val="009766FF"/>
    <w:rsid w:val="009767B4"/>
    <w:rsid w:val="00977A65"/>
    <w:rsid w:val="00977D37"/>
    <w:rsid w:val="00980315"/>
    <w:rsid w:val="009807AE"/>
    <w:rsid w:val="009816D5"/>
    <w:rsid w:val="00982027"/>
    <w:rsid w:val="00983A6F"/>
    <w:rsid w:val="00983FD0"/>
    <w:rsid w:val="009845F8"/>
    <w:rsid w:val="009849FF"/>
    <w:rsid w:val="00990334"/>
    <w:rsid w:val="0099047E"/>
    <w:rsid w:val="00990543"/>
    <w:rsid w:val="00991158"/>
    <w:rsid w:val="00991914"/>
    <w:rsid w:val="0099199E"/>
    <w:rsid w:val="00995735"/>
    <w:rsid w:val="009957A7"/>
    <w:rsid w:val="00995C44"/>
    <w:rsid w:val="009973E2"/>
    <w:rsid w:val="009A04A5"/>
    <w:rsid w:val="009A0542"/>
    <w:rsid w:val="009A1992"/>
    <w:rsid w:val="009A1CA6"/>
    <w:rsid w:val="009A280F"/>
    <w:rsid w:val="009A35A0"/>
    <w:rsid w:val="009A4310"/>
    <w:rsid w:val="009A559B"/>
    <w:rsid w:val="009A7CFA"/>
    <w:rsid w:val="009B0AE4"/>
    <w:rsid w:val="009B0C51"/>
    <w:rsid w:val="009B2183"/>
    <w:rsid w:val="009B29AC"/>
    <w:rsid w:val="009B2D5D"/>
    <w:rsid w:val="009B469F"/>
    <w:rsid w:val="009B4B7F"/>
    <w:rsid w:val="009B711C"/>
    <w:rsid w:val="009B7B68"/>
    <w:rsid w:val="009C03D4"/>
    <w:rsid w:val="009C0F35"/>
    <w:rsid w:val="009C10C1"/>
    <w:rsid w:val="009C32B0"/>
    <w:rsid w:val="009C3721"/>
    <w:rsid w:val="009C42E0"/>
    <w:rsid w:val="009C4F55"/>
    <w:rsid w:val="009C5E5D"/>
    <w:rsid w:val="009C70D2"/>
    <w:rsid w:val="009C7FFC"/>
    <w:rsid w:val="009D00FC"/>
    <w:rsid w:val="009D1C89"/>
    <w:rsid w:val="009D2049"/>
    <w:rsid w:val="009D23FB"/>
    <w:rsid w:val="009D25F6"/>
    <w:rsid w:val="009D3C3C"/>
    <w:rsid w:val="009D3D3B"/>
    <w:rsid w:val="009D6E6A"/>
    <w:rsid w:val="009D7562"/>
    <w:rsid w:val="009E00E9"/>
    <w:rsid w:val="009E0347"/>
    <w:rsid w:val="009E0803"/>
    <w:rsid w:val="009E3C1B"/>
    <w:rsid w:val="009E4C78"/>
    <w:rsid w:val="009E7381"/>
    <w:rsid w:val="009E7C1C"/>
    <w:rsid w:val="009F13BF"/>
    <w:rsid w:val="009F1D34"/>
    <w:rsid w:val="009F4C28"/>
    <w:rsid w:val="009F4C47"/>
    <w:rsid w:val="009F528F"/>
    <w:rsid w:val="009F6AC9"/>
    <w:rsid w:val="009F6CBB"/>
    <w:rsid w:val="009F7C88"/>
    <w:rsid w:val="00A0046F"/>
    <w:rsid w:val="00A00F4C"/>
    <w:rsid w:val="00A105DA"/>
    <w:rsid w:val="00A11E24"/>
    <w:rsid w:val="00A11F29"/>
    <w:rsid w:val="00A130C9"/>
    <w:rsid w:val="00A13D94"/>
    <w:rsid w:val="00A20031"/>
    <w:rsid w:val="00A202D5"/>
    <w:rsid w:val="00A23668"/>
    <w:rsid w:val="00A23CDC"/>
    <w:rsid w:val="00A24596"/>
    <w:rsid w:val="00A24B24"/>
    <w:rsid w:val="00A254B0"/>
    <w:rsid w:val="00A25E6C"/>
    <w:rsid w:val="00A31598"/>
    <w:rsid w:val="00A32457"/>
    <w:rsid w:val="00A337A3"/>
    <w:rsid w:val="00A343F7"/>
    <w:rsid w:val="00A34D16"/>
    <w:rsid w:val="00A36BCB"/>
    <w:rsid w:val="00A37D2D"/>
    <w:rsid w:val="00A40A78"/>
    <w:rsid w:val="00A40E3D"/>
    <w:rsid w:val="00A40EA6"/>
    <w:rsid w:val="00A42283"/>
    <w:rsid w:val="00A42336"/>
    <w:rsid w:val="00A43668"/>
    <w:rsid w:val="00A43958"/>
    <w:rsid w:val="00A4506E"/>
    <w:rsid w:val="00A47A3F"/>
    <w:rsid w:val="00A47C4E"/>
    <w:rsid w:val="00A5009D"/>
    <w:rsid w:val="00A52722"/>
    <w:rsid w:val="00A52753"/>
    <w:rsid w:val="00A53A2B"/>
    <w:rsid w:val="00A53FCE"/>
    <w:rsid w:val="00A550E8"/>
    <w:rsid w:val="00A556D1"/>
    <w:rsid w:val="00A560A3"/>
    <w:rsid w:val="00A56E8B"/>
    <w:rsid w:val="00A57035"/>
    <w:rsid w:val="00A602F6"/>
    <w:rsid w:val="00A61AB9"/>
    <w:rsid w:val="00A66009"/>
    <w:rsid w:val="00A66371"/>
    <w:rsid w:val="00A70D0C"/>
    <w:rsid w:val="00A70E62"/>
    <w:rsid w:val="00A71133"/>
    <w:rsid w:val="00A7209C"/>
    <w:rsid w:val="00A72FE7"/>
    <w:rsid w:val="00A74465"/>
    <w:rsid w:val="00A74F8F"/>
    <w:rsid w:val="00A761C7"/>
    <w:rsid w:val="00A77D42"/>
    <w:rsid w:val="00A8071A"/>
    <w:rsid w:val="00A82E17"/>
    <w:rsid w:val="00A833B6"/>
    <w:rsid w:val="00A85075"/>
    <w:rsid w:val="00A85354"/>
    <w:rsid w:val="00A85868"/>
    <w:rsid w:val="00A860A2"/>
    <w:rsid w:val="00A8615D"/>
    <w:rsid w:val="00A90245"/>
    <w:rsid w:val="00A9028A"/>
    <w:rsid w:val="00A9197F"/>
    <w:rsid w:val="00A92300"/>
    <w:rsid w:val="00A93F1F"/>
    <w:rsid w:val="00A974D1"/>
    <w:rsid w:val="00A97CD8"/>
    <w:rsid w:val="00AA12F7"/>
    <w:rsid w:val="00AA1E5B"/>
    <w:rsid w:val="00AA214E"/>
    <w:rsid w:val="00AA3173"/>
    <w:rsid w:val="00AA3A3E"/>
    <w:rsid w:val="00AA4F33"/>
    <w:rsid w:val="00AA7377"/>
    <w:rsid w:val="00AB19B6"/>
    <w:rsid w:val="00AB30C7"/>
    <w:rsid w:val="00AB5E5A"/>
    <w:rsid w:val="00AB687A"/>
    <w:rsid w:val="00AB6D20"/>
    <w:rsid w:val="00AC0148"/>
    <w:rsid w:val="00AC086E"/>
    <w:rsid w:val="00AC0984"/>
    <w:rsid w:val="00AC380E"/>
    <w:rsid w:val="00AC3F0B"/>
    <w:rsid w:val="00AC5722"/>
    <w:rsid w:val="00AC67FC"/>
    <w:rsid w:val="00AC6ABA"/>
    <w:rsid w:val="00AC6DDA"/>
    <w:rsid w:val="00AC79D9"/>
    <w:rsid w:val="00AD0981"/>
    <w:rsid w:val="00AD0B95"/>
    <w:rsid w:val="00AD1C80"/>
    <w:rsid w:val="00AD2E24"/>
    <w:rsid w:val="00AD4CC3"/>
    <w:rsid w:val="00AD5627"/>
    <w:rsid w:val="00AD5B28"/>
    <w:rsid w:val="00AD65C9"/>
    <w:rsid w:val="00AD6639"/>
    <w:rsid w:val="00AD6F9C"/>
    <w:rsid w:val="00AD7EC6"/>
    <w:rsid w:val="00AE0FEF"/>
    <w:rsid w:val="00AE1BB4"/>
    <w:rsid w:val="00AE32C5"/>
    <w:rsid w:val="00AE4276"/>
    <w:rsid w:val="00AE4A25"/>
    <w:rsid w:val="00AE5793"/>
    <w:rsid w:val="00AE5795"/>
    <w:rsid w:val="00AE5CCB"/>
    <w:rsid w:val="00AE7179"/>
    <w:rsid w:val="00AE75A9"/>
    <w:rsid w:val="00AF23D0"/>
    <w:rsid w:val="00AF2CB9"/>
    <w:rsid w:val="00AF40FB"/>
    <w:rsid w:val="00AF58D0"/>
    <w:rsid w:val="00AF6215"/>
    <w:rsid w:val="00AF6F6E"/>
    <w:rsid w:val="00B0016B"/>
    <w:rsid w:val="00B00A18"/>
    <w:rsid w:val="00B05F11"/>
    <w:rsid w:val="00B06828"/>
    <w:rsid w:val="00B109D5"/>
    <w:rsid w:val="00B11323"/>
    <w:rsid w:val="00B12BBF"/>
    <w:rsid w:val="00B13710"/>
    <w:rsid w:val="00B13A2F"/>
    <w:rsid w:val="00B145D2"/>
    <w:rsid w:val="00B14E69"/>
    <w:rsid w:val="00B15154"/>
    <w:rsid w:val="00B178D3"/>
    <w:rsid w:val="00B22164"/>
    <w:rsid w:val="00B22F73"/>
    <w:rsid w:val="00B26E12"/>
    <w:rsid w:val="00B27F67"/>
    <w:rsid w:val="00B30D18"/>
    <w:rsid w:val="00B329AC"/>
    <w:rsid w:val="00B33370"/>
    <w:rsid w:val="00B339F8"/>
    <w:rsid w:val="00B34C3F"/>
    <w:rsid w:val="00B35799"/>
    <w:rsid w:val="00B36092"/>
    <w:rsid w:val="00B36409"/>
    <w:rsid w:val="00B37613"/>
    <w:rsid w:val="00B4065C"/>
    <w:rsid w:val="00B41B0A"/>
    <w:rsid w:val="00B422EF"/>
    <w:rsid w:val="00B43512"/>
    <w:rsid w:val="00B4578E"/>
    <w:rsid w:val="00B45B86"/>
    <w:rsid w:val="00B51453"/>
    <w:rsid w:val="00B52CD8"/>
    <w:rsid w:val="00B5346E"/>
    <w:rsid w:val="00B54487"/>
    <w:rsid w:val="00B55F33"/>
    <w:rsid w:val="00B5671D"/>
    <w:rsid w:val="00B57176"/>
    <w:rsid w:val="00B57524"/>
    <w:rsid w:val="00B575FF"/>
    <w:rsid w:val="00B57859"/>
    <w:rsid w:val="00B604EB"/>
    <w:rsid w:val="00B60829"/>
    <w:rsid w:val="00B6092B"/>
    <w:rsid w:val="00B6108C"/>
    <w:rsid w:val="00B618C8"/>
    <w:rsid w:val="00B643F9"/>
    <w:rsid w:val="00B6608A"/>
    <w:rsid w:val="00B667C1"/>
    <w:rsid w:val="00B67F7B"/>
    <w:rsid w:val="00B732DA"/>
    <w:rsid w:val="00B7347B"/>
    <w:rsid w:val="00B739E2"/>
    <w:rsid w:val="00B751D3"/>
    <w:rsid w:val="00B80094"/>
    <w:rsid w:val="00B80CE8"/>
    <w:rsid w:val="00B81435"/>
    <w:rsid w:val="00B8151D"/>
    <w:rsid w:val="00B819AA"/>
    <w:rsid w:val="00B82052"/>
    <w:rsid w:val="00B840C3"/>
    <w:rsid w:val="00B847A7"/>
    <w:rsid w:val="00B85785"/>
    <w:rsid w:val="00B920BD"/>
    <w:rsid w:val="00B92AE4"/>
    <w:rsid w:val="00B93CD2"/>
    <w:rsid w:val="00B9692E"/>
    <w:rsid w:val="00B97013"/>
    <w:rsid w:val="00BA17A5"/>
    <w:rsid w:val="00BA3A1A"/>
    <w:rsid w:val="00BA54AA"/>
    <w:rsid w:val="00BA5E9E"/>
    <w:rsid w:val="00BA6A60"/>
    <w:rsid w:val="00BB191B"/>
    <w:rsid w:val="00BB2109"/>
    <w:rsid w:val="00BB2BA4"/>
    <w:rsid w:val="00BB2C6B"/>
    <w:rsid w:val="00BB38D4"/>
    <w:rsid w:val="00BB3A83"/>
    <w:rsid w:val="00BB4D85"/>
    <w:rsid w:val="00BB61E4"/>
    <w:rsid w:val="00BB631E"/>
    <w:rsid w:val="00BB6EDC"/>
    <w:rsid w:val="00BB6F3F"/>
    <w:rsid w:val="00BB71A8"/>
    <w:rsid w:val="00BB71B6"/>
    <w:rsid w:val="00BB71C0"/>
    <w:rsid w:val="00BC149D"/>
    <w:rsid w:val="00BC1FB0"/>
    <w:rsid w:val="00BC245D"/>
    <w:rsid w:val="00BC4BD5"/>
    <w:rsid w:val="00BC50A3"/>
    <w:rsid w:val="00BD351D"/>
    <w:rsid w:val="00BD3ECB"/>
    <w:rsid w:val="00BD41D4"/>
    <w:rsid w:val="00BD43A9"/>
    <w:rsid w:val="00BD465A"/>
    <w:rsid w:val="00BD47A9"/>
    <w:rsid w:val="00BD5316"/>
    <w:rsid w:val="00BD5A86"/>
    <w:rsid w:val="00BD6AC2"/>
    <w:rsid w:val="00BD6E2F"/>
    <w:rsid w:val="00BD751B"/>
    <w:rsid w:val="00BE06F1"/>
    <w:rsid w:val="00BE0FAB"/>
    <w:rsid w:val="00BE14C7"/>
    <w:rsid w:val="00BE214C"/>
    <w:rsid w:val="00BE54F9"/>
    <w:rsid w:val="00BE5595"/>
    <w:rsid w:val="00BE68F9"/>
    <w:rsid w:val="00BE7E2F"/>
    <w:rsid w:val="00BF2A9B"/>
    <w:rsid w:val="00BF3DAE"/>
    <w:rsid w:val="00BF538A"/>
    <w:rsid w:val="00BF79D1"/>
    <w:rsid w:val="00C02595"/>
    <w:rsid w:val="00C02E9C"/>
    <w:rsid w:val="00C035D9"/>
    <w:rsid w:val="00C03752"/>
    <w:rsid w:val="00C04DCA"/>
    <w:rsid w:val="00C059D1"/>
    <w:rsid w:val="00C061CD"/>
    <w:rsid w:val="00C06262"/>
    <w:rsid w:val="00C10C58"/>
    <w:rsid w:val="00C12197"/>
    <w:rsid w:val="00C1330A"/>
    <w:rsid w:val="00C145EB"/>
    <w:rsid w:val="00C17E1D"/>
    <w:rsid w:val="00C20FAD"/>
    <w:rsid w:val="00C2291B"/>
    <w:rsid w:val="00C22AE3"/>
    <w:rsid w:val="00C24117"/>
    <w:rsid w:val="00C2416A"/>
    <w:rsid w:val="00C24FBC"/>
    <w:rsid w:val="00C27651"/>
    <w:rsid w:val="00C30E45"/>
    <w:rsid w:val="00C3108C"/>
    <w:rsid w:val="00C31BD3"/>
    <w:rsid w:val="00C32596"/>
    <w:rsid w:val="00C325A5"/>
    <w:rsid w:val="00C32AF6"/>
    <w:rsid w:val="00C3336D"/>
    <w:rsid w:val="00C340B4"/>
    <w:rsid w:val="00C3562F"/>
    <w:rsid w:val="00C3578F"/>
    <w:rsid w:val="00C365BA"/>
    <w:rsid w:val="00C36A15"/>
    <w:rsid w:val="00C3701B"/>
    <w:rsid w:val="00C37043"/>
    <w:rsid w:val="00C37AB1"/>
    <w:rsid w:val="00C40B8C"/>
    <w:rsid w:val="00C4105E"/>
    <w:rsid w:val="00C41FAC"/>
    <w:rsid w:val="00C42005"/>
    <w:rsid w:val="00C420C2"/>
    <w:rsid w:val="00C42D78"/>
    <w:rsid w:val="00C4300F"/>
    <w:rsid w:val="00C45661"/>
    <w:rsid w:val="00C46B2A"/>
    <w:rsid w:val="00C4742E"/>
    <w:rsid w:val="00C479E9"/>
    <w:rsid w:val="00C5010C"/>
    <w:rsid w:val="00C502E1"/>
    <w:rsid w:val="00C508D3"/>
    <w:rsid w:val="00C51576"/>
    <w:rsid w:val="00C52D29"/>
    <w:rsid w:val="00C57F62"/>
    <w:rsid w:val="00C62BC1"/>
    <w:rsid w:val="00C64879"/>
    <w:rsid w:val="00C64B3B"/>
    <w:rsid w:val="00C6559D"/>
    <w:rsid w:val="00C658E0"/>
    <w:rsid w:val="00C65FBB"/>
    <w:rsid w:val="00C66953"/>
    <w:rsid w:val="00C7155D"/>
    <w:rsid w:val="00C716C2"/>
    <w:rsid w:val="00C7195E"/>
    <w:rsid w:val="00C73133"/>
    <w:rsid w:val="00C731FA"/>
    <w:rsid w:val="00C7356D"/>
    <w:rsid w:val="00C73D69"/>
    <w:rsid w:val="00C7617C"/>
    <w:rsid w:val="00C80B35"/>
    <w:rsid w:val="00C80FC2"/>
    <w:rsid w:val="00C81D76"/>
    <w:rsid w:val="00C82415"/>
    <w:rsid w:val="00C8251A"/>
    <w:rsid w:val="00C82C91"/>
    <w:rsid w:val="00C84089"/>
    <w:rsid w:val="00C846A2"/>
    <w:rsid w:val="00C84FCF"/>
    <w:rsid w:val="00C852B7"/>
    <w:rsid w:val="00C853DA"/>
    <w:rsid w:val="00C8648A"/>
    <w:rsid w:val="00C86E2E"/>
    <w:rsid w:val="00C87EE8"/>
    <w:rsid w:val="00C9081C"/>
    <w:rsid w:val="00C90EFC"/>
    <w:rsid w:val="00C90FC4"/>
    <w:rsid w:val="00C92F2E"/>
    <w:rsid w:val="00C9332D"/>
    <w:rsid w:val="00C94CDC"/>
    <w:rsid w:val="00C94ED4"/>
    <w:rsid w:val="00C95253"/>
    <w:rsid w:val="00C954B7"/>
    <w:rsid w:val="00C9591A"/>
    <w:rsid w:val="00C96775"/>
    <w:rsid w:val="00CA104F"/>
    <w:rsid w:val="00CA1EB4"/>
    <w:rsid w:val="00CA3582"/>
    <w:rsid w:val="00CA359D"/>
    <w:rsid w:val="00CA46AC"/>
    <w:rsid w:val="00CA4F71"/>
    <w:rsid w:val="00CA66AF"/>
    <w:rsid w:val="00CA74D7"/>
    <w:rsid w:val="00CB337B"/>
    <w:rsid w:val="00CB45D5"/>
    <w:rsid w:val="00CB697A"/>
    <w:rsid w:val="00CB6F68"/>
    <w:rsid w:val="00CB7430"/>
    <w:rsid w:val="00CB7957"/>
    <w:rsid w:val="00CB7A83"/>
    <w:rsid w:val="00CC0FBF"/>
    <w:rsid w:val="00CC15F4"/>
    <w:rsid w:val="00CC25D4"/>
    <w:rsid w:val="00CC3539"/>
    <w:rsid w:val="00CC370D"/>
    <w:rsid w:val="00CC3AE0"/>
    <w:rsid w:val="00CC3C0B"/>
    <w:rsid w:val="00CC3CD3"/>
    <w:rsid w:val="00CC4C6D"/>
    <w:rsid w:val="00CC532C"/>
    <w:rsid w:val="00CC5942"/>
    <w:rsid w:val="00CD1D76"/>
    <w:rsid w:val="00CD20F8"/>
    <w:rsid w:val="00CD3705"/>
    <w:rsid w:val="00CD416D"/>
    <w:rsid w:val="00CD43A0"/>
    <w:rsid w:val="00CD57D4"/>
    <w:rsid w:val="00CD6BC6"/>
    <w:rsid w:val="00CD6E72"/>
    <w:rsid w:val="00CD6FE7"/>
    <w:rsid w:val="00CE0620"/>
    <w:rsid w:val="00CE3046"/>
    <w:rsid w:val="00CE311D"/>
    <w:rsid w:val="00CE3EA5"/>
    <w:rsid w:val="00CE7DF2"/>
    <w:rsid w:val="00CF10C3"/>
    <w:rsid w:val="00CF17D2"/>
    <w:rsid w:val="00CF18CE"/>
    <w:rsid w:val="00CF19BB"/>
    <w:rsid w:val="00CF1C96"/>
    <w:rsid w:val="00CF4BA2"/>
    <w:rsid w:val="00CF5A8C"/>
    <w:rsid w:val="00CF62EF"/>
    <w:rsid w:val="00CF6AFD"/>
    <w:rsid w:val="00D010D3"/>
    <w:rsid w:val="00D02F09"/>
    <w:rsid w:val="00D03CC0"/>
    <w:rsid w:val="00D04E75"/>
    <w:rsid w:val="00D05A8C"/>
    <w:rsid w:val="00D07F66"/>
    <w:rsid w:val="00D1104B"/>
    <w:rsid w:val="00D119DD"/>
    <w:rsid w:val="00D14A9D"/>
    <w:rsid w:val="00D15282"/>
    <w:rsid w:val="00D15380"/>
    <w:rsid w:val="00D156E4"/>
    <w:rsid w:val="00D16318"/>
    <w:rsid w:val="00D16BFD"/>
    <w:rsid w:val="00D16CB7"/>
    <w:rsid w:val="00D17A67"/>
    <w:rsid w:val="00D17FC6"/>
    <w:rsid w:val="00D217D1"/>
    <w:rsid w:val="00D2517F"/>
    <w:rsid w:val="00D2533E"/>
    <w:rsid w:val="00D25A88"/>
    <w:rsid w:val="00D26636"/>
    <w:rsid w:val="00D26B26"/>
    <w:rsid w:val="00D2714D"/>
    <w:rsid w:val="00D32951"/>
    <w:rsid w:val="00D3758C"/>
    <w:rsid w:val="00D37F35"/>
    <w:rsid w:val="00D423C4"/>
    <w:rsid w:val="00D45F05"/>
    <w:rsid w:val="00D46134"/>
    <w:rsid w:val="00D46563"/>
    <w:rsid w:val="00D468A9"/>
    <w:rsid w:val="00D46987"/>
    <w:rsid w:val="00D47D4C"/>
    <w:rsid w:val="00D50946"/>
    <w:rsid w:val="00D515D6"/>
    <w:rsid w:val="00D52D2E"/>
    <w:rsid w:val="00D5387E"/>
    <w:rsid w:val="00D53B80"/>
    <w:rsid w:val="00D55B98"/>
    <w:rsid w:val="00D56A3B"/>
    <w:rsid w:val="00D57FE7"/>
    <w:rsid w:val="00D6086B"/>
    <w:rsid w:val="00D61A73"/>
    <w:rsid w:val="00D6262C"/>
    <w:rsid w:val="00D63270"/>
    <w:rsid w:val="00D63CDD"/>
    <w:rsid w:val="00D644ED"/>
    <w:rsid w:val="00D66B5C"/>
    <w:rsid w:val="00D66B65"/>
    <w:rsid w:val="00D701C8"/>
    <w:rsid w:val="00D70E81"/>
    <w:rsid w:val="00D70EAE"/>
    <w:rsid w:val="00D7137C"/>
    <w:rsid w:val="00D71D52"/>
    <w:rsid w:val="00D73415"/>
    <w:rsid w:val="00D74B9B"/>
    <w:rsid w:val="00D773CB"/>
    <w:rsid w:val="00D77A28"/>
    <w:rsid w:val="00D804DB"/>
    <w:rsid w:val="00D8062F"/>
    <w:rsid w:val="00D8103E"/>
    <w:rsid w:val="00D818BA"/>
    <w:rsid w:val="00D8333B"/>
    <w:rsid w:val="00D842A2"/>
    <w:rsid w:val="00D84946"/>
    <w:rsid w:val="00D90602"/>
    <w:rsid w:val="00D934B6"/>
    <w:rsid w:val="00D93741"/>
    <w:rsid w:val="00D94105"/>
    <w:rsid w:val="00D95823"/>
    <w:rsid w:val="00D97D3C"/>
    <w:rsid w:val="00DA08F9"/>
    <w:rsid w:val="00DA14A7"/>
    <w:rsid w:val="00DA1ECD"/>
    <w:rsid w:val="00DA3FD8"/>
    <w:rsid w:val="00DA552F"/>
    <w:rsid w:val="00DA6193"/>
    <w:rsid w:val="00DA6352"/>
    <w:rsid w:val="00DB1C9E"/>
    <w:rsid w:val="00DB2434"/>
    <w:rsid w:val="00DB461B"/>
    <w:rsid w:val="00DB4D35"/>
    <w:rsid w:val="00DB578E"/>
    <w:rsid w:val="00DB6093"/>
    <w:rsid w:val="00DB6247"/>
    <w:rsid w:val="00DC020E"/>
    <w:rsid w:val="00DC0D4D"/>
    <w:rsid w:val="00DC32FB"/>
    <w:rsid w:val="00DC3E8C"/>
    <w:rsid w:val="00DC4B5E"/>
    <w:rsid w:val="00DD033E"/>
    <w:rsid w:val="00DD0838"/>
    <w:rsid w:val="00DD1234"/>
    <w:rsid w:val="00DD3388"/>
    <w:rsid w:val="00DD3566"/>
    <w:rsid w:val="00DD3BE3"/>
    <w:rsid w:val="00DD408F"/>
    <w:rsid w:val="00DD4268"/>
    <w:rsid w:val="00DD57BA"/>
    <w:rsid w:val="00DD5F43"/>
    <w:rsid w:val="00DD651A"/>
    <w:rsid w:val="00DD7496"/>
    <w:rsid w:val="00DD7B03"/>
    <w:rsid w:val="00DE02BB"/>
    <w:rsid w:val="00DE2C50"/>
    <w:rsid w:val="00DE5F92"/>
    <w:rsid w:val="00DE6DA1"/>
    <w:rsid w:val="00DE715E"/>
    <w:rsid w:val="00DE7C37"/>
    <w:rsid w:val="00DE7FDE"/>
    <w:rsid w:val="00DF13F3"/>
    <w:rsid w:val="00DF1795"/>
    <w:rsid w:val="00DF3683"/>
    <w:rsid w:val="00DF46B2"/>
    <w:rsid w:val="00DF4E4E"/>
    <w:rsid w:val="00DF5AEB"/>
    <w:rsid w:val="00DF61B7"/>
    <w:rsid w:val="00DF6629"/>
    <w:rsid w:val="00E00749"/>
    <w:rsid w:val="00E00BA4"/>
    <w:rsid w:val="00E01311"/>
    <w:rsid w:val="00E01C32"/>
    <w:rsid w:val="00E01F85"/>
    <w:rsid w:val="00E03E15"/>
    <w:rsid w:val="00E05287"/>
    <w:rsid w:val="00E0586C"/>
    <w:rsid w:val="00E0599C"/>
    <w:rsid w:val="00E059E2"/>
    <w:rsid w:val="00E06DE0"/>
    <w:rsid w:val="00E07F98"/>
    <w:rsid w:val="00E07FC7"/>
    <w:rsid w:val="00E1036B"/>
    <w:rsid w:val="00E10CC7"/>
    <w:rsid w:val="00E11909"/>
    <w:rsid w:val="00E1257E"/>
    <w:rsid w:val="00E14421"/>
    <w:rsid w:val="00E15CE7"/>
    <w:rsid w:val="00E17337"/>
    <w:rsid w:val="00E175C1"/>
    <w:rsid w:val="00E2407D"/>
    <w:rsid w:val="00E24E50"/>
    <w:rsid w:val="00E251EE"/>
    <w:rsid w:val="00E302D5"/>
    <w:rsid w:val="00E30467"/>
    <w:rsid w:val="00E3286F"/>
    <w:rsid w:val="00E33927"/>
    <w:rsid w:val="00E33FED"/>
    <w:rsid w:val="00E34BA1"/>
    <w:rsid w:val="00E34C3D"/>
    <w:rsid w:val="00E37881"/>
    <w:rsid w:val="00E37DA9"/>
    <w:rsid w:val="00E40592"/>
    <w:rsid w:val="00E40D1F"/>
    <w:rsid w:val="00E42A8B"/>
    <w:rsid w:val="00E43542"/>
    <w:rsid w:val="00E43D21"/>
    <w:rsid w:val="00E441C4"/>
    <w:rsid w:val="00E4491A"/>
    <w:rsid w:val="00E46C69"/>
    <w:rsid w:val="00E47497"/>
    <w:rsid w:val="00E53790"/>
    <w:rsid w:val="00E541EC"/>
    <w:rsid w:val="00E5541C"/>
    <w:rsid w:val="00E557C2"/>
    <w:rsid w:val="00E557DF"/>
    <w:rsid w:val="00E55D04"/>
    <w:rsid w:val="00E57BAE"/>
    <w:rsid w:val="00E60A2A"/>
    <w:rsid w:val="00E61526"/>
    <w:rsid w:val="00E616BE"/>
    <w:rsid w:val="00E61E8A"/>
    <w:rsid w:val="00E62C51"/>
    <w:rsid w:val="00E631F9"/>
    <w:rsid w:val="00E64A99"/>
    <w:rsid w:val="00E64DD7"/>
    <w:rsid w:val="00E64E3A"/>
    <w:rsid w:val="00E662FD"/>
    <w:rsid w:val="00E67E9B"/>
    <w:rsid w:val="00E70D5D"/>
    <w:rsid w:val="00E715A6"/>
    <w:rsid w:val="00E72FD0"/>
    <w:rsid w:val="00E732BA"/>
    <w:rsid w:val="00E73347"/>
    <w:rsid w:val="00E7541D"/>
    <w:rsid w:val="00E757D0"/>
    <w:rsid w:val="00E75F81"/>
    <w:rsid w:val="00E767BE"/>
    <w:rsid w:val="00E856AC"/>
    <w:rsid w:val="00E8671C"/>
    <w:rsid w:val="00E87E07"/>
    <w:rsid w:val="00E90298"/>
    <w:rsid w:val="00E916A2"/>
    <w:rsid w:val="00E91930"/>
    <w:rsid w:val="00E92A06"/>
    <w:rsid w:val="00E92D75"/>
    <w:rsid w:val="00E958B8"/>
    <w:rsid w:val="00EA0A96"/>
    <w:rsid w:val="00EA10D6"/>
    <w:rsid w:val="00EA14FC"/>
    <w:rsid w:val="00EA562E"/>
    <w:rsid w:val="00EA6D4F"/>
    <w:rsid w:val="00EA7031"/>
    <w:rsid w:val="00EA716A"/>
    <w:rsid w:val="00EA77A8"/>
    <w:rsid w:val="00EA7EA8"/>
    <w:rsid w:val="00EB0665"/>
    <w:rsid w:val="00EB18C4"/>
    <w:rsid w:val="00EB24FC"/>
    <w:rsid w:val="00EB4760"/>
    <w:rsid w:val="00EC09F1"/>
    <w:rsid w:val="00EC0A15"/>
    <w:rsid w:val="00EC116D"/>
    <w:rsid w:val="00EC1286"/>
    <w:rsid w:val="00EC1C84"/>
    <w:rsid w:val="00EC3C7A"/>
    <w:rsid w:val="00EC5FB6"/>
    <w:rsid w:val="00EC60DB"/>
    <w:rsid w:val="00ED0DE0"/>
    <w:rsid w:val="00ED2DEF"/>
    <w:rsid w:val="00ED3EF9"/>
    <w:rsid w:val="00ED4745"/>
    <w:rsid w:val="00ED70D1"/>
    <w:rsid w:val="00EE04E2"/>
    <w:rsid w:val="00EE164F"/>
    <w:rsid w:val="00EE256A"/>
    <w:rsid w:val="00EE3077"/>
    <w:rsid w:val="00EE412B"/>
    <w:rsid w:val="00EE49CD"/>
    <w:rsid w:val="00EE5C3C"/>
    <w:rsid w:val="00EF0970"/>
    <w:rsid w:val="00EF10F3"/>
    <w:rsid w:val="00EF1E9A"/>
    <w:rsid w:val="00EF4ACB"/>
    <w:rsid w:val="00EF5223"/>
    <w:rsid w:val="00EF6107"/>
    <w:rsid w:val="00EF7348"/>
    <w:rsid w:val="00F00674"/>
    <w:rsid w:val="00F0087F"/>
    <w:rsid w:val="00F00A54"/>
    <w:rsid w:val="00F01020"/>
    <w:rsid w:val="00F023F2"/>
    <w:rsid w:val="00F025DA"/>
    <w:rsid w:val="00F0265A"/>
    <w:rsid w:val="00F03635"/>
    <w:rsid w:val="00F0455E"/>
    <w:rsid w:val="00F05411"/>
    <w:rsid w:val="00F0609A"/>
    <w:rsid w:val="00F06926"/>
    <w:rsid w:val="00F07EA8"/>
    <w:rsid w:val="00F1227E"/>
    <w:rsid w:val="00F1230D"/>
    <w:rsid w:val="00F1270A"/>
    <w:rsid w:val="00F128C1"/>
    <w:rsid w:val="00F14BCE"/>
    <w:rsid w:val="00F16AEF"/>
    <w:rsid w:val="00F2037F"/>
    <w:rsid w:val="00F2044D"/>
    <w:rsid w:val="00F20E47"/>
    <w:rsid w:val="00F20FFD"/>
    <w:rsid w:val="00F21042"/>
    <w:rsid w:val="00F21FAC"/>
    <w:rsid w:val="00F225DF"/>
    <w:rsid w:val="00F23552"/>
    <w:rsid w:val="00F26C89"/>
    <w:rsid w:val="00F27691"/>
    <w:rsid w:val="00F30BB3"/>
    <w:rsid w:val="00F3164A"/>
    <w:rsid w:val="00F321A8"/>
    <w:rsid w:val="00F3264E"/>
    <w:rsid w:val="00F36014"/>
    <w:rsid w:val="00F36729"/>
    <w:rsid w:val="00F36E18"/>
    <w:rsid w:val="00F37BC2"/>
    <w:rsid w:val="00F42567"/>
    <w:rsid w:val="00F42C87"/>
    <w:rsid w:val="00F43DAD"/>
    <w:rsid w:val="00F44A59"/>
    <w:rsid w:val="00F45430"/>
    <w:rsid w:val="00F45857"/>
    <w:rsid w:val="00F46633"/>
    <w:rsid w:val="00F47F4B"/>
    <w:rsid w:val="00F509D4"/>
    <w:rsid w:val="00F50DEA"/>
    <w:rsid w:val="00F512D0"/>
    <w:rsid w:val="00F513EB"/>
    <w:rsid w:val="00F5231B"/>
    <w:rsid w:val="00F5236B"/>
    <w:rsid w:val="00F5252A"/>
    <w:rsid w:val="00F525D2"/>
    <w:rsid w:val="00F5336C"/>
    <w:rsid w:val="00F54266"/>
    <w:rsid w:val="00F552D2"/>
    <w:rsid w:val="00F5679F"/>
    <w:rsid w:val="00F57B79"/>
    <w:rsid w:val="00F60D6A"/>
    <w:rsid w:val="00F60F15"/>
    <w:rsid w:val="00F622D0"/>
    <w:rsid w:val="00F62708"/>
    <w:rsid w:val="00F6460E"/>
    <w:rsid w:val="00F64CB4"/>
    <w:rsid w:val="00F65889"/>
    <w:rsid w:val="00F6712A"/>
    <w:rsid w:val="00F674F4"/>
    <w:rsid w:val="00F71946"/>
    <w:rsid w:val="00F72398"/>
    <w:rsid w:val="00F7345B"/>
    <w:rsid w:val="00F74CC9"/>
    <w:rsid w:val="00F75255"/>
    <w:rsid w:val="00F758A3"/>
    <w:rsid w:val="00F76B35"/>
    <w:rsid w:val="00F77106"/>
    <w:rsid w:val="00F84D2C"/>
    <w:rsid w:val="00F8599A"/>
    <w:rsid w:val="00F85B48"/>
    <w:rsid w:val="00F85DB4"/>
    <w:rsid w:val="00F861AE"/>
    <w:rsid w:val="00F86268"/>
    <w:rsid w:val="00F871D7"/>
    <w:rsid w:val="00F8747E"/>
    <w:rsid w:val="00F87FB6"/>
    <w:rsid w:val="00F90088"/>
    <w:rsid w:val="00F90098"/>
    <w:rsid w:val="00F903B7"/>
    <w:rsid w:val="00F9107A"/>
    <w:rsid w:val="00F9205E"/>
    <w:rsid w:val="00F92FA5"/>
    <w:rsid w:val="00F93596"/>
    <w:rsid w:val="00F935BD"/>
    <w:rsid w:val="00F93700"/>
    <w:rsid w:val="00F93B36"/>
    <w:rsid w:val="00F958B5"/>
    <w:rsid w:val="00F95EAE"/>
    <w:rsid w:val="00F95FE5"/>
    <w:rsid w:val="00F96889"/>
    <w:rsid w:val="00FA0F72"/>
    <w:rsid w:val="00FA1278"/>
    <w:rsid w:val="00FA2C54"/>
    <w:rsid w:val="00FA34BB"/>
    <w:rsid w:val="00FA3F20"/>
    <w:rsid w:val="00FA6309"/>
    <w:rsid w:val="00FA6319"/>
    <w:rsid w:val="00FA7979"/>
    <w:rsid w:val="00FB0C1F"/>
    <w:rsid w:val="00FB14CA"/>
    <w:rsid w:val="00FB16A7"/>
    <w:rsid w:val="00FB2172"/>
    <w:rsid w:val="00FB262A"/>
    <w:rsid w:val="00FB3044"/>
    <w:rsid w:val="00FB4158"/>
    <w:rsid w:val="00FB46DD"/>
    <w:rsid w:val="00FB4ECF"/>
    <w:rsid w:val="00FB51EA"/>
    <w:rsid w:val="00FB5400"/>
    <w:rsid w:val="00FB656A"/>
    <w:rsid w:val="00FB7019"/>
    <w:rsid w:val="00FC477B"/>
    <w:rsid w:val="00FC522B"/>
    <w:rsid w:val="00FC6703"/>
    <w:rsid w:val="00FD0A30"/>
    <w:rsid w:val="00FD1A80"/>
    <w:rsid w:val="00FD2AE1"/>
    <w:rsid w:val="00FD6991"/>
    <w:rsid w:val="00FD7ADD"/>
    <w:rsid w:val="00FD7C7B"/>
    <w:rsid w:val="00FE2F0A"/>
    <w:rsid w:val="00FE3436"/>
    <w:rsid w:val="00FE58FB"/>
    <w:rsid w:val="00FF236E"/>
    <w:rsid w:val="00FF2A10"/>
    <w:rsid w:val="00FF43B8"/>
    <w:rsid w:val="00FF557B"/>
    <w:rsid w:val="00FF57B7"/>
    <w:rsid w:val="00FF5FC8"/>
    <w:rsid w:val="00FF6CC6"/>
    <w:rsid w:val="00FF6E25"/>
    <w:rsid w:val="00FF7E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List Paragraph11,Recommendation,bullet point list,Bullet point,List Paragraph2,Indented bullet,0Bullet,Bullet Point,Bullet points,Content descriptions,DDM Gen Text,Dot point 1.5 line spacing,List Paragraph - bullets"/>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semiHidden/>
    <w:unhideWhenUsed/>
    <w:rsid w:val="00627EDA"/>
    <w:rPr>
      <w:sz w:val="16"/>
      <w:szCs w:val="16"/>
    </w:rPr>
  </w:style>
  <w:style w:type="paragraph" w:styleId="CommentText">
    <w:name w:val="annotation text"/>
    <w:basedOn w:val="Normal"/>
    <w:link w:val="CommentTextChar"/>
    <w:semiHidden/>
    <w:unhideWhenUsed/>
    <w:rsid w:val="00627EDA"/>
    <w:pPr>
      <w:spacing w:line="240" w:lineRule="auto"/>
    </w:pPr>
    <w:rPr>
      <w:sz w:val="20"/>
      <w:szCs w:val="20"/>
    </w:rPr>
  </w:style>
  <w:style w:type="character" w:customStyle="1" w:styleId="CommentTextChar">
    <w:name w:val="Comment Text Char"/>
    <w:basedOn w:val="DefaultParagraphFont"/>
    <w:link w:val="CommentText"/>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customStyle="1" w:styleId="ListParagraphChar">
    <w:name w:val="List Paragraph Char"/>
    <w:aliases w:val="L Char,List Paragraph1 Char,List Paragraph11 Char,Recommendation Char,bullet point list Char,Bullet point Char,List Paragraph2 Char,Indented bullet Char,0Bullet Char,Bullet Point Char,Bullet points Char,Content descriptions Char"/>
    <w:link w:val="ListParagraph"/>
    <w:uiPriority w:val="34"/>
    <w:locked/>
    <w:rsid w:val="007E2093"/>
  </w:style>
  <w:style w:type="character" w:styleId="UnresolvedMention">
    <w:name w:val="Unresolved Mention"/>
    <w:basedOn w:val="DefaultParagraphFont"/>
    <w:uiPriority w:val="99"/>
    <w:semiHidden/>
    <w:unhideWhenUsed/>
    <w:rsid w:val="005C4A37"/>
    <w:rPr>
      <w:color w:val="605E5C"/>
      <w:shd w:val="clear" w:color="auto" w:fill="E1DFDD"/>
    </w:rPr>
  </w:style>
  <w:style w:type="character" w:customStyle="1" w:styleId="paragraphChar">
    <w:name w:val="paragraph Char"/>
    <w:aliases w:val="a Char"/>
    <w:basedOn w:val="DefaultParagraphFont"/>
    <w:link w:val="paragraph"/>
    <w:locked/>
    <w:rsid w:val="00FA34BB"/>
    <w:rPr>
      <w:rFonts w:eastAsia="Times New Roman" w:cs="Times New Roman"/>
      <w:szCs w:val="20"/>
      <w:lang w:eastAsia="en-AU"/>
    </w:rPr>
  </w:style>
  <w:style w:type="paragraph" w:customStyle="1" w:styleId="paragraph">
    <w:name w:val="paragraph"/>
    <w:aliases w:val="a"/>
    <w:basedOn w:val="Normal"/>
    <w:link w:val="paragraphChar"/>
    <w:rsid w:val="00FA34BB"/>
    <w:pPr>
      <w:tabs>
        <w:tab w:val="right" w:pos="1531"/>
      </w:tabs>
      <w:spacing w:before="40" w:after="0" w:line="240" w:lineRule="auto"/>
      <w:ind w:left="1644" w:hanging="1644"/>
    </w:pPr>
    <w:rPr>
      <w:rFonts w:eastAsia="Times New Roman" w:cs="Times New Roman"/>
      <w:szCs w:val="20"/>
      <w:lang w:eastAsia="en-AU"/>
    </w:rPr>
  </w:style>
  <w:style w:type="character" w:customStyle="1" w:styleId="subsectionChar">
    <w:name w:val="subsection Char"/>
    <w:aliases w:val="ss Char"/>
    <w:basedOn w:val="DefaultParagraphFont"/>
    <w:link w:val="subsection"/>
    <w:locked/>
    <w:rsid w:val="00FA34BB"/>
    <w:rPr>
      <w:rFonts w:eastAsia="Times New Roman" w:cs="Times New Roman"/>
      <w:szCs w:val="20"/>
      <w:lang w:eastAsia="en-AU"/>
    </w:rPr>
  </w:style>
  <w:style w:type="paragraph" w:customStyle="1" w:styleId="subsection">
    <w:name w:val="subsection"/>
    <w:aliases w:val="ss,Subsection"/>
    <w:basedOn w:val="Normal"/>
    <w:link w:val="subsectionChar"/>
    <w:rsid w:val="00FA34BB"/>
    <w:pPr>
      <w:tabs>
        <w:tab w:val="right" w:pos="1021"/>
      </w:tabs>
      <w:spacing w:before="180" w:after="0" w:line="240" w:lineRule="auto"/>
      <w:ind w:left="1134" w:hanging="1134"/>
    </w:pPr>
    <w:rPr>
      <w:rFonts w:eastAsia="Times New Roman" w:cs="Times New Roman"/>
      <w:szCs w:val="20"/>
      <w:lang w:eastAsia="en-AU"/>
    </w:rPr>
  </w:style>
  <w:style w:type="paragraph" w:customStyle="1" w:styleId="TLPNotebullet">
    <w:name w:val="TLPNote(bullet)"/>
    <w:basedOn w:val="Normal"/>
    <w:rsid w:val="00A66009"/>
    <w:pPr>
      <w:numPr>
        <w:numId w:val="5"/>
      </w:numPr>
      <w:tabs>
        <w:tab w:val="clear" w:pos="2517"/>
        <w:tab w:val="left" w:pos="357"/>
      </w:tabs>
      <w:spacing w:before="60" w:after="0" w:line="198" w:lineRule="exact"/>
      <w:ind w:left="0" w:firstLine="0"/>
    </w:pPr>
    <w:rPr>
      <w:rFonts w:eastAsia="Times New Roman" w:cs="Times New Roman"/>
      <w:sz w:val="18"/>
      <w:szCs w:val="20"/>
      <w:lang w:eastAsia="en-AU"/>
    </w:rPr>
  </w:style>
  <w:style w:type="paragraph" w:customStyle="1" w:styleId="BoxList">
    <w:name w:val="BoxList"/>
    <w:aliases w:val="bl"/>
    <w:basedOn w:val="Normal"/>
    <w:qFormat/>
    <w:rsid w:val="00A36BC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eastAsia="Times New Roman" w:cs="Times New Roman"/>
      <w:sz w:val="22"/>
      <w:szCs w:val="20"/>
      <w:lang w:eastAsia="en-AU"/>
    </w:rPr>
  </w:style>
  <w:style w:type="paragraph" w:customStyle="1" w:styleId="MBPoint">
    <w:name w:val="MB Point"/>
    <w:basedOn w:val="ListParagraph"/>
    <w:link w:val="MBPointChar"/>
    <w:qFormat/>
    <w:rsid w:val="00D04E75"/>
    <w:pPr>
      <w:numPr>
        <w:numId w:val="18"/>
      </w:numPr>
      <w:spacing w:after="60" w:line="240" w:lineRule="auto"/>
      <w:contextualSpacing w:val="0"/>
    </w:pPr>
    <w:rPr>
      <w:rFonts w:cs="Times New Roman"/>
      <w:szCs w:val="24"/>
    </w:rPr>
  </w:style>
  <w:style w:type="character" w:customStyle="1" w:styleId="MBPointChar">
    <w:name w:val="MB Point Char"/>
    <w:basedOn w:val="DefaultParagraphFont"/>
    <w:link w:val="MBPoint"/>
    <w:rsid w:val="00D04E7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592">
      <w:bodyDiv w:val="1"/>
      <w:marLeft w:val="0"/>
      <w:marRight w:val="0"/>
      <w:marTop w:val="0"/>
      <w:marBottom w:val="0"/>
      <w:divBdr>
        <w:top w:val="none" w:sz="0" w:space="0" w:color="auto"/>
        <w:left w:val="none" w:sz="0" w:space="0" w:color="auto"/>
        <w:bottom w:val="none" w:sz="0" w:space="0" w:color="auto"/>
        <w:right w:val="none" w:sz="0" w:space="0" w:color="auto"/>
      </w:divBdr>
    </w:div>
    <w:div w:id="24866706">
      <w:bodyDiv w:val="1"/>
      <w:marLeft w:val="0"/>
      <w:marRight w:val="0"/>
      <w:marTop w:val="0"/>
      <w:marBottom w:val="0"/>
      <w:divBdr>
        <w:top w:val="none" w:sz="0" w:space="0" w:color="auto"/>
        <w:left w:val="none" w:sz="0" w:space="0" w:color="auto"/>
        <w:bottom w:val="none" w:sz="0" w:space="0" w:color="auto"/>
        <w:right w:val="none" w:sz="0" w:space="0" w:color="auto"/>
      </w:divBdr>
    </w:div>
    <w:div w:id="40833466">
      <w:bodyDiv w:val="1"/>
      <w:marLeft w:val="0"/>
      <w:marRight w:val="0"/>
      <w:marTop w:val="0"/>
      <w:marBottom w:val="0"/>
      <w:divBdr>
        <w:top w:val="none" w:sz="0" w:space="0" w:color="auto"/>
        <w:left w:val="none" w:sz="0" w:space="0" w:color="auto"/>
        <w:bottom w:val="none" w:sz="0" w:space="0" w:color="auto"/>
        <w:right w:val="none" w:sz="0" w:space="0" w:color="auto"/>
      </w:divBdr>
    </w:div>
    <w:div w:id="103423589">
      <w:bodyDiv w:val="1"/>
      <w:marLeft w:val="0"/>
      <w:marRight w:val="0"/>
      <w:marTop w:val="0"/>
      <w:marBottom w:val="0"/>
      <w:divBdr>
        <w:top w:val="none" w:sz="0" w:space="0" w:color="auto"/>
        <w:left w:val="none" w:sz="0" w:space="0" w:color="auto"/>
        <w:bottom w:val="none" w:sz="0" w:space="0" w:color="auto"/>
        <w:right w:val="none" w:sz="0" w:space="0" w:color="auto"/>
      </w:divBdr>
    </w:div>
    <w:div w:id="140779265">
      <w:bodyDiv w:val="1"/>
      <w:marLeft w:val="0"/>
      <w:marRight w:val="0"/>
      <w:marTop w:val="0"/>
      <w:marBottom w:val="0"/>
      <w:divBdr>
        <w:top w:val="none" w:sz="0" w:space="0" w:color="auto"/>
        <w:left w:val="none" w:sz="0" w:space="0" w:color="auto"/>
        <w:bottom w:val="none" w:sz="0" w:space="0" w:color="auto"/>
        <w:right w:val="none" w:sz="0" w:space="0" w:color="auto"/>
      </w:divBdr>
    </w:div>
    <w:div w:id="168443879">
      <w:bodyDiv w:val="1"/>
      <w:marLeft w:val="0"/>
      <w:marRight w:val="0"/>
      <w:marTop w:val="0"/>
      <w:marBottom w:val="0"/>
      <w:divBdr>
        <w:top w:val="none" w:sz="0" w:space="0" w:color="auto"/>
        <w:left w:val="none" w:sz="0" w:space="0" w:color="auto"/>
        <w:bottom w:val="none" w:sz="0" w:space="0" w:color="auto"/>
        <w:right w:val="none" w:sz="0" w:space="0" w:color="auto"/>
      </w:divBdr>
    </w:div>
    <w:div w:id="184754155">
      <w:bodyDiv w:val="1"/>
      <w:marLeft w:val="0"/>
      <w:marRight w:val="0"/>
      <w:marTop w:val="0"/>
      <w:marBottom w:val="0"/>
      <w:divBdr>
        <w:top w:val="none" w:sz="0" w:space="0" w:color="auto"/>
        <w:left w:val="none" w:sz="0" w:space="0" w:color="auto"/>
        <w:bottom w:val="none" w:sz="0" w:space="0" w:color="auto"/>
        <w:right w:val="none" w:sz="0" w:space="0" w:color="auto"/>
      </w:divBdr>
    </w:div>
    <w:div w:id="197008155">
      <w:bodyDiv w:val="1"/>
      <w:marLeft w:val="0"/>
      <w:marRight w:val="0"/>
      <w:marTop w:val="0"/>
      <w:marBottom w:val="0"/>
      <w:divBdr>
        <w:top w:val="none" w:sz="0" w:space="0" w:color="auto"/>
        <w:left w:val="none" w:sz="0" w:space="0" w:color="auto"/>
        <w:bottom w:val="none" w:sz="0" w:space="0" w:color="auto"/>
        <w:right w:val="none" w:sz="0" w:space="0" w:color="auto"/>
      </w:divBdr>
    </w:div>
    <w:div w:id="219293516">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70956382">
      <w:bodyDiv w:val="1"/>
      <w:marLeft w:val="0"/>
      <w:marRight w:val="0"/>
      <w:marTop w:val="0"/>
      <w:marBottom w:val="0"/>
      <w:divBdr>
        <w:top w:val="none" w:sz="0" w:space="0" w:color="auto"/>
        <w:left w:val="none" w:sz="0" w:space="0" w:color="auto"/>
        <w:bottom w:val="none" w:sz="0" w:space="0" w:color="auto"/>
        <w:right w:val="none" w:sz="0" w:space="0" w:color="auto"/>
      </w:divBdr>
    </w:div>
    <w:div w:id="371809580">
      <w:bodyDiv w:val="1"/>
      <w:marLeft w:val="0"/>
      <w:marRight w:val="0"/>
      <w:marTop w:val="0"/>
      <w:marBottom w:val="0"/>
      <w:divBdr>
        <w:top w:val="none" w:sz="0" w:space="0" w:color="auto"/>
        <w:left w:val="none" w:sz="0" w:space="0" w:color="auto"/>
        <w:bottom w:val="none" w:sz="0" w:space="0" w:color="auto"/>
        <w:right w:val="none" w:sz="0" w:space="0" w:color="auto"/>
      </w:divBdr>
    </w:div>
    <w:div w:id="383719256">
      <w:bodyDiv w:val="1"/>
      <w:marLeft w:val="0"/>
      <w:marRight w:val="0"/>
      <w:marTop w:val="0"/>
      <w:marBottom w:val="0"/>
      <w:divBdr>
        <w:top w:val="none" w:sz="0" w:space="0" w:color="auto"/>
        <w:left w:val="none" w:sz="0" w:space="0" w:color="auto"/>
        <w:bottom w:val="none" w:sz="0" w:space="0" w:color="auto"/>
        <w:right w:val="none" w:sz="0" w:space="0" w:color="auto"/>
      </w:divBdr>
    </w:div>
    <w:div w:id="477962648">
      <w:bodyDiv w:val="1"/>
      <w:marLeft w:val="0"/>
      <w:marRight w:val="0"/>
      <w:marTop w:val="0"/>
      <w:marBottom w:val="0"/>
      <w:divBdr>
        <w:top w:val="none" w:sz="0" w:space="0" w:color="auto"/>
        <w:left w:val="none" w:sz="0" w:space="0" w:color="auto"/>
        <w:bottom w:val="none" w:sz="0" w:space="0" w:color="auto"/>
        <w:right w:val="none" w:sz="0" w:space="0" w:color="auto"/>
      </w:divBdr>
    </w:div>
    <w:div w:id="699404668">
      <w:bodyDiv w:val="1"/>
      <w:marLeft w:val="0"/>
      <w:marRight w:val="0"/>
      <w:marTop w:val="0"/>
      <w:marBottom w:val="0"/>
      <w:divBdr>
        <w:top w:val="none" w:sz="0" w:space="0" w:color="auto"/>
        <w:left w:val="none" w:sz="0" w:space="0" w:color="auto"/>
        <w:bottom w:val="none" w:sz="0" w:space="0" w:color="auto"/>
        <w:right w:val="none" w:sz="0" w:space="0" w:color="auto"/>
      </w:divBdr>
    </w:div>
    <w:div w:id="733045583">
      <w:bodyDiv w:val="1"/>
      <w:marLeft w:val="0"/>
      <w:marRight w:val="0"/>
      <w:marTop w:val="0"/>
      <w:marBottom w:val="0"/>
      <w:divBdr>
        <w:top w:val="none" w:sz="0" w:space="0" w:color="auto"/>
        <w:left w:val="none" w:sz="0" w:space="0" w:color="auto"/>
        <w:bottom w:val="none" w:sz="0" w:space="0" w:color="auto"/>
        <w:right w:val="none" w:sz="0" w:space="0" w:color="auto"/>
      </w:divBdr>
    </w:div>
    <w:div w:id="741947352">
      <w:bodyDiv w:val="1"/>
      <w:marLeft w:val="0"/>
      <w:marRight w:val="0"/>
      <w:marTop w:val="0"/>
      <w:marBottom w:val="0"/>
      <w:divBdr>
        <w:top w:val="none" w:sz="0" w:space="0" w:color="auto"/>
        <w:left w:val="none" w:sz="0" w:space="0" w:color="auto"/>
        <w:bottom w:val="none" w:sz="0" w:space="0" w:color="auto"/>
        <w:right w:val="none" w:sz="0" w:space="0" w:color="auto"/>
      </w:divBdr>
    </w:div>
    <w:div w:id="881213457">
      <w:bodyDiv w:val="1"/>
      <w:marLeft w:val="0"/>
      <w:marRight w:val="0"/>
      <w:marTop w:val="0"/>
      <w:marBottom w:val="0"/>
      <w:divBdr>
        <w:top w:val="none" w:sz="0" w:space="0" w:color="auto"/>
        <w:left w:val="none" w:sz="0" w:space="0" w:color="auto"/>
        <w:bottom w:val="none" w:sz="0" w:space="0" w:color="auto"/>
        <w:right w:val="none" w:sz="0" w:space="0" w:color="auto"/>
      </w:divBdr>
    </w:div>
    <w:div w:id="914171452">
      <w:bodyDiv w:val="1"/>
      <w:marLeft w:val="0"/>
      <w:marRight w:val="0"/>
      <w:marTop w:val="0"/>
      <w:marBottom w:val="0"/>
      <w:divBdr>
        <w:top w:val="none" w:sz="0" w:space="0" w:color="auto"/>
        <w:left w:val="none" w:sz="0" w:space="0" w:color="auto"/>
        <w:bottom w:val="none" w:sz="0" w:space="0" w:color="auto"/>
        <w:right w:val="none" w:sz="0" w:space="0" w:color="auto"/>
      </w:divBdr>
    </w:div>
    <w:div w:id="967197788">
      <w:bodyDiv w:val="1"/>
      <w:marLeft w:val="0"/>
      <w:marRight w:val="0"/>
      <w:marTop w:val="0"/>
      <w:marBottom w:val="0"/>
      <w:divBdr>
        <w:top w:val="none" w:sz="0" w:space="0" w:color="auto"/>
        <w:left w:val="none" w:sz="0" w:space="0" w:color="auto"/>
        <w:bottom w:val="none" w:sz="0" w:space="0" w:color="auto"/>
        <w:right w:val="none" w:sz="0" w:space="0" w:color="auto"/>
      </w:divBdr>
    </w:div>
    <w:div w:id="1050887605">
      <w:bodyDiv w:val="1"/>
      <w:marLeft w:val="0"/>
      <w:marRight w:val="0"/>
      <w:marTop w:val="0"/>
      <w:marBottom w:val="0"/>
      <w:divBdr>
        <w:top w:val="none" w:sz="0" w:space="0" w:color="auto"/>
        <w:left w:val="none" w:sz="0" w:space="0" w:color="auto"/>
        <w:bottom w:val="none" w:sz="0" w:space="0" w:color="auto"/>
        <w:right w:val="none" w:sz="0" w:space="0" w:color="auto"/>
      </w:divBdr>
    </w:div>
    <w:div w:id="1056783799">
      <w:bodyDiv w:val="1"/>
      <w:marLeft w:val="0"/>
      <w:marRight w:val="0"/>
      <w:marTop w:val="0"/>
      <w:marBottom w:val="0"/>
      <w:divBdr>
        <w:top w:val="none" w:sz="0" w:space="0" w:color="auto"/>
        <w:left w:val="none" w:sz="0" w:space="0" w:color="auto"/>
        <w:bottom w:val="none" w:sz="0" w:space="0" w:color="auto"/>
        <w:right w:val="none" w:sz="0" w:space="0" w:color="auto"/>
      </w:divBdr>
    </w:div>
    <w:div w:id="1140800848">
      <w:bodyDiv w:val="1"/>
      <w:marLeft w:val="0"/>
      <w:marRight w:val="0"/>
      <w:marTop w:val="0"/>
      <w:marBottom w:val="0"/>
      <w:divBdr>
        <w:top w:val="none" w:sz="0" w:space="0" w:color="auto"/>
        <w:left w:val="none" w:sz="0" w:space="0" w:color="auto"/>
        <w:bottom w:val="none" w:sz="0" w:space="0" w:color="auto"/>
        <w:right w:val="none" w:sz="0" w:space="0" w:color="auto"/>
      </w:divBdr>
    </w:div>
    <w:div w:id="1183321357">
      <w:bodyDiv w:val="1"/>
      <w:marLeft w:val="0"/>
      <w:marRight w:val="0"/>
      <w:marTop w:val="0"/>
      <w:marBottom w:val="0"/>
      <w:divBdr>
        <w:top w:val="none" w:sz="0" w:space="0" w:color="auto"/>
        <w:left w:val="none" w:sz="0" w:space="0" w:color="auto"/>
        <w:bottom w:val="none" w:sz="0" w:space="0" w:color="auto"/>
        <w:right w:val="none" w:sz="0" w:space="0" w:color="auto"/>
      </w:divBdr>
    </w:div>
    <w:div w:id="1225605857">
      <w:bodyDiv w:val="1"/>
      <w:marLeft w:val="0"/>
      <w:marRight w:val="0"/>
      <w:marTop w:val="0"/>
      <w:marBottom w:val="0"/>
      <w:divBdr>
        <w:top w:val="none" w:sz="0" w:space="0" w:color="auto"/>
        <w:left w:val="none" w:sz="0" w:space="0" w:color="auto"/>
        <w:bottom w:val="none" w:sz="0" w:space="0" w:color="auto"/>
        <w:right w:val="none" w:sz="0" w:space="0" w:color="auto"/>
      </w:divBdr>
    </w:div>
    <w:div w:id="1333685515">
      <w:bodyDiv w:val="1"/>
      <w:marLeft w:val="0"/>
      <w:marRight w:val="0"/>
      <w:marTop w:val="0"/>
      <w:marBottom w:val="0"/>
      <w:divBdr>
        <w:top w:val="none" w:sz="0" w:space="0" w:color="auto"/>
        <w:left w:val="none" w:sz="0" w:space="0" w:color="auto"/>
        <w:bottom w:val="none" w:sz="0" w:space="0" w:color="auto"/>
        <w:right w:val="none" w:sz="0" w:space="0" w:color="auto"/>
      </w:divBdr>
    </w:div>
    <w:div w:id="1517034738">
      <w:bodyDiv w:val="1"/>
      <w:marLeft w:val="0"/>
      <w:marRight w:val="0"/>
      <w:marTop w:val="0"/>
      <w:marBottom w:val="0"/>
      <w:divBdr>
        <w:top w:val="none" w:sz="0" w:space="0" w:color="auto"/>
        <w:left w:val="none" w:sz="0" w:space="0" w:color="auto"/>
        <w:bottom w:val="none" w:sz="0" w:space="0" w:color="auto"/>
        <w:right w:val="none" w:sz="0" w:space="0" w:color="auto"/>
      </w:divBdr>
    </w:div>
    <w:div w:id="1526746033">
      <w:bodyDiv w:val="1"/>
      <w:marLeft w:val="0"/>
      <w:marRight w:val="0"/>
      <w:marTop w:val="0"/>
      <w:marBottom w:val="0"/>
      <w:divBdr>
        <w:top w:val="none" w:sz="0" w:space="0" w:color="auto"/>
        <w:left w:val="none" w:sz="0" w:space="0" w:color="auto"/>
        <w:bottom w:val="none" w:sz="0" w:space="0" w:color="auto"/>
        <w:right w:val="none" w:sz="0" w:space="0" w:color="auto"/>
      </w:divBdr>
    </w:div>
    <w:div w:id="1537548833">
      <w:bodyDiv w:val="1"/>
      <w:marLeft w:val="0"/>
      <w:marRight w:val="0"/>
      <w:marTop w:val="0"/>
      <w:marBottom w:val="0"/>
      <w:divBdr>
        <w:top w:val="none" w:sz="0" w:space="0" w:color="auto"/>
        <w:left w:val="none" w:sz="0" w:space="0" w:color="auto"/>
        <w:bottom w:val="none" w:sz="0" w:space="0" w:color="auto"/>
        <w:right w:val="none" w:sz="0" w:space="0" w:color="auto"/>
      </w:divBdr>
    </w:div>
    <w:div w:id="1548685263">
      <w:bodyDiv w:val="1"/>
      <w:marLeft w:val="0"/>
      <w:marRight w:val="0"/>
      <w:marTop w:val="0"/>
      <w:marBottom w:val="0"/>
      <w:divBdr>
        <w:top w:val="none" w:sz="0" w:space="0" w:color="auto"/>
        <w:left w:val="none" w:sz="0" w:space="0" w:color="auto"/>
        <w:bottom w:val="none" w:sz="0" w:space="0" w:color="auto"/>
        <w:right w:val="none" w:sz="0" w:space="0" w:color="auto"/>
      </w:divBdr>
    </w:div>
    <w:div w:id="1668749363">
      <w:bodyDiv w:val="1"/>
      <w:marLeft w:val="0"/>
      <w:marRight w:val="0"/>
      <w:marTop w:val="0"/>
      <w:marBottom w:val="0"/>
      <w:divBdr>
        <w:top w:val="none" w:sz="0" w:space="0" w:color="auto"/>
        <w:left w:val="none" w:sz="0" w:space="0" w:color="auto"/>
        <w:bottom w:val="none" w:sz="0" w:space="0" w:color="auto"/>
        <w:right w:val="none" w:sz="0" w:space="0" w:color="auto"/>
      </w:divBdr>
    </w:div>
    <w:div w:id="1752510008">
      <w:bodyDiv w:val="1"/>
      <w:marLeft w:val="0"/>
      <w:marRight w:val="0"/>
      <w:marTop w:val="0"/>
      <w:marBottom w:val="0"/>
      <w:divBdr>
        <w:top w:val="none" w:sz="0" w:space="0" w:color="auto"/>
        <w:left w:val="none" w:sz="0" w:space="0" w:color="auto"/>
        <w:bottom w:val="none" w:sz="0" w:space="0" w:color="auto"/>
        <w:right w:val="none" w:sz="0" w:space="0" w:color="auto"/>
      </w:divBdr>
    </w:div>
    <w:div w:id="1801263211">
      <w:bodyDiv w:val="1"/>
      <w:marLeft w:val="0"/>
      <w:marRight w:val="0"/>
      <w:marTop w:val="0"/>
      <w:marBottom w:val="0"/>
      <w:divBdr>
        <w:top w:val="none" w:sz="0" w:space="0" w:color="auto"/>
        <w:left w:val="none" w:sz="0" w:space="0" w:color="auto"/>
        <w:bottom w:val="none" w:sz="0" w:space="0" w:color="auto"/>
        <w:right w:val="none" w:sz="0" w:space="0" w:color="auto"/>
      </w:divBdr>
    </w:div>
    <w:div w:id="1849244968">
      <w:bodyDiv w:val="1"/>
      <w:marLeft w:val="0"/>
      <w:marRight w:val="0"/>
      <w:marTop w:val="0"/>
      <w:marBottom w:val="0"/>
      <w:divBdr>
        <w:top w:val="none" w:sz="0" w:space="0" w:color="auto"/>
        <w:left w:val="none" w:sz="0" w:space="0" w:color="auto"/>
        <w:bottom w:val="none" w:sz="0" w:space="0" w:color="auto"/>
        <w:right w:val="none" w:sz="0" w:space="0" w:color="auto"/>
      </w:divBdr>
    </w:div>
    <w:div w:id="1849321372">
      <w:bodyDiv w:val="1"/>
      <w:marLeft w:val="0"/>
      <w:marRight w:val="0"/>
      <w:marTop w:val="0"/>
      <w:marBottom w:val="0"/>
      <w:divBdr>
        <w:top w:val="none" w:sz="0" w:space="0" w:color="auto"/>
        <w:left w:val="none" w:sz="0" w:space="0" w:color="auto"/>
        <w:bottom w:val="none" w:sz="0" w:space="0" w:color="auto"/>
        <w:right w:val="none" w:sz="0" w:space="0" w:color="auto"/>
      </w:divBdr>
    </w:div>
    <w:div w:id="1866744642">
      <w:bodyDiv w:val="1"/>
      <w:marLeft w:val="0"/>
      <w:marRight w:val="0"/>
      <w:marTop w:val="0"/>
      <w:marBottom w:val="0"/>
      <w:divBdr>
        <w:top w:val="none" w:sz="0" w:space="0" w:color="auto"/>
        <w:left w:val="none" w:sz="0" w:space="0" w:color="auto"/>
        <w:bottom w:val="none" w:sz="0" w:space="0" w:color="auto"/>
        <w:right w:val="none" w:sz="0" w:space="0" w:color="auto"/>
      </w:divBdr>
    </w:div>
    <w:div w:id="1892500502">
      <w:bodyDiv w:val="1"/>
      <w:marLeft w:val="0"/>
      <w:marRight w:val="0"/>
      <w:marTop w:val="0"/>
      <w:marBottom w:val="0"/>
      <w:divBdr>
        <w:top w:val="none" w:sz="0" w:space="0" w:color="auto"/>
        <w:left w:val="none" w:sz="0" w:space="0" w:color="auto"/>
        <w:bottom w:val="none" w:sz="0" w:space="0" w:color="auto"/>
        <w:right w:val="none" w:sz="0" w:space="0" w:color="auto"/>
      </w:divBdr>
    </w:div>
    <w:div w:id="2013486994">
      <w:bodyDiv w:val="1"/>
      <w:marLeft w:val="0"/>
      <w:marRight w:val="0"/>
      <w:marTop w:val="0"/>
      <w:marBottom w:val="0"/>
      <w:divBdr>
        <w:top w:val="none" w:sz="0" w:space="0" w:color="auto"/>
        <w:left w:val="none" w:sz="0" w:space="0" w:color="auto"/>
        <w:bottom w:val="none" w:sz="0" w:space="0" w:color="auto"/>
        <w:right w:val="none" w:sz="0" w:space="0" w:color="auto"/>
      </w:divBdr>
    </w:div>
    <w:div w:id="2020228740">
      <w:bodyDiv w:val="1"/>
      <w:marLeft w:val="0"/>
      <w:marRight w:val="0"/>
      <w:marTop w:val="0"/>
      <w:marBottom w:val="0"/>
      <w:divBdr>
        <w:top w:val="none" w:sz="0" w:space="0" w:color="auto"/>
        <w:left w:val="none" w:sz="0" w:space="0" w:color="auto"/>
        <w:bottom w:val="none" w:sz="0" w:space="0" w:color="auto"/>
        <w:right w:val="none" w:sz="0" w:space="0" w:color="auto"/>
      </w:divBdr>
    </w:div>
    <w:div w:id="205265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CD16CBD-BDAD-401A-BDB2-147BCBF7D9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62F6907ECCF114B88E82500048E3766" ma:contentTypeVersion="" ma:contentTypeDescription="PDMS Document Site Content Type" ma:contentTypeScope="" ma:versionID="5c449279f5c9f56315b48ddf585c001b">
  <xsd:schema xmlns:xsd="http://www.w3.org/2001/XMLSchema" xmlns:xs="http://www.w3.org/2001/XMLSchema" xmlns:p="http://schemas.microsoft.com/office/2006/metadata/properties" xmlns:ns2="ACD16CBD-BDAD-401A-BDB2-147BCBF7D9FF" targetNamespace="http://schemas.microsoft.com/office/2006/metadata/properties" ma:root="true" ma:fieldsID="8ede544de83c30c6e93bd161252245e8" ns2:_="">
    <xsd:import namespace="ACD16CBD-BDAD-401A-BDB2-147BCBF7D9F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16CBD-BDAD-401A-BDB2-147BCBF7D9F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2F429-4198-4ECD-8E59-23F01B09005A}">
  <ds:schemaRefs>
    <ds:schemaRef ds:uri="http://www.w3.org/XML/1998/namespace"/>
    <ds:schemaRef ds:uri="ACD16CBD-BDAD-401A-BDB2-147BCBF7D9FF"/>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A54598D3-DC99-43C0-8518-8B3B7891B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16CBD-BDAD-401A-BDB2-147BCBF7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4.xml><?xml version="1.0" encoding="utf-8"?>
<ds:datastoreItem xmlns:ds="http://schemas.openxmlformats.org/officeDocument/2006/customXml" ds:itemID="{F3B610EE-0F70-4F01-817A-5807EACF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8928</Words>
  <Characters>45893</Characters>
  <Application>Microsoft Office Word</Application>
  <DocSecurity>0</DocSecurity>
  <Lines>1019</Lines>
  <Paragraphs>609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54212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OSTOJIC,Stephanie</cp:lastModifiedBy>
  <cp:revision>3</cp:revision>
  <cp:lastPrinted>2019-11-17T23:12:00Z</cp:lastPrinted>
  <dcterms:created xsi:type="dcterms:W3CDTF">2023-03-31T03:14:00Z</dcterms:created>
  <dcterms:modified xsi:type="dcterms:W3CDTF">2023-03-31T04:07:00Z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0x010100266966F133664895A6EE3632470D45F500B62F6907ECCF114B88E82500048E3766</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2023-03-08T04:46:02Z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de5d44ec-1190-4288-8775-bb29cad70538</vt:lpwstr>
  </property>
  <property fmtid="{D5CDD505-2E9C-101B-9397-08002B2CF9AE}" pid="17" name="MSIP_Label_79d889eb-932f-4752-8739-64d25806ef64_ContentBits">
    <vt:lpwstr>0</vt:lpwstr>
  </property>
</Properties>
</file>