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D155D56"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A71283">
        <w:rPr>
          <w:sz w:val="24"/>
          <w:szCs w:val="24"/>
        </w:rPr>
        <w:t xml:space="preserve">determination No. </w:t>
      </w:r>
      <w:r w:rsidR="00A71283" w:rsidRPr="00A71283">
        <w:rPr>
          <w:sz w:val="24"/>
          <w:szCs w:val="24"/>
        </w:rPr>
        <w:t>54</w:t>
      </w:r>
      <w:r w:rsidRPr="00A71283">
        <w:rPr>
          <w:sz w:val="24"/>
          <w:szCs w:val="24"/>
        </w:rPr>
        <w:t xml:space="preserve"> of 202</w:t>
      </w:r>
      <w:r w:rsidR="00F13B96" w:rsidRPr="00A71283">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6CDA49F6" w14:textId="2FF1A977" w:rsidR="00B07F39" w:rsidRPr="00A71283" w:rsidRDefault="00211AFD" w:rsidP="00A71283">
      <w:pPr>
        <w:numPr>
          <w:ilvl w:val="0"/>
          <w:numId w:val="0"/>
        </w:numPr>
        <w:rPr>
          <w:rFonts w:ascii="Times New Roman" w:hAnsi="Times New Roman" w:cs="Times New Roman"/>
          <w:sz w:val="24"/>
          <w:szCs w:val="24"/>
        </w:rPr>
      </w:pPr>
      <w:r w:rsidRPr="001B62C4">
        <w:rPr>
          <w:rFonts w:ascii="Times New Roman" w:hAnsi="Times New Roman" w:cs="Times New Roman"/>
          <w:sz w:val="24"/>
          <w:szCs w:val="24"/>
        </w:rPr>
        <w:t>On</w:t>
      </w:r>
      <w:r w:rsidR="00F41BD7" w:rsidRPr="001B62C4">
        <w:rPr>
          <w:rFonts w:ascii="Times New Roman" w:hAnsi="Times New Roman" w:cs="Times New Roman"/>
          <w:sz w:val="24"/>
          <w:szCs w:val="24"/>
        </w:rPr>
        <w:t xml:space="preserve"> </w:t>
      </w:r>
      <w:r w:rsidR="001B62C4" w:rsidRPr="001B62C4">
        <w:rPr>
          <w:rFonts w:ascii="Times New Roman" w:hAnsi="Times New Roman" w:cs="Times New Roman"/>
          <w:sz w:val="24"/>
          <w:szCs w:val="24"/>
        </w:rPr>
        <w:t>31</w:t>
      </w:r>
      <w:r w:rsidR="00B83763" w:rsidRPr="001B62C4">
        <w:rPr>
          <w:rFonts w:ascii="Times New Roman" w:hAnsi="Times New Roman" w:cs="Times New Roman"/>
          <w:sz w:val="24"/>
          <w:szCs w:val="24"/>
        </w:rPr>
        <w:t xml:space="preserve"> M</w:t>
      </w:r>
      <w:r w:rsidR="00D233D2" w:rsidRPr="001B62C4">
        <w:rPr>
          <w:rFonts w:ascii="Times New Roman" w:hAnsi="Times New Roman" w:cs="Times New Roman"/>
          <w:sz w:val="24"/>
          <w:szCs w:val="24"/>
        </w:rPr>
        <w:t>arc</w:t>
      </w:r>
      <w:r w:rsidR="00B83763" w:rsidRPr="001B62C4">
        <w:rPr>
          <w:rFonts w:ascii="Times New Roman" w:hAnsi="Times New Roman" w:cs="Times New Roman"/>
          <w:sz w:val="24"/>
          <w:szCs w:val="24"/>
        </w:rPr>
        <w:t>h 2023</w:t>
      </w:r>
      <w:r w:rsidRPr="001B62C4">
        <w:rPr>
          <w:rFonts w:ascii="Times New Roman" w:hAnsi="Times New Roman" w:cs="Times New Roman"/>
          <w:sz w:val="24"/>
          <w:szCs w:val="24"/>
        </w:rPr>
        <w:t>, APRA made</w:t>
      </w:r>
      <w:r w:rsidR="00A71283" w:rsidRPr="001B62C4">
        <w:rPr>
          <w:rFonts w:ascii="Times New Roman" w:hAnsi="Times New Roman" w:cs="Times New Roman"/>
          <w:sz w:val="24"/>
          <w:szCs w:val="24"/>
        </w:rPr>
        <w:t xml:space="preserve"> </w:t>
      </w:r>
      <w:r w:rsidR="00B07F39" w:rsidRPr="001B62C4">
        <w:rPr>
          <w:rFonts w:ascii="Times New Roman" w:hAnsi="Times New Roman"/>
          <w:sz w:val="24"/>
          <w:szCs w:val="24"/>
        </w:rPr>
        <w:t>Financial Sector (Collection of Data) (reporting standard) determination No. 54 of 2023</w:t>
      </w:r>
      <w:r w:rsidR="00B07F39" w:rsidRPr="00A71283">
        <w:rPr>
          <w:rFonts w:ascii="Times New Roman" w:hAnsi="Times New Roman"/>
          <w:sz w:val="24"/>
          <w:szCs w:val="24"/>
        </w:rPr>
        <w:t xml:space="preserve"> which:</w:t>
      </w:r>
    </w:p>
    <w:p w14:paraId="0D546040" w14:textId="1FF79F80" w:rsidR="00B07F39" w:rsidRDefault="00B07F39" w:rsidP="00A71283">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B07F39">
        <w:rPr>
          <w:rFonts w:ascii="Times New Roman" w:hAnsi="Times New Roman"/>
          <w:i/>
          <w:sz w:val="24"/>
          <w:szCs w:val="24"/>
        </w:rPr>
        <w:t xml:space="preserve">Reporting Standard ARS 210.0 Liquidity </w:t>
      </w:r>
      <w:r w:rsidRPr="00DF2C01">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4</w:t>
      </w:r>
      <w:r w:rsidRPr="00DF2C01">
        <w:rPr>
          <w:rFonts w:ascii="Times New Roman" w:hAnsi="Times New Roman"/>
          <w:sz w:val="24"/>
          <w:szCs w:val="24"/>
        </w:rPr>
        <w:t xml:space="preserve"> of 20</w:t>
      </w:r>
      <w:r>
        <w:rPr>
          <w:rFonts w:ascii="Times New Roman" w:hAnsi="Times New Roman"/>
          <w:sz w:val="24"/>
          <w:szCs w:val="24"/>
        </w:rPr>
        <w:t>22</w:t>
      </w:r>
      <w:r w:rsidRPr="00DF2C01">
        <w:rPr>
          <w:rFonts w:ascii="Times New Roman" w:hAnsi="Times New Roman"/>
          <w:sz w:val="24"/>
          <w:szCs w:val="24"/>
        </w:rPr>
        <w:t xml:space="preserve">; </w:t>
      </w:r>
      <w:r>
        <w:rPr>
          <w:rFonts w:ascii="Times New Roman" w:hAnsi="Times New Roman"/>
          <w:sz w:val="24"/>
          <w:szCs w:val="24"/>
        </w:rPr>
        <w:t>and</w:t>
      </w:r>
    </w:p>
    <w:p w14:paraId="464F5770" w14:textId="23922064" w:rsidR="00B07F39" w:rsidRDefault="00B07F39" w:rsidP="00A71283">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w:t>
      </w:r>
      <w:r w:rsidR="004A29F6" w:rsidRPr="004A29F6">
        <w:rPr>
          <w:rFonts w:ascii="Times New Roman" w:eastAsia="Times New Roman" w:hAnsi="Times New Roman"/>
          <w:i/>
          <w:sz w:val="24"/>
          <w:szCs w:val="24"/>
          <w:lang w:eastAsia="en-AU"/>
        </w:rPr>
        <w:t>Reporting Standard ARS 210.0 Liquidity</w:t>
      </w:r>
      <w:r>
        <w:rPr>
          <w:rFonts w:ascii="Times New Roman" w:hAnsi="Times New Roman"/>
          <w:sz w:val="24"/>
          <w:szCs w:val="24"/>
        </w:rPr>
        <w:t xml:space="preserve"> (ARS </w:t>
      </w:r>
      <w:r w:rsidR="004A29F6">
        <w:rPr>
          <w:rFonts w:ascii="Times New Roman" w:hAnsi="Times New Roman"/>
          <w:sz w:val="24"/>
          <w:szCs w:val="24"/>
        </w:rPr>
        <w:t>21</w:t>
      </w:r>
      <w:r>
        <w:rPr>
          <w:rFonts w:ascii="Times New Roman" w:hAnsi="Times New Roman"/>
          <w:sz w:val="24"/>
          <w:szCs w:val="24"/>
        </w:rPr>
        <w:t>0.0)</w:t>
      </w:r>
      <w:r w:rsidR="00244B0A">
        <w:rPr>
          <w:rFonts w:ascii="Times New Roman" w:hAnsi="Times New Roman"/>
          <w:sz w:val="24"/>
          <w:szCs w:val="24"/>
        </w:rPr>
        <w:t>.</w:t>
      </w:r>
    </w:p>
    <w:p w14:paraId="20C71CDB" w14:textId="4FFDDF5E"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51A65ECD" w14:textId="7D1D60B1" w:rsidR="00C3686B" w:rsidRDefault="00D55B27" w:rsidP="00D55B27">
      <w:pPr>
        <w:numPr>
          <w:ilvl w:val="0"/>
          <w:numId w:val="0"/>
        </w:numPr>
        <w:rPr>
          <w:rFonts w:ascii="Times New Roman" w:hAnsi="Times New Roman" w:cs="Times New Roman"/>
          <w:sz w:val="24"/>
          <w:szCs w:val="24"/>
        </w:rPr>
      </w:pPr>
      <w:r w:rsidRPr="00D55B27">
        <w:rPr>
          <w:rFonts w:ascii="Times New Roman" w:hAnsi="Times New Roman" w:cs="Times New Roman"/>
          <w:sz w:val="24"/>
          <w:szCs w:val="24"/>
        </w:rPr>
        <w:t>In July 2017, APRA announced its intention to review the long-standing requirements in the</w:t>
      </w:r>
      <w:r>
        <w:rPr>
          <w:rFonts w:ascii="Times New Roman" w:hAnsi="Times New Roman" w:cs="Times New Roman"/>
          <w:sz w:val="24"/>
          <w:szCs w:val="24"/>
        </w:rPr>
        <w:t xml:space="preserve"> </w:t>
      </w:r>
      <w:r w:rsidRPr="00D55B27">
        <w:rPr>
          <w:rFonts w:ascii="Times New Roman" w:hAnsi="Times New Roman" w:cs="Times New Roman"/>
          <w:sz w:val="24"/>
          <w:szCs w:val="24"/>
        </w:rPr>
        <w:t>ADI capital framework.</w:t>
      </w:r>
      <w:r>
        <w:rPr>
          <w:rFonts w:ascii="Times New Roman" w:hAnsi="Times New Roman" w:cs="Times New Roman"/>
          <w:sz w:val="24"/>
          <w:szCs w:val="24"/>
        </w:rPr>
        <w:t xml:space="preserve"> </w:t>
      </w:r>
      <w:r w:rsidR="005628DB">
        <w:rPr>
          <w:rFonts w:ascii="Times New Roman" w:hAnsi="Times New Roman" w:cs="Times New Roman"/>
          <w:sz w:val="24"/>
          <w:szCs w:val="24"/>
        </w:rPr>
        <w:t xml:space="preserve">After multiple rounds of consultations, </w:t>
      </w:r>
      <w:r w:rsidR="00C3686B" w:rsidRPr="00C3686B">
        <w:rPr>
          <w:rFonts w:ascii="Times New Roman" w:hAnsi="Times New Roman" w:cs="Times New Roman"/>
          <w:sz w:val="24"/>
          <w:szCs w:val="24"/>
        </w:rPr>
        <w:t>APRA released final capital adequacy and credit risk capital requirements for ADIs</w:t>
      </w:r>
      <w:r w:rsidR="00821EFD">
        <w:rPr>
          <w:rFonts w:ascii="Times New Roman" w:hAnsi="Times New Roman" w:cs="Times New Roman"/>
          <w:sz w:val="24"/>
          <w:szCs w:val="24"/>
        </w:rPr>
        <w:t xml:space="preserve"> in November 2021</w:t>
      </w:r>
      <w:r w:rsidR="00C3686B" w:rsidRPr="00C3686B">
        <w:rPr>
          <w:rFonts w:ascii="Times New Roman" w:hAnsi="Times New Roman" w:cs="Times New Roman"/>
          <w:sz w:val="24"/>
          <w:szCs w:val="24"/>
        </w:rPr>
        <w:t xml:space="preserve">, contained in </w:t>
      </w:r>
      <w:r w:rsidR="00C3686B" w:rsidRPr="00C3686B">
        <w:rPr>
          <w:rFonts w:ascii="Times New Roman" w:hAnsi="Times New Roman" w:cs="Times New Roman"/>
          <w:i/>
          <w:sz w:val="24"/>
          <w:szCs w:val="24"/>
        </w:rPr>
        <w:t>Prudential Standard APS 110 Capital Adequacy</w:t>
      </w:r>
      <w:r w:rsidR="00C3686B" w:rsidRPr="00C3686B">
        <w:rPr>
          <w:rFonts w:ascii="Times New Roman" w:hAnsi="Times New Roman" w:cs="Times New Roman"/>
          <w:sz w:val="24"/>
          <w:szCs w:val="24"/>
        </w:rPr>
        <w:t xml:space="preserve"> (APS 110), </w:t>
      </w:r>
      <w:r w:rsidR="00C3686B" w:rsidRPr="00C3686B">
        <w:rPr>
          <w:rFonts w:ascii="Times New Roman" w:hAnsi="Times New Roman" w:cs="Times New Roman"/>
          <w:i/>
          <w:sz w:val="24"/>
          <w:szCs w:val="24"/>
        </w:rPr>
        <w:t>Prudential Standard APS 112 Capital Adequacy: Standardised Approach to Credit Risk</w:t>
      </w:r>
      <w:r w:rsidR="00C3686B" w:rsidRPr="00C3686B">
        <w:rPr>
          <w:rFonts w:ascii="Times New Roman" w:hAnsi="Times New Roman" w:cs="Times New Roman"/>
          <w:sz w:val="24"/>
          <w:szCs w:val="24"/>
        </w:rPr>
        <w:t xml:space="preserve"> (APS 112) and </w:t>
      </w:r>
      <w:r w:rsidR="00C3686B" w:rsidRPr="00C3686B">
        <w:rPr>
          <w:rFonts w:ascii="Times New Roman" w:hAnsi="Times New Roman" w:cs="Times New Roman"/>
          <w:i/>
          <w:sz w:val="24"/>
          <w:szCs w:val="24"/>
        </w:rPr>
        <w:t>Prudential Standard APS 113 Capital Adequacy: Internal Ratings-based Approach to Credit Risk</w:t>
      </w:r>
      <w:r w:rsidR="00C3686B" w:rsidRPr="00C3686B">
        <w:rPr>
          <w:rFonts w:ascii="Times New Roman" w:hAnsi="Times New Roman" w:cs="Times New Roman"/>
          <w:sz w:val="24"/>
          <w:szCs w:val="24"/>
        </w:rPr>
        <w:t xml:space="preserve"> (APS 113).</w:t>
      </w:r>
    </w:p>
    <w:p w14:paraId="32288BFA" w14:textId="77777777" w:rsidR="00244B0A" w:rsidRDefault="00C3686B" w:rsidP="00C3686B">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lastRenderedPageBreak/>
        <w:t xml:space="preserve">The ADI capital reforms 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has created three </w:t>
      </w:r>
      <w:r w:rsidR="006B5592" w:rsidRPr="007720F8">
        <w:rPr>
          <w:rFonts w:ascii="Times New Roman" w:hAnsi="Times New Roman" w:cs="Times New Roman"/>
          <w:sz w:val="24"/>
          <w:szCs w:val="24"/>
        </w:rPr>
        <w:t xml:space="preserve">updated ADI capital </w:t>
      </w:r>
      <w:r w:rsidRPr="007720F8">
        <w:rPr>
          <w:rFonts w:ascii="Times New Roman" w:hAnsi="Times New Roman" w:cs="Times New Roman"/>
          <w:sz w:val="24"/>
          <w:szCs w:val="24"/>
        </w:rPr>
        <w:t>reporting standards</w:t>
      </w:r>
      <w:r w:rsidR="00244B0A">
        <w:rPr>
          <w:rFonts w:ascii="Times New Roman" w:hAnsi="Times New Roman" w:cs="Times New Roman"/>
          <w:sz w:val="24"/>
          <w:szCs w:val="24"/>
        </w:rPr>
        <w:t>:</w:t>
      </w:r>
      <w:r w:rsidR="005628DB" w:rsidRPr="007720F8">
        <w:rPr>
          <w:rFonts w:ascii="Times New Roman" w:hAnsi="Times New Roman" w:cs="Times New Roman"/>
          <w:sz w:val="24"/>
          <w:szCs w:val="24"/>
        </w:rPr>
        <w:t xml:space="preserve"> </w:t>
      </w:r>
    </w:p>
    <w:p w14:paraId="7BD3FD11" w14:textId="7B8E348A"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 xml:space="preserve">Reporting Standard ARS 110.0 Capital Adequacy </w:t>
      </w:r>
      <w:r w:rsidRPr="00244B0A">
        <w:rPr>
          <w:rFonts w:ascii="Times New Roman" w:hAnsi="Times New Roman"/>
          <w:sz w:val="24"/>
          <w:szCs w:val="24"/>
        </w:rPr>
        <w:t>(ARS 110.0)</w:t>
      </w:r>
      <w:r>
        <w:rPr>
          <w:rFonts w:ascii="Times New Roman" w:hAnsi="Times New Roman" w:cs="Times New Roman"/>
          <w:sz w:val="24"/>
          <w:szCs w:val="24"/>
        </w:rPr>
        <w:t>;</w:t>
      </w:r>
    </w:p>
    <w:p w14:paraId="3A2EC545" w14:textId="4173FC25"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Reporting Standard ARS 112.0 Capital Adequacy: Standardised Approach to Credit Risk</w:t>
      </w:r>
      <w:r w:rsidRPr="00244B0A">
        <w:rPr>
          <w:rFonts w:ascii="Times New Roman" w:hAnsi="Times New Roman"/>
          <w:sz w:val="24"/>
          <w:szCs w:val="24"/>
        </w:rPr>
        <w:t xml:space="preserve"> (ARS 112.0)</w:t>
      </w:r>
      <w:r>
        <w:rPr>
          <w:rFonts w:ascii="Times New Roman" w:hAnsi="Times New Roman" w:cs="Times New Roman"/>
          <w:sz w:val="24"/>
          <w:szCs w:val="24"/>
        </w:rPr>
        <w:t>;</w:t>
      </w:r>
      <w:r w:rsidR="005628DB" w:rsidRPr="00244B0A">
        <w:rPr>
          <w:rFonts w:ascii="Times New Roman" w:hAnsi="Times New Roman" w:cs="Times New Roman"/>
          <w:sz w:val="24"/>
          <w:szCs w:val="24"/>
        </w:rPr>
        <w:t xml:space="preserve"> and </w:t>
      </w:r>
    </w:p>
    <w:p w14:paraId="1FE13A74" w14:textId="3122E035" w:rsidR="00244B0A" w:rsidRDefault="008F2AFE" w:rsidP="00244B0A">
      <w:pPr>
        <w:pStyle w:val="ListParagraph"/>
        <w:numPr>
          <w:ilvl w:val="0"/>
          <w:numId w:val="20"/>
        </w:numPr>
        <w:rPr>
          <w:rFonts w:ascii="Times New Roman" w:hAnsi="Times New Roman" w:cs="Times New Roman"/>
          <w:sz w:val="24"/>
          <w:szCs w:val="24"/>
        </w:rPr>
      </w:pPr>
      <w:r>
        <w:rPr>
          <w:rFonts w:ascii="Times New Roman" w:hAnsi="Times New Roman"/>
          <w:i/>
          <w:sz w:val="24"/>
          <w:szCs w:val="24"/>
        </w:rPr>
        <w:t xml:space="preserve">Reporting Standard </w:t>
      </w:r>
      <w:r w:rsidR="00244B0A" w:rsidRPr="00244B0A">
        <w:rPr>
          <w:rFonts w:ascii="Times New Roman" w:hAnsi="Times New Roman"/>
          <w:i/>
          <w:sz w:val="24"/>
          <w:szCs w:val="24"/>
        </w:rPr>
        <w:t xml:space="preserve">ARS 113.0 Capital Adequacy: Internal Ratings-based Approach to Credit Risk </w:t>
      </w:r>
      <w:r w:rsidR="00244B0A" w:rsidRPr="00244B0A">
        <w:rPr>
          <w:rFonts w:ascii="Times New Roman" w:hAnsi="Times New Roman"/>
          <w:sz w:val="24"/>
          <w:szCs w:val="24"/>
        </w:rPr>
        <w:t>(ARS 113.0)</w:t>
      </w:r>
      <w:r w:rsidR="005628DB" w:rsidRPr="00244B0A">
        <w:rPr>
          <w:rFonts w:ascii="Times New Roman" w:hAnsi="Times New Roman" w:cs="Times New Roman"/>
          <w:sz w:val="24"/>
          <w:szCs w:val="24"/>
        </w:rPr>
        <w:t>.</w:t>
      </w:r>
    </w:p>
    <w:p w14:paraId="07C7A6E2" w14:textId="14085CEA" w:rsidR="00C3686B" w:rsidRPr="00244B0A" w:rsidRDefault="007720F8" w:rsidP="00244B0A">
      <w:pPr>
        <w:numPr>
          <w:ilvl w:val="0"/>
          <w:numId w:val="0"/>
        </w:numPr>
        <w:rPr>
          <w:rFonts w:ascii="Times New Roman" w:hAnsi="Times New Roman" w:cs="Times New Roman"/>
          <w:sz w:val="24"/>
          <w:szCs w:val="24"/>
        </w:rPr>
      </w:pPr>
      <w:r w:rsidRPr="00244B0A">
        <w:rPr>
          <w:rFonts w:ascii="Times New Roman" w:hAnsi="Times New Roman" w:cs="Times New Roman"/>
          <w:sz w:val="24"/>
          <w:szCs w:val="24"/>
        </w:rPr>
        <w:t>These new reporting standards ensure that APRA’s reporting framework aligns with APRA’s updated ADI capital framework.</w:t>
      </w:r>
    </w:p>
    <w:p w14:paraId="17AD333B" w14:textId="77777777" w:rsidR="00244B0A" w:rsidRDefault="007720F8" w:rsidP="006B559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In addition to the </w:t>
      </w:r>
      <w:r w:rsidR="00D67BB9">
        <w:rPr>
          <w:rFonts w:ascii="Times New Roman" w:hAnsi="Times New Roman" w:cs="Times New Roman"/>
          <w:sz w:val="24"/>
          <w:szCs w:val="24"/>
        </w:rPr>
        <w:t xml:space="preserve">three ADI capital reporting standards, APRA has also consulted on and created updated ADI reporting standards that incorporate necessary consequential changes as a result of the new ADI capital framework. </w:t>
      </w:r>
    </w:p>
    <w:p w14:paraId="2DCDD746" w14:textId="77777777" w:rsidR="00244B0A" w:rsidRDefault="00D67BB9" w:rsidP="006B5592">
      <w:pPr>
        <w:numPr>
          <w:ilvl w:val="0"/>
          <w:numId w:val="0"/>
        </w:numPr>
        <w:rPr>
          <w:rFonts w:ascii="Times New Roman" w:hAnsi="Times New Roman" w:cs="Times New Roman"/>
          <w:sz w:val="24"/>
          <w:szCs w:val="24"/>
        </w:rPr>
      </w:pPr>
      <w:r w:rsidRPr="00D67BB9">
        <w:rPr>
          <w:rFonts w:ascii="Times New Roman" w:hAnsi="Times New Roman" w:cs="Times New Roman"/>
          <w:sz w:val="24"/>
          <w:szCs w:val="24"/>
        </w:rPr>
        <w:t xml:space="preserve">These </w:t>
      </w:r>
      <w:r>
        <w:rPr>
          <w:rFonts w:ascii="Times New Roman" w:hAnsi="Times New Roman" w:cs="Times New Roman"/>
          <w:sz w:val="24"/>
          <w:szCs w:val="24"/>
        </w:rPr>
        <w:t>reporting standards are</w:t>
      </w:r>
      <w:r w:rsidR="00244B0A">
        <w:rPr>
          <w:rFonts w:ascii="Times New Roman" w:hAnsi="Times New Roman" w:cs="Times New Roman"/>
          <w:sz w:val="24"/>
          <w:szCs w:val="24"/>
        </w:rPr>
        <w:t>:</w:t>
      </w:r>
      <w:r>
        <w:rPr>
          <w:rFonts w:ascii="Times New Roman" w:hAnsi="Times New Roman" w:cs="Times New Roman"/>
          <w:sz w:val="24"/>
          <w:szCs w:val="24"/>
        </w:rPr>
        <w:t xml:space="preserve"> </w:t>
      </w:r>
    </w:p>
    <w:p w14:paraId="4CC86F59" w14:textId="7D008B35"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i/>
          <w:sz w:val="24"/>
          <w:szCs w:val="24"/>
        </w:rPr>
        <w:t>Reporting Standard ARS 120.1 Securitisation — Regulatory Capital</w:t>
      </w:r>
      <w:r>
        <w:rPr>
          <w:rFonts w:ascii="Times New Roman" w:hAnsi="Times New Roman"/>
          <w:i/>
          <w:sz w:val="24"/>
          <w:szCs w:val="24"/>
        </w:rPr>
        <w:t xml:space="preserve"> </w:t>
      </w:r>
      <w:r>
        <w:rPr>
          <w:rFonts w:ascii="Times New Roman" w:hAnsi="Times New Roman"/>
          <w:sz w:val="24"/>
          <w:szCs w:val="24"/>
        </w:rPr>
        <w:t>(ARS 120.1)</w:t>
      </w:r>
      <w:r w:rsidRPr="00244B0A">
        <w:rPr>
          <w:rFonts w:ascii="Times New Roman" w:hAnsi="Times New Roman" w:cs="Times New Roman"/>
          <w:sz w:val="24"/>
          <w:szCs w:val="24"/>
        </w:rPr>
        <w:t>;</w:t>
      </w:r>
    </w:p>
    <w:p w14:paraId="406477C8" w14:textId="3F1DEBC8"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120.2 Securitisation — Supplementary Items</w:t>
      </w:r>
      <w:r>
        <w:rPr>
          <w:rFonts w:ascii="Times New Roman" w:hAnsi="Times New Roman" w:cs="Times New Roman"/>
          <w:i/>
          <w:sz w:val="24"/>
          <w:szCs w:val="24"/>
        </w:rPr>
        <w:t xml:space="preserve"> </w:t>
      </w:r>
      <w:r>
        <w:rPr>
          <w:rFonts w:ascii="Times New Roman" w:hAnsi="Times New Roman" w:cs="Times New Roman"/>
          <w:sz w:val="24"/>
          <w:szCs w:val="24"/>
        </w:rPr>
        <w:t>(ARS 120.2)</w:t>
      </w:r>
      <w:r w:rsidRPr="00D56D61">
        <w:rPr>
          <w:rFonts w:ascii="Times New Roman" w:hAnsi="Times New Roman" w:cs="Times New Roman"/>
          <w:sz w:val="24"/>
          <w:szCs w:val="24"/>
        </w:rPr>
        <w:t>;</w:t>
      </w:r>
    </w:p>
    <w:p w14:paraId="69541450" w14:textId="6C19577D"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180.0 Counterparty Credit Risk</w:t>
      </w:r>
      <w:r>
        <w:rPr>
          <w:rFonts w:ascii="Times New Roman" w:hAnsi="Times New Roman" w:cs="Times New Roman"/>
          <w:i/>
          <w:sz w:val="24"/>
          <w:szCs w:val="24"/>
        </w:rPr>
        <w:t xml:space="preserve"> </w:t>
      </w:r>
      <w:r w:rsidRPr="00244B0A">
        <w:rPr>
          <w:rFonts w:ascii="Times New Roman" w:hAnsi="Times New Roman" w:cs="Times New Roman"/>
          <w:sz w:val="24"/>
          <w:szCs w:val="24"/>
        </w:rPr>
        <w:t>(</w:t>
      </w:r>
      <w:r>
        <w:rPr>
          <w:rFonts w:ascii="Times New Roman" w:hAnsi="Times New Roman" w:cs="Times New Roman"/>
          <w:sz w:val="24"/>
          <w:szCs w:val="24"/>
        </w:rPr>
        <w:t>ARS 180.0)</w:t>
      </w:r>
      <w:r w:rsidRPr="00D56D61">
        <w:rPr>
          <w:rFonts w:ascii="Times New Roman" w:hAnsi="Times New Roman" w:cs="Times New Roman"/>
          <w:sz w:val="24"/>
          <w:szCs w:val="24"/>
        </w:rPr>
        <w:t>;</w:t>
      </w:r>
    </w:p>
    <w:p w14:paraId="599C270A" w14:textId="44CFB34B"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210.0 Liquidity</w:t>
      </w:r>
      <w:r>
        <w:rPr>
          <w:rFonts w:ascii="Times New Roman" w:hAnsi="Times New Roman" w:cs="Times New Roman"/>
          <w:i/>
          <w:sz w:val="24"/>
          <w:szCs w:val="24"/>
        </w:rPr>
        <w:t xml:space="preserve"> </w:t>
      </w:r>
      <w:r>
        <w:rPr>
          <w:rFonts w:ascii="Times New Roman" w:hAnsi="Times New Roman" w:cs="Times New Roman"/>
          <w:sz w:val="24"/>
          <w:szCs w:val="24"/>
        </w:rPr>
        <w:t>(ARS 210.0)</w:t>
      </w:r>
      <w:r w:rsidRPr="00D56D61">
        <w:rPr>
          <w:rFonts w:ascii="Times New Roman" w:hAnsi="Times New Roman" w:cs="Times New Roman"/>
          <w:sz w:val="24"/>
          <w:szCs w:val="24"/>
        </w:rPr>
        <w:t>;</w:t>
      </w:r>
    </w:p>
    <w:p w14:paraId="16DEF723" w14:textId="77777777" w:rsidR="00244B0A" w:rsidRPr="00244B0A"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221.0 Large Exposures</w:t>
      </w:r>
      <w:r>
        <w:rPr>
          <w:rFonts w:ascii="Times New Roman" w:hAnsi="Times New Roman" w:cs="Times New Roman"/>
          <w:sz w:val="24"/>
          <w:szCs w:val="24"/>
        </w:rPr>
        <w:t xml:space="preserve"> (ARS 221.0)</w:t>
      </w:r>
      <w:r w:rsidRPr="00D56D61">
        <w:rPr>
          <w:rFonts w:ascii="Times New Roman" w:hAnsi="Times New Roman" w:cs="Times New Roman"/>
          <w:sz w:val="24"/>
          <w:szCs w:val="24"/>
        </w:rPr>
        <w:t>; and</w:t>
      </w:r>
    </w:p>
    <w:p w14:paraId="6A22C693" w14:textId="01F806C2" w:rsidR="00244B0A" w:rsidRPr="00244B0A" w:rsidRDefault="00244B0A" w:rsidP="00244B0A">
      <w:pPr>
        <w:pStyle w:val="ListParagraph"/>
        <w:numPr>
          <w:ilvl w:val="0"/>
          <w:numId w:val="14"/>
        </w:numPr>
        <w:rPr>
          <w:rFonts w:ascii="Times New Roman" w:hAnsi="Times New Roman" w:cs="Times New Roman"/>
          <w:i/>
          <w:sz w:val="24"/>
          <w:szCs w:val="24"/>
        </w:rPr>
      </w:pPr>
      <w:r w:rsidRPr="00244B0A">
        <w:rPr>
          <w:rFonts w:ascii="Times New Roman" w:hAnsi="Times New Roman" w:cs="Times New Roman"/>
          <w:i/>
          <w:sz w:val="24"/>
          <w:szCs w:val="24"/>
        </w:rPr>
        <w:t>Reporting Standard ARS 223.0 Residential Mortgage Lending</w:t>
      </w:r>
      <w:r>
        <w:rPr>
          <w:rFonts w:ascii="Times New Roman" w:hAnsi="Times New Roman" w:cs="Times New Roman"/>
          <w:sz w:val="24"/>
          <w:szCs w:val="24"/>
        </w:rPr>
        <w:t xml:space="preserve"> (ARS 223.0)</w:t>
      </w:r>
      <w:r w:rsidRPr="00244B0A">
        <w:rPr>
          <w:rFonts w:ascii="Times New Roman" w:hAnsi="Times New Roman" w:cs="Times New Roman"/>
          <w:sz w:val="24"/>
          <w:szCs w:val="24"/>
        </w:rPr>
        <w:t>.</w:t>
      </w:r>
    </w:p>
    <w:p w14:paraId="25512235" w14:textId="62A5AC89" w:rsidR="00211AFD" w:rsidRPr="0099798A" w:rsidRDefault="00D67BB9" w:rsidP="00244B0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consulted on changes to these reporting standards that were designed to </w:t>
      </w:r>
      <w:r w:rsidRPr="00D67BB9">
        <w:rPr>
          <w:rFonts w:ascii="Times New Roman" w:hAnsi="Times New Roman" w:cs="Times New Roman"/>
          <w:sz w:val="24"/>
          <w:szCs w:val="24"/>
        </w:rPr>
        <w:t>ensure consistency with the new ADI capital reforms. Amendments to the reporting standards were also proposed to update cross referencing and to provide clarification requested by industry.</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95384BF"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 revoke the existing</w:t>
      </w:r>
      <w:r w:rsidR="005628DB">
        <w:rPr>
          <w:rFonts w:ascii="Times New Roman" w:hAnsi="Times New Roman" w:cs="Times New Roman"/>
          <w:sz w:val="24"/>
          <w:szCs w:val="24"/>
        </w:rPr>
        <w:t xml:space="preserve"> ADI capital</w:t>
      </w:r>
      <w:r w:rsidRPr="00BC1E70">
        <w:rPr>
          <w:rFonts w:ascii="Times New Roman" w:hAnsi="Times New Roman" w:cs="Times New Roman"/>
          <w:sz w:val="24"/>
          <w:szCs w:val="24"/>
        </w:rPr>
        <w:t xml:space="preserv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 and replace </w:t>
      </w:r>
      <w:r w:rsidR="00B82726">
        <w:rPr>
          <w:rFonts w:ascii="Times New Roman" w:hAnsi="Times New Roman" w:cs="Times New Roman"/>
          <w:sz w:val="24"/>
          <w:szCs w:val="24"/>
        </w:rPr>
        <w:t>it</w:t>
      </w:r>
      <w:r w:rsidRPr="00BC1E70">
        <w:rPr>
          <w:rFonts w:ascii="Times New Roman" w:hAnsi="Times New Roman" w:cs="Times New Roman"/>
          <w:sz w:val="24"/>
          <w:szCs w:val="24"/>
        </w:rPr>
        <w:t xml:space="preserve"> with</w:t>
      </w:r>
      <w:r w:rsidR="006212E3">
        <w:rPr>
          <w:rFonts w:ascii="Times New Roman" w:hAnsi="Times New Roman" w:cs="Times New Roman"/>
          <w:sz w:val="24"/>
          <w:szCs w:val="24"/>
        </w:rPr>
        <w:t xml:space="preserve"> a</w:t>
      </w:r>
      <w:r w:rsidRPr="00BC1E70">
        <w:rPr>
          <w:rFonts w:ascii="Times New Roman" w:hAnsi="Times New Roman" w:cs="Times New Roman"/>
          <w:sz w:val="24"/>
          <w:szCs w:val="24"/>
        </w:rPr>
        <w:t xml:space="preserve"> </w:t>
      </w:r>
      <w:r w:rsidR="006B5592">
        <w:rPr>
          <w:rFonts w:ascii="Times New Roman" w:hAnsi="Times New Roman" w:cs="Times New Roman"/>
          <w:sz w:val="24"/>
          <w:szCs w:val="24"/>
        </w:rPr>
        <w:t xml:space="preserve">new </w:t>
      </w:r>
      <w:r w:rsidR="006212E3">
        <w:rPr>
          <w:rFonts w:ascii="Times New Roman" w:hAnsi="Times New Roman" w:cs="Times New Roman"/>
          <w:sz w:val="24"/>
          <w:szCs w:val="24"/>
        </w:rPr>
        <w:t>version</w:t>
      </w:r>
      <w:r w:rsidRPr="00BC1E70">
        <w:rPr>
          <w:rFonts w:ascii="Times New Roman" w:hAnsi="Times New Roman" w:cs="Times New Roman"/>
          <w:sz w:val="24"/>
          <w:szCs w:val="24"/>
        </w:rPr>
        <w:t>.</w:t>
      </w:r>
    </w:p>
    <w:p w14:paraId="1343AEB0" w14:textId="4E2B5DC6"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t xml:space="preserve">The </w:t>
      </w:r>
      <w:r w:rsidR="003E1BB3">
        <w:rPr>
          <w:rFonts w:ascii="Times New Roman" w:hAnsi="Times New Roman" w:cs="Times New Roman"/>
          <w:sz w:val="24"/>
          <w:szCs w:val="24"/>
        </w:rPr>
        <w:t>new</w:t>
      </w:r>
      <w:r w:rsidR="00C86A64" w:rsidRPr="00D56D61">
        <w:rPr>
          <w:rFonts w:ascii="Times New Roman" w:hAnsi="Times New Roman" w:cs="Times New Roman"/>
          <w:sz w:val="24"/>
          <w:szCs w:val="24"/>
        </w:rPr>
        <w:t xml:space="preserve">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6212E3">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the new capital adequacy and credit risk capital requirements.</w:t>
      </w:r>
    </w:p>
    <w:p w14:paraId="2A7858A4" w14:textId="584CA9DF"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6212E3">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that occurred prior to the commencement of the reporting standard. </w:t>
      </w:r>
      <w:r>
        <w:rPr>
          <w:rFonts w:ascii="Times New Roman" w:hAnsi="Times New Roman" w:cs="Times New Roman"/>
          <w:sz w:val="24"/>
          <w:szCs w:val="24"/>
        </w:rPr>
        <w:t xml:space="preserve">The reporting standard </w:t>
      </w:r>
      <w:r w:rsidR="006212E3">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4C786DE5"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Where th</w:t>
      </w:r>
      <w:r w:rsidR="006212E3">
        <w:rPr>
          <w:rFonts w:ascii="Times New Roman" w:hAnsi="Times New Roman" w:cs="Times New Roman"/>
          <w:sz w:val="24"/>
          <w:szCs w:val="24"/>
        </w:rPr>
        <w:t>i</w:t>
      </w:r>
      <w:r w:rsidRPr="00BC1E70">
        <w:rPr>
          <w:rFonts w:ascii="Times New Roman" w:hAnsi="Times New Roman" w:cs="Times New Roman"/>
          <w:sz w:val="24"/>
          <w:szCs w:val="24"/>
        </w:rPr>
        <w:t>s standard refer</w:t>
      </w:r>
      <w:r w:rsidR="00B82726">
        <w:rPr>
          <w:rFonts w:ascii="Times New Roman" w:hAnsi="Times New Roman" w:cs="Times New Roman"/>
          <w:sz w:val="24"/>
          <w:szCs w:val="24"/>
        </w:rPr>
        <w:t>s</w:t>
      </w:r>
      <w:r w:rsidRPr="00BC1E70">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23A706BB"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discretion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t>
      </w:r>
      <w:r w:rsidR="00AC1727" w:rsidRPr="00AC1727">
        <w:rPr>
          <w:rFonts w:ascii="Times New Roman" w:hAnsi="Times New Roman" w:cs="Times New Roman"/>
          <w:sz w:val="24"/>
          <w:szCs w:val="24"/>
        </w:rPr>
        <w:lastRenderedPageBreak/>
        <w:t xml:space="preserve">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C32B22B" w14:textId="39AB8A7D" w:rsidR="002143E2" w:rsidRDefault="002143E2" w:rsidP="0006638F">
      <w:pPr>
        <w:numPr>
          <w:ilvl w:val="0"/>
          <w:numId w:val="0"/>
        </w:numPr>
        <w:rPr>
          <w:rFonts w:ascii="Times New Roman" w:hAnsi="Times New Roman"/>
          <w:sz w:val="24"/>
          <w:szCs w:val="24"/>
        </w:rPr>
      </w:pPr>
      <w:r>
        <w:rPr>
          <w:rFonts w:ascii="Times New Roman" w:hAnsi="Times New Roman"/>
          <w:sz w:val="24"/>
          <w:szCs w:val="24"/>
        </w:rPr>
        <w:t>APRA undertook public consultation on proposed updates to ADI capital reporting standards from April 2022 to October 2022 as part of the consultation on updates to the ADI capital reporting and prudential framework.</w:t>
      </w:r>
      <w:r>
        <w:rPr>
          <w:rStyle w:val="FootnoteReference"/>
          <w:rFonts w:ascii="Times New Roman" w:hAnsi="Times New Roman"/>
          <w:sz w:val="24"/>
          <w:szCs w:val="24"/>
        </w:rPr>
        <w:footnoteReference w:id="2"/>
      </w:r>
      <w:r>
        <w:rPr>
          <w:rFonts w:ascii="Times New Roman" w:hAnsi="Times New Roman"/>
          <w:sz w:val="24"/>
          <w:szCs w:val="24"/>
        </w:rPr>
        <w:t xml:space="preserve"> </w:t>
      </w:r>
      <w:r w:rsidR="00E764D3">
        <w:rPr>
          <w:rFonts w:ascii="Times New Roman" w:hAnsi="Times New Roman"/>
          <w:sz w:val="24"/>
          <w:szCs w:val="24"/>
        </w:rPr>
        <w:t>Further details on the consultation from April to October 2022 is provided below.</w:t>
      </w:r>
    </w:p>
    <w:p w14:paraId="6EE81ABB" w14:textId="41FC02E4"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7 April 2022, APRA commenced consultation on draft </w:t>
      </w:r>
      <w:r w:rsidR="00687AED">
        <w:rPr>
          <w:rFonts w:ascii="Times New Roman" w:hAnsi="Times New Roman"/>
          <w:sz w:val="24"/>
          <w:szCs w:val="24"/>
        </w:rPr>
        <w:t xml:space="preserve">interim </w:t>
      </w:r>
      <w:r>
        <w:rPr>
          <w:rFonts w:ascii="Times New Roman" w:hAnsi="Times New Roman"/>
          <w:sz w:val="24"/>
          <w:szCs w:val="24"/>
        </w:rPr>
        <w:t>versions of ARS 110.0, ARS 112.0, and ARS 113.0 that would incorporate updates to APRA’s ADI capital framework. APRA also commenced consultation on consequential amendments to ARS 180.0, ARS 221.0 and ARS 223.0 due to the new capital framework as part of the same consultation</w:t>
      </w:r>
      <w:r>
        <w:rPr>
          <w:rStyle w:val="FootnoteReference"/>
          <w:rFonts w:ascii="Times New Roman" w:hAnsi="Times New Roman"/>
          <w:szCs w:val="24"/>
        </w:rPr>
        <w:footnoteReference w:id="3"/>
      </w:r>
      <w:r>
        <w:rPr>
          <w:rFonts w:ascii="Times New Roman" w:hAnsi="Times New Roman"/>
          <w:sz w:val="24"/>
          <w:szCs w:val="24"/>
        </w:rPr>
        <w:t>.</w:t>
      </w:r>
    </w:p>
    <w:p w14:paraId="16BF4DE6" w14:textId="5453B71C"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w:t>
      </w:r>
      <w:r w:rsidR="00E764D3">
        <w:rPr>
          <w:rFonts w:ascii="Times New Roman" w:hAnsi="Times New Roman"/>
          <w:sz w:val="24"/>
          <w:szCs w:val="24"/>
        </w:rPr>
        <w:t xml:space="preserve">26 July 2022, APRA initiated consultation on minor consequential amendments to ARS 110.0, ARS 113.0, ARS 120.1, ARS 120.2, ARS 180.0, and ARS 210.0. </w:t>
      </w:r>
      <w:bookmarkStart w:id="4" w:name="_Hlk129705892"/>
      <w:r w:rsidR="00180361">
        <w:rPr>
          <w:rFonts w:ascii="Times New Roman" w:hAnsi="Times New Roman"/>
          <w:sz w:val="24"/>
          <w:szCs w:val="24"/>
        </w:rPr>
        <w:t xml:space="preserve">These amendments were to support proposed updates to APRA’s prudential framework </w:t>
      </w:r>
      <w:r w:rsidR="004D16C6">
        <w:rPr>
          <w:rFonts w:ascii="Times New Roman" w:hAnsi="Times New Roman"/>
          <w:sz w:val="24"/>
          <w:szCs w:val="24"/>
        </w:rPr>
        <w:t>that would ensure consistency with the new ADI capital reforms</w:t>
      </w:r>
      <w:r w:rsidR="00180361">
        <w:rPr>
          <w:rFonts w:ascii="Times New Roman" w:hAnsi="Times New Roman"/>
          <w:sz w:val="24"/>
          <w:szCs w:val="24"/>
        </w:rPr>
        <w:t>. Amendments to the reporting standards</w:t>
      </w:r>
      <w:r w:rsidR="00E764D3">
        <w:rPr>
          <w:rFonts w:ascii="Times New Roman" w:hAnsi="Times New Roman"/>
          <w:sz w:val="24"/>
          <w:szCs w:val="24"/>
        </w:rPr>
        <w:t xml:space="preserve"> were</w:t>
      </w:r>
      <w:r w:rsidR="00180361">
        <w:rPr>
          <w:rFonts w:ascii="Times New Roman" w:hAnsi="Times New Roman"/>
          <w:sz w:val="24"/>
          <w:szCs w:val="24"/>
        </w:rPr>
        <w:t xml:space="preserve"> </w:t>
      </w:r>
      <w:r w:rsidR="004D16C6">
        <w:rPr>
          <w:rFonts w:ascii="Times New Roman" w:hAnsi="Times New Roman"/>
          <w:sz w:val="24"/>
          <w:szCs w:val="24"/>
        </w:rPr>
        <w:t xml:space="preserve">also </w:t>
      </w:r>
      <w:r w:rsidR="00180361">
        <w:rPr>
          <w:rFonts w:ascii="Times New Roman" w:hAnsi="Times New Roman"/>
          <w:sz w:val="24"/>
          <w:szCs w:val="24"/>
        </w:rPr>
        <w:t>proposed</w:t>
      </w:r>
      <w:r w:rsidR="00E764D3">
        <w:rPr>
          <w:rFonts w:ascii="Times New Roman" w:hAnsi="Times New Roman"/>
          <w:sz w:val="24"/>
          <w:szCs w:val="24"/>
        </w:rPr>
        <w:t xml:space="preserve"> to update cross referencing and to provide clarification requested by industry.</w:t>
      </w:r>
    </w:p>
    <w:bookmarkEnd w:id="4"/>
    <w:p w14:paraId="33048BC8" w14:textId="33A20A20" w:rsidR="00E764D3" w:rsidRDefault="00E764D3" w:rsidP="0006638F">
      <w:pPr>
        <w:numPr>
          <w:ilvl w:val="0"/>
          <w:numId w:val="0"/>
        </w:numPr>
        <w:rPr>
          <w:rFonts w:ascii="Times New Roman" w:hAnsi="Times New Roman"/>
          <w:sz w:val="24"/>
          <w:szCs w:val="24"/>
        </w:rPr>
      </w:pPr>
      <w:r>
        <w:rPr>
          <w:rFonts w:ascii="Times New Roman" w:hAnsi="Times New Roman"/>
          <w:sz w:val="24"/>
          <w:szCs w:val="24"/>
        </w:rPr>
        <w:t>Submissions on both stages of consultation were received from reporting ADIs</w:t>
      </w:r>
      <w:r w:rsidR="00E169BF">
        <w:rPr>
          <w:rFonts w:ascii="Times New Roman" w:hAnsi="Times New Roman"/>
          <w:sz w:val="24"/>
          <w:szCs w:val="24"/>
        </w:rPr>
        <w:t>,</w:t>
      </w:r>
      <w:r>
        <w:rPr>
          <w:rFonts w:ascii="Times New Roman" w:hAnsi="Times New Roman"/>
          <w:sz w:val="24"/>
          <w:szCs w:val="24"/>
        </w:rPr>
        <w:t xml:space="preserve"> industry bodies</w:t>
      </w:r>
      <w:r w:rsidR="00E169BF">
        <w:rPr>
          <w:rFonts w:ascii="Times New Roman" w:hAnsi="Times New Roman"/>
          <w:sz w:val="24"/>
          <w:szCs w:val="24"/>
        </w:rPr>
        <w:t>, and regulatory technology providers</w:t>
      </w:r>
      <w:r>
        <w:rPr>
          <w:rFonts w:ascii="Times New Roman" w:hAnsi="Times New Roman"/>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Default="00E764D3" w:rsidP="0006638F">
      <w:pPr>
        <w:numPr>
          <w:ilvl w:val="0"/>
          <w:numId w:val="0"/>
        </w:numPr>
        <w:rPr>
          <w:rFonts w:ascii="Times New Roman" w:hAnsi="Times New Roman"/>
          <w:sz w:val="24"/>
          <w:szCs w:val="24"/>
        </w:rPr>
      </w:pPr>
      <w:r>
        <w:rPr>
          <w:rFonts w:ascii="Times New Roman" w:hAnsi="Times New Roman"/>
          <w:sz w:val="24"/>
          <w:szCs w:val="24"/>
        </w:rPr>
        <w:t>APRA released a response to submissions to its April 2022 consultation on 10 August 2022. The response included a letter to ADIs and updated versions of ARS 110.0, ARS 112.0, ARS 113.0, ARS 180.0, ARS 221.0, and ARS 223.0</w:t>
      </w:r>
      <w:r>
        <w:rPr>
          <w:rStyle w:val="FootnoteReference"/>
          <w:rFonts w:ascii="Times New Roman" w:hAnsi="Times New Roman"/>
          <w:szCs w:val="24"/>
        </w:rPr>
        <w:footnoteReference w:id="4"/>
      </w:r>
      <w:r>
        <w:rPr>
          <w:rFonts w:ascii="Times New Roman" w:hAnsi="Times New Roman"/>
          <w:sz w:val="24"/>
          <w:szCs w:val="24"/>
        </w:rPr>
        <w:t>.</w:t>
      </w:r>
      <w:r w:rsidR="00E169BF">
        <w:rPr>
          <w:rFonts w:ascii="Times New Roman" w:hAnsi="Times New Roman"/>
          <w:sz w:val="24"/>
          <w:szCs w:val="24"/>
        </w:rPr>
        <w:t xml:space="preserve"> In response to feedback</w:t>
      </w:r>
      <w:r w:rsidR="00180361">
        <w:rPr>
          <w:rFonts w:ascii="Times New Roman" w:hAnsi="Times New Roman"/>
          <w:sz w:val="24"/>
          <w:szCs w:val="24"/>
        </w:rPr>
        <w:t xml:space="preserve"> on ARS 110.0, ARS 112.0, and ARS 113.0</w:t>
      </w:r>
      <w:r w:rsidR="00E169BF">
        <w:rPr>
          <w:rFonts w:ascii="Times New Roman" w:hAnsi="Times New Roman"/>
          <w:sz w:val="24"/>
          <w:szCs w:val="24"/>
        </w:rPr>
        <w:t>, APRA clarified the reporting treatment for exposures in New Zealand subsidiaries</w:t>
      </w:r>
      <w:r w:rsidR="00180361">
        <w:rPr>
          <w:rFonts w:ascii="Times New Roman" w:hAnsi="Times New Roman"/>
          <w:sz w:val="24"/>
          <w:szCs w:val="24"/>
        </w:rPr>
        <w:t xml:space="preserve"> in these reporting standards.</w:t>
      </w:r>
    </w:p>
    <w:p w14:paraId="3F7A95D7" w14:textId="1764ADC8" w:rsidR="00B670E9" w:rsidRPr="004D16C6" w:rsidRDefault="00180361" w:rsidP="00ED4C82">
      <w:pPr>
        <w:numPr>
          <w:ilvl w:val="0"/>
          <w:numId w:val="0"/>
        </w:numPr>
        <w:rPr>
          <w:rFonts w:ascii="Times New Roman" w:hAnsi="Times New Roman" w:cs="Times New Roman"/>
          <w:sz w:val="24"/>
          <w:szCs w:val="24"/>
          <w:highlight w:val="yellow"/>
        </w:rPr>
      </w:pPr>
      <w:r>
        <w:rPr>
          <w:rFonts w:ascii="Times New Roman" w:hAnsi="Times New Roman"/>
          <w:sz w:val="24"/>
          <w:szCs w:val="24"/>
        </w:rPr>
        <w:lastRenderedPageBreak/>
        <w:t>On 31 October 2022 APRA released a response to submissions on the July 2022 consultation</w:t>
      </w:r>
      <w:r w:rsidR="004D16C6">
        <w:rPr>
          <w:rFonts w:ascii="Times New Roman" w:hAnsi="Times New Roman"/>
          <w:sz w:val="24"/>
          <w:szCs w:val="24"/>
        </w:rPr>
        <w:t xml:space="preserve"> </w:t>
      </w:r>
      <w:r w:rsidR="004D16C6">
        <w:rPr>
          <w:rStyle w:val="FootnoteReference"/>
          <w:rFonts w:ascii="Times New Roman" w:hAnsi="Times New Roman"/>
          <w:szCs w:val="24"/>
        </w:rPr>
        <w:footnoteReference w:id="5"/>
      </w:r>
      <w:r>
        <w:rPr>
          <w:rFonts w:ascii="Times New Roman" w:hAnsi="Times New Roman"/>
          <w:sz w:val="24"/>
          <w:szCs w:val="24"/>
        </w:rPr>
        <w:t xml:space="preserve">. </w:t>
      </w:r>
      <w:r w:rsidR="004D16C6">
        <w:rPr>
          <w:rFonts w:ascii="Times New Roman" w:hAnsi="Times New Roman"/>
          <w:sz w:val="24"/>
          <w:szCs w:val="24"/>
        </w:rPr>
        <w:t xml:space="preserve"> ARS 110.0 and ARS 113.0 contained minor updates to provide clarifications and correct </w:t>
      </w:r>
      <w:r w:rsidR="004D16C6" w:rsidRPr="004D16C6">
        <w:rPr>
          <w:rFonts w:ascii="Times New Roman" w:hAnsi="Times New Roman"/>
          <w:sz w:val="24"/>
          <w:szCs w:val="24"/>
        </w:rPr>
        <w:t>typographical errors. ARS 120.1, ARS 120.2, and ARS 180.0 were updated to reflect the treatment of exposures to New Zealand. ARS 210.0 contained minor changes for consequential amendments to the Net Stable Funding Ratio requirements.</w:t>
      </w:r>
      <w:r w:rsidR="004D16C6" w:rsidRPr="004D16C6">
        <w:rPr>
          <w:rFonts w:ascii="Times New Roman" w:hAnsi="Times New Roman" w:cs="Times New Roman"/>
          <w:sz w:val="24"/>
          <w:szCs w:val="24"/>
        </w:rPr>
        <w:t xml:space="preserve"> </w:t>
      </w:r>
      <w:r w:rsidR="00ED4C82"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57D42EC5"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A71283">
        <w:rPr>
          <w:rFonts w:ascii="Times New Roman" w:eastAsia="Times New Roman" w:hAnsi="Times New Roman" w:cs="Times New Roman"/>
          <w:b/>
          <w:sz w:val="24"/>
          <w:szCs w:val="24"/>
          <w:lang w:eastAsia="en-AU"/>
        </w:rPr>
        <w:t>54</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3532DEF4"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ARS </w:t>
      </w:r>
      <w:r w:rsidR="00A71283" w:rsidRPr="00D56D61">
        <w:rPr>
          <w:rFonts w:ascii="Times New Roman" w:hAnsi="Times New Roman" w:cs="Times New Roman"/>
          <w:i/>
          <w:sz w:val="24"/>
          <w:szCs w:val="24"/>
        </w:rPr>
        <w:t>210.0 Liquidity</w:t>
      </w:r>
      <w:r w:rsidR="00A71283">
        <w:rPr>
          <w:rFonts w:ascii="Times New Roman" w:hAnsi="Times New Roman" w:cs="Times New Roman"/>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APRA’s capital adequacy and credit risk capital requirements</w:t>
      </w:r>
      <w:r w:rsidR="000F62C5">
        <w:rPr>
          <w:rFonts w:ascii="Times New Roman" w:hAnsi="Times New Roman" w:cs="Times New Roman"/>
          <w:sz w:val="24"/>
          <w:szCs w:val="24"/>
        </w:rPr>
        <w:t xml:space="preserve"> and minor consequential updates required as a result of the new capital requirements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Credit risk reporting – Response to submissons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6F56"/>
    <w:rsid w:val="00115A39"/>
    <w:rsid w:val="00116AEF"/>
    <w:rsid w:val="00117479"/>
    <w:rsid w:val="00121734"/>
    <w:rsid w:val="00122A8C"/>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B62C4"/>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44B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45AB"/>
    <w:rsid w:val="003B6E16"/>
    <w:rsid w:val="003C180A"/>
    <w:rsid w:val="003C1E25"/>
    <w:rsid w:val="003C76D4"/>
    <w:rsid w:val="003D27CB"/>
    <w:rsid w:val="003D292C"/>
    <w:rsid w:val="003D329D"/>
    <w:rsid w:val="003E1BB3"/>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8FC"/>
    <w:rsid w:val="0057138A"/>
    <w:rsid w:val="00573327"/>
    <w:rsid w:val="00573F5D"/>
    <w:rsid w:val="00574BA1"/>
    <w:rsid w:val="00577D9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2AFE"/>
    <w:rsid w:val="008F33B5"/>
    <w:rsid w:val="00901414"/>
    <w:rsid w:val="00906799"/>
    <w:rsid w:val="009136D0"/>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4193"/>
    <w:rsid w:val="00A62D31"/>
    <w:rsid w:val="00A63380"/>
    <w:rsid w:val="00A71283"/>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6E21"/>
    <w:rsid w:val="00B07F39"/>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80BCE"/>
    <w:rsid w:val="00B81524"/>
    <w:rsid w:val="00B81740"/>
    <w:rsid w:val="00B82726"/>
    <w:rsid w:val="00B83542"/>
    <w:rsid w:val="00B83763"/>
    <w:rsid w:val="00B85D7B"/>
    <w:rsid w:val="00B900EA"/>
    <w:rsid w:val="00B91069"/>
    <w:rsid w:val="00B92842"/>
    <w:rsid w:val="00BA2713"/>
    <w:rsid w:val="00BA2941"/>
    <w:rsid w:val="00BA4C61"/>
    <w:rsid w:val="00BA627A"/>
    <w:rsid w:val="00BB22FA"/>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58D9"/>
    <w:rsid w:val="00C86A64"/>
    <w:rsid w:val="00C87DA0"/>
    <w:rsid w:val="00C96BD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54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5JENXJJSCC7A-445999044-12095</_dlc_DocId>
    <_dlc_DocIdUrl xmlns="814d62cb-2db6-4c25-ab62-b9075facbc11">
      <Url>https://im/teams/LEGAL/_layouts/15/DocIdRedir.aspx?ID=5JENXJJSCC7A-445999044-12095</Url>
      <Description>5JENXJJSCC7A-445999044-12095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814d62cb-2db6-4c25-ab62-b9075facbc11"/>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4.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5.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6.xml><?xml version="1.0" encoding="utf-8"?>
<ds:datastoreItem xmlns:ds="http://schemas.openxmlformats.org/officeDocument/2006/customXml" ds:itemID="{A4E143F2-1C41-4E50-996F-3085C7598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9261</Characters>
  <Application>Microsoft Office Word</Application>
  <DocSecurity>0</DocSecurity>
  <Lines>149</Lines>
  <Paragraphs>69</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2023-03-31T07:05:00Z</dcterms:created>
  <dcterms:modified xsi:type="dcterms:W3CDTF">2023-03-31T07:05:00Z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3132af48-9aae-4bcf-b5a7-a71f134d5bc5</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{3132af48-9aae-4bcf-b5a7-a71f134d5bc5}</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A901A526ABCB1FC34ADE156C762969E8</vt:lpwstr>
  </property>
  <property fmtid="{D5CDD505-2E9C-101B-9397-08002B2CF9AE}" pid="55" name="PM_Hash_Salt">
    <vt:lpwstr>B962E956133E928C43DE9E50F5C240DF</vt:lpwstr>
  </property>
  <property fmtid="{D5CDD505-2E9C-101B-9397-08002B2CF9AE}" pid="56" name="PM_Hash_SHA1">
    <vt:lpwstr>B2C66A3E1CFC39587E49B5ACDE6040CB2AEE36B7</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v=2022.1;a=SHA256;h=0BB52F6C968703308F6A5F42BAEC93F2AEE7739BE58751770A1D84396FD33149</vt:lpwstr>
  </property>
  <property fmtid="{D5CDD505-2E9C-101B-9397-08002B2CF9AE}" pid="61" name="MSIP_Label_c0129afb-6481-4f92-bc9f-5a4a6346364d_ContentBits">
    <vt:lpwstr>0</vt:lpwstr>
  </property>
  <property fmtid="{D5CDD505-2E9C-101B-9397-08002B2CF9AE}" pid="62" name="MSIP_Label_c0129afb-6481-4f92-bc9f-5a4a6346364d_ActionId">
    <vt:lpwstr>a4c897e0e12a4d57a53420a1d35bb846</vt:lpwstr>
  </property>
</Properties>
</file>