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5A48" w14:textId="77777777" w:rsidR="00F86F19" w:rsidRPr="00F86F19" w:rsidRDefault="00F86F19" w:rsidP="00F86F19">
      <w:pPr>
        <w:widowControl w:val="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F86F19">
        <w:rPr>
          <w:rFonts w:eastAsia="Times New Roman" w:cs="Times New Roman"/>
          <w:noProof/>
          <w:color w:val="2B579A"/>
          <w:sz w:val="20"/>
          <w:szCs w:val="24"/>
          <w:shd w:val="clear" w:color="auto" w:fill="E6E6E6"/>
          <w:lang w:eastAsia="en-GB"/>
        </w:rPr>
        <w:drawing>
          <wp:inline distT="0" distB="0" distL="0" distR="0" wp14:anchorId="255E98F8" wp14:editId="6B19A7B0">
            <wp:extent cx="2657475" cy="438150"/>
            <wp:effectExtent l="0" t="0" r="9525" b="0"/>
            <wp:docPr id="3" name="Picture 3" descr="Description: 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cription: 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571E" w14:textId="77777777" w:rsidR="00F86F19" w:rsidRPr="00F86F19" w:rsidRDefault="00F86F19" w:rsidP="00F86F19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bCs/>
          <w:szCs w:val="24"/>
          <w:lang w:bidi="en-US"/>
        </w:rPr>
      </w:pPr>
    </w:p>
    <w:p w14:paraId="1BDF075F" w14:textId="77777777" w:rsidR="00F86F19" w:rsidRPr="00F86F19" w:rsidRDefault="00F86F19" w:rsidP="00F86F19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bookmarkStart w:id="0" w:name="_Hlk122079385"/>
      <w:r w:rsidRPr="00F86F19">
        <w:rPr>
          <w:rFonts w:eastAsia="Times New Roman" w:cs="Times New Roman"/>
          <w:b/>
          <w:sz w:val="20"/>
          <w:szCs w:val="24"/>
          <w:lang w:bidi="en-US"/>
        </w:rPr>
        <w:t>Food Standards (</w:t>
      </w:r>
      <w:bookmarkStart w:id="1" w:name="_Hlk122076809"/>
      <w:r w:rsidRPr="00F86F19">
        <w:rPr>
          <w:rFonts w:eastAsia="Times New Roman" w:cs="Times New Roman"/>
          <w:b/>
          <w:sz w:val="20"/>
          <w:szCs w:val="24"/>
          <w:lang w:bidi="en-US"/>
        </w:rPr>
        <w:t xml:space="preserve">Application A1252 – </w:t>
      </w:r>
      <w:bookmarkStart w:id="2" w:name="_Hlk122076740"/>
      <w:r w:rsidRPr="00F86F19">
        <w:rPr>
          <w:rFonts w:eastAsia="Times New Roman" w:cs="Times New Roman"/>
          <w:b/>
          <w:sz w:val="20"/>
          <w:szCs w:val="24"/>
          <w:lang w:bidi="en-US"/>
        </w:rPr>
        <w:t xml:space="preserve">Glucoamylase from GM </w:t>
      </w:r>
      <w:r w:rsidRPr="00F86F19">
        <w:rPr>
          <w:rFonts w:eastAsia="Times New Roman" w:cs="Times New Roman"/>
          <w:b/>
          <w:i/>
          <w:sz w:val="20"/>
          <w:szCs w:val="24"/>
          <w:lang w:bidi="en-US"/>
        </w:rPr>
        <w:t xml:space="preserve">Aspergillus </w:t>
      </w:r>
      <w:proofErr w:type="spellStart"/>
      <w:r w:rsidRPr="00F86F19">
        <w:rPr>
          <w:rFonts w:eastAsia="Times New Roman" w:cs="Times New Roman"/>
          <w:b/>
          <w:i/>
          <w:sz w:val="20"/>
          <w:szCs w:val="24"/>
          <w:lang w:bidi="en-US"/>
        </w:rPr>
        <w:t>niger</w:t>
      </w:r>
      <w:proofErr w:type="spellEnd"/>
      <w:r w:rsidRPr="00F86F19">
        <w:rPr>
          <w:rFonts w:eastAsia="Times New Roman" w:cs="Times New Roman"/>
          <w:b/>
          <w:sz w:val="20"/>
          <w:szCs w:val="24"/>
          <w:lang w:bidi="en-US"/>
        </w:rPr>
        <w:t xml:space="preserve"> (gene donor: </w:t>
      </w:r>
      <w:r w:rsidRPr="00F86F19">
        <w:rPr>
          <w:rFonts w:eastAsia="Times New Roman" w:cs="Times New Roman"/>
          <w:b/>
          <w:i/>
          <w:sz w:val="20"/>
          <w:szCs w:val="24"/>
          <w:lang w:bidi="en-US"/>
        </w:rPr>
        <w:t xml:space="preserve">Penicillium </w:t>
      </w:r>
      <w:proofErr w:type="spellStart"/>
      <w:r w:rsidRPr="00F86F19">
        <w:rPr>
          <w:rFonts w:eastAsia="Times New Roman" w:cs="Times New Roman"/>
          <w:b/>
          <w:i/>
          <w:sz w:val="20"/>
          <w:szCs w:val="24"/>
          <w:lang w:bidi="en-US"/>
        </w:rPr>
        <w:t>oxalicum</w:t>
      </w:r>
      <w:proofErr w:type="spellEnd"/>
      <w:r w:rsidRPr="00F86F19">
        <w:rPr>
          <w:rFonts w:eastAsia="Times New Roman" w:cs="Times New Roman"/>
          <w:b/>
          <w:sz w:val="20"/>
          <w:szCs w:val="24"/>
          <w:lang w:bidi="en-US"/>
        </w:rPr>
        <w:t>) as a processing aid</w:t>
      </w:r>
      <w:bookmarkEnd w:id="1"/>
      <w:bookmarkEnd w:id="2"/>
      <w:r w:rsidRPr="00F86F19">
        <w:rPr>
          <w:rFonts w:eastAsia="Times New Roman" w:cs="Times New Roman"/>
          <w:b/>
          <w:sz w:val="20"/>
          <w:szCs w:val="24"/>
          <w:lang w:bidi="en-US"/>
        </w:rPr>
        <w:t>) Variation</w:t>
      </w:r>
    </w:p>
    <w:bookmarkEnd w:id="0"/>
    <w:p w14:paraId="562A8986" w14:textId="77777777" w:rsidR="00F86F19" w:rsidRPr="00F86F19" w:rsidRDefault="00F86F19" w:rsidP="00F86F19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</w:p>
    <w:p w14:paraId="38EAB47E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F1B254F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F86F19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F86F19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F86F19">
        <w:rPr>
          <w:rFonts w:eastAsia="Times New Roman" w:cs="Times New Roman"/>
          <w:sz w:val="20"/>
          <w:szCs w:val="24"/>
          <w:lang w:bidi="en-US"/>
        </w:rPr>
        <w:t>. The variation commences on the date specified in clause 3 of this variation.</w:t>
      </w:r>
    </w:p>
    <w:p w14:paraId="6F7311E0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C81B7D6" w14:textId="78853174" w:rsidR="00F86F19" w:rsidRPr="00F86F19" w:rsidRDefault="006E743B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>
        <w:rPr>
          <w:rFonts w:eastAsia="Times New Roman" w:cs="Times New Roman"/>
          <w:sz w:val="20"/>
          <w:szCs w:val="24"/>
          <w:lang w:bidi="en-US"/>
        </w:rPr>
        <w:t xml:space="preserve">Dated </w:t>
      </w:r>
      <w:r w:rsidR="00F86F19">
        <w:rPr>
          <w:rFonts w:eastAsia="Times New Roman" w:cs="Times New Roman"/>
          <w:sz w:val="20"/>
          <w:szCs w:val="24"/>
          <w:lang w:bidi="en-US"/>
        </w:rPr>
        <w:t>17 April 2023</w:t>
      </w:r>
    </w:p>
    <w:p w14:paraId="07765128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11418C9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B07CC22" w14:textId="5AD7D265" w:rsidR="00F86F19" w:rsidRPr="00F86F19" w:rsidRDefault="00E67EEA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CA45B1">
        <w:rPr>
          <w:noProof/>
        </w:rPr>
        <w:drawing>
          <wp:inline distT="0" distB="0" distL="0" distR="0" wp14:anchorId="24AF5FB5" wp14:editId="76F7759F">
            <wp:extent cx="1378021" cy="406421"/>
            <wp:effectExtent l="0" t="0" r="0" b="0"/>
            <wp:docPr id="1" name="Picture 1" descr="Signature of the Delegate of the Board of Food Standards Australia New Zea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the Board of Food Standards Australia New Zealand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8021" cy="4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F0A85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55599B4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FF670A0" w14:textId="34029222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F86F19">
        <w:rPr>
          <w:rFonts w:eastAsia="Times New Roman" w:cs="Times New Roman"/>
          <w:sz w:val="20"/>
          <w:szCs w:val="24"/>
          <w:lang w:bidi="en-US"/>
        </w:rPr>
        <w:t>Dr Nick Fletcher</w:t>
      </w:r>
    </w:p>
    <w:p w14:paraId="4C4B629F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F86F19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031345F5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56F7377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FAD5D31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8DD2426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6C0AFAF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92072F0" w14:textId="77777777" w:rsidR="00F86F19" w:rsidRPr="00F86F19" w:rsidRDefault="00F86F19" w:rsidP="00F8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0"/>
          <w:szCs w:val="24"/>
          <w:lang w:val="en-AU" w:bidi="en-US"/>
        </w:rPr>
      </w:pPr>
      <w:r w:rsidRPr="00F86F19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5CE63B06" w14:textId="77777777" w:rsidR="00F86F19" w:rsidRPr="00F86F19" w:rsidRDefault="00F86F19" w:rsidP="00F8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</w:p>
    <w:p w14:paraId="07734D38" w14:textId="6397FE16" w:rsidR="00F86F19" w:rsidRPr="00F86F19" w:rsidRDefault="00F86F19" w:rsidP="00F8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  <w:r w:rsidRPr="00F86F19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Pr="00675CD5">
        <w:rPr>
          <w:rFonts w:eastAsia="Times New Roman" w:cs="Times New Roman"/>
          <w:sz w:val="20"/>
          <w:szCs w:val="24"/>
          <w:lang w:val="en-AU" w:bidi="en-US"/>
        </w:rPr>
        <w:t>157</w:t>
      </w:r>
      <w:r w:rsidRPr="00F86F19">
        <w:rPr>
          <w:rFonts w:eastAsia="Times New Roman" w:cs="Times New Roman"/>
          <w:sz w:val="20"/>
          <w:szCs w:val="24"/>
          <w:lang w:val="en-AU" w:bidi="en-US"/>
        </w:rPr>
        <w:t xml:space="preserve"> on </w:t>
      </w:r>
      <w:r w:rsidRPr="00675CD5">
        <w:rPr>
          <w:rFonts w:eastAsia="Times New Roman" w:cs="Times New Roman"/>
          <w:sz w:val="20"/>
          <w:szCs w:val="24"/>
          <w:lang w:val="en-AU" w:bidi="en-US"/>
        </w:rPr>
        <w:t>21 April</w:t>
      </w:r>
      <w:r w:rsidRPr="00F86F19">
        <w:rPr>
          <w:rFonts w:eastAsia="Times New Roman" w:cs="Times New Roman"/>
          <w:sz w:val="20"/>
          <w:szCs w:val="24"/>
          <w:lang w:val="en-AU" w:bidi="en-US"/>
        </w:rPr>
        <w:t xml:space="preserve"> 20</w:t>
      </w:r>
      <w:r w:rsidRPr="00675CD5">
        <w:rPr>
          <w:rFonts w:eastAsia="Times New Roman" w:cs="Times New Roman"/>
          <w:sz w:val="20"/>
          <w:szCs w:val="24"/>
          <w:lang w:val="en-AU" w:bidi="en-US"/>
        </w:rPr>
        <w:t>23</w:t>
      </w:r>
      <w:r w:rsidRPr="00F86F19">
        <w:rPr>
          <w:rFonts w:eastAsia="Times New Roman" w:cs="Times New Roman"/>
          <w:sz w:val="20"/>
          <w:szCs w:val="24"/>
          <w:lang w:val="en-AU" w:bidi="en-US"/>
        </w:rPr>
        <w:t xml:space="preserve">. This means that this date is the gazettal date for the purposes of clause 3 of the variation. </w:t>
      </w:r>
    </w:p>
    <w:p w14:paraId="6D66105E" w14:textId="77777777" w:rsidR="00F86F19" w:rsidRPr="00F86F19" w:rsidRDefault="00F86F19" w:rsidP="00F86F19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7F8EDABC" w14:textId="77777777" w:rsidR="00F86F19" w:rsidRPr="00F86F19" w:rsidRDefault="00F86F19" w:rsidP="00F86F19">
      <w:pPr>
        <w:rPr>
          <w:rFonts w:eastAsia="Times New Roman" w:cs="Times New Roman"/>
          <w:sz w:val="20"/>
          <w:szCs w:val="24"/>
          <w:lang w:bidi="en-US"/>
        </w:rPr>
      </w:pPr>
      <w:r w:rsidRPr="00F86F19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266A506A" w14:textId="77777777" w:rsidR="00F86F19" w:rsidRPr="00F86F19" w:rsidRDefault="00F86F19" w:rsidP="00F86F19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F86F19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F86F19">
        <w:rPr>
          <w:rFonts w:eastAsia="Times New Roman" w:cs="Times New Roman"/>
          <w:b/>
          <w:sz w:val="20"/>
          <w:szCs w:val="20"/>
        </w:rPr>
        <w:tab/>
        <w:t>Name</w:t>
      </w:r>
    </w:p>
    <w:p w14:paraId="579BBE8F" w14:textId="77777777" w:rsidR="00F86F19" w:rsidRPr="00F86F19" w:rsidRDefault="00F86F19" w:rsidP="00F86F19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86F19">
        <w:rPr>
          <w:rFonts w:eastAsia="Times New Roman" w:cs="Times New Roman"/>
          <w:sz w:val="20"/>
          <w:szCs w:val="20"/>
        </w:rPr>
        <w:t xml:space="preserve">This instrument is the </w:t>
      </w:r>
      <w:r w:rsidRPr="00F86F19">
        <w:rPr>
          <w:rFonts w:eastAsia="Times New Roman" w:cs="Times New Roman"/>
          <w:i/>
          <w:sz w:val="20"/>
          <w:szCs w:val="20"/>
        </w:rPr>
        <w:t xml:space="preserve">Food Standards (Application A1252 – Glucoamylase from GM </w:t>
      </w:r>
      <w:r w:rsidRPr="00F86F19">
        <w:rPr>
          <w:rFonts w:eastAsia="Times New Roman" w:cs="Times New Roman"/>
          <w:sz w:val="20"/>
          <w:szCs w:val="20"/>
        </w:rPr>
        <w:t xml:space="preserve">Aspergillus </w:t>
      </w:r>
      <w:proofErr w:type="spellStart"/>
      <w:r w:rsidRPr="00F86F19">
        <w:rPr>
          <w:rFonts w:eastAsia="Times New Roman" w:cs="Times New Roman"/>
          <w:sz w:val="20"/>
          <w:szCs w:val="20"/>
        </w:rPr>
        <w:t>niger</w:t>
      </w:r>
      <w:proofErr w:type="spellEnd"/>
      <w:r w:rsidRPr="00F86F19">
        <w:rPr>
          <w:rFonts w:eastAsia="Times New Roman" w:cs="Times New Roman"/>
          <w:i/>
          <w:sz w:val="20"/>
          <w:szCs w:val="20"/>
        </w:rPr>
        <w:t xml:space="preserve"> (gene donor: </w:t>
      </w:r>
      <w:r w:rsidRPr="00F86F19">
        <w:rPr>
          <w:rFonts w:eastAsia="Times New Roman" w:cs="Times New Roman"/>
          <w:sz w:val="20"/>
          <w:szCs w:val="20"/>
        </w:rPr>
        <w:t xml:space="preserve">Penicillium </w:t>
      </w:r>
      <w:proofErr w:type="spellStart"/>
      <w:r w:rsidRPr="00F86F19">
        <w:rPr>
          <w:rFonts w:eastAsia="Times New Roman" w:cs="Times New Roman"/>
          <w:sz w:val="20"/>
          <w:szCs w:val="20"/>
        </w:rPr>
        <w:t>oxalicum</w:t>
      </w:r>
      <w:proofErr w:type="spellEnd"/>
      <w:r w:rsidRPr="00F86F19">
        <w:rPr>
          <w:rFonts w:eastAsia="Times New Roman" w:cs="Times New Roman"/>
          <w:i/>
          <w:sz w:val="20"/>
          <w:szCs w:val="20"/>
        </w:rPr>
        <w:t>) as a processing aid) Variation</w:t>
      </w:r>
      <w:r w:rsidRPr="00F86F19">
        <w:rPr>
          <w:rFonts w:eastAsia="Times New Roman" w:cs="Times New Roman"/>
          <w:sz w:val="20"/>
          <w:szCs w:val="20"/>
        </w:rPr>
        <w:t>.</w:t>
      </w:r>
    </w:p>
    <w:p w14:paraId="0CEA5BCE" w14:textId="77777777" w:rsidR="00F86F19" w:rsidRPr="00F86F19" w:rsidRDefault="00F86F19" w:rsidP="00F86F19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F86F19">
        <w:rPr>
          <w:rFonts w:eastAsia="Times New Roman" w:cs="Times New Roman"/>
          <w:b/>
          <w:sz w:val="20"/>
          <w:szCs w:val="20"/>
        </w:rPr>
        <w:t>2</w:t>
      </w:r>
      <w:r w:rsidRPr="00F86F19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F86F19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15D097E0" w14:textId="77777777" w:rsidR="00F86F19" w:rsidRPr="00F86F19" w:rsidRDefault="00F86F19" w:rsidP="00F86F19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86F19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F86F19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F86F19">
        <w:rPr>
          <w:rFonts w:eastAsia="Times New Roman" w:cs="Times New Roman"/>
          <w:sz w:val="20"/>
          <w:szCs w:val="20"/>
        </w:rPr>
        <w:t>.</w:t>
      </w:r>
    </w:p>
    <w:p w14:paraId="7E5F1C07" w14:textId="77777777" w:rsidR="00F86F19" w:rsidRPr="00F86F19" w:rsidRDefault="00F86F19" w:rsidP="00F86F19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F86F19">
        <w:rPr>
          <w:rFonts w:eastAsia="Times New Roman" w:cs="Times New Roman"/>
          <w:b/>
          <w:sz w:val="20"/>
          <w:szCs w:val="20"/>
        </w:rPr>
        <w:t>3</w:t>
      </w:r>
      <w:r w:rsidRPr="00F86F19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21C32677" w14:textId="77777777" w:rsidR="00F86F19" w:rsidRPr="00F86F19" w:rsidRDefault="00F86F19" w:rsidP="00F86F19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86F19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56A768B0" w14:textId="77777777" w:rsidR="00F86F19" w:rsidRPr="00F86F19" w:rsidRDefault="00F86F19" w:rsidP="00F86F19">
      <w:pPr>
        <w:widowControl w:val="0"/>
        <w:jc w:val="center"/>
        <w:rPr>
          <w:rFonts w:eastAsia="Times New Roman" w:cs="Times New Roman"/>
          <w:b/>
          <w:sz w:val="20"/>
          <w:szCs w:val="24"/>
          <w:lang w:bidi="en-US"/>
        </w:rPr>
      </w:pPr>
      <w:r w:rsidRPr="00F86F19">
        <w:rPr>
          <w:rFonts w:eastAsia="Times New Roman" w:cs="Times New Roman"/>
          <w:b/>
          <w:sz w:val="20"/>
          <w:szCs w:val="24"/>
          <w:lang w:bidi="en-US"/>
        </w:rPr>
        <w:t>Schedule</w:t>
      </w:r>
    </w:p>
    <w:p w14:paraId="6F681063" w14:textId="77777777" w:rsidR="00F86F19" w:rsidRPr="00F86F19" w:rsidRDefault="00F86F19" w:rsidP="00F86F19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F86F19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18</w:t>
      </w:r>
      <w:r w:rsidRPr="00F86F19">
        <w:rPr>
          <w:rFonts w:eastAsia="Times New Roman" w:cs="Times New Roman"/>
          <w:b/>
          <w:sz w:val="20"/>
          <w:szCs w:val="20"/>
          <w:lang w:bidi="en-US"/>
        </w:rPr>
        <w:t>—Processing aids</w:t>
      </w:r>
      <w:r w:rsidRPr="00F86F19">
        <w:rPr>
          <w:rFonts w:eastAsia="Times New Roman" w:cs="Times New Roman"/>
          <w:b/>
          <w:color w:val="000000"/>
          <w:sz w:val="20"/>
          <w:szCs w:val="20"/>
          <w:lang w:bidi="en-US"/>
        </w:rPr>
        <w:t xml:space="preserve"> </w:t>
      </w:r>
    </w:p>
    <w:p w14:paraId="064987C0" w14:textId="77777777" w:rsidR="00F86F19" w:rsidRPr="00F86F19" w:rsidRDefault="00F86F19" w:rsidP="00F86F19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F86F19">
        <w:rPr>
          <w:rFonts w:eastAsia="Times New Roman" w:cs="Times New Roman"/>
          <w:b/>
          <w:color w:val="000000"/>
          <w:sz w:val="20"/>
          <w:szCs w:val="20"/>
        </w:rPr>
        <w:t>[1]</w:t>
      </w:r>
      <w:r w:rsidRPr="00F86F19">
        <w:rPr>
          <w:rFonts w:eastAsia="Times New Roman" w:cs="Times New Roman"/>
          <w:b/>
          <w:color w:val="000000"/>
          <w:sz w:val="20"/>
          <w:szCs w:val="20"/>
        </w:rPr>
        <w:tab/>
      </w:r>
      <w:r w:rsidRPr="00F86F19">
        <w:rPr>
          <w:rFonts w:eastAsia="Times New Roman" w:cs="Times New Roman"/>
          <w:b/>
          <w:sz w:val="20"/>
          <w:szCs w:val="20"/>
        </w:rPr>
        <w:t>Subsection S18—9(3) (table)</w:t>
      </w:r>
    </w:p>
    <w:p w14:paraId="4DE985E0" w14:textId="77777777" w:rsidR="00F86F19" w:rsidRPr="00F86F19" w:rsidRDefault="00F86F19" w:rsidP="00F86F19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86F19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F86F19" w:rsidRPr="00F86F19" w14:paraId="283EC879" w14:textId="77777777" w:rsidTr="00613E6B">
        <w:trPr>
          <w:jc w:val="center"/>
        </w:trPr>
        <w:tc>
          <w:tcPr>
            <w:tcW w:w="3120" w:type="dxa"/>
          </w:tcPr>
          <w:p w14:paraId="12C1B3E6" w14:textId="77777777" w:rsidR="00F86F19" w:rsidRPr="00F86F19" w:rsidRDefault="00F86F19" w:rsidP="00F86F19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r w:rsidRPr="00F86F19">
              <w:rPr>
                <w:rFonts w:ascii="Arial" w:hAnsi="Arial" w:cs="Arial"/>
                <w:sz w:val="18"/>
                <w:lang w:eastAsia="en-AU"/>
              </w:rPr>
              <w:t>Glucoamylase,</w:t>
            </w:r>
            <w:r w:rsidRPr="00F86F1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AU"/>
              </w:rPr>
              <w:t> protein engineered variant,</w:t>
            </w:r>
            <w:r w:rsidRPr="00F86F19">
              <w:rPr>
                <w:rFonts w:ascii="Arial" w:hAnsi="Arial" w:cs="Arial"/>
                <w:sz w:val="18"/>
                <w:lang w:eastAsia="en-AU"/>
              </w:rPr>
              <w:t xml:space="preserve"> (EC 3.2.1.3) sourced from </w:t>
            </w:r>
            <w:r w:rsidRPr="00F86F19">
              <w:rPr>
                <w:rFonts w:ascii="Arial" w:hAnsi="Arial" w:cs="Arial"/>
                <w:i/>
                <w:sz w:val="18"/>
                <w:lang w:eastAsia="en-AU"/>
              </w:rPr>
              <w:t xml:space="preserve">Aspergillus </w:t>
            </w:r>
            <w:proofErr w:type="spellStart"/>
            <w:r w:rsidRPr="00F86F19">
              <w:rPr>
                <w:rFonts w:ascii="Arial" w:hAnsi="Arial" w:cs="Arial"/>
                <w:i/>
                <w:sz w:val="18"/>
                <w:lang w:eastAsia="en-AU"/>
              </w:rPr>
              <w:t>niger</w:t>
            </w:r>
            <w:proofErr w:type="spellEnd"/>
            <w:r w:rsidRPr="00F86F19">
              <w:rPr>
                <w:rFonts w:ascii="Arial" w:hAnsi="Arial" w:cs="Arial"/>
                <w:sz w:val="18"/>
                <w:lang w:eastAsia="en-AU"/>
              </w:rPr>
              <w:t xml:space="preserve"> containing the glucoamylase gene from </w:t>
            </w:r>
            <w:r w:rsidRPr="00F86F19">
              <w:rPr>
                <w:rFonts w:ascii="Arial" w:hAnsi="Arial" w:cs="Arial"/>
                <w:i/>
                <w:sz w:val="18"/>
                <w:lang w:eastAsia="en-AU"/>
              </w:rPr>
              <w:t xml:space="preserve">Penicillium </w:t>
            </w:r>
            <w:proofErr w:type="spellStart"/>
            <w:r w:rsidRPr="00F86F19">
              <w:rPr>
                <w:rFonts w:ascii="Arial" w:hAnsi="Arial" w:cs="Arial"/>
                <w:i/>
                <w:sz w:val="18"/>
                <w:lang w:eastAsia="en-AU"/>
              </w:rPr>
              <w:t>oxalicum</w:t>
            </w:r>
            <w:proofErr w:type="spellEnd"/>
          </w:p>
        </w:tc>
        <w:tc>
          <w:tcPr>
            <w:tcW w:w="3603" w:type="dxa"/>
          </w:tcPr>
          <w:p w14:paraId="2C1F4A02" w14:textId="77777777" w:rsidR="00F86F19" w:rsidRPr="00F86F19" w:rsidRDefault="00F86F19" w:rsidP="00F86F19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F86F19">
              <w:rPr>
                <w:rFonts w:ascii="Arial" w:hAnsi="Arial" w:cs="Arial"/>
                <w:sz w:val="18"/>
                <w:lang w:eastAsia="en-AU"/>
              </w:rPr>
              <w:t>For use in:</w:t>
            </w:r>
          </w:p>
          <w:p w14:paraId="47670532" w14:textId="77777777" w:rsidR="00F86F19" w:rsidRPr="00F86F19" w:rsidRDefault="00F86F19" w:rsidP="00F86F19">
            <w:pPr>
              <w:keepLines/>
              <w:spacing w:before="60" w:after="60"/>
              <w:ind w:left="314" w:hanging="314"/>
              <w:rPr>
                <w:rFonts w:ascii="Arial" w:eastAsia="Calibri" w:hAnsi="Arial" w:cs="Arial"/>
                <w:sz w:val="18"/>
                <w:lang w:eastAsia="en-AU"/>
              </w:rPr>
            </w:pPr>
            <w:r w:rsidRPr="00F86F19">
              <w:rPr>
                <w:rFonts w:ascii="Arial" w:eastAsia="Calibri" w:hAnsi="Arial" w:cs="Arial"/>
                <w:sz w:val="18"/>
                <w:lang w:eastAsia="en-AU"/>
              </w:rPr>
              <w:t>(a)  the manufacture of bakery products;</w:t>
            </w:r>
          </w:p>
          <w:p w14:paraId="563F1A2B" w14:textId="77777777" w:rsidR="00F86F19" w:rsidRPr="00F86F19" w:rsidRDefault="00F86F19" w:rsidP="00F86F19">
            <w:pPr>
              <w:keepLines/>
              <w:spacing w:before="60" w:after="60"/>
              <w:ind w:left="314" w:hanging="314"/>
              <w:rPr>
                <w:rFonts w:ascii="Arial" w:eastAsia="Calibri" w:hAnsi="Arial" w:cs="Arial"/>
                <w:sz w:val="18"/>
                <w:lang w:eastAsia="en-AU"/>
              </w:rPr>
            </w:pPr>
            <w:r w:rsidRPr="00F86F19">
              <w:rPr>
                <w:rFonts w:ascii="Arial" w:eastAsia="Calibri" w:hAnsi="Arial" w:cs="Arial"/>
                <w:sz w:val="18"/>
                <w:lang w:eastAsia="en-AU"/>
              </w:rPr>
              <w:t>(b)  brewing; and</w:t>
            </w:r>
          </w:p>
          <w:p w14:paraId="4DDBB6A4" w14:textId="77777777" w:rsidR="00F86F19" w:rsidRPr="00F86F19" w:rsidRDefault="00F86F19" w:rsidP="00F86F19">
            <w:pPr>
              <w:keepLines/>
              <w:spacing w:before="60" w:after="60"/>
              <w:ind w:left="314" w:hanging="314"/>
              <w:rPr>
                <w:rFonts w:ascii="Arial" w:eastAsia="Calibri" w:hAnsi="Arial" w:cs="Arial"/>
                <w:sz w:val="18"/>
                <w:lang w:eastAsia="en-AU"/>
              </w:rPr>
            </w:pPr>
            <w:r w:rsidRPr="00F86F19">
              <w:rPr>
                <w:rFonts w:ascii="Arial" w:eastAsia="Calibri" w:hAnsi="Arial" w:cs="Arial"/>
                <w:sz w:val="18"/>
                <w:lang w:eastAsia="en-AU"/>
              </w:rPr>
              <w:t>(c)  starch processing for the production of starch hydrolysates, including glucose syrups.</w:t>
            </w:r>
          </w:p>
        </w:tc>
        <w:tc>
          <w:tcPr>
            <w:tcW w:w="2349" w:type="dxa"/>
          </w:tcPr>
          <w:p w14:paraId="00FA9550" w14:textId="77777777" w:rsidR="00F86F19" w:rsidRPr="00F86F19" w:rsidRDefault="00F86F19" w:rsidP="00F86F19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F86F19">
              <w:rPr>
                <w:rFonts w:ascii="Arial" w:hAnsi="Arial" w:cs="Arial"/>
                <w:sz w:val="18"/>
                <w:lang w:eastAsia="en-AU"/>
              </w:rPr>
              <w:t>GMP</w:t>
            </w:r>
          </w:p>
        </w:tc>
      </w:tr>
    </w:tbl>
    <w:p w14:paraId="0B9D9C75" w14:textId="77777777" w:rsidR="00F86F19" w:rsidRPr="00F86F19" w:rsidRDefault="00F86F19" w:rsidP="00F86F19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p w14:paraId="5BB4E036" w14:textId="4CEECD20" w:rsidR="00D5526B" w:rsidRPr="00E67EEA" w:rsidRDefault="00D5526B" w:rsidP="003A01FB">
      <w:pPr>
        <w:rPr>
          <w:rFonts w:eastAsia="Times New Roman" w:cs="Times New Roman"/>
          <w:szCs w:val="24"/>
        </w:rPr>
      </w:pPr>
    </w:p>
    <w:sectPr w:rsidR="00D5526B" w:rsidRPr="00E67EEA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060976145">
    <w:abstractNumId w:val="0"/>
  </w:num>
  <w:num w:numId="2" w16cid:durableId="273098199">
    <w:abstractNumId w:val="0"/>
  </w:num>
  <w:num w:numId="3" w16cid:durableId="502748610">
    <w:abstractNumId w:val="0"/>
  </w:num>
  <w:num w:numId="4" w16cid:durableId="1730032173">
    <w:abstractNumId w:val="0"/>
  </w:num>
  <w:num w:numId="5" w16cid:durableId="1840344940">
    <w:abstractNumId w:val="0"/>
  </w:num>
  <w:num w:numId="6" w16cid:durableId="626356180">
    <w:abstractNumId w:val="0"/>
  </w:num>
  <w:num w:numId="7" w16cid:durableId="338773344">
    <w:abstractNumId w:val="0"/>
  </w:num>
  <w:num w:numId="8" w16cid:durableId="675351140">
    <w:abstractNumId w:val="3"/>
  </w:num>
  <w:num w:numId="9" w16cid:durableId="2029136457">
    <w:abstractNumId w:val="1"/>
  </w:num>
  <w:num w:numId="10" w16cid:durableId="1798529178">
    <w:abstractNumId w:val="2"/>
  </w:num>
  <w:num w:numId="11" w16cid:durableId="1654984821">
    <w:abstractNumId w:val="3"/>
  </w:num>
  <w:num w:numId="12" w16cid:durableId="149948567">
    <w:abstractNumId w:val="1"/>
  </w:num>
  <w:num w:numId="13" w16cid:durableId="46323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19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3873"/>
    <w:rsid w:val="005B578D"/>
    <w:rsid w:val="005C1996"/>
    <w:rsid w:val="00675CD5"/>
    <w:rsid w:val="006B6900"/>
    <w:rsid w:val="006D473E"/>
    <w:rsid w:val="006E743B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1261A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67EEA"/>
    <w:rsid w:val="00E9409E"/>
    <w:rsid w:val="00EC65E9"/>
    <w:rsid w:val="00F4105E"/>
    <w:rsid w:val="00F616DA"/>
    <w:rsid w:val="00F76F95"/>
    <w:rsid w:val="00F86F19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1E4F"/>
  <w15:chartTrackingRefBased/>
  <w15:docId w15:val="{6DA272C3-6AE6-46AF-8C28-7DD8BC0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F86F19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86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</Value>
      <Value>6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43cb9915-dbd2-4e45-b39d-7bc5c58c72da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471B2-B376-4FB9-ABDE-8A5E603053E0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3.xml><?xml version="1.0" encoding="utf-8"?>
<ds:datastoreItem xmlns:ds="http://schemas.openxmlformats.org/officeDocument/2006/customXml" ds:itemID="{B8CACE46-FF27-4FFB-9922-395505AFB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6D073-9E1F-4C5A-AB9C-BF3556636A0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F72FE3-6232-4C1D-BBB7-33B4E9C0F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>Food Standards Australia New Zealand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ronals</dc:creator>
  <cp:keywords/>
  <dc:description/>
  <cp:lastModifiedBy>ronals</cp:lastModifiedBy>
  <cp:revision>2</cp:revision>
  <dcterms:created xsi:type="dcterms:W3CDTF">2023-04-18T01:46:00Z</dcterms:created>
  <dcterms:modified xsi:type="dcterms:W3CDTF">2023-04-18T01:46:00Z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0x010100F5F252698E4843DFA3EBBF7EC57E522A00D1FD65540778064E8071EC7105C190BC</vt:lpwstr>
  </property>
  <property fmtid="{D5CDD505-2E9C-101B-9397-08002B2CF9AE}" pid="3" name="pd3a3559ef84480a8025c4c7bb6e6dee">
    <vt:lpwstr/>
  </property>
  <property fmtid="{D5CDD505-2E9C-101B-9397-08002B2CF9AE}" pid="4" name="h46016694f704d158a57d0b5238c000e">
    <vt:lpwstr/>
  </property>
  <property fmtid="{D5CDD505-2E9C-101B-9397-08002B2CF9AE}" pid="5" name="MediaServiceImageTags">
    <vt:lpwstr/>
  </property>
  <property fmtid="{D5CDD505-2E9C-101B-9397-08002B2CF9AE}" pid="6" name="Data_x0020_Privacy">
    <vt:lpwstr/>
  </property>
  <property fmtid="{D5CDD505-2E9C-101B-9397-08002B2CF9AE}" pid="7" name="lcf76f155ced4ddcb4097134ff3c332f">
    <vt:lpwstr/>
  </property>
  <property fmtid="{D5CDD505-2E9C-101B-9397-08002B2CF9AE}" pid="8" name="BCS">
    <vt:lpwstr>6;#Evaluation|43cb9915-dbd2-4e45-b39d-7bc5c58c72da</vt:lpwstr>
  </property>
  <property fmtid="{D5CDD505-2E9C-101B-9397-08002B2CF9AE}" pid="9" name="Access">
    <vt:lpwstr/>
  </property>
  <property fmtid="{D5CDD505-2E9C-101B-9397-08002B2CF9AE}" pid="10" name="Classification">
    <vt:lpwstr>3;#OFFICIAL|3776503d-ed4e-4d70-8dfd-8e17b238523b</vt:lpwstr>
  </property>
  <property fmtid="{D5CDD505-2E9C-101B-9397-08002B2CF9AE}" pid="11" name="Data_x0020_Category">
    <vt:lpwstr/>
  </property>
  <property fmtid="{D5CDD505-2E9C-101B-9397-08002B2CF9AE}" pid="12" name="Data_x0020_Accessibility">
    <vt:lpwstr/>
  </property>
  <property fmtid="{D5CDD505-2E9C-101B-9397-08002B2CF9AE}" pid="13" name="o2e94e0b7bb742308b3aec7384781dc0">
    <vt:lpwstr/>
  </property>
  <property fmtid="{D5CDD505-2E9C-101B-9397-08002B2CF9AE}" pid="14" name="Data Privacy">
    <vt:lpwstr/>
  </property>
  <property fmtid="{D5CDD505-2E9C-101B-9397-08002B2CF9AE}" pid="15" name="Data Category">
    <vt:lpwstr/>
  </property>
  <property fmtid="{D5CDD505-2E9C-101B-9397-08002B2CF9AE}" pid="16" name="Data Accessibility">
    <vt:lpwstr/>
  </property>
</Properties>
</file>