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F375" w14:textId="77777777" w:rsidR="00F616F6" w:rsidRPr="00A639BD" w:rsidRDefault="00F616F6" w:rsidP="00F616F6">
      <w:pPr>
        <w:widowControl/>
        <w:spacing w:before="0" w:beforeAutospacing="0" w:after="0" w:afterAutospacing="0"/>
        <w:jc w:val="center"/>
        <w:textAlignment w:val="baseline"/>
        <w:rPr>
          <w:rFonts w:ascii="Segoe UI" w:hAnsi="Segoe UI" w:cs="Segoe UI"/>
          <w:sz w:val="18"/>
          <w:szCs w:val="18"/>
          <w:lang w:val="en-NZ" w:eastAsia="en-NZ" w:bidi="ar-SA"/>
        </w:rPr>
      </w:pPr>
      <w:r w:rsidRPr="00A639BD">
        <w:rPr>
          <w:rFonts w:cs="Arial"/>
          <w:b/>
          <w:bCs/>
          <w:caps/>
          <w:szCs w:val="22"/>
          <w:u w:val="single"/>
          <w:lang w:eastAsia="en-NZ" w:bidi="ar-SA"/>
        </w:rPr>
        <w:t>EXPLANATORY STATEMENT</w:t>
      </w:r>
      <w:r w:rsidRPr="00A639BD">
        <w:rPr>
          <w:rFonts w:cs="Arial"/>
          <w:szCs w:val="22"/>
          <w:lang w:val="en-NZ" w:eastAsia="en-NZ" w:bidi="ar-SA"/>
        </w:rPr>
        <w:t> </w:t>
      </w:r>
    </w:p>
    <w:p w14:paraId="2001B82E" w14:textId="77777777" w:rsidR="00F616F6" w:rsidRPr="00A639BD" w:rsidRDefault="00F616F6" w:rsidP="00F616F6">
      <w:pPr>
        <w:widowControl/>
        <w:spacing w:before="0" w:beforeAutospacing="0" w:after="0" w:afterAutospacing="0"/>
        <w:textAlignment w:val="baseline"/>
        <w:rPr>
          <w:rFonts w:ascii="Segoe UI" w:hAnsi="Segoe UI" w:cs="Segoe UI"/>
          <w:sz w:val="18"/>
          <w:szCs w:val="18"/>
          <w:lang w:val="en-NZ" w:eastAsia="en-NZ" w:bidi="ar-SA"/>
        </w:rPr>
      </w:pPr>
      <w:r w:rsidRPr="00A639BD">
        <w:rPr>
          <w:rFonts w:cs="Arial"/>
          <w:szCs w:val="22"/>
          <w:lang w:val="en-NZ" w:eastAsia="en-NZ" w:bidi="ar-SA"/>
        </w:rPr>
        <w:t> </w:t>
      </w:r>
    </w:p>
    <w:p w14:paraId="7D038D08" w14:textId="77777777" w:rsidR="00F616F6" w:rsidRPr="00A639BD" w:rsidRDefault="00F616F6" w:rsidP="00F616F6">
      <w:pPr>
        <w:widowControl/>
        <w:shd w:val="clear" w:color="auto" w:fill="FFFFFF"/>
        <w:spacing w:before="0" w:beforeAutospacing="0" w:after="0" w:afterAutospacing="0"/>
        <w:jc w:val="center"/>
        <w:textAlignment w:val="baseline"/>
        <w:rPr>
          <w:rFonts w:ascii="Segoe UI" w:hAnsi="Segoe UI" w:cs="Segoe UI"/>
          <w:sz w:val="18"/>
          <w:szCs w:val="18"/>
          <w:lang w:val="en-NZ" w:eastAsia="en-NZ" w:bidi="ar-SA"/>
        </w:rPr>
      </w:pPr>
      <w:r w:rsidRPr="00A639BD">
        <w:rPr>
          <w:rFonts w:cs="Arial"/>
          <w:i/>
          <w:iCs/>
          <w:color w:val="000000"/>
          <w:szCs w:val="22"/>
          <w:lang w:val="en-AU" w:eastAsia="en-NZ" w:bidi="ar-SA"/>
        </w:rPr>
        <w:t>Food Standards Australia New Zealand Act 1991</w:t>
      </w:r>
    </w:p>
    <w:p w14:paraId="0C466153" w14:textId="77777777" w:rsidR="00F616F6" w:rsidRPr="00A639BD" w:rsidRDefault="00F616F6" w:rsidP="00F616F6">
      <w:pPr>
        <w:pStyle w:val="FSCDraftingitem"/>
        <w:jc w:val="center"/>
        <w:rPr>
          <w:b/>
          <w:bCs/>
          <w:sz w:val="22"/>
          <w:szCs w:val="22"/>
        </w:rPr>
      </w:pPr>
      <w:bookmarkStart w:id="0" w:name="_Hlk127268340"/>
      <w:r w:rsidRPr="00A639BD">
        <w:rPr>
          <w:b/>
          <w:bCs/>
          <w:i/>
          <w:sz w:val="22"/>
          <w:szCs w:val="22"/>
        </w:rPr>
        <w:t>Food Standards (Application A1253 – Bovine Lactoferrin in Infant Formula Products) Variation</w:t>
      </w:r>
    </w:p>
    <w:bookmarkEnd w:id="0"/>
    <w:p w14:paraId="0310528C" w14:textId="77777777" w:rsidR="00F616F6" w:rsidRPr="008402D7" w:rsidRDefault="00F616F6" w:rsidP="00F616F6">
      <w:pPr>
        <w:rPr>
          <w:b/>
          <w:lang w:val="en-AU" w:eastAsia="en-GB" w:bidi="ar-SA"/>
        </w:rPr>
      </w:pPr>
      <w:r w:rsidRPr="000576EB">
        <w:rPr>
          <w:b/>
          <w:lang w:val="en-AU" w:eastAsia="en-GB" w:bidi="ar-SA"/>
        </w:rPr>
        <w:t>1.</w:t>
      </w:r>
      <w:r w:rsidRPr="000576EB">
        <w:rPr>
          <w:b/>
          <w:lang w:val="en-AU" w:eastAsia="en-GB" w:bidi="ar-SA"/>
        </w:rPr>
        <w:tab/>
        <w:t>Authority</w:t>
      </w:r>
    </w:p>
    <w:p w14:paraId="243B6A7A" w14:textId="77777777" w:rsidR="00F616F6" w:rsidRPr="00D13E34" w:rsidRDefault="00F616F6" w:rsidP="00F616F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67084D8" w14:textId="77777777" w:rsidR="00F616F6" w:rsidRPr="008402D7" w:rsidRDefault="00F616F6" w:rsidP="00F616F6">
      <w:pPr>
        <w:widowControl/>
        <w:autoSpaceDE w:val="0"/>
        <w:autoSpaceDN w:val="0"/>
        <w:adjustRightInd w:val="0"/>
        <w:rPr>
          <w:rFonts w:eastAsia="Calibri" w:cs="Arial"/>
          <w:bCs/>
          <w:szCs w:val="22"/>
          <w:lang w:val="en-AU" w:bidi="ar-SA"/>
        </w:rPr>
      </w:pPr>
      <w:r w:rsidRPr="008402D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5A517A0" w14:textId="77777777" w:rsidR="00F616F6" w:rsidRPr="000E3B1A" w:rsidRDefault="00F616F6" w:rsidP="00F616F6">
      <w:pPr>
        <w:autoSpaceDE w:val="0"/>
        <w:autoSpaceDN w:val="0"/>
        <w:adjustRightInd w:val="0"/>
        <w:rPr>
          <w:rFonts w:eastAsia="Calibri" w:cs="Arial"/>
          <w:szCs w:val="22"/>
          <w:lang w:bidi="ar-SA"/>
        </w:rPr>
      </w:pPr>
      <w:r w:rsidRPr="008402D7">
        <w:rPr>
          <w:rFonts w:eastAsia="Calibri" w:cs="Arial"/>
          <w:bCs/>
          <w:szCs w:val="22"/>
          <w:lang w:val="en-AU" w:bidi="ar-SA"/>
        </w:rPr>
        <w:t>The Authority accepted Application A1253 which seeks to</w:t>
      </w:r>
      <w:r w:rsidRPr="001C436D">
        <w:rPr>
          <w:rFonts w:eastAsia="Calibri" w:cs="Arial"/>
          <w:lang w:val="en-AU" w:bidi="ar-SA"/>
        </w:rPr>
        <w:t xml:space="preserve"> </w:t>
      </w:r>
      <w:r w:rsidRPr="00D15AF8">
        <w:rPr>
          <w:rFonts w:eastAsia="Calibri" w:cs="Arial"/>
          <w:lang w:val="en-AU" w:bidi="ar-SA"/>
        </w:rPr>
        <w:t>permit the addition of bovine lactoferrin (</w:t>
      </w:r>
      <w:proofErr w:type="spellStart"/>
      <w:r w:rsidRPr="00D15AF8">
        <w:rPr>
          <w:rFonts w:eastAsia="Calibri" w:cs="Arial"/>
          <w:lang w:val="en-AU" w:bidi="ar-SA"/>
        </w:rPr>
        <w:t>bLf</w:t>
      </w:r>
      <w:proofErr w:type="spellEnd"/>
      <w:r w:rsidRPr="00D15AF8">
        <w:rPr>
          <w:rFonts w:eastAsia="Calibri" w:cs="Arial"/>
          <w:lang w:val="en-AU" w:bidi="ar-SA"/>
        </w:rPr>
        <w:t xml:space="preserve">) as a nutritive substance </w:t>
      </w:r>
      <w:r>
        <w:rPr>
          <w:rFonts w:eastAsia="Calibri" w:cs="Arial"/>
          <w:lang w:val="en-AU" w:bidi="ar-SA"/>
        </w:rPr>
        <w:t>in</w:t>
      </w:r>
      <w:r w:rsidRPr="00D15AF8">
        <w:rPr>
          <w:rFonts w:eastAsia="Calibri" w:cs="Arial"/>
          <w:lang w:val="en-AU" w:bidi="ar-SA"/>
        </w:rPr>
        <w:t xml:space="preserve"> infant formula products (IFP). The Application also sought a 15 month exclusive use permission </w:t>
      </w:r>
      <w:r w:rsidRPr="00D15AF8">
        <w:rPr>
          <w:lang w:val="en-AU"/>
        </w:rPr>
        <w:t>for the Applicant</w:t>
      </w:r>
      <w:r w:rsidRPr="00D15AF8">
        <w:rPr>
          <w:rFonts w:hint="eastAsia"/>
          <w:lang w:val="en-AU"/>
        </w:rPr>
        <w:t>’</w:t>
      </w:r>
      <w:r w:rsidRPr="00D15AF8">
        <w:rPr>
          <w:lang w:val="en-AU"/>
        </w:rPr>
        <w:t xml:space="preserve">s brand of </w:t>
      </w:r>
      <w:proofErr w:type="spellStart"/>
      <w:r w:rsidRPr="00D15AF8">
        <w:rPr>
          <w:lang w:val="en-AU"/>
        </w:rPr>
        <w:t>bLf</w:t>
      </w:r>
      <w:proofErr w:type="spellEnd"/>
      <w:r w:rsidRPr="00D15AF8">
        <w:rPr>
          <w:rFonts w:eastAsia="Calibri" w:cs="Arial"/>
          <w:lang w:val="en-AU" w:bidi="ar-SA"/>
        </w:rPr>
        <w:t xml:space="preserve">. </w:t>
      </w:r>
      <w:r w:rsidRPr="008402D7">
        <w:rPr>
          <w:rFonts w:eastAsia="Calibri" w:cs="Arial"/>
          <w:bCs/>
          <w:szCs w:val="22"/>
          <w:lang w:val="en-AU" w:bidi="ar-SA"/>
        </w:rPr>
        <w:t xml:space="preserve">The Authority considered the Application in accordance with Division 1 of Part 3 and has approved a draft </w:t>
      </w:r>
      <w:r>
        <w:rPr>
          <w:rFonts w:eastAsia="Calibri" w:cs="Arial"/>
          <w:bCs/>
          <w:szCs w:val="22"/>
          <w:lang w:val="en-AU" w:bidi="ar-SA"/>
        </w:rPr>
        <w:t xml:space="preserve">variation - </w:t>
      </w:r>
      <w:r w:rsidRPr="000E3B1A">
        <w:rPr>
          <w:rFonts w:eastAsia="Calibri" w:cs="Arial"/>
          <w:i/>
          <w:szCs w:val="22"/>
          <w:lang w:bidi="ar-SA"/>
        </w:rPr>
        <w:t>Food Standards (Application A1253 – Bovine Lactoferrin in Infant Formula Products) Variation</w:t>
      </w:r>
      <w:r>
        <w:rPr>
          <w:rFonts w:eastAsia="Calibri" w:cs="Arial"/>
          <w:i/>
          <w:szCs w:val="22"/>
          <w:lang w:bidi="ar-SA"/>
        </w:rPr>
        <w:t>.</w:t>
      </w:r>
    </w:p>
    <w:p w14:paraId="59884810" w14:textId="77777777" w:rsidR="00F616F6" w:rsidRPr="000E3B1A" w:rsidRDefault="00F616F6" w:rsidP="00F616F6">
      <w:pPr>
        <w:widowControl/>
        <w:autoSpaceDE w:val="0"/>
        <w:autoSpaceDN w:val="0"/>
        <w:adjustRightInd w:val="0"/>
        <w:rPr>
          <w:rFonts w:eastAsia="Calibri" w:cs="Arial"/>
          <w:bCs/>
          <w:color w:val="FF0000"/>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approved </w:t>
      </w:r>
      <w:r w:rsidRPr="00D13E34">
        <w:rPr>
          <w:rFonts w:eastAsia="Calibri" w:cs="Arial"/>
          <w:bCs/>
          <w:szCs w:val="22"/>
          <w:lang w:val="en-AU" w:bidi="ar-SA"/>
        </w:rPr>
        <w:t>draft variation</w:t>
      </w:r>
      <w:r>
        <w:rPr>
          <w:rFonts w:eastAsia="Calibri" w:cs="Arial"/>
          <w:bCs/>
          <w:szCs w:val="22"/>
          <w:lang w:val="en-AU" w:bidi="ar-SA"/>
        </w:rPr>
        <w:t xml:space="preserve">. </w:t>
      </w:r>
    </w:p>
    <w:p w14:paraId="5C41803A" w14:textId="77777777" w:rsidR="00F616F6" w:rsidRDefault="00F616F6" w:rsidP="00F616F6">
      <w:pPr>
        <w:rPr>
          <w:b/>
          <w:lang w:val="en-AU" w:eastAsia="en-GB" w:bidi="ar-SA"/>
        </w:rPr>
      </w:pPr>
      <w:r>
        <w:rPr>
          <w:b/>
          <w:lang w:val="en-AU" w:eastAsia="en-GB" w:bidi="ar-SA"/>
        </w:rPr>
        <w:t>2.</w:t>
      </w:r>
      <w:r>
        <w:rPr>
          <w:b/>
          <w:lang w:val="en-AU" w:eastAsia="en-GB" w:bidi="ar-SA"/>
        </w:rPr>
        <w:tab/>
        <w:t>Variation is a legislative instrument</w:t>
      </w:r>
    </w:p>
    <w:p w14:paraId="57E118EB" w14:textId="77777777" w:rsidR="00F616F6" w:rsidRPr="00D00473" w:rsidRDefault="00F616F6" w:rsidP="00F616F6">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10" w:history="1">
        <w:r w:rsidRPr="00D00473">
          <w:rPr>
            <w:rFonts w:cs="Arial"/>
            <w:color w:val="3333FF"/>
            <w:u w:val="single"/>
          </w:rPr>
          <w:t>www.legislation.gov.au</w:t>
        </w:r>
      </w:hyperlink>
      <w:r w:rsidRPr="00D00473">
        <w:rPr>
          <w:rFonts w:cs="Arial"/>
        </w:rPr>
        <w:t>).</w:t>
      </w:r>
    </w:p>
    <w:p w14:paraId="7185E621" w14:textId="77777777" w:rsidR="00F616F6" w:rsidRPr="00622189" w:rsidRDefault="00F616F6" w:rsidP="00F616F6">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8DA7C5F" w14:textId="77777777" w:rsidR="00F616F6" w:rsidRDefault="00F616F6" w:rsidP="00F616F6">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for consideration and endorsement by the Food Ministers</w:t>
      </w:r>
      <w:r>
        <w:rPr>
          <w:rFonts w:cs="Arial"/>
        </w:rPr>
        <w:t>’</w:t>
      </w:r>
      <w:r w:rsidRPr="00FB45C7">
        <w:rPr>
          <w:rFonts w:cs="Arial"/>
        </w:rPr>
        <w:t xml:space="preserve">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w:t>
      </w:r>
      <w:r w:rsidRPr="00FB45C7">
        <w:rPr>
          <w:rFonts w:cs="Arial"/>
          <w:lang w:val="en-AU"/>
        </w:rPr>
        <w:lastRenderedPageBreak/>
        <w:t>of Commonwealth, State and Territory and New Zealand food laws. These standards or instruments are then administered, applied and enforced by these jurisdictions’ regulators as part of those food laws.</w:t>
      </w:r>
    </w:p>
    <w:p w14:paraId="30E21012" w14:textId="77777777" w:rsidR="00F616F6" w:rsidRPr="00622189" w:rsidRDefault="00F616F6" w:rsidP="00F616F6">
      <w:pPr>
        <w:rPr>
          <w:b/>
          <w:lang w:val="en-AU" w:eastAsia="en-GB" w:bidi="ar-SA"/>
        </w:rPr>
      </w:pPr>
      <w:r>
        <w:rPr>
          <w:b/>
          <w:lang w:val="en-AU" w:eastAsia="en-GB" w:bidi="ar-SA"/>
        </w:rPr>
        <w:t>3.</w:t>
      </w:r>
      <w:r>
        <w:rPr>
          <w:b/>
          <w:lang w:val="en-AU" w:eastAsia="en-GB" w:bidi="ar-SA"/>
        </w:rPr>
        <w:tab/>
        <w:t xml:space="preserve">Purpose </w:t>
      </w:r>
    </w:p>
    <w:p w14:paraId="6B8F47EC" w14:textId="77777777" w:rsidR="00F616F6" w:rsidRPr="00D15AF8" w:rsidRDefault="00F616F6" w:rsidP="00F616F6">
      <w:pPr>
        <w:rPr>
          <w:szCs w:val="22"/>
          <w:lang w:val="en-AU"/>
        </w:rPr>
      </w:pPr>
      <w:r w:rsidRPr="00D15AF8">
        <w:rPr>
          <w:rFonts w:eastAsia="Arial" w:cs="Arial"/>
          <w:lang w:val="en-AU"/>
        </w:rPr>
        <w:t xml:space="preserve">The Authority has </w:t>
      </w:r>
      <w:r>
        <w:rPr>
          <w:rFonts w:eastAsia="Arial" w:cs="Arial"/>
          <w:lang w:val="en-AU"/>
        </w:rPr>
        <w:t>approved</w:t>
      </w:r>
      <w:r w:rsidRPr="00D15AF8">
        <w:rPr>
          <w:rFonts w:eastAsia="Arial" w:cs="Arial"/>
          <w:lang w:val="en-AU"/>
        </w:rPr>
        <w:t xml:space="preserve"> a draft variation to the Code to: </w:t>
      </w:r>
    </w:p>
    <w:p w14:paraId="72C70A37" w14:textId="77777777" w:rsidR="00F616F6" w:rsidRPr="00D15AF8" w:rsidRDefault="00F616F6" w:rsidP="00F616F6">
      <w:pPr>
        <w:pStyle w:val="ListParagraph"/>
        <w:numPr>
          <w:ilvl w:val="0"/>
          <w:numId w:val="14"/>
        </w:numPr>
        <w:rPr>
          <w:lang w:val="en-AU"/>
        </w:rPr>
      </w:pPr>
      <w:r w:rsidRPr="00D15AF8">
        <w:rPr>
          <w:lang w:val="en-AU"/>
        </w:rPr>
        <w:t xml:space="preserve">amend Schedule 29 and Standard 2.9.1 to permit the addition of </w:t>
      </w:r>
      <w:proofErr w:type="spellStart"/>
      <w:r w:rsidRPr="00D15AF8">
        <w:rPr>
          <w:lang w:val="en-AU"/>
        </w:rPr>
        <w:t>bLf</w:t>
      </w:r>
      <w:proofErr w:type="spellEnd"/>
      <w:r w:rsidRPr="00D15AF8">
        <w:rPr>
          <w:lang w:val="en-AU"/>
        </w:rPr>
        <w:t xml:space="preserve"> as a nutritive substance for use in IFP in accordance with the Code subject to certain conditions, including not exceeding the specified maximum amount and an exclusive use period of 15 months for the Applicant</w:t>
      </w:r>
      <w:r w:rsidRPr="00D15AF8">
        <w:rPr>
          <w:rFonts w:hint="eastAsia"/>
          <w:lang w:val="en-AU"/>
        </w:rPr>
        <w:t>’</w:t>
      </w:r>
      <w:r w:rsidRPr="00D15AF8">
        <w:rPr>
          <w:lang w:val="en-AU"/>
        </w:rPr>
        <w:t xml:space="preserve">s brand of </w:t>
      </w:r>
      <w:proofErr w:type="spellStart"/>
      <w:r w:rsidRPr="00D15AF8">
        <w:rPr>
          <w:lang w:val="en-AU"/>
        </w:rPr>
        <w:t>bLf</w:t>
      </w:r>
      <w:proofErr w:type="spellEnd"/>
      <w:r w:rsidRPr="00D15AF8">
        <w:rPr>
          <w:lang w:val="en-AU"/>
        </w:rPr>
        <w:t>; and</w:t>
      </w:r>
    </w:p>
    <w:p w14:paraId="58DFC5F5" w14:textId="77777777" w:rsidR="00F616F6" w:rsidRPr="00D15AF8" w:rsidRDefault="00F616F6" w:rsidP="00F616F6">
      <w:pPr>
        <w:pStyle w:val="ListParagraph"/>
        <w:numPr>
          <w:ilvl w:val="0"/>
          <w:numId w:val="14"/>
        </w:numPr>
        <w:rPr>
          <w:lang w:val="en-AU"/>
        </w:rPr>
      </w:pPr>
      <w:r w:rsidRPr="00D15AF8">
        <w:rPr>
          <w:lang w:val="en-AU"/>
        </w:rPr>
        <w:t xml:space="preserve">insert prescribed specifications for </w:t>
      </w:r>
      <w:proofErr w:type="spellStart"/>
      <w:r w:rsidRPr="00D15AF8">
        <w:rPr>
          <w:lang w:val="en-AU"/>
        </w:rPr>
        <w:t>bLf</w:t>
      </w:r>
      <w:proofErr w:type="spellEnd"/>
      <w:r w:rsidRPr="00D15AF8">
        <w:rPr>
          <w:lang w:val="en-AU"/>
        </w:rPr>
        <w:t xml:space="preserve"> into Schedule 3, with which </w:t>
      </w:r>
      <w:proofErr w:type="spellStart"/>
      <w:r w:rsidRPr="00D15AF8">
        <w:rPr>
          <w:lang w:val="en-AU"/>
        </w:rPr>
        <w:t>bLf</w:t>
      </w:r>
      <w:proofErr w:type="spellEnd"/>
      <w:r w:rsidRPr="00D15AF8">
        <w:rPr>
          <w:lang w:val="en-AU"/>
        </w:rPr>
        <w:t xml:space="preserve"> would have to comply.</w:t>
      </w:r>
    </w:p>
    <w:p w14:paraId="1BBA2A16" w14:textId="77777777" w:rsidR="00F616F6" w:rsidRPr="00D15AF8" w:rsidRDefault="00F616F6" w:rsidP="00F616F6">
      <w:pPr>
        <w:widowControl/>
        <w:spacing w:before="120" w:beforeAutospacing="0" w:after="120" w:afterAutospacing="0"/>
        <w:jc w:val="both"/>
        <w:rPr>
          <w:lang w:val="en-AU"/>
        </w:rPr>
      </w:pPr>
      <w:r w:rsidRPr="00D15AF8">
        <w:t xml:space="preserve">The </w:t>
      </w:r>
      <w:r>
        <w:t xml:space="preserve">approved </w:t>
      </w:r>
      <w:r w:rsidRPr="00D15AF8">
        <w:t>draft variation includes consequential amendments to the Code as a result of the above amendments.</w:t>
      </w:r>
    </w:p>
    <w:p w14:paraId="4FED5EEA" w14:textId="77777777" w:rsidR="00F616F6" w:rsidRPr="00622189" w:rsidRDefault="00F616F6" w:rsidP="00F616F6">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w:t>
      </w:r>
      <w:r>
        <w:rPr>
          <w:b/>
          <w:lang w:val="en-AU" w:eastAsia="en-GB" w:bidi="ar-SA"/>
        </w:rPr>
        <w:t>o</w:t>
      </w:r>
      <w:r w:rsidRPr="000576EB">
        <w:rPr>
          <w:b/>
          <w:lang w:val="en-AU" w:eastAsia="en-GB" w:bidi="ar-SA"/>
        </w:rPr>
        <w:t>cuments incorporated by reference</w:t>
      </w:r>
    </w:p>
    <w:p w14:paraId="605F1770" w14:textId="77777777" w:rsidR="00F616F6" w:rsidRDefault="00F616F6" w:rsidP="00F616F6">
      <w:pPr>
        <w:rPr>
          <w:rFonts w:eastAsia="Arial" w:cs="Arial"/>
        </w:rPr>
      </w:pPr>
      <w:r w:rsidRPr="00D15AF8">
        <w:rPr>
          <w:rFonts w:eastAsia="Arial" w:cs="Arial"/>
        </w:rPr>
        <w:t xml:space="preserve">The </w:t>
      </w:r>
      <w:r>
        <w:rPr>
          <w:rFonts w:eastAsia="Arial" w:cs="Arial"/>
        </w:rPr>
        <w:t xml:space="preserve">approved </w:t>
      </w:r>
      <w:r w:rsidRPr="00D15AF8">
        <w:rPr>
          <w:rFonts w:eastAsia="Arial" w:cs="Arial"/>
        </w:rPr>
        <w:t xml:space="preserve">draft variation </w:t>
      </w:r>
      <w:r w:rsidRPr="00D15AF8">
        <w:rPr>
          <w:rFonts w:eastAsia="Calibri" w:cs="Arial"/>
          <w:lang w:val="en-AU" w:bidi="ar-SA"/>
        </w:rPr>
        <w:t>prepared by the Authority</w:t>
      </w:r>
      <w:r w:rsidRPr="00D15AF8" w:rsidDel="0010686E">
        <w:rPr>
          <w:rFonts w:eastAsia="Calibri" w:cs="Arial"/>
          <w:lang w:val="en-AU" w:bidi="ar-SA"/>
        </w:rPr>
        <w:t xml:space="preserve"> </w:t>
      </w:r>
      <w:r w:rsidRPr="00D15AF8">
        <w:rPr>
          <w:rFonts w:eastAsia="Arial" w:cs="Arial"/>
        </w:rPr>
        <w:t>does not incorporate any documents by reference.</w:t>
      </w:r>
    </w:p>
    <w:p w14:paraId="3B131B20" w14:textId="77777777" w:rsidR="00F616F6" w:rsidRPr="00D15AF8" w:rsidRDefault="00F616F6" w:rsidP="00F616F6">
      <w:pPr>
        <w:rPr>
          <w:rFonts w:eastAsia="Calibri" w:cs="Arial"/>
          <w:lang w:val="en-AU" w:bidi="ar-SA"/>
        </w:rPr>
      </w:pPr>
      <w:r w:rsidRPr="00D15AF8">
        <w:rPr>
          <w:rFonts w:eastAsia="Calibri" w:cs="Arial"/>
          <w:lang w:val="en-AU" w:bidi="ar-SA"/>
        </w:rPr>
        <w:t xml:space="preserve">However, the </w:t>
      </w:r>
      <w:r>
        <w:rPr>
          <w:rFonts w:eastAsia="Calibri" w:cs="Arial"/>
          <w:lang w:val="en-AU" w:bidi="ar-SA"/>
        </w:rPr>
        <w:t xml:space="preserve">approved </w:t>
      </w:r>
      <w:r w:rsidRPr="00D15AF8">
        <w:rPr>
          <w:rFonts w:eastAsia="Calibri" w:cs="Arial"/>
          <w:lang w:val="en-AU" w:bidi="ar-SA"/>
        </w:rPr>
        <w:t>draft variation would vary Schedule 3 of the Code which does incorporate documents by reference. Section 1.1.1—15 of the Code requires certain substances (such as substances used as nutritive substances) to comply with any relevant identity and purity specifications listed in Schedule 3. Schedule 3 incorporates documents by reference to set specifications for various substances in the circumstances specified in that Schedule.</w:t>
      </w:r>
    </w:p>
    <w:p w14:paraId="670462A1" w14:textId="77777777" w:rsidR="00F616F6" w:rsidRPr="000576EB" w:rsidRDefault="00F616F6" w:rsidP="00F616F6">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E48A9AF" w14:textId="77777777" w:rsidR="00F616F6" w:rsidRDefault="00F616F6" w:rsidP="00F616F6">
      <w:pPr>
        <w:rPr>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622189">
        <w:rPr>
          <w:szCs w:val="22"/>
        </w:rPr>
        <w:t xml:space="preserve">consideration of Application A1253 included one round of public consultation following an assessment and the preparation of a draft </w:t>
      </w:r>
      <w:r>
        <w:rPr>
          <w:szCs w:val="22"/>
        </w:rPr>
        <w:t>variation</w:t>
      </w:r>
      <w:r w:rsidRPr="00622189">
        <w:rPr>
          <w:szCs w:val="22"/>
        </w:rPr>
        <w:t xml:space="preserve"> and associated </w:t>
      </w:r>
      <w:r w:rsidRPr="0086180C">
        <w:rPr>
          <w:szCs w:val="22"/>
        </w:rPr>
        <w:t xml:space="preserve">report. Submissions were called for on 6 October 2022 for a five-week consultation period. </w:t>
      </w:r>
    </w:p>
    <w:p w14:paraId="34A26755" w14:textId="77777777" w:rsidR="00F616F6" w:rsidRPr="00D15AF8" w:rsidRDefault="00F616F6" w:rsidP="00F616F6">
      <w:r>
        <w:rPr>
          <w:lang w:bidi="ar-SA"/>
        </w:rPr>
        <w:t xml:space="preserve">The Office of Impact Analysis (OIA), formerly the Office of Best Practice Regulation (OBPR), </w:t>
      </w:r>
      <w:r w:rsidRPr="00D15AF8">
        <w:rPr>
          <w:rFonts w:eastAsia="Arial" w:cs="Arial"/>
        </w:rPr>
        <w:t>granted FSANZ a standing exemption from the requirement to develop a Regulatory Impact Statement for the Applications relating to voluntary addition of nutritive substances to foods (OBPR correspondence dated 16 April 2013, reference 14943). This standing exemption was provided as permitting the new nutritive substance is deregulatory and their use will be voluntary if the Application concerned is approved. This standing exemption relates to the introduction of a food to the food supply that has been determined to be safe.</w:t>
      </w:r>
    </w:p>
    <w:p w14:paraId="5562E9AA" w14:textId="77777777" w:rsidR="00F616F6" w:rsidRDefault="00F616F6" w:rsidP="00F616F6">
      <w:pPr>
        <w:widowControl/>
        <w:rPr>
          <w:rFonts w:eastAsiaTheme="minorEastAsia" w:cs="Arial"/>
          <w:b/>
          <w:lang w:val="en-AU" w:bidi="ar-SA"/>
        </w:rPr>
      </w:pPr>
      <w:r w:rsidRPr="2412DEBA">
        <w:rPr>
          <w:rFonts w:eastAsiaTheme="minorEastAsia" w:cs="Arial"/>
          <w:b/>
          <w:lang w:val="en-AU" w:bidi="ar-SA"/>
        </w:rPr>
        <w:t>6.</w:t>
      </w:r>
      <w:r>
        <w:rPr>
          <w:rFonts w:eastAsiaTheme="minorHAnsi"/>
        </w:rPr>
        <w:tab/>
      </w:r>
      <w:r w:rsidRPr="2412DEBA">
        <w:rPr>
          <w:rFonts w:eastAsiaTheme="minorEastAsia" w:cs="Arial"/>
          <w:b/>
          <w:lang w:val="en-AU" w:bidi="ar-SA"/>
        </w:rPr>
        <w:t>Statement of compatibility with human rights</w:t>
      </w:r>
    </w:p>
    <w:p w14:paraId="4EAB0B07" w14:textId="77777777" w:rsidR="00F616F6" w:rsidRDefault="00F616F6" w:rsidP="00F616F6">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12D2F771" w14:textId="77777777" w:rsidR="00F616F6" w:rsidRPr="00432A42" w:rsidRDefault="00F616F6" w:rsidP="00F616F6">
      <w:pPr>
        <w:rPr>
          <w:b/>
          <w:lang w:val="en-AU" w:eastAsia="en-GB" w:bidi="ar-SA"/>
        </w:rPr>
      </w:pPr>
      <w:r>
        <w:rPr>
          <w:b/>
        </w:rPr>
        <w:t>7</w:t>
      </w:r>
      <w:r w:rsidRPr="00432A42">
        <w:rPr>
          <w:b/>
        </w:rPr>
        <w:t>.</w:t>
      </w:r>
      <w:r w:rsidRPr="00432A42">
        <w:rPr>
          <w:b/>
        </w:rPr>
        <w:tab/>
      </w:r>
      <w:r>
        <w:rPr>
          <w:b/>
          <w:lang w:val="en-AU" w:eastAsia="en-GB" w:bidi="ar-SA"/>
        </w:rPr>
        <w:t>Variation</w:t>
      </w:r>
    </w:p>
    <w:p w14:paraId="426B731B" w14:textId="77777777" w:rsidR="00F616F6" w:rsidRPr="00EA6617" w:rsidRDefault="00F616F6" w:rsidP="00F616F6">
      <w:pPr>
        <w:rPr>
          <w:b/>
          <w:i/>
        </w:rPr>
      </w:pPr>
      <w:r w:rsidRPr="00EA6617">
        <w:rPr>
          <w:b/>
          <w:i/>
        </w:rPr>
        <w:t>7.1</w:t>
      </w:r>
      <w:r w:rsidRPr="00EA6617">
        <w:rPr>
          <w:b/>
          <w:i/>
        </w:rPr>
        <w:tab/>
        <w:t xml:space="preserve">Item [1] </w:t>
      </w:r>
    </w:p>
    <w:p w14:paraId="2F2BB078" w14:textId="77777777" w:rsidR="00F616F6" w:rsidRPr="00D15AF8" w:rsidRDefault="00F616F6" w:rsidP="00F616F6">
      <w:pPr>
        <w:shd w:val="clear" w:color="auto" w:fill="FFFFFF" w:themeFill="background1"/>
        <w:rPr>
          <w:iCs/>
        </w:rPr>
      </w:pPr>
      <w:r w:rsidRPr="00D15AF8">
        <w:rPr>
          <w:b/>
        </w:rPr>
        <w:lastRenderedPageBreak/>
        <w:t>Item [1]</w:t>
      </w:r>
      <w:r w:rsidRPr="00D15AF8">
        <w:rPr>
          <w:iCs/>
        </w:rPr>
        <w:t xml:space="preserve"> of the Schedule to the </w:t>
      </w:r>
      <w:r>
        <w:rPr>
          <w:iCs/>
        </w:rPr>
        <w:t xml:space="preserve">approved </w:t>
      </w:r>
      <w:r w:rsidRPr="00D15AF8">
        <w:rPr>
          <w:iCs/>
        </w:rPr>
        <w:t xml:space="preserve">draft variation </w:t>
      </w:r>
      <w:r w:rsidRPr="00D15AF8">
        <w:t>amend</w:t>
      </w:r>
      <w:r>
        <w:t>s</w:t>
      </w:r>
      <w:r w:rsidRPr="00D15AF8">
        <w:rPr>
          <w:iCs/>
        </w:rPr>
        <w:t xml:space="preserve"> subsection 2.9.1—5(1</w:t>
      </w:r>
      <w:r w:rsidRPr="00D15AF8" w:rsidDel="00F01C65">
        <w:rPr>
          <w:iCs/>
        </w:rPr>
        <w:t>)</w:t>
      </w:r>
      <w:r w:rsidRPr="00D15AF8">
        <w:rPr>
          <w:iCs/>
        </w:rPr>
        <w:t>.</w:t>
      </w:r>
    </w:p>
    <w:p w14:paraId="3A1DC762" w14:textId="77777777" w:rsidR="00F616F6" w:rsidRPr="00D15AF8" w:rsidRDefault="00F616F6" w:rsidP="00F616F6">
      <w:pPr>
        <w:rPr>
          <w:iCs/>
        </w:rPr>
      </w:pPr>
      <w:r w:rsidRPr="00D15AF8">
        <w:rPr>
          <w:iCs/>
        </w:rPr>
        <w:t>Subsection 2.9.1—5(1) provides for the use of nutritive substances in IFP. The subsection provides that a substance listed in Column 1 of the table to section S29—5 may be used as a nutritive substance in an IFP only if the following two conditions are met:</w:t>
      </w:r>
    </w:p>
    <w:p w14:paraId="2376C1A3" w14:textId="77777777" w:rsidR="00F616F6" w:rsidRPr="00D15AF8" w:rsidRDefault="00F616F6" w:rsidP="00F616F6">
      <w:pPr>
        <w:rPr>
          <w:iCs/>
        </w:rPr>
      </w:pPr>
      <w:r w:rsidRPr="00D15AF8">
        <w:rPr>
          <w:iCs/>
        </w:rPr>
        <w:t>(a</w:t>
      </w:r>
      <w:r>
        <w:rPr>
          <w:iCs/>
        </w:rPr>
        <w:t>)</w:t>
      </w:r>
      <w:r w:rsidRPr="00D15AF8">
        <w:rPr>
          <w:iCs/>
        </w:rPr>
        <w:tab/>
        <w:t xml:space="preserve"> it is in a permitted form listed in Column 2 of the table; and</w:t>
      </w:r>
    </w:p>
    <w:p w14:paraId="1DEF4530" w14:textId="77777777" w:rsidR="00F616F6" w:rsidRPr="00D15AF8" w:rsidRDefault="00F616F6" w:rsidP="00F616F6">
      <w:pPr>
        <w:ind w:left="567" w:hanging="567"/>
        <w:rPr>
          <w:iCs/>
        </w:rPr>
      </w:pPr>
      <w:r w:rsidRPr="00D15AF8">
        <w:rPr>
          <w:iCs/>
        </w:rPr>
        <w:t>(b)</w:t>
      </w:r>
      <w:r w:rsidRPr="00D15AF8">
        <w:rPr>
          <w:iCs/>
        </w:rPr>
        <w:tab/>
        <w:t>the amount of the substance in the product (including any naturally-occurring amount) is no more than the corresponding amount listed in Column 4 of the table.</w:t>
      </w:r>
    </w:p>
    <w:p w14:paraId="7F3DF409" w14:textId="77777777" w:rsidR="00F616F6" w:rsidRPr="00D15AF8" w:rsidRDefault="00F616F6" w:rsidP="00F616F6">
      <w:pPr>
        <w:rPr>
          <w:iCs/>
        </w:rPr>
      </w:pPr>
      <w:r w:rsidRPr="00D15AF8">
        <w:rPr>
          <w:iCs/>
        </w:rPr>
        <w:t xml:space="preserve">In particular, </w:t>
      </w:r>
      <w:r w:rsidRPr="00D15AF8">
        <w:rPr>
          <w:b/>
          <w:bCs/>
          <w:iCs/>
        </w:rPr>
        <w:t>item [1]</w:t>
      </w:r>
      <w:r w:rsidRPr="00D15AF8">
        <w:rPr>
          <w:iCs/>
        </w:rPr>
        <w:t xml:space="preserve"> substitute</w:t>
      </w:r>
      <w:r>
        <w:rPr>
          <w:iCs/>
        </w:rPr>
        <w:t>s</w:t>
      </w:r>
      <w:r w:rsidRPr="00D15AF8">
        <w:rPr>
          <w:iCs/>
        </w:rPr>
        <w:t xml:space="preserve"> existing paragraph 2.9.1—5(1)(b), which is currently the end of the subsection, with a new version of the paragraph ending with ‘; and’ which allows for the insertion of new paragraph 2.9.1—5(1)(c)</w:t>
      </w:r>
      <w:r>
        <w:rPr>
          <w:iCs/>
        </w:rPr>
        <w:t>.</w:t>
      </w:r>
      <w:r w:rsidRPr="00D15AF8">
        <w:rPr>
          <w:iCs/>
        </w:rPr>
        <w:t xml:space="preserve">  </w:t>
      </w:r>
    </w:p>
    <w:p w14:paraId="06C806EB" w14:textId="77777777" w:rsidR="00F616F6" w:rsidRPr="00D15AF8" w:rsidRDefault="00F616F6" w:rsidP="00F616F6">
      <w:pPr>
        <w:rPr>
          <w:iCs/>
        </w:rPr>
      </w:pPr>
      <w:r w:rsidRPr="00D15AF8">
        <w:rPr>
          <w:iCs/>
        </w:rPr>
        <w:t>New paragraph 2.9.1—5(1)(c) sets out an additional condition which a substance listed in Column 1 of the table to section S29—5 must meet to be able to be used as a nutritive substance in an IFP—</w:t>
      </w:r>
      <w:r w:rsidRPr="00D15AF8">
        <w:t>the substance complies with any conditions listed in section S29—5A in relation to that substance.</w:t>
      </w:r>
    </w:p>
    <w:p w14:paraId="42BE0C69" w14:textId="77777777" w:rsidR="00F616F6" w:rsidRPr="00D15AF8" w:rsidRDefault="00F616F6" w:rsidP="00F616F6">
      <w:pPr>
        <w:rPr>
          <w:iCs/>
        </w:rPr>
      </w:pPr>
      <w:r w:rsidRPr="00D15AF8">
        <w:rPr>
          <w:b/>
          <w:i/>
        </w:rPr>
        <w:t>7.2</w:t>
      </w:r>
      <w:r w:rsidRPr="00763C14">
        <w:rPr>
          <w:b/>
          <w:i/>
        </w:rPr>
        <w:tab/>
      </w:r>
      <w:r w:rsidRPr="00D15AF8">
        <w:rPr>
          <w:b/>
          <w:i/>
        </w:rPr>
        <w:t>Items [2] and [3]</w:t>
      </w:r>
    </w:p>
    <w:p w14:paraId="0FEEE3FA" w14:textId="77777777" w:rsidR="00F616F6" w:rsidRPr="00D15AF8" w:rsidRDefault="00F616F6" w:rsidP="00F616F6">
      <w:pPr>
        <w:rPr>
          <w:iCs/>
        </w:rPr>
      </w:pPr>
      <w:r w:rsidRPr="00D15AF8">
        <w:rPr>
          <w:b/>
          <w:bCs/>
          <w:iCs/>
        </w:rPr>
        <w:t xml:space="preserve">Items [2] </w:t>
      </w:r>
      <w:r w:rsidRPr="00D15AF8">
        <w:rPr>
          <w:iCs/>
        </w:rPr>
        <w:t>and</w:t>
      </w:r>
      <w:r w:rsidRPr="00D15AF8">
        <w:rPr>
          <w:b/>
          <w:bCs/>
          <w:iCs/>
        </w:rPr>
        <w:t xml:space="preserve"> [3] </w:t>
      </w:r>
      <w:r w:rsidRPr="00D15AF8">
        <w:rPr>
          <w:iCs/>
        </w:rPr>
        <w:t xml:space="preserve">of the Schedule to the </w:t>
      </w:r>
      <w:r>
        <w:rPr>
          <w:iCs/>
        </w:rPr>
        <w:t xml:space="preserve">approved </w:t>
      </w:r>
      <w:r w:rsidRPr="00D15AF8">
        <w:rPr>
          <w:iCs/>
        </w:rPr>
        <w:t xml:space="preserve">draft variation </w:t>
      </w:r>
      <w:r w:rsidRPr="00D15AF8">
        <w:t>amend</w:t>
      </w:r>
      <w:r>
        <w:t>s</w:t>
      </w:r>
      <w:r w:rsidRPr="00D15AF8">
        <w:t xml:space="preserve"> Schedule 3.</w:t>
      </w:r>
    </w:p>
    <w:p w14:paraId="5AAC9A67" w14:textId="77777777" w:rsidR="00F616F6" w:rsidRPr="00D15AF8" w:rsidRDefault="00F616F6" w:rsidP="00F616F6">
      <w:pPr>
        <w:widowControl/>
        <w:spacing w:before="240" w:beforeAutospacing="0" w:after="120" w:afterAutospacing="0"/>
        <w:jc w:val="both"/>
        <w:rPr>
          <w:rFonts w:eastAsia="Calibri" w:cs="Arial"/>
          <w:lang w:val="en-AU" w:bidi="ar-SA"/>
        </w:rPr>
      </w:pPr>
      <w:r w:rsidRPr="00D15AF8">
        <w:rPr>
          <w:rFonts w:eastAsia="Calibri" w:cs="Arial"/>
          <w:lang w:val="en-AU" w:bidi="ar-SA"/>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D15AF8">
        <w:rPr>
          <w:rFonts w:eastAsia="Calibri"/>
          <w:lang w:bidi="ar-SA"/>
        </w:rPr>
        <w:t>subsection S3—2(2)</w:t>
      </w:r>
      <w:r w:rsidRPr="00D15AF8">
        <w:rPr>
          <w:rFonts w:eastAsia="Calibri" w:cs="Arial"/>
          <w:lang w:val="en-AU" w:bidi="ar-SA"/>
        </w:rPr>
        <w:t xml:space="preserve"> (see paragraph S3—2(1)(a)). </w:t>
      </w:r>
    </w:p>
    <w:p w14:paraId="2AAC3E2E" w14:textId="77777777" w:rsidR="00F616F6" w:rsidRPr="00D15AF8" w:rsidRDefault="00F616F6" w:rsidP="00F616F6">
      <w:pPr>
        <w:rPr>
          <w:iCs/>
        </w:rPr>
      </w:pPr>
      <w:r w:rsidRPr="00D15AF8">
        <w:rPr>
          <w:b/>
          <w:bCs/>
          <w:iCs/>
        </w:rPr>
        <w:t>Item [2]</w:t>
      </w:r>
      <w:r w:rsidRPr="00D15AF8">
        <w:rPr>
          <w:iCs/>
        </w:rPr>
        <w:t xml:space="preserve"> amend</w:t>
      </w:r>
      <w:r>
        <w:rPr>
          <w:iCs/>
        </w:rPr>
        <w:t>s</w:t>
      </w:r>
      <w:r w:rsidRPr="00D15AF8">
        <w:rPr>
          <w:iCs/>
        </w:rPr>
        <w:t xml:space="preserve"> the table to subsection S3—2(2) by inserting, in alphabetical order, a new entry for ‘</w:t>
      </w:r>
      <w:r w:rsidRPr="00D15AF8">
        <w:t>bovine lactoferrin’</w:t>
      </w:r>
      <w:r w:rsidRPr="00D15AF8">
        <w:rPr>
          <w:iCs/>
        </w:rPr>
        <w:t xml:space="preserve"> </w:t>
      </w:r>
      <w:r w:rsidRPr="00D15AF8">
        <w:rPr>
          <w:rFonts w:eastAsia="Calibri"/>
        </w:rPr>
        <w:t xml:space="preserve">and a corresponding reference to new </w:t>
      </w:r>
      <w:r w:rsidRPr="00D15AF8">
        <w:rPr>
          <w:rFonts w:eastAsia="Calibri"/>
          <w:lang w:bidi="ar-SA"/>
        </w:rPr>
        <w:t xml:space="preserve">section S3—46 (see </w:t>
      </w:r>
      <w:r w:rsidRPr="00D15AF8">
        <w:rPr>
          <w:rFonts w:eastAsia="Calibri"/>
          <w:b/>
          <w:lang w:bidi="ar-SA"/>
        </w:rPr>
        <w:t>item [3]</w:t>
      </w:r>
      <w:r w:rsidRPr="00D15AF8">
        <w:rPr>
          <w:rFonts w:eastAsia="Calibri"/>
          <w:lang w:bidi="ar-SA"/>
        </w:rPr>
        <w:t xml:space="preserve"> below)</w:t>
      </w:r>
      <w:r w:rsidRPr="00D15AF8">
        <w:rPr>
          <w:iCs/>
        </w:rPr>
        <w:t>.</w:t>
      </w:r>
    </w:p>
    <w:p w14:paraId="2CDA3F9B" w14:textId="77777777" w:rsidR="00F616F6" w:rsidRPr="00D15AF8" w:rsidRDefault="00F616F6" w:rsidP="00F616F6">
      <w:pPr>
        <w:rPr>
          <w:rFonts w:eastAsia="Calibri"/>
        </w:rPr>
      </w:pPr>
      <w:r w:rsidRPr="00D15AF8">
        <w:rPr>
          <w:b/>
          <w:bCs/>
          <w:iCs/>
        </w:rPr>
        <w:t xml:space="preserve">Item [3] </w:t>
      </w:r>
      <w:r w:rsidRPr="00D15AF8">
        <w:rPr>
          <w:rFonts w:eastAsia="Calibri"/>
          <w:lang w:bidi="ar-SA"/>
        </w:rPr>
        <w:t>insert</w:t>
      </w:r>
      <w:r>
        <w:rPr>
          <w:rFonts w:eastAsia="Calibri"/>
          <w:lang w:bidi="ar-SA"/>
        </w:rPr>
        <w:t>s</w:t>
      </w:r>
      <w:r w:rsidRPr="00D15AF8">
        <w:rPr>
          <w:rFonts w:eastAsia="Calibri"/>
          <w:lang w:bidi="ar-SA"/>
        </w:rPr>
        <w:t xml:space="preserve">, in numerical order, new </w:t>
      </w:r>
      <w:r w:rsidRPr="00D15AF8">
        <w:rPr>
          <w:rFonts w:eastAsia="Calibri"/>
        </w:rPr>
        <w:t>section S3—46 into Schedule 3. The new section sets out a specification for the substance ‘bovine lactoferrin’, which contains identity and purity specifications for that substance.</w:t>
      </w:r>
    </w:p>
    <w:p w14:paraId="4BC6EF6E" w14:textId="77777777" w:rsidR="00F616F6" w:rsidRPr="00D15AF8" w:rsidRDefault="00F616F6" w:rsidP="00F616F6">
      <w:pPr>
        <w:rPr>
          <w:b/>
          <w:bCs/>
          <w:i/>
        </w:rPr>
      </w:pPr>
      <w:r w:rsidRPr="00D15AF8">
        <w:t xml:space="preserve"> </w:t>
      </w:r>
      <w:r w:rsidRPr="00D15AF8">
        <w:rPr>
          <w:b/>
          <w:bCs/>
          <w:i/>
        </w:rPr>
        <w:t xml:space="preserve">7.3 </w:t>
      </w:r>
      <w:r w:rsidRPr="00D15AF8">
        <w:tab/>
      </w:r>
      <w:r w:rsidRPr="00D15AF8">
        <w:rPr>
          <w:b/>
          <w:bCs/>
          <w:i/>
        </w:rPr>
        <w:t>Items [4] and [5]</w:t>
      </w:r>
    </w:p>
    <w:p w14:paraId="29DC2BCC" w14:textId="77777777" w:rsidR="00F616F6" w:rsidRPr="00D15AF8" w:rsidRDefault="00F616F6" w:rsidP="00F616F6">
      <w:pPr>
        <w:rPr>
          <w:iCs/>
        </w:rPr>
      </w:pPr>
      <w:r w:rsidRPr="00D15AF8">
        <w:rPr>
          <w:b/>
          <w:bCs/>
          <w:iCs/>
        </w:rPr>
        <w:t>Items [4]</w:t>
      </w:r>
      <w:r w:rsidRPr="00D15AF8">
        <w:rPr>
          <w:iCs/>
        </w:rPr>
        <w:t xml:space="preserve"> and </w:t>
      </w:r>
      <w:r w:rsidRPr="00D15AF8">
        <w:rPr>
          <w:b/>
          <w:bCs/>
          <w:iCs/>
        </w:rPr>
        <w:t>[5]</w:t>
      </w:r>
      <w:r w:rsidRPr="00D15AF8">
        <w:rPr>
          <w:iCs/>
        </w:rPr>
        <w:t xml:space="preserve"> of the Schedule to the </w:t>
      </w:r>
      <w:r>
        <w:rPr>
          <w:iCs/>
        </w:rPr>
        <w:t xml:space="preserve">approved </w:t>
      </w:r>
      <w:r w:rsidRPr="00D15AF8">
        <w:rPr>
          <w:iCs/>
        </w:rPr>
        <w:t xml:space="preserve">draft variation </w:t>
      </w:r>
      <w:r w:rsidRPr="00D15AF8">
        <w:t>amend Schedule 29.</w:t>
      </w:r>
    </w:p>
    <w:p w14:paraId="7E890CF8" w14:textId="77777777" w:rsidR="00F616F6" w:rsidRPr="00D15AF8" w:rsidRDefault="00F616F6" w:rsidP="00F616F6">
      <w:r w:rsidRPr="00D15AF8">
        <w:rPr>
          <w:b/>
          <w:bCs/>
          <w:iCs/>
        </w:rPr>
        <w:t>Item [4]</w:t>
      </w:r>
      <w:r w:rsidRPr="00D15AF8">
        <w:rPr>
          <w:b/>
        </w:rPr>
        <w:t xml:space="preserve"> </w:t>
      </w:r>
      <w:r w:rsidRPr="00D15AF8">
        <w:rPr>
          <w:iCs/>
        </w:rPr>
        <w:t>amend</w:t>
      </w:r>
      <w:r>
        <w:rPr>
          <w:iCs/>
        </w:rPr>
        <w:t>s</w:t>
      </w:r>
      <w:r w:rsidRPr="00D15AF8">
        <w:rPr>
          <w:iCs/>
        </w:rPr>
        <w:t xml:space="preserve"> the table to </w:t>
      </w:r>
      <w:r w:rsidRPr="00D15AF8">
        <w:t xml:space="preserve">section S29—5 by inserting, in alphabetical order, a new entry for </w:t>
      </w:r>
      <w:proofErr w:type="spellStart"/>
      <w:r w:rsidRPr="00D15AF8">
        <w:t>bLf</w:t>
      </w:r>
      <w:proofErr w:type="spellEnd"/>
      <w:r w:rsidRPr="00D15AF8">
        <w:t xml:space="preserve"> into the table as follows:</w:t>
      </w:r>
    </w:p>
    <w:p w14:paraId="6AC37A75" w14:textId="77777777" w:rsidR="00F616F6" w:rsidRPr="00D15AF8" w:rsidRDefault="00F616F6" w:rsidP="00F616F6">
      <w:r w:rsidRPr="00D15AF8">
        <w:rPr>
          <w:iCs/>
        </w:rPr>
        <w:t>Column 1 – ‘</w:t>
      </w:r>
      <w:r w:rsidRPr="00D15AF8">
        <w:t>Lactoferrin’ as the substance;</w:t>
      </w:r>
    </w:p>
    <w:p w14:paraId="683DB7CA" w14:textId="77777777" w:rsidR="00F616F6" w:rsidRPr="00D15AF8" w:rsidRDefault="00F616F6" w:rsidP="00F616F6">
      <w:r w:rsidRPr="00D15AF8">
        <w:rPr>
          <w:iCs/>
        </w:rPr>
        <w:t>Column 2 – ‘</w:t>
      </w:r>
      <w:r w:rsidRPr="00D15AF8">
        <w:t>Bovine lactoferrin’ as the permitted form of the substance; and</w:t>
      </w:r>
    </w:p>
    <w:p w14:paraId="22C09FB2" w14:textId="77777777" w:rsidR="00F616F6" w:rsidRPr="00D15AF8" w:rsidRDefault="00F616F6" w:rsidP="00F616F6">
      <w:pPr>
        <w:rPr>
          <w:iCs/>
        </w:rPr>
      </w:pPr>
      <w:r w:rsidRPr="00D15AF8">
        <w:rPr>
          <w:iCs/>
        </w:rPr>
        <w:t>Column 4 – ‘</w:t>
      </w:r>
      <w:r w:rsidRPr="00D15AF8">
        <w:t>40 mg’ as the maximum amount of the substance in an IFP (per 100 kJ).</w:t>
      </w:r>
    </w:p>
    <w:p w14:paraId="52BB24F0" w14:textId="77777777" w:rsidR="00F616F6" w:rsidRPr="00D15AF8" w:rsidRDefault="00F616F6" w:rsidP="00F616F6">
      <w:pPr>
        <w:rPr>
          <w:iCs/>
        </w:rPr>
      </w:pPr>
      <w:r w:rsidRPr="00D15AF8">
        <w:rPr>
          <w:b/>
        </w:rPr>
        <w:t>Item [5]</w:t>
      </w:r>
      <w:r w:rsidRPr="00D15AF8">
        <w:rPr>
          <w:iCs/>
        </w:rPr>
        <w:t xml:space="preserve"> </w:t>
      </w:r>
      <w:r w:rsidRPr="00D15AF8">
        <w:t>insert</w:t>
      </w:r>
      <w:r>
        <w:t>s</w:t>
      </w:r>
      <w:r w:rsidRPr="00D15AF8" w:rsidDel="004775B9">
        <w:rPr>
          <w:iCs/>
        </w:rPr>
        <w:t xml:space="preserve"> </w:t>
      </w:r>
      <w:r w:rsidRPr="00D15AF8">
        <w:rPr>
          <w:iCs/>
        </w:rPr>
        <w:t xml:space="preserve">new section S29—5A into Schedule 29. The new section sets out the conditions of use of permitted nutritive substances in </w:t>
      </w:r>
      <w:r>
        <w:rPr>
          <w:iCs/>
        </w:rPr>
        <w:t>IFP</w:t>
      </w:r>
      <w:r w:rsidRPr="00D15AF8">
        <w:rPr>
          <w:iCs/>
        </w:rPr>
        <w:t xml:space="preserve">. </w:t>
      </w:r>
    </w:p>
    <w:p w14:paraId="7084EAA5" w14:textId="77777777" w:rsidR="00F616F6" w:rsidRPr="00D15AF8" w:rsidRDefault="00F616F6" w:rsidP="00F616F6">
      <w:pPr>
        <w:rPr>
          <w:iCs/>
        </w:rPr>
      </w:pPr>
      <w:r w:rsidRPr="00D15AF8">
        <w:rPr>
          <w:iCs/>
        </w:rPr>
        <w:lastRenderedPageBreak/>
        <w:t>Subsection S29—5A(1) refers to the table to subsection S29—5A(2) and provides that a substance that is:</w:t>
      </w:r>
    </w:p>
    <w:p w14:paraId="362AA584" w14:textId="77777777" w:rsidR="00F616F6" w:rsidRPr="00D15AF8" w:rsidRDefault="00F616F6" w:rsidP="00F616F6">
      <w:pPr>
        <w:pStyle w:val="ListParagraph"/>
        <w:numPr>
          <w:ilvl w:val="1"/>
          <w:numId w:val="16"/>
        </w:numPr>
      </w:pPr>
      <w:r w:rsidRPr="00D15AF8">
        <w:t>listed in Column 1 of the table to subsection (2); and</w:t>
      </w:r>
    </w:p>
    <w:p w14:paraId="1D1C903F" w14:textId="77777777" w:rsidR="00F616F6" w:rsidRPr="00D15AF8" w:rsidRDefault="00F616F6" w:rsidP="00F616F6">
      <w:pPr>
        <w:pStyle w:val="ListParagraph"/>
        <w:numPr>
          <w:ilvl w:val="1"/>
          <w:numId w:val="16"/>
        </w:numPr>
      </w:pPr>
      <w:r w:rsidRPr="00D15AF8">
        <w:t>in a permitted form listed in Column 2 of that table for that substance;</w:t>
      </w:r>
    </w:p>
    <w:p w14:paraId="6BD68BD0" w14:textId="77777777" w:rsidR="00F616F6" w:rsidRPr="00D15AF8" w:rsidRDefault="00F616F6" w:rsidP="00F616F6">
      <w:pPr>
        <w:rPr>
          <w:iCs/>
        </w:rPr>
      </w:pPr>
      <w:r w:rsidRPr="00D15AF8">
        <w:rPr>
          <w:iCs/>
        </w:rPr>
        <w:t>must comply with any corresponding conditions specified in Column 3 of that table for that permitted form.</w:t>
      </w:r>
    </w:p>
    <w:p w14:paraId="20BE9CFB" w14:textId="77777777" w:rsidR="00F616F6" w:rsidRPr="00D15AF8" w:rsidRDefault="00F616F6" w:rsidP="00F616F6">
      <w:pPr>
        <w:rPr>
          <w:iCs/>
        </w:rPr>
      </w:pPr>
      <w:r w:rsidRPr="00D15AF8">
        <w:rPr>
          <w:iCs/>
        </w:rPr>
        <w:t>Subsection S29—5A(2) sets out a table headed ‘Conditions of use for permitted nutritive substances’. The table has three Columns listing the substance, the permitted form of the substance, and conditions of use for the permitted form of the substance respectively.</w:t>
      </w:r>
    </w:p>
    <w:p w14:paraId="4B990ABF" w14:textId="77777777" w:rsidR="00F616F6" w:rsidRPr="00D15AF8" w:rsidRDefault="00F616F6" w:rsidP="00F616F6">
      <w:r w:rsidRPr="00D15AF8">
        <w:rPr>
          <w:iCs/>
        </w:rPr>
        <w:t>‘</w:t>
      </w:r>
      <w:r w:rsidRPr="00D15AF8">
        <w:t>Lactoferrin’ is listed as the substance in Column 1.</w:t>
      </w:r>
    </w:p>
    <w:p w14:paraId="493E18C1" w14:textId="77777777" w:rsidR="00F616F6" w:rsidRPr="00D15AF8" w:rsidRDefault="00F616F6" w:rsidP="00F616F6">
      <w:r w:rsidRPr="00D15AF8">
        <w:rPr>
          <w:iCs/>
        </w:rPr>
        <w:t>‘</w:t>
      </w:r>
      <w:r w:rsidRPr="00D15AF8">
        <w:t>Bovine lactoferrin’ is listed as permitted form of the substance in Column 2.</w:t>
      </w:r>
    </w:p>
    <w:p w14:paraId="6E487602" w14:textId="77777777" w:rsidR="00F616F6" w:rsidRPr="00D15AF8" w:rsidRDefault="00F616F6" w:rsidP="00F616F6">
      <w:r w:rsidRPr="00D15AF8">
        <w:t>The following two conditions (related to an exclusive use permission) are listed in Column 3:</w:t>
      </w:r>
    </w:p>
    <w:p w14:paraId="6CE41905" w14:textId="77777777" w:rsidR="00F616F6" w:rsidRPr="00D15AF8" w:rsidRDefault="00F616F6" w:rsidP="00F616F6">
      <w:pPr>
        <w:pStyle w:val="ListParagraph"/>
        <w:numPr>
          <w:ilvl w:val="0"/>
          <w:numId w:val="15"/>
        </w:numPr>
      </w:pPr>
      <w:r w:rsidRPr="00D15AF8">
        <w:t xml:space="preserve">During the exclusive use period, </w:t>
      </w:r>
      <w:proofErr w:type="spellStart"/>
      <w:r w:rsidRPr="00D15AF8">
        <w:t>bLf</w:t>
      </w:r>
      <w:proofErr w:type="spellEnd"/>
      <w:r w:rsidRPr="00D15AF8">
        <w:t xml:space="preserve"> may only be sold </w:t>
      </w:r>
      <w:r w:rsidRPr="00A22E53">
        <w:t xml:space="preserve">under the brand </w:t>
      </w:r>
      <w:proofErr w:type="spellStart"/>
      <w:r w:rsidRPr="00A22E53">
        <w:t>Synlait</w:t>
      </w:r>
      <w:proofErr w:type="spellEnd"/>
      <w:r w:rsidRPr="00A22E53">
        <w:t xml:space="preserve"> </w:t>
      </w:r>
      <w:r w:rsidRPr="00D15AF8">
        <w:t>for use as a nutritive substance in an IFP.</w:t>
      </w:r>
    </w:p>
    <w:p w14:paraId="05A0BD0C" w14:textId="77777777" w:rsidR="00F616F6" w:rsidRPr="00D15AF8" w:rsidRDefault="00F616F6" w:rsidP="00F616F6">
      <w:pPr>
        <w:pStyle w:val="ListParagraph"/>
        <w:numPr>
          <w:ilvl w:val="0"/>
          <w:numId w:val="15"/>
        </w:numPr>
        <w:rPr>
          <w:lang w:val="en-AU"/>
        </w:rPr>
      </w:pPr>
      <w:r w:rsidRPr="00D15AF8">
        <w:rPr>
          <w:lang w:val="en-AU"/>
        </w:rPr>
        <w:t xml:space="preserve">For the purposes of condition 1 above, </w:t>
      </w:r>
      <w:r w:rsidRPr="00D15AF8">
        <w:rPr>
          <w:b/>
          <w:bCs/>
          <w:lang w:val="en-AU"/>
        </w:rPr>
        <w:t>exclusive use period</w:t>
      </w:r>
      <w:r w:rsidRPr="00D15AF8">
        <w:rPr>
          <w:lang w:val="en-AU"/>
        </w:rPr>
        <w:t xml:space="preserve"> means the period commencing on the date of gazettal of the </w:t>
      </w:r>
      <w:r w:rsidRPr="00D15AF8">
        <w:rPr>
          <w:i/>
          <w:iCs/>
          <w:lang w:val="en-AU"/>
        </w:rPr>
        <w:t>Food Standards (Application A1253 – Bovine Lactoferrin in Infant Formula Products) Variation</w:t>
      </w:r>
      <w:r w:rsidRPr="00D15AF8">
        <w:rPr>
          <w:lang w:val="en-AU"/>
        </w:rPr>
        <w:t xml:space="preserve"> and ending 15 months after that date.</w:t>
      </w:r>
    </w:p>
    <w:p w14:paraId="02811BF4" w14:textId="77777777" w:rsidR="00F616F6" w:rsidRDefault="00F616F6" w:rsidP="00F616F6">
      <w:r>
        <w:rPr>
          <w:iCs/>
        </w:rPr>
        <w:t>T</w:t>
      </w:r>
      <w:r w:rsidRPr="00D15AF8">
        <w:rPr>
          <w:iCs/>
        </w:rPr>
        <w:t xml:space="preserve">he effect of the </w:t>
      </w:r>
      <w:r>
        <w:rPr>
          <w:iCs/>
        </w:rPr>
        <w:t xml:space="preserve">approved </w:t>
      </w:r>
      <w:r w:rsidRPr="00D15AF8">
        <w:rPr>
          <w:iCs/>
        </w:rPr>
        <w:t xml:space="preserve">draft variation </w:t>
      </w:r>
      <w:r>
        <w:rPr>
          <w:iCs/>
        </w:rPr>
        <w:t>is to permit the use of</w:t>
      </w:r>
      <w:r w:rsidRPr="00D15AF8">
        <w:rPr>
          <w:iCs/>
        </w:rPr>
        <w:t xml:space="preserve"> </w:t>
      </w:r>
      <w:proofErr w:type="spellStart"/>
      <w:r w:rsidRPr="00D15AF8">
        <w:rPr>
          <w:iCs/>
        </w:rPr>
        <w:t>bLf</w:t>
      </w:r>
      <w:proofErr w:type="spellEnd"/>
      <w:r w:rsidRPr="00D15AF8">
        <w:rPr>
          <w:iCs/>
        </w:rPr>
        <w:t xml:space="preserve"> as a nutritive substance in IFP </w:t>
      </w:r>
      <w:r w:rsidRPr="00D15AF8">
        <w:t>in accordance with the Code</w:t>
      </w:r>
      <w:r>
        <w:t>.</w:t>
      </w:r>
    </w:p>
    <w:p w14:paraId="2E1A01A9" w14:textId="77777777" w:rsidR="00F616F6" w:rsidRDefault="00F616F6" w:rsidP="00F616F6">
      <w:pPr>
        <w:rPr>
          <w:lang w:val="en-AU" w:eastAsia="en-GB" w:bidi="ar-SA"/>
        </w:rPr>
      </w:pPr>
    </w:p>
    <w:p w14:paraId="20C7874A"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0BC"/>
    <w:multiLevelType w:val="hybridMultilevel"/>
    <w:tmpl w:val="FFFFFFFF"/>
    <w:lvl w:ilvl="0" w:tplc="0728C678">
      <w:start w:val="1"/>
      <w:numFmt w:val="bullet"/>
      <w:lvlText w:val=""/>
      <w:lvlJc w:val="left"/>
      <w:pPr>
        <w:ind w:left="720" w:hanging="360"/>
      </w:pPr>
      <w:rPr>
        <w:rFonts w:ascii="Symbol" w:hAnsi="Symbol" w:hint="default"/>
      </w:rPr>
    </w:lvl>
    <w:lvl w:ilvl="1" w:tplc="65F24A98">
      <w:start w:val="1"/>
      <w:numFmt w:val="bullet"/>
      <w:lvlText w:val="o"/>
      <w:lvlJc w:val="left"/>
      <w:pPr>
        <w:ind w:left="1440" w:hanging="360"/>
      </w:pPr>
      <w:rPr>
        <w:rFonts w:ascii="Courier New" w:hAnsi="Courier New" w:hint="default"/>
      </w:rPr>
    </w:lvl>
    <w:lvl w:ilvl="2" w:tplc="05E0CA24">
      <w:start w:val="1"/>
      <w:numFmt w:val="bullet"/>
      <w:lvlText w:val=""/>
      <w:lvlJc w:val="left"/>
      <w:pPr>
        <w:ind w:left="2160" w:hanging="360"/>
      </w:pPr>
      <w:rPr>
        <w:rFonts w:ascii="Wingdings" w:hAnsi="Wingdings" w:hint="default"/>
      </w:rPr>
    </w:lvl>
    <w:lvl w:ilvl="3" w:tplc="59E875B6">
      <w:start w:val="1"/>
      <w:numFmt w:val="bullet"/>
      <w:lvlText w:val=""/>
      <w:lvlJc w:val="left"/>
      <w:pPr>
        <w:ind w:left="2880" w:hanging="360"/>
      </w:pPr>
      <w:rPr>
        <w:rFonts w:ascii="Symbol" w:hAnsi="Symbol" w:hint="default"/>
      </w:rPr>
    </w:lvl>
    <w:lvl w:ilvl="4" w:tplc="5D448D54">
      <w:start w:val="1"/>
      <w:numFmt w:val="bullet"/>
      <w:lvlText w:val="o"/>
      <w:lvlJc w:val="left"/>
      <w:pPr>
        <w:ind w:left="3600" w:hanging="360"/>
      </w:pPr>
      <w:rPr>
        <w:rFonts w:ascii="Courier New" w:hAnsi="Courier New" w:hint="default"/>
      </w:rPr>
    </w:lvl>
    <w:lvl w:ilvl="5" w:tplc="65526FCC">
      <w:start w:val="1"/>
      <w:numFmt w:val="bullet"/>
      <w:lvlText w:val=""/>
      <w:lvlJc w:val="left"/>
      <w:pPr>
        <w:ind w:left="4320" w:hanging="360"/>
      </w:pPr>
      <w:rPr>
        <w:rFonts w:ascii="Wingdings" w:hAnsi="Wingdings" w:hint="default"/>
      </w:rPr>
    </w:lvl>
    <w:lvl w:ilvl="6" w:tplc="4B8CAE30">
      <w:start w:val="1"/>
      <w:numFmt w:val="bullet"/>
      <w:lvlText w:val=""/>
      <w:lvlJc w:val="left"/>
      <w:pPr>
        <w:ind w:left="5040" w:hanging="360"/>
      </w:pPr>
      <w:rPr>
        <w:rFonts w:ascii="Symbol" w:hAnsi="Symbol" w:hint="default"/>
      </w:rPr>
    </w:lvl>
    <w:lvl w:ilvl="7" w:tplc="F24C15BC">
      <w:start w:val="1"/>
      <w:numFmt w:val="bullet"/>
      <w:lvlText w:val="o"/>
      <w:lvlJc w:val="left"/>
      <w:pPr>
        <w:ind w:left="5760" w:hanging="360"/>
      </w:pPr>
      <w:rPr>
        <w:rFonts w:ascii="Courier New" w:hAnsi="Courier New" w:hint="default"/>
      </w:rPr>
    </w:lvl>
    <w:lvl w:ilvl="8" w:tplc="20887AF6">
      <w:start w:val="1"/>
      <w:numFmt w:val="bullet"/>
      <w:lvlText w:val=""/>
      <w:lvlJc w:val="left"/>
      <w:pPr>
        <w:ind w:left="6480" w:hanging="360"/>
      </w:pPr>
      <w:rPr>
        <w:rFonts w:ascii="Wingdings" w:hAnsi="Wingdings" w:hint="default"/>
      </w:rPr>
    </w:lvl>
  </w:abstractNum>
  <w:abstractNum w:abstractNumId="1" w15:restartNumberingAfterBreak="0">
    <w:nsid w:val="31A4235F"/>
    <w:multiLevelType w:val="hybridMultilevel"/>
    <w:tmpl w:val="408EFAC2"/>
    <w:lvl w:ilvl="0" w:tplc="740089A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F535E"/>
    <w:multiLevelType w:val="hybridMultilevel"/>
    <w:tmpl w:val="24D675F6"/>
    <w:lvl w:ilvl="0" w:tplc="FFFFFFFF">
      <w:start w:val="1"/>
      <w:numFmt w:val="bullet"/>
      <w:lvlText w:val=""/>
      <w:lvlJc w:val="left"/>
      <w:pPr>
        <w:ind w:left="720" w:hanging="360"/>
      </w:pPr>
      <w:rPr>
        <w:rFonts w:ascii="Symbol" w:hAnsi="Symbol" w:hint="default"/>
      </w:rPr>
    </w:lvl>
    <w:lvl w:ilvl="1" w:tplc="EEB4217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07452911">
    <w:abstractNumId w:val="2"/>
  </w:num>
  <w:num w:numId="2" w16cid:durableId="1707221042">
    <w:abstractNumId w:val="2"/>
  </w:num>
  <w:num w:numId="3" w16cid:durableId="1577665226">
    <w:abstractNumId w:val="2"/>
  </w:num>
  <w:num w:numId="4" w16cid:durableId="2133858148">
    <w:abstractNumId w:val="2"/>
  </w:num>
  <w:num w:numId="5" w16cid:durableId="1505784004">
    <w:abstractNumId w:val="2"/>
  </w:num>
  <w:num w:numId="6" w16cid:durableId="473446682">
    <w:abstractNumId w:val="2"/>
  </w:num>
  <w:num w:numId="7" w16cid:durableId="2056616375">
    <w:abstractNumId w:val="2"/>
  </w:num>
  <w:num w:numId="8" w16cid:durableId="1000161468">
    <w:abstractNumId w:val="6"/>
  </w:num>
  <w:num w:numId="9" w16cid:durableId="1637296098">
    <w:abstractNumId w:val="3"/>
  </w:num>
  <w:num w:numId="10" w16cid:durableId="1245795945">
    <w:abstractNumId w:val="5"/>
  </w:num>
  <w:num w:numId="11" w16cid:durableId="171647397">
    <w:abstractNumId w:val="6"/>
  </w:num>
  <w:num w:numId="12" w16cid:durableId="1076051491">
    <w:abstractNumId w:val="3"/>
  </w:num>
  <w:num w:numId="13" w16cid:durableId="1657606805">
    <w:abstractNumId w:val="5"/>
  </w:num>
  <w:num w:numId="14" w16cid:durableId="493230744">
    <w:abstractNumId w:val="0"/>
  </w:num>
  <w:num w:numId="15" w16cid:durableId="1817724880">
    <w:abstractNumId w:val="1"/>
  </w:num>
  <w:num w:numId="16" w16cid:durableId="86733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F6"/>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80EC4"/>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0C4"/>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616F6"/>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E65E"/>
  <w15:chartTrackingRefBased/>
  <w15:docId w15:val="{12541FDD-CA29-4E97-835B-DF5E12E1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F616F6"/>
    <w:pPr>
      <w:widowControl w:val="0"/>
      <w:spacing w:before="100" w:beforeAutospacing="1" w:after="100" w:afterAutospacing="1"/>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CDraftingitem">
    <w:name w:val="FSC_Drafting_item"/>
    <w:basedOn w:val="Normal"/>
    <w:qFormat/>
    <w:rsid w:val="00F616F6"/>
    <w:pPr>
      <w:widowControl/>
      <w:tabs>
        <w:tab w:val="left" w:pos="851"/>
      </w:tabs>
      <w:spacing w:before="120" w:after="120"/>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EA3B-09A6-4A37-8B20-7497D51CC558}">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0DBF6F32-C436-4BEA-BBC8-56FE8C3A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55F8E-D9BC-4463-BCA0-55FC74FFA428}">
  <ds:schemaRefs>
    <ds:schemaRef ds:uri="Microsoft.SharePoint.Taxonomy.ContentTypeSync"/>
  </ds:schemaRefs>
</ds:datastoreItem>
</file>

<file path=customXml/itemProps4.xml><?xml version="1.0" encoding="utf-8"?>
<ds:datastoreItem xmlns:ds="http://schemas.openxmlformats.org/officeDocument/2006/customXml" ds:itemID="{D5EBE34E-AED0-4A94-8431-B6A6B008ECCD}">
  <ds:schemaRefs>
    <ds:schemaRef ds:uri="http://schemas.microsoft.com/sharepoint/v3/contenttype/forms"/>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8368</Characters>
  <Application>Microsoft Office Word</Application>
  <DocSecurity>0</DocSecurity>
  <Lines>69</Lines>
  <Paragraphs>19</Paragraphs>
  <ScaleCrop>false</ScaleCrop>
  <Company>Food Standards Australia New Zealand</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ronals</cp:lastModifiedBy>
  <cp:revision>2</cp:revision>
  <dcterms:created xsi:type="dcterms:W3CDTF">2023-04-17T22:52:00Z</dcterms:created>
  <dcterms:modified xsi:type="dcterms:W3CDTF">2023-04-17T22:52:00Z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35;#Instruments|4a8ff5e5-1f0e-4751-ab44-bc0d33b46a80</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