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BD58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cs="Arial"/>
          <w:b/>
          <w:bCs/>
          <w:sz w:val="20"/>
          <w:szCs w:val="20"/>
          <w:lang w:eastAsia="en-AU" w:bidi="ar-SA"/>
        </w:rPr>
      </w:pPr>
      <w:r w:rsidRPr="00D15AF8">
        <w:rPr>
          <w:noProof/>
          <w:shd w:val="clear" w:color="auto" w:fill="E6E6E6"/>
          <w:lang w:eastAsia="en-GB" w:bidi="ar-SA"/>
        </w:rPr>
        <w:drawing>
          <wp:inline distT="0" distB="0" distL="0" distR="0" wp14:anchorId="4CA9ABAC" wp14:editId="05466FF1">
            <wp:extent cx="2657475" cy="428625"/>
            <wp:effectExtent l="0" t="0" r="0" b="0"/>
            <wp:docPr id="1119187184" name="Picture 1119187184" descr="Description: 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87184" name="Picture 1119187184" descr="Description: Food Standards Australia New Zealan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A65F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br/>
      </w:r>
      <w:r w:rsidRPr="00D15AF8">
        <w:rPr>
          <w:rFonts w:cs="Arial"/>
          <w:b/>
          <w:bCs/>
          <w:sz w:val="20"/>
          <w:szCs w:val="20"/>
          <w:lang w:eastAsia="en-AU" w:bidi="ar-SA"/>
        </w:rPr>
        <w:t>Food Standards (Application A1253 – Bovine Lactoferrin in Infant Formula Products) Variation</w:t>
      </w: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1C585657" w14:textId="77777777" w:rsidR="007D349B" w:rsidRPr="00C0014E" w:rsidRDefault="007D349B" w:rsidP="007D349B">
      <w:pPr>
        <w:pBdr>
          <w:bottom w:val="single" w:sz="4" w:space="1" w:color="auto"/>
        </w:pBdr>
        <w:spacing w:before="0" w:beforeAutospacing="0" w:after="0" w:afterAutospacing="0"/>
        <w:rPr>
          <w:b/>
          <w:sz w:val="20"/>
        </w:rPr>
      </w:pPr>
    </w:p>
    <w:p w14:paraId="03F51A8E" w14:textId="77777777" w:rsidR="007D349B" w:rsidRDefault="007D349B" w:rsidP="007D349B">
      <w:pPr>
        <w:widowControl/>
        <w:spacing w:before="0" w:beforeAutospacing="0" w:after="0" w:afterAutospacing="0"/>
        <w:textAlignment w:val="baseline"/>
        <w:rPr>
          <w:rFonts w:cs="Arial"/>
          <w:sz w:val="20"/>
          <w:szCs w:val="20"/>
          <w:lang w:eastAsia="en-AU" w:bidi="ar-SA"/>
        </w:rPr>
      </w:pPr>
    </w:p>
    <w:p w14:paraId="6D086FFB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eastAsia="en-AU" w:bidi="ar-SA"/>
        </w:rPr>
        <w:t xml:space="preserve">The Board of Food Standards Australia New Zealand gives notice of the making of this variation under section 92 of the </w:t>
      </w:r>
      <w:r w:rsidRPr="00D15AF8">
        <w:rPr>
          <w:rFonts w:cs="Arial"/>
          <w:i/>
          <w:iCs/>
          <w:sz w:val="20"/>
          <w:szCs w:val="20"/>
          <w:lang w:eastAsia="en-AU" w:bidi="ar-SA"/>
        </w:rPr>
        <w:t>Food Standards Australia New Zealand Act 1991</w:t>
      </w:r>
      <w:r w:rsidRPr="00D15AF8">
        <w:rPr>
          <w:rFonts w:cs="Arial"/>
          <w:sz w:val="20"/>
          <w:szCs w:val="20"/>
          <w:lang w:eastAsia="en-AU" w:bidi="ar-SA"/>
        </w:rPr>
        <w:t>.  The variation commences on the date specified in clause 3 of this variation.</w:t>
      </w: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77BCEB70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25A12040" w14:textId="2FBE7BC9" w:rsidR="007D349B" w:rsidRPr="002846FB" w:rsidRDefault="2A3B4360" w:rsidP="66CA15DD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66CA15DD">
        <w:rPr>
          <w:rFonts w:cs="Arial"/>
          <w:sz w:val="20"/>
          <w:szCs w:val="20"/>
          <w:lang w:eastAsia="en-AU" w:bidi="ar-SA"/>
        </w:rPr>
        <w:t xml:space="preserve">Dated </w:t>
      </w:r>
      <w:r w:rsidR="00A274EF">
        <w:rPr>
          <w:rFonts w:cs="Arial"/>
          <w:sz w:val="20"/>
          <w:szCs w:val="20"/>
          <w:lang w:eastAsia="en-AU" w:bidi="ar-SA"/>
        </w:rPr>
        <w:t>17</w:t>
      </w:r>
      <w:r w:rsidR="6406185B" w:rsidRPr="002846FB">
        <w:rPr>
          <w:rFonts w:cs="Arial"/>
          <w:sz w:val="20"/>
          <w:szCs w:val="20"/>
          <w:lang w:eastAsia="en-AU" w:bidi="ar-SA"/>
        </w:rPr>
        <w:t xml:space="preserve"> A</w:t>
      </w:r>
      <w:r w:rsidR="396835DF" w:rsidRPr="002846FB">
        <w:rPr>
          <w:rFonts w:cs="Arial"/>
          <w:sz w:val="20"/>
          <w:szCs w:val="20"/>
          <w:lang w:eastAsia="en-AU" w:bidi="ar-SA"/>
        </w:rPr>
        <w:t>pril 2023</w:t>
      </w:r>
    </w:p>
    <w:p w14:paraId="315EF4C4" w14:textId="77777777" w:rsidR="007D349B" w:rsidRPr="002846FB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val="en-AU" w:eastAsia="en-AU" w:bidi="ar-SA"/>
        </w:rPr>
        <w:t> </w:t>
      </w:r>
    </w:p>
    <w:p w14:paraId="22E0E1EA" w14:textId="77777777" w:rsidR="007D349B" w:rsidRPr="002846FB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val="en-AU" w:eastAsia="en-AU" w:bidi="ar-SA"/>
        </w:rPr>
        <w:t> </w:t>
      </w:r>
    </w:p>
    <w:p w14:paraId="28479843" w14:textId="77777777" w:rsidR="007D349B" w:rsidRPr="002846FB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val="en-AU" w:eastAsia="en-AU" w:bidi="ar-SA"/>
        </w:rPr>
        <w:t> </w:t>
      </w:r>
    </w:p>
    <w:p w14:paraId="5DA91C67" w14:textId="32B5B2DA" w:rsidR="007D349B" w:rsidRPr="002846FB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val="en-AU" w:eastAsia="en-AU" w:bidi="ar-SA"/>
        </w:rPr>
        <w:t> </w:t>
      </w:r>
      <w:r w:rsidR="00E926CA" w:rsidRPr="00CA45B1">
        <w:rPr>
          <w:noProof/>
        </w:rPr>
        <w:drawing>
          <wp:inline distT="0" distB="0" distL="0" distR="0" wp14:anchorId="7F9B2C69" wp14:editId="1FAA0EEF">
            <wp:extent cx="1378021" cy="406421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E0A9" w14:textId="156D03D3" w:rsidR="007D349B" w:rsidRPr="002846FB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val="en-AU" w:eastAsia="en-AU" w:bidi="ar-SA"/>
        </w:rPr>
        <w:t>  </w:t>
      </w:r>
    </w:p>
    <w:p w14:paraId="344DA91C" w14:textId="3694016D" w:rsidR="007D349B" w:rsidRPr="002846FB" w:rsidRDefault="00CF718C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2846FB">
        <w:rPr>
          <w:rFonts w:cs="Arial"/>
          <w:sz w:val="20"/>
          <w:szCs w:val="20"/>
          <w:lang w:eastAsia="en-AU" w:bidi="ar-SA"/>
        </w:rPr>
        <w:t>Dr Nick Fletcher</w:t>
      </w:r>
    </w:p>
    <w:p w14:paraId="225D5870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eastAsia="en-AU" w:bidi="ar-SA"/>
        </w:rPr>
        <w:t>Delegate of the Board of Food Standards Australia New Zealand</w:t>
      </w: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72167C2E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63A6D317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11FD063B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32E4B5FD" w14:textId="77777777" w:rsidR="007D349B" w:rsidRPr="00D15AF8" w:rsidRDefault="007D349B" w:rsidP="007D349B">
      <w:pPr>
        <w:widowControl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AU" w:eastAsia="en-AU" w:bidi="ar-SA"/>
        </w:rPr>
      </w:pPr>
      <w:r w:rsidRPr="00D15AF8">
        <w:rPr>
          <w:rFonts w:cs="Arial"/>
          <w:sz w:val="20"/>
          <w:szCs w:val="20"/>
          <w:lang w:val="en-AU" w:eastAsia="en-AU" w:bidi="ar-SA"/>
        </w:rPr>
        <w:t> </w:t>
      </w:r>
    </w:p>
    <w:p w14:paraId="0B26795D" w14:textId="77777777" w:rsidR="007D349B" w:rsidRPr="00D15AF8" w:rsidRDefault="007D349B" w:rsidP="007D349B">
      <w:pPr>
        <w:rPr>
          <w:sz w:val="20"/>
        </w:rPr>
      </w:pPr>
    </w:p>
    <w:p w14:paraId="5E0A9F14" w14:textId="77777777" w:rsidR="007D349B" w:rsidRPr="00D15AF8" w:rsidRDefault="007D349B" w:rsidP="007D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D15AF8">
        <w:rPr>
          <w:b/>
          <w:sz w:val="20"/>
          <w:lang w:val="en-AU"/>
        </w:rPr>
        <w:t xml:space="preserve">Note:  </w:t>
      </w:r>
    </w:p>
    <w:p w14:paraId="5885A83E" w14:textId="0BE40682" w:rsidR="007D349B" w:rsidRPr="00D15AF8" w:rsidRDefault="007D349B" w:rsidP="007D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D15AF8">
        <w:rPr>
          <w:sz w:val="20"/>
          <w:lang w:val="en-AU"/>
        </w:rPr>
        <w:t xml:space="preserve">This variation will be published in the Commonwealth of Australia Gazette No. FSC </w:t>
      </w:r>
      <w:r w:rsidR="00CF718C" w:rsidRPr="002846FB">
        <w:rPr>
          <w:sz w:val="20"/>
          <w:lang w:val="en-AU"/>
        </w:rPr>
        <w:t>157</w:t>
      </w:r>
      <w:r w:rsidRPr="002846FB">
        <w:rPr>
          <w:sz w:val="20"/>
          <w:lang w:val="en-AU"/>
        </w:rPr>
        <w:t xml:space="preserve"> on </w:t>
      </w:r>
      <w:r w:rsidR="00CF718C" w:rsidRPr="002846FB">
        <w:rPr>
          <w:sz w:val="20"/>
          <w:lang w:val="en-AU"/>
        </w:rPr>
        <w:t>2</w:t>
      </w:r>
      <w:r w:rsidR="00C53718" w:rsidRPr="002846FB">
        <w:rPr>
          <w:sz w:val="20"/>
          <w:lang w:val="en-AU"/>
        </w:rPr>
        <w:t>1</w:t>
      </w:r>
      <w:r w:rsidR="00CF718C" w:rsidRPr="002846FB">
        <w:rPr>
          <w:sz w:val="20"/>
          <w:lang w:val="en-AU"/>
        </w:rPr>
        <w:t xml:space="preserve"> Apr</w:t>
      </w:r>
      <w:r w:rsidR="00E80FD0" w:rsidRPr="002846FB">
        <w:rPr>
          <w:sz w:val="20"/>
          <w:lang w:val="en-AU"/>
        </w:rPr>
        <w:t>il</w:t>
      </w:r>
      <w:r w:rsidRPr="002846FB">
        <w:rPr>
          <w:sz w:val="20"/>
          <w:lang w:val="en-AU"/>
        </w:rPr>
        <w:t xml:space="preserve"> 20</w:t>
      </w:r>
      <w:r w:rsidR="00E80FD0" w:rsidRPr="002846FB">
        <w:rPr>
          <w:sz w:val="20"/>
          <w:lang w:val="en-AU"/>
        </w:rPr>
        <w:t>23</w:t>
      </w:r>
      <w:r w:rsidRPr="002846FB">
        <w:rPr>
          <w:sz w:val="20"/>
          <w:lang w:val="en-AU"/>
        </w:rPr>
        <w:t>. This means that this date is the gazettal date for the purposes of clause 3 of the variation.</w:t>
      </w:r>
      <w:r w:rsidRPr="00D15AF8">
        <w:rPr>
          <w:sz w:val="20"/>
          <w:lang w:val="en-AU"/>
        </w:rPr>
        <w:t xml:space="preserve"> </w:t>
      </w:r>
    </w:p>
    <w:p w14:paraId="1A943488" w14:textId="77777777" w:rsidR="007D349B" w:rsidRPr="00D15AF8" w:rsidRDefault="007D349B" w:rsidP="007D349B">
      <w:pPr>
        <w:rPr>
          <w:sz w:val="20"/>
        </w:rPr>
      </w:pPr>
    </w:p>
    <w:p w14:paraId="42B00F5C" w14:textId="77777777" w:rsidR="007D349B" w:rsidRPr="00D15AF8" w:rsidRDefault="007D349B" w:rsidP="007D349B">
      <w:pPr>
        <w:widowControl/>
        <w:spacing w:before="0" w:beforeAutospacing="0" w:after="0" w:afterAutospacing="0"/>
        <w:rPr>
          <w:sz w:val="20"/>
        </w:rPr>
      </w:pPr>
      <w:r w:rsidRPr="00D15AF8">
        <w:rPr>
          <w:sz w:val="20"/>
        </w:rPr>
        <w:br w:type="page"/>
      </w:r>
    </w:p>
    <w:p w14:paraId="774A20F9" w14:textId="77777777" w:rsidR="007D349B" w:rsidRPr="00D15AF8" w:rsidRDefault="007D349B" w:rsidP="007D349B">
      <w:pPr>
        <w:pStyle w:val="FSCDraftingitemheading"/>
      </w:pPr>
      <w:r w:rsidRPr="00D15AF8">
        <w:lastRenderedPageBreak/>
        <w:t>1</w:t>
      </w:r>
      <w:r w:rsidRPr="00D15AF8">
        <w:tab/>
        <w:t>Name</w:t>
      </w:r>
    </w:p>
    <w:p w14:paraId="71DFE784" w14:textId="77777777" w:rsidR="007D349B" w:rsidRPr="00D15AF8" w:rsidRDefault="007D349B" w:rsidP="007D349B">
      <w:pPr>
        <w:pStyle w:val="FSCDraftingitem"/>
      </w:pPr>
      <w:r w:rsidRPr="00D15AF8">
        <w:t xml:space="preserve">This instrument is the </w:t>
      </w:r>
      <w:r w:rsidRPr="00D15AF8">
        <w:rPr>
          <w:i/>
        </w:rPr>
        <w:t>Food Standards (Application A1253 – Bovine Lactoferrin in Infant Formula Products) Variation</w:t>
      </w:r>
      <w:r w:rsidRPr="00D15AF8">
        <w:t>.</w:t>
      </w:r>
    </w:p>
    <w:p w14:paraId="35C1A4EC" w14:textId="77777777" w:rsidR="007D349B" w:rsidRPr="00D15AF8" w:rsidRDefault="007D349B" w:rsidP="007D349B">
      <w:pPr>
        <w:pStyle w:val="FSCDraftingitemheading"/>
      </w:pPr>
      <w:r w:rsidRPr="00D15AF8">
        <w:t>2</w:t>
      </w:r>
      <w:r w:rsidRPr="00D15AF8">
        <w:tab/>
        <w:t xml:space="preserve">Variation to Standards in the </w:t>
      </w:r>
      <w:r w:rsidRPr="00D15AF8">
        <w:rPr>
          <w:i/>
        </w:rPr>
        <w:t>Australia New Zealand Food Standards Code</w:t>
      </w:r>
    </w:p>
    <w:p w14:paraId="60E0AFD9" w14:textId="77777777" w:rsidR="007D349B" w:rsidRPr="00D15AF8" w:rsidRDefault="007D349B" w:rsidP="007D349B">
      <w:pPr>
        <w:pStyle w:val="FSCDraftingitem"/>
      </w:pPr>
      <w:r w:rsidRPr="00D15AF8">
        <w:t xml:space="preserve">The Schedule varies Standards in the </w:t>
      </w:r>
      <w:r w:rsidRPr="00D15AF8">
        <w:rPr>
          <w:i/>
        </w:rPr>
        <w:t>Australia New Zealand Food Standards Code</w:t>
      </w:r>
      <w:r w:rsidRPr="00D15AF8">
        <w:t>.</w:t>
      </w:r>
    </w:p>
    <w:p w14:paraId="26C707ED" w14:textId="77777777" w:rsidR="007D349B" w:rsidRPr="00D15AF8" w:rsidRDefault="007D349B" w:rsidP="007D349B">
      <w:pPr>
        <w:pStyle w:val="FSCDraftingitemheading"/>
      </w:pPr>
      <w:r w:rsidRPr="00D15AF8">
        <w:t>3</w:t>
      </w:r>
      <w:r w:rsidRPr="00D15AF8">
        <w:tab/>
        <w:t>Commencement</w:t>
      </w:r>
    </w:p>
    <w:p w14:paraId="3C87DEBF" w14:textId="77777777" w:rsidR="007D349B" w:rsidRPr="00D15AF8" w:rsidRDefault="007D349B" w:rsidP="007D349B">
      <w:pPr>
        <w:pStyle w:val="FSCDraftingitem"/>
      </w:pPr>
      <w:r w:rsidRPr="00D15AF8">
        <w:t>The variation commences on the date of gazettal.</w:t>
      </w:r>
    </w:p>
    <w:p w14:paraId="43792273" w14:textId="77777777" w:rsidR="007D349B" w:rsidRPr="00D15AF8" w:rsidRDefault="007D349B" w:rsidP="007D349B">
      <w:pPr>
        <w:jc w:val="center"/>
        <w:rPr>
          <w:b/>
          <w:sz w:val="20"/>
        </w:rPr>
      </w:pPr>
      <w:r w:rsidRPr="00D15AF8">
        <w:rPr>
          <w:b/>
          <w:sz w:val="20"/>
        </w:rPr>
        <w:t>Schedule</w:t>
      </w:r>
    </w:p>
    <w:p w14:paraId="192B602F" w14:textId="77777777" w:rsidR="007D349B" w:rsidRPr="00D15AF8" w:rsidRDefault="007D349B" w:rsidP="007D349B">
      <w:pPr>
        <w:pStyle w:val="FSCDraftingitemheading"/>
      </w:pPr>
      <w:r w:rsidRPr="00D15AF8">
        <w:rPr>
          <w:lang w:bidi="en-US"/>
        </w:rPr>
        <w:t>Standard 2.9.1—Infant formula products</w:t>
      </w:r>
    </w:p>
    <w:p w14:paraId="3015ACB6" w14:textId="77777777" w:rsidR="007D349B" w:rsidRPr="00D15AF8" w:rsidRDefault="007D349B" w:rsidP="007D349B">
      <w:pPr>
        <w:pStyle w:val="FSCDraftingitemheading"/>
      </w:pPr>
      <w:r w:rsidRPr="00D15AF8">
        <w:t>[1]</w:t>
      </w:r>
      <w:r w:rsidRPr="00D15AF8">
        <w:tab/>
        <w:t>Paragraph 2.9.1—5(1)(b)</w:t>
      </w:r>
    </w:p>
    <w:p w14:paraId="4A8FA074" w14:textId="77777777" w:rsidR="007D349B" w:rsidRPr="00D15AF8" w:rsidRDefault="007D349B" w:rsidP="007D349B">
      <w:pPr>
        <w:pStyle w:val="FSCDraftingitem"/>
        <w:rPr>
          <w:rFonts w:eastAsia="Arial"/>
        </w:rPr>
      </w:pPr>
      <w:r w:rsidRPr="00D15AF8">
        <w:rPr>
          <w:rFonts w:eastAsia="Arial"/>
        </w:rPr>
        <w:tab/>
        <w:t>Repeal the paragraph, substitute:</w:t>
      </w:r>
    </w:p>
    <w:p w14:paraId="030B4FEC" w14:textId="77777777" w:rsidR="007D349B" w:rsidRPr="00D15AF8" w:rsidRDefault="007D349B" w:rsidP="007D349B">
      <w:pPr>
        <w:pStyle w:val="FSCtPara"/>
        <w:ind w:left="1701" w:hanging="850"/>
      </w:pPr>
      <w:r w:rsidRPr="00D15AF8">
        <w:t>(b)</w:t>
      </w:r>
      <w:r w:rsidRPr="00D15AF8">
        <w:tab/>
        <w:t>the amount of the substance in the product (including any naturally-occurring amount) is no more than the corresponding amount listed in Column 4 of the table; and</w:t>
      </w:r>
    </w:p>
    <w:p w14:paraId="6405B2AD" w14:textId="77777777" w:rsidR="007D349B" w:rsidRPr="00D15AF8" w:rsidRDefault="007D349B" w:rsidP="007D349B">
      <w:pPr>
        <w:pStyle w:val="FSCtPara"/>
        <w:ind w:left="1701" w:hanging="850"/>
      </w:pPr>
      <w:r w:rsidRPr="00D15AF8">
        <w:t>(c)</w:t>
      </w:r>
      <w:r w:rsidRPr="00D15AF8">
        <w:tab/>
        <w:t>it complies with any conditions listed in section S29—5A in relation to that substance.</w:t>
      </w:r>
    </w:p>
    <w:p w14:paraId="49A47B8E" w14:textId="77777777" w:rsidR="007D349B" w:rsidRPr="00D15AF8" w:rsidRDefault="007D349B" w:rsidP="007D349B">
      <w:pPr>
        <w:pStyle w:val="FSCDraftingitemheading"/>
      </w:pPr>
      <w:r w:rsidRPr="00D15AF8">
        <w:rPr>
          <w:lang w:bidi="en-US"/>
        </w:rPr>
        <w:t>Schedule 3—Identity and purity</w:t>
      </w:r>
    </w:p>
    <w:p w14:paraId="4624C5DC" w14:textId="77777777" w:rsidR="007D349B" w:rsidRPr="00D15AF8" w:rsidRDefault="007D349B" w:rsidP="007D349B">
      <w:pPr>
        <w:pStyle w:val="FSCDraftingitemheading"/>
      </w:pPr>
      <w:r w:rsidRPr="00D15AF8">
        <w:t>[2]</w:t>
      </w:r>
      <w:r w:rsidRPr="00D15AF8">
        <w:tab/>
      </w:r>
      <w:r w:rsidRPr="00D15AF8">
        <w:rPr>
          <w:lang w:bidi="en-US"/>
        </w:rPr>
        <w:t>Subsection S3—2(2) (table)</w:t>
      </w:r>
    </w:p>
    <w:p w14:paraId="0BC76982" w14:textId="77777777" w:rsidR="007D349B" w:rsidRPr="00D15AF8" w:rsidRDefault="007D349B" w:rsidP="007D349B">
      <w:pPr>
        <w:pStyle w:val="FSCDraftingitem"/>
      </w:pPr>
      <w:r w:rsidRPr="00D15AF8">
        <w:tab/>
        <w:t>Insert:</w:t>
      </w:r>
    </w:p>
    <w:tbl>
      <w:tblPr>
        <w:tblStyle w:val="TableGrid2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7D349B" w:rsidRPr="003D5827" w14:paraId="09C7B3BC" w14:textId="77777777" w:rsidTr="00153682">
        <w:trPr>
          <w:cantSplit/>
          <w:jc w:val="center"/>
        </w:trPr>
        <w:tc>
          <w:tcPr>
            <w:tcW w:w="4254" w:type="dxa"/>
            <w:hideMark/>
          </w:tcPr>
          <w:p w14:paraId="7C2758DE" w14:textId="77777777" w:rsidR="007D349B" w:rsidRPr="003D5827" w:rsidRDefault="007D349B" w:rsidP="00153682">
            <w:pPr>
              <w:pStyle w:val="FSCtblMain"/>
              <w:spacing w:before="0" w:after="0"/>
              <w:rPr>
                <w:rFonts w:ascii="Arial" w:hAnsi="Arial"/>
              </w:rPr>
            </w:pPr>
            <w:r w:rsidRPr="003D5827">
              <w:rPr>
                <w:rFonts w:ascii="Arial" w:hAnsi="Arial"/>
              </w:rPr>
              <w:t>bovine lactoferrin</w:t>
            </w:r>
          </w:p>
        </w:tc>
        <w:tc>
          <w:tcPr>
            <w:tcW w:w="2550" w:type="dxa"/>
            <w:hideMark/>
          </w:tcPr>
          <w:p w14:paraId="0C894924" w14:textId="77777777" w:rsidR="007D349B" w:rsidRPr="003D5827" w:rsidRDefault="007D349B" w:rsidP="00153682">
            <w:pPr>
              <w:pStyle w:val="FSCtblMain"/>
              <w:spacing w:before="0" w:after="0"/>
              <w:rPr>
                <w:rFonts w:ascii="Arial" w:hAnsi="Arial"/>
              </w:rPr>
            </w:pPr>
            <w:r w:rsidRPr="003D5827">
              <w:rPr>
                <w:rFonts w:ascii="Arial" w:hAnsi="Arial"/>
              </w:rPr>
              <w:t>section S3—46</w:t>
            </w:r>
          </w:p>
        </w:tc>
      </w:tr>
    </w:tbl>
    <w:p w14:paraId="4D46FBFA" w14:textId="77777777" w:rsidR="007D349B" w:rsidRPr="00D15AF8" w:rsidRDefault="007D349B" w:rsidP="007D349B">
      <w:pPr>
        <w:pStyle w:val="FSCDraftingitemheading"/>
      </w:pPr>
      <w:r w:rsidRPr="00D15AF8">
        <w:t>[3]</w:t>
      </w:r>
      <w:r w:rsidRPr="00D15AF8">
        <w:tab/>
        <w:t>After section S3—45</w:t>
      </w:r>
    </w:p>
    <w:p w14:paraId="373D8701" w14:textId="77777777" w:rsidR="007D349B" w:rsidRPr="00D15AF8" w:rsidRDefault="007D349B" w:rsidP="007D349B">
      <w:pPr>
        <w:pStyle w:val="FSCDraftingitem"/>
      </w:pPr>
      <w:r w:rsidRPr="00D15AF8">
        <w:tab/>
        <w:t>Insert:</w:t>
      </w:r>
    </w:p>
    <w:p w14:paraId="4E70FB64" w14:textId="77777777" w:rsidR="007D349B" w:rsidRDefault="007D349B" w:rsidP="007D349B">
      <w:pPr>
        <w:pStyle w:val="FSCh5Section"/>
        <w:ind w:left="0" w:firstLine="0"/>
        <w:rPr>
          <w:rFonts w:cs="Arial"/>
          <w:lang w:val="en-AU"/>
        </w:rPr>
      </w:pPr>
      <w:r w:rsidRPr="00D15AF8">
        <w:rPr>
          <w:rFonts w:cs="Arial"/>
          <w:lang w:bidi="en-US"/>
        </w:rPr>
        <w:t>S3—46</w:t>
      </w:r>
      <w:r w:rsidRPr="00D15AF8">
        <w:tab/>
      </w:r>
      <w:r w:rsidRPr="00D15AF8">
        <w:tab/>
      </w:r>
      <w:r w:rsidRPr="00D15AF8">
        <w:rPr>
          <w:rFonts w:cs="Arial"/>
          <w:lang w:bidi="en-US"/>
        </w:rPr>
        <w:t xml:space="preserve">Specification for </w:t>
      </w:r>
      <w:bookmarkStart w:id="0" w:name="_Hlk113018602"/>
      <w:r w:rsidRPr="00D15AF8">
        <w:rPr>
          <w:rFonts w:cs="Arial"/>
          <w:lang w:val="en-AU"/>
        </w:rPr>
        <w:t>bovine lactoferrin</w:t>
      </w:r>
      <w:bookmarkEnd w:id="0"/>
    </w:p>
    <w:p w14:paraId="5F6916D9" w14:textId="77777777" w:rsidR="007D349B" w:rsidRPr="0086476D" w:rsidRDefault="007D349B" w:rsidP="007D349B">
      <w:pPr>
        <w:widowControl/>
        <w:numPr>
          <w:ilvl w:val="0"/>
          <w:numId w:val="16"/>
        </w:numPr>
        <w:tabs>
          <w:tab w:val="left" w:pos="851"/>
          <w:tab w:val="left" w:pos="1134"/>
        </w:tabs>
        <w:spacing w:before="120" w:beforeAutospacing="0" w:after="120" w:afterAutospacing="0"/>
        <w:rPr>
          <w:rFonts w:cs="Arial"/>
          <w:iCs/>
          <w:sz w:val="20"/>
          <w:szCs w:val="20"/>
        </w:rPr>
      </w:pPr>
      <w:r w:rsidRPr="0086476D">
        <w:rPr>
          <w:rFonts w:cs="Arial"/>
          <w:iCs/>
          <w:sz w:val="20"/>
          <w:szCs w:val="20"/>
        </w:rPr>
        <w:t xml:space="preserve">In this section, </w:t>
      </w:r>
      <w:r w:rsidRPr="0086476D">
        <w:rPr>
          <w:sz w:val="20"/>
          <w:szCs w:val="20"/>
          <w:lang w:val="en-AU"/>
        </w:rPr>
        <w:t>bovine lactoferrin</w:t>
      </w:r>
      <w:r w:rsidRPr="0086476D">
        <w:rPr>
          <w:sz w:val="20"/>
          <w:szCs w:val="20"/>
        </w:rPr>
        <w:t xml:space="preserve"> is a protein derived from cow’s milk and consisting of a single polypeptide chain of 689 amino acids.</w:t>
      </w:r>
    </w:p>
    <w:p w14:paraId="5D9E75C5" w14:textId="77777777" w:rsidR="007D349B" w:rsidRPr="0086476D" w:rsidRDefault="007D349B" w:rsidP="007D349B">
      <w:pPr>
        <w:pStyle w:val="FSCtMain"/>
        <w:ind w:left="0" w:firstLine="0"/>
      </w:pPr>
      <w:r w:rsidRPr="0086476D">
        <w:tab/>
        <w:t>(2)</w:t>
      </w:r>
      <w:r w:rsidRPr="0086476D">
        <w:tab/>
        <w:t xml:space="preserve">For </w:t>
      </w:r>
      <w:r w:rsidRPr="0086476D">
        <w:rPr>
          <w:lang w:val="en-AU"/>
        </w:rPr>
        <w:t>bovine lactoferrin</w:t>
      </w:r>
      <w:r w:rsidRPr="0086476D">
        <w:t>, the specifications are the following:</w:t>
      </w:r>
    </w:p>
    <w:p w14:paraId="2318F8D6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(a)</w:t>
      </w:r>
      <w:r w:rsidRPr="0086476D">
        <w:tab/>
        <w:t>description—a pink to reddish brown coloured, free-flowing powder;</w:t>
      </w:r>
    </w:p>
    <w:p w14:paraId="100EDD4C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(b)</w:t>
      </w:r>
      <w:r w:rsidRPr="0086476D">
        <w:tab/>
        <w:t>protein (N x 6.38)—more than 93.0%;</w:t>
      </w:r>
    </w:p>
    <w:p w14:paraId="254C5EE3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(c)</w:t>
      </w:r>
      <w:r w:rsidRPr="0086476D">
        <w:tab/>
        <w:t>purity—more than 95.0%;</w:t>
      </w:r>
    </w:p>
    <w:p w14:paraId="7DE0FFBB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(d)</w:t>
      </w:r>
      <w:r w:rsidRPr="0086476D">
        <w:tab/>
        <w:t>moisture—less than 4.5 g/100 g;</w:t>
      </w:r>
    </w:p>
    <w:p w14:paraId="3BBF9DE6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(e)</w:t>
      </w:r>
      <w:r w:rsidRPr="0086476D">
        <w:tab/>
        <w:t>ash—not more than 1.5 g/100 g;</w:t>
      </w:r>
    </w:p>
    <w:p w14:paraId="411948DC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(f)</w:t>
      </w:r>
      <w:r w:rsidRPr="0086476D">
        <w:tab/>
        <w:t>iron—not more than 35 mg/100 g;</w:t>
      </w:r>
    </w:p>
    <w:p w14:paraId="020D04A1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(g)</w:t>
      </w:r>
      <w:r w:rsidRPr="0086476D">
        <w:tab/>
        <w:t>pH (2% solution)—5.2 to 7.2;</w:t>
      </w:r>
    </w:p>
    <w:p w14:paraId="48774CC2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(h)</w:t>
      </w:r>
      <w:r w:rsidRPr="0086476D">
        <w:tab/>
      </w:r>
      <w:r w:rsidRPr="0086476D">
        <w:rPr>
          <w:lang w:eastAsia="en-GB"/>
        </w:rPr>
        <w:t>solubility transmittance (2% solution, 20°C)—transparent</w:t>
      </w:r>
      <w:r w:rsidRPr="0086476D">
        <w:t>;</w:t>
      </w:r>
    </w:p>
    <w:p w14:paraId="23C89821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</w:t>
      </w:r>
      <w:proofErr w:type="spellStart"/>
      <w:r w:rsidRPr="0086476D">
        <w:t>i</w:t>
      </w:r>
      <w:proofErr w:type="spellEnd"/>
      <w:r w:rsidRPr="0086476D">
        <w:t>)</w:t>
      </w:r>
      <w:r w:rsidRPr="0086476D">
        <w:tab/>
      </w:r>
      <w:r w:rsidRPr="0086476D">
        <w:rPr>
          <w:lang w:eastAsia="en-GB"/>
        </w:rPr>
        <w:t>lead—not more than 1 mg/kg</w:t>
      </w:r>
      <w:r w:rsidRPr="0086476D">
        <w:t>;</w:t>
      </w:r>
    </w:p>
    <w:p w14:paraId="6180F8D0" w14:textId="77777777" w:rsidR="007D349B" w:rsidRPr="0086476D" w:rsidRDefault="007D349B" w:rsidP="007D349B">
      <w:pPr>
        <w:pStyle w:val="FSCtPara"/>
        <w:tabs>
          <w:tab w:val="clear" w:pos="1701"/>
        </w:tabs>
        <w:ind w:hanging="567"/>
      </w:pPr>
      <w:r w:rsidRPr="0086476D">
        <w:t>(j)</w:t>
      </w:r>
      <w:r w:rsidRPr="0086476D">
        <w:tab/>
      </w:r>
      <w:r w:rsidRPr="0086476D">
        <w:rPr>
          <w:rFonts w:eastAsia="Calibri"/>
          <w:lang w:val="en-AU"/>
        </w:rPr>
        <w:t>microbial limits</w:t>
      </w:r>
      <w:r w:rsidRPr="0086476D">
        <w:t>:</w:t>
      </w:r>
    </w:p>
    <w:p w14:paraId="2BD620B3" w14:textId="77777777" w:rsidR="007D349B" w:rsidRPr="0086476D" w:rsidRDefault="007D349B" w:rsidP="007D349B">
      <w:pPr>
        <w:pStyle w:val="FSCtSubpara"/>
        <w:ind w:left="2694" w:hanging="426"/>
      </w:pPr>
      <w:r w:rsidRPr="0086476D">
        <w:lastRenderedPageBreak/>
        <w:t>(</w:t>
      </w:r>
      <w:proofErr w:type="spellStart"/>
      <w:r w:rsidRPr="0086476D">
        <w:t>i</w:t>
      </w:r>
      <w:proofErr w:type="spellEnd"/>
      <w:r w:rsidRPr="0086476D">
        <w:t>)</w:t>
      </w:r>
      <w:r w:rsidRPr="0086476D">
        <w:tab/>
      </w:r>
      <w:r w:rsidRPr="0086476D">
        <w:rPr>
          <w:i/>
          <w:lang w:eastAsia="en-GB"/>
        </w:rPr>
        <w:t>Salmonella</w:t>
      </w:r>
      <w:r w:rsidRPr="0086476D">
        <w:rPr>
          <w:lang w:eastAsia="en-GB"/>
        </w:rPr>
        <w:t xml:space="preserve"> spp.—absent in 25 g</w:t>
      </w:r>
      <w:r w:rsidRPr="0086476D">
        <w:t>;</w:t>
      </w:r>
    </w:p>
    <w:p w14:paraId="50B14466" w14:textId="77777777" w:rsidR="007D349B" w:rsidRPr="0086476D" w:rsidRDefault="007D349B" w:rsidP="007D349B">
      <w:pPr>
        <w:pStyle w:val="FSCtSubpara"/>
        <w:ind w:left="2694" w:hanging="426"/>
      </w:pPr>
      <w:r w:rsidRPr="0086476D">
        <w:t>(ii)</w:t>
      </w:r>
      <w:r w:rsidRPr="0086476D">
        <w:tab/>
      </w:r>
      <w:r w:rsidRPr="0086476D">
        <w:rPr>
          <w:i/>
          <w:lang w:eastAsia="en-GB"/>
        </w:rPr>
        <w:t>Listeria monocytogenes</w:t>
      </w:r>
      <w:r w:rsidRPr="0086476D">
        <w:rPr>
          <w:lang w:eastAsia="en-GB"/>
        </w:rPr>
        <w:t>—–absent in 25 g</w:t>
      </w:r>
      <w:r w:rsidRPr="0086476D">
        <w:t>;</w:t>
      </w:r>
    </w:p>
    <w:p w14:paraId="3B99E0EF" w14:textId="77777777" w:rsidR="007D349B" w:rsidRPr="00D15AF8" w:rsidRDefault="007D349B" w:rsidP="007D349B">
      <w:pPr>
        <w:pStyle w:val="FSCtSubpara"/>
        <w:ind w:left="2694" w:hanging="426"/>
      </w:pPr>
      <w:r w:rsidRPr="0086476D">
        <w:t>(iii)</w:t>
      </w:r>
      <w:r w:rsidRPr="0086476D">
        <w:tab/>
      </w:r>
      <w:proofErr w:type="spellStart"/>
      <w:r w:rsidRPr="0086476D">
        <w:rPr>
          <w:i/>
          <w:lang w:eastAsia="en-GB"/>
        </w:rPr>
        <w:t>Cronobacter</w:t>
      </w:r>
      <w:proofErr w:type="spellEnd"/>
      <w:r w:rsidRPr="0086476D">
        <w:rPr>
          <w:lang w:eastAsia="en-GB"/>
        </w:rPr>
        <w:t xml:space="preserve"> spp.—–absent in 10 g.</w:t>
      </w:r>
    </w:p>
    <w:p w14:paraId="19570F89" w14:textId="77777777" w:rsidR="007D349B" w:rsidRPr="00D15AF8" w:rsidRDefault="007D349B" w:rsidP="007D349B">
      <w:pPr>
        <w:pStyle w:val="FSCDraftingitemheading"/>
      </w:pPr>
      <w:r w:rsidRPr="00D15AF8">
        <w:rPr>
          <w:lang w:bidi="en-US"/>
        </w:rPr>
        <w:t>Schedule 29—Special purpose foods</w:t>
      </w:r>
    </w:p>
    <w:p w14:paraId="3BFBC506" w14:textId="77777777" w:rsidR="007D349B" w:rsidRPr="00D15AF8" w:rsidRDefault="007D349B" w:rsidP="007D349B">
      <w:pPr>
        <w:pStyle w:val="FSCDraftingitemheading"/>
      </w:pPr>
      <w:r w:rsidRPr="00D15AF8">
        <w:t>[4]</w:t>
      </w:r>
      <w:r w:rsidRPr="00D15AF8">
        <w:tab/>
        <w:t>Section S29—5 (table)</w:t>
      </w:r>
    </w:p>
    <w:p w14:paraId="44C2513E" w14:textId="77777777" w:rsidR="007D349B" w:rsidRPr="00D15AF8" w:rsidRDefault="007D349B" w:rsidP="007D349B">
      <w:pPr>
        <w:pStyle w:val="FSCDraftingitem"/>
      </w:pPr>
      <w:r w:rsidRPr="00D15AF8">
        <w:tab/>
        <w:t>Insert:</w:t>
      </w:r>
    </w:p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ant formula products - substances permitted for use as nutritive substances"/>
        <w:tblDescription w:val="The table restates the substances currently permitted for use as nutritive substances in infant formula products in S29-5 of Schedule 29, and adds two new rows for 2′-FL permitted for use by Standard 1.5.2, and a combination of 2′-FL permitted for use by Standard 1.5.2 and LNnT permitted for use by Standard 1.5.2.  The maximum amount permitted per 100 kJ is listed in Column 4 of the table."/>
      </w:tblPr>
      <w:tblGrid>
        <w:gridCol w:w="2834"/>
        <w:gridCol w:w="3554"/>
        <w:gridCol w:w="1278"/>
        <w:gridCol w:w="1399"/>
      </w:tblGrid>
      <w:tr w:rsidR="007D349B" w:rsidRPr="003B5EB5" w14:paraId="68596B5A" w14:textId="77777777" w:rsidTr="00153682">
        <w:trPr>
          <w:cantSplit/>
          <w:trHeight w:val="285"/>
          <w:jc w:val="center"/>
        </w:trPr>
        <w:tc>
          <w:tcPr>
            <w:tcW w:w="2834" w:type="dxa"/>
            <w:hideMark/>
          </w:tcPr>
          <w:p w14:paraId="6DB39E19" w14:textId="77777777" w:rsidR="007D349B" w:rsidRPr="003B5EB5" w:rsidRDefault="007D349B" w:rsidP="00153682">
            <w:pPr>
              <w:pStyle w:val="FSCtblMain"/>
              <w:rPr>
                <w:rFonts w:ascii="Arial" w:hAnsi="Arial"/>
              </w:rPr>
            </w:pPr>
            <w:r w:rsidRPr="003B5EB5">
              <w:rPr>
                <w:rFonts w:ascii="Arial" w:hAnsi="Arial"/>
              </w:rPr>
              <w:t>Lactoferrin</w:t>
            </w:r>
          </w:p>
        </w:tc>
        <w:tc>
          <w:tcPr>
            <w:tcW w:w="3554" w:type="dxa"/>
            <w:hideMark/>
          </w:tcPr>
          <w:p w14:paraId="1EC51879" w14:textId="77777777" w:rsidR="007D349B" w:rsidRPr="003B5EB5" w:rsidRDefault="007D349B" w:rsidP="00153682">
            <w:pPr>
              <w:pStyle w:val="FSCtblMain"/>
              <w:rPr>
                <w:rFonts w:ascii="Arial" w:hAnsi="Arial"/>
              </w:rPr>
            </w:pPr>
            <w:r w:rsidRPr="003B5EB5">
              <w:rPr>
                <w:rFonts w:ascii="Arial" w:hAnsi="Arial"/>
              </w:rPr>
              <w:t>Bovine lactoferrin</w:t>
            </w:r>
          </w:p>
        </w:tc>
        <w:tc>
          <w:tcPr>
            <w:tcW w:w="1278" w:type="dxa"/>
            <w:hideMark/>
          </w:tcPr>
          <w:p w14:paraId="0A48A94F" w14:textId="77777777" w:rsidR="007D349B" w:rsidRPr="003B5EB5" w:rsidRDefault="007D349B" w:rsidP="00153682">
            <w:pPr>
              <w:pStyle w:val="FSCtblMain"/>
              <w:rPr>
                <w:rFonts w:ascii="Arial" w:hAnsi="Arial"/>
              </w:rPr>
            </w:pPr>
          </w:p>
        </w:tc>
        <w:tc>
          <w:tcPr>
            <w:tcW w:w="1399" w:type="dxa"/>
            <w:hideMark/>
          </w:tcPr>
          <w:p w14:paraId="2093FCE4" w14:textId="77777777" w:rsidR="007D349B" w:rsidRPr="003B5EB5" w:rsidRDefault="007D349B" w:rsidP="00153682">
            <w:pPr>
              <w:pStyle w:val="FSCtblMain"/>
              <w:rPr>
                <w:rFonts w:ascii="Arial" w:hAnsi="Arial"/>
              </w:rPr>
            </w:pPr>
            <w:r w:rsidRPr="003B5EB5">
              <w:rPr>
                <w:rFonts w:ascii="Arial" w:hAnsi="Arial"/>
              </w:rPr>
              <w:t>40 mg</w:t>
            </w:r>
          </w:p>
        </w:tc>
      </w:tr>
    </w:tbl>
    <w:p w14:paraId="49784232" w14:textId="77777777" w:rsidR="007D349B" w:rsidRPr="00D15AF8" w:rsidRDefault="007D349B" w:rsidP="007D349B">
      <w:pPr>
        <w:pStyle w:val="FSCDraftingitemheading"/>
      </w:pPr>
      <w:r w:rsidRPr="00D15AF8">
        <w:t>[5]</w:t>
      </w:r>
      <w:r w:rsidRPr="00D15AF8">
        <w:tab/>
        <w:t>After section S29—5</w:t>
      </w:r>
    </w:p>
    <w:p w14:paraId="25906496" w14:textId="77777777" w:rsidR="007D349B" w:rsidRPr="00D15AF8" w:rsidRDefault="007D349B" w:rsidP="007D349B">
      <w:pPr>
        <w:pStyle w:val="FSCDraftingitem"/>
      </w:pPr>
      <w:r w:rsidRPr="00D15AF8">
        <w:tab/>
        <w:t>Insert:</w:t>
      </w:r>
    </w:p>
    <w:p w14:paraId="2F6FA1F7" w14:textId="77777777" w:rsidR="007D349B" w:rsidRPr="00D15AF8" w:rsidRDefault="007D349B" w:rsidP="007D349B">
      <w:pPr>
        <w:pStyle w:val="FSCh5Section"/>
        <w:rPr>
          <w:rFonts w:cs="Arial"/>
        </w:rPr>
      </w:pPr>
      <w:r w:rsidRPr="00D15AF8">
        <w:rPr>
          <w:rFonts w:cs="Arial"/>
        </w:rPr>
        <w:t>S29—5A</w:t>
      </w:r>
      <w:r w:rsidRPr="00D15AF8">
        <w:rPr>
          <w:rFonts w:cs="Arial"/>
        </w:rPr>
        <w:tab/>
        <w:t xml:space="preserve">Infant formula products—conditions on </w:t>
      </w:r>
      <w:r w:rsidRPr="00D15AF8">
        <w:t xml:space="preserve">use of </w:t>
      </w:r>
      <w:r w:rsidRPr="00D15AF8">
        <w:rPr>
          <w:rFonts w:cs="Arial"/>
        </w:rPr>
        <w:t>permitted nutritive substances</w:t>
      </w:r>
    </w:p>
    <w:p w14:paraId="68A5418B" w14:textId="77777777" w:rsidR="007D349B" w:rsidRPr="00D15AF8" w:rsidRDefault="007D349B" w:rsidP="007D349B">
      <w:pPr>
        <w:pStyle w:val="FSCtMain"/>
        <w:numPr>
          <w:ilvl w:val="0"/>
          <w:numId w:val="14"/>
        </w:numPr>
        <w:ind w:hanging="1695"/>
      </w:pPr>
      <w:r w:rsidRPr="00D15AF8">
        <w:t>A substance that is:</w:t>
      </w:r>
    </w:p>
    <w:p w14:paraId="26D04FE8" w14:textId="77777777" w:rsidR="007D349B" w:rsidRPr="00D15AF8" w:rsidRDefault="007D349B" w:rsidP="007D349B">
      <w:pPr>
        <w:pStyle w:val="FSCtPara"/>
        <w:numPr>
          <w:ilvl w:val="0"/>
          <w:numId w:val="15"/>
        </w:numPr>
      </w:pPr>
      <w:r w:rsidRPr="00D15AF8">
        <w:t>listed in Column 1 of the table to subsection (2); and</w:t>
      </w:r>
    </w:p>
    <w:p w14:paraId="20964C07" w14:textId="77777777" w:rsidR="007D349B" w:rsidRPr="00D15AF8" w:rsidRDefault="007D349B" w:rsidP="007D349B">
      <w:pPr>
        <w:pStyle w:val="FSCtPara"/>
        <w:numPr>
          <w:ilvl w:val="0"/>
          <w:numId w:val="15"/>
        </w:numPr>
      </w:pPr>
      <w:r w:rsidRPr="00D15AF8">
        <w:t>in a permitted form listed in Column 2 of that table for that substance;</w:t>
      </w:r>
    </w:p>
    <w:p w14:paraId="40EF6CBA" w14:textId="77777777" w:rsidR="007D349B" w:rsidRPr="00D15AF8" w:rsidRDefault="007D349B" w:rsidP="007D349B">
      <w:pPr>
        <w:pStyle w:val="FSCtMain"/>
        <w:ind w:left="1134" w:firstLine="0"/>
      </w:pPr>
      <w:r w:rsidRPr="00D15AF8">
        <w:t>must comply with any corresponding conditions specified in Column 3 of that table for that permitted form.</w:t>
      </w:r>
    </w:p>
    <w:p w14:paraId="3C2B00A6" w14:textId="77777777" w:rsidR="007D349B" w:rsidRPr="00D15AF8" w:rsidRDefault="007D349B" w:rsidP="007D349B">
      <w:pPr>
        <w:pStyle w:val="FSCtMain"/>
      </w:pPr>
      <w:r w:rsidRPr="00D15AF8">
        <w:t>(2)</w:t>
      </w:r>
      <w:r w:rsidRPr="00D15AF8">
        <w:tab/>
        <w:t>The table for this subsection is:</w:t>
      </w:r>
    </w:p>
    <w:p w14:paraId="58C4BB6B" w14:textId="77777777" w:rsidR="007D349B" w:rsidRPr="00D15AF8" w:rsidRDefault="007D349B" w:rsidP="007D349B">
      <w:pPr>
        <w:pStyle w:val="FSCtblh2"/>
        <w:spacing w:before="100" w:after="100"/>
        <w:rPr>
          <w:color w:val="auto"/>
          <w:lang w:val="en-US"/>
        </w:rPr>
      </w:pPr>
      <w:r w:rsidRPr="00D15AF8">
        <w:rPr>
          <w:color w:val="auto"/>
        </w:rPr>
        <w:t xml:space="preserve">Conditions of use for permitted nutritive substances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260"/>
      </w:tblGrid>
      <w:tr w:rsidR="007D349B" w:rsidRPr="00D15AF8" w14:paraId="7FA3772D" w14:textId="77777777" w:rsidTr="00153682">
        <w:trPr>
          <w:cantSplit/>
          <w:trHeight w:val="283"/>
          <w:tblHeader/>
        </w:trPr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CCEB" w14:textId="77777777" w:rsidR="007D349B" w:rsidRPr="00D15AF8" w:rsidRDefault="007D349B" w:rsidP="00153682">
            <w:pPr>
              <w:pStyle w:val="FSCtblh3"/>
            </w:pPr>
            <w:r w:rsidRPr="00D15AF8">
              <w:t>Column 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000D11" w14:textId="77777777" w:rsidR="007D349B" w:rsidRPr="00D15AF8" w:rsidRDefault="007D349B" w:rsidP="00153682">
            <w:pPr>
              <w:pStyle w:val="FSCtblh3"/>
            </w:pPr>
            <w:r w:rsidRPr="00D15AF8">
              <w:t>Column 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0219C6" w14:textId="77777777" w:rsidR="007D349B" w:rsidRPr="00D15AF8" w:rsidRDefault="007D349B" w:rsidP="00153682">
            <w:pPr>
              <w:pStyle w:val="FSCtblh3"/>
            </w:pPr>
            <w:r w:rsidRPr="00D15AF8">
              <w:t>Column 3</w:t>
            </w:r>
          </w:p>
        </w:tc>
      </w:tr>
      <w:tr w:rsidR="007D349B" w:rsidRPr="00D15AF8" w14:paraId="7D21BA25" w14:textId="77777777" w:rsidTr="00153682">
        <w:trPr>
          <w:cantSplit/>
          <w:trHeight w:val="283"/>
          <w:tblHeader/>
        </w:trPr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E6AB" w14:textId="77777777" w:rsidR="007D349B" w:rsidRPr="00D15AF8" w:rsidRDefault="007D349B" w:rsidP="00153682">
            <w:pPr>
              <w:pStyle w:val="FSCtblh3"/>
            </w:pPr>
            <w:r w:rsidRPr="00D15AF8">
              <w:t>Substance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E10890" w14:textId="77777777" w:rsidR="007D349B" w:rsidRPr="00D15AF8" w:rsidRDefault="007D349B" w:rsidP="00153682">
            <w:pPr>
              <w:pStyle w:val="FSCtblh3"/>
            </w:pPr>
            <w:r w:rsidRPr="00D15AF8">
              <w:t>Permitted Form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123901" w14:textId="77777777" w:rsidR="007D349B" w:rsidRPr="00D15AF8" w:rsidRDefault="007D349B" w:rsidP="00153682">
            <w:pPr>
              <w:pStyle w:val="FSCtblh3"/>
            </w:pPr>
            <w:r w:rsidRPr="00D15AF8">
              <w:t>Conditions of use</w:t>
            </w:r>
          </w:p>
        </w:tc>
      </w:tr>
      <w:tr w:rsidR="007D349B" w:rsidRPr="00D15AF8" w14:paraId="7E5825F8" w14:textId="77777777" w:rsidTr="00153682">
        <w:trPr>
          <w:cantSplit/>
          <w:trHeight w:val="283"/>
          <w:tblHeader/>
        </w:trPr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1508" w14:textId="77777777" w:rsidR="007D349B" w:rsidRPr="007D365C" w:rsidRDefault="007D349B" w:rsidP="00153682">
            <w:pPr>
              <w:pStyle w:val="FSCtblh3"/>
              <w:rPr>
                <w:b w:val="0"/>
                <w:bCs/>
                <w:i w:val="0"/>
                <w:iCs/>
              </w:rPr>
            </w:pPr>
            <w:r w:rsidRPr="007D365C">
              <w:rPr>
                <w:b w:val="0"/>
                <w:bCs/>
                <w:i w:val="0"/>
                <w:iCs/>
                <w:lang w:val="en-AU"/>
              </w:rPr>
              <w:t>Lactoferrin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06837D" w14:textId="77777777" w:rsidR="007D349B" w:rsidRPr="007D365C" w:rsidRDefault="007D349B" w:rsidP="00153682">
            <w:pPr>
              <w:pStyle w:val="FSCtblh3"/>
              <w:rPr>
                <w:b w:val="0"/>
                <w:bCs/>
                <w:i w:val="0"/>
                <w:iCs/>
              </w:rPr>
            </w:pPr>
            <w:r w:rsidRPr="007D365C">
              <w:rPr>
                <w:b w:val="0"/>
                <w:bCs/>
                <w:i w:val="0"/>
                <w:iCs/>
                <w:lang w:val="en-AU"/>
              </w:rPr>
              <w:t>Bovine lactoferrin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0EF1300" w14:textId="77777777" w:rsidR="007D349B" w:rsidRPr="007D365C" w:rsidRDefault="007D349B" w:rsidP="007D349B">
            <w:pPr>
              <w:pStyle w:val="FSCtblPara"/>
              <w:numPr>
                <w:ilvl w:val="0"/>
                <w:numId w:val="17"/>
              </w:numPr>
              <w:spacing w:before="100" w:after="100"/>
              <w:rPr>
                <w:rStyle w:val="normaltextrun"/>
              </w:rPr>
            </w:pPr>
            <w:r w:rsidRPr="00D15AF8">
              <w:rPr>
                <w:lang w:val="en-AU" w:eastAsia="en-GB"/>
              </w:rPr>
              <w:t xml:space="preserve">During the </w:t>
            </w:r>
            <w:r w:rsidRPr="00D15AF8">
              <w:rPr>
                <w:lang w:val="en-AU"/>
              </w:rPr>
              <w:t xml:space="preserve">exclusive use period, may only </w:t>
            </w:r>
            <w:r w:rsidRPr="00D15AF8">
              <w:t xml:space="preserve">be sold </w:t>
            </w:r>
            <w:r w:rsidRPr="003C0D3A">
              <w:t xml:space="preserve">under the brand </w:t>
            </w:r>
            <w:proofErr w:type="spellStart"/>
            <w:r w:rsidRPr="003C0D3A">
              <w:t>Synlait</w:t>
            </w:r>
            <w:proofErr w:type="spellEnd"/>
            <w:r w:rsidRPr="003C0D3A">
              <w:t xml:space="preserve"> </w:t>
            </w:r>
            <w:r w:rsidRPr="00D15AF8">
              <w:t>for *use as a nutritive substance in an infant formula product</w:t>
            </w:r>
            <w:r w:rsidRPr="00D15AF8">
              <w:rPr>
                <w:rStyle w:val="normaltextrun"/>
                <w:rFonts w:eastAsiaTheme="majorEastAsia"/>
                <w:sz w:val="20"/>
                <w:szCs w:val="20"/>
              </w:rPr>
              <w:t>.</w:t>
            </w:r>
          </w:p>
          <w:p w14:paraId="2EB8B082" w14:textId="77777777" w:rsidR="007D349B" w:rsidRPr="00D15AF8" w:rsidRDefault="007D349B" w:rsidP="007D349B">
            <w:pPr>
              <w:pStyle w:val="FSCtblPara"/>
              <w:numPr>
                <w:ilvl w:val="0"/>
                <w:numId w:val="17"/>
              </w:numPr>
              <w:spacing w:before="100" w:after="100"/>
            </w:pPr>
            <w:r w:rsidRPr="00D15AF8">
              <w:rPr>
                <w:lang w:val="en-AU"/>
              </w:rPr>
              <w:t xml:space="preserve">For the purposes of condition 1 above, </w:t>
            </w:r>
            <w:r w:rsidRPr="00D15AF8">
              <w:rPr>
                <w:b/>
                <w:bCs/>
                <w:lang w:val="en-AU"/>
              </w:rPr>
              <w:t>exclusive use period</w:t>
            </w:r>
            <w:r w:rsidRPr="00D15AF8">
              <w:rPr>
                <w:lang w:val="en-AU"/>
              </w:rPr>
              <w:t xml:space="preserve"> means the period commencing on the date of gazettal of the </w:t>
            </w:r>
            <w:r w:rsidRPr="00763C14">
              <w:rPr>
                <w:i/>
                <w:iCs/>
                <w:lang w:val="en-AU"/>
              </w:rPr>
              <w:t>Food Standards (Application A1253 – Bovine Lactoferrin in Infant Formula Products) Variation</w:t>
            </w:r>
            <w:r w:rsidRPr="00D15AF8">
              <w:rPr>
                <w:lang w:val="en-AU"/>
              </w:rPr>
              <w:t xml:space="preserve"> and ending 15 months after that date.</w:t>
            </w:r>
          </w:p>
        </w:tc>
      </w:tr>
    </w:tbl>
    <w:p w14:paraId="4CAD84FF" w14:textId="71966CE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0BD"/>
    <w:multiLevelType w:val="hybridMultilevel"/>
    <w:tmpl w:val="360CD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34294CD5"/>
    <w:multiLevelType w:val="hybridMultilevel"/>
    <w:tmpl w:val="115A0424"/>
    <w:lvl w:ilvl="0" w:tplc="F8C08008">
      <w:start w:val="1"/>
      <w:numFmt w:val="lowerLetter"/>
      <w:lvlText w:val="(%1)"/>
      <w:lvlJc w:val="left"/>
      <w:pPr>
        <w:ind w:left="20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3956"/>
    <w:multiLevelType w:val="hybridMultilevel"/>
    <w:tmpl w:val="54F81098"/>
    <w:lvl w:ilvl="0" w:tplc="CBF86236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0B80"/>
    <w:multiLevelType w:val="hybridMultilevel"/>
    <w:tmpl w:val="54584018"/>
    <w:lvl w:ilvl="0" w:tplc="C44E94D0">
      <w:start w:val="1"/>
      <w:numFmt w:val="decimal"/>
      <w:lvlText w:val="(%1)"/>
      <w:lvlJc w:val="left"/>
      <w:pPr>
        <w:ind w:left="1695" w:hanging="555"/>
      </w:pPr>
      <w:rPr>
        <w:rFonts w:hint="default"/>
        <w:color w:val="auto"/>
      </w:rPr>
    </w:lvl>
    <w:lvl w:ilvl="1" w:tplc="54361444">
      <w:start w:val="1"/>
      <w:numFmt w:val="lowerLetter"/>
      <w:lvlText w:val="(%2)"/>
      <w:lvlJc w:val="left"/>
      <w:pPr>
        <w:ind w:left="243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397245683">
    <w:abstractNumId w:val="1"/>
  </w:num>
  <w:num w:numId="2" w16cid:durableId="1575814432">
    <w:abstractNumId w:val="1"/>
  </w:num>
  <w:num w:numId="3" w16cid:durableId="140583750">
    <w:abstractNumId w:val="1"/>
  </w:num>
  <w:num w:numId="4" w16cid:durableId="934362320">
    <w:abstractNumId w:val="1"/>
  </w:num>
  <w:num w:numId="5" w16cid:durableId="287391809">
    <w:abstractNumId w:val="1"/>
  </w:num>
  <w:num w:numId="6" w16cid:durableId="884559021">
    <w:abstractNumId w:val="1"/>
  </w:num>
  <w:num w:numId="7" w16cid:durableId="736056144">
    <w:abstractNumId w:val="1"/>
  </w:num>
  <w:num w:numId="8" w16cid:durableId="804196097">
    <w:abstractNumId w:val="7"/>
  </w:num>
  <w:num w:numId="9" w16cid:durableId="804783077">
    <w:abstractNumId w:val="3"/>
  </w:num>
  <w:num w:numId="10" w16cid:durableId="1673873362">
    <w:abstractNumId w:val="5"/>
  </w:num>
  <w:num w:numId="11" w16cid:durableId="2142993691">
    <w:abstractNumId w:val="7"/>
  </w:num>
  <w:num w:numId="12" w16cid:durableId="1616211648">
    <w:abstractNumId w:val="3"/>
  </w:num>
  <w:num w:numId="13" w16cid:durableId="314573185">
    <w:abstractNumId w:val="5"/>
  </w:num>
  <w:num w:numId="14" w16cid:durableId="456071942">
    <w:abstractNumId w:val="6"/>
  </w:num>
  <w:num w:numId="15" w16cid:durableId="2042434710">
    <w:abstractNumId w:val="2"/>
  </w:num>
  <w:num w:numId="16" w16cid:durableId="981275604">
    <w:abstractNumId w:val="4"/>
  </w:num>
  <w:num w:numId="17" w16cid:durableId="7748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9B"/>
    <w:rsid w:val="0000542C"/>
    <w:rsid w:val="00041643"/>
    <w:rsid w:val="000622E7"/>
    <w:rsid w:val="00066854"/>
    <w:rsid w:val="00066D85"/>
    <w:rsid w:val="000A38F8"/>
    <w:rsid w:val="000F2196"/>
    <w:rsid w:val="00130F29"/>
    <w:rsid w:val="001734EA"/>
    <w:rsid w:val="00184403"/>
    <w:rsid w:val="00191770"/>
    <w:rsid w:val="001C5126"/>
    <w:rsid w:val="001E696B"/>
    <w:rsid w:val="002232B1"/>
    <w:rsid w:val="00234C31"/>
    <w:rsid w:val="002846FB"/>
    <w:rsid w:val="003006E3"/>
    <w:rsid w:val="0033021F"/>
    <w:rsid w:val="00341534"/>
    <w:rsid w:val="00341D25"/>
    <w:rsid w:val="003A01FB"/>
    <w:rsid w:val="003B5EB5"/>
    <w:rsid w:val="003D5827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4FC8"/>
    <w:rsid w:val="006053D4"/>
    <w:rsid w:val="006B6900"/>
    <w:rsid w:val="006D473E"/>
    <w:rsid w:val="007201F8"/>
    <w:rsid w:val="00793DE6"/>
    <w:rsid w:val="007D349B"/>
    <w:rsid w:val="007F6456"/>
    <w:rsid w:val="00812326"/>
    <w:rsid w:val="00830393"/>
    <w:rsid w:val="00833D5A"/>
    <w:rsid w:val="00860EE7"/>
    <w:rsid w:val="0086476D"/>
    <w:rsid w:val="00877A81"/>
    <w:rsid w:val="008931F6"/>
    <w:rsid w:val="008E2339"/>
    <w:rsid w:val="00935023"/>
    <w:rsid w:val="009806A5"/>
    <w:rsid w:val="009E265A"/>
    <w:rsid w:val="00A25B29"/>
    <w:rsid w:val="00A26F82"/>
    <w:rsid w:val="00A274EF"/>
    <w:rsid w:val="00A808E9"/>
    <w:rsid w:val="00AE1899"/>
    <w:rsid w:val="00B1319C"/>
    <w:rsid w:val="00B53154"/>
    <w:rsid w:val="00B72074"/>
    <w:rsid w:val="00B94EF5"/>
    <w:rsid w:val="00BB2F7E"/>
    <w:rsid w:val="00BC2133"/>
    <w:rsid w:val="00BE4F3A"/>
    <w:rsid w:val="00C019A6"/>
    <w:rsid w:val="00C53718"/>
    <w:rsid w:val="00C572A2"/>
    <w:rsid w:val="00CF718C"/>
    <w:rsid w:val="00D5526B"/>
    <w:rsid w:val="00D66962"/>
    <w:rsid w:val="00D87D9C"/>
    <w:rsid w:val="00D92B3B"/>
    <w:rsid w:val="00DA7DED"/>
    <w:rsid w:val="00DD5F6D"/>
    <w:rsid w:val="00DF4A30"/>
    <w:rsid w:val="00E0050C"/>
    <w:rsid w:val="00E2450C"/>
    <w:rsid w:val="00E340B5"/>
    <w:rsid w:val="00E4001E"/>
    <w:rsid w:val="00E53ACA"/>
    <w:rsid w:val="00E80FD0"/>
    <w:rsid w:val="00E926CA"/>
    <w:rsid w:val="00E9409E"/>
    <w:rsid w:val="00EC65E9"/>
    <w:rsid w:val="00F4105E"/>
    <w:rsid w:val="00F616DA"/>
    <w:rsid w:val="00F76F95"/>
    <w:rsid w:val="00FD4B8D"/>
    <w:rsid w:val="00FF55E9"/>
    <w:rsid w:val="2A3B4360"/>
    <w:rsid w:val="396835DF"/>
    <w:rsid w:val="6406185B"/>
    <w:rsid w:val="66C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0218"/>
  <w15:chartTrackingRefBased/>
  <w15:docId w15:val="{4400AF67-5CC1-4EAB-8D0A-29597EE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7D349B"/>
    <w:pPr>
      <w:widowControl w:val="0"/>
      <w:spacing w:before="100" w:beforeAutospacing="1" w:after="100" w:afterAutospacing="1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7D349B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7D34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D349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7D349B"/>
    <w:pPr>
      <w:keepNext/>
      <w:spacing w:before="240" w:beforeAutospacing="0" w:after="120" w:afterAutospacing="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7D349B"/>
    <w:pPr>
      <w:tabs>
        <w:tab w:val="left" w:pos="1134"/>
      </w:tabs>
      <w:spacing w:before="120" w:beforeAutospacing="0" w:after="120" w:afterAutospacing="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aliases w:val="t2_Para"/>
    <w:basedOn w:val="FSCtMain"/>
    <w:qFormat/>
    <w:rsid w:val="007D34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7D34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blh2">
    <w:name w:val="FSC_tbl_h2"/>
    <w:basedOn w:val="Normal"/>
    <w:qFormat/>
    <w:rsid w:val="007D349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7D349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7D349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Para">
    <w:name w:val="FSC_tbl_Para"/>
    <w:basedOn w:val="Normal"/>
    <w:rsid w:val="007D349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character" w:customStyle="1" w:styleId="normaltextrun">
    <w:name w:val="normaltextrun"/>
    <w:basedOn w:val="DefaultParagraphFont"/>
    <w:rsid w:val="007D349B"/>
  </w:style>
  <w:style w:type="table" w:customStyle="1" w:styleId="TableGrid2">
    <w:name w:val="Table Grid2"/>
    <w:basedOn w:val="TableNormal"/>
    <w:next w:val="TableGrid"/>
    <w:uiPriority w:val="59"/>
    <w:rsid w:val="007D349B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6E3"/>
    <w:rPr>
      <w:rFonts w:eastAsia="Times New Roman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6E3"/>
    <w:rPr>
      <w:rFonts w:eastAsia="Times New Roman" w:cs="Times New Roman"/>
      <w:b/>
      <w:bCs/>
      <w:sz w:val="20"/>
      <w:szCs w:val="20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E3"/>
    <w:rPr>
      <w:rFonts w:ascii="Segoe UI" w:eastAsia="Times New Roman" w:hAnsi="Segoe UI" w:cs="Segoe UI"/>
      <w:sz w:val="18"/>
      <w:szCs w:val="18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6D77C-902F-4020-817F-087EB4E42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892F9-A7D8-406A-BC56-F1EEF1C7C34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A0AC65-2E0B-49F2-8386-617366E76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F01EB-6CE9-4F7F-8BC6-608C03B5176B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AFAD1E33-DB31-4C40-9C25-2204FCCA9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Company>Food Standards Australia New Zealand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2</cp:revision>
  <dcterms:created xsi:type="dcterms:W3CDTF">2023-04-17T22:57:00Z</dcterms:created>
  <dcterms:modified xsi:type="dcterms:W3CDTF">2023-04-17T22:57:00Z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35;#Instruments|4a8ff5e5-1f0e-4751-ab44-bc0d33b46a80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