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04F197DC"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E702D7">
        <w:rPr>
          <w:rFonts w:ascii="Times New Roman" w:eastAsia="Times New Roman" w:hAnsi="Times New Roman" w:cs="Times New Roman"/>
          <w:bCs/>
          <w:i/>
          <w:sz w:val="24"/>
          <w:szCs w:val="24"/>
          <w:lang w:eastAsia="en-AU"/>
        </w:rPr>
        <w:t>2</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756D05C3"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w:t>
      </w:r>
      <w:proofErr w:type="gramStart"/>
      <w:r>
        <w:rPr>
          <w:rFonts w:ascii="Times New Roman" w:eastAsia="Times New Roman" w:hAnsi="Times New Roman" w:cs="Times New Roman"/>
          <w:sz w:val="24"/>
          <w:szCs w:val="24"/>
          <w:lang w:eastAsia="en-AU"/>
        </w:rPr>
        <w:t>efficacy</w:t>
      </w:r>
      <w:proofErr w:type="gramEnd"/>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282FB5B"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bookmarkStart w:id="0" w:name="_Hlk126676049"/>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w:t>
      </w:r>
      <w:proofErr w:type="gramStart"/>
      <w:r>
        <w:rPr>
          <w:rFonts w:ascii="Times New Roman" w:eastAsia="Times New Roman" w:hAnsi="Times New Roman" w:cs="Times New Roman"/>
          <w:sz w:val="24"/>
          <w:szCs w:val="24"/>
          <w:lang w:eastAsia="en-AU"/>
        </w:rPr>
        <w:t>BB</w:t>
      </w:r>
      <w:r w:rsidR="003034B3">
        <w:rPr>
          <w:rFonts w:ascii="Times New Roman" w:eastAsia="Times New Roman" w:hAnsi="Times New Roman" w:cs="Times New Roman"/>
          <w:sz w:val="24"/>
          <w:szCs w:val="24"/>
          <w:lang w:eastAsia="en-AU"/>
        </w:rPr>
        <w:t>(</w:t>
      </w:r>
      <w:proofErr w:type="gramEnd"/>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w:t>
      </w:r>
      <w:proofErr w:type="gramStart"/>
      <w:r w:rsidR="004E05C9">
        <w:rPr>
          <w:rFonts w:ascii="Times New Roman" w:eastAsia="Times New Roman" w:hAnsi="Times New Roman" w:cs="Times New Roman"/>
          <w:sz w:val="24"/>
          <w:szCs w:val="24"/>
          <w:lang w:eastAsia="en-AU"/>
        </w:rPr>
        <w:t>BB(</w:t>
      </w:r>
      <w:proofErr w:type="gramEnd"/>
      <w:r w:rsidR="004E05C9">
        <w:rPr>
          <w:rFonts w:ascii="Times New Roman" w:eastAsia="Times New Roman" w:hAnsi="Times New Roman" w:cs="Times New Roman"/>
          <w:sz w:val="24"/>
          <w:szCs w:val="24"/>
          <w:lang w:eastAsia="en-AU"/>
        </w:rPr>
        <w:t>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7814A646"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E702D7">
        <w:rPr>
          <w:rFonts w:ascii="Times New Roman" w:eastAsia="Times New Roman" w:hAnsi="Times New Roman" w:cs="Times New Roman"/>
          <w:bCs/>
          <w:i/>
          <w:sz w:val="24"/>
          <w:szCs w:val="24"/>
          <w:lang w:eastAsia="en-AU"/>
        </w:rPr>
        <w:t>2</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E702D7">
        <w:rPr>
          <w:rFonts w:ascii="Times New Roman" w:eastAsia="Times New Roman" w:hAnsi="Times New Roman" w:cs="Times New Roman"/>
          <w:i/>
          <w:sz w:val="24"/>
          <w:szCs w:val="24"/>
          <w:lang w:eastAsia="en-AU"/>
        </w:rPr>
        <w:t>1</w:t>
      </w:r>
      <w:r w:rsidRPr="004E05C9">
        <w:rPr>
          <w:rFonts w:ascii="Times New Roman" w:eastAsia="Times New Roman" w:hAnsi="Times New Roman" w:cs="Times New Roman"/>
          <w:i/>
          <w:sz w:val="24"/>
          <w:szCs w:val="24"/>
          <w:lang w:eastAsia="en-AU"/>
        </w:rPr>
        <w:t xml:space="preserve">) </w:t>
      </w:r>
      <w:r w:rsidR="00E702D7">
        <w:rPr>
          <w:rFonts w:ascii="Times New Roman" w:eastAsia="Times New Roman" w:hAnsi="Times New Roman" w:cs="Times New Roman"/>
          <w:i/>
          <w:sz w:val="24"/>
          <w:szCs w:val="24"/>
          <w:lang w:eastAsia="en-AU"/>
        </w:rPr>
        <w:t>2023</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proofErr w:type="gramStart"/>
      <w:r w:rsidR="00B60F0C">
        <w:rPr>
          <w:rFonts w:ascii="Times New Roman" w:eastAsia="Times New Roman" w:hAnsi="Times New Roman" w:cs="Times New Roman"/>
          <w:sz w:val="24"/>
          <w:szCs w:val="24"/>
          <w:lang w:eastAsia="en-AU"/>
        </w:rPr>
        <w:t>)</w:t>
      </w:r>
      <w:r w:rsidR="007C503B">
        <w:rPr>
          <w:rFonts w:ascii="Times New Roman" w:eastAsia="Times New Roman" w:hAnsi="Times New Roman" w:cs="Times New Roman"/>
          <w:sz w:val="24"/>
          <w:szCs w:val="24"/>
          <w:lang w:eastAsia="en-AU"/>
        </w:rPr>
        <w:t>, and</w:t>
      </w:r>
      <w:proofErr w:type="gramEnd"/>
      <w:r w:rsidR="007C503B">
        <w:rPr>
          <w:rFonts w:ascii="Times New Roman" w:eastAsia="Times New Roman" w:hAnsi="Times New Roman" w:cs="Times New Roman"/>
          <w:sz w:val="24"/>
          <w:szCs w:val="24"/>
          <w:lang w:eastAsia="en-AU"/>
        </w:rPr>
        <w:t xml:space="preserve">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47DFF45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4773E">
        <w:rPr>
          <w:rFonts w:ascii="Times New Roman" w:eastAsia="Times New Roman" w:hAnsi="Times New Roman" w:cs="Times New Roman"/>
          <w:sz w:val="24"/>
          <w:szCs w:val="24"/>
          <w:lang w:eastAsia="en-AU"/>
        </w:rPr>
        <w:t>are considered to be</w:t>
      </w:r>
      <w:proofErr w:type="gramEnd"/>
      <w:r w:rsidRPr="00D4773E">
        <w:rPr>
          <w:rFonts w:ascii="Times New Roman" w:eastAsia="Times New Roman" w:hAnsi="Times New Roman" w:cs="Times New Roman"/>
          <w:sz w:val="24"/>
          <w:szCs w:val="24"/>
          <w:lang w:eastAsia="en-AU"/>
        </w:rPr>
        <w:t xml:space="preserve"> low risk and are not individually evaluated before those medicines are listed. Medicines that are listed in the Register under section 26AE of the Act are also considered to be low </w:t>
      </w:r>
      <w:proofErr w:type="gramStart"/>
      <w:r w:rsidRPr="00D4773E">
        <w:rPr>
          <w:rFonts w:ascii="Times New Roman" w:eastAsia="Times New Roman" w:hAnsi="Times New Roman" w:cs="Times New Roman"/>
          <w:sz w:val="24"/>
          <w:szCs w:val="24"/>
          <w:lang w:eastAsia="en-AU"/>
        </w:rPr>
        <w:t>risk, but</w:t>
      </w:r>
      <w:proofErr w:type="gramEnd"/>
      <w:r w:rsidRPr="00D4773E">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4773E">
        <w:rPr>
          <w:rFonts w:ascii="Times New Roman" w:eastAsia="Times New Roman" w:hAnsi="Times New Roman" w:cs="Times New Roman"/>
          <w:sz w:val="24"/>
          <w:szCs w:val="24"/>
          <w:lang w:eastAsia="en-AU"/>
        </w:rPr>
        <w:t>medicines’</w:t>
      </w:r>
      <w:proofErr w:type="gramEnd"/>
      <w:r w:rsidRPr="00D4773E">
        <w:rPr>
          <w:rFonts w:ascii="Times New Roman" w:eastAsia="Times New Roman" w:hAnsi="Times New Roman" w:cs="Times New Roman"/>
          <w:sz w:val="24"/>
          <w:szCs w:val="24"/>
          <w:lang w:eastAsia="en-AU"/>
        </w:rPr>
        <w:t>.</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74DFA27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proofErr w:type="gramStart"/>
      <w:r w:rsidRPr="00D4773E">
        <w:rPr>
          <w:rFonts w:ascii="Times New Roman" w:eastAsia="Times New Roman" w:hAnsi="Times New Roman" w:cs="Times New Roman"/>
          <w:sz w:val="24"/>
          <w:szCs w:val="24"/>
          <w:lang w:eastAsia="en-AU"/>
        </w:rPr>
        <w:t>In particular, medicines</w:t>
      </w:r>
      <w:proofErr w:type="gramEnd"/>
      <w:r w:rsidRPr="00D4773E">
        <w:rPr>
          <w:rFonts w:ascii="Times New Roman" w:eastAsia="Times New Roman" w:hAnsi="Times New Roman" w:cs="Times New Roman"/>
          <w:sz w:val="24"/>
          <w:szCs w:val="24"/>
          <w:lang w:eastAsia="en-AU"/>
        </w:rPr>
        <w:t xml:space="preserve"> listed under section 26A and 26AE may only contain </w:t>
      </w:r>
      <w:r w:rsidRPr="00D4773E">
        <w:rPr>
          <w:rFonts w:ascii="Times New Roman" w:eastAsia="Times New Roman" w:hAnsi="Times New Roman" w:cs="Times New Roman"/>
          <w:sz w:val="24"/>
          <w:szCs w:val="24"/>
          <w:lang w:eastAsia="en-AU"/>
        </w:rPr>
        <w:lastRenderedPageBreak/>
        <w:t>ingredients from an approved list of ingredients that have been evaluated in relation to their quality and safety and suitability for use in such medicines.</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6BE1C8A3"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26A(2)(ca)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74CAA43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4FDAFC77"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w:t>
      </w:r>
      <w:r w:rsidR="003034B3">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determination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section 26BB </w:t>
      </w:r>
      <w:r w:rsidR="003034B3">
        <w:rPr>
          <w:rFonts w:ascii="Times New Roman" w:eastAsia="Times New Roman" w:hAnsi="Times New Roman" w:cs="Times New Roman"/>
          <w:sz w:val="24"/>
          <w:szCs w:val="24"/>
          <w:lang w:eastAsia="en-AU"/>
        </w:rPr>
        <w:t>is</w:t>
      </w:r>
      <w:r w:rsidR="003034B3" w:rsidRPr="00D4773E">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 xml:space="preserve">designed to provide a comprehensive list of ingredients which have been assessed or otherwise considered to be safe for use in listed medicines (including assessed listed medicines), and associated requirements to be followed when using </w:t>
      </w:r>
      <w:proofErr w:type="gramStart"/>
      <w:r w:rsidR="00D4773E" w:rsidRPr="00D4773E">
        <w:rPr>
          <w:rFonts w:ascii="Times New Roman" w:eastAsia="Times New Roman" w:hAnsi="Times New Roman" w:cs="Times New Roman"/>
          <w:sz w:val="24"/>
          <w:szCs w:val="24"/>
          <w:lang w:eastAsia="en-AU"/>
        </w:rPr>
        <w:t>particular ingredients</w:t>
      </w:r>
      <w:proofErr w:type="gramEnd"/>
      <w:r w:rsidR="00D4773E" w:rsidRPr="00D4773E">
        <w:rPr>
          <w:rFonts w:ascii="Times New Roman" w:eastAsia="Times New Roman" w:hAnsi="Times New Roman" w:cs="Times New Roman"/>
          <w:sz w:val="24"/>
          <w:szCs w:val="24"/>
          <w:lang w:eastAsia="en-AU"/>
        </w:rPr>
        <w:t xml:space="preserve">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1F1446C3"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w:t>
      </w:r>
      <w:proofErr w:type="gramStart"/>
      <w:r w:rsidRPr="00AF44AF">
        <w:t>ingredient;</w:t>
      </w:r>
      <w:proofErr w:type="gramEnd"/>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intended method of ingestion or application of the medicine, for example, oral or topical </w:t>
      </w:r>
      <w:proofErr w:type="gramStart"/>
      <w:r w:rsidRPr="00AF44AF">
        <w:t>use;</w:t>
      </w:r>
      <w:proofErr w:type="gramEnd"/>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source of the ingredient, or procedures to be followed in its </w:t>
      </w:r>
      <w:proofErr w:type="gramStart"/>
      <w:r w:rsidRPr="00AF44AF">
        <w:t>manufacture;</w:t>
      </w:r>
      <w:proofErr w:type="gramEnd"/>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09FAE5B3" w14:textId="5C625E53" w:rsidR="00FE7242" w:rsidRDefault="006D4AB8" w:rsidP="00F51E52">
      <w:pPr>
        <w:spacing w:after="0"/>
        <w:rPr>
          <w:rFonts w:ascii="Times New Roman" w:eastAsia="Times New Roman" w:hAnsi="Times New Roman" w:cs="Times New Roman"/>
          <w:sz w:val="24"/>
          <w:szCs w:val="24"/>
          <w:lang w:eastAsia="en-AU"/>
        </w:rPr>
      </w:pPr>
      <w:bookmarkStart w:id="1" w:name="_Hlk120027902"/>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3D46039C" w14:textId="48651A54" w:rsidR="00E702D7" w:rsidRPr="00E702D7" w:rsidRDefault="00E702D7" w:rsidP="00EB698D">
      <w:pPr>
        <w:pStyle w:val="ListParagraph"/>
        <w:numPr>
          <w:ilvl w:val="0"/>
          <w:numId w:val="11"/>
        </w:numPr>
        <w:spacing w:before="0" w:beforeAutospacing="0" w:after="120" w:afterAutospacing="0" w:line="276" w:lineRule="auto"/>
        <w:ind w:left="714" w:hanging="357"/>
        <w:contextualSpacing/>
      </w:pPr>
      <w:r>
        <w:t xml:space="preserve">the addition of </w:t>
      </w:r>
      <w:r>
        <w:rPr>
          <w:lang w:eastAsia="en-US"/>
        </w:rPr>
        <w:t>the</w:t>
      </w:r>
      <w:r>
        <w:t xml:space="preserve"> ingredient</w:t>
      </w:r>
      <w:r w:rsidR="00BD6E24">
        <w:t>,</w:t>
      </w:r>
      <w:r>
        <w:t xml:space="preserve"> ‘</w:t>
      </w:r>
      <w:proofErr w:type="spellStart"/>
      <w:proofErr w:type="gramStart"/>
      <w:r w:rsidRPr="00FA3AC0">
        <w:rPr>
          <w:rFonts w:cs="Calibri"/>
          <w:bCs/>
        </w:rPr>
        <w:t>galactooligosaccharides</w:t>
      </w:r>
      <w:proofErr w:type="spellEnd"/>
      <w:r>
        <w:rPr>
          <w:rFonts w:cs="Calibri"/>
          <w:bCs/>
        </w:rPr>
        <w:t>’</w:t>
      </w:r>
      <w:r w:rsidR="00BD6E24">
        <w:rPr>
          <w:rFonts w:cs="Calibri"/>
          <w:bCs/>
        </w:rPr>
        <w:t>;</w:t>
      </w:r>
      <w:proofErr w:type="gramEnd"/>
    </w:p>
    <w:p w14:paraId="7F85C68D" w14:textId="4FC9D142" w:rsidR="00E702D7" w:rsidRDefault="00E702D7" w:rsidP="00EB698D">
      <w:pPr>
        <w:pStyle w:val="ListParagraph"/>
        <w:numPr>
          <w:ilvl w:val="0"/>
          <w:numId w:val="11"/>
        </w:numPr>
        <w:spacing w:before="0" w:beforeAutospacing="0" w:after="120" w:afterAutospacing="0" w:line="276" w:lineRule="auto"/>
        <w:ind w:left="714" w:hanging="357"/>
        <w:contextualSpacing/>
      </w:pPr>
      <w:r>
        <w:t xml:space="preserve">the </w:t>
      </w:r>
      <w:r>
        <w:rPr>
          <w:lang w:eastAsia="en-US"/>
        </w:rPr>
        <w:t>addition</w:t>
      </w:r>
      <w:r>
        <w:t xml:space="preserve"> of the following </w:t>
      </w:r>
      <w:r w:rsidR="00BD6E24">
        <w:t>two</w:t>
      </w:r>
      <w:r>
        <w:t xml:space="preserve"> ingredients for use in flavour and fragrance proprietary excipient formulations:</w:t>
      </w:r>
    </w:p>
    <w:p w14:paraId="61E4524D" w14:textId="42B653C3" w:rsidR="00E702D7" w:rsidRPr="0033063C" w:rsidRDefault="00E702D7" w:rsidP="00E702D7">
      <w:pPr>
        <w:pStyle w:val="ListParagraph"/>
        <w:numPr>
          <w:ilvl w:val="1"/>
          <w:numId w:val="11"/>
        </w:numPr>
        <w:spacing w:before="0" w:beforeAutospacing="0" w:after="120" w:afterAutospacing="0" w:line="276" w:lineRule="auto"/>
        <w:contextualSpacing/>
      </w:pPr>
      <w:r w:rsidRPr="00FA3AC0">
        <w:t>disodium pyrophosphate</w:t>
      </w:r>
      <w:r w:rsidRPr="0033063C">
        <w:t>; and</w:t>
      </w:r>
    </w:p>
    <w:p w14:paraId="60D1A10F" w14:textId="55E9C722" w:rsidR="00E702D7" w:rsidRPr="0033063C" w:rsidRDefault="00E702D7" w:rsidP="00E702D7">
      <w:pPr>
        <w:pStyle w:val="ListParagraph"/>
        <w:numPr>
          <w:ilvl w:val="1"/>
          <w:numId w:val="11"/>
        </w:numPr>
        <w:spacing w:before="0" w:beforeAutospacing="0" w:after="120" w:afterAutospacing="0" w:line="276" w:lineRule="auto"/>
        <w:contextualSpacing/>
      </w:pPr>
      <w:r w:rsidRPr="00FA3AC0">
        <w:t>N-(2-(pyridin-2-</w:t>
      </w:r>
      <w:proofErr w:type="gramStart"/>
      <w:r w:rsidRPr="00FA3AC0">
        <w:t>yl)ethyl</w:t>
      </w:r>
      <w:proofErr w:type="gramEnd"/>
      <w:r w:rsidRPr="00FA3AC0">
        <w:t>)-p-menthane-3-carboxamide</w:t>
      </w:r>
      <w:r w:rsidRPr="0033063C">
        <w:t>;</w:t>
      </w:r>
    </w:p>
    <w:p w14:paraId="1C477BD8" w14:textId="6C8CB9EB" w:rsidR="00D61505" w:rsidRDefault="00EC33CC" w:rsidP="004F3C94">
      <w:pPr>
        <w:pStyle w:val="ListParagraph"/>
        <w:numPr>
          <w:ilvl w:val="0"/>
          <w:numId w:val="11"/>
        </w:numPr>
        <w:spacing w:before="0" w:beforeAutospacing="0" w:after="120" w:afterAutospacing="0" w:line="276" w:lineRule="auto"/>
        <w:ind w:left="714" w:hanging="357"/>
        <w:contextualSpacing/>
      </w:pPr>
      <w:r>
        <w:rPr>
          <w:lang w:eastAsia="en-US"/>
        </w:rPr>
        <w:t xml:space="preserve">an </w:t>
      </w:r>
      <w:r w:rsidR="00D61505">
        <w:rPr>
          <w:lang w:eastAsia="en-US"/>
        </w:rPr>
        <w:t>updat</w:t>
      </w:r>
      <w:r>
        <w:rPr>
          <w:lang w:eastAsia="en-US"/>
        </w:rPr>
        <w:t>e to</w:t>
      </w:r>
      <w:r w:rsidR="00D61505">
        <w:t xml:space="preserve"> the ingredient name</w:t>
      </w:r>
      <w:r w:rsidR="00BD6E24">
        <w:t>,</w:t>
      </w:r>
      <w:r w:rsidR="00D61505">
        <w:t xml:space="preserve"> </w:t>
      </w:r>
      <w:r w:rsidR="00D61505" w:rsidRPr="0033063C">
        <w:t>‘</w:t>
      </w:r>
      <w:bookmarkStart w:id="2" w:name="_Hlk129954061"/>
      <w:r w:rsidR="00D61505" w:rsidRPr="00FA3AC0">
        <w:t>mecobalamin (co-</w:t>
      </w:r>
      <w:proofErr w:type="spellStart"/>
      <w:r w:rsidR="00D61505" w:rsidRPr="00FA3AC0">
        <w:t>methylcobalamin</w:t>
      </w:r>
      <w:proofErr w:type="spellEnd"/>
      <w:r w:rsidR="00D61505" w:rsidRPr="00FA3AC0">
        <w:t>)</w:t>
      </w:r>
      <w:bookmarkEnd w:id="2"/>
      <w:r w:rsidR="00D61505" w:rsidRPr="0033063C">
        <w:t>’</w:t>
      </w:r>
      <w:r w:rsidR="00BD6E24" w:rsidRPr="0033063C">
        <w:t>,</w:t>
      </w:r>
      <w:r w:rsidR="00D61505" w:rsidRPr="0033063C">
        <w:t xml:space="preserve"> to the sole ingredient name</w:t>
      </w:r>
      <w:r w:rsidR="00BD6E24" w:rsidRPr="0033063C">
        <w:t>,</w:t>
      </w:r>
      <w:r w:rsidR="00D61505" w:rsidRPr="0033063C">
        <w:t xml:space="preserve"> ‘</w:t>
      </w:r>
      <w:r w:rsidR="00D61505" w:rsidRPr="00FA3AC0">
        <w:t>mecobalamin</w:t>
      </w:r>
      <w:r w:rsidR="00D61505">
        <w:t>’</w:t>
      </w:r>
      <w:r w:rsidR="004F3C94">
        <w:t>, to reflect the end of</w:t>
      </w:r>
      <w:r w:rsidR="00D61505">
        <w:t xml:space="preserve"> the </w:t>
      </w:r>
      <w:r w:rsidR="00BE7DE2" w:rsidRPr="00BE7DE2">
        <w:rPr>
          <w:lang w:eastAsia="en-US"/>
        </w:rPr>
        <w:t xml:space="preserve">International </w:t>
      </w:r>
      <w:r w:rsidR="00BE7DE2">
        <w:rPr>
          <w:lang w:eastAsia="en-US"/>
        </w:rPr>
        <w:t>H</w:t>
      </w:r>
      <w:r w:rsidR="00BE7DE2" w:rsidRPr="00BE7DE2">
        <w:rPr>
          <w:lang w:eastAsia="en-US"/>
        </w:rPr>
        <w:t xml:space="preserve">armonisation of </w:t>
      </w:r>
      <w:r w:rsidR="00BE7DE2">
        <w:rPr>
          <w:lang w:eastAsia="en-US"/>
        </w:rPr>
        <w:t>I</w:t>
      </w:r>
      <w:r w:rsidR="00BE7DE2" w:rsidRPr="00BE7DE2">
        <w:rPr>
          <w:lang w:eastAsia="en-US"/>
        </w:rPr>
        <w:t xml:space="preserve">ngredient </w:t>
      </w:r>
      <w:r w:rsidR="00BE7DE2">
        <w:rPr>
          <w:lang w:eastAsia="en-US"/>
        </w:rPr>
        <w:t>N</w:t>
      </w:r>
      <w:r w:rsidR="00BE7DE2" w:rsidRPr="00BE7DE2">
        <w:rPr>
          <w:lang w:eastAsia="en-US"/>
        </w:rPr>
        <w:t>ames (</w:t>
      </w:r>
      <w:r w:rsidR="0009675B">
        <w:rPr>
          <w:lang w:eastAsia="en-US"/>
        </w:rPr>
        <w:t>“</w:t>
      </w:r>
      <w:r w:rsidR="00BE7DE2" w:rsidRPr="00BE7DE2">
        <w:rPr>
          <w:lang w:eastAsia="en-US"/>
        </w:rPr>
        <w:t>IHIN</w:t>
      </w:r>
      <w:r w:rsidR="0009675B">
        <w:rPr>
          <w:lang w:eastAsia="en-US"/>
        </w:rPr>
        <w:t>”</w:t>
      </w:r>
      <w:r w:rsidR="00BE7DE2" w:rsidRPr="00BE7DE2">
        <w:rPr>
          <w:lang w:eastAsia="en-US"/>
        </w:rPr>
        <w:t>)</w:t>
      </w:r>
      <w:r w:rsidR="00D61505">
        <w:t xml:space="preserve"> dual labelling period requirements for this ingredient on 30 April </w:t>
      </w:r>
      <w:proofErr w:type="gramStart"/>
      <w:r w:rsidR="00D61505">
        <w:t>2023;</w:t>
      </w:r>
      <w:proofErr w:type="gramEnd"/>
    </w:p>
    <w:p w14:paraId="00BDE5E8" w14:textId="6C6B02FA" w:rsidR="00D61505" w:rsidRPr="00D75AA4" w:rsidRDefault="00D61505" w:rsidP="00FD59BC">
      <w:pPr>
        <w:pStyle w:val="ListParagraph"/>
        <w:numPr>
          <w:ilvl w:val="0"/>
          <w:numId w:val="11"/>
        </w:numPr>
        <w:spacing w:before="0" w:beforeAutospacing="0" w:after="120" w:afterAutospacing="0" w:line="276" w:lineRule="auto"/>
        <w:ind w:left="714" w:hanging="357"/>
        <w:contextualSpacing/>
      </w:pPr>
      <w:r>
        <w:rPr>
          <w:lang w:eastAsia="en-US"/>
        </w:rPr>
        <w:t>u</w:t>
      </w:r>
      <w:r w:rsidRPr="00D75AA4">
        <w:rPr>
          <w:lang w:eastAsia="en-US"/>
        </w:rPr>
        <w:t>pdat</w:t>
      </w:r>
      <w:r w:rsidR="004F3C94">
        <w:rPr>
          <w:lang w:eastAsia="en-US"/>
        </w:rPr>
        <w:t>es to</w:t>
      </w:r>
      <w:r w:rsidRPr="00D75AA4">
        <w:t xml:space="preserve"> the </w:t>
      </w:r>
      <w:r>
        <w:t>Approved Herbal Names</w:t>
      </w:r>
      <w:r w:rsidRPr="00D75AA4">
        <w:t xml:space="preserve"> </w:t>
      </w:r>
      <w:r w:rsidR="00BD6E24">
        <w:t>(</w:t>
      </w:r>
      <w:r w:rsidR="0009675B">
        <w:t>“</w:t>
      </w:r>
      <w:r w:rsidR="00BD6E24">
        <w:t>AHN</w:t>
      </w:r>
      <w:r w:rsidR="0009675B">
        <w:t>”</w:t>
      </w:r>
      <w:r w:rsidR="00BD6E24">
        <w:t xml:space="preserve">) </w:t>
      </w:r>
      <w:r>
        <w:t xml:space="preserve">of </w:t>
      </w:r>
      <w:r w:rsidR="00BD6E24">
        <w:t xml:space="preserve">seven </w:t>
      </w:r>
      <w:r>
        <w:t xml:space="preserve">ingredients </w:t>
      </w:r>
      <w:r w:rsidRPr="00D75AA4">
        <w:t>to the current taxonomically accepted name</w:t>
      </w:r>
      <w:r w:rsidR="004F3C94">
        <w:t xml:space="preserve">s for those </w:t>
      </w:r>
      <w:proofErr w:type="gramStart"/>
      <w:r w:rsidR="004F3C94">
        <w:t>ingredients</w:t>
      </w:r>
      <w:r>
        <w:t>;</w:t>
      </w:r>
      <w:proofErr w:type="gramEnd"/>
    </w:p>
    <w:p w14:paraId="13D05264" w14:textId="478BA44D" w:rsidR="00C018B9" w:rsidRDefault="00D61505" w:rsidP="00FD59BC">
      <w:pPr>
        <w:pStyle w:val="ListParagraph"/>
        <w:numPr>
          <w:ilvl w:val="0"/>
          <w:numId w:val="11"/>
        </w:numPr>
        <w:spacing w:before="0" w:beforeAutospacing="0" w:after="120" w:afterAutospacing="0" w:line="276" w:lineRule="auto"/>
        <w:ind w:left="714" w:hanging="357"/>
        <w:contextualSpacing/>
      </w:pPr>
      <w:r w:rsidRPr="00D61505">
        <w:rPr>
          <w:lang w:eastAsia="en-US"/>
        </w:rPr>
        <w:t>updates</w:t>
      </w:r>
      <w:r w:rsidRPr="00D61505">
        <w:t xml:space="preserve"> to applicable requirements for </w:t>
      </w:r>
      <w:r w:rsidRPr="00FA3AC0">
        <w:t>2’-fucosyllactose</w:t>
      </w:r>
      <w:r w:rsidR="004F3C94">
        <w:t>, namely to</w:t>
      </w:r>
      <w:r w:rsidR="00C018B9">
        <w:t>:</w:t>
      </w:r>
    </w:p>
    <w:p w14:paraId="6FF16538" w14:textId="5B9930F9" w:rsidR="00C018B9" w:rsidRDefault="004F3C94" w:rsidP="00C018B9">
      <w:pPr>
        <w:pStyle w:val="ListParagraph"/>
        <w:numPr>
          <w:ilvl w:val="1"/>
          <w:numId w:val="11"/>
        </w:numPr>
        <w:spacing w:before="0" w:beforeAutospacing="0" w:after="120" w:afterAutospacing="0" w:line="276" w:lineRule="auto"/>
        <w:contextualSpacing/>
      </w:pPr>
      <w:r>
        <w:t>remove</w:t>
      </w:r>
      <w:r w:rsidR="00C018B9" w:rsidRPr="00D61505">
        <w:t xml:space="preserve"> requirements to reflect the expiry of the period of exclusive use for the relevant </w:t>
      </w:r>
      <w:proofErr w:type="gramStart"/>
      <w:r w:rsidR="00C018B9" w:rsidRPr="00D61505">
        <w:t>sponsor</w:t>
      </w:r>
      <w:r w:rsidR="00C018B9">
        <w:t>;</w:t>
      </w:r>
      <w:proofErr w:type="gramEnd"/>
    </w:p>
    <w:p w14:paraId="0A545925" w14:textId="1EF8A6E3" w:rsidR="00B10F91" w:rsidRDefault="00D61505" w:rsidP="00C018B9">
      <w:pPr>
        <w:pStyle w:val="ListParagraph"/>
        <w:numPr>
          <w:ilvl w:val="1"/>
          <w:numId w:val="11"/>
        </w:numPr>
        <w:spacing w:before="0" w:beforeAutospacing="0" w:after="120" w:afterAutospacing="0" w:line="276" w:lineRule="auto"/>
        <w:contextualSpacing/>
      </w:pPr>
      <w:r w:rsidRPr="00D61505">
        <w:t xml:space="preserve">allow for its use in children aged 1 month and older, and amending the permitted maximum daily doses, following an application that was made to the Secretary for this </w:t>
      </w:r>
      <w:proofErr w:type="gramStart"/>
      <w:r w:rsidRPr="00D61505">
        <w:t>variation</w:t>
      </w:r>
      <w:r w:rsidR="00282A01">
        <w:t>;</w:t>
      </w:r>
      <w:proofErr w:type="gramEnd"/>
    </w:p>
    <w:p w14:paraId="60D322A9" w14:textId="4427118E" w:rsidR="00C93D58" w:rsidRPr="00D61505" w:rsidRDefault="00D61505" w:rsidP="008A7F19">
      <w:pPr>
        <w:pStyle w:val="ListParagraph"/>
        <w:numPr>
          <w:ilvl w:val="1"/>
          <w:numId w:val="11"/>
        </w:numPr>
        <w:spacing w:before="0" w:beforeAutospacing="0" w:after="120" w:afterAutospacing="0" w:line="276" w:lineRule="auto"/>
        <w:contextualSpacing/>
      </w:pPr>
      <w:r w:rsidRPr="00D61505">
        <w:t xml:space="preserve">include a warning statement that the product should not be consumed on the same day as breastmilk or other products containing </w:t>
      </w:r>
      <w:r w:rsidRPr="0033063C">
        <w:t>2’-</w:t>
      </w:r>
      <w:proofErr w:type="gramStart"/>
      <w:r w:rsidRPr="0033063C">
        <w:t>fucosyllactose</w:t>
      </w:r>
      <w:r w:rsidRPr="00D61505">
        <w:t>;</w:t>
      </w:r>
      <w:proofErr w:type="gramEnd"/>
    </w:p>
    <w:p w14:paraId="6F4813B5" w14:textId="093139B7" w:rsidR="00D61505" w:rsidRPr="00D61505" w:rsidRDefault="00D61505" w:rsidP="00FD59BC">
      <w:pPr>
        <w:pStyle w:val="ListParagraph"/>
        <w:numPr>
          <w:ilvl w:val="0"/>
          <w:numId w:val="11"/>
        </w:numPr>
        <w:spacing w:before="0" w:beforeAutospacing="0" w:after="120" w:afterAutospacing="0" w:line="276" w:lineRule="auto"/>
        <w:ind w:left="714" w:hanging="357"/>
        <w:contextualSpacing/>
      </w:pPr>
      <w:r w:rsidRPr="00D61505">
        <w:t xml:space="preserve">minor clarifications and correction of minor typographical errors for the purpose of improving the internal consistency of the Determination, including clarification of the requirements for </w:t>
      </w:r>
      <w:proofErr w:type="spellStart"/>
      <w:r w:rsidRPr="00FA3AC0">
        <w:t>lacto</w:t>
      </w:r>
      <w:proofErr w:type="spellEnd"/>
      <w:r w:rsidRPr="00FA3AC0">
        <w:t>-N-</w:t>
      </w:r>
      <w:proofErr w:type="spellStart"/>
      <w:r w:rsidRPr="00FA3AC0">
        <w:t>tetraose</w:t>
      </w:r>
      <w:proofErr w:type="spellEnd"/>
      <w:r w:rsidRPr="00D61505">
        <w:t xml:space="preserve"> regarding the applicable age groups for the required warning statements</w:t>
      </w:r>
      <w:r w:rsidR="00955863">
        <w:t xml:space="preserve"> for this </w:t>
      </w:r>
      <w:proofErr w:type="gramStart"/>
      <w:r w:rsidR="00955863">
        <w:t>ingredient</w:t>
      </w:r>
      <w:r w:rsidRPr="00D61505">
        <w:t>;</w:t>
      </w:r>
      <w:proofErr w:type="gramEnd"/>
    </w:p>
    <w:p w14:paraId="3A64E8EB" w14:textId="29D94C2E" w:rsidR="00D61505" w:rsidRPr="00D61505" w:rsidRDefault="00D61505" w:rsidP="00FD59BC">
      <w:pPr>
        <w:pStyle w:val="ListParagraph"/>
        <w:numPr>
          <w:ilvl w:val="0"/>
          <w:numId w:val="11"/>
        </w:numPr>
        <w:spacing w:before="0" w:beforeAutospacing="0" w:after="120" w:afterAutospacing="0" w:line="276" w:lineRule="auto"/>
        <w:ind w:left="714" w:hanging="357"/>
        <w:contextualSpacing/>
      </w:pPr>
      <w:r w:rsidRPr="00D61505">
        <w:rPr>
          <w:lang w:eastAsia="en-US"/>
        </w:rPr>
        <w:t>updates</w:t>
      </w:r>
      <w:r w:rsidRPr="00D61505">
        <w:t xml:space="preserve"> to applicable requirements for </w:t>
      </w:r>
      <w:r w:rsidRPr="00FA3AC0">
        <w:t>caffeine</w:t>
      </w:r>
      <w:r w:rsidRPr="0033063C">
        <w:t xml:space="preserve"> </w:t>
      </w:r>
      <w:r w:rsidRPr="00D61505">
        <w:t xml:space="preserve">to allow for its use as an active ingredient for topical administration following identification that this use </w:t>
      </w:r>
      <w:r w:rsidR="00955863">
        <w:t>has been</w:t>
      </w:r>
      <w:r w:rsidRPr="00D61505">
        <w:t xml:space="preserve"> inadvertently removed</w:t>
      </w:r>
      <w:r>
        <w:t>; and</w:t>
      </w:r>
    </w:p>
    <w:p w14:paraId="048950E7" w14:textId="4DC4DDCD" w:rsidR="00E702D7" w:rsidRDefault="00D61505" w:rsidP="00BB1FCB">
      <w:pPr>
        <w:pStyle w:val="ListParagraph"/>
        <w:numPr>
          <w:ilvl w:val="0"/>
          <w:numId w:val="11"/>
        </w:numPr>
        <w:spacing w:before="0" w:beforeAutospacing="0" w:after="0" w:afterAutospacing="0" w:line="276" w:lineRule="auto"/>
        <w:ind w:left="714" w:hanging="357"/>
      </w:pPr>
      <w:r>
        <w:rPr>
          <w:lang w:eastAsia="en-US"/>
        </w:rPr>
        <w:t>t</w:t>
      </w:r>
      <w:r w:rsidRPr="00C31453">
        <w:rPr>
          <w:lang w:eastAsia="en-US"/>
        </w:rPr>
        <w:t>he re</w:t>
      </w:r>
      <w:r>
        <w:rPr>
          <w:lang w:eastAsia="en-US"/>
        </w:rPr>
        <w:t xml:space="preserve">moval of </w:t>
      </w:r>
      <w:proofErr w:type="gramStart"/>
      <w:r w:rsidR="00BD6E24">
        <w:rPr>
          <w:lang w:eastAsia="en-US"/>
        </w:rPr>
        <w:t>twenty</w:t>
      </w:r>
      <w:r w:rsidR="0033063C">
        <w:rPr>
          <w:lang w:eastAsia="en-US"/>
        </w:rPr>
        <w:t xml:space="preserve"> </w:t>
      </w:r>
      <w:r w:rsidR="00FA3AC0">
        <w:rPr>
          <w:lang w:eastAsia="en-US"/>
        </w:rPr>
        <w:t>five</w:t>
      </w:r>
      <w:proofErr w:type="gramEnd"/>
      <w:r w:rsidR="00FA3AC0">
        <w:rPr>
          <w:lang w:eastAsia="en-US"/>
        </w:rPr>
        <w:t xml:space="preserve"> ingredients</w:t>
      </w:r>
      <w:r>
        <w:rPr>
          <w:lang w:eastAsia="en-US"/>
        </w:rPr>
        <w:t xml:space="preserve"> in </w:t>
      </w:r>
      <w:r w:rsidRPr="000D4287">
        <w:t xml:space="preserve">the </w:t>
      </w:r>
      <w:r w:rsidRPr="000D4287">
        <w:rPr>
          <w:lang w:eastAsia="en-US"/>
        </w:rPr>
        <w:t>Approved</w:t>
      </w:r>
      <w:r w:rsidRPr="000D4287">
        <w:t xml:space="preserve"> Food Name (</w:t>
      </w:r>
      <w:r w:rsidR="0009675B">
        <w:t>“</w:t>
      </w:r>
      <w:r w:rsidRPr="000D4287">
        <w:t>AFN</w:t>
      </w:r>
      <w:r w:rsidR="0009675B">
        <w:t>”</w:t>
      </w:r>
      <w:r w:rsidRPr="000D4287">
        <w:t xml:space="preserve">) category </w:t>
      </w:r>
      <w:r>
        <w:t>that are</w:t>
      </w:r>
      <w:r w:rsidRPr="000D4287">
        <w:t xml:space="preserve"> not in use in </w:t>
      </w:r>
      <w:r>
        <w:t xml:space="preserve">any listed medicine </w:t>
      </w:r>
      <w:r w:rsidRPr="000D4287">
        <w:t>products</w:t>
      </w:r>
      <w:r w:rsidR="00955863">
        <w:t xml:space="preserve"> in Australia</w:t>
      </w:r>
      <w:r>
        <w:t>, and which remain available for use in listed medicines under synonyms or</w:t>
      </w:r>
      <w:r w:rsidRPr="000D4287">
        <w:t xml:space="preserve"> alternative</w:t>
      </w:r>
      <w:r>
        <w:t xml:space="preserve"> names</w:t>
      </w:r>
      <w:r w:rsidRPr="000D4287">
        <w:t>.</w:t>
      </w:r>
    </w:p>
    <w:p w14:paraId="6B4EC80E" w14:textId="12417CC7" w:rsidR="00BE7DE2" w:rsidRDefault="00BE7DE2" w:rsidP="00BE7DE2">
      <w:pPr>
        <w:spacing w:after="0"/>
      </w:pPr>
    </w:p>
    <w:bookmarkEnd w:id="0"/>
    <w:bookmarkEnd w:id="1"/>
    <w:p w14:paraId="586E85BD" w14:textId="46E915F5" w:rsidR="004F3C94" w:rsidRDefault="00EF1F18" w:rsidP="00D30349">
      <w:pPr>
        <w:autoSpaceDE w:val="0"/>
        <w:autoSpaceDN w:val="0"/>
        <w:adjustRightInd w:val="0"/>
        <w:spacing w:after="0"/>
        <w:rPr>
          <w:rFonts w:ascii="Times New Roman" w:hAnsi="Times New Roman" w:cs="Times New Roman"/>
          <w:sz w:val="24"/>
          <w:szCs w:val="24"/>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7CC02CF9" w14:textId="3F478E02" w:rsidR="00BB1FCB" w:rsidRPr="00FD59BC" w:rsidRDefault="00D61505" w:rsidP="00D30349">
      <w:pPr>
        <w:spacing w:before="120" w:after="120"/>
        <w:rPr>
          <w:rFonts w:ascii="Times New Roman" w:hAnsi="Times New Roman" w:cs="Times New Roman"/>
          <w:sz w:val="24"/>
          <w:szCs w:val="24"/>
        </w:rPr>
      </w:pPr>
      <w:r w:rsidRPr="00FD59BC">
        <w:rPr>
          <w:rFonts w:ascii="Times New Roman" w:hAnsi="Times New Roman" w:cs="Times New Roman"/>
          <w:sz w:val="24"/>
          <w:szCs w:val="24"/>
        </w:rPr>
        <w:t>Between</w:t>
      </w:r>
      <w:r w:rsidRPr="00FD59BC">
        <w:rPr>
          <w:rFonts w:ascii="Times New Roman" w:eastAsia="Times New Roman" w:hAnsi="Times New Roman" w:cs="Times New Roman"/>
          <w:sz w:val="24"/>
          <w:szCs w:val="24"/>
          <w:lang w:eastAsia="en-AU"/>
        </w:rPr>
        <w:t xml:space="preserve"> December 2021 and February 2023, the TGA engaged directly with the applicant who applied for the approval of the ingredient</w:t>
      </w:r>
      <w:r w:rsidR="00A860B9">
        <w:rPr>
          <w:rFonts w:ascii="Times New Roman" w:eastAsia="Times New Roman" w:hAnsi="Times New Roman" w:cs="Times New Roman"/>
          <w:sz w:val="24"/>
          <w:szCs w:val="24"/>
          <w:lang w:eastAsia="en-AU"/>
        </w:rPr>
        <w:t>,</w:t>
      </w:r>
      <w:r w:rsidRPr="00FD59BC">
        <w:rPr>
          <w:rFonts w:ascii="Times New Roman" w:eastAsia="Times New Roman" w:hAnsi="Times New Roman" w:cs="Times New Roman"/>
          <w:sz w:val="24"/>
          <w:szCs w:val="24"/>
          <w:lang w:eastAsia="en-AU"/>
        </w:rPr>
        <w:t xml:space="preserve"> </w:t>
      </w:r>
      <w:proofErr w:type="spellStart"/>
      <w:r w:rsidRPr="0033063C">
        <w:rPr>
          <w:rFonts w:ascii="Times New Roman" w:hAnsi="Times New Roman" w:cs="Times New Roman"/>
          <w:sz w:val="24"/>
          <w:szCs w:val="24"/>
        </w:rPr>
        <w:t>galactooligosaccharides</w:t>
      </w:r>
      <w:proofErr w:type="spellEnd"/>
      <w:r w:rsidRPr="0033063C">
        <w:rPr>
          <w:rFonts w:ascii="Times New Roman" w:eastAsia="Times New Roman" w:hAnsi="Times New Roman" w:cs="Times New Roman"/>
          <w:sz w:val="24"/>
          <w:szCs w:val="24"/>
          <w:lang w:eastAsia="en-AU"/>
        </w:rPr>
        <w:t>,</w:t>
      </w:r>
      <w:r w:rsidRPr="00FD59BC">
        <w:rPr>
          <w:rFonts w:ascii="Times New Roman" w:eastAsia="Times New Roman" w:hAnsi="Times New Roman" w:cs="Times New Roman"/>
          <w:sz w:val="24"/>
          <w:szCs w:val="24"/>
          <w:lang w:eastAsia="en-AU"/>
        </w:rPr>
        <w:t xml:space="preserve"> in connection with the application.</w:t>
      </w:r>
    </w:p>
    <w:p w14:paraId="471965E7" w14:textId="3F760734" w:rsidR="00D61505" w:rsidRPr="00FD59BC" w:rsidRDefault="00CB0E7A" w:rsidP="00D61505">
      <w:pPr>
        <w:rPr>
          <w:rFonts w:ascii="Times New Roman" w:hAnsi="Times New Roman" w:cs="Times New Roman"/>
          <w:sz w:val="24"/>
          <w:szCs w:val="24"/>
        </w:rPr>
      </w:pPr>
      <w:r>
        <w:rPr>
          <w:rFonts w:ascii="Times New Roman" w:hAnsi="Times New Roman" w:cs="Times New Roman"/>
          <w:sz w:val="24"/>
          <w:szCs w:val="24"/>
        </w:rPr>
        <w:t>The International Harmonisation of Ingredient Names seeks to harmonise ingredient names</w:t>
      </w:r>
      <w:r w:rsidR="00F454BE">
        <w:rPr>
          <w:rFonts w:ascii="Times New Roman" w:hAnsi="Times New Roman" w:cs="Times New Roman"/>
          <w:sz w:val="24"/>
          <w:szCs w:val="24"/>
        </w:rPr>
        <w:t xml:space="preserve"> </w:t>
      </w:r>
      <w:r w:rsidR="006252CE">
        <w:rPr>
          <w:rFonts w:ascii="Times New Roman" w:hAnsi="Times New Roman" w:cs="Times New Roman"/>
          <w:sz w:val="24"/>
          <w:szCs w:val="24"/>
        </w:rPr>
        <w:t xml:space="preserve">used in Australia </w:t>
      </w:r>
      <w:r w:rsidR="00F454BE">
        <w:rPr>
          <w:rFonts w:ascii="Times New Roman" w:hAnsi="Times New Roman" w:cs="Times New Roman"/>
          <w:sz w:val="24"/>
          <w:szCs w:val="24"/>
        </w:rPr>
        <w:t xml:space="preserve">with names used internationally </w:t>
      </w:r>
      <w:r>
        <w:rPr>
          <w:rFonts w:ascii="Times New Roman" w:hAnsi="Times New Roman" w:cs="Times New Roman"/>
          <w:sz w:val="24"/>
          <w:szCs w:val="24"/>
        </w:rPr>
        <w:t>by ending the requirement for dual labelling</w:t>
      </w:r>
      <w:r w:rsidR="00F454BE">
        <w:rPr>
          <w:rFonts w:ascii="Times New Roman" w:hAnsi="Times New Roman" w:cs="Times New Roman"/>
          <w:sz w:val="24"/>
          <w:szCs w:val="24"/>
        </w:rPr>
        <w:t xml:space="preserve"> of some ingredients, including for mecobalamin,</w:t>
      </w:r>
      <w:r>
        <w:rPr>
          <w:rFonts w:ascii="Times New Roman" w:hAnsi="Times New Roman" w:cs="Times New Roman"/>
          <w:sz w:val="24"/>
          <w:szCs w:val="24"/>
        </w:rPr>
        <w:t xml:space="preserve"> from 1 May 2023. For further details, please see</w:t>
      </w:r>
      <w:r w:rsidRPr="00A22EF9">
        <w:t xml:space="preserve"> </w:t>
      </w:r>
      <w:hyperlink r:id="rId8" w:history="1">
        <w:r w:rsidRPr="005D1266">
          <w:rPr>
            <w:rStyle w:val="Hyperlink"/>
            <w:rFonts w:ascii="Times New Roman" w:hAnsi="Times New Roman" w:cs="Times New Roman"/>
            <w:sz w:val="24"/>
            <w:szCs w:val="24"/>
          </w:rPr>
          <w:t>www.tga.gov.au/updating-medicine-ingredient-names</w:t>
        </w:r>
      </w:hyperlink>
      <w:r>
        <w:rPr>
          <w:rFonts w:ascii="Times New Roman" w:hAnsi="Times New Roman" w:cs="Times New Roman"/>
          <w:sz w:val="24"/>
          <w:szCs w:val="24"/>
        </w:rPr>
        <w:t xml:space="preserve">. </w:t>
      </w:r>
      <w:r w:rsidR="00BD6E24">
        <w:rPr>
          <w:rFonts w:ascii="Times New Roman" w:hAnsi="Times New Roman" w:cs="Times New Roman"/>
          <w:sz w:val="24"/>
          <w:szCs w:val="24"/>
        </w:rPr>
        <w:t>F</w:t>
      </w:r>
      <w:r w:rsidR="00BD6E24" w:rsidRPr="00FD59BC">
        <w:rPr>
          <w:rFonts w:ascii="Times New Roman" w:hAnsi="Times New Roman" w:cs="Times New Roman"/>
          <w:sz w:val="24"/>
          <w:szCs w:val="24"/>
        </w:rPr>
        <w:t xml:space="preserve">rom 7 November </w:t>
      </w:r>
      <w:r w:rsidR="00BD6E24">
        <w:rPr>
          <w:rFonts w:ascii="Times New Roman" w:hAnsi="Times New Roman" w:cs="Times New Roman"/>
          <w:sz w:val="24"/>
          <w:szCs w:val="24"/>
        </w:rPr>
        <w:t xml:space="preserve">2022 </w:t>
      </w:r>
      <w:r w:rsidR="00BD6E24" w:rsidRPr="00FD59BC">
        <w:rPr>
          <w:rFonts w:ascii="Times New Roman" w:hAnsi="Times New Roman" w:cs="Times New Roman"/>
          <w:sz w:val="24"/>
          <w:szCs w:val="24"/>
        </w:rPr>
        <w:t>to 19 December 2022</w:t>
      </w:r>
      <w:r w:rsidR="00BD6E24">
        <w:rPr>
          <w:rFonts w:ascii="Times New Roman" w:hAnsi="Times New Roman" w:cs="Times New Roman"/>
          <w:sz w:val="24"/>
          <w:szCs w:val="24"/>
        </w:rPr>
        <w:t>, t</w:t>
      </w:r>
      <w:r w:rsidR="00D61505" w:rsidRPr="00FD59BC">
        <w:rPr>
          <w:rFonts w:ascii="Times New Roman" w:hAnsi="Times New Roman" w:cs="Times New Roman"/>
          <w:sz w:val="24"/>
          <w:szCs w:val="24"/>
        </w:rPr>
        <w:t xml:space="preserve">he TGA conducted a </w:t>
      </w:r>
      <w:r w:rsidR="00A22EF9" w:rsidRPr="00FA3AC0">
        <w:rPr>
          <w:rFonts w:ascii="Times New Roman" w:hAnsi="Times New Roman" w:cs="Times New Roman"/>
          <w:sz w:val="24"/>
          <w:szCs w:val="24"/>
        </w:rPr>
        <w:t xml:space="preserve">public </w:t>
      </w:r>
      <w:r w:rsidR="00A22EF9" w:rsidRPr="00E403CA">
        <w:rPr>
          <w:rFonts w:ascii="Times New Roman" w:hAnsi="Times New Roman" w:cs="Times New Roman"/>
          <w:sz w:val="24"/>
          <w:szCs w:val="24"/>
        </w:rPr>
        <w:t xml:space="preserve">consultation (see </w:t>
      </w:r>
      <w:hyperlink r:id="rId9" w:history="1">
        <w:r w:rsidR="00E403CA" w:rsidRPr="00921950">
          <w:rPr>
            <w:rStyle w:val="Hyperlink"/>
            <w:rFonts w:ascii="Times New Roman" w:hAnsi="Times New Roman" w:cs="Times New Roman"/>
            <w:sz w:val="24"/>
            <w:szCs w:val="24"/>
          </w:rPr>
          <w:t>consultations.tga.gov.au/medicines-regulation-division/international-harmonisation-of-</w:t>
        </w:r>
        <w:r w:rsidR="00E403CA" w:rsidRPr="00921950">
          <w:rPr>
            <w:rStyle w:val="Hyperlink"/>
            <w:rFonts w:ascii="Times New Roman" w:hAnsi="Times New Roman" w:cs="Times New Roman"/>
            <w:sz w:val="24"/>
            <w:szCs w:val="24"/>
          </w:rPr>
          <w:lastRenderedPageBreak/>
          <w:t>ingredient-names-ih</w:t>
        </w:r>
      </w:hyperlink>
      <w:r w:rsidR="00A22EF9" w:rsidRPr="00E403CA">
        <w:rPr>
          <w:rFonts w:ascii="Times New Roman" w:hAnsi="Times New Roman" w:cs="Times New Roman"/>
          <w:sz w:val="24"/>
          <w:szCs w:val="24"/>
        </w:rPr>
        <w:t>)</w:t>
      </w:r>
      <w:r w:rsidR="00D61505" w:rsidRPr="00FD59BC">
        <w:rPr>
          <w:rFonts w:ascii="Times New Roman" w:hAnsi="Times New Roman" w:cs="Times New Roman"/>
          <w:sz w:val="24"/>
          <w:szCs w:val="24"/>
        </w:rPr>
        <w:t xml:space="preserve"> regarding stakeholder readiness for the end of dual labelling and a proposal to implement a transition period to require medicine labels to be updated to sole medicine ingredient names in a certain time frame. Respondents provided a range of opinions about the end of dual labelling with many supporting a transition period and for certain ingredient names to be updated to sole names, including </w:t>
      </w:r>
      <w:r w:rsidR="00D61505" w:rsidRPr="0033063C">
        <w:rPr>
          <w:rFonts w:ascii="Times New Roman" w:hAnsi="Times New Roman" w:cs="Times New Roman"/>
          <w:sz w:val="24"/>
          <w:szCs w:val="24"/>
        </w:rPr>
        <w:t>mecobalamin (co-</w:t>
      </w:r>
      <w:proofErr w:type="spellStart"/>
      <w:r w:rsidR="00D61505" w:rsidRPr="0033063C">
        <w:rPr>
          <w:rFonts w:ascii="Times New Roman" w:hAnsi="Times New Roman" w:cs="Times New Roman"/>
          <w:sz w:val="24"/>
          <w:szCs w:val="24"/>
        </w:rPr>
        <w:t>methylcobalamin</w:t>
      </w:r>
      <w:proofErr w:type="spellEnd"/>
      <w:r w:rsidR="00D61505" w:rsidRPr="00FA3AC0">
        <w:rPr>
          <w:rFonts w:ascii="Times New Roman" w:hAnsi="Times New Roman" w:cs="Times New Roman"/>
          <w:i/>
          <w:iCs/>
          <w:sz w:val="24"/>
          <w:szCs w:val="24"/>
        </w:rPr>
        <w:t>)</w:t>
      </w:r>
      <w:r w:rsidR="00D61505" w:rsidRPr="00FD59BC">
        <w:rPr>
          <w:rFonts w:ascii="Times New Roman" w:hAnsi="Times New Roman" w:cs="Times New Roman"/>
          <w:sz w:val="24"/>
          <w:szCs w:val="24"/>
        </w:rPr>
        <w:t xml:space="preserve">. Feedback was considered and incorporated into any changes to the dual labelling transition to sole medicine ingredient names. </w:t>
      </w:r>
      <w:r w:rsidR="00D61505" w:rsidRPr="00FD59BC" w:rsidDel="00907672">
        <w:rPr>
          <w:rFonts w:ascii="Times New Roman" w:hAnsi="Times New Roman" w:cs="Times New Roman"/>
          <w:sz w:val="24"/>
          <w:szCs w:val="24"/>
        </w:rPr>
        <w:t>The Office of Impact Analysis (</w:t>
      </w:r>
      <w:r w:rsidR="005703D9">
        <w:rPr>
          <w:rFonts w:ascii="Times New Roman" w:hAnsi="Times New Roman" w:cs="Times New Roman"/>
          <w:sz w:val="24"/>
          <w:szCs w:val="24"/>
        </w:rPr>
        <w:t>“</w:t>
      </w:r>
      <w:r w:rsidR="00D61505" w:rsidRPr="00FD59BC" w:rsidDel="00907672">
        <w:rPr>
          <w:rFonts w:ascii="Times New Roman" w:hAnsi="Times New Roman" w:cs="Times New Roman"/>
          <w:sz w:val="24"/>
          <w:szCs w:val="24"/>
        </w:rPr>
        <w:t>OIA</w:t>
      </w:r>
      <w:r w:rsidR="005703D9">
        <w:rPr>
          <w:rFonts w:ascii="Times New Roman" w:hAnsi="Times New Roman" w:cs="Times New Roman"/>
          <w:sz w:val="24"/>
          <w:szCs w:val="24"/>
        </w:rPr>
        <w:t>”</w:t>
      </w:r>
      <w:r w:rsidR="00D61505" w:rsidRPr="00FD59BC" w:rsidDel="00907672">
        <w:rPr>
          <w:rFonts w:ascii="Times New Roman" w:hAnsi="Times New Roman" w:cs="Times New Roman"/>
          <w:sz w:val="24"/>
          <w:szCs w:val="24"/>
        </w:rPr>
        <w:t xml:space="preserve">) advised that updating the ingredient names (and implementing the associated transition period) is unlikely to have more than minor regulatory impact and that an Impact Analysis </w:t>
      </w:r>
      <w:r w:rsidR="00955863">
        <w:rPr>
          <w:rFonts w:ascii="Times New Roman" w:hAnsi="Times New Roman" w:cs="Times New Roman"/>
          <w:sz w:val="24"/>
          <w:szCs w:val="24"/>
        </w:rPr>
        <w:t>wa</w:t>
      </w:r>
      <w:r w:rsidR="00D61505" w:rsidRPr="00FD59BC" w:rsidDel="00907672">
        <w:rPr>
          <w:rFonts w:ascii="Times New Roman" w:hAnsi="Times New Roman" w:cs="Times New Roman"/>
          <w:sz w:val="24"/>
          <w:szCs w:val="24"/>
        </w:rPr>
        <w:t>s not needed (OIA reference OBPR23-04347).</w:t>
      </w:r>
      <w:r w:rsidR="00A22EF9">
        <w:rPr>
          <w:rFonts w:ascii="Times New Roman" w:hAnsi="Times New Roman" w:cs="Times New Roman"/>
          <w:sz w:val="24"/>
          <w:szCs w:val="24"/>
        </w:rPr>
        <w:t xml:space="preserve">  </w:t>
      </w:r>
    </w:p>
    <w:p w14:paraId="6A855089" w14:textId="69AAFA9C" w:rsidR="00D61505" w:rsidRPr="00FD59BC" w:rsidRDefault="00BD6E24" w:rsidP="00D61505">
      <w:pPr>
        <w:rPr>
          <w:rFonts w:ascii="Times New Roman" w:hAnsi="Times New Roman" w:cs="Times New Roman"/>
          <w:sz w:val="24"/>
          <w:szCs w:val="24"/>
        </w:rPr>
      </w:pPr>
      <w:r>
        <w:rPr>
          <w:rFonts w:ascii="Times New Roman" w:hAnsi="Times New Roman" w:cs="Times New Roman"/>
          <w:sz w:val="24"/>
          <w:szCs w:val="24"/>
        </w:rPr>
        <w:t>B</w:t>
      </w:r>
      <w:r w:rsidRPr="00FD59BC">
        <w:rPr>
          <w:rFonts w:ascii="Times New Roman" w:hAnsi="Times New Roman" w:cs="Times New Roman"/>
          <w:sz w:val="24"/>
          <w:szCs w:val="24"/>
        </w:rPr>
        <w:t>etween December 2020 and November 2021</w:t>
      </w:r>
      <w:r>
        <w:rPr>
          <w:rFonts w:ascii="Times New Roman" w:hAnsi="Times New Roman" w:cs="Times New Roman"/>
          <w:sz w:val="24"/>
          <w:szCs w:val="24"/>
        </w:rPr>
        <w:t>, t</w:t>
      </w:r>
      <w:r w:rsidR="00D61505" w:rsidRPr="00FD59BC">
        <w:rPr>
          <w:rFonts w:ascii="Times New Roman" w:hAnsi="Times New Roman" w:cs="Times New Roman"/>
          <w:sz w:val="24"/>
          <w:szCs w:val="24"/>
        </w:rPr>
        <w:t>he TGA engaged directly with the applicant who applied for the variation in relation to the ingredient</w:t>
      </w:r>
      <w:r w:rsidR="00A860B9">
        <w:rPr>
          <w:rFonts w:ascii="Times New Roman" w:hAnsi="Times New Roman" w:cs="Times New Roman"/>
          <w:sz w:val="24"/>
          <w:szCs w:val="24"/>
        </w:rPr>
        <w:t>,</w:t>
      </w:r>
      <w:r w:rsidR="00D61505" w:rsidRPr="00FD59BC">
        <w:rPr>
          <w:rFonts w:ascii="Times New Roman" w:hAnsi="Times New Roman" w:cs="Times New Roman"/>
          <w:sz w:val="24"/>
          <w:szCs w:val="24"/>
        </w:rPr>
        <w:t xml:space="preserve"> </w:t>
      </w:r>
      <w:r w:rsidR="00D61505" w:rsidRPr="0033063C">
        <w:rPr>
          <w:rFonts w:ascii="Times New Roman" w:hAnsi="Times New Roman" w:cs="Times New Roman"/>
          <w:sz w:val="24"/>
          <w:szCs w:val="24"/>
        </w:rPr>
        <w:t>2’</w:t>
      </w:r>
      <w:r w:rsidR="00D61505" w:rsidRPr="0033063C">
        <w:rPr>
          <w:rFonts w:ascii="Times New Roman" w:hAnsi="Times New Roman" w:cs="Times New Roman"/>
          <w:sz w:val="24"/>
          <w:szCs w:val="24"/>
        </w:rPr>
        <w:noBreakHyphen/>
        <w:t>fucosyllactose</w:t>
      </w:r>
      <w:r w:rsidR="00D61505" w:rsidRPr="00FD59BC">
        <w:rPr>
          <w:rFonts w:ascii="Times New Roman" w:hAnsi="Times New Roman" w:cs="Times New Roman"/>
          <w:sz w:val="24"/>
          <w:szCs w:val="24"/>
        </w:rPr>
        <w:t>, in connection with that application.</w:t>
      </w:r>
    </w:p>
    <w:p w14:paraId="176F9248" w14:textId="0944508C" w:rsidR="00D61505" w:rsidRPr="00FD59BC" w:rsidRDefault="00BD6E24" w:rsidP="00D61505">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sidRPr="00FD59BC">
        <w:rPr>
          <w:rFonts w:ascii="Times New Roman" w:eastAsia="Times New Roman" w:hAnsi="Times New Roman" w:cs="Times New Roman"/>
          <w:sz w:val="24"/>
          <w:szCs w:val="24"/>
          <w:lang w:eastAsia="en-AU"/>
        </w:rPr>
        <w:t xml:space="preserve">etween July 2022 and </w:t>
      </w:r>
      <w:r w:rsidR="00A22EF9">
        <w:rPr>
          <w:rFonts w:ascii="Times New Roman" w:eastAsia="Times New Roman" w:hAnsi="Times New Roman" w:cs="Times New Roman"/>
          <w:sz w:val="24"/>
          <w:szCs w:val="24"/>
          <w:lang w:eastAsia="en-AU"/>
        </w:rPr>
        <w:t>March 2023</w:t>
      </w:r>
      <w:r>
        <w:rPr>
          <w:rFonts w:ascii="Times New Roman" w:eastAsia="Times New Roman" w:hAnsi="Times New Roman" w:cs="Times New Roman"/>
          <w:sz w:val="24"/>
          <w:szCs w:val="24"/>
          <w:lang w:eastAsia="en-AU"/>
        </w:rPr>
        <w:t>, t</w:t>
      </w:r>
      <w:r w:rsidR="00D61505" w:rsidRPr="00FD59BC">
        <w:rPr>
          <w:rFonts w:ascii="Times New Roman" w:eastAsia="Times New Roman" w:hAnsi="Times New Roman" w:cs="Times New Roman"/>
          <w:sz w:val="24"/>
          <w:szCs w:val="24"/>
          <w:lang w:eastAsia="en-AU"/>
        </w:rPr>
        <w:t>he TGA engaged directly with the sponsor of the ingredient</w:t>
      </w:r>
      <w:r w:rsidR="00A860B9">
        <w:rPr>
          <w:rFonts w:ascii="Times New Roman" w:eastAsia="Times New Roman" w:hAnsi="Times New Roman" w:cs="Times New Roman"/>
          <w:sz w:val="24"/>
          <w:szCs w:val="24"/>
          <w:lang w:eastAsia="en-AU"/>
        </w:rPr>
        <w:t>,</w:t>
      </w:r>
      <w:r w:rsidR="00D61505" w:rsidRPr="00FD59BC">
        <w:rPr>
          <w:rFonts w:ascii="Times New Roman" w:eastAsia="Times New Roman" w:hAnsi="Times New Roman" w:cs="Times New Roman"/>
          <w:sz w:val="24"/>
          <w:szCs w:val="24"/>
          <w:lang w:eastAsia="en-AU"/>
        </w:rPr>
        <w:t xml:space="preserve"> </w:t>
      </w:r>
      <w:proofErr w:type="spellStart"/>
      <w:r w:rsidR="00D61505" w:rsidRPr="0033063C">
        <w:rPr>
          <w:rFonts w:ascii="Times New Roman" w:eastAsia="Times New Roman" w:hAnsi="Times New Roman" w:cs="Times New Roman"/>
          <w:sz w:val="24"/>
          <w:szCs w:val="24"/>
          <w:lang w:eastAsia="en-AU"/>
        </w:rPr>
        <w:t>lacto</w:t>
      </w:r>
      <w:proofErr w:type="spellEnd"/>
      <w:r w:rsidR="00D61505" w:rsidRPr="0033063C">
        <w:rPr>
          <w:rFonts w:ascii="Times New Roman" w:eastAsia="Times New Roman" w:hAnsi="Times New Roman" w:cs="Times New Roman"/>
          <w:sz w:val="24"/>
          <w:szCs w:val="24"/>
          <w:lang w:eastAsia="en-AU"/>
        </w:rPr>
        <w:noBreakHyphen/>
        <w:t>N</w:t>
      </w:r>
      <w:r w:rsidR="00D61505" w:rsidRPr="0033063C">
        <w:rPr>
          <w:rFonts w:ascii="Times New Roman" w:eastAsia="Times New Roman" w:hAnsi="Times New Roman" w:cs="Times New Roman"/>
          <w:sz w:val="24"/>
          <w:szCs w:val="24"/>
          <w:lang w:eastAsia="en-AU"/>
        </w:rPr>
        <w:noBreakHyphen/>
      </w:r>
      <w:proofErr w:type="spellStart"/>
      <w:r w:rsidR="00D61505" w:rsidRPr="0033063C">
        <w:rPr>
          <w:rFonts w:ascii="Times New Roman" w:eastAsia="Times New Roman" w:hAnsi="Times New Roman" w:cs="Times New Roman"/>
          <w:sz w:val="24"/>
          <w:szCs w:val="24"/>
          <w:lang w:eastAsia="en-AU"/>
        </w:rPr>
        <w:t>tetraose</w:t>
      </w:r>
      <w:proofErr w:type="spellEnd"/>
      <w:r w:rsidR="00955863">
        <w:rPr>
          <w:rFonts w:ascii="Times New Roman" w:eastAsia="Times New Roman" w:hAnsi="Times New Roman" w:cs="Times New Roman"/>
          <w:sz w:val="24"/>
          <w:szCs w:val="24"/>
          <w:lang w:eastAsia="en-AU"/>
        </w:rPr>
        <w:t>, in relation to the proposed changes to that ingredient that are reflected in the Determination</w:t>
      </w:r>
      <w:r w:rsidR="00D61505" w:rsidRPr="00FD59BC">
        <w:rPr>
          <w:rFonts w:ascii="Times New Roman" w:eastAsia="Times New Roman" w:hAnsi="Times New Roman" w:cs="Times New Roman"/>
          <w:sz w:val="24"/>
          <w:szCs w:val="24"/>
          <w:lang w:eastAsia="en-AU"/>
        </w:rPr>
        <w:t xml:space="preserve">.  </w:t>
      </w:r>
    </w:p>
    <w:p w14:paraId="7AEEE018" w14:textId="4D9EEA3D" w:rsidR="00D61505" w:rsidRPr="00FD59BC" w:rsidRDefault="00D61505" w:rsidP="00D61505">
      <w:pPr>
        <w:rPr>
          <w:rFonts w:ascii="Times New Roman" w:hAnsi="Times New Roman" w:cs="Times New Roman"/>
          <w:sz w:val="24"/>
          <w:szCs w:val="24"/>
        </w:rPr>
      </w:pPr>
      <w:r w:rsidRPr="00FD59BC">
        <w:rPr>
          <w:rFonts w:ascii="Times New Roman" w:hAnsi="Times New Roman" w:cs="Times New Roman"/>
          <w:sz w:val="24"/>
          <w:szCs w:val="24"/>
        </w:rPr>
        <w:t xml:space="preserve">A list of </w:t>
      </w:r>
      <w:proofErr w:type="gramStart"/>
      <w:r w:rsidR="0033063C">
        <w:rPr>
          <w:rFonts w:ascii="Times New Roman" w:hAnsi="Times New Roman" w:cs="Times New Roman"/>
          <w:sz w:val="24"/>
          <w:szCs w:val="24"/>
        </w:rPr>
        <w:t>sixty nine</w:t>
      </w:r>
      <w:proofErr w:type="gramEnd"/>
      <w:r w:rsidR="00BD6E24">
        <w:rPr>
          <w:rFonts w:ascii="Times New Roman" w:hAnsi="Times New Roman" w:cs="Times New Roman"/>
          <w:sz w:val="24"/>
          <w:szCs w:val="24"/>
        </w:rPr>
        <w:t xml:space="preserve"> </w:t>
      </w:r>
      <w:r w:rsidRPr="00FD59BC">
        <w:rPr>
          <w:rFonts w:ascii="Times New Roman" w:hAnsi="Times New Roman" w:cs="Times New Roman"/>
          <w:sz w:val="24"/>
          <w:szCs w:val="24"/>
        </w:rPr>
        <w:t>AFN ingredients proposed for deactivation from the Ingredient Repository were presented for consultation with the Complementary and OTC Medicines Regulatory and Technical Consultative Forum (ComTech) in October 2022</w:t>
      </w:r>
      <w:r w:rsidR="00955863">
        <w:rPr>
          <w:rFonts w:ascii="Times New Roman" w:hAnsi="Times New Roman" w:cs="Times New Roman"/>
          <w:sz w:val="24"/>
          <w:szCs w:val="24"/>
        </w:rPr>
        <w:t>.</w:t>
      </w:r>
      <w:r w:rsidRPr="00FD59BC">
        <w:rPr>
          <w:rFonts w:ascii="Times New Roman" w:hAnsi="Times New Roman" w:cs="Times New Roman"/>
          <w:sz w:val="24"/>
          <w:szCs w:val="24"/>
        </w:rPr>
        <w:t xml:space="preserve"> </w:t>
      </w:r>
      <w:r w:rsidR="00955863">
        <w:rPr>
          <w:rFonts w:ascii="Times New Roman" w:hAnsi="Times New Roman" w:cs="Times New Roman"/>
          <w:sz w:val="24"/>
          <w:szCs w:val="24"/>
        </w:rPr>
        <w:t>M</w:t>
      </w:r>
      <w:r w:rsidRPr="00FD59BC">
        <w:rPr>
          <w:rFonts w:ascii="Times New Roman" w:hAnsi="Times New Roman" w:cs="Times New Roman"/>
          <w:sz w:val="24"/>
          <w:szCs w:val="24"/>
        </w:rPr>
        <w:t>embers were invited to provide comments</w:t>
      </w:r>
      <w:r w:rsidR="00706B8A">
        <w:rPr>
          <w:rFonts w:ascii="Times New Roman" w:hAnsi="Times New Roman" w:cs="Times New Roman"/>
          <w:sz w:val="24"/>
          <w:szCs w:val="24"/>
        </w:rPr>
        <w:t>,</w:t>
      </w:r>
      <w:r w:rsidRPr="00FD59BC">
        <w:rPr>
          <w:rFonts w:ascii="Times New Roman" w:hAnsi="Times New Roman" w:cs="Times New Roman"/>
          <w:sz w:val="24"/>
          <w:szCs w:val="24"/>
        </w:rPr>
        <w:t xml:space="preserve"> however</w:t>
      </w:r>
      <w:r w:rsidR="00706B8A">
        <w:rPr>
          <w:rFonts w:ascii="Times New Roman" w:hAnsi="Times New Roman" w:cs="Times New Roman"/>
          <w:sz w:val="24"/>
          <w:szCs w:val="24"/>
        </w:rPr>
        <w:t>,</w:t>
      </w:r>
      <w:r w:rsidRPr="00FD59BC">
        <w:rPr>
          <w:rFonts w:ascii="Times New Roman" w:hAnsi="Times New Roman" w:cs="Times New Roman"/>
          <w:sz w:val="24"/>
          <w:szCs w:val="24"/>
        </w:rPr>
        <w:t xml:space="preserve"> did not propose any changes to this list. </w:t>
      </w:r>
      <w:r w:rsidR="00DA21CD" w:rsidRPr="009543F0">
        <w:rPr>
          <w:rFonts w:ascii="Times New Roman" w:eastAsia="Times New Roman" w:hAnsi="Times New Roman" w:cs="Times New Roman"/>
          <w:sz w:val="24"/>
          <w:szCs w:val="24"/>
          <w:lang w:eastAsia="en-AU"/>
        </w:rPr>
        <w:t>ComTech is a forum that facilitates consultation between the TGA and representatives from the complementary and over the counter medicines industries</w:t>
      </w:r>
      <w:r w:rsidR="00955863">
        <w:rPr>
          <w:rFonts w:ascii="Times New Roman" w:eastAsia="Times New Roman" w:hAnsi="Times New Roman" w:cs="Times New Roman"/>
          <w:sz w:val="24"/>
          <w:szCs w:val="24"/>
          <w:lang w:eastAsia="en-AU"/>
        </w:rPr>
        <w:t>,</w:t>
      </w:r>
      <w:r w:rsidR="00DA21CD" w:rsidRPr="009543F0">
        <w:rPr>
          <w:rFonts w:ascii="Times New Roman" w:eastAsia="Times New Roman" w:hAnsi="Times New Roman" w:cs="Times New Roman"/>
          <w:sz w:val="24"/>
          <w:szCs w:val="24"/>
          <w:lang w:eastAsia="en-AU"/>
        </w:rPr>
        <w:t xml:space="preserve"> including Accord Australasia, the Association of Therapeutic Goods Consultants, Complementary Medicines Australia, </w:t>
      </w:r>
      <w:r w:rsidR="00DA21CD">
        <w:rPr>
          <w:rFonts w:ascii="Times New Roman" w:eastAsia="Times New Roman" w:hAnsi="Times New Roman" w:cs="Times New Roman"/>
          <w:sz w:val="24"/>
          <w:szCs w:val="24"/>
          <w:lang w:eastAsia="en-AU"/>
        </w:rPr>
        <w:t xml:space="preserve">and </w:t>
      </w:r>
      <w:r w:rsidR="00DA21CD" w:rsidRPr="009543F0">
        <w:rPr>
          <w:rFonts w:ascii="Times New Roman" w:eastAsia="Times New Roman" w:hAnsi="Times New Roman" w:cs="Times New Roman"/>
          <w:sz w:val="24"/>
          <w:szCs w:val="24"/>
          <w:lang w:eastAsia="en-AU"/>
        </w:rPr>
        <w:t>Consumer Health</w:t>
      </w:r>
      <w:r w:rsidR="00E403CA">
        <w:rPr>
          <w:rFonts w:ascii="Times New Roman" w:eastAsia="Times New Roman" w:hAnsi="Times New Roman" w:cs="Times New Roman"/>
          <w:sz w:val="24"/>
          <w:szCs w:val="24"/>
          <w:lang w:eastAsia="en-AU"/>
        </w:rPr>
        <w:t>care</w:t>
      </w:r>
      <w:r w:rsidR="00DA21CD" w:rsidRPr="009543F0">
        <w:rPr>
          <w:rFonts w:ascii="Times New Roman" w:eastAsia="Times New Roman" w:hAnsi="Times New Roman" w:cs="Times New Roman"/>
          <w:sz w:val="24"/>
          <w:szCs w:val="24"/>
          <w:lang w:eastAsia="en-AU"/>
        </w:rPr>
        <w:t xml:space="preserve"> Products Australia.</w:t>
      </w:r>
      <w:r w:rsidR="00DA21CD">
        <w:rPr>
          <w:rFonts w:ascii="Times New Roman" w:eastAsia="Times New Roman" w:hAnsi="Times New Roman" w:cs="Times New Roman"/>
          <w:sz w:val="24"/>
          <w:szCs w:val="24"/>
          <w:lang w:eastAsia="en-AU"/>
        </w:rPr>
        <w:t xml:space="preserve"> </w:t>
      </w:r>
      <w:r w:rsidRPr="00FD59BC">
        <w:rPr>
          <w:rFonts w:ascii="Times New Roman" w:hAnsi="Times New Roman" w:cs="Times New Roman"/>
          <w:sz w:val="24"/>
          <w:szCs w:val="24"/>
        </w:rPr>
        <w:t xml:space="preserve">The present changes encompass </w:t>
      </w:r>
      <w:proofErr w:type="gramStart"/>
      <w:r w:rsidR="00706B8A">
        <w:rPr>
          <w:rFonts w:ascii="Times New Roman" w:hAnsi="Times New Roman" w:cs="Times New Roman"/>
          <w:sz w:val="24"/>
          <w:szCs w:val="24"/>
        </w:rPr>
        <w:t>twenty</w:t>
      </w:r>
      <w:r w:rsidR="0033063C">
        <w:rPr>
          <w:rFonts w:ascii="Times New Roman" w:hAnsi="Times New Roman" w:cs="Times New Roman"/>
          <w:sz w:val="24"/>
          <w:szCs w:val="24"/>
        </w:rPr>
        <w:t xml:space="preserve"> </w:t>
      </w:r>
      <w:r w:rsidR="00706B8A">
        <w:rPr>
          <w:rFonts w:ascii="Times New Roman" w:hAnsi="Times New Roman" w:cs="Times New Roman"/>
          <w:sz w:val="24"/>
          <w:szCs w:val="24"/>
        </w:rPr>
        <w:t>five</w:t>
      </w:r>
      <w:proofErr w:type="gramEnd"/>
      <w:r w:rsidR="00706B8A">
        <w:rPr>
          <w:rFonts w:ascii="Times New Roman" w:hAnsi="Times New Roman" w:cs="Times New Roman"/>
          <w:sz w:val="24"/>
          <w:szCs w:val="24"/>
        </w:rPr>
        <w:t xml:space="preserve"> </w:t>
      </w:r>
      <w:r w:rsidRPr="00FD59BC">
        <w:rPr>
          <w:rFonts w:ascii="Times New Roman" w:hAnsi="Times New Roman" w:cs="Times New Roman"/>
          <w:sz w:val="24"/>
          <w:szCs w:val="24"/>
        </w:rPr>
        <w:t>AFNs (from the original list of 69 ingredients) which have equivalent AHN</w:t>
      </w:r>
      <w:r w:rsidR="00BD6E24">
        <w:rPr>
          <w:rFonts w:ascii="Times New Roman" w:hAnsi="Times New Roman" w:cs="Times New Roman"/>
          <w:sz w:val="24"/>
          <w:szCs w:val="24"/>
        </w:rPr>
        <w:t>s</w:t>
      </w:r>
      <w:r w:rsidRPr="00FD59BC">
        <w:rPr>
          <w:rFonts w:ascii="Times New Roman" w:hAnsi="Times New Roman" w:cs="Times New Roman"/>
          <w:sz w:val="24"/>
          <w:szCs w:val="24"/>
        </w:rPr>
        <w:t xml:space="preserve"> with identical purpose</w:t>
      </w:r>
      <w:r w:rsidR="00BD6E24">
        <w:rPr>
          <w:rFonts w:ascii="Times New Roman" w:hAnsi="Times New Roman" w:cs="Times New Roman"/>
          <w:sz w:val="24"/>
          <w:szCs w:val="24"/>
        </w:rPr>
        <w:t>s</w:t>
      </w:r>
      <w:r w:rsidRPr="00FD59BC">
        <w:rPr>
          <w:rFonts w:ascii="Times New Roman" w:hAnsi="Times New Roman" w:cs="Times New Roman"/>
          <w:sz w:val="24"/>
          <w:szCs w:val="24"/>
        </w:rPr>
        <w:t xml:space="preserve"> and restrictions. </w:t>
      </w:r>
    </w:p>
    <w:p w14:paraId="3B70409E" w14:textId="29C68B87" w:rsidR="003417EB" w:rsidRDefault="003417EB">
      <w:pPr>
        <w:autoSpaceDE w:val="0"/>
        <w:autoSpaceDN w:val="0"/>
        <w:adjustRightInd w:val="0"/>
        <w:spacing w:after="0"/>
        <w:rPr>
          <w:rFonts w:ascii="Times New Roman" w:eastAsia="Times New Roman" w:hAnsi="Times New Roman" w:cs="Times New Roman"/>
          <w:sz w:val="24"/>
          <w:szCs w:val="24"/>
          <w:lang w:eastAsia="en-AU"/>
        </w:rPr>
      </w:pPr>
      <w:r w:rsidRPr="003417EB">
        <w:rPr>
          <w:rFonts w:ascii="Times New Roman" w:eastAsia="Times New Roman" w:hAnsi="Times New Roman" w:cs="Times New Roman"/>
          <w:sz w:val="24"/>
          <w:szCs w:val="24"/>
          <w:lang w:eastAsia="en-AU"/>
        </w:rPr>
        <w:t>The O</w:t>
      </w:r>
      <w:r w:rsidR="00E9229B">
        <w:rPr>
          <w:rFonts w:ascii="Times New Roman" w:eastAsia="Times New Roman" w:hAnsi="Times New Roman" w:cs="Times New Roman"/>
          <w:sz w:val="24"/>
          <w:szCs w:val="24"/>
          <w:lang w:eastAsia="en-AU"/>
        </w:rPr>
        <w:t>IA</w:t>
      </w:r>
      <w:r w:rsidRPr="003417EB">
        <w:rPr>
          <w:rFonts w:ascii="Times New Roman" w:eastAsia="Times New Roman" w:hAnsi="Times New Roman" w:cs="Times New Roman"/>
          <w:sz w:val="24"/>
          <w:szCs w:val="24"/>
          <w:lang w:eastAsia="en-AU"/>
        </w:rPr>
        <w:t xml:space="preserve"> has previously advised that a regulatory impact statement 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w:t>
      </w:r>
      <w:r w:rsidR="00E9229B">
        <w:rPr>
          <w:rFonts w:ascii="Times New Roman" w:eastAsia="Times New Roman" w:hAnsi="Times New Roman" w:cs="Times New Roman"/>
          <w:sz w:val="24"/>
          <w:szCs w:val="24"/>
          <w:lang w:eastAsia="en-AU"/>
        </w:rPr>
        <w:t>IA</w:t>
      </w:r>
      <w:r w:rsidRPr="003417EB">
        <w:rPr>
          <w:rFonts w:ascii="Times New Roman" w:eastAsia="Times New Roman" w:hAnsi="Times New Roman" w:cs="Times New Roman"/>
          <w:sz w:val="24"/>
          <w:szCs w:val="24"/>
          <w:lang w:eastAsia="en-AU"/>
        </w:rPr>
        <w:t xml:space="preserve"> references 14416, 20999 and 21645).</w:t>
      </w:r>
    </w:p>
    <w:p w14:paraId="70746BF6" w14:textId="77777777" w:rsidR="005E0BD7" w:rsidRDefault="005E0BD7">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w:t>
      </w:r>
      <w:proofErr w:type="gramStart"/>
      <w:r>
        <w:rPr>
          <w:rFonts w:ascii="Times New Roman" w:hAnsi="Times New Roman" w:cs="Times New Roman"/>
          <w:sz w:val="24"/>
          <w:szCs w:val="24"/>
        </w:rPr>
        <w:t>these pharmacopoeia</w:t>
      </w:r>
      <w:proofErr w:type="gramEnd"/>
      <w:r>
        <w:rPr>
          <w:rFonts w:ascii="Times New Roman" w:hAnsi="Times New Roman" w:cs="Times New Roman"/>
          <w:sz w:val="24"/>
          <w:szCs w:val="24"/>
        </w:rPr>
        <w:t xml:space="preserve">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7EDBFD8D"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w:t>
      </w:r>
      <w:r>
        <w:rPr>
          <w:rFonts w:ascii="Times New Roman" w:hAnsi="Times New Roman" w:cs="Times New Roman"/>
          <w:sz w:val="24"/>
          <w:szCs w:val="24"/>
        </w:rPr>
        <w:lastRenderedPageBreak/>
        <w:t>and to any subsequent amendments or editions.</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of the Act). 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 may be accessed from </w:t>
      </w:r>
      <w:hyperlink r:id="rId10"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1"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2"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3692DF4" w14:textId="0B3889B6" w:rsidR="004C1D7B"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Determination also adopts</w:t>
      </w:r>
      <w:r w:rsidR="00B377CD">
        <w:rPr>
          <w:rFonts w:ascii="Times New Roman" w:hAnsi="Times New Roman" w:cs="Times New Roman"/>
          <w:sz w:val="24"/>
          <w:szCs w:val="24"/>
        </w:rPr>
        <w:t xml:space="preserve"> specified</w:t>
      </w:r>
      <w:r w:rsidR="00361819">
        <w:rPr>
          <w:rFonts w:ascii="Times New Roman" w:hAnsi="Times New Roman" w:cs="Times New Roman"/>
          <w:sz w:val="24"/>
          <w:szCs w:val="24"/>
        </w:rPr>
        <w:t xml:space="preserve"> applicable monographs in</w:t>
      </w:r>
      <w:r>
        <w:rPr>
          <w:rFonts w:ascii="Times New Roman" w:hAnsi="Times New Roman" w:cs="Times New Roman"/>
          <w:sz w:val="24"/>
          <w:szCs w:val="24"/>
        </w:rPr>
        <w:t xml:space="preserve">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3"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w:t>
      </w:r>
      <w:r w:rsidR="004C1D7B">
        <w:rPr>
          <w:rFonts w:ascii="Times New Roman" w:hAnsi="Times New Roman" w:cs="Times New Roman"/>
          <w:sz w:val="24"/>
          <w:szCs w:val="24"/>
        </w:rPr>
        <w:t xml:space="preserve"> in relation to the following ingredients:</w:t>
      </w:r>
    </w:p>
    <w:p w14:paraId="3473D7B4" w14:textId="55377055" w:rsidR="004C1D7B" w:rsidRDefault="004C1D7B" w:rsidP="00EE544B">
      <w:pPr>
        <w:pStyle w:val="ListParagraph"/>
        <w:numPr>
          <w:ilvl w:val="0"/>
          <w:numId w:val="11"/>
        </w:numPr>
        <w:spacing w:before="120" w:beforeAutospacing="0" w:after="120" w:afterAutospacing="0" w:line="276" w:lineRule="auto"/>
        <w:ind w:left="714" w:hanging="357"/>
      </w:pPr>
      <w:r>
        <w:t xml:space="preserve">Glycerol Ester of Partially Hydrogenated Gum </w:t>
      </w:r>
      <w:proofErr w:type="gramStart"/>
      <w:r>
        <w:t>Rosin;</w:t>
      </w:r>
      <w:proofErr w:type="gramEnd"/>
    </w:p>
    <w:p w14:paraId="5B26F0B4" w14:textId="29D165C5" w:rsidR="004C1D7B" w:rsidRDefault="004C1D7B" w:rsidP="00EE544B">
      <w:pPr>
        <w:pStyle w:val="ListParagraph"/>
        <w:numPr>
          <w:ilvl w:val="0"/>
          <w:numId w:val="11"/>
        </w:numPr>
        <w:spacing w:before="120" w:beforeAutospacing="0" w:after="120" w:afterAutospacing="0" w:line="276" w:lineRule="auto"/>
        <w:ind w:left="714" w:hanging="357"/>
      </w:pPr>
      <w:r>
        <w:t xml:space="preserve">Glyceryl </w:t>
      </w:r>
      <w:proofErr w:type="spellStart"/>
      <w:proofErr w:type="gramStart"/>
      <w:r>
        <w:t>Rosinate</w:t>
      </w:r>
      <w:proofErr w:type="spellEnd"/>
      <w:r>
        <w:t>;</w:t>
      </w:r>
      <w:proofErr w:type="gramEnd"/>
    </w:p>
    <w:p w14:paraId="4854BC9A" w14:textId="2ED22897" w:rsidR="004C1D7B" w:rsidRDefault="004C1D7B" w:rsidP="00EE544B">
      <w:pPr>
        <w:pStyle w:val="ListParagraph"/>
        <w:numPr>
          <w:ilvl w:val="0"/>
          <w:numId w:val="41"/>
        </w:numPr>
        <w:spacing w:before="0" w:beforeAutospacing="0" w:after="0" w:afterAutospacing="0"/>
        <w:ind w:left="714" w:hanging="357"/>
        <w:contextualSpacing/>
      </w:pPr>
      <w:r w:rsidRPr="004C1D7B">
        <w:t>Polyisobutylene</w:t>
      </w:r>
      <w:r>
        <w:t>.</w:t>
      </w:r>
    </w:p>
    <w:p w14:paraId="0B7816B9" w14:textId="77777777" w:rsidR="004C1D7B" w:rsidRDefault="004C1D7B" w:rsidP="001A7C14">
      <w:pPr>
        <w:autoSpaceDE w:val="0"/>
        <w:autoSpaceDN w:val="0"/>
        <w:adjustRightInd w:val="0"/>
        <w:spacing w:after="0"/>
        <w:rPr>
          <w:rFonts w:ascii="Times New Roman" w:hAnsi="Times New Roman" w:cs="Times New Roman"/>
          <w:sz w:val="24"/>
          <w:szCs w:val="24"/>
        </w:rPr>
      </w:pPr>
    </w:p>
    <w:p w14:paraId="2B6FE1B6" w14:textId="295BB396" w:rsidR="00B377CD"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w:t>
      </w:r>
    </w:p>
    <w:p w14:paraId="314BEE1E" w14:textId="77777777" w:rsidR="00B377CD" w:rsidRDefault="00B377CD" w:rsidP="001A7C14">
      <w:pPr>
        <w:autoSpaceDE w:val="0"/>
        <w:autoSpaceDN w:val="0"/>
        <w:adjustRightInd w:val="0"/>
        <w:spacing w:after="0"/>
        <w:rPr>
          <w:rFonts w:ascii="Times New Roman" w:hAnsi="Times New Roman" w:cs="Times New Roman"/>
          <w:sz w:val="24"/>
          <w:szCs w:val="24"/>
        </w:rPr>
      </w:pPr>
    </w:p>
    <w:p w14:paraId="2E0BD165" w14:textId="589B0089" w:rsidR="0050197A" w:rsidRPr="00361A1D" w:rsidRDefault="0050197A" w:rsidP="001A7C14">
      <w:pPr>
        <w:autoSpaceDE w:val="0"/>
        <w:autoSpaceDN w:val="0"/>
        <w:adjustRightInd w:val="0"/>
        <w:spacing w:after="0"/>
        <w:rPr>
          <w:rStyle w:val="Hyperlink"/>
          <w:color w:val="auto"/>
        </w:rPr>
      </w:pP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of New Zealand</w:t>
      </w:r>
      <w:r w:rsidR="00A64D74">
        <w:rPr>
          <w:rFonts w:ascii="Times New Roman" w:hAnsi="Times New Roman" w:cs="Times New Roman"/>
          <w:sz w:val="24"/>
          <w:szCs w:val="24"/>
          <w:lang w:eastAsia="en-AU"/>
        </w:rPr>
        <w:t>, and regulations made under these Acts,</w:t>
      </w:r>
      <w:r>
        <w:rPr>
          <w:rFonts w:ascii="Times New Roman" w:hAnsi="Times New Roman" w:cs="Times New Roman"/>
          <w:sz w:val="24"/>
          <w:szCs w:val="24"/>
          <w:lang w:eastAsia="en-AU"/>
        </w:rPr>
        <w:t xml:space="preserve"> </w:t>
      </w:r>
      <w:r w:rsidR="00A64D74">
        <w:rPr>
          <w:rFonts w:ascii="Times New Roman" w:hAnsi="Times New Roman" w:cs="Times New Roman"/>
          <w:sz w:val="24"/>
          <w:szCs w:val="24"/>
          <w:lang w:eastAsia="en-AU"/>
        </w:rPr>
        <w:t xml:space="preserve">in relation to two ingredients (Deer Velvet Antler Powder and Deer Velvet Antler Slice) </w:t>
      </w:r>
      <w:r>
        <w:rPr>
          <w:rFonts w:ascii="Times New Roman" w:hAnsi="Times New Roman" w:cs="Times New Roman"/>
          <w:sz w:val="24"/>
          <w:szCs w:val="24"/>
          <w:lang w:eastAsia="en-AU"/>
        </w:rPr>
        <w:t>on the same basis. These Acts</w:t>
      </w:r>
      <w:r w:rsidR="00A64D74">
        <w:rPr>
          <w:rFonts w:ascii="Times New Roman" w:hAnsi="Times New Roman" w:cs="Times New Roman"/>
          <w:sz w:val="24"/>
          <w:szCs w:val="24"/>
          <w:lang w:eastAsia="en-AU"/>
        </w:rPr>
        <w:t xml:space="preserve"> and regulations</w:t>
      </w:r>
      <w:r>
        <w:rPr>
          <w:rFonts w:ascii="Times New Roman" w:hAnsi="Times New Roman" w:cs="Times New Roman"/>
          <w:sz w:val="24"/>
          <w:szCs w:val="24"/>
          <w:lang w:eastAsia="en-AU"/>
        </w:rPr>
        <w:t xml:space="preserve"> are available for free from </w:t>
      </w:r>
      <w:hyperlink r:id="rId14"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4D705A6A"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This document is available for free from</w:t>
      </w:r>
      <w:r w:rsidRPr="00CC73D8">
        <w:rPr>
          <w:rFonts w:ascii="Times New Roman" w:hAnsi="Times New Roman" w:cs="Times New Roman"/>
          <w:sz w:val="24"/>
          <w:szCs w:val="24"/>
          <w:lang w:eastAsia="en-AU"/>
        </w:rPr>
        <w:t xml:space="preserve"> </w:t>
      </w:r>
      <w:hyperlink r:id="rId15"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3035EA7A" w:rsidR="005B70D2" w:rsidRPr="00FD612D"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F710CEF" w14:textId="1B5A99CD"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r w:rsidRPr="00FD612D">
        <w:rPr>
          <w:rFonts w:ascii="Times New Roman" w:eastAsia="Times New Roman" w:hAnsi="Times New Roman" w:cs="Times New Roman"/>
          <w:sz w:val="24"/>
          <w:szCs w:val="24"/>
          <w:lang w:eastAsia="en-AU"/>
        </w:rPr>
        <w:t xml:space="preserve">The Determination </w:t>
      </w:r>
      <w:r w:rsidR="00526197">
        <w:rPr>
          <w:rFonts w:ascii="Times New Roman" w:eastAsia="Times New Roman" w:hAnsi="Times New Roman" w:cs="Times New Roman"/>
          <w:sz w:val="24"/>
          <w:szCs w:val="24"/>
          <w:lang w:eastAsia="en-AU"/>
        </w:rPr>
        <w:t>also incorporates matters by reference</w:t>
      </w:r>
      <w:r w:rsidR="002C0561">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w:t>
      </w:r>
      <w:r w:rsidR="00526197">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‘code tables’ </w:t>
      </w:r>
      <w:r w:rsidR="00526197">
        <w:rPr>
          <w:rFonts w:ascii="Times New Roman" w:eastAsia="Times New Roman" w:hAnsi="Times New Roman" w:cs="Times New Roman"/>
          <w:sz w:val="24"/>
          <w:szCs w:val="24"/>
          <w:lang w:eastAsia="en-AU"/>
        </w:rPr>
        <w:t xml:space="preserve">and </w:t>
      </w:r>
      <w:r w:rsidR="002C0561">
        <w:rPr>
          <w:rFonts w:ascii="Times New Roman" w:eastAsia="Times New Roman" w:hAnsi="Times New Roman" w:cs="Times New Roman"/>
          <w:sz w:val="24"/>
          <w:szCs w:val="24"/>
          <w:lang w:eastAsia="en-AU"/>
        </w:rPr>
        <w:t>the ‘TGA eBusiness Services’</w:t>
      </w:r>
      <w:r w:rsidR="0052619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section 4. Th</w:t>
      </w:r>
      <w:r w:rsidR="002C0561">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code tables</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defined as the tables accessed </w:t>
      </w:r>
      <w:r w:rsidRPr="003034B3">
        <w:rPr>
          <w:rFonts w:ascii="Times New Roman" w:eastAsia="Times New Roman" w:hAnsi="Times New Roman" w:cs="Times New Roman"/>
          <w:sz w:val="24"/>
          <w:szCs w:val="24"/>
          <w:lang w:eastAsia="en-AU"/>
        </w:rPr>
        <w:t xml:space="preserve">via the </w:t>
      </w:r>
      <w:r w:rsidRPr="00FD612D">
        <w:rPr>
          <w:rFonts w:ascii="Times New Roman" w:eastAsia="Times New Roman" w:hAnsi="Times New Roman" w:cs="Times New Roman"/>
          <w:i/>
          <w:iCs/>
          <w:sz w:val="24"/>
          <w:szCs w:val="24"/>
          <w:lang w:eastAsia="en-AU"/>
        </w:rPr>
        <w:t>Code Tables</w:t>
      </w:r>
      <w:r w:rsidRPr="003034B3">
        <w:rPr>
          <w:rFonts w:ascii="Times New Roman" w:eastAsia="Times New Roman" w:hAnsi="Times New Roman" w:cs="Times New Roman"/>
          <w:sz w:val="24"/>
          <w:szCs w:val="24"/>
          <w:lang w:eastAsia="en-AU"/>
        </w:rPr>
        <w:t xml:space="preserve"> item in the </w:t>
      </w:r>
      <w:r w:rsidRPr="00FD612D">
        <w:rPr>
          <w:rFonts w:ascii="Times New Roman" w:eastAsia="Times New Roman" w:hAnsi="Times New Roman" w:cs="Times New Roman"/>
          <w:i/>
          <w:iCs/>
          <w:sz w:val="24"/>
          <w:szCs w:val="24"/>
          <w:lang w:eastAsia="en-AU"/>
        </w:rPr>
        <w:t>Public TGA Information</w:t>
      </w:r>
      <w:r w:rsidRPr="003034B3">
        <w:rPr>
          <w:rFonts w:ascii="Times New Roman" w:eastAsia="Times New Roman" w:hAnsi="Times New Roman" w:cs="Times New Roman"/>
          <w:sz w:val="24"/>
          <w:szCs w:val="24"/>
          <w:lang w:eastAsia="en-AU"/>
        </w:rPr>
        <w:t xml:space="preserve"> menu in TGA eBusiness Services</w:t>
      </w:r>
      <w:r>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TGA eBusiness Services</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is defined as meaning</w:t>
      </w:r>
      <w:r w:rsidRPr="003034B3">
        <w:rPr>
          <w:rFonts w:ascii="Times New Roman" w:eastAsia="Times New Roman" w:hAnsi="Times New Roman" w:cs="Times New Roman"/>
          <w:sz w:val="24"/>
          <w:szCs w:val="24"/>
          <w:lang w:eastAsia="en-AU"/>
        </w:rPr>
        <w:t xml:space="preserve"> TGA eBusiness Services on the Therapeutic Goods Administration website, which may be accessed on the internet at www.ebs.tga.gov.au.</w:t>
      </w:r>
      <w:r w:rsidR="001A786B">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Both t</w:t>
      </w:r>
      <w:r w:rsidR="001A786B">
        <w:rPr>
          <w:rFonts w:ascii="Times New Roman" w:eastAsia="Times New Roman" w:hAnsi="Times New Roman" w:cs="Times New Roman"/>
          <w:sz w:val="24"/>
          <w:szCs w:val="24"/>
          <w:lang w:eastAsia="en-AU"/>
        </w:rPr>
        <w:t>he code tables accessed in TGA eBusiness Services</w:t>
      </w:r>
      <w:r w:rsidR="002C0561">
        <w:rPr>
          <w:rFonts w:ascii="Times New Roman" w:eastAsia="Times New Roman" w:hAnsi="Times New Roman" w:cs="Times New Roman"/>
          <w:sz w:val="24"/>
          <w:szCs w:val="24"/>
          <w:lang w:eastAsia="en-AU"/>
        </w:rPr>
        <w:t>, and the TGA eBusiness Services,</w:t>
      </w:r>
      <w:r w:rsidR="001A786B">
        <w:rPr>
          <w:rFonts w:ascii="Times New Roman" w:eastAsia="Times New Roman" w:hAnsi="Times New Roman" w:cs="Times New Roman"/>
          <w:sz w:val="24"/>
          <w:szCs w:val="24"/>
          <w:lang w:eastAsia="en-AU"/>
        </w:rPr>
        <w:t xml:space="preserve"> are incorporated as in force or existing from time to time, </w:t>
      </w:r>
      <w:r w:rsidR="001A786B">
        <w:rPr>
          <w:rFonts w:ascii="Times New Roman" w:hAnsi="Times New Roman" w:cs="Times New Roman"/>
          <w:sz w:val="24"/>
          <w:szCs w:val="24"/>
        </w:rPr>
        <w:t xml:space="preserve">as permitted by subsection 26BB(8) of the Act. They are </w:t>
      </w:r>
      <w:r w:rsidR="002C0561">
        <w:rPr>
          <w:rFonts w:ascii="Times New Roman" w:hAnsi="Times New Roman" w:cs="Times New Roman"/>
          <w:sz w:val="24"/>
          <w:szCs w:val="24"/>
        </w:rPr>
        <w:t xml:space="preserve">both </w:t>
      </w:r>
      <w:r w:rsidR="001A786B">
        <w:rPr>
          <w:rFonts w:ascii="Times New Roman" w:hAnsi="Times New Roman" w:cs="Times New Roman"/>
          <w:sz w:val="24"/>
          <w:szCs w:val="24"/>
        </w:rPr>
        <w:t>freely available from the TGA website.</w:t>
      </w:r>
    </w:p>
    <w:p w14:paraId="4BAEFBF6" w14:textId="77777777"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201DA6DB"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w:t>
      </w:r>
      <w:proofErr w:type="gramStart"/>
      <w:r w:rsidRPr="00A2081A">
        <w:rPr>
          <w:rFonts w:ascii="Times New Roman" w:hAnsi="Times New Roman" w:cs="Times New Roman"/>
          <w:sz w:val="24"/>
          <w:szCs w:val="24"/>
          <w:lang w:eastAsia="en-AU"/>
        </w:rPr>
        <w:t>in order to</w:t>
      </w:r>
      <w:proofErr w:type="gramEnd"/>
      <w:r w:rsidRPr="00A2081A">
        <w:rPr>
          <w:rFonts w:ascii="Times New Roman" w:hAnsi="Times New Roman" w:cs="Times New Roman"/>
          <w:sz w:val="24"/>
          <w:szCs w:val="24"/>
          <w:lang w:eastAsia="en-AU"/>
        </w:rPr>
        <w:t xml:space="preserve">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422AD208"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 xml:space="preserve">members of the public may </w:t>
      </w:r>
      <w:r w:rsidR="00E9229B">
        <w:rPr>
          <w:rFonts w:ascii="Times New Roman" w:hAnsi="Times New Roman" w:cs="Times New Roman"/>
          <w:sz w:val="24"/>
          <w:szCs w:val="24"/>
        </w:rPr>
        <w:t>arrange</w:t>
      </w:r>
      <w:r>
        <w:rPr>
          <w:rFonts w:ascii="Times New Roman" w:hAnsi="Times New Roman" w:cs="Times New Roman"/>
          <w:sz w:val="24"/>
          <w:szCs w:val="24"/>
        </w:rPr>
        <w:t xml:space="preserve">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w:t>
      </w:r>
      <w:r w:rsidR="00776305">
        <w:rPr>
          <w:rFonts w:ascii="Times New Roman" w:hAnsi="Times New Roman" w:cs="Times New Roman"/>
          <w:sz w:val="24"/>
          <w:szCs w:val="24"/>
        </w:rPr>
        <w:t xml:space="preserve"> Fairbairn</w:t>
      </w:r>
      <w:r w:rsidRPr="00CA165D">
        <w:rPr>
          <w:rFonts w:ascii="Times New Roman" w:hAnsi="Times New Roman" w:cs="Times New Roman"/>
          <w:sz w:val="24"/>
          <w:szCs w:val="24"/>
        </w:rPr>
        <w:t>,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6A497BC2"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6"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w:t>
      </w:r>
      <w:r w:rsidR="003034B3">
        <w:rPr>
          <w:rFonts w:ascii="Times New Roman" w:hAnsi="Times New Roman" w:cs="Times New Roman"/>
          <w:sz w:val="24"/>
          <w:szCs w:val="24"/>
        </w:rPr>
        <w:t>. Fees apply in relation to the making of such a request.</w:t>
      </w:r>
      <w:r w:rsidRPr="00B13B06">
        <w:rPr>
          <w:rFonts w:ascii="Times New Roman" w:hAnsi="Times New Roman" w:cs="Times New Roman"/>
          <w:sz w:val="24"/>
          <w:szCs w:val="24"/>
        </w:rPr>
        <w:t xml:space="preserve"> </w:t>
      </w:r>
      <w:r w:rsidR="003034B3">
        <w:rPr>
          <w:rFonts w:ascii="Times New Roman" w:hAnsi="Times New Roman" w:cs="Times New Roman"/>
          <w:sz w:val="24"/>
          <w:szCs w:val="24"/>
        </w:rPr>
        <w:t>E</w:t>
      </w:r>
      <w:r w:rsidRPr="00B13B06">
        <w:rPr>
          <w:rFonts w:ascii="Times New Roman" w:hAnsi="Times New Roman" w:cs="Times New Roman"/>
          <w:sz w:val="24"/>
          <w:szCs w:val="24"/>
        </w:rPr>
        <w:t>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7"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C96F02F"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2895745B"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CB73FB">
        <w:rPr>
          <w:rFonts w:ascii="Times New Roman" w:hAnsi="Times New Roman" w:cs="Times New Roman"/>
          <w:sz w:val="24"/>
          <w:szCs w:val="24"/>
        </w:rPr>
        <w:t>1 May 2023</w:t>
      </w:r>
      <w:r w:rsidR="00FE52D9">
        <w:rPr>
          <w:rFonts w:ascii="Times New Roman" w:hAnsi="Times New Roman" w:cs="Times New Roman"/>
          <w:sz w:val="24"/>
          <w:szCs w:val="24"/>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15D211EF"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D61505">
        <w:rPr>
          <w:rFonts w:ascii="Times New Roman" w:eastAsia="Times New Roman" w:hAnsi="Times New Roman" w:cs="Times New Roman"/>
          <w:b/>
          <w:i/>
          <w:sz w:val="24"/>
          <w:szCs w:val="24"/>
          <w:lang w:eastAsia="en-AU"/>
        </w:rPr>
        <w:t>2</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3706C887"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BD6E24">
        <w:rPr>
          <w:rFonts w:ascii="Times New Roman" w:eastAsia="Times New Roman" w:hAnsi="Times New Roman" w:cs="Times New Roman"/>
          <w:i/>
          <w:sz w:val="24"/>
          <w:szCs w:val="24"/>
          <w:lang w:eastAsia="en-AU"/>
        </w:rPr>
        <w:t>2</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97F8F">
        <w:rPr>
          <w:rFonts w:ascii="Times New Roman" w:eastAsia="Times New Roman" w:hAnsi="Times New Roman" w:cs="Times New Roman"/>
          <w:i/>
          <w:sz w:val="24"/>
          <w:szCs w:val="24"/>
          <w:lang w:eastAsia="en-AU"/>
        </w:rPr>
        <w:t>3</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0F06E028"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w:t>
      </w:r>
      <w:r w:rsidR="00D61505">
        <w:rPr>
          <w:rFonts w:ascii="Times New Roman" w:eastAsia="Times New Roman" w:hAnsi="Times New Roman" w:cs="Times New Roman"/>
          <w:sz w:val="24"/>
          <w:szCs w:val="24"/>
          <w:lang w:eastAsia="en-AU"/>
        </w:rPr>
        <w:t>1 May 2023</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Subsection 4(1) provides definitions for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48A3233C"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expressions used in the Determination have the same meaning as in the Act, </w:t>
      </w:r>
      <w:r w:rsidR="00012FF5">
        <w:rPr>
          <w:rFonts w:ascii="Times New Roman" w:eastAsia="Times New Roman" w:hAnsi="Times New Roman" w:cs="Times New Roman"/>
          <w:sz w:val="24"/>
          <w:szCs w:val="24"/>
          <w:lang w:eastAsia="en-AU"/>
        </w:rPr>
        <w:t>including</w:t>
      </w:r>
      <w:r w:rsidRPr="0091180B">
        <w:rPr>
          <w:rFonts w:ascii="Times New Roman" w:eastAsia="Times New Roman" w:hAnsi="Times New Roman" w:cs="Times New Roman"/>
          <w:sz w:val="24"/>
          <w:szCs w:val="24"/>
          <w:lang w:eastAsia="en-AU"/>
        </w:rPr>
        <w:t xml:space="preserv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w:t>
      </w:r>
      <w:proofErr w:type="gramStart"/>
      <w:r w:rsidRPr="0091180B">
        <w:rPr>
          <w:rFonts w:ascii="Times New Roman" w:eastAsia="Times New Roman" w:hAnsi="Times New Roman" w:cs="Times New Roman"/>
          <w:sz w:val="24"/>
          <w:szCs w:val="24"/>
          <w:lang w:eastAsia="en-AU"/>
        </w:rPr>
        <w:t>’, and</w:t>
      </w:r>
      <w:proofErr w:type="gramEnd"/>
      <w:r w:rsidRPr="0091180B">
        <w:rPr>
          <w:rFonts w:ascii="Times New Roman" w:eastAsia="Times New Roman" w:hAnsi="Times New Roman" w:cs="Times New Roman"/>
          <w:sz w:val="24"/>
          <w:szCs w:val="24"/>
          <w:lang w:eastAsia="en-AU"/>
        </w:rPr>
        <w:t xml:space="preserve">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24C8228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 ingredients</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3588FFA2"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4DB2D570"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BD6E24">
        <w:rPr>
          <w:rFonts w:ascii="Times New Roman" w:eastAsia="Times New Roman" w:hAnsi="Times New Roman" w:cs="Times New Roman"/>
          <w:i/>
          <w:iCs/>
          <w:sz w:val="24"/>
          <w:szCs w:val="24"/>
          <w:lang w:eastAsia="en-AU"/>
        </w:rPr>
        <w:t>1</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BD6E24">
        <w:rPr>
          <w:rFonts w:ascii="Times New Roman" w:eastAsia="Times New Roman" w:hAnsi="Times New Roman" w:cs="Times New Roman"/>
          <w:i/>
          <w:iCs/>
          <w:sz w:val="24"/>
          <w:szCs w:val="24"/>
          <w:lang w:eastAsia="en-AU"/>
        </w:rPr>
        <w:t>3</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2C5DC698"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BD6E24">
        <w:rPr>
          <w:rFonts w:ascii="Times New Roman" w:eastAsia="Times New Roman" w:hAnsi="Times New Roman" w:cs="Times New Roman"/>
          <w:b/>
          <w:i/>
          <w:sz w:val="24"/>
          <w:szCs w:val="24"/>
          <w:lang w:eastAsia="en-AU"/>
        </w:rPr>
        <w:t>2</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24986EEA"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D61505">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C41257">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38098C93"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ngredients) Determination (No.</w:t>
      </w:r>
      <w:r w:rsidR="00DC4241">
        <w:rPr>
          <w:rFonts w:ascii="Times New Roman" w:eastAsia="Times New Roman" w:hAnsi="Times New Roman" w:cs="Times New Roman"/>
          <w:i/>
          <w:iCs/>
          <w:sz w:val="24"/>
          <w:szCs w:val="24"/>
          <w:lang w:eastAsia="en-AU"/>
        </w:rPr>
        <w:t xml:space="preserve"> </w:t>
      </w:r>
      <w:r w:rsidR="00D61505">
        <w:rPr>
          <w:rFonts w:ascii="Times New Roman" w:eastAsia="Times New Roman" w:hAnsi="Times New Roman" w:cs="Times New Roman"/>
          <w:i/>
          <w:iCs/>
          <w:sz w:val="24"/>
          <w:szCs w:val="24"/>
          <w:lang w:eastAsia="en-AU"/>
        </w:rPr>
        <w:t>1</w:t>
      </w:r>
      <w:r w:rsidRPr="00D731D4">
        <w:rPr>
          <w:rFonts w:ascii="Times New Roman" w:eastAsia="Times New Roman" w:hAnsi="Times New Roman" w:cs="Times New Roman"/>
          <w:i/>
          <w:iCs/>
          <w:sz w:val="24"/>
          <w:szCs w:val="24"/>
          <w:lang w:eastAsia="en-AU"/>
        </w:rPr>
        <w:t xml:space="preserve">) </w:t>
      </w:r>
      <w:r w:rsidR="00D61505">
        <w:rPr>
          <w:rFonts w:ascii="Times New Roman" w:eastAsia="Times New Roman" w:hAnsi="Times New Roman" w:cs="Times New Roman"/>
          <w:i/>
          <w:iCs/>
          <w:sz w:val="24"/>
          <w:szCs w:val="24"/>
          <w:lang w:eastAsia="en-AU"/>
        </w:rPr>
        <w:t>2023</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5EB3451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731D4">
        <w:rPr>
          <w:rFonts w:ascii="Times New Roman" w:eastAsia="Times New Roman" w:hAnsi="Times New Roman" w:cs="Times New Roman"/>
          <w:sz w:val="24"/>
          <w:szCs w:val="24"/>
          <w:lang w:eastAsia="en-AU"/>
        </w:rPr>
        <w:t>are considered to be</w:t>
      </w:r>
      <w:proofErr w:type="gramEnd"/>
      <w:r w:rsidRPr="00D731D4">
        <w:rPr>
          <w:rFonts w:ascii="Times New Roman" w:eastAsia="Times New Roman" w:hAnsi="Times New Roman" w:cs="Times New Roman"/>
          <w:sz w:val="24"/>
          <w:szCs w:val="24"/>
          <w:lang w:eastAsia="en-AU"/>
        </w:rPr>
        <w:t xml:space="preserve"> low risk and are not individually evaluated before they are listed. Medicines that are listed in the Register under section 26AE of the Act are also considered to be low </w:t>
      </w:r>
      <w:proofErr w:type="gramStart"/>
      <w:r w:rsidRPr="00D731D4">
        <w:rPr>
          <w:rFonts w:ascii="Times New Roman" w:eastAsia="Times New Roman" w:hAnsi="Times New Roman" w:cs="Times New Roman"/>
          <w:sz w:val="24"/>
          <w:szCs w:val="24"/>
          <w:lang w:eastAsia="en-AU"/>
        </w:rPr>
        <w:t>risk, but</w:t>
      </w:r>
      <w:proofErr w:type="gramEnd"/>
      <w:r w:rsidRPr="00D731D4">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w:t>
      </w:r>
      <w:proofErr w:type="gramStart"/>
      <w:r w:rsidRPr="00D731D4">
        <w:rPr>
          <w:rFonts w:ascii="Times New Roman" w:eastAsia="Times New Roman" w:hAnsi="Times New Roman" w:cs="Times New Roman"/>
          <w:sz w:val="24"/>
          <w:szCs w:val="24"/>
          <w:lang w:eastAsia="en-AU"/>
        </w:rPr>
        <w:t>medicines’</w:t>
      </w:r>
      <w:proofErr w:type="gramEnd"/>
      <w:r w:rsidRPr="00D731D4">
        <w:rPr>
          <w:rFonts w:ascii="Times New Roman" w:eastAsia="Times New Roman" w:hAnsi="Times New Roman" w:cs="Times New Roman"/>
          <w:sz w:val="24"/>
          <w:szCs w:val="24"/>
          <w:lang w:eastAsia="en-AU"/>
        </w:rPr>
        <w:t>.</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049C2B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proofErr w:type="gramStart"/>
      <w:r w:rsidRPr="00D731D4">
        <w:rPr>
          <w:rFonts w:ascii="Times New Roman" w:eastAsia="Times New Roman" w:hAnsi="Times New Roman" w:cs="Times New Roman"/>
          <w:sz w:val="24"/>
          <w:szCs w:val="24"/>
          <w:lang w:eastAsia="en-AU"/>
        </w:rPr>
        <w:t>In particular, listed</w:t>
      </w:r>
      <w:proofErr w:type="gramEnd"/>
      <w:r w:rsidRPr="00D731D4">
        <w:rPr>
          <w:rFonts w:ascii="Times New Roman" w:eastAsia="Times New Roman" w:hAnsi="Times New Roman" w:cs="Times New Roman"/>
          <w:sz w:val="24"/>
          <w:szCs w:val="24"/>
          <w:lang w:eastAsia="en-AU"/>
        </w:rPr>
        <w:t xml:space="preserve">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2DB4E8D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w:t>
      </w:r>
      <w:proofErr w:type="gramStart"/>
      <w:r w:rsidRPr="00D731D4">
        <w:rPr>
          <w:rFonts w:ascii="Times New Roman" w:eastAsia="Times New Roman" w:hAnsi="Times New Roman" w:cs="Times New Roman"/>
          <w:sz w:val="24"/>
          <w:szCs w:val="24"/>
          <w:lang w:eastAsia="en-AU"/>
        </w:rPr>
        <w:t>2)(</w:t>
      </w:r>
      <w:proofErr w:type="gramEnd"/>
      <w:r w:rsidRPr="00D731D4">
        <w:rPr>
          <w:rFonts w:ascii="Times New Roman" w:eastAsia="Times New Roman" w:hAnsi="Times New Roman" w:cs="Times New Roman"/>
          <w:sz w:val="24"/>
          <w:szCs w:val="24"/>
          <w:lang w:eastAsia="en-AU"/>
        </w:rPr>
        <w:t>ca) and (</w:t>
      </w:r>
      <w:proofErr w:type="spellStart"/>
      <w:r w:rsidRPr="00D731D4">
        <w:rPr>
          <w:rFonts w:ascii="Times New Roman" w:eastAsia="Times New Roman" w:hAnsi="Times New Roman" w:cs="Times New Roman"/>
          <w:sz w:val="24"/>
          <w:szCs w:val="24"/>
          <w:lang w:eastAsia="en-AU"/>
        </w:rPr>
        <w:t>cb</w:t>
      </w:r>
      <w:proofErr w:type="spellEnd"/>
      <w:r w:rsidRPr="00D731D4">
        <w:rPr>
          <w:rFonts w:ascii="Times New Roman" w:eastAsia="Times New Roman" w:hAnsi="Times New Roman" w:cs="Times New Roman"/>
          <w:sz w:val="24"/>
          <w:szCs w:val="24"/>
          <w:lang w:eastAsia="en-AU"/>
        </w:rPr>
        <w:t>)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Paragraphs 26AB(2)(d) and (e) set out equivalent certification requirements for applicants seeking marketing approval for an assessed listed medicine.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105502F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instrument is designed to provide a comprehensive list of ingredients which have been assessed or otherwise considered to be safe for use in listed (and assessed listed) medicines, and associated requirements to be followed when using </w:t>
      </w:r>
      <w:proofErr w:type="gramStart"/>
      <w:r w:rsidRPr="00D731D4">
        <w:rPr>
          <w:rFonts w:ascii="Times New Roman" w:eastAsia="Times New Roman" w:hAnsi="Times New Roman" w:cs="Times New Roman"/>
          <w:sz w:val="24"/>
          <w:szCs w:val="24"/>
          <w:lang w:eastAsia="en-AU"/>
        </w:rPr>
        <w:t>particular ingredients</w:t>
      </w:r>
      <w:proofErr w:type="gramEnd"/>
      <w:r w:rsidRPr="00D731D4">
        <w:rPr>
          <w:rFonts w:ascii="Times New Roman" w:eastAsia="Times New Roman" w:hAnsi="Times New Roman" w:cs="Times New Roman"/>
          <w:sz w:val="24"/>
          <w:szCs w:val="24"/>
          <w:lang w:eastAsia="en-AU"/>
        </w:rPr>
        <w:t xml:space="preserve">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285F20B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how the ingredient is to be used in the medicine, that is, as an active, homoeopathic or excipient </w:t>
      </w:r>
      <w:proofErr w:type="gramStart"/>
      <w:r w:rsidRPr="00A521FE">
        <w:t>ingredient;</w:t>
      </w:r>
      <w:proofErr w:type="gramEnd"/>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intended method of ingestion or application of the medicine, for example, oral or topical </w:t>
      </w:r>
      <w:proofErr w:type="gramStart"/>
      <w:r w:rsidRPr="00A521FE">
        <w:t>use;</w:t>
      </w:r>
      <w:proofErr w:type="gramEnd"/>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source of the ingredient, or procedures to be followed in its </w:t>
      </w:r>
      <w:proofErr w:type="gramStart"/>
      <w:r w:rsidRPr="00A521FE">
        <w:t>manufacture;</w:t>
      </w:r>
      <w:proofErr w:type="gramEnd"/>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EE544B">
      <w:pPr>
        <w:pStyle w:val="ListParagraph"/>
        <w:numPr>
          <w:ilvl w:val="0"/>
          <w:numId w:val="12"/>
        </w:numPr>
        <w:autoSpaceDE w:val="0"/>
        <w:autoSpaceDN w:val="0"/>
        <w:adjustRightInd w:val="0"/>
        <w:spacing w:before="120" w:beforeAutospacing="0" w:after="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BE8CE40" w14:textId="31FA4E3D" w:rsidR="00D57DB9" w:rsidRDefault="00D57DB9" w:rsidP="00D57DB9">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6A983D5E" w14:textId="77777777" w:rsidR="00FA3AC0" w:rsidRDefault="00FA3AC0" w:rsidP="00D57DB9">
      <w:pPr>
        <w:spacing w:after="0"/>
        <w:rPr>
          <w:rFonts w:ascii="Times New Roman" w:eastAsia="Times New Roman" w:hAnsi="Times New Roman" w:cs="Times New Roman"/>
          <w:sz w:val="24"/>
          <w:szCs w:val="24"/>
          <w:lang w:eastAsia="en-AU"/>
        </w:rPr>
      </w:pPr>
    </w:p>
    <w:p w14:paraId="5F36C9A5" w14:textId="77777777" w:rsidR="00FA3AC0" w:rsidRPr="00E702D7" w:rsidRDefault="00FA3AC0" w:rsidP="00FA3AC0">
      <w:pPr>
        <w:pStyle w:val="ListParagraph"/>
        <w:numPr>
          <w:ilvl w:val="0"/>
          <w:numId w:val="11"/>
        </w:numPr>
        <w:spacing w:before="0" w:beforeAutospacing="0" w:after="120" w:afterAutospacing="0" w:line="276" w:lineRule="auto"/>
        <w:ind w:left="714" w:hanging="357"/>
        <w:contextualSpacing/>
      </w:pPr>
      <w:r>
        <w:t xml:space="preserve">the addition of </w:t>
      </w:r>
      <w:r>
        <w:rPr>
          <w:lang w:eastAsia="en-US"/>
        </w:rPr>
        <w:t>the</w:t>
      </w:r>
      <w:r>
        <w:t xml:space="preserve"> ingredient, ‘</w:t>
      </w:r>
      <w:proofErr w:type="spellStart"/>
      <w:proofErr w:type="gramStart"/>
      <w:r w:rsidRPr="00FA3AC0">
        <w:rPr>
          <w:rFonts w:cs="Calibri"/>
          <w:bCs/>
        </w:rPr>
        <w:t>galactooligosaccharides</w:t>
      </w:r>
      <w:proofErr w:type="spellEnd"/>
      <w:r>
        <w:rPr>
          <w:rFonts w:cs="Calibri"/>
          <w:bCs/>
        </w:rPr>
        <w:t>’;</w:t>
      </w:r>
      <w:proofErr w:type="gramEnd"/>
    </w:p>
    <w:p w14:paraId="53E2AE82" w14:textId="77777777" w:rsidR="00FA3AC0" w:rsidRDefault="00FA3AC0" w:rsidP="00FA3AC0">
      <w:pPr>
        <w:pStyle w:val="ListParagraph"/>
        <w:numPr>
          <w:ilvl w:val="0"/>
          <w:numId w:val="11"/>
        </w:numPr>
        <w:spacing w:before="0" w:beforeAutospacing="0" w:after="120" w:afterAutospacing="0" w:line="276" w:lineRule="auto"/>
        <w:ind w:left="714" w:hanging="357"/>
        <w:contextualSpacing/>
      </w:pPr>
      <w:r>
        <w:t xml:space="preserve">the </w:t>
      </w:r>
      <w:r>
        <w:rPr>
          <w:lang w:eastAsia="en-US"/>
        </w:rPr>
        <w:t>addition</w:t>
      </w:r>
      <w:r>
        <w:t xml:space="preserve"> of the following two ingredients for use in flavour and fragrance proprietary excipient formulations:</w:t>
      </w:r>
    </w:p>
    <w:p w14:paraId="3A4D9CD3" w14:textId="77777777" w:rsidR="00FA3AC0" w:rsidRPr="0033063C" w:rsidRDefault="00FA3AC0" w:rsidP="00FA3AC0">
      <w:pPr>
        <w:pStyle w:val="ListParagraph"/>
        <w:numPr>
          <w:ilvl w:val="1"/>
          <w:numId w:val="11"/>
        </w:numPr>
        <w:spacing w:before="0" w:beforeAutospacing="0" w:after="120" w:afterAutospacing="0" w:line="276" w:lineRule="auto"/>
        <w:contextualSpacing/>
      </w:pPr>
      <w:r w:rsidRPr="00FA3AC0">
        <w:t>disodium pyrophosphate</w:t>
      </w:r>
      <w:r w:rsidRPr="0033063C">
        <w:t>; and</w:t>
      </w:r>
    </w:p>
    <w:p w14:paraId="4E861E32" w14:textId="77777777" w:rsidR="00FA3AC0" w:rsidRPr="0033063C" w:rsidRDefault="00FA3AC0" w:rsidP="00FA3AC0">
      <w:pPr>
        <w:pStyle w:val="ListParagraph"/>
        <w:numPr>
          <w:ilvl w:val="1"/>
          <w:numId w:val="11"/>
        </w:numPr>
        <w:spacing w:before="0" w:beforeAutospacing="0" w:after="120" w:afterAutospacing="0" w:line="276" w:lineRule="auto"/>
        <w:contextualSpacing/>
      </w:pPr>
      <w:r w:rsidRPr="00FA3AC0">
        <w:t>N-(2-(pyridin-2-</w:t>
      </w:r>
      <w:proofErr w:type="gramStart"/>
      <w:r w:rsidRPr="00FA3AC0">
        <w:t>yl)ethyl</w:t>
      </w:r>
      <w:proofErr w:type="gramEnd"/>
      <w:r w:rsidRPr="00FA3AC0">
        <w:t>)-p-menthane-3-carboxamide</w:t>
      </w:r>
      <w:r w:rsidRPr="0033063C">
        <w:t>;</w:t>
      </w:r>
    </w:p>
    <w:p w14:paraId="0A415250" w14:textId="77777777" w:rsidR="00FA3AC0" w:rsidRDefault="00FA3AC0" w:rsidP="00FA3AC0">
      <w:pPr>
        <w:pStyle w:val="ListParagraph"/>
        <w:numPr>
          <w:ilvl w:val="0"/>
          <w:numId w:val="11"/>
        </w:numPr>
        <w:spacing w:before="0" w:beforeAutospacing="0" w:after="120" w:afterAutospacing="0" w:line="276" w:lineRule="auto"/>
        <w:ind w:left="714" w:hanging="357"/>
        <w:contextualSpacing/>
      </w:pPr>
      <w:r>
        <w:rPr>
          <w:lang w:eastAsia="en-US"/>
        </w:rPr>
        <w:t>an update to</w:t>
      </w:r>
      <w:r>
        <w:t xml:space="preserve"> the ingredient name, </w:t>
      </w:r>
      <w:r w:rsidRPr="0033063C">
        <w:t>‘</w:t>
      </w:r>
      <w:r w:rsidRPr="00FA3AC0">
        <w:t>mecobalamin (co-</w:t>
      </w:r>
      <w:proofErr w:type="spellStart"/>
      <w:r w:rsidRPr="00FA3AC0">
        <w:t>methylcobalamin</w:t>
      </w:r>
      <w:proofErr w:type="spellEnd"/>
      <w:r w:rsidRPr="00FA3AC0">
        <w:t>)</w:t>
      </w:r>
      <w:r w:rsidRPr="0033063C">
        <w:t>’, to the sole ingredient name, ‘</w:t>
      </w:r>
      <w:r w:rsidRPr="00FA3AC0">
        <w:t>mecobalamin</w:t>
      </w:r>
      <w:r>
        <w:t xml:space="preserve">’, to reflect the end of the </w:t>
      </w:r>
      <w:r w:rsidRPr="00BE7DE2">
        <w:rPr>
          <w:lang w:eastAsia="en-US"/>
        </w:rPr>
        <w:t xml:space="preserve">International </w:t>
      </w:r>
      <w:r>
        <w:rPr>
          <w:lang w:eastAsia="en-US"/>
        </w:rPr>
        <w:t>H</w:t>
      </w:r>
      <w:r w:rsidRPr="00BE7DE2">
        <w:rPr>
          <w:lang w:eastAsia="en-US"/>
        </w:rPr>
        <w:t xml:space="preserve">armonisation of </w:t>
      </w:r>
      <w:r>
        <w:rPr>
          <w:lang w:eastAsia="en-US"/>
        </w:rPr>
        <w:t>I</w:t>
      </w:r>
      <w:r w:rsidRPr="00BE7DE2">
        <w:rPr>
          <w:lang w:eastAsia="en-US"/>
        </w:rPr>
        <w:t xml:space="preserve">ngredient </w:t>
      </w:r>
      <w:r>
        <w:rPr>
          <w:lang w:eastAsia="en-US"/>
        </w:rPr>
        <w:t>N</w:t>
      </w:r>
      <w:r w:rsidRPr="00BE7DE2">
        <w:rPr>
          <w:lang w:eastAsia="en-US"/>
        </w:rPr>
        <w:t>ames (</w:t>
      </w:r>
      <w:r>
        <w:rPr>
          <w:lang w:eastAsia="en-US"/>
        </w:rPr>
        <w:t>“</w:t>
      </w:r>
      <w:r w:rsidRPr="00BE7DE2">
        <w:rPr>
          <w:lang w:eastAsia="en-US"/>
        </w:rPr>
        <w:t>IHIN</w:t>
      </w:r>
      <w:r>
        <w:rPr>
          <w:lang w:eastAsia="en-US"/>
        </w:rPr>
        <w:t>”</w:t>
      </w:r>
      <w:r w:rsidRPr="00BE7DE2">
        <w:rPr>
          <w:lang w:eastAsia="en-US"/>
        </w:rPr>
        <w:t>)</w:t>
      </w:r>
      <w:r>
        <w:t xml:space="preserve"> dual labelling period requirements for this ingredient on 30 April </w:t>
      </w:r>
      <w:proofErr w:type="gramStart"/>
      <w:r>
        <w:t>2023;</w:t>
      </w:r>
      <w:proofErr w:type="gramEnd"/>
    </w:p>
    <w:p w14:paraId="06FF7AFE" w14:textId="77777777" w:rsidR="00FA3AC0" w:rsidRPr="00D75AA4" w:rsidRDefault="00FA3AC0" w:rsidP="00FA3AC0">
      <w:pPr>
        <w:pStyle w:val="ListParagraph"/>
        <w:numPr>
          <w:ilvl w:val="0"/>
          <w:numId w:val="11"/>
        </w:numPr>
        <w:spacing w:before="0" w:beforeAutospacing="0" w:after="120" w:afterAutospacing="0" w:line="276" w:lineRule="auto"/>
        <w:ind w:left="714" w:hanging="357"/>
        <w:contextualSpacing/>
      </w:pPr>
      <w:r>
        <w:rPr>
          <w:lang w:eastAsia="en-US"/>
        </w:rPr>
        <w:t>u</w:t>
      </w:r>
      <w:r w:rsidRPr="00D75AA4">
        <w:rPr>
          <w:lang w:eastAsia="en-US"/>
        </w:rPr>
        <w:t>pdat</w:t>
      </w:r>
      <w:r>
        <w:rPr>
          <w:lang w:eastAsia="en-US"/>
        </w:rPr>
        <w:t>es to</w:t>
      </w:r>
      <w:r w:rsidRPr="00D75AA4">
        <w:t xml:space="preserve"> the </w:t>
      </w:r>
      <w:r>
        <w:t>Approved Herbal Names</w:t>
      </w:r>
      <w:r w:rsidRPr="00D75AA4">
        <w:t xml:space="preserve"> </w:t>
      </w:r>
      <w:r>
        <w:t xml:space="preserve">(“AHN”) of seven ingredients </w:t>
      </w:r>
      <w:r w:rsidRPr="00D75AA4">
        <w:t>to the current taxonomically accepted name</w:t>
      </w:r>
      <w:r>
        <w:t xml:space="preserve">s for those </w:t>
      </w:r>
      <w:proofErr w:type="gramStart"/>
      <w:r>
        <w:t>ingredients;</w:t>
      </w:r>
      <w:proofErr w:type="gramEnd"/>
    </w:p>
    <w:p w14:paraId="121E1108" w14:textId="77777777" w:rsidR="00FA3AC0" w:rsidRDefault="00FA3AC0" w:rsidP="00FA3AC0">
      <w:pPr>
        <w:pStyle w:val="ListParagraph"/>
        <w:numPr>
          <w:ilvl w:val="0"/>
          <w:numId w:val="11"/>
        </w:numPr>
        <w:spacing w:before="0" w:beforeAutospacing="0" w:after="120" w:afterAutospacing="0" w:line="276" w:lineRule="auto"/>
        <w:ind w:left="714" w:hanging="357"/>
        <w:contextualSpacing/>
      </w:pPr>
      <w:r w:rsidRPr="00D61505">
        <w:rPr>
          <w:lang w:eastAsia="en-US"/>
        </w:rPr>
        <w:t>updates</w:t>
      </w:r>
      <w:r w:rsidRPr="00D61505">
        <w:t xml:space="preserve"> to applicable requirements for </w:t>
      </w:r>
      <w:r w:rsidRPr="00FA3AC0">
        <w:t>2’-fucosyllactose</w:t>
      </w:r>
      <w:r>
        <w:t>, namely to:</w:t>
      </w:r>
    </w:p>
    <w:p w14:paraId="26802092" w14:textId="77777777" w:rsidR="00FA3AC0" w:rsidRDefault="00FA3AC0" w:rsidP="00FA3AC0">
      <w:pPr>
        <w:pStyle w:val="ListParagraph"/>
        <w:numPr>
          <w:ilvl w:val="1"/>
          <w:numId w:val="11"/>
        </w:numPr>
        <w:spacing w:before="0" w:beforeAutospacing="0" w:after="120" w:afterAutospacing="0" w:line="276" w:lineRule="auto"/>
        <w:contextualSpacing/>
      </w:pPr>
      <w:r>
        <w:lastRenderedPageBreak/>
        <w:t>remove</w:t>
      </w:r>
      <w:r w:rsidRPr="00D61505">
        <w:t xml:space="preserve"> requirements to reflect the expiry of the period of exclusive use for the relevant </w:t>
      </w:r>
      <w:proofErr w:type="gramStart"/>
      <w:r w:rsidRPr="00D61505">
        <w:t>sponsor</w:t>
      </w:r>
      <w:r>
        <w:t>;</w:t>
      </w:r>
      <w:proofErr w:type="gramEnd"/>
    </w:p>
    <w:p w14:paraId="1C6E5184" w14:textId="77777777" w:rsidR="00FA3AC0" w:rsidRDefault="00FA3AC0" w:rsidP="00FA3AC0">
      <w:pPr>
        <w:pStyle w:val="ListParagraph"/>
        <w:numPr>
          <w:ilvl w:val="1"/>
          <w:numId w:val="11"/>
        </w:numPr>
        <w:spacing w:before="0" w:beforeAutospacing="0" w:after="120" w:afterAutospacing="0" w:line="276" w:lineRule="auto"/>
        <w:contextualSpacing/>
      </w:pPr>
      <w:r w:rsidRPr="00D61505">
        <w:t xml:space="preserve">allow for its use in children aged 1 month and older, and amending the permitted maximum daily doses, following an application that was made to the Secretary for this </w:t>
      </w:r>
      <w:proofErr w:type="gramStart"/>
      <w:r w:rsidRPr="00D61505">
        <w:t>variation</w:t>
      </w:r>
      <w:r>
        <w:t>;</w:t>
      </w:r>
      <w:proofErr w:type="gramEnd"/>
    </w:p>
    <w:p w14:paraId="4F39EB93" w14:textId="77777777" w:rsidR="00FA3AC0" w:rsidRPr="00D61505" w:rsidRDefault="00FA3AC0" w:rsidP="00FA3AC0">
      <w:pPr>
        <w:pStyle w:val="ListParagraph"/>
        <w:numPr>
          <w:ilvl w:val="1"/>
          <w:numId w:val="11"/>
        </w:numPr>
        <w:spacing w:before="0" w:beforeAutospacing="0" w:after="120" w:afterAutospacing="0" w:line="276" w:lineRule="auto"/>
        <w:contextualSpacing/>
      </w:pPr>
      <w:r w:rsidRPr="00D61505">
        <w:t xml:space="preserve">include a warning statement that the product should not be consumed on the same day as breastmilk or other products containing </w:t>
      </w:r>
      <w:r w:rsidRPr="0033063C">
        <w:t>2’-</w:t>
      </w:r>
      <w:proofErr w:type="gramStart"/>
      <w:r w:rsidRPr="0033063C">
        <w:t>fucosyllactose</w:t>
      </w:r>
      <w:r w:rsidRPr="00D61505">
        <w:t>;</w:t>
      </w:r>
      <w:proofErr w:type="gramEnd"/>
    </w:p>
    <w:p w14:paraId="7C0F5033" w14:textId="77777777" w:rsidR="00FA3AC0" w:rsidRPr="00D61505" w:rsidRDefault="00FA3AC0" w:rsidP="00FA3AC0">
      <w:pPr>
        <w:pStyle w:val="ListParagraph"/>
        <w:numPr>
          <w:ilvl w:val="0"/>
          <w:numId w:val="11"/>
        </w:numPr>
        <w:spacing w:before="0" w:beforeAutospacing="0" w:after="120" w:afterAutospacing="0" w:line="276" w:lineRule="auto"/>
        <w:ind w:left="714" w:hanging="357"/>
        <w:contextualSpacing/>
      </w:pPr>
      <w:r w:rsidRPr="00D61505">
        <w:t xml:space="preserve">minor clarifications and correction of minor typographical errors for the purpose of improving the internal consistency of the Determination, including clarification of the requirements for </w:t>
      </w:r>
      <w:proofErr w:type="spellStart"/>
      <w:r w:rsidRPr="00FA3AC0">
        <w:t>lacto</w:t>
      </w:r>
      <w:proofErr w:type="spellEnd"/>
      <w:r w:rsidRPr="00FA3AC0">
        <w:t>-N-</w:t>
      </w:r>
      <w:proofErr w:type="spellStart"/>
      <w:r w:rsidRPr="00FA3AC0">
        <w:t>tetraose</w:t>
      </w:r>
      <w:proofErr w:type="spellEnd"/>
      <w:r w:rsidRPr="00D61505">
        <w:t xml:space="preserve"> regarding the applicable age groups for the required warning statements</w:t>
      </w:r>
      <w:r>
        <w:t xml:space="preserve"> for this </w:t>
      </w:r>
      <w:proofErr w:type="gramStart"/>
      <w:r>
        <w:t>ingredient</w:t>
      </w:r>
      <w:r w:rsidRPr="00D61505">
        <w:t>;</w:t>
      </w:r>
      <w:proofErr w:type="gramEnd"/>
    </w:p>
    <w:p w14:paraId="7284A0A5" w14:textId="77777777" w:rsidR="00FA3AC0" w:rsidRPr="00D61505" w:rsidRDefault="00FA3AC0" w:rsidP="00FA3AC0">
      <w:pPr>
        <w:pStyle w:val="ListParagraph"/>
        <w:numPr>
          <w:ilvl w:val="0"/>
          <w:numId w:val="11"/>
        </w:numPr>
        <w:spacing w:before="0" w:beforeAutospacing="0" w:after="120" w:afterAutospacing="0" w:line="276" w:lineRule="auto"/>
        <w:ind w:left="714" w:hanging="357"/>
        <w:contextualSpacing/>
      </w:pPr>
      <w:r w:rsidRPr="00D61505">
        <w:rPr>
          <w:lang w:eastAsia="en-US"/>
        </w:rPr>
        <w:t>updates</w:t>
      </w:r>
      <w:r w:rsidRPr="00D61505">
        <w:t xml:space="preserve"> to applicable requirements for </w:t>
      </w:r>
      <w:r w:rsidRPr="00FA3AC0">
        <w:t>caffeine</w:t>
      </w:r>
      <w:r w:rsidRPr="0033063C">
        <w:t xml:space="preserve"> </w:t>
      </w:r>
      <w:r w:rsidRPr="00D61505">
        <w:t xml:space="preserve">to allow for its use as an active ingredient for topical administration following identification that this use </w:t>
      </w:r>
      <w:r>
        <w:t>has been</w:t>
      </w:r>
      <w:r w:rsidRPr="00D61505">
        <w:t xml:space="preserve"> inadvertently removed</w:t>
      </w:r>
      <w:r>
        <w:t>; and</w:t>
      </w:r>
    </w:p>
    <w:p w14:paraId="4C93DA9E" w14:textId="4BC3CF73" w:rsidR="00FA3AC0" w:rsidRDefault="00FA3AC0" w:rsidP="00FA3AC0">
      <w:pPr>
        <w:pStyle w:val="ListParagraph"/>
        <w:numPr>
          <w:ilvl w:val="0"/>
          <w:numId w:val="11"/>
        </w:numPr>
        <w:spacing w:before="0" w:beforeAutospacing="0" w:after="120" w:afterAutospacing="0" w:line="276" w:lineRule="auto"/>
        <w:ind w:left="714" w:hanging="357"/>
        <w:contextualSpacing/>
      </w:pPr>
      <w:r>
        <w:rPr>
          <w:lang w:eastAsia="en-US"/>
        </w:rPr>
        <w:t>t</w:t>
      </w:r>
      <w:r w:rsidRPr="00C31453">
        <w:rPr>
          <w:lang w:eastAsia="en-US"/>
        </w:rPr>
        <w:t>he re</w:t>
      </w:r>
      <w:r>
        <w:rPr>
          <w:lang w:eastAsia="en-US"/>
        </w:rPr>
        <w:t xml:space="preserve">moval of </w:t>
      </w:r>
      <w:proofErr w:type="gramStart"/>
      <w:r>
        <w:rPr>
          <w:lang w:eastAsia="en-US"/>
        </w:rPr>
        <w:t>twenty five</w:t>
      </w:r>
      <w:proofErr w:type="gramEnd"/>
      <w:r>
        <w:rPr>
          <w:lang w:eastAsia="en-US"/>
        </w:rPr>
        <w:t xml:space="preserve"> ingredients in </w:t>
      </w:r>
      <w:r w:rsidRPr="000D4287">
        <w:t xml:space="preserve">the </w:t>
      </w:r>
      <w:r w:rsidRPr="000D4287">
        <w:rPr>
          <w:lang w:eastAsia="en-US"/>
        </w:rPr>
        <w:t>Approved</w:t>
      </w:r>
      <w:r w:rsidRPr="000D4287">
        <w:t xml:space="preserve"> Food Name (</w:t>
      </w:r>
      <w:r>
        <w:t>“</w:t>
      </w:r>
      <w:r w:rsidRPr="000D4287">
        <w:t>AFN</w:t>
      </w:r>
      <w:r>
        <w:t>”</w:t>
      </w:r>
      <w:r w:rsidRPr="000D4287">
        <w:t xml:space="preserve">) category </w:t>
      </w:r>
      <w:r>
        <w:t>that are</w:t>
      </w:r>
      <w:r w:rsidRPr="000D4287">
        <w:t xml:space="preserve"> not in use in </w:t>
      </w:r>
      <w:r>
        <w:t xml:space="preserve">any listed medicine </w:t>
      </w:r>
      <w:r w:rsidRPr="000D4287">
        <w:t>products</w:t>
      </w:r>
      <w:r>
        <w:t xml:space="preserve"> in Australia, and which remain available for use in listed medicines under synonyms or</w:t>
      </w:r>
      <w:r w:rsidRPr="000D4287">
        <w:t xml:space="preserve"> alternative</w:t>
      </w:r>
      <w:r>
        <w:t xml:space="preserve"> names</w:t>
      </w:r>
      <w:r w:rsidRPr="000D4287">
        <w:t>.</w:t>
      </w:r>
    </w:p>
    <w:p w14:paraId="268E731F" w14:textId="77777777" w:rsidR="00D61505" w:rsidRDefault="00D61505" w:rsidP="00D57DB9">
      <w:pPr>
        <w:spacing w:after="0"/>
        <w:rPr>
          <w:rFonts w:ascii="Times New Roman" w:eastAsia="Times New Roman" w:hAnsi="Times New Roman" w:cs="Times New Roman"/>
          <w:sz w:val="24"/>
          <w:szCs w:val="24"/>
          <w:lang w:eastAsia="en-AU"/>
        </w:rPr>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5B7B51EA"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25025FDE"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866C" w14:textId="77777777" w:rsidR="0093176E" w:rsidRDefault="0093176E" w:rsidP="008939B1">
      <w:pPr>
        <w:spacing w:after="0" w:line="240" w:lineRule="auto"/>
      </w:pPr>
      <w:r>
        <w:separator/>
      </w:r>
    </w:p>
    <w:p w14:paraId="7E90E1EE" w14:textId="77777777" w:rsidR="0093176E" w:rsidRDefault="0093176E"/>
  </w:endnote>
  <w:endnote w:type="continuationSeparator" w:id="0">
    <w:p w14:paraId="6821CB32" w14:textId="77777777" w:rsidR="0093176E" w:rsidRDefault="0093176E" w:rsidP="008939B1">
      <w:pPr>
        <w:spacing w:after="0" w:line="240" w:lineRule="auto"/>
      </w:pPr>
      <w:r>
        <w:continuationSeparator/>
      </w:r>
    </w:p>
    <w:p w14:paraId="737D24B6" w14:textId="77777777" w:rsidR="0093176E" w:rsidRDefault="00931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CFF" w14:textId="77777777" w:rsidR="0093176E" w:rsidRDefault="0093176E" w:rsidP="008939B1">
      <w:pPr>
        <w:spacing w:after="0" w:line="240" w:lineRule="auto"/>
      </w:pPr>
      <w:r>
        <w:separator/>
      </w:r>
    </w:p>
    <w:p w14:paraId="75BAD374" w14:textId="77777777" w:rsidR="0093176E" w:rsidRDefault="0093176E"/>
  </w:footnote>
  <w:footnote w:type="continuationSeparator" w:id="0">
    <w:p w14:paraId="3F9CA3F2" w14:textId="77777777" w:rsidR="0093176E" w:rsidRDefault="0093176E" w:rsidP="008939B1">
      <w:pPr>
        <w:spacing w:after="0" w:line="240" w:lineRule="auto"/>
      </w:pPr>
      <w:r>
        <w:continuationSeparator/>
      </w:r>
    </w:p>
    <w:p w14:paraId="774A3F8C" w14:textId="77777777" w:rsidR="0093176E" w:rsidRDefault="009317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41"/>
  </w:num>
  <w:num w:numId="4">
    <w:abstractNumId w:val="2"/>
  </w:num>
  <w:num w:numId="5">
    <w:abstractNumId w:val="5"/>
  </w:num>
  <w:num w:numId="6">
    <w:abstractNumId w:val="14"/>
  </w:num>
  <w:num w:numId="7">
    <w:abstractNumId w:val="33"/>
  </w:num>
  <w:num w:numId="8">
    <w:abstractNumId w:val="28"/>
  </w:num>
  <w:num w:numId="9">
    <w:abstractNumId w:val="7"/>
  </w:num>
  <w:num w:numId="10">
    <w:abstractNumId w:val="18"/>
  </w:num>
  <w:num w:numId="11">
    <w:abstractNumId w:val="21"/>
  </w:num>
  <w:num w:numId="12">
    <w:abstractNumId w:val="42"/>
  </w:num>
  <w:num w:numId="13">
    <w:abstractNumId w:val="4"/>
  </w:num>
  <w:num w:numId="14">
    <w:abstractNumId w:val="3"/>
  </w:num>
  <w:num w:numId="15">
    <w:abstractNumId w:val="22"/>
  </w:num>
  <w:num w:numId="16">
    <w:abstractNumId w:val="10"/>
  </w:num>
  <w:num w:numId="17">
    <w:abstractNumId w:val="29"/>
  </w:num>
  <w:num w:numId="18">
    <w:abstractNumId w:val="39"/>
  </w:num>
  <w:num w:numId="19">
    <w:abstractNumId w:val="30"/>
  </w:num>
  <w:num w:numId="20">
    <w:abstractNumId w:val="19"/>
  </w:num>
  <w:num w:numId="21">
    <w:abstractNumId w:val="21"/>
  </w:num>
  <w:num w:numId="22">
    <w:abstractNumId w:val="11"/>
  </w:num>
  <w:num w:numId="23">
    <w:abstractNumId w:val="27"/>
  </w:num>
  <w:num w:numId="24">
    <w:abstractNumId w:val="8"/>
  </w:num>
  <w:num w:numId="25">
    <w:abstractNumId w:val="15"/>
  </w:num>
  <w:num w:numId="26">
    <w:abstractNumId w:val="13"/>
  </w:num>
  <w:num w:numId="27">
    <w:abstractNumId w:val="37"/>
  </w:num>
  <w:num w:numId="28">
    <w:abstractNumId w:val="35"/>
  </w:num>
  <w:num w:numId="29">
    <w:abstractNumId w:val="17"/>
  </w:num>
  <w:num w:numId="30">
    <w:abstractNumId w:val="36"/>
  </w:num>
  <w:num w:numId="31">
    <w:abstractNumId w:val="24"/>
  </w:num>
  <w:num w:numId="32">
    <w:abstractNumId w:val="1"/>
  </w:num>
  <w:num w:numId="33">
    <w:abstractNumId w:val="38"/>
  </w:num>
  <w:num w:numId="34">
    <w:abstractNumId w:val="9"/>
  </w:num>
  <w:num w:numId="35">
    <w:abstractNumId w:val="23"/>
  </w:num>
  <w:num w:numId="36">
    <w:abstractNumId w:val="25"/>
  </w:num>
  <w:num w:numId="37">
    <w:abstractNumId w:val="16"/>
  </w:num>
  <w:num w:numId="38">
    <w:abstractNumId w:val="32"/>
  </w:num>
  <w:num w:numId="39">
    <w:abstractNumId w:val="40"/>
  </w:num>
  <w:num w:numId="40">
    <w:abstractNumId w:val="31"/>
  </w:num>
  <w:num w:numId="41">
    <w:abstractNumId w:val="6"/>
  </w:num>
  <w:num w:numId="42">
    <w:abstractNumId w:val="26"/>
  </w:num>
  <w:num w:numId="43">
    <w:abstractNumId w:val="0"/>
  </w:num>
  <w:num w:numId="44">
    <w:abstractNumId w:val="20"/>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2FF5"/>
    <w:rsid w:val="00014A86"/>
    <w:rsid w:val="000152DF"/>
    <w:rsid w:val="000170FC"/>
    <w:rsid w:val="000178FF"/>
    <w:rsid w:val="00020744"/>
    <w:rsid w:val="000216E9"/>
    <w:rsid w:val="000253EC"/>
    <w:rsid w:val="00027571"/>
    <w:rsid w:val="00032FAE"/>
    <w:rsid w:val="0003396A"/>
    <w:rsid w:val="000374FB"/>
    <w:rsid w:val="00040C02"/>
    <w:rsid w:val="00042274"/>
    <w:rsid w:val="00045778"/>
    <w:rsid w:val="00045C71"/>
    <w:rsid w:val="000503F1"/>
    <w:rsid w:val="00050B0F"/>
    <w:rsid w:val="00052A03"/>
    <w:rsid w:val="00055505"/>
    <w:rsid w:val="00055DF5"/>
    <w:rsid w:val="0006051F"/>
    <w:rsid w:val="0006121E"/>
    <w:rsid w:val="00062590"/>
    <w:rsid w:val="000637B0"/>
    <w:rsid w:val="00063951"/>
    <w:rsid w:val="00064FDE"/>
    <w:rsid w:val="00066B2F"/>
    <w:rsid w:val="00066CCA"/>
    <w:rsid w:val="000727D2"/>
    <w:rsid w:val="000728F5"/>
    <w:rsid w:val="00072A36"/>
    <w:rsid w:val="00073166"/>
    <w:rsid w:val="00073AFE"/>
    <w:rsid w:val="000743AA"/>
    <w:rsid w:val="00077B19"/>
    <w:rsid w:val="000805C8"/>
    <w:rsid w:val="000815E8"/>
    <w:rsid w:val="00082CAB"/>
    <w:rsid w:val="00083EC1"/>
    <w:rsid w:val="00087FA2"/>
    <w:rsid w:val="0009107A"/>
    <w:rsid w:val="00092EDD"/>
    <w:rsid w:val="0009412D"/>
    <w:rsid w:val="000942F7"/>
    <w:rsid w:val="00096077"/>
    <w:rsid w:val="0009649B"/>
    <w:rsid w:val="0009675B"/>
    <w:rsid w:val="00097828"/>
    <w:rsid w:val="000A4820"/>
    <w:rsid w:val="000A562F"/>
    <w:rsid w:val="000A6A62"/>
    <w:rsid w:val="000A7327"/>
    <w:rsid w:val="000B0556"/>
    <w:rsid w:val="000B2796"/>
    <w:rsid w:val="000B37EF"/>
    <w:rsid w:val="000B46D5"/>
    <w:rsid w:val="000B55C8"/>
    <w:rsid w:val="000B58FB"/>
    <w:rsid w:val="000C363D"/>
    <w:rsid w:val="000D25BE"/>
    <w:rsid w:val="000D3185"/>
    <w:rsid w:val="000D3F52"/>
    <w:rsid w:val="000D444D"/>
    <w:rsid w:val="000D45A0"/>
    <w:rsid w:val="000D4C94"/>
    <w:rsid w:val="000D56EB"/>
    <w:rsid w:val="000D5DD3"/>
    <w:rsid w:val="000E1C1C"/>
    <w:rsid w:val="000E3020"/>
    <w:rsid w:val="000F4D51"/>
    <w:rsid w:val="000F7DDF"/>
    <w:rsid w:val="00102F88"/>
    <w:rsid w:val="00102FF5"/>
    <w:rsid w:val="00104D9E"/>
    <w:rsid w:val="00105D48"/>
    <w:rsid w:val="00110CB9"/>
    <w:rsid w:val="00113AE2"/>
    <w:rsid w:val="0011431C"/>
    <w:rsid w:val="00114578"/>
    <w:rsid w:val="001160DE"/>
    <w:rsid w:val="00123510"/>
    <w:rsid w:val="0012601D"/>
    <w:rsid w:val="001260D9"/>
    <w:rsid w:val="00126D3F"/>
    <w:rsid w:val="001323EA"/>
    <w:rsid w:val="0013266B"/>
    <w:rsid w:val="00133949"/>
    <w:rsid w:val="0013620C"/>
    <w:rsid w:val="00141384"/>
    <w:rsid w:val="00142FE8"/>
    <w:rsid w:val="00143BEC"/>
    <w:rsid w:val="00145ED6"/>
    <w:rsid w:val="001474B9"/>
    <w:rsid w:val="001503DB"/>
    <w:rsid w:val="0015083D"/>
    <w:rsid w:val="00151A1A"/>
    <w:rsid w:val="00151C11"/>
    <w:rsid w:val="0015421F"/>
    <w:rsid w:val="001566B5"/>
    <w:rsid w:val="001632C0"/>
    <w:rsid w:val="00166D53"/>
    <w:rsid w:val="00176A8B"/>
    <w:rsid w:val="00177681"/>
    <w:rsid w:val="00180117"/>
    <w:rsid w:val="00183AB1"/>
    <w:rsid w:val="00184132"/>
    <w:rsid w:val="00187288"/>
    <w:rsid w:val="001874DF"/>
    <w:rsid w:val="00187B3D"/>
    <w:rsid w:val="0019081E"/>
    <w:rsid w:val="00192658"/>
    <w:rsid w:val="0019281D"/>
    <w:rsid w:val="00197C3F"/>
    <w:rsid w:val="00197FE9"/>
    <w:rsid w:val="001A0572"/>
    <w:rsid w:val="001A1891"/>
    <w:rsid w:val="001A1D04"/>
    <w:rsid w:val="001A3695"/>
    <w:rsid w:val="001A4346"/>
    <w:rsid w:val="001A4696"/>
    <w:rsid w:val="001A567C"/>
    <w:rsid w:val="001A727D"/>
    <w:rsid w:val="001A786B"/>
    <w:rsid w:val="001A7C14"/>
    <w:rsid w:val="001B0FC8"/>
    <w:rsid w:val="001B101E"/>
    <w:rsid w:val="001B2279"/>
    <w:rsid w:val="001B4017"/>
    <w:rsid w:val="001B623E"/>
    <w:rsid w:val="001B6A8A"/>
    <w:rsid w:val="001B6EBC"/>
    <w:rsid w:val="001B7598"/>
    <w:rsid w:val="001B7ED3"/>
    <w:rsid w:val="001C1EC4"/>
    <w:rsid w:val="001C3292"/>
    <w:rsid w:val="001C38AF"/>
    <w:rsid w:val="001C3ADA"/>
    <w:rsid w:val="001C5A13"/>
    <w:rsid w:val="001C5E65"/>
    <w:rsid w:val="001D0151"/>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B67"/>
    <w:rsid w:val="00210E3C"/>
    <w:rsid w:val="00211A66"/>
    <w:rsid w:val="00212EB6"/>
    <w:rsid w:val="0021326F"/>
    <w:rsid w:val="002156A0"/>
    <w:rsid w:val="00216B37"/>
    <w:rsid w:val="00220828"/>
    <w:rsid w:val="00224AF3"/>
    <w:rsid w:val="00226F3C"/>
    <w:rsid w:val="002323CF"/>
    <w:rsid w:val="00232972"/>
    <w:rsid w:val="00233242"/>
    <w:rsid w:val="00236ECD"/>
    <w:rsid w:val="0023720D"/>
    <w:rsid w:val="002374AC"/>
    <w:rsid w:val="002409CB"/>
    <w:rsid w:val="00240AAA"/>
    <w:rsid w:val="002429EA"/>
    <w:rsid w:val="00244DF3"/>
    <w:rsid w:val="00246273"/>
    <w:rsid w:val="002476F4"/>
    <w:rsid w:val="0024774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2777"/>
    <w:rsid w:val="00272FA2"/>
    <w:rsid w:val="002751D3"/>
    <w:rsid w:val="00275D92"/>
    <w:rsid w:val="00280501"/>
    <w:rsid w:val="00282A01"/>
    <w:rsid w:val="00284FF6"/>
    <w:rsid w:val="002855E1"/>
    <w:rsid w:val="0028568A"/>
    <w:rsid w:val="00285CFE"/>
    <w:rsid w:val="00287D9F"/>
    <w:rsid w:val="002903C8"/>
    <w:rsid w:val="0029115B"/>
    <w:rsid w:val="00293C0C"/>
    <w:rsid w:val="002968E0"/>
    <w:rsid w:val="0029743B"/>
    <w:rsid w:val="00297C07"/>
    <w:rsid w:val="00297F2F"/>
    <w:rsid w:val="002A015F"/>
    <w:rsid w:val="002B28EB"/>
    <w:rsid w:val="002B2F43"/>
    <w:rsid w:val="002B4F6A"/>
    <w:rsid w:val="002B741E"/>
    <w:rsid w:val="002B7A34"/>
    <w:rsid w:val="002C0561"/>
    <w:rsid w:val="002C1322"/>
    <w:rsid w:val="002C4652"/>
    <w:rsid w:val="002C5563"/>
    <w:rsid w:val="002C76F7"/>
    <w:rsid w:val="002D1160"/>
    <w:rsid w:val="002D2381"/>
    <w:rsid w:val="002D3968"/>
    <w:rsid w:val="002D3CD4"/>
    <w:rsid w:val="002D3CE9"/>
    <w:rsid w:val="002D67DA"/>
    <w:rsid w:val="002D6999"/>
    <w:rsid w:val="002E35CB"/>
    <w:rsid w:val="002E6160"/>
    <w:rsid w:val="002E67F6"/>
    <w:rsid w:val="002E7329"/>
    <w:rsid w:val="002F4835"/>
    <w:rsid w:val="002F5583"/>
    <w:rsid w:val="002F62FB"/>
    <w:rsid w:val="002F6548"/>
    <w:rsid w:val="00301DC3"/>
    <w:rsid w:val="003034B3"/>
    <w:rsid w:val="003111CC"/>
    <w:rsid w:val="00311A86"/>
    <w:rsid w:val="00312C88"/>
    <w:rsid w:val="00316A9D"/>
    <w:rsid w:val="00316B98"/>
    <w:rsid w:val="00322EC3"/>
    <w:rsid w:val="0032369E"/>
    <w:rsid w:val="0032439E"/>
    <w:rsid w:val="00324BC0"/>
    <w:rsid w:val="003260F5"/>
    <w:rsid w:val="00327A61"/>
    <w:rsid w:val="0033063C"/>
    <w:rsid w:val="003307B8"/>
    <w:rsid w:val="003327D3"/>
    <w:rsid w:val="003338B4"/>
    <w:rsid w:val="0033487C"/>
    <w:rsid w:val="003364B2"/>
    <w:rsid w:val="00337FDB"/>
    <w:rsid w:val="0034013D"/>
    <w:rsid w:val="00340F3C"/>
    <w:rsid w:val="003417EB"/>
    <w:rsid w:val="00343829"/>
    <w:rsid w:val="00345822"/>
    <w:rsid w:val="0034672A"/>
    <w:rsid w:val="003503E7"/>
    <w:rsid w:val="00360394"/>
    <w:rsid w:val="00360AEC"/>
    <w:rsid w:val="003611B1"/>
    <w:rsid w:val="00361819"/>
    <w:rsid w:val="00361A1D"/>
    <w:rsid w:val="003650CC"/>
    <w:rsid w:val="0036611B"/>
    <w:rsid w:val="003661A6"/>
    <w:rsid w:val="00366DE9"/>
    <w:rsid w:val="00371FA0"/>
    <w:rsid w:val="003811C0"/>
    <w:rsid w:val="00381A1B"/>
    <w:rsid w:val="0038203D"/>
    <w:rsid w:val="00383396"/>
    <w:rsid w:val="003846D3"/>
    <w:rsid w:val="00384E0A"/>
    <w:rsid w:val="00386059"/>
    <w:rsid w:val="00386656"/>
    <w:rsid w:val="00386781"/>
    <w:rsid w:val="00391769"/>
    <w:rsid w:val="003919A2"/>
    <w:rsid w:val="00392993"/>
    <w:rsid w:val="003A0BFB"/>
    <w:rsid w:val="003A20C5"/>
    <w:rsid w:val="003A2811"/>
    <w:rsid w:val="003A31A5"/>
    <w:rsid w:val="003A3B5E"/>
    <w:rsid w:val="003A3E75"/>
    <w:rsid w:val="003A4D8C"/>
    <w:rsid w:val="003A533A"/>
    <w:rsid w:val="003A59EA"/>
    <w:rsid w:val="003A6126"/>
    <w:rsid w:val="003A7110"/>
    <w:rsid w:val="003A73A0"/>
    <w:rsid w:val="003B332D"/>
    <w:rsid w:val="003B4176"/>
    <w:rsid w:val="003B4A38"/>
    <w:rsid w:val="003B4F23"/>
    <w:rsid w:val="003B5693"/>
    <w:rsid w:val="003B5837"/>
    <w:rsid w:val="003B6684"/>
    <w:rsid w:val="003B7DAB"/>
    <w:rsid w:val="003C0D62"/>
    <w:rsid w:val="003C6188"/>
    <w:rsid w:val="003C657E"/>
    <w:rsid w:val="003C6D6E"/>
    <w:rsid w:val="003C7446"/>
    <w:rsid w:val="003D0612"/>
    <w:rsid w:val="003D610C"/>
    <w:rsid w:val="003D752A"/>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40E5"/>
    <w:rsid w:val="00414CD9"/>
    <w:rsid w:val="0042212B"/>
    <w:rsid w:val="00422C56"/>
    <w:rsid w:val="00424E87"/>
    <w:rsid w:val="0042665D"/>
    <w:rsid w:val="004325B5"/>
    <w:rsid w:val="00432CF7"/>
    <w:rsid w:val="004341E5"/>
    <w:rsid w:val="004343F8"/>
    <w:rsid w:val="004359B2"/>
    <w:rsid w:val="004369BE"/>
    <w:rsid w:val="00437393"/>
    <w:rsid w:val="0043784D"/>
    <w:rsid w:val="00437C00"/>
    <w:rsid w:val="00437C42"/>
    <w:rsid w:val="00443793"/>
    <w:rsid w:val="00444741"/>
    <w:rsid w:val="00444DEC"/>
    <w:rsid w:val="0044599A"/>
    <w:rsid w:val="00446A54"/>
    <w:rsid w:val="00446EA8"/>
    <w:rsid w:val="004506B2"/>
    <w:rsid w:val="00452A7A"/>
    <w:rsid w:val="00456FF8"/>
    <w:rsid w:val="00460444"/>
    <w:rsid w:val="00461082"/>
    <w:rsid w:val="0046157C"/>
    <w:rsid w:val="0046185B"/>
    <w:rsid w:val="00461ED8"/>
    <w:rsid w:val="004633D3"/>
    <w:rsid w:val="00465227"/>
    <w:rsid w:val="0046549C"/>
    <w:rsid w:val="004678A3"/>
    <w:rsid w:val="00472F24"/>
    <w:rsid w:val="00473C48"/>
    <w:rsid w:val="004761AE"/>
    <w:rsid w:val="00477283"/>
    <w:rsid w:val="00481601"/>
    <w:rsid w:val="00482136"/>
    <w:rsid w:val="00490585"/>
    <w:rsid w:val="004937A4"/>
    <w:rsid w:val="00495C5F"/>
    <w:rsid w:val="0049672B"/>
    <w:rsid w:val="004A092E"/>
    <w:rsid w:val="004A4AB5"/>
    <w:rsid w:val="004A544A"/>
    <w:rsid w:val="004A62C1"/>
    <w:rsid w:val="004A68BB"/>
    <w:rsid w:val="004A6F1E"/>
    <w:rsid w:val="004A79B9"/>
    <w:rsid w:val="004A7F16"/>
    <w:rsid w:val="004B4DF3"/>
    <w:rsid w:val="004B798D"/>
    <w:rsid w:val="004C0638"/>
    <w:rsid w:val="004C1151"/>
    <w:rsid w:val="004C1D7B"/>
    <w:rsid w:val="004C25DC"/>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265C"/>
    <w:rsid w:val="0051582F"/>
    <w:rsid w:val="00516446"/>
    <w:rsid w:val="00522A66"/>
    <w:rsid w:val="005243C9"/>
    <w:rsid w:val="00526197"/>
    <w:rsid w:val="00527073"/>
    <w:rsid w:val="005278A0"/>
    <w:rsid w:val="005300AF"/>
    <w:rsid w:val="005304AA"/>
    <w:rsid w:val="00530B7D"/>
    <w:rsid w:val="00530C81"/>
    <w:rsid w:val="0053757F"/>
    <w:rsid w:val="00537597"/>
    <w:rsid w:val="00540CD5"/>
    <w:rsid w:val="00540F49"/>
    <w:rsid w:val="00543F77"/>
    <w:rsid w:val="00545F2C"/>
    <w:rsid w:val="00546044"/>
    <w:rsid w:val="00546C0E"/>
    <w:rsid w:val="0055006E"/>
    <w:rsid w:val="00553D8E"/>
    <w:rsid w:val="00554CD2"/>
    <w:rsid w:val="00555F5F"/>
    <w:rsid w:val="0055672F"/>
    <w:rsid w:val="00557523"/>
    <w:rsid w:val="00562910"/>
    <w:rsid w:val="005647D9"/>
    <w:rsid w:val="00567254"/>
    <w:rsid w:val="00567C3B"/>
    <w:rsid w:val="00567F6F"/>
    <w:rsid w:val="005703D9"/>
    <w:rsid w:val="00571AF3"/>
    <w:rsid w:val="00573A80"/>
    <w:rsid w:val="00574882"/>
    <w:rsid w:val="00574BB4"/>
    <w:rsid w:val="005764DE"/>
    <w:rsid w:val="0057657A"/>
    <w:rsid w:val="00576EB4"/>
    <w:rsid w:val="0058050E"/>
    <w:rsid w:val="00582168"/>
    <w:rsid w:val="00586109"/>
    <w:rsid w:val="00586A79"/>
    <w:rsid w:val="00586D07"/>
    <w:rsid w:val="005873CF"/>
    <w:rsid w:val="00587C76"/>
    <w:rsid w:val="005901AA"/>
    <w:rsid w:val="005950FC"/>
    <w:rsid w:val="005975B8"/>
    <w:rsid w:val="00597E21"/>
    <w:rsid w:val="00597F8F"/>
    <w:rsid w:val="005A10DF"/>
    <w:rsid w:val="005A33B7"/>
    <w:rsid w:val="005A38AB"/>
    <w:rsid w:val="005A5867"/>
    <w:rsid w:val="005A5B1A"/>
    <w:rsid w:val="005B58AB"/>
    <w:rsid w:val="005B70D2"/>
    <w:rsid w:val="005C1073"/>
    <w:rsid w:val="005C1E01"/>
    <w:rsid w:val="005C30DC"/>
    <w:rsid w:val="005C3927"/>
    <w:rsid w:val="005C475C"/>
    <w:rsid w:val="005C6546"/>
    <w:rsid w:val="005D2839"/>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12887"/>
    <w:rsid w:val="00614793"/>
    <w:rsid w:val="006161DC"/>
    <w:rsid w:val="0062124D"/>
    <w:rsid w:val="0062190F"/>
    <w:rsid w:val="006219CA"/>
    <w:rsid w:val="00622033"/>
    <w:rsid w:val="006252CE"/>
    <w:rsid w:val="006320B2"/>
    <w:rsid w:val="00632471"/>
    <w:rsid w:val="00632A23"/>
    <w:rsid w:val="00633529"/>
    <w:rsid w:val="00634921"/>
    <w:rsid w:val="00634A15"/>
    <w:rsid w:val="0063789C"/>
    <w:rsid w:val="00644F7C"/>
    <w:rsid w:val="00644F8E"/>
    <w:rsid w:val="006469D8"/>
    <w:rsid w:val="006514AF"/>
    <w:rsid w:val="00652960"/>
    <w:rsid w:val="00652BA7"/>
    <w:rsid w:val="0065389A"/>
    <w:rsid w:val="00653B08"/>
    <w:rsid w:val="00662750"/>
    <w:rsid w:val="00663231"/>
    <w:rsid w:val="00664338"/>
    <w:rsid w:val="00664CE0"/>
    <w:rsid w:val="00665196"/>
    <w:rsid w:val="006657E3"/>
    <w:rsid w:val="00665E71"/>
    <w:rsid w:val="00667CD4"/>
    <w:rsid w:val="00670213"/>
    <w:rsid w:val="00673C21"/>
    <w:rsid w:val="00673DE0"/>
    <w:rsid w:val="00674D24"/>
    <w:rsid w:val="00676394"/>
    <w:rsid w:val="00680B29"/>
    <w:rsid w:val="006831BA"/>
    <w:rsid w:val="006850DB"/>
    <w:rsid w:val="00685980"/>
    <w:rsid w:val="00686884"/>
    <w:rsid w:val="00690886"/>
    <w:rsid w:val="0069146E"/>
    <w:rsid w:val="00696602"/>
    <w:rsid w:val="00696C07"/>
    <w:rsid w:val="006A3A8C"/>
    <w:rsid w:val="006A3B2B"/>
    <w:rsid w:val="006A58F6"/>
    <w:rsid w:val="006A6288"/>
    <w:rsid w:val="006A63BE"/>
    <w:rsid w:val="006B6D92"/>
    <w:rsid w:val="006B6E14"/>
    <w:rsid w:val="006C08CC"/>
    <w:rsid w:val="006C0F12"/>
    <w:rsid w:val="006C1D61"/>
    <w:rsid w:val="006C6536"/>
    <w:rsid w:val="006C6DF0"/>
    <w:rsid w:val="006C704D"/>
    <w:rsid w:val="006C7E7B"/>
    <w:rsid w:val="006D03F1"/>
    <w:rsid w:val="006D2050"/>
    <w:rsid w:val="006D28D4"/>
    <w:rsid w:val="006D48D4"/>
    <w:rsid w:val="006D4AB8"/>
    <w:rsid w:val="006D5E19"/>
    <w:rsid w:val="006D694B"/>
    <w:rsid w:val="006D768D"/>
    <w:rsid w:val="006E0828"/>
    <w:rsid w:val="006E21B0"/>
    <w:rsid w:val="006E29EE"/>
    <w:rsid w:val="006E3745"/>
    <w:rsid w:val="006E3E7B"/>
    <w:rsid w:val="006E59E5"/>
    <w:rsid w:val="006E6BF8"/>
    <w:rsid w:val="006E787D"/>
    <w:rsid w:val="006F0BA2"/>
    <w:rsid w:val="006F49F6"/>
    <w:rsid w:val="006F4A40"/>
    <w:rsid w:val="006F6F98"/>
    <w:rsid w:val="006F7142"/>
    <w:rsid w:val="007011A9"/>
    <w:rsid w:val="00701B03"/>
    <w:rsid w:val="0070320C"/>
    <w:rsid w:val="007040CD"/>
    <w:rsid w:val="0070680E"/>
    <w:rsid w:val="00706B8A"/>
    <w:rsid w:val="00706B96"/>
    <w:rsid w:val="007075E6"/>
    <w:rsid w:val="00712EA4"/>
    <w:rsid w:val="00712EBC"/>
    <w:rsid w:val="00716193"/>
    <w:rsid w:val="0071658E"/>
    <w:rsid w:val="00716D98"/>
    <w:rsid w:val="00720518"/>
    <w:rsid w:val="0072185A"/>
    <w:rsid w:val="007228A6"/>
    <w:rsid w:val="00726DAE"/>
    <w:rsid w:val="00727228"/>
    <w:rsid w:val="00727500"/>
    <w:rsid w:val="00730B3D"/>
    <w:rsid w:val="007310BB"/>
    <w:rsid w:val="007313BA"/>
    <w:rsid w:val="007323F5"/>
    <w:rsid w:val="0073245E"/>
    <w:rsid w:val="00737736"/>
    <w:rsid w:val="00737E1D"/>
    <w:rsid w:val="00740250"/>
    <w:rsid w:val="00740B2A"/>
    <w:rsid w:val="0074268C"/>
    <w:rsid w:val="007445FE"/>
    <w:rsid w:val="0074493B"/>
    <w:rsid w:val="007457D2"/>
    <w:rsid w:val="00751232"/>
    <w:rsid w:val="0075281F"/>
    <w:rsid w:val="00752A11"/>
    <w:rsid w:val="007537FC"/>
    <w:rsid w:val="00753C5B"/>
    <w:rsid w:val="007541DC"/>
    <w:rsid w:val="00761A63"/>
    <w:rsid w:val="00763767"/>
    <w:rsid w:val="00764B50"/>
    <w:rsid w:val="00766F34"/>
    <w:rsid w:val="0077437F"/>
    <w:rsid w:val="0077454E"/>
    <w:rsid w:val="00774E0F"/>
    <w:rsid w:val="00776305"/>
    <w:rsid w:val="007804CF"/>
    <w:rsid w:val="00781FEC"/>
    <w:rsid w:val="00783390"/>
    <w:rsid w:val="00784A51"/>
    <w:rsid w:val="00786056"/>
    <w:rsid w:val="007925F3"/>
    <w:rsid w:val="00792F28"/>
    <w:rsid w:val="00793C76"/>
    <w:rsid w:val="00793EFA"/>
    <w:rsid w:val="00794D3C"/>
    <w:rsid w:val="0079657C"/>
    <w:rsid w:val="00796F23"/>
    <w:rsid w:val="007970E7"/>
    <w:rsid w:val="007A06F8"/>
    <w:rsid w:val="007A0C05"/>
    <w:rsid w:val="007A1B4D"/>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62AA"/>
    <w:rsid w:val="007E7331"/>
    <w:rsid w:val="007F2ED8"/>
    <w:rsid w:val="007F3304"/>
    <w:rsid w:val="007F6345"/>
    <w:rsid w:val="00804BAA"/>
    <w:rsid w:val="00807896"/>
    <w:rsid w:val="00810644"/>
    <w:rsid w:val="00810BFB"/>
    <w:rsid w:val="00814F7B"/>
    <w:rsid w:val="00815399"/>
    <w:rsid w:val="008168C0"/>
    <w:rsid w:val="00817B79"/>
    <w:rsid w:val="0082133F"/>
    <w:rsid w:val="00821C51"/>
    <w:rsid w:val="00822016"/>
    <w:rsid w:val="00822DF8"/>
    <w:rsid w:val="00823727"/>
    <w:rsid w:val="008238B7"/>
    <w:rsid w:val="00825B50"/>
    <w:rsid w:val="00826307"/>
    <w:rsid w:val="00826DE8"/>
    <w:rsid w:val="008403C0"/>
    <w:rsid w:val="00841194"/>
    <w:rsid w:val="008416DD"/>
    <w:rsid w:val="008450A6"/>
    <w:rsid w:val="008452B5"/>
    <w:rsid w:val="00845A4E"/>
    <w:rsid w:val="00845A80"/>
    <w:rsid w:val="00850146"/>
    <w:rsid w:val="008501F3"/>
    <w:rsid w:val="008515B1"/>
    <w:rsid w:val="00851813"/>
    <w:rsid w:val="00852814"/>
    <w:rsid w:val="008555B9"/>
    <w:rsid w:val="00855C81"/>
    <w:rsid w:val="00856471"/>
    <w:rsid w:val="008610A0"/>
    <w:rsid w:val="008666FC"/>
    <w:rsid w:val="008671C5"/>
    <w:rsid w:val="008710D8"/>
    <w:rsid w:val="00871271"/>
    <w:rsid w:val="00871BD1"/>
    <w:rsid w:val="008727AB"/>
    <w:rsid w:val="00873010"/>
    <w:rsid w:val="00873780"/>
    <w:rsid w:val="00873CEF"/>
    <w:rsid w:val="0087413C"/>
    <w:rsid w:val="008771C7"/>
    <w:rsid w:val="00877FA7"/>
    <w:rsid w:val="008833F0"/>
    <w:rsid w:val="00884766"/>
    <w:rsid w:val="0088566B"/>
    <w:rsid w:val="00887720"/>
    <w:rsid w:val="00890B01"/>
    <w:rsid w:val="008930BD"/>
    <w:rsid w:val="008939B1"/>
    <w:rsid w:val="00893D80"/>
    <w:rsid w:val="00894393"/>
    <w:rsid w:val="00895420"/>
    <w:rsid w:val="008957CE"/>
    <w:rsid w:val="008A1DBE"/>
    <w:rsid w:val="008A3BF9"/>
    <w:rsid w:val="008A5EAC"/>
    <w:rsid w:val="008A7F19"/>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9FA"/>
    <w:rsid w:val="008D51B6"/>
    <w:rsid w:val="008D7FF5"/>
    <w:rsid w:val="008E082F"/>
    <w:rsid w:val="008E298E"/>
    <w:rsid w:val="008E326F"/>
    <w:rsid w:val="008E5682"/>
    <w:rsid w:val="008E6A84"/>
    <w:rsid w:val="008E75B9"/>
    <w:rsid w:val="008F25EE"/>
    <w:rsid w:val="008F4502"/>
    <w:rsid w:val="008F596A"/>
    <w:rsid w:val="008F5C4E"/>
    <w:rsid w:val="008F68DE"/>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6D96"/>
    <w:rsid w:val="00917AD5"/>
    <w:rsid w:val="0092135A"/>
    <w:rsid w:val="0093176E"/>
    <w:rsid w:val="00934D7F"/>
    <w:rsid w:val="009357A3"/>
    <w:rsid w:val="0094113C"/>
    <w:rsid w:val="0094479A"/>
    <w:rsid w:val="00945858"/>
    <w:rsid w:val="009469AC"/>
    <w:rsid w:val="00950992"/>
    <w:rsid w:val="009543F0"/>
    <w:rsid w:val="00955863"/>
    <w:rsid w:val="00955B2F"/>
    <w:rsid w:val="00955E93"/>
    <w:rsid w:val="0095646F"/>
    <w:rsid w:val="00956B2C"/>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684A"/>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75A0"/>
    <w:rsid w:val="009D0FBE"/>
    <w:rsid w:val="009D11A4"/>
    <w:rsid w:val="009D2FD9"/>
    <w:rsid w:val="009D3627"/>
    <w:rsid w:val="009D51D2"/>
    <w:rsid w:val="009D5CAB"/>
    <w:rsid w:val="009E555D"/>
    <w:rsid w:val="009E5A87"/>
    <w:rsid w:val="009F17D8"/>
    <w:rsid w:val="009F1E49"/>
    <w:rsid w:val="009F2BD2"/>
    <w:rsid w:val="009F3149"/>
    <w:rsid w:val="009F3777"/>
    <w:rsid w:val="009F78E6"/>
    <w:rsid w:val="00A01E31"/>
    <w:rsid w:val="00A0232B"/>
    <w:rsid w:val="00A03B13"/>
    <w:rsid w:val="00A04B65"/>
    <w:rsid w:val="00A06715"/>
    <w:rsid w:val="00A076B9"/>
    <w:rsid w:val="00A0787D"/>
    <w:rsid w:val="00A10B2D"/>
    <w:rsid w:val="00A10F78"/>
    <w:rsid w:val="00A11A09"/>
    <w:rsid w:val="00A13960"/>
    <w:rsid w:val="00A14C5D"/>
    <w:rsid w:val="00A14E6A"/>
    <w:rsid w:val="00A177A5"/>
    <w:rsid w:val="00A208B4"/>
    <w:rsid w:val="00A22EF9"/>
    <w:rsid w:val="00A23B8A"/>
    <w:rsid w:val="00A25403"/>
    <w:rsid w:val="00A26639"/>
    <w:rsid w:val="00A268EA"/>
    <w:rsid w:val="00A2798B"/>
    <w:rsid w:val="00A31625"/>
    <w:rsid w:val="00A3412B"/>
    <w:rsid w:val="00A34A44"/>
    <w:rsid w:val="00A35BE0"/>
    <w:rsid w:val="00A366AA"/>
    <w:rsid w:val="00A409E1"/>
    <w:rsid w:val="00A419EA"/>
    <w:rsid w:val="00A41D36"/>
    <w:rsid w:val="00A42294"/>
    <w:rsid w:val="00A441FF"/>
    <w:rsid w:val="00A4560C"/>
    <w:rsid w:val="00A45E41"/>
    <w:rsid w:val="00A46E76"/>
    <w:rsid w:val="00A47639"/>
    <w:rsid w:val="00A47C69"/>
    <w:rsid w:val="00A521FE"/>
    <w:rsid w:val="00A55498"/>
    <w:rsid w:val="00A6186E"/>
    <w:rsid w:val="00A62B26"/>
    <w:rsid w:val="00A63D97"/>
    <w:rsid w:val="00A63F95"/>
    <w:rsid w:val="00A641CC"/>
    <w:rsid w:val="00A64D74"/>
    <w:rsid w:val="00A6572D"/>
    <w:rsid w:val="00A65E7A"/>
    <w:rsid w:val="00A65FD1"/>
    <w:rsid w:val="00A679F3"/>
    <w:rsid w:val="00A70EDF"/>
    <w:rsid w:val="00A723F8"/>
    <w:rsid w:val="00A727BC"/>
    <w:rsid w:val="00A73FA2"/>
    <w:rsid w:val="00A84DEA"/>
    <w:rsid w:val="00A8608C"/>
    <w:rsid w:val="00A860B9"/>
    <w:rsid w:val="00A87465"/>
    <w:rsid w:val="00A92408"/>
    <w:rsid w:val="00A94F6E"/>
    <w:rsid w:val="00A95F68"/>
    <w:rsid w:val="00AA06AE"/>
    <w:rsid w:val="00AA0ED7"/>
    <w:rsid w:val="00AA5628"/>
    <w:rsid w:val="00AB0696"/>
    <w:rsid w:val="00AB4873"/>
    <w:rsid w:val="00AB4D85"/>
    <w:rsid w:val="00AB76CE"/>
    <w:rsid w:val="00AB7E03"/>
    <w:rsid w:val="00AC0E83"/>
    <w:rsid w:val="00AC3DBC"/>
    <w:rsid w:val="00AC41A5"/>
    <w:rsid w:val="00AC4380"/>
    <w:rsid w:val="00AC4CF8"/>
    <w:rsid w:val="00AC5813"/>
    <w:rsid w:val="00AC7BC0"/>
    <w:rsid w:val="00AD01A3"/>
    <w:rsid w:val="00AD13D6"/>
    <w:rsid w:val="00AD31CF"/>
    <w:rsid w:val="00AD562B"/>
    <w:rsid w:val="00AD59A2"/>
    <w:rsid w:val="00AE0094"/>
    <w:rsid w:val="00AE2955"/>
    <w:rsid w:val="00AE2E87"/>
    <w:rsid w:val="00AE3ABC"/>
    <w:rsid w:val="00AE6F15"/>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0F91"/>
    <w:rsid w:val="00B121AB"/>
    <w:rsid w:val="00B136FA"/>
    <w:rsid w:val="00B141F3"/>
    <w:rsid w:val="00B16543"/>
    <w:rsid w:val="00B16682"/>
    <w:rsid w:val="00B17AB3"/>
    <w:rsid w:val="00B229D8"/>
    <w:rsid w:val="00B22FA5"/>
    <w:rsid w:val="00B245F6"/>
    <w:rsid w:val="00B24B66"/>
    <w:rsid w:val="00B2506B"/>
    <w:rsid w:val="00B273DC"/>
    <w:rsid w:val="00B27B26"/>
    <w:rsid w:val="00B377CD"/>
    <w:rsid w:val="00B37EDC"/>
    <w:rsid w:val="00B4014F"/>
    <w:rsid w:val="00B4147B"/>
    <w:rsid w:val="00B43CEF"/>
    <w:rsid w:val="00B44CD7"/>
    <w:rsid w:val="00B4506D"/>
    <w:rsid w:val="00B46639"/>
    <w:rsid w:val="00B47560"/>
    <w:rsid w:val="00B55911"/>
    <w:rsid w:val="00B5769D"/>
    <w:rsid w:val="00B60F0C"/>
    <w:rsid w:val="00B61C45"/>
    <w:rsid w:val="00B61F41"/>
    <w:rsid w:val="00B6562E"/>
    <w:rsid w:val="00B66E04"/>
    <w:rsid w:val="00B67840"/>
    <w:rsid w:val="00B7018A"/>
    <w:rsid w:val="00B72803"/>
    <w:rsid w:val="00B74B1A"/>
    <w:rsid w:val="00B74C77"/>
    <w:rsid w:val="00B760E1"/>
    <w:rsid w:val="00B7641E"/>
    <w:rsid w:val="00B80545"/>
    <w:rsid w:val="00B82A8D"/>
    <w:rsid w:val="00B830CE"/>
    <w:rsid w:val="00B8592C"/>
    <w:rsid w:val="00B85B71"/>
    <w:rsid w:val="00B877B0"/>
    <w:rsid w:val="00B8782A"/>
    <w:rsid w:val="00B913B5"/>
    <w:rsid w:val="00B91C4D"/>
    <w:rsid w:val="00B923F2"/>
    <w:rsid w:val="00B944DB"/>
    <w:rsid w:val="00B95A3B"/>
    <w:rsid w:val="00BA016B"/>
    <w:rsid w:val="00BA150B"/>
    <w:rsid w:val="00BA30CF"/>
    <w:rsid w:val="00BA3FDB"/>
    <w:rsid w:val="00BA7D51"/>
    <w:rsid w:val="00BB0C79"/>
    <w:rsid w:val="00BB1FCB"/>
    <w:rsid w:val="00BB2ED1"/>
    <w:rsid w:val="00BB3518"/>
    <w:rsid w:val="00BB4A8F"/>
    <w:rsid w:val="00BB5791"/>
    <w:rsid w:val="00BB668F"/>
    <w:rsid w:val="00BB68A6"/>
    <w:rsid w:val="00BC12F3"/>
    <w:rsid w:val="00BC1EFA"/>
    <w:rsid w:val="00BC40E4"/>
    <w:rsid w:val="00BC6118"/>
    <w:rsid w:val="00BD02A2"/>
    <w:rsid w:val="00BD2902"/>
    <w:rsid w:val="00BD2F63"/>
    <w:rsid w:val="00BD52F5"/>
    <w:rsid w:val="00BD5A0C"/>
    <w:rsid w:val="00BD6768"/>
    <w:rsid w:val="00BD6D19"/>
    <w:rsid w:val="00BD6E24"/>
    <w:rsid w:val="00BE184C"/>
    <w:rsid w:val="00BE58EA"/>
    <w:rsid w:val="00BE7DE2"/>
    <w:rsid w:val="00BE7EA1"/>
    <w:rsid w:val="00BF0F92"/>
    <w:rsid w:val="00BF7D1F"/>
    <w:rsid w:val="00BF7DD9"/>
    <w:rsid w:val="00C018B9"/>
    <w:rsid w:val="00C0327A"/>
    <w:rsid w:val="00C03BD0"/>
    <w:rsid w:val="00C05FEB"/>
    <w:rsid w:val="00C1038C"/>
    <w:rsid w:val="00C10BAC"/>
    <w:rsid w:val="00C1184F"/>
    <w:rsid w:val="00C15104"/>
    <w:rsid w:val="00C15D1A"/>
    <w:rsid w:val="00C1647F"/>
    <w:rsid w:val="00C21D6C"/>
    <w:rsid w:val="00C30116"/>
    <w:rsid w:val="00C3255A"/>
    <w:rsid w:val="00C37C77"/>
    <w:rsid w:val="00C37F4E"/>
    <w:rsid w:val="00C41257"/>
    <w:rsid w:val="00C41DD4"/>
    <w:rsid w:val="00C46030"/>
    <w:rsid w:val="00C500A1"/>
    <w:rsid w:val="00C521E4"/>
    <w:rsid w:val="00C531BD"/>
    <w:rsid w:val="00C55EE9"/>
    <w:rsid w:val="00C56A85"/>
    <w:rsid w:val="00C56E2C"/>
    <w:rsid w:val="00C61010"/>
    <w:rsid w:val="00C61057"/>
    <w:rsid w:val="00C6132E"/>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2F70"/>
    <w:rsid w:val="00CA566F"/>
    <w:rsid w:val="00CA6D4A"/>
    <w:rsid w:val="00CA768A"/>
    <w:rsid w:val="00CB0E7A"/>
    <w:rsid w:val="00CB566B"/>
    <w:rsid w:val="00CB73FB"/>
    <w:rsid w:val="00CC09B3"/>
    <w:rsid w:val="00CC4F4A"/>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3A0D"/>
    <w:rsid w:val="00D054A9"/>
    <w:rsid w:val="00D06166"/>
    <w:rsid w:val="00D06278"/>
    <w:rsid w:val="00D064A3"/>
    <w:rsid w:val="00D06C24"/>
    <w:rsid w:val="00D07546"/>
    <w:rsid w:val="00D104BF"/>
    <w:rsid w:val="00D128FA"/>
    <w:rsid w:val="00D132B4"/>
    <w:rsid w:val="00D16B3C"/>
    <w:rsid w:val="00D17065"/>
    <w:rsid w:val="00D202AD"/>
    <w:rsid w:val="00D231C8"/>
    <w:rsid w:val="00D25169"/>
    <w:rsid w:val="00D25D18"/>
    <w:rsid w:val="00D2675E"/>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212F"/>
    <w:rsid w:val="00D5636D"/>
    <w:rsid w:val="00D566B6"/>
    <w:rsid w:val="00D57DB9"/>
    <w:rsid w:val="00D61505"/>
    <w:rsid w:val="00D6656D"/>
    <w:rsid w:val="00D7100E"/>
    <w:rsid w:val="00D71DFE"/>
    <w:rsid w:val="00D721AD"/>
    <w:rsid w:val="00D731D4"/>
    <w:rsid w:val="00D732D5"/>
    <w:rsid w:val="00D73363"/>
    <w:rsid w:val="00D73E6B"/>
    <w:rsid w:val="00D84DF2"/>
    <w:rsid w:val="00D8538B"/>
    <w:rsid w:val="00D86E21"/>
    <w:rsid w:val="00D91242"/>
    <w:rsid w:val="00D92BE7"/>
    <w:rsid w:val="00D9710A"/>
    <w:rsid w:val="00DA0372"/>
    <w:rsid w:val="00DA21CD"/>
    <w:rsid w:val="00DA2CCD"/>
    <w:rsid w:val="00DA2DCB"/>
    <w:rsid w:val="00DA43EE"/>
    <w:rsid w:val="00DA4B10"/>
    <w:rsid w:val="00DA58FC"/>
    <w:rsid w:val="00DA5DA3"/>
    <w:rsid w:val="00DB09C5"/>
    <w:rsid w:val="00DB1E17"/>
    <w:rsid w:val="00DB2D8A"/>
    <w:rsid w:val="00DB3697"/>
    <w:rsid w:val="00DB67DF"/>
    <w:rsid w:val="00DB706A"/>
    <w:rsid w:val="00DB7FF6"/>
    <w:rsid w:val="00DC0563"/>
    <w:rsid w:val="00DC1C4C"/>
    <w:rsid w:val="00DC20E6"/>
    <w:rsid w:val="00DC4241"/>
    <w:rsid w:val="00DC4741"/>
    <w:rsid w:val="00DC4C8C"/>
    <w:rsid w:val="00DC56A0"/>
    <w:rsid w:val="00DD12DA"/>
    <w:rsid w:val="00DD48B8"/>
    <w:rsid w:val="00DD5989"/>
    <w:rsid w:val="00DD5F7F"/>
    <w:rsid w:val="00DD7962"/>
    <w:rsid w:val="00DE0E9F"/>
    <w:rsid w:val="00DE1DDB"/>
    <w:rsid w:val="00DE1E4F"/>
    <w:rsid w:val="00DE4154"/>
    <w:rsid w:val="00DE6363"/>
    <w:rsid w:val="00DE75E4"/>
    <w:rsid w:val="00DE79DF"/>
    <w:rsid w:val="00DF0880"/>
    <w:rsid w:val="00DF112F"/>
    <w:rsid w:val="00DF2308"/>
    <w:rsid w:val="00DF25C4"/>
    <w:rsid w:val="00DF5293"/>
    <w:rsid w:val="00DF6C2A"/>
    <w:rsid w:val="00E011DB"/>
    <w:rsid w:val="00E016C3"/>
    <w:rsid w:val="00E01934"/>
    <w:rsid w:val="00E0403C"/>
    <w:rsid w:val="00E040B3"/>
    <w:rsid w:val="00E0554F"/>
    <w:rsid w:val="00E05ACE"/>
    <w:rsid w:val="00E06731"/>
    <w:rsid w:val="00E074C5"/>
    <w:rsid w:val="00E07FB2"/>
    <w:rsid w:val="00E1152E"/>
    <w:rsid w:val="00E11FD7"/>
    <w:rsid w:val="00E1463E"/>
    <w:rsid w:val="00E16E69"/>
    <w:rsid w:val="00E2024D"/>
    <w:rsid w:val="00E20723"/>
    <w:rsid w:val="00E20AC6"/>
    <w:rsid w:val="00E21E29"/>
    <w:rsid w:val="00E22FEC"/>
    <w:rsid w:val="00E30819"/>
    <w:rsid w:val="00E32955"/>
    <w:rsid w:val="00E32ED1"/>
    <w:rsid w:val="00E33DD5"/>
    <w:rsid w:val="00E35A16"/>
    <w:rsid w:val="00E36564"/>
    <w:rsid w:val="00E368A6"/>
    <w:rsid w:val="00E3727D"/>
    <w:rsid w:val="00E403CA"/>
    <w:rsid w:val="00E41C3E"/>
    <w:rsid w:val="00E436CF"/>
    <w:rsid w:val="00E46FD1"/>
    <w:rsid w:val="00E501C6"/>
    <w:rsid w:val="00E502C4"/>
    <w:rsid w:val="00E50E9C"/>
    <w:rsid w:val="00E516A3"/>
    <w:rsid w:val="00E53558"/>
    <w:rsid w:val="00E5765F"/>
    <w:rsid w:val="00E6002F"/>
    <w:rsid w:val="00E60C26"/>
    <w:rsid w:val="00E61D81"/>
    <w:rsid w:val="00E63308"/>
    <w:rsid w:val="00E6549D"/>
    <w:rsid w:val="00E663A0"/>
    <w:rsid w:val="00E67371"/>
    <w:rsid w:val="00E678FB"/>
    <w:rsid w:val="00E702D7"/>
    <w:rsid w:val="00E706A5"/>
    <w:rsid w:val="00E715AB"/>
    <w:rsid w:val="00E73DAE"/>
    <w:rsid w:val="00E757B0"/>
    <w:rsid w:val="00E75DD2"/>
    <w:rsid w:val="00E77437"/>
    <w:rsid w:val="00E77655"/>
    <w:rsid w:val="00E82B82"/>
    <w:rsid w:val="00E83143"/>
    <w:rsid w:val="00E83F4E"/>
    <w:rsid w:val="00E842F0"/>
    <w:rsid w:val="00E85F25"/>
    <w:rsid w:val="00E86C51"/>
    <w:rsid w:val="00E8743E"/>
    <w:rsid w:val="00E87D5E"/>
    <w:rsid w:val="00E918A8"/>
    <w:rsid w:val="00E9229B"/>
    <w:rsid w:val="00E93B09"/>
    <w:rsid w:val="00E94368"/>
    <w:rsid w:val="00E9519B"/>
    <w:rsid w:val="00E96741"/>
    <w:rsid w:val="00E97E68"/>
    <w:rsid w:val="00EA0A09"/>
    <w:rsid w:val="00EA2363"/>
    <w:rsid w:val="00EA64EE"/>
    <w:rsid w:val="00EA670C"/>
    <w:rsid w:val="00EA7207"/>
    <w:rsid w:val="00EB182A"/>
    <w:rsid w:val="00EB1BE3"/>
    <w:rsid w:val="00EB25AF"/>
    <w:rsid w:val="00EB2B31"/>
    <w:rsid w:val="00EB2B99"/>
    <w:rsid w:val="00EB32C8"/>
    <w:rsid w:val="00EB4211"/>
    <w:rsid w:val="00EB67BE"/>
    <w:rsid w:val="00EB698D"/>
    <w:rsid w:val="00EB7328"/>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878"/>
    <w:rsid w:val="00ED3578"/>
    <w:rsid w:val="00ED5DAF"/>
    <w:rsid w:val="00ED6FC9"/>
    <w:rsid w:val="00ED7851"/>
    <w:rsid w:val="00EE317C"/>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66"/>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3925"/>
    <w:rsid w:val="00F454BE"/>
    <w:rsid w:val="00F464DC"/>
    <w:rsid w:val="00F473B4"/>
    <w:rsid w:val="00F51746"/>
    <w:rsid w:val="00F51E52"/>
    <w:rsid w:val="00F52A03"/>
    <w:rsid w:val="00F56EA0"/>
    <w:rsid w:val="00F610A7"/>
    <w:rsid w:val="00F6166F"/>
    <w:rsid w:val="00F6741C"/>
    <w:rsid w:val="00F67EF7"/>
    <w:rsid w:val="00F70C6F"/>
    <w:rsid w:val="00F74283"/>
    <w:rsid w:val="00F74C9C"/>
    <w:rsid w:val="00F80329"/>
    <w:rsid w:val="00F80F12"/>
    <w:rsid w:val="00F84B7B"/>
    <w:rsid w:val="00F856F9"/>
    <w:rsid w:val="00F86FEE"/>
    <w:rsid w:val="00F92E3C"/>
    <w:rsid w:val="00F94A9F"/>
    <w:rsid w:val="00F951C9"/>
    <w:rsid w:val="00F954D2"/>
    <w:rsid w:val="00F961BF"/>
    <w:rsid w:val="00F96347"/>
    <w:rsid w:val="00F96537"/>
    <w:rsid w:val="00F96614"/>
    <w:rsid w:val="00F977F5"/>
    <w:rsid w:val="00FA19D6"/>
    <w:rsid w:val="00FA3AC0"/>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updating-medicine-ingredient-names" TargetMode="External"/><Relationship Id="rId13" Type="http://schemas.openxmlformats.org/officeDocument/2006/relationships/hyperlink" Target="http://www.foodchemicalscodex.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nf.com/" TargetMode="External"/><Relationship Id="rId17" Type="http://schemas.openxmlformats.org/officeDocument/2006/relationships/hyperlink" Target="http://www.openlibrary.org/books/OL22071008M/European_pharmacopoeia" TargetMode="External"/><Relationship Id="rId2" Type="http://schemas.openxmlformats.org/officeDocument/2006/relationships/numbering" Target="numbering.xml"/><Relationship Id="rId16" Type="http://schemas.openxmlformats.org/officeDocument/2006/relationships/hyperlink" Target="http://www.trove.nl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eur.edqm.eu/home" TargetMode="External"/><Relationship Id="rId5" Type="http://schemas.openxmlformats.org/officeDocument/2006/relationships/webSettings" Target="webSettings.xml"/><Relationship Id="rId15" Type="http://schemas.openxmlformats.org/officeDocument/2006/relationships/hyperlink" Target="http://www.rehydrate.org/ors/expert-consultation.html" TargetMode="External"/><Relationship Id="rId10" Type="http://schemas.openxmlformats.org/officeDocument/2006/relationships/hyperlink" Target="http://www.pharmacopoe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tions.tga.gov.au/medicines-regulation-division/international-harmonisation-of-ingredient-names-ih" TargetMode="Externa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4201</Words>
  <Characters>23948</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Trent Newman</cp:lastModifiedBy>
  <cp:revision>2</cp:revision>
  <dcterms:created xsi:type="dcterms:W3CDTF">2023-04-18T23:38:00Z</dcterms:created>
  <dcterms:modified xsi:type="dcterms:W3CDTF">2023-04-18T23:38:00Z</dcterms:modified>
</cp:coreProperties>
</file>