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AE767" w14:textId="77777777" w:rsidR="00FB640B" w:rsidRPr="008B24C8" w:rsidRDefault="0057002B" w:rsidP="00BB0CF2">
      <w:pPr>
        <w:pStyle w:val="ESTitleHeader"/>
      </w:pPr>
      <w:r w:rsidRPr="008B24C8">
        <w:t>EXPLANATORY STATEMENT</w:t>
      </w:r>
    </w:p>
    <w:p w14:paraId="4EBC1D41" w14:textId="77777777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FC0041">
        <w:t>Attorney-General</w:t>
      </w:r>
    </w:p>
    <w:p w14:paraId="21BB215B" w14:textId="77777777" w:rsidR="0057002B" w:rsidRPr="008B24C8" w:rsidRDefault="001A0E60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Telecommunications (Interception and Access) Act 1979</w:t>
      </w:r>
    </w:p>
    <w:p w14:paraId="22FB5DBA" w14:textId="77777777" w:rsidR="0057002B" w:rsidRPr="008B24C8" w:rsidRDefault="001A0E60" w:rsidP="00BB0CF2">
      <w:pPr>
        <w:pStyle w:val="ESTitleInstrumentName"/>
      </w:pPr>
      <w:r>
        <w:t>Telecommunications (Interception and Access) (Communications Access Co-ordinator) Instrument 202</w:t>
      </w:r>
      <w:r w:rsidR="00FC0041">
        <w:t>3</w:t>
      </w:r>
    </w:p>
    <w:p w14:paraId="20476EDB" w14:textId="77777777" w:rsidR="00E66533" w:rsidRDefault="00EA12C9" w:rsidP="00F111DA">
      <w:pPr>
        <w:pStyle w:val="ESPara"/>
        <w:numPr>
          <w:ilvl w:val="0"/>
          <w:numId w:val="22"/>
        </w:numPr>
      </w:pPr>
      <w:r w:rsidRPr="008B24C8">
        <w:t xml:space="preserve">The instrument </w:t>
      </w:r>
      <w:r w:rsidR="00FC0041">
        <w:t>revokes</w:t>
      </w:r>
      <w:r w:rsidR="001A0E60">
        <w:t xml:space="preserve"> the </w:t>
      </w:r>
      <w:r w:rsidR="001A0E60">
        <w:rPr>
          <w:i/>
        </w:rPr>
        <w:t xml:space="preserve">Telecommunications (Interception and Access) (Communications Access </w:t>
      </w:r>
      <w:r w:rsidR="001A0E60" w:rsidRPr="0014262D">
        <w:rPr>
          <w:i/>
        </w:rPr>
        <w:t>Co</w:t>
      </w:r>
      <w:r w:rsidR="00E66533" w:rsidRPr="0014262D">
        <w:rPr>
          <w:i/>
        </w:rPr>
        <w:noBreakHyphen/>
      </w:r>
      <w:r w:rsidR="001A0E60" w:rsidRPr="0014262D">
        <w:rPr>
          <w:i/>
        </w:rPr>
        <w:t>ordinator) Instrument 20</w:t>
      </w:r>
      <w:r w:rsidR="00FC0041" w:rsidRPr="0014262D">
        <w:rPr>
          <w:i/>
        </w:rPr>
        <w:t>22 (No. 2)</w:t>
      </w:r>
      <w:r w:rsidR="00BD598E" w:rsidRPr="008B24C8">
        <w:t xml:space="preserve"> </w:t>
      </w:r>
      <w:r w:rsidR="00B75478">
        <w:t>(</w:t>
      </w:r>
      <w:r w:rsidR="001A0E60">
        <w:t>the primary instrument</w:t>
      </w:r>
      <w:r w:rsidR="00B75478">
        <w:t>)</w:t>
      </w:r>
      <w:r w:rsidR="00E66533">
        <w:t>.</w:t>
      </w:r>
    </w:p>
    <w:p w14:paraId="6F748991" w14:textId="77777777" w:rsidR="00E66533" w:rsidRPr="00E66533" w:rsidRDefault="00E66533" w:rsidP="00F111DA">
      <w:pPr>
        <w:pStyle w:val="ESPara"/>
        <w:numPr>
          <w:ilvl w:val="0"/>
          <w:numId w:val="22"/>
        </w:numPr>
      </w:pPr>
      <w:r w:rsidRPr="00E66533">
        <w:t xml:space="preserve">In addition to the power to make this instrument under </w:t>
      </w:r>
      <w:r>
        <w:t>subsection 6R(2)</w:t>
      </w:r>
      <w:r w:rsidRPr="00E66533">
        <w:t xml:space="preserve"> of the </w:t>
      </w:r>
      <w:r w:rsidR="002D1302">
        <w:rPr>
          <w:i/>
        </w:rPr>
        <w:t xml:space="preserve">Telecommunications (Interception and Access) Act 1979 </w:t>
      </w:r>
      <w:r w:rsidR="002D1302">
        <w:t>(</w:t>
      </w:r>
      <w:r>
        <w:t>TIA</w:t>
      </w:r>
      <w:r w:rsidRPr="00E66533">
        <w:t xml:space="preserve"> Act</w:t>
      </w:r>
      <w:r w:rsidR="002D1302">
        <w:t>)</w:t>
      </w:r>
      <w:r w:rsidRPr="00E66533">
        <w:t>, subsection 33(3) of the </w:t>
      </w:r>
      <w:r w:rsidRPr="00E66533">
        <w:rPr>
          <w:i/>
          <w:iCs/>
        </w:rPr>
        <w:t>Acts Interpretation Act 1901</w:t>
      </w:r>
      <w:r w:rsidRPr="00E66533">
        <w:t> provides that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64CE80DA" w14:textId="77777777" w:rsidR="00BD598E" w:rsidRPr="008B24C8" w:rsidRDefault="001A0E60" w:rsidP="00F111DA">
      <w:pPr>
        <w:pStyle w:val="ESPara"/>
        <w:numPr>
          <w:ilvl w:val="0"/>
          <w:numId w:val="22"/>
        </w:numPr>
      </w:pPr>
      <w:r>
        <w:t>The instrument commences on the day after registration on the Federal Register of Legislation</w:t>
      </w:r>
      <w:r w:rsidR="00AA4557">
        <w:t>, and i</w:t>
      </w:r>
      <w:r w:rsidR="00BD598E" w:rsidRPr="008B24C8">
        <w:t xml:space="preserve">s a </w:t>
      </w:r>
      <w:r w:rsidR="00AA4557"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100DFC">
        <w:t xml:space="preserve"> (the Legislation Act)</w:t>
      </w:r>
      <w:r w:rsidR="00BD598E" w:rsidRPr="008B24C8">
        <w:t xml:space="preserve">.  </w:t>
      </w:r>
    </w:p>
    <w:p w14:paraId="61320ABA" w14:textId="77777777" w:rsidR="00EA12C9" w:rsidRPr="001A0E60" w:rsidRDefault="00BD598E" w:rsidP="00E66533">
      <w:pPr>
        <w:pStyle w:val="ESHeading"/>
      </w:pPr>
      <w:r w:rsidRPr="008B24C8">
        <w:t>Purpose</w:t>
      </w:r>
      <w:r w:rsidR="00BB0CF2">
        <w:t xml:space="preserve"> </w:t>
      </w:r>
    </w:p>
    <w:p w14:paraId="57D2721D" w14:textId="77777777" w:rsidR="001A0E60" w:rsidRDefault="001A0E60" w:rsidP="00F63B7A">
      <w:pPr>
        <w:pStyle w:val="ESPara"/>
        <w:numPr>
          <w:ilvl w:val="0"/>
          <w:numId w:val="22"/>
        </w:numPr>
      </w:pPr>
      <w:r>
        <w:t xml:space="preserve">The TIA Act establishes the position of </w:t>
      </w:r>
      <w:r>
        <w:rPr>
          <w:i/>
        </w:rPr>
        <w:t>Communications Access Co-ordinator</w:t>
      </w:r>
      <w:r>
        <w:t xml:space="preserve"> as the primary point of liaison for law enforcement agencies, interception agencies, telecommunications carriers and carriage service providers in relation to telecommunications interception and data retention issues.  </w:t>
      </w:r>
    </w:p>
    <w:p w14:paraId="3F7095A2" w14:textId="05E23F01" w:rsidR="00FC0041" w:rsidRDefault="001A0E60" w:rsidP="00F63B7A">
      <w:pPr>
        <w:pStyle w:val="ESPara"/>
        <w:numPr>
          <w:ilvl w:val="0"/>
          <w:numId w:val="22"/>
        </w:numPr>
      </w:pPr>
      <w:r w:rsidRPr="001A0E60">
        <w:t>Under section 6R of the TIA Act,</w:t>
      </w:r>
      <w:r w:rsidR="00072FEB">
        <w:t xml:space="preserve"> the</w:t>
      </w:r>
      <w:r w:rsidRPr="001A0E60">
        <w:t xml:space="preserve"> </w:t>
      </w:r>
      <w:r w:rsidRPr="001A0E60">
        <w:rPr>
          <w:i/>
        </w:rPr>
        <w:t>Communications Access Co-ordinator</w:t>
      </w:r>
      <w:r w:rsidRPr="001A0E60">
        <w:t xml:space="preserve"> is the Secretary of the </w:t>
      </w:r>
      <w:r w:rsidR="00FC0041">
        <w:t>Attorney-General’s Department</w:t>
      </w:r>
      <w:r w:rsidRPr="001A0E60">
        <w:t xml:space="preserve"> (the </w:t>
      </w:r>
      <w:r w:rsidR="00FC0041">
        <w:t>d</w:t>
      </w:r>
      <w:r w:rsidRPr="001A0E60">
        <w:t xml:space="preserve">epartment) or a person or body specified by the </w:t>
      </w:r>
      <w:r w:rsidR="009F6E96">
        <w:t>Attorney</w:t>
      </w:r>
      <w:r w:rsidR="009F6E96">
        <w:noBreakHyphen/>
        <w:t>General</w:t>
      </w:r>
      <w:r w:rsidRPr="001A0E60">
        <w:t xml:space="preserve"> in a legislative instrument</w:t>
      </w:r>
      <w:r w:rsidR="00AA2740">
        <w:t xml:space="preserve"> made</w:t>
      </w:r>
      <w:r w:rsidRPr="001A0E60">
        <w:t xml:space="preserve"> under that section. </w:t>
      </w:r>
    </w:p>
    <w:p w14:paraId="5D292C2F" w14:textId="08D64480" w:rsidR="001A0E60" w:rsidRDefault="00E80198" w:rsidP="00F63B7A">
      <w:pPr>
        <w:pStyle w:val="ESPara"/>
        <w:numPr>
          <w:ilvl w:val="0"/>
          <w:numId w:val="22"/>
        </w:numPr>
      </w:pPr>
      <w:r>
        <w:t>In the absence of a legislative instrument specifying a person or body, the Secretary of the Attorney</w:t>
      </w:r>
      <w:r w:rsidR="00831FBF">
        <w:noBreakHyphen/>
      </w:r>
      <w:r>
        <w:t xml:space="preserve">General’s Department is the </w:t>
      </w:r>
      <w:r w:rsidRPr="00E80198">
        <w:rPr>
          <w:i/>
        </w:rPr>
        <w:t>Communications Access Coordinator</w:t>
      </w:r>
      <w:r>
        <w:t xml:space="preserve">. </w:t>
      </w:r>
    </w:p>
    <w:p w14:paraId="47D7173A" w14:textId="48B1E30E" w:rsidR="008B24C8" w:rsidRDefault="008B24C8" w:rsidP="00100DFC">
      <w:pPr>
        <w:pStyle w:val="ESHeading"/>
      </w:pPr>
      <w:r w:rsidRPr="008B24C8">
        <w:t>Consultation</w:t>
      </w:r>
    </w:p>
    <w:p w14:paraId="21A2E1DE" w14:textId="77777777" w:rsidR="008B24C8" w:rsidRPr="001A0E60" w:rsidRDefault="001A0E60" w:rsidP="00F63B7A">
      <w:pPr>
        <w:pStyle w:val="ESPara"/>
        <w:numPr>
          <w:ilvl w:val="0"/>
          <w:numId w:val="22"/>
        </w:numPr>
      </w:pPr>
      <w:r w:rsidRPr="001A0E60">
        <w:t xml:space="preserve">No consultation was undertaken prior to making the instrument.  </w:t>
      </w:r>
    </w:p>
    <w:p w14:paraId="00BFB44E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5574BFB8" w14:textId="77777777" w:rsidR="00AA4557" w:rsidRDefault="00AA4557" w:rsidP="00F63B7A">
      <w:pPr>
        <w:pStyle w:val="ESPara"/>
        <w:numPr>
          <w:ilvl w:val="0"/>
          <w:numId w:val="22"/>
        </w:numPr>
      </w:pPr>
      <w:r>
        <w:t>Section 1 sets out</w:t>
      </w:r>
      <w:r w:rsidR="00E03DCC">
        <w:t xml:space="preserve"> the name of the instrument. </w:t>
      </w:r>
    </w:p>
    <w:p w14:paraId="7AEBD633" w14:textId="77777777" w:rsidR="00AA4557" w:rsidRDefault="00AA4557" w:rsidP="00F63B7A">
      <w:pPr>
        <w:pStyle w:val="ESPara"/>
        <w:numPr>
          <w:ilvl w:val="0"/>
          <w:numId w:val="22"/>
        </w:numPr>
      </w:pPr>
      <w:r>
        <w:t>Section 2 provides for the commencement of the instrument on</w:t>
      </w:r>
      <w:r w:rsidR="00726194">
        <w:t xml:space="preserve"> the day after registration</w:t>
      </w:r>
      <w:r w:rsidR="00CB480F">
        <w:t xml:space="preserve"> on the Federal Register of Legislation</w:t>
      </w:r>
      <w:r w:rsidR="00726194">
        <w:t xml:space="preserve">.  </w:t>
      </w:r>
    </w:p>
    <w:p w14:paraId="44855E75" w14:textId="77777777" w:rsidR="00AA4557" w:rsidRDefault="00E03DCC" w:rsidP="00F63B7A">
      <w:pPr>
        <w:pStyle w:val="ESPara"/>
        <w:numPr>
          <w:ilvl w:val="0"/>
          <w:numId w:val="22"/>
        </w:numPr>
      </w:pPr>
      <w:r>
        <w:t xml:space="preserve">Section 3 </w:t>
      </w:r>
      <w:r w:rsidR="00FC0041">
        <w:t>provides that the instrument is made under section 6</w:t>
      </w:r>
      <w:proofErr w:type="gramStart"/>
      <w:r w:rsidR="00FC0041">
        <w:t>R</w:t>
      </w:r>
      <w:r w:rsidR="00CB480F">
        <w:t>(</w:t>
      </w:r>
      <w:proofErr w:type="gramEnd"/>
      <w:r w:rsidR="00CB480F">
        <w:t>2)</w:t>
      </w:r>
      <w:r w:rsidR="00FC0041">
        <w:t xml:space="preserve"> of the TIA Act</w:t>
      </w:r>
      <w:r w:rsidR="009F05CA">
        <w:t xml:space="preserve">.  </w:t>
      </w:r>
    </w:p>
    <w:p w14:paraId="4B859920" w14:textId="77777777" w:rsidR="009F05CA" w:rsidRDefault="00FC0041" w:rsidP="00F63B7A">
      <w:pPr>
        <w:pStyle w:val="ESPara"/>
        <w:numPr>
          <w:ilvl w:val="0"/>
          <w:numId w:val="22"/>
        </w:numPr>
      </w:pPr>
      <w:r>
        <w:t>Section 4 revokes the primary instrument.</w:t>
      </w:r>
      <w:r w:rsidR="009F05CA">
        <w:t xml:space="preserve"> </w:t>
      </w:r>
    </w:p>
    <w:p w14:paraId="5F504CAC" w14:textId="77777777" w:rsidR="00AA4557" w:rsidRPr="00AA4557" w:rsidRDefault="00AA4557" w:rsidP="00100DFC">
      <w:pPr>
        <w:pStyle w:val="ESHeading"/>
      </w:pPr>
      <w:r>
        <w:lastRenderedPageBreak/>
        <w:t xml:space="preserve">Parliamentary scrutiny etc.  </w:t>
      </w:r>
    </w:p>
    <w:p w14:paraId="269A397A" w14:textId="77777777" w:rsidR="007E4691" w:rsidRPr="00072FEB" w:rsidRDefault="00AA4557" w:rsidP="00F63B7A">
      <w:pPr>
        <w:pStyle w:val="ESPara"/>
        <w:numPr>
          <w:ilvl w:val="0"/>
          <w:numId w:val="22"/>
        </w:numPr>
      </w:pPr>
      <w:r w:rsidRPr="00464080">
        <w:t xml:space="preserve">The instrument </w:t>
      </w:r>
      <w:r w:rsidR="00E03DCC" w:rsidRPr="00464080">
        <w:t>is subject to disallowance under section 42 of the Legislation Act.</w:t>
      </w:r>
      <w:r w:rsidR="009F6E96">
        <w:t xml:space="preserve"> </w:t>
      </w:r>
      <w:r w:rsidR="00E03DCC" w:rsidRPr="00464080">
        <w:t>A</w:t>
      </w:r>
      <w:r w:rsidR="00B75478" w:rsidRPr="00464080">
        <w:t xml:space="preserve"> </w:t>
      </w:r>
      <w:r w:rsidR="00E03DCC" w:rsidRPr="00464080">
        <w:t>Statement of Compatibility with Human Rights has been prepared in relation to the instrument, and provides that</w:t>
      </w:r>
      <w:r w:rsidR="009F05CA">
        <w:t xml:space="preserve"> the instrument does not raise any human rights issues</w:t>
      </w:r>
      <w:r w:rsidR="00E03DCC" w:rsidRPr="00464080">
        <w:t xml:space="preserve">. The Statement is included at </w:t>
      </w:r>
      <w:r w:rsidR="00B75478" w:rsidRPr="00464080">
        <w:rPr>
          <w:b/>
          <w:u w:val="single"/>
        </w:rPr>
        <w:t xml:space="preserve">Attachment </w:t>
      </w:r>
      <w:r w:rsidR="009F05CA">
        <w:rPr>
          <w:b/>
          <w:u w:val="single"/>
        </w:rPr>
        <w:t>A</w:t>
      </w:r>
      <w:r w:rsidR="00E03DCC" w:rsidRPr="00464080">
        <w:t xml:space="preserve"> to this explanatory statement. </w:t>
      </w:r>
      <w:r w:rsidR="007E4691" w:rsidRPr="00072FEB">
        <w:br w:type="page"/>
      </w:r>
    </w:p>
    <w:p w14:paraId="059BD2BE" w14:textId="77777777" w:rsidR="004F5CE4" w:rsidRDefault="007E4691" w:rsidP="00100DFC">
      <w:pPr>
        <w:pStyle w:val="ESAttAttName"/>
      </w:pPr>
      <w:r>
        <w:lastRenderedPageBreak/>
        <w:t xml:space="preserve">Attachment </w:t>
      </w:r>
      <w:r w:rsidR="009F05CA">
        <w:t>A</w:t>
      </w:r>
    </w:p>
    <w:p w14:paraId="45F07932" w14:textId="77777777" w:rsidR="009F05CA" w:rsidRDefault="009F05CA" w:rsidP="009F05CA">
      <w:pPr>
        <w:pStyle w:val="ESAttHeading"/>
        <w:jc w:val="center"/>
      </w:pPr>
      <w:r>
        <w:t>Statement of Compatibility with Human Rights</w:t>
      </w:r>
    </w:p>
    <w:p w14:paraId="35665984" w14:textId="77777777" w:rsidR="009F05CA" w:rsidRPr="009F05CA" w:rsidRDefault="009F05CA" w:rsidP="009F05CA">
      <w:pPr>
        <w:pStyle w:val="ESAttHeading"/>
        <w:jc w:val="center"/>
        <w:rPr>
          <w:b w:val="0"/>
          <w:i/>
        </w:rPr>
      </w:pPr>
      <w:r w:rsidRPr="009F05CA">
        <w:rPr>
          <w:b w:val="0"/>
          <w:i/>
        </w:rPr>
        <w:t>Prepared in accordance with Part 3 of the Human Rights (Parliamentary Scrutiny) Act 2011</w:t>
      </w:r>
    </w:p>
    <w:p w14:paraId="3284FB70" w14:textId="77777777" w:rsidR="009F05CA" w:rsidRPr="009F05CA" w:rsidRDefault="009F05CA" w:rsidP="009F05CA">
      <w:pPr>
        <w:pStyle w:val="ESAttHeading"/>
        <w:spacing w:before="360" w:after="480"/>
        <w:jc w:val="center"/>
        <w:rPr>
          <w:i/>
        </w:rPr>
      </w:pPr>
      <w:r w:rsidRPr="009F05CA">
        <w:rPr>
          <w:i/>
        </w:rPr>
        <w:t xml:space="preserve">Telecommunications (Interception and Access) (Communications Access Co-ordinator) </w:t>
      </w:r>
      <w:r>
        <w:rPr>
          <w:i/>
        </w:rPr>
        <w:t>Instrument 202</w:t>
      </w:r>
      <w:r w:rsidR="00072FEB">
        <w:rPr>
          <w:i/>
        </w:rPr>
        <w:t>3</w:t>
      </w:r>
    </w:p>
    <w:p w14:paraId="32AED367" w14:textId="77777777" w:rsidR="009F05CA" w:rsidRPr="009F05CA" w:rsidRDefault="009F05CA" w:rsidP="001B15D1">
      <w:pPr>
        <w:pStyle w:val="ESSubparaHeader"/>
        <w:keepNext w:val="0"/>
        <w:jc w:val="center"/>
      </w:pPr>
      <w:r w:rsidRPr="009F05CA">
        <w:t xml:space="preserve">This Disallowable Legislative Instrument is compatible with the human rights and freedoms recognised or declared in the international instruments listed in section 3 of the </w:t>
      </w:r>
      <w:r w:rsidRPr="009F05CA">
        <w:rPr>
          <w:i/>
        </w:rPr>
        <w:t>Human Rights (Parliamentary Scrutiny) Act 2011</w:t>
      </w:r>
      <w:r w:rsidRPr="009F05CA">
        <w:t>.</w:t>
      </w:r>
    </w:p>
    <w:p w14:paraId="77F0D67B" w14:textId="77777777" w:rsidR="009F05CA" w:rsidRDefault="009F05CA" w:rsidP="009F05CA">
      <w:pPr>
        <w:pStyle w:val="ESAttHeading"/>
      </w:pPr>
      <w:r>
        <w:t>Overview of the Disallowable Legislative Instrument</w:t>
      </w:r>
    </w:p>
    <w:p w14:paraId="6D611222" w14:textId="7FE96DA0" w:rsidR="009F6E96" w:rsidRDefault="009F05CA" w:rsidP="009F05CA">
      <w:pPr>
        <w:pStyle w:val="ESSubparaHeader"/>
        <w:keepNext w:val="0"/>
      </w:pPr>
      <w:r w:rsidRPr="009F05CA">
        <w:t xml:space="preserve">The </w:t>
      </w:r>
      <w:r w:rsidRPr="009F05CA">
        <w:rPr>
          <w:i/>
        </w:rPr>
        <w:t>Telecommunications (Interception and Access) (Communications Access Co-</w:t>
      </w:r>
      <w:r w:rsidR="00CB480F">
        <w:rPr>
          <w:i/>
        </w:rPr>
        <w:t>o</w:t>
      </w:r>
      <w:r w:rsidRPr="009F05CA">
        <w:rPr>
          <w:i/>
        </w:rPr>
        <w:t>rdinator) Instrument 202</w:t>
      </w:r>
      <w:r w:rsidR="009F6E96">
        <w:rPr>
          <w:i/>
        </w:rPr>
        <w:t>3</w:t>
      </w:r>
      <w:r w:rsidRPr="009F05CA">
        <w:t xml:space="preserve"> (</w:t>
      </w:r>
      <w:r>
        <w:t>the instrument</w:t>
      </w:r>
      <w:r w:rsidRPr="009F05CA">
        <w:t xml:space="preserve">) is made under section 6R of the </w:t>
      </w:r>
      <w:r w:rsidRPr="009F05CA">
        <w:rPr>
          <w:i/>
        </w:rPr>
        <w:t>Telecommunications (Interception and Access) Act 1979</w:t>
      </w:r>
      <w:r>
        <w:t xml:space="preserve"> (the TIA Act</w:t>
      </w:r>
      <w:r w:rsidRPr="009F05CA">
        <w:t xml:space="preserve">). </w:t>
      </w:r>
      <w:r w:rsidR="00AA2740">
        <w:t>S</w:t>
      </w:r>
      <w:r w:rsidR="009F6E96" w:rsidRPr="00E66533">
        <w:t>ubsection 33(3) of the </w:t>
      </w:r>
      <w:r w:rsidR="009F6E96" w:rsidRPr="00E66533">
        <w:rPr>
          <w:i/>
          <w:iCs/>
        </w:rPr>
        <w:t>Acts Interpretation Act 1901</w:t>
      </w:r>
      <w:r w:rsidR="009F6E96" w:rsidRPr="00E66533">
        <w:t> provides that where an Act confers a power to make, grant</w:t>
      </w:r>
      <w:bookmarkStart w:id="0" w:name="_GoBack"/>
      <w:bookmarkEnd w:id="0"/>
      <w:r w:rsidR="009F6E96" w:rsidRPr="00E66533">
        <w:t xml:space="preserve">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4001A075" w14:textId="77777777" w:rsidR="009F05CA" w:rsidRPr="009F05CA" w:rsidRDefault="009F05CA" w:rsidP="009F05CA">
      <w:pPr>
        <w:pStyle w:val="ESSubparaHeader"/>
        <w:keepNext w:val="0"/>
      </w:pPr>
      <w:r w:rsidRPr="009F05CA">
        <w:t>Under section 6R of the TIA Act,</w:t>
      </w:r>
      <w:r>
        <w:t xml:space="preserve"> the</w:t>
      </w:r>
      <w:r w:rsidRPr="009F05CA">
        <w:t xml:space="preserve"> </w:t>
      </w:r>
      <w:r w:rsidRPr="009F05CA">
        <w:rPr>
          <w:i/>
        </w:rPr>
        <w:t>Communications Access Co-ordinator</w:t>
      </w:r>
      <w:r w:rsidRPr="009F05CA">
        <w:t xml:space="preserve"> is the Secretary of the </w:t>
      </w:r>
      <w:r w:rsidR="00072FEB">
        <w:t>Attorney</w:t>
      </w:r>
      <w:r w:rsidR="009F6E96">
        <w:noBreakHyphen/>
      </w:r>
      <w:r w:rsidR="00072FEB">
        <w:t>General’s Department</w:t>
      </w:r>
      <w:r w:rsidRPr="009F05CA">
        <w:t xml:space="preserve"> (the </w:t>
      </w:r>
      <w:r w:rsidR="00072FEB">
        <w:t>de</w:t>
      </w:r>
      <w:r w:rsidRPr="009F05CA">
        <w:t xml:space="preserve">partment) or a person or body specified by the </w:t>
      </w:r>
      <w:r w:rsidR="009F6E96">
        <w:t>Attorney-General</w:t>
      </w:r>
      <w:r w:rsidRPr="009F05CA">
        <w:t xml:space="preserve"> in a legislative instrument under that section.</w:t>
      </w:r>
    </w:p>
    <w:p w14:paraId="197576F5" w14:textId="3C5ED24F" w:rsidR="00072FEB" w:rsidRDefault="00E80198" w:rsidP="00072FEB">
      <w:pPr>
        <w:pStyle w:val="ESSubparaHeader"/>
        <w:keepNext w:val="0"/>
      </w:pPr>
      <w:r>
        <w:t xml:space="preserve">In the absence of a legislative instrument specifying a person or body, the Secretary of the Attorney-General’s Department is the </w:t>
      </w:r>
      <w:r w:rsidRPr="00E80198">
        <w:rPr>
          <w:i/>
        </w:rPr>
        <w:t>Communications Access Co</w:t>
      </w:r>
      <w:r w:rsidR="00831FBF">
        <w:rPr>
          <w:i/>
        </w:rPr>
        <w:t>-</w:t>
      </w:r>
      <w:r w:rsidRPr="00E80198">
        <w:rPr>
          <w:i/>
        </w:rPr>
        <w:t>ordinator</w:t>
      </w:r>
      <w:r>
        <w:t>.</w:t>
      </w:r>
    </w:p>
    <w:p w14:paraId="4A614F4C" w14:textId="778ECD17" w:rsidR="009F05CA" w:rsidRPr="009F05CA" w:rsidRDefault="009F05CA" w:rsidP="009F05CA">
      <w:pPr>
        <w:pStyle w:val="ESAttHeading"/>
        <w:keepNext w:val="0"/>
        <w:rPr>
          <w:b w:val="0"/>
        </w:rPr>
      </w:pPr>
      <w:r w:rsidRPr="009F05CA">
        <w:rPr>
          <w:b w:val="0"/>
        </w:rPr>
        <w:t xml:space="preserve">The </w:t>
      </w:r>
      <w:r w:rsidR="009E2F01">
        <w:rPr>
          <w:b w:val="0"/>
        </w:rPr>
        <w:t>i</w:t>
      </w:r>
      <w:r w:rsidRPr="009F05CA">
        <w:rPr>
          <w:b w:val="0"/>
        </w:rPr>
        <w:t>nstrument is technical in nature, and does not affect the functions or power</w:t>
      </w:r>
      <w:r w:rsidR="009E2F01">
        <w:rPr>
          <w:b w:val="0"/>
        </w:rPr>
        <w:t xml:space="preserve">s of </w:t>
      </w:r>
      <w:r w:rsidR="00CB480F">
        <w:rPr>
          <w:b w:val="0"/>
        </w:rPr>
        <w:t>the</w:t>
      </w:r>
      <w:r w:rsidR="009E2F01">
        <w:rPr>
          <w:b w:val="0"/>
        </w:rPr>
        <w:t xml:space="preserve"> </w:t>
      </w:r>
      <w:r w:rsidR="009E2F01" w:rsidRPr="00075A32">
        <w:rPr>
          <w:b w:val="0"/>
          <w:i/>
        </w:rPr>
        <w:t>Communications Access Co-</w:t>
      </w:r>
      <w:r w:rsidRPr="00075A32">
        <w:rPr>
          <w:b w:val="0"/>
          <w:i/>
        </w:rPr>
        <w:t>ordinator</w:t>
      </w:r>
      <w:r w:rsidRPr="009F05CA">
        <w:rPr>
          <w:b w:val="0"/>
        </w:rPr>
        <w:t xml:space="preserve">, which are governed by the </w:t>
      </w:r>
      <w:r>
        <w:rPr>
          <w:b w:val="0"/>
        </w:rPr>
        <w:t>TIA Act</w:t>
      </w:r>
      <w:r w:rsidRPr="009F05CA">
        <w:rPr>
          <w:b w:val="0"/>
        </w:rPr>
        <w:t xml:space="preserve"> and the </w:t>
      </w:r>
      <w:r>
        <w:rPr>
          <w:b w:val="0"/>
          <w:i/>
        </w:rPr>
        <w:t>Telecommunications Act </w:t>
      </w:r>
      <w:r w:rsidRPr="009F05CA">
        <w:rPr>
          <w:b w:val="0"/>
          <w:i/>
        </w:rPr>
        <w:t>1997</w:t>
      </w:r>
      <w:r w:rsidRPr="009F05CA">
        <w:rPr>
          <w:b w:val="0"/>
        </w:rPr>
        <w:t>.</w:t>
      </w:r>
    </w:p>
    <w:p w14:paraId="122BFC97" w14:textId="77777777" w:rsidR="009F05CA" w:rsidRPr="009F05CA" w:rsidRDefault="009F05CA" w:rsidP="009F05CA">
      <w:pPr>
        <w:pStyle w:val="ESAttHeading"/>
      </w:pPr>
      <w:r w:rsidRPr="009F05CA">
        <w:t>Human rights implications</w:t>
      </w:r>
    </w:p>
    <w:p w14:paraId="3C85E880" w14:textId="30496DBE" w:rsidR="009F05CA" w:rsidRPr="009F05CA" w:rsidRDefault="009F05CA" w:rsidP="009F05CA">
      <w:pPr>
        <w:pStyle w:val="ESAttHeading"/>
        <w:keepNext w:val="0"/>
        <w:rPr>
          <w:b w:val="0"/>
        </w:rPr>
      </w:pPr>
      <w:r w:rsidRPr="009F05CA">
        <w:rPr>
          <w:b w:val="0"/>
        </w:rPr>
        <w:t>The</w:t>
      </w:r>
      <w:r w:rsidR="0079645F">
        <w:rPr>
          <w:b w:val="0"/>
        </w:rPr>
        <w:t xml:space="preserve"> instrument</w:t>
      </w:r>
      <w:r w:rsidR="001B15D1">
        <w:rPr>
          <w:b w:val="0"/>
        </w:rPr>
        <w:t xml:space="preserve"> </w:t>
      </w:r>
      <w:r w:rsidR="009F6E96">
        <w:rPr>
          <w:b w:val="0"/>
        </w:rPr>
        <w:t xml:space="preserve">does not alter or affect the functions or powers of </w:t>
      </w:r>
      <w:r w:rsidR="00CB480F">
        <w:rPr>
          <w:b w:val="0"/>
        </w:rPr>
        <w:t>the</w:t>
      </w:r>
      <w:r w:rsidR="009F6E96">
        <w:rPr>
          <w:b w:val="0"/>
        </w:rPr>
        <w:t xml:space="preserve"> </w:t>
      </w:r>
      <w:r w:rsidR="009F6E96">
        <w:rPr>
          <w:b w:val="0"/>
          <w:i/>
        </w:rPr>
        <w:t>Communications Access Co</w:t>
      </w:r>
      <w:r w:rsidR="009F6E96">
        <w:rPr>
          <w:b w:val="0"/>
          <w:i/>
        </w:rPr>
        <w:noBreakHyphen/>
        <w:t>ordinator</w:t>
      </w:r>
      <w:r w:rsidR="009F6E96">
        <w:rPr>
          <w:b w:val="0"/>
        </w:rPr>
        <w:t xml:space="preserve"> and a</w:t>
      </w:r>
      <w:r w:rsidR="009141C2">
        <w:rPr>
          <w:b w:val="0"/>
        </w:rPr>
        <w:t>s a result</w:t>
      </w:r>
      <w:r w:rsidRPr="009F05CA">
        <w:rPr>
          <w:b w:val="0"/>
        </w:rPr>
        <w:t>, this Disallowable Legislative Instrument does not engage any of the applicable</w:t>
      </w:r>
      <w:r w:rsidR="00CB480F">
        <w:rPr>
          <w:b w:val="0"/>
        </w:rPr>
        <w:t xml:space="preserve"> human</w:t>
      </w:r>
      <w:r w:rsidRPr="009F05CA">
        <w:rPr>
          <w:b w:val="0"/>
        </w:rPr>
        <w:t xml:space="preserve"> rights or freedoms</w:t>
      </w:r>
      <w:r w:rsidR="00CB480F" w:rsidRPr="00CB480F">
        <w:rPr>
          <w:b w:val="0"/>
        </w:rPr>
        <w:t xml:space="preserve"> recognised or declared in the international instruments listed in section 3 of the </w:t>
      </w:r>
      <w:r w:rsidR="00CB480F" w:rsidRPr="00CB480F">
        <w:rPr>
          <w:b w:val="0"/>
          <w:i/>
        </w:rPr>
        <w:t>Human Rights (Parliamentary Scrutiny) Act 2011</w:t>
      </w:r>
      <w:r w:rsidRPr="009F05CA">
        <w:rPr>
          <w:b w:val="0"/>
        </w:rPr>
        <w:t>.</w:t>
      </w:r>
    </w:p>
    <w:p w14:paraId="78354073" w14:textId="77777777" w:rsidR="009F05CA" w:rsidRDefault="009F05CA" w:rsidP="009F05CA">
      <w:pPr>
        <w:pStyle w:val="ESAttHeading"/>
      </w:pPr>
      <w:r>
        <w:t>Conclusion</w:t>
      </w:r>
    </w:p>
    <w:p w14:paraId="2DF686B2" w14:textId="77777777" w:rsidR="00915032" w:rsidRDefault="009F05CA" w:rsidP="0079645F">
      <w:pPr>
        <w:pStyle w:val="ESAttHeading"/>
        <w:keepNext w:val="0"/>
        <w:rPr>
          <w:b w:val="0"/>
        </w:rPr>
      </w:pPr>
      <w:r w:rsidRPr="0079645F">
        <w:rPr>
          <w:b w:val="0"/>
        </w:rPr>
        <w:t xml:space="preserve">This </w:t>
      </w:r>
      <w:r w:rsidR="0079645F">
        <w:rPr>
          <w:b w:val="0"/>
        </w:rPr>
        <w:t>instrument</w:t>
      </w:r>
      <w:r w:rsidRPr="0079645F">
        <w:rPr>
          <w:b w:val="0"/>
        </w:rPr>
        <w:t xml:space="preserve"> is compatible with human rights as it does not </w:t>
      </w:r>
      <w:r w:rsidR="0079645F">
        <w:rPr>
          <w:b w:val="0"/>
        </w:rPr>
        <w:t xml:space="preserve">raise any human rights issues. </w:t>
      </w:r>
    </w:p>
    <w:p w14:paraId="659A2B82" w14:textId="77777777" w:rsidR="00B3267C" w:rsidRPr="00B3267C" w:rsidRDefault="00B3267C" w:rsidP="00B3267C">
      <w:pPr>
        <w:shd w:val="clear" w:color="auto" w:fill="FFFFFF"/>
        <w:spacing w:before="40" w:after="0" w:line="260" w:lineRule="atLeast"/>
        <w:jc w:val="center"/>
        <w:outlineLvl w:val="1"/>
        <w:rPr>
          <w:rFonts w:ascii="Calibri Light" w:eastAsia="Times New Roman" w:hAnsi="Calibri Light" w:cs="Calibri Light"/>
          <w:b/>
          <w:bCs/>
          <w:color w:val="2E74B5"/>
          <w:lang w:eastAsia="en-AU"/>
        </w:rPr>
      </w:pPr>
      <w:r w:rsidRPr="00B3267C">
        <w:rPr>
          <w:rFonts w:ascii="Times New Roman" w:eastAsia="Times New Roman" w:hAnsi="Times New Roman" w:cs="Times New Roman"/>
          <w:b/>
          <w:bCs/>
          <w:lang w:eastAsia="en-AU"/>
        </w:rPr>
        <w:t xml:space="preserve">The Hon </w:t>
      </w:r>
      <w:r w:rsidR="00072FEB">
        <w:rPr>
          <w:rFonts w:ascii="Times New Roman" w:eastAsia="Times New Roman" w:hAnsi="Times New Roman" w:cs="Times New Roman"/>
          <w:b/>
          <w:bCs/>
          <w:lang w:eastAsia="en-AU"/>
        </w:rPr>
        <w:t>Mark Dreyfus KC</w:t>
      </w:r>
      <w:r w:rsidRPr="00B3267C">
        <w:rPr>
          <w:rFonts w:ascii="Times New Roman" w:eastAsia="Times New Roman" w:hAnsi="Times New Roman" w:cs="Times New Roman"/>
          <w:b/>
          <w:bCs/>
          <w:lang w:eastAsia="en-AU"/>
        </w:rPr>
        <w:t xml:space="preserve"> MP</w:t>
      </w:r>
    </w:p>
    <w:p w14:paraId="66841A0D" w14:textId="77777777" w:rsidR="00B3267C" w:rsidRPr="00B3267C" w:rsidRDefault="00072FEB" w:rsidP="00B3267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Attorney-General</w:t>
      </w:r>
    </w:p>
    <w:p w14:paraId="74E86047" w14:textId="77777777" w:rsidR="00B3267C" w:rsidRPr="00915032" w:rsidRDefault="00B3267C" w:rsidP="00B3267C">
      <w:pPr>
        <w:pStyle w:val="ESAttHeading"/>
        <w:keepNext w:val="0"/>
        <w:jc w:val="center"/>
        <w:rPr>
          <w:b w:val="0"/>
        </w:rPr>
      </w:pPr>
    </w:p>
    <w:sectPr w:rsidR="00B3267C" w:rsidRPr="00915032" w:rsidSect="009141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17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80DD1" w14:textId="77777777" w:rsidR="00CF3185" w:rsidRDefault="00CF3185" w:rsidP="00E02479">
      <w:pPr>
        <w:spacing w:after="0" w:line="240" w:lineRule="auto"/>
      </w:pPr>
      <w:r>
        <w:separator/>
      </w:r>
    </w:p>
  </w:endnote>
  <w:endnote w:type="continuationSeparator" w:id="0">
    <w:p w14:paraId="1CA3E2AE" w14:textId="77777777" w:rsidR="00CF3185" w:rsidRDefault="00CF3185" w:rsidP="00E02479">
      <w:pPr>
        <w:spacing w:after="0" w:line="240" w:lineRule="auto"/>
      </w:pPr>
      <w:r>
        <w:continuationSeparator/>
      </w:r>
    </w:p>
  </w:endnote>
  <w:endnote w:type="continuationNotice" w:id="1">
    <w:p w14:paraId="531906BF" w14:textId="77777777" w:rsidR="00CF3185" w:rsidRDefault="00CF3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D3CB" w14:textId="77777777" w:rsidR="00E02479" w:rsidRDefault="00E02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65B7" w14:textId="77777777" w:rsidR="00E02479" w:rsidRDefault="00E024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79D1" w14:textId="77777777" w:rsidR="00E02479" w:rsidRDefault="00E02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D1389" w14:textId="77777777" w:rsidR="00CF3185" w:rsidRDefault="00CF3185" w:rsidP="00E02479">
      <w:pPr>
        <w:spacing w:after="0" w:line="240" w:lineRule="auto"/>
      </w:pPr>
      <w:r>
        <w:separator/>
      </w:r>
    </w:p>
  </w:footnote>
  <w:footnote w:type="continuationSeparator" w:id="0">
    <w:p w14:paraId="381061C6" w14:textId="77777777" w:rsidR="00CF3185" w:rsidRDefault="00CF3185" w:rsidP="00E02479">
      <w:pPr>
        <w:spacing w:after="0" w:line="240" w:lineRule="auto"/>
      </w:pPr>
      <w:r>
        <w:continuationSeparator/>
      </w:r>
    </w:p>
  </w:footnote>
  <w:footnote w:type="continuationNotice" w:id="1">
    <w:p w14:paraId="45832959" w14:textId="77777777" w:rsidR="00CF3185" w:rsidRDefault="00CF31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A5ECA" w14:textId="77777777" w:rsidR="00E02479" w:rsidRDefault="00E02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97395" w14:textId="77777777" w:rsidR="00E02479" w:rsidRDefault="00E02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B36BC" w14:textId="77777777" w:rsidR="00E02479" w:rsidRDefault="00E02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0E6"/>
    <w:multiLevelType w:val="hybridMultilevel"/>
    <w:tmpl w:val="63AC4038"/>
    <w:lvl w:ilvl="0" w:tplc="EAEE63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532A9"/>
    <w:multiLevelType w:val="hybridMultilevel"/>
    <w:tmpl w:val="16DE8FA2"/>
    <w:lvl w:ilvl="0" w:tplc="C80632D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255A6"/>
    <w:multiLevelType w:val="hybridMultilevel"/>
    <w:tmpl w:val="06FC3E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1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60"/>
    <w:rsid w:val="000311E7"/>
    <w:rsid w:val="00072FEB"/>
    <w:rsid w:val="000739A6"/>
    <w:rsid w:val="00075A32"/>
    <w:rsid w:val="000D014F"/>
    <w:rsid w:val="00100DFC"/>
    <w:rsid w:val="0014262D"/>
    <w:rsid w:val="0019164E"/>
    <w:rsid w:val="001A0E60"/>
    <w:rsid w:val="001B15D1"/>
    <w:rsid w:val="001B38F6"/>
    <w:rsid w:val="002402E0"/>
    <w:rsid w:val="00260F40"/>
    <w:rsid w:val="002D1302"/>
    <w:rsid w:val="002D167E"/>
    <w:rsid w:val="0031146B"/>
    <w:rsid w:val="00315DB1"/>
    <w:rsid w:val="00364F4D"/>
    <w:rsid w:val="0036571F"/>
    <w:rsid w:val="003E6673"/>
    <w:rsid w:val="004043B0"/>
    <w:rsid w:val="004516A2"/>
    <w:rsid w:val="00457D4A"/>
    <w:rsid w:val="00464080"/>
    <w:rsid w:val="0048336E"/>
    <w:rsid w:val="00485705"/>
    <w:rsid w:val="004B7778"/>
    <w:rsid w:val="004F5CE4"/>
    <w:rsid w:val="0051460D"/>
    <w:rsid w:val="005568FE"/>
    <w:rsid w:val="00560B24"/>
    <w:rsid w:val="00562DA1"/>
    <w:rsid w:val="0057002B"/>
    <w:rsid w:val="00604E06"/>
    <w:rsid w:val="00631D8B"/>
    <w:rsid w:val="006430BB"/>
    <w:rsid w:val="0065569B"/>
    <w:rsid w:val="00670C3F"/>
    <w:rsid w:val="006C242D"/>
    <w:rsid w:val="006C2E57"/>
    <w:rsid w:val="00726194"/>
    <w:rsid w:val="00735A6F"/>
    <w:rsid w:val="00755786"/>
    <w:rsid w:val="0077187E"/>
    <w:rsid w:val="0079529A"/>
    <w:rsid w:val="0079645F"/>
    <w:rsid w:val="007E4691"/>
    <w:rsid w:val="0081010A"/>
    <w:rsid w:val="00831FBF"/>
    <w:rsid w:val="00863A7C"/>
    <w:rsid w:val="0088407D"/>
    <w:rsid w:val="008B24C8"/>
    <w:rsid w:val="009141C2"/>
    <w:rsid w:val="00915032"/>
    <w:rsid w:val="00935332"/>
    <w:rsid w:val="009C7DAC"/>
    <w:rsid w:val="009E2F01"/>
    <w:rsid w:val="009F05CA"/>
    <w:rsid w:val="009F6E96"/>
    <w:rsid w:val="00A20222"/>
    <w:rsid w:val="00A20B08"/>
    <w:rsid w:val="00A97994"/>
    <w:rsid w:val="00AA2740"/>
    <w:rsid w:val="00AA4557"/>
    <w:rsid w:val="00AE0575"/>
    <w:rsid w:val="00B12C89"/>
    <w:rsid w:val="00B3267C"/>
    <w:rsid w:val="00B445D9"/>
    <w:rsid w:val="00B65A06"/>
    <w:rsid w:val="00B75478"/>
    <w:rsid w:val="00BB0CF2"/>
    <w:rsid w:val="00BD598E"/>
    <w:rsid w:val="00C1368E"/>
    <w:rsid w:val="00C81A5E"/>
    <w:rsid w:val="00C930F2"/>
    <w:rsid w:val="00CB480F"/>
    <w:rsid w:val="00CE57AA"/>
    <w:rsid w:val="00CF3185"/>
    <w:rsid w:val="00D40E1E"/>
    <w:rsid w:val="00D7755A"/>
    <w:rsid w:val="00D928F1"/>
    <w:rsid w:val="00DD7DAB"/>
    <w:rsid w:val="00E02479"/>
    <w:rsid w:val="00E03DCC"/>
    <w:rsid w:val="00E45FE2"/>
    <w:rsid w:val="00E51C6F"/>
    <w:rsid w:val="00E66533"/>
    <w:rsid w:val="00E722EC"/>
    <w:rsid w:val="00E80198"/>
    <w:rsid w:val="00EA12C9"/>
    <w:rsid w:val="00ED4601"/>
    <w:rsid w:val="00F111DA"/>
    <w:rsid w:val="00F122D7"/>
    <w:rsid w:val="00F20C26"/>
    <w:rsid w:val="00F63B7A"/>
    <w:rsid w:val="00F651A4"/>
    <w:rsid w:val="00F70EB3"/>
    <w:rsid w:val="00FC0041"/>
    <w:rsid w:val="00FE0FEE"/>
    <w:rsid w:val="00FE220B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177511"/>
  <w15:chartTrackingRefBased/>
  <w15:docId w15:val="{12D5341A-18EA-4D00-B92B-163F278B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2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spacing w:before="240" w:after="240" w:line="276" w:lineRule="auto"/>
      <w:ind w:left="0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A0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E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6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3267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Emphasis">
    <w:name w:val="Emphasis"/>
    <w:basedOn w:val="DefaultParagraphFont"/>
    <w:uiPriority w:val="20"/>
    <w:qFormat/>
    <w:rsid w:val="00E6653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2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479"/>
  </w:style>
  <w:style w:type="paragraph" w:styleId="Footer">
    <w:name w:val="footer"/>
    <w:basedOn w:val="Normal"/>
    <w:link w:val="FooterChar"/>
    <w:uiPriority w:val="99"/>
    <w:unhideWhenUsed/>
    <w:rsid w:val="00E02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1C14763EA0B464F9B3941689AF48961" ma:contentTypeVersion="" ma:contentTypeDescription="PDMS Document Site Content Type" ma:contentTypeScope="" ma:versionID="ef54abcc1430914265bb89b780bfbb8a">
  <xsd:schema xmlns:xsd="http://www.w3.org/2001/XMLSchema" xmlns:xs="http://www.w3.org/2001/XMLSchema" xmlns:p="http://schemas.microsoft.com/office/2006/metadata/properties" xmlns:ns2="1516D397-FEA1-41EC-B813-CFDB2A874618" targetNamespace="http://schemas.microsoft.com/office/2006/metadata/properties" ma:root="true" ma:fieldsID="fadbab8719b8057e8cc5413a31f38788" ns2:_="">
    <xsd:import namespace="1516D397-FEA1-41EC-B813-CFDB2A87461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6D397-FEA1-41EC-B813-CFDB2A87461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516D397-FEA1-41EC-B813-CFDB2A874618" xsi:nil="true"/>
  </documentManagement>
</p:properties>
</file>

<file path=customXml/itemProps1.xml><?xml version="1.0" encoding="utf-8"?>
<ds:datastoreItem xmlns:ds="http://schemas.openxmlformats.org/officeDocument/2006/customXml" ds:itemID="{D702C97B-4DD2-444F-8088-0C2A80564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6D397-FEA1-41EC-B813-CFDB2A874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CD148-2C1D-4953-B5BB-B402C0A9D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833FE-F774-4717-B665-AC0DEBE4E2F4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516D397-FEA1-41EC-B813-CFDB2A874618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MCKILLOP</dc:creator>
  <cp:keywords/>
  <dc:description/>
  <cp:lastModifiedBy>McDonald, Ashleigh</cp:lastModifiedBy>
  <cp:revision>4</cp:revision>
  <dcterms:created xsi:type="dcterms:W3CDTF">2023-03-17T02:52:00Z</dcterms:created>
  <dcterms:modified xsi:type="dcterms:W3CDTF">2023-04-05T01:55:00Z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0x010100266966F133664895A6EE3632470D45F500A1C14763EA0B464F9B3941689AF48961</vt:lpwstr>
  </property>
</Properties>
</file>