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FA51B7" w:rsidRDefault="00FF6E25" w:rsidP="000C310A">
      <w:pPr>
        <w:pStyle w:val="Title"/>
      </w:pPr>
      <w:r w:rsidRPr="00FA51B7">
        <w:t>EXPLANATORY STATEMENT</w:t>
      </w:r>
    </w:p>
    <w:p w14:paraId="145EC655" w14:textId="5212117C" w:rsidR="0088497A" w:rsidRPr="00FA51B7" w:rsidRDefault="0088497A" w:rsidP="000C310A">
      <w:pPr>
        <w:pStyle w:val="Subtitle"/>
        <w:rPr>
          <w:rStyle w:val="IntenseEmphasis"/>
          <w:color w:val="auto"/>
        </w:rPr>
      </w:pPr>
      <w:r w:rsidRPr="00FA51B7">
        <w:rPr>
          <w:rStyle w:val="IntenseEmphasis"/>
          <w:color w:val="auto"/>
        </w:rPr>
        <w:t xml:space="preserve">Issued by the authority of </w:t>
      </w:r>
      <w:r w:rsidR="006A1581" w:rsidRPr="00FA51B7">
        <w:rPr>
          <w:rStyle w:val="IntenseEmphasis"/>
          <w:color w:val="auto"/>
        </w:rPr>
        <w:t>the Minister for Education</w:t>
      </w:r>
    </w:p>
    <w:p w14:paraId="4751D1D1" w14:textId="77777777" w:rsidR="006A1581" w:rsidRPr="00FA51B7" w:rsidRDefault="006A1581" w:rsidP="006A1581">
      <w:pPr>
        <w:pStyle w:val="Subtitle"/>
      </w:pPr>
      <w:r w:rsidRPr="00FA51B7">
        <w:t>A New Tax System (Family Assistance) Act 1999</w:t>
      </w:r>
    </w:p>
    <w:p w14:paraId="7311BD32" w14:textId="4D6DE67F" w:rsidR="006A1581" w:rsidRPr="00FA51B7" w:rsidRDefault="006A1581" w:rsidP="006A1581">
      <w:pPr>
        <w:pStyle w:val="Subtitle"/>
      </w:pPr>
      <w:bookmarkStart w:id="0" w:name="_Hlk97541417"/>
      <w:bookmarkStart w:id="1" w:name="_Toc23942238"/>
      <w:bookmarkStart w:id="2" w:name="_Toc34293358"/>
      <w:r w:rsidRPr="00FA51B7">
        <w:t>Child Care Subsidy Amendment (Electronic Payment Ex</w:t>
      </w:r>
      <w:r w:rsidR="003833E5" w:rsidRPr="00FA51B7">
        <w:t>c</w:t>
      </w:r>
      <w:r w:rsidRPr="00FA51B7">
        <w:t>eptions and Other Measures) Minister’s Rules 2023</w:t>
      </w:r>
    </w:p>
    <w:bookmarkEnd w:id="0"/>
    <w:p w14:paraId="33AB2D38" w14:textId="77777777" w:rsidR="00455C2A" w:rsidRPr="00FA51B7" w:rsidRDefault="00144950" w:rsidP="000C310A">
      <w:pPr>
        <w:pStyle w:val="Heading1"/>
      </w:pPr>
      <w:r w:rsidRPr="00FA51B7">
        <w:t>AUTHORITY</w:t>
      </w:r>
    </w:p>
    <w:bookmarkEnd w:id="1"/>
    <w:bookmarkEnd w:id="2"/>
    <w:p w14:paraId="684711A4" w14:textId="017CBA38" w:rsidR="006A1581" w:rsidRPr="00FA51B7" w:rsidRDefault="006A1581" w:rsidP="006A1581">
      <w:pPr>
        <w:spacing w:before="120" w:after="120"/>
        <w:rPr>
          <w:rFonts w:asciiTheme="minorHAnsi" w:hAnsiTheme="minorHAnsi" w:cstheme="minorHAnsi"/>
          <w:iCs/>
          <w:szCs w:val="24"/>
        </w:rPr>
      </w:pPr>
      <w:r w:rsidRPr="00FA51B7">
        <w:rPr>
          <w:rFonts w:asciiTheme="minorHAnsi" w:hAnsiTheme="minorHAnsi" w:cstheme="minorHAnsi"/>
          <w:iCs/>
          <w:szCs w:val="24"/>
        </w:rPr>
        <w:t xml:space="preserve">The </w:t>
      </w:r>
      <w:r w:rsidRPr="00FA51B7">
        <w:rPr>
          <w:rFonts w:asciiTheme="minorHAnsi" w:hAnsiTheme="minorHAnsi" w:cstheme="minorHAnsi"/>
          <w:i/>
          <w:szCs w:val="24"/>
        </w:rPr>
        <w:t>Child Care Subsidy Amendment (Electronic Payment Ex</w:t>
      </w:r>
      <w:r w:rsidR="00810C5C" w:rsidRPr="00FA51B7">
        <w:rPr>
          <w:rFonts w:asciiTheme="minorHAnsi" w:hAnsiTheme="minorHAnsi" w:cstheme="minorHAnsi"/>
          <w:i/>
          <w:szCs w:val="24"/>
        </w:rPr>
        <w:t>c</w:t>
      </w:r>
      <w:r w:rsidRPr="00FA51B7">
        <w:rPr>
          <w:rFonts w:asciiTheme="minorHAnsi" w:hAnsiTheme="minorHAnsi" w:cstheme="minorHAnsi"/>
          <w:i/>
          <w:szCs w:val="24"/>
        </w:rPr>
        <w:t>eptions and Other Measure</w:t>
      </w:r>
      <w:r w:rsidR="00810C5C" w:rsidRPr="00FA51B7">
        <w:rPr>
          <w:rFonts w:asciiTheme="minorHAnsi" w:hAnsiTheme="minorHAnsi" w:cstheme="minorHAnsi"/>
          <w:i/>
          <w:szCs w:val="24"/>
        </w:rPr>
        <w:t>s</w:t>
      </w:r>
      <w:r w:rsidRPr="00FA51B7">
        <w:rPr>
          <w:rFonts w:asciiTheme="minorHAnsi" w:hAnsiTheme="minorHAnsi" w:cstheme="minorHAnsi"/>
          <w:i/>
          <w:szCs w:val="24"/>
        </w:rPr>
        <w:t>) Minister’s Rules 202</w:t>
      </w:r>
      <w:r w:rsidR="00B1579D" w:rsidRPr="00FA51B7">
        <w:rPr>
          <w:rFonts w:asciiTheme="minorHAnsi" w:hAnsiTheme="minorHAnsi" w:cstheme="minorHAnsi"/>
          <w:i/>
          <w:szCs w:val="24"/>
        </w:rPr>
        <w:t>3</w:t>
      </w:r>
      <w:r w:rsidRPr="00FA51B7">
        <w:rPr>
          <w:rFonts w:asciiTheme="minorHAnsi" w:hAnsiTheme="minorHAnsi" w:cstheme="minorHAnsi"/>
          <w:iCs/>
          <w:szCs w:val="24"/>
        </w:rPr>
        <w:t xml:space="preserve"> (Amendment Rules) are made under subsection 85</w:t>
      </w:r>
      <w:proofErr w:type="gramStart"/>
      <w:r w:rsidRPr="00FA51B7">
        <w:rPr>
          <w:rFonts w:asciiTheme="minorHAnsi" w:hAnsiTheme="minorHAnsi" w:cstheme="minorHAnsi"/>
          <w:iCs/>
          <w:szCs w:val="24"/>
        </w:rPr>
        <w:t>GB(</w:t>
      </w:r>
      <w:proofErr w:type="gramEnd"/>
      <w:r w:rsidRPr="00FA51B7">
        <w:rPr>
          <w:rFonts w:asciiTheme="minorHAnsi" w:hAnsiTheme="minorHAnsi" w:cstheme="minorHAnsi"/>
          <w:iCs/>
          <w:szCs w:val="24"/>
        </w:rPr>
        <w:t xml:space="preserve">1) of the </w:t>
      </w:r>
      <w:r w:rsidRPr="00FA51B7">
        <w:rPr>
          <w:rFonts w:asciiTheme="minorHAnsi" w:hAnsiTheme="minorHAnsi" w:cstheme="minorHAnsi"/>
          <w:i/>
          <w:szCs w:val="24"/>
        </w:rPr>
        <w:t>A New Tax System (Family Assistance) Act 1999</w:t>
      </w:r>
      <w:r w:rsidRPr="00FA51B7">
        <w:rPr>
          <w:rFonts w:asciiTheme="minorHAnsi" w:hAnsiTheme="minorHAnsi" w:cstheme="minorHAnsi"/>
          <w:iCs/>
          <w:szCs w:val="24"/>
        </w:rPr>
        <w:t xml:space="preserve"> (Family Assistance Act) as construed in accordance with subsection 33(3) of the </w:t>
      </w:r>
      <w:r w:rsidRPr="00FA51B7">
        <w:rPr>
          <w:rFonts w:asciiTheme="minorHAnsi" w:hAnsiTheme="minorHAnsi" w:cstheme="minorHAnsi"/>
          <w:i/>
          <w:szCs w:val="24"/>
        </w:rPr>
        <w:t>Acts Interpretation Act 1901</w:t>
      </w:r>
      <w:r w:rsidRPr="00FA51B7">
        <w:rPr>
          <w:rFonts w:asciiTheme="minorHAnsi" w:hAnsiTheme="minorHAnsi" w:cstheme="minorHAnsi"/>
          <w:iCs/>
          <w:szCs w:val="24"/>
        </w:rPr>
        <w:t xml:space="preserve"> (Acts Interpretation Act).</w:t>
      </w:r>
    </w:p>
    <w:p w14:paraId="097CA92F" w14:textId="00DCD89C" w:rsidR="006A1581" w:rsidRPr="00FA51B7" w:rsidRDefault="006A1581" w:rsidP="006A1581">
      <w:pPr>
        <w:spacing w:before="120" w:after="120"/>
        <w:rPr>
          <w:rFonts w:asciiTheme="minorHAnsi" w:hAnsiTheme="minorHAnsi" w:cstheme="minorHAnsi"/>
          <w:iCs/>
          <w:szCs w:val="24"/>
        </w:rPr>
      </w:pPr>
      <w:r w:rsidRPr="00FA51B7">
        <w:rPr>
          <w:rFonts w:asciiTheme="minorHAnsi" w:hAnsiTheme="minorHAnsi" w:cstheme="minorHAnsi"/>
          <w:iCs/>
          <w:szCs w:val="24"/>
        </w:rPr>
        <w:t xml:space="preserve">Under subsection 33(3) of the Acts Interpretation Act, where an Act confers a power to make, grant or issue any instrument of a legislative or administrative character (including rules, </w:t>
      </w:r>
      <w:proofErr w:type="gramStart"/>
      <w:r w:rsidRPr="00FA51B7">
        <w:rPr>
          <w:rFonts w:asciiTheme="minorHAnsi" w:hAnsiTheme="minorHAnsi" w:cstheme="minorHAnsi"/>
          <w:iCs/>
          <w:szCs w:val="24"/>
        </w:rPr>
        <w:t>regulations</w:t>
      </w:r>
      <w:proofErr w:type="gramEnd"/>
      <w:r w:rsidRPr="00FA51B7">
        <w:rPr>
          <w:rFonts w:asciiTheme="minorHAnsi" w:hAnsiTheme="minorHAnsi" w:cstheme="minorHAnsi"/>
          <w:iCs/>
          <w:szCs w:val="24"/>
        </w:rPr>
        <w:t xml:space="preserve"> or by-laws), the power shall be construed as including a power exercisable in the like manner and subject to the like conditions (if any) to repeal, rescind, revoke and amend or vary any such instrument.</w:t>
      </w:r>
    </w:p>
    <w:p w14:paraId="56CDA376" w14:textId="77777777" w:rsidR="00DA552F" w:rsidRPr="00FA51B7" w:rsidRDefault="00144950" w:rsidP="000C310A">
      <w:pPr>
        <w:pStyle w:val="Heading1"/>
      </w:pPr>
      <w:r w:rsidRPr="00FA51B7">
        <w:t>PURPOSE AND OPERATION</w:t>
      </w:r>
    </w:p>
    <w:p w14:paraId="46CC287F" w14:textId="77777777" w:rsidR="00EC182C" w:rsidRPr="00FA51B7" w:rsidRDefault="00B1579D" w:rsidP="00B1579D">
      <w:pPr>
        <w:spacing w:before="120" w:after="120"/>
        <w:rPr>
          <w:rFonts w:asciiTheme="minorHAnsi" w:hAnsiTheme="minorHAnsi" w:cstheme="minorHAnsi"/>
          <w:iCs/>
          <w:szCs w:val="24"/>
        </w:rPr>
      </w:pPr>
      <w:r w:rsidRPr="00FA51B7">
        <w:rPr>
          <w:rFonts w:asciiTheme="minorHAnsi" w:hAnsiTheme="minorHAnsi" w:cstheme="minorHAnsi"/>
          <w:iCs/>
          <w:szCs w:val="24"/>
        </w:rPr>
        <w:t>The Amendment Rules amend the</w:t>
      </w:r>
      <w:r w:rsidRPr="00FA51B7">
        <w:rPr>
          <w:rFonts w:asciiTheme="minorHAnsi" w:hAnsiTheme="minorHAnsi" w:cstheme="minorHAnsi"/>
          <w:i/>
          <w:szCs w:val="24"/>
        </w:rPr>
        <w:t xml:space="preserve"> Child Care Subsidy Minister’s Rules 2017 </w:t>
      </w:r>
      <w:r w:rsidRPr="00FA51B7">
        <w:rPr>
          <w:rFonts w:asciiTheme="minorHAnsi" w:hAnsiTheme="minorHAnsi" w:cstheme="minorHAnsi"/>
          <w:iCs/>
          <w:szCs w:val="24"/>
        </w:rPr>
        <w:t>(Principal Rules) to</w:t>
      </w:r>
      <w:r w:rsidR="00EC182C" w:rsidRPr="00FA51B7">
        <w:rPr>
          <w:rFonts w:asciiTheme="minorHAnsi" w:hAnsiTheme="minorHAnsi" w:cstheme="minorHAnsi"/>
          <w:iCs/>
          <w:szCs w:val="24"/>
        </w:rPr>
        <w:t>:</w:t>
      </w:r>
    </w:p>
    <w:p w14:paraId="2E7BB523" w14:textId="2D9530BB" w:rsidR="00B1579D" w:rsidRPr="00FA51B7" w:rsidRDefault="00AF457C" w:rsidP="006930FD">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p</w:t>
      </w:r>
      <w:r w:rsidR="00EC182C" w:rsidRPr="00FA51B7">
        <w:rPr>
          <w:rFonts w:asciiTheme="minorHAnsi" w:hAnsiTheme="minorHAnsi" w:cstheme="minorHAnsi"/>
          <w:iCs/>
          <w:szCs w:val="24"/>
        </w:rPr>
        <w:t xml:space="preserve">rovide an exception to </w:t>
      </w:r>
      <w:r w:rsidR="0019512D" w:rsidRPr="00FA51B7">
        <w:rPr>
          <w:rFonts w:asciiTheme="minorHAnsi" w:hAnsiTheme="minorHAnsi" w:cstheme="minorHAnsi"/>
          <w:iCs/>
          <w:szCs w:val="24"/>
        </w:rPr>
        <w:t xml:space="preserve">the </w:t>
      </w:r>
      <w:r w:rsidR="00EC182C" w:rsidRPr="00FA51B7">
        <w:rPr>
          <w:rFonts w:asciiTheme="minorHAnsi" w:hAnsiTheme="minorHAnsi" w:cstheme="minorHAnsi"/>
          <w:iCs/>
          <w:szCs w:val="24"/>
        </w:rPr>
        <w:t>requirement to pay fees using an electronic funds transfer</w:t>
      </w:r>
      <w:r w:rsidR="007E36C3" w:rsidRPr="00FA51B7">
        <w:rPr>
          <w:rFonts w:asciiTheme="minorHAnsi" w:hAnsiTheme="minorHAnsi" w:cstheme="minorHAnsi"/>
          <w:iCs/>
          <w:szCs w:val="24"/>
        </w:rPr>
        <w:t xml:space="preserve"> (EFT)</w:t>
      </w:r>
      <w:r w:rsidR="00783CCF" w:rsidRPr="00FA51B7">
        <w:rPr>
          <w:rFonts w:asciiTheme="minorHAnsi" w:hAnsiTheme="minorHAnsi" w:cstheme="minorHAnsi"/>
          <w:iCs/>
          <w:szCs w:val="24"/>
        </w:rPr>
        <w:t xml:space="preserve"> </w:t>
      </w:r>
      <w:r w:rsidR="00EC182C" w:rsidRPr="00FA51B7">
        <w:rPr>
          <w:rFonts w:asciiTheme="minorHAnsi" w:hAnsiTheme="minorHAnsi" w:cstheme="minorHAnsi"/>
          <w:iCs/>
          <w:szCs w:val="24"/>
        </w:rPr>
        <w:t xml:space="preserve">system </w:t>
      </w:r>
      <w:r w:rsidR="0019512D" w:rsidRPr="00FA51B7">
        <w:rPr>
          <w:rFonts w:asciiTheme="minorHAnsi" w:hAnsiTheme="minorHAnsi" w:cstheme="minorHAnsi"/>
          <w:iCs/>
          <w:szCs w:val="24"/>
        </w:rPr>
        <w:t xml:space="preserve">where </w:t>
      </w:r>
      <w:r w:rsidR="00F352D7" w:rsidRPr="00FA51B7">
        <w:rPr>
          <w:rFonts w:asciiTheme="minorHAnsi" w:hAnsiTheme="minorHAnsi" w:cstheme="minorHAnsi"/>
          <w:iCs/>
          <w:szCs w:val="24"/>
        </w:rPr>
        <w:t xml:space="preserve">the individual reasonably fears </w:t>
      </w:r>
      <w:r w:rsidR="0019512D" w:rsidRPr="00FA51B7">
        <w:rPr>
          <w:rFonts w:asciiTheme="minorHAnsi" w:hAnsiTheme="minorHAnsi" w:cstheme="minorHAnsi"/>
          <w:iCs/>
          <w:szCs w:val="24"/>
        </w:rPr>
        <w:t xml:space="preserve">such payment </w:t>
      </w:r>
      <w:r w:rsidR="00F370F6" w:rsidRPr="00FA51B7">
        <w:rPr>
          <w:rFonts w:asciiTheme="minorHAnsi" w:hAnsiTheme="minorHAnsi" w:cstheme="minorHAnsi"/>
          <w:iCs/>
          <w:szCs w:val="24"/>
        </w:rPr>
        <w:t xml:space="preserve">would </w:t>
      </w:r>
      <w:r w:rsidR="006A57F1" w:rsidRPr="00FA51B7">
        <w:rPr>
          <w:rFonts w:asciiTheme="minorHAnsi" w:hAnsiTheme="minorHAnsi" w:cstheme="minorHAnsi"/>
          <w:iCs/>
          <w:szCs w:val="24"/>
        </w:rPr>
        <w:t>put the individual or their child at risk of</w:t>
      </w:r>
      <w:r w:rsidR="0019512D" w:rsidRPr="00FA51B7">
        <w:rPr>
          <w:rFonts w:asciiTheme="minorHAnsi" w:hAnsiTheme="minorHAnsi" w:cstheme="minorHAnsi"/>
          <w:iCs/>
          <w:szCs w:val="24"/>
        </w:rPr>
        <w:t xml:space="preserve"> family and domestic </w:t>
      </w:r>
      <w:proofErr w:type="gramStart"/>
      <w:r w:rsidR="0019512D" w:rsidRPr="00FA51B7">
        <w:rPr>
          <w:rFonts w:asciiTheme="minorHAnsi" w:hAnsiTheme="minorHAnsi" w:cstheme="minorHAnsi"/>
          <w:iCs/>
          <w:szCs w:val="24"/>
        </w:rPr>
        <w:t>violence</w:t>
      </w:r>
      <w:r w:rsidR="007E36C3" w:rsidRPr="00FA51B7">
        <w:rPr>
          <w:rFonts w:asciiTheme="minorHAnsi" w:hAnsiTheme="minorHAnsi" w:cstheme="minorHAnsi"/>
          <w:iCs/>
          <w:szCs w:val="24"/>
        </w:rPr>
        <w:t>;</w:t>
      </w:r>
      <w:proofErr w:type="gramEnd"/>
    </w:p>
    <w:p w14:paraId="15142149" w14:textId="6542DD1E" w:rsidR="0019512D" w:rsidRPr="00FA51B7" w:rsidRDefault="00AF457C" w:rsidP="006930FD">
      <w:pPr>
        <w:pStyle w:val="ListParagraph"/>
        <w:numPr>
          <w:ilvl w:val="0"/>
          <w:numId w:val="4"/>
        </w:numPr>
        <w:spacing w:before="120" w:after="120"/>
        <w:rPr>
          <w:rFonts w:asciiTheme="minorHAnsi" w:hAnsiTheme="minorHAnsi" w:cstheme="minorHAnsi"/>
          <w:iCs/>
          <w:szCs w:val="24"/>
        </w:rPr>
      </w:pPr>
      <w:bookmarkStart w:id="3" w:name="_Hlk130388861"/>
      <w:r w:rsidRPr="00FA51B7">
        <w:rPr>
          <w:rFonts w:asciiTheme="minorHAnsi" w:hAnsiTheme="minorHAnsi" w:cstheme="minorHAnsi"/>
          <w:iCs/>
          <w:szCs w:val="24"/>
        </w:rPr>
        <w:t>m</w:t>
      </w:r>
      <w:r w:rsidR="0019512D" w:rsidRPr="00FA51B7">
        <w:rPr>
          <w:rFonts w:asciiTheme="minorHAnsi" w:hAnsiTheme="minorHAnsi" w:cstheme="minorHAnsi"/>
          <w:iCs/>
          <w:szCs w:val="24"/>
        </w:rPr>
        <w:t xml:space="preserve">ake </w:t>
      </w:r>
      <w:r w:rsidR="00E14FEF" w:rsidRPr="00FA51B7">
        <w:rPr>
          <w:rFonts w:asciiTheme="minorHAnsi" w:hAnsiTheme="minorHAnsi" w:cstheme="minorHAnsi"/>
          <w:iCs/>
          <w:szCs w:val="24"/>
        </w:rPr>
        <w:t>rules</w:t>
      </w:r>
      <w:r w:rsidR="00495CA0" w:rsidRPr="00FA51B7">
        <w:rPr>
          <w:rFonts w:asciiTheme="minorHAnsi" w:hAnsiTheme="minorHAnsi" w:cstheme="minorHAnsi"/>
          <w:iCs/>
          <w:szCs w:val="24"/>
        </w:rPr>
        <w:t xml:space="preserve"> for </w:t>
      </w:r>
      <w:r w:rsidR="00CA294A" w:rsidRPr="00FA51B7">
        <w:rPr>
          <w:rFonts w:asciiTheme="minorHAnsi" w:hAnsiTheme="minorHAnsi" w:cstheme="minorHAnsi"/>
          <w:iCs/>
          <w:szCs w:val="24"/>
        </w:rPr>
        <w:t xml:space="preserve">a </w:t>
      </w:r>
      <w:proofErr w:type="gramStart"/>
      <w:r w:rsidR="00CA294A" w:rsidRPr="00FA51B7">
        <w:rPr>
          <w:rFonts w:asciiTheme="minorHAnsi" w:hAnsiTheme="minorHAnsi" w:cstheme="minorHAnsi"/>
          <w:iCs/>
          <w:szCs w:val="24"/>
        </w:rPr>
        <w:t>one year</w:t>
      </w:r>
      <w:proofErr w:type="gramEnd"/>
      <w:r w:rsidR="00CA294A" w:rsidRPr="00FA51B7">
        <w:rPr>
          <w:rFonts w:asciiTheme="minorHAnsi" w:hAnsiTheme="minorHAnsi" w:cstheme="minorHAnsi"/>
          <w:iCs/>
          <w:szCs w:val="24"/>
        </w:rPr>
        <w:t xml:space="preserve"> transition period </w:t>
      </w:r>
      <w:r w:rsidR="00A65A96" w:rsidRPr="00FA51B7">
        <w:rPr>
          <w:rFonts w:asciiTheme="minorHAnsi" w:hAnsiTheme="minorHAnsi" w:cstheme="minorHAnsi"/>
          <w:iCs/>
          <w:szCs w:val="24"/>
        </w:rPr>
        <w:t>in relation to</w:t>
      </w:r>
      <w:r w:rsidR="00854988" w:rsidRPr="00FA51B7">
        <w:rPr>
          <w:rFonts w:asciiTheme="minorHAnsi" w:hAnsiTheme="minorHAnsi" w:cstheme="minorHAnsi"/>
          <w:iCs/>
          <w:szCs w:val="24"/>
        </w:rPr>
        <w:t xml:space="preserve"> </w:t>
      </w:r>
      <w:r w:rsidR="00854988" w:rsidRPr="00FA51B7">
        <w:rPr>
          <w:rFonts w:ascii="Calibri" w:eastAsia="Times New Roman" w:hAnsi="Calibri" w:cs="Calibri"/>
          <w:color w:val="000000"/>
          <w:szCs w:val="24"/>
          <w:lang w:eastAsia="en-AU"/>
        </w:rPr>
        <w:t>increased hours of subsidised care for</w:t>
      </w:r>
      <w:r w:rsidR="005A7C01" w:rsidRPr="00FA51B7">
        <w:rPr>
          <w:rFonts w:asciiTheme="minorHAnsi" w:hAnsiTheme="minorHAnsi" w:cstheme="minorHAnsi"/>
          <w:iCs/>
          <w:szCs w:val="24"/>
        </w:rPr>
        <w:t xml:space="preserve"> </w:t>
      </w:r>
      <w:r w:rsidR="00686D4C" w:rsidRPr="00FA51B7">
        <w:rPr>
          <w:rFonts w:asciiTheme="minorHAnsi" w:hAnsiTheme="minorHAnsi" w:cstheme="minorHAnsi"/>
          <w:iCs/>
          <w:szCs w:val="24"/>
        </w:rPr>
        <w:t xml:space="preserve">individuals who notify the Secretary </w:t>
      </w:r>
      <w:r w:rsidR="00B26B94" w:rsidRPr="00FA51B7">
        <w:rPr>
          <w:rFonts w:asciiTheme="minorHAnsi" w:hAnsiTheme="minorHAnsi" w:cstheme="minorHAnsi"/>
          <w:iCs/>
          <w:szCs w:val="24"/>
        </w:rPr>
        <w:t>of</w:t>
      </w:r>
      <w:r w:rsidR="00686D4C" w:rsidRPr="00FA51B7">
        <w:rPr>
          <w:rFonts w:asciiTheme="minorHAnsi" w:hAnsiTheme="minorHAnsi" w:cstheme="minorHAnsi"/>
          <w:iCs/>
          <w:szCs w:val="24"/>
        </w:rPr>
        <w:t xml:space="preserve"> an Aboriginal or Torres Strait Islander child in their care</w:t>
      </w:r>
      <w:r w:rsidR="00AF6332" w:rsidRPr="00FA51B7">
        <w:rPr>
          <w:rFonts w:asciiTheme="minorHAnsi" w:hAnsiTheme="minorHAnsi" w:cstheme="minorHAnsi"/>
          <w:iCs/>
          <w:szCs w:val="24"/>
        </w:rPr>
        <w:t>. These rules</w:t>
      </w:r>
      <w:r w:rsidR="00841F42" w:rsidRPr="00FA51B7">
        <w:rPr>
          <w:rFonts w:asciiTheme="minorHAnsi" w:hAnsiTheme="minorHAnsi" w:cstheme="minorHAnsi"/>
          <w:iCs/>
          <w:szCs w:val="24"/>
        </w:rPr>
        <w:t xml:space="preserve"> </w:t>
      </w:r>
      <w:r w:rsidR="0088109C" w:rsidRPr="00FA51B7">
        <w:rPr>
          <w:rFonts w:asciiTheme="minorHAnsi" w:hAnsiTheme="minorHAnsi" w:cstheme="minorHAnsi"/>
          <w:iCs/>
          <w:szCs w:val="24"/>
        </w:rPr>
        <w:t xml:space="preserve">affect </w:t>
      </w:r>
      <w:r w:rsidR="00C21887" w:rsidRPr="00FA51B7">
        <w:rPr>
          <w:rFonts w:asciiTheme="minorHAnsi" w:hAnsiTheme="minorHAnsi" w:cstheme="minorHAnsi"/>
          <w:iCs/>
          <w:szCs w:val="24"/>
        </w:rPr>
        <w:t>when</w:t>
      </w:r>
      <w:r w:rsidR="007D1451" w:rsidRPr="00FA51B7">
        <w:rPr>
          <w:rFonts w:asciiTheme="minorHAnsi" w:hAnsiTheme="minorHAnsi" w:cstheme="minorHAnsi"/>
          <w:iCs/>
          <w:szCs w:val="24"/>
        </w:rPr>
        <w:t xml:space="preserve"> information provided to</w:t>
      </w:r>
      <w:r w:rsidR="00BB41C9" w:rsidRPr="00FA51B7">
        <w:rPr>
          <w:rFonts w:asciiTheme="minorHAnsi" w:hAnsiTheme="minorHAnsi" w:cstheme="minorHAnsi"/>
          <w:iCs/>
          <w:szCs w:val="24"/>
        </w:rPr>
        <w:t xml:space="preserve"> the Secretary </w:t>
      </w:r>
      <w:r w:rsidR="00C21887" w:rsidRPr="00FA51B7">
        <w:rPr>
          <w:rFonts w:asciiTheme="minorHAnsi" w:hAnsiTheme="minorHAnsi" w:cstheme="minorHAnsi"/>
          <w:iCs/>
          <w:szCs w:val="24"/>
        </w:rPr>
        <w:t>on</w:t>
      </w:r>
      <w:r w:rsidR="00BB41C9" w:rsidRPr="00FA51B7">
        <w:rPr>
          <w:rFonts w:asciiTheme="minorHAnsi" w:hAnsiTheme="minorHAnsi" w:cstheme="minorHAnsi"/>
          <w:iCs/>
          <w:szCs w:val="24"/>
        </w:rPr>
        <w:t xml:space="preserve"> a child’s Aboriginal and Torres Strait Islander status </w:t>
      </w:r>
      <w:r w:rsidR="00C21887" w:rsidRPr="00FA51B7">
        <w:rPr>
          <w:rFonts w:asciiTheme="minorHAnsi" w:hAnsiTheme="minorHAnsi" w:cstheme="minorHAnsi"/>
          <w:iCs/>
          <w:szCs w:val="24"/>
        </w:rPr>
        <w:t xml:space="preserve">would impact </w:t>
      </w:r>
      <w:r w:rsidR="006921FF" w:rsidRPr="00FA51B7">
        <w:rPr>
          <w:rFonts w:asciiTheme="minorHAnsi" w:hAnsiTheme="minorHAnsi" w:cstheme="minorHAnsi"/>
          <w:iCs/>
          <w:szCs w:val="24"/>
        </w:rPr>
        <w:t>a</w:t>
      </w:r>
      <w:r w:rsidR="00C21887" w:rsidRPr="00FA51B7">
        <w:rPr>
          <w:rFonts w:asciiTheme="minorHAnsi" w:hAnsiTheme="minorHAnsi" w:cstheme="minorHAnsi"/>
          <w:iCs/>
          <w:szCs w:val="24"/>
        </w:rPr>
        <w:t xml:space="preserve"> </w:t>
      </w:r>
      <w:r w:rsidR="00DB5E15" w:rsidRPr="00FA51B7">
        <w:rPr>
          <w:rFonts w:asciiTheme="minorHAnsi" w:hAnsiTheme="minorHAnsi" w:cstheme="minorHAnsi"/>
          <w:iCs/>
          <w:szCs w:val="24"/>
        </w:rPr>
        <w:t>review of</w:t>
      </w:r>
      <w:r w:rsidR="00BB41C9" w:rsidRPr="00FA51B7">
        <w:rPr>
          <w:rFonts w:asciiTheme="minorHAnsi" w:hAnsiTheme="minorHAnsi" w:cstheme="minorHAnsi"/>
          <w:iCs/>
          <w:szCs w:val="24"/>
        </w:rPr>
        <w:t xml:space="preserve"> a</w:t>
      </w:r>
      <w:r w:rsidR="000F444B" w:rsidRPr="00FA51B7">
        <w:rPr>
          <w:rFonts w:asciiTheme="minorHAnsi" w:hAnsiTheme="minorHAnsi" w:cstheme="minorHAnsi"/>
          <w:iCs/>
          <w:szCs w:val="24"/>
        </w:rPr>
        <w:t xml:space="preserve"> </w:t>
      </w:r>
      <w:r w:rsidR="00330CD9" w:rsidRPr="00FA51B7">
        <w:rPr>
          <w:rFonts w:asciiTheme="minorHAnsi" w:hAnsiTheme="minorHAnsi" w:cstheme="minorHAnsi"/>
          <w:iCs/>
          <w:szCs w:val="24"/>
        </w:rPr>
        <w:t>child care subsidy (</w:t>
      </w:r>
      <w:r w:rsidR="000F444B" w:rsidRPr="00FA51B7">
        <w:rPr>
          <w:rFonts w:asciiTheme="minorHAnsi" w:hAnsiTheme="minorHAnsi" w:cstheme="minorHAnsi"/>
          <w:iCs/>
          <w:szCs w:val="24"/>
        </w:rPr>
        <w:t>CCS</w:t>
      </w:r>
      <w:r w:rsidR="00330CD9" w:rsidRPr="00FA51B7">
        <w:rPr>
          <w:rFonts w:asciiTheme="minorHAnsi" w:hAnsiTheme="minorHAnsi" w:cstheme="minorHAnsi"/>
          <w:iCs/>
          <w:szCs w:val="24"/>
        </w:rPr>
        <w:t>)</w:t>
      </w:r>
      <w:r w:rsidR="00BB41C9" w:rsidRPr="00FA51B7">
        <w:rPr>
          <w:rFonts w:asciiTheme="minorHAnsi" w:hAnsiTheme="minorHAnsi" w:cstheme="minorHAnsi"/>
          <w:iCs/>
          <w:szCs w:val="24"/>
        </w:rPr>
        <w:t xml:space="preserve"> entitlement </w:t>
      </w:r>
      <w:proofErr w:type="gramStart"/>
      <w:r w:rsidR="00BB41C9" w:rsidRPr="00FA51B7">
        <w:rPr>
          <w:rFonts w:asciiTheme="minorHAnsi" w:hAnsiTheme="minorHAnsi" w:cstheme="minorHAnsi"/>
          <w:iCs/>
          <w:szCs w:val="24"/>
        </w:rPr>
        <w:t>decision</w:t>
      </w:r>
      <w:r w:rsidRPr="00FA51B7">
        <w:rPr>
          <w:rFonts w:asciiTheme="minorHAnsi" w:hAnsiTheme="minorHAnsi" w:cstheme="minorHAnsi"/>
          <w:iCs/>
          <w:szCs w:val="24"/>
        </w:rPr>
        <w:t>;</w:t>
      </w:r>
      <w:proofErr w:type="gramEnd"/>
    </w:p>
    <w:bookmarkEnd w:id="3"/>
    <w:p w14:paraId="213A411F" w14:textId="5AA2D3BD" w:rsidR="00A42BF4" w:rsidRPr="00FA51B7" w:rsidRDefault="00AF457C" w:rsidP="00492AF9">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m</w:t>
      </w:r>
      <w:r w:rsidR="00492AF9" w:rsidRPr="00FA51B7">
        <w:rPr>
          <w:rFonts w:asciiTheme="minorHAnsi" w:hAnsiTheme="minorHAnsi" w:cstheme="minorHAnsi"/>
          <w:iCs/>
          <w:szCs w:val="24"/>
        </w:rPr>
        <w:t xml:space="preserve">ake consequential changes to the Principal Rules to align terminology </w:t>
      </w:r>
      <w:r w:rsidRPr="00FA51B7">
        <w:rPr>
          <w:rFonts w:asciiTheme="minorHAnsi" w:hAnsiTheme="minorHAnsi" w:cstheme="minorHAnsi"/>
          <w:iCs/>
          <w:szCs w:val="24"/>
        </w:rPr>
        <w:t>with</w:t>
      </w:r>
      <w:r w:rsidR="00492AF9" w:rsidRPr="00FA51B7">
        <w:rPr>
          <w:rFonts w:asciiTheme="minorHAnsi" w:hAnsiTheme="minorHAnsi" w:cstheme="minorHAnsi"/>
          <w:iCs/>
          <w:szCs w:val="24"/>
        </w:rPr>
        <w:t xml:space="preserve"> the Family Assistance Act</w:t>
      </w:r>
      <w:r w:rsidRPr="00FA51B7">
        <w:rPr>
          <w:rFonts w:asciiTheme="minorHAnsi" w:hAnsiTheme="minorHAnsi" w:cstheme="minorHAnsi"/>
          <w:iCs/>
          <w:szCs w:val="24"/>
        </w:rPr>
        <w:t>,</w:t>
      </w:r>
      <w:r w:rsidR="00492AF9" w:rsidRPr="00FA51B7">
        <w:rPr>
          <w:rFonts w:asciiTheme="minorHAnsi" w:hAnsiTheme="minorHAnsi" w:cstheme="minorHAnsi"/>
          <w:iCs/>
          <w:szCs w:val="24"/>
        </w:rPr>
        <w:t xml:space="preserve"> following amendments made by the </w:t>
      </w:r>
      <w:r w:rsidR="00492AF9" w:rsidRPr="00FA51B7">
        <w:rPr>
          <w:rFonts w:asciiTheme="minorHAnsi" w:hAnsiTheme="minorHAnsi" w:cstheme="minorHAnsi"/>
          <w:i/>
          <w:szCs w:val="24"/>
        </w:rPr>
        <w:t>Family Assistance Legislation Amendment (Cheaper Child Care) Act 2022</w:t>
      </w:r>
      <w:r w:rsidR="00B26B94" w:rsidRPr="00FA51B7">
        <w:rPr>
          <w:rFonts w:asciiTheme="minorHAnsi" w:hAnsiTheme="minorHAnsi" w:cstheme="minorHAnsi"/>
          <w:i/>
          <w:szCs w:val="24"/>
        </w:rPr>
        <w:t xml:space="preserve"> </w:t>
      </w:r>
      <w:r w:rsidR="00B26B94" w:rsidRPr="00FA51B7">
        <w:rPr>
          <w:rFonts w:asciiTheme="minorHAnsi" w:hAnsiTheme="minorHAnsi" w:cstheme="minorHAnsi"/>
          <w:iCs/>
          <w:szCs w:val="24"/>
        </w:rPr>
        <w:t>(Cheaper Child Care Act</w:t>
      </w:r>
      <w:proofErr w:type="gramStart"/>
      <w:r w:rsidR="00B26B94" w:rsidRPr="00FA51B7">
        <w:rPr>
          <w:rFonts w:asciiTheme="minorHAnsi" w:hAnsiTheme="minorHAnsi" w:cstheme="minorHAnsi"/>
          <w:iCs/>
          <w:szCs w:val="24"/>
        </w:rPr>
        <w:t>)</w:t>
      </w:r>
      <w:r w:rsidR="00061E73" w:rsidRPr="00FA51B7">
        <w:rPr>
          <w:rFonts w:asciiTheme="minorHAnsi" w:hAnsiTheme="minorHAnsi" w:cstheme="minorHAnsi"/>
          <w:iCs/>
          <w:szCs w:val="24"/>
        </w:rPr>
        <w:t>;</w:t>
      </w:r>
      <w:proofErr w:type="gramEnd"/>
    </w:p>
    <w:p w14:paraId="5F149C24" w14:textId="3F25C8E9" w:rsidR="00492AF9" w:rsidRPr="00FA51B7" w:rsidRDefault="004F56DA" w:rsidP="00492AF9">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 xml:space="preserve">change references to the ‘Early Years Education Program’ to </w:t>
      </w:r>
      <w:r w:rsidR="006921FF" w:rsidRPr="00FA51B7">
        <w:rPr>
          <w:rFonts w:asciiTheme="minorHAnsi" w:hAnsiTheme="minorHAnsi" w:cstheme="minorHAnsi"/>
          <w:iCs/>
          <w:szCs w:val="24"/>
        </w:rPr>
        <w:t>reflect</w:t>
      </w:r>
      <w:r w:rsidR="006921FF" w:rsidRPr="00FA51B7">
        <w:rPr>
          <w:rFonts w:asciiTheme="minorHAnsi" w:hAnsiTheme="minorHAnsi" w:cstheme="minorHAnsi"/>
        </w:rPr>
        <w:t xml:space="preserve"> public rebranding of the initiative to ‘an intensive early childhood education and care trial</w:t>
      </w:r>
      <w:proofErr w:type="gramStart"/>
      <w:r w:rsidR="006921FF" w:rsidRPr="00FA51B7">
        <w:rPr>
          <w:rFonts w:asciiTheme="minorHAnsi" w:hAnsiTheme="minorHAnsi" w:cstheme="minorHAnsi"/>
        </w:rPr>
        <w:t>’</w:t>
      </w:r>
      <w:r w:rsidR="00CF098D" w:rsidRPr="00FA51B7">
        <w:rPr>
          <w:rFonts w:asciiTheme="minorHAnsi" w:hAnsiTheme="minorHAnsi" w:cstheme="minorHAnsi"/>
          <w:iCs/>
          <w:szCs w:val="24"/>
        </w:rPr>
        <w:t>;</w:t>
      </w:r>
      <w:proofErr w:type="gramEnd"/>
    </w:p>
    <w:p w14:paraId="5DF91472" w14:textId="310A7856" w:rsidR="003B7671" w:rsidRPr="00FA51B7" w:rsidRDefault="003B7671" w:rsidP="00492AF9">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 xml:space="preserve">prescribe the information about a provider that the Secretary may publish, by electronic means; </w:t>
      </w:r>
      <w:r w:rsidR="007E36C3" w:rsidRPr="00FA51B7">
        <w:rPr>
          <w:rFonts w:asciiTheme="minorHAnsi" w:hAnsiTheme="minorHAnsi" w:cstheme="minorHAnsi"/>
          <w:iCs/>
          <w:szCs w:val="24"/>
        </w:rPr>
        <w:t>and</w:t>
      </w:r>
    </w:p>
    <w:p w14:paraId="2C83BCA3" w14:textId="17F6725A" w:rsidR="00CF098D" w:rsidRPr="00FA51B7" w:rsidRDefault="003B7671" w:rsidP="00492AF9">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 xml:space="preserve">prescribe </w:t>
      </w:r>
      <w:r w:rsidR="00833FD8" w:rsidRPr="00FA51B7">
        <w:rPr>
          <w:rFonts w:asciiTheme="minorHAnsi" w:hAnsiTheme="minorHAnsi" w:cstheme="minorHAnsi"/>
          <w:iCs/>
          <w:szCs w:val="24"/>
        </w:rPr>
        <w:t>the financial information which must be reported by large child care providers</w:t>
      </w:r>
      <w:r w:rsidR="00DF0081" w:rsidRPr="00FA51B7">
        <w:rPr>
          <w:rFonts w:asciiTheme="minorHAnsi" w:hAnsiTheme="minorHAnsi" w:cstheme="minorHAnsi"/>
          <w:iCs/>
          <w:szCs w:val="24"/>
        </w:rPr>
        <w:t>,</w:t>
      </w:r>
      <w:r w:rsidR="00745CA6" w:rsidRPr="00FA51B7">
        <w:rPr>
          <w:rFonts w:asciiTheme="minorHAnsi" w:hAnsiTheme="minorHAnsi" w:cstheme="minorHAnsi"/>
          <w:iCs/>
          <w:szCs w:val="24"/>
        </w:rPr>
        <w:t xml:space="preserve"> and</w:t>
      </w:r>
      <w:r w:rsidR="00833FD8" w:rsidRPr="00FA51B7">
        <w:rPr>
          <w:rFonts w:asciiTheme="minorHAnsi" w:hAnsiTheme="minorHAnsi" w:cstheme="minorHAnsi"/>
          <w:iCs/>
          <w:szCs w:val="24"/>
        </w:rPr>
        <w:t xml:space="preserve"> the </w:t>
      </w:r>
      <w:r w:rsidRPr="00FA51B7">
        <w:rPr>
          <w:rFonts w:asciiTheme="minorHAnsi" w:hAnsiTheme="minorHAnsi" w:cstheme="minorHAnsi"/>
          <w:iCs/>
          <w:szCs w:val="24"/>
        </w:rPr>
        <w:t>period</w:t>
      </w:r>
      <w:r w:rsidR="00833FD8" w:rsidRPr="00FA51B7">
        <w:rPr>
          <w:rFonts w:asciiTheme="minorHAnsi" w:hAnsiTheme="minorHAnsi" w:cstheme="minorHAnsi"/>
          <w:iCs/>
          <w:szCs w:val="24"/>
        </w:rPr>
        <w:t xml:space="preserve"> </w:t>
      </w:r>
      <w:r w:rsidR="00745CA6" w:rsidRPr="00FA51B7">
        <w:rPr>
          <w:rFonts w:asciiTheme="minorHAnsi" w:hAnsiTheme="minorHAnsi" w:cstheme="minorHAnsi"/>
          <w:iCs/>
          <w:szCs w:val="24"/>
        </w:rPr>
        <w:t>the</w:t>
      </w:r>
      <w:r w:rsidR="00833FD8" w:rsidRPr="00FA51B7">
        <w:rPr>
          <w:rFonts w:asciiTheme="minorHAnsi" w:hAnsiTheme="minorHAnsi" w:cstheme="minorHAnsi"/>
          <w:iCs/>
          <w:szCs w:val="24"/>
        </w:rPr>
        <w:t xml:space="preserve"> information </w:t>
      </w:r>
      <w:r w:rsidRPr="00FA51B7">
        <w:rPr>
          <w:rFonts w:asciiTheme="minorHAnsi" w:hAnsiTheme="minorHAnsi" w:cstheme="minorHAnsi"/>
          <w:iCs/>
          <w:szCs w:val="24"/>
        </w:rPr>
        <w:t>relates to</w:t>
      </w:r>
      <w:r w:rsidR="001A6908" w:rsidRPr="00FA51B7">
        <w:rPr>
          <w:rFonts w:asciiTheme="minorHAnsi" w:hAnsiTheme="minorHAnsi" w:cstheme="minorHAnsi"/>
          <w:iCs/>
          <w:szCs w:val="24"/>
        </w:rPr>
        <w:t>.</w:t>
      </w:r>
    </w:p>
    <w:p w14:paraId="1F9DFA02" w14:textId="1B1A1111" w:rsidR="005708AA" w:rsidRPr="00FA51B7" w:rsidRDefault="005708AA" w:rsidP="005708AA">
      <w:pPr>
        <w:pStyle w:val="Heading1"/>
      </w:pPr>
      <w:r w:rsidRPr="00FA51B7">
        <w:lastRenderedPageBreak/>
        <w:t>IMPACT ANALYSIS</w:t>
      </w:r>
    </w:p>
    <w:p w14:paraId="5EC2835B" w14:textId="651B8610" w:rsidR="00107A9E" w:rsidRPr="00FA51B7" w:rsidRDefault="00FE10AB" w:rsidP="00107A9E">
      <w:pPr>
        <w:rPr>
          <w:rFonts w:ascii="Calibri" w:eastAsia="Times New Roman" w:hAnsi="Calibri" w:cs="Calibri"/>
          <w:color w:val="000000"/>
          <w:szCs w:val="24"/>
          <w:lang w:eastAsia="en-AU"/>
        </w:rPr>
      </w:pPr>
      <w:r w:rsidRPr="00FA51B7">
        <w:rPr>
          <w:rFonts w:ascii="Calibri" w:eastAsia="Times New Roman" w:hAnsi="Calibri" w:cs="Calibri"/>
          <w:color w:val="000000"/>
          <w:szCs w:val="24"/>
          <w:lang w:eastAsia="en-AU"/>
        </w:rPr>
        <w:t xml:space="preserve">The </w:t>
      </w:r>
      <w:r w:rsidR="00745CA6" w:rsidRPr="00FA51B7">
        <w:rPr>
          <w:rFonts w:ascii="Calibri" w:eastAsia="Times New Roman" w:hAnsi="Calibri" w:cs="Calibri"/>
          <w:color w:val="000000"/>
          <w:szCs w:val="24"/>
          <w:lang w:eastAsia="en-AU"/>
        </w:rPr>
        <w:t>Office of Impact Analysis (</w:t>
      </w:r>
      <w:r w:rsidR="00107A9E" w:rsidRPr="00FA51B7">
        <w:rPr>
          <w:rFonts w:ascii="Calibri" w:eastAsia="Times New Roman" w:hAnsi="Calibri" w:cs="Calibri"/>
          <w:color w:val="000000"/>
          <w:szCs w:val="24"/>
          <w:lang w:eastAsia="en-AU"/>
        </w:rPr>
        <w:t>OIA</w:t>
      </w:r>
      <w:r w:rsidR="00745CA6" w:rsidRPr="00FA51B7">
        <w:rPr>
          <w:rFonts w:ascii="Calibri" w:eastAsia="Times New Roman" w:hAnsi="Calibri" w:cs="Calibri"/>
          <w:color w:val="000000"/>
          <w:szCs w:val="24"/>
          <w:lang w:eastAsia="en-AU"/>
        </w:rPr>
        <w:t>)</w:t>
      </w:r>
      <w:r w:rsidR="00107A9E" w:rsidRPr="00FA51B7">
        <w:rPr>
          <w:rFonts w:ascii="Calibri" w:eastAsia="Times New Roman" w:hAnsi="Calibri" w:cs="Calibri"/>
          <w:color w:val="000000"/>
          <w:szCs w:val="24"/>
          <w:lang w:eastAsia="en-AU"/>
        </w:rPr>
        <w:t xml:space="preserve"> has assessed the Amendment Rules as having no more than a minor regulatory impact (</w:t>
      </w:r>
      <w:r w:rsidR="008932CE" w:rsidRPr="00FA51B7">
        <w:rPr>
          <w:rFonts w:ascii="Calibri" w:eastAsia="Times New Roman" w:hAnsi="Calibri" w:cs="Calibri"/>
          <w:color w:val="000000"/>
          <w:szCs w:val="24"/>
          <w:lang w:eastAsia="en-AU"/>
        </w:rPr>
        <w:t xml:space="preserve">OBPR22-026829 and OBPR22-02692 </w:t>
      </w:r>
      <w:r w:rsidR="00107A9E" w:rsidRPr="00FA51B7">
        <w:rPr>
          <w:rFonts w:ascii="Calibri" w:eastAsia="Times New Roman" w:hAnsi="Calibri" w:cs="Calibri"/>
          <w:color w:val="000000"/>
          <w:szCs w:val="24"/>
          <w:lang w:eastAsia="en-AU"/>
        </w:rPr>
        <w:t xml:space="preserve">for Part 1 amendments, </w:t>
      </w:r>
      <w:r w:rsidR="008932CE" w:rsidRPr="00FA51B7">
        <w:rPr>
          <w:rFonts w:ascii="Calibri" w:eastAsia="Times New Roman" w:hAnsi="Calibri" w:cs="Calibri"/>
          <w:color w:val="000000"/>
          <w:szCs w:val="24"/>
          <w:lang w:eastAsia="en-AU"/>
        </w:rPr>
        <w:t xml:space="preserve">OBPR-02667 </w:t>
      </w:r>
      <w:r w:rsidR="00107A9E" w:rsidRPr="00FA51B7">
        <w:rPr>
          <w:rFonts w:ascii="Calibri" w:eastAsia="Times New Roman" w:hAnsi="Calibri" w:cs="Calibri"/>
          <w:color w:val="000000"/>
          <w:szCs w:val="24"/>
          <w:lang w:eastAsia="en-AU"/>
        </w:rPr>
        <w:t xml:space="preserve">for Part 2 and Part 3 </w:t>
      </w:r>
      <w:r w:rsidR="00B26B94" w:rsidRPr="00FA51B7">
        <w:rPr>
          <w:rFonts w:ascii="Calibri" w:eastAsia="Times New Roman" w:hAnsi="Calibri" w:cs="Calibri"/>
          <w:color w:val="000000"/>
          <w:szCs w:val="24"/>
          <w:lang w:eastAsia="en-AU"/>
        </w:rPr>
        <w:t>a</w:t>
      </w:r>
      <w:r w:rsidR="00107A9E" w:rsidRPr="00FA51B7">
        <w:rPr>
          <w:rFonts w:ascii="Calibri" w:eastAsia="Times New Roman" w:hAnsi="Calibri" w:cs="Calibri"/>
          <w:color w:val="000000"/>
          <w:szCs w:val="24"/>
          <w:lang w:eastAsia="en-AU"/>
        </w:rPr>
        <w:t xml:space="preserve">mendments, </w:t>
      </w:r>
      <w:r w:rsidR="008932CE" w:rsidRPr="00FA51B7">
        <w:rPr>
          <w:rFonts w:ascii="Calibri" w:eastAsia="Times New Roman" w:hAnsi="Calibri" w:cs="Calibri"/>
          <w:color w:val="000000"/>
          <w:szCs w:val="24"/>
          <w:lang w:eastAsia="en-AU"/>
        </w:rPr>
        <w:t>OIA23-04819</w:t>
      </w:r>
      <w:r w:rsidR="00107A9E" w:rsidRPr="00FA51B7">
        <w:rPr>
          <w:rFonts w:ascii="Calibri" w:eastAsia="Times New Roman" w:hAnsi="Calibri" w:cs="Calibri"/>
          <w:color w:val="000000"/>
          <w:szCs w:val="24"/>
          <w:lang w:eastAsia="en-AU"/>
        </w:rPr>
        <w:t xml:space="preserve"> for </w:t>
      </w:r>
      <w:r w:rsidR="00701BBA" w:rsidRPr="00FA51B7">
        <w:rPr>
          <w:rFonts w:ascii="Calibri" w:eastAsia="Times New Roman" w:hAnsi="Calibri" w:cs="Calibri"/>
          <w:color w:val="000000"/>
          <w:szCs w:val="24"/>
          <w:lang w:eastAsia="en-AU"/>
        </w:rPr>
        <w:t>P</w:t>
      </w:r>
      <w:r w:rsidR="00107A9E" w:rsidRPr="00FA51B7">
        <w:rPr>
          <w:rFonts w:ascii="Calibri" w:eastAsia="Times New Roman" w:hAnsi="Calibri" w:cs="Calibri"/>
          <w:color w:val="000000"/>
          <w:szCs w:val="24"/>
          <w:lang w:eastAsia="en-AU"/>
        </w:rPr>
        <w:t>art 5 amendments).</w:t>
      </w:r>
    </w:p>
    <w:p w14:paraId="38F00117" w14:textId="7752DEDA" w:rsidR="00CF098D" w:rsidRPr="00FA51B7" w:rsidRDefault="00107A9E" w:rsidP="00745CA6">
      <w:pPr>
        <w:rPr>
          <w:rFonts w:ascii="Calibri" w:eastAsia="Times New Roman" w:hAnsi="Calibri" w:cs="Calibri"/>
          <w:color w:val="000000"/>
          <w:szCs w:val="24"/>
          <w:lang w:eastAsia="en-AU"/>
        </w:rPr>
      </w:pPr>
      <w:r w:rsidRPr="00FA51B7">
        <w:rPr>
          <w:rFonts w:ascii="Calibri" w:eastAsia="Times New Roman" w:hAnsi="Calibri" w:cs="Calibri"/>
          <w:color w:val="000000"/>
          <w:szCs w:val="24"/>
          <w:lang w:eastAsia="en-AU"/>
        </w:rPr>
        <w:t>Part 4 amendments</w:t>
      </w:r>
      <w:r w:rsidR="008932CE" w:rsidRPr="00FA51B7">
        <w:rPr>
          <w:rFonts w:ascii="Calibri" w:eastAsia="Times New Roman" w:hAnsi="Calibri" w:cs="Calibri"/>
          <w:color w:val="000000"/>
          <w:szCs w:val="24"/>
          <w:lang w:eastAsia="en-AU"/>
        </w:rPr>
        <w:t xml:space="preserve"> involve a change in terminology only</w:t>
      </w:r>
      <w:r w:rsidRPr="00FA51B7">
        <w:rPr>
          <w:rFonts w:ascii="Calibri" w:eastAsia="Times New Roman" w:hAnsi="Calibri" w:cs="Calibri"/>
          <w:color w:val="000000"/>
          <w:szCs w:val="24"/>
          <w:lang w:eastAsia="en-AU"/>
        </w:rPr>
        <w:t xml:space="preserve">, </w:t>
      </w:r>
      <w:r w:rsidR="008932CE" w:rsidRPr="00FA51B7">
        <w:rPr>
          <w:rFonts w:ascii="Calibri" w:eastAsia="Times New Roman" w:hAnsi="Calibri" w:cs="Calibri"/>
          <w:color w:val="000000"/>
          <w:szCs w:val="24"/>
          <w:lang w:eastAsia="en-AU"/>
        </w:rPr>
        <w:t>and therefore ha</w:t>
      </w:r>
      <w:r w:rsidR="00B26B94" w:rsidRPr="00FA51B7">
        <w:rPr>
          <w:rFonts w:ascii="Calibri" w:eastAsia="Times New Roman" w:hAnsi="Calibri" w:cs="Calibri"/>
          <w:color w:val="000000"/>
          <w:szCs w:val="24"/>
          <w:lang w:eastAsia="en-AU"/>
        </w:rPr>
        <w:t>ve</w:t>
      </w:r>
      <w:r w:rsidR="008932CE" w:rsidRPr="00FA51B7">
        <w:rPr>
          <w:rFonts w:ascii="Calibri" w:eastAsia="Times New Roman" w:hAnsi="Calibri" w:cs="Calibri"/>
          <w:color w:val="000000"/>
          <w:szCs w:val="24"/>
          <w:lang w:eastAsia="en-AU"/>
        </w:rPr>
        <w:t xml:space="preserve"> no regulatory impact. </w:t>
      </w:r>
    </w:p>
    <w:p w14:paraId="4818CCF0" w14:textId="77777777" w:rsidR="00696CF0" w:rsidRPr="00FA51B7" w:rsidRDefault="00144950" w:rsidP="000C310A">
      <w:pPr>
        <w:pStyle w:val="Heading1"/>
      </w:pPr>
      <w:r w:rsidRPr="00FA51B7">
        <w:t>COMMENCEMENT</w:t>
      </w:r>
    </w:p>
    <w:p w14:paraId="1549033C" w14:textId="46CD5C32" w:rsidR="000369A9" w:rsidRPr="00FA51B7" w:rsidRDefault="000369A9" w:rsidP="000369A9">
      <w:pPr>
        <w:shd w:val="clear" w:color="auto" w:fill="FFFFFF"/>
        <w:spacing w:before="120" w:after="120" w:line="276" w:lineRule="atLeast"/>
        <w:rPr>
          <w:rFonts w:ascii="Calibri" w:eastAsia="Times New Roman" w:hAnsi="Calibri" w:cs="Calibri"/>
          <w:color w:val="000000"/>
          <w:szCs w:val="24"/>
          <w:lang w:eastAsia="en-AU"/>
        </w:rPr>
      </w:pPr>
      <w:bookmarkStart w:id="4" w:name="_Hlk130226345"/>
      <w:r w:rsidRPr="00FA51B7">
        <w:rPr>
          <w:rFonts w:ascii="Calibri" w:eastAsia="Times New Roman" w:hAnsi="Calibri" w:cs="Calibri"/>
          <w:color w:val="000000"/>
          <w:szCs w:val="24"/>
          <w:lang w:eastAsia="en-AU"/>
        </w:rPr>
        <w:t>Sections 1 to 4</w:t>
      </w:r>
      <w:r w:rsidR="005C7325" w:rsidRPr="00FA51B7">
        <w:rPr>
          <w:rFonts w:ascii="Calibri" w:eastAsia="Times New Roman" w:hAnsi="Calibri" w:cs="Calibri"/>
          <w:color w:val="000000"/>
          <w:szCs w:val="24"/>
          <w:lang w:eastAsia="en-AU"/>
        </w:rPr>
        <w:t xml:space="preserve"> </w:t>
      </w:r>
      <w:r w:rsidRPr="00FA51B7">
        <w:rPr>
          <w:rFonts w:ascii="Calibri" w:eastAsia="Times New Roman" w:hAnsi="Calibri" w:cs="Calibri"/>
          <w:color w:val="000000"/>
          <w:szCs w:val="24"/>
          <w:lang w:eastAsia="en-AU"/>
        </w:rPr>
        <w:t xml:space="preserve">commence </w:t>
      </w:r>
      <w:r w:rsidRPr="00FA51B7">
        <w:rPr>
          <w:rFonts w:ascii="Calibri" w:hAnsi="Calibri" w:cs="Calibri"/>
          <w:color w:val="000000"/>
          <w:shd w:val="clear" w:color="auto" w:fill="FFFFFF"/>
        </w:rPr>
        <w:t>on the day after registration</w:t>
      </w:r>
      <w:r w:rsidRPr="00FA51B7">
        <w:rPr>
          <w:rFonts w:ascii="Calibri" w:eastAsia="Times New Roman" w:hAnsi="Calibri" w:cs="Calibri"/>
          <w:color w:val="000000"/>
          <w:szCs w:val="24"/>
          <w:lang w:eastAsia="en-AU"/>
        </w:rPr>
        <w:t>.</w:t>
      </w:r>
      <w:r w:rsidR="0090680E" w:rsidRPr="00FA51B7">
        <w:rPr>
          <w:rFonts w:ascii="Calibri" w:eastAsia="Times New Roman" w:hAnsi="Calibri" w:cs="Calibri"/>
          <w:color w:val="000000"/>
          <w:szCs w:val="24"/>
          <w:lang w:eastAsia="en-AU"/>
        </w:rPr>
        <w:t xml:space="preserve"> Schedule 1 commences on 1 July 2023. </w:t>
      </w:r>
    </w:p>
    <w:p w14:paraId="59906F74" w14:textId="100BB5AF" w:rsidR="00696CF0" w:rsidRPr="00FA51B7" w:rsidRDefault="00144950" w:rsidP="000C310A">
      <w:pPr>
        <w:pStyle w:val="Heading1"/>
      </w:pPr>
      <w:bookmarkStart w:id="5" w:name="_Toc34293360"/>
      <w:bookmarkEnd w:id="4"/>
      <w:r w:rsidRPr="00FA51B7">
        <w:t>CONSULTATION</w:t>
      </w:r>
      <w:bookmarkEnd w:id="5"/>
    </w:p>
    <w:p w14:paraId="1EE7E012" w14:textId="77777777" w:rsidR="008B05D7" w:rsidRPr="00FA51B7" w:rsidRDefault="008B05D7" w:rsidP="008B05D7">
      <w:pPr>
        <w:spacing w:before="120" w:after="120"/>
        <w:rPr>
          <w:rFonts w:asciiTheme="minorHAnsi" w:hAnsiTheme="minorHAnsi" w:cstheme="minorHAnsi"/>
          <w:iCs/>
        </w:rPr>
      </w:pPr>
      <w:r w:rsidRPr="00FA51B7">
        <w:rPr>
          <w:rFonts w:asciiTheme="minorHAnsi" w:hAnsiTheme="minorHAnsi" w:cstheme="minorHAnsi"/>
          <w:iCs/>
        </w:rPr>
        <w:t xml:space="preserve">Since mid-2022, the Department of Education (the department) has consulted the early childhood education and care sector extensively on collecting ‘gap fee’ (the difference between child care session fees and CCS) via EFT, as well as the reporting requirements of large providers and publishing of large provider financial information to improve transparency. The department has consulted with the sector on the type of financial information to be reported and published to give greater fee transparency information for families. </w:t>
      </w:r>
    </w:p>
    <w:p w14:paraId="408BE4E3" w14:textId="77777777" w:rsidR="008B05D7" w:rsidRPr="00FA51B7" w:rsidRDefault="008B05D7" w:rsidP="008B05D7">
      <w:pPr>
        <w:spacing w:before="120" w:after="120"/>
        <w:rPr>
          <w:rFonts w:asciiTheme="minorHAnsi" w:hAnsiTheme="minorHAnsi" w:cstheme="minorHAnsi"/>
          <w:iCs/>
        </w:rPr>
      </w:pPr>
      <w:r w:rsidRPr="00FA51B7">
        <w:rPr>
          <w:rFonts w:asciiTheme="minorHAnsi" w:hAnsiTheme="minorHAnsi" w:cstheme="minorHAnsi"/>
          <w:iCs/>
        </w:rPr>
        <w:t>The department has consulted with the Early Childhood Education and Care Reference Group (ECECRG), which is the department’s key consultation and engagement mechanism for the child care sector, with varied representation across the sector. Membership includes the Secretariat of National Aboriginal and Islander Child Care. Some ECECRG members expressed concerns about the potential impact of the EFT requirement on women living in or fleeing domestic violence and indicated an exception would be appropriate. The measures in Part 1 address this concern</w:t>
      </w:r>
      <w:r w:rsidRPr="00FA51B7">
        <w:rPr>
          <w:rFonts w:asciiTheme="minorHAnsi" w:hAnsiTheme="minorHAnsi" w:cstheme="minorHAnsi"/>
        </w:rPr>
        <w:t xml:space="preserve"> by reducing the risk of domestic violence where a perpetrator may identify the location a child is attending care by viewing an electronic record (for example, a bank statement)</w:t>
      </w:r>
      <w:r w:rsidRPr="00FA51B7">
        <w:rPr>
          <w:rFonts w:asciiTheme="minorHAnsi" w:hAnsiTheme="minorHAnsi" w:cstheme="minorHAnsi"/>
          <w:iCs/>
        </w:rPr>
        <w:t xml:space="preserve">. </w:t>
      </w:r>
    </w:p>
    <w:p w14:paraId="51D8A3D8" w14:textId="77777777" w:rsidR="008B05D7" w:rsidRPr="00FA51B7" w:rsidRDefault="008B05D7" w:rsidP="008B05D7">
      <w:pPr>
        <w:spacing w:before="120" w:after="120"/>
        <w:rPr>
          <w:rFonts w:asciiTheme="minorHAnsi" w:hAnsiTheme="minorHAnsi" w:cstheme="minorHAnsi"/>
          <w:iCs/>
        </w:rPr>
      </w:pPr>
      <w:r w:rsidRPr="00FA51B7">
        <w:rPr>
          <w:rFonts w:asciiTheme="minorHAnsi" w:hAnsiTheme="minorHAnsi" w:cstheme="minorHAnsi"/>
          <w:iCs/>
        </w:rPr>
        <w:t xml:space="preserve">Additionally, the department consulted </w:t>
      </w:r>
      <w:proofErr w:type="gramStart"/>
      <w:r w:rsidRPr="00FA51B7">
        <w:rPr>
          <w:rFonts w:asciiTheme="minorHAnsi" w:hAnsiTheme="minorHAnsi" w:cstheme="minorHAnsi"/>
          <w:iCs/>
        </w:rPr>
        <w:t>a number of</w:t>
      </w:r>
      <w:proofErr w:type="gramEnd"/>
      <w:r w:rsidRPr="00FA51B7">
        <w:rPr>
          <w:rFonts w:asciiTheme="minorHAnsi" w:hAnsiTheme="minorHAnsi" w:cstheme="minorHAnsi"/>
          <w:iCs/>
        </w:rPr>
        <w:t xml:space="preserve"> Aboriginal Community Controlled early childhood education and care providers; domestic violence sector stakeholders from the Australian Women Against Violence Alliance and National Women’s Safety Alliance; third-party software providers; and the Department of Social Services. These stakeholders agreed this exception is appropriate. </w:t>
      </w:r>
    </w:p>
    <w:p w14:paraId="7F1264F7" w14:textId="77777777" w:rsidR="008B05D7" w:rsidRPr="00FA51B7" w:rsidRDefault="008B05D7" w:rsidP="008B05D7">
      <w:pPr>
        <w:spacing w:before="120" w:after="120"/>
        <w:rPr>
          <w:rFonts w:asciiTheme="minorHAnsi" w:hAnsiTheme="minorHAnsi" w:cstheme="minorHAnsi"/>
          <w:iCs/>
        </w:rPr>
      </w:pPr>
      <w:r w:rsidRPr="00FA51B7">
        <w:rPr>
          <w:rFonts w:asciiTheme="minorHAnsi" w:hAnsiTheme="minorHAnsi" w:cstheme="minorHAnsi"/>
          <w:iCs/>
        </w:rPr>
        <w:t xml:space="preserve">The amendments in Part 2 are technical in nature, </w:t>
      </w:r>
      <w:proofErr w:type="gramStart"/>
      <w:r w:rsidRPr="00FA51B7">
        <w:rPr>
          <w:rFonts w:asciiTheme="minorHAnsi" w:hAnsiTheme="minorHAnsi" w:cstheme="minorHAnsi"/>
          <w:iCs/>
        </w:rPr>
        <w:t>as a consequence of</w:t>
      </w:r>
      <w:proofErr w:type="gramEnd"/>
      <w:r w:rsidRPr="00FA51B7">
        <w:rPr>
          <w:rFonts w:asciiTheme="minorHAnsi" w:hAnsiTheme="minorHAnsi" w:cstheme="minorHAnsi"/>
          <w:iCs/>
        </w:rPr>
        <w:t xml:space="preserve"> terminology changes in the Family Assistance Act made by the Cheaper Child Care Act, on which the department conducted targeted consultation with the ECECRG. As a result, no further consultation has been conducted on this amendment. </w:t>
      </w:r>
    </w:p>
    <w:p w14:paraId="7FB84D37" w14:textId="77777777" w:rsidR="008B05D7" w:rsidRPr="00FA51B7" w:rsidRDefault="008B05D7" w:rsidP="008B05D7">
      <w:pPr>
        <w:spacing w:before="120" w:after="120"/>
        <w:rPr>
          <w:rFonts w:asciiTheme="minorHAnsi" w:hAnsiTheme="minorHAnsi" w:cstheme="minorHAnsi"/>
          <w:iCs/>
        </w:rPr>
      </w:pPr>
      <w:r w:rsidRPr="00FA51B7">
        <w:rPr>
          <w:rFonts w:asciiTheme="minorHAnsi" w:hAnsiTheme="minorHAnsi" w:cstheme="minorHAnsi"/>
          <w:iCs/>
        </w:rPr>
        <w:lastRenderedPageBreak/>
        <w:t xml:space="preserve">The department consulted with Services Australia on the amendments in Part 3, to ensure the smooth implementation of the measure.  </w:t>
      </w:r>
    </w:p>
    <w:p w14:paraId="5C772FFD" w14:textId="77777777" w:rsidR="008B05D7" w:rsidRPr="00FA51B7" w:rsidRDefault="008B05D7" w:rsidP="008B05D7">
      <w:pPr>
        <w:spacing w:before="120" w:after="120"/>
        <w:rPr>
          <w:rFonts w:asciiTheme="minorHAnsi" w:hAnsiTheme="minorHAnsi" w:cstheme="minorHAnsi"/>
          <w:iCs/>
        </w:rPr>
      </w:pPr>
      <w:r w:rsidRPr="00FA51B7">
        <w:rPr>
          <w:rFonts w:asciiTheme="minorHAnsi" w:hAnsiTheme="minorHAnsi" w:cstheme="minorHAnsi"/>
          <w:iCs/>
        </w:rPr>
        <w:t>In Part 4, the terminology of an ‘intensive early childhood education and care model trial’ was developed by the Parkville Institute Ltd, which oversees the trial, in consultation with relevant parties involved in the initiative. Broader consultation was not required, as the amendments will not affect the program itself or alter the services provided to children and families.</w:t>
      </w:r>
    </w:p>
    <w:p w14:paraId="3A6EE0A5" w14:textId="067FE2E8" w:rsidR="00FE10AB" w:rsidRPr="00FA51B7" w:rsidRDefault="00FE10AB">
      <w:pPr>
        <w:spacing w:after="160" w:line="259" w:lineRule="auto"/>
        <w:rPr>
          <w:rFonts w:asciiTheme="minorHAnsi" w:hAnsiTheme="minorHAnsi" w:cstheme="minorHAnsi"/>
        </w:rPr>
      </w:pPr>
      <w:r w:rsidRPr="00FA51B7">
        <w:rPr>
          <w:rFonts w:asciiTheme="minorHAnsi" w:hAnsiTheme="minorHAnsi" w:cstheme="minorHAnsi"/>
        </w:rPr>
        <w:br w:type="page"/>
      </w:r>
    </w:p>
    <w:p w14:paraId="2023D52E" w14:textId="77777777" w:rsidR="00DA552F" w:rsidRPr="00FA51B7" w:rsidRDefault="00DA552F" w:rsidP="000C310A">
      <w:pPr>
        <w:pStyle w:val="Title"/>
      </w:pPr>
      <w:bookmarkStart w:id="6" w:name="_Toc23942241"/>
      <w:bookmarkStart w:id="7" w:name="_Toc34293362"/>
      <w:r w:rsidRPr="00FA51B7">
        <w:rPr>
          <w:u w:val="none"/>
        </w:rPr>
        <w:lastRenderedPageBreak/>
        <w:t>STATEMENT OF COMPATIBILITY WITH HUMAN RIGHTS</w:t>
      </w:r>
      <w:bookmarkEnd w:id="6"/>
      <w:bookmarkEnd w:id="7"/>
    </w:p>
    <w:p w14:paraId="19B61A02" w14:textId="77777777" w:rsidR="00DA552F" w:rsidRPr="00FA51B7" w:rsidRDefault="00DA552F" w:rsidP="00DA552F">
      <w:pPr>
        <w:spacing w:before="120" w:after="120"/>
        <w:jc w:val="center"/>
        <w:rPr>
          <w:rFonts w:asciiTheme="minorHAnsi" w:hAnsiTheme="minorHAnsi" w:cstheme="minorHAnsi"/>
          <w:szCs w:val="24"/>
        </w:rPr>
      </w:pPr>
      <w:r w:rsidRPr="00FA51B7">
        <w:rPr>
          <w:rFonts w:asciiTheme="minorHAnsi" w:hAnsiTheme="minorHAnsi" w:cstheme="minorHAnsi"/>
          <w:i/>
          <w:szCs w:val="24"/>
        </w:rPr>
        <w:t xml:space="preserve">Prepared in accordance with Part 3 of the Human Rights (Parliamentary </w:t>
      </w:r>
      <w:r w:rsidR="003440C7" w:rsidRPr="00FA51B7">
        <w:rPr>
          <w:rFonts w:asciiTheme="minorHAnsi" w:hAnsiTheme="minorHAnsi" w:cstheme="minorHAnsi"/>
          <w:i/>
          <w:szCs w:val="24"/>
        </w:rPr>
        <w:t>Scrutiny) Act 2011</w:t>
      </w:r>
    </w:p>
    <w:p w14:paraId="699CD060" w14:textId="77777777" w:rsidR="005A366E" w:rsidRPr="00FA51B7" w:rsidRDefault="005A366E" w:rsidP="005A366E">
      <w:pPr>
        <w:pStyle w:val="Subtitle"/>
        <w:rPr>
          <w:b w:val="0"/>
          <w:bCs/>
          <w:i w:val="0"/>
          <w:iCs/>
          <w:u w:val="single"/>
        </w:rPr>
      </w:pPr>
      <w:r w:rsidRPr="00FA51B7">
        <w:rPr>
          <w:b w:val="0"/>
          <w:bCs/>
          <w:i w:val="0"/>
          <w:iCs/>
          <w:u w:val="single"/>
        </w:rPr>
        <w:t>Child Care Subsidy Amendment (Electronic Payment Exceptions and Other Measures) Minister’s Rules 2023</w:t>
      </w:r>
    </w:p>
    <w:p w14:paraId="65F6CFAB" w14:textId="3587D23B" w:rsidR="00DA552F" w:rsidRPr="00FA51B7" w:rsidRDefault="00F9205E" w:rsidP="00DA552F">
      <w:pPr>
        <w:spacing w:before="120" w:after="120"/>
        <w:rPr>
          <w:rFonts w:asciiTheme="minorHAnsi" w:hAnsiTheme="minorHAnsi" w:cstheme="minorHAnsi"/>
          <w:szCs w:val="24"/>
        </w:rPr>
      </w:pPr>
      <w:r w:rsidRPr="00FA51B7">
        <w:rPr>
          <w:rFonts w:asciiTheme="minorHAnsi" w:hAnsiTheme="minorHAnsi" w:cstheme="minorHAnsi"/>
          <w:szCs w:val="24"/>
        </w:rPr>
        <w:t xml:space="preserve">The </w:t>
      </w:r>
      <w:r w:rsidR="005A366E" w:rsidRPr="00FA51B7">
        <w:rPr>
          <w:rFonts w:asciiTheme="minorHAnsi" w:hAnsiTheme="minorHAnsi" w:cstheme="minorHAnsi"/>
          <w:i/>
          <w:iCs/>
          <w:szCs w:val="24"/>
        </w:rPr>
        <w:t xml:space="preserve">Child Care Subsidy Amendment (Electronic Payment Exceptions and Other Measures) Minister’s Rules 2023 </w:t>
      </w:r>
      <w:r w:rsidR="005A366E" w:rsidRPr="00FA51B7">
        <w:rPr>
          <w:rFonts w:asciiTheme="minorHAnsi" w:hAnsiTheme="minorHAnsi" w:cstheme="minorHAnsi"/>
          <w:szCs w:val="24"/>
        </w:rPr>
        <w:t>(</w:t>
      </w:r>
      <w:r w:rsidR="001E52EB" w:rsidRPr="00FA51B7">
        <w:rPr>
          <w:rFonts w:asciiTheme="minorHAnsi" w:hAnsiTheme="minorHAnsi" w:cstheme="minorHAnsi"/>
          <w:szCs w:val="24"/>
        </w:rPr>
        <w:t xml:space="preserve">the </w:t>
      </w:r>
      <w:r w:rsidR="007C3596" w:rsidRPr="00FA51B7">
        <w:rPr>
          <w:rFonts w:asciiTheme="minorHAnsi" w:hAnsiTheme="minorHAnsi" w:cstheme="minorHAnsi"/>
          <w:szCs w:val="24"/>
        </w:rPr>
        <w:t>Amendment Rules</w:t>
      </w:r>
      <w:r w:rsidR="001E52EB" w:rsidRPr="00FA51B7">
        <w:rPr>
          <w:rFonts w:asciiTheme="minorHAnsi" w:hAnsiTheme="minorHAnsi" w:cstheme="minorHAnsi"/>
          <w:szCs w:val="24"/>
        </w:rPr>
        <w:t xml:space="preserve">) </w:t>
      </w:r>
      <w:r w:rsidR="00B26B94" w:rsidRPr="00FA51B7">
        <w:rPr>
          <w:rFonts w:asciiTheme="minorHAnsi" w:hAnsiTheme="minorHAnsi" w:cstheme="minorHAnsi"/>
          <w:szCs w:val="24"/>
        </w:rPr>
        <w:t>are</w:t>
      </w:r>
      <w:r w:rsidR="002B5C28" w:rsidRPr="00FA51B7">
        <w:rPr>
          <w:rFonts w:asciiTheme="minorHAnsi" w:hAnsiTheme="minorHAnsi" w:cstheme="minorHAnsi"/>
          <w:szCs w:val="24"/>
        </w:rPr>
        <w:t xml:space="preserve"> </w:t>
      </w:r>
      <w:r w:rsidRPr="00FA51B7">
        <w:rPr>
          <w:rFonts w:asciiTheme="minorHAnsi" w:hAnsiTheme="minorHAnsi" w:cstheme="minorHAnsi"/>
          <w:szCs w:val="24"/>
        </w:rPr>
        <w:t xml:space="preserve">compatible with the human rights and freedoms recognised or declared in the international instruments listed in section 3 of the </w:t>
      </w:r>
      <w:r w:rsidRPr="00FA51B7">
        <w:rPr>
          <w:rFonts w:asciiTheme="minorHAnsi" w:hAnsiTheme="minorHAnsi" w:cstheme="minorHAnsi"/>
          <w:i/>
          <w:szCs w:val="24"/>
        </w:rPr>
        <w:t>Human Rights (Parliamentary Scrutiny) Act 2011</w:t>
      </w:r>
      <w:r w:rsidRPr="00FA51B7">
        <w:rPr>
          <w:rFonts w:asciiTheme="minorHAnsi" w:hAnsiTheme="minorHAnsi" w:cstheme="minorHAnsi"/>
          <w:szCs w:val="24"/>
        </w:rPr>
        <w:t>.</w:t>
      </w:r>
    </w:p>
    <w:p w14:paraId="4889D26D" w14:textId="28589A1B" w:rsidR="00F9205E" w:rsidRPr="00FA51B7" w:rsidRDefault="00F9205E" w:rsidP="000C310A">
      <w:pPr>
        <w:pStyle w:val="Heading2"/>
      </w:pPr>
      <w:r w:rsidRPr="00FA51B7">
        <w:t xml:space="preserve">Overview of the </w:t>
      </w:r>
      <w:r w:rsidR="002C40FB" w:rsidRPr="00FA51B7">
        <w:t>Legislative Instrument</w:t>
      </w:r>
    </w:p>
    <w:p w14:paraId="4526269A" w14:textId="77777777" w:rsidR="00B26B94" w:rsidRPr="00FA51B7" w:rsidRDefault="00B26B94" w:rsidP="00B26B94">
      <w:pPr>
        <w:spacing w:before="120" w:after="120"/>
        <w:rPr>
          <w:rFonts w:asciiTheme="minorHAnsi" w:hAnsiTheme="minorHAnsi" w:cstheme="minorHAnsi"/>
          <w:iCs/>
          <w:szCs w:val="24"/>
        </w:rPr>
      </w:pPr>
      <w:r w:rsidRPr="00FA51B7">
        <w:rPr>
          <w:rFonts w:asciiTheme="minorHAnsi" w:hAnsiTheme="minorHAnsi" w:cstheme="minorHAnsi"/>
          <w:iCs/>
          <w:szCs w:val="24"/>
        </w:rPr>
        <w:t>The Amendment Rules amend the</w:t>
      </w:r>
      <w:r w:rsidRPr="00FA51B7">
        <w:rPr>
          <w:rFonts w:asciiTheme="minorHAnsi" w:hAnsiTheme="minorHAnsi" w:cstheme="minorHAnsi"/>
          <w:i/>
          <w:szCs w:val="24"/>
        </w:rPr>
        <w:t xml:space="preserve"> Child Care Subsidy Minister’s Rules 2017 </w:t>
      </w:r>
      <w:r w:rsidRPr="00FA51B7">
        <w:rPr>
          <w:rFonts w:asciiTheme="minorHAnsi" w:hAnsiTheme="minorHAnsi" w:cstheme="minorHAnsi"/>
          <w:iCs/>
          <w:szCs w:val="24"/>
        </w:rPr>
        <w:t>(Principal Rules) to:</w:t>
      </w:r>
    </w:p>
    <w:p w14:paraId="63A3BE7B" w14:textId="77777777" w:rsidR="00B26B94" w:rsidRPr="00FA51B7" w:rsidRDefault="00B26B94" w:rsidP="00B26B94">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 xml:space="preserve">provide an exception to the requirement to pay fees using an electronic funds transfer (EFT) system where the individual reasonably fears such payment would put the individual or their child at risk of family and domestic </w:t>
      </w:r>
      <w:proofErr w:type="gramStart"/>
      <w:r w:rsidRPr="00FA51B7">
        <w:rPr>
          <w:rFonts w:asciiTheme="minorHAnsi" w:hAnsiTheme="minorHAnsi" w:cstheme="minorHAnsi"/>
          <w:iCs/>
          <w:szCs w:val="24"/>
        </w:rPr>
        <w:t>violence;</w:t>
      </w:r>
      <w:proofErr w:type="gramEnd"/>
    </w:p>
    <w:p w14:paraId="1BCF5B0A" w14:textId="77777777" w:rsidR="00B26B94" w:rsidRPr="00FA51B7" w:rsidRDefault="00B26B94" w:rsidP="00B26B94">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 xml:space="preserve">make rules for a </w:t>
      </w:r>
      <w:proofErr w:type="gramStart"/>
      <w:r w:rsidRPr="00FA51B7">
        <w:rPr>
          <w:rFonts w:asciiTheme="minorHAnsi" w:hAnsiTheme="minorHAnsi" w:cstheme="minorHAnsi"/>
          <w:iCs/>
          <w:szCs w:val="24"/>
        </w:rPr>
        <w:t>one year</w:t>
      </w:r>
      <w:proofErr w:type="gramEnd"/>
      <w:r w:rsidRPr="00FA51B7">
        <w:rPr>
          <w:rFonts w:asciiTheme="minorHAnsi" w:hAnsiTheme="minorHAnsi" w:cstheme="minorHAnsi"/>
          <w:iCs/>
          <w:szCs w:val="24"/>
        </w:rPr>
        <w:t xml:space="preserve"> transition period in relation to </w:t>
      </w:r>
      <w:r w:rsidRPr="00FA51B7">
        <w:rPr>
          <w:rFonts w:ascii="Calibri" w:eastAsia="Times New Roman" w:hAnsi="Calibri" w:cs="Calibri"/>
          <w:color w:val="000000"/>
          <w:szCs w:val="24"/>
          <w:lang w:eastAsia="en-AU"/>
        </w:rPr>
        <w:t>increased hours of subsidised care for</w:t>
      </w:r>
      <w:r w:rsidRPr="00FA51B7">
        <w:rPr>
          <w:rFonts w:asciiTheme="minorHAnsi" w:hAnsiTheme="minorHAnsi" w:cstheme="minorHAnsi"/>
          <w:iCs/>
          <w:szCs w:val="24"/>
        </w:rPr>
        <w:t xml:space="preserve"> individuals who notify the Secretary of an Aboriginal or Torres Strait Islander child in their care. These rules affect when information provided to the Secretary on a child’s Aboriginal and Torres Strait Islander status would impact a review of a child care subsidy (CCS) entitlement </w:t>
      </w:r>
      <w:proofErr w:type="gramStart"/>
      <w:r w:rsidRPr="00FA51B7">
        <w:rPr>
          <w:rFonts w:asciiTheme="minorHAnsi" w:hAnsiTheme="minorHAnsi" w:cstheme="minorHAnsi"/>
          <w:iCs/>
          <w:szCs w:val="24"/>
        </w:rPr>
        <w:t>decision;</w:t>
      </w:r>
      <w:proofErr w:type="gramEnd"/>
    </w:p>
    <w:p w14:paraId="7CE446C0" w14:textId="77777777" w:rsidR="00B26B94" w:rsidRPr="00FA51B7" w:rsidRDefault="00B26B94" w:rsidP="00B26B94">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 xml:space="preserve">make consequential changes to the Principal Rules to align terminology with the Family Assistance Act, following amendments made by the </w:t>
      </w:r>
      <w:r w:rsidRPr="00FA51B7">
        <w:rPr>
          <w:rFonts w:asciiTheme="minorHAnsi" w:hAnsiTheme="minorHAnsi" w:cstheme="minorHAnsi"/>
          <w:i/>
          <w:szCs w:val="24"/>
        </w:rPr>
        <w:t xml:space="preserve">Family Assistance Legislation Amendment (Cheaper Child Care) Act </w:t>
      </w:r>
      <w:proofErr w:type="gramStart"/>
      <w:r w:rsidRPr="00FA51B7">
        <w:rPr>
          <w:rFonts w:asciiTheme="minorHAnsi" w:hAnsiTheme="minorHAnsi" w:cstheme="minorHAnsi"/>
          <w:i/>
          <w:szCs w:val="24"/>
        </w:rPr>
        <w:t>2022</w:t>
      </w:r>
      <w:r w:rsidRPr="00FA51B7">
        <w:rPr>
          <w:rFonts w:asciiTheme="minorHAnsi" w:hAnsiTheme="minorHAnsi" w:cstheme="minorHAnsi"/>
          <w:iCs/>
          <w:szCs w:val="24"/>
        </w:rPr>
        <w:t>;</w:t>
      </w:r>
      <w:proofErr w:type="gramEnd"/>
    </w:p>
    <w:p w14:paraId="5C7B35D3" w14:textId="77777777" w:rsidR="00B26B94" w:rsidRPr="00FA51B7" w:rsidRDefault="00B26B94" w:rsidP="00B26B94">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change references to the ‘Early Years Education Program’ to reflect</w:t>
      </w:r>
      <w:r w:rsidRPr="00FA51B7">
        <w:rPr>
          <w:rFonts w:asciiTheme="minorHAnsi" w:hAnsiTheme="minorHAnsi" w:cstheme="minorHAnsi"/>
        </w:rPr>
        <w:t xml:space="preserve"> public rebranding of the initiative to ‘an intensive early childhood education and care trial</w:t>
      </w:r>
      <w:proofErr w:type="gramStart"/>
      <w:r w:rsidRPr="00FA51B7">
        <w:rPr>
          <w:rFonts w:asciiTheme="minorHAnsi" w:hAnsiTheme="minorHAnsi" w:cstheme="minorHAnsi"/>
        </w:rPr>
        <w:t>’</w:t>
      </w:r>
      <w:r w:rsidRPr="00FA51B7">
        <w:rPr>
          <w:rFonts w:asciiTheme="minorHAnsi" w:hAnsiTheme="minorHAnsi" w:cstheme="minorHAnsi"/>
          <w:iCs/>
          <w:szCs w:val="24"/>
        </w:rPr>
        <w:t>;</w:t>
      </w:r>
      <w:proofErr w:type="gramEnd"/>
    </w:p>
    <w:p w14:paraId="7DCCC613" w14:textId="77777777" w:rsidR="00B26B94" w:rsidRPr="00FA51B7" w:rsidRDefault="00B26B94" w:rsidP="00B26B94">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prescribe the information about a provider that the Secretary may publish, by electronic means; and</w:t>
      </w:r>
    </w:p>
    <w:p w14:paraId="33D7D2B8" w14:textId="77777777" w:rsidR="00B26B94" w:rsidRPr="00FA51B7" w:rsidRDefault="00B26B94" w:rsidP="00B26B94">
      <w:pPr>
        <w:pStyle w:val="ListParagraph"/>
        <w:numPr>
          <w:ilvl w:val="0"/>
          <w:numId w:val="4"/>
        </w:numPr>
        <w:spacing w:before="120" w:after="120"/>
        <w:rPr>
          <w:rFonts w:asciiTheme="minorHAnsi" w:hAnsiTheme="minorHAnsi" w:cstheme="minorHAnsi"/>
          <w:iCs/>
          <w:szCs w:val="24"/>
        </w:rPr>
      </w:pPr>
      <w:r w:rsidRPr="00FA51B7">
        <w:rPr>
          <w:rFonts w:asciiTheme="minorHAnsi" w:hAnsiTheme="minorHAnsi" w:cstheme="minorHAnsi"/>
          <w:iCs/>
          <w:szCs w:val="24"/>
        </w:rPr>
        <w:t>prescribe the financial information which must be reported by large child care providers, and the period the information relates to.</w:t>
      </w:r>
    </w:p>
    <w:p w14:paraId="57CC71C9" w14:textId="77777777" w:rsidR="00F9205E" w:rsidRPr="00FA51B7" w:rsidRDefault="00F9205E" w:rsidP="000C310A">
      <w:pPr>
        <w:pStyle w:val="Heading2"/>
      </w:pPr>
      <w:r w:rsidRPr="00FA51B7">
        <w:t>Human rights implications</w:t>
      </w:r>
    </w:p>
    <w:p w14:paraId="40B7BAE5" w14:textId="77777777" w:rsidR="00CF12C3" w:rsidRPr="00FA51B7" w:rsidRDefault="00CF12C3" w:rsidP="00CF12C3">
      <w:pPr>
        <w:spacing w:before="120" w:after="120"/>
        <w:rPr>
          <w:rFonts w:asciiTheme="minorHAnsi" w:hAnsiTheme="minorHAnsi" w:cstheme="minorHAnsi"/>
          <w:szCs w:val="24"/>
        </w:rPr>
      </w:pPr>
      <w:r w:rsidRPr="00FA51B7">
        <w:rPr>
          <w:rFonts w:asciiTheme="minorHAnsi" w:hAnsiTheme="minorHAnsi" w:cstheme="minorHAnsi"/>
          <w:szCs w:val="24"/>
        </w:rPr>
        <w:t>The Amendment Rules engage the following human rights:</w:t>
      </w:r>
    </w:p>
    <w:p w14:paraId="6389AB45" w14:textId="79BBB495" w:rsidR="00CF12C3" w:rsidRPr="00FA51B7" w:rsidRDefault="00CF12C3" w:rsidP="006930FD">
      <w:pPr>
        <w:pStyle w:val="ListParagraph"/>
        <w:numPr>
          <w:ilvl w:val="0"/>
          <w:numId w:val="2"/>
        </w:numPr>
        <w:spacing w:before="120" w:after="120"/>
        <w:rPr>
          <w:rFonts w:asciiTheme="minorHAnsi" w:hAnsiTheme="minorHAnsi" w:cstheme="minorHAnsi"/>
          <w:b/>
          <w:bCs/>
          <w:iCs/>
          <w:szCs w:val="24"/>
        </w:rPr>
      </w:pPr>
      <w:r w:rsidRPr="00FA51B7">
        <w:rPr>
          <w:rFonts w:asciiTheme="minorHAnsi" w:hAnsiTheme="minorHAnsi" w:cstheme="minorHAnsi"/>
          <w:b/>
          <w:bCs/>
          <w:iCs/>
          <w:szCs w:val="24"/>
        </w:rPr>
        <w:t>Article 3</w:t>
      </w:r>
      <w:r w:rsidRPr="00FA51B7">
        <w:rPr>
          <w:rFonts w:asciiTheme="minorHAnsi" w:hAnsiTheme="minorHAnsi" w:cstheme="minorHAnsi"/>
          <w:iCs/>
          <w:szCs w:val="24"/>
        </w:rPr>
        <w:t xml:space="preserve"> </w:t>
      </w:r>
      <w:r w:rsidRPr="00FA51B7">
        <w:rPr>
          <w:rFonts w:ascii="Calibri" w:eastAsia="Times New Roman" w:hAnsi="Calibri" w:cs="Calibri"/>
          <w:color w:val="000000"/>
          <w:szCs w:val="24"/>
          <w:lang w:eastAsia="en-AU"/>
        </w:rPr>
        <w:t>of the Convention on the Rights of the Child (CRC)</w:t>
      </w:r>
      <w:r w:rsidR="00B26B94" w:rsidRPr="00FA51B7">
        <w:rPr>
          <w:rFonts w:ascii="Calibri" w:eastAsia="Times New Roman" w:hAnsi="Calibri" w:cs="Calibri"/>
          <w:color w:val="000000"/>
          <w:szCs w:val="24"/>
          <w:lang w:eastAsia="en-AU"/>
        </w:rPr>
        <w:t>,</w:t>
      </w:r>
      <w:r w:rsidRPr="00FA51B7">
        <w:rPr>
          <w:rFonts w:ascii="Calibri" w:eastAsia="Times New Roman" w:hAnsi="Calibri" w:cs="Calibri"/>
          <w:color w:val="000000"/>
          <w:szCs w:val="24"/>
          <w:lang w:eastAsia="en-AU"/>
        </w:rPr>
        <w:t xml:space="preserve"> which recognises that in all actions concerning children, the best interests of the child shall be a primary </w:t>
      </w:r>
      <w:proofErr w:type="gramStart"/>
      <w:r w:rsidRPr="00FA51B7">
        <w:rPr>
          <w:rFonts w:ascii="Calibri" w:eastAsia="Times New Roman" w:hAnsi="Calibri" w:cs="Calibri"/>
          <w:color w:val="000000"/>
          <w:szCs w:val="24"/>
          <w:lang w:eastAsia="en-AU"/>
        </w:rPr>
        <w:t>consideration;</w:t>
      </w:r>
      <w:proofErr w:type="gramEnd"/>
    </w:p>
    <w:p w14:paraId="4B2AA2E6" w14:textId="43AF9661" w:rsidR="0032350A" w:rsidRPr="00FA51B7" w:rsidRDefault="0032350A" w:rsidP="00330CD9">
      <w:pPr>
        <w:pStyle w:val="ListParagraph"/>
        <w:numPr>
          <w:ilvl w:val="0"/>
          <w:numId w:val="2"/>
        </w:numPr>
        <w:spacing w:before="120" w:after="120"/>
        <w:rPr>
          <w:rFonts w:asciiTheme="minorHAnsi" w:hAnsiTheme="minorHAnsi" w:cstheme="minorHAnsi"/>
          <w:iCs/>
        </w:rPr>
      </w:pPr>
      <w:r w:rsidRPr="00FA51B7">
        <w:rPr>
          <w:rFonts w:asciiTheme="minorHAnsi" w:hAnsiTheme="minorHAnsi" w:cstheme="minorHAnsi"/>
          <w:b/>
          <w:bCs/>
          <w:szCs w:val="24"/>
        </w:rPr>
        <w:t xml:space="preserve">Article 18 </w:t>
      </w:r>
      <w:r w:rsidRPr="00FA51B7">
        <w:rPr>
          <w:rFonts w:asciiTheme="minorHAnsi" w:hAnsiTheme="minorHAnsi" w:cstheme="minorHAnsi"/>
          <w:szCs w:val="24"/>
        </w:rPr>
        <w:t>of the CRC,</w:t>
      </w:r>
      <w:r w:rsidRPr="00FA51B7">
        <w:t xml:space="preserve"> </w:t>
      </w:r>
      <w:r w:rsidRPr="00FA51B7">
        <w:rPr>
          <w:rFonts w:asciiTheme="minorHAnsi" w:hAnsiTheme="minorHAnsi" w:cstheme="minorHAnsi"/>
          <w:szCs w:val="24"/>
        </w:rPr>
        <w:t xml:space="preserve">which requires States Parties to take all appropriate measures to ensure that children of working parents have the right to benefit from child care services and </w:t>
      </w:r>
      <w:proofErr w:type="gramStart"/>
      <w:r w:rsidRPr="00FA51B7">
        <w:rPr>
          <w:rFonts w:asciiTheme="minorHAnsi" w:hAnsiTheme="minorHAnsi" w:cstheme="minorHAnsi"/>
          <w:szCs w:val="24"/>
        </w:rPr>
        <w:t>facilities;</w:t>
      </w:r>
      <w:proofErr w:type="gramEnd"/>
    </w:p>
    <w:p w14:paraId="4750D811" w14:textId="238BF45F" w:rsidR="00CF12C3" w:rsidRPr="00FA51B7" w:rsidRDefault="00CF12C3" w:rsidP="00330CD9">
      <w:pPr>
        <w:pStyle w:val="ListParagraph"/>
        <w:numPr>
          <w:ilvl w:val="0"/>
          <w:numId w:val="2"/>
        </w:numPr>
        <w:spacing w:before="120" w:after="120"/>
        <w:rPr>
          <w:rFonts w:asciiTheme="minorHAnsi" w:hAnsiTheme="minorHAnsi" w:cstheme="minorHAnsi"/>
          <w:iCs/>
        </w:rPr>
      </w:pPr>
      <w:r w:rsidRPr="00FA51B7">
        <w:rPr>
          <w:rFonts w:asciiTheme="minorHAnsi" w:hAnsiTheme="minorHAnsi" w:cstheme="minorHAnsi"/>
          <w:b/>
          <w:bCs/>
          <w:szCs w:val="24"/>
        </w:rPr>
        <w:lastRenderedPageBreak/>
        <w:t>Article 24 </w:t>
      </w:r>
      <w:r w:rsidRPr="00FA51B7">
        <w:rPr>
          <w:rFonts w:asciiTheme="minorHAnsi" w:hAnsiTheme="minorHAnsi" w:cstheme="minorHAnsi"/>
          <w:iCs/>
        </w:rPr>
        <w:t xml:space="preserve">of the CRC, which recognises the right of the child to the highest attainable standard of </w:t>
      </w:r>
      <w:proofErr w:type="gramStart"/>
      <w:r w:rsidRPr="00FA51B7">
        <w:rPr>
          <w:rFonts w:asciiTheme="minorHAnsi" w:hAnsiTheme="minorHAnsi" w:cstheme="minorHAnsi"/>
          <w:iCs/>
        </w:rPr>
        <w:t>health</w:t>
      </w:r>
      <w:r w:rsidR="00432A02" w:rsidRPr="00FA51B7">
        <w:rPr>
          <w:rFonts w:asciiTheme="minorHAnsi" w:hAnsiTheme="minorHAnsi" w:cstheme="minorHAnsi"/>
          <w:iCs/>
        </w:rPr>
        <w:t>;</w:t>
      </w:r>
      <w:proofErr w:type="gramEnd"/>
      <w:r w:rsidR="00432A02" w:rsidRPr="00FA51B7">
        <w:rPr>
          <w:rFonts w:asciiTheme="minorHAnsi" w:hAnsiTheme="minorHAnsi" w:cstheme="minorHAnsi"/>
          <w:iCs/>
        </w:rPr>
        <w:t xml:space="preserve"> </w:t>
      </w:r>
    </w:p>
    <w:p w14:paraId="74B9839E" w14:textId="77777777" w:rsidR="00ED1161" w:rsidRPr="00FA51B7" w:rsidRDefault="006930FD" w:rsidP="00330CD9">
      <w:pPr>
        <w:pStyle w:val="ListParagraph"/>
        <w:numPr>
          <w:ilvl w:val="0"/>
          <w:numId w:val="2"/>
        </w:numPr>
        <w:spacing w:before="120" w:after="120"/>
        <w:rPr>
          <w:rFonts w:asciiTheme="minorHAnsi" w:hAnsiTheme="minorHAnsi" w:cstheme="minorHAnsi"/>
          <w:iCs/>
        </w:rPr>
      </w:pPr>
      <w:r w:rsidRPr="00FA51B7">
        <w:rPr>
          <w:rFonts w:asciiTheme="minorHAnsi" w:hAnsiTheme="minorHAnsi" w:cstheme="minorHAnsi"/>
          <w:b/>
          <w:bCs/>
          <w:iCs/>
        </w:rPr>
        <w:t>Article</w:t>
      </w:r>
      <w:r w:rsidR="00F76913" w:rsidRPr="00FA51B7">
        <w:rPr>
          <w:rFonts w:asciiTheme="minorHAnsi" w:hAnsiTheme="minorHAnsi" w:cstheme="minorHAnsi"/>
          <w:b/>
          <w:bCs/>
          <w:iCs/>
        </w:rPr>
        <w:t xml:space="preserve"> 2</w:t>
      </w:r>
      <w:r w:rsidR="00481FD6" w:rsidRPr="00FA51B7">
        <w:rPr>
          <w:rFonts w:asciiTheme="minorHAnsi" w:hAnsiTheme="minorHAnsi" w:cstheme="minorHAnsi"/>
          <w:b/>
          <w:bCs/>
          <w:iCs/>
        </w:rPr>
        <w:t>(c)</w:t>
      </w:r>
      <w:r w:rsidR="00481FD6" w:rsidRPr="00FA51B7">
        <w:rPr>
          <w:rFonts w:asciiTheme="minorHAnsi" w:hAnsiTheme="minorHAnsi" w:cstheme="minorHAnsi"/>
          <w:iCs/>
        </w:rPr>
        <w:t xml:space="preserve"> </w:t>
      </w:r>
      <w:r w:rsidRPr="00FA51B7">
        <w:rPr>
          <w:rFonts w:asciiTheme="minorHAnsi" w:hAnsiTheme="minorHAnsi" w:cstheme="minorHAnsi"/>
          <w:iCs/>
        </w:rPr>
        <w:t xml:space="preserve">of the </w:t>
      </w:r>
      <w:r w:rsidR="005F57A1" w:rsidRPr="00FA51B7">
        <w:rPr>
          <w:rFonts w:asciiTheme="minorHAnsi" w:hAnsiTheme="minorHAnsi" w:cstheme="minorHAnsi"/>
          <w:iCs/>
        </w:rPr>
        <w:t>Convention on the Elimination of All Forms of Discrimination against Women (CEDAW</w:t>
      </w:r>
      <w:r w:rsidR="00F26351" w:rsidRPr="00FA51B7">
        <w:rPr>
          <w:rFonts w:asciiTheme="minorHAnsi" w:hAnsiTheme="minorHAnsi" w:cstheme="minorHAnsi"/>
          <w:iCs/>
        </w:rPr>
        <w:t>)</w:t>
      </w:r>
      <w:r w:rsidR="002B0218" w:rsidRPr="00FA51B7">
        <w:rPr>
          <w:rFonts w:asciiTheme="minorHAnsi" w:hAnsiTheme="minorHAnsi" w:cstheme="minorHAnsi"/>
          <w:iCs/>
        </w:rPr>
        <w:t xml:space="preserve">, which requires States </w:t>
      </w:r>
      <w:r w:rsidR="000204A4" w:rsidRPr="00FA51B7">
        <w:rPr>
          <w:rFonts w:asciiTheme="minorHAnsi" w:hAnsiTheme="minorHAnsi" w:cstheme="minorHAnsi"/>
          <w:iCs/>
        </w:rPr>
        <w:t>P</w:t>
      </w:r>
      <w:r w:rsidR="002B0218" w:rsidRPr="00FA51B7">
        <w:rPr>
          <w:rFonts w:asciiTheme="minorHAnsi" w:hAnsiTheme="minorHAnsi" w:cstheme="minorHAnsi"/>
          <w:iCs/>
        </w:rPr>
        <w:t xml:space="preserve">arties </w:t>
      </w:r>
      <w:r w:rsidR="00481FD6" w:rsidRPr="00FA51B7">
        <w:rPr>
          <w:rFonts w:asciiTheme="minorHAnsi" w:hAnsiTheme="minorHAnsi" w:cstheme="minorHAnsi"/>
          <w:iCs/>
        </w:rPr>
        <w:t>to establish legal protection of the rights of women and</w:t>
      </w:r>
      <w:r w:rsidR="00F76913" w:rsidRPr="00FA51B7">
        <w:rPr>
          <w:rFonts w:asciiTheme="minorHAnsi" w:hAnsiTheme="minorHAnsi" w:cstheme="minorHAnsi"/>
          <w:iCs/>
        </w:rPr>
        <w:t xml:space="preserve"> </w:t>
      </w:r>
      <w:r w:rsidR="00481FD6" w:rsidRPr="00FA51B7">
        <w:rPr>
          <w:rFonts w:asciiTheme="minorHAnsi" w:hAnsiTheme="minorHAnsi" w:cstheme="minorHAnsi"/>
          <w:iCs/>
        </w:rPr>
        <w:t>protect women against</w:t>
      </w:r>
      <w:r w:rsidR="00F76913" w:rsidRPr="00FA51B7">
        <w:rPr>
          <w:rFonts w:asciiTheme="minorHAnsi" w:hAnsiTheme="minorHAnsi" w:cstheme="minorHAnsi"/>
          <w:iCs/>
        </w:rPr>
        <w:t xml:space="preserve"> discrimination</w:t>
      </w:r>
      <w:r w:rsidR="00ED1161" w:rsidRPr="00FA51B7">
        <w:rPr>
          <w:rFonts w:asciiTheme="minorHAnsi" w:hAnsiTheme="minorHAnsi" w:cstheme="minorHAnsi"/>
          <w:iCs/>
        </w:rPr>
        <w:t>; and</w:t>
      </w:r>
    </w:p>
    <w:p w14:paraId="4E67367F" w14:textId="0AF02BC8" w:rsidR="00E8671C" w:rsidRPr="00FA51B7" w:rsidRDefault="00ED1161" w:rsidP="00330CD9">
      <w:pPr>
        <w:pStyle w:val="ListParagraph"/>
        <w:numPr>
          <w:ilvl w:val="0"/>
          <w:numId w:val="2"/>
        </w:numPr>
        <w:spacing w:before="120" w:after="120"/>
        <w:rPr>
          <w:rFonts w:asciiTheme="minorHAnsi" w:hAnsiTheme="minorHAnsi" w:cstheme="minorHAnsi"/>
          <w:iCs/>
        </w:rPr>
      </w:pPr>
      <w:r w:rsidRPr="00FA51B7">
        <w:rPr>
          <w:rFonts w:asciiTheme="minorHAnsi" w:hAnsiTheme="minorHAnsi" w:cstheme="minorHAnsi"/>
          <w:b/>
          <w:bCs/>
          <w:iCs/>
        </w:rPr>
        <w:t>Article 3</w:t>
      </w:r>
      <w:r w:rsidRPr="00FA51B7">
        <w:rPr>
          <w:rFonts w:asciiTheme="minorHAnsi" w:hAnsiTheme="minorHAnsi" w:cstheme="minorHAnsi"/>
          <w:iCs/>
        </w:rPr>
        <w:t xml:space="preserve"> of the CEDAW, which requires States Parties to </w:t>
      </w:r>
      <w:r w:rsidR="0027780C" w:rsidRPr="00FA51B7">
        <w:rPr>
          <w:rFonts w:asciiTheme="minorHAnsi" w:hAnsiTheme="minorHAnsi" w:cstheme="minorHAnsi"/>
          <w:iCs/>
        </w:rPr>
        <w:t>ensure the full development and advancement of women</w:t>
      </w:r>
      <w:r w:rsidR="0021026A" w:rsidRPr="00FA51B7">
        <w:rPr>
          <w:rFonts w:asciiTheme="minorHAnsi" w:hAnsiTheme="minorHAnsi" w:cstheme="minorHAnsi"/>
          <w:iCs/>
        </w:rPr>
        <w:t>.</w:t>
      </w:r>
    </w:p>
    <w:p w14:paraId="6D907BD4" w14:textId="77777777" w:rsidR="00B62B27" w:rsidRPr="00FA51B7" w:rsidRDefault="00B62B27" w:rsidP="00B62B27">
      <w:pPr>
        <w:pStyle w:val="Heading3"/>
      </w:pPr>
      <w:r w:rsidRPr="00FA51B7">
        <w:t>Article 3 of the CRC</w:t>
      </w:r>
    </w:p>
    <w:p w14:paraId="5AEB623C" w14:textId="77777777" w:rsidR="00B62B27" w:rsidRPr="00FA51B7" w:rsidRDefault="00B62B27" w:rsidP="00B62B27">
      <w:pPr>
        <w:spacing w:before="120" w:after="120"/>
        <w:rPr>
          <w:rFonts w:asciiTheme="minorHAnsi" w:hAnsiTheme="minorHAnsi" w:cstheme="minorHAnsi"/>
          <w:bCs/>
          <w:iCs/>
          <w:szCs w:val="24"/>
        </w:rPr>
      </w:pPr>
      <w:r w:rsidRPr="00FA51B7">
        <w:rPr>
          <w:rFonts w:asciiTheme="minorHAnsi" w:hAnsiTheme="minorHAnsi" w:cstheme="minorHAnsi"/>
          <w:bCs/>
          <w:iCs/>
          <w:szCs w:val="24"/>
        </w:rPr>
        <w:t xml:space="preserve">Article 3 of the CRC recognises that in all actions concerning children, including those undertaken by administrative authorities or legislative bodies, the best interests of the child shall be a primary consideration. </w:t>
      </w:r>
    </w:p>
    <w:p w14:paraId="1B65ACE4" w14:textId="7223BAB0" w:rsidR="00017461" w:rsidRPr="00FA51B7" w:rsidRDefault="00B62B27" w:rsidP="00330CD9">
      <w:pPr>
        <w:spacing w:before="120" w:after="120"/>
        <w:rPr>
          <w:rFonts w:asciiTheme="minorHAnsi" w:hAnsiTheme="minorHAnsi" w:cstheme="minorHAnsi"/>
          <w:bCs/>
          <w:iCs/>
          <w:szCs w:val="24"/>
        </w:rPr>
      </w:pPr>
      <w:r w:rsidRPr="00FA51B7">
        <w:rPr>
          <w:rFonts w:asciiTheme="minorHAnsi" w:hAnsiTheme="minorHAnsi" w:cstheme="minorHAnsi"/>
          <w:bCs/>
          <w:iCs/>
          <w:szCs w:val="24"/>
        </w:rPr>
        <w:t xml:space="preserve">The Amendment Rules </w:t>
      </w:r>
      <w:r w:rsidR="00F455BF" w:rsidRPr="00FA51B7">
        <w:rPr>
          <w:rFonts w:asciiTheme="minorHAnsi" w:hAnsiTheme="minorHAnsi" w:cstheme="minorHAnsi"/>
          <w:bCs/>
          <w:iCs/>
          <w:szCs w:val="24"/>
        </w:rPr>
        <w:t>provid</w:t>
      </w:r>
      <w:r w:rsidR="00712FF2" w:rsidRPr="00FA51B7">
        <w:rPr>
          <w:rFonts w:asciiTheme="minorHAnsi" w:hAnsiTheme="minorHAnsi" w:cstheme="minorHAnsi"/>
          <w:bCs/>
          <w:iCs/>
          <w:szCs w:val="24"/>
        </w:rPr>
        <w:t>e</w:t>
      </w:r>
      <w:r w:rsidR="00F455BF" w:rsidRPr="00FA51B7">
        <w:rPr>
          <w:rFonts w:asciiTheme="minorHAnsi" w:hAnsiTheme="minorHAnsi" w:cstheme="minorHAnsi"/>
          <w:bCs/>
          <w:iCs/>
          <w:szCs w:val="24"/>
        </w:rPr>
        <w:t xml:space="preserve"> an exception to the requirement to pay </w:t>
      </w:r>
      <w:r w:rsidR="00CA47F1" w:rsidRPr="00FA51B7">
        <w:rPr>
          <w:rFonts w:asciiTheme="minorHAnsi" w:hAnsiTheme="minorHAnsi" w:cstheme="minorHAnsi"/>
          <w:bCs/>
          <w:iCs/>
          <w:szCs w:val="24"/>
        </w:rPr>
        <w:t xml:space="preserve">child care </w:t>
      </w:r>
      <w:r w:rsidR="00F455BF" w:rsidRPr="00FA51B7">
        <w:rPr>
          <w:rFonts w:asciiTheme="minorHAnsi" w:hAnsiTheme="minorHAnsi" w:cstheme="minorHAnsi"/>
          <w:bCs/>
          <w:iCs/>
          <w:szCs w:val="24"/>
        </w:rPr>
        <w:t xml:space="preserve">fees using an electronic funds transfer </w:t>
      </w:r>
      <w:r w:rsidR="007E36C3" w:rsidRPr="00FA51B7">
        <w:rPr>
          <w:rFonts w:asciiTheme="minorHAnsi" w:hAnsiTheme="minorHAnsi" w:cstheme="minorHAnsi"/>
          <w:bCs/>
          <w:iCs/>
          <w:szCs w:val="24"/>
        </w:rPr>
        <w:t xml:space="preserve">(EFT) </w:t>
      </w:r>
      <w:r w:rsidR="00F455BF" w:rsidRPr="00FA51B7">
        <w:rPr>
          <w:rFonts w:asciiTheme="minorHAnsi" w:hAnsiTheme="minorHAnsi" w:cstheme="minorHAnsi"/>
          <w:bCs/>
          <w:iCs/>
          <w:szCs w:val="24"/>
        </w:rPr>
        <w:t xml:space="preserve">system where </w:t>
      </w:r>
      <w:r w:rsidR="00B2791B" w:rsidRPr="00FA51B7">
        <w:rPr>
          <w:rFonts w:asciiTheme="minorHAnsi" w:hAnsiTheme="minorHAnsi" w:cstheme="minorHAnsi"/>
          <w:bCs/>
          <w:iCs/>
          <w:szCs w:val="24"/>
        </w:rPr>
        <w:t xml:space="preserve">the individual reasonably fears that </w:t>
      </w:r>
      <w:r w:rsidR="008742A8" w:rsidRPr="00FA51B7">
        <w:rPr>
          <w:rFonts w:asciiTheme="minorHAnsi" w:hAnsiTheme="minorHAnsi" w:cstheme="minorHAnsi"/>
          <w:bCs/>
          <w:iCs/>
          <w:szCs w:val="24"/>
        </w:rPr>
        <w:t>electronic</w:t>
      </w:r>
      <w:r w:rsidR="00F455BF" w:rsidRPr="00FA51B7">
        <w:rPr>
          <w:rFonts w:asciiTheme="minorHAnsi" w:hAnsiTheme="minorHAnsi" w:cstheme="minorHAnsi"/>
          <w:bCs/>
          <w:iCs/>
          <w:szCs w:val="24"/>
        </w:rPr>
        <w:t xml:space="preserve"> payment</w:t>
      </w:r>
      <w:r w:rsidR="00B66252" w:rsidRPr="00FA51B7">
        <w:rPr>
          <w:rFonts w:asciiTheme="minorHAnsi" w:hAnsiTheme="minorHAnsi" w:cstheme="minorHAnsi"/>
          <w:bCs/>
          <w:iCs/>
          <w:szCs w:val="24"/>
        </w:rPr>
        <w:t>s</w:t>
      </w:r>
      <w:r w:rsidR="00F455BF" w:rsidRPr="00FA51B7">
        <w:rPr>
          <w:rFonts w:asciiTheme="minorHAnsi" w:hAnsiTheme="minorHAnsi" w:cstheme="minorHAnsi"/>
          <w:bCs/>
          <w:iCs/>
          <w:szCs w:val="24"/>
        </w:rPr>
        <w:t xml:space="preserve"> may </w:t>
      </w:r>
      <w:r w:rsidR="008742A8" w:rsidRPr="00FA51B7">
        <w:rPr>
          <w:rFonts w:asciiTheme="minorHAnsi" w:hAnsiTheme="minorHAnsi" w:cstheme="minorHAnsi"/>
          <w:bCs/>
          <w:iCs/>
          <w:szCs w:val="24"/>
        </w:rPr>
        <w:t>put them at risk of</w:t>
      </w:r>
      <w:r w:rsidR="00F455BF" w:rsidRPr="00FA51B7">
        <w:rPr>
          <w:rFonts w:asciiTheme="minorHAnsi" w:hAnsiTheme="minorHAnsi" w:cstheme="minorHAnsi"/>
          <w:bCs/>
          <w:iCs/>
          <w:szCs w:val="24"/>
        </w:rPr>
        <w:t xml:space="preserve"> family and domestic violence</w:t>
      </w:r>
      <w:r w:rsidR="008742A8" w:rsidRPr="00FA51B7">
        <w:rPr>
          <w:rFonts w:asciiTheme="minorHAnsi" w:hAnsiTheme="minorHAnsi" w:cstheme="minorHAnsi"/>
          <w:bCs/>
          <w:iCs/>
          <w:szCs w:val="24"/>
        </w:rPr>
        <w:t>. This measure</w:t>
      </w:r>
      <w:r w:rsidR="00F455BF" w:rsidRPr="00FA51B7">
        <w:rPr>
          <w:rFonts w:asciiTheme="minorHAnsi" w:hAnsiTheme="minorHAnsi" w:cstheme="minorHAnsi"/>
          <w:bCs/>
          <w:iCs/>
          <w:szCs w:val="24"/>
        </w:rPr>
        <w:t xml:space="preserve"> </w:t>
      </w:r>
      <w:r w:rsidR="00712FF2" w:rsidRPr="00FA51B7">
        <w:rPr>
          <w:rFonts w:asciiTheme="minorHAnsi" w:hAnsiTheme="minorHAnsi" w:cstheme="minorHAnsi"/>
          <w:bCs/>
          <w:iCs/>
          <w:szCs w:val="24"/>
        </w:rPr>
        <w:t>promotes the</w:t>
      </w:r>
      <w:r w:rsidRPr="00FA51B7">
        <w:rPr>
          <w:rFonts w:asciiTheme="minorHAnsi" w:hAnsiTheme="minorHAnsi" w:cstheme="minorHAnsi"/>
          <w:bCs/>
          <w:iCs/>
          <w:szCs w:val="24"/>
        </w:rPr>
        <w:t xml:space="preserve"> best interests of the child by </w:t>
      </w:r>
      <w:r w:rsidR="00F455BF" w:rsidRPr="00FA51B7">
        <w:rPr>
          <w:rFonts w:asciiTheme="minorHAnsi" w:hAnsiTheme="minorHAnsi" w:cstheme="minorHAnsi"/>
          <w:bCs/>
          <w:iCs/>
          <w:szCs w:val="24"/>
        </w:rPr>
        <w:t>mitigating the risk of family</w:t>
      </w:r>
      <w:r w:rsidR="00B26B94" w:rsidRPr="00FA51B7">
        <w:rPr>
          <w:rFonts w:asciiTheme="minorHAnsi" w:hAnsiTheme="minorHAnsi" w:cstheme="minorHAnsi"/>
          <w:bCs/>
          <w:iCs/>
          <w:szCs w:val="24"/>
        </w:rPr>
        <w:t xml:space="preserve"> and</w:t>
      </w:r>
      <w:r w:rsidR="00F455BF" w:rsidRPr="00FA51B7">
        <w:rPr>
          <w:rFonts w:asciiTheme="minorHAnsi" w:hAnsiTheme="minorHAnsi" w:cstheme="minorHAnsi"/>
          <w:bCs/>
          <w:iCs/>
          <w:szCs w:val="24"/>
        </w:rPr>
        <w:t xml:space="preserve"> </w:t>
      </w:r>
      <w:r w:rsidR="00B26B94" w:rsidRPr="00FA51B7">
        <w:rPr>
          <w:rFonts w:asciiTheme="minorHAnsi" w:hAnsiTheme="minorHAnsi" w:cstheme="minorHAnsi"/>
          <w:bCs/>
          <w:iCs/>
          <w:szCs w:val="24"/>
        </w:rPr>
        <w:t xml:space="preserve">domestic </w:t>
      </w:r>
      <w:r w:rsidR="00F455BF" w:rsidRPr="00FA51B7">
        <w:rPr>
          <w:rFonts w:asciiTheme="minorHAnsi" w:hAnsiTheme="minorHAnsi" w:cstheme="minorHAnsi"/>
          <w:bCs/>
          <w:iCs/>
          <w:szCs w:val="24"/>
        </w:rPr>
        <w:t>violence, which may</w:t>
      </w:r>
      <w:r w:rsidR="00FA53EE" w:rsidRPr="00FA51B7">
        <w:rPr>
          <w:rFonts w:asciiTheme="minorHAnsi" w:hAnsiTheme="minorHAnsi" w:cstheme="minorHAnsi"/>
          <w:bCs/>
          <w:iCs/>
          <w:szCs w:val="24"/>
        </w:rPr>
        <w:t xml:space="preserve"> </w:t>
      </w:r>
      <w:r w:rsidR="00983105" w:rsidRPr="00FA51B7">
        <w:rPr>
          <w:rFonts w:asciiTheme="minorHAnsi" w:hAnsiTheme="minorHAnsi" w:cstheme="minorHAnsi"/>
          <w:bCs/>
          <w:iCs/>
          <w:szCs w:val="24"/>
        </w:rPr>
        <w:t>prevent</w:t>
      </w:r>
      <w:r w:rsidR="002E54D0" w:rsidRPr="00FA51B7">
        <w:rPr>
          <w:rFonts w:asciiTheme="minorHAnsi" w:hAnsiTheme="minorHAnsi" w:cstheme="minorHAnsi"/>
          <w:bCs/>
          <w:iCs/>
          <w:szCs w:val="24"/>
        </w:rPr>
        <w:t xml:space="preserve"> affected individuals </w:t>
      </w:r>
      <w:r w:rsidR="00983105" w:rsidRPr="00FA51B7">
        <w:rPr>
          <w:rFonts w:asciiTheme="minorHAnsi" w:hAnsiTheme="minorHAnsi" w:cstheme="minorHAnsi"/>
          <w:bCs/>
          <w:iCs/>
          <w:szCs w:val="24"/>
        </w:rPr>
        <w:t>from</w:t>
      </w:r>
      <w:r w:rsidR="00F455BF" w:rsidRPr="00FA51B7">
        <w:rPr>
          <w:rFonts w:asciiTheme="minorHAnsi" w:hAnsiTheme="minorHAnsi" w:cstheme="minorHAnsi"/>
          <w:bCs/>
          <w:iCs/>
          <w:szCs w:val="24"/>
        </w:rPr>
        <w:t xml:space="preserve"> </w:t>
      </w:r>
      <w:r w:rsidR="005C3F4A" w:rsidRPr="00FA51B7">
        <w:rPr>
          <w:rFonts w:asciiTheme="minorHAnsi" w:hAnsiTheme="minorHAnsi" w:cstheme="minorHAnsi"/>
          <w:bCs/>
          <w:iCs/>
          <w:szCs w:val="24"/>
        </w:rPr>
        <w:t>keeping their children enrolled</w:t>
      </w:r>
      <w:r w:rsidRPr="00FA51B7">
        <w:rPr>
          <w:rFonts w:asciiTheme="minorHAnsi" w:hAnsiTheme="minorHAnsi" w:cstheme="minorHAnsi"/>
          <w:bCs/>
          <w:iCs/>
          <w:szCs w:val="24"/>
        </w:rPr>
        <w:t xml:space="preserve">. </w:t>
      </w:r>
    </w:p>
    <w:p w14:paraId="6686EC44" w14:textId="33601FF2" w:rsidR="0032350A" w:rsidRPr="00FA51B7" w:rsidRDefault="0032350A" w:rsidP="0032350A">
      <w:pPr>
        <w:pStyle w:val="Heading3"/>
      </w:pPr>
      <w:r w:rsidRPr="00FA51B7">
        <w:t>Article 18 of the CRC</w:t>
      </w:r>
    </w:p>
    <w:p w14:paraId="1911505F" w14:textId="0AB12685" w:rsidR="0032350A" w:rsidRPr="00FA51B7" w:rsidRDefault="0032350A" w:rsidP="0032350A">
      <w:pPr>
        <w:pStyle w:val="Heading3"/>
        <w:rPr>
          <w:rFonts w:ascii="Calibri" w:eastAsia="Times New Roman" w:hAnsi="Calibri" w:cs="Calibri"/>
          <w:color w:val="000000"/>
          <w:u w:val="none"/>
          <w:lang w:eastAsia="en-AU"/>
        </w:rPr>
      </w:pPr>
      <w:r w:rsidRPr="00FA51B7">
        <w:rPr>
          <w:rFonts w:ascii="Calibri" w:eastAsia="Times New Roman" w:hAnsi="Calibri" w:cs="Calibri"/>
          <w:color w:val="000000"/>
          <w:u w:val="none"/>
          <w:lang w:eastAsia="en-AU"/>
        </w:rPr>
        <w:t xml:space="preserve">Article 18 of the CRC requires States Parties to take all appropriate measures to ensure that children of working parents have the right to benefit from child care services and facilities. The Amendment Rules </w:t>
      </w:r>
      <w:r w:rsidR="00466B9E" w:rsidRPr="00FA51B7">
        <w:rPr>
          <w:rFonts w:ascii="Calibri" w:eastAsia="Times New Roman" w:hAnsi="Calibri" w:cs="Calibri"/>
          <w:color w:val="000000"/>
          <w:u w:val="none"/>
          <w:lang w:eastAsia="en-AU"/>
        </w:rPr>
        <w:t xml:space="preserve">promote </w:t>
      </w:r>
      <w:r w:rsidRPr="00FA51B7">
        <w:rPr>
          <w:rFonts w:ascii="Calibri" w:eastAsia="Times New Roman" w:hAnsi="Calibri" w:cs="Calibri"/>
          <w:color w:val="000000"/>
          <w:u w:val="none"/>
          <w:lang w:eastAsia="en-AU"/>
        </w:rPr>
        <w:t xml:space="preserve">these rights by </w:t>
      </w:r>
      <w:r w:rsidR="00E11B78" w:rsidRPr="00FA51B7">
        <w:rPr>
          <w:rFonts w:ascii="Calibri" w:eastAsia="Times New Roman" w:hAnsi="Calibri" w:cs="Calibri"/>
          <w:color w:val="000000"/>
          <w:u w:val="none"/>
          <w:lang w:eastAsia="en-AU"/>
        </w:rPr>
        <w:t xml:space="preserve">increasing the transparency of </w:t>
      </w:r>
      <w:r w:rsidRPr="00FA51B7">
        <w:rPr>
          <w:rFonts w:ascii="Calibri" w:eastAsia="Times New Roman" w:hAnsi="Calibri" w:cs="Calibri"/>
          <w:color w:val="000000"/>
          <w:u w:val="none"/>
          <w:lang w:eastAsia="en-AU"/>
        </w:rPr>
        <w:t>information about child care providers, particularly in relation to fee information</w:t>
      </w:r>
      <w:r w:rsidR="00E11B78" w:rsidRPr="00FA51B7">
        <w:rPr>
          <w:rFonts w:ascii="Calibri" w:eastAsia="Times New Roman" w:hAnsi="Calibri" w:cs="Calibri"/>
          <w:color w:val="000000"/>
          <w:u w:val="none"/>
          <w:lang w:eastAsia="en-AU"/>
        </w:rPr>
        <w:t xml:space="preserve"> and</w:t>
      </w:r>
      <w:r w:rsidR="00466B9E" w:rsidRPr="00FA51B7">
        <w:rPr>
          <w:rFonts w:ascii="Calibri" w:eastAsia="Times New Roman" w:hAnsi="Calibri" w:cs="Calibri"/>
          <w:color w:val="000000"/>
          <w:u w:val="none"/>
          <w:lang w:eastAsia="en-AU"/>
        </w:rPr>
        <w:t>,</w:t>
      </w:r>
      <w:r w:rsidR="00E11B78" w:rsidRPr="00FA51B7">
        <w:rPr>
          <w:rFonts w:ascii="Calibri" w:eastAsia="Times New Roman" w:hAnsi="Calibri" w:cs="Calibri"/>
          <w:color w:val="000000"/>
          <w:u w:val="none"/>
          <w:lang w:eastAsia="en-AU"/>
        </w:rPr>
        <w:t xml:space="preserve"> for large providers, financial information</w:t>
      </w:r>
      <w:r w:rsidRPr="00FA51B7">
        <w:rPr>
          <w:rFonts w:ascii="Calibri" w:eastAsia="Times New Roman" w:hAnsi="Calibri" w:cs="Calibri"/>
          <w:color w:val="000000"/>
          <w:u w:val="none"/>
          <w:lang w:eastAsia="en-AU"/>
        </w:rPr>
        <w:t xml:space="preserve">, enabling families to make more informed decisions and choose child care services and facilities more specific to their needs. </w:t>
      </w:r>
    </w:p>
    <w:p w14:paraId="2F8F6971" w14:textId="0215CACA" w:rsidR="00B62B27" w:rsidRPr="00FA51B7" w:rsidRDefault="00B62B27" w:rsidP="0032350A">
      <w:pPr>
        <w:pStyle w:val="Heading3"/>
      </w:pPr>
      <w:r w:rsidRPr="00FA51B7">
        <w:t>Article 24 of the CRC</w:t>
      </w:r>
    </w:p>
    <w:p w14:paraId="2BCCF0D0" w14:textId="77777777" w:rsidR="00B62B27" w:rsidRPr="00FA51B7" w:rsidRDefault="00B62B27" w:rsidP="00B62B27">
      <w:pPr>
        <w:spacing w:before="120" w:after="120"/>
        <w:rPr>
          <w:rFonts w:asciiTheme="minorHAnsi" w:hAnsiTheme="minorHAnsi" w:cstheme="minorHAnsi"/>
          <w:bCs/>
          <w:iCs/>
          <w:szCs w:val="24"/>
        </w:rPr>
      </w:pPr>
      <w:r w:rsidRPr="00FA51B7">
        <w:rPr>
          <w:rFonts w:ascii="Calibri" w:eastAsia="Times New Roman" w:hAnsi="Calibri" w:cs="Calibri"/>
          <w:color w:val="000000"/>
          <w:szCs w:val="24"/>
          <w:lang w:eastAsia="en-AU"/>
        </w:rPr>
        <w:t>Article 24 of the CRC recognises the right of the child to the enjoyment of the highest standard of health.</w:t>
      </w:r>
    </w:p>
    <w:p w14:paraId="17F893F1" w14:textId="5C93EAB8" w:rsidR="0095280B" w:rsidRPr="00FA51B7" w:rsidRDefault="00D03883" w:rsidP="00B62B27">
      <w:pPr>
        <w:spacing w:before="120" w:after="120"/>
        <w:rPr>
          <w:rFonts w:asciiTheme="minorHAnsi" w:hAnsiTheme="minorHAnsi" w:cstheme="minorHAnsi"/>
          <w:bCs/>
          <w:iCs/>
          <w:szCs w:val="24"/>
        </w:rPr>
      </w:pPr>
      <w:r w:rsidRPr="00FA51B7">
        <w:rPr>
          <w:rFonts w:asciiTheme="minorHAnsi" w:hAnsiTheme="minorHAnsi" w:cstheme="minorHAnsi"/>
          <w:bCs/>
          <w:iCs/>
          <w:szCs w:val="24"/>
        </w:rPr>
        <w:t>T</w:t>
      </w:r>
      <w:r w:rsidR="00B62B27" w:rsidRPr="00FA51B7">
        <w:rPr>
          <w:rFonts w:asciiTheme="minorHAnsi" w:hAnsiTheme="minorHAnsi" w:cstheme="minorHAnsi"/>
          <w:bCs/>
          <w:iCs/>
          <w:szCs w:val="24"/>
        </w:rPr>
        <w:t>he Amendment Rules promote the right of the child to enjoy the highest standard of health by minimis</w:t>
      </w:r>
      <w:r w:rsidR="004D10A7" w:rsidRPr="00FA51B7">
        <w:rPr>
          <w:rFonts w:asciiTheme="minorHAnsi" w:hAnsiTheme="minorHAnsi" w:cstheme="minorHAnsi"/>
          <w:bCs/>
          <w:iCs/>
          <w:szCs w:val="24"/>
        </w:rPr>
        <w:t>ing</w:t>
      </w:r>
      <w:r w:rsidR="00B62B27" w:rsidRPr="00FA51B7">
        <w:rPr>
          <w:rFonts w:asciiTheme="minorHAnsi" w:hAnsiTheme="minorHAnsi" w:cstheme="minorHAnsi"/>
          <w:bCs/>
          <w:iCs/>
          <w:szCs w:val="24"/>
        </w:rPr>
        <w:t xml:space="preserve"> children’s exposure</w:t>
      </w:r>
      <w:r w:rsidR="00C20FE9" w:rsidRPr="00FA51B7">
        <w:rPr>
          <w:rFonts w:asciiTheme="minorHAnsi" w:hAnsiTheme="minorHAnsi" w:cstheme="minorHAnsi"/>
          <w:bCs/>
          <w:iCs/>
          <w:szCs w:val="24"/>
        </w:rPr>
        <w:t xml:space="preserve"> to</w:t>
      </w:r>
      <w:r w:rsidR="00B62B27" w:rsidRPr="00FA51B7">
        <w:rPr>
          <w:rFonts w:asciiTheme="minorHAnsi" w:hAnsiTheme="minorHAnsi" w:cstheme="minorHAnsi"/>
          <w:bCs/>
          <w:iCs/>
          <w:szCs w:val="24"/>
        </w:rPr>
        <w:t xml:space="preserve"> </w:t>
      </w:r>
      <w:r w:rsidR="0095280B" w:rsidRPr="00FA51B7">
        <w:rPr>
          <w:rFonts w:asciiTheme="minorHAnsi" w:hAnsiTheme="minorHAnsi" w:cstheme="minorHAnsi"/>
          <w:bCs/>
          <w:iCs/>
          <w:szCs w:val="24"/>
        </w:rPr>
        <w:t>family and domestic violence</w:t>
      </w:r>
      <w:r w:rsidR="00330CD9" w:rsidRPr="00FA51B7">
        <w:rPr>
          <w:rFonts w:asciiTheme="minorHAnsi" w:hAnsiTheme="minorHAnsi" w:cstheme="minorHAnsi"/>
          <w:bCs/>
          <w:iCs/>
          <w:szCs w:val="24"/>
        </w:rPr>
        <w:t xml:space="preserve">, by </w:t>
      </w:r>
      <w:r w:rsidR="00B26B94" w:rsidRPr="00FA51B7">
        <w:rPr>
          <w:rFonts w:asciiTheme="minorHAnsi" w:hAnsiTheme="minorHAnsi" w:cstheme="minorHAnsi"/>
          <w:bCs/>
          <w:iCs/>
          <w:szCs w:val="24"/>
        </w:rPr>
        <w:t>reducing the risk of</w:t>
      </w:r>
      <w:r w:rsidR="00330CD9" w:rsidRPr="00FA51B7">
        <w:rPr>
          <w:rFonts w:asciiTheme="minorHAnsi" w:hAnsiTheme="minorHAnsi" w:cstheme="minorHAnsi"/>
          <w:bCs/>
          <w:iCs/>
          <w:szCs w:val="24"/>
        </w:rPr>
        <w:t xml:space="preserve"> scenarios </w:t>
      </w:r>
      <w:r w:rsidR="00330CD9" w:rsidRPr="00FA51B7">
        <w:rPr>
          <w:rFonts w:asciiTheme="minorHAnsi" w:hAnsiTheme="minorHAnsi" w:cstheme="minorHAnsi"/>
        </w:rPr>
        <w:t xml:space="preserve">where a perpetrator may identify the location a child </w:t>
      </w:r>
      <w:r w:rsidR="00B26B94" w:rsidRPr="00FA51B7">
        <w:rPr>
          <w:rFonts w:asciiTheme="minorHAnsi" w:hAnsiTheme="minorHAnsi" w:cstheme="minorHAnsi"/>
        </w:rPr>
        <w:t xml:space="preserve">attends care </w:t>
      </w:r>
      <w:r w:rsidR="00330CD9" w:rsidRPr="00FA51B7">
        <w:rPr>
          <w:rFonts w:asciiTheme="minorHAnsi" w:hAnsiTheme="minorHAnsi" w:cstheme="minorHAnsi"/>
        </w:rPr>
        <w:t>by viewing an electronic record (for example, a bank statement) of their child care</w:t>
      </w:r>
      <w:r w:rsidR="00330CD9" w:rsidRPr="00FA51B7">
        <w:rPr>
          <w:rFonts w:asciiTheme="minorHAnsi" w:hAnsiTheme="minorHAnsi" w:cstheme="minorHAnsi"/>
          <w:iCs/>
        </w:rPr>
        <w:t>.</w:t>
      </w:r>
    </w:p>
    <w:p w14:paraId="77D37B9E" w14:textId="219867A4" w:rsidR="00555B6B" w:rsidRPr="00FA51B7" w:rsidRDefault="00555B6B" w:rsidP="00555B6B">
      <w:pPr>
        <w:pStyle w:val="Heading3"/>
      </w:pPr>
      <w:r w:rsidRPr="00FA51B7">
        <w:t>Article</w:t>
      </w:r>
      <w:r w:rsidR="00ED2562" w:rsidRPr="00FA51B7">
        <w:t>s 2 and</w:t>
      </w:r>
      <w:r w:rsidR="006930FD" w:rsidRPr="00FA51B7">
        <w:t xml:space="preserve"> </w:t>
      </w:r>
      <w:r w:rsidRPr="00FA51B7">
        <w:t>3 of the CEDAW</w:t>
      </w:r>
    </w:p>
    <w:p w14:paraId="386A0462" w14:textId="08E85205" w:rsidR="005F57A1" w:rsidRPr="00FA51B7" w:rsidRDefault="005F57A1" w:rsidP="00330CD9">
      <w:pPr>
        <w:spacing w:before="120" w:after="120"/>
        <w:rPr>
          <w:rFonts w:asciiTheme="minorHAnsi" w:hAnsiTheme="minorHAnsi" w:cstheme="minorHAnsi"/>
          <w:bCs/>
          <w:iCs/>
          <w:szCs w:val="24"/>
        </w:rPr>
      </w:pPr>
      <w:r w:rsidRPr="00FA51B7">
        <w:rPr>
          <w:rFonts w:asciiTheme="minorHAnsi" w:hAnsiTheme="minorHAnsi" w:cstheme="minorHAnsi"/>
          <w:bCs/>
          <w:iCs/>
          <w:szCs w:val="24"/>
        </w:rPr>
        <w:t>The CEDAW provides that in relation to discrimination against women</w:t>
      </w:r>
      <w:r w:rsidR="004B0B74" w:rsidRPr="00FA51B7">
        <w:rPr>
          <w:rFonts w:asciiTheme="minorHAnsi" w:hAnsiTheme="minorHAnsi" w:cstheme="minorHAnsi"/>
          <w:bCs/>
          <w:iCs/>
          <w:szCs w:val="24"/>
        </w:rPr>
        <w:t>,</w:t>
      </w:r>
      <w:r w:rsidRPr="00FA51B7">
        <w:rPr>
          <w:rFonts w:asciiTheme="minorHAnsi" w:hAnsiTheme="minorHAnsi" w:cstheme="minorHAnsi"/>
          <w:bCs/>
          <w:iCs/>
          <w:szCs w:val="24"/>
        </w:rPr>
        <w:t xml:space="preserve"> State Parties must:</w:t>
      </w:r>
    </w:p>
    <w:p w14:paraId="14DC9E4A" w14:textId="29F99CD9" w:rsidR="005F57A1" w:rsidRPr="00FA51B7" w:rsidRDefault="005F57A1" w:rsidP="00330CD9">
      <w:pPr>
        <w:pStyle w:val="ListParagraph"/>
        <w:numPr>
          <w:ilvl w:val="0"/>
          <w:numId w:val="11"/>
        </w:numPr>
        <w:spacing w:before="120" w:after="120"/>
        <w:rPr>
          <w:rFonts w:asciiTheme="minorHAnsi" w:hAnsiTheme="minorHAnsi" w:cstheme="minorHAnsi"/>
          <w:bCs/>
          <w:iCs/>
          <w:szCs w:val="24"/>
        </w:rPr>
      </w:pPr>
      <w:r w:rsidRPr="00FA51B7">
        <w:rPr>
          <w:rFonts w:asciiTheme="minorHAnsi" w:hAnsiTheme="minorHAnsi" w:cstheme="minorHAnsi"/>
          <w:bCs/>
          <w:iCs/>
          <w:szCs w:val="24"/>
        </w:rPr>
        <w:t>ensure the effective protection of women against acts of discrimination (Article 2</w:t>
      </w:r>
      <w:proofErr w:type="gramStart"/>
      <w:r w:rsidRPr="00FA51B7">
        <w:rPr>
          <w:rFonts w:asciiTheme="minorHAnsi" w:hAnsiTheme="minorHAnsi" w:cstheme="minorHAnsi"/>
          <w:bCs/>
          <w:iCs/>
          <w:szCs w:val="24"/>
        </w:rPr>
        <w:t>);</w:t>
      </w:r>
      <w:proofErr w:type="gramEnd"/>
    </w:p>
    <w:p w14:paraId="1EFDA692" w14:textId="17EEF8B8" w:rsidR="005F57A1" w:rsidRPr="00FA51B7" w:rsidRDefault="005F57A1" w:rsidP="00330CD9">
      <w:pPr>
        <w:pStyle w:val="ListParagraph"/>
        <w:numPr>
          <w:ilvl w:val="0"/>
          <w:numId w:val="11"/>
        </w:numPr>
        <w:spacing w:before="120" w:after="120"/>
        <w:rPr>
          <w:rFonts w:asciiTheme="minorHAnsi" w:hAnsiTheme="minorHAnsi" w:cstheme="minorHAnsi"/>
          <w:bCs/>
          <w:iCs/>
          <w:szCs w:val="24"/>
        </w:rPr>
      </w:pPr>
      <w:r w:rsidRPr="00FA51B7">
        <w:rPr>
          <w:rFonts w:asciiTheme="minorHAnsi" w:hAnsiTheme="minorHAnsi" w:cstheme="minorHAnsi"/>
          <w:bCs/>
          <w:iCs/>
          <w:szCs w:val="24"/>
        </w:rPr>
        <w:t>ensure the full development and advancement of women (Article 3).</w:t>
      </w:r>
    </w:p>
    <w:p w14:paraId="1AB8C01B" w14:textId="34411F75" w:rsidR="005F57A1" w:rsidRPr="00FA51B7" w:rsidRDefault="00330CD9" w:rsidP="00330CD9">
      <w:pPr>
        <w:spacing w:before="120" w:after="120"/>
        <w:rPr>
          <w:rFonts w:asciiTheme="minorHAnsi" w:hAnsiTheme="minorHAnsi" w:cstheme="minorHAnsi"/>
          <w:bCs/>
          <w:iCs/>
          <w:szCs w:val="24"/>
        </w:rPr>
      </w:pPr>
      <w:r w:rsidRPr="00FA51B7">
        <w:rPr>
          <w:rFonts w:asciiTheme="minorHAnsi" w:hAnsiTheme="minorHAnsi" w:cstheme="minorHAnsi"/>
          <w:bCs/>
          <w:iCs/>
          <w:szCs w:val="24"/>
        </w:rPr>
        <w:t xml:space="preserve">Family and domestic violence </w:t>
      </w:r>
      <w:r w:rsidR="00135263" w:rsidRPr="00FA51B7">
        <w:rPr>
          <w:rFonts w:asciiTheme="minorHAnsi" w:hAnsiTheme="minorHAnsi" w:cstheme="minorHAnsi"/>
          <w:bCs/>
          <w:iCs/>
          <w:szCs w:val="24"/>
        </w:rPr>
        <w:t xml:space="preserve">is a serious issue that disadvantages and hinders </w:t>
      </w:r>
      <w:r w:rsidR="007E36C3" w:rsidRPr="00FA51B7">
        <w:rPr>
          <w:rFonts w:asciiTheme="minorHAnsi" w:hAnsiTheme="minorHAnsi" w:cstheme="minorHAnsi"/>
          <w:bCs/>
          <w:iCs/>
          <w:szCs w:val="24"/>
        </w:rPr>
        <w:t>the</w:t>
      </w:r>
      <w:r w:rsidR="00135263" w:rsidRPr="00FA51B7">
        <w:rPr>
          <w:rFonts w:asciiTheme="minorHAnsi" w:hAnsiTheme="minorHAnsi" w:cstheme="minorHAnsi"/>
          <w:bCs/>
          <w:iCs/>
          <w:szCs w:val="24"/>
        </w:rPr>
        <w:t xml:space="preserve"> full development and advancement</w:t>
      </w:r>
      <w:r w:rsidR="007E36C3" w:rsidRPr="00FA51B7">
        <w:rPr>
          <w:rFonts w:asciiTheme="minorHAnsi" w:hAnsiTheme="minorHAnsi" w:cstheme="minorHAnsi"/>
          <w:bCs/>
          <w:iCs/>
          <w:szCs w:val="24"/>
        </w:rPr>
        <w:t xml:space="preserve"> of women</w:t>
      </w:r>
      <w:r w:rsidRPr="00FA51B7">
        <w:rPr>
          <w:rFonts w:asciiTheme="minorHAnsi" w:hAnsiTheme="minorHAnsi" w:cstheme="minorHAnsi"/>
          <w:bCs/>
          <w:iCs/>
          <w:szCs w:val="24"/>
        </w:rPr>
        <w:t xml:space="preserve">. </w:t>
      </w:r>
      <w:r w:rsidR="005F57A1" w:rsidRPr="00FA51B7">
        <w:rPr>
          <w:rFonts w:asciiTheme="minorHAnsi" w:hAnsiTheme="minorHAnsi" w:cstheme="minorHAnsi"/>
          <w:bCs/>
          <w:iCs/>
          <w:szCs w:val="24"/>
        </w:rPr>
        <w:t xml:space="preserve">The UN Committee on the Elimination of All Forms of Discrimination against Women has stated that gender-based violence, including </w:t>
      </w:r>
      <w:r w:rsidR="005F57A1" w:rsidRPr="00FA51B7">
        <w:rPr>
          <w:rFonts w:asciiTheme="minorHAnsi" w:hAnsiTheme="minorHAnsi" w:cstheme="minorHAnsi"/>
          <w:bCs/>
          <w:iCs/>
          <w:szCs w:val="24"/>
        </w:rPr>
        <w:lastRenderedPageBreak/>
        <w:t xml:space="preserve">domestic violence, is a form of discrimination that seriously inhibits </w:t>
      </w:r>
      <w:r w:rsidR="007E36C3" w:rsidRPr="00FA51B7">
        <w:rPr>
          <w:rFonts w:asciiTheme="minorHAnsi" w:hAnsiTheme="minorHAnsi" w:cstheme="minorHAnsi"/>
          <w:bCs/>
          <w:iCs/>
          <w:szCs w:val="24"/>
        </w:rPr>
        <w:t>the</w:t>
      </w:r>
      <w:r w:rsidR="005F57A1" w:rsidRPr="00FA51B7">
        <w:rPr>
          <w:rFonts w:asciiTheme="minorHAnsi" w:hAnsiTheme="minorHAnsi" w:cstheme="minorHAnsi"/>
          <w:bCs/>
          <w:iCs/>
          <w:szCs w:val="24"/>
        </w:rPr>
        <w:t xml:space="preserve"> ability</w:t>
      </w:r>
      <w:r w:rsidR="007E36C3" w:rsidRPr="00FA51B7">
        <w:rPr>
          <w:rFonts w:asciiTheme="minorHAnsi" w:hAnsiTheme="minorHAnsi" w:cstheme="minorHAnsi"/>
          <w:bCs/>
          <w:iCs/>
          <w:szCs w:val="24"/>
        </w:rPr>
        <w:t xml:space="preserve"> of women</w:t>
      </w:r>
      <w:r w:rsidR="005F57A1" w:rsidRPr="00FA51B7">
        <w:rPr>
          <w:rFonts w:asciiTheme="minorHAnsi" w:hAnsiTheme="minorHAnsi" w:cstheme="minorHAnsi"/>
          <w:bCs/>
          <w:iCs/>
          <w:szCs w:val="24"/>
        </w:rPr>
        <w:t xml:space="preserve"> to enjoy rights and freedoms on a basis of equality with men.</w:t>
      </w:r>
      <w:r w:rsidRPr="00FA51B7">
        <w:rPr>
          <w:rStyle w:val="FootnoteReference"/>
          <w:rFonts w:asciiTheme="minorHAnsi" w:hAnsiTheme="minorHAnsi" w:cstheme="minorHAnsi"/>
          <w:bCs/>
          <w:iCs/>
          <w:szCs w:val="24"/>
        </w:rPr>
        <w:footnoteReference w:id="2"/>
      </w:r>
      <w:r w:rsidR="005F57A1" w:rsidRPr="00FA51B7">
        <w:rPr>
          <w:rFonts w:asciiTheme="minorHAnsi" w:hAnsiTheme="minorHAnsi" w:cstheme="minorHAnsi"/>
          <w:bCs/>
          <w:iCs/>
          <w:szCs w:val="24"/>
        </w:rPr>
        <w:t xml:space="preserve"> </w:t>
      </w:r>
    </w:p>
    <w:p w14:paraId="42B8EC50" w14:textId="55D36891" w:rsidR="00B46B44" w:rsidRPr="00FA51B7" w:rsidRDefault="005F57A1" w:rsidP="00330CD9">
      <w:pPr>
        <w:spacing w:before="120" w:after="120"/>
        <w:rPr>
          <w:rFonts w:asciiTheme="minorHAnsi" w:hAnsiTheme="minorHAnsi" w:cstheme="minorHAnsi"/>
          <w:bCs/>
          <w:iCs/>
          <w:szCs w:val="24"/>
        </w:rPr>
      </w:pPr>
      <w:r w:rsidRPr="00FA51B7">
        <w:rPr>
          <w:rFonts w:asciiTheme="minorHAnsi" w:hAnsiTheme="minorHAnsi" w:cstheme="minorHAnsi"/>
          <w:bCs/>
          <w:iCs/>
          <w:szCs w:val="24"/>
        </w:rPr>
        <w:t xml:space="preserve">The </w:t>
      </w:r>
      <w:r w:rsidR="00D42954" w:rsidRPr="00FA51B7">
        <w:rPr>
          <w:rFonts w:asciiTheme="minorHAnsi" w:hAnsiTheme="minorHAnsi" w:cstheme="minorHAnsi"/>
          <w:bCs/>
          <w:iCs/>
          <w:szCs w:val="24"/>
        </w:rPr>
        <w:t>Amendment Rule</w:t>
      </w:r>
      <w:r w:rsidR="00135263" w:rsidRPr="00FA51B7">
        <w:rPr>
          <w:rFonts w:asciiTheme="minorHAnsi" w:hAnsiTheme="minorHAnsi" w:cstheme="minorHAnsi"/>
          <w:bCs/>
          <w:iCs/>
          <w:szCs w:val="24"/>
        </w:rPr>
        <w:t>s</w:t>
      </w:r>
      <w:r w:rsidR="00D42954" w:rsidRPr="00FA51B7">
        <w:rPr>
          <w:rFonts w:asciiTheme="minorHAnsi" w:hAnsiTheme="minorHAnsi" w:cstheme="minorHAnsi"/>
          <w:bCs/>
          <w:iCs/>
          <w:szCs w:val="24"/>
        </w:rPr>
        <w:t xml:space="preserve"> </w:t>
      </w:r>
      <w:r w:rsidR="00330CD9" w:rsidRPr="00FA51B7">
        <w:rPr>
          <w:rFonts w:asciiTheme="minorHAnsi" w:hAnsiTheme="minorHAnsi" w:cstheme="minorHAnsi"/>
          <w:bCs/>
          <w:iCs/>
          <w:szCs w:val="24"/>
        </w:rPr>
        <w:t>promote</w:t>
      </w:r>
      <w:r w:rsidRPr="00FA51B7">
        <w:rPr>
          <w:rFonts w:asciiTheme="minorHAnsi" w:hAnsiTheme="minorHAnsi" w:cstheme="minorHAnsi"/>
          <w:bCs/>
          <w:iCs/>
          <w:szCs w:val="24"/>
        </w:rPr>
        <w:t xml:space="preserve"> the rights of women by providing </w:t>
      </w:r>
      <w:r w:rsidR="00135263" w:rsidRPr="00FA51B7">
        <w:rPr>
          <w:rFonts w:asciiTheme="minorHAnsi" w:hAnsiTheme="minorHAnsi" w:cstheme="minorHAnsi"/>
          <w:bCs/>
          <w:iCs/>
          <w:szCs w:val="24"/>
        </w:rPr>
        <w:t>a positive measure t</w:t>
      </w:r>
      <w:r w:rsidR="00061E73" w:rsidRPr="00FA51B7">
        <w:rPr>
          <w:rFonts w:asciiTheme="minorHAnsi" w:hAnsiTheme="minorHAnsi" w:cstheme="minorHAnsi"/>
          <w:bCs/>
          <w:iCs/>
          <w:szCs w:val="24"/>
        </w:rPr>
        <w:t xml:space="preserve">hat promotes the </w:t>
      </w:r>
      <w:r w:rsidR="00135263" w:rsidRPr="00FA51B7">
        <w:rPr>
          <w:rFonts w:asciiTheme="minorHAnsi" w:hAnsiTheme="minorHAnsi" w:cstheme="minorHAnsi"/>
          <w:bCs/>
          <w:iCs/>
          <w:szCs w:val="24"/>
        </w:rPr>
        <w:t>eliminat</w:t>
      </w:r>
      <w:r w:rsidR="00061E73" w:rsidRPr="00FA51B7">
        <w:rPr>
          <w:rFonts w:asciiTheme="minorHAnsi" w:hAnsiTheme="minorHAnsi" w:cstheme="minorHAnsi"/>
          <w:bCs/>
          <w:iCs/>
          <w:szCs w:val="24"/>
        </w:rPr>
        <w:t>ion of</w:t>
      </w:r>
      <w:r w:rsidR="00135263" w:rsidRPr="00FA51B7">
        <w:rPr>
          <w:rFonts w:asciiTheme="minorHAnsi" w:hAnsiTheme="minorHAnsi" w:cstheme="minorHAnsi"/>
          <w:bCs/>
          <w:iCs/>
          <w:szCs w:val="24"/>
        </w:rPr>
        <w:t xml:space="preserve"> a form of violence against women, through </w:t>
      </w:r>
      <w:r w:rsidRPr="00FA51B7">
        <w:rPr>
          <w:rFonts w:asciiTheme="minorHAnsi" w:hAnsiTheme="minorHAnsi" w:cstheme="minorHAnsi"/>
          <w:bCs/>
          <w:iCs/>
          <w:szCs w:val="24"/>
        </w:rPr>
        <w:t>a</w:t>
      </w:r>
      <w:r w:rsidR="009E5BCB" w:rsidRPr="00FA51B7">
        <w:rPr>
          <w:rFonts w:asciiTheme="minorHAnsi" w:hAnsiTheme="minorHAnsi" w:cstheme="minorHAnsi"/>
          <w:bCs/>
          <w:iCs/>
          <w:szCs w:val="24"/>
        </w:rPr>
        <w:t>n</w:t>
      </w:r>
      <w:r w:rsidRPr="00FA51B7">
        <w:rPr>
          <w:rFonts w:asciiTheme="minorHAnsi" w:hAnsiTheme="minorHAnsi" w:cstheme="minorHAnsi"/>
          <w:bCs/>
          <w:iCs/>
          <w:szCs w:val="24"/>
        </w:rPr>
        <w:t xml:space="preserve"> </w:t>
      </w:r>
      <w:r w:rsidR="00B46B44" w:rsidRPr="00FA51B7">
        <w:rPr>
          <w:rFonts w:asciiTheme="minorHAnsi" w:hAnsiTheme="minorHAnsi" w:cstheme="minorHAnsi"/>
          <w:bCs/>
          <w:iCs/>
          <w:szCs w:val="24"/>
        </w:rPr>
        <w:t xml:space="preserve">exception to the requirement to pay fees using an </w:t>
      </w:r>
      <w:r w:rsidR="007E36C3" w:rsidRPr="00FA51B7">
        <w:rPr>
          <w:rFonts w:asciiTheme="minorHAnsi" w:hAnsiTheme="minorHAnsi" w:cstheme="minorHAnsi"/>
          <w:bCs/>
          <w:iCs/>
          <w:szCs w:val="24"/>
        </w:rPr>
        <w:t>EFT</w:t>
      </w:r>
      <w:r w:rsidR="00B46B44" w:rsidRPr="00FA51B7">
        <w:rPr>
          <w:rFonts w:asciiTheme="minorHAnsi" w:hAnsiTheme="minorHAnsi" w:cstheme="minorHAnsi"/>
          <w:bCs/>
          <w:iCs/>
          <w:szCs w:val="24"/>
        </w:rPr>
        <w:t xml:space="preserve"> system where such payment </w:t>
      </w:r>
      <w:r w:rsidR="00135263" w:rsidRPr="00FA51B7">
        <w:rPr>
          <w:rFonts w:asciiTheme="minorHAnsi" w:hAnsiTheme="minorHAnsi" w:cstheme="minorHAnsi"/>
          <w:bCs/>
          <w:iCs/>
          <w:szCs w:val="24"/>
        </w:rPr>
        <w:t>may allow a perpetrator to identify a woman’s location and lead to</w:t>
      </w:r>
      <w:r w:rsidR="00B46B44" w:rsidRPr="00FA51B7">
        <w:rPr>
          <w:rFonts w:asciiTheme="minorHAnsi" w:hAnsiTheme="minorHAnsi" w:cstheme="minorHAnsi"/>
          <w:bCs/>
          <w:iCs/>
          <w:szCs w:val="24"/>
        </w:rPr>
        <w:t xml:space="preserve"> family and domestic violence</w:t>
      </w:r>
      <w:r w:rsidRPr="00FA51B7">
        <w:rPr>
          <w:rFonts w:asciiTheme="minorHAnsi" w:hAnsiTheme="minorHAnsi" w:cstheme="minorHAnsi"/>
          <w:bCs/>
          <w:iCs/>
          <w:szCs w:val="24"/>
        </w:rPr>
        <w:t xml:space="preserve">. </w:t>
      </w:r>
    </w:p>
    <w:p w14:paraId="5590D10A" w14:textId="1855EB41" w:rsidR="00152FA3" w:rsidRPr="00FA51B7" w:rsidRDefault="009E5BCB" w:rsidP="00E11B78">
      <w:pPr>
        <w:spacing w:before="120" w:after="120"/>
        <w:rPr>
          <w:rFonts w:asciiTheme="minorHAnsi" w:hAnsiTheme="minorHAnsi" w:cstheme="minorHAnsi"/>
          <w:bCs/>
          <w:iCs/>
          <w:szCs w:val="24"/>
        </w:rPr>
      </w:pPr>
      <w:r w:rsidRPr="00FA51B7">
        <w:rPr>
          <w:rFonts w:asciiTheme="minorHAnsi" w:hAnsiTheme="minorHAnsi" w:cstheme="minorHAnsi"/>
          <w:bCs/>
          <w:iCs/>
          <w:szCs w:val="24"/>
        </w:rPr>
        <w:t>Maintaining access to child care</w:t>
      </w:r>
      <w:r w:rsidR="00135263" w:rsidRPr="00FA51B7">
        <w:rPr>
          <w:rFonts w:asciiTheme="minorHAnsi" w:hAnsiTheme="minorHAnsi" w:cstheme="minorHAnsi"/>
          <w:bCs/>
          <w:iCs/>
          <w:szCs w:val="24"/>
        </w:rPr>
        <w:t xml:space="preserve"> is important for </w:t>
      </w:r>
      <w:r w:rsidR="007E36C3" w:rsidRPr="00FA51B7">
        <w:rPr>
          <w:rFonts w:asciiTheme="minorHAnsi" w:hAnsiTheme="minorHAnsi" w:cstheme="minorHAnsi"/>
          <w:bCs/>
          <w:iCs/>
          <w:szCs w:val="24"/>
        </w:rPr>
        <w:t>the</w:t>
      </w:r>
      <w:r w:rsidR="00135263" w:rsidRPr="00FA51B7">
        <w:rPr>
          <w:rFonts w:asciiTheme="minorHAnsi" w:hAnsiTheme="minorHAnsi" w:cstheme="minorHAnsi"/>
          <w:bCs/>
          <w:iCs/>
          <w:szCs w:val="24"/>
        </w:rPr>
        <w:t xml:space="preserve"> participation</w:t>
      </w:r>
      <w:r w:rsidR="007E36C3" w:rsidRPr="00FA51B7">
        <w:rPr>
          <w:rFonts w:asciiTheme="minorHAnsi" w:hAnsiTheme="minorHAnsi" w:cstheme="minorHAnsi"/>
          <w:bCs/>
          <w:iCs/>
          <w:szCs w:val="24"/>
        </w:rPr>
        <w:t xml:space="preserve"> of women</w:t>
      </w:r>
      <w:r w:rsidR="00135263" w:rsidRPr="00FA51B7">
        <w:rPr>
          <w:rFonts w:asciiTheme="minorHAnsi" w:hAnsiTheme="minorHAnsi" w:cstheme="minorHAnsi"/>
          <w:bCs/>
          <w:iCs/>
          <w:szCs w:val="24"/>
        </w:rPr>
        <w:t xml:space="preserve"> in the workforce. Participation in the workforce promotes the development and advancement of women as it is an important pathway out of violent relationships, and promotes financial </w:t>
      </w:r>
      <w:r w:rsidR="005F57A1" w:rsidRPr="00FA51B7">
        <w:rPr>
          <w:rFonts w:asciiTheme="minorHAnsi" w:hAnsiTheme="minorHAnsi" w:cstheme="minorHAnsi"/>
          <w:bCs/>
          <w:iCs/>
          <w:szCs w:val="24"/>
        </w:rPr>
        <w:t xml:space="preserve">security, independence, social </w:t>
      </w:r>
      <w:proofErr w:type="gramStart"/>
      <w:r w:rsidR="005F57A1" w:rsidRPr="00FA51B7">
        <w:rPr>
          <w:rFonts w:asciiTheme="minorHAnsi" w:hAnsiTheme="minorHAnsi" w:cstheme="minorHAnsi"/>
          <w:bCs/>
          <w:iCs/>
          <w:szCs w:val="24"/>
        </w:rPr>
        <w:t>networks</w:t>
      </w:r>
      <w:proofErr w:type="gramEnd"/>
      <w:r w:rsidR="005F57A1" w:rsidRPr="00FA51B7">
        <w:rPr>
          <w:rFonts w:asciiTheme="minorHAnsi" w:hAnsiTheme="minorHAnsi" w:cstheme="minorHAnsi"/>
          <w:bCs/>
          <w:iCs/>
          <w:szCs w:val="24"/>
        </w:rPr>
        <w:t xml:space="preserve"> and increased self-esteem.</w:t>
      </w:r>
      <w:r w:rsidR="00330CD9" w:rsidRPr="00FA51B7">
        <w:rPr>
          <w:rStyle w:val="FootnoteReference"/>
          <w:rFonts w:asciiTheme="minorHAnsi" w:hAnsiTheme="minorHAnsi" w:cstheme="minorHAnsi"/>
          <w:bCs/>
          <w:iCs/>
          <w:szCs w:val="24"/>
        </w:rPr>
        <w:footnoteReference w:id="3"/>
      </w:r>
      <w:r w:rsidR="00330CD9" w:rsidRPr="00FA51B7">
        <w:rPr>
          <w:rFonts w:asciiTheme="minorHAnsi" w:hAnsiTheme="minorHAnsi" w:cstheme="minorHAnsi"/>
          <w:bCs/>
          <w:iCs/>
          <w:szCs w:val="24"/>
        </w:rPr>
        <w:t xml:space="preserve"> </w:t>
      </w:r>
      <w:r w:rsidR="001A0C57" w:rsidRPr="00FA51B7">
        <w:rPr>
          <w:rFonts w:asciiTheme="minorHAnsi" w:hAnsiTheme="minorHAnsi" w:cstheme="minorHAnsi"/>
          <w:bCs/>
          <w:iCs/>
          <w:szCs w:val="24"/>
        </w:rPr>
        <w:t>C</w:t>
      </w:r>
      <w:r w:rsidR="00B46B44" w:rsidRPr="00FA51B7">
        <w:rPr>
          <w:rFonts w:asciiTheme="minorHAnsi" w:hAnsiTheme="minorHAnsi" w:cstheme="minorHAnsi"/>
          <w:bCs/>
          <w:iCs/>
          <w:szCs w:val="24"/>
        </w:rPr>
        <w:t>ontinue</w:t>
      </w:r>
      <w:r w:rsidR="001A0C57" w:rsidRPr="00FA51B7">
        <w:rPr>
          <w:rFonts w:asciiTheme="minorHAnsi" w:hAnsiTheme="minorHAnsi" w:cstheme="minorHAnsi"/>
          <w:bCs/>
          <w:iCs/>
          <w:szCs w:val="24"/>
        </w:rPr>
        <w:t xml:space="preserve">d </w:t>
      </w:r>
      <w:r w:rsidR="00B46B44" w:rsidRPr="00FA51B7">
        <w:rPr>
          <w:rFonts w:asciiTheme="minorHAnsi" w:hAnsiTheme="minorHAnsi" w:cstheme="minorHAnsi"/>
          <w:bCs/>
          <w:iCs/>
          <w:szCs w:val="24"/>
        </w:rPr>
        <w:t xml:space="preserve">access </w:t>
      </w:r>
      <w:r w:rsidR="001A0C57" w:rsidRPr="00FA51B7">
        <w:rPr>
          <w:rFonts w:asciiTheme="minorHAnsi" w:hAnsiTheme="minorHAnsi" w:cstheme="minorHAnsi"/>
          <w:bCs/>
          <w:iCs/>
          <w:szCs w:val="24"/>
        </w:rPr>
        <w:t xml:space="preserve">to </w:t>
      </w:r>
      <w:r w:rsidR="00B46B44" w:rsidRPr="00FA51B7">
        <w:rPr>
          <w:rFonts w:asciiTheme="minorHAnsi" w:hAnsiTheme="minorHAnsi" w:cstheme="minorHAnsi"/>
          <w:bCs/>
          <w:iCs/>
          <w:szCs w:val="24"/>
        </w:rPr>
        <w:t xml:space="preserve">child care </w:t>
      </w:r>
      <w:r w:rsidR="001A0C57" w:rsidRPr="00FA51B7">
        <w:rPr>
          <w:rFonts w:asciiTheme="minorHAnsi" w:hAnsiTheme="minorHAnsi" w:cstheme="minorHAnsi"/>
          <w:bCs/>
          <w:iCs/>
          <w:szCs w:val="24"/>
        </w:rPr>
        <w:t xml:space="preserve">may allow </w:t>
      </w:r>
      <w:r w:rsidR="005F57A1" w:rsidRPr="00FA51B7">
        <w:rPr>
          <w:rFonts w:asciiTheme="minorHAnsi" w:hAnsiTheme="minorHAnsi" w:cstheme="minorHAnsi"/>
          <w:bCs/>
          <w:iCs/>
          <w:szCs w:val="24"/>
        </w:rPr>
        <w:t xml:space="preserve">an affected </w:t>
      </w:r>
      <w:r w:rsidR="001A0C57" w:rsidRPr="00FA51B7">
        <w:rPr>
          <w:rFonts w:asciiTheme="minorHAnsi" w:hAnsiTheme="minorHAnsi" w:cstheme="minorHAnsi"/>
          <w:bCs/>
          <w:iCs/>
          <w:szCs w:val="24"/>
        </w:rPr>
        <w:t xml:space="preserve">individual to </w:t>
      </w:r>
      <w:r w:rsidR="005F57A1" w:rsidRPr="00FA51B7">
        <w:rPr>
          <w:rFonts w:asciiTheme="minorHAnsi" w:hAnsiTheme="minorHAnsi" w:cstheme="minorHAnsi"/>
          <w:bCs/>
          <w:iCs/>
          <w:szCs w:val="24"/>
        </w:rPr>
        <w:t>engage in processes aimed at lessening the impacts of violence and preventing future violence, such as attending counselling sessions and engaging in police and court proceedings.</w:t>
      </w:r>
    </w:p>
    <w:p w14:paraId="0D664062" w14:textId="77777777" w:rsidR="00DA552F" w:rsidRPr="00FA51B7" w:rsidRDefault="00F9205E" w:rsidP="000C310A">
      <w:pPr>
        <w:pStyle w:val="Heading2"/>
      </w:pPr>
      <w:r w:rsidRPr="00FA51B7">
        <w:t>Conclusion</w:t>
      </w:r>
    </w:p>
    <w:p w14:paraId="26C0AF71" w14:textId="7E51ADA9" w:rsidR="00F9205E" w:rsidRPr="00FA51B7" w:rsidRDefault="00F9205E" w:rsidP="00DA552F">
      <w:pPr>
        <w:spacing w:before="120" w:after="120"/>
        <w:rPr>
          <w:rFonts w:asciiTheme="minorHAnsi" w:hAnsiTheme="minorHAnsi" w:cstheme="minorHAnsi"/>
          <w:szCs w:val="24"/>
        </w:rPr>
      </w:pPr>
      <w:r w:rsidRPr="00FA51B7">
        <w:rPr>
          <w:rFonts w:asciiTheme="minorHAnsi" w:hAnsiTheme="minorHAnsi" w:cstheme="minorHAnsi"/>
          <w:szCs w:val="24"/>
        </w:rPr>
        <w:t xml:space="preserve">The </w:t>
      </w:r>
      <w:r w:rsidR="00DD7496" w:rsidRPr="00FA51B7">
        <w:rPr>
          <w:rFonts w:asciiTheme="minorHAnsi" w:hAnsiTheme="minorHAnsi" w:cstheme="minorHAnsi"/>
          <w:szCs w:val="24"/>
        </w:rPr>
        <w:t xml:space="preserve">Instrument </w:t>
      </w:r>
      <w:r w:rsidRPr="00FA51B7">
        <w:rPr>
          <w:rFonts w:asciiTheme="minorHAnsi" w:hAnsiTheme="minorHAnsi" w:cstheme="minorHAnsi"/>
          <w:szCs w:val="24"/>
        </w:rPr>
        <w:t xml:space="preserve">is compatible with human rights because </w:t>
      </w:r>
      <w:r w:rsidR="002B5C28" w:rsidRPr="00FA51B7">
        <w:rPr>
          <w:rFonts w:asciiTheme="minorHAnsi" w:hAnsiTheme="minorHAnsi" w:cstheme="minorHAnsi"/>
          <w:szCs w:val="24"/>
        </w:rPr>
        <w:t>it promotes the protection of human rights</w:t>
      </w:r>
      <w:r w:rsidRPr="00FA51B7">
        <w:rPr>
          <w:rFonts w:asciiTheme="minorHAnsi" w:hAnsiTheme="minorHAnsi" w:cstheme="minorHAnsi"/>
          <w:szCs w:val="24"/>
        </w:rPr>
        <w:t xml:space="preserve">. </w:t>
      </w:r>
    </w:p>
    <w:p w14:paraId="49175299" w14:textId="77777777" w:rsidR="00D8103E" w:rsidRPr="00FA51B7" w:rsidRDefault="00D8103E" w:rsidP="00DA552F">
      <w:pPr>
        <w:spacing w:before="120" w:after="120"/>
        <w:rPr>
          <w:rFonts w:asciiTheme="minorHAnsi" w:hAnsiTheme="minorHAnsi" w:cstheme="minorHAnsi"/>
          <w:b/>
          <w:szCs w:val="24"/>
        </w:rPr>
      </w:pPr>
    </w:p>
    <w:p w14:paraId="1103BC73" w14:textId="37649D3C" w:rsidR="00DA552F" w:rsidRPr="00FA51B7" w:rsidRDefault="00D8103E" w:rsidP="005A366E">
      <w:pPr>
        <w:spacing w:before="120" w:after="120"/>
        <w:jc w:val="center"/>
        <w:rPr>
          <w:rFonts w:asciiTheme="minorHAnsi" w:hAnsiTheme="minorHAnsi" w:cstheme="minorHAnsi"/>
          <w:szCs w:val="24"/>
        </w:rPr>
        <w:sectPr w:rsidR="00DA552F" w:rsidRPr="00FA51B7"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FA51B7">
        <w:rPr>
          <w:rFonts w:asciiTheme="minorHAnsi" w:hAnsiTheme="minorHAnsi" w:cstheme="minorHAnsi"/>
          <w:b/>
          <w:szCs w:val="24"/>
        </w:rPr>
        <w:t>Minister for</w:t>
      </w:r>
      <w:r w:rsidR="005A366E" w:rsidRPr="00FA51B7">
        <w:rPr>
          <w:rFonts w:asciiTheme="minorHAnsi" w:hAnsiTheme="minorHAnsi" w:cstheme="minorHAnsi"/>
          <w:b/>
          <w:szCs w:val="24"/>
        </w:rPr>
        <w:t xml:space="preserve"> Education, Jason Clare</w:t>
      </w:r>
    </w:p>
    <w:p w14:paraId="2AFAE415" w14:textId="77777777" w:rsidR="005A366E" w:rsidRPr="00FA51B7" w:rsidRDefault="005A366E" w:rsidP="005A366E">
      <w:pPr>
        <w:pStyle w:val="Heading1"/>
        <w:jc w:val="center"/>
        <w:rPr>
          <w:i/>
          <w:iCs/>
        </w:rPr>
      </w:pPr>
      <w:r w:rsidRPr="00FA51B7">
        <w:rPr>
          <w:i/>
          <w:iCs/>
        </w:rPr>
        <w:lastRenderedPageBreak/>
        <w:t>Child Care Subsidy Amendment (Electronic Payment Exceptions and Other Measures) Minister’s Rules 2023</w:t>
      </w:r>
    </w:p>
    <w:p w14:paraId="289E50B9" w14:textId="5586AF2B" w:rsidR="00DA552F" w:rsidRPr="00FA51B7" w:rsidRDefault="00DB6247" w:rsidP="000C310A">
      <w:pPr>
        <w:pStyle w:val="Heading1"/>
      </w:pPr>
      <w:r w:rsidRPr="00FA51B7">
        <w:t>EXPLANATION OF PROVISIONS</w:t>
      </w:r>
    </w:p>
    <w:p w14:paraId="5C8B7FC1" w14:textId="77777777" w:rsidR="00DA552F" w:rsidRPr="00FA51B7" w:rsidRDefault="00DB6247" w:rsidP="000C310A">
      <w:pPr>
        <w:pStyle w:val="Heading3"/>
        <w:spacing w:before="240"/>
        <w:rPr>
          <w:b/>
          <w:bCs/>
        </w:rPr>
      </w:pPr>
      <w:r w:rsidRPr="00FA51B7">
        <w:rPr>
          <w:b/>
          <w:bCs/>
        </w:rPr>
        <w:t>Section</w:t>
      </w:r>
      <w:r w:rsidR="00DA552F" w:rsidRPr="00FA51B7">
        <w:rPr>
          <w:b/>
          <w:bCs/>
        </w:rPr>
        <w:t xml:space="preserve"> 1: </w:t>
      </w:r>
      <w:r w:rsidR="00E631F9" w:rsidRPr="00FA51B7">
        <w:rPr>
          <w:b/>
          <w:bCs/>
        </w:rPr>
        <w:t>Name</w:t>
      </w:r>
    </w:p>
    <w:p w14:paraId="6EB0F1F1" w14:textId="77777777" w:rsidR="00DA552F" w:rsidRPr="00FA51B7" w:rsidRDefault="00DA552F" w:rsidP="006930FD">
      <w:pPr>
        <w:pStyle w:val="ListParagraph"/>
        <w:numPr>
          <w:ilvl w:val="0"/>
          <w:numId w:val="1"/>
        </w:numPr>
        <w:spacing w:before="360" w:after="120"/>
        <w:rPr>
          <w:rFonts w:asciiTheme="minorHAnsi" w:hAnsiTheme="minorHAnsi" w:cstheme="minorHAnsi"/>
          <w:szCs w:val="24"/>
        </w:rPr>
      </w:pPr>
      <w:r w:rsidRPr="00FA51B7">
        <w:rPr>
          <w:rFonts w:asciiTheme="minorHAnsi" w:hAnsiTheme="minorHAnsi" w:cstheme="minorHAnsi"/>
          <w:szCs w:val="24"/>
        </w:rPr>
        <w:t xml:space="preserve">This is a formal provision specifying the </w:t>
      </w:r>
      <w:r w:rsidR="00E631F9" w:rsidRPr="00FA51B7">
        <w:rPr>
          <w:rFonts w:asciiTheme="minorHAnsi" w:hAnsiTheme="minorHAnsi" w:cstheme="minorHAnsi"/>
          <w:szCs w:val="24"/>
        </w:rPr>
        <w:t>name of the instrument.</w:t>
      </w:r>
    </w:p>
    <w:p w14:paraId="153E9ACC" w14:textId="77777777" w:rsidR="00DA552F" w:rsidRPr="00FA51B7" w:rsidRDefault="00DB6247" w:rsidP="000C310A">
      <w:pPr>
        <w:pStyle w:val="Heading3"/>
        <w:spacing w:before="240"/>
        <w:rPr>
          <w:b/>
          <w:bCs/>
        </w:rPr>
      </w:pPr>
      <w:r w:rsidRPr="00FA51B7">
        <w:rPr>
          <w:b/>
          <w:bCs/>
        </w:rPr>
        <w:t>Section</w:t>
      </w:r>
      <w:r w:rsidR="00DA552F" w:rsidRPr="00FA51B7">
        <w:rPr>
          <w:b/>
          <w:bCs/>
        </w:rPr>
        <w:t xml:space="preserve"> 2: Commencement</w:t>
      </w:r>
    </w:p>
    <w:p w14:paraId="61B55B52" w14:textId="2E575B09" w:rsidR="005A366E" w:rsidRPr="00FA51B7" w:rsidRDefault="005A366E" w:rsidP="005A366E">
      <w:pPr>
        <w:pStyle w:val="ListParagraph"/>
        <w:numPr>
          <w:ilvl w:val="0"/>
          <w:numId w:val="1"/>
        </w:numPr>
        <w:spacing w:before="360" w:after="120"/>
        <w:rPr>
          <w:rFonts w:ascii="Calibri" w:eastAsia="Times New Roman" w:hAnsi="Calibri" w:cs="Calibri"/>
          <w:color w:val="000000"/>
          <w:szCs w:val="24"/>
          <w:lang w:eastAsia="en-AU"/>
        </w:rPr>
      </w:pPr>
      <w:r w:rsidRPr="00FA51B7">
        <w:rPr>
          <w:rFonts w:ascii="Calibri" w:eastAsia="Times New Roman" w:hAnsi="Calibri" w:cs="Calibri"/>
          <w:color w:val="000000"/>
          <w:szCs w:val="24"/>
          <w:lang w:eastAsia="en-AU"/>
        </w:rPr>
        <w:t xml:space="preserve">Sections 1 to 4 commence </w:t>
      </w:r>
      <w:r w:rsidRPr="00FA51B7">
        <w:rPr>
          <w:rFonts w:ascii="Calibri" w:hAnsi="Calibri" w:cs="Calibri"/>
          <w:color w:val="000000"/>
          <w:shd w:val="clear" w:color="auto" w:fill="FFFFFF"/>
        </w:rPr>
        <w:t>on the day after registration</w:t>
      </w:r>
      <w:r w:rsidRPr="00FA51B7">
        <w:rPr>
          <w:rFonts w:ascii="Calibri" w:eastAsia="Times New Roman" w:hAnsi="Calibri" w:cs="Calibri"/>
          <w:color w:val="000000"/>
          <w:szCs w:val="24"/>
          <w:lang w:eastAsia="en-AU"/>
        </w:rPr>
        <w:t xml:space="preserve">. Schedule 1 commences on 1 July 2023. </w:t>
      </w:r>
    </w:p>
    <w:p w14:paraId="3287C071" w14:textId="77777777" w:rsidR="00E631F9" w:rsidRPr="00FA51B7" w:rsidRDefault="00E631F9" w:rsidP="000C310A">
      <w:pPr>
        <w:pStyle w:val="Heading3"/>
        <w:spacing w:before="240"/>
        <w:rPr>
          <w:b/>
          <w:bCs/>
        </w:rPr>
      </w:pPr>
      <w:r w:rsidRPr="00FA51B7">
        <w:rPr>
          <w:b/>
          <w:bCs/>
        </w:rPr>
        <w:t>Section 3: Authority</w:t>
      </w:r>
    </w:p>
    <w:p w14:paraId="6BE607F5" w14:textId="77777777" w:rsidR="005A366E" w:rsidRPr="00FA51B7" w:rsidRDefault="005A366E" w:rsidP="005A366E">
      <w:pPr>
        <w:pStyle w:val="ListParagraph"/>
        <w:numPr>
          <w:ilvl w:val="0"/>
          <w:numId w:val="1"/>
        </w:numPr>
        <w:spacing w:before="360" w:after="120"/>
        <w:rPr>
          <w:rFonts w:ascii="Calibri" w:eastAsia="Times New Roman" w:hAnsi="Calibri" w:cs="Calibri"/>
          <w:color w:val="000000"/>
          <w:szCs w:val="24"/>
          <w:lang w:eastAsia="en-AU"/>
        </w:rPr>
      </w:pPr>
      <w:r w:rsidRPr="00FA51B7">
        <w:rPr>
          <w:rFonts w:ascii="Calibri" w:eastAsia="Times New Roman" w:hAnsi="Calibri" w:cs="Calibri"/>
          <w:color w:val="000000"/>
          <w:szCs w:val="24"/>
          <w:lang w:eastAsia="en-AU"/>
        </w:rPr>
        <w:t>This provision provides that the Amendment Rules are made under subsection 85</w:t>
      </w:r>
      <w:proofErr w:type="gramStart"/>
      <w:r w:rsidRPr="00FA51B7">
        <w:rPr>
          <w:rFonts w:ascii="Calibri" w:eastAsia="Times New Roman" w:hAnsi="Calibri" w:cs="Calibri"/>
          <w:color w:val="000000"/>
          <w:szCs w:val="24"/>
          <w:lang w:eastAsia="en-AU"/>
        </w:rPr>
        <w:t>GB(</w:t>
      </w:r>
      <w:proofErr w:type="gramEnd"/>
      <w:r w:rsidRPr="00FA51B7">
        <w:rPr>
          <w:rFonts w:ascii="Calibri" w:eastAsia="Times New Roman" w:hAnsi="Calibri" w:cs="Calibri"/>
          <w:color w:val="000000"/>
          <w:szCs w:val="24"/>
          <w:lang w:eastAsia="en-AU"/>
        </w:rPr>
        <w:t>1) of the </w:t>
      </w:r>
      <w:r w:rsidRPr="00FA51B7">
        <w:rPr>
          <w:rFonts w:ascii="Calibri" w:eastAsia="Times New Roman" w:hAnsi="Calibri" w:cs="Calibri"/>
          <w:i/>
          <w:iCs/>
          <w:color w:val="000000"/>
          <w:szCs w:val="24"/>
          <w:lang w:eastAsia="en-AU"/>
        </w:rPr>
        <w:t>A New Tax System (Family Assistance) Act 1999</w:t>
      </w:r>
      <w:r w:rsidRPr="00FA51B7">
        <w:rPr>
          <w:rFonts w:ascii="Calibri" w:eastAsia="Times New Roman" w:hAnsi="Calibri" w:cs="Calibri"/>
          <w:color w:val="000000"/>
          <w:szCs w:val="24"/>
          <w:lang w:eastAsia="en-AU"/>
        </w:rPr>
        <w:t> (Family Assistance Act), which allows the Minister to make rules required or permitted to be prescribed by either the Family Assistance Act or the </w:t>
      </w:r>
      <w:r w:rsidRPr="00FA51B7">
        <w:rPr>
          <w:rFonts w:ascii="Calibri" w:eastAsia="Times New Roman" w:hAnsi="Calibri" w:cs="Calibri"/>
          <w:i/>
          <w:iCs/>
          <w:color w:val="000000"/>
          <w:szCs w:val="24"/>
          <w:lang w:eastAsia="en-AU"/>
        </w:rPr>
        <w:t>A New Tax System (Family Assistance) (Administration) Act 1999</w:t>
      </w:r>
      <w:r w:rsidRPr="00FA51B7">
        <w:rPr>
          <w:rFonts w:ascii="Calibri" w:eastAsia="Times New Roman" w:hAnsi="Calibri" w:cs="Calibri"/>
          <w:color w:val="000000"/>
          <w:szCs w:val="24"/>
          <w:lang w:eastAsia="en-AU"/>
        </w:rPr>
        <w:t> (Family Assistance Administration Act).</w:t>
      </w:r>
    </w:p>
    <w:p w14:paraId="0296CC14" w14:textId="51A6E8A4" w:rsidR="00DA552F" w:rsidRPr="00FA51B7" w:rsidRDefault="00E631F9" w:rsidP="000C310A">
      <w:pPr>
        <w:pStyle w:val="Heading3"/>
        <w:spacing w:before="240"/>
        <w:rPr>
          <w:b/>
          <w:bCs/>
        </w:rPr>
      </w:pPr>
      <w:r w:rsidRPr="00FA51B7">
        <w:rPr>
          <w:b/>
          <w:bCs/>
        </w:rPr>
        <w:t xml:space="preserve">Section 4: </w:t>
      </w:r>
      <w:r w:rsidR="005A366E" w:rsidRPr="00FA51B7">
        <w:rPr>
          <w:b/>
          <w:bCs/>
        </w:rPr>
        <w:t>Schedules</w:t>
      </w:r>
    </w:p>
    <w:p w14:paraId="2AB55D93" w14:textId="7C436CAC" w:rsidR="00756D99" w:rsidRPr="00FA51B7" w:rsidRDefault="005A366E" w:rsidP="005A366E">
      <w:pPr>
        <w:pStyle w:val="ListParagraph"/>
        <w:numPr>
          <w:ilvl w:val="0"/>
          <w:numId w:val="1"/>
        </w:numPr>
        <w:spacing w:before="360" w:after="120"/>
        <w:rPr>
          <w:rFonts w:asciiTheme="minorHAnsi" w:hAnsiTheme="minorHAnsi" w:cstheme="minorHAnsi"/>
          <w:u w:val="single"/>
        </w:rPr>
      </w:pPr>
      <w:bookmarkStart w:id="8" w:name="_Toc23942243"/>
      <w:bookmarkEnd w:id="8"/>
      <w:r w:rsidRPr="00FA51B7">
        <w:rPr>
          <w:rFonts w:ascii="Calibri" w:hAnsi="Calibri" w:cs="Calibri"/>
          <w:color w:val="000000"/>
          <w:shd w:val="clear" w:color="auto" w:fill="FFFFFF"/>
        </w:rPr>
        <w:t xml:space="preserve">This section </w:t>
      </w:r>
      <w:r w:rsidRPr="00FA51B7">
        <w:rPr>
          <w:rFonts w:ascii="Calibri" w:eastAsia="Times New Roman" w:hAnsi="Calibri" w:cs="Calibri"/>
          <w:color w:val="000000"/>
          <w:szCs w:val="24"/>
          <w:lang w:eastAsia="en-AU"/>
        </w:rPr>
        <w:t>provides</w:t>
      </w:r>
      <w:r w:rsidRPr="00FA51B7">
        <w:rPr>
          <w:rFonts w:ascii="Calibri" w:hAnsi="Calibri" w:cs="Calibri"/>
          <w:color w:val="000000"/>
          <w:shd w:val="clear" w:color="auto" w:fill="FFFFFF"/>
        </w:rPr>
        <w:t xml:space="preserve"> that</w:t>
      </w:r>
      <w:r w:rsidR="00466B9E" w:rsidRPr="00FA51B7">
        <w:rPr>
          <w:rFonts w:ascii="Calibri" w:hAnsi="Calibri" w:cs="Calibri"/>
          <w:color w:val="000000"/>
          <w:shd w:val="clear" w:color="auto" w:fill="FFFFFF"/>
        </w:rPr>
        <w:t xml:space="preserve"> each instrument specified in a Schedule to the Amendment Rules (that is,</w:t>
      </w:r>
      <w:r w:rsidRPr="00FA51B7">
        <w:rPr>
          <w:rFonts w:ascii="Calibri" w:hAnsi="Calibri" w:cs="Calibri"/>
          <w:color w:val="000000"/>
          <w:shd w:val="clear" w:color="auto" w:fill="FFFFFF"/>
        </w:rPr>
        <w:t xml:space="preserve"> the </w:t>
      </w:r>
      <w:r w:rsidRPr="00FA51B7">
        <w:rPr>
          <w:rFonts w:ascii="Calibri" w:hAnsi="Calibri" w:cs="Calibri"/>
          <w:i/>
          <w:iCs/>
          <w:color w:val="000000"/>
          <w:shd w:val="clear" w:color="auto" w:fill="FFFFFF"/>
        </w:rPr>
        <w:t>Child Care Subsidy Minister’s Rules 2017 </w:t>
      </w:r>
      <w:r w:rsidRPr="00FA51B7">
        <w:rPr>
          <w:rFonts w:ascii="Calibri" w:hAnsi="Calibri" w:cs="Calibri"/>
          <w:color w:val="000000"/>
          <w:shd w:val="clear" w:color="auto" w:fill="FFFFFF"/>
        </w:rPr>
        <w:t>(Principal Rules)</w:t>
      </w:r>
      <w:r w:rsidR="00466B9E" w:rsidRPr="00FA51B7">
        <w:rPr>
          <w:rFonts w:ascii="Calibri" w:hAnsi="Calibri" w:cs="Calibri"/>
          <w:color w:val="000000"/>
          <w:shd w:val="clear" w:color="auto" w:fill="FFFFFF"/>
        </w:rPr>
        <w:t>)</w:t>
      </w:r>
      <w:r w:rsidRPr="00FA51B7">
        <w:rPr>
          <w:rFonts w:ascii="Calibri" w:hAnsi="Calibri" w:cs="Calibri"/>
          <w:color w:val="000000"/>
          <w:shd w:val="clear" w:color="auto" w:fill="FFFFFF"/>
        </w:rPr>
        <w:t xml:space="preserve"> are amended </w:t>
      </w:r>
      <w:r w:rsidR="00466B9E" w:rsidRPr="00FA51B7">
        <w:rPr>
          <w:rFonts w:ascii="Calibri" w:hAnsi="Calibri" w:cs="Calibri"/>
          <w:color w:val="000000"/>
          <w:shd w:val="clear" w:color="auto" w:fill="FFFFFF"/>
        </w:rPr>
        <w:t xml:space="preserve">or repealed </w:t>
      </w:r>
      <w:r w:rsidRPr="00FA51B7">
        <w:rPr>
          <w:rFonts w:ascii="Calibri" w:hAnsi="Calibri" w:cs="Calibri"/>
          <w:color w:val="000000"/>
          <w:shd w:val="clear" w:color="auto" w:fill="FFFFFF"/>
        </w:rPr>
        <w:t>as set out in</w:t>
      </w:r>
      <w:r w:rsidR="00466B9E" w:rsidRPr="00FA51B7">
        <w:rPr>
          <w:rFonts w:ascii="Calibri" w:hAnsi="Calibri" w:cs="Calibri"/>
          <w:color w:val="000000"/>
          <w:shd w:val="clear" w:color="auto" w:fill="FFFFFF"/>
        </w:rPr>
        <w:t xml:space="preserve"> the applicable items in</w:t>
      </w:r>
      <w:r w:rsidRPr="00FA51B7">
        <w:rPr>
          <w:rFonts w:ascii="Calibri" w:hAnsi="Calibri" w:cs="Calibri"/>
          <w:color w:val="000000"/>
          <w:shd w:val="clear" w:color="auto" w:fill="FFFFFF"/>
        </w:rPr>
        <w:t xml:space="preserve"> the Schedules to the Amendment Rules. </w:t>
      </w:r>
    </w:p>
    <w:p w14:paraId="6D4A73AC" w14:textId="77777777" w:rsidR="00E60F2B" w:rsidRPr="00FA51B7" w:rsidRDefault="00F10B14" w:rsidP="00F10B14">
      <w:pPr>
        <w:pStyle w:val="Heading2"/>
        <w:shd w:val="clear" w:color="auto" w:fill="FFFFFF"/>
        <w:spacing w:after="200" w:line="276" w:lineRule="atLeast"/>
        <w:rPr>
          <w:rFonts w:ascii="Calibri" w:hAnsi="Calibri" w:cs="Calibri"/>
          <w:color w:val="000000"/>
          <w:u w:val="single"/>
        </w:rPr>
      </w:pPr>
      <w:r w:rsidRPr="00FA51B7">
        <w:rPr>
          <w:rFonts w:ascii="Calibri" w:hAnsi="Calibri" w:cs="Calibri"/>
          <w:color w:val="000000"/>
          <w:u w:val="single"/>
        </w:rPr>
        <w:t>SCHEDULE 1</w:t>
      </w:r>
      <w:r w:rsidR="00E60F2B" w:rsidRPr="00FA51B7">
        <w:rPr>
          <w:rFonts w:ascii="Calibri" w:hAnsi="Calibri" w:cs="Calibri"/>
          <w:color w:val="000000"/>
          <w:u w:val="single"/>
        </w:rPr>
        <w:t xml:space="preserve"> – Amendments </w:t>
      </w:r>
    </w:p>
    <w:p w14:paraId="72EC1402" w14:textId="46E585FE" w:rsidR="00F10B14" w:rsidRPr="00FA51B7" w:rsidRDefault="00E60F2B" w:rsidP="00F10B14">
      <w:pPr>
        <w:pStyle w:val="Heading2"/>
        <w:shd w:val="clear" w:color="auto" w:fill="FFFFFF"/>
        <w:spacing w:after="200" w:line="276" w:lineRule="atLeast"/>
        <w:rPr>
          <w:rFonts w:ascii="Calibri" w:hAnsi="Calibri" w:cs="Calibri"/>
          <w:color w:val="000000"/>
          <w:u w:val="single"/>
        </w:rPr>
      </w:pPr>
      <w:r w:rsidRPr="00FA51B7">
        <w:rPr>
          <w:rFonts w:ascii="Calibri" w:hAnsi="Calibri" w:cs="Calibri"/>
          <w:color w:val="000000"/>
          <w:u w:val="single"/>
        </w:rPr>
        <w:t>Part 1</w:t>
      </w:r>
      <w:r w:rsidR="00F10B14" w:rsidRPr="00FA51B7">
        <w:rPr>
          <w:rFonts w:ascii="Calibri" w:hAnsi="Calibri" w:cs="Calibri"/>
          <w:color w:val="000000"/>
          <w:u w:val="single"/>
        </w:rPr>
        <w:t xml:space="preserve"> – Electronic </w:t>
      </w:r>
      <w:r w:rsidR="00466B9E" w:rsidRPr="00FA51B7">
        <w:rPr>
          <w:rFonts w:ascii="Calibri" w:hAnsi="Calibri" w:cs="Calibri"/>
          <w:color w:val="000000"/>
          <w:u w:val="single"/>
        </w:rPr>
        <w:t>f</w:t>
      </w:r>
      <w:r w:rsidR="00F10B14" w:rsidRPr="00FA51B7">
        <w:rPr>
          <w:rFonts w:ascii="Calibri" w:hAnsi="Calibri" w:cs="Calibri"/>
          <w:color w:val="000000"/>
          <w:u w:val="single"/>
        </w:rPr>
        <w:t xml:space="preserve">unds </w:t>
      </w:r>
      <w:r w:rsidR="00466B9E" w:rsidRPr="00FA51B7">
        <w:rPr>
          <w:rFonts w:ascii="Calibri" w:hAnsi="Calibri" w:cs="Calibri"/>
          <w:color w:val="000000"/>
          <w:u w:val="single"/>
        </w:rPr>
        <w:t>t</w:t>
      </w:r>
      <w:r w:rsidR="00F10B14" w:rsidRPr="00FA51B7">
        <w:rPr>
          <w:rFonts w:ascii="Calibri" w:hAnsi="Calibri" w:cs="Calibri"/>
          <w:color w:val="000000"/>
          <w:u w:val="single"/>
        </w:rPr>
        <w:t>ransfer exceptions</w:t>
      </w:r>
    </w:p>
    <w:p w14:paraId="65C88EAE" w14:textId="7F8D4D72" w:rsidR="00F10B14" w:rsidRPr="00FA51B7" w:rsidRDefault="00F10B14" w:rsidP="00466B9E">
      <w:pPr>
        <w:pStyle w:val="Heading2"/>
        <w:shd w:val="clear" w:color="auto" w:fill="FFFFFF"/>
        <w:spacing w:after="200" w:line="276" w:lineRule="atLeast"/>
        <w:rPr>
          <w:rFonts w:ascii="Calibri" w:hAnsi="Calibri" w:cs="Calibri"/>
          <w:b w:val="0"/>
          <w:bCs/>
          <w:color w:val="000000"/>
          <w:u w:val="single"/>
        </w:rPr>
      </w:pPr>
      <w:r w:rsidRPr="00FA51B7">
        <w:rPr>
          <w:rFonts w:ascii="Calibri" w:hAnsi="Calibri" w:cs="Calibri"/>
          <w:b w:val="0"/>
          <w:bCs/>
          <w:color w:val="000000"/>
          <w:u w:val="single"/>
        </w:rPr>
        <w:t>Item 1</w:t>
      </w:r>
      <w:r w:rsidR="00466B9E" w:rsidRPr="00FA51B7">
        <w:rPr>
          <w:rFonts w:ascii="Calibri" w:hAnsi="Calibri" w:cs="Calibri"/>
          <w:b w:val="0"/>
          <w:bCs/>
          <w:color w:val="000000"/>
          <w:u w:val="single"/>
        </w:rPr>
        <w:t xml:space="preserve"> – Division 1A of Part 5 (heading)</w:t>
      </w:r>
    </w:p>
    <w:p w14:paraId="6A79CD5D" w14:textId="4CF60D41" w:rsidR="00F10B14" w:rsidRPr="00FA51B7" w:rsidRDefault="0084237A" w:rsidP="00E60F2B">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Item 1 updates the heading to Division 1A of Part 5 to include a reference to payment of hourly session fees</w:t>
      </w:r>
      <w:r w:rsidR="00B26B94" w:rsidRPr="00FA51B7">
        <w:rPr>
          <w:rFonts w:asciiTheme="minorHAnsi" w:hAnsiTheme="minorHAnsi" w:cstheme="minorHAnsi"/>
        </w:rPr>
        <w:t xml:space="preserve">. This is </w:t>
      </w:r>
      <w:r w:rsidRPr="00FA51B7">
        <w:rPr>
          <w:rFonts w:asciiTheme="minorHAnsi" w:hAnsiTheme="minorHAnsi" w:cstheme="minorHAnsi"/>
        </w:rPr>
        <w:t>to reflect the changes to the Division, which relate to exceptions to the requirement to pay fees using an electronic funds transfer</w:t>
      </w:r>
      <w:r w:rsidR="007E36C3" w:rsidRPr="00FA51B7">
        <w:rPr>
          <w:rFonts w:asciiTheme="minorHAnsi" w:hAnsiTheme="minorHAnsi" w:cstheme="minorHAnsi"/>
        </w:rPr>
        <w:t xml:space="preserve"> (EFT)</w:t>
      </w:r>
      <w:r w:rsidRPr="00FA51B7">
        <w:rPr>
          <w:rFonts w:asciiTheme="minorHAnsi" w:hAnsiTheme="minorHAnsi" w:cstheme="minorHAnsi"/>
        </w:rPr>
        <w:t xml:space="preserve"> system.</w:t>
      </w:r>
    </w:p>
    <w:p w14:paraId="24E27547" w14:textId="1FCAD2F9" w:rsidR="0084237A" w:rsidRPr="00FA51B7" w:rsidRDefault="0084237A" w:rsidP="00466B9E">
      <w:pPr>
        <w:pStyle w:val="Heading2"/>
        <w:shd w:val="clear" w:color="auto" w:fill="FFFFFF"/>
        <w:spacing w:after="200" w:line="276" w:lineRule="atLeast"/>
        <w:rPr>
          <w:rFonts w:ascii="Calibri" w:hAnsi="Calibri" w:cs="Calibri"/>
          <w:b w:val="0"/>
          <w:bCs/>
          <w:color w:val="000000"/>
          <w:u w:val="single"/>
        </w:rPr>
      </w:pPr>
      <w:r w:rsidRPr="00FA51B7">
        <w:rPr>
          <w:rFonts w:ascii="Calibri" w:hAnsi="Calibri" w:cs="Calibri"/>
          <w:b w:val="0"/>
          <w:bCs/>
          <w:color w:val="000000"/>
          <w:u w:val="single"/>
        </w:rPr>
        <w:lastRenderedPageBreak/>
        <w:t xml:space="preserve">Item </w:t>
      </w:r>
      <w:r w:rsidR="00301AEA" w:rsidRPr="00FA51B7">
        <w:rPr>
          <w:rFonts w:ascii="Calibri" w:hAnsi="Calibri" w:cs="Calibri"/>
          <w:b w:val="0"/>
          <w:bCs/>
          <w:color w:val="000000"/>
          <w:u w:val="single"/>
        </w:rPr>
        <w:t>2</w:t>
      </w:r>
      <w:r w:rsidR="00466B9E" w:rsidRPr="00FA51B7">
        <w:rPr>
          <w:rFonts w:ascii="Calibri" w:hAnsi="Calibri" w:cs="Calibri"/>
          <w:b w:val="0"/>
          <w:bCs/>
          <w:color w:val="000000"/>
          <w:u w:val="single"/>
        </w:rPr>
        <w:t xml:space="preserve"> – Section 54AA</w:t>
      </w:r>
    </w:p>
    <w:p w14:paraId="4BFA1619" w14:textId="0B14DBF8" w:rsidR="00A05F43" w:rsidRPr="00FA51B7" w:rsidRDefault="0084237A" w:rsidP="0084237A">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Item 2 repeals section 54AA </w:t>
      </w:r>
      <w:r w:rsidR="00B05F6A" w:rsidRPr="00FA51B7">
        <w:rPr>
          <w:rFonts w:asciiTheme="minorHAnsi" w:hAnsiTheme="minorHAnsi" w:cstheme="minorHAnsi"/>
        </w:rPr>
        <w:t>and substitutes it with a new section 54A</w:t>
      </w:r>
      <w:r w:rsidR="00466B9E" w:rsidRPr="00FA51B7">
        <w:rPr>
          <w:rFonts w:asciiTheme="minorHAnsi" w:hAnsiTheme="minorHAnsi" w:cstheme="minorHAnsi"/>
        </w:rPr>
        <w:t xml:space="preserve">. This new section is made for the purposes of subsection 201B(1A) of the Family Assistance Administration Act, which will be inserted by item 7 in Part 2 of Schedule 4 to the </w:t>
      </w:r>
      <w:r w:rsidR="00466B9E" w:rsidRPr="00FA51B7">
        <w:rPr>
          <w:rFonts w:asciiTheme="minorHAnsi" w:hAnsiTheme="minorHAnsi" w:cstheme="minorHAnsi"/>
          <w:i/>
          <w:iCs/>
        </w:rPr>
        <w:t xml:space="preserve">Family Assistance Legislation Amendment (Cheaper Child Care) Act 2022 </w:t>
      </w:r>
      <w:r w:rsidR="00466B9E" w:rsidRPr="00FA51B7">
        <w:rPr>
          <w:rFonts w:asciiTheme="minorHAnsi" w:hAnsiTheme="minorHAnsi" w:cstheme="minorHAnsi"/>
        </w:rPr>
        <w:t>(Cheaper Child Care Act). The purpose of this new section is</w:t>
      </w:r>
      <w:r w:rsidR="00B05F6A" w:rsidRPr="00FA51B7">
        <w:rPr>
          <w:rFonts w:asciiTheme="minorHAnsi" w:hAnsiTheme="minorHAnsi" w:cstheme="minorHAnsi"/>
        </w:rPr>
        <w:t xml:space="preserve"> to prescribe the circumstance where an individual reasonably fears that paying the hourly session fees using an </w:t>
      </w:r>
      <w:r w:rsidR="002B4FD7" w:rsidRPr="00FA51B7">
        <w:rPr>
          <w:rFonts w:asciiTheme="minorHAnsi" w:hAnsiTheme="minorHAnsi" w:cstheme="minorHAnsi"/>
        </w:rPr>
        <w:t>EFT</w:t>
      </w:r>
      <w:r w:rsidR="00B05F6A" w:rsidRPr="00FA51B7">
        <w:rPr>
          <w:rFonts w:asciiTheme="minorHAnsi" w:hAnsiTheme="minorHAnsi" w:cstheme="minorHAnsi"/>
        </w:rPr>
        <w:t xml:space="preserve"> system puts the individual or their child at risk of family or domestic violence. </w:t>
      </w:r>
      <w:r w:rsidR="000D255F" w:rsidRPr="00FA51B7">
        <w:rPr>
          <w:rFonts w:asciiTheme="minorHAnsi" w:hAnsiTheme="minorHAnsi" w:cstheme="minorHAnsi"/>
        </w:rPr>
        <w:t xml:space="preserve">An individual in this </w:t>
      </w:r>
      <w:r w:rsidR="000E4C18" w:rsidRPr="00FA51B7">
        <w:rPr>
          <w:rFonts w:asciiTheme="minorHAnsi" w:hAnsiTheme="minorHAnsi" w:cstheme="minorHAnsi"/>
        </w:rPr>
        <w:t xml:space="preserve">prescribed circumstance would not be required to pay the provider using an </w:t>
      </w:r>
      <w:r w:rsidR="002B4FD7" w:rsidRPr="00FA51B7">
        <w:rPr>
          <w:rFonts w:asciiTheme="minorHAnsi" w:hAnsiTheme="minorHAnsi" w:cstheme="minorHAnsi"/>
        </w:rPr>
        <w:t>EFT</w:t>
      </w:r>
      <w:r w:rsidR="000E4C18" w:rsidRPr="00FA51B7">
        <w:rPr>
          <w:rFonts w:asciiTheme="minorHAnsi" w:hAnsiTheme="minorHAnsi" w:cstheme="minorHAnsi"/>
        </w:rPr>
        <w:t xml:space="preserve"> system. </w:t>
      </w:r>
      <w:r w:rsidR="00270CB2" w:rsidRPr="00FA51B7">
        <w:rPr>
          <w:rFonts w:asciiTheme="minorHAnsi" w:hAnsiTheme="minorHAnsi" w:cstheme="minorHAnsi"/>
        </w:rPr>
        <w:t>This measure is in response to</w:t>
      </w:r>
      <w:r w:rsidR="00466B9E" w:rsidRPr="00FA51B7">
        <w:rPr>
          <w:rFonts w:asciiTheme="minorHAnsi" w:hAnsiTheme="minorHAnsi" w:cstheme="minorHAnsi"/>
        </w:rPr>
        <w:t xml:space="preserve"> early childhood education and care</w:t>
      </w:r>
      <w:r w:rsidR="00270CB2" w:rsidRPr="00FA51B7">
        <w:rPr>
          <w:rFonts w:asciiTheme="minorHAnsi" w:hAnsiTheme="minorHAnsi" w:cstheme="minorHAnsi"/>
        </w:rPr>
        <w:t xml:space="preserve"> sector feedback </w:t>
      </w:r>
      <w:r w:rsidR="00646510" w:rsidRPr="00FA51B7">
        <w:rPr>
          <w:rFonts w:asciiTheme="minorHAnsi" w:hAnsiTheme="minorHAnsi" w:cstheme="minorHAnsi"/>
        </w:rPr>
        <w:t xml:space="preserve">in relation to </w:t>
      </w:r>
      <w:r w:rsidR="00270CB2" w:rsidRPr="00FA51B7">
        <w:rPr>
          <w:rFonts w:asciiTheme="minorHAnsi" w:hAnsiTheme="minorHAnsi" w:cstheme="minorHAnsi"/>
        </w:rPr>
        <w:t>vulnerable individuals</w:t>
      </w:r>
      <w:r w:rsidR="005C112E" w:rsidRPr="00FA51B7">
        <w:rPr>
          <w:rFonts w:asciiTheme="minorHAnsi" w:hAnsiTheme="minorHAnsi" w:cstheme="minorHAnsi"/>
        </w:rPr>
        <w:t>,</w:t>
      </w:r>
      <w:r w:rsidR="00270CB2" w:rsidRPr="00FA51B7">
        <w:rPr>
          <w:rFonts w:asciiTheme="minorHAnsi" w:hAnsiTheme="minorHAnsi" w:cstheme="minorHAnsi"/>
        </w:rPr>
        <w:t xml:space="preserve"> such as those experiencing </w:t>
      </w:r>
      <w:r w:rsidR="005C112E" w:rsidRPr="00FA51B7">
        <w:rPr>
          <w:rFonts w:asciiTheme="minorHAnsi" w:hAnsiTheme="minorHAnsi" w:cstheme="minorHAnsi"/>
        </w:rPr>
        <w:t xml:space="preserve">or at risk of </w:t>
      </w:r>
      <w:r w:rsidR="00466B9E" w:rsidRPr="00FA51B7">
        <w:rPr>
          <w:rFonts w:asciiTheme="minorHAnsi" w:hAnsiTheme="minorHAnsi" w:cstheme="minorHAnsi"/>
        </w:rPr>
        <w:t xml:space="preserve">family or </w:t>
      </w:r>
      <w:r w:rsidR="00270CB2" w:rsidRPr="00FA51B7">
        <w:rPr>
          <w:rFonts w:asciiTheme="minorHAnsi" w:hAnsiTheme="minorHAnsi" w:cstheme="minorHAnsi"/>
        </w:rPr>
        <w:t xml:space="preserve">domestic violence. </w:t>
      </w:r>
      <w:r w:rsidR="002B4FD7" w:rsidRPr="00FA51B7">
        <w:rPr>
          <w:rFonts w:asciiTheme="minorHAnsi" w:hAnsiTheme="minorHAnsi" w:cstheme="minorHAnsi"/>
        </w:rPr>
        <w:t>As highlighted by k</w:t>
      </w:r>
      <w:r w:rsidR="00270CB2" w:rsidRPr="00FA51B7">
        <w:rPr>
          <w:rFonts w:asciiTheme="minorHAnsi" w:hAnsiTheme="minorHAnsi" w:cstheme="minorHAnsi"/>
        </w:rPr>
        <w:t>ey sector stakeholders and domestic violence advocates</w:t>
      </w:r>
      <w:r w:rsidR="002B4FD7" w:rsidRPr="00FA51B7">
        <w:rPr>
          <w:rFonts w:asciiTheme="minorHAnsi" w:hAnsiTheme="minorHAnsi" w:cstheme="minorHAnsi"/>
        </w:rPr>
        <w:t>,</w:t>
      </w:r>
      <w:r w:rsidR="00270CB2" w:rsidRPr="00FA51B7">
        <w:rPr>
          <w:rFonts w:asciiTheme="minorHAnsi" w:hAnsiTheme="minorHAnsi" w:cstheme="minorHAnsi"/>
        </w:rPr>
        <w:t xml:space="preserve"> this individual exception </w:t>
      </w:r>
      <w:r w:rsidR="00B251EB" w:rsidRPr="00FA51B7">
        <w:rPr>
          <w:rFonts w:asciiTheme="minorHAnsi" w:hAnsiTheme="minorHAnsi" w:cstheme="minorHAnsi"/>
        </w:rPr>
        <w:t xml:space="preserve">to the requirement to pay fees electronically </w:t>
      </w:r>
      <w:r w:rsidR="00270CB2" w:rsidRPr="00FA51B7">
        <w:rPr>
          <w:rFonts w:asciiTheme="minorHAnsi" w:hAnsiTheme="minorHAnsi" w:cstheme="minorHAnsi"/>
        </w:rPr>
        <w:t xml:space="preserve">will be necessary to avoid situations of </w:t>
      </w:r>
      <w:r w:rsidR="00466B9E" w:rsidRPr="00FA51B7">
        <w:rPr>
          <w:rFonts w:asciiTheme="minorHAnsi" w:hAnsiTheme="minorHAnsi" w:cstheme="minorHAnsi"/>
        </w:rPr>
        <w:t xml:space="preserve">family or </w:t>
      </w:r>
      <w:r w:rsidR="00270CB2" w:rsidRPr="00FA51B7">
        <w:rPr>
          <w:rFonts w:asciiTheme="minorHAnsi" w:hAnsiTheme="minorHAnsi" w:cstheme="minorHAnsi"/>
        </w:rPr>
        <w:t xml:space="preserve">domestic violence where a perpetrator may identify the location where a child is attending care by viewing an electronic record (for example, a bank statement).   </w:t>
      </w:r>
    </w:p>
    <w:p w14:paraId="2AB92933" w14:textId="77777777" w:rsidR="00466B9E" w:rsidRPr="00FA51B7" w:rsidRDefault="00540BDE" w:rsidP="0084237A">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T</w:t>
      </w:r>
      <w:r w:rsidR="006B1D24" w:rsidRPr="00FA51B7">
        <w:rPr>
          <w:rFonts w:asciiTheme="minorHAnsi" w:hAnsiTheme="minorHAnsi" w:cstheme="minorHAnsi"/>
        </w:rPr>
        <w:t xml:space="preserve">he measure allows the Secretary to decide that a particular individual is not </w:t>
      </w:r>
      <w:r w:rsidR="00B764A5" w:rsidRPr="00FA51B7">
        <w:rPr>
          <w:rFonts w:asciiTheme="minorHAnsi" w:hAnsiTheme="minorHAnsi" w:cstheme="minorHAnsi"/>
        </w:rPr>
        <w:t xml:space="preserve">to be required to pay the provider electronically </w:t>
      </w:r>
      <w:r w:rsidR="001B09AC" w:rsidRPr="00FA51B7">
        <w:rPr>
          <w:rFonts w:asciiTheme="minorHAnsi" w:hAnsiTheme="minorHAnsi" w:cstheme="minorHAnsi"/>
        </w:rPr>
        <w:t xml:space="preserve">if that individual reasonably fears that doing so would put them or their child at risk of family or domestic violence. </w:t>
      </w:r>
    </w:p>
    <w:p w14:paraId="04975550" w14:textId="32FF04DA" w:rsidR="008F6A4D" w:rsidRPr="00FA51B7" w:rsidRDefault="00A05F43" w:rsidP="0084237A">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Domestic violence </w:t>
      </w:r>
      <w:r w:rsidR="00BC5B56" w:rsidRPr="00FA51B7">
        <w:rPr>
          <w:rFonts w:asciiTheme="minorHAnsi" w:hAnsiTheme="minorHAnsi" w:cstheme="minorHAnsi"/>
        </w:rPr>
        <w:t>includes</w:t>
      </w:r>
      <w:r w:rsidRPr="00FA51B7">
        <w:rPr>
          <w:rFonts w:asciiTheme="minorHAnsi" w:hAnsiTheme="minorHAnsi" w:cstheme="minorHAnsi"/>
        </w:rPr>
        <w:t xml:space="preserve"> any behaviour within an intimate relationship (including current or past marriages, domestic </w:t>
      </w:r>
      <w:proofErr w:type="gramStart"/>
      <w:r w:rsidRPr="00FA51B7">
        <w:rPr>
          <w:rFonts w:asciiTheme="minorHAnsi" w:hAnsiTheme="minorHAnsi" w:cstheme="minorHAnsi"/>
        </w:rPr>
        <w:t>partnerships</w:t>
      </w:r>
      <w:proofErr w:type="gramEnd"/>
      <w:r w:rsidRPr="00FA51B7">
        <w:rPr>
          <w:rFonts w:asciiTheme="minorHAnsi" w:hAnsiTheme="minorHAnsi" w:cstheme="minorHAnsi"/>
        </w:rPr>
        <w:t xml:space="preserve"> or dates) that causes physical, sexual or psychological harm. Family violence is a broader term than domestic violence, as it refers not only to violence between intimate partners but also to violence perpetrated by parents and guardians against children, between other family members and in family-like settings.</w:t>
      </w:r>
    </w:p>
    <w:p w14:paraId="1EB9E41C" w14:textId="1C062474" w:rsidR="0084237A" w:rsidRPr="00FA51B7" w:rsidRDefault="0084237A" w:rsidP="00AC38A9">
      <w:pPr>
        <w:pStyle w:val="ListParagraph"/>
        <w:spacing w:before="360" w:after="120"/>
        <w:rPr>
          <w:rFonts w:asciiTheme="minorHAnsi" w:hAnsiTheme="minorHAnsi" w:cstheme="minorHAnsi"/>
        </w:rPr>
      </w:pPr>
    </w:p>
    <w:p w14:paraId="33772D33" w14:textId="77777777" w:rsidR="00301AEA" w:rsidRPr="00FA51B7" w:rsidRDefault="00301AEA" w:rsidP="00301AEA">
      <w:pPr>
        <w:pStyle w:val="Heading2"/>
        <w:shd w:val="clear" w:color="auto" w:fill="FFFFFF"/>
        <w:spacing w:after="200" w:line="276" w:lineRule="atLeast"/>
        <w:rPr>
          <w:rFonts w:ascii="Calibri" w:hAnsi="Calibri" w:cs="Calibri"/>
          <w:color w:val="000000"/>
          <w:u w:val="single"/>
        </w:rPr>
      </w:pPr>
      <w:r w:rsidRPr="00FA51B7">
        <w:rPr>
          <w:rFonts w:ascii="Calibri" w:hAnsi="Calibri" w:cs="Calibri"/>
          <w:color w:val="000000"/>
          <w:u w:val="single"/>
        </w:rPr>
        <w:t>Part 2 – Consequential amendments arising from the Family Assistance Legislation Amendment (Cheaper Child Care) Act 2022</w:t>
      </w:r>
    </w:p>
    <w:p w14:paraId="748A4AA4" w14:textId="2191A180" w:rsidR="00843EA8" w:rsidRPr="00FA51B7" w:rsidRDefault="00301AEA" w:rsidP="004A72AB">
      <w:pPr>
        <w:pStyle w:val="Heading2"/>
        <w:shd w:val="clear" w:color="auto" w:fill="FFFFFF"/>
        <w:spacing w:after="200" w:line="276" w:lineRule="atLeast"/>
        <w:rPr>
          <w:rFonts w:ascii="Calibri" w:hAnsi="Calibri" w:cs="Calibri"/>
          <w:b w:val="0"/>
          <w:bCs/>
          <w:color w:val="000000"/>
          <w:u w:val="single"/>
        </w:rPr>
      </w:pPr>
      <w:r w:rsidRPr="00FA51B7">
        <w:rPr>
          <w:rFonts w:ascii="Calibri" w:hAnsi="Calibri" w:cs="Calibri"/>
          <w:b w:val="0"/>
          <w:bCs/>
          <w:color w:val="000000"/>
          <w:u w:val="single"/>
        </w:rPr>
        <w:t xml:space="preserve">Item </w:t>
      </w:r>
      <w:r w:rsidR="004A72AB" w:rsidRPr="00FA51B7">
        <w:rPr>
          <w:rFonts w:ascii="Calibri" w:hAnsi="Calibri" w:cs="Calibri"/>
          <w:b w:val="0"/>
          <w:bCs/>
          <w:color w:val="000000"/>
          <w:u w:val="single"/>
        </w:rPr>
        <w:t>3</w:t>
      </w:r>
      <w:r w:rsidR="00466B9E" w:rsidRPr="00FA51B7">
        <w:rPr>
          <w:rFonts w:ascii="Calibri" w:hAnsi="Calibri" w:cs="Calibri"/>
          <w:b w:val="0"/>
          <w:bCs/>
          <w:color w:val="000000"/>
          <w:u w:val="single"/>
        </w:rPr>
        <w:t xml:space="preserve"> – Subsection 13(3)</w:t>
      </w:r>
    </w:p>
    <w:p w14:paraId="6293C208" w14:textId="73C1F830" w:rsidR="00843EA8" w:rsidRPr="00FA51B7" w:rsidRDefault="00843EA8" w:rsidP="00843EA8">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Item </w:t>
      </w:r>
      <w:r w:rsidR="004A72AB" w:rsidRPr="00FA51B7">
        <w:rPr>
          <w:rFonts w:asciiTheme="minorHAnsi" w:hAnsiTheme="minorHAnsi" w:cstheme="minorHAnsi"/>
        </w:rPr>
        <w:t>3</w:t>
      </w:r>
      <w:r w:rsidRPr="00FA51B7">
        <w:rPr>
          <w:rFonts w:asciiTheme="minorHAnsi" w:hAnsiTheme="minorHAnsi" w:cstheme="minorHAnsi"/>
        </w:rPr>
        <w:t xml:space="preserve"> replaces ‘lower income threshold’ with ‘lower income (base rate) threshold’</w:t>
      </w:r>
      <w:r w:rsidR="00FB207D" w:rsidRPr="00FA51B7">
        <w:rPr>
          <w:rFonts w:asciiTheme="minorHAnsi" w:hAnsiTheme="minorHAnsi" w:cstheme="minorHAnsi"/>
        </w:rPr>
        <w:t xml:space="preserve"> to reflect the changes to the Family Assistance Act made by the</w:t>
      </w:r>
      <w:r w:rsidRPr="00FA51B7">
        <w:rPr>
          <w:rFonts w:asciiTheme="minorHAnsi" w:hAnsiTheme="minorHAnsi" w:cstheme="minorHAnsi"/>
        </w:rPr>
        <w:t xml:space="preserve"> </w:t>
      </w:r>
      <w:r w:rsidR="00424E15" w:rsidRPr="00FA51B7">
        <w:rPr>
          <w:rFonts w:asciiTheme="minorHAnsi" w:hAnsiTheme="minorHAnsi" w:cstheme="minorHAnsi"/>
        </w:rPr>
        <w:t>Cheaper Child Care Act</w:t>
      </w:r>
      <w:r w:rsidR="00406A90" w:rsidRPr="00FA51B7">
        <w:rPr>
          <w:rFonts w:asciiTheme="minorHAnsi" w:hAnsiTheme="minorHAnsi" w:cstheme="minorHAnsi"/>
          <w:i/>
          <w:iCs/>
        </w:rPr>
        <w:t xml:space="preserve">. </w:t>
      </w:r>
    </w:p>
    <w:p w14:paraId="694CCB8F" w14:textId="29D83163" w:rsidR="0072020C" w:rsidRPr="00FA51B7" w:rsidRDefault="0072020C" w:rsidP="0072020C">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The amendments to terminology </w:t>
      </w:r>
      <w:r w:rsidR="00CB42E8" w:rsidRPr="00FA51B7">
        <w:rPr>
          <w:rFonts w:asciiTheme="minorHAnsi" w:hAnsiTheme="minorHAnsi" w:cstheme="minorHAnsi"/>
        </w:rPr>
        <w:t>relating</w:t>
      </w:r>
      <w:r w:rsidRPr="00FA51B7">
        <w:rPr>
          <w:rFonts w:asciiTheme="minorHAnsi" w:hAnsiTheme="minorHAnsi" w:cstheme="minorHAnsi"/>
        </w:rPr>
        <w:t xml:space="preserve"> to income threshold were inserted into the Family Assistance Act to give effect to an increase in</w:t>
      </w:r>
      <w:r w:rsidR="00137B79" w:rsidRPr="00FA51B7">
        <w:rPr>
          <w:rFonts w:asciiTheme="minorHAnsi" w:hAnsiTheme="minorHAnsi" w:cstheme="minorHAnsi"/>
        </w:rPr>
        <w:t xml:space="preserve"> Child Care Subsidy (</w:t>
      </w:r>
      <w:r w:rsidRPr="00FA51B7">
        <w:rPr>
          <w:rFonts w:asciiTheme="minorHAnsi" w:hAnsiTheme="minorHAnsi" w:cstheme="minorHAnsi"/>
        </w:rPr>
        <w:t>CCS</w:t>
      </w:r>
      <w:r w:rsidR="00137B79" w:rsidRPr="00FA51B7">
        <w:rPr>
          <w:rFonts w:asciiTheme="minorHAnsi" w:hAnsiTheme="minorHAnsi" w:cstheme="minorHAnsi"/>
        </w:rPr>
        <w:t>)</w:t>
      </w:r>
      <w:r w:rsidRPr="00FA51B7">
        <w:rPr>
          <w:rFonts w:asciiTheme="minorHAnsi" w:hAnsiTheme="minorHAnsi" w:cstheme="minorHAnsi"/>
        </w:rPr>
        <w:t xml:space="preserve"> rates for </w:t>
      </w:r>
      <w:r w:rsidR="00213D79" w:rsidRPr="00FA51B7">
        <w:rPr>
          <w:rFonts w:asciiTheme="minorHAnsi" w:hAnsiTheme="minorHAnsi" w:cstheme="minorHAnsi"/>
        </w:rPr>
        <w:t xml:space="preserve">eligible </w:t>
      </w:r>
      <w:r w:rsidRPr="00FA51B7">
        <w:rPr>
          <w:rFonts w:asciiTheme="minorHAnsi" w:hAnsiTheme="minorHAnsi" w:cstheme="minorHAnsi"/>
        </w:rPr>
        <w:t xml:space="preserve">families </w:t>
      </w:r>
      <w:r w:rsidR="00213D79" w:rsidRPr="00FA51B7">
        <w:rPr>
          <w:rFonts w:asciiTheme="minorHAnsi" w:hAnsiTheme="minorHAnsi" w:cstheme="minorHAnsi"/>
        </w:rPr>
        <w:t>from July 2023</w:t>
      </w:r>
      <w:r w:rsidRPr="00FA51B7">
        <w:rPr>
          <w:rFonts w:asciiTheme="minorHAnsi" w:hAnsiTheme="minorHAnsi" w:cstheme="minorHAnsi"/>
        </w:rPr>
        <w:t xml:space="preserve">. </w:t>
      </w:r>
    </w:p>
    <w:p w14:paraId="0C6DBF33" w14:textId="77777777" w:rsidR="0072020C" w:rsidRPr="00FA51B7" w:rsidRDefault="0072020C" w:rsidP="0072020C">
      <w:pPr>
        <w:pStyle w:val="ListParagraph"/>
        <w:spacing w:before="360" w:after="120"/>
        <w:rPr>
          <w:rFonts w:asciiTheme="minorHAnsi" w:hAnsiTheme="minorHAnsi" w:cstheme="minorHAnsi"/>
        </w:rPr>
      </w:pPr>
    </w:p>
    <w:p w14:paraId="7D553C1C" w14:textId="050E47C7" w:rsidR="00301AEA" w:rsidRPr="00FA51B7" w:rsidRDefault="00301AEA" w:rsidP="00301AEA">
      <w:pPr>
        <w:pStyle w:val="Heading2"/>
        <w:shd w:val="clear" w:color="auto" w:fill="FFFFFF"/>
        <w:spacing w:after="200" w:line="276" w:lineRule="atLeast"/>
        <w:rPr>
          <w:rFonts w:ascii="Calibri" w:hAnsi="Calibri" w:cs="Calibri"/>
          <w:color w:val="000000"/>
          <w:u w:val="single"/>
        </w:rPr>
      </w:pPr>
      <w:r w:rsidRPr="00FA51B7">
        <w:rPr>
          <w:rFonts w:ascii="Calibri" w:hAnsi="Calibri" w:cs="Calibri"/>
          <w:color w:val="000000"/>
          <w:u w:val="single"/>
        </w:rPr>
        <w:lastRenderedPageBreak/>
        <w:t xml:space="preserve">Part 3 – Transitional </w:t>
      </w:r>
      <w:r w:rsidR="00466B9E" w:rsidRPr="00FA51B7">
        <w:rPr>
          <w:rFonts w:ascii="Calibri" w:hAnsi="Calibri" w:cs="Calibri"/>
          <w:color w:val="000000"/>
          <w:u w:val="single"/>
        </w:rPr>
        <w:t>r</w:t>
      </w:r>
      <w:r w:rsidRPr="00FA51B7">
        <w:rPr>
          <w:rFonts w:ascii="Calibri" w:hAnsi="Calibri" w:cs="Calibri"/>
          <w:color w:val="000000"/>
          <w:u w:val="single"/>
        </w:rPr>
        <w:t>ules for the</w:t>
      </w:r>
      <w:r w:rsidRPr="00FA51B7">
        <w:rPr>
          <w:rFonts w:ascii="Calibri" w:hAnsi="Calibri" w:cs="Calibri"/>
          <w:i/>
          <w:iCs/>
          <w:color w:val="000000"/>
          <w:u w:val="single"/>
        </w:rPr>
        <w:t xml:space="preserve"> Family Assistance Legislation Amendment (Cheaper Child Care) Act 2022</w:t>
      </w:r>
    </w:p>
    <w:p w14:paraId="49EFFB87" w14:textId="7890D11E" w:rsidR="00301AEA" w:rsidRPr="00FA51B7" w:rsidRDefault="00301AEA" w:rsidP="00301AEA">
      <w:pPr>
        <w:pStyle w:val="Heading2"/>
        <w:shd w:val="clear" w:color="auto" w:fill="FFFFFF"/>
        <w:spacing w:after="200" w:line="276" w:lineRule="atLeast"/>
        <w:rPr>
          <w:rFonts w:ascii="Calibri" w:hAnsi="Calibri" w:cs="Calibri"/>
          <w:b w:val="0"/>
          <w:bCs/>
          <w:color w:val="000000"/>
          <w:u w:val="single"/>
        </w:rPr>
      </w:pPr>
      <w:r w:rsidRPr="00FA51B7">
        <w:rPr>
          <w:rFonts w:ascii="Calibri" w:hAnsi="Calibri" w:cs="Calibri"/>
          <w:b w:val="0"/>
          <w:bCs/>
          <w:color w:val="000000"/>
          <w:u w:val="single"/>
        </w:rPr>
        <w:t xml:space="preserve">Item </w:t>
      </w:r>
      <w:r w:rsidR="004A72AB" w:rsidRPr="00FA51B7">
        <w:rPr>
          <w:rFonts w:ascii="Calibri" w:hAnsi="Calibri" w:cs="Calibri"/>
          <w:b w:val="0"/>
          <w:bCs/>
          <w:color w:val="000000"/>
          <w:u w:val="single"/>
        </w:rPr>
        <w:t>4</w:t>
      </w:r>
      <w:r w:rsidR="00466B9E" w:rsidRPr="00FA51B7">
        <w:rPr>
          <w:rFonts w:ascii="Calibri" w:hAnsi="Calibri" w:cs="Calibri"/>
          <w:b w:val="0"/>
          <w:bCs/>
          <w:color w:val="000000"/>
          <w:u w:val="single"/>
        </w:rPr>
        <w:t xml:space="preserve"> – At the end of Part 6A</w:t>
      </w:r>
    </w:p>
    <w:p w14:paraId="01A8A458" w14:textId="7706A1DF" w:rsidR="000B4BD7" w:rsidRPr="00FA51B7" w:rsidRDefault="003E04D1" w:rsidP="00AC38A9">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From </w:t>
      </w:r>
      <w:r w:rsidR="005B6394" w:rsidRPr="00FA51B7">
        <w:rPr>
          <w:rFonts w:asciiTheme="minorHAnsi" w:hAnsiTheme="minorHAnsi" w:cstheme="minorHAnsi"/>
        </w:rPr>
        <w:t xml:space="preserve">1 </w:t>
      </w:r>
      <w:r w:rsidRPr="00FA51B7">
        <w:rPr>
          <w:rFonts w:asciiTheme="minorHAnsi" w:hAnsiTheme="minorHAnsi" w:cstheme="minorHAnsi"/>
        </w:rPr>
        <w:t xml:space="preserve">July 2023, </w:t>
      </w:r>
      <w:r w:rsidR="000B4BD7" w:rsidRPr="00FA51B7">
        <w:rPr>
          <w:rFonts w:asciiTheme="minorHAnsi" w:hAnsiTheme="minorHAnsi" w:cstheme="minorHAnsi"/>
        </w:rPr>
        <w:t>a</w:t>
      </w:r>
      <w:r w:rsidR="00C73CCB" w:rsidRPr="00FA51B7">
        <w:rPr>
          <w:rFonts w:asciiTheme="minorHAnsi" w:hAnsiTheme="minorHAnsi" w:cstheme="minorHAnsi"/>
        </w:rPr>
        <w:t xml:space="preserve"> </w:t>
      </w:r>
      <w:r w:rsidR="000B4BD7" w:rsidRPr="00FA51B7">
        <w:rPr>
          <w:rFonts w:asciiTheme="minorHAnsi" w:hAnsiTheme="minorHAnsi" w:cstheme="minorHAnsi"/>
        </w:rPr>
        <w:t>n</w:t>
      </w:r>
      <w:r w:rsidR="00C73CCB" w:rsidRPr="00FA51B7">
        <w:rPr>
          <w:rFonts w:asciiTheme="minorHAnsi" w:hAnsiTheme="minorHAnsi" w:cstheme="minorHAnsi"/>
        </w:rPr>
        <w:t>ew</w:t>
      </w:r>
      <w:r w:rsidR="000B4BD7" w:rsidRPr="00FA51B7">
        <w:rPr>
          <w:rFonts w:asciiTheme="minorHAnsi" w:hAnsiTheme="minorHAnsi" w:cstheme="minorHAnsi"/>
        </w:rPr>
        <w:t xml:space="preserve"> activity test result of at least 36</w:t>
      </w:r>
      <w:r w:rsidR="00C73CCB" w:rsidRPr="00FA51B7">
        <w:rPr>
          <w:rFonts w:asciiTheme="minorHAnsi" w:hAnsiTheme="minorHAnsi" w:cstheme="minorHAnsi"/>
        </w:rPr>
        <w:t xml:space="preserve"> subsidised</w:t>
      </w:r>
      <w:r w:rsidR="000B4BD7" w:rsidRPr="00FA51B7">
        <w:rPr>
          <w:rFonts w:asciiTheme="minorHAnsi" w:hAnsiTheme="minorHAnsi" w:cstheme="minorHAnsi"/>
        </w:rPr>
        <w:t xml:space="preserve"> hours</w:t>
      </w:r>
      <w:r w:rsidR="007A6BE3" w:rsidRPr="00FA51B7">
        <w:rPr>
          <w:rFonts w:asciiTheme="minorHAnsi" w:hAnsiTheme="minorHAnsi" w:cstheme="minorHAnsi"/>
        </w:rPr>
        <w:t xml:space="preserve"> of care</w:t>
      </w:r>
      <w:r w:rsidR="000B4BD7" w:rsidRPr="00FA51B7">
        <w:rPr>
          <w:rFonts w:asciiTheme="minorHAnsi" w:hAnsiTheme="minorHAnsi" w:cstheme="minorHAnsi"/>
        </w:rPr>
        <w:t xml:space="preserve"> per fortnight </w:t>
      </w:r>
      <w:r w:rsidR="00B20C70" w:rsidRPr="00FA51B7">
        <w:rPr>
          <w:rFonts w:asciiTheme="minorHAnsi" w:hAnsiTheme="minorHAnsi" w:cstheme="minorHAnsi"/>
        </w:rPr>
        <w:t>will apply to</w:t>
      </w:r>
      <w:r w:rsidR="000B4BD7" w:rsidRPr="00FA51B7">
        <w:rPr>
          <w:rFonts w:asciiTheme="minorHAnsi" w:hAnsiTheme="minorHAnsi" w:cstheme="minorHAnsi"/>
        </w:rPr>
        <w:t xml:space="preserve"> an individual </w:t>
      </w:r>
      <w:r w:rsidR="003C08E6" w:rsidRPr="00FA51B7">
        <w:rPr>
          <w:rFonts w:asciiTheme="minorHAnsi" w:hAnsiTheme="minorHAnsi" w:cstheme="minorHAnsi"/>
        </w:rPr>
        <w:t xml:space="preserve">who </w:t>
      </w:r>
      <w:r w:rsidR="000B4BD7" w:rsidRPr="00FA51B7">
        <w:rPr>
          <w:rFonts w:asciiTheme="minorHAnsi" w:hAnsiTheme="minorHAnsi" w:cstheme="minorHAnsi"/>
        </w:rPr>
        <w:t xml:space="preserve">notifies the Secretary of an Aboriginal or Torres Strait Islander child in their care. </w:t>
      </w:r>
      <w:r w:rsidR="00ED0037" w:rsidRPr="00FA51B7">
        <w:rPr>
          <w:rFonts w:asciiTheme="minorHAnsi" w:hAnsiTheme="minorHAnsi" w:cstheme="minorHAnsi"/>
        </w:rPr>
        <w:t xml:space="preserve">In practice, the new activity test result will apply from 10 July 2023, as this is the date of the first day of the CCS fortnight after the </w:t>
      </w:r>
      <w:r w:rsidR="009834DF" w:rsidRPr="00FA51B7">
        <w:rPr>
          <w:rFonts w:asciiTheme="minorHAnsi" w:hAnsiTheme="minorHAnsi" w:cstheme="minorHAnsi"/>
        </w:rPr>
        <w:t>higher activity test result amendments</w:t>
      </w:r>
      <w:r w:rsidR="00ED0037" w:rsidRPr="00FA51B7">
        <w:rPr>
          <w:rFonts w:asciiTheme="minorHAnsi" w:hAnsiTheme="minorHAnsi" w:cstheme="minorHAnsi"/>
        </w:rPr>
        <w:t xml:space="preserve"> commence on 1 July 2023. </w:t>
      </w:r>
    </w:p>
    <w:p w14:paraId="5132B163" w14:textId="5C415220" w:rsidR="0008738E" w:rsidRPr="00FA51B7" w:rsidRDefault="0008738E" w:rsidP="00AC38A9">
      <w:pPr>
        <w:pStyle w:val="ListParagraph"/>
        <w:numPr>
          <w:ilvl w:val="0"/>
          <w:numId w:val="1"/>
        </w:numPr>
        <w:spacing w:before="360" w:after="120"/>
        <w:rPr>
          <w:rFonts w:asciiTheme="minorHAnsi" w:hAnsiTheme="minorHAnsi" w:cstheme="minorHAnsi"/>
          <w:iCs/>
        </w:rPr>
      </w:pPr>
      <w:r w:rsidRPr="00FA51B7">
        <w:rPr>
          <w:rFonts w:asciiTheme="minorHAnsi" w:hAnsiTheme="minorHAnsi" w:cstheme="minorHAnsi"/>
        </w:rPr>
        <w:t xml:space="preserve">Section 105C of the Family Assistance Administration Act deals with the timing of increases to </w:t>
      </w:r>
      <w:r w:rsidR="00B67E17" w:rsidRPr="00FA51B7">
        <w:rPr>
          <w:rFonts w:asciiTheme="minorHAnsi" w:hAnsiTheme="minorHAnsi" w:cstheme="minorHAnsi"/>
        </w:rPr>
        <w:t xml:space="preserve">CCS </w:t>
      </w:r>
      <w:r w:rsidRPr="00FA51B7">
        <w:rPr>
          <w:rFonts w:asciiTheme="minorHAnsi" w:hAnsiTheme="minorHAnsi" w:cstheme="minorHAnsi"/>
        </w:rPr>
        <w:t>entitlement on internal review. The general principle that underlies section 105C is that if an individual is late to notify the department of a matter that would increase their entitlement, they may only receive backpay for a maximum of four weeks prior to that notification. This creates an incentive to notify, and an appropriate limit on how much backpay the Commonwealth may be liable to pay.</w:t>
      </w:r>
    </w:p>
    <w:p w14:paraId="153C7F45" w14:textId="1AB50074" w:rsidR="00C43BB6" w:rsidRPr="00FA51B7" w:rsidRDefault="00424E15" w:rsidP="00AC38A9">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S</w:t>
      </w:r>
      <w:r w:rsidR="000B4BD7" w:rsidRPr="00FA51B7">
        <w:rPr>
          <w:rFonts w:asciiTheme="minorHAnsi" w:hAnsiTheme="minorHAnsi" w:cstheme="minorHAnsi"/>
        </w:rPr>
        <w:t>ubparagraph</w:t>
      </w:r>
      <w:r w:rsidR="00CB42E8" w:rsidRPr="00FA51B7">
        <w:rPr>
          <w:rFonts w:asciiTheme="minorHAnsi" w:hAnsiTheme="minorHAnsi" w:cstheme="minorHAnsi"/>
        </w:rPr>
        <w:t xml:space="preserve"> 105C(1)(b)(</w:t>
      </w:r>
      <w:proofErr w:type="spellStart"/>
      <w:r w:rsidR="00CB42E8" w:rsidRPr="00FA51B7">
        <w:rPr>
          <w:rFonts w:asciiTheme="minorHAnsi" w:hAnsiTheme="minorHAnsi" w:cstheme="minorHAnsi"/>
        </w:rPr>
        <w:t>ia</w:t>
      </w:r>
      <w:proofErr w:type="spellEnd"/>
      <w:r w:rsidR="00CB42E8" w:rsidRPr="00FA51B7">
        <w:rPr>
          <w:rFonts w:asciiTheme="minorHAnsi" w:hAnsiTheme="minorHAnsi" w:cstheme="minorHAnsi"/>
        </w:rPr>
        <w:t>) of the Family Assistance Administration Act</w:t>
      </w:r>
      <w:r w:rsidR="00C43BB6" w:rsidRPr="00FA51B7">
        <w:rPr>
          <w:rFonts w:asciiTheme="minorHAnsi" w:hAnsiTheme="minorHAnsi" w:cstheme="minorHAnsi"/>
        </w:rPr>
        <w:t xml:space="preserve">, </w:t>
      </w:r>
      <w:r w:rsidR="00B67E17" w:rsidRPr="00FA51B7">
        <w:rPr>
          <w:rFonts w:asciiTheme="minorHAnsi" w:hAnsiTheme="minorHAnsi" w:cstheme="minorHAnsi"/>
        </w:rPr>
        <w:t xml:space="preserve">which will </w:t>
      </w:r>
      <w:r w:rsidR="00895AED" w:rsidRPr="00FA51B7">
        <w:rPr>
          <w:rFonts w:asciiTheme="minorHAnsi" w:hAnsiTheme="minorHAnsi" w:cstheme="minorHAnsi"/>
        </w:rPr>
        <w:t xml:space="preserve">also </w:t>
      </w:r>
      <w:r w:rsidR="00B67E17" w:rsidRPr="00FA51B7">
        <w:rPr>
          <w:rFonts w:asciiTheme="minorHAnsi" w:hAnsiTheme="minorHAnsi" w:cstheme="minorHAnsi"/>
        </w:rPr>
        <w:t xml:space="preserve">commence </w:t>
      </w:r>
      <w:r w:rsidR="005B6394" w:rsidRPr="00FA51B7">
        <w:rPr>
          <w:rFonts w:asciiTheme="minorHAnsi" w:hAnsiTheme="minorHAnsi" w:cstheme="minorHAnsi"/>
        </w:rPr>
        <w:t>on 1</w:t>
      </w:r>
      <w:r w:rsidR="00B67E17" w:rsidRPr="00FA51B7">
        <w:rPr>
          <w:rFonts w:asciiTheme="minorHAnsi" w:hAnsiTheme="minorHAnsi" w:cstheme="minorHAnsi"/>
        </w:rPr>
        <w:t xml:space="preserve"> July 2023</w:t>
      </w:r>
      <w:r w:rsidR="00C43BB6" w:rsidRPr="00FA51B7">
        <w:rPr>
          <w:rFonts w:asciiTheme="minorHAnsi" w:hAnsiTheme="minorHAnsi" w:cstheme="minorHAnsi"/>
          <w:i/>
          <w:iCs/>
        </w:rPr>
        <w:t xml:space="preserve">, </w:t>
      </w:r>
      <w:r w:rsidR="00B51421" w:rsidRPr="00FA51B7">
        <w:rPr>
          <w:rFonts w:asciiTheme="minorHAnsi" w:hAnsiTheme="minorHAnsi" w:cstheme="minorHAnsi"/>
        </w:rPr>
        <w:t>provides that if a</w:t>
      </w:r>
      <w:r w:rsidR="000B4BD7" w:rsidRPr="00FA51B7">
        <w:rPr>
          <w:rFonts w:asciiTheme="minorHAnsi" w:hAnsiTheme="minorHAnsi" w:cstheme="minorHAnsi"/>
        </w:rPr>
        <w:t>n individual</w:t>
      </w:r>
      <w:r w:rsidR="00B51421" w:rsidRPr="00FA51B7">
        <w:rPr>
          <w:rFonts w:asciiTheme="minorHAnsi" w:hAnsiTheme="minorHAnsi" w:cstheme="minorHAnsi"/>
        </w:rPr>
        <w:t xml:space="preserve"> has been receiving CCS in respect of </w:t>
      </w:r>
      <w:r w:rsidR="000B4BD7" w:rsidRPr="00FA51B7">
        <w:rPr>
          <w:rFonts w:asciiTheme="minorHAnsi" w:hAnsiTheme="minorHAnsi" w:cstheme="minorHAnsi"/>
        </w:rPr>
        <w:t xml:space="preserve">a child, </w:t>
      </w:r>
      <w:r w:rsidR="00B51421" w:rsidRPr="00FA51B7">
        <w:rPr>
          <w:rFonts w:asciiTheme="minorHAnsi" w:hAnsiTheme="minorHAnsi" w:cstheme="minorHAnsi"/>
        </w:rPr>
        <w:t xml:space="preserve">but only notified the Secretary </w:t>
      </w:r>
      <w:r w:rsidR="000B4BD7" w:rsidRPr="00FA51B7">
        <w:rPr>
          <w:rFonts w:asciiTheme="minorHAnsi" w:hAnsiTheme="minorHAnsi" w:cstheme="minorHAnsi"/>
        </w:rPr>
        <w:t xml:space="preserve">the child was an Aboriginal or Torres Strait Islander child </w:t>
      </w:r>
      <w:r w:rsidR="00B51421" w:rsidRPr="00FA51B7">
        <w:rPr>
          <w:rFonts w:asciiTheme="minorHAnsi" w:hAnsiTheme="minorHAnsi" w:cstheme="minorHAnsi"/>
        </w:rPr>
        <w:t xml:space="preserve">on a particular day, they can only be </w:t>
      </w:r>
      <w:proofErr w:type="spellStart"/>
      <w:r w:rsidR="00B51421" w:rsidRPr="00FA51B7">
        <w:rPr>
          <w:rFonts w:asciiTheme="minorHAnsi" w:hAnsiTheme="minorHAnsi" w:cstheme="minorHAnsi"/>
        </w:rPr>
        <w:t>backpaid</w:t>
      </w:r>
      <w:proofErr w:type="spellEnd"/>
      <w:r w:rsidR="00B51421" w:rsidRPr="00FA51B7">
        <w:rPr>
          <w:rFonts w:asciiTheme="minorHAnsi" w:hAnsiTheme="minorHAnsi" w:cstheme="minorHAnsi"/>
        </w:rPr>
        <w:t xml:space="preserve"> </w:t>
      </w:r>
      <w:r w:rsidR="000B4BD7" w:rsidRPr="00FA51B7">
        <w:rPr>
          <w:rFonts w:asciiTheme="minorHAnsi" w:hAnsiTheme="minorHAnsi" w:cstheme="minorHAnsi"/>
        </w:rPr>
        <w:t xml:space="preserve">any </w:t>
      </w:r>
      <w:r w:rsidR="00B51421" w:rsidRPr="00FA51B7">
        <w:rPr>
          <w:rFonts w:asciiTheme="minorHAnsi" w:hAnsiTheme="minorHAnsi" w:cstheme="minorHAnsi"/>
        </w:rPr>
        <w:t>additional amount up to the start of a CCS fortnight that is no more than four weeks prior to the date of notification</w:t>
      </w:r>
      <w:r w:rsidR="00C43BB6" w:rsidRPr="00FA51B7">
        <w:rPr>
          <w:rFonts w:asciiTheme="minorHAnsi" w:hAnsiTheme="minorHAnsi" w:cstheme="minorHAnsi"/>
          <w:i/>
          <w:iCs/>
        </w:rPr>
        <w:t xml:space="preserve">. </w:t>
      </w:r>
    </w:p>
    <w:p w14:paraId="02208927" w14:textId="6CA1D351" w:rsidR="00A7209D" w:rsidRPr="00FA51B7" w:rsidRDefault="00301AEA" w:rsidP="00AC38A9">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Item </w:t>
      </w:r>
      <w:r w:rsidR="004A72AB" w:rsidRPr="00FA51B7">
        <w:rPr>
          <w:rFonts w:asciiTheme="minorHAnsi" w:hAnsiTheme="minorHAnsi" w:cstheme="minorHAnsi"/>
        </w:rPr>
        <w:t>4</w:t>
      </w:r>
      <w:r w:rsidR="00F6343E" w:rsidRPr="00FA51B7">
        <w:rPr>
          <w:rFonts w:asciiTheme="minorHAnsi" w:hAnsiTheme="minorHAnsi" w:cstheme="minorHAnsi"/>
        </w:rPr>
        <w:t xml:space="preserve"> inserts new </w:t>
      </w:r>
      <w:r w:rsidR="00131480" w:rsidRPr="00FA51B7">
        <w:rPr>
          <w:rFonts w:asciiTheme="minorHAnsi" w:hAnsiTheme="minorHAnsi" w:cstheme="minorHAnsi"/>
        </w:rPr>
        <w:t>Division 2 into Part 6A</w:t>
      </w:r>
      <w:r w:rsidR="00650FD2" w:rsidRPr="00FA51B7">
        <w:rPr>
          <w:rFonts w:asciiTheme="minorHAnsi" w:hAnsiTheme="minorHAnsi" w:cstheme="minorHAnsi"/>
        </w:rPr>
        <w:t xml:space="preserve"> </w:t>
      </w:r>
      <w:r w:rsidR="00131480" w:rsidRPr="00FA51B7">
        <w:rPr>
          <w:rFonts w:asciiTheme="minorHAnsi" w:hAnsiTheme="minorHAnsi" w:cstheme="minorHAnsi"/>
        </w:rPr>
        <w:t>(Application, savings and transitional provisions) of</w:t>
      </w:r>
      <w:r w:rsidR="00F6343E" w:rsidRPr="00FA51B7">
        <w:rPr>
          <w:rFonts w:asciiTheme="minorHAnsi" w:hAnsiTheme="minorHAnsi" w:cstheme="minorHAnsi"/>
        </w:rPr>
        <w:t xml:space="preserve"> the Principal Rules</w:t>
      </w:r>
      <w:r w:rsidR="00C8031A" w:rsidRPr="00FA51B7">
        <w:rPr>
          <w:rFonts w:asciiTheme="minorHAnsi" w:hAnsiTheme="minorHAnsi" w:cstheme="minorHAnsi"/>
        </w:rPr>
        <w:t xml:space="preserve"> to</w:t>
      </w:r>
      <w:r w:rsidR="00A7209D" w:rsidRPr="00FA51B7">
        <w:rPr>
          <w:rFonts w:asciiTheme="minorHAnsi" w:hAnsiTheme="minorHAnsi" w:cstheme="minorHAnsi"/>
        </w:rPr>
        <w:t xml:space="preserve"> modif</w:t>
      </w:r>
      <w:r w:rsidR="00C8031A" w:rsidRPr="00FA51B7">
        <w:rPr>
          <w:rFonts w:asciiTheme="minorHAnsi" w:hAnsiTheme="minorHAnsi" w:cstheme="minorHAnsi"/>
        </w:rPr>
        <w:t>y</w:t>
      </w:r>
      <w:r w:rsidR="00A7209D" w:rsidRPr="00FA51B7">
        <w:rPr>
          <w:rFonts w:asciiTheme="minorHAnsi" w:hAnsiTheme="minorHAnsi" w:cstheme="minorHAnsi"/>
        </w:rPr>
        <w:t xml:space="preserve"> the standard limitation on CCS backpay during </w:t>
      </w:r>
      <w:r w:rsidR="00584DC9" w:rsidRPr="00FA51B7">
        <w:rPr>
          <w:rFonts w:asciiTheme="minorHAnsi" w:hAnsiTheme="minorHAnsi" w:cstheme="minorHAnsi"/>
        </w:rPr>
        <w:t xml:space="preserve">a </w:t>
      </w:r>
      <w:proofErr w:type="gramStart"/>
      <w:r w:rsidR="00584DC9" w:rsidRPr="00FA51B7">
        <w:rPr>
          <w:rFonts w:asciiTheme="minorHAnsi" w:hAnsiTheme="minorHAnsi" w:cstheme="minorHAnsi"/>
        </w:rPr>
        <w:t>one year</w:t>
      </w:r>
      <w:proofErr w:type="gramEnd"/>
      <w:r w:rsidR="00A7209D" w:rsidRPr="00FA51B7">
        <w:rPr>
          <w:rFonts w:asciiTheme="minorHAnsi" w:hAnsiTheme="minorHAnsi" w:cstheme="minorHAnsi"/>
        </w:rPr>
        <w:t xml:space="preserve"> transition period for activity test changes for Aboriginal or Torres Strait Islander children. </w:t>
      </w:r>
    </w:p>
    <w:p w14:paraId="1133B93E" w14:textId="33EBE8C4" w:rsidR="00650FD2" w:rsidRPr="00FA51B7" w:rsidRDefault="00D44A32" w:rsidP="00AC38A9">
      <w:pPr>
        <w:pStyle w:val="ListParagraph"/>
        <w:numPr>
          <w:ilvl w:val="0"/>
          <w:numId w:val="1"/>
        </w:numPr>
        <w:spacing w:before="360" w:after="120"/>
        <w:rPr>
          <w:rFonts w:asciiTheme="minorHAnsi" w:hAnsiTheme="minorHAnsi" w:cstheme="minorHAnsi"/>
          <w:iCs/>
        </w:rPr>
      </w:pPr>
      <w:r w:rsidRPr="00FA51B7">
        <w:rPr>
          <w:rFonts w:asciiTheme="minorHAnsi" w:hAnsiTheme="minorHAnsi" w:cstheme="minorHAnsi"/>
        </w:rPr>
        <w:t>Item 4 inserts n</w:t>
      </w:r>
      <w:r w:rsidR="00650FD2" w:rsidRPr="00FA51B7">
        <w:rPr>
          <w:rFonts w:asciiTheme="minorHAnsi" w:hAnsiTheme="minorHAnsi" w:cstheme="minorHAnsi"/>
        </w:rPr>
        <w:t>ew section</w:t>
      </w:r>
      <w:r w:rsidR="000A7375" w:rsidRPr="00FA51B7">
        <w:rPr>
          <w:rFonts w:asciiTheme="minorHAnsi" w:hAnsiTheme="minorHAnsi" w:cstheme="minorHAnsi"/>
        </w:rPr>
        <w:t>s</w:t>
      </w:r>
      <w:r w:rsidR="00650FD2" w:rsidRPr="00FA51B7">
        <w:rPr>
          <w:rFonts w:asciiTheme="minorHAnsi" w:hAnsiTheme="minorHAnsi" w:cstheme="minorHAnsi"/>
        </w:rPr>
        <w:t xml:space="preserve"> </w:t>
      </w:r>
      <w:r w:rsidR="00131480" w:rsidRPr="00FA51B7">
        <w:rPr>
          <w:rFonts w:asciiTheme="minorHAnsi" w:hAnsiTheme="minorHAnsi" w:cstheme="minorHAnsi"/>
        </w:rPr>
        <w:t>61AC and 61AD</w:t>
      </w:r>
      <w:r w:rsidR="000A7375" w:rsidRPr="00FA51B7">
        <w:rPr>
          <w:rFonts w:asciiTheme="minorHAnsi" w:hAnsiTheme="minorHAnsi" w:cstheme="minorHAnsi"/>
        </w:rPr>
        <w:t xml:space="preserve"> into the Principal Rules. New section </w:t>
      </w:r>
      <w:r w:rsidR="00131480" w:rsidRPr="00FA51B7">
        <w:rPr>
          <w:rFonts w:asciiTheme="minorHAnsi" w:hAnsiTheme="minorHAnsi" w:cstheme="minorHAnsi"/>
        </w:rPr>
        <w:t>61AC</w:t>
      </w:r>
      <w:r w:rsidR="00650FD2" w:rsidRPr="00FA51B7">
        <w:rPr>
          <w:rFonts w:asciiTheme="minorHAnsi" w:hAnsiTheme="minorHAnsi" w:cstheme="minorHAnsi"/>
        </w:rPr>
        <w:t xml:space="preserve"> provides that the rules contained</w:t>
      </w:r>
      <w:r w:rsidR="00466B9E" w:rsidRPr="00FA51B7">
        <w:rPr>
          <w:rFonts w:asciiTheme="minorHAnsi" w:hAnsiTheme="minorHAnsi" w:cstheme="minorHAnsi"/>
        </w:rPr>
        <w:t xml:space="preserve"> in new</w:t>
      </w:r>
      <w:r w:rsidR="00650FD2" w:rsidRPr="00FA51B7">
        <w:rPr>
          <w:rFonts w:asciiTheme="minorHAnsi" w:hAnsiTheme="minorHAnsi" w:cstheme="minorHAnsi"/>
        </w:rPr>
        <w:t xml:space="preserve"> </w:t>
      </w:r>
      <w:r w:rsidR="00131480" w:rsidRPr="00FA51B7">
        <w:rPr>
          <w:rFonts w:asciiTheme="minorHAnsi" w:hAnsiTheme="minorHAnsi" w:cstheme="minorHAnsi"/>
        </w:rPr>
        <w:t>Division 2 of Part 6A</w:t>
      </w:r>
      <w:r w:rsidR="00650FD2" w:rsidRPr="00FA51B7">
        <w:rPr>
          <w:rFonts w:asciiTheme="minorHAnsi" w:hAnsiTheme="minorHAnsi" w:cstheme="minorHAnsi"/>
        </w:rPr>
        <w:t xml:space="preserve"> are made for </w:t>
      </w:r>
      <w:r w:rsidR="00466B9E" w:rsidRPr="00FA51B7">
        <w:rPr>
          <w:rFonts w:asciiTheme="minorHAnsi" w:hAnsiTheme="minorHAnsi" w:cstheme="minorHAnsi"/>
        </w:rPr>
        <w:t xml:space="preserve">the purposes </w:t>
      </w:r>
      <w:r w:rsidR="00650FD2" w:rsidRPr="00FA51B7">
        <w:rPr>
          <w:rFonts w:asciiTheme="minorHAnsi" w:hAnsiTheme="minorHAnsi" w:cstheme="minorHAnsi"/>
        </w:rPr>
        <w:t xml:space="preserve">subitem 9(1) </w:t>
      </w:r>
      <w:r w:rsidR="00131480" w:rsidRPr="00FA51B7">
        <w:rPr>
          <w:rFonts w:asciiTheme="minorHAnsi" w:hAnsiTheme="minorHAnsi" w:cstheme="minorHAnsi"/>
        </w:rPr>
        <w:t>in</w:t>
      </w:r>
      <w:r w:rsidR="00650FD2" w:rsidRPr="00FA51B7">
        <w:rPr>
          <w:rFonts w:asciiTheme="minorHAnsi" w:hAnsiTheme="minorHAnsi" w:cstheme="minorHAnsi"/>
        </w:rPr>
        <w:t xml:space="preserve"> Schedule 3 to the</w:t>
      </w:r>
      <w:r w:rsidR="00137B79" w:rsidRPr="00FA51B7">
        <w:rPr>
          <w:rFonts w:asciiTheme="minorHAnsi" w:hAnsiTheme="minorHAnsi" w:cstheme="minorHAnsi"/>
        </w:rPr>
        <w:t xml:space="preserve"> Cheaper Child Care Act</w:t>
      </w:r>
      <w:r w:rsidR="00650FD2" w:rsidRPr="00FA51B7">
        <w:rPr>
          <w:rFonts w:asciiTheme="minorHAnsi" w:hAnsiTheme="minorHAnsi" w:cstheme="minorHAnsi"/>
        </w:rPr>
        <w:t xml:space="preserve">. </w:t>
      </w:r>
    </w:p>
    <w:p w14:paraId="5BBD644D" w14:textId="297EFF4B" w:rsidR="009B7C3C" w:rsidRPr="00FA51B7" w:rsidRDefault="00650FD2" w:rsidP="00AC38A9">
      <w:pPr>
        <w:pStyle w:val="ListParagraph"/>
        <w:numPr>
          <w:ilvl w:val="0"/>
          <w:numId w:val="1"/>
        </w:numPr>
        <w:spacing w:before="360" w:after="120"/>
        <w:rPr>
          <w:rFonts w:asciiTheme="minorHAnsi" w:hAnsiTheme="minorHAnsi" w:cstheme="minorHAnsi"/>
          <w:iCs/>
        </w:rPr>
      </w:pPr>
      <w:r w:rsidRPr="00FA51B7">
        <w:rPr>
          <w:rFonts w:asciiTheme="minorHAnsi" w:hAnsiTheme="minorHAnsi" w:cstheme="minorHAnsi"/>
        </w:rPr>
        <w:t xml:space="preserve">New section </w:t>
      </w:r>
      <w:r w:rsidR="00131480" w:rsidRPr="00FA51B7">
        <w:rPr>
          <w:rFonts w:asciiTheme="minorHAnsi" w:hAnsiTheme="minorHAnsi" w:cstheme="minorHAnsi"/>
        </w:rPr>
        <w:t>61AD</w:t>
      </w:r>
      <w:r w:rsidRPr="00FA51B7">
        <w:rPr>
          <w:rFonts w:asciiTheme="minorHAnsi" w:hAnsiTheme="minorHAnsi" w:cstheme="minorHAnsi"/>
        </w:rPr>
        <w:t xml:space="preserve"> allows</w:t>
      </w:r>
      <w:r w:rsidR="009B7C3C" w:rsidRPr="00FA51B7">
        <w:rPr>
          <w:rFonts w:asciiTheme="minorHAnsi" w:hAnsiTheme="minorHAnsi" w:cstheme="minorHAnsi"/>
          <w:iCs/>
        </w:rPr>
        <w:t xml:space="preserve"> the Secretary to </w:t>
      </w:r>
      <w:proofErr w:type="gramStart"/>
      <w:r w:rsidR="009B7C3C" w:rsidRPr="00FA51B7">
        <w:rPr>
          <w:rFonts w:asciiTheme="minorHAnsi" w:hAnsiTheme="minorHAnsi" w:cstheme="minorHAnsi"/>
          <w:iCs/>
        </w:rPr>
        <w:t>take into account</w:t>
      </w:r>
      <w:proofErr w:type="gramEnd"/>
      <w:r w:rsidR="009B7C3C" w:rsidRPr="00FA51B7">
        <w:rPr>
          <w:rFonts w:asciiTheme="minorHAnsi" w:hAnsiTheme="minorHAnsi" w:cstheme="minorHAnsi"/>
          <w:iCs/>
        </w:rPr>
        <w:t xml:space="preserve"> information about a child’s Aboriginal and Torres Strait Islander status for the purposes of a review of a</w:t>
      </w:r>
      <w:r w:rsidR="001B093B" w:rsidRPr="00FA51B7">
        <w:rPr>
          <w:rFonts w:asciiTheme="minorHAnsi" w:hAnsiTheme="minorHAnsi" w:cstheme="minorHAnsi"/>
          <w:iCs/>
        </w:rPr>
        <w:t xml:space="preserve"> decision relating to a</w:t>
      </w:r>
      <w:r w:rsidR="009B7C3C" w:rsidRPr="00FA51B7">
        <w:rPr>
          <w:rFonts w:asciiTheme="minorHAnsi" w:hAnsiTheme="minorHAnsi" w:cstheme="minorHAnsi"/>
          <w:iCs/>
        </w:rPr>
        <w:t>n</w:t>
      </w:r>
      <w:r w:rsidR="001B093B" w:rsidRPr="00FA51B7">
        <w:rPr>
          <w:rFonts w:asciiTheme="minorHAnsi" w:hAnsiTheme="minorHAnsi" w:cstheme="minorHAnsi"/>
          <w:iCs/>
        </w:rPr>
        <w:t xml:space="preserve"> individual’s CCS</w:t>
      </w:r>
      <w:r w:rsidR="009B7C3C" w:rsidRPr="00FA51B7">
        <w:rPr>
          <w:rFonts w:asciiTheme="minorHAnsi" w:hAnsiTheme="minorHAnsi" w:cstheme="minorHAnsi"/>
          <w:iCs/>
        </w:rPr>
        <w:t xml:space="preserve"> entitlement,</w:t>
      </w:r>
      <w:r w:rsidR="001B093B" w:rsidRPr="00FA51B7">
        <w:rPr>
          <w:rFonts w:asciiTheme="minorHAnsi" w:hAnsiTheme="minorHAnsi" w:cstheme="minorHAnsi"/>
          <w:iCs/>
        </w:rPr>
        <w:t xml:space="preserve"> where that information was notified before </w:t>
      </w:r>
      <w:r w:rsidR="00084751" w:rsidRPr="00FA51B7">
        <w:rPr>
          <w:rFonts w:asciiTheme="minorHAnsi" w:hAnsiTheme="minorHAnsi" w:cstheme="minorHAnsi"/>
          <w:iCs/>
        </w:rPr>
        <w:t>8</w:t>
      </w:r>
      <w:r w:rsidR="001B093B" w:rsidRPr="00FA51B7">
        <w:rPr>
          <w:rFonts w:asciiTheme="minorHAnsi" w:hAnsiTheme="minorHAnsi" w:cstheme="minorHAnsi"/>
          <w:iCs/>
        </w:rPr>
        <w:t xml:space="preserve"> July 2024. If information that an individual’s child is an Aboriginal or Torres Strait Islander child is notified on or after </w:t>
      </w:r>
      <w:r w:rsidR="00084751" w:rsidRPr="00FA51B7">
        <w:rPr>
          <w:rFonts w:asciiTheme="minorHAnsi" w:hAnsiTheme="minorHAnsi" w:cstheme="minorHAnsi"/>
          <w:iCs/>
        </w:rPr>
        <w:t>8</w:t>
      </w:r>
      <w:r w:rsidR="001B093B" w:rsidRPr="00FA51B7">
        <w:rPr>
          <w:rFonts w:asciiTheme="minorHAnsi" w:hAnsiTheme="minorHAnsi" w:cstheme="minorHAnsi"/>
          <w:iCs/>
        </w:rPr>
        <w:t xml:space="preserve"> July 2024, the individual can only be </w:t>
      </w:r>
      <w:proofErr w:type="spellStart"/>
      <w:r w:rsidR="001B093B" w:rsidRPr="00FA51B7">
        <w:rPr>
          <w:rFonts w:asciiTheme="minorHAnsi" w:hAnsiTheme="minorHAnsi" w:cstheme="minorHAnsi"/>
          <w:iCs/>
        </w:rPr>
        <w:t>backpaid</w:t>
      </w:r>
      <w:proofErr w:type="spellEnd"/>
      <w:r w:rsidR="001B093B" w:rsidRPr="00FA51B7">
        <w:rPr>
          <w:rFonts w:asciiTheme="minorHAnsi" w:hAnsiTheme="minorHAnsi" w:cstheme="minorHAnsi"/>
          <w:iCs/>
        </w:rPr>
        <w:t xml:space="preserve"> for the additional amount up to the start of the CCS fortnight no more than four weeks prior to the date of notification. </w:t>
      </w:r>
      <w:r w:rsidR="009B7C3C" w:rsidRPr="00FA51B7">
        <w:rPr>
          <w:rFonts w:asciiTheme="minorHAnsi" w:hAnsiTheme="minorHAnsi" w:cstheme="minorHAnsi"/>
          <w:iCs/>
        </w:rPr>
        <w:t xml:space="preserve"> </w:t>
      </w:r>
    </w:p>
    <w:p w14:paraId="424B4123" w14:textId="1636FCC1" w:rsidR="00424E15" w:rsidRPr="00FA51B7" w:rsidRDefault="00424E15" w:rsidP="00AC38A9">
      <w:pPr>
        <w:pStyle w:val="ListParagraph"/>
        <w:numPr>
          <w:ilvl w:val="0"/>
          <w:numId w:val="1"/>
        </w:numPr>
        <w:spacing w:before="360" w:after="120"/>
        <w:rPr>
          <w:rFonts w:ascii="Calibri" w:hAnsi="Calibri" w:cs="Calibri"/>
          <w:szCs w:val="24"/>
        </w:rPr>
      </w:pPr>
      <w:r w:rsidRPr="00FA51B7">
        <w:rPr>
          <w:rFonts w:ascii="Calibri" w:hAnsi="Calibri" w:cs="Calibri"/>
        </w:rPr>
        <w:t>This transitional rule ensure</w:t>
      </w:r>
      <w:r w:rsidR="00A03017" w:rsidRPr="00FA51B7">
        <w:rPr>
          <w:rFonts w:ascii="Calibri" w:hAnsi="Calibri" w:cs="Calibri"/>
        </w:rPr>
        <w:t>s</w:t>
      </w:r>
      <w:r w:rsidRPr="00FA51B7">
        <w:rPr>
          <w:rFonts w:ascii="Calibri" w:hAnsi="Calibri" w:cs="Calibri"/>
        </w:rPr>
        <w:t xml:space="preserve"> families are not disadvantaged during 2023-24 while awareness of the new measure is building. Once the measure commences, </w:t>
      </w:r>
      <w:r w:rsidR="005E79B9" w:rsidRPr="00FA51B7">
        <w:rPr>
          <w:rFonts w:ascii="Calibri" w:hAnsi="Calibri" w:cs="Calibri"/>
        </w:rPr>
        <w:t xml:space="preserve">it will be </w:t>
      </w:r>
      <w:r w:rsidRPr="00FA51B7">
        <w:rPr>
          <w:rFonts w:ascii="Calibri" w:hAnsi="Calibri" w:cs="Calibri"/>
        </w:rPr>
        <w:t>implemented in two stages</w:t>
      </w:r>
      <w:r w:rsidR="005E79B9" w:rsidRPr="00FA51B7">
        <w:rPr>
          <w:rFonts w:ascii="Calibri" w:hAnsi="Calibri" w:cs="Calibri"/>
        </w:rPr>
        <w:t>. F</w:t>
      </w:r>
      <w:r w:rsidRPr="00FA51B7">
        <w:rPr>
          <w:rFonts w:ascii="Calibri" w:hAnsi="Calibri" w:cs="Calibri"/>
        </w:rPr>
        <w:t xml:space="preserve">rom July 2023, notification will be by telephone or through face-to-face servicing. From July 2024, families will </w:t>
      </w:r>
      <w:r w:rsidR="005E79B9" w:rsidRPr="00FA51B7">
        <w:rPr>
          <w:rFonts w:ascii="Calibri" w:hAnsi="Calibri" w:cs="Calibri"/>
        </w:rPr>
        <w:t xml:space="preserve">also </w:t>
      </w:r>
      <w:r w:rsidRPr="00FA51B7">
        <w:rPr>
          <w:rFonts w:ascii="Calibri" w:hAnsi="Calibri" w:cs="Calibri"/>
        </w:rPr>
        <w:t xml:space="preserve">be able to </w:t>
      </w:r>
      <w:r w:rsidR="005E79B9" w:rsidRPr="00FA51B7">
        <w:rPr>
          <w:rFonts w:ascii="Calibri" w:hAnsi="Calibri" w:cs="Calibri"/>
        </w:rPr>
        <w:t xml:space="preserve">provide notification online or </w:t>
      </w:r>
      <w:r w:rsidRPr="00FA51B7">
        <w:rPr>
          <w:rFonts w:ascii="Calibri" w:hAnsi="Calibri" w:cs="Calibri"/>
        </w:rPr>
        <w:t>as part of the</w:t>
      </w:r>
      <w:r w:rsidR="005E79B9" w:rsidRPr="00FA51B7">
        <w:rPr>
          <w:rFonts w:ascii="Calibri" w:hAnsi="Calibri" w:cs="Calibri"/>
        </w:rPr>
        <w:t>ir initial</w:t>
      </w:r>
      <w:r w:rsidRPr="00FA51B7">
        <w:rPr>
          <w:rFonts w:ascii="Calibri" w:hAnsi="Calibri" w:cs="Calibri"/>
        </w:rPr>
        <w:t xml:space="preserve"> CCS </w:t>
      </w:r>
      <w:r w:rsidR="005E79B9" w:rsidRPr="00FA51B7">
        <w:rPr>
          <w:rFonts w:ascii="Calibri" w:hAnsi="Calibri" w:cs="Calibri"/>
        </w:rPr>
        <w:t>application</w:t>
      </w:r>
      <w:r w:rsidRPr="00FA51B7">
        <w:rPr>
          <w:rFonts w:ascii="Calibri" w:hAnsi="Calibri" w:cs="Calibri"/>
        </w:rPr>
        <w:t>.</w:t>
      </w:r>
    </w:p>
    <w:p w14:paraId="16913F8A" w14:textId="5C0EAE49" w:rsidR="00301AEA" w:rsidRPr="00FA51B7" w:rsidRDefault="00301AEA" w:rsidP="00424E15">
      <w:pPr>
        <w:pStyle w:val="ListParagraph"/>
        <w:spacing w:before="360" w:after="120"/>
        <w:rPr>
          <w:rFonts w:asciiTheme="minorHAnsi" w:hAnsiTheme="minorHAnsi" w:cstheme="minorHAnsi"/>
        </w:rPr>
      </w:pPr>
    </w:p>
    <w:p w14:paraId="54A9C36A" w14:textId="194BFF87" w:rsidR="00301AEA" w:rsidRPr="00FA51B7" w:rsidRDefault="00301AEA" w:rsidP="00301AEA">
      <w:pPr>
        <w:pStyle w:val="Heading2"/>
        <w:shd w:val="clear" w:color="auto" w:fill="FFFFFF"/>
        <w:spacing w:after="200" w:line="276" w:lineRule="atLeast"/>
        <w:rPr>
          <w:rFonts w:ascii="Calibri" w:hAnsi="Calibri" w:cs="Calibri"/>
          <w:color w:val="000000"/>
          <w:u w:val="single"/>
        </w:rPr>
      </w:pPr>
      <w:r w:rsidRPr="00FA51B7">
        <w:rPr>
          <w:rFonts w:ascii="Calibri" w:hAnsi="Calibri" w:cs="Calibri"/>
          <w:color w:val="000000"/>
          <w:u w:val="single"/>
        </w:rPr>
        <w:lastRenderedPageBreak/>
        <w:t>Part 4 – Intensive early childhood education and care model trial</w:t>
      </w:r>
    </w:p>
    <w:p w14:paraId="0FBAA15D" w14:textId="12D10858" w:rsidR="00301AEA" w:rsidRPr="00FA51B7" w:rsidRDefault="00301AEA" w:rsidP="00301AEA">
      <w:pPr>
        <w:pStyle w:val="Heading2"/>
        <w:shd w:val="clear" w:color="auto" w:fill="FFFFFF"/>
        <w:spacing w:after="200" w:line="276" w:lineRule="atLeast"/>
        <w:rPr>
          <w:rFonts w:ascii="Calibri" w:hAnsi="Calibri" w:cs="Calibri"/>
          <w:b w:val="0"/>
          <w:bCs/>
          <w:i/>
          <w:iCs/>
          <w:color w:val="000000"/>
        </w:rPr>
      </w:pPr>
      <w:r w:rsidRPr="00FA51B7">
        <w:rPr>
          <w:rFonts w:ascii="Calibri" w:hAnsi="Calibri" w:cs="Calibri"/>
          <w:b w:val="0"/>
          <w:bCs/>
          <w:color w:val="000000"/>
          <w:u w:val="single"/>
        </w:rPr>
        <w:t xml:space="preserve">Item </w:t>
      </w:r>
      <w:r w:rsidR="004A72AB" w:rsidRPr="00FA51B7">
        <w:rPr>
          <w:rFonts w:ascii="Calibri" w:hAnsi="Calibri" w:cs="Calibri"/>
          <w:b w:val="0"/>
          <w:bCs/>
          <w:color w:val="000000"/>
          <w:u w:val="single"/>
        </w:rPr>
        <w:t>5</w:t>
      </w:r>
      <w:r w:rsidR="00466B9E" w:rsidRPr="00FA51B7">
        <w:rPr>
          <w:rFonts w:ascii="Calibri" w:hAnsi="Calibri" w:cs="Calibri"/>
          <w:b w:val="0"/>
          <w:bCs/>
          <w:color w:val="000000"/>
          <w:u w:val="single"/>
        </w:rPr>
        <w:t xml:space="preserve"> – Paragraphs 10(j) and 11B(c)</w:t>
      </w:r>
    </w:p>
    <w:p w14:paraId="363BFFEB" w14:textId="610CC3A3" w:rsidR="00301AEA" w:rsidRPr="00FA51B7" w:rsidRDefault="00301AEA" w:rsidP="00AC38A9">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Item </w:t>
      </w:r>
      <w:r w:rsidR="004A72AB" w:rsidRPr="00FA51B7">
        <w:rPr>
          <w:rFonts w:asciiTheme="minorHAnsi" w:hAnsiTheme="minorHAnsi" w:cstheme="minorHAnsi"/>
        </w:rPr>
        <w:t>5</w:t>
      </w:r>
      <w:r w:rsidR="00650FD2" w:rsidRPr="00FA51B7">
        <w:rPr>
          <w:rFonts w:asciiTheme="minorHAnsi" w:hAnsiTheme="minorHAnsi" w:cstheme="minorHAnsi"/>
        </w:rPr>
        <w:t xml:space="preserve"> substitutes the reference</w:t>
      </w:r>
      <w:r w:rsidR="00EA56D7" w:rsidRPr="00FA51B7">
        <w:rPr>
          <w:rFonts w:asciiTheme="minorHAnsi" w:hAnsiTheme="minorHAnsi" w:cstheme="minorHAnsi"/>
        </w:rPr>
        <w:t>s</w:t>
      </w:r>
      <w:r w:rsidR="00650FD2" w:rsidRPr="00FA51B7">
        <w:rPr>
          <w:rFonts w:asciiTheme="minorHAnsi" w:hAnsiTheme="minorHAnsi" w:cstheme="minorHAnsi"/>
        </w:rPr>
        <w:t xml:space="preserve"> to ‘Early Years Education Program replication trial’ in paragraphs 10(j) and 11B(c) of the Principal Rules, with ‘intensive early childhood education and care model trial</w:t>
      </w:r>
      <w:r w:rsidR="00137B79" w:rsidRPr="00FA51B7">
        <w:rPr>
          <w:rFonts w:asciiTheme="minorHAnsi" w:hAnsiTheme="minorHAnsi" w:cstheme="minorHAnsi"/>
        </w:rPr>
        <w:t xml:space="preserve"> overseen by Parkville Institute Ltd</w:t>
      </w:r>
      <w:r w:rsidR="00650FD2" w:rsidRPr="00FA51B7">
        <w:rPr>
          <w:rFonts w:asciiTheme="minorHAnsi" w:hAnsiTheme="minorHAnsi" w:cstheme="minorHAnsi"/>
        </w:rPr>
        <w:t>’.</w:t>
      </w:r>
    </w:p>
    <w:p w14:paraId="7C4A1358" w14:textId="2CF54269" w:rsidR="007E36C3" w:rsidRPr="00FA51B7" w:rsidRDefault="007E36C3" w:rsidP="002B4FD7">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This amendment reflects the public rebranding of the initiative to ‘an intensive early childhood education and care trial’ as contained in existing public communications and clarifies that the initiative is the intensive early childhood education and care model trial overseen by Parkville Institute Ltd. </w:t>
      </w:r>
    </w:p>
    <w:p w14:paraId="40D5142D" w14:textId="7C972581" w:rsidR="007E36C3" w:rsidRPr="00FA51B7" w:rsidRDefault="007E36C3" w:rsidP="002B4FD7">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The amendments rename the Early Years Education Program replication trial only. The initiative is otherwise the same.</w:t>
      </w:r>
    </w:p>
    <w:p w14:paraId="0FCF3386" w14:textId="1C6EEE1D" w:rsidR="00CF098D" w:rsidRPr="00FA51B7" w:rsidRDefault="00CF098D" w:rsidP="00CF098D">
      <w:pPr>
        <w:pStyle w:val="Heading2"/>
        <w:shd w:val="clear" w:color="auto" w:fill="FFFFFF"/>
        <w:spacing w:after="200" w:line="276" w:lineRule="atLeast"/>
        <w:rPr>
          <w:rFonts w:ascii="Calibri" w:hAnsi="Calibri" w:cs="Calibri"/>
          <w:color w:val="000000"/>
          <w:u w:val="single"/>
        </w:rPr>
      </w:pPr>
      <w:r w:rsidRPr="00FA51B7">
        <w:rPr>
          <w:rFonts w:ascii="Calibri" w:hAnsi="Calibri" w:cs="Calibri"/>
          <w:color w:val="000000"/>
          <w:u w:val="single"/>
        </w:rPr>
        <w:t>Part 5 – Transparency Measures</w:t>
      </w:r>
    </w:p>
    <w:p w14:paraId="1AF84EB5" w14:textId="7E3BF8D6" w:rsidR="00CF098D" w:rsidRPr="00FA51B7" w:rsidRDefault="00CF098D" w:rsidP="00CF098D">
      <w:pPr>
        <w:pStyle w:val="Heading2"/>
        <w:shd w:val="clear" w:color="auto" w:fill="FFFFFF"/>
        <w:spacing w:after="200" w:line="276" w:lineRule="atLeast"/>
        <w:rPr>
          <w:rFonts w:ascii="Calibri" w:hAnsi="Calibri" w:cs="Calibri"/>
          <w:b w:val="0"/>
          <w:bCs/>
          <w:color w:val="000000"/>
          <w:u w:val="single"/>
        </w:rPr>
      </w:pPr>
      <w:r w:rsidRPr="00FA51B7">
        <w:rPr>
          <w:rFonts w:ascii="Calibri" w:hAnsi="Calibri" w:cs="Calibri"/>
          <w:b w:val="0"/>
          <w:bCs/>
          <w:color w:val="000000"/>
          <w:u w:val="single"/>
        </w:rPr>
        <w:t>Item 6</w:t>
      </w:r>
      <w:r w:rsidR="00466B9E" w:rsidRPr="00FA51B7">
        <w:rPr>
          <w:rFonts w:ascii="Calibri" w:hAnsi="Calibri" w:cs="Calibri"/>
          <w:b w:val="0"/>
          <w:bCs/>
          <w:color w:val="000000"/>
          <w:u w:val="single"/>
        </w:rPr>
        <w:t xml:space="preserve"> – After Part 3A</w:t>
      </w:r>
    </w:p>
    <w:p w14:paraId="7CCF5714" w14:textId="7CC2E864" w:rsidR="000F12C7" w:rsidRPr="00FA51B7" w:rsidRDefault="000F12C7">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Item 6 inserts </w:t>
      </w:r>
      <w:r w:rsidR="004C7797" w:rsidRPr="00FA51B7">
        <w:rPr>
          <w:rFonts w:asciiTheme="minorHAnsi" w:hAnsiTheme="minorHAnsi" w:cstheme="minorHAnsi"/>
        </w:rPr>
        <w:t xml:space="preserve">new </w:t>
      </w:r>
      <w:r w:rsidRPr="00FA51B7">
        <w:rPr>
          <w:rFonts w:asciiTheme="minorHAnsi" w:hAnsiTheme="minorHAnsi" w:cstheme="minorHAnsi"/>
        </w:rPr>
        <w:t xml:space="preserve">Part 3B into the Principal Rules to prescribe information that the Secretary may publish, by electronic means, in relation to an approved provider, under paragraph 162B(1)(g) of the Family Assistance Administration Act. </w:t>
      </w:r>
    </w:p>
    <w:p w14:paraId="01FC5AF0" w14:textId="6A756C75" w:rsidR="000F12C7" w:rsidRPr="00FA51B7" w:rsidRDefault="006974BF">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New</w:t>
      </w:r>
      <w:r w:rsidR="000F12C7" w:rsidRPr="00FA51B7">
        <w:rPr>
          <w:rFonts w:asciiTheme="minorHAnsi" w:hAnsiTheme="minorHAnsi" w:cstheme="minorHAnsi"/>
        </w:rPr>
        <w:t xml:space="preserve"> subsection 40</w:t>
      </w:r>
      <w:proofErr w:type="gramStart"/>
      <w:r w:rsidR="000F12C7" w:rsidRPr="00FA51B7">
        <w:rPr>
          <w:rFonts w:asciiTheme="minorHAnsi" w:hAnsiTheme="minorHAnsi" w:cstheme="minorHAnsi"/>
        </w:rPr>
        <w:t>B(</w:t>
      </w:r>
      <w:proofErr w:type="gramEnd"/>
      <w:r w:rsidR="000F12C7" w:rsidRPr="00FA51B7">
        <w:rPr>
          <w:rFonts w:asciiTheme="minorHAnsi" w:hAnsiTheme="minorHAnsi" w:cstheme="minorHAnsi"/>
        </w:rPr>
        <w:t xml:space="preserve">1) </w:t>
      </w:r>
      <w:r w:rsidRPr="00FA51B7">
        <w:rPr>
          <w:rFonts w:asciiTheme="minorHAnsi" w:hAnsiTheme="minorHAnsi" w:cstheme="minorHAnsi"/>
        </w:rPr>
        <w:t>prescribes</w:t>
      </w:r>
      <w:r w:rsidR="000F12C7" w:rsidRPr="00FA51B7">
        <w:rPr>
          <w:rFonts w:asciiTheme="minorHAnsi" w:hAnsiTheme="minorHAnsi" w:cstheme="minorHAnsi"/>
        </w:rPr>
        <w:t xml:space="preserve"> the address</w:t>
      </w:r>
      <w:r w:rsidR="007A3CCE" w:rsidRPr="00FA51B7">
        <w:rPr>
          <w:rFonts w:asciiTheme="minorHAnsi" w:hAnsiTheme="minorHAnsi" w:cstheme="minorHAnsi"/>
        </w:rPr>
        <w:t xml:space="preserve">, </w:t>
      </w:r>
      <w:r w:rsidR="000F12C7" w:rsidRPr="00FA51B7">
        <w:rPr>
          <w:rFonts w:asciiTheme="minorHAnsi" w:hAnsiTheme="minorHAnsi" w:cstheme="minorHAnsi"/>
        </w:rPr>
        <w:t>type</w:t>
      </w:r>
      <w:r w:rsidR="007A3CCE" w:rsidRPr="00FA51B7">
        <w:rPr>
          <w:rFonts w:asciiTheme="minorHAnsi" w:hAnsiTheme="minorHAnsi" w:cstheme="minorHAnsi"/>
        </w:rPr>
        <w:t xml:space="preserve"> and charged fee amounts (current and previous) of the provider’s </w:t>
      </w:r>
      <w:r w:rsidR="000F12C7" w:rsidRPr="00FA51B7">
        <w:rPr>
          <w:rFonts w:asciiTheme="minorHAnsi" w:hAnsiTheme="minorHAnsi" w:cstheme="minorHAnsi"/>
        </w:rPr>
        <w:t>child care service</w:t>
      </w:r>
      <w:r w:rsidR="007A3CCE" w:rsidRPr="00FA51B7">
        <w:rPr>
          <w:rFonts w:asciiTheme="minorHAnsi" w:hAnsiTheme="minorHAnsi" w:cstheme="minorHAnsi"/>
        </w:rPr>
        <w:t>s</w:t>
      </w:r>
      <w:r w:rsidR="000F12C7" w:rsidRPr="00FA51B7">
        <w:rPr>
          <w:rFonts w:asciiTheme="minorHAnsi" w:hAnsiTheme="minorHAnsi" w:cstheme="minorHAnsi"/>
        </w:rPr>
        <w:t xml:space="preserve">, </w:t>
      </w:r>
      <w:r w:rsidR="007A3CCE" w:rsidRPr="00FA51B7">
        <w:rPr>
          <w:rFonts w:asciiTheme="minorHAnsi" w:hAnsiTheme="minorHAnsi" w:cstheme="minorHAnsi"/>
        </w:rPr>
        <w:t>and information included in a notice required under items 1 to 9 of the table in section 55 of the Principal Rules, as</w:t>
      </w:r>
      <w:r w:rsidR="000F12C7" w:rsidRPr="00FA51B7">
        <w:rPr>
          <w:rFonts w:asciiTheme="minorHAnsi" w:hAnsiTheme="minorHAnsi" w:cstheme="minorHAnsi"/>
        </w:rPr>
        <w:t xml:space="preserve"> information that the Secretary may publish in relation to an approved provider</w:t>
      </w:r>
      <w:r w:rsidR="007A3CCE" w:rsidRPr="00FA51B7">
        <w:rPr>
          <w:rFonts w:asciiTheme="minorHAnsi" w:hAnsiTheme="minorHAnsi" w:cstheme="minorHAnsi"/>
        </w:rPr>
        <w:t xml:space="preserve">. Items 1 to 9 of the table in section 55 of the Principal Rules </w:t>
      </w:r>
      <w:r w:rsidRPr="00FA51B7">
        <w:rPr>
          <w:rFonts w:asciiTheme="minorHAnsi" w:hAnsiTheme="minorHAnsi" w:cstheme="minorHAnsi"/>
        </w:rPr>
        <w:t xml:space="preserve">specify that the provider must notify of fee information, its services’ operating hours, vacancies, when the provider ceases to operate a service, change of provider address, change of service address, change of provider name, change of service </w:t>
      </w:r>
      <w:proofErr w:type="gramStart"/>
      <w:r w:rsidRPr="00FA51B7">
        <w:rPr>
          <w:rFonts w:asciiTheme="minorHAnsi" w:hAnsiTheme="minorHAnsi" w:cstheme="minorHAnsi"/>
        </w:rPr>
        <w:t>name</w:t>
      </w:r>
      <w:proofErr w:type="gramEnd"/>
      <w:r w:rsidRPr="00FA51B7">
        <w:rPr>
          <w:rFonts w:asciiTheme="minorHAnsi" w:hAnsiTheme="minorHAnsi" w:cstheme="minorHAnsi"/>
        </w:rPr>
        <w:t xml:space="preserve"> and change of provider or service contact details. Publication of this information is important to ensure families </w:t>
      </w:r>
      <w:proofErr w:type="gramStart"/>
      <w:r w:rsidRPr="00FA51B7">
        <w:rPr>
          <w:rFonts w:asciiTheme="minorHAnsi" w:hAnsiTheme="minorHAnsi" w:cstheme="minorHAnsi"/>
        </w:rPr>
        <w:t>are able to</w:t>
      </w:r>
      <w:proofErr w:type="gramEnd"/>
      <w:r w:rsidRPr="00FA51B7">
        <w:rPr>
          <w:rFonts w:asciiTheme="minorHAnsi" w:hAnsiTheme="minorHAnsi" w:cstheme="minorHAnsi"/>
        </w:rPr>
        <w:t xml:space="preserve"> identify and access child care services available to them.</w:t>
      </w:r>
    </w:p>
    <w:p w14:paraId="6A142D7C" w14:textId="58A20C3C" w:rsidR="00ED42B7" w:rsidRPr="00FA51B7" w:rsidRDefault="006974BF">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New subsection 40</w:t>
      </w:r>
      <w:proofErr w:type="gramStart"/>
      <w:r w:rsidRPr="00FA51B7">
        <w:rPr>
          <w:rFonts w:asciiTheme="minorHAnsi" w:hAnsiTheme="minorHAnsi" w:cstheme="minorHAnsi"/>
        </w:rPr>
        <w:t>B(</w:t>
      </w:r>
      <w:proofErr w:type="gramEnd"/>
      <w:r w:rsidRPr="00FA51B7">
        <w:rPr>
          <w:rFonts w:asciiTheme="minorHAnsi" w:hAnsiTheme="minorHAnsi" w:cstheme="minorHAnsi"/>
        </w:rPr>
        <w:t>2) prescribes certain information about large child care providers (as defined in section 4A of the Family Assistance Administration Act) that the Secretary may publish under paragraph 162B(1)(g) of that Act. This information includes the large child care provider’s revenue and profits,</w:t>
      </w:r>
      <w:r w:rsidR="004C7797" w:rsidRPr="00FA51B7">
        <w:rPr>
          <w:rFonts w:asciiTheme="minorHAnsi" w:hAnsiTheme="minorHAnsi" w:cstheme="minorHAnsi"/>
        </w:rPr>
        <w:t xml:space="preserve"> and</w:t>
      </w:r>
      <w:r w:rsidRPr="00FA51B7">
        <w:rPr>
          <w:rFonts w:asciiTheme="minorHAnsi" w:hAnsiTheme="minorHAnsi" w:cstheme="minorHAnsi"/>
        </w:rPr>
        <w:t xml:space="preserve"> details of rental arrangements for each of the child care services it operates</w:t>
      </w:r>
      <w:r w:rsidR="004C7797" w:rsidRPr="00FA51B7">
        <w:rPr>
          <w:rFonts w:asciiTheme="minorHAnsi" w:hAnsiTheme="minorHAnsi" w:cstheme="minorHAnsi"/>
        </w:rPr>
        <w:t>, and amount of rent paid for each of these services.</w:t>
      </w:r>
      <w:r w:rsidRPr="00FA51B7">
        <w:rPr>
          <w:rFonts w:asciiTheme="minorHAnsi" w:hAnsiTheme="minorHAnsi" w:cstheme="minorHAnsi"/>
        </w:rPr>
        <w:t xml:space="preserve"> </w:t>
      </w:r>
      <w:r w:rsidR="004C7797" w:rsidRPr="00FA51B7">
        <w:rPr>
          <w:rFonts w:asciiTheme="minorHAnsi" w:hAnsiTheme="minorHAnsi" w:cstheme="minorHAnsi"/>
        </w:rPr>
        <w:t xml:space="preserve">Publication of this information </w:t>
      </w:r>
      <w:r w:rsidR="00580445" w:rsidRPr="00FA51B7">
        <w:rPr>
          <w:rFonts w:asciiTheme="minorHAnsi" w:hAnsiTheme="minorHAnsi" w:cstheme="minorHAnsi"/>
        </w:rPr>
        <w:t>provides an</w:t>
      </w:r>
      <w:r w:rsidR="004C7797" w:rsidRPr="00FA51B7">
        <w:rPr>
          <w:rFonts w:asciiTheme="minorHAnsi" w:hAnsiTheme="minorHAnsi" w:cstheme="minorHAnsi"/>
        </w:rPr>
        <w:t xml:space="preserve"> important</w:t>
      </w:r>
      <w:r w:rsidR="00580445" w:rsidRPr="00FA51B7">
        <w:rPr>
          <w:rFonts w:asciiTheme="minorHAnsi" w:hAnsiTheme="minorHAnsi" w:cstheme="minorHAnsi"/>
        </w:rPr>
        <w:t xml:space="preserve"> accountability mechanism which will ensure</w:t>
      </w:r>
      <w:r w:rsidR="004928AB" w:rsidRPr="00FA51B7">
        <w:rPr>
          <w:rFonts w:asciiTheme="minorHAnsi" w:hAnsiTheme="minorHAnsi" w:cstheme="minorHAnsi"/>
        </w:rPr>
        <w:t xml:space="preserve"> greater transparency </w:t>
      </w:r>
      <w:r w:rsidR="00580445" w:rsidRPr="00FA51B7">
        <w:rPr>
          <w:rFonts w:asciiTheme="minorHAnsi" w:hAnsiTheme="minorHAnsi" w:cstheme="minorHAnsi"/>
        </w:rPr>
        <w:t>for</w:t>
      </w:r>
      <w:r w:rsidR="004928AB" w:rsidRPr="00FA51B7">
        <w:rPr>
          <w:rFonts w:asciiTheme="minorHAnsi" w:hAnsiTheme="minorHAnsi" w:cstheme="minorHAnsi"/>
        </w:rPr>
        <w:t xml:space="preserve"> families regarding the </w:t>
      </w:r>
      <w:r w:rsidR="00290A5E" w:rsidRPr="00FA51B7">
        <w:rPr>
          <w:rFonts w:asciiTheme="minorHAnsi" w:hAnsiTheme="minorHAnsi" w:cstheme="minorHAnsi"/>
        </w:rPr>
        <w:t>fees</w:t>
      </w:r>
      <w:r w:rsidR="004928AB" w:rsidRPr="00FA51B7">
        <w:rPr>
          <w:rFonts w:asciiTheme="minorHAnsi" w:hAnsiTheme="minorHAnsi" w:cstheme="minorHAnsi"/>
        </w:rPr>
        <w:t xml:space="preserve"> they pay to access </w:t>
      </w:r>
      <w:r w:rsidR="004C7797" w:rsidRPr="00FA51B7">
        <w:rPr>
          <w:rFonts w:asciiTheme="minorHAnsi" w:hAnsiTheme="minorHAnsi" w:cstheme="minorHAnsi"/>
        </w:rPr>
        <w:t xml:space="preserve">child </w:t>
      </w:r>
      <w:r w:rsidR="004928AB" w:rsidRPr="00FA51B7">
        <w:rPr>
          <w:rFonts w:asciiTheme="minorHAnsi" w:hAnsiTheme="minorHAnsi" w:cstheme="minorHAnsi"/>
        </w:rPr>
        <w:t>care</w:t>
      </w:r>
      <w:r w:rsidR="004C7797" w:rsidRPr="00FA51B7">
        <w:rPr>
          <w:rFonts w:asciiTheme="minorHAnsi" w:hAnsiTheme="minorHAnsi" w:cstheme="minorHAnsi"/>
        </w:rPr>
        <w:t xml:space="preserve"> services</w:t>
      </w:r>
      <w:r w:rsidR="004928AB" w:rsidRPr="00FA51B7">
        <w:rPr>
          <w:rFonts w:asciiTheme="minorHAnsi" w:hAnsiTheme="minorHAnsi" w:cstheme="minorHAnsi"/>
        </w:rPr>
        <w:t xml:space="preserve">. </w:t>
      </w:r>
    </w:p>
    <w:p w14:paraId="0DB3F001" w14:textId="751B00F8" w:rsidR="00CF098D" w:rsidRPr="00FA51B7" w:rsidRDefault="00CF098D" w:rsidP="00CF098D">
      <w:pPr>
        <w:pStyle w:val="Heading2"/>
        <w:shd w:val="clear" w:color="auto" w:fill="FFFFFF"/>
        <w:spacing w:after="200" w:line="276" w:lineRule="atLeast"/>
        <w:rPr>
          <w:rFonts w:ascii="Calibri" w:hAnsi="Calibri" w:cs="Calibri"/>
          <w:b w:val="0"/>
          <w:bCs/>
          <w:color w:val="000000"/>
          <w:u w:val="single"/>
        </w:rPr>
      </w:pPr>
      <w:r w:rsidRPr="00FA51B7">
        <w:rPr>
          <w:rFonts w:ascii="Calibri" w:hAnsi="Calibri" w:cs="Calibri"/>
          <w:b w:val="0"/>
          <w:bCs/>
          <w:color w:val="000000"/>
          <w:u w:val="single"/>
        </w:rPr>
        <w:lastRenderedPageBreak/>
        <w:t>Item 7</w:t>
      </w:r>
      <w:r w:rsidR="00466B9E" w:rsidRPr="00FA51B7">
        <w:rPr>
          <w:rFonts w:ascii="Calibri" w:hAnsi="Calibri" w:cs="Calibri"/>
          <w:b w:val="0"/>
          <w:bCs/>
          <w:color w:val="000000"/>
          <w:u w:val="single"/>
        </w:rPr>
        <w:t xml:space="preserve"> – After the heading to Part 5</w:t>
      </w:r>
    </w:p>
    <w:p w14:paraId="25E18A8F" w14:textId="5912FB93" w:rsidR="00DF6602" w:rsidRPr="00FA51B7" w:rsidRDefault="004C7797" w:rsidP="00DF6602">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Item 7 inserts new Division 1AA to set out requirements for large child care providers. </w:t>
      </w:r>
      <w:proofErr w:type="gramStart"/>
      <w:r w:rsidRPr="00FA51B7">
        <w:rPr>
          <w:rFonts w:asciiTheme="minorHAnsi" w:hAnsiTheme="minorHAnsi" w:cstheme="minorHAnsi"/>
        </w:rPr>
        <w:t>In particular, new</w:t>
      </w:r>
      <w:proofErr w:type="gramEnd"/>
      <w:r w:rsidRPr="00FA51B7">
        <w:rPr>
          <w:rFonts w:asciiTheme="minorHAnsi" w:hAnsiTheme="minorHAnsi" w:cstheme="minorHAnsi"/>
        </w:rPr>
        <w:t xml:space="preserve"> section 54AA prescribes the financial information that must be included in a report given by the provider to the Secretary, for the purposes of section 203BA(2)(b) of the Family Assistance Administration Act. </w:t>
      </w:r>
      <w:r w:rsidR="00DF6602" w:rsidRPr="00FA51B7">
        <w:rPr>
          <w:rFonts w:asciiTheme="minorHAnsi" w:hAnsiTheme="minorHAnsi" w:cstheme="minorHAnsi"/>
        </w:rPr>
        <w:t xml:space="preserve">These </w:t>
      </w:r>
      <w:r w:rsidR="00DE7DC9" w:rsidRPr="00FA51B7">
        <w:rPr>
          <w:rFonts w:asciiTheme="minorHAnsi" w:hAnsiTheme="minorHAnsi" w:cstheme="minorHAnsi"/>
        </w:rPr>
        <w:t xml:space="preserve">amendments are intended to increase </w:t>
      </w:r>
      <w:r w:rsidR="00DF6602" w:rsidRPr="00FA51B7">
        <w:rPr>
          <w:rFonts w:asciiTheme="minorHAnsi" w:hAnsiTheme="minorHAnsi" w:cstheme="minorHAnsi"/>
        </w:rPr>
        <w:t xml:space="preserve">transparency </w:t>
      </w:r>
      <w:r w:rsidR="00DE7DC9" w:rsidRPr="00FA51B7">
        <w:rPr>
          <w:rFonts w:asciiTheme="minorHAnsi" w:hAnsiTheme="minorHAnsi" w:cstheme="minorHAnsi"/>
        </w:rPr>
        <w:t xml:space="preserve">and </w:t>
      </w:r>
      <w:r w:rsidR="00DF6602" w:rsidRPr="00FA51B7">
        <w:rPr>
          <w:rFonts w:asciiTheme="minorHAnsi" w:hAnsiTheme="minorHAnsi" w:cstheme="minorHAnsi"/>
        </w:rPr>
        <w:t>enable the department to better identify, monitor and mitigate risks posed to the financial viability of large providers who have a significant presence</w:t>
      </w:r>
      <w:r w:rsidR="00DE7DC9" w:rsidRPr="00FA51B7">
        <w:rPr>
          <w:rFonts w:asciiTheme="minorHAnsi" w:hAnsiTheme="minorHAnsi" w:cstheme="minorHAnsi"/>
        </w:rPr>
        <w:t xml:space="preserve"> in the child care sector</w:t>
      </w:r>
      <w:r w:rsidR="00DF6602" w:rsidRPr="00FA51B7">
        <w:rPr>
          <w:rFonts w:asciiTheme="minorHAnsi" w:hAnsiTheme="minorHAnsi" w:cstheme="minorHAnsi"/>
        </w:rPr>
        <w:t>.</w:t>
      </w:r>
    </w:p>
    <w:p w14:paraId="63129C74" w14:textId="5DD14FA4" w:rsidR="00ED42B7" w:rsidRPr="00FA51B7" w:rsidRDefault="00DE7DC9" w:rsidP="009A4647">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Item 7 prescribes the following information to be included in a report given under subsection 203</w:t>
      </w:r>
      <w:proofErr w:type="gramStart"/>
      <w:r w:rsidRPr="00FA51B7">
        <w:rPr>
          <w:rFonts w:asciiTheme="minorHAnsi" w:hAnsiTheme="minorHAnsi" w:cstheme="minorHAnsi"/>
        </w:rPr>
        <w:t>BA(</w:t>
      </w:r>
      <w:proofErr w:type="gramEnd"/>
      <w:r w:rsidRPr="00FA51B7">
        <w:rPr>
          <w:rFonts w:asciiTheme="minorHAnsi" w:hAnsiTheme="minorHAnsi" w:cstheme="minorHAnsi"/>
        </w:rPr>
        <w:t xml:space="preserve">1) of the Family Assistance Administration Act: </w:t>
      </w:r>
    </w:p>
    <w:p w14:paraId="225EB4E3" w14:textId="4274965C" w:rsidR="00ED42B7"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a</w:t>
      </w:r>
      <w:r w:rsidR="00ED42B7" w:rsidRPr="00FA51B7">
        <w:rPr>
          <w:rFonts w:asciiTheme="minorHAnsi" w:hAnsiTheme="minorHAnsi" w:cstheme="minorHAnsi"/>
        </w:rPr>
        <w:t xml:space="preserve"> statement of financial position</w:t>
      </w:r>
      <w:r w:rsidR="00756C23" w:rsidRPr="00FA51B7">
        <w:rPr>
          <w:rFonts w:asciiTheme="minorHAnsi" w:hAnsiTheme="minorHAnsi" w:cstheme="minorHAnsi"/>
        </w:rPr>
        <w:t xml:space="preserve"> (for example, a Balance Sheet</w:t>
      </w:r>
      <w:proofErr w:type="gramStart"/>
      <w:r w:rsidR="00756C23" w:rsidRPr="00FA51B7">
        <w:rPr>
          <w:rFonts w:asciiTheme="minorHAnsi" w:hAnsiTheme="minorHAnsi" w:cstheme="minorHAnsi"/>
        </w:rPr>
        <w:t>)</w:t>
      </w:r>
      <w:r w:rsidR="0053143C" w:rsidRPr="00FA51B7">
        <w:rPr>
          <w:rFonts w:asciiTheme="minorHAnsi" w:hAnsiTheme="minorHAnsi" w:cstheme="minorHAnsi"/>
        </w:rPr>
        <w:t>;</w:t>
      </w:r>
      <w:proofErr w:type="gramEnd"/>
    </w:p>
    <w:p w14:paraId="5F9434E6" w14:textId="11D93D8B" w:rsidR="00ED42B7"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a</w:t>
      </w:r>
      <w:r w:rsidR="00ED42B7" w:rsidRPr="00FA51B7">
        <w:rPr>
          <w:rFonts w:asciiTheme="minorHAnsi" w:hAnsiTheme="minorHAnsi" w:cstheme="minorHAnsi"/>
        </w:rPr>
        <w:t xml:space="preserve"> statement of comprehensive income</w:t>
      </w:r>
      <w:r w:rsidR="00756C23" w:rsidRPr="00FA51B7">
        <w:rPr>
          <w:rFonts w:asciiTheme="minorHAnsi" w:hAnsiTheme="minorHAnsi" w:cstheme="minorHAnsi"/>
        </w:rPr>
        <w:t xml:space="preserve"> (for example, Income Statement or Profit and Loss Statement</w:t>
      </w:r>
      <w:proofErr w:type="gramStart"/>
      <w:r w:rsidR="00756C23" w:rsidRPr="00FA51B7">
        <w:rPr>
          <w:rFonts w:asciiTheme="minorHAnsi" w:hAnsiTheme="minorHAnsi" w:cstheme="minorHAnsi"/>
        </w:rPr>
        <w:t>)</w:t>
      </w:r>
      <w:r w:rsidR="0053143C" w:rsidRPr="00FA51B7">
        <w:rPr>
          <w:rFonts w:asciiTheme="minorHAnsi" w:hAnsiTheme="minorHAnsi" w:cstheme="minorHAnsi"/>
        </w:rPr>
        <w:t>;</w:t>
      </w:r>
      <w:proofErr w:type="gramEnd"/>
    </w:p>
    <w:p w14:paraId="432B5A1C" w14:textId="561AA74E" w:rsidR="00ED42B7"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a</w:t>
      </w:r>
      <w:r w:rsidR="00ED42B7" w:rsidRPr="00FA51B7">
        <w:rPr>
          <w:rFonts w:asciiTheme="minorHAnsi" w:hAnsiTheme="minorHAnsi" w:cstheme="minorHAnsi"/>
        </w:rPr>
        <w:t xml:space="preserve"> statement of changes in equity</w:t>
      </w:r>
      <w:r w:rsidR="00756C23" w:rsidRPr="00FA51B7">
        <w:rPr>
          <w:rFonts w:asciiTheme="minorHAnsi" w:hAnsiTheme="minorHAnsi" w:cstheme="minorHAnsi"/>
        </w:rPr>
        <w:t xml:space="preserve"> (for example, a Statement of Retained Earnings</w:t>
      </w:r>
      <w:proofErr w:type="gramStart"/>
      <w:r w:rsidR="00756C23" w:rsidRPr="00FA51B7">
        <w:rPr>
          <w:rFonts w:asciiTheme="minorHAnsi" w:hAnsiTheme="minorHAnsi" w:cstheme="minorHAnsi"/>
        </w:rPr>
        <w:t>)</w:t>
      </w:r>
      <w:r w:rsidR="0053143C" w:rsidRPr="00FA51B7">
        <w:rPr>
          <w:rFonts w:asciiTheme="minorHAnsi" w:hAnsiTheme="minorHAnsi" w:cstheme="minorHAnsi"/>
        </w:rPr>
        <w:t>;</w:t>
      </w:r>
      <w:proofErr w:type="gramEnd"/>
    </w:p>
    <w:p w14:paraId="6B2C7AB7" w14:textId="579142D0" w:rsidR="00ED42B7"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a</w:t>
      </w:r>
      <w:r w:rsidR="00ED42B7" w:rsidRPr="00FA51B7">
        <w:rPr>
          <w:rFonts w:asciiTheme="minorHAnsi" w:hAnsiTheme="minorHAnsi" w:cstheme="minorHAnsi"/>
        </w:rPr>
        <w:t xml:space="preserve"> statement of cash flows</w:t>
      </w:r>
      <w:r w:rsidR="00756C23" w:rsidRPr="00FA51B7">
        <w:rPr>
          <w:rFonts w:asciiTheme="minorHAnsi" w:hAnsiTheme="minorHAnsi" w:cstheme="minorHAnsi"/>
        </w:rPr>
        <w:t xml:space="preserve"> (for example, a Cash Flow Statement</w:t>
      </w:r>
      <w:proofErr w:type="gramStart"/>
      <w:r w:rsidR="00756C23" w:rsidRPr="00FA51B7">
        <w:rPr>
          <w:rFonts w:asciiTheme="minorHAnsi" w:hAnsiTheme="minorHAnsi" w:cstheme="minorHAnsi"/>
        </w:rPr>
        <w:t>)</w:t>
      </w:r>
      <w:r w:rsidR="0053143C" w:rsidRPr="00FA51B7">
        <w:rPr>
          <w:rFonts w:asciiTheme="minorHAnsi" w:hAnsiTheme="minorHAnsi" w:cstheme="minorHAnsi"/>
        </w:rPr>
        <w:t>;</w:t>
      </w:r>
      <w:proofErr w:type="gramEnd"/>
    </w:p>
    <w:p w14:paraId="3C4BA658" w14:textId="7ABCF97B" w:rsidR="00D90E62" w:rsidRPr="00FA51B7" w:rsidRDefault="00D90E62"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 xml:space="preserve">a </w:t>
      </w:r>
      <w:proofErr w:type="gramStart"/>
      <w:r w:rsidRPr="00FA51B7">
        <w:rPr>
          <w:rFonts w:asciiTheme="minorHAnsi" w:hAnsiTheme="minorHAnsi" w:cstheme="minorHAnsi"/>
        </w:rPr>
        <w:t>Director’s</w:t>
      </w:r>
      <w:proofErr w:type="gramEnd"/>
      <w:r w:rsidRPr="00FA51B7">
        <w:rPr>
          <w:rFonts w:asciiTheme="minorHAnsi" w:hAnsiTheme="minorHAnsi" w:cstheme="minorHAnsi"/>
        </w:rPr>
        <w:t xml:space="preserve"> report, if one is produced for the reported period</w:t>
      </w:r>
      <w:r w:rsidR="0053143C" w:rsidRPr="00FA51B7">
        <w:rPr>
          <w:rFonts w:asciiTheme="minorHAnsi" w:hAnsiTheme="minorHAnsi" w:cstheme="minorHAnsi"/>
        </w:rPr>
        <w:t>;</w:t>
      </w:r>
    </w:p>
    <w:p w14:paraId="3D3953C3" w14:textId="3EBBCE4F" w:rsidR="00D90E62" w:rsidRPr="00FA51B7" w:rsidRDefault="00D90E62"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 xml:space="preserve">an Auditor’s report, if the provider has been audited for the reported </w:t>
      </w:r>
      <w:proofErr w:type="gramStart"/>
      <w:r w:rsidRPr="00FA51B7">
        <w:rPr>
          <w:rFonts w:asciiTheme="minorHAnsi" w:hAnsiTheme="minorHAnsi" w:cstheme="minorHAnsi"/>
        </w:rPr>
        <w:t>period</w:t>
      </w:r>
      <w:r w:rsidR="0053143C" w:rsidRPr="00FA51B7">
        <w:rPr>
          <w:rFonts w:asciiTheme="minorHAnsi" w:hAnsiTheme="minorHAnsi" w:cstheme="minorHAnsi"/>
        </w:rPr>
        <w:t>;</w:t>
      </w:r>
      <w:proofErr w:type="gramEnd"/>
    </w:p>
    <w:p w14:paraId="3C90B7A1" w14:textId="45E67275" w:rsidR="00DE7DC9"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 xml:space="preserve">details of rental arrangements for each child care </w:t>
      </w:r>
      <w:proofErr w:type="gramStart"/>
      <w:r w:rsidRPr="00FA51B7">
        <w:rPr>
          <w:rFonts w:asciiTheme="minorHAnsi" w:hAnsiTheme="minorHAnsi" w:cstheme="minorHAnsi"/>
        </w:rPr>
        <w:t>service</w:t>
      </w:r>
      <w:r w:rsidR="0053143C" w:rsidRPr="00FA51B7">
        <w:rPr>
          <w:rFonts w:asciiTheme="minorHAnsi" w:hAnsiTheme="minorHAnsi" w:cstheme="minorHAnsi"/>
        </w:rPr>
        <w:t>;</w:t>
      </w:r>
      <w:proofErr w:type="gramEnd"/>
    </w:p>
    <w:p w14:paraId="1F6FDB79" w14:textId="34C1D077" w:rsidR="00DE7DC9"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 xml:space="preserve">the amount of rent paid for the tenancies in which each child care services </w:t>
      </w:r>
      <w:proofErr w:type="gramStart"/>
      <w:r w:rsidRPr="00FA51B7">
        <w:rPr>
          <w:rFonts w:asciiTheme="minorHAnsi" w:hAnsiTheme="minorHAnsi" w:cstheme="minorHAnsi"/>
        </w:rPr>
        <w:t>operates</w:t>
      </w:r>
      <w:r w:rsidR="0053143C" w:rsidRPr="00FA51B7">
        <w:rPr>
          <w:rFonts w:asciiTheme="minorHAnsi" w:hAnsiTheme="minorHAnsi" w:cstheme="minorHAnsi"/>
        </w:rPr>
        <w:t>;</w:t>
      </w:r>
      <w:proofErr w:type="gramEnd"/>
    </w:p>
    <w:p w14:paraId="21436303" w14:textId="34A3B5F4" w:rsidR="00DE7DC9"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information which is material to the assessment of the provider’s financial viability</w:t>
      </w:r>
      <w:r w:rsidR="0053143C" w:rsidRPr="00FA51B7">
        <w:rPr>
          <w:rFonts w:asciiTheme="minorHAnsi" w:hAnsiTheme="minorHAnsi" w:cstheme="minorHAnsi"/>
        </w:rPr>
        <w:t>;</w:t>
      </w:r>
      <w:r w:rsidRPr="00FA51B7">
        <w:rPr>
          <w:rFonts w:asciiTheme="minorHAnsi" w:hAnsiTheme="minorHAnsi" w:cstheme="minorHAnsi"/>
        </w:rPr>
        <w:t xml:space="preserve"> and</w:t>
      </w:r>
    </w:p>
    <w:p w14:paraId="313A2A74" w14:textId="77777777" w:rsidR="00DE7DC9" w:rsidRPr="00FA51B7" w:rsidRDefault="00DE7DC9" w:rsidP="0053143C">
      <w:pPr>
        <w:pStyle w:val="ListParagraph"/>
        <w:numPr>
          <w:ilvl w:val="0"/>
          <w:numId w:val="17"/>
        </w:numPr>
        <w:spacing w:before="360" w:after="120"/>
        <w:rPr>
          <w:rFonts w:asciiTheme="minorHAnsi" w:hAnsiTheme="minorHAnsi" w:cstheme="minorHAnsi"/>
        </w:rPr>
      </w:pPr>
      <w:r w:rsidRPr="00FA51B7">
        <w:rPr>
          <w:rFonts w:asciiTheme="minorHAnsi" w:hAnsiTheme="minorHAnsi" w:cstheme="minorHAnsi"/>
        </w:rPr>
        <w:t>other information necessary to assist in the understanding of the financial information reported.</w:t>
      </w:r>
    </w:p>
    <w:p w14:paraId="06ADEB5F" w14:textId="20247BDE" w:rsidR="00DE7DC9" w:rsidRPr="00FA51B7" w:rsidRDefault="00DE7DC9" w:rsidP="00D90E62">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Providers will already be required to provide much of this information in </w:t>
      </w:r>
      <w:r w:rsidR="003B7671" w:rsidRPr="00FA51B7">
        <w:rPr>
          <w:rFonts w:asciiTheme="minorHAnsi" w:hAnsiTheme="minorHAnsi" w:cstheme="minorHAnsi"/>
        </w:rPr>
        <w:t xml:space="preserve">general purpose financial statements.  </w:t>
      </w:r>
    </w:p>
    <w:p w14:paraId="51120B59" w14:textId="524CD346" w:rsidR="00DE7DC9" w:rsidRPr="00FA51B7" w:rsidRDefault="003B7671" w:rsidP="00DE7DC9">
      <w:pPr>
        <w:pStyle w:val="ListParagraph"/>
        <w:numPr>
          <w:ilvl w:val="0"/>
          <w:numId w:val="1"/>
        </w:numPr>
        <w:spacing w:before="360" w:after="120"/>
        <w:rPr>
          <w:rFonts w:asciiTheme="minorHAnsi" w:hAnsiTheme="minorHAnsi" w:cstheme="minorHAnsi"/>
        </w:rPr>
      </w:pPr>
      <w:r w:rsidRPr="00FA51B7">
        <w:rPr>
          <w:rFonts w:asciiTheme="minorHAnsi" w:hAnsiTheme="minorHAnsi" w:cstheme="minorHAnsi"/>
        </w:rPr>
        <w:t xml:space="preserve">The </w:t>
      </w:r>
      <w:r w:rsidR="00745CA6" w:rsidRPr="00FA51B7">
        <w:rPr>
          <w:rFonts w:asciiTheme="minorHAnsi" w:hAnsiTheme="minorHAnsi" w:cstheme="minorHAnsi"/>
        </w:rPr>
        <w:t>rest of the</w:t>
      </w:r>
      <w:r w:rsidRPr="00FA51B7">
        <w:rPr>
          <w:rFonts w:asciiTheme="minorHAnsi" w:hAnsiTheme="minorHAnsi" w:cstheme="minorHAnsi"/>
        </w:rPr>
        <w:t xml:space="preserve"> information is prescribed as </w:t>
      </w:r>
      <w:r w:rsidR="00745CA6" w:rsidRPr="00FA51B7">
        <w:rPr>
          <w:rFonts w:asciiTheme="minorHAnsi" w:hAnsiTheme="minorHAnsi" w:cstheme="minorHAnsi"/>
        </w:rPr>
        <w:t>this information</w:t>
      </w:r>
      <w:r w:rsidRPr="00FA51B7">
        <w:rPr>
          <w:rFonts w:asciiTheme="minorHAnsi" w:hAnsiTheme="minorHAnsi" w:cstheme="minorHAnsi"/>
        </w:rPr>
        <w:t xml:space="preserve"> is necessary for the purposes of assessing a large child care provider’s financial viability. </w:t>
      </w:r>
      <w:r w:rsidR="00DE7DC9" w:rsidRPr="00FA51B7">
        <w:rPr>
          <w:rFonts w:asciiTheme="minorHAnsi" w:hAnsiTheme="minorHAnsi" w:cstheme="minorHAnsi"/>
        </w:rPr>
        <w:t xml:space="preserve">In this context, financial viability means the provider’s ability to generate sufficient income to provide a return on capital and equity invested by the provider, meet commitments to the provider’s creditors, and sustain the provider’s business through any period when it is not returning a profit. </w:t>
      </w:r>
    </w:p>
    <w:p w14:paraId="198F10CC" w14:textId="5EABD9DA" w:rsidR="00D90E62" w:rsidRPr="00FA51B7" w:rsidRDefault="001C04B1" w:rsidP="002373EC">
      <w:pPr>
        <w:pStyle w:val="ListParagraph"/>
        <w:numPr>
          <w:ilvl w:val="0"/>
          <w:numId w:val="1"/>
        </w:numPr>
        <w:rPr>
          <w:rFonts w:asciiTheme="minorHAnsi" w:hAnsiTheme="minorHAnsi" w:cstheme="minorHAnsi"/>
        </w:rPr>
      </w:pPr>
      <w:r w:rsidRPr="00FA51B7">
        <w:rPr>
          <w:rFonts w:asciiTheme="minorHAnsi" w:hAnsiTheme="minorHAnsi" w:cstheme="minorHAnsi"/>
        </w:rPr>
        <w:t xml:space="preserve">The information to be reported should also be interpreted in respect of a large provider’s operating context. For example, ‘rental arrangements’ means any arrangements in relation to the tenancies in which providers operate their services. </w:t>
      </w:r>
    </w:p>
    <w:p w14:paraId="0CF0B4E8" w14:textId="1D00D887" w:rsidR="00D90E62" w:rsidRPr="00FA51B7" w:rsidRDefault="00D90E62" w:rsidP="002373EC">
      <w:pPr>
        <w:pStyle w:val="ListParagraph"/>
        <w:numPr>
          <w:ilvl w:val="0"/>
          <w:numId w:val="1"/>
        </w:numPr>
        <w:rPr>
          <w:rFonts w:asciiTheme="minorHAnsi" w:hAnsiTheme="minorHAnsi" w:cstheme="minorHAnsi"/>
        </w:rPr>
      </w:pPr>
      <w:r w:rsidRPr="00FA51B7">
        <w:rPr>
          <w:rFonts w:asciiTheme="minorHAnsi" w:hAnsiTheme="minorHAnsi" w:cstheme="minorHAnsi"/>
        </w:rPr>
        <w:t xml:space="preserve">Information which is material to assessment of a provider’s financial viability </w:t>
      </w:r>
      <w:r w:rsidR="00FF1015" w:rsidRPr="00FA51B7">
        <w:rPr>
          <w:rFonts w:asciiTheme="minorHAnsi" w:hAnsiTheme="minorHAnsi" w:cstheme="minorHAnsi"/>
        </w:rPr>
        <w:t xml:space="preserve">includes </w:t>
      </w:r>
      <w:r w:rsidR="003B7671" w:rsidRPr="00FA51B7">
        <w:rPr>
          <w:rFonts w:asciiTheme="minorHAnsi" w:hAnsiTheme="minorHAnsi" w:cstheme="minorHAnsi"/>
        </w:rPr>
        <w:t xml:space="preserve">information about </w:t>
      </w:r>
      <w:r w:rsidR="00FF1015" w:rsidRPr="00FA51B7">
        <w:rPr>
          <w:rFonts w:asciiTheme="minorHAnsi" w:hAnsiTheme="minorHAnsi" w:cstheme="minorHAnsi"/>
        </w:rPr>
        <w:t xml:space="preserve">contextual </w:t>
      </w:r>
      <w:r w:rsidRPr="00FA51B7">
        <w:rPr>
          <w:rFonts w:asciiTheme="minorHAnsi" w:hAnsiTheme="minorHAnsi" w:cstheme="minorHAnsi"/>
        </w:rPr>
        <w:t>factor</w:t>
      </w:r>
      <w:r w:rsidR="00FF1015" w:rsidRPr="00FA51B7">
        <w:rPr>
          <w:rFonts w:asciiTheme="minorHAnsi" w:hAnsiTheme="minorHAnsi" w:cstheme="minorHAnsi"/>
        </w:rPr>
        <w:t xml:space="preserve">s which may not be noted within </w:t>
      </w:r>
      <w:r w:rsidR="003B7671" w:rsidRPr="00FA51B7">
        <w:rPr>
          <w:rFonts w:asciiTheme="minorHAnsi" w:hAnsiTheme="minorHAnsi" w:cstheme="minorHAnsi"/>
        </w:rPr>
        <w:t>general purpose financial statements</w:t>
      </w:r>
      <w:r w:rsidR="00FF1015" w:rsidRPr="00FA51B7">
        <w:rPr>
          <w:rFonts w:asciiTheme="minorHAnsi" w:hAnsiTheme="minorHAnsi" w:cstheme="minorHAnsi"/>
        </w:rPr>
        <w:t xml:space="preserve">. </w:t>
      </w:r>
      <w:r w:rsidR="003B7671" w:rsidRPr="00FA51B7">
        <w:rPr>
          <w:rFonts w:asciiTheme="minorHAnsi" w:hAnsiTheme="minorHAnsi" w:cstheme="minorHAnsi"/>
        </w:rPr>
        <w:t>This</w:t>
      </w:r>
      <w:r w:rsidR="00FF1015" w:rsidRPr="00FA51B7">
        <w:rPr>
          <w:rFonts w:asciiTheme="minorHAnsi" w:hAnsiTheme="minorHAnsi" w:cstheme="minorHAnsi"/>
        </w:rPr>
        <w:t xml:space="preserve"> may</w:t>
      </w:r>
      <w:r w:rsidRPr="00FA51B7">
        <w:rPr>
          <w:rFonts w:asciiTheme="minorHAnsi" w:hAnsiTheme="minorHAnsi" w:cstheme="minorHAnsi"/>
        </w:rPr>
        <w:t xml:space="preserve"> includ</w:t>
      </w:r>
      <w:r w:rsidR="00FF1015" w:rsidRPr="00FA51B7">
        <w:rPr>
          <w:rFonts w:asciiTheme="minorHAnsi" w:hAnsiTheme="minorHAnsi" w:cstheme="minorHAnsi"/>
        </w:rPr>
        <w:t>e</w:t>
      </w:r>
      <w:r w:rsidRPr="00FA51B7">
        <w:rPr>
          <w:rFonts w:asciiTheme="minorHAnsi" w:hAnsiTheme="minorHAnsi" w:cstheme="minorHAnsi"/>
        </w:rPr>
        <w:t>, but</w:t>
      </w:r>
      <w:r w:rsidR="00FF1015" w:rsidRPr="00FA51B7">
        <w:rPr>
          <w:rFonts w:asciiTheme="minorHAnsi" w:hAnsiTheme="minorHAnsi" w:cstheme="minorHAnsi"/>
        </w:rPr>
        <w:t xml:space="preserve"> </w:t>
      </w:r>
      <w:r w:rsidR="003B7671" w:rsidRPr="00FA51B7">
        <w:rPr>
          <w:rFonts w:asciiTheme="minorHAnsi" w:hAnsiTheme="minorHAnsi" w:cstheme="minorHAnsi"/>
        </w:rPr>
        <w:t xml:space="preserve">is </w:t>
      </w:r>
      <w:r w:rsidRPr="00FA51B7">
        <w:rPr>
          <w:rFonts w:asciiTheme="minorHAnsi" w:hAnsiTheme="minorHAnsi" w:cstheme="minorHAnsi"/>
        </w:rPr>
        <w:t>not limited to</w:t>
      </w:r>
      <w:r w:rsidR="003B7671" w:rsidRPr="00FA51B7">
        <w:rPr>
          <w:rFonts w:asciiTheme="minorHAnsi" w:hAnsiTheme="minorHAnsi" w:cstheme="minorHAnsi"/>
        </w:rPr>
        <w:t>, information about</w:t>
      </w:r>
      <w:r w:rsidRPr="00FA51B7">
        <w:rPr>
          <w:rFonts w:asciiTheme="minorHAnsi" w:hAnsiTheme="minorHAnsi" w:cstheme="minorHAnsi"/>
        </w:rPr>
        <w:t>:</w:t>
      </w:r>
    </w:p>
    <w:p w14:paraId="4F9E9EA1" w14:textId="7957FA4A" w:rsidR="00D90E62" w:rsidRPr="00FA51B7" w:rsidRDefault="00D90E62" w:rsidP="0053143C">
      <w:pPr>
        <w:pStyle w:val="ListParagraph"/>
        <w:numPr>
          <w:ilvl w:val="0"/>
          <w:numId w:val="18"/>
        </w:numPr>
        <w:rPr>
          <w:rFonts w:asciiTheme="minorHAnsi" w:hAnsiTheme="minorHAnsi" w:cstheme="minorHAnsi"/>
        </w:rPr>
      </w:pPr>
      <w:r w:rsidRPr="00FA51B7">
        <w:rPr>
          <w:rFonts w:asciiTheme="minorHAnsi" w:hAnsiTheme="minorHAnsi" w:cstheme="minorHAnsi"/>
        </w:rPr>
        <w:lastRenderedPageBreak/>
        <w:t xml:space="preserve">the provider’s ability to meet all liabilities </w:t>
      </w:r>
      <w:proofErr w:type="gramStart"/>
      <w:r w:rsidRPr="00FA51B7">
        <w:rPr>
          <w:rFonts w:asciiTheme="minorHAnsi" w:hAnsiTheme="minorHAnsi" w:cstheme="minorHAnsi"/>
        </w:rPr>
        <w:t>payable</w:t>
      </w:r>
      <w:r w:rsidR="002B4FD7" w:rsidRPr="00FA51B7">
        <w:rPr>
          <w:rFonts w:asciiTheme="minorHAnsi" w:hAnsiTheme="minorHAnsi" w:cstheme="minorHAnsi"/>
        </w:rPr>
        <w:t>;</w:t>
      </w:r>
      <w:proofErr w:type="gramEnd"/>
    </w:p>
    <w:p w14:paraId="3A6CCE37" w14:textId="3F29E14B" w:rsidR="00D90E62" w:rsidRPr="00FA51B7" w:rsidRDefault="00D90E62" w:rsidP="0053143C">
      <w:pPr>
        <w:pStyle w:val="ListParagraph"/>
        <w:numPr>
          <w:ilvl w:val="0"/>
          <w:numId w:val="18"/>
        </w:numPr>
        <w:rPr>
          <w:rFonts w:asciiTheme="minorHAnsi" w:hAnsiTheme="minorHAnsi" w:cstheme="minorHAnsi"/>
        </w:rPr>
      </w:pPr>
      <w:r w:rsidRPr="00FA51B7">
        <w:rPr>
          <w:rFonts w:asciiTheme="minorHAnsi" w:hAnsiTheme="minorHAnsi" w:cstheme="minorHAnsi"/>
        </w:rPr>
        <w:t xml:space="preserve">the existence </w:t>
      </w:r>
      <w:r w:rsidR="003B7671" w:rsidRPr="00FA51B7">
        <w:rPr>
          <w:rFonts w:asciiTheme="minorHAnsi" w:hAnsiTheme="minorHAnsi" w:cstheme="minorHAnsi"/>
        </w:rPr>
        <w:t xml:space="preserve">of </w:t>
      </w:r>
      <w:r w:rsidRPr="00FA51B7">
        <w:rPr>
          <w:rFonts w:asciiTheme="minorHAnsi" w:hAnsiTheme="minorHAnsi" w:cstheme="minorHAnsi"/>
        </w:rPr>
        <w:t xml:space="preserve">debt guarantees from parent </w:t>
      </w:r>
      <w:proofErr w:type="gramStart"/>
      <w:r w:rsidRPr="00FA51B7">
        <w:rPr>
          <w:rFonts w:asciiTheme="minorHAnsi" w:hAnsiTheme="minorHAnsi" w:cstheme="minorHAnsi"/>
        </w:rPr>
        <w:t>entities</w:t>
      </w:r>
      <w:r w:rsidR="002B4FD7" w:rsidRPr="00FA51B7">
        <w:rPr>
          <w:rFonts w:asciiTheme="minorHAnsi" w:hAnsiTheme="minorHAnsi" w:cstheme="minorHAnsi"/>
        </w:rPr>
        <w:t>;</w:t>
      </w:r>
      <w:proofErr w:type="gramEnd"/>
    </w:p>
    <w:p w14:paraId="185833C6" w14:textId="44B4D030" w:rsidR="00D90E62" w:rsidRPr="00FA51B7" w:rsidRDefault="00D90E62" w:rsidP="0053143C">
      <w:pPr>
        <w:pStyle w:val="ListParagraph"/>
        <w:numPr>
          <w:ilvl w:val="0"/>
          <w:numId w:val="18"/>
        </w:numPr>
        <w:rPr>
          <w:rFonts w:asciiTheme="minorHAnsi" w:hAnsiTheme="minorHAnsi" w:cstheme="minorHAnsi"/>
        </w:rPr>
      </w:pPr>
      <w:r w:rsidRPr="00FA51B7">
        <w:rPr>
          <w:rFonts w:asciiTheme="minorHAnsi" w:hAnsiTheme="minorHAnsi" w:cstheme="minorHAnsi"/>
        </w:rPr>
        <w:t xml:space="preserve">movement in holdings of child care </w:t>
      </w:r>
      <w:proofErr w:type="gramStart"/>
      <w:r w:rsidRPr="00FA51B7">
        <w:rPr>
          <w:rFonts w:asciiTheme="minorHAnsi" w:hAnsiTheme="minorHAnsi" w:cstheme="minorHAnsi"/>
        </w:rPr>
        <w:t>services</w:t>
      </w:r>
      <w:r w:rsidR="002B4FD7" w:rsidRPr="00FA51B7">
        <w:rPr>
          <w:rFonts w:asciiTheme="minorHAnsi" w:hAnsiTheme="minorHAnsi" w:cstheme="minorHAnsi"/>
        </w:rPr>
        <w:t>;</w:t>
      </w:r>
      <w:proofErr w:type="gramEnd"/>
    </w:p>
    <w:p w14:paraId="6A23DA8B" w14:textId="67A3A863" w:rsidR="00D90E62" w:rsidRPr="00FA51B7" w:rsidRDefault="00D90E62" w:rsidP="0053143C">
      <w:pPr>
        <w:pStyle w:val="ListParagraph"/>
        <w:numPr>
          <w:ilvl w:val="0"/>
          <w:numId w:val="18"/>
        </w:numPr>
        <w:rPr>
          <w:rFonts w:asciiTheme="minorHAnsi" w:hAnsiTheme="minorHAnsi" w:cstheme="minorHAnsi"/>
        </w:rPr>
      </w:pPr>
      <w:r w:rsidRPr="00FA51B7">
        <w:rPr>
          <w:rFonts w:asciiTheme="minorHAnsi" w:hAnsiTheme="minorHAnsi" w:cstheme="minorHAnsi"/>
        </w:rPr>
        <w:t>impacts of events outside the provider’s control</w:t>
      </w:r>
      <w:r w:rsidR="00FF1015" w:rsidRPr="00FA51B7">
        <w:rPr>
          <w:rFonts w:asciiTheme="minorHAnsi" w:hAnsiTheme="minorHAnsi" w:cstheme="minorHAnsi"/>
        </w:rPr>
        <w:t xml:space="preserve">, such as weather events, pandemic or industrial </w:t>
      </w:r>
      <w:proofErr w:type="gramStart"/>
      <w:r w:rsidR="00FF1015" w:rsidRPr="00FA51B7">
        <w:rPr>
          <w:rFonts w:asciiTheme="minorHAnsi" w:hAnsiTheme="minorHAnsi" w:cstheme="minorHAnsi"/>
        </w:rPr>
        <w:t>action</w:t>
      </w:r>
      <w:r w:rsidR="002B4FD7" w:rsidRPr="00FA51B7">
        <w:rPr>
          <w:rFonts w:asciiTheme="minorHAnsi" w:hAnsiTheme="minorHAnsi" w:cstheme="minorHAnsi"/>
        </w:rPr>
        <w:t>;</w:t>
      </w:r>
      <w:proofErr w:type="gramEnd"/>
    </w:p>
    <w:p w14:paraId="4EA24B45" w14:textId="0C7FCDD6" w:rsidR="00D90E62" w:rsidRPr="00FA51B7" w:rsidRDefault="003B7671" w:rsidP="0053143C">
      <w:pPr>
        <w:pStyle w:val="ListParagraph"/>
        <w:numPr>
          <w:ilvl w:val="0"/>
          <w:numId w:val="18"/>
        </w:numPr>
        <w:rPr>
          <w:rFonts w:asciiTheme="minorHAnsi" w:hAnsiTheme="minorHAnsi" w:cstheme="minorHAnsi"/>
        </w:rPr>
      </w:pPr>
      <w:r w:rsidRPr="00FA51B7">
        <w:rPr>
          <w:rFonts w:asciiTheme="minorHAnsi" w:hAnsiTheme="minorHAnsi" w:cstheme="minorHAnsi"/>
        </w:rPr>
        <w:t>other</w:t>
      </w:r>
      <w:r w:rsidR="00D90E62" w:rsidRPr="00FA51B7">
        <w:rPr>
          <w:rFonts w:asciiTheme="minorHAnsi" w:hAnsiTheme="minorHAnsi" w:cstheme="minorHAnsi"/>
        </w:rPr>
        <w:t xml:space="preserve"> forms of business support to ensure business </w:t>
      </w:r>
      <w:proofErr w:type="gramStart"/>
      <w:r w:rsidR="00D90E62" w:rsidRPr="00FA51B7">
        <w:rPr>
          <w:rFonts w:asciiTheme="minorHAnsi" w:hAnsiTheme="minorHAnsi" w:cstheme="minorHAnsi"/>
        </w:rPr>
        <w:t>continuity</w:t>
      </w:r>
      <w:r w:rsidR="002B4FD7" w:rsidRPr="00FA51B7">
        <w:rPr>
          <w:rFonts w:asciiTheme="minorHAnsi" w:hAnsiTheme="minorHAnsi" w:cstheme="minorHAnsi"/>
        </w:rPr>
        <w:t>;</w:t>
      </w:r>
      <w:proofErr w:type="gramEnd"/>
    </w:p>
    <w:p w14:paraId="66BF2B30" w14:textId="1E08457D" w:rsidR="00701BBA" w:rsidRPr="00FA51B7" w:rsidRDefault="00701BBA" w:rsidP="0053143C">
      <w:pPr>
        <w:pStyle w:val="ListParagraph"/>
        <w:numPr>
          <w:ilvl w:val="0"/>
          <w:numId w:val="18"/>
        </w:numPr>
        <w:rPr>
          <w:rFonts w:asciiTheme="minorHAnsi" w:hAnsiTheme="minorHAnsi" w:cstheme="minorHAnsi"/>
        </w:rPr>
      </w:pPr>
      <w:r w:rsidRPr="00FA51B7">
        <w:rPr>
          <w:rFonts w:asciiTheme="minorHAnsi" w:hAnsiTheme="minorHAnsi" w:cstheme="minorHAnsi"/>
        </w:rPr>
        <w:t>changes in operating environment, such as regulatory changes</w:t>
      </w:r>
      <w:r w:rsidR="00C5394B" w:rsidRPr="00FA51B7">
        <w:rPr>
          <w:rFonts w:asciiTheme="minorHAnsi" w:hAnsiTheme="minorHAnsi" w:cstheme="minorHAnsi"/>
        </w:rPr>
        <w:t>,</w:t>
      </w:r>
      <w:r w:rsidRPr="00FA51B7">
        <w:rPr>
          <w:rFonts w:asciiTheme="minorHAnsi" w:hAnsiTheme="minorHAnsi" w:cstheme="minorHAnsi"/>
        </w:rPr>
        <w:t xml:space="preserve"> changes in demand or other </w:t>
      </w:r>
      <w:r w:rsidR="00C5394B" w:rsidRPr="00FA51B7">
        <w:rPr>
          <w:rFonts w:asciiTheme="minorHAnsi" w:hAnsiTheme="minorHAnsi" w:cstheme="minorHAnsi"/>
        </w:rPr>
        <w:t>significant changes</w:t>
      </w:r>
      <w:r w:rsidRPr="00FA51B7">
        <w:rPr>
          <w:rFonts w:asciiTheme="minorHAnsi" w:hAnsiTheme="minorHAnsi" w:cstheme="minorHAnsi"/>
        </w:rPr>
        <w:t xml:space="preserve"> in markets where services are being </w:t>
      </w:r>
      <w:proofErr w:type="gramStart"/>
      <w:r w:rsidRPr="00FA51B7">
        <w:rPr>
          <w:rFonts w:asciiTheme="minorHAnsi" w:hAnsiTheme="minorHAnsi" w:cstheme="minorHAnsi"/>
        </w:rPr>
        <w:t>provided</w:t>
      </w:r>
      <w:r w:rsidR="002B4FD7" w:rsidRPr="00FA51B7">
        <w:rPr>
          <w:rFonts w:asciiTheme="minorHAnsi" w:hAnsiTheme="minorHAnsi" w:cstheme="minorHAnsi"/>
        </w:rPr>
        <w:t>;</w:t>
      </w:r>
      <w:proofErr w:type="gramEnd"/>
      <w:r w:rsidRPr="00FA51B7">
        <w:rPr>
          <w:rFonts w:asciiTheme="minorHAnsi" w:hAnsiTheme="minorHAnsi" w:cstheme="minorHAnsi"/>
        </w:rPr>
        <w:t xml:space="preserve"> </w:t>
      </w:r>
    </w:p>
    <w:p w14:paraId="4EE8CED7" w14:textId="6B0A6B15" w:rsidR="00701BBA" w:rsidRPr="00FA51B7" w:rsidRDefault="00701BBA" w:rsidP="0053143C">
      <w:pPr>
        <w:pStyle w:val="ListParagraph"/>
        <w:numPr>
          <w:ilvl w:val="0"/>
          <w:numId w:val="18"/>
        </w:numPr>
        <w:rPr>
          <w:rFonts w:asciiTheme="minorHAnsi" w:hAnsiTheme="minorHAnsi" w:cstheme="minorHAnsi"/>
        </w:rPr>
      </w:pPr>
      <w:r w:rsidRPr="00FA51B7">
        <w:rPr>
          <w:rFonts w:asciiTheme="minorHAnsi" w:hAnsiTheme="minorHAnsi" w:cstheme="minorHAnsi"/>
        </w:rPr>
        <w:t>strategies implemented</w:t>
      </w:r>
      <w:r w:rsidR="00C5394B" w:rsidRPr="00FA51B7">
        <w:rPr>
          <w:rFonts w:asciiTheme="minorHAnsi" w:hAnsiTheme="minorHAnsi" w:cstheme="minorHAnsi"/>
        </w:rPr>
        <w:t xml:space="preserve"> by the provider</w:t>
      </w:r>
      <w:r w:rsidRPr="00FA51B7">
        <w:rPr>
          <w:rFonts w:asciiTheme="minorHAnsi" w:hAnsiTheme="minorHAnsi" w:cstheme="minorHAnsi"/>
        </w:rPr>
        <w:t xml:space="preserve"> to maintain or improve the provider</w:t>
      </w:r>
      <w:r w:rsidR="00C5394B" w:rsidRPr="00FA51B7">
        <w:rPr>
          <w:rFonts w:asciiTheme="minorHAnsi" w:hAnsiTheme="minorHAnsi" w:cstheme="minorHAnsi"/>
        </w:rPr>
        <w:t>’</w:t>
      </w:r>
      <w:r w:rsidRPr="00FA51B7">
        <w:rPr>
          <w:rFonts w:asciiTheme="minorHAnsi" w:hAnsiTheme="minorHAnsi" w:cstheme="minorHAnsi"/>
        </w:rPr>
        <w:t>s financial position</w:t>
      </w:r>
      <w:r w:rsidR="00C5394B" w:rsidRPr="00FA51B7">
        <w:rPr>
          <w:rFonts w:asciiTheme="minorHAnsi" w:hAnsiTheme="minorHAnsi" w:cstheme="minorHAnsi"/>
        </w:rPr>
        <w:t>. F</w:t>
      </w:r>
      <w:r w:rsidRPr="00FA51B7">
        <w:rPr>
          <w:rFonts w:asciiTheme="minorHAnsi" w:hAnsiTheme="minorHAnsi" w:cstheme="minorHAnsi"/>
        </w:rPr>
        <w:t>or example, raising further capital from investors, or the sale of services or other assets.</w:t>
      </w:r>
    </w:p>
    <w:p w14:paraId="3CD13B54" w14:textId="1E627059" w:rsidR="00CF098D" w:rsidRPr="00FA51B7" w:rsidRDefault="0053143C" w:rsidP="00CE3CEA">
      <w:pPr>
        <w:pStyle w:val="ListParagraph"/>
        <w:numPr>
          <w:ilvl w:val="0"/>
          <w:numId w:val="1"/>
        </w:numPr>
        <w:rPr>
          <w:rFonts w:asciiTheme="minorHAnsi" w:hAnsiTheme="minorHAnsi" w:cstheme="minorHAnsi"/>
        </w:rPr>
      </w:pPr>
      <w:r w:rsidRPr="00FA51B7">
        <w:rPr>
          <w:rFonts w:asciiTheme="minorHAnsi" w:hAnsiTheme="minorHAnsi" w:cstheme="minorHAnsi"/>
        </w:rPr>
        <w:t>New subsection 54</w:t>
      </w:r>
      <w:proofErr w:type="gramStart"/>
      <w:r w:rsidRPr="00FA51B7">
        <w:rPr>
          <w:rFonts w:asciiTheme="minorHAnsi" w:hAnsiTheme="minorHAnsi" w:cstheme="minorHAnsi"/>
        </w:rPr>
        <w:t>AA(</w:t>
      </w:r>
      <w:proofErr w:type="gramEnd"/>
      <w:r w:rsidRPr="00FA51B7">
        <w:rPr>
          <w:rFonts w:asciiTheme="minorHAnsi" w:hAnsiTheme="minorHAnsi" w:cstheme="minorHAnsi"/>
        </w:rPr>
        <w:t>2) provides the relevant period to which the required financial information relates. The period depends on whether the large child care provider produces annual financial reports for the financial year or for the calendar year. For providers that produce annual financial reports for the financial year, the period is the financial year. For providers that produce annual financial reports for the calendar year, the period is the calendar year.</w:t>
      </w:r>
    </w:p>
    <w:sectPr w:rsidR="00CF098D" w:rsidRPr="00FA51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4944" w14:textId="77777777" w:rsidR="009A01C4" w:rsidRDefault="009A01C4" w:rsidP="00783FAB">
      <w:pPr>
        <w:spacing w:after="0" w:line="240" w:lineRule="auto"/>
      </w:pPr>
      <w:r>
        <w:separator/>
      </w:r>
    </w:p>
  </w:endnote>
  <w:endnote w:type="continuationSeparator" w:id="0">
    <w:p w14:paraId="1239CA0A" w14:textId="77777777" w:rsidR="009A01C4" w:rsidRDefault="009A01C4" w:rsidP="00783FAB">
      <w:pPr>
        <w:spacing w:after="0" w:line="240" w:lineRule="auto"/>
      </w:pPr>
      <w:r>
        <w:continuationSeparator/>
      </w:r>
    </w:p>
  </w:endnote>
  <w:endnote w:type="continuationNotice" w:id="1">
    <w:p w14:paraId="3BA8F532" w14:textId="77777777" w:rsidR="009A01C4" w:rsidRDefault="009A0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61E6" w14:textId="77777777" w:rsidR="009A01C4" w:rsidRDefault="009A01C4" w:rsidP="00783FAB">
      <w:pPr>
        <w:spacing w:after="0" w:line="240" w:lineRule="auto"/>
      </w:pPr>
      <w:r>
        <w:separator/>
      </w:r>
    </w:p>
  </w:footnote>
  <w:footnote w:type="continuationSeparator" w:id="0">
    <w:p w14:paraId="476C3DE0" w14:textId="77777777" w:rsidR="009A01C4" w:rsidRDefault="009A01C4" w:rsidP="00783FAB">
      <w:pPr>
        <w:spacing w:after="0" w:line="240" w:lineRule="auto"/>
      </w:pPr>
      <w:r>
        <w:continuationSeparator/>
      </w:r>
    </w:p>
  </w:footnote>
  <w:footnote w:type="continuationNotice" w:id="1">
    <w:p w14:paraId="5DFE5D7B" w14:textId="77777777" w:rsidR="009A01C4" w:rsidRDefault="009A01C4">
      <w:pPr>
        <w:spacing w:after="0" w:line="240" w:lineRule="auto"/>
      </w:pPr>
    </w:p>
  </w:footnote>
  <w:footnote w:id="2">
    <w:p w14:paraId="1B0241AC" w14:textId="3774A1E9" w:rsidR="00330CD9" w:rsidRPr="000F6381" w:rsidRDefault="00330CD9">
      <w:pPr>
        <w:pStyle w:val="FootnoteText"/>
        <w:rPr>
          <w:rFonts w:asciiTheme="minorHAnsi" w:hAnsiTheme="minorHAnsi" w:cstheme="minorHAnsi"/>
          <w:lang w:val="en-AU"/>
        </w:rPr>
      </w:pPr>
      <w:r w:rsidRPr="000F6381">
        <w:rPr>
          <w:rStyle w:val="FootnoteReference"/>
          <w:rFonts w:asciiTheme="minorHAnsi" w:hAnsiTheme="minorHAnsi" w:cstheme="minorHAnsi"/>
        </w:rPr>
        <w:footnoteRef/>
      </w:r>
      <w:r w:rsidRPr="000F6381">
        <w:rPr>
          <w:rFonts w:asciiTheme="minorHAnsi" w:hAnsiTheme="minorHAnsi" w:cstheme="minorHAnsi"/>
        </w:rPr>
        <w:t xml:space="preserve"> </w:t>
      </w:r>
      <w:r w:rsidRPr="000F6381">
        <w:rPr>
          <w:rFonts w:asciiTheme="minorHAnsi" w:hAnsiTheme="minorHAnsi" w:cstheme="minorHAnsi"/>
          <w:lang w:val="en-US"/>
        </w:rPr>
        <w:t>Committee on the Elimination of Discrimination Against Women, General Recommendation No. 19 (11</w:t>
      </w:r>
      <w:r w:rsidRPr="000F6381">
        <w:rPr>
          <w:rFonts w:asciiTheme="minorHAnsi" w:hAnsiTheme="minorHAnsi" w:cstheme="minorHAnsi"/>
          <w:vertAlign w:val="superscript"/>
          <w:lang w:val="en-US"/>
        </w:rPr>
        <w:t>th</w:t>
      </w:r>
      <w:r w:rsidRPr="000F6381">
        <w:rPr>
          <w:rFonts w:asciiTheme="minorHAnsi" w:hAnsiTheme="minorHAnsi" w:cstheme="minorHAnsi"/>
          <w:lang w:val="en-US"/>
        </w:rPr>
        <w:t xml:space="preserve"> Session, 1992).</w:t>
      </w:r>
    </w:p>
  </w:footnote>
  <w:footnote w:id="3">
    <w:p w14:paraId="22746C09" w14:textId="7D3AB2EC" w:rsidR="00330CD9" w:rsidRPr="00330CD9" w:rsidRDefault="00330CD9">
      <w:pPr>
        <w:pStyle w:val="FootnoteText"/>
        <w:rPr>
          <w:lang w:val="en-AU"/>
        </w:rPr>
      </w:pPr>
      <w:r w:rsidRPr="000F6381">
        <w:rPr>
          <w:rStyle w:val="FootnoteReference"/>
          <w:rFonts w:asciiTheme="minorHAnsi" w:hAnsiTheme="minorHAnsi" w:cstheme="minorHAnsi"/>
        </w:rPr>
        <w:footnoteRef/>
      </w:r>
      <w:r w:rsidRPr="000F6381">
        <w:rPr>
          <w:rFonts w:asciiTheme="minorHAnsi" w:hAnsiTheme="minorHAnsi" w:cstheme="minorHAnsi"/>
        </w:rPr>
        <w:t xml:space="preserve">  </w:t>
      </w:r>
      <w:r w:rsidRPr="000F6381">
        <w:rPr>
          <w:rFonts w:asciiTheme="minorHAnsi" w:hAnsiTheme="minorHAnsi" w:cstheme="minorHAnsi"/>
          <w:i/>
          <w:lang w:val="en-US"/>
        </w:rPr>
        <w:t xml:space="preserve">4 yearly review of modern awards – Family and Domestic Violence Leave </w:t>
      </w:r>
      <w:r w:rsidRPr="000F6381">
        <w:rPr>
          <w:rFonts w:asciiTheme="minorHAnsi" w:hAnsiTheme="minorHAnsi" w:cstheme="minorHAnsi"/>
          <w:lang w:val="en-US"/>
        </w:rPr>
        <w:t>[2018] FWCFB 1691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3A47"/>
    <w:multiLevelType w:val="hybridMultilevel"/>
    <w:tmpl w:val="91284334"/>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0121F"/>
    <w:multiLevelType w:val="hybridMultilevel"/>
    <w:tmpl w:val="5B08B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24AE7332"/>
    <w:lvl w:ilvl="0" w:tplc="C71E6152">
      <w:start w:val="1"/>
      <w:numFmt w:val="decimal"/>
      <w:suff w:val="space"/>
      <w:lvlText w:val="%1."/>
      <w:lvlJc w:val="left"/>
      <w:pPr>
        <w:ind w:left="720" w:hanging="360"/>
      </w:pPr>
      <w:rPr>
        <w:rFonts w:asciiTheme="minorHAnsi" w:hAnsiTheme="minorHAnsi" w:cstheme="minorHAnsi"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F246E"/>
    <w:multiLevelType w:val="hybridMultilevel"/>
    <w:tmpl w:val="B3B6C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9251A7"/>
    <w:multiLevelType w:val="hybridMultilevel"/>
    <w:tmpl w:val="6422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727F8"/>
    <w:multiLevelType w:val="hybridMultilevel"/>
    <w:tmpl w:val="C2D0269E"/>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D2639C"/>
    <w:multiLevelType w:val="hybridMultilevel"/>
    <w:tmpl w:val="E2824D20"/>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DDD5A82"/>
    <w:multiLevelType w:val="hybridMultilevel"/>
    <w:tmpl w:val="B442F92C"/>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7F4067B"/>
    <w:multiLevelType w:val="hybridMultilevel"/>
    <w:tmpl w:val="45764FA8"/>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A6159E"/>
    <w:multiLevelType w:val="hybridMultilevel"/>
    <w:tmpl w:val="91284334"/>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416F60"/>
    <w:multiLevelType w:val="hybridMultilevel"/>
    <w:tmpl w:val="45764FA8"/>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1837C1"/>
    <w:multiLevelType w:val="hybridMultilevel"/>
    <w:tmpl w:val="5DAE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F41E5C"/>
    <w:multiLevelType w:val="hybridMultilevel"/>
    <w:tmpl w:val="F0F80D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10F2A58"/>
    <w:multiLevelType w:val="hybridMultilevel"/>
    <w:tmpl w:val="6DE0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37A3D"/>
    <w:multiLevelType w:val="hybridMultilevel"/>
    <w:tmpl w:val="B5F62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E456B84"/>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A93CEF"/>
    <w:multiLevelType w:val="hybridMultilevel"/>
    <w:tmpl w:val="9FA4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958124">
    <w:abstractNumId w:val="2"/>
  </w:num>
  <w:num w:numId="2" w16cid:durableId="2050490604">
    <w:abstractNumId w:val="17"/>
  </w:num>
  <w:num w:numId="3" w16cid:durableId="1393653007">
    <w:abstractNumId w:val="3"/>
  </w:num>
  <w:num w:numId="4" w16cid:durableId="360324930">
    <w:abstractNumId w:val="14"/>
  </w:num>
  <w:num w:numId="5" w16cid:durableId="1294603706">
    <w:abstractNumId w:val="12"/>
  </w:num>
  <w:num w:numId="6" w16cid:durableId="27683504">
    <w:abstractNumId w:val="16"/>
  </w:num>
  <w:num w:numId="7" w16cid:durableId="1943143229">
    <w:abstractNumId w:val="10"/>
  </w:num>
  <w:num w:numId="8" w16cid:durableId="1734086697">
    <w:abstractNumId w:val="0"/>
  </w:num>
  <w:num w:numId="9" w16cid:durableId="460462791">
    <w:abstractNumId w:val="6"/>
  </w:num>
  <w:num w:numId="10" w16cid:durableId="283315573">
    <w:abstractNumId w:val="1"/>
  </w:num>
  <w:num w:numId="11" w16cid:durableId="2133743942">
    <w:abstractNumId w:val="5"/>
  </w:num>
  <w:num w:numId="12" w16cid:durableId="258099202">
    <w:abstractNumId w:val="11"/>
  </w:num>
  <w:num w:numId="13" w16cid:durableId="1541624541">
    <w:abstractNumId w:val="9"/>
  </w:num>
  <w:num w:numId="14" w16cid:durableId="1011689524">
    <w:abstractNumId w:val="15"/>
  </w:num>
  <w:num w:numId="15" w16cid:durableId="879436634">
    <w:abstractNumId w:val="13"/>
  </w:num>
  <w:num w:numId="16" w16cid:durableId="1941445006">
    <w:abstractNumId w:val="4"/>
  </w:num>
  <w:num w:numId="17" w16cid:durableId="1923446387">
    <w:abstractNumId w:val="8"/>
  </w:num>
  <w:num w:numId="18" w16cid:durableId="7224069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6EA"/>
    <w:rsid w:val="00003184"/>
    <w:rsid w:val="000036EB"/>
    <w:rsid w:val="00003739"/>
    <w:rsid w:val="0000395C"/>
    <w:rsid w:val="00005BBB"/>
    <w:rsid w:val="00011E4D"/>
    <w:rsid w:val="000138CF"/>
    <w:rsid w:val="00013AB9"/>
    <w:rsid w:val="000140D5"/>
    <w:rsid w:val="000146FA"/>
    <w:rsid w:val="0001554B"/>
    <w:rsid w:val="00016AFF"/>
    <w:rsid w:val="00017461"/>
    <w:rsid w:val="00017F54"/>
    <w:rsid w:val="000204A4"/>
    <w:rsid w:val="0002764C"/>
    <w:rsid w:val="000305EA"/>
    <w:rsid w:val="00031DC9"/>
    <w:rsid w:val="00031E3C"/>
    <w:rsid w:val="00032CB3"/>
    <w:rsid w:val="000369A9"/>
    <w:rsid w:val="00036FAE"/>
    <w:rsid w:val="00041D4E"/>
    <w:rsid w:val="00044508"/>
    <w:rsid w:val="00047668"/>
    <w:rsid w:val="00047A2A"/>
    <w:rsid w:val="0005020B"/>
    <w:rsid w:val="0005688C"/>
    <w:rsid w:val="00057815"/>
    <w:rsid w:val="00057A1E"/>
    <w:rsid w:val="000614A1"/>
    <w:rsid w:val="00061E73"/>
    <w:rsid w:val="00062794"/>
    <w:rsid w:val="0006484E"/>
    <w:rsid w:val="000668B0"/>
    <w:rsid w:val="000759F4"/>
    <w:rsid w:val="00076E76"/>
    <w:rsid w:val="00083F41"/>
    <w:rsid w:val="000846B7"/>
    <w:rsid w:val="00084751"/>
    <w:rsid w:val="0008738E"/>
    <w:rsid w:val="000940B0"/>
    <w:rsid w:val="000A2A28"/>
    <w:rsid w:val="000A2D3A"/>
    <w:rsid w:val="000A3124"/>
    <w:rsid w:val="000A35D6"/>
    <w:rsid w:val="000A7375"/>
    <w:rsid w:val="000B1BE1"/>
    <w:rsid w:val="000B3914"/>
    <w:rsid w:val="000B4BD7"/>
    <w:rsid w:val="000B6430"/>
    <w:rsid w:val="000C224C"/>
    <w:rsid w:val="000C310A"/>
    <w:rsid w:val="000C34FD"/>
    <w:rsid w:val="000C482D"/>
    <w:rsid w:val="000C4D6B"/>
    <w:rsid w:val="000D1472"/>
    <w:rsid w:val="000D255F"/>
    <w:rsid w:val="000D5E6D"/>
    <w:rsid w:val="000E344B"/>
    <w:rsid w:val="000E3516"/>
    <w:rsid w:val="000E4C18"/>
    <w:rsid w:val="000E57DB"/>
    <w:rsid w:val="000E6FD6"/>
    <w:rsid w:val="000E7F69"/>
    <w:rsid w:val="000F12C7"/>
    <w:rsid w:val="000F1811"/>
    <w:rsid w:val="000F444B"/>
    <w:rsid w:val="000F6381"/>
    <w:rsid w:val="000F7A8C"/>
    <w:rsid w:val="00103015"/>
    <w:rsid w:val="00103253"/>
    <w:rsid w:val="001042BA"/>
    <w:rsid w:val="00107A9E"/>
    <w:rsid w:val="00120A34"/>
    <w:rsid w:val="00124260"/>
    <w:rsid w:val="00125A8E"/>
    <w:rsid w:val="00125FB9"/>
    <w:rsid w:val="00127CD8"/>
    <w:rsid w:val="001301AD"/>
    <w:rsid w:val="00131480"/>
    <w:rsid w:val="001334D9"/>
    <w:rsid w:val="00135263"/>
    <w:rsid w:val="001377D9"/>
    <w:rsid w:val="00137ACD"/>
    <w:rsid w:val="00137B79"/>
    <w:rsid w:val="00140DAD"/>
    <w:rsid w:val="00140E3D"/>
    <w:rsid w:val="001421FE"/>
    <w:rsid w:val="001437EA"/>
    <w:rsid w:val="00144950"/>
    <w:rsid w:val="00145BE1"/>
    <w:rsid w:val="0015276C"/>
    <w:rsid w:val="00152947"/>
    <w:rsid w:val="00152FA3"/>
    <w:rsid w:val="001545BA"/>
    <w:rsid w:val="0015508C"/>
    <w:rsid w:val="00160153"/>
    <w:rsid w:val="00161A1F"/>
    <w:rsid w:val="0017006A"/>
    <w:rsid w:val="00173A64"/>
    <w:rsid w:val="00173E0C"/>
    <w:rsid w:val="00185491"/>
    <w:rsid w:val="00187975"/>
    <w:rsid w:val="00194B40"/>
    <w:rsid w:val="00195030"/>
    <w:rsid w:val="0019512D"/>
    <w:rsid w:val="00197C3F"/>
    <w:rsid w:val="001A0C57"/>
    <w:rsid w:val="001A2FE9"/>
    <w:rsid w:val="001A4389"/>
    <w:rsid w:val="001A68DF"/>
    <w:rsid w:val="001A6908"/>
    <w:rsid w:val="001B093B"/>
    <w:rsid w:val="001B09AC"/>
    <w:rsid w:val="001B3C7A"/>
    <w:rsid w:val="001B5C7F"/>
    <w:rsid w:val="001B67AE"/>
    <w:rsid w:val="001C04B1"/>
    <w:rsid w:val="001C130A"/>
    <w:rsid w:val="001C37B6"/>
    <w:rsid w:val="001C7AB3"/>
    <w:rsid w:val="001D00E3"/>
    <w:rsid w:val="001D0AF3"/>
    <w:rsid w:val="001D1D8A"/>
    <w:rsid w:val="001D36EE"/>
    <w:rsid w:val="001D384D"/>
    <w:rsid w:val="001E07CE"/>
    <w:rsid w:val="001E23A1"/>
    <w:rsid w:val="001E2E9E"/>
    <w:rsid w:val="001E52EB"/>
    <w:rsid w:val="001E5A0B"/>
    <w:rsid w:val="001F127D"/>
    <w:rsid w:val="001F3626"/>
    <w:rsid w:val="001F7336"/>
    <w:rsid w:val="00200358"/>
    <w:rsid w:val="002005CD"/>
    <w:rsid w:val="00201F75"/>
    <w:rsid w:val="00202EC1"/>
    <w:rsid w:val="00204283"/>
    <w:rsid w:val="00204EEF"/>
    <w:rsid w:val="00205DBD"/>
    <w:rsid w:val="00207297"/>
    <w:rsid w:val="0021016F"/>
    <w:rsid w:val="0021026A"/>
    <w:rsid w:val="0021337D"/>
    <w:rsid w:val="00213D79"/>
    <w:rsid w:val="00214478"/>
    <w:rsid w:val="00216A1C"/>
    <w:rsid w:val="00223F82"/>
    <w:rsid w:val="00224C52"/>
    <w:rsid w:val="00232304"/>
    <w:rsid w:val="002373EC"/>
    <w:rsid w:val="002378EE"/>
    <w:rsid w:val="002445E3"/>
    <w:rsid w:val="00244B1D"/>
    <w:rsid w:val="00247EBF"/>
    <w:rsid w:val="00252902"/>
    <w:rsid w:val="00260E98"/>
    <w:rsid w:val="00261499"/>
    <w:rsid w:val="002672A4"/>
    <w:rsid w:val="00270CB2"/>
    <w:rsid w:val="002747E8"/>
    <w:rsid w:val="00274EEA"/>
    <w:rsid w:val="002759C4"/>
    <w:rsid w:val="0027686D"/>
    <w:rsid w:val="0027780C"/>
    <w:rsid w:val="002808A9"/>
    <w:rsid w:val="002839E7"/>
    <w:rsid w:val="00284C9D"/>
    <w:rsid w:val="00290A5E"/>
    <w:rsid w:val="00290B22"/>
    <w:rsid w:val="00292863"/>
    <w:rsid w:val="00294430"/>
    <w:rsid w:val="00296CA7"/>
    <w:rsid w:val="00296FAF"/>
    <w:rsid w:val="00297EAB"/>
    <w:rsid w:val="002A15F1"/>
    <w:rsid w:val="002A4961"/>
    <w:rsid w:val="002B0218"/>
    <w:rsid w:val="002B313C"/>
    <w:rsid w:val="002B4FD7"/>
    <w:rsid w:val="002B5C28"/>
    <w:rsid w:val="002C1F84"/>
    <w:rsid w:val="002C40FB"/>
    <w:rsid w:val="002D1135"/>
    <w:rsid w:val="002D1504"/>
    <w:rsid w:val="002D564A"/>
    <w:rsid w:val="002E12E6"/>
    <w:rsid w:val="002E1A7A"/>
    <w:rsid w:val="002E54D0"/>
    <w:rsid w:val="002F111B"/>
    <w:rsid w:val="002F76C6"/>
    <w:rsid w:val="00301AEA"/>
    <w:rsid w:val="00302E04"/>
    <w:rsid w:val="00304A88"/>
    <w:rsid w:val="00304E64"/>
    <w:rsid w:val="00307358"/>
    <w:rsid w:val="0031070C"/>
    <w:rsid w:val="00313612"/>
    <w:rsid w:val="00316053"/>
    <w:rsid w:val="003170AC"/>
    <w:rsid w:val="0032350A"/>
    <w:rsid w:val="00326C24"/>
    <w:rsid w:val="0033070E"/>
    <w:rsid w:val="00330CD9"/>
    <w:rsid w:val="00332FC0"/>
    <w:rsid w:val="003440C7"/>
    <w:rsid w:val="00350779"/>
    <w:rsid w:val="00353D81"/>
    <w:rsid w:val="00354302"/>
    <w:rsid w:val="00354743"/>
    <w:rsid w:val="0035581D"/>
    <w:rsid w:val="00363EA6"/>
    <w:rsid w:val="00365D2C"/>
    <w:rsid w:val="00367C2D"/>
    <w:rsid w:val="0037028F"/>
    <w:rsid w:val="003719BF"/>
    <w:rsid w:val="00374C6B"/>
    <w:rsid w:val="00375010"/>
    <w:rsid w:val="0037728A"/>
    <w:rsid w:val="00377427"/>
    <w:rsid w:val="00383375"/>
    <w:rsid w:val="003833E5"/>
    <w:rsid w:val="00384C71"/>
    <w:rsid w:val="00386B68"/>
    <w:rsid w:val="00386E17"/>
    <w:rsid w:val="0038758C"/>
    <w:rsid w:val="003913F1"/>
    <w:rsid w:val="00393A61"/>
    <w:rsid w:val="00394454"/>
    <w:rsid w:val="00395655"/>
    <w:rsid w:val="003A0965"/>
    <w:rsid w:val="003A373E"/>
    <w:rsid w:val="003A3D0E"/>
    <w:rsid w:val="003A4424"/>
    <w:rsid w:val="003A530C"/>
    <w:rsid w:val="003A5841"/>
    <w:rsid w:val="003A6E62"/>
    <w:rsid w:val="003A7B17"/>
    <w:rsid w:val="003B174E"/>
    <w:rsid w:val="003B29B0"/>
    <w:rsid w:val="003B2DA8"/>
    <w:rsid w:val="003B3044"/>
    <w:rsid w:val="003B44D7"/>
    <w:rsid w:val="003B6C2D"/>
    <w:rsid w:val="003B7671"/>
    <w:rsid w:val="003C08E6"/>
    <w:rsid w:val="003C0D20"/>
    <w:rsid w:val="003C16A9"/>
    <w:rsid w:val="003C202D"/>
    <w:rsid w:val="003D47C4"/>
    <w:rsid w:val="003D7CE2"/>
    <w:rsid w:val="003E04D1"/>
    <w:rsid w:val="003E4413"/>
    <w:rsid w:val="003E5B26"/>
    <w:rsid w:val="003F09F7"/>
    <w:rsid w:val="003F1AA1"/>
    <w:rsid w:val="003F24BC"/>
    <w:rsid w:val="003F2C18"/>
    <w:rsid w:val="00402CC7"/>
    <w:rsid w:val="00402D70"/>
    <w:rsid w:val="00403CE4"/>
    <w:rsid w:val="004050C1"/>
    <w:rsid w:val="00406A90"/>
    <w:rsid w:val="004075A3"/>
    <w:rsid w:val="00410A3F"/>
    <w:rsid w:val="0041144F"/>
    <w:rsid w:val="00411483"/>
    <w:rsid w:val="00412ADE"/>
    <w:rsid w:val="004143B1"/>
    <w:rsid w:val="00415A55"/>
    <w:rsid w:val="004228EE"/>
    <w:rsid w:val="0042398F"/>
    <w:rsid w:val="00424E15"/>
    <w:rsid w:val="00425A1E"/>
    <w:rsid w:val="00425FCB"/>
    <w:rsid w:val="00426A90"/>
    <w:rsid w:val="00430F1B"/>
    <w:rsid w:val="004327E1"/>
    <w:rsid w:val="00432A02"/>
    <w:rsid w:val="00434240"/>
    <w:rsid w:val="00434641"/>
    <w:rsid w:val="00434CDD"/>
    <w:rsid w:val="004355D0"/>
    <w:rsid w:val="004355E8"/>
    <w:rsid w:val="00436435"/>
    <w:rsid w:val="00443A56"/>
    <w:rsid w:val="00445460"/>
    <w:rsid w:val="00446B03"/>
    <w:rsid w:val="0044797F"/>
    <w:rsid w:val="00452A80"/>
    <w:rsid w:val="00455C2A"/>
    <w:rsid w:val="00457740"/>
    <w:rsid w:val="00466B9E"/>
    <w:rsid w:val="00470816"/>
    <w:rsid w:val="00472F61"/>
    <w:rsid w:val="00481DE1"/>
    <w:rsid w:val="00481FD6"/>
    <w:rsid w:val="00484DBC"/>
    <w:rsid w:val="004874AA"/>
    <w:rsid w:val="00490BA0"/>
    <w:rsid w:val="004928AB"/>
    <w:rsid w:val="00492AF9"/>
    <w:rsid w:val="00494834"/>
    <w:rsid w:val="0049486C"/>
    <w:rsid w:val="00495CA0"/>
    <w:rsid w:val="004A2F70"/>
    <w:rsid w:val="004A409F"/>
    <w:rsid w:val="004A48D9"/>
    <w:rsid w:val="004A5DF4"/>
    <w:rsid w:val="004A6B2D"/>
    <w:rsid w:val="004A72AB"/>
    <w:rsid w:val="004B0B74"/>
    <w:rsid w:val="004B2C3F"/>
    <w:rsid w:val="004B3D95"/>
    <w:rsid w:val="004C7797"/>
    <w:rsid w:val="004D10A7"/>
    <w:rsid w:val="004D5695"/>
    <w:rsid w:val="004D665B"/>
    <w:rsid w:val="004D7B86"/>
    <w:rsid w:val="004F53E6"/>
    <w:rsid w:val="004F54FF"/>
    <w:rsid w:val="004F56DA"/>
    <w:rsid w:val="00503218"/>
    <w:rsid w:val="00505873"/>
    <w:rsid w:val="00506F28"/>
    <w:rsid w:val="005146EC"/>
    <w:rsid w:val="00515BBE"/>
    <w:rsid w:val="005169CB"/>
    <w:rsid w:val="00517337"/>
    <w:rsid w:val="005173FC"/>
    <w:rsid w:val="005210D4"/>
    <w:rsid w:val="005233E0"/>
    <w:rsid w:val="00524226"/>
    <w:rsid w:val="00527330"/>
    <w:rsid w:val="005306CD"/>
    <w:rsid w:val="0053143C"/>
    <w:rsid w:val="00536596"/>
    <w:rsid w:val="005366FF"/>
    <w:rsid w:val="00537A32"/>
    <w:rsid w:val="00540BDE"/>
    <w:rsid w:val="0054584F"/>
    <w:rsid w:val="0054602B"/>
    <w:rsid w:val="00546375"/>
    <w:rsid w:val="00555B6B"/>
    <w:rsid w:val="005561ED"/>
    <w:rsid w:val="005620CA"/>
    <w:rsid w:val="00563785"/>
    <w:rsid w:val="005708AA"/>
    <w:rsid w:val="00572401"/>
    <w:rsid w:val="005732E6"/>
    <w:rsid w:val="00577C30"/>
    <w:rsid w:val="00580445"/>
    <w:rsid w:val="005812FF"/>
    <w:rsid w:val="005819C8"/>
    <w:rsid w:val="0058422E"/>
    <w:rsid w:val="00584B84"/>
    <w:rsid w:val="00584DC9"/>
    <w:rsid w:val="005865AB"/>
    <w:rsid w:val="005905A0"/>
    <w:rsid w:val="00591EC0"/>
    <w:rsid w:val="00597535"/>
    <w:rsid w:val="005A2764"/>
    <w:rsid w:val="005A366E"/>
    <w:rsid w:val="005A54B4"/>
    <w:rsid w:val="005A7050"/>
    <w:rsid w:val="005A7C01"/>
    <w:rsid w:val="005B3CBC"/>
    <w:rsid w:val="005B510A"/>
    <w:rsid w:val="005B54C9"/>
    <w:rsid w:val="005B62A8"/>
    <w:rsid w:val="005B6394"/>
    <w:rsid w:val="005C0740"/>
    <w:rsid w:val="005C112E"/>
    <w:rsid w:val="005C18D0"/>
    <w:rsid w:val="005C3F4A"/>
    <w:rsid w:val="005C6A7F"/>
    <w:rsid w:val="005C7325"/>
    <w:rsid w:val="005E2026"/>
    <w:rsid w:val="005E79B9"/>
    <w:rsid w:val="005F4914"/>
    <w:rsid w:val="005F57A1"/>
    <w:rsid w:val="005F5DF6"/>
    <w:rsid w:val="005F5FA1"/>
    <w:rsid w:val="005F7D42"/>
    <w:rsid w:val="0060088C"/>
    <w:rsid w:val="00604F05"/>
    <w:rsid w:val="00606022"/>
    <w:rsid w:val="00607437"/>
    <w:rsid w:val="00611D31"/>
    <w:rsid w:val="006202A1"/>
    <w:rsid w:val="0062319E"/>
    <w:rsid w:val="00625432"/>
    <w:rsid w:val="00626E42"/>
    <w:rsid w:val="00627EDA"/>
    <w:rsid w:val="00636200"/>
    <w:rsid w:val="006370B9"/>
    <w:rsid w:val="006401AC"/>
    <w:rsid w:val="00645DC7"/>
    <w:rsid w:val="00646510"/>
    <w:rsid w:val="0064724F"/>
    <w:rsid w:val="006507CB"/>
    <w:rsid w:val="00650FD2"/>
    <w:rsid w:val="00651D68"/>
    <w:rsid w:val="00652D30"/>
    <w:rsid w:val="00656314"/>
    <w:rsid w:val="00661BE8"/>
    <w:rsid w:val="00667B6F"/>
    <w:rsid w:val="00667F82"/>
    <w:rsid w:val="006700AA"/>
    <w:rsid w:val="006708A9"/>
    <w:rsid w:val="00677A0D"/>
    <w:rsid w:val="00683087"/>
    <w:rsid w:val="00685653"/>
    <w:rsid w:val="00686D4C"/>
    <w:rsid w:val="006921FF"/>
    <w:rsid w:val="006930D1"/>
    <w:rsid w:val="006930FD"/>
    <w:rsid w:val="006931AD"/>
    <w:rsid w:val="006940BB"/>
    <w:rsid w:val="00696CF0"/>
    <w:rsid w:val="00697001"/>
    <w:rsid w:val="006974BF"/>
    <w:rsid w:val="006A1581"/>
    <w:rsid w:val="006A1788"/>
    <w:rsid w:val="006A51EB"/>
    <w:rsid w:val="006A57F1"/>
    <w:rsid w:val="006A666D"/>
    <w:rsid w:val="006B1D24"/>
    <w:rsid w:val="006B2D99"/>
    <w:rsid w:val="006B6E38"/>
    <w:rsid w:val="006D3958"/>
    <w:rsid w:val="006D58E2"/>
    <w:rsid w:val="006D7B6B"/>
    <w:rsid w:val="006E3838"/>
    <w:rsid w:val="006E3C40"/>
    <w:rsid w:val="006E7699"/>
    <w:rsid w:val="006E7859"/>
    <w:rsid w:val="006F27AC"/>
    <w:rsid w:val="006F3E5C"/>
    <w:rsid w:val="006F627D"/>
    <w:rsid w:val="00701BBA"/>
    <w:rsid w:val="00701CB8"/>
    <w:rsid w:val="00701E47"/>
    <w:rsid w:val="00703E4A"/>
    <w:rsid w:val="007046FF"/>
    <w:rsid w:val="00707E57"/>
    <w:rsid w:val="00707F49"/>
    <w:rsid w:val="007103B5"/>
    <w:rsid w:val="00711B4E"/>
    <w:rsid w:val="00712FF2"/>
    <w:rsid w:val="007151A8"/>
    <w:rsid w:val="0072020C"/>
    <w:rsid w:val="007213BB"/>
    <w:rsid w:val="007236D6"/>
    <w:rsid w:val="0072758F"/>
    <w:rsid w:val="007314EF"/>
    <w:rsid w:val="0073763E"/>
    <w:rsid w:val="007452A0"/>
    <w:rsid w:val="00745CA6"/>
    <w:rsid w:val="00745FCA"/>
    <w:rsid w:val="00747943"/>
    <w:rsid w:val="00750A42"/>
    <w:rsid w:val="00752BD5"/>
    <w:rsid w:val="00753090"/>
    <w:rsid w:val="0075573F"/>
    <w:rsid w:val="00756861"/>
    <w:rsid w:val="00756C23"/>
    <w:rsid w:val="00756D99"/>
    <w:rsid w:val="00756F20"/>
    <w:rsid w:val="007575E0"/>
    <w:rsid w:val="00760772"/>
    <w:rsid w:val="00760DDE"/>
    <w:rsid w:val="007620AE"/>
    <w:rsid w:val="00772715"/>
    <w:rsid w:val="00774144"/>
    <w:rsid w:val="0077536C"/>
    <w:rsid w:val="0077666E"/>
    <w:rsid w:val="00777138"/>
    <w:rsid w:val="00782538"/>
    <w:rsid w:val="007828DD"/>
    <w:rsid w:val="007831F1"/>
    <w:rsid w:val="00783CCF"/>
    <w:rsid w:val="00783FAB"/>
    <w:rsid w:val="00785B13"/>
    <w:rsid w:val="00791641"/>
    <w:rsid w:val="00791AAC"/>
    <w:rsid w:val="00795969"/>
    <w:rsid w:val="007A3CCE"/>
    <w:rsid w:val="007A6AF0"/>
    <w:rsid w:val="007A6BE3"/>
    <w:rsid w:val="007B3BD3"/>
    <w:rsid w:val="007B44CD"/>
    <w:rsid w:val="007B4836"/>
    <w:rsid w:val="007C3596"/>
    <w:rsid w:val="007C5020"/>
    <w:rsid w:val="007D12B2"/>
    <w:rsid w:val="007D1451"/>
    <w:rsid w:val="007D1F16"/>
    <w:rsid w:val="007D4E08"/>
    <w:rsid w:val="007E00A8"/>
    <w:rsid w:val="007E16D6"/>
    <w:rsid w:val="007E2197"/>
    <w:rsid w:val="007E3446"/>
    <w:rsid w:val="007E3447"/>
    <w:rsid w:val="007E36C3"/>
    <w:rsid w:val="007E36E5"/>
    <w:rsid w:val="007E6EC6"/>
    <w:rsid w:val="007F563E"/>
    <w:rsid w:val="007F5C34"/>
    <w:rsid w:val="00803447"/>
    <w:rsid w:val="008035CF"/>
    <w:rsid w:val="0080510C"/>
    <w:rsid w:val="0080584E"/>
    <w:rsid w:val="00805FEB"/>
    <w:rsid w:val="00810C5C"/>
    <w:rsid w:val="00811E34"/>
    <w:rsid w:val="00812C37"/>
    <w:rsid w:val="008134D5"/>
    <w:rsid w:val="00813A38"/>
    <w:rsid w:val="00823B66"/>
    <w:rsid w:val="00824A98"/>
    <w:rsid w:val="008310AA"/>
    <w:rsid w:val="00833FD8"/>
    <w:rsid w:val="00834114"/>
    <w:rsid w:val="00835AB3"/>
    <w:rsid w:val="00841F42"/>
    <w:rsid w:val="0084237A"/>
    <w:rsid w:val="008426C0"/>
    <w:rsid w:val="00843EA8"/>
    <w:rsid w:val="00844D23"/>
    <w:rsid w:val="00847E7B"/>
    <w:rsid w:val="00850CD6"/>
    <w:rsid w:val="008517D8"/>
    <w:rsid w:val="00854988"/>
    <w:rsid w:val="00855239"/>
    <w:rsid w:val="00856BC4"/>
    <w:rsid w:val="00867101"/>
    <w:rsid w:val="008742A8"/>
    <w:rsid w:val="008755D8"/>
    <w:rsid w:val="0088109C"/>
    <w:rsid w:val="0088497A"/>
    <w:rsid w:val="00890A97"/>
    <w:rsid w:val="00890B5A"/>
    <w:rsid w:val="008932CE"/>
    <w:rsid w:val="00895AED"/>
    <w:rsid w:val="00897E5F"/>
    <w:rsid w:val="008A1F97"/>
    <w:rsid w:val="008A55B2"/>
    <w:rsid w:val="008A6224"/>
    <w:rsid w:val="008B05D7"/>
    <w:rsid w:val="008B478B"/>
    <w:rsid w:val="008B61B7"/>
    <w:rsid w:val="008C48EF"/>
    <w:rsid w:val="008C497B"/>
    <w:rsid w:val="008C5CE9"/>
    <w:rsid w:val="008C76FD"/>
    <w:rsid w:val="008D72EA"/>
    <w:rsid w:val="008D7625"/>
    <w:rsid w:val="008E15D6"/>
    <w:rsid w:val="008E30D6"/>
    <w:rsid w:val="008E30D9"/>
    <w:rsid w:val="008E68D3"/>
    <w:rsid w:val="008E79DF"/>
    <w:rsid w:val="008F002D"/>
    <w:rsid w:val="008F43E8"/>
    <w:rsid w:val="008F6A4D"/>
    <w:rsid w:val="00902A26"/>
    <w:rsid w:val="00903257"/>
    <w:rsid w:val="009048A2"/>
    <w:rsid w:val="00905C61"/>
    <w:rsid w:val="0090680E"/>
    <w:rsid w:val="00907D61"/>
    <w:rsid w:val="00910064"/>
    <w:rsid w:val="009114DC"/>
    <w:rsid w:val="00911D92"/>
    <w:rsid w:val="009121D3"/>
    <w:rsid w:val="009176F5"/>
    <w:rsid w:val="00932D82"/>
    <w:rsid w:val="00933AD6"/>
    <w:rsid w:val="009421AA"/>
    <w:rsid w:val="0094476A"/>
    <w:rsid w:val="0094774B"/>
    <w:rsid w:val="00950644"/>
    <w:rsid w:val="0095280B"/>
    <w:rsid w:val="00970AAB"/>
    <w:rsid w:val="00974504"/>
    <w:rsid w:val="00975A4A"/>
    <w:rsid w:val="00976413"/>
    <w:rsid w:val="009767B4"/>
    <w:rsid w:val="00977D37"/>
    <w:rsid w:val="009807AE"/>
    <w:rsid w:val="00983105"/>
    <w:rsid w:val="009834DF"/>
    <w:rsid w:val="00985B42"/>
    <w:rsid w:val="00990334"/>
    <w:rsid w:val="00991158"/>
    <w:rsid w:val="0099199E"/>
    <w:rsid w:val="00995C44"/>
    <w:rsid w:val="009971FA"/>
    <w:rsid w:val="009A01C4"/>
    <w:rsid w:val="009A04A5"/>
    <w:rsid w:val="009A35A0"/>
    <w:rsid w:val="009A4647"/>
    <w:rsid w:val="009A7CFA"/>
    <w:rsid w:val="009B0C51"/>
    <w:rsid w:val="009B2183"/>
    <w:rsid w:val="009B29AC"/>
    <w:rsid w:val="009B4B7F"/>
    <w:rsid w:val="009B7C3C"/>
    <w:rsid w:val="009C0F35"/>
    <w:rsid w:val="009C10C1"/>
    <w:rsid w:val="009C4F55"/>
    <w:rsid w:val="009C5E5D"/>
    <w:rsid w:val="009D0999"/>
    <w:rsid w:val="009D23FB"/>
    <w:rsid w:val="009D4801"/>
    <w:rsid w:val="009D7562"/>
    <w:rsid w:val="009E0803"/>
    <w:rsid w:val="009E5BCB"/>
    <w:rsid w:val="009E7C1C"/>
    <w:rsid w:val="009F13BF"/>
    <w:rsid w:val="009F1D34"/>
    <w:rsid w:val="009F4C47"/>
    <w:rsid w:val="009F528F"/>
    <w:rsid w:val="009F6AC9"/>
    <w:rsid w:val="00A03017"/>
    <w:rsid w:val="00A05F43"/>
    <w:rsid w:val="00A105DA"/>
    <w:rsid w:val="00A20031"/>
    <w:rsid w:val="00A202D5"/>
    <w:rsid w:val="00A21472"/>
    <w:rsid w:val="00A23CDC"/>
    <w:rsid w:val="00A24596"/>
    <w:rsid w:val="00A24B24"/>
    <w:rsid w:val="00A24F49"/>
    <w:rsid w:val="00A25E6C"/>
    <w:rsid w:val="00A40E3D"/>
    <w:rsid w:val="00A40EA6"/>
    <w:rsid w:val="00A42BF4"/>
    <w:rsid w:val="00A46B61"/>
    <w:rsid w:val="00A47C4E"/>
    <w:rsid w:val="00A52753"/>
    <w:rsid w:val="00A550E8"/>
    <w:rsid w:val="00A556D1"/>
    <w:rsid w:val="00A56E8B"/>
    <w:rsid w:val="00A65A96"/>
    <w:rsid w:val="00A65C02"/>
    <w:rsid w:val="00A71133"/>
    <w:rsid w:val="00A7209C"/>
    <w:rsid w:val="00A7209D"/>
    <w:rsid w:val="00A761C7"/>
    <w:rsid w:val="00A767FA"/>
    <w:rsid w:val="00A77D42"/>
    <w:rsid w:val="00A82E17"/>
    <w:rsid w:val="00A85075"/>
    <w:rsid w:val="00A871B2"/>
    <w:rsid w:val="00A90245"/>
    <w:rsid w:val="00A90803"/>
    <w:rsid w:val="00A9239A"/>
    <w:rsid w:val="00A93F1F"/>
    <w:rsid w:val="00A9724D"/>
    <w:rsid w:val="00AA12F7"/>
    <w:rsid w:val="00AA3173"/>
    <w:rsid w:val="00AA3A3E"/>
    <w:rsid w:val="00AB19B6"/>
    <w:rsid w:val="00AB2CD9"/>
    <w:rsid w:val="00AC38A9"/>
    <w:rsid w:val="00AC39C0"/>
    <w:rsid w:val="00AC3E48"/>
    <w:rsid w:val="00AC6ABA"/>
    <w:rsid w:val="00AD1C80"/>
    <w:rsid w:val="00AD2576"/>
    <w:rsid w:val="00AD2E24"/>
    <w:rsid w:val="00AD5627"/>
    <w:rsid w:val="00AD65C9"/>
    <w:rsid w:val="00AD6639"/>
    <w:rsid w:val="00AE3114"/>
    <w:rsid w:val="00AE4A25"/>
    <w:rsid w:val="00AE5CCB"/>
    <w:rsid w:val="00AE7179"/>
    <w:rsid w:val="00AF457C"/>
    <w:rsid w:val="00AF58D0"/>
    <w:rsid w:val="00AF5A0B"/>
    <w:rsid w:val="00AF6215"/>
    <w:rsid w:val="00AF6332"/>
    <w:rsid w:val="00AF660C"/>
    <w:rsid w:val="00AF6F6E"/>
    <w:rsid w:val="00B00A18"/>
    <w:rsid w:val="00B05F6A"/>
    <w:rsid w:val="00B11323"/>
    <w:rsid w:val="00B117E8"/>
    <w:rsid w:val="00B13A2F"/>
    <w:rsid w:val="00B13ECC"/>
    <w:rsid w:val="00B145D2"/>
    <w:rsid w:val="00B1579D"/>
    <w:rsid w:val="00B178D3"/>
    <w:rsid w:val="00B20C70"/>
    <w:rsid w:val="00B22F73"/>
    <w:rsid w:val="00B251EB"/>
    <w:rsid w:val="00B26B94"/>
    <w:rsid w:val="00B2791B"/>
    <w:rsid w:val="00B339F8"/>
    <w:rsid w:val="00B4065C"/>
    <w:rsid w:val="00B43512"/>
    <w:rsid w:val="00B46B44"/>
    <w:rsid w:val="00B50E4F"/>
    <w:rsid w:val="00B51421"/>
    <w:rsid w:val="00B52CD8"/>
    <w:rsid w:val="00B604EB"/>
    <w:rsid w:val="00B6108C"/>
    <w:rsid w:val="00B62B27"/>
    <w:rsid w:val="00B66252"/>
    <w:rsid w:val="00B67E17"/>
    <w:rsid w:val="00B67F7B"/>
    <w:rsid w:val="00B739E2"/>
    <w:rsid w:val="00B74CF2"/>
    <w:rsid w:val="00B764A5"/>
    <w:rsid w:val="00B8151D"/>
    <w:rsid w:val="00B819AA"/>
    <w:rsid w:val="00B852BE"/>
    <w:rsid w:val="00B91234"/>
    <w:rsid w:val="00B91956"/>
    <w:rsid w:val="00BA0968"/>
    <w:rsid w:val="00BA54AA"/>
    <w:rsid w:val="00BB1EE8"/>
    <w:rsid w:val="00BB2109"/>
    <w:rsid w:val="00BB2C6B"/>
    <w:rsid w:val="00BB38D4"/>
    <w:rsid w:val="00BB41C9"/>
    <w:rsid w:val="00BB4D85"/>
    <w:rsid w:val="00BB61E4"/>
    <w:rsid w:val="00BB631E"/>
    <w:rsid w:val="00BB71A8"/>
    <w:rsid w:val="00BC4BD5"/>
    <w:rsid w:val="00BC50A3"/>
    <w:rsid w:val="00BC5B56"/>
    <w:rsid w:val="00BD306C"/>
    <w:rsid w:val="00BD41D4"/>
    <w:rsid w:val="00BD465A"/>
    <w:rsid w:val="00BD47A9"/>
    <w:rsid w:val="00BD5316"/>
    <w:rsid w:val="00BD5A86"/>
    <w:rsid w:val="00BD6AC2"/>
    <w:rsid w:val="00BE0800"/>
    <w:rsid w:val="00BE214C"/>
    <w:rsid w:val="00BE418B"/>
    <w:rsid w:val="00BE4B11"/>
    <w:rsid w:val="00BE68F9"/>
    <w:rsid w:val="00BF2A9B"/>
    <w:rsid w:val="00BF3DAE"/>
    <w:rsid w:val="00C02595"/>
    <w:rsid w:val="00C12197"/>
    <w:rsid w:val="00C1330A"/>
    <w:rsid w:val="00C145EB"/>
    <w:rsid w:val="00C17E93"/>
    <w:rsid w:val="00C20FE9"/>
    <w:rsid w:val="00C21887"/>
    <w:rsid w:val="00C2416A"/>
    <w:rsid w:val="00C30E45"/>
    <w:rsid w:val="00C325A5"/>
    <w:rsid w:val="00C36A15"/>
    <w:rsid w:val="00C3701B"/>
    <w:rsid w:val="00C37043"/>
    <w:rsid w:val="00C4300F"/>
    <w:rsid w:val="00C43BB6"/>
    <w:rsid w:val="00C45661"/>
    <w:rsid w:val="00C47602"/>
    <w:rsid w:val="00C5010C"/>
    <w:rsid w:val="00C5394B"/>
    <w:rsid w:val="00C62BC1"/>
    <w:rsid w:val="00C64879"/>
    <w:rsid w:val="00C66953"/>
    <w:rsid w:val="00C7112A"/>
    <w:rsid w:val="00C72F69"/>
    <w:rsid w:val="00C73133"/>
    <w:rsid w:val="00C731FA"/>
    <w:rsid w:val="00C73CCB"/>
    <w:rsid w:val="00C7617C"/>
    <w:rsid w:val="00C8031A"/>
    <w:rsid w:val="00C82C91"/>
    <w:rsid w:val="00C846A2"/>
    <w:rsid w:val="00C90EFC"/>
    <w:rsid w:val="00C90FC4"/>
    <w:rsid w:val="00C954B7"/>
    <w:rsid w:val="00C9591A"/>
    <w:rsid w:val="00C97337"/>
    <w:rsid w:val="00CA294A"/>
    <w:rsid w:val="00CA46AC"/>
    <w:rsid w:val="00CA47F1"/>
    <w:rsid w:val="00CA4A1E"/>
    <w:rsid w:val="00CA4F71"/>
    <w:rsid w:val="00CB337B"/>
    <w:rsid w:val="00CB33D2"/>
    <w:rsid w:val="00CB42E8"/>
    <w:rsid w:val="00CB45D5"/>
    <w:rsid w:val="00CB7A83"/>
    <w:rsid w:val="00CC3AE0"/>
    <w:rsid w:val="00CC3C0B"/>
    <w:rsid w:val="00CC3CD3"/>
    <w:rsid w:val="00CC4C6D"/>
    <w:rsid w:val="00CD20F8"/>
    <w:rsid w:val="00CD3165"/>
    <w:rsid w:val="00CD3705"/>
    <w:rsid w:val="00CD6E72"/>
    <w:rsid w:val="00CE3EA5"/>
    <w:rsid w:val="00CF098D"/>
    <w:rsid w:val="00CF12C3"/>
    <w:rsid w:val="00CF1C96"/>
    <w:rsid w:val="00CF5A8C"/>
    <w:rsid w:val="00D010D3"/>
    <w:rsid w:val="00D03883"/>
    <w:rsid w:val="00D0399B"/>
    <w:rsid w:val="00D05A8C"/>
    <w:rsid w:val="00D119DD"/>
    <w:rsid w:val="00D14A9D"/>
    <w:rsid w:val="00D17A67"/>
    <w:rsid w:val="00D17D4A"/>
    <w:rsid w:val="00D17FC6"/>
    <w:rsid w:val="00D20654"/>
    <w:rsid w:val="00D217D1"/>
    <w:rsid w:val="00D2517F"/>
    <w:rsid w:val="00D3758C"/>
    <w:rsid w:val="00D42954"/>
    <w:rsid w:val="00D44A32"/>
    <w:rsid w:val="00D46134"/>
    <w:rsid w:val="00D468A9"/>
    <w:rsid w:val="00D50517"/>
    <w:rsid w:val="00D50946"/>
    <w:rsid w:val="00D5387E"/>
    <w:rsid w:val="00D5406C"/>
    <w:rsid w:val="00D56A3B"/>
    <w:rsid w:val="00D60813"/>
    <w:rsid w:val="00D61A73"/>
    <w:rsid w:val="00D63270"/>
    <w:rsid w:val="00D63CDD"/>
    <w:rsid w:val="00D6472B"/>
    <w:rsid w:val="00D665E5"/>
    <w:rsid w:val="00D66B65"/>
    <w:rsid w:val="00D70EAE"/>
    <w:rsid w:val="00D73415"/>
    <w:rsid w:val="00D74B9B"/>
    <w:rsid w:val="00D773CB"/>
    <w:rsid w:val="00D77438"/>
    <w:rsid w:val="00D77EC7"/>
    <w:rsid w:val="00D8103E"/>
    <w:rsid w:val="00D818BA"/>
    <w:rsid w:val="00D842A2"/>
    <w:rsid w:val="00D84946"/>
    <w:rsid w:val="00D90E3D"/>
    <w:rsid w:val="00D90E62"/>
    <w:rsid w:val="00D93741"/>
    <w:rsid w:val="00D94108"/>
    <w:rsid w:val="00DA0374"/>
    <w:rsid w:val="00DA552F"/>
    <w:rsid w:val="00DA7047"/>
    <w:rsid w:val="00DB1C9E"/>
    <w:rsid w:val="00DB2434"/>
    <w:rsid w:val="00DB461B"/>
    <w:rsid w:val="00DB4D35"/>
    <w:rsid w:val="00DB5E15"/>
    <w:rsid w:val="00DB6247"/>
    <w:rsid w:val="00DC3E8C"/>
    <w:rsid w:val="00DC4B5E"/>
    <w:rsid w:val="00DC7D86"/>
    <w:rsid w:val="00DD0533"/>
    <w:rsid w:val="00DD1234"/>
    <w:rsid w:val="00DD1B26"/>
    <w:rsid w:val="00DD408F"/>
    <w:rsid w:val="00DD5F43"/>
    <w:rsid w:val="00DD651A"/>
    <w:rsid w:val="00DD7496"/>
    <w:rsid w:val="00DD7B03"/>
    <w:rsid w:val="00DE02BB"/>
    <w:rsid w:val="00DE1334"/>
    <w:rsid w:val="00DE5F92"/>
    <w:rsid w:val="00DE715E"/>
    <w:rsid w:val="00DE7C37"/>
    <w:rsid w:val="00DE7DC9"/>
    <w:rsid w:val="00DF0081"/>
    <w:rsid w:val="00DF13F3"/>
    <w:rsid w:val="00DF3683"/>
    <w:rsid w:val="00DF46B2"/>
    <w:rsid w:val="00DF61B7"/>
    <w:rsid w:val="00DF6602"/>
    <w:rsid w:val="00E00F2F"/>
    <w:rsid w:val="00E01C32"/>
    <w:rsid w:val="00E01F85"/>
    <w:rsid w:val="00E11B78"/>
    <w:rsid w:val="00E1257E"/>
    <w:rsid w:val="00E14FEF"/>
    <w:rsid w:val="00E24E50"/>
    <w:rsid w:val="00E251EE"/>
    <w:rsid w:val="00E302D5"/>
    <w:rsid w:val="00E30A0F"/>
    <w:rsid w:val="00E33826"/>
    <w:rsid w:val="00E33927"/>
    <w:rsid w:val="00E33FED"/>
    <w:rsid w:val="00E43542"/>
    <w:rsid w:val="00E5541C"/>
    <w:rsid w:val="00E55D04"/>
    <w:rsid w:val="00E60A2A"/>
    <w:rsid w:val="00E60F2B"/>
    <w:rsid w:val="00E62C51"/>
    <w:rsid w:val="00E631F9"/>
    <w:rsid w:val="00E662FD"/>
    <w:rsid w:val="00E713F8"/>
    <w:rsid w:val="00E72FD0"/>
    <w:rsid w:val="00E757D0"/>
    <w:rsid w:val="00E767BE"/>
    <w:rsid w:val="00E82630"/>
    <w:rsid w:val="00E8451F"/>
    <w:rsid w:val="00E8671C"/>
    <w:rsid w:val="00E90298"/>
    <w:rsid w:val="00E916A2"/>
    <w:rsid w:val="00E91930"/>
    <w:rsid w:val="00EA56D7"/>
    <w:rsid w:val="00EA6D4F"/>
    <w:rsid w:val="00EA716A"/>
    <w:rsid w:val="00EA7EA8"/>
    <w:rsid w:val="00EC0A15"/>
    <w:rsid w:val="00EC182C"/>
    <w:rsid w:val="00ED0037"/>
    <w:rsid w:val="00ED1161"/>
    <w:rsid w:val="00ED2562"/>
    <w:rsid w:val="00ED42B7"/>
    <w:rsid w:val="00EE412B"/>
    <w:rsid w:val="00EE5166"/>
    <w:rsid w:val="00EF4ACB"/>
    <w:rsid w:val="00F00674"/>
    <w:rsid w:val="00F00726"/>
    <w:rsid w:val="00F03635"/>
    <w:rsid w:val="00F0455E"/>
    <w:rsid w:val="00F0609A"/>
    <w:rsid w:val="00F10B14"/>
    <w:rsid w:val="00F1230D"/>
    <w:rsid w:val="00F14BCE"/>
    <w:rsid w:val="00F20EE2"/>
    <w:rsid w:val="00F21042"/>
    <w:rsid w:val="00F21FAC"/>
    <w:rsid w:val="00F26351"/>
    <w:rsid w:val="00F27ADD"/>
    <w:rsid w:val="00F3264E"/>
    <w:rsid w:val="00F352D7"/>
    <w:rsid w:val="00F36014"/>
    <w:rsid w:val="00F36E18"/>
    <w:rsid w:val="00F370F6"/>
    <w:rsid w:val="00F3765C"/>
    <w:rsid w:val="00F37BC2"/>
    <w:rsid w:val="00F418D6"/>
    <w:rsid w:val="00F43DAD"/>
    <w:rsid w:val="00F455BF"/>
    <w:rsid w:val="00F45857"/>
    <w:rsid w:val="00F50BCE"/>
    <w:rsid w:val="00F513EB"/>
    <w:rsid w:val="00F5236B"/>
    <w:rsid w:val="00F5252A"/>
    <w:rsid w:val="00F54266"/>
    <w:rsid w:val="00F552D2"/>
    <w:rsid w:val="00F5679F"/>
    <w:rsid w:val="00F60D6A"/>
    <w:rsid w:val="00F60F15"/>
    <w:rsid w:val="00F62708"/>
    <w:rsid w:val="00F6343E"/>
    <w:rsid w:val="00F6460E"/>
    <w:rsid w:val="00F64CB4"/>
    <w:rsid w:val="00F65889"/>
    <w:rsid w:val="00F670F4"/>
    <w:rsid w:val="00F72398"/>
    <w:rsid w:val="00F74CC9"/>
    <w:rsid w:val="00F76913"/>
    <w:rsid w:val="00F77106"/>
    <w:rsid w:val="00F85B48"/>
    <w:rsid w:val="00F861AE"/>
    <w:rsid w:val="00F86E01"/>
    <w:rsid w:val="00F871D7"/>
    <w:rsid w:val="00F87FB6"/>
    <w:rsid w:val="00F90098"/>
    <w:rsid w:val="00F9205E"/>
    <w:rsid w:val="00F92FA5"/>
    <w:rsid w:val="00F935BD"/>
    <w:rsid w:val="00F96889"/>
    <w:rsid w:val="00FA51B7"/>
    <w:rsid w:val="00FA53EE"/>
    <w:rsid w:val="00FA6309"/>
    <w:rsid w:val="00FA6319"/>
    <w:rsid w:val="00FB14CA"/>
    <w:rsid w:val="00FB207D"/>
    <w:rsid w:val="00FB21AB"/>
    <w:rsid w:val="00FB46DD"/>
    <w:rsid w:val="00FB656A"/>
    <w:rsid w:val="00FB7019"/>
    <w:rsid w:val="00FC522B"/>
    <w:rsid w:val="00FD0A30"/>
    <w:rsid w:val="00FD1A80"/>
    <w:rsid w:val="00FE10AB"/>
    <w:rsid w:val="00FE2F0A"/>
    <w:rsid w:val="00FF0C03"/>
    <w:rsid w:val="00FF1015"/>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uiPriority w:val="99"/>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uiPriority w:val="99"/>
    <w:semiHidden/>
    <w:rsid w:val="00DB6247"/>
    <w:rPr>
      <w:rFonts w:eastAsia="Times New Roman" w:cs="Times New Roman"/>
      <w:sz w:val="20"/>
      <w:szCs w:val="20"/>
      <w:lang w:val="x-none" w:eastAsia="en-AU"/>
    </w:rPr>
  </w:style>
  <w:style w:type="character" w:styleId="FootnoteReference">
    <w:name w:val="footnote reference"/>
    <w:uiPriority w:val="99"/>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qFormat/>
    <w:locked/>
    <w:rsid w:val="00CF12C3"/>
  </w:style>
  <w:style w:type="paragraph" w:customStyle="1" w:styleId="Default">
    <w:name w:val="Default"/>
    <w:rsid w:val="005F57A1"/>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unhideWhenUsed/>
    <w:rsid w:val="00890B5A"/>
    <w:pPr>
      <w:spacing w:before="100" w:beforeAutospacing="1" w:after="100" w:afterAutospacing="1" w:line="240" w:lineRule="auto"/>
    </w:pPr>
    <w:rPr>
      <w:rFonts w:eastAsia="Times New Roman" w:cs="Times New Roman"/>
      <w:szCs w:val="24"/>
      <w:lang w:eastAsia="en-AU"/>
    </w:rPr>
  </w:style>
  <w:style w:type="paragraph" w:customStyle="1" w:styleId="pf0">
    <w:name w:val="pf0"/>
    <w:basedOn w:val="Normal"/>
    <w:rsid w:val="00CF098D"/>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CF098D"/>
    <w:rPr>
      <w:rFonts w:ascii="Segoe UI" w:hAnsi="Segoe UI" w:cs="Segoe UI" w:hint="default"/>
      <w:sz w:val="18"/>
      <w:szCs w:val="18"/>
    </w:rPr>
  </w:style>
  <w:style w:type="character" w:customStyle="1" w:styleId="cf11">
    <w:name w:val="cf11"/>
    <w:basedOn w:val="DefaultParagraphFont"/>
    <w:rsid w:val="00CF098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CF0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629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14263101">
      <w:bodyDiv w:val="1"/>
      <w:marLeft w:val="0"/>
      <w:marRight w:val="0"/>
      <w:marTop w:val="0"/>
      <w:marBottom w:val="0"/>
      <w:divBdr>
        <w:top w:val="none" w:sz="0" w:space="0" w:color="auto"/>
        <w:left w:val="none" w:sz="0" w:space="0" w:color="auto"/>
        <w:bottom w:val="none" w:sz="0" w:space="0" w:color="auto"/>
        <w:right w:val="none" w:sz="0" w:space="0" w:color="auto"/>
      </w:divBdr>
    </w:div>
    <w:div w:id="376902050">
      <w:bodyDiv w:val="1"/>
      <w:marLeft w:val="0"/>
      <w:marRight w:val="0"/>
      <w:marTop w:val="0"/>
      <w:marBottom w:val="0"/>
      <w:divBdr>
        <w:top w:val="none" w:sz="0" w:space="0" w:color="auto"/>
        <w:left w:val="none" w:sz="0" w:space="0" w:color="auto"/>
        <w:bottom w:val="none" w:sz="0" w:space="0" w:color="auto"/>
        <w:right w:val="none" w:sz="0" w:space="0" w:color="auto"/>
      </w:divBdr>
    </w:div>
    <w:div w:id="452670438">
      <w:bodyDiv w:val="1"/>
      <w:marLeft w:val="0"/>
      <w:marRight w:val="0"/>
      <w:marTop w:val="0"/>
      <w:marBottom w:val="0"/>
      <w:divBdr>
        <w:top w:val="none" w:sz="0" w:space="0" w:color="auto"/>
        <w:left w:val="none" w:sz="0" w:space="0" w:color="auto"/>
        <w:bottom w:val="none" w:sz="0" w:space="0" w:color="auto"/>
        <w:right w:val="none" w:sz="0" w:space="0" w:color="auto"/>
      </w:divBdr>
    </w:div>
    <w:div w:id="672148090">
      <w:bodyDiv w:val="1"/>
      <w:marLeft w:val="0"/>
      <w:marRight w:val="0"/>
      <w:marTop w:val="0"/>
      <w:marBottom w:val="0"/>
      <w:divBdr>
        <w:top w:val="none" w:sz="0" w:space="0" w:color="auto"/>
        <w:left w:val="none" w:sz="0" w:space="0" w:color="auto"/>
        <w:bottom w:val="none" w:sz="0" w:space="0" w:color="auto"/>
        <w:right w:val="none" w:sz="0" w:space="0" w:color="auto"/>
      </w:divBdr>
    </w:div>
    <w:div w:id="877621607">
      <w:bodyDiv w:val="1"/>
      <w:marLeft w:val="0"/>
      <w:marRight w:val="0"/>
      <w:marTop w:val="0"/>
      <w:marBottom w:val="0"/>
      <w:divBdr>
        <w:top w:val="none" w:sz="0" w:space="0" w:color="auto"/>
        <w:left w:val="none" w:sz="0" w:space="0" w:color="auto"/>
        <w:bottom w:val="none" w:sz="0" w:space="0" w:color="auto"/>
        <w:right w:val="none" w:sz="0" w:space="0" w:color="auto"/>
      </w:divBdr>
    </w:div>
    <w:div w:id="947395702">
      <w:bodyDiv w:val="1"/>
      <w:marLeft w:val="0"/>
      <w:marRight w:val="0"/>
      <w:marTop w:val="0"/>
      <w:marBottom w:val="0"/>
      <w:divBdr>
        <w:top w:val="none" w:sz="0" w:space="0" w:color="auto"/>
        <w:left w:val="none" w:sz="0" w:space="0" w:color="auto"/>
        <w:bottom w:val="none" w:sz="0" w:space="0" w:color="auto"/>
        <w:right w:val="none" w:sz="0" w:space="0" w:color="auto"/>
      </w:divBdr>
    </w:div>
    <w:div w:id="949749547">
      <w:bodyDiv w:val="1"/>
      <w:marLeft w:val="0"/>
      <w:marRight w:val="0"/>
      <w:marTop w:val="0"/>
      <w:marBottom w:val="0"/>
      <w:divBdr>
        <w:top w:val="none" w:sz="0" w:space="0" w:color="auto"/>
        <w:left w:val="none" w:sz="0" w:space="0" w:color="auto"/>
        <w:bottom w:val="none" w:sz="0" w:space="0" w:color="auto"/>
        <w:right w:val="none" w:sz="0" w:space="0" w:color="auto"/>
      </w:divBdr>
    </w:div>
    <w:div w:id="1242178933">
      <w:bodyDiv w:val="1"/>
      <w:marLeft w:val="0"/>
      <w:marRight w:val="0"/>
      <w:marTop w:val="0"/>
      <w:marBottom w:val="0"/>
      <w:divBdr>
        <w:top w:val="none" w:sz="0" w:space="0" w:color="auto"/>
        <w:left w:val="none" w:sz="0" w:space="0" w:color="auto"/>
        <w:bottom w:val="none" w:sz="0" w:space="0" w:color="auto"/>
        <w:right w:val="none" w:sz="0" w:space="0" w:color="auto"/>
      </w:divBdr>
    </w:div>
    <w:div w:id="1316491526">
      <w:bodyDiv w:val="1"/>
      <w:marLeft w:val="0"/>
      <w:marRight w:val="0"/>
      <w:marTop w:val="0"/>
      <w:marBottom w:val="0"/>
      <w:divBdr>
        <w:top w:val="none" w:sz="0" w:space="0" w:color="auto"/>
        <w:left w:val="none" w:sz="0" w:space="0" w:color="auto"/>
        <w:bottom w:val="none" w:sz="0" w:space="0" w:color="auto"/>
        <w:right w:val="none" w:sz="0" w:space="0" w:color="auto"/>
      </w:divBdr>
    </w:div>
    <w:div w:id="1388913253">
      <w:bodyDiv w:val="1"/>
      <w:marLeft w:val="0"/>
      <w:marRight w:val="0"/>
      <w:marTop w:val="0"/>
      <w:marBottom w:val="0"/>
      <w:divBdr>
        <w:top w:val="none" w:sz="0" w:space="0" w:color="auto"/>
        <w:left w:val="none" w:sz="0" w:space="0" w:color="auto"/>
        <w:bottom w:val="none" w:sz="0" w:space="0" w:color="auto"/>
        <w:right w:val="none" w:sz="0" w:space="0" w:color="auto"/>
      </w:divBdr>
    </w:div>
    <w:div w:id="1520969274">
      <w:bodyDiv w:val="1"/>
      <w:marLeft w:val="0"/>
      <w:marRight w:val="0"/>
      <w:marTop w:val="0"/>
      <w:marBottom w:val="0"/>
      <w:divBdr>
        <w:top w:val="none" w:sz="0" w:space="0" w:color="auto"/>
        <w:left w:val="none" w:sz="0" w:space="0" w:color="auto"/>
        <w:bottom w:val="none" w:sz="0" w:space="0" w:color="auto"/>
        <w:right w:val="none" w:sz="0" w:space="0" w:color="auto"/>
      </w:divBdr>
    </w:div>
    <w:div w:id="1723947412">
      <w:bodyDiv w:val="1"/>
      <w:marLeft w:val="0"/>
      <w:marRight w:val="0"/>
      <w:marTop w:val="0"/>
      <w:marBottom w:val="0"/>
      <w:divBdr>
        <w:top w:val="none" w:sz="0" w:space="0" w:color="auto"/>
        <w:left w:val="none" w:sz="0" w:space="0" w:color="auto"/>
        <w:bottom w:val="none" w:sz="0" w:space="0" w:color="auto"/>
        <w:right w:val="none" w:sz="0" w:space="0" w:color="auto"/>
      </w:divBdr>
    </w:div>
    <w:div w:id="2100591949">
      <w:bodyDiv w:val="1"/>
      <w:marLeft w:val="0"/>
      <w:marRight w:val="0"/>
      <w:marTop w:val="0"/>
      <w:marBottom w:val="0"/>
      <w:divBdr>
        <w:top w:val="none" w:sz="0" w:space="0" w:color="auto"/>
        <w:left w:val="none" w:sz="0" w:space="0" w:color="auto"/>
        <w:bottom w:val="none" w:sz="0" w:space="0" w:color="auto"/>
        <w:right w:val="none" w:sz="0" w:space="0" w:color="auto"/>
      </w:divBdr>
    </w:div>
    <w:div w:id="21456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747F1875BF7D49B77A59640D85D6EF" ma:contentTypeVersion="" ma:contentTypeDescription="PDMS Document Site Content Type" ma:contentTypeScope="" ma:versionID="f593eedba715a1fa7c08398c285f884b">
  <xsd:schema xmlns:xsd="http://www.w3.org/2001/XMLSchema" xmlns:xs="http://www.w3.org/2001/XMLSchema" xmlns:p="http://schemas.microsoft.com/office/2006/metadata/properties" xmlns:ns2="F215B359-FCCD-42CB-B441-332F06ACF0EB" targetNamespace="http://schemas.microsoft.com/office/2006/metadata/properties" ma:root="true" ma:fieldsID="28d83edc55a85772c8f260661468dff0" ns2:_="">
    <xsd:import namespace="F215B359-FCCD-42CB-B441-332F06ACF0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B359-FCCD-42CB-B441-332F06ACF0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215B359-FCCD-42CB-B441-332F06ACF0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BB7C-3D33-49CE-BF24-F163AB76D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B359-FCCD-42CB-B441-332F06AC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purl.org/dc/elements/1.1/"/>
    <ds:schemaRef ds:uri="F215B359-FCCD-42CB-B441-332F06ACF0EB"/>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3829</Words>
  <Characters>20870</Characters>
  <Application>Microsoft Office Word</Application>
  <DocSecurity>0</DocSecurity>
  <Lines>596</Lines>
  <Paragraphs>418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Services</dc:creator>
  <cp:keywords>Lex 48300</cp:keywords>
  <cp:lastModifiedBy>NORRIS,Myles</cp:lastModifiedBy>
  <cp:revision>2</cp:revision>
  <cp:lastPrinted>2019-11-17T23:12:00Z</cp:lastPrinted>
  <dcterms:created xsi:type="dcterms:W3CDTF">2023-05-02T06:32:00Z</dcterms:created>
  <dcterms:modified xsi:type="dcterms:W3CDTF">2023-05-02T06:32:00Z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0x010100266966F133664895A6EE3632470D45F500C0747F1875BF7D49B77A59640D85D6EF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