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5591017"/>
        <w:docPartObj>
          <w:docPartGallery w:val="Cover Pages"/>
          <w:docPartUnique/>
        </w:docPartObj>
      </w:sdtPr>
      <w:sdtEndPr>
        <w:rPr>
          <w:noProof/>
        </w:rPr>
      </w:sdtEndPr>
      <w:sdtContent>
        <w:p w14:paraId="21908C5F" w14:textId="77777777" w:rsidR="00E27F80" w:rsidRDefault="00E27F80" w:rsidP="004616FF">
          <w:pPr>
            <w:pStyle w:val="BodyText"/>
          </w:pPr>
          <w:r w:rsidRPr="00E27F80">
            <w:rPr>
              <w:noProof/>
              <w:lang w:eastAsia="en-AU"/>
            </w:rPr>
            <w:drawing>
              <wp:inline distT="0" distB="0" distL="0" distR="0" wp14:anchorId="3910C554" wp14:editId="0B0DDA74">
                <wp:extent cx="6350000" cy="1535736"/>
                <wp:effectExtent l="0" t="0" r="0" b="7620"/>
                <wp:docPr id="14" name="Picture 14" descr="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partmental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8888" cy="1547559"/>
                        </a:xfrm>
                        <a:prstGeom prst="rect">
                          <a:avLst/>
                        </a:prstGeom>
                        <a:noFill/>
                        <a:ln>
                          <a:noFill/>
                        </a:ln>
                      </pic:spPr>
                    </pic:pic>
                  </a:graphicData>
                </a:graphic>
              </wp:inline>
            </w:drawing>
          </w:r>
          <w:r w:rsidRPr="00E27F80" w:rsidDel="00E27F80">
            <w:t xml:space="preserve"> </w:t>
          </w:r>
        </w:p>
        <w:p w14:paraId="4165D368" w14:textId="6D981286" w:rsidR="0023294E" w:rsidRPr="00AF49E5" w:rsidRDefault="00E27F80" w:rsidP="004616FF">
          <w:pPr>
            <w:pStyle w:val="BodyText"/>
          </w:pPr>
          <w:r w:rsidDel="00E27F80">
            <w:rPr>
              <w:noProof/>
              <w:lang w:eastAsia="en-AU"/>
            </w:rPr>
            <w:t xml:space="preserve"> </w:t>
          </w:r>
          <w:r w:rsidR="0023294E">
            <w:rPr>
              <w:noProof/>
              <w:lang w:eastAsia="en-AU"/>
            </w:rPr>
            <mc:AlternateContent>
              <mc:Choice Requires="wps">
                <w:drawing>
                  <wp:anchor distT="0" distB="0" distL="114300" distR="114300" simplePos="0" relativeHeight="251658242" behindDoc="0" locked="1" layoutInCell="1" allowOverlap="1" wp14:anchorId="626BEA8F" wp14:editId="61126150">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E21920" id="Rectangle 70" o:spid="_x0000_s1026" style="position:absolute;margin-left:-42.7pt;margin-top:0;width:8.5pt;height:843.3pt;z-index:25165824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sidR="0023294E" w:rsidRPr="004616FF">
            <w:rPr>
              <w:noProof/>
              <w:lang w:eastAsia="en-AU"/>
            </w:rPr>
            <mc:AlternateContent>
              <mc:Choice Requires="wps">
                <w:drawing>
                  <wp:anchor distT="45720" distB="45720" distL="114300" distR="114300" simplePos="0" relativeHeight="251658243" behindDoc="1" locked="1" layoutInCell="1" allowOverlap="1" wp14:anchorId="5A46DC36" wp14:editId="7E0BA061">
                    <wp:simplePos x="0" y="0"/>
                    <wp:positionH relativeFrom="page">
                      <wp:posOffset>0</wp:posOffset>
                    </wp:positionH>
                    <wp:positionV relativeFrom="page">
                      <wp:posOffset>9970770</wp:posOffset>
                    </wp:positionV>
                    <wp:extent cx="7560945" cy="719455"/>
                    <wp:effectExtent l="0" t="0" r="190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7F3B662C" w14:textId="77777777" w:rsidR="00E457F4" w:rsidRPr="00543FDE" w:rsidRDefault="00E457F4"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46DC36" id="_x0000_t202" coordsize="21600,21600" o:spt="202" path="m,l,21600r21600,l21600,xe">
                    <v:stroke joinstyle="miter"/>
                    <v:path gradientshapeok="t" o:connecttype="rect"/>
                  </v:shapetype>
                  <v:shape id="Text Box 2" o:spid="_x0000_s1026" type="#_x0000_t202" style="position:absolute;margin-left:0;margin-top:785.1pt;width:595.35pt;height:56.65pt;z-index:-25165823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" fillcolor="window" stroked="f">
                    <v:textbox inset="0,0,0,0">
                      <w:txbxContent>
                        <w:p w14:paraId="7F3B662C" w14:textId="77777777" w:rsidR="00E457F4" w:rsidRPr="00543FDE" w:rsidRDefault="00E457F4" w:rsidP="004616FF">
                          <w:pPr>
                            <w:pStyle w:val="ProtectiveMarking"/>
                          </w:pPr>
                        </w:p>
                      </w:txbxContent>
                    </v:textbox>
                    <w10:wrap anchorx="page" anchory="page"/>
                    <w10:anchorlock/>
                  </v:shape>
                </w:pict>
              </mc:Fallback>
            </mc:AlternateContent>
          </w:r>
        </w:p>
        <w:p w14:paraId="7A6C0DC7" w14:textId="77777777" w:rsidR="0023294E" w:rsidRPr="004616FF" w:rsidRDefault="0023294E" w:rsidP="00EA3891">
          <w:pPr>
            <w:pStyle w:val="BodyText"/>
            <w:tabs>
              <w:tab w:val="left" w:pos="2030"/>
            </w:tabs>
            <w:rPr>
              <w:caps/>
            </w:rPr>
            <w:sectPr w:rsidR="0023294E" w:rsidRPr="004616FF" w:rsidSect="00AF49E5">
              <w:headerReference w:type="default" r:id="rId14"/>
              <w:footerReference w:type="default" r:id="rId15"/>
              <w:headerReference w:type="first" r:id="rId16"/>
              <w:footerReference w:type="first" r:id="rId17"/>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inline distT="0" distB="0" distL="0" distR="0" wp14:anchorId="6834ADA2" wp14:editId="6F0569F6">
                    <wp:extent cx="6494145" cy="4517390"/>
                    <wp:effectExtent l="0" t="0" r="1905" b="0"/>
                    <wp:docPr id="73" name="Text Box 73"/>
                    <wp:cNvGraphicFramePr/>
                    <a:graphic xmlns:a="http://schemas.openxmlformats.org/drawingml/2006/main">
                      <a:graphicData uri="http://schemas.microsoft.com/office/word/2010/wordprocessingShape">
                        <wps:wsp>
                          <wps:cNvSpPr txBox="1"/>
                          <wps:spPr>
                            <a:xfrm>
                              <a:off x="0" y="0"/>
                              <a:ext cx="6494145" cy="4517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DFD45" w14:textId="77777777" w:rsidR="00E457F4" w:rsidRPr="00EA3891" w:rsidRDefault="001304B5" w:rsidP="003C6961">
                                <w:pPr>
                                  <w:pStyle w:val="CoverTitle"/>
                                  <w:rPr>
                                    <w:color w:val="000000" w:themeColor="text1"/>
                                    <w:sz w:val="96"/>
                                    <w:szCs w:val="96"/>
                                  </w:rPr>
                                </w:pPr>
                                <w:sdt>
                                  <w:sdtPr>
                                    <w:rPr>
                                      <w:color w:val="000000" w:themeColor="text1"/>
                                      <w:sz w:val="96"/>
                                      <w:szCs w:val="96"/>
                                    </w:rPr>
                                    <w:alias w:val="Document Heading"/>
                                    <w:tag w:val="DH"/>
                                    <w:id w:val="-1577504962"/>
                                    <w:dataBinding w:xpath="/root[1]/DH[1]" w:storeItemID="{F533AE62-A212-4B26-92DA-A3B336E8AE06}"/>
                                    <w:text w:multiLine="1"/>
                                  </w:sdtPr>
                                  <w:sdtEndPr/>
                                  <w:sdtContent>
                                    <w:r w:rsidR="00E457F4" w:rsidRPr="00EA3891">
                                      <w:rPr>
                                        <w:color w:val="000000" w:themeColor="text1"/>
                                        <w:sz w:val="96"/>
                                        <w:szCs w:val="96"/>
                                      </w:rPr>
                                      <w:t>Reforms to the Safeguard Mechanism</w:t>
                                    </w:r>
                                  </w:sdtContent>
                                </w:sdt>
                              </w:p>
                              <w:p w14:paraId="579A0B98" w14:textId="430B9C2D" w:rsidR="00E457F4" w:rsidRPr="00EA3891" w:rsidRDefault="00E457F4" w:rsidP="0011200A">
                                <w:pPr>
                                  <w:pStyle w:val="CoverByline"/>
                                  <w:rPr>
                                    <w:color w:val="000000" w:themeColor="text1"/>
                                  </w:rPr>
                                </w:pPr>
                                <w:r>
                                  <w:rPr>
                                    <w:color w:val="000000" w:themeColor="text1"/>
                                  </w:rPr>
                                  <w:t xml:space="preserve">Regulatory </w:t>
                                </w:r>
                                <w:r w:rsidRPr="00EA3891">
                                  <w:rPr>
                                    <w:color w:val="000000" w:themeColor="text1"/>
                                  </w:rPr>
                                  <w:t xml:space="preserve">Impact </w:t>
                                </w:r>
                                <w:r>
                                  <w:rPr>
                                    <w:color w:val="000000" w:themeColor="text1"/>
                                  </w:rPr>
                                  <w:t xml:space="preserve">Analysis </w:t>
                                </w:r>
                              </w:p>
                              <w:p w14:paraId="4BBBA3A7" w14:textId="77777777" w:rsidR="00E457F4" w:rsidRDefault="00E457F4" w:rsidP="0011200A">
                                <w:pPr>
                                  <w:pStyle w:val="CoverByline"/>
                                  <w:rPr>
                                    <w:color w:val="000000" w:themeColor="text1"/>
                                  </w:rPr>
                                </w:pPr>
                              </w:p>
                              <w:p w14:paraId="78822AE9" w14:textId="77777777" w:rsidR="00E457F4" w:rsidRPr="00AF49E5" w:rsidRDefault="00E457F4" w:rsidP="0011200A">
                                <w:pPr>
                                  <w:pStyle w:val="CoverByline"/>
                                </w:pPr>
                                <w:r w:rsidRPr="00EA3891">
                                  <w:rPr>
                                    <w:color w:val="000000" w:themeColor="text1"/>
                                  </w:rPr>
                                  <w:t>Department of Climate Change, Energy, the Environment</w:t>
                                </w:r>
                                <w:r>
                                  <w:rPr>
                                    <w:color w:val="000000" w:themeColor="text1"/>
                                  </w:rPr>
                                  <w:t xml:space="preserve"> and Water</w:t>
                                </w:r>
                                <w:r w:rsidRPr="00EA3891">
                                  <w:rPr>
                                    <w:color w:val="000000" w:themeColor="text1"/>
                                  </w:rPr>
                                  <w:t xml:space="preserve"> </w:t>
                                </w:r>
                                <w:r>
                                  <w:t>and Water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34ADA2" id="Text Box 73" o:spid="_x0000_s1028" type="#_x0000_t202" style="width:511.35pt;height:355.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" filled="f" stroked="f" strokeweight=".5pt">
                    <v:textbox inset="0,0,0,0">
                      <w:txbxContent>
                        <w:p w14:paraId="356DFD45" w14:textId="77777777" w:rsidR="00E457F4" w:rsidRPr="00EA3891" w:rsidRDefault="006B1BEA" w:rsidP="003C6961">
                          <w:pPr>
                            <w:pStyle w:val="CoverTitle"/>
                            <w:rPr>
                              <w:color w:val="000000" w:themeColor="text1"/>
                              <w:sz w:val="96"/>
                              <w:szCs w:val="96"/>
                            </w:rPr>
                          </w:pPr>
                          <w:sdt>
                            <w:sdtPr>
                              <w:rPr>
                                <w:color w:val="000000" w:themeColor="text1"/>
                                <w:sz w:val="96"/>
                                <w:szCs w:val="96"/>
                              </w:rPr>
                              <w:alias w:val="Document Heading"/>
                              <w:tag w:val="DH"/>
                              <w:id w:val="-1577504962"/>
                              <w:dataBinding w:xpath="/root[1]/DH[1]" w:storeItemID="{F533AE62-A212-4B26-92DA-A3B336E8AE06}"/>
                              <w:text w:multiLine="1"/>
                            </w:sdtPr>
                            <w:sdtEndPr/>
                            <w:sdtContent>
                              <w:r w:rsidR="00E457F4" w:rsidRPr="00EA3891">
                                <w:rPr>
                                  <w:color w:val="000000" w:themeColor="text1"/>
                                  <w:sz w:val="96"/>
                                  <w:szCs w:val="96"/>
                                </w:rPr>
                                <w:t>Reforms to the Safeguard Mechanism</w:t>
                              </w:r>
                            </w:sdtContent>
                          </w:sdt>
                        </w:p>
                        <w:p w14:paraId="579A0B98" w14:textId="430B9C2D" w:rsidR="00E457F4" w:rsidRPr="00EA3891" w:rsidRDefault="00E457F4" w:rsidP="0011200A">
                          <w:pPr>
                            <w:pStyle w:val="CoverByline"/>
                            <w:rPr>
                              <w:color w:val="000000" w:themeColor="text1"/>
                            </w:rPr>
                          </w:pPr>
                          <w:r>
                            <w:rPr>
                              <w:color w:val="000000" w:themeColor="text1"/>
                            </w:rPr>
                            <w:t xml:space="preserve">Regulatory </w:t>
                          </w:r>
                          <w:r w:rsidRPr="00EA3891">
                            <w:rPr>
                              <w:color w:val="000000" w:themeColor="text1"/>
                            </w:rPr>
                            <w:t xml:space="preserve">Impact </w:t>
                          </w:r>
                          <w:r>
                            <w:rPr>
                              <w:color w:val="000000" w:themeColor="text1"/>
                            </w:rPr>
                            <w:t xml:space="preserve">Analysis </w:t>
                          </w:r>
                        </w:p>
                        <w:p w14:paraId="4BBBA3A7" w14:textId="77777777" w:rsidR="00E457F4" w:rsidRDefault="00E457F4" w:rsidP="0011200A">
                          <w:pPr>
                            <w:pStyle w:val="CoverByline"/>
                            <w:rPr>
                              <w:color w:val="000000" w:themeColor="text1"/>
                            </w:rPr>
                          </w:pPr>
                        </w:p>
                        <w:p w14:paraId="78822AE9" w14:textId="77777777" w:rsidR="00E457F4" w:rsidRPr="00AF49E5" w:rsidRDefault="00E457F4" w:rsidP="0011200A">
                          <w:pPr>
                            <w:pStyle w:val="CoverByline"/>
                          </w:pPr>
                          <w:r w:rsidRPr="00EA3891">
                            <w:rPr>
                              <w:color w:val="000000" w:themeColor="text1"/>
                            </w:rPr>
                            <w:t>Department of Climate Change, Energy, the Environment</w:t>
                          </w:r>
                          <w:r>
                            <w:rPr>
                              <w:color w:val="000000" w:themeColor="text1"/>
                            </w:rPr>
                            <w:t xml:space="preserve"> and Water</w:t>
                          </w:r>
                          <w:r w:rsidRPr="00EA3891">
                            <w:rPr>
                              <w:color w:val="000000" w:themeColor="text1"/>
                            </w:rPr>
                            <w:t xml:space="preserve"> </w:t>
                          </w:r>
                          <w:r>
                            <w:t>and Water</w:t>
                          </w:r>
                        </w:p>
                      </w:txbxContent>
                    </v:textbox>
                    <w10:anchorlock/>
                  </v:shape>
                </w:pict>
              </mc:Fallback>
            </mc:AlternateContent>
          </w:r>
          <w:r w:rsidR="00E27F80">
            <w:rPr>
              <w:noProof/>
            </w:rPr>
            <w:tab/>
          </w:r>
        </w:p>
      </w:sdtContent>
    </w:sdt>
    <w:p w14:paraId="1E5972B2" w14:textId="77777777" w:rsidR="00561516" w:rsidRDefault="007D2B05">
      <w:r w:rsidRPr="00180BF8">
        <w:rPr>
          <w:noProof/>
          <w:lang w:eastAsia="en-AU"/>
        </w:rPr>
        <w:lastRenderedPageBreak/>
        <w:drawing>
          <wp:inline distT="0" distB="0" distL="0" distR="0" wp14:anchorId="456FAAD5" wp14:editId="67F978FB">
            <wp:extent cx="3019480" cy="627399"/>
            <wp:effectExtent l="0" t="0" r="0" b="1270"/>
            <wp:docPr id="15" name="Picture 15"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inline>
        </w:drawing>
      </w:r>
      <w:r w:rsidDel="00635CD8">
        <w:t xml:space="preserve"> </w:t>
      </w:r>
    </w:p>
    <w:p w14:paraId="6891E39D" w14:textId="77777777" w:rsidR="007D2B05" w:rsidRPr="006F0250" w:rsidRDefault="007D2B05" w:rsidP="00EA3891">
      <w:pPr>
        <w:pStyle w:val="Quote"/>
      </w:pPr>
      <w:bookmarkStart w:id="0" w:name="_Toc19023739"/>
      <w:bookmarkStart w:id="1" w:name="_Toc19289802"/>
      <w:bookmarkStart w:id="2" w:name="_Toc47966973"/>
      <w:bookmarkStart w:id="3" w:name="_Toc49184892"/>
      <w:bookmarkStart w:id="4" w:name="_Toc49374439"/>
      <w:bookmarkStart w:id="5" w:name="_Toc49855056"/>
      <w:bookmarkStart w:id="6" w:name="_Toc49855083"/>
      <w:bookmarkStart w:id="7" w:name="_Toc49893663"/>
      <w:bookmarkStart w:id="8" w:name="_Toc50062338"/>
      <w:bookmarkStart w:id="9" w:name="_Toc117176800"/>
      <w:bookmarkStart w:id="10" w:name="_Toc117255403"/>
      <w:bookmarkStart w:id="11" w:name="_Toc117263144"/>
      <w:bookmarkStart w:id="12" w:name="_Toc117437225"/>
      <w:bookmarkStart w:id="13" w:name="_Toc117499173"/>
      <w:bookmarkStart w:id="14" w:name="_Toc117521020"/>
      <w:bookmarkStart w:id="15" w:name="_Toc117524767"/>
      <w:bookmarkStart w:id="16" w:name="_Toc117543958"/>
      <w:bookmarkStart w:id="17" w:name="_Toc117548309"/>
      <w:bookmarkStart w:id="18" w:name="_Toc117588627"/>
      <w:bookmarkStart w:id="19" w:name="_Toc117588671"/>
      <w:bookmarkStart w:id="20" w:name="_Toc117604789"/>
      <w:bookmarkStart w:id="21" w:name="_Toc117612871"/>
      <w:bookmarkStart w:id="22" w:name="_Toc117627709"/>
      <w:bookmarkStart w:id="23" w:name="_Toc117630374"/>
      <w:bookmarkStart w:id="24" w:name="_Toc117867981"/>
      <w:bookmarkStart w:id="25" w:name="_Toc117887995"/>
      <w:bookmarkStart w:id="26" w:name="_Toc117951439"/>
      <w:bookmarkStart w:id="27" w:name="_Toc117960086"/>
      <w:bookmarkStart w:id="28" w:name="_Toc118040347"/>
      <w:bookmarkStart w:id="29" w:name="_Toc118196199"/>
      <w:bookmarkStart w:id="30" w:name="_Toc118198368"/>
      <w:bookmarkStart w:id="31" w:name="_Toc118198783"/>
      <w:bookmarkStart w:id="32" w:name="_Toc118198974"/>
      <w:bookmarkStart w:id="33" w:name="_Toc118199528"/>
      <w:bookmarkStart w:id="34" w:name="_Toc118304100"/>
      <w:bookmarkStart w:id="35" w:name="_Toc118304131"/>
      <w:bookmarkStart w:id="36" w:name="_Toc118306333"/>
      <w:bookmarkStart w:id="37" w:name="_Toc118308325"/>
      <w:bookmarkStart w:id="38" w:name="_Toc118317104"/>
      <w:r w:rsidRPr="006F0250">
        <w:t>Copyright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FD5ECC8" w14:textId="77777777" w:rsidR="007D2B05" w:rsidRPr="00EE2D4F" w:rsidRDefault="007D2B05" w:rsidP="007D2B05">
      <w:pPr>
        <w:rPr>
          <w:rStyle w:val="Strong"/>
        </w:rPr>
      </w:pPr>
      <w:r w:rsidRPr="00EE2D4F">
        <w:rPr>
          <w:rStyle w:val="Strong"/>
        </w:rPr>
        <w:t>© Commonwealth of Australia 202</w:t>
      </w:r>
      <w:r w:rsidR="00345A5D">
        <w:rPr>
          <w:rStyle w:val="Strong"/>
        </w:rPr>
        <w:t>3</w:t>
      </w:r>
    </w:p>
    <w:p w14:paraId="0CE979F8" w14:textId="77777777" w:rsidR="007D2B05" w:rsidRPr="00EE2D4F" w:rsidRDefault="007D2B05" w:rsidP="007D2B05">
      <w:pPr>
        <w:rPr>
          <w:rStyle w:val="Strong"/>
        </w:rPr>
      </w:pPr>
      <w:r w:rsidRPr="00EE2D4F">
        <w:rPr>
          <w:rStyle w:val="Strong"/>
        </w:rPr>
        <w:t>Ownership of intellectual property rights</w:t>
      </w:r>
    </w:p>
    <w:p w14:paraId="73F8D33E" w14:textId="77777777" w:rsidR="007D2B05" w:rsidRPr="00EE2D4F" w:rsidRDefault="007D2B05" w:rsidP="007D2B05">
      <w:r w:rsidRPr="00EE2D4F">
        <w:t>Unless otherwis</w:t>
      </w:r>
      <w:bookmarkStart w:id="39" w:name="_GoBack"/>
      <w:bookmarkEnd w:id="39"/>
      <w:r w:rsidRPr="00EE2D4F">
        <w:t>e noted, copyright (and any other intellectual property rights, if any) in this publication is owned by the Commonwealth of Australia.</w:t>
      </w:r>
    </w:p>
    <w:p w14:paraId="2BCCDB8C" w14:textId="77777777" w:rsidR="007D2B05" w:rsidRPr="006F0250" w:rsidRDefault="007D2B05" w:rsidP="00EA3891">
      <w:pPr>
        <w:pStyle w:val="Quote"/>
      </w:pPr>
      <w:bookmarkStart w:id="40" w:name="_Toc19023740"/>
      <w:bookmarkStart w:id="41" w:name="_Toc19289803"/>
      <w:bookmarkStart w:id="42" w:name="_Toc47966974"/>
      <w:bookmarkStart w:id="43" w:name="_Toc49184893"/>
      <w:bookmarkStart w:id="44" w:name="_Toc49374440"/>
      <w:bookmarkStart w:id="45" w:name="_Toc49855057"/>
      <w:bookmarkStart w:id="46" w:name="_Toc49855084"/>
      <w:bookmarkStart w:id="47" w:name="_Toc49893664"/>
      <w:bookmarkStart w:id="48" w:name="_Toc50062339"/>
      <w:bookmarkStart w:id="49" w:name="_Toc117176801"/>
      <w:bookmarkStart w:id="50" w:name="_Toc117255404"/>
      <w:bookmarkStart w:id="51" w:name="_Toc117263145"/>
      <w:bookmarkStart w:id="52" w:name="_Toc117437226"/>
      <w:bookmarkStart w:id="53" w:name="_Toc117499174"/>
      <w:bookmarkStart w:id="54" w:name="_Toc117521021"/>
      <w:bookmarkStart w:id="55" w:name="_Toc117524768"/>
      <w:bookmarkStart w:id="56" w:name="_Toc117543959"/>
      <w:bookmarkStart w:id="57" w:name="_Toc117548310"/>
      <w:bookmarkStart w:id="58" w:name="_Toc117588628"/>
      <w:bookmarkStart w:id="59" w:name="_Toc117588672"/>
      <w:bookmarkStart w:id="60" w:name="_Toc117604790"/>
      <w:bookmarkStart w:id="61" w:name="_Toc117612872"/>
      <w:bookmarkStart w:id="62" w:name="_Toc117627710"/>
      <w:bookmarkStart w:id="63" w:name="_Toc117630375"/>
      <w:bookmarkStart w:id="64" w:name="_Toc117867982"/>
      <w:bookmarkStart w:id="65" w:name="_Toc117887996"/>
      <w:bookmarkStart w:id="66" w:name="_Toc117951440"/>
      <w:bookmarkStart w:id="67" w:name="_Toc117960087"/>
      <w:bookmarkStart w:id="68" w:name="_Toc118040348"/>
      <w:bookmarkStart w:id="69" w:name="_Toc118196200"/>
      <w:bookmarkStart w:id="70" w:name="_Toc118198369"/>
      <w:bookmarkStart w:id="71" w:name="_Toc118198784"/>
      <w:bookmarkStart w:id="72" w:name="_Toc118198975"/>
      <w:bookmarkStart w:id="73" w:name="_Toc118199529"/>
      <w:bookmarkStart w:id="74" w:name="_Toc118304101"/>
      <w:bookmarkStart w:id="75" w:name="_Toc118304132"/>
      <w:bookmarkStart w:id="76" w:name="_Toc118306334"/>
      <w:bookmarkStart w:id="77" w:name="_Toc118308326"/>
      <w:bookmarkStart w:id="78" w:name="_Toc118317105"/>
      <w:r w:rsidRPr="006F0250">
        <w:t>Disclaimer</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D0F6498" w14:textId="77777777" w:rsidR="007D2B05" w:rsidRDefault="007D2B05" w:rsidP="007D2B05">
      <w:r w:rsidRPr="00EE2D4F">
        <w:t xml:space="preserve">The Australian Government as represented by the Department of </w:t>
      </w:r>
      <w:r w:rsidRPr="00A52D91">
        <w:t>Climate Change, En</w:t>
      </w:r>
      <w:r>
        <w:t>ergy, the Environment and Water h</w:t>
      </w:r>
      <w:r w:rsidRPr="00EE2D4F">
        <w:t>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02931A27" w14:textId="77777777" w:rsidR="0011200A" w:rsidRDefault="0011200A">
      <w:pPr>
        <w:rPr>
          <w:rFonts w:asciiTheme="majorHAnsi" w:hAnsiTheme="majorHAnsi"/>
          <w:b/>
          <w:color w:val="014463" w:themeColor="text2"/>
          <w:sz w:val="60"/>
          <w:szCs w:val="60"/>
        </w:rPr>
      </w:pPr>
      <w:r>
        <w:br w:type="page"/>
      </w:r>
    </w:p>
    <w:sdt>
      <w:sdtPr>
        <w:rPr>
          <w:rFonts w:asciiTheme="minorHAnsi" w:eastAsiaTheme="minorHAnsi" w:hAnsiTheme="minorHAnsi" w:cstheme="minorBidi"/>
          <w:color w:val="262626" w:themeColor="text1" w:themeTint="D9"/>
          <w:sz w:val="20"/>
          <w:szCs w:val="20"/>
          <w:lang w:val="en-AU"/>
        </w:rPr>
        <w:id w:val="202295834"/>
        <w:docPartObj>
          <w:docPartGallery w:val="Table of Contents"/>
          <w:docPartUnique/>
        </w:docPartObj>
      </w:sdtPr>
      <w:sdtEndPr>
        <w:rPr>
          <w:b/>
          <w:bCs/>
          <w:noProof/>
        </w:rPr>
      </w:sdtEndPr>
      <w:sdtContent>
        <w:p w14:paraId="605EF241" w14:textId="77777777" w:rsidR="00E23D9C" w:rsidRPr="00EA3891" w:rsidRDefault="00E23D9C" w:rsidP="00E23D9C">
          <w:pPr>
            <w:pStyle w:val="TOCHeading"/>
            <w:rPr>
              <w:rStyle w:val="TitleChar"/>
            </w:rPr>
          </w:pPr>
          <w:r w:rsidRPr="00EA3891">
            <w:rPr>
              <w:rStyle w:val="TitleChar"/>
            </w:rPr>
            <w:t>Contents</w:t>
          </w:r>
        </w:p>
        <w:p w14:paraId="5C819740" w14:textId="6FAE9E7A" w:rsidR="00CF3139" w:rsidRDefault="00E23D9C">
          <w:pPr>
            <w:pStyle w:val="TOC1"/>
            <w:rPr>
              <w:rFonts w:eastAsiaTheme="minorEastAsia"/>
              <w:noProof/>
              <w:color w:val="auto"/>
              <w:sz w:val="22"/>
              <w:szCs w:val="22"/>
              <w:lang w:eastAsia="en-AU"/>
            </w:rPr>
          </w:pPr>
          <w:r>
            <w:rPr>
              <w:b/>
              <w:bCs/>
              <w:noProof/>
            </w:rPr>
            <w:fldChar w:fldCharType="begin"/>
          </w:r>
          <w:r>
            <w:rPr>
              <w:b/>
              <w:bCs/>
              <w:noProof/>
            </w:rPr>
            <w:instrText xml:space="preserve"> TOC \o "1-3" \h \z \u </w:instrText>
          </w:r>
          <w:r>
            <w:rPr>
              <w:b/>
              <w:bCs/>
              <w:noProof/>
            </w:rPr>
            <w:fldChar w:fldCharType="separate"/>
          </w:r>
          <w:hyperlink w:anchor="_Toc132807525" w:history="1">
            <w:r w:rsidR="00CF3139" w:rsidRPr="00A7517C">
              <w:rPr>
                <w:rStyle w:val="Hyperlink"/>
                <w:noProof/>
              </w:rPr>
              <w:t>Executive summary</w:t>
            </w:r>
            <w:r w:rsidR="00CF3139">
              <w:rPr>
                <w:noProof/>
                <w:webHidden/>
              </w:rPr>
              <w:tab/>
            </w:r>
            <w:r w:rsidR="00CF3139">
              <w:rPr>
                <w:noProof/>
                <w:webHidden/>
              </w:rPr>
              <w:fldChar w:fldCharType="begin"/>
            </w:r>
            <w:r w:rsidR="00CF3139">
              <w:rPr>
                <w:noProof/>
                <w:webHidden/>
              </w:rPr>
              <w:instrText xml:space="preserve"> PAGEREF _Toc132807525 \h </w:instrText>
            </w:r>
            <w:r w:rsidR="00CF3139">
              <w:rPr>
                <w:noProof/>
                <w:webHidden/>
              </w:rPr>
            </w:r>
            <w:r w:rsidR="00CF3139">
              <w:rPr>
                <w:noProof/>
                <w:webHidden/>
              </w:rPr>
              <w:fldChar w:fldCharType="separate"/>
            </w:r>
            <w:r w:rsidR="006B1BEA">
              <w:rPr>
                <w:noProof/>
                <w:webHidden/>
              </w:rPr>
              <w:t>4</w:t>
            </w:r>
            <w:r w:rsidR="00CF3139">
              <w:rPr>
                <w:noProof/>
                <w:webHidden/>
              </w:rPr>
              <w:fldChar w:fldCharType="end"/>
            </w:r>
          </w:hyperlink>
        </w:p>
        <w:p w14:paraId="72946244" w14:textId="7CF7D666" w:rsidR="00CF3139" w:rsidRDefault="001304B5">
          <w:pPr>
            <w:pStyle w:val="TOC3"/>
            <w:rPr>
              <w:rFonts w:eastAsiaTheme="minorEastAsia"/>
              <w:noProof/>
              <w:color w:val="auto"/>
              <w:sz w:val="22"/>
              <w:szCs w:val="22"/>
              <w:lang w:eastAsia="en-AU"/>
            </w:rPr>
          </w:pPr>
          <w:hyperlink w:anchor="_Toc132807526" w:history="1">
            <w:r w:rsidR="00CF3139" w:rsidRPr="00A7517C">
              <w:rPr>
                <w:rStyle w:val="Hyperlink"/>
                <w:noProof/>
              </w:rPr>
              <w:t>Impact analysis</w:t>
            </w:r>
            <w:r w:rsidR="00CF3139">
              <w:rPr>
                <w:noProof/>
                <w:webHidden/>
              </w:rPr>
              <w:tab/>
            </w:r>
            <w:r w:rsidR="00CF3139">
              <w:rPr>
                <w:noProof/>
                <w:webHidden/>
              </w:rPr>
              <w:fldChar w:fldCharType="begin"/>
            </w:r>
            <w:r w:rsidR="00CF3139">
              <w:rPr>
                <w:noProof/>
                <w:webHidden/>
              </w:rPr>
              <w:instrText xml:space="preserve"> PAGEREF _Toc132807526 \h </w:instrText>
            </w:r>
            <w:r w:rsidR="00CF3139">
              <w:rPr>
                <w:noProof/>
                <w:webHidden/>
              </w:rPr>
            </w:r>
            <w:r w:rsidR="00CF3139">
              <w:rPr>
                <w:noProof/>
                <w:webHidden/>
              </w:rPr>
              <w:fldChar w:fldCharType="separate"/>
            </w:r>
            <w:r w:rsidR="006B1BEA">
              <w:rPr>
                <w:noProof/>
                <w:webHidden/>
              </w:rPr>
              <w:t>4</w:t>
            </w:r>
            <w:r w:rsidR="00CF3139">
              <w:rPr>
                <w:noProof/>
                <w:webHidden/>
              </w:rPr>
              <w:fldChar w:fldCharType="end"/>
            </w:r>
          </w:hyperlink>
        </w:p>
        <w:p w14:paraId="418AB9BF" w14:textId="2751C142" w:rsidR="00CF3139" w:rsidRDefault="001304B5">
          <w:pPr>
            <w:pStyle w:val="TOC1"/>
            <w:rPr>
              <w:rFonts w:eastAsiaTheme="minorEastAsia"/>
              <w:noProof/>
              <w:color w:val="auto"/>
              <w:sz w:val="22"/>
              <w:szCs w:val="22"/>
              <w:lang w:eastAsia="en-AU"/>
            </w:rPr>
          </w:pPr>
          <w:hyperlink w:anchor="_Toc132807527" w:history="1">
            <w:r w:rsidR="00CF3139" w:rsidRPr="00A7517C">
              <w:rPr>
                <w:rStyle w:val="Hyperlink"/>
                <w:noProof/>
              </w:rPr>
              <w:t>Introduction</w:t>
            </w:r>
            <w:r w:rsidR="00CF3139">
              <w:rPr>
                <w:noProof/>
                <w:webHidden/>
              </w:rPr>
              <w:tab/>
            </w:r>
            <w:r w:rsidR="00CF3139">
              <w:rPr>
                <w:noProof/>
                <w:webHidden/>
              </w:rPr>
              <w:fldChar w:fldCharType="begin"/>
            </w:r>
            <w:r w:rsidR="00CF3139">
              <w:rPr>
                <w:noProof/>
                <w:webHidden/>
              </w:rPr>
              <w:instrText xml:space="preserve"> PAGEREF _Toc132807527 \h </w:instrText>
            </w:r>
            <w:r w:rsidR="00CF3139">
              <w:rPr>
                <w:noProof/>
                <w:webHidden/>
              </w:rPr>
            </w:r>
            <w:r w:rsidR="00CF3139">
              <w:rPr>
                <w:noProof/>
                <w:webHidden/>
              </w:rPr>
              <w:fldChar w:fldCharType="separate"/>
            </w:r>
            <w:r w:rsidR="006B1BEA">
              <w:rPr>
                <w:noProof/>
                <w:webHidden/>
              </w:rPr>
              <w:t>6</w:t>
            </w:r>
            <w:r w:rsidR="00CF3139">
              <w:rPr>
                <w:noProof/>
                <w:webHidden/>
              </w:rPr>
              <w:fldChar w:fldCharType="end"/>
            </w:r>
          </w:hyperlink>
        </w:p>
        <w:p w14:paraId="0204B5B9" w14:textId="368EE5FA" w:rsidR="00CF3139" w:rsidRDefault="001304B5">
          <w:pPr>
            <w:pStyle w:val="TOC2"/>
            <w:tabs>
              <w:tab w:val="right" w:leader="dot" w:pos="10194"/>
            </w:tabs>
            <w:rPr>
              <w:rFonts w:eastAsiaTheme="minorEastAsia"/>
              <w:noProof/>
              <w:color w:val="auto"/>
              <w:sz w:val="22"/>
              <w:szCs w:val="22"/>
              <w:lang w:eastAsia="en-AU"/>
            </w:rPr>
          </w:pPr>
          <w:hyperlink w:anchor="_Toc132807528" w:history="1">
            <w:r w:rsidR="00CF3139" w:rsidRPr="00A7517C">
              <w:rPr>
                <w:rStyle w:val="Hyperlink"/>
                <w:noProof/>
              </w:rPr>
              <w:t>Safeguard Mechanism reforms</w:t>
            </w:r>
            <w:r w:rsidR="00CF3139">
              <w:rPr>
                <w:noProof/>
                <w:webHidden/>
              </w:rPr>
              <w:tab/>
            </w:r>
            <w:r w:rsidR="00CF3139">
              <w:rPr>
                <w:noProof/>
                <w:webHidden/>
              </w:rPr>
              <w:fldChar w:fldCharType="begin"/>
            </w:r>
            <w:r w:rsidR="00CF3139">
              <w:rPr>
                <w:noProof/>
                <w:webHidden/>
              </w:rPr>
              <w:instrText xml:space="preserve"> PAGEREF _Toc132807528 \h </w:instrText>
            </w:r>
            <w:r w:rsidR="00CF3139">
              <w:rPr>
                <w:noProof/>
                <w:webHidden/>
              </w:rPr>
            </w:r>
            <w:r w:rsidR="00CF3139">
              <w:rPr>
                <w:noProof/>
                <w:webHidden/>
              </w:rPr>
              <w:fldChar w:fldCharType="separate"/>
            </w:r>
            <w:r w:rsidR="006B1BEA">
              <w:rPr>
                <w:noProof/>
                <w:webHidden/>
              </w:rPr>
              <w:t>6</w:t>
            </w:r>
            <w:r w:rsidR="00CF3139">
              <w:rPr>
                <w:noProof/>
                <w:webHidden/>
              </w:rPr>
              <w:fldChar w:fldCharType="end"/>
            </w:r>
          </w:hyperlink>
        </w:p>
        <w:p w14:paraId="09BC2BD0" w14:textId="05D2B05E" w:rsidR="00CF3139" w:rsidRDefault="001304B5">
          <w:pPr>
            <w:pStyle w:val="TOC3"/>
            <w:rPr>
              <w:rFonts w:eastAsiaTheme="minorEastAsia"/>
              <w:noProof/>
              <w:color w:val="auto"/>
              <w:sz w:val="22"/>
              <w:szCs w:val="22"/>
              <w:lang w:eastAsia="en-AU"/>
            </w:rPr>
          </w:pPr>
          <w:hyperlink w:anchor="_Toc132807529" w:history="1">
            <w:r w:rsidR="00CF3139" w:rsidRPr="00A7517C">
              <w:rPr>
                <w:rStyle w:val="Hyperlink"/>
                <w:noProof/>
              </w:rPr>
              <w:t>This RIA</w:t>
            </w:r>
            <w:r w:rsidR="00CF3139">
              <w:rPr>
                <w:noProof/>
                <w:webHidden/>
              </w:rPr>
              <w:tab/>
            </w:r>
            <w:r w:rsidR="00CF3139">
              <w:rPr>
                <w:noProof/>
                <w:webHidden/>
              </w:rPr>
              <w:fldChar w:fldCharType="begin"/>
            </w:r>
            <w:r w:rsidR="00CF3139">
              <w:rPr>
                <w:noProof/>
                <w:webHidden/>
              </w:rPr>
              <w:instrText xml:space="preserve"> PAGEREF _Toc132807529 \h </w:instrText>
            </w:r>
            <w:r w:rsidR="00CF3139">
              <w:rPr>
                <w:noProof/>
                <w:webHidden/>
              </w:rPr>
            </w:r>
            <w:r w:rsidR="00CF3139">
              <w:rPr>
                <w:noProof/>
                <w:webHidden/>
              </w:rPr>
              <w:fldChar w:fldCharType="separate"/>
            </w:r>
            <w:r w:rsidR="006B1BEA">
              <w:rPr>
                <w:noProof/>
                <w:webHidden/>
              </w:rPr>
              <w:t>7</w:t>
            </w:r>
            <w:r w:rsidR="00CF3139">
              <w:rPr>
                <w:noProof/>
                <w:webHidden/>
              </w:rPr>
              <w:fldChar w:fldCharType="end"/>
            </w:r>
          </w:hyperlink>
        </w:p>
        <w:p w14:paraId="12E9877C" w14:textId="72E3D393" w:rsidR="00CF3139" w:rsidRDefault="001304B5">
          <w:pPr>
            <w:pStyle w:val="TOC2"/>
            <w:tabs>
              <w:tab w:val="right" w:leader="dot" w:pos="10194"/>
            </w:tabs>
            <w:rPr>
              <w:rFonts w:eastAsiaTheme="minorEastAsia"/>
              <w:noProof/>
              <w:color w:val="auto"/>
              <w:sz w:val="22"/>
              <w:szCs w:val="22"/>
              <w:lang w:eastAsia="en-AU"/>
            </w:rPr>
          </w:pPr>
          <w:hyperlink w:anchor="_Toc132807530" w:history="1">
            <w:r w:rsidR="00CF3139" w:rsidRPr="00A7517C">
              <w:rPr>
                <w:rStyle w:val="Hyperlink"/>
                <w:noProof/>
              </w:rPr>
              <w:t>Summary of regulatory impact analysis</w:t>
            </w:r>
            <w:r w:rsidR="00CF3139">
              <w:rPr>
                <w:noProof/>
                <w:webHidden/>
              </w:rPr>
              <w:tab/>
            </w:r>
            <w:r w:rsidR="00CF3139">
              <w:rPr>
                <w:noProof/>
                <w:webHidden/>
              </w:rPr>
              <w:fldChar w:fldCharType="begin"/>
            </w:r>
            <w:r w:rsidR="00CF3139">
              <w:rPr>
                <w:noProof/>
                <w:webHidden/>
              </w:rPr>
              <w:instrText xml:space="preserve"> PAGEREF _Toc132807530 \h </w:instrText>
            </w:r>
            <w:r w:rsidR="00CF3139">
              <w:rPr>
                <w:noProof/>
                <w:webHidden/>
              </w:rPr>
            </w:r>
            <w:r w:rsidR="00CF3139">
              <w:rPr>
                <w:noProof/>
                <w:webHidden/>
              </w:rPr>
              <w:fldChar w:fldCharType="separate"/>
            </w:r>
            <w:r w:rsidR="006B1BEA">
              <w:rPr>
                <w:noProof/>
                <w:webHidden/>
              </w:rPr>
              <w:t>7</w:t>
            </w:r>
            <w:r w:rsidR="00CF3139">
              <w:rPr>
                <w:noProof/>
                <w:webHidden/>
              </w:rPr>
              <w:fldChar w:fldCharType="end"/>
            </w:r>
          </w:hyperlink>
        </w:p>
        <w:p w14:paraId="23FF5E01" w14:textId="4C1B1334" w:rsidR="00CF3139" w:rsidRDefault="001304B5">
          <w:pPr>
            <w:pStyle w:val="TOC1"/>
            <w:rPr>
              <w:rFonts w:eastAsiaTheme="minorEastAsia"/>
              <w:noProof/>
              <w:color w:val="auto"/>
              <w:sz w:val="22"/>
              <w:szCs w:val="22"/>
              <w:lang w:eastAsia="en-AU"/>
            </w:rPr>
          </w:pPr>
          <w:hyperlink w:anchor="_Toc132807531" w:history="1">
            <w:r w:rsidR="00CF3139" w:rsidRPr="00A7517C">
              <w:rPr>
                <w:rStyle w:val="Hyperlink"/>
                <w:noProof/>
              </w:rPr>
              <w:t>Background</w:t>
            </w:r>
            <w:r w:rsidR="00CF3139">
              <w:rPr>
                <w:noProof/>
                <w:webHidden/>
              </w:rPr>
              <w:tab/>
            </w:r>
            <w:r w:rsidR="00CF3139">
              <w:rPr>
                <w:noProof/>
                <w:webHidden/>
              </w:rPr>
              <w:fldChar w:fldCharType="begin"/>
            </w:r>
            <w:r w:rsidR="00CF3139">
              <w:rPr>
                <w:noProof/>
                <w:webHidden/>
              </w:rPr>
              <w:instrText xml:space="preserve"> PAGEREF _Toc132807531 \h </w:instrText>
            </w:r>
            <w:r w:rsidR="00CF3139">
              <w:rPr>
                <w:noProof/>
                <w:webHidden/>
              </w:rPr>
            </w:r>
            <w:r w:rsidR="00CF3139">
              <w:rPr>
                <w:noProof/>
                <w:webHidden/>
              </w:rPr>
              <w:fldChar w:fldCharType="separate"/>
            </w:r>
            <w:r w:rsidR="006B1BEA">
              <w:rPr>
                <w:noProof/>
                <w:webHidden/>
              </w:rPr>
              <w:t>9</w:t>
            </w:r>
            <w:r w:rsidR="00CF3139">
              <w:rPr>
                <w:noProof/>
                <w:webHidden/>
              </w:rPr>
              <w:fldChar w:fldCharType="end"/>
            </w:r>
          </w:hyperlink>
        </w:p>
        <w:p w14:paraId="16C61F46" w14:textId="3FBA3BAC" w:rsidR="00CF3139" w:rsidRDefault="001304B5">
          <w:pPr>
            <w:pStyle w:val="TOC2"/>
            <w:tabs>
              <w:tab w:val="right" w:leader="dot" w:pos="10194"/>
            </w:tabs>
            <w:rPr>
              <w:rFonts w:eastAsiaTheme="minorEastAsia"/>
              <w:noProof/>
              <w:color w:val="auto"/>
              <w:sz w:val="22"/>
              <w:szCs w:val="22"/>
              <w:lang w:eastAsia="en-AU"/>
            </w:rPr>
          </w:pPr>
          <w:hyperlink w:anchor="_Toc132807532" w:history="1">
            <w:r w:rsidR="00CF3139" w:rsidRPr="00A7517C">
              <w:rPr>
                <w:rStyle w:val="Hyperlink"/>
                <w:noProof/>
              </w:rPr>
              <w:t>Current policy settings</w:t>
            </w:r>
            <w:r w:rsidR="00CF3139">
              <w:rPr>
                <w:noProof/>
                <w:webHidden/>
              </w:rPr>
              <w:tab/>
            </w:r>
            <w:r w:rsidR="00CF3139">
              <w:rPr>
                <w:noProof/>
                <w:webHidden/>
              </w:rPr>
              <w:fldChar w:fldCharType="begin"/>
            </w:r>
            <w:r w:rsidR="00CF3139">
              <w:rPr>
                <w:noProof/>
                <w:webHidden/>
              </w:rPr>
              <w:instrText xml:space="preserve"> PAGEREF _Toc132807532 \h </w:instrText>
            </w:r>
            <w:r w:rsidR="00CF3139">
              <w:rPr>
                <w:noProof/>
                <w:webHidden/>
              </w:rPr>
            </w:r>
            <w:r w:rsidR="00CF3139">
              <w:rPr>
                <w:noProof/>
                <w:webHidden/>
              </w:rPr>
              <w:fldChar w:fldCharType="separate"/>
            </w:r>
            <w:r w:rsidR="006B1BEA">
              <w:rPr>
                <w:noProof/>
                <w:webHidden/>
              </w:rPr>
              <w:t>9</w:t>
            </w:r>
            <w:r w:rsidR="00CF3139">
              <w:rPr>
                <w:noProof/>
                <w:webHidden/>
              </w:rPr>
              <w:fldChar w:fldCharType="end"/>
            </w:r>
          </w:hyperlink>
        </w:p>
        <w:p w14:paraId="49AA8686" w14:textId="1F050B31" w:rsidR="00CF3139" w:rsidRDefault="001304B5">
          <w:pPr>
            <w:pStyle w:val="TOC2"/>
            <w:tabs>
              <w:tab w:val="right" w:leader="dot" w:pos="10194"/>
            </w:tabs>
            <w:rPr>
              <w:rFonts w:eastAsiaTheme="minorEastAsia"/>
              <w:noProof/>
              <w:color w:val="auto"/>
              <w:sz w:val="22"/>
              <w:szCs w:val="22"/>
              <w:lang w:eastAsia="en-AU"/>
            </w:rPr>
          </w:pPr>
          <w:hyperlink w:anchor="_Toc132807533" w:history="1">
            <w:r w:rsidR="00CF3139" w:rsidRPr="00A7517C">
              <w:rPr>
                <w:rStyle w:val="Hyperlink"/>
                <w:noProof/>
              </w:rPr>
              <w:t>Coverage threshold</w:t>
            </w:r>
            <w:r w:rsidR="00CF3139">
              <w:rPr>
                <w:noProof/>
                <w:webHidden/>
              </w:rPr>
              <w:tab/>
            </w:r>
            <w:r w:rsidR="00CF3139">
              <w:rPr>
                <w:noProof/>
                <w:webHidden/>
              </w:rPr>
              <w:fldChar w:fldCharType="begin"/>
            </w:r>
            <w:r w:rsidR="00CF3139">
              <w:rPr>
                <w:noProof/>
                <w:webHidden/>
              </w:rPr>
              <w:instrText xml:space="preserve"> PAGEREF _Toc132807533 \h </w:instrText>
            </w:r>
            <w:r w:rsidR="00CF3139">
              <w:rPr>
                <w:noProof/>
                <w:webHidden/>
              </w:rPr>
            </w:r>
            <w:r w:rsidR="00CF3139">
              <w:rPr>
                <w:noProof/>
                <w:webHidden/>
              </w:rPr>
              <w:fldChar w:fldCharType="separate"/>
            </w:r>
            <w:r w:rsidR="006B1BEA">
              <w:rPr>
                <w:noProof/>
                <w:webHidden/>
              </w:rPr>
              <w:t>10</w:t>
            </w:r>
            <w:r w:rsidR="00CF3139">
              <w:rPr>
                <w:noProof/>
                <w:webHidden/>
              </w:rPr>
              <w:fldChar w:fldCharType="end"/>
            </w:r>
          </w:hyperlink>
        </w:p>
        <w:p w14:paraId="2DF7ACD1" w14:textId="2C20E2FD" w:rsidR="00CF3139" w:rsidRDefault="001304B5">
          <w:pPr>
            <w:pStyle w:val="TOC1"/>
            <w:rPr>
              <w:rFonts w:eastAsiaTheme="minorEastAsia"/>
              <w:noProof/>
              <w:color w:val="auto"/>
              <w:sz w:val="22"/>
              <w:szCs w:val="22"/>
              <w:lang w:eastAsia="en-AU"/>
            </w:rPr>
          </w:pPr>
          <w:hyperlink w:anchor="_Toc132807534" w:history="1">
            <w:r w:rsidR="00CF3139" w:rsidRPr="00A7517C">
              <w:rPr>
                <w:rStyle w:val="Hyperlink"/>
                <w:noProof/>
              </w:rPr>
              <w:t>1. What is the problem you are trying to solve?</w:t>
            </w:r>
            <w:r w:rsidR="00CF3139">
              <w:rPr>
                <w:noProof/>
                <w:webHidden/>
              </w:rPr>
              <w:tab/>
            </w:r>
            <w:r w:rsidR="00CF3139">
              <w:rPr>
                <w:noProof/>
                <w:webHidden/>
              </w:rPr>
              <w:fldChar w:fldCharType="begin"/>
            </w:r>
            <w:r w:rsidR="00CF3139">
              <w:rPr>
                <w:noProof/>
                <w:webHidden/>
              </w:rPr>
              <w:instrText xml:space="preserve"> PAGEREF _Toc132807534 \h </w:instrText>
            </w:r>
            <w:r w:rsidR="00CF3139">
              <w:rPr>
                <w:noProof/>
                <w:webHidden/>
              </w:rPr>
            </w:r>
            <w:r w:rsidR="00CF3139">
              <w:rPr>
                <w:noProof/>
                <w:webHidden/>
              </w:rPr>
              <w:fldChar w:fldCharType="separate"/>
            </w:r>
            <w:r w:rsidR="006B1BEA">
              <w:rPr>
                <w:noProof/>
                <w:webHidden/>
              </w:rPr>
              <w:t>11</w:t>
            </w:r>
            <w:r w:rsidR="00CF3139">
              <w:rPr>
                <w:noProof/>
                <w:webHidden/>
              </w:rPr>
              <w:fldChar w:fldCharType="end"/>
            </w:r>
          </w:hyperlink>
        </w:p>
        <w:p w14:paraId="11AD9FE7" w14:textId="7B4D828A" w:rsidR="00CF3139" w:rsidRDefault="001304B5">
          <w:pPr>
            <w:pStyle w:val="TOC2"/>
            <w:tabs>
              <w:tab w:val="right" w:leader="dot" w:pos="10194"/>
            </w:tabs>
            <w:rPr>
              <w:rFonts w:eastAsiaTheme="minorEastAsia"/>
              <w:noProof/>
              <w:color w:val="auto"/>
              <w:sz w:val="22"/>
              <w:szCs w:val="22"/>
              <w:lang w:eastAsia="en-AU"/>
            </w:rPr>
          </w:pPr>
          <w:hyperlink w:anchor="_Toc132807535" w:history="1">
            <w:r w:rsidR="00CF3139" w:rsidRPr="00A7517C">
              <w:rPr>
                <w:rStyle w:val="Hyperlink"/>
                <w:noProof/>
              </w:rPr>
              <w:t>The problem</w:t>
            </w:r>
            <w:r w:rsidR="00CF3139">
              <w:rPr>
                <w:noProof/>
                <w:webHidden/>
              </w:rPr>
              <w:tab/>
            </w:r>
            <w:r w:rsidR="00CF3139">
              <w:rPr>
                <w:noProof/>
                <w:webHidden/>
              </w:rPr>
              <w:fldChar w:fldCharType="begin"/>
            </w:r>
            <w:r w:rsidR="00CF3139">
              <w:rPr>
                <w:noProof/>
                <w:webHidden/>
              </w:rPr>
              <w:instrText xml:space="preserve"> PAGEREF _Toc132807535 \h </w:instrText>
            </w:r>
            <w:r w:rsidR="00CF3139">
              <w:rPr>
                <w:noProof/>
                <w:webHidden/>
              </w:rPr>
            </w:r>
            <w:r w:rsidR="00CF3139">
              <w:rPr>
                <w:noProof/>
                <w:webHidden/>
              </w:rPr>
              <w:fldChar w:fldCharType="separate"/>
            </w:r>
            <w:r w:rsidR="006B1BEA">
              <w:rPr>
                <w:noProof/>
                <w:webHidden/>
              </w:rPr>
              <w:t>11</w:t>
            </w:r>
            <w:r w:rsidR="00CF3139">
              <w:rPr>
                <w:noProof/>
                <w:webHidden/>
              </w:rPr>
              <w:fldChar w:fldCharType="end"/>
            </w:r>
          </w:hyperlink>
        </w:p>
        <w:p w14:paraId="4CDC0974" w14:textId="48730C8E" w:rsidR="00CF3139" w:rsidRDefault="001304B5">
          <w:pPr>
            <w:pStyle w:val="TOC1"/>
            <w:rPr>
              <w:rFonts w:eastAsiaTheme="minorEastAsia"/>
              <w:noProof/>
              <w:color w:val="auto"/>
              <w:sz w:val="22"/>
              <w:szCs w:val="22"/>
              <w:lang w:eastAsia="en-AU"/>
            </w:rPr>
          </w:pPr>
          <w:hyperlink w:anchor="_Toc132807536" w:history="1">
            <w:r w:rsidR="00CF3139" w:rsidRPr="00A7517C">
              <w:rPr>
                <w:rStyle w:val="Hyperlink"/>
                <w:noProof/>
              </w:rPr>
              <w:t>2. Why is Government action needed?</w:t>
            </w:r>
            <w:r w:rsidR="00CF3139">
              <w:rPr>
                <w:noProof/>
                <w:webHidden/>
              </w:rPr>
              <w:tab/>
            </w:r>
            <w:r w:rsidR="00CF3139">
              <w:rPr>
                <w:noProof/>
                <w:webHidden/>
              </w:rPr>
              <w:fldChar w:fldCharType="begin"/>
            </w:r>
            <w:r w:rsidR="00CF3139">
              <w:rPr>
                <w:noProof/>
                <w:webHidden/>
              </w:rPr>
              <w:instrText xml:space="preserve"> PAGEREF _Toc132807536 \h </w:instrText>
            </w:r>
            <w:r w:rsidR="00CF3139">
              <w:rPr>
                <w:noProof/>
                <w:webHidden/>
              </w:rPr>
            </w:r>
            <w:r w:rsidR="00CF3139">
              <w:rPr>
                <w:noProof/>
                <w:webHidden/>
              </w:rPr>
              <w:fldChar w:fldCharType="separate"/>
            </w:r>
            <w:r w:rsidR="006B1BEA">
              <w:rPr>
                <w:noProof/>
                <w:webHidden/>
              </w:rPr>
              <w:t>13</w:t>
            </w:r>
            <w:r w:rsidR="00CF3139">
              <w:rPr>
                <w:noProof/>
                <w:webHidden/>
              </w:rPr>
              <w:fldChar w:fldCharType="end"/>
            </w:r>
          </w:hyperlink>
        </w:p>
        <w:p w14:paraId="30638B3F" w14:textId="620E2701" w:rsidR="00CF3139" w:rsidRDefault="001304B5">
          <w:pPr>
            <w:pStyle w:val="TOC1"/>
            <w:rPr>
              <w:rFonts w:eastAsiaTheme="minorEastAsia"/>
              <w:noProof/>
              <w:color w:val="auto"/>
              <w:sz w:val="22"/>
              <w:szCs w:val="22"/>
              <w:lang w:eastAsia="en-AU"/>
            </w:rPr>
          </w:pPr>
          <w:hyperlink w:anchor="_Toc132807537" w:history="1">
            <w:r w:rsidR="00CF3139" w:rsidRPr="00A7517C">
              <w:rPr>
                <w:rStyle w:val="Hyperlink"/>
                <w:noProof/>
              </w:rPr>
              <w:t>3. What policy options are you considering?</w:t>
            </w:r>
            <w:r w:rsidR="00CF3139">
              <w:rPr>
                <w:noProof/>
                <w:webHidden/>
              </w:rPr>
              <w:tab/>
            </w:r>
            <w:r w:rsidR="00CF3139">
              <w:rPr>
                <w:noProof/>
                <w:webHidden/>
              </w:rPr>
              <w:fldChar w:fldCharType="begin"/>
            </w:r>
            <w:r w:rsidR="00CF3139">
              <w:rPr>
                <w:noProof/>
                <w:webHidden/>
              </w:rPr>
              <w:instrText xml:space="preserve"> PAGEREF _Toc132807537 \h </w:instrText>
            </w:r>
            <w:r w:rsidR="00CF3139">
              <w:rPr>
                <w:noProof/>
                <w:webHidden/>
              </w:rPr>
            </w:r>
            <w:r w:rsidR="00CF3139">
              <w:rPr>
                <w:noProof/>
                <w:webHidden/>
              </w:rPr>
              <w:fldChar w:fldCharType="separate"/>
            </w:r>
            <w:r w:rsidR="006B1BEA">
              <w:rPr>
                <w:noProof/>
                <w:webHidden/>
              </w:rPr>
              <w:t>15</w:t>
            </w:r>
            <w:r w:rsidR="00CF3139">
              <w:rPr>
                <w:noProof/>
                <w:webHidden/>
              </w:rPr>
              <w:fldChar w:fldCharType="end"/>
            </w:r>
          </w:hyperlink>
        </w:p>
        <w:p w14:paraId="75E1BD23" w14:textId="181DF12F" w:rsidR="00CF3139" w:rsidRDefault="001304B5">
          <w:pPr>
            <w:pStyle w:val="TOC2"/>
            <w:tabs>
              <w:tab w:val="right" w:leader="dot" w:pos="10194"/>
            </w:tabs>
            <w:rPr>
              <w:rFonts w:eastAsiaTheme="minorEastAsia"/>
              <w:noProof/>
              <w:color w:val="auto"/>
              <w:sz w:val="22"/>
              <w:szCs w:val="22"/>
              <w:lang w:eastAsia="en-AU"/>
            </w:rPr>
          </w:pPr>
          <w:hyperlink w:anchor="_Toc132807538" w:history="1">
            <w:r w:rsidR="00CF3139" w:rsidRPr="00A7517C">
              <w:rPr>
                <w:rStyle w:val="Hyperlink"/>
                <w:noProof/>
              </w:rPr>
              <w:t>Overview of policy options</w:t>
            </w:r>
            <w:r w:rsidR="00CF3139">
              <w:rPr>
                <w:noProof/>
                <w:webHidden/>
              </w:rPr>
              <w:tab/>
            </w:r>
            <w:r w:rsidR="00CF3139">
              <w:rPr>
                <w:noProof/>
                <w:webHidden/>
              </w:rPr>
              <w:fldChar w:fldCharType="begin"/>
            </w:r>
            <w:r w:rsidR="00CF3139">
              <w:rPr>
                <w:noProof/>
                <w:webHidden/>
              </w:rPr>
              <w:instrText xml:space="preserve"> PAGEREF _Toc132807538 \h </w:instrText>
            </w:r>
            <w:r w:rsidR="00CF3139">
              <w:rPr>
                <w:noProof/>
                <w:webHidden/>
              </w:rPr>
            </w:r>
            <w:r w:rsidR="00CF3139">
              <w:rPr>
                <w:noProof/>
                <w:webHidden/>
              </w:rPr>
              <w:fldChar w:fldCharType="separate"/>
            </w:r>
            <w:r w:rsidR="006B1BEA">
              <w:rPr>
                <w:noProof/>
                <w:webHidden/>
              </w:rPr>
              <w:t>15</w:t>
            </w:r>
            <w:r w:rsidR="00CF3139">
              <w:rPr>
                <w:noProof/>
                <w:webHidden/>
              </w:rPr>
              <w:fldChar w:fldCharType="end"/>
            </w:r>
          </w:hyperlink>
        </w:p>
        <w:p w14:paraId="7021CBF7" w14:textId="2923A999" w:rsidR="00CF3139" w:rsidRDefault="001304B5">
          <w:pPr>
            <w:pStyle w:val="TOC2"/>
            <w:tabs>
              <w:tab w:val="right" w:leader="dot" w:pos="10194"/>
            </w:tabs>
            <w:rPr>
              <w:rFonts w:eastAsiaTheme="minorEastAsia"/>
              <w:noProof/>
              <w:color w:val="auto"/>
              <w:sz w:val="22"/>
              <w:szCs w:val="22"/>
              <w:lang w:eastAsia="en-AU"/>
            </w:rPr>
          </w:pPr>
          <w:hyperlink w:anchor="_Toc132807539" w:history="1">
            <w:r w:rsidR="00CF3139" w:rsidRPr="00A7517C">
              <w:rPr>
                <w:rStyle w:val="Hyperlink"/>
                <w:noProof/>
              </w:rPr>
              <w:t>Policy elements</w:t>
            </w:r>
            <w:r w:rsidR="00CF3139">
              <w:rPr>
                <w:noProof/>
                <w:webHidden/>
              </w:rPr>
              <w:tab/>
            </w:r>
            <w:r w:rsidR="00CF3139">
              <w:rPr>
                <w:noProof/>
                <w:webHidden/>
              </w:rPr>
              <w:fldChar w:fldCharType="begin"/>
            </w:r>
            <w:r w:rsidR="00CF3139">
              <w:rPr>
                <w:noProof/>
                <w:webHidden/>
              </w:rPr>
              <w:instrText xml:space="preserve"> PAGEREF _Toc132807539 \h </w:instrText>
            </w:r>
            <w:r w:rsidR="00CF3139">
              <w:rPr>
                <w:noProof/>
                <w:webHidden/>
              </w:rPr>
            </w:r>
            <w:r w:rsidR="00CF3139">
              <w:rPr>
                <w:noProof/>
                <w:webHidden/>
              </w:rPr>
              <w:fldChar w:fldCharType="separate"/>
            </w:r>
            <w:r w:rsidR="006B1BEA">
              <w:rPr>
                <w:noProof/>
                <w:webHidden/>
              </w:rPr>
              <w:t>16</w:t>
            </w:r>
            <w:r w:rsidR="00CF3139">
              <w:rPr>
                <w:noProof/>
                <w:webHidden/>
              </w:rPr>
              <w:fldChar w:fldCharType="end"/>
            </w:r>
          </w:hyperlink>
        </w:p>
        <w:p w14:paraId="5B9AC46E" w14:textId="7C0EDE21" w:rsidR="00CF3139" w:rsidRDefault="001304B5">
          <w:pPr>
            <w:pStyle w:val="TOC3"/>
            <w:rPr>
              <w:rFonts w:eastAsiaTheme="minorEastAsia"/>
              <w:noProof/>
              <w:color w:val="auto"/>
              <w:sz w:val="22"/>
              <w:szCs w:val="22"/>
              <w:lang w:eastAsia="en-AU"/>
            </w:rPr>
          </w:pPr>
          <w:hyperlink w:anchor="_Toc132807540" w:history="1">
            <w:r w:rsidR="00CF3139" w:rsidRPr="00A7517C">
              <w:rPr>
                <w:rStyle w:val="Hyperlink"/>
                <w:noProof/>
              </w:rPr>
              <w:t>Safeguard Mechanism emissions target</w:t>
            </w:r>
            <w:r w:rsidR="00CF3139">
              <w:rPr>
                <w:noProof/>
                <w:webHidden/>
              </w:rPr>
              <w:tab/>
            </w:r>
            <w:r w:rsidR="00CF3139">
              <w:rPr>
                <w:noProof/>
                <w:webHidden/>
              </w:rPr>
              <w:fldChar w:fldCharType="begin"/>
            </w:r>
            <w:r w:rsidR="00CF3139">
              <w:rPr>
                <w:noProof/>
                <w:webHidden/>
              </w:rPr>
              <w:instrText xml:space="preserve"> PAGEREF _Toc132807540 \h </w:instrText>
            </w:r>
            <w:r w:rsidR="00CF3139">
              <w:rPr>
                <w:noProof/>
                <w:webHidden/>
              </w:rPr>
            </w:r>
            <w:r w:rsidR="00CF3139">
              <w:rPr>
                <w:noProof/>
                <w:webHidden/>
              </w:rPr>
              <w:fldChar w:fldCharType="separate"/>
            </w:r>
            <w:r w:rsidR="006B1BEA">
              <w:rPr>
                <w:noProof/>
                <w:webHidden/>
              </w:rPr>
              <w:t>16</w:t>
            </w:r>
            <w:r w:rsidR="00CF3139">
              <w:rPr>
                <w:noProof/>
                <w:webHidden/>
              </w:rPr>
              <w:fldChar w:fldCharType="end"/>
            </w:r>
          </w:hyperlink>
        </w:p>
        <w:p w14:paraId="5B6E99FC" w14:textId="5662AC64" w:rsidR="00CF3139" w:rsidRDefault="001304B5">
          <w:pPr>
            <w:pStyle w:val="TOC3"/>
            <w:rPr>
              <w:rFonts w:eastAsiaTheme="minorEastAsia"/>
              <w:noProof/>
              <w:color w:val="auto"/>
              <w:sz w:val="22"/>
              <w:szCs w:val="22"/>
              <w:lang w:eastAsia="en-AU"/>
            </w:rPr>
          </w:pPr>
          <w:hyperlink w:anchor="_Toc132807541" w:history="1">
            <w:r w:rsidR="00CF3139" w:rsidRPr="00A7517C">
              <w:rPr>
                <w:rStyle w:val="Hyperlink"/>
                <w:noProof/>
              </w:rPr>
              <w:t>Implementation and evaluation</w:t>
            </w:r>
            <w:r w:rsidR="00CF3139">
              <w:rPr>
                <w:noProof/>
                <w:webHidden/>
              </w:rPr>
              <w:tab/>
            </w:r>
            <w:r w:rsidR="00CF3139">
              <w:rPr>
                <w:noProof/>
                <w:webHidden/>
              </w:rPr>
              <w:fldChar w:fldCharType="begin"/>
            </w:r>
            <w:r w:rsidR="00CF3139">
              <w:rPr>
                <w:noProof/>
                <w:webHidden/>
              </w:rPr>
              <w:instrText xml:space="preserve"> PAGEREF _Toc132807541 \h </w:instrText>
            </w:r>
            <w:r w:rsidR="00CF3139">
              <w:rPr>
                <w:noProof/>
                <w:webHidden/>
              </w:rPr>
            </w:r>
            <w:r w:rsidR="00CF3139">
              <w:rPr>
                <w:noProof/>
                <w:webHidden/>
              </w:rPr>
              <w:fldChar w:fldCharType="separate"/>
            </w:r>
            <w:r w:rsidR="006B1BEA">
              <w:rPr>
                <w:noProof/>
                <w:webHidden/>
              </w:rPr>
              <w:t>17</w:t>
            </w:r>
            <w:r w:rsidR="00CF3139">
              <w:rPr>
                <w:noProof/>
                <w:webHidden/>
              </w:rPr>
              <w:fldChar w:fldCharType="end"/>
            </w:r>
          </w:hyperlink>
        </w:p>
        <w:p w14:paraId="3D163336" w14:textId="54ECD55A" w:rsidR="00CF3139" w:rsidRDefault="001304B5">
          <w:pPr>
            <w:pStyle w:val="TOC3"/>
            <w:rPr>
              <w:rFonts w:eastAsiaTheme="minorEastAsia"/>
              <w:noProof/>
              <w:color w:val="auto"/>
              <w:sz w:val="22"/>
              <w:szCs w:val="22"/>
              <w:lang w:eastAsia="en-AU"/>
            </w:rPr>
          </w:pPr>
          <w:hyperlink w:anchor="_Toc132807542" w:history="1">
            <w:r w:rsidR="00CF3139" w:rsidRPr="00A7517C">
              <w:rPr>
                <w:rStyle w:val="Hyperlink"/>
                <w:noProof/>
              </w:rPr>
              <w:t>Baselines</w:t>
            </w:r>
            <w:r w:rsidR="00CF3139">
              <w:rPr>
                <w:noProof/>
                <w:webHidden/>
              </w:rPr>
              <w:tab/>
            </w:r>
            <w:r w:rsidR="00CF3139">
              <w:rPr>
                <w:noProof/>
                <w:webHidden/>
              </w:rPr>
              <w:fldChar w:fldCharType="begin"/>
            </w:r>
            <w:r w:rsidR="00CF3139">
              <w:rPr>
                <w:noProof/>
                <w:webHidden/>
              </w:rPr>
              <w:instrText xml:space="preserve"> PAGEREF _Toc132807542 \h </w:instrText>
            </w:r>
            <w:r w:rsidR="00CF3139">
              <w:rPr>
                <w:noProof/>
                <w:webHidden/>
              </w:rPr>
            </w:r>
            <w:r w:rsidR="00CF3139">
              <w:rPr>
                <w:noProof/>
                <w:webHidden/>
              </w:rPr>
              <w:fldChar w:fldCharType="separate"/>
            </w:r>
            <w:r w:rsidR="006B1BEA">
              <w:rPr>
                <w:noProof/>
                <w:webHidden/>
              </w:rPr>
              <w:t>17</w:t>
            </w:r>
            <w:r w:rsidR="00CF3139">
              <w:rPr>
                <w:noProof/>
                <w:webHidden/>
              </w:rPr>
              <w:fldChar w:fldCharType="end"/>
            </w:r>
          </w:hyperlink>
        </w:p>
        <w:p w14:paraId="17B77038" w14:textId="25E9843F" w:rsidR="00CF3139" w:rsidRDefault="001304B5">
          <w:pPr>
            <w:pStyle w:val="TOC3"/>
            <w:rPr>
              <w:rFonts w:eastAsiaTheme="minorEastAsia"/>
              <w:noProof/>
              <w:color w:val="auto"/>
              <w:sz w:val="22"/>
              <w:szCs w:val="22"/>
              <w:lang w:eastAsia="en-AU"/>
            </w:rPr>
          </w:pPr>
          <w:hyperlink w:anchor="_Toc132807543" w:history="1">
            <w:r w:rsidR="00CF3139" w:rsidRPr="00A7517C">
              <w:rPr>
                <w:rStyle w:val="Hyperlink"/>
                <w:noProof/>
              </w:rPr>
              <w:t>Flexible compliance options</w:t>
            </w:r>
            <w:r w:rsidR="00CF3139">
              <w:rPr>
                <w:noProof/>
                <w:webHidden/>
              </w:rPr>
              <w:tab/>
            </w:r>
            <w:r w:rsidR="00CF3139">
              <w:rPr>
                <w:noProof/>
                <w:webHidden/>
              </w:rPr>
              <w:fldChar w:fldCharType="begin"/>
            </w:r>
            <w:r w:rsidR="00CF3139">
              <w:rPr>
                <w:noProof/>
                <w:webHidden/>
              </w:rPr>
              <w:instrText xml:space="preserve"> PAGEREF _Toc132807543 \h </w:instrText>
            </w:r>
            <w:r w:rsidR="00CF3139">
              <w:rPr>
                <w:noProof/>
                <w:webHidden/>
              </w:rPr>
            </w:r>
            <w:r w:rsidR="00CF3139">
              <w:rPr>
                <w:noProof/>
                <w:webHidden/>
              </w:rPr>
              <w:fldChar w:fldCharType="separate"/>
            </w:r>
            <w:r w:rsidR="006B1BEA">
              <w:rPr>
                <w:noProof/>
                <w:webHidden/>
              </w:rPr>
              <w:t>19</w:t>
            </w:r>
            <w:r w:rsidR="00CF3139">
              <w:rPr>
                <w:noProof/>
                <w:webHidden/>
              </w:rPr>
              <w:fldChar w:fldCharType="end"/>
            </w:r>
          </w:hyperlink>
        </w:p>
        <w:p w14:paraId="7358C066" w14:textId="321C596B" w:rsidR="00CF3139" w:rsidRDefault="001304B5">
          <w:pPr>
            <w:pStyle w:val="TOC3"/>
            <w:rPr>
              <w:rFonts w:eastAsiaTheme="minorEastAsia"/>
              <w:noProof/>
              <w:color w:val="auto"/>
              <w:sz w:val="22"/>
              <w:szCs w:val="22"/>
              <w:lang w:eastAsia="en-AU"/>
            </w:rPr>
          </w:pPr>
          <w:hyperlink w:anchor="_Toc132807544" w:history="1">
            <w:r w:rsidR="00CF3139" w:rsidRPr="00A7517C">
              <w:rPr>
                <w:rStyle w:val="Hyperlink"/>
                <w:noProof/>
              </w:rPr>
              <w:t>Emissions-intensive, trade-exposed (EITE) designation and assistance</w:t>
            </w:r>
            <w:r w:rsidR="00CF3139">
              <w:rPr>
                <w:noProof/>
                <w:webHidden/>
              </w:rPr>
              <w:tab/>
            </w:r>
            <w:r w:rsidR="00CF3139">
              <w:rPr>
                <w:noProof/>
                <w:webHidden/>
              </w:rPr>
              <w:fldChar w:fldCharType="begin"/>
            </w:r>
            <w:r w:rsidR="00CF3139">
              <w:rPr>
                <w:noProof/>
                <w:webHidden/>
              </w:rPr>
              <w:instrText xml:space="preserve"> PAGEREF _Toc132807544 \h </w:instrText>
            </w:r>
            <w:r w:rsidR="00CF3139">
              <w:rPr>
                <w:noProof/>
                <w:webHidden/>
              </w:rPr>
            </w:r>
            <w:r w:rsidR="00CF3139">
              <w:rPr>
                <w:noProof/>
                <w:webHidden/>
              </w:rPr>
              <w:fldChar w:fldCharType="separate"/>
            </w:r>
            <w:r w:rsidR="006B1BEA">
              <w:rPr>
                <w:noProof/>
                <w:webHidden/>
              </w:rPr>
              <w:t>20</w:t>
            </w:r>
            <w:r w:rsidR="00CF3139">
              <w:rPr>
                <w:noProof/>
                <w:webHidden/>
              </w:rPr>
              <w:fldChar w:fldCharType="end"/>
            </w:r>
          </w:hyperlink>
        </w:p>
        <w:p w14:paraId="2EDA01C4" w14:textId="5EFF7459" w:rsidR="00CF3139" w:rsidRDefault="001304B5">
          <w:pPr>
            <w:pStyle w:val="TOC3"/>
            <w:rPr>
              <w:rFonts w:eastAsiaTheme="minorEastAsia"/>
              <w:noProof/>
              <w:color w:val="auto"/>
              <w:sz w:val="22"/>
              <w:szCs w:val="22"/>
              <w:lang w:eastAsia="en-AU"/>
            </w:rPr>
          </w:pPr>
          <w:hyperlink w:anchor="_Toc132807545" w:history="1">
            <w:r w:rsidR="00CF3139" w:rsidRPr="00A7517C">
              <w:rPr>
                <w:rStyle w:val="Hyperlink"/>
                <w:noProof/>
              </w:rPr>
              <w:t>Other assistance</w:t>
            </w:r>
            <w:r w:rsidR="00CF3139">
              <w:rPr>
                <w:noProof/>
                <w:webHidden/>
              </w:rPr>
              <w:tab/>
            </w:r>
            <w:r w:rsidR="00CF3139">
              <w:rPr>
                <w:noProof/>
                <w:webHidden/>
              </w:rPr>
              <w:fldChar w:fldCharType="begin"/>
            </w:r>
            <w:r w:rsidR="00CF3139">
              <w:rPr>
                <w:noProof/>
                <w:webHidden/>
              </w:rPr>
              <w:instrText xml:space="preserve"> PAGEREF _Toc132807545 \h </w:instrText>
            </w:r>
            <w:r w:rsidR="00CF3139">
              <w:rPr>
                <w:noProof/>
                <w:webHidden/>
              </w:rPr>
            </w:r>
            <w:r w:rsidR="00CF3139">
              <w:rPr>
                <w:noProof/>
                <w:webHidden/>
              </w:rPr>
              <w:fldChar w:fldCharType="separate"/>
            </w:r>
            <w:r w:rsidR="006B1BEA">
              <w:rPr>
                <w:noProof/>
                <w:webHidden/>
              </w:rPr>
              <w:t>21</w:t>
            </w:r>
            <w:r w:rsidR="00CF3139">
              <w:rPr>
                <w:noProof/>
                <w:webHidden/>
              </w:rPr>
              <w:fldChar w:fldCharType="end"/>
            </w:r>
          </w:hyperlink>
        </w:p>
        <w:p w14:paraId="7C8287A7" w14:textId="44309DA4" w:rsidR="00CF3139" w:rsidRDefault="001304B5">
          <w:pPr>
            <w:pStyle w:val="TOC1"/>
            <w:rPr>
              <w:rFonts w:eastAsiaTheme="minorEastAsia"/>
              <w:noProof/>
              <w:color w:val="auto"/>
              <w:sz w:val="22"/>
              <w:szCs w:val="22"/>
              <w:lang w:eastAsia="en-AU"/>
            </w:rPr>
          </w:pPr>
          <w:hyperlink w:anchor="_Toc132807546" w:history="1">
            <w:r w:rsidR="00CF3139" w:rsidRPr="00A7517C">
              <w:rPr>
                <w:rStyle w:val="Hyperlink"/>
                <w:noProof/>
              </w:rPr>
              <w:t>4. What is the likely net benefit of each option?</w:t>
            </w:r>
            <w:r w:rsidR="00CF3139">
              <w:rPr>
                <w:noProof/>
                <w:webHidden/>
              </w:rPr>
              <w:tab/>
            </w:r>
            <w:r w:rsidR="00CF3139">
              <w:rPr>
                <w:noProof/>
                <w:webHidden/>
              </w:rPr>
              <w:fldChar w:fldCharType="begin"/>
            </w:r>
            <w:r w:rsidR="00CF3139">
              <w:rPr>
                <w:noProof/>
                <w:webHidden/>
              </w:rPr>
              <w:instrText xml:space="preserve"> PAGEREF _Toc132807546 \h </w:instrText>
            </w:r>
            <w:r w:rsidR="00CF3139">
              <w:rPr>
                <w:noProof/>
                <w:webHidden/>
              </w:rPr>
            </w:r>
            <w:r w:rsidR="00CF3139">
              <w:rPr>
                <w:noProof/>
                <w:webHidden/>
              </w:rPr>
              <w:fldChar w:fldCharType="separate"/>
            </w:r>
            <w:r w:rsidR="006B1BEA">
              <w:rPr>
                <w:noProof/>
                <w:webHidden/>
              </w:rPr>
              <w:t>26</w:t>
            </w:r>
            <w:r w:rsidR="00CF3139">
              <w:rPr>
                <w:noProof/>
                <w:webHidden/>
              </w:rPr>
              <w:fldChar w:fldCharType="end"/>
            </w:r>
          </w:hyperlink>
        </w:p>
        <w:p w14:paraId="369B0E80" w14:textId="75769104" w:rsidR="00CF3139" w:rsidRDefault="001304B5">
          <w:pPr>
            <w:pStyle w:val="TOC2"/>
            <w:tabs>
              <w:tab w:val="right" w:leader="dot" w:pos="10194"/>
            </w:tabs>
            <w:rPr>
              <w:rFonts w:eastAsiaTheme="minorEastAsia"/>
              <w:noProof/>
              <w:color w:val="auto"/>
              <w:sz w:val="22"/>
              <w:szCs w:val="22"/>
              <w:lang w:eastAsia="en-AU"/>
            </w:rPr>
          </w:pPr>
          <w:hyperlink w:anchor="_Toc132807547" w:history="1">
            <w:r w:rsidR="00CF3139" w:rsidRPr="00A7517C">
              <w:rPr>
                <w:rStyle w:val="Hyperlink"/>
                <w:noProof/>
              </w:rPr>
              <w:t>Impact analysis</w:t>
            </w:r>
            <w:r w:rsidR="00CF3139">
              <w:rPr>
                <w:noProof/>
                <w:webHidden/>
              </w:rPr>
              <w:tab/>
            </w:r>
            <w:r w:rsidR="00CF3139">
              <w:rPr>
                <w:noProof/>
                <w:webHidden/>
              </w:rPr>
              <w:fldChar w:fldCharType="begin"/>
            </w:r>
            <w:r w:rsidR="00CF3139">
              <w:rPr>
                <w:noProof/>
                <w:webHidden/>
              </w:rPr>
              <w:instrText xml:space="preserve"> PAGEREF _Toc132807547 \h </w:instrText>
            </w:r>
            <w:r w:rsidR="00CF3139">
              <w:rPr>
                <w:noProof/>
                <w:webHidden/>
              </w:rPr>
            </w:r>
            <w:r w:rsidR="00CF3139">
              <w:rPr>
                <w:noProof/>
                <w:webHidden/>
              </w:rPr>
              <w:fldChar w:fldCharType="separate"/>
            </w:r>
            <w:r w:rsidR="006B1BEA">
              <w:rPr>
                <w:noProof/>
                <w:webHidden/>
              </w:rPr>
              <w:t>26</w:t>
            </w:r>
            <w:r w:rsidR="00CF3139">
              <w:rPr>
                <w:noProof/>
                <w:webHidden/>
              </w:rPr>
              <w:fldChar w:fldCharType="end"/>
            </w:r>
          </w:hyperlink>
        </w:p>
        <w:p w14:paraId="75880FA6" w14:textId="51D86755" w:rsidR="00CF3139" w:rsidRDefault="001304B5">
          <w:pPr>
            <w:pStyle w:val="TOC3"/>
            <w:rPr>
              <w:rFonts w:eastAsiaTheme="minorEastAsia"/>
              <w:noProof/>
              <w:color w:val="auto"/>
              <w:sz w:val="22"/>
              <w:szCs w:val="22"/>
              <w:lang w:eastAsia="en-AU"/>
            </w:rPr>
          </w:pPr>
          <w:hyperlink w:anchor="_Toc132807548" w:history="1">
            <w:r w:rsidR="00CF3139" w:rsidRPr="00A7517C">
              <w:rPr>
                <w:rStyle w:val="Hyperlink"/>
                <w:noProof/>
              </w:rPr>
              <w:t>Policy certainty</w:t>
            </w:r>
            <w:r w:rsidR="00CF3139">
              <w:rPr>
                <w:noProof/>
                <w:webHidden/>
              </w:rPr>
              <w:tab/>
            </w:r>
            <w:r w:rsidR="00CF3139">
              <w:rPr>
                <w:noProof/>
                <w:webHidden/>
              </w:rPr>
              <w:fldChar w:fldCharType="begin"/>
            </w:r>
            <w:r w:rsidR="00CF3139">
              <w:rPr>
                <w:noProof/>
                <w:webHidden/>
              </w:rPr>
              <w:instrText xml:space="preserve"> PAGEREF _Toc132807548 \h </w:instrText>
            </w:r>
            <w:r w:rsidR="00CF3139">
              <w:rPr>
                <w:noProof/>
                <w:webHidden/>
              </w:rPr>
            </w:r>
            <w:r w:rsidR="00CF3139">
              <w:rPr>
                <w:noProof/>
                <w:webHidden/>
              </w:rPr>
              <w:fldChar w:fldCharType="separate"/>
            </w:r>
            <w:r w:rsidR="006B1BEA">
              <w:rPr>
                <w:noProof/>
                <w:webHidden/>
              </w:rPr>
              <w:t>27</w:t>
            </w:r>
            <w:r w:rsidR="00CF3139">
              <w:rPr>
                <w:noProof/>
                <w:webHidden/>
              </w:rPr>
              <w:fldChar w:fldCharType="end"/>
            </w:r>
          </w:hyperlink>
        </w:p>
        <w:p w14:paraId="7FCD5A9F" w14:textId="4164006F" w:rsidR="00CF3139" w:rsidRDefault="001304B5">
          <w:pPr>
            <w:pStyle w:val="TOC3"/>
            <w:rPr>
              <w:rFonts w:eastAsiaTheme="minorEastAsia"/>
              <w:noProof/>
              <w:color w:val="auto"/>
              <w:sz w:val="22"/>
              <w:szCs w:val="22"/>
              <w:lang w:eastAsia="en-AU"/>
            </w:rPr>
          </w:pPr>
          <w:hyperlink w:anchor="_Toc132807549" w:history="1">
            <w:r w:rsidR="00CF3139" w:rsidRPr="00A7517C">
              <w:rPr>
                <w:rStyle w:val="Hyperlink"/>
                <w:noProof/>
              </w:rPr>
              <w:t>Competitiveness, trade and cost of borrowing</w:t>
            </w:r>
            <w:r w:rsidR="00CF3139">
              <w:rPr>
                <w:noProof/>
                <w:webHidden/>
              </w:rPr>
              <w:tab/>
            </w:r>
            <w:r w:rsidR="00CF3139">
              <w:rPr>
                <w:noProof/>
                <w:webHidden/>
              </w:rPr>
              <w:fldChar w:fldCharType="begin"/>
            </w:r>
            <w:r w:rsidR="00CF3139">
              <w:rPr>
                <w:noProof/>
                <w:webHidden/>
              </w:rPr>
              <w:instrText xml:space="preserve"> PAGEREF _Toc132807549 \h </w:instrText>
            </w:r>
            <w:r w:rsidR="00CF3139">
              <w:rPr>
                <w:noProof/>
                <w:webHidden/>
              </w:rPr>
            </w:r>
            <w:r w:rsidR="00CF3139">
              <w:rPr>
                <w:noProof/>
                <w:webHidden/>
              </w:rPr>
              <w:fldChar w:fldCharType="separate"/>
            </w:r>
            <w:r w:rsidR="006B1BEA">
              <w:rPr>
                <w:noProof/>
                <w:webHidden/>
              </w:rPr>
              <w:t>27</w:t>
            </w:r>
            <w:r w:rsidR="00CF3139">
              <w:rPr>
                <w:noProof/>
                <w:webHidden/>
              </w:rPr>
              <w:fldChar w:fldCharType="end"/>
            </w:r>
          </w:hyperlink>
        </w:p>
        <w:p w14:paraId="041A87C4" w14:textId="56AF90B7" w:rsidR="00CF3139" w:rsidRDefault="001304B5">
          <w:pPr>
            <w:pStyle w:val="TOC3"/>
            <w:rPr>
              <w:rFonts w:eastAsiaTheme="minorEastAsia"/>
              <w:noProof/>
              <w:color w:val="auto"/>
              <w:sz w:val="22"/>
              <w:szCs w:val="22"/>
              <w:lang w:eastAsia="en-AU"/>
            </w:rPr>
          </w:pPr>
          <w:hyperlink w:anchor="_Toc132807550" w:history="1">
            <w:r w:rsidR="00CF3139" w:rsidRPr="00A7517C">
              <w:rPr>
                <w:rStyle w:val="Hyperlink"/>
                <w:noProof/>
              </w:rPr>
              <w:t>Green premiums</w:t>
            </w:r>
            <w:r w:rsidR="00CF3139">
              <w:rPr>
                <w:noProof/>
                <w:webHidden/>
              </w:rPr>
              <w:tab/>
            </w:r>
            <w:r w:rsidR="00CF3139">
              <w:rPr>
                <w:noProof/>
                <w:webHidden/>
              </w:rPr>
              <w:fldChar w:fldCharType="begin"/>
            </w:r>
            <w:r w:rsidR="00CF3139">
              <w:rPr>
                <w:noProof/>
                <w:webHidden/>
              </w:rPr>
              <w:instrText xml:space="preserve"> PAGEREF _Toc132807550 \h </w:instrText>
            </w:r>
            <w:r w:rsidR="00CF3139">
              <w:rPr>
                <w:noProof/>
                <w:webHidden/>
              </w:rPr>
            </w:r>
            <w:r w:rsidR="00CF3139">
              <w:rPr>
                <w:noProof/>
                <w:webHidden/>
              </w:rPr>
              <w:fldChar w:fldCharType="separate"/>
            </w:r>
            <w:r w:rsidR="006B1BEA">
              <w:rPr>
                <w:noProof/>
                <w:webHidden/>
              </w:rPr>
              <w:t>27</w:t>
            </w:r>
            <w:r w:rsidR="00CF3139">
              <w:rPr>
                <w:noProof/>
                <w:webHidden/>
              </w:rPr>
              <w:fldChar w:fldCharType="end"/>
            </w:r>
          </w:hyperlink>
        </w:p>
        <w:p w14:paraId="08D72361" w14:textId="5078CEB4" w:rsidR="00CF3139" w:rsidRDefault="001304B5">
          <w:pPr>
            <w:pStyle w:val="TOC3"/>
            <w:rPr>
              <w:rFonts w:eastAsiaTheme="minorEastAsia"/>
              <w:noProof/>
              <w:color w:val="auto"/>
              <w:sz w:val="22"/>
              <w:szCs w:val="22"/>
              <w:lang w:eastAsia="en-AU"/>
            </w:rPr>
          </w:pPr>
          <w:hyperlink w:anchor="_Toc132807551" w:history="1">
            <w:r w:rsidR="00CF3139" w:rsidRPr="00A7517C">
              <w:rPr>
                <w:rStyle w:val="Hyperlink"/>
                <w:noProof/>
              </w:rPr>
              <w:t>Domestic carbon market co-benefits</w:t>
            </w:r>
            <w:r w:rsidR="00CF3139">
              <w:rPr>
                <w:noProof/>
                <w:webHidden/>
              </w:rPr>
              <w:tab/>
            </w:r>
            <w:r w:rsidR="00CF3139">
              <w:rPr>
                <w:noProof/>
                <w:webHidden/>
              </w:rPr>
              <w:fldChar w:fldCharType="begin"/>
            </w:r>
            <w:r w:rsidR="00CF3139">
              <w:rPr>
                <w:noProof/>
                <w:webHidden/>
              </w:rPr>
              <w:instrText xml:space="preserve"> PAGEREF _Toc132807551 \h </w:instrText>
            </w:r>
            <w:r w:rsidR="00CF3139">
              <w:rPr>
                <w:noProof/>
                <w:webHidden/>
              </w:rPr>
            </w:r>
            <w:r w:rsidR="00CF3139">
              <w:rPr>
                <w:noProof/>
                <w:webHidden/>
              </w:rPr>
              <w:fldChar w:fldCharType="separate"/>
            </w:r>
            <w:r w:rsidR="006B1BEA">
              <w:rPr>
                <w:noProof/>
                <w:webHidden/>
              </w:rPr>
              <w:t>28</w:t>
            </w:r>
            <w:r w:rsidR="00CF3139">
              <w:rPr>
                <w:noProof/>
                <w:webHidden/>
              </w:rPr>
              <w:fldChar w:fldCharType="end"/>
            </w:r>
          </w:hyperlink>
        </w:p>
        <w:p w14:paraId="4074E40E" w14:textId="7C6862AC" w:rsidR="00CF3139" w:rsidRDefault="001304B5">
          <w:pPr>
            <w:pStyle w:val="TOC3"/>
            <w:rPr>
              <w:rFonts w:eastAsiaTheme="minorEastAsia"/>
              <w:noProof/>
              <w:color w:val="auto"/>
              <w:sz w:val="22"/>
              <w:szCs w:val="22"/>
              <w:lang w:eastAsia="en-AU"/>
            </w:rPr>
          </w:pPr>
          <w:hyperlink w:anchor="_Toc132807552" w:history="1">
            <w:r w:rsidR="00CF3139" w:rsidRPr="00A7517C">
              <w:rPr>
                <w:rStyle w:val="Hyperlink"/>
                <w:noProof/>
              </w:rPr>
              <w:t>Environmental benefits</w:t>
            </w:r>
            <w:r w:rsidR="00CF3139">
              <w:rPr>
                <w:noProof/>
                <w:webHidden/>
              </w:rPr>
              <w:tab/>
            </w:r>
            <w:r w:rsidR="00CF3139">
              <w:rPr>
                <w:noProof/>
                <w:webHidden/>
              </w:rPr>
              <w:fldChar w:fldCharType="begin"/>
            </w:r>
            <w:r w:rsidR="00CF3139">
              <w:rPr>
                <w:noProof/>
                <w:webHidden/>
              </w:rPr>
              <w:instrText xml:space="preserve"> PAGEREF _Toc132807552 \h </w:instrText>
            </w:r>
            <w:r w:rsidR="00CF3139">
              <w:rPr>
                <w:noProof/>
                <w:webHidden/>
              </w:rPr>
            </w:r>
            <w:r w:rsidR="00CF3139">
              <w:rPr>
                <w:noProof/>
                <w:webHidden/>
              </w:rPr>
              <w:fldChar w:fldCharType="separate"/>
            </w:r>
            <w:r w:rsidR="006B1BEA">
              <w:rPr>
                <w:noProof/>
                <w:webHidden/>
              </w:rPr>
              <w:t>28</w:t>
            </w:r>
            <w:r w:rsidR="00CF3139">
              <w:rPr>
                <w:noProof/>
                <w:webHidden/>
              </w:rPr>
              <w:fldChar w:fldCharType="end"/>
            </w:r>
          </w:hyperlink>
        </w:p>
        <w:p w14:paraId="5F5DC02E" w14:textId="79C65CEF" w:rsidR="00CF3139" w:rsidRDefault="001304B5">
          <w:pPr>
            <w:pStyle w:val="TOC3"/>
            <w:rPr>
              <w:rFonts w:eastAsiaTheme="minorEastAsia"/>
              <w:noProof/>
              <w:color w:val="auto"/>
              <w:sz w:val="22"/>
              <w:szCs w:val="22"/>
              <w:lang w:eastAsia="en-AU"/>
            </w:rPr>
          </w:pPr>
          <w:hyperlink w:anchor="_Toc132807553" w:history="1">
            <w:r w:rsidR="00CF3139" w:rsidRPr="00A7517C">
              <w:rPr>
                <w:rStyle w:val="Hyperlink"/>
                <w:noProof/>
              </w:rPr>
              <w:t>Secondary costs and benefits</w:t>
            </w:r>
            <w:r w:rsidR="00CF3139">
              <w:rPr>
                <w:noProof/>
                <w:webHidden/>
              </w:rPr>
              <w:tab/>
            </w:r>
            <w:r w:rsidR="00CF3139">
              <w:rPr>
                <w:noProof/>
                <w:webHidden/>
              </w:rPr>
              <w:fldChar w:fldCharType="begin"/>
            </w:r>
            <w:r w:rsidR="00CF3139">
              <w:rPr>
                <w:noProof/>
                <w:webHidden/>
              </w:rPr>
              <w:instrText xml:space="preserve"> PAGEREF _Toc132807553 \h </w:instrText>
            </w:r>
            <w:r w:rsidR="00CF3139">
              <w:rPr>
                <w:noProof/>
                <w:webHidden/>
              </w:rPr>
            </w:r>
            <w:r w:rsidR="00CF3139">
              <w:rPr>
                <w:noProof/>
                <w:webHidden/>
              </w:rPr>
              <w:fldChar w:fldCharType="separate"/>
            </w:r>
            <w:r w:rsidR="006B1BEA">
              <w:rPr>
                <w:noProof/>
                <w:webHidden/>
              </w:rPr>
              <w:t>29</w:t>
            </w:r>
            <w:r w:rsidR="00CF3139">
              <w:rPr>
                <w:noProof/>
                <w:webHidden/>
              </w:rPr>
              <w:fldChar w:fldCharType="end"/>
            </w:r>
          </w:hyperlink>
        </w:p>
        <w:p w14:paraId="2AA28F69" w14:textId="6B275588" w:rsidR="00CF3139" w:rsidRDefault="001304B5">
          <w:pPr>
            <w:pStyle w:val="TOC3"/>
            <w:rPr>
              <w:rFonts w:eastAsiaTheme="minorEastAsia"/>
              <w:noProof/>
              <w:color w:val="auto"/>
              <w:sz w:val="22"/>
              <w:szCs w:val="22"/>
              <w:lang w:eastAsia="en-AU"/>
            </w:rPr>
          </w:pPr>
          <w:hyperlink w:anchor="_Toc132807554" w:history="1">
            <w:r w:rsidR="00CF3139" w:rsidRPr="00A7517C">
              <w:rPr>
                <w:rStyle w:val="Hyperlink"/>
                <w:noProof/>
              </w:rPr>
              <w:t>Regulatory burden estimate</w:t>
            </w:r>
            <w:r w:rsidR="00CF3139">
              <w:rPr>
                <w:noProof/>
                <w:webHidden/>
              </w:rPr>
              <w:tab/>
            </w:r>
            <w:r w:rsidR="00CF3139">
              <w:rPr>
                <w:noProof/>
                <w:webHidden/>
              </w:rPr>
              <w:fldChar w:fldCharType="begin"/>
            </w:r>
            <w:r w:rsidR="00CF3139">
              <w:rPr>
                <w:noProof/>
                <w:webHidden/>
              </w:rPr>
              <w:instrText xml:space="preserve"> PAGEREF _Toc132807554 \h </w:instrText>
            </w:r>
            <w:r w:rsidR="00CF3139">
              <w:rPr>
                <w:noProof/>
                <w:webHidden/>
              </w:rPr>
            </w:r>
            <w:r w:rsidR="00CF3139">
              <w:rPr>
                <w:noProof/>
                <w:webHidden/>
              </w:rPr>
              <w:fldChar w:fldCharType="separate"/>
            </w:r>
            <w:r w:rsidR="006B1BEA">
              <w:rPr>
                <w:noProof/>
                <w:webHidden/>
              </w:rPr>
              <w:t>29</w:t>
            </w:r>
            <w:r w:rsidR="00CF3139">
              <w:rPr>
                <w:noProof/>
                <w:webHidden/>
              </w:rPr>
              <w:fldChar w:fldCharType="end"/>
            </w:r>
          </w:hyperlink>
        </w:p>
        <w:p w14:paraId="39647BCC" w14:textId="55FC9B45" w:rsidR="00CF3139" w:rsidRDefault="001304B5">
          <w:pPr>
            <w:pStyle w:val="TOC2"/>
            <w:tabs>
              <w:tab w:val="right" w:leader="dot" w:pos="10194"/>
            </w:tabs>
            <w:rPr>
              <w:rFonts w:eastAsiaTheme="minorEastAsia"/>
              <w:noProof/>
              <w:color w:val="auto"/>
              <w:sz w:val="22"/>
              <w:szCs w:val="22"/>
              <w:lang w:eastAsia="en-AU"/>
            </w:rPr>
          </w:pPr>
          <w:hyperlink w:anchor="_Toc132807555" w:history="1">
            <w:r w:rsidR="00CF3139" w:rsidRPr="00A7517C">
              <w:rPr>
                <w:rStyle w:val="Hyperlink"/>
                <w:noProof/>
              </w:rPr>
              <w:t>Net benefit analysis</w:t>
            </w:r>
            <w:r w:rsidR="00CF3139">
              <w:rPr>
                <w:noProof/>
                <w:webHidden/>
              </w:rPr>
              <w:tab/>
            </w:r>
            <w:r w:rsidR="00CF3139">
              <w:rPr>
                <w:noProof/>
                <w:webHidden/>
              </w:rPr>
              <w:fldChar w:fldCharType="begin"/>
            </w:r>
            <w:r w:rsidR="00CF3139">
              <w:rPr>
                <w:noProof/>
                <w:webHidden/>
              </w:rPr>
              <w:instrText xml:space="preserve"> PAGEREF _Toc132807555 \h </w:instrText>
            </w:r>
            <w:r w:rsidR="00CF3139">
              <w:rPr>
                <w:noProof/>
                <w:webHidden/>
              </w:rPr>
            </w:r>
            <w:r w:rsidR="00CF3139">
              <w:rPr>
                <w:noProof/>
                <w:webHidden/>
              </w:rPr>
              <w:fldChar w:fldCharType="separate"/>
            </w:r>
            <w:r w:rsidR="006B1BEA">
              <w:rPr>
                <w:noProof/>
                <w:webHidden/>
              </w:rPr>
              <w:t>31</w:t>
            </w:r>
            <w:r w:rsidR="00CF3139">
              <w:rPr>
                <w:noProof/>
                <w:webHidden/>
              </w:rPr>
              <w:fldChar w:fldCharType="end"/>
            </w:r>
          </w:hyperlink>
        </w:p>
        <w:p w14:paraId="5EEE13FA" w14:textId="3B1E1916" w:rsidR="00CF3139" w:rsidRDefault="001304B5">
          <w:pPr>
            <w:pStyle w:val="TOC1"/>
            <w:rPr>
              <w:rFonts w:eastAsiaTheme="minorEastAsia"/>
              <w:noProof/>
              <w:color w:val="auto"/>
              <w:sz w:val="22"/>
              <w:szCs w:val="22"/>
              <w:lang w:eastAsia="en-AU"/>
            </w:rPr>
          </w:pPr>
          <w:hyperlink w:anchor="_Toc132807556" w:history="1">
            <w:r w:rsidR="00CF3139" w:rsidRPr="00A7517C">
              <w:rPr>
                <w:rStyle w:val="Hyperlink"/>
                <w:noProof/>
              </w:rPr>
              <w:t>5. Who did you consult and how did you incorporate their feedback?</w:t>
            </w:r>
            <w:r w:rsidR="00CF3139">
              <w:rPr>
                <w:noProof/>
                <w:webHidden/>
              </w:rPr>
              <w:tab/>
            </w:r>
            <w:r w:rsidR="00CF3139">
              <w:rPr>
                <w:noProof/>
                <w:webHidden/>
              </w:rPr>
              <w:fldChar w:fldCharType="begin"/>
            </w:r>
            <w:r w:rsidR="00CF3139">
              <w:rPr>
                <w:noProof/>
                <w:webHidden/>
              </w:rPr>
              <w:instrText xml:space="preserve"> PAGEREF _Toc132807556 \h </w:instrText>
            </w:r>
            <w:r w:rsidR="00CF3139">
              <w:rPr>
                <w:noProof/>
                <w:webHidden/>
              </w:rPr>
            </w:r>
            <w:r w:rsidR="00CF3139">
              <w:rPr>
                <w:noProof/>
                <w:webHidden/>
              </w:rPr>
              <w:fldChar w:fldCharType="separate"/>
            </w:r>
            <w:r w:rsidR="006B1BEA">
              <w:rPr>
                <w:noProof/>
                <w:webHidden/>
              </w:rPr>
              <w:t>36</w:t>
            </w:r>
            <w:r w:rsidR="00CF3139">
              <w:rPr>
                <w:noProof/>
                <w:webHidden/>
              </w:rPr>
              <w:fldChar w:fldCharType="end"/>
            </w:r>
          </w:hyperlink>
        </w:p>
        <w:p w14:paraId="6E8159F9" w14:textId="58212548" w:rsidR="00CF3139" w:rsidRDefault="001304B5">
          <w:pPr>
            <w:pStyle w:val="TOC2"/>
            <w:tabs>
              <w:tab w:val="right" w:leader="dot" w:pos="10194"/>
            </w:tabs>
            <w:rPr>
              <w:rFonts w:eastAsiaTheme="minorEastAsia"/>
              <w:noProof/>
              <w:color w:val="auto"/>
              <w:sz w:val="22"/>
              <w:szCs w:val="22"/>
              <w:lang w:eastAsia="en-AU"/>
            </w:rPr>
          </w:pPr>
          <w:hyperlink w:anchor="_Toc132807557" w:history="1">
            <w:r w:rsidR="00CF3139" w:rsidRPr="00A7517C">
              <w:rPr>
                <w:rStyle w:val="Hyperlink"/>
                <w:noProof/>
              </w:rPr>
              <w:t>Consultation to date</w:t>
            </w:r>
            <w:r w:rsidR="00CF3139">
              <w:rPr>
                <w:noProof/>
                <w:webHidden/>
              </w:rPr>
              <w:tab/>
            </w:r>
            <w:r w:rsidR="00CF3139">
              <w:rPr>
                <w:noProof/>
                <w:webHidden/>
              </w:rPr>
              <w:fldChar w:fldCharType="begin"/>
            </w:r>
            <w:r w:rsidR="00CF3139">
              <w:rPr>
                <w:noProof/>
                <w:webHidden/>
              </w:rPr>
              <w:instrText xml:space="preserve"> PAGEREF _Toc132807557 \h </w:instrText>
            </w:r>
            <w:r w:rsidR="00CF3139">
              <w:rPr>
                <w:noProof/>
                <w:webHidden/>
              </w:rPr>
            </w:r>
            <w:r w:rsidR="00CF3139">
              <w:rPr>
                <w:noProof/>
                <w:webHidden/>
              </w:rPr>
              <w:fldChar w:fldCharType="separate"/>
            </w:r>
            <w:r w:rsidR="006B1BEA">
              <w:rPr>
                <w:noProof/>
                <w:webHidden/>
              </w:rPr>
              <w:t>36</w:t>
            </w:r>
            <w:r w:rsidR="00CF3139">
              <w:rPr>
                <w:noProof/>
                <w:webHidden/>
              </w:rPr>
              <w:fldChar w:fldCharType="end"/>
            </w:r>
          </w:hyperlink>
        </w:p>
        <w:p w14:paraId="7365A4D5" w14:textId="3C4682A5" w:rsidR="00CF3139" w:rsidRDefault="001304B5">
          <w:pPr>
            <w:pStyle w:val="TOC3"/>
            <w:rPr>
              <w:rFonts w:eastAsiaTheme="minorEastAsia"/>
              <w:noProof/>
              <w:color w:val="auto"/>
              <w:sz w:val="22"/>
              <w:szCs w:val="22"/>
              <w:lang w:eastAsia="en-AU"/>
            </w:rPr>
          </w:pPr>
          <w:hyperlink w:anchor="_Toc132807558" w:history="1">
            <w:r w:rsidR="00CF3139" w:rsidRPr="00A7517C">
              <w:rPr>
                <w:rStyle w:val="Hyperlink"/>
                <w:noProof/>
              </w:rPr>
              <w:t>Direct engagement</w:t>
            </w:r>
            <w:r w:rsidR="00CF3139">
              <w:rPr>
                <w:noProof/>
                <w:webHidden/>
              </w:rPr>
              <w:tab/>
            </w:r>
            <w:r w:rsidR="00CF3139">
              <w:rPr>
                <w:noProof/>
                <w:webHidden/>
              </w:rPr>
              <w:fldChar w:fldCharType="begin"/>
            </w:r>
            <w:r w:rsidR="00CF3139">
              <w:rPr>
                <w:noProof/>
                <w:webHidden/>
              </w:rPr>
              <w:instrText xml:space="preserve"> PAGEREF _Toc132807558 \h </w:instrText>
            </w:r>
            <w:r w:rsidR="00CF3139">
              <w:rPr>
                <w:noProof/>
                <w:webHidden/>
              </w:rPr>
            </w:r>
            <w:r w:rsidR="00CF3139">
              <w:rPr>
                <w:noProof/>
                <w:webHidden/>
              </w:rPr>
              <w:fldChar w:fldCharType="separate"/>
            </w:r>
            <w:r w:rsidR="006B1BEA">
              <w:rPr>
                <w:noProof/>
                <w:webHidden/>
              </w:rPr>
              <w:t>36</w:t>
            </w:r>
            <w:r w:rsidR="00CF3139">
              <w:rPr>
                <w:noProof/>
                <w:webHidden/>
              </w:rPr>
              <w:fldChar w:fldCharType="end"/>
            </w:r>
          </w:hyperlink>
        </w:p>
        <w:p w14:paraId="1D71777E" w14:textId="180F5E0A" w:rsidR="00CF3139" w:rsidRDefault="001304B5">
          <w:pPr>
            <w:pStyle w:val="TOC3"/>
            <w:rPr>
              <w:rFonts w:eastAsiaTheme="minorEastAsia"/>
              <w:noProof/>
              <w:color w:val="auto"/>
              <w:sz w:val="22"/>
              <w:szCs w:val="22"/>
              <w:lang w:eastAsia="en-AU"/>
            </w:rPr>
          </w:pPr>
          <w:hyperlink w:anchor="_Toc132807559" w:history="1">
            <w:r w:rsidR="00CF3139" w:rsidRPr="00A7517C">
              <w:rPr>
                <w:rStyle w:val="Hyperlink"/>
                <w:noProof/>
              </w:rPr>
              <w:t>Initial consultation paper</w:t>
            </w:r>
            <w:r w:rsidR="00CF3139">
              <w:rPr>
                <w:noProof/>
                <w:webHidden/>
              </w:rPr>
              <w:tab/>
            </w:r>
            <w:r w:rsidR="00CF3139">
              <w:rPr>
                <w:noProof/>
                <w:webHidden/>
              </w:rPr>
              <w:fldChar w:fldCharType="begin"/>
            </w:r>
            <w:r w:rsidR="00CF3139">
              <w:rPr>
                <w:noProof/>
                <w:webHidden/>
              </w:rPr>
              <w:instrText xml:space="preserve"> PAGEREF _Toc132807559 \h </w:instrText>
            </w:r>
            <w:r w:rsidR="00CF3139">
              <w:rPr>
                <w:noProof/>
                <w:webHidden/>
              </w:rPr>
            </w:r>
            <w:r w:rsidR="00CF3139">
              <w:rPr>
                <w:noProof/>
                <w:webHidden/>
              </w:rPr>
              <w:fldChar w:fldCharType="separate"/>
            </w:r>
            <w:r w:rsidR="006B1BEA">
              <w:rPr>
                <w:noProof/>
                <w:webHidden/>
              </w:rPr>
              <w:t>36</w:t>
            </w:r>
            <w:r w:rsidR="00CF3139">
              <w:rPr>
                <w:noProof/>
                <w:webHidden/>
              </w:rPr>
              <w:fldChar w:fldCharType="end"/>
            </w:r>
          </w:hyperlink>
        </w:p>
        <w:p w14:paraId="2501D6D8" w14:textId="24C92316" w:rsidR="00CF3139" w:rsidRDefault="001304B5">
          <w:pPr>
            <w:pStyle w:val="TOC3"/>
            <w:rPr>
              <w:rFonts w:eastAsiaTheme="minorEastAsia"/>
              <w:noProof/>
              <w:color w:val="auto"/>
              <w:sz w:val="22"/>
              <w:szCs w:val="22"/>
              <w:lang w:eastAsia="en-AU"/>
            </w:rPr>
          </w:pPr>
          <w:hyperlink w:anchor="_Toc132807560" w:history="1">
            <w:r w:rsidR="00CF3139" w:rsidRPr="00A7517C">
              <w:rPr>
                <w:rStyle w:val="Hyperlink"/>
                <w:noProof/>
              </w:rPr>
              <w:t>Draft Bill consultation</w:t>
            </w:r>
            <w:r w:rsidR="00CF3139">
              <w:rPr>
                <w:noProof/>
                <w:webHidden/>
              </w:rPr>
              <w:tab/>
            </w:r>
            <w:r w:rsidR="00CF3139">
              <w:rPr>
                <w:noProof/>
                <w:webHidden/>
              </w:rPr>
              <w:fldChar w:fldCharType="begin"/>
            </w:r>
            <w:r w:rsidR="00CF3139">
              <w:rPr>
                <w:noProof/>
                <w:webHidden/>
              </w:rPr>
              <w:instrText xml:space="preserve"> PAGEREF _Toc132807560 \h </w:instrText>
            </w:r>
            <w:r w:rsidR="00CF3139">
              <w:rPr>
                <w:noProof/>
                <w:webHidden/>
              </w:rPr>
            </w:r>
            <w:r w:rsidR="00CF3139">
              <w:rPr>
                <w:noProof/>
                <w:webHidden/>
              </w:rPr>
              <w:fldChar w:fldCharType="separate"/>
            </w:r>
            <w:r w:rsidR="006B1BEA">
              <w:rPr>
                <w:noProof/>
                <w:webHidden/>
              </w:rPr>
              <w:t>38</w:t>
            </w:r>
            <w:r w:rsidR="00CF3139">
              <w:rPr>
                <w:noProof/>
                <w:webHidden/>
              </w:rPr>
              <w:fldChar w:fldCharType="end"/>
            </w:r>
          </w:hyperlink>
        </w:p>
        <w:p w14:paraId="529BED8A" w14:textId="65DBA2BA" w:rsidR="00CF3139" w:rsidRDefault="001304B5">
          <w:pPr>
            <w:pStyle w:val="TOC2"/>
            <w:tabs>
              <w:tab w:val="right" w:leader="dot" w:pos="10194"/>
            </w:tabs>
            <w:rPr>
              <w:rFonts w:eastAsiaTheme="minorEastAsia"/>
              <w:noProof/>
              <w:color w:val="auto"/>
              <w:sz w:val="22"/>
              <w:szCs w:val="22"/>
              <w:lang w:eastAsia="en-AU"/>
            </w:rPr>
          </w:pPr>
          <w:hyperlink w:anchor="_Toc132807561" w:history="1">
            <w:r w:rsidR="00CF3139" w:rsidRPr="00A7517C">
              <w:rPr>
                <w:rStyle w:val="Hyperlink"/>
                <w:noProof/>
              </w:rPr>
              <w:t>Position Paper and subordinate legislation</w:t>
            </w:r>
            <w:r w:rsidR="00CF3139">
              <w:rPr>
                <w:noProof/>
                <w:webHidden/>
              </w:rPr>
              <w:tab/>
            </w:r>
            <w:r w:rsidR="00CF3139">
              <w:rPr>
                <w:noProof/>
                <w:webHidden/>
              </w:rPr>
              <w:fldChar w:fldCharType="begin"/>
            </w:r>
            <w:r w:rsidR="00CF3139">
              <w:rPr>
                <w:noProof/>
                <w:webHidden/>
              </w:rPr>
              <w:instrText xml:space="preserve"> PAGEREF _Toc132807561 \h </w:instrText>
            </w:r>
            <w:r w:rsidR="00CF3139">
              <w:rPr>
                <w:noProof/>
                <w:webHidden/>
              </w:rPr>
            </w:r>
            <w:r w:rsidR="00CF3139">
              <w:rPr>
                <w:noProof/>
                <w:webHidden/>
              </w:rPr>
              <w:fldChar w:fldCharType="separate"/>
            </w:r>
            <w:r w:rsidR="006B1BEA">
              <w:rPr>
                <w:noProof/>
                <w:webHidden/>
              </w:rPr>
              <w:t>39</w:t>
            </w:r>
            <w:r w:rsidR="00CF3139">
              <w:rPr>
                <w:noProof/>
                <w:webHidden/>
              </w:rPr>
              <w:fldChar w:fldCharType="end"/>
            </w:r>
          </w:hyperlink>
        </w:p>
        <w:p w14:paraId="42F4B581" w14:textId="77524856" w:rsidR="00CF3139" w:rsidRDefault="001304B5">
          <w:pPr>
            <w:pStyle w:val="TOC2"/>
            <w:tabs>
              <w:tab w:val="right" w:leader="dot" w:pos="10194"/>
            </w:tabs>
            <w:rPr>
              <w:rFonts w:eastAsiaTheme="minorEastAsia"/>
              <w:noProof/>
              <w:color w:val="auto"/>
              <w:sz w:val="22"/>
              <w:szCs w:val="22"/>
              <w:lang w:eastAsia="en-AU"/>
            </w:rPr>
          </w:pPr>
          <w:hyperlink w:anchor="_Toc132807562" w:history="1">
            <w:r w:rsidR="00CF3139" w:rsidRPr="00A7517C">
              <w:rPr>
                <w:rStyle w:val="Hyperlink"/>
                <w:noProof/>
              </w:rPr>
              <w:t>Ongoing consultation during implementation</w:t>
            </w:r>
            <w:r w:rsidR="00CF3139">
              <w:rPr>
                <w:noProof/>
                <w:webHidden/>
              </w:rPr>
              <w:tab/>
            </w:r>
            <w:r w:rsidR="00CF3139">
              <w:rPr>
                <w:noProof/>
                <w:webHidden/>
              </w:rPr>
              <w:fldChar w:fldCharType="begin"/>
            </w:r>
            <w:r w:rsidR="00CF3139">
              <w:rPr>
                <w:noProof/>
                <w:webHidden/>
              </w:rPr>
              <w:instrText xml:space="preserve"> PAGEREF _Toc132807562 \h </w:instrText>
            </w:r>
            <w:r w:rsidR="00CF3139">
              <w:rPr>
                <w:noProof/>
                <w:webHidden/>
              </w:rPr>
            </w:r>
            <w:r w:rsidR="00CF3139">
              <w:rPr>
                <w:noProof/>
                <w:webHidden/>
              </w:rPr>
              <w:fldChar w:fldCharType="separate"/>
            </w:r>
            <w:r w:rsidR="006B1BEA">
              <w:rPr>
                <w:noProof/>
                <w:webHidden/>
              </w:rPr>
              <w:t>40</w:t>
            </w:r>
            <w:r w:rsidR="00CF3139">
              <w:rPr>
                <w:noProof/>
                <w:webHidden/>
              </w:rPr>
              <w:fldChar w:fldCharType="end"/>
            </w:r>
          </w:hyperlink>
        </w:p>
        <w:p w14:paraId="40E3DEB2" w14:textId="65DCF886" w:rsidR="00CF3139" w:rsidRDefault="001304B5">
          <w:pPr>
            <w:pStyle w:val="TOC1"/>
            <w:rPr>
              <w:rFonts w:eastAsiaTheme="minorEastAsia"/>
              <w:noProof/>
              <w:color w:val="auto"/>
              <w:sz w:val="22"/>
              <w:szCs w:val="22"/>
              <w:lang w:eastAsia="en-AU"/>
            </w:rPr>
          </w:pPr>
          <w:hyperlink w:anchor="_Toc132807563" w:history="1">
            <w:r w:rsidR="00CF3139" w:rsidRPr="00A7517C">
              <w:rPr>
                <w:rStyle w:val="Hyperlink"/>
                <w:noProof/>
              </w:rPr>
              <w:t>6. What is the best option from those you have considered?</w:t>
            </w:r>
            <w:r w:rsidR="00CF3139">
              <w:rPr>
                <w:noProof/>
                <w:webHidden/>
              </w:rPr>
              <w:tab/>
            </w:r>
            <w:r w:rsidR="00CF3139">
              <w:rPr>
                <w:noProof/>
                <w:webHidden/>
              </w:rPr>
              <w:fldChar w:fldCharType="begin"/>
            </w:r>
            <w:r w:rsidR="00CF3139">
              <w:rPr>
                <w:noProof/>
                <w:webHidden/>
              </w:rPr>
              <w:instrText xml:space="preserve"> PAGEREF _Toc132807563 \h </w:instrText>
            </w:r>
            <w:r w:rsidR="00CF3139">
              <w:rPr>
                <w:noProof/>
                <w:webHidden/>
              </w:rPr>
            </w:r>
            <w:r w:rsidR="00CF3139">
              <w:rPr>
                <w:noProof/>
                <w:webHidden/>
              </w:rPr>
              <w:fldChar w:fldCharType="separate"/>
            </w:r>
            <w:r w:rsidR="006B1BEA">
              <w:rPr>
                <w:noProof/>
                <w:webHidden/>
              </w:rPr>
              <w:t>41</w:t>
            </w:r>
            <w:r w:rsidR="00CF3139">
              <w:rPr>
                <w:noProof/>
                <w:webHidden/>
              </w:rPr>
              <w:fldChar w:fldCharType="end"/>
            </w:r>
          </w:hyperlink>
        </w:p>
        <w:p w14:paraId="00E31B6C" w14:textId="7EACB342" w:rsidR="00CF3139" w:rsidRDefault="001304B5">
          <w:pPr>
            <w:pStyle w:val="TOC1"/>
            <w:rPr>
              <w:rFonts w:eastAsiaTheme="minorEastAsia"/>
              <w:noProof/>
              <w:color w:val="auto"/>
              <w:sz w:val="22"/>
              <w:szCs w:val="22"/>
              <w:lang w:eastAsia="en-AU"/>
            </w:rPr>
          </w:pPr>
          <w:hyperlink w:anchor="_Toc132807564" w:history="1">
            <w:r w:rsidR="00CF3139" w:rsidRPr="00A7517C">
              <w:rPr>
                <w:rStyle w:val="Hyperlink"/>
                <w:noProof/>
              </w:rPr>
              <w:t>7. How will you implement and evaluate your chosen option?</w:t>
            </w:r>
            <w:r w:rsidR="00CF3139">
              <w:rPr>
                <w:noProof/>
                <w:webHidden/>
              </w:rPr>
              <w:tab/>
            </w:r>
            <w:r w:rsidR="00CF3139">
              <w:rPr>
                <w:noProof/>
                <w:webHidden/>
              </w:rPr>
              <w:fldChar w:fldCharType="begin"/>
            </w:r>
            <w:r w:rsidR="00CF3139">
              <w:rPr>
                <w:noProof/>
                <w:webHidden/>
              </w:rPr>
              <w:instrText xml:space="preserve"> PAGEREF _Toc132807564 \h </w:instrText>
            </w:r>
            <w:r w:rsidR="00CF3139">
              <w:rPr>
                <w:noProof/>
                <w:webHidden/>
              </w:rPr>
            </w:r>
            <w:r w:rsidR="00CF3139">
              <w:rPr>
                <w:noProof/>
                <w:webHidden/>
              </w:rPr>
              <w:fldChar w:fldCharType="separate"/>
            </w:r>
            <w:r w:rsidR="006B1BEA">
              <w:rPr>
                <w:noProof/>
                <w:webHidden/>
              </w:rPr>
              <w:t>45</w:t>
            </w:r>
            <w:r w:rsidR="00CF3139">
              <w:rPr>
                <w:noProof/>
                <w:webHidden/>
              </w:rPr>
              <w:fldChar w:fldCharType="end"/>
            </w:r>
          </w:hyperlink>
        </w:p>
        <w:p w14:paraId="239FC006" w14:textId="18CC6C8B" w:rsidR="00CF3139" w:rsidRDefault="001304B5">
          <w:pPr>
            <w:pStyle w:val="TOC3"/>
            <w:rPr>
              <w:rFonts w:eastAsiaTheme="minorEastAsia"/>
              <w:noProof/>
              <w:color w:val="auto"/>
              <w:sz w:val="22"/>
              <w:szCs w:val="22"/>
              <w:lang w:eastAsia="en-AU"/>
            </w:rPr>
          </w:pPr>
          <w:hyperlink w:anchor="_Toc132807565" w:history="1">
            <w:r w:rsidR="00CF3139" w:rsidRPr="00A7517C">
              <w:rPr>
                <w:rStyle w:val="Hyperlink"/>
                <w:noProof/>
              </w:rPr>
              <w:t>Baseline setting</w:t>
            </w:r>
            <w:r w:rsidR="00CF3139">
              <w:rPr>
                <w:noProof/>
                <w:webHidden/>
              </w:rPr>
              <w:tab/>
            </w:r>
            <w:r w:rsidR="00CF3139">
              <w:rPr>
                <w:noProof/>
                <w:webHidden/>
              </w:rPr>
              <w:fldChar w:fldCharType="begin"/>
            </w:r>
            <w:r w:rsidR="00CF3139">
              <w:rPr>
                <w:noProof/>
                <w:webHidden/>
              </w:rPr>
              <w:instrText xml:space="preserve"> PAGEREF _Toc132807565 \h </w:instrText>
            </w:r>
            <w:r w:rsidR="00CF3139">
              <w:rPr>
                <w:noProof/>
                <w:webHidden/>
              </w:rPr>
            </w:r>
            <w:r w:rsidR="00CF3139">
              <w:rPr>
                <w:noProof/>
                <w:webHidden/>
              </w:rPr>
              <w:fldChar w:fldCharType="separate"/>
            </w:r>
            <w:r w:rsidR="006B1BEA">
              <w:rPr>
                <w:noProof/>
                <w:webHidden/>
              </w:rPr>
              <w:t>45</w:t>
            </w:r>
            <w:r w:rsidR="00CF3139">
              <w:rPr>
                <w:noProof/>
                <w:webHidden/>
              </w:rPr>
              <w:fldChar w:fldCharType="end"/>
            </w:r>
          </w:hyperlink>
        </w:p>
        <w:p w14:paraId="42966C17" w14:textId="300BDCBD" w:rsidR="00CF3139" w:rsidRDefault="001304B5">
          <w:pPr>
            <w:pStyle w:val="TOC3"/>
            <w:rPr>
              <w:rFonts w:eastAsiaTheme="minorEastAsia"/>
              <w:noProof/>
              <w:color w:val="auto"/>
              <w:sz w:val="22"/>
              <w:szCs w:val="22"/>
              <w:lang w:eastAsia="en-AU"/>
            </w:rPr>
          </w:pPr>
          <w:hyperlink w:anchor="_Toc132807566" w:history="1">
            <w:r w:rsidR="00CF3139" w:rsidRPr="00A7517C">
              <w:rPr>
                <w:rStyle w:val="Hyperlink"/>
                <w:noProof/>
              </w:rPr>
              <w:t>Baseline decline rates</w:t>
            </w:r>
            <w:r w:rsidR="00CF3139">
              <w:rPr>
                <w:noProof/>
                <w:webHidden/>
              </w:rPr>
              <w:tab/>
            </w:r>
            <w:r w:rsidR="00CF3139">
              <w:rPr>
                <w:noProof/>
                <w:webHidden/>
              </w:rPr>
              <w:fldChar w:fldCharType="begin"/>
            </w:r>
            <w:r w:rsidR="00CF3139">
              <w:rPr>
                <w:noProof/>
                <w:webHidden/>
              </w:rPr>
              <w:instrText xml:space="preserve"> PAGEREF _Toc132807566 \h </w:instrText>
            </w:r>
            <w:r w:rsidR="00CF3139">
              <w:rPr>
                <w:noProof/>
                <w:webHidden/>
              </w:rPr>
            </w:r>
            <w:r w:rsidR="00CF3139">
              <w:rPr>
                <w:noProof/>
                <w:webHidden/>
              </w:rPr>
              <w:fldChar w:fldCharType="separate"/>
            </w:r>
            <w:r w:rsidR="006B1BEA">
              <w:rPr>
                <w:noProof/>
                <w:webHidden/>
              </w:rPr>
              <w:t>46</w:t>
            </w:r>
            <w:r w:rsidR="00CF3139">
              <w:rPr>
                <w:noProof/>
                <w:webHidden/>
              </w:rPr>
              <w:fldChar w:fldCharType="end"/>
            </w:r>
          </w:hyperlink>
        </w:p>
        <w:p w14:paraId="1FBD7F65" w14:textId="55F7D8E2" w:rsidR="00CF3139" w:rsidRDefault="001304B5">
          <w:pPr>
            <w:pStyle w:val="TOC2"/>
            <w:tabs>
              <w:tab w:val="right" w:leader="dot" w:pos="10194"/>
            </w:tabs>
            <w:rPr>
              <w:rFonts w:eastAsiaTheme="minorEastAsia"/>
              <w:noProof/>
              <w:color w:val="auto"/>
              <w:sz w:val="22"/>
              <w:szCs w:val="22"/>
              <w:lang w:eastAsia="en-AU"/>
            </w:rPr>
          </w:pPr>
          <w:hyperlink w:anchor="_Toc132807567" w:history="1">
            <w:r w:rsidR="00CF3139" w:rsidRPr="00A7517C">
              <w:rPr>
                <w:rStyle w:val="Hyperlink"/>
                <w:noProof/>
              </w:rPr>
              <w:t>Reviews and evaluation</w:t>
            </w:r>
            <w:r w:rsidR="00CF3139">
              <w:rPr>
                <w:noProof/>
                <w:webHidden/>
              </w:rPr>
              <w:tab/>
            </w:r>
            <w:r w:rsidR="00CF3139">
              <w:rPr>
                <w:noProof/>
                <w:webHidden/>
              </w:rPr>
              <w:fldChar w:fldCharType="begin"/>
            </w:r>
            <w:r w:rsidR="00CF3139">
              <w:rPr>
                <w:noProof/>
                <w:webHidden/>
              </w:rPr>
              <w:instrText xml:space="preserve"> PAGEREF _Toc132807567 \h </w:instrText>
            </w:r>
            <w:r w:rsidR="00CF3139">
              <w:rPr>
                <w:noProof/>
                <w:webHidden/>
              </w:rPr>
            </w:r>
            <w:r w:rsidR="00CF3139">
              <w:rPr>
                <w:noProof/>
                <w:webHidden/>
              </w:rPr>
              <w:fldChar w:fldCharType="separate"/>
            </w:r>
            <w:r w:rsidR="006B1BEA">
              <w:rPr>
                <w:noProof/>
                <w:webHidden/>
              </w:rPr>
              <w:t>47</w:t>
            </w:r>
            <w:r w:rsidR="00CF3139">
              <w:rPr>
                <w:noProof/>
                <w:webHidden/>
              </w:rPr>
              <w:fldChar w:fldCharType="end"/>
            </w:r>
          </w:hyperlink>
        </w:p>
        <w:p w14:paraId="43CCF6FF" w14:textId="5B7A0E0D" w:rsidR="00CF3139" w:rsidRDefault="001304B5">
          <w:pPr>
            <w:pStyle w:val="TOC3"/>
            <w:rPr>
              <w:rFonts w:eastAsiaTheme="minorEastAsia"/>
              <w:noProof/>
              <w:color w:val="auto"/>
              <w:sz w:val="22"/>
              <w:szCs w:val="22"/>
              <w:lang w:eastAsia="en-AU"/>
            </w:rPr>
          </w:pPr>
          <w:hyperlink w:anchor="_Toc132807568" w:history="1">
            <w:r w:rsidR="00CF3139" w:rsidRPr="00A7517C">
              <w:rPr>
                <w:rStyle w:val="Hyperlink"/>
                <w:noProof/>
              </w:rPr>
              <w:t>Reporting, transparency and accountability</w:t>
            </w:r>
            <w:r w:rsidR="00CF3139">
              <w:rPr>
                <w:noProof/>
                <w:webHidden/>
              </w:rPr>
              <w:tab/>
            </w:r>
            <w:r w:rsidR="00CF3139">
              <w:rPr>
                <w:noProof/>
                <w:webHidden/>
              </w:rPr>
              <w:fldChar w:fldCharType="begin"/>
            </w:r>
            <w:r w:rsidR="00CF3139">
              <w:rPr>
                <w:noProof/>
                <w:webHidden/>
              </w:rPr>
              <w:instrText xml:space="preserve"> PAGEREF _Toc132807568 \h </w:instrText>
            </w:r>
            <w:r w:rsidR="00CF3139">
              <w:rPr>
                <w:noProof/>
                <w:webHidden/>
              </w:rPr>
            </w:r>
            <w:r w:rsidR="00CF3139">
              <w:rPr>
                <w:noProof/>
                <w:webHidden/>
              </w:rPr>
              <w:fldChar w:fldCharType="separate"/>
            </w:r>
            <w:r w:rsidR="006B1BEA">
              <w:rPr>
                <w:noProof/>
                <w:webHidden/>
              </w:rPr>
              <w:t>47</w:t>
            </w:r>
            <w:r w:rsidR="00CF3139">
              <w:rPr>
                <w:noProof/>
                <w:webHidden/>
              </w:rPr>
              <w:fldChar w:fldCharType="end"/>
            </w:r>
          </w:hyperlink>
        </w:p>
        <w:p w14:paraId="292C5C0C" w14:textId="626927F8" w:rsidR="00CF3139" w:rsidRDefault="001304B5">
          <w:pPr>
            <w:pStyle w:val="TOC3"/>
            <w:rPr>
              <w:rFonts w:eastAsiaTheme="minorEastAsia"/>
              <w:noProof/>
              <w:color w:val="auto"/>
              <w:sz w:val="22"/>
              <w:szCs w:val="22"/>
              <w:lang w:eastAsia="en-AU"/>
            </w:rPr>
          </w:pPr>
          <w:hyperlink w:anchor="_Toc132807569" w:history="1">
            <w:r w:rsidR="00CF3139" w:rsidRPr="00A7517C">
              <w:rPr>
                <w:rStyle w:val="Hyperlink"/>
                <w:noProof/>
              </w:rPr>
              <w:t>Safeguard Mechanism reviews</w:t>
            </w:r>
            <w:r w:rsidR="00CF3139">
              <w:rPr>
                <w:noProof/>
                <w:webHidden/>
              </w:rPr>
              <w:tab/>
            </w:r>
            <w:r w:rsidR="00CF3139">
              <w:rPr>
                <w:noProof/>
                <w:webHidden/>
              </w:rPr>
              <w:fldChar w:fldCharType="begin"/>
            </w:r>
            <w:r w:rsidR="00CF3139">
              <w:rPr>
                <w:noProof/>
                <w:webHidden/>
              </w:rPr>
              <w:instrText xml:space="preserve"> PAGEREF _Toc132807569 \h </w:instrText>
            </w:r>
            <w:r w:rsidR="00CF3139">
              <w:rPr>
                <w:noProof/>
                <w:webHidden/>
              </w:rPr>
            </w:r>
            <w:r w:rsidR="00CF3139">
              <w:rPr>
                <w:noProof/>
                <w:webHidden/>
              </w:rPr>
              <w:fldChar w:fldCharType="separate"/>
            </w:r>
            <w:r w:rsidR="006B1BEA">
              <w:rPr>
                <w:noProof/>
                <w:webHidden/>
              </w:rPr>
              <w:t>48</w:t>
            </w:r>
            <w:r w:rsidR="00CF3139">
              <w:rPr>
                <w:noProof/>
                <w:webHidden/>
              </w:rPr>
              <w:fldChar w:fldCharType="end"/>
            </w:r>
          </w:hyperlink>
        </w:p>
        <w:p w14:paraId="25D3EFCF" w14:textId="6050ECE7" w:rsidR="00CF3139" w:rsidRDefault="001304B5">
          <w:pPr>
            <w:pStyle w:val="TOC3"/>
            <w:rPr>
              <w:rFonts w:eastAsiaTheme="minorEastAsia"/>
              <w:noProof/>
              <w:color w:val="auto"/>
              <w:sz w:val="22"/>
              <w:szCs w:val="22"/>
              <w:lang w:eastAsia="en-AU"/>
            </w:rPr>
          </w:pPr>
          <w:hyperlink w:anchor="_Toc132807570" w:history="1">
            <w:r w:rsidR="00CF3139" w:rsidRPr="00A7517C">
              <w:rPr>
                <w:rStyle w:val="Hyperlink"/>
                <w:noProof/>
              </w:rPr>
              <w:t>Evaluation</w:t>
            </w:r>
            <w:r w:rsidR="00CF3139">
              <w:rPr>
                <w:noProof/>
                <w:webHidden/>
              </w:rPr>
              <w:tab/>
            </w:r>
            <w:r w:rsidR="00CF3139">
              <w:rPr>
                <w:noProof/>
                <w:webHidden/>
              </w:rPr>
              <w:fldChar w:fldCharType="begin"/>
            </w:r>
            <w:r w:rsidR="00CF3139">
              <w:rPr>
                <w:noProof/>
                <w:webHidden/>
              </w:rPr>
              <w:instrText xml:space="preserve"> PAGEREF _Toc132807570 \h </w:instrText>
            </w:r>
            <w:r w:rsidR="00CF3139">
              <w:rPr>
                <w:noProof/>
                <w:webHidden/>
              </w:rPr>
            </w:r>
            <w:r w:rsidR="00CF3139">
              <w:rPr>
                <w:noProof/>
                <w:webHidden/>
              </w:rPr>
              <w:fldChar w:fldCharType="separate"/>
            </w:r>
            <w:r w:rsidR="006B1BEA">
              <w:rPr>
                <w:noProof/>
                <w:webHidden/>
              </w:rPr>
              <w:t>49</w:t>
            </w:r>
            <w:r w:rsidR="00CF3139">
              <w:rPr>
                <w:noProof/>
                <w:webHidden/>
              </w:rPr>
              <w:fldChar w:fldCharType="end"/>
            </w:r>
          </w:hyperlink>
        </w:p>
        <w:p w14:paraId="4EA39B8F" w14:textId="1D5120E9" w:rsidR="00CF3139" w:rsidRDefault="001304B5">
          <w:pPr>
            <w:pStyle w:val="TOC3"/>
            <w:rPr>
              <w:rFonts w:eastAsiaTheme="minorEastAsia"/>
              <w:noProof/>
              <w:color w:val="auto"/>
              <w:sz w:val="22"/>
              <w:szCs w:val="22"/>
              <w:lang w:eastAsia="en-AU"/>
            </w:rPr>
          </w:pPr>
          <w:hyperlink w:anchor="_Toc132807571" w:history="1">
            <w:r w:rsidR="00CF3139" w:rsidRPr="00A7517C">
              <w:rPr>
                <w:rStyle w:val="Hyperlink"/>
                <w:noProof/>
              </w:rPr>
              <w:t>Challenges and risks to implementation</w:t>
            </w:r>
            <w:r w:rsidR="00CF3139">
              <w:rPr>
                <w:noProof/>
                <w:webHidden/>
              </w:rPr>
              <w:tab/>
            </w:r>
            <w:r w:rsidR="00CF3139">
              <w:rPr>
                <w:noProof/>
                <w:webHidden/>
              </w:rPr>
              <w:fldChar w:fldCharType="begin"/>
            </w:r>
            <w:r w:rsidR="00CF3139">
              <w:rPr>
                <w:noProof/>
                <w:webHidden/>
              </w:rPr>
              <w:instrText xml:space="preserve"> PAGEREF _Toc132807571 \h </w:instrText>
            </w:r>
            <w:r w:rsidR="00CF3139">
              <w:rPr>
                <w:noProof/>
                <w:webHidden/>
              </w:rPr>
            </w:r>
            <w:r w:rsidR="00CF3139">
              <w:rPr>
                <w:noProof/>
                <w:webHidden/>
              </w:rPr>
              <w:fldChar w:fldCharType="separate"/>
            </w:r>
            <w:r w:rsidR="006B1BEA">
              <w:rPr>
                <w:noProof/>
                <w:webHidden/>
              </w:rPr>
              <w:t>50</w:t>
            </w:r>
            <w:r w:rsidR="00CF3139">
              <w:rPr>
                <w:noProof/>
                <w:webHidden/>
              </w:rPr>
              <w:fldChar w:fldCharType="end"/>
            </w:r>
          </w:hyperlink>
        </w:p>
        <w:p w14:paraId="7593A219" w14:textId="393C1606" w:rsidR="00CF3139" w:rsidRDefault="001304B5">
          <w:pPr>
            <w:pStyle w:val="TOC1"/>
            <w:rPr>
              <w:rFonts w:eastAsiaTheme="minorEastAsia"/>
              <w:noProof/>
              <w:color w:val="auto"/>
              <w:sz w:val="22"/>
              <w:szCs w:val="22"/>
              <w:lang w:eastAsia="en-AU"/>
            </w:rPr>
          </w:pPr>
          <w:hyperlink w:anchor="_Toc132807572" w:history="1">
            <w:r w:rsidR="00CF3139" w:rsidRPr="00A7517C">
              <w:rPr>
                <w:rStyle w:val="Hyperlink"/>
                <w:noProof/>
              </w:rPr>
              <w:t>Glossary</w:t>
            </w:r>
            <w:r w:rsidR="00CF3139">
              <w:rPr>
                <w:noProof/>
                <w:webHidden/>
              </w:rPr>
              <w:tab/>
            </w:r>
            <w:r w:rsidR="00CF3139">
              <w:rPr>
                <w:noProof/>
                <w:webHidden/>
              </w:rPr>
              <w:fldChar w:fldCharType="begin"/>
            </w:r>
            <w:r w:rsidR="00CF3139">
              <w:rPr>
                <w:noProof/>
                <w:webHidden/>
              </w:rPr>
              <w:instrText xml:space="preserve"> PAGEREF _Toc132807572 \h </w:instrText>
            </w:r>
            <w:r w:rsidR="00CF3139">
              <w:rPr>
                <w:noProof/>
                <w:webHidden/>
              </w:rPr>
            </w:r>
            <w:r w:rsidR="00CF3139">
              <w:rPr>
                <w:noProof/>
                <w:webHidden/>
              </w:rPr>
              <w:fldChar w:fldCharType="separate"/>
            </w:r>
            <w:r w:rsidR="006B1BEA">
              <w:rPr>
                <w:noProof/>
                <w:webHidden/>
              </w:rPr>
              <w:t>53</w:t>
            </w:r>
            <w:r w:rsidR="00CF3139">
              <w:rPr>
                <w:noProof/>
                <w:webHidden/>
              </w:rPr>
              <w:fldChar w:fldCharType="end"/>
            </w:r>
          </w:hyperlink>
        </w:p>
        <w:p w14:paraId="3BBEA187" w14:textId="4F391B44" w:rsidR="00CF3139" w:rsidRDefault="001304B5">
          <w:pPr>
            <w:pStyle w:val="TOC1"/>
            <w:rPr>
              <w:rFonts w:eastAsiaTheme="minorEastAsia"/>
              <w:noProof/>
              <w:color w:val="auto"/>
              <w:sz w:val="22"/>
              <w:szCs w:val="22"/>
              <w:lang w:eastAsia="en-AU"/>
            </w:rPr>
          </w:pPr>
          <w:hyperlink w:anchor="_Toc132807573" w:history="1">
            <w:r w:rsidR="00CF3139" w:rsidRPr="00A7517C">
              <w:rPr>
                <w:rStyle w:val="Hyperlink"/>
                <w:noProof/>
              </w:rPr>
              <w:t>Appendix A</w:t>
            </w:r>
            <w:r w:rsidR="00CF3139">
              <w:rPr>
                <w:noProof/>
                <w:webHidden/>
              </w:rPr>
              <w:tab/>
            </w:r>
            <w:r w:rsidR="00CF3139">
              <w:rPr>
                <w:noProof/>
                <w:webHidden/>
              </w:rPr>
              <w:fldChar w:fldCharType="begin"/>
            </w:r>
            <w:r w:rsidR="00CF3139">
              <w:rPr>
                <w:noProof/>
                <w:webHidden/>
              </w:rPr>
              <w:instrText xml:space="preserve"> PAGEREF _Toc132807573 \h </w:instrText>
            </w:r>
            <w:r w:rsidR="00CF3139">
              <w:rPr>
                <w:noProof/>
                <w:webHidden/>
              </w:rPr>
            </w:r>
            <w:r w:rsidR="00CF3139">
              <w:rPr>
                <w:noProof/>
                <w:webHidden/>
              </w:rPr>
              <w:fldChar w:fldCharType="separate"/>
            </w:r>
            <w:r w:rsidR="006B1BEA">
              <w:rPr>
                <w:noProof/>
                <w:webHidden/>
              </w:rPr>
              <w:t>55</w:t>
            </w:r>
            <w:r w:rsidR="00CF3139">
              <w:rPr>
                <w:noProof/>
                <w:webHidden/>
              </w:rPr>
              <w:fldChar w:fldCharType="end"/>
            </w:r>
          </w:hyperlink>
        </w:p>
        <w:p w14:paraId="1B47890B" w14:textId="52269F6D" w:rsidR="00CF3139" w:rsidRDefault="001304B5">
          <w:pPr>
            <w:pStyle w:val="TOC2"/>
            <w:tabs>
              <w:tab w:val="right" w:leader="dot" w:pos="10194"/>
            </w:tabs>
            <w:rPr>
              <w:rFonts w:eastAsiaTheme="minorEastAsia"/>
              <w:noProof/>
              <w:color w:val="auto"/>
              <w:sz w:val="22"/>
              <w:szCs w:val="22"/>
              <w:lang w:eastAsia="en-AU"/>
            </w:rPr>
          </w:pPr>
          <w:hyperlink w:anchor="_Toc132807574" w:history="1">
            <w:r w:rsidR="00CF3139" w:rsidRPr="00A7517C">
              <w:rPr>
                <w:rStyle w:val="Hyperlink"/>
                <w:noProof/>
              </w:rPr>
              <w:t>Non-confidential submissions received on Consultation Paper</w:t>
            </w:r>
            <w:r w:rsidR="00CF3139">
              <w:rPr>
                <w:noProof/>
                <w:webHidden/>
              </w:rPr>
              <w:tab/>
            </w:r>
            <w:r w:rsidR="00CF3139">
              <w:rPr>
                <w:noProof/>
                <w:webHidden/>
              </w:rPr>
              <w:fldChar w:fldCharType="begin"/>
            </w:r>
            <w:r w:rsidR="00CF3139">
              <w:rPr>
                <w:noProof/>
                <w:webHidden/>
              </w:rPr>
              <w:instrText xml:space="preserve"> PAGEREF _Toc132807574 \h </w:instrText>
            </w:r>
            <w:r w:rsidR="00CF3139">
              <w:rPr>
                <w:noProof/>
                <w:webHidden/>
              </w:rPr>
            </w:r>
            <w:r w:rsidR="00CF3139">
              <w:rPr>
                <w:noProof/>
                <w:webHidden/>
              </w:rPr>
              <w:fldChar w:fldCharType="separate"/>
            </w:r>
            <w:r w:rsidR="006B1BEA">
              <w:rPr>
                <w:noProof/>
                <w:webHidden/>
              </w:rPr>
              <w:t>55</w:t>
            </w:r>
            <w:r w:rsidR="00CF3139">
              <w:rPr>
                <w:noProof/>
                <w:webHidden/>
              </w:rPr>
              <w:fldChar w:fldCharType="end"/>
            </w:r>
          </w:hyperlink>
        </w:p>
        <w:p w14:paraId="22612C09" w14:textId="36705B6B" w:rsidR="00CF3139" w:rsidRDefault="001304B5">
          <w:pPr>
            <w:pStyle w:val="TOC2"/>
            <w:tabs>
              <w:tab w:val="right" w:leader="dot" w:pos="10194"/>
            </w:tabs>
            <w:rPr>
              <w:rFonts w:eastAsiaTheme="minorEastAsia"/>
              <w:noProof/>
              <w:color w:val="auto"/>
              <w:sz w:val="22"/>
              <w:szCs w:val="22"/>
              <w:lang w:eastAsia="en-AU"/>
            </w:rPr>
          </w:pPr>
          <w:hyperlink w:anchor="_Toc132807575" w:history="1">
            <w:r w:rsidR="00CF3139" w:rsidRPr="00A7517C">
              <w:rPr>
                <w:rStyle w:val="Hyperlink"/>
                <w:noProof/>
              </w:rPr>
              <w:t>Non-confidential submissions received on Draft Bill</w:t>
            </w:r>
            <w:r w:rsidR="00CF3139">
              <w:rPr>
                <w:noProof/>
                <w:webHidden/>
              </w:rPr>
              <w:tab/>
            </w:r>
            <w:r w:rsidR="00CF3139">
              <w:rPr>
                <w:noProof/>
                <w:webHidden/>
              </w:rPr>
              <w:fldChar w:fldCharType="begin"/>
            </w:r>
            <w:r w:rsidR="00CF3139">
              <w:rPr>
                <w:noProof/>
                <w:webHidden/>
              </w:rPr>
              <w:instrText xml:space="preserve"> PAGEREF _Toc132807575 \h </w:instrText>
            </w:r>
            <w:r w:rsidR="00CF3139">
              <w:rPr>
                <w:noProof/>
                <w:webHidden/>
              </w:rPr>
            </w:r>
            <w:r w:rsidR="00CF3139">
              <w:rPr>
                <w:noProof/>
                <w:webHidden/>
              </w:rPr>
              <w:fldChar w:fldCharType="separate"/>
            </w:r>
            <w:r w:rsidR="006B1BEA">
              <w:rPr>
                <w:noProof/>
                <w:webHidden/>
              </w:rPr>
              <w:t>57</w:t>
            </w:r>
            <w:r w:rsidR="00CF3139">
              <w:rPr>
                <w:noProof/>
                <w:webHidden/>
              </w:rPr>
              <w:fldChar w:fldCharType="end"/>
            </w:r>
          </w:hyperlink>
        </w:p>
        <w:p w14:paraId="04E3223A" w14:textId="61AE6C48" w:rsidR="00CF3139" w:rsidRDefault="001304B5">
          <w:pPr>
            <w:pStyle w:val="TOC2"/>
            <w:tabs>
              <w:tab w:val="right" w:leader="dot" w:pos="10194"/>
            </w:tabs>
            <w:rPr>
              <w:rFonts w:eastAsiaTheme="minorEastAsia"/>
              <w:noProof/>
              <w:color w:val="auto"/>
              <w:sz w:val="22"/>
              <w:szCs w:val="22"/>
              <w:lang w:eastAsia="en-AU"/>
            </w:rPr>
          </w:pPr>
          <w:hyperlink w:anchor="_Toc132807576" w:history="1">
            <w:r w:rsidR="00CF3139" w:rsidRPr="00A7517C">
              <w:rPr>
                <w:rStyle w:val="Hyperlink"/>
                <w:noProof/>
              </w:rPr>
              <w:t>Non-confidential submissions received on Proposed Design</w:t>
            </w:r>
            <w:r w:rsidR="00CF3139">
              <w:rPr>
                <w:noProof/>
                <w:webHidden/>
              </w:rPr>
              <w:tab/>
            </w:r>
            <w:r w:rsidR="00CF3139">
              <w:rPr>
                <w:noProof/>
                <w:webHidden/>
              </w:rPr>
              <w:fldChar w:fldCharType="begin"/>
            </w:r>
            <w:r w:rsidR="00CF3139">
              <w:rPr>
                <w:noProof/>
                <w:webHidden/>
              </w:rPr>
              <w:instrText xml:space="preserve"> PAGEREF _Toc132807576 \h </w:instrText>
            </w:r>
            <w:r w:rsidR="00CF3139">
              <w:rPr>
                <w:noProof/>
                <w:webHidden/>
              </w:rPr>
            </w:r>
            <w:r w:rsidR="00CF3139">
              <w:rPr>
                <w:noProof/>
                <w:webHidden/>
              </w:rPr>
              <w:fldChar w:fldCharType="separate"/>
            </w:r>
            <w:r w:rsidR="006B1BEA">
              <w:rPr>
                <w:noProof/>
                <w:webHidden/>
              </w:rPr>
              <w:t>58</w:t>
            </w:r>
            <w:r w:rsidR="00CF3139">
              <w:rPr>
                <w:noProof/>
                <w:webHidden/>
              </w:rPr>
              <w:fldChar w:fldCharType="end"/>
            </w:r>
          </w:hyperlink>
        </w:p>
        <w:p w14:paraId="268437EF" w14:textId="6EB623A0" w:rsidR="00E23D9C" w:rsidRDefault="00E23D9C" w:rsidP="00EA3891">
          <w:pPr>
            <w:sectPr w:rsidR="00E23D9C" w:rsidSect="00753174">
              <w:headerReference w:type="default" r:id="rId19"/>
              <w:footerReference w:type="default" r:id="rId20"/>
              <w:headerReference w:type="first" r:id="rId21"/>
              <w:footerReference w:type="first" r:id="rId22"/>
              <w:pgSz w:w="11906" w:h="16838"/>
              <w:pgMar w:top="1559" w:right="851" w:bottom="1701" w:left="851" w:header="567" w:footer="57" w:gutter="0"/>
              <w:cols w:space="708"/>
              <w:docGrid w:linePitch="360"/>
            </w:sectPr>
          </w:pPr>
          <w:r>
            <w:rPr>
              <w:b/>
              <w:bCs/>
              <w:noProof/>
            </w:rPr>
            <w:fldChar w:fldCharType="end"/>
          </w:r>
        </w:p>
      </w:sdtContent>
    </w:sdt>
    <w:p w14:paraId="3962854C" w14:textId="77777777" w:rsidR="00D43D1B" w:rsidRDefault="00D43D1B">
      <w:pPr>
        <w:pStyle w:val="Heading1"/>
      </w:pPr>
      <w:bookmarkStart w:id="79" w:name="_Toc119327126"/>
      <w:bookmarkStart w:id="80" w:name="_Toc119360632"/>
      <w:bookmarkStart w:id="81" w:name="_Toc132807525"/>
      <w:r>
        <w:lastRenderedPageBreak/>
        <w:t>Executive summary</w:t>
      </w:r>
      <w:bookmarkEnd w:id="79"/>
      <w:bookmarkEnd w:id="80"/>
      <w:bookmarkEnd w:id="81"/>
    </w:p>
    <w:p w14:paraId="13A0744D" w14:textId="3D5086D5" w:rsidR="007E6C26" w:rsidRDefault="00345A5D">
      <w:pPr>
        <w:pStyle w:val="Heading3"/>
      </w:pPr>
      <w:bookmarkStart w:id="82" w:name="_Toc132807526"/>
      <w:r>
        <w:t>I</w:t>
      </w:r>
      <w:r w:rsidR="00723427">
        <w:t xml:space="preserve">mpact </w:t>
      </w:r>
      <w:r w:rsidR="00F10D3E">
        <w:t>analysis</w:t>
      </w:r>
      <w:bookmarkEnd w:id="82"/>
    </w:p>
    <w:p w14:paraId="0D9A7096" w14:textId="77777777" w:rsidR="00317F46" w:rsidRDefault="00A75906">
      <w:pPr>
        <w:pStyle w:val="BodyText"/>
        <w:rPr>
          <w:color w:val="auto"/>
        </w:rPr>
      </w:pPr>
      <w:r>
        <w:rPr>
          <w:color w:val="auto"/>
        </w:rPr>
        <w:t>T</w:t>
      </w:r>
      <w:r w:rsidR="00795CEB" w:rsidRPr="00202E2F">
        <w:rPr>
          <w:color w:val="auto"/>
        </w:rPr>
        <w:t>he Government is reforming the Safeguard Mechanism to support Australia’s largest greenhouse gas emitters to gradually and predictably reduce their emissions</w:t>
      </w:r>
      <w:r>
        <w:rPr>
          <w:color w:val="auto"/>
        </w:rPr>
        <w:t xml:space="preserve">, delivering </w:t>
      </w:r>
      <w:r w:rsidRPr="00202E2F">
        <w:rPr>
          <w:color w:val="auto"/>
        </w:rPr>
        <w:t>on</w:t>
      </w:r>
      <w:r>
        <w:rPr>
          <w:color w:val="auto"/>
        </w:rPr>
        <w:t xml:space="preserve"> an election commitment within</w:t>
      </w:r>
      <w:r w:rsidRPr="00202E2F">
        <w:rPr>
          <w:color w:val="auto"/>
        </w:rPr>
        <w:t xml:space="preserve"> the </w:t>
      </w:r>
      <w:r w:rsidRPr="00202E2F">
        <w:rPr>
          <w:i/>
          <w:color w:val="auto"/>
        </w:rPr>
        <w:t>Powering Australia</w:t>
      </w:r>
      <w:r w:rsidRPr="00202E2F">
        <w:rPr>
          <w:color w:val="auto"/>
        </w:rPr>
        <w:t xml:space="preserve"> </w:t>
      </w:r>
      <w:r>
        <w:rPr>
          <w:color w:val="auto"/>
        </w:rPr>
        <w:t xml:space="preserve">plan. The Mechanism will </w:t>
      </w:r>
      <w:r w:rsidR="00795CEB" w:rsidRPr="00202E2F">
        <w:rPr>
          <w:color w:val="auto"/>
        </w:rPr>
        <w:t xml:space="preserve">help Australia achieve </w:t>
      </w:r>
      <w:r>
        <w:rPr>
          <w:color w:val="auto"/>
        </w:rPr>
        <w:t xml:space="preserve">a </w:t>
      </w:r>
      <w:r w:rsidR="00795CEB" w:rsidRPr="00202E2F">
        <w:rPr>
          <w:color w:val="auto"/>
        </w:rPr>
        <w:t>43 per cent reduction</w:t>
      </w:r>
      <w:r>
        <w:rPr>
          <w:color w:val="auto"/>
        </w:rPr>
        <w:t xml:space="preserve"> of emissions </w:t>
      </w:r>
      <w:r w:rsidR="00795CEB" w:rsidRPr="00202E2F">
        <w:rPr>
          <w:color w:val="auto"/>
        </w:rPr>
        <w:t>on 2005 levels by 2030 and net zero emissions by 2050.</w:t>
      </w:r>
    </w:p>
    <w:p w14:paraId="78DDF052" w14:textId="0054ED6A" w:rsidR="00E323C3" w:rsidRDefault="00BE366B">
      <w:pPr>
        <w:pStyle w:val="BodyText"/>
        <w:rPr>
          <w:color w:val="auto"/>
        </w:rPr>
      </w:pPr>
      <w:bookmarkStart w:id="83" w:name="_Hlk130982300"/>
      <w:r>
        <w:rPr>
          <w:color w:val="auto"/>
        </w:rPr>
        <w:t>Th</w:t>
      </w:r>
      <w:r w:rsidR="00317F46">
        <w:rPr>
          <w:color w:val="auto"/>
        </w:rPr>
        <w:t>is</w:t>
      </w:r>
      <w:r>
        <w:rPr>
          <w:color w:val="auto"/>
        </w:rPr>
        <w:t xml:space="preserve"> </w:t>
      </w:r>
      <w:r w:rsidR="00912E01">
        <w:rPr>
          <w:color w:val="auto"/>
        </w:rPr>
        <w:t xml:space="preserve">Regulatory Impact </w:t>
      </w:r>
      <w:r w:rsidR="00F10D3E">
        <w:rPr>
          <w:color w:val="auto"/>
        </w:rPr>
        <w:t xml:space="preserve">Analysis </w:t>
      </w:r>
      <w:r w:rsidR="00317F46">
        <w:rPr>
          <w:color w:val="auto"/>
        </w:rPr>
        <w:t xml:space="preserve">(RIA) </w:t>
      </w:r>
      <w:r>
        <w:rPr>
          <w:color w:val="auto"/>
        </w:rPr>
        <w:t xml:space="preserve">analyses three </w:t>
      </w:r>
      <w:r w:rsidR="003636DD">
        <w:rPr>
          <w:color w:val="auto"/>
        </w:rPr>
        <w:t>reform</w:t>
      </w:r>
      <w:r>
        <w:rPr>
          <w:color w:val="auto"/>
        </w:rPr>
        <w:t xml:space="preserve"> options</w:t>
      </w:r>
      <w:r w:rsidR="00D00EF5">
        <w:rPr>
          <w:color w:val="auto"/>
        </w:rPr>
        <w:t>, which differ primarily in the baseline setting framework and level of policy detail.</w:t>
      </w:r>
      <w:r w:rsidR="007E486B">
        <w:rPr>
          <w:color w:val="auto"/>
        </w:rPr>
        <w:t xml:space="preserve"> </w:t>
      </w:r>
      <w:r>
        <w:rPr>
          <w:color w:val="auto"/>
        </w:rPr>
        <w:t>Options 1 and 2 are consistent with</w:t>
      </w:r>
      <w:r w:rsidR="009F6D6C">
        <w:rPr>
          <w:color w:val="auto"/>
        </w:rPr>
        <w:t xml:space="preserve"> policy design</w:t>
      </w:r>
      <w:r>
        <w:rPr>
          <w:color w:val="auto"/>
        </w:rPr>
        <w:t xml:space="preserve"> options </w:t>
      </w:r>
      <w:r w:rsidR="009F6D6C">
        <w:rPr>
          <w:color w:val="auto"/>
        </w:rPr>
        <w:t xml:space="preserve">discussed </w:t>
      </w:r>
      <w:r>
        <w:rPr>
          <w:color w:val="auto"/>
        </w:rPr>
        <w:t xml:space="preserve">in the </w:t>
      </w:r>
      <w:r w:rsidR="002C1A0C">
        <w:rPr>
          <w:color w:val="auto"/>
        </w:rPr>
        <w:t xml:space="preserve">August 2022 </w:t>
      </w:r>
      <w:r w:rsidR="009F7436">
        <w:rPr>
          <w:color w:val="auto"/>
        </w:rPr>
        <w:t xml:space="preserve">Safeguard Mechanism Reforms </w:t>
      </w:r>
      <w:r w:rsidR="002C1A0C">
        <w:rPr>
          <w:color w:val="auto"/>
        </w:rPr>
        <w:t>C</w:t>
      </w:r>
      <w:r>
        <w:rPr>
          <w:color w:val="auto"/>
        </w:rPr>
        <w:t xml:space="preserve">onsultation </w:t>
      </w:r>
      <w:r w:rsidR="002C1A0C">
        <w:rPr>
          <w:color w:val="auto"/>
        </w:rPr>
        <w:t>P</w:t>
      </w:r>
      <w:r>
        <w:rPr>
          <w:color w:val="auto"/>
        </w:rPr>
        <w:t>aper</w:t>
      </w:r>
      <w:r w:rsidR="00D00EF5">
        <w:rPr>
          <w:color w:val="auto"/>
        </w:rPr>
        <w:t>,</w:t>
      </w:r>
      <w:r w:rsidR="00374E81">
        <w:rPr>
          <w:color w:val="auto"/>
        </w:rPr>
        <w:t xml:space="preserve"> and contain less policy detail relative to Option 3 as these were not </w:t>
      </w:r>
      <w:r w:rsidR="0037257E">
        <w:rPr>
          <w:color w:val="auto"/>
        </w:rPr>
        <w:t>pursued further after initial consultations</w:t>
      </w:r>
      <w:r>
        <w:rPr>
          <w:color w:val="auto"/>
        </w:rPr>
        <w:t xml:space="preserve">. Option 3 </w:t>
      </w:r>
      <w:r w:rsidR="00A039B3">
        <w:rPr>
          <w:color w:val="auto"/>
        </w:rPr>
        <w:t>was</w:t>
      </w:r>
      <w:r>
        <w:rPr>
          <w:color w:val="auto"/>
        </w:rPr>
        <w:t xml:space="preserve"> developed </w:t>
      </w:r>
      <w:r w:rsidR="00E85D71">
        <w:rPr>
          <w:color w:val="auto"/>
        </w:rPr>
        <w:t>based</w:t>
      </w:r>
      <w:r w:rsidR="003636DD">
        <w:rPr>
          <w:color w:val="auto"/>
        </w:rPr>
        <w:t xml:space="preserve"> on stakeholder consultation</w:t>
      </w:r>
      <w:r w:rsidR="005F7A39">
        <w:rPr>
          <w:color w:val="auto"/>
        </w:rPr>
        <w:t>.</w:t>
      </w:r>
      <w:r w:rsidR="00E66EC0" w:rsidDel="00371920">
        <w:rPr>
          <w:color w:val="auto"/>
        </w:rPr>
        <w:t xml:space="preserve"> </w:t>
      </w:r>
      <w:r w:rsidR="00E66EC0">
        <w:rPr>
          <w:color w:val="auto"/>
        </w:rPr>
        <w:t xml:space="preserve">The Government has </w:t>
      </w:r>
      <w:r w:rsidR="006A5A2C">
        <w:rPr>
          <w:color w:val="auto"/>
        </w:rPr>
        <w:t xml:space="preserve">used </w:t>
      </w:r>
      <w:r w:rsidR="00E66EC0">
        <w:rPr>
          <w:color w:val="auto"/>
        </w:rPr>
        <w:t xml:space="preserve">feedback received through consultation on the </w:t>
      </w:r>
      <w:r w:rsidR="00F1192F">
        <w:rPr>
          <w:color w:val="auto"/>
        </w:rPr>
        <w:t>proposed design</w:t>
      </w:r>
      <w:r w:rsidR="003636DD">
        <w:rPr>
          <w:color w:val="auto"/>
        </w:rPr>
        <w:t xml:space="preserve"> </w:t>
      </w:r>
      <w:r w:rsidR="002C1A0C">
        <w:rPr>
          <w:color w:val="auto"/>
        </w:rPr>
        <w:t xml:space="preserve">outlined in the </w:t>
      </w:r>
      <w:r w:rsidR="00345A5D">
        <w:rPr>
          <w:color w:val="auto"/>
        </w:rPr>
        <w:t xml:space="preserve">January </w:t>
      </w:r>
      <w:r w:rsidR="002C1A0C">
        <w:rPr>
          <w:color w:val="auto"/>
        </w:rPr>
        <w:t>202</w:t>
      </w:r>
      <w:r w:rsidR="00345A5D">
        <w:rPr>
          <w:color w:val="auto"/>
        </w:rPr>
        <w:t>3</w:t>
      </w:r>
      <w:r w:rsidR="002C1A0C">
        <w:rPr>
          <w:color w:val="auto"/>
        </w:rPr>
        <w:t xml:space="preserve"> Position Paper</w:t>
      </w:r>
      <w:r w:rsidR="00E66EC0">
        <w:rPr>
          <w:color w:val="auto"/>
        </w:rPr>
        <w:t xml:space="preserve"> to refine </w:t>
      </w:r>
      <w:r w:rsidR="00F1192F">
        <w:rPr>
          <w:color w:val="auto"/>
        </w:rPr>
        <w:t>the final design of the policy</w:t>
      </w:r>
      <w:r w:rsidR="003636DD">
        <w:rPr>
          <w:color w:val="auto"/>
        </w:rPr>
        <w:t xml:space="preserve">. All three reform options </w:t>
      </w:r>
      <w:r w:rsidR="00724B86">
        <w:rPr>
          <w:color w:val="auto"/>
        </w:rPr>
        <w:t xml:space="preserve">were </w:t>
      </w:r>
      <w:r w:rsidR="003636DD">
        <w:rPr>
          <w:color w:val="auto"/>
        </w:rPr>
        <w:t xml:space="preserve">considered in comparison with the reference (business-as-usual) option where no reform is undertaken. </w:t>
      </w:r>
    </w:p>
    <w:p w14:paraId="065343E2" w14:textId="4E514524" w:rsidR="007E6C26" w:rsidRDefault="00317F46" w:rsidP="00366E5A">
      <w:r>
        <w:rPr>
          <w:color w:val="auto"/>
        </w:rPr>
        <w:t xml:space="preserve">Net benefits are assessed qualitatively against the overarching objectives and policy principles of the Safeguard Mechanism reforms. </w:t>
      </w:r>
      <w:r w:rsidR="006A5A2C" w:rsidRPr="00366E5A">
        <w:rPr>
          <w:color w:val="auto"/>
        </w:rPr>
        <w:t xml:space="preserve">All options are expected to deliver net benefits by contributing to Australia’s emissions reduction targets and </w:t>
      </w:r>
      <w:r w:rsidR="00581D74">
        <w:rPr>
          <w:color w:val="auto"/>
        </w:rPr>
        <w:t>providing</w:t>
      </w:r>
      <w:r w:rsidR="006A5A2C" w:rsidRPr="00366E5A">
        <w:rPr>
          <w:color w:val="auto"/>
        </w:rPr>
        <w:t xml:space="preserve"> environmental benefits to society from reduced and avoided emissions, providing the Australian business and investor community with climate policy certainty, improving competitiveness, trade and reduced borrowing costs, increasing the ability for facilities to </w:t>
      </w:r>
      <w:r w:rsidR="00F03DA2">
        <w:rPr>
          <w:color w:val="auto"/>
        </w:rPr>
        <w:t>attract</w:t>
      </w:r>
      <w:r w:rsidR="006A5A2C" w:rsidRPr="00366E5A">
        <w:rPr>
          <w:color w:val="auto"/>
        </w:rPr>
        <w:t xml:space="preserve"> green premiums and offering co-benefits for the domestic carbon market.</w:t>
      </w:r>
      <w:r w:rsidR="006A5A2C">
        <w:rPr>
          <w:rFonts w:ascii="Times New Roman" w:hAnsi="Times New Roman" w:cs="Times New Roman"/>
        </w:rPr>
        <w:t xml:space="preserve"> </w:t>
      </w:r>
      <w:r>
        <w:rPr>
          <w:color w:val="auto"/>
        </w:rPr>
        <w:t>B</w:t>
      </w:r>
      <w:r w:rsidR="00723427" w:rsidRPr="00E323C3">
        <w:rPr>
          <w:color w:val="auto"/>
        </w:rPr>
        <w:t>ased on the policy principles</w:t>
      </w:r>
      <w:r w:rsidR="000D00F1">
        <w:rPr>
          <w:color w:val="auto"/>
        </w:rPr>
        <w:t xml:space="preserve"> and </w:t>
      </w:r>
      <w:r w:rsidR="00FD15D1">
        <w:rPr>
          <w:color w:val="auto"/>
        </w:rPr>
        <w:t>qualitative</w:t>
      </w:r>
      <w:r w:rsidR="000D00F1">
        <w:rPr>
          <w:color w:val="auto"/>
        </w:rPr>
        <w:t xml:space="preserve"> analysis, </w:t>
      </w:r>
      <w:r w:rsidR="00723427" w:rsidRPr="00E323C3">
        <w:rPr>
          <w:color w:val="auto"/>
        </w:rPr>
        <w:t xml:space="preserve">Option 3 </w:t>
      </w:r>
      <w:r w:rsidR="000D00F1">
        <w:rPr>
          <w:color w:val="auto"/>
        </w:rPr>
        <w:t xml:space="preserve">is </w:t>
      </w:r>
      <w:r w:rsidR="00723427" w:rsidRPr="00E323C3">
        <w:rPr>
          <w:color w:val="auto"/>
        </w:rPr>
        <w:t>the preferred option as it best balances the overarching objectives and policy principles</w:t>
      </w:r>
      <w:r w:rsidR="00740DC7">
        <w:rPr>
          <w:color w:val="auto"/>
        </w:rPr>
        <w:t xml:space="preserve">, </w:t>
      </w:r>
      <w:r w:rsidR="00B935BB">
        <w:rPr>
          <w:color w:val="auto"/>
        </w:rPr>
        <w:t>is expected to achieve</w:t>
      </w:r>
      <w:r w:rsidR="00740DC7">
        <w:rPr>
          <w:color w:val="auto"/>
        </w:rPr>
        <w:t xml:space="preserve"> a significant improvement </w:t>
      </w:r>
      <w:r w:rsidR="00B935BB">
        <w:rPr>
          <w:color w:val="auto"/>
        </w:rPr>
        <w:t xml:space="preserve">on outcomes </w:t>
      </w:r>
      <w:r w:rsidR="00740DC7">
        <w:rPr>
          <w:color w:val="auto"/>
        </w:rPr>
        <w:t>relative to the status quo</w:t>
      </w:r>
      <w:r w:rsidR="00723427" w:rsidRPr="00E323C3">
        <w:rPr>
          <w:color w:val="auto"/>
        </w:rPr>
        <w:t xml:space="preserve"> and addresses </w:t>
      </w:r>
      <w:r w:rsidR="009F7436">
        <w:rPr>
          <w:color w:val="auto"/>
        </w:rPr>
        <w:t xml:space="preserve">stakeholder </w:t>
      </w:r>
      <w:r w:rsidR="009D11C9">
        <w:rPr>
          <w:color w:val="auto"/>
        </w:rPr>
        <w:t>feedback</w:t>
      </w:r>
      <w:r w:rsidR="00723427" w:rsidRPr="00E323C3">
        <w:rPr>
          <w:color w:val="auto"/>
        </w:rPr>
        <w:t xml:space="preserve"> </w:t>
      </w:r>
      <w:r w:rsidR="00723427">
        <w:rPr>
          <w:color w:val="auto"/>
        </w:rPr>
        <w:t xml:space="preserve">(refer </w:t>
      </w:r>
      <w:r w:rsidR="00723427" w:rsidRPr="00FB1691">
        <w:rPr>
          <w:color w:val="auto"/>
        </w:rPr>
        <w:fldChar w:fldCharType="begin"/>
      </w:r>
      <w:r w:rsidR="00723427" w:rsidRPr="00577164">
        <w:rPr>
          <w:color w:val="auto"/>
        </w:rPr>
        <w:instrText xml:space="preserve"> REF _Ref119365790 \h </w:instrText>
      </w:r>
      <w:r w:rsidR="00723427" w:rsidRPr="00FB1691">
        <w:rPr>
          <w:color w:val="auto"/>
        </w:rPr>
      </w:r>
      <w:r w:rsidR="00723427" w:rsidRPr="00FB1691">
        <w:rPr>
          <w:color w:val="auto"/>
        </w:rPr>
        <w:fldChar w:fldCharType="separate"/>
      </w:r>
      <w:r w:rsidR="00723427" w:rsidRPr="00366E5A">
        <w:rPr>
          <w:color w:val="auto"/>
        </w:rPr>
        <w:t xml:space="preserve">Table </w:t>
      </w:r>
      <w:r w:rsidR="00723427" w:rsidRPr="00366E5A">
        <w:rPr>
          <w:noProof/>
          <w:color w:val="auto"/>
        </w:rPr>
        <w:t>1</w:t>
      </w:r>
      <w:r w:rsidR="00723427" w:rsidRPr="00FB1691">
        <w:rPr>
          <w:color w:val="auto"/>
        </w:rPr>
        <w:fldChar w:fldCharType="end"/>
      </w:r>
      <w:r w:rsidR="00723427" w:rsidRPr="00577164">
        <w:rPr>
          <w:color w:val="auto"/>
        </w:rPr>
        <w:t>).</w:t>
      </w:r>
      <w:r w:rsidR="00D4027E" w:rsidRPr="00366E5A">
        <w:rPr>
          <w:color w:val="auto"/>
        </w:rPr>
        <w:t xml:space="preserve"> The policy principles effectively balance the Government’s objective to deliver its climate targets in a way that maximises benefits, minimises costs and shares the effort among participants.</w:t>
      </w:r>
    </w:p>
    <w:p w14:paraId="435FF311" w14:textId="067BCF7E" w:rsidR="00723427" w:rsidRDefault="00723427" w:rsidP="00202E2F">
      <w:pPr>
        <w:pStyle w:val="Caption"/>
      </w:pPr>
      <w:bookmarkStart w:id="84" w:name="_Ref119365790"/>
      <w:bookmarkEnd w:id="83"/>
      <w:r>
        <w:t xml:space="preserve">Table </w:t>
      </w:r>
      <w:r w:rsidR="00713B08">
        <w:rPr>
          <w:noProof/>
        </w:rPr>
        <w:fldChar w:fldCharType="begin"/>
      </w:r>
      <w:r w:rsidR="00713B08">
        <w:rPr>
          <w:noProof/>
        </w:rPr>
        <w:instrText xml:space="preserve"> SEQ Table \* ARABIC </w:instrText>
      </w:r>
      <w:r w:rsidR="00713B08">
        <w:rPr>
          <w:noProof/>
        </w:rPr>
        <w:fldChar w:fldCharType="separate"/>
      </w:r>
      <w:r w:rsidR="00F30595">
        <w:rPr>
          <w:noProof/>
        </w:rPr>
        <w:t>1</w:t>
      </w:r>
      <w:r w:rsidR="00713B08">
        <w:rPr>
          <w:noProof/>
        </w:rPr>
        <w:fldChar w:fldCharType="end"/>
      </w:r>
      <w:bookmarkEnd w:id="84"/>
      <w:r>
        <w:t xml:space="preserve"> </w:t>
      </w:r>
      <w:r w:rsidR="009F7436">
        <w:t>R</w:t>
      </w:r>
      <w:r w:rsidR="00345A5D">
        <w:t xml:space="preserve">IA </w:t>
      </w:r>
      <w:r>
        <w:t xml:space="preserve">- </w:t>
      </w:r>
      <w:r w:rsidR="0084443C">
        <w:t>Summary of qualitative</w:t>
      </w:r>
      <w:r>
        <w:t xml:space="preserve"> impact </w:t>
      </w:r>
      <w:r w:rsidR="00F10D3E">
        <w:t>analysis</w:t>
      </w:r>
    </w:p>
    <w:tbl>
      <w:tblPr>
        <w:tblStyle w:val="TableGrid"/>
        <w:tblW w:w="9351" w:type="dxa"/>
        <w:tblLook w:val="04A0" w:firstRow="1" w:lastRow="0" w:firstColumn="1" w:lastColumn="0" w:noHBand="0" w:noVBand="1"/>
      </w:tblPr>
      <w:tblGrid>
        <w:gridCol w:w="2263"/>
        <w:gridCol w:w="2362"/>
        <w:gridCol w:w="2363"/>
        <w:gridCol w:w="2363"/>
      </w:tblGrid>
      <w:tr w:rsidR="00D4027E" w:rsidRPr="00774628" w14:paraId="2D85CA0B" w14:textId="77777777" w:rsidTr="00CA45DE">
        <w:tc>
          <w:tcPr>
            <w:tcW w:w="2263" w:type="dxa"/>
            <w:vMerge w:val="restart"/>
            <w:shd w:val="clear" w:color="auto" w:fill="002060"/>
          </w:tcPr>
          <w:p w14:paraId="69B1ACD7" w14:textId="77777777" w:rsidR="00D4027E" w:rsidRPr="00774628" w:rsidRDefault="00D4027E" w:rsidP="00CA45DE">
            <w:pPr>
              <w:rPr>
                <w:b/>
              </w:rPr>
            </w:pPr>
            <w:r w:rsidRPr="00BD4A54">
              <w:rPr>
                <w:b/>
                <w:color w:val="FFFFFF" w:themeColor="background1"/>
              </w:rPr>
              <w:t>Policy principles and objectives</w:t>
            </w:r>
          </w:p>
        </w:tc>
        <w:tc>
          <w:tcPr>
            <w:tcW w:w="7088" w:type="dxa"/>
            <w:gridSpan w:val="3"/>
            <w:shd w:val="clear" w:color="auto" w:fill="002060"/>
          </w:tcPr>
          <w:p w14:paraId="6040B5A8" w14:textId="77777777" w:rsidR="00D4027E" w:rsidRPr="00774628" w:rsidRDefault="00D4027E" w:rsidP="00CA45DE">
            <w:pPr>
              <w:jc w:val="center"/>
              <w:rPr>
                <w:b/>
              </w:rPr>
            </w:pPr>
            <w:r w:rsidRPr="00BD4A54">
              <w:rPr>
                <w:b/>
                <w:color w:val="FFFFFF" w:themeColor="background1"/>
              </w:rPr>
              <w:t>Option outcomes</w:t>
            </w:r>
          </w:p>
        </w:tc>
      </w:tr>
      <w:tr w:rsidR="00D4027E" w:rsidRPr="00774628" w14:paraId="6EDD22F4" w14:textId="77777777" w:rsidTr="00CA45DE">
        <w:tc>
          <w:tcPr>
            <w:tcW w:w="2263" w:type="dxa"/>
            <w:vMerge/>
            <w:shd w:val="clear" w:color="auto" w:fill="FFCA61" w:themeFill="accent5" w:themeFillTint="99"/>
          </w:tcPr>
          <w:p w14:paraId="00A4E3F0" w14:textId="77777777" w:rsidR="00D4027E" w:rsidRPr="00774628" w:rsidRDefault="00D4027E" w:rsidP="00CA45DE"/>
        </w:tc>
        <w:tc>
          <w:tcPr>
            <w:tcW w:w="2362" w:type="dxa"/>
            <w:shd w:val="clear" w:color="auto" w:fill="8EAADB"/>
          </w:tcPr>
          <w:p w14:paraId="50C91CCB" w14:textId="77777777" w:rsidR="00D4027E" w:rsidRPr="00774628" w:rsidRDefault="00D4027E" w:rsidP="00CA45DE">
            <w:pPr>
              <w:jc w:val="center"/>
              <w:rPr>
                <w:b/>
              </w:rPr>
            </w:pPr>
            <w:r w:rsidRPr="00774628">
              <w:rPr>
                <w:b/>
              </w:rPr>
              <w:t>Option 1</w:t>
            </w:r>
          </w:p>
        </w:tc>
        <w:tc>
          <w:tcPr>
            <w:tcW w:w="2363" w:type="dxa"/>
            <w:shd w:val="clear" w:color="auto" w:fill="8EAADB"/>
          </w:tcPr>
          <w:p w14:paraId="4E6270D6" w14:textId="77777777" w:rsidR="00D4027E" w:rsidRPr="00774628" w:rsidRDefault="00D4027E" w:rsidP="00CA45DE">
            <w:pPr>
              <w:jc w:val="center"/>
              <w:rPr>
                <w:b/>
              </w:rPr>
            </w:pPr>
            <w:r w:rsidRPr="00774628">
              <w:rPr>
                <w:b/>
              </w:rPr>
              <w:t>Option 2</w:t>
            </w:r>
          </w:p>
        </w:tc>
        <w:tc>
          <w:tcPr>
            <w:tcW w:w="2363" w:type="dxa"/>
            <w:shd w:val="clear" w:color="auto" w:fill="8EAADB"/>
          </w:tcPr>
          <w:p w14:paraId="318FA5EC" w14:textId="77777777" w:rsidR="00D4027E" w:rsidRPr="00774628" w:rsidRDefault="00D4027E" w:rsidP="00CA45DE">
            <w:pPr>
              <w:jc w:val="center"/>
              <w:rPr>
                <w:b/>
              </w:rPr>
            </w:pPr>
            <w:r w:rsidRPr="00774628">
              <w:rPr>
                <w:b/>
              </w:rPr>
              <w:t>Option 3</w:t>
            </w:r>
          </w:p>
        </w:tc>
      </w:tr>
      <w:tr w:rsidR="00D4027E" w:rsidRPr="00774628" w14:paraId="1E2CEF0F" w14:textId="77777777" w:rsidTr="00CA45DE">
        <w:tc>
          <w:tcPr>
            <w:tcW w:w="2263" w:type="dxa"/>
            <w:shd w:val="clear" w:color="auto" w:fill="D9E2F3"/>
          </w:tcPr>
          <w:p w14:paraId="3492CAC6" w14:textId="77777777" w:rsidR="00D4027E" w:rsidRPr="00774628" w:rsidRDefault="00D4027E" w:rsidP="00CA45DE">
            <w:pPr>
              <w:spacing w:before="120" w:after="120"/>
              <w:rPr>
                <w:b/>
              </w:rPr>
            </w:pPr>
            <w:r w:rsidRPr="00774628">
              <w:rPr>
                <w:b/>
              </w:rPr>
              <w:t>Principle 1: Effective</w:t>
            </w:r>
          </w:p>
        </w:tc>
        <w:tc>
          <w:tcPr>
            <w:tcW w:w="2362" w:type="dxa"/>
            <w:tcBorders>
              <w:top w:val="nil"/>
              <w:left w:val="nil"/>
              <w:bottom w:val="single" w:sz="8" w:space="0" w:color="auto"/>
              <w:right w:val="single" w:sz="8" w:space="0" w:color="auto"/>
            </w:tcBorders>
            <w:shd w:val="clear" w:color="000000" w:fill="C6E0B4"/>
            <w:vAlign w:val="center"/>
          </w:tcPr>
          <w:p w14:paraId="7E79E990" w14:textId="77777777" w:rsidR="00D4027E" w:rsidRPr="0049776F" w:rsidRDefault="00D4027E" w:rsidP="00CA45DE">
            <w:pPr>
              <w:spacing w:before="120" w:after="120"/>
              <w:rPr>
                <w:b/>
              </w:rPr>
            </w:pPr>
            <w:r w:rsidRPr="0049776F">
              <w:rPr>
                <w:b/>
              </w:rPr>
              <w:t>Improvement</w:t>
            </w:r>
          </w:p>
        </w:tc>
        <w:tc>
          <w:tcPr>
            <w:tcW w:w="2363" w:type="dxa"/>
            <w:tcBorders>
              <w:top w:val="nil"/>
              <w:left w:val="nil"/>
              <w:bottom w:val="single" w:sz="8" w:space="0" w:color="auto"/>
              <w:right w:val="single" w:sz="8" w:space="0" w:color="auto"/>
            </w:tcBorders>
            <w:shd w:val="clear" w:color="000000" w:fill="C6E0B4"/>
            <w:vAlign w:val="center"/>
          </w:tcPr>
          <w:p w14:paraId="26023F23" w14:textId="77777777" w:rsidR="00D4027E" w:rsidRPr="00774628" w:rsidRDefault="00D4027E" w:rsidP="00CA45DE">
            <w:pPr>
              <w:spacing w:before="120" w:after="120"/>
            </w:pPr>
            <w:r w:rsidRPr="0049776F">
              <w:rPr>
                <w:b/>
              </w:rPr>
              <w:t>Improvement</w:t>
            </w:r>
          </w:p>
        </w:tc>
        <w:tc>
          <w:tcPr>
            <w:tcW w:w="2363" w:type="dxa"/>
            <w:tcBorders>
              <w:top w:val="nil"/>
              <w:left w:val="nil"/>
              <w:bottom w:val="single" w:sz="8" w:space="0" w:color="auto"/>
              <w:right w:val="single" w:sz="8" w:space="0" w:color="auto"/>
            </w:tcBorders>
            <w:shd w:val="clear" w:color="000000" w:fill="70AD47"/>
            <w:vAlign w:val="center"/>
          </w:tcPr>
          <w:p w14:paraId="3F3CE513" w14:textId="77777777" w:rsidR="00D4027E" w:rsidRPr="0049776F" w:rsidRDefault="00D4027E" w:rsidP="00CA45DE">
            <w:pPr>
              <w:spacing w:before="120" w:after="120"/>
              <w:rPr>
                <w:b/>
              </w:rPr>
            </w:pPr>
            <w:r w:rsidRPr="0049776F">
              <w:rPr>
                <w:b/>
              </w:rPr>
              <w:t>Significant improvement</w:t>
            </w:r>
          </w:p>
        </w:tc>
      </w:tr>
      <w:tr w:rsidR="00D4027E" w:rsidRPr="00774628" w14:paraId="0E976CEF" w14:textId="77777777" w:rsidTr="00CA45DE">
        <w:tc>
          <w:tcPr>
            <w:tcW w:w="2263" w:type="dxa"/>
          </w:tcPr>
          <w:p w14:paraId="3CDBCE2B" w14:textId="77777777" w:rsidR="00D4027E" w:rsidRPr="00774628" w:rsidRDefault="00D4027E" w:rsidP="00CA45DE">
            <w:r w:rsidRPr="00774628">
              <w:t xml:space="preserve">1.1:  </w:t>
            </w:r>
            <w:r>
              <w:t>Reduces</w:t>
            </w:r>
            <w:r w:rsidRPr="00774628">
              <w:t xml:space="preserve"> emissions </w:t>
            </w:r>
            <w:r>
              <w:t>consistent with Australia’s targets</w:t>
            </w:r>
          </w:p>
        </w:tc>
        <w:tc>
          <w:tcPr>
            <w:tcW w:w="7088" w:type="dxa"/>
            <w:gridSpan w:val="3"/>
            <w:tcBorders>
              <w:top w:val="nil"/>
              <w:left w:val="nil"/>
              <w:bottom w:val="single" w:sz="8" w:space="0" w:color="auto"/>
              <w:right w:val="single" w:sz="8" w:space="0" w:color="auto"/>
            </w:tcBorders>
            <w:shd w:val="clear" w:color="000000" w:fill="70AD47"/>
            <w:vAlign w:val="center"/>
          </w:tcPr>
          <w:p w14:paraId="5781188B" w14:textId="1EE95995" w:rsidR="00D4027E" w:rsidRPr="00774628" w:rsidRDefault="00D4027E" w:rsidP="00CA45DE">
            <w:pPr>
              <w:jc w:val="center"/>
            </w:pPr>
            <w:r>
              <w:t>Achieves emissions reduction objectives of the reforms cons</w:t>
            </w:r>
            <w:r w:rsidR="00E457F4">
              <w:t>istent with Australia’s targets</w:t>
            </w:r>
          </w:p>
        </w:tc>
      </w:tr>
      <w:tr w:rsidR="00D4027E" w:rsidRPr="00774628" w14:paraId="5647E5DA" w14:textId="77777777" w:rsidTr="00CA45DE">
        <w:tc>
          <w:tcPr>
            <w:tcW w:w="2263" w:type="dxa"/>
          </w:tcPr>
          <w:p w14:paraId="623AB788" w14:textId="77777777" w:rsidR="00D4027E" w:rsidRPr="00774628" w:rsidRDefault="00D4027E" w:rsidP="00CA45DE">
            <w:r>
              <w:t>1.2</w:t>
            </w:r>
            <w:r w:rsidRPr="00774628">
              <w:t xml:space="preserve">: </w:t>
            </w:r>
            <w:r>
              <w:t xml:space="preserve">Reduces risk of overshooting </w:t>
            </w:r>
            <w:r w:rsidRPr="001E28E8">
              <w:t xml:space="preserve">net emissions targets specified in Objects of </w:t>
            </w:r>
            <w:proofErr w:type="spellStart"/>
            <w:r w:rsidRPr="001E28E8">
              <w:t>NGER</w:t>
            </w:r>
            <w:proofErr w:type="spellEnd"/>
            <w:r w:rsidRPr="001E28E8">
              <w:t xml:space="preserve"> Act</w:t>
            </w:r>
          </w:p>
        </w:tc>
        <w:tc>
          <w:tcPr>
            <w:tcW w:w="2362" w:type="dxa"/>
            <w:tcBorders>
              <w:top w:val="nil"/>
              <w:left w:val="nil"/>
              <w:bottom w:val="single" w:sz="8" w:space="0" w:color="auto"/>
              <w:right w:val="single" w:sz="8" w:space="0" w:color="auto"/>
            </w:tcBorders>
            <w:shd w:val="clear" w:color="000000" w:fill="C6E0B4"/>
            <w:vAlign w:val="center"/>
          </w:tcPr>
          <w:p w14:paraId="019FCAC8" w14:textId="77777777" w:rsidR="00D4027E" w:rsidRPr="00774628" w:rsidRDefault="00D4027E" w:rsidP="00CA45DE">
            <w:r>
              <w:t>Reserve</w:t>
            </w:r>
          </w:p>
        </w:tc>
        <w:tc>
          <w:tcPr>
            <w:tcW w:w="2363" w:type="dxa"/>
            <w:tcBorders>
              <w:top w:val="nil"/>
              <w:left w:val="nil"/>
              <w:bottom w:val="single" w:sz="8" w:space="0" w:color="auto"/>
              <w:right w:val="single" w:sz="8" w:space="0" w:color="auto"/>
            </w:tcBorders>
            <w:shd w:val="clear" w:color="000000" w:fill="C6E0B4"/>
            <w:vAlign w:val="center"/>
          </w:tcPr>
          <w:p w14:paraId="6A32FD1F" w14:textId="77777777" w:rsidR="00D4027E" w:rsidRPr="00774628" w:rsidRDefault="00D4027E" w:rsidP="00CA45DE">
            <w:r>
              <w:t>Reserve</w:t>
            </w:r>
          </w:p>
        </w:tc>
        <w:tc>
          <w:tcPr>
            <w:tcW w:w="2363" w:type="dxa"/>
            <w:tcBorders>
              <w:top w:val="nil"/>
              <w:left w:val="nil"/>
              <w:bottom w:val="single" w:sz="8" w:space="0" w:color="auto"/>
              <w:right w:val="single" w:sz="8" w:space="0" w:color="auto"/>
            </w:tcBorders>
            <w:shd w:val="clear" w:color="000000" w:fill="70AD47"/>
            <w:vAlign w:val="center"/>
          </w:tcPr>
          <w:p w14:paraId="41257D62" w14:textId="5434C859" w:rsidR="00D4027E" w:rsidRPr="00774628" w:rsidRDefault="00D4027E" w:rsidP="00366E5A">
            <w:r>
              <w:t>Reserve, international best practice benchmarks, enhanced transparency and accountability</w:t>
            </w:r>
          </w:p>
        </w:tc>
      </w:tr>
      <w:tr w:rsidR="00D4027E" w:rsidRPr="00774628" w14:paraId="0AB47B57" w14:textId="77777777" w:rsidTr="00CA45DE">
        <w:tc>
          <w:tcPr>
            <w:tcW w:w="2263" w:type="dxa"/>
          </w:tcPr>
          <w:p w14:paraId="1F49C074" w14:textId="77777777" w:rsidR="00D4027E" w:rsidRDefault="00D4027E" w:rsidP="00CA45DE">
            <w:r>
              <w:t>1.3: Allows policy settings to be refined over time</w:t>
            </w:r>
          </w:p>
        </w:tc>
        <w:tc>
          <w:tcPr>
            <w:tcW w:w="2362" w:type="dxa"/>
            <w:tcBorders>
              <w:top w:val="nil"/>
              <w:left w:val="nil"/>
              <w:bottom w:val="single" w:sz="8" w:space="0" w:color="auto"/>
              <w:right w:val="single" w:sz="8" w:space="0" w:color="auto"/>
            </w:tcBorders>
            <w:shd w:val="clear" w:color="auto" w:fill="FFF2CC"/>
            <w:vAlign w:val="center"/>
          </w:tcPr>
          <w:p w14:paraId="6B68D6F6" w14:textId="77777777" w:rsidR="00D4027E" w:rsidRPr="00774628" w:rsidRDefault="00D4027E" w:rsidP="00CA45DE">
            <w:r>
              <w:t>Phased approach</w:t>
            </w:r>
          </w:p>
        </w:tc>
        <w:tc>
          <w:tcPr>
            <w:tcW w:w="2363" w:type="dxa"/>
            <w:tcBorders>
              <w:top w:val="nil"/>
              <w:left w:val="nil"/>
              <w:bottom w:val="single" w:sz="8" w:space="0" w:color="auto"/>
              <w:right w:val="single" w:sz="8" w:space="0" w:color="auto"/>
            </w:tcBorders>
            <w:shd w:val="clear" w:color="auto" w:fill="FFF2CC"/>
            <w:vAlign w:val="center"/>
          </w:tcPr>
          <w:p w14:paraId="300B9DBE" w14:textId="77777777" w:rsidR="00D4027E" w:rsidRPr="00774628" w:rsidRDefault="00D4027E" w:rsidP="00CA45DE">
            <w:r>
              <w:t>Phased approach</w:t>
            </w:r>
          </w:p>
        </w:tc>
        <w:tc>
          <w:tcPr>
            <w:tcW w:w="2363" w:type="dxa"/>
            <w:tcBorders>
              <w:top w:val="nil"/>
              <w:left w:val="nil"/>
              <w:bottom w:val="single" w:sz="8" w:space="0" w:color="auto"/>
              <w:right w:val="single" w:sz="8" w:space="0" w:color="auto"/>
            </w:tcBorders>
            <w:shd w:val="clear" w:color="000000" w:fill="70AD47"/>
            <w:vAlign w:val="center"/>
          </w:tcPr>
          <w:p w14:paraId="48AF5DF6" w14:textId="77777777" w:rsidR="00D4027E" w:rsidRPr="00774628" w:rsidRDefault="00D4027E" w:rsidP="00CA45DE">
            <w:r>
              <w:t xml:space="preserve">Allows recalibration of policy settings through a review </w:t>
            </w:r>
          </w:p>
        </w:tc>
      </w:tr>
      <w:tr w:rsidR="00D4027E" w:rsidRPr="009E50BF" w14:paraId="0BAC9528" w14:textId="77777777" w:rsidTr="00CA45DE">
        <w:tc>
          <w:tcPr>
            <w:tcW w:w="2263" w:type="dxa"/>
            <w:shd w:val="clear" w:color="auto" w:fill="D9E2F3"/>
          </w:tcPr>
          <w:p w14:paraId="48EC6B55" w14:textId="77777777" w:rsidR="00D4027E" w:rsidRPr="00774628" w:rsidRDefault="00D4027E" w:rsidP="00CA45DE">
            <w:pPr>
              <w:spacing w:before="120" w:after="120"/>
              <w:rPr>
                <w:b/>
              </w:rPr>
            </w:pPr>
            <w:r w:rsidRPr="00774628">
              <w:rPr>
                <w:b/>
              </w:rPr>
              <w:t>Principle 2: Equitable</w:t>
            </w:r>
          </w:p>
        </w:tc>
        <w:tc>
          <w:tcPr>
            <w:tcW w:w="2362" w:type="dxa"/>
            <w:tcBorders>
              <w:top w:val="nil"/>
              <w:left w:val="nil"/>
              <w:bottom w:val="single" w:sz="8" w:space="0" w:color="auto"/>
              <w:right w:val="single" w:sz="8" w:space="0" w:color="auto"/>
            </w:tcBorders>
            <w:shd w:val="clear" w:color="000000" w:fill="C6E0B4"/>
            <w:vAlign w:val="center"/>
          </w:tcPr>
          <w:p w14:paraId="30DE7498" w14:textId="77777777" w:rsidR="00D4027E" w:rsidRPr="009E50BF" w:rsidRDefault="00D4027E" w:rsidP="00CA45DE">
            <w:pPr>
              <w:spacing w:before="120" w:after="120"/>
              <w:rPr>
                <w:b/>
              </w:rPr>
            </w:pPr>
            <w:r w:rsidRPr="0049776F">
              <w:rPr>
                <w:b/>
              </w:rPr>
              <w:t>Improvement</w:t>
            </w:r>
          </w:p>
        </w:tc>
        <w:tc>
          <w:tcPr>
            <w:tcW w:w="2363" w:type="dxa"/>
            <w:tcBorders>
              <w:top w:val="nil"/>
              <w:left w:val="nil"/>
              <w:bottom w:val="single" w:sz="8" w:space="0" w:color="auto"/>
              <w:right w:val="single" w:sz="8" w:space="0" w:color="auto"/>
            </w:tcBorders>
            <w:shd w:val="clear" w:color="auto" w:fill="C5E0B3"/>
            <w:vAlign w:val="center"/>
          </w:tcPr>
          <w:p w14:paraId="612BC774" w14:textId="77777777" w:rsidR="00D4027E" w:rsidRPr="0049776F" w:rsidRDefault="00D4027E" w:rsidP="00CA45DE">
            <w:pPr>
              <w:spacing w:before="120" w:after="120"/>
              <w:rPr>
                <w:b/>
              </w:rPr>
            </w:pPr>
            <w:r w:rsidRPr="0049776F">
              <w:rPr>
                <w:b/>
              </w:rPr>
              <w:t>Improvement</w:t>
            </w:r>
          </w:p>
        </w:tc>
        <w:tc>
          <w:tcPr>
            <w:tcW w:w="2363" w:type="dxa"/>
            <w:tcBorders>
              <w:top w:val="nil"/>
              <w:left w:val="nil"/>
              <w:bottom w:val="single" w:sz="8" w:space="0" w:color="auto"/>
              <w:right w:val="single" w:sz="8" w:space="0" w:color="auto"/>
            </w:tcBorders>
            <w:shd w:val="clear" w:color="000000" w:fill="70AD47"/>
            <w:vAlign w:val="center"/>
          </w:tcPr>
          <w:p w14:paraId="678F9DFB" w14:textId="77777777" w:rsidR="00D4027E" w:rsidRPr="009E50BF" w:rsidRDefault="00D4027E" w:rsidP="00CA45DE">
            <w:pPr>
              <w:spacing w:before="120" w:after="120"/>
              <w:rPr>
                <w:b/>
              </w:rPr>
            </w:pPr>
            <w:r w:rsidRPr="0049776F">
              <w:rPr>
                <w:b/>
              </w:rPr>
              <w:t>Significant improvement</w:t>
            </w:r>
          </w:p>
        </w:tc>
      </w:tr>
      <w:tr w:rsidR="00D4027E" w:rsidRPr="00774628" w14:paraId="1315DFF1" w14:textId="77777777" w:rsidTr="00CA45DE">
        <w:tc>
          <w:tcPr>
            <w:tcW w:w="2263" w:type="dxa"/>
          </w:tcPr>
          <w:p w14:paraId="76E2D361" w14:textId="77777777" w:rsidR="00D4027E" w:rsidRPr="00774628" w:rsidRDefault="00D4027E" w:rsidP="00CA45DE">
            <w:r w:rsidRPr="00774628">
              <w:t xml:space="preserve">2.1: </w:t>
            </w:r>
            <w:r>
              <w:t>Baselines set on a consistent and transparent basis</w:t>
            </w:r>
          </w:p>
        </w:tc>
        <w:tc>
          <w:tcPr>
            <w:tcW w:w="2362" w:type="dxa"/>
            <w:tcBorders>
              <w:top w:val="nil"/>
              <w:left w:val="nil"/>
              <w:bottom w:val="single" w:sz="8" w:space="0" w:color="auto"/>
              <w:right w:val="single" w:sz="8" w:space="0" w:color="auto"/>
            </w:tcBorders>
            <w:shd w:val="clear" w:color="000000" w:fill="70AD47"/>
            <w:vAlign w:val="center"/>
          </w:tcPr>
          <w:p w14:paraId="76D424C0" w14:textId="77777777" w:rsidR="00D4027E" w:rsidRPr="00774628" w:rsidRDefault="00D4027E" w:rsidP="00CA45DE">
            <w:r>
              <w:t>Baselines set on a consistent and transparent basis</w:t>
            </w:r>
          </w:p>
        </w:tc>
        <w:tc>
          <w:tcPr>
            <w:tcW w:w="2363" w:type="dxa"/>
            <w:tcBorders>
              <w:top w:val="nil"/>
              <w:left w:val="nil"/>
              <w:bottom w:val="single" w:sz="8" w:space="0" w:color="auto"/>
              <w:right w:val="single" w:sz="8" w:space="0" w:color="auto"/>
            </w:tcBorders>
            <w:shd w:val="clear" w:color="000000" w:fill="FCE4D6"/>
            <w:vAlign w:val="center"/>
          </w:tcPr>
          <w:p w14:paraId="4392C4F9" w14:textId="77777777" w:rsidR="00D4027E" w:rsidRPr="00774628" w:rsidRDefault="00D4027E" w:rsidP="00CA45DE">
            <w:r w:rsidRPr="009E50BF">
              <w:t>Reduced consistency and limited transparency</w:t>
            </w:r>
          </w:p>
        </w:tc>
        <w:tc>
          <w:tcPr>
            <w:tcW w:w="2363" w:type="dxa"/>
            <w:tcBorders>
              <w:top w:val="nil"/>
              <w:left w:val="nil"/>
              <w:bottom w:val="single" w:sz="8" w:space="0" w:color="auto"/>
              <w:right w:val="single" w:sz="8" w:space="0" w:color="auto"/>
            </w:tcBorders>
            <w:shd w:val="clear" w:color="000000" w:fill="C6E0B4"/>
            <w:vAlign w:val="center"/>
          </w:tcPr>
          <w:p w14:paraId="709B5B99" w14:textId="77777777" w:rsidR="00D4027E" w:rsidRPr="00774628" w:rsidRDefault="00D4027E" w:rsidP="00CA45DE">
            <w:r>
              <w:t>Baselines set on a consistent basis with transparency improving over time</w:t>
            </w:r>
          </w:p>
        </w:tc>
      </w:tr>
      <w:tr w:rsidR="00D4027E" w:rsidRPr="00774628" w14:paraId="336FA6D9" w14:textId="77777777" w:rsidTr="00CA45DE">
        <w:tc>
          <w:tcPr>
            <w:tcW w:w="2263" w:type="dxa"/>
          </w:tcPr>
          <w:p w14:paraId="493CCEA2" w14:textId="77777777" w:rsidR="00D4027E" w:rsidRPr="00774628" w:rsidRDefault="00D4027E" w:rsidP="00CA45DE">
            <w:r w:rsidRPr="00774628">
              <w:t>2</w:t>
            </w:r>
            <w:r>
              <w:t>.2</w:t>
            </w:r>
            <w:r w:rsidRPr="00774628">
              <w:t xml:space="preserve">: </w:t>
            </w:r>
            <w:r>
              <w:t>Equitable d</w:t>
            </w:r>
            <w:r w:rsidRPr="00774628">
              <w:t xml:space="preserve">istribution of </w:t>
            </w:r>
            <w:r>
              <w:t>costs and benefits</w:t>
            </w:r>
          </w:p>
        </w:tc>
        <w:tc>
          <w:tcPr>
            <w:tcW w:w="2362" w:type="dxa"/>
            <w:tcBorders>
              <w:top w:val="nil"/>
              <w:left w:val="nil"/>
              <w:bottom w:val="single" w:sz="8" w:space="0" w:color="auto"/>
              <w:right w:val="single" w:sz="8" w:space="0" w:color="auto"/>
            </w:tcBorders>
            <w:shd w:val="clear" w:color="000000" w:fill="FCE4D6"/>
            <w:vAlign w:val="center"/>
          </w:tcPr>
          <w:p w14:paraId="3CCFEB87" w14:textId="77777777" w:rsidR="00D4027E" w:rsidRPr="00774628" w:rsidRDefault="00D4027E" w:rsidP="00CA45DE">
            <w:r>
              <w:t>Disproportionately affects facilities with higher than average emission intensities</w:t>
            </w:r>
          </w:p>
        </w:tc>
        <w:tc>
          <w:tcPr>
            <w:tcW w:w="2363" w:type="dxa"/>
            <w:tcBorders>
              <w:top w:val="nil"/>
              <w:left w:val="nil"/>
              <w:bottom w:val="single" w:sz="8" w:space="0" w:color="auto"/>
              <w:right w:val="single" w:sz="8" w:space="0" w:color="auto"/>
            </w:tcBorders>
            <w:shd w:val="clear" w:color="auto" w:fill="70AD47"/>
            <w:vAlign w:val="center"/>
          </w:tcPr>
          <w:p w14:paraId="0F8B693F" w14:textId="77777777" w:rsidR="00D4027E" w:rsidRPr="00774628" w:rsidRDefault="00D4027E" w:rsidP="00CA45DE">
            <w:r>
              <w:t>Costs and benefits distributed equitably, based on individual facility circumstances</w:t>
            </w:r>
          </w:p>
        </w:tc>
        <w:tc>
          <w:tcPr>
            <w:tcW w:w="2363" w:type="dxa"/>
            <w:tcBorders>
              <w:top w:val="nil"/>
              <w:left w:val="nil"/>
              <w:bottom w:val="single" w:sz="8" w:space="0" w:color="auto"/>
              <w:right w:val="single" w:sz="8" w:space="0" w:color="auto"/>
            </w:tcBorders>
            <w:shd w:val="clear" w:color="000000" w:fill="70AD47"/>
            <w:vAlign w:val="center"/>
          </w:tcPr>
          <w:p w14:paraId="72514923" w14:textId="77777777" w:rsidR="00D4027E" w:rsidRPr="00774628" w:rsidRDefault="00D4027E" w:rsidP="00CA45DE">
            <w:r>
              <w:t>Introduces costs and benefits in manageable increments that takes into account individual facility circumstances</w:t>
            </w:r>
          </w:p>
        </w:tc>
      </w:tr>
      <w:tr w:rsidR="00D4027E" w:rsidRPr="00774628" w14:paraId="3012593C" w14:textId="77777777" w:rsidTr="00CA45DE">
        <w:tc>
          <w:tcPr>
            <w:tcW w:w="2263" w:type="dxa"/>
          </w:tcPr>
          <w:p w14:paraId="5D60924B" w14:textId="77777777" w:rsidR="00D4027E" w:rsidRPr="00774628" w:rsidRDefault="00D4027E" w:rsidP="00CA45DE">
            <w:r>
              <w:lastRenderedPageBreak/>
              <w:t>2.3: Provides assistance and flexibility</w:t>
            </w:r>
          </w:p>
        </w:tc>
        <w:tc>
          <w:tcPr>
            <w:tcW w:w="2362" w:type="dxa"/>
            <w:tcBorders>
              <w:top w:val="nil"/>
              <w:left w:val="nil"/>
              <w:bottom w:val="single" w:sz="8" w:space="0" w:color="auto"/>
              <w:right w:val="single" w:sz="8" w:space="0" w:color="auto"/>
            </w:tcBorders>
            <w:shd w:val="clear" w:color="auto" w:fill="C5E0B3"/>
            <w:vAlign w:val="center"/>
          </w:tcPr>
          <w:p w14:paraId="5CD941AD" w14:textId="77777777" w:rsidR="00D4027E" w:rsidRDefault="00D4027E" w:rsidP="00CA45DE">
            <w:r>
              <w:t>Support for emissions-intensive trade-exposed facilities</w:t>
            </w:r>
          </w:p>
        </w:tc>
        <w:tc>
          <w:tcPr>
            <w:tcW w:w="2363" w:type="dxa"/>
            <w:tcBorders>
              <w:top w:val="nil"/>
              <w:left w:val="nil"/>
              <w:bottom w:val="single" w:sz="8" w:space="0" w:color="auto"/>
              <w:right w:val="single" w:sz="8" w:space="0" w:color="auto"/>
            </w:tcBorders>
            <w:shd w:val="clear" w:color="000000" w:fill="C6E0B4"/>
            <w:vAlign w:val="center"/>
          </w:tcPr>
          <w:p w14:paraId="15B98269" w14:textId="77777777" w:rsidR="00D4027E" w:rsidRDefault="00D4027E" w:rsidP="00CA45DE">
            <w:r>
              <w:t>Support for emissions-intensive trade-exposed facilities</w:t>
            </w:r>
          </w:p>
        </w:tc>
        <w:tc>
          <w:tcPr>
            <w:tcW w:w="2363" w:type="dxa"/>
            <w:tcBorders>
              <w:top w:val="nil"/>
              <w:left w:val="nil"/>
              <w:bottom w:val="single" w:sz="8" w:space="0" w:color="auto"/>
              <w:right w:val="single" w:sz="8" w:space="0" w:color="auto"/>
            </w:tcBorders>
            <w:shd w:val="clear" w:color="000000" w:fill="70AD47"/>
            <w:vAlign w:val="center"/>
          </w:tcPr>
          <w:p w14:paraId="08CCB397" w14:textId="77777777" w:rsidR="00D4027E" w:rsidRPr="00774628" w:rsidRDefault="00D4027E" w:rsidP="00CA45DE">
            <w:r>
              <w:t>Provides assistance and flexibility based on need and strategic importance</w:t>
            </w:r>
          </w:p>
        </w:tc>
      </w:tr>
      <w:tr w:rsidR="00D4027E" w:rsidRPr="00774628" w14:paraId="17039D52" w14:textId="77777777" w:rsidTr="00CA45DE">
        <w:tc>
          <w:tcPr>
            <w:tcW w:w="2263" w:type="dxa"/>
            <w:shd w:val="clear" w:color="auto" w:fill="D9E2F3"/>
          </w:tcPr>
          <w:p w14:paraId="4AF6212C" w14:textId="77777777" w:rsidR="00D4027E" w:rsidRPr="00774628" w:rsidRDefault="00D4027E" w:rsidP="00CA45DE">
            <w:pPr>
              <w:spacing w:before="120" w:after="120"/>
              <w:rPr>
                <w:b/>
              </w:rPr>
            </w:pPr>
            <w:r w:rsidRPr="00774628">
              <w:rPr>
                <w:b/>
              </w:rPr>
              <w:t>Principle 3: Efficient</w:t>
            </w:r>
          </w:p>
        </w:tc>
        <w:tc>
          <w:tcPr>
            <w:tcW w:w="2362" w:type="dxa"/>
            <w:tcBorders>
              <w:top w:val="nil"/>
              <w:left w:val="nil"/>
              <w:bottom w:val="single" w:sz="8" w:space="0" w:color="auto"/>
              <w:right w:val="single" w:sz="8" w:space="0" w:color="auto"/>
            </w:tcBorders>
            <w:shd w:val="clear" w:color="000000" w:fill="70AD47"/>
            <w:vAlign w:val="center"/>
          </w:tcPr>
          <w:p w14:paraId="5F636EAC" w14:textId="77777777" w:rsidR="00D4027E" w:rsidRPr="009E50BF" w:rsidRDefault="00D4027E" w:rsidP="00CA45DE">
            <w:pPr>
              <w:spacing w:before="120" w:after="120"/>
              <w:rPr>
                <w:b/>
              </w:rPr>
            </w:pPr>
            <w:r w:rsidRPr="0049776F">
              <w:rPr>
                <w:b/>
              </w:rPr>
              <w:t>Significant improvement</w:t>
            </w:r>
          </w:p>
        </w:tc>
        <w:tc>
          <w:tcPr>
            <w:tcW w:w="2363" w:type="dxa"/>
            <w:tcBorders>
              <w:top w:val="nil"/>
              <w:left w:val="nil"/>
              <w:bottom w:val="single" w:sz="8" w:space="0" w:color="auto"/>
              <w:right w:val="single" w:sz="8" w:space="0" w:color="auto"/>
            </w:tcBorders>
            <w:shd w:val="clear" w:color="000000" w:fill="C6E0B4"/>
            <w:vAlign w:val="center"/>
          </w:tcPr>
          <w:p w14:paraId="0499A696" w14:textId="77777777" w:rsidR="00D4027E" w:rsidRPr="009E50BF" w:rsidRDefault="00D4027E" w:rsidP="00CA45DE">
            <w:pPr>
              <w:spacing w:before="120" w:after="120"/>
              <w:rPr>
                <w:b/>
              </w:rPr>
            </w:pPr>
            <w:r w:rsidRPr="0049776F">
              <w:rPr>
                <w:b/>
              </w:rPr>
              <w:t>Improvement</w:t>
            </w:r>
          </w:p>
        </w:tc>
        <w:tc>
          <w:tcPr>
            <w:tcW w:w="2363" w:type="dxa"/>
            <w:tcBorders>
              <w:top w:val="nil"/>
              <w:left w:val="nil"/>
              <w:bottom w:val="single" w:sz="8" w:space="0" w:color="auto"/>
              <w:right w:val="single" w:sz="8" w:space="0" w:color="auto"/>
            </w:tcBorders>
            <w:shd w:val="clear" w:color="000000" w:fill="70AD47"/>
            <w:vAlign w:val="center"/>
          </w:tcPr>
          <w:p w14:paraId="159883C3" w14:textId="77777777" w:rsidR="00D4027E" w:rsidRPr="009E50BF" w:rsidRDefault="00D4027E" w:rsidP="00CA45DE">
            <w:pPr>
              <w:spacing w:before="120" w:after="120"/>
              <w:rPr>
                <w:b/>
              </w:rPr>
            </w:pPr>
            <w:r w:rsidRPr="0049776F">
              <w:rPr>
                <w:b/>
              </w:rPr>
              <w:t>Significant improvement</w:t>
            </w:r>
          </w:p>
        </w:tc>
      </w:tr>
      <w:tr w:rsidR="00D4027E" w:rsidRPr="00774628" w14:paraId="366FEFAD" w14:textId="77777777" w:rsidTr="00CA45DE">
        <w:tc>
          <w:tcPr>
            <w:tcW w:w="2263" w:type="dxa"/>
          </w:tcPr>
          <w:p w14:paraId="00B6FF3A" w14:textId="77777777" w:rsidR="00D4027E" w:rsidRPr="00774628" w:rsidRDefault="00D4027E" w:rsidP="00CA45DE">
            <w:r w:rsidRPr="00774628">
              <w:t xml:space="preserve">3.1: </w:t>
            </w:r>
            <w:r>
              <w:t>Incentivises lower emissions-intensive production</w:t>
            </w:r>
          </w:p>
        </w:tc>
        <w:tc>
          <w:tcPr>
            <w:tcW w:w="2362" w:type="dxa"/>
            <w:tcBorders>
              <w:top w:val="nil"/>
              <w:left w:val="nil"/>
              <w:bottom w:val="single" w:sz="8" w:space="0" w:color="auto"/>
              <w:right w:val="single" w:sz="8" w:space="0" w:color="auto"/>
            </w:tcBorders>
            <w:shd w:val="clear" w:color="000000" w:fill="70AD47"/>
            <w:vAlign w:val="center"/>
          </w:tcPr>
          <w:p w14:paraId="0769FC89" w14:textId="77777777" w:rsidR="00D4027E" w:rsidRPr="00774628" w:rsidRDefault="00D4027E" w:rsidP="00CA45DE">
            <w:r>
              <w:t>Encourages lowers emissions-intensive production</w:t>
            </w:r>
          </w:p>
        </w:tc>
        <w:tc>
          <w:tcPr>
            <w:tcW w:w="2363" w:type="dxa"/>
            <w:tcBorders>
              <w:top w:val="nil"/>
              <w:left w:val="nil"/>
              <w:bottom w:val="single" w:sz="8" w:space="0" w:color="auto"/>
              <w:right w:val="single" w:sz="8" w:space="0" w:color="auto"/>
            </w:tcBorders>
            <w:shd w:val="clear" w:color="000000" w:fill="FCE4D6"/>
            <w:vAlign w:val="center"/>
          </w:tcPr>
          <w:p w14:paraId="0809CA8C" w14:textId="77777777" w:rsidR="00D4027E" w:rsidRPr="00774628" w:rsidRDefault="00D4027E" w:rsidP="00CA45DE">
            <w:r>
              <w:t>Does not reward lower emissions-intensive facilities, disadvantages early movers, creates perverse incentives</w:t>
            </w:r>
          </w:p>
        </w:tc>
        <w:tc>
          <w:tcPr>
            <w:tcW w:w="2363" w:type="dxa"/>
            <w:tcBorders>
              <w:top w:val="nil"/>
              <w:left w:val="nil"/>
              <w:bottom w:val="single" w:sz="8" w:space="0" w:color="auto"/>
              <w:right w:val="single" w:sz="8" w:space="0" w:color="auto"/>
            </w:tcBorders>
            <w:shd w:val="clear" w:color="auto" w:fill="C5E0B3"/>
            <w:vAlign w:val="center"/>
          </w:tcPr>
          <w:p w14:paraId="7AAC135E" w14:textId="77777777" w:rsidR="00D4027E" w:rsidRPr="00774628" w:rsidRDefault="00D4027E" w:rsidP="00CA45DE">
            <w:r>
              <w:t>Incentive for lower emissions intensive production increases over time</w:t>
            </w:r>
          </w:p>
        </w:tc>
      </w:tr>
      <w:tr w:rsidR="00D4027E" w:rsidRPr="00774628" w14:paraId="78FBF056" w14:textId="77777777" w:rsidTr="00CA45DE">
        <w:tc>
          <w:tcPr>
            <w:tcW w:w="2263" w:type="dxa"/>
          </w:tcPr>
          <w:p w14:paraId="7F4A9F14" w14:textId="77777777" w:rsidR="00D4027E" w:rsidRPr="00774628" w:rsidRDefault="00D4027E" w:rsidP="00CA45DE">
            <w:r w:rsidRPr="00774628">
              <w:t xml:space="preserve">3.2: </w:t>
            </w:r>
            <w:r>
              <w:t>Allows market to find the lowest cost abatement</w:t>
            </w:r>
          </w:p>
        </w:tc>
        <w:tc>
          <w:tcPr>
            <w:tcW w:w="7088" w:type="dxa"/>
            <w:gridSpan w:val="3"/>
            <w:tcBorders>
              <w:top w:val="nil"/>
              <w:left w:val="nil"/>
              <w:bottom w:val="single" w:sz="8" w:space="0" w:color="auto"/>
              <w:right w:val="single" w:sz="8" w:space="0" w:color="auto"/>
            </w:tcBorders>
            <w:shd w:val="clear" w:color="000000" w:fill="70AD47"/>
            <w:vAlign w:val="center"/>
          </w:tcPr>
          <w:p w14:paraId="6CC5BD4C" w14:textId="77777777" w:rsidR="00D4027E" w:rsidRPr="00774628" w:rsidRDefault="00D4027E" w:rsidP="00CA45DE">
            <w:pPr>
              <w:jc w:val="center"/>
            </w:pPr>
            <w:r>
              <w:t>Allows market to find the lowest cost abatement</w:t>
            </w:r>
          </w:p>
        </w:tc>
      </w:tr>
      <w:tr w:rsidR="00D4027E" w:rsidRPr="00774628" w14:paraId="7DE4D2BA" w14:textId="77777777" w:rsidTr="00CA45DE">
        <w:tc>
          <w:tcPr>
            <w:tcW w:w="2263" w:type="dxa"/>
          </w:tcPr>
          <w:p w14:paraId="74400A73" w14:textId="77777777" w:rsidR="00D4027E" w:rsidRPr="00774628" w:rsidRDefault="00D4027E" w:rsidP="00CA45DE">
            <w:r>
              <w:t>3.3: Provides flexible compliance options</w:t>
            </w:r>
          </w:p>
        </w:tc>
        <w:tc>
          <w:tcPr>
            <w:tcW w:w="2362" w:type="dxa"/>
            <w:tcBorders>
              <w:top w:val="nil"/>
              <w:left w:val="nil"/>
              <w:bottom w:val="single" w:sz="8" w:space="0" w:color="auto"/>
              <w:right w:val="single" w:sz="8" w:space="0" w:color="auto"/>
            </w:tcBorders>
            <w:shd w:val="clear" w:color="000000" w:fill="C6E0B4"/>
            <w:vAlign w:val="center"/>
          </w:tcPr>
          <w:p w14:paraId="57DDDDAE" w14:textId="77777777" w:rsidR="00D4027E" w:rsidRPr="00774628" w:rsidRDefault="00D4027E" w:rsidP="00CA45DE">
            <w:r>
              <w:t>Offers flexible compliance options</w:t>
            </w:r>
          </w:p>
        </w:tc>
        <w:tc>
          <w:tcPr>
            <w:tcW w:w="2363" w:type="dxa"/>
            <w:tcBorders>
              <w:top w:val="nil"/>
              <w:left w:val="nil"/>
              <w:bottom w:val="single" w:sz="8" w:space="0" w:color="auto"/>
              <w:right w:val="single" w:sz="8" w:space="0" w:color="auto"/>
            </w:tcBorders>
            <w:shd w:val="clear" w:color="000000" w:fill="C6E0B4"/>
            <w:vAlign w:val="center"/>
          </w:tcPr>
          <w:p w14:paraId="758E3872" w14:textId="77777777" w:rsidR="00D4027E" w:rsidRPr="00774628" w:rsidRDefault="00D4027E" w:rsidP="00CA45DE">
            <w:r>
              <w:t>Offers flexible compliance options</w:t>
            </w:r>
          </w:p>
        </w:tc>
        <w:tc>
          <w:tcPr>
            <w:tcW w:w="2363" w:type="dxa"/>
            <w:tcBorders>
              <w:top w:val="nil"/>
              <w:left w:val="nil"/>
              <w:bottom w:val="single" w:sz="8" w:space="0" w:color="auto"/>
              <w:right w:val="single" w:sz="8" w:space="0" w:color="auto"/>
            </w:tcBorders>
            <w:shd w:val="clear" w:color="000000" w:fill="70AD47"/>
            <w:vAlign w:val="center"/>
          </w:tcPr>
          <w:p w14:paraId="6C185E41" w14:textId="77777777" w:rsidR="00D4027E" w:rsidRPr="00774628" w:rsidRDefault="00D4027E" w:rsidP="00CA45DE">
            <w:r>
              <w:t>O</w:t>
            </w:r>
            <w:r w:rsidRPr="000B2F74">
              <w:t>ffers targeted flexible compliance options and a cost containment measur</w:t>
            </w:r>
            <w:r>
              <w:t>e</w:t>
            </w:r>
          </w:p>
        </w:tc>
      </w:tr>
      <w:tr w:rsidR="00D4027E" w:rsidRPr="00774628" w14:paraId="2D35D237" w14:textId="77777777" w:rsidTr="00CA45DE">
        <w:tc>
          <w:tcPr>
            <w:tcW w:w="2263" w:type="dxa"/>
          </w:tcPr>
          <w:p w14:paraId="4E753829" w14:textId="77777777" w:rsidR="00D4027E" w:rsidRPr="00774628" w:rsidRDefault="00D4027E" w:rsidP="00CA45DE">
            <w:r>
              <w:t>3.4</w:t>
            </w:r>
            <w:r w:rsidRPr="00774628">
              <w:t xml:space="preserve">: </w:t>
            </w:r>
            <w:r>
              <w:t>Provides policy and investor certainty</w:t>
            </w:r>
          </w:p>
        </w:tc>
        <w:tc>
          <w:tcPr>
            <w:tcW w:w="7088" w:type="dxa"/>
            <w:gridSpan w:val="3"/>
            <w:tcBorders>
              <w:top w:val="nil"/>
              <w:left w:val="nil"/>
              <w:bottom w:val="single" w:sz="8" w:space="0" w:color="auto"/>
              <w:right w:val="single" w:sz="8" w:space="0" w:color="auto"/>
            </w:tcBorders>
            <w:shd w:val="clear" w:color="000000" w:fill="70AD47"/>
            <w:vAlign w:val="center"/>
          </w:tcPr>
          <w:p w14:paraId="01F849DA" w14:textId="77777777" w:rsidR="00D4027E" w:rsidRPr="00774628" w:rsidRDefault="00D4027E" w:rsidP="00CA45DE">
            <w:pPr>
              <w:jc w:val="center"/>
            </w:pPr>
            <w:r>
              <w:t>Provides stability and creates strong market signals for investment</w:t>
            </w:r>
          </w:p>
        </w:tc>
      </w:tr>
      <w:tr w:rsidR="00D4027E" w:rsidRPr="00774628" w14:paraId="0BDA8704" w14:textId="77777777" w:rsidTr="00CA45DE">
        <w:tc>
          <w:tcPr>
            <w:tcW w:w="2263" w:type="dxa"/>
          </w:tcPr>
          <w:p w14:paraId="04CE4D4C" w14:textId="77777777" w:rsidR="00D4027E" w:rsidRPr="00774628" w:rsidRDefault="00D4027E" w:rsidP="00CA45DE">
            <w:r>
              <w:t>3.5</w:t>
            </w:r>
            <w:r w:rsidRPr="00774628">
              <w:t>: Reduces cost of inaction</w:t>
            </w:r>
          </w:p>
        </w:tc>
        <w:tc>
          <w:tcPr>
            <w:tcW w:w="7088" w:type="dxa"/>
            <w:gridSpan w:val="3"/>
            <w:tcBorders>
              <w:top w:val="nil"/>
              <w:left w:val="nil"/>
              <w:bottom w:val="single" w:sz="8" w:space="0" w:color="auto"/>
              <w:right w:val="single" w:sz="8" w:space="0" w:color="auto"/>
            </w:tcBorders>
            <w:shd w:val="clear" w:color="000000" w:fill="70AD47"/>
            <w:vAlign w:val="center"/>
          </w:tcPr>
          <w:p w14:paraId="79780165" w14:textId="77777777" w:rsidR="00D4027E" w:rsidRPr="000B2F74" w:rsidRDefault="00D4027E" w:rsidP="00CA45DE">
            <w:pPr>
              <w:jc w:val="center"/>
            </w:pPr>
            <w:r>
              <w:t>Reduces cost of inaction including capital cost premiums and trade barriers</w:t>
            </w:r>
          </w:p>
        </w:tc>
      </w:tr>
      <w:tr w:rsidR="00D4027E" w:rsidRPr="00774628" w14:paraId="4A6B0ADC" w14:textId="77777777" w:rsidTr="00CA45DE">
        <w:tc>
          <w:tcPr>
            <w:tcW w:w="2263" w:type="dxa"/>
            <w:shd w:val="clear" w:color="auto" w:fill="D9E2F3"/>
          </w:tcPr>
          <w:p w14:paraId="597A59BA" w14:textId="77777777" w:rsidR="00D4027E" w:rsidRPr="00774628" w:rsidRDefault="00D4027E" w:rsidP="00CA45DE">
            <w:pPr>
              <w:spacing w:before="120" w:after="120"/>
              <w:rPr>
                <w:b/>
              </w:rPr>
            </w:pPr>
            <w:r w:rsidRPr="00774628">
              <w:rPr>
                <w:b/>
              </w:rPr>
              <w:t>Principle 4: Simple</w:t>
            </w:r>
          </w:p>
        </w:tc>
        <w:tc>
          <w:tcPr>
            <w:tcW w:w="2362" w:type="dxa"/>
            <w:tcBorders>
              <w:top w:val="nil"/>
              <w:left w:val="nil"/>
              <w:bottom w:val="single" w:sz="8" w:space="0" w:color="auto"/>
              <w:right w:val="single" w:sz="8" w:space="0" w:color="auto"/>
            </w:tcBorders>
            <w:shd w:val="clear" w:color="000000" w:fill="FFF2CC"/>
            <w:vAlign w:val="center"/>
          </w:tcPr>
          <w:p w14:paraId="45D11407" w14:textId="77777777" w:rsidR="00D4027E" w:rsidRPr="000B2F74" w:rsidRDefault="00D4027E" w:rsidP="00CA45DE">
            <w:pPr>
              <w:spacing w:before="120" w:after="120"/>
              <w:jc w:val="center"/>
              <w:rPr>
                <w:b/>
              </w:rPr>
            </w:pPr>
            <w:r w:rsidRPr="000B2F74">
              <w:rPr>
                <w:b/>
              </w:rPr>
              <w:t>Mixed</w:t>
            </w:r>
          </w:p>
        </w:tc>
        <w:tc>
          <w:tcPr>
            <w:tcW w:w="2363" w:type="dxa"/>
            <w:tcBorders>
              <w:top w:val="nil"/>
              <w:left w:val="nil"/>
              <w:bottom w:val="single" w:sz="8" w:space="0" w:color="auto"/>
              <w:right w:val="single" w:sz="8" w:space="0" w:color="auto"/>
            </w:tcBorders>
            <w:shd w:val="clear" w:color="000000" w:fill="FCE4D6"/>
            <w:vAlign w:val="center"/>
          </w:tcPr>
          <w:p w14:paraId="00FA3A1F" w14:textId="77777777" w:rsidR="00D4027E" w:rsidRPr="000B2F74" w:rsidRDefault="00D4027E" w:rsidP="00CA45DE">
            <w:pPr>
              <w:spacing w:before="120" w:after="120"/>
              <w:jc w:val="center"/>
              <w:rPr>
                <w:b/>
              </w:rPr>
            </w:pPr>
            <w:r w:rsidRPr="000B2F74">
              <w:rPr>
                <w:b/>
              </w:rPr>
              <w:t>Lower</w:t>
            </w:r>
          </w:p>
        </w:tc>
        <w:tc>
          <w:tcPr>
            <w:tcW w:w="2363" w:type="dxa"/>
            <w:tcBorders>
              <w:top w:val="nil"/>
              <w:left w:val="nil"/>
              <w:bottom w:val="single" w:sz="8" w:space="0" w:color="auto"/>
              <w:right w:val="single" w:sz="8" w:space="0" w:color="auto"/>
            </w:tcBorders>
            <w:shd w:val="clear" w:color="000000" w:fill="FCE4D6"/>
            <w:vAlign w:val="center"/>
          </w:tcPr>
          <w:p w14:paraId="1A94681E" w14:textId="77777777" w:rsidR="00D4027E" w:rsidRPr="000B2F74" w:rsidRDefault="00D4027E" w:rsidP="00CA45DE">
            <w:pPr>
              <w:spacing w:before="120" w:after="120"/>
              <w:jc w:val="center"/>
              <w:rPr>
                <w:b/>
              </w:rPr>
            </w:pPr>
            <w:r w:rsidRPr="000B2F74">
              <w:rPr>
                <w:b/>
              </w:rPr>
              <w:t>Lower</w:t>
            </w:r>
          </w:p>
        </w:tc>
      </w:tr>
      <w:tr w:rsidR="00D4027E" w:rsidRPr="00774628" w14:paraId="4F30BA56" w14:textId="77777777" w:rsidTr="00CA45DE">
        <w:tc>
          <w:tcPr>
            <w:tcW w:w="2263" w:type="dxa"/>
          </w:tcPr>
          <w:p w14:paraId="078C759A" w14:textId="77777777" w:rsidR="00D4027E" w:rsidRPr="00774628" w:rsidRDefault="00D4027E" w:rsidP="00CA45DE">
            <w:r w:rsidRPr="00774628">
              <w:t xml:space="preserve">4.1: </w:t>
            </w:r>
            <w:r w:rsidRPr="0021216A">
              <w:t>Baseline setting, administrative and reporting arrangements are simple and low cost</w:t>
            </w:r>
          </w:p>
        </w:tc>
        <w:tc>
          <w:tcPr>
            <w:tcW w:w="2362" w:type="dxa"/>
            <w:tcBorders>
              <w:top w:val="nil"/>
              <w:left w:val="nil"/>
              <w:bottom w:val="single" w:sz="8" w:space="0" w:color="auto"/>
              <w:right w:val="single" w:sz="8" w:space="0" w:color="auto"/>
            </w:tcBorders>
            <w:shd w:val="clear" w:color="000000" w:fill="FFF2CC"/>
            <w:vAlign w:val="center"/>
          </w:tcPr>
          <w:p w14:paraId="32883E4F" w14:textId="77777777" w:rsidR="00D4027E" w:rsidRPr="00774628" w:rsidRDefault="00D4027E" w:rsidP="00CA45DE">
            <w:r w:rsidRPr="000B2F74">
              <w:t>Simple framework for implementation</w:t>
            </w:r>
          </w:p>
        </w:tc>
        <w:tc>
          <w:tcPr>
            <w:tcW w:w="2363" w:type="dxa"/>
            <w:tcBorders>
              <w:top w:val="nil"/>
              <w:left w:val="nil"/>
              <w:bottom w:val="single" w:sz="8" w:space="0" w:color="auto"/>
              <w:right w:val="single" w:sz="8" w:space="0" w:color="auto"/>
            </w:tcBorders>
            <w:shd w:val="clear" w:color="000000" w:fill="FCE4D6"/>
            <w:vAlign w:val="center"/>
          </w:tcPr>
          <w:p w14:paraId="2FCB1A5E" w14:textId="77777777" w:rsidR="00D4027E" w:rsidRPr="00774628" w:rsidRDefault="00D4027E" w:rsidP="00CA45DE">
            <w:r w:rsidRPr="000B2F74">
              <w:t>Increases regulatory b</w:t>
            </w:r>
            <w:r>
              <w:t>urden through site-specific app</w:t>
            </w:r>
            <w:r w:rsidRPr="000B2F74">
              <w:t>r</w:t>
            </w:r>
            <w:r>
              <w:t>o</w:t>
            </w:r>
            <w:r w:rsidRPr="000B2F74">
              <w:t>ach</w:t>
            </w:r>
          </w:p>
        </w:tc>
        <w:tc>
          <w:tcPr>
            <w:tcW w:w="2363" w:type="dxa"/>
            <w:tcBorders>
              <w:top w:val="nil"/>
              <w:left w:val="nil"/>
              <w:bottom w:val="single" w:sz="8" w:space="0" w:color="auto"/>
              <w:right w:val="single" w:sz="8" w:space="0" w:color="auto"/>
            </w:tcBorders>
            <w:shd w:val="clear" w:color="000000" w:fill="FCE4D6"/>
            <w:vAlign w:val="center"/>
          </w:tcPr>
          <w:p w14:paraId="1DBF4E6F" w14:textId="77777777" w:rsidR="00D4027E" w:rsidRPr="00774628" w:rsidRDefault="00D4027E" w:rsidP="00CA45DE">
            <w:r w:rsidRPr="000B2F74">
              <w:t>Increases regulatory b</w:t>
            </w:r>
            <w:r>
              <w:t>urden through hybrid approach</w:t>
            </w:r>
          </w:p>
        </w:tc>
      </w:tr>
      <w:tr w:rsidR="00D4027E" w:rsidRPr="00774628" w14:paraId="1B6A41A4" w14:textId="77777777" w:rsidTr="00CA45DE">
        <w:tc>
          <w:tcPr>
            <w:tcW w:w="2263" w:type="dxa"/>
            <w:shd w:val="clear" w:color="auto" w:fill="D9E2F3"/>
          </w:tcPr>
          <w:p w14:paraId="1B69500F" w14:textId="77777777" w:rsidR="00D4027E" w:rsidRPr="00774628" w:rsidRDefault="00D4027E" w:rsidP="00CA45DE">
            <w:pPr>
              <w:spacing w:before="120" w:after="120"/>
              <w:rPr>
                <w:b/>
              </w:rPr>
            </w:pPr>
            <w:r w:rsidRPr="00774628">
              <w:rPr>
                <w:b/>
              </w:rPr>
              <w:t>Net outcome</w:t>
            </w:r>
            <w:r>
              <w:rPr>
                <w:b/>
              </w:rPr>
              <w:t xml:space="preserve"> relative to status quo</w:t>
            </w:r>
          </w:p>
        </w:tc>
        <w:tc>
          <w:tcPr>
            <w:tcW w:w="2362" w:type="dxa"/>
            <w:tcBorders>
              <w:top w:val="nil"/>
              <w:left w:val="nil"/>
              <w:bottom w:val="single" w:sz="8" w:space="0" w:color="auto"/>
              <w:right w:val="single" w:sz="8" w:space="0" w:color="auto"/>
            </w:tcBorders>
            <w:shd w:val="clear" w:color="000000" w:fill="C6E0B4"/>
            <w:vAlign w:val="center"/>
          </w:tcPr>
          <w:p w14:paraId="3231089F" w14:textId="77777777" w:rsidR="00D4027E" w:rsidRPr="009E50BF" w:rsidRDefault="00D4027E" w:rsidP="00CA45DE">
            <w:pPr>
              <w:spacing w:before="120" w:after="120"/>
              <w:rPr>
                <w:b/>
              </w:rPr>
            </w:pPr>
            <w:r w:rsidRPr="0049776F">
              <w:rPr>
                <w:b/>
              </w:rPr>
              <w:t>Improvement</w:t>
            </w:r>
          </w:p>
        </w:tc>
        <w:tc>
          <w:tcPr>
            <w:tcW w:w="2363" w:type="dxa"/>
            <w:tcBorders>
              <w:top w:val="nil"/>
              <w:left w:val="nil"/>
              <w:bottom w:val="single" w:sz="8" w:space="0" w:color="auto"/>
              <w:right w:val="single" w:sz="8" w:space="0" w:color="auto"/>
            </w:tcBorders>
            <w:shd w:val="clear" w:color="000000" w:fill="C6E0B4"/>
            <w:vAlign w:val="center"/>
          </w:tcPr>
          <w:p w14:paraId="1E2485F1" w14:textId="77777777" w:rsidR="00D4027E" w:rsidRPr="009E50BF" w:rsidRDefault="00D4027E" w:rsidP="00CA45DE">
            <w:pPr>
              <w:spacing w:before="120" w:after="120"/>
              <w:rPr>
                <w:b/>
              </w:rPr>
            </w:pPr>
            <w:r w:rsidRPr="0049776F">
              <w:rPr>
                <w:b/>
              </w:rPr>
              <w:t>Improvement</w:t>
            </w:r>
          </w:p>
        </w:tc>
        <w:tc>
          <w:tcPr>
            <w:tcW w:w="2363" w:type="dxa"/>
            <w:tcBorders>
              <w:top w:val="nil"/>
              <w:left w:val="nil"/>
              <w:bottom w:val="single" w:sz="8" w:space="0" w:color="auto"/>
              <w:right w:val="single" w:sz="8" w:space="0" w:color="auto"/>
            </w:tcBorders>
            <w:shd w:val="clear" w:color="000000" w:fill="70AD47"/>
            <w:vAlign w:val="center"/>
          </w:tcPr>
          <w:p w14:paraId="7A3341A5" w14:textId="77777777" w:rsidR="00D4027E" w:rsidRPr="009E50BF" w:rsidRDefault="00D4027E" w:rsidP="00CA45DE">
            <w:pPr>
              <w:spacing w:before="120" w:after="120"/>
              <w:rPr>
                <w:b/>
              </w:rPr>
            </w:pPr>
            <w:r w:rsidRPr="0049776F">
              <w:rPr>
                <w:b/>
              </w:rPr>
              <w:t>Significant improvement</w:t>
            </w:r>
          </w:p>
        </w:tc>
      </w:tr>
    </w:tbl>
    <w:p w14:paraId="5664FD3B" w14:textId="77777777" w:rsidR="00D4027E" w:rsidRDefault="00D4027E" w:rsidP="00D4027E"/>
    <w:p w14:paraId="7B53934D" w14:textId="77777777" w:rsidR="00D4027E" w:rsidRPr="00AC6A2E" w:rsidRDefault="00D4027E" w:rsidP="00D4027E">
      <w:pPr>
        <w:rPr>
          <w:b/>
        </w:rPr>
      </w:pPr>
      <w:r>
        <w:rPr>
          <w:b/>
        </w:rPr>
        <w:t>Outcome m</w:t>
      </w:r>
      <w:r w:rsidRPr="00AC6A2E">
        <w:rPr>
          <w:b/>
        </w:rPr>
        <w:t>atrix key</w:t>
      </w:r>
    </w:p>
    <w:tbl>
      <w:tblPr>
        <w:tblStyle w:val="TableGrid"/>
        <w:tblW w:w="0" w:type="auto"/>
        <w:tblLook w:val="04A0" w:firstRow="1" w:lastRow="0" w:firstColumn="1" w:lastColumn="0" w:noHBand="0" w:noVBand="1"/>
      </w:tblPr>
      <w:tblGrid>
        <w:gridCol w:w="2617"/>
        <w:gridCol w:w="689"/>
      </w:tblGrid>
      <w:tr w:rsidR="00D4027E" w14:paraId="4C51ABFB" w14:textId="77777777" w:rsidTr="00CA45DE">
        <w:trPr>
          <w:trHeight w:val="271"/>
        </w:trPr>
        <w:tc>
          <w:tcPr>
            <w:tcW w:w="2617" w:type="dxa"/>
          </w:tcPr>
          <w:p w14:paraId="5046ED21" w14:textId="77777777" w:rsidR="00D4027E" w:rsidRDefault="00D4027E" w:rsidP="00CA45DE">
            <w:r>
              <w:t>Significant improvement</w:t>
            </w:r>
          </w:p>
        </w:tc>
        <w:tc>
          <w:tcPr>
            <w:tcW w:w="689" w:type="dxa"/>
            <w:tcBorders>
              <w:top w:val="single" w:sz="8" w:space="0" w:color="auto"/>
              <w:left w:val="nil"/>
              <w:bottom w:val="single" w:sz="8" w:space="0" w:color="auto"/>
              <w:right w:val="single" w:sz="8" w:space="0" w:color="auto"/>
            </w:tcBorders>
            <w:shd w:val="clear" w:color="000000" w:fill="70AD47"/>
            <w:vAlign w:val="center"/>
          </w:tcPr>
          <w:p w14:paraId="4C03E414" w14:textId="77777777" w:rsidR="00D4027E" w:rsidRDefault="00D4027E" w:rsidP="00CA45DE">
            <w:pPr>
              <w:jc w:val="right"/>
              <w:rPr>
                <w:rFonts w:ascii="Calibri" w:hAnsi="Calibri" w:cs="Calibri"/>
                <w:color w:val="000000"/>
              </w:rPr>
            </w:pPr>
          </w:p>
        </w:tc>
      </w:tr>
      <w:tr w:rsidR="00D4027E" w14:paraId="62CB023C" w14:textId="77777777" w:rsidTr="00CA45DE">
        <w:trPr>
          <w:trHeight w:val="255"/>
        </w:trPr>
        <w:tc>
          <w:tcPr>
            <w:tcW w:w="2617" w:type="dxa"/>
          </w:tcPr>
          <w:p w14:paraId="743F986B" w14:textId="77777777" w:rsidR="00D4027E" w:rsidRDefault="00D4027E" w:rsidP="00CA45DE">
            <w:r>
              <w:t>Improvement</w:t>
            </w:r>
          </w:p>
        </w:tc>
        <w:tc>
          <w:tcPr>
            <w:tcW w:w="689" w:type="dxa"/>
            <w:tcBorders>
              <w:top w:val="nil"/>
              <w:left w:val="nil"/>
              <w:bottom w:val="single" w:sz="8" w:space="0" w:color="auto"/>
              <w:right w:val="single" w:sz="8" w:space="0" w:color="auto"/>
            </w:tcBorders>
            <w:shd w:val="clear" w:color="000000" w:fill="C6E0B4"/>
            <w:vAlign w:val="center"/>
          </w:tcPr>
          <w:p w14:paraId="46C731B7" w14:textId="77777777" w:rsidR="00D4027E" w:rsidRDefault="00D4027E" w:rsidP="00CA45DE">
            <w:pPr>
              <w:jc w:val="right"/>
              <w:rPr>
                <w:rFonts w:ascii="Calibri" w:hAnsi="Calibri" w:cs="Calibri"/>
                <w:color w:val="000000"/>
              </w:rPr>
            </w:pPr>
          </w:p>
        </w:tc>
      </w:tr>
      <w:tr w:rsidR="00D4027E" w14:paraId="3FDB3DF9" w14:textId="77777777" w:rsidTr="00CA45DE">
        <w:trPr>
          <w:trHeight w:val="271"/>
        </w:trPr>
        <w:tc>
          <w:tcPr>
            <w:tcW w:w="2617" w:type="dxa"/>
          </w:tcPr>
          <w:p w14:paraId="21219FF3" w14:textId="77777777" w:rsidR="00D4027E" w:rsidRDefault="00D4027E" w:rsidP="00CA45DE">
            <w:r>
              <w:t>Mixed</w:t>
            </w:r>
          </w:p>
        </w:tc>
        <w:tc>
          <w:tcPr>
            <w:tcW w:w="689" w:type="dxa"/>
            <w:tcBorders>
              <w:top w:val="nil"/>
              <w:left w:val="nil"/>
              <w:bottom w:val="single" w:sz="8" w:space="0" w:color="auto"/>
              <w:right w:val="single" w:sz="8" w:space="0" w:color="auto"/>
            </w:tcBorders>
            <w:shd w:val="clear" w:color="000000" w:fill="FFF2CC"/>
            <w:vAlign w:val="center"/>
          </w:tcPr>
          <w:p w14:paraId="2201F330" w14:textId="77777777" w:rsidR="00D4027E" w:rsidRDefault="00D4027E" w:rsidP="00CA45DE">
            <w:pPr>
              <w:jc w:val="right"/>
              <w:rPr>
                <w:rFonts w:ascii="Calibri" w:hAnsi="Calibri" w:cs="Calibri"/>
                <w:color w:val="000000"/>
              </w:rPr>
            </w:pPr>
          </w:p>
        </w:tc>
      </w:tr>
      <w:tr w:rsidR="00D4027E" w14:paraId="1479680A" w14:textId="77777777" w:rsidTr="00CA45DE">
        <w:trPr>
          <w:trHeight w:val="255"/>
        </w:trPr>
        <w:tc>
          <w:tcPr>
            <w:tcW w:w="2617" w:type="dxa"/>
            <w:tcBorders>
              <w:bottom w:val="single" w:sz="4" w:space="0" w:color="auto"/>
            </w:tcBorders>
          </w:tcPr>
          <w:p w14:paraId="58E54283" w14:textId="77777777" w:rsidR="00D4027E" w:rsidRDefault="00D4027E" w:rsidP="00CA45DE">
            <w:r>
              <w:t>Lower</w:t>
            </w:r>
          </w:p>
        </w:tc>
        <w:tc>
          <w:tcPr>
            <w:tcW w:w="689" w:type="dxa"/>
            <w:tcBorders>
              <w:top w:val="nil"/>
              <w:left w:val="nil"/>
              <w:bottom w:val="single" w:sz="4" w:space="0" w:color="auto"/>
              <w:right w:val="single" w:sz="8" w:space="0" w:color="auto"/>
            </w:tcBorders>
            <w:shd w:val="clear" w:color="000000" w:fill="FBE4D5"/>
            <w:vAlign w:val="center"/>
          </w:tcPr>
          <w:p w14:paraId="6E35793F" w14:textId="77777777" w:rsidR="00D4027E" w:rsidRDefault="00D4027E" w:rsidP="00CA45DE">
            <w:pPr>
              <w:jc w:val="right"/>
              <w:rPr>
                <w:rFonts w:ascii="Calibri" w:hAnsi="Calibri" w:cs="Calibri"/>
                <w:color w:val="000000"/>
              </w:rPr>
            </w:pPr>
          </w:p>
        </w:tc>
      </w:tr>
    </w:tbl>
    <w:p w14:paraId="64D5C807" w14:textId="77777777" w:rsidR="001E04E6" w:rsidRPr="00DA1B55" w:rsidRDefault="001E04E6" w:rsidP="00723427">
      <w:pPr>
        <w:pStyle w:val="BodyText"/>
        <w:rPr>
          <w:color w:val="FF0000"/>
        </w:rPr>
        <w:sectPr w:rsidR="001E04E6" w:rsidRPr="00DA1B55" w:rsidSect="00202E2F">
          <w:pgSz w:w="11906" w:h="16838"/>
          <w:pgMar w:top="567" w:right="567" w:bottom="340" w:left="567" w:header="567" w:footer="57" w:gutter="0"/>
          <w:cols w:space="708"/>
          <w:docGrid w:linePitch="360"/>
        </w:sectPr>
      </w:pPr>
    </w:p>
    <w:p w14:paraId="78678F81" w14:textId="77777777" w:rsidR="00C51551" w:rsidRPr="00460300" w:rsidRDefault="00C51551" w:rsidP="00DA1B55">
      <w:pPr>
        <w:pStyle w:val="Heading1"/>
        <w:rPr>
          <w:rFonts w:asciiTheme="minorHAnsi" w:hAnsiTheme="minorHAnsi"/>
          <w:color w:val="262626" w:themeColor="text1" w:themeTint="D9"/>
          <w:sz w:val="22"/>
          <w:szCs w:val="20"/>
        </w:rPr>
      </w:pPr>
      <w:bookmarkStart w:id="85" w:name="_Toc118750355"/>
      <w:bookmarkStart w:id="86" w:name="_Toc118754631"/>
      <w:bookmarkStart w:id="87" w:name="_Toc118813922"/>
      <w:bookmarkStart w:id="88" w:name="_Toc119327130"/>
      <w:bookmarkStart w:id="89" w:name="_Toc119360636"/>
      <w:bookmarkStart w:id="90" w:name="_Toc132807527"/>
      <w:r w:rsidRPr="00C51551">
        <w:lastRenderedPageBreak/>
        <w:t>Introduction</w:t>
      </w:r>
      <w:bookmarkEnd w:id="85"/>
      <w:bookmarkEnd w:id="86"/>
      <w:bookmarkEnd w:id="87"/>
      <w:bookmarkEnd w:id="88"/>
      <w:bookmarkEnd w:id="89"/>
      <w:bookmarkEnd w:id="90"/>
      <w:r w:rsidRPr="00C51551">
        <w:t xml:space="preserve"> </w:t>
      </w:r>
    </w:p>
    <w:p w14:paraId="37F93556" w14:textId="77777777" w:rsidR="00BD1EF1" w:rsidRDefault="00BD1EF1" w:rsidP="00DA1B55">
      <w:pPr>
        <w:pStyle w:val="Heading2"/>
      </w:pPr>
      <w:bookmarkStart w:id="91" w:name="_Toc118750356"/>
      <w:bookmarkStart w:id="92" w:name="_Toc118754632"/>
      <w:bookmarkStart w:id="93" w:name="_Toc118813923"/>
      <w:bookmarkStart w:id="94" w:name="_Toc119327131"/>
      <w:bookmarkStart w:id="95" w:name="_Toc119360637"/>
      <w:bookmarkStart w:id="96" w:name="_Toc132807528"/>
      <w:r>
        <w:t>Safeguard Mechanism reforms</w:t>
      </w:r>
      <w:bookmarkEnd w:id="91"/>
      <w:bookmarkEnd w:id="92"/>
      <w:bookmarkEnd w:id="93"/>
      <w:bookmarkEnd w:id="94"/>
      <w:bookmarkEnd w:id="95"/>
      <w:bookmarkEnd w:id="96"/>
    </w:p>
    <w:p w14:paraId="6E7FE640" w14:textId="13DBC643" w:rsidR="00460300" w:rsidRDefault="00736756" w:rsidP="00736756">
      <w:pPr>
        <w:pStyle w:val="BodyText"/>
        <w:rPr>
          <w:sz w:val="22"/>
        </w:rPr>
      </w:pPr>
      <w:r w:rsidRPr="00F00A12">
        <w:rPr>
          <w:sz w:val="22"/>
        </w:rPr>
        <w:t>This Regulat</w:t>
      </w:r>
      <w:r w:rsidR="00912E01">
        <w:rPr>
          <w:sz w:val="22"/>
        </w:rPr>
        <w:t>ory</w:t>
      </w:r>
      <w:r w:rsidRPr="00F00A12">
        <w:rPr>
          <w:sz w:val="22"/>
        </w:rPr>
        <w:t xml:space="preserve"> Impact </w:t>
      </w:r>
      <w:r w:rsidR="00F10D3E">
        <w:rPr>
          <w:sz w:val="22"/>
        </w:rPr>
        <w:t xml:space="preserve">Analysis </w:t>
      </w:r>
      <w:r w:rsidRPr="00F00A12">
        <w:rPr>
          <w:sz w:val="22"/>
        </w:rPr>
        <w:t>(RI</w:t>
      </w:r>
      <w:r w:rsidR="0084443C">
        <w:rPr>
          <w:sz w:val="22"/>
        </w:rPr>
        <w:t>A</w:t>
      </w:r>
      <w:r w:rsidRPr="00F00A12">
        <w:rPr>
          <w:sz w:val="22"/>
        </w:rPr>
        <w:t>) analyse</w:t>
      </w:r>
      <w:r w:rsidR="00460300">
        <w:rPr>
          <w:sz w:val="22"/>
        </w:rPr>
        <w:t>s</w:t>
      </w:r>
      <w:r w:rsidRPr="00F00A12">
        <w:rPr>
          <w:sz w:val="22"/>
        </w:rPr>
        <w:t xml:space="preserve"> options for </w:t>
      </w:r>
      <w:r>
        <w:rPr>
          <w:sz w:val="22"/>
        </w:rPr>
        <w:t xml:space="preserve">reforming the Safeguard Mechanism </w:t>
      </w:r>
      <w:r w:rsidR="00460300" w:rsidRPr="00460300">
        <w:rPr>
          <w:sz w:val="22"/>
        </w:rPr>
        <w:t xml:space="preserve">to </w:t>
      </w:r>
      <w:r w:rsidR="00AF24E4">
        <w:rPr>
          <w:sz w:val="22"/>
        </w:rPr>
        <w:t xml:space="preserve">contribute to meeting </w:t>
      </w:r>
      <w:r w:rsidR="00460300" w:rsidRPr="00460300">
        <w:rPr>
          <w:sz w:val="22"/>
        </w:rPr>
        <w:t>Australia’s Nationally Determined Contribution under the Paris Agreement</w:t>
      </w:r>
      <w:r w:rsidR="00460300">
        <w:rPr>
          <w:sz w:val="22"/>
        </w:rPr>
        <w:t xml:space="preserve">. The reforms </w:t>
      </w:r>
      <w:r w:rsidR="006166ED">
        <w:rPr>
          <w:sz w:val="22"/>
        </w:rPr>
        <w:t xml:space="preserve">deliver </w:t>
      </w:r>
      <w:r w:rsidR="000273E4">
        <w:rPr>
          <w:sz w:val="22"/>
        </w:rPr>
        <w:t xml:space="preserve">on </w:t>
      </w:r>
      <w:r w:rsidR="00460300">
        <w:rPr>
          <w:sz w:val="22"/>
        </w:rPr>
        <w:t xml:space="preserve">an election commitment under </w:t>
      </w:r>
      <w:proofErr w:type="spellStart"/>
      <w:r w:rsidR="00460300">
        <w:rPr>
          <w:sz w:val="22"/>
        </w:rPr>
        <w:t>Labor’s</w:t>
      </w:r>
      <w:proofErr w:type="spellEnd"/>
      <w:r w:rsidR="00460300">
        <w:rPr>
          <w:sz w:val="22"/>
        </w:rPr>
        <w:t xml:space="preserve"> </w:t>
      </w:r>
      <w:r w:rsidR="00460300" w:rsidRPr="00460300">
        <w:rPr>
          <w:i/>
          <w:sz w:val="22"/>
        </w:rPr>
        <w:t>Powering Australia</w:t>
      </w:r>
      <w:r w:rsidR="00460300">
        <w:rPr>
          <w:sz w:val="22"/>
        </w:rPr>
        <w:t xml:space="preserve"> plan. Namely, to:</w:t>
      </w:r>
    </w:p>
    <w:p w14:paraId="3BB1266D" w14:textId="77777777" w:rsidR="00460300" w:rsidRDefault="00353454" w:rsidP="00460300">
      <w:pPr>
        <w:pStyle w:val="BodyText"/>
        <w:numPr>
          <w:ilvl w:val="0"/>
          <w:numId w:val="28"/>
        </w:numPr>
        <w:rPr>
          <w:sz w:val="22"/>
        </w:rPr>
      </w:pPr>
      <w:r>
        <w:rPr>
          <w:sz w:val="22"/>
        </w:rPr>
        <w:t>adopt the Business Council of Australia’s recommendation that “emission baselines [be] reduced predictably and gradually over time” to “support international competitiveness and economic growth.” These changes will provide a supportive policy framework for industry’s own commitment to net zero by 2050</w:t>
      </w:r>
      <w:r w:rsidR="00EB5C4D">
        <w:rPr>
          <w:sz w:val="22"/>
        </w:rPr>
        <w:t>,</w:t>
      </w:r>
      <w:r>
        <w:rPr>
          <w:sz w:val="22"/>
        </w:rPr>
        <w:t xml:space="preserve"> </w:t>
      </w:r>
    </w:p>
    <w:p w14:paraId="161C0322" w14:textId="77777777" w:rsidR="00353454" w:rsidRDefault="00353454" w:rsidP="00460300">
      <w:pPr>
        <w:pStyle w:val="BodyText"/>
        <w:numPr>
          <w:ilvl w:val="0"/>
          <w:numId w:val="28"/>
        </w:numPr>
        <w:rPr>
          <w:sz w:val="22"/>
        </w:rPr>
      </w:pPr>
      <w:r>
        <w:rPr>
          <w:sz w:val="22"/>
        </w:rPr>
        <w:t>provide tailored treatment for emissions-intensive trade-exposed industries</w:t>
      </w:r>
      <w:r w:rsidR="004901E0">
        <w:rPr>
          <w:sz w:val="22"/>
        </w:rPr>
        <w:t xml:space="preserve"> </w:t>
      </w:r>
      <w:r>
        <w:rPr>
          <w:sz w:val="22"/>
        </w:rPr>
        <w:t>based on the principle of comparative impact – ensuring that exporters remain competitive, and that emissions do not ‘leak’ overseas,</w:t>
      </w:r>
    </w:p>
    <w:p w14:paraId="4BB0F988" w14:textId="77777777" w:rsidR="00353454" w:rsidRDefault="00353454" w:rsidP="00460300">
      <w:pPr>
        <w:pStyle w:val="BodyText"/>
        <w:numPr>
          <w:ilvl w:val="0"/>
          <w:numId w:val="28"/>
        </w:numPr>
        <w:rPr>
          <w:sz w:val="22"/>
        </w:rPr>
      </w:pPr>
      <w:r>
        <w:rPr>
          <w:sz w:val="22"/>
        </w:rPr>
        <w:t>include tradeable credits for companies that stay below their baselines.</w:t>
      </w:r>
    </w:p>
    <w:p w14:paraId="5F61A980" w14:textId="77777777" w:rsidR="00BC699F" w:rsidRDefault="00DF7A6D" w:rsidP="00DF7A6D">
      <w:pPr>
        <w:pStyle w:val="BodyText"/>
        <w:rPr>
          <w:sz w:val="22"/>
        </w:rPr>
      </w:pPr>
      <w:r w:rsidRPr="00DF7A6D">
        <w:rPr>
          <w:sz w:val="22"/>
        </w:rPr>
        <w:t>The Safeguard Mechanism has been in place since 2016. It provides a legislated framework that limits the emissions of around 215 large industrial facilities</w:t>
      </w:r>
      <w:r w:rsidR="004901E0">
        <w:rPr>
          <w:sz w:val="22"/>
        </w:rPr>
        <w:t xml:space="preserve">, </w:t>
      </w:r>
      <w:r w:rsidRPr="00DF7A6D">
        <w:rPr>
          <w:sz w:val="22"/>
        </w:rPr>
        <w:t>covering around 28 per cent of national emissions</w:t>
      </w:r>
      <w:r w:rsidR="00620D71">
        <w:rPr>
          <w:sz w:val="22"/>
        </w:rPr>
        <w:t>.</w:t>
      </w:r>
      <w:r w:rsidR="00620D71">
        <w:rPr>
          <w:rStyle w:val="FootnoteReference"/>
          <w:sz w:val="22"/>
        </w:rPr>
        <w:footnoteReference w:id="2"/>
      </w:r>
      <w:r w:rsidRPr="00DF7A6D">
        <w:rPr>
          <w:sz w:val="22"/>
        </w:rPr>
        <w:t xml:space="preserve"> </w:t>
      </w:r>
    </w:p>
    <w:p w14:paraId="40B07E33" w14:textId="77777777" w:rsidR="00DF7A6D" w:rsidRDefault="00DF7A6D" w:rsidP="00DF7A6D">
      <w:pPr>
        <w:pStyle w:val="BodyText"/>
        <w:rPr>
          <w:sz w:val="22"/>
        </w:rPr>
      </w:pPr>
      <w:r w:rsidRPr="00DF7A6D">
        <w:rPr>
          <w:sz w:val="22"/>
        </w:rPr>
        <w:t xml:space="preserve">Emissions limits for individual facilities are known as baselines. The sum of all facilities’ baselines form the overall emissions constraint for the scheme. </w:t>
      </w:r>
      <w:r w:rsidR="008240DA" w:rsidRPr="008240DA">
        <w:rPr>
          <w:sz w:val="22"/>
        </w:rPr>
        <w:t>Businesses are familiar with the scheme</w:t>
      </w:r>
      <w:r w:rsidRPr="00DF7A6D">
        <w:rPr>
          <w:sz w:val="22"/>
        </w:rPr>
        <w:t xml:space="preserve">. It has been operating for </w:t>
      </w:r>
      <w:r w:rsidR="00234C51">
        <w:rPr>
          <w:sz w:val="22"/>
        </w:rPr>
        <w:t>seven</w:t>
      </w:r>
      <w:r w:rsidR="00234C51" w:rsidRPr="00DF7A6D">
        <w:rPr>
          <w:sz w:val="22"/>
        </w:rPr>
        <w:t xml:space="preserve"> </w:t>
      </w:r>
      <w:r w:rsidRPr="00DF7A6D">
        <w:rPr>
          <w:sz w:val="22"/>
        </w:rPr>
        <w:t>years. Building on the current framework will promote policy certainty and stability</w:t>
      </w:r>
      <w:r w:rsidR="00EB5C4D">
        <w:rPr>
          <w:sz w:val="22"/>
        </w:rPr>
        <w:t>,</w:t>
      </w:r>
      <w:r w:rsidRPr="00DF7A6D">
        <w:rPr>
          <w:sz w:val="22"/>
        </w:rPr>
        <w:t xml:space="preserve"> and has been identified by a broad coalition of business leaders and groups as the preferred approach to provide policy certainty for large industrial emitters.</w:t>
      </w:r>
    </w:p>
    <w:p w14:paraId="4DE6372E" w14:textId="1B8D91E4" w:rsidR="008240DA" w:rsidRPr="008240DA" w:rsidRDefault="008240DA" w:rsidP="008240DA">
      <w:pPr>
        <w:rPr>
          <w:sz w:val="22"/>
        </w:rPr>
      </w:pPr>
      <w:r w:rsidRPr="008240DA">
        <w:rPr>
          <w:sz w:val="22"/>
        </w:rPr>
        <w:t xml:space="preserve">To date, the Safeguard Mechanism has not been effective in reducing emissions. Instead, emissions limits, known as baselines, </w:t>
      </w:r>
      <w:r w:rsidR="00671B56">
        <w:rPr>
          <w:sz w:val="22"/>
        </w:rPr>
        <w:t xml:space="preserve">have been set at excessive limits which not only </w:t>
      </w:r>
      <w:r w:rsidRPr="008240DA">
        <w:rPr>
          <w:sz w:val="22"/>
        </w:rPr>
        <w:t xml:space="preserve">allowed business-as-usual operations </w:t>
      </w:r>
      <w:r w:rsidR="00671B56">
        <w:rPr>
          <w:sz w:val="22"/>
        </w:rPr>
        <w:t xml:space="preserve">but also meant </w:t>
      </w:r>
      <w:r w:rsidRPr="008240DA">
        <w:rPr>
          <w:sz w:val="22"/>
        </w:rPr>
        <w:t xml:space="preserve">aggregate emissions from Safeguard facilities </w:t>
      </w:r>
      <w:r w:rsidR="00671B56">
        <w:rPr>
          <w:sz w:val="22"/>
        </w:rPr>
        <w:t xml:space="preserve">could </w:t>
      </w:r>
      <w:r w:rsidR="00A67A2F">
        <w:rPr>
          <w:sz w:val="22"/>
        </w:rPr>
        <w:t>increase</w:t>
      </w:r>
      <w:r w:rsidRPr="008240DA">
        <w:rPr>
          <w:sz w:val="22"/>
        </w:rPr>
        <w:t>. Elements of the Safeguard Mechanism will need to evolve for it to deliver large-scale, low-cost emissions reductions</w:t>
      </w:r>
      <w:r w:rsidR="001425A9">
        <w:rPr>
          <w:sz w:val="22"/>
        </w:rPr>
        <w:t xml:space="preserve"> consistent with Australia’s climate targets</w:t>
      </w:r>
      <w:r w:rsidRPr="008240DA">
        <w:rPr>
          <w:sz w:val="22"/>
        </w:rPr>
        <w:t xml:space="preserve">. </w:t>
      </w:r>
    </w:p>
    <w:p w14:paraId="13DFB296" w14:textId="77777777" w:rsidR="008240DA" w:rsidRPr="008240DA" w:rsidRDefault="008240DA" w:rsidP="008240DA">
      <w:pPr>
        <w:rPr>
          <w:sz w:val="22"/>
        </w:rPr>
      </w:pPr>
      <w:r w:rsidRPr="008240DA">
        <w:rPr>
          <w:sz w:val="22"/>
        </w:rPr>
        <w:t xml:space="preserve">The Government increased the ambition of Australia’s climate goals, committing to reduce national emissions to 43 </w:t>
      </w:r>
      <w:r w:rsidR="004901E0">
        <w:rPr>
          <w:sz w:val="22"/>
        </w:rPr>
        <w:t>per cent</w:t>
      </w:r>
      <w:r w:rsidRPr="008240DA">
        <w:rPr>
          <w:sz w:val="22"/>
        </w:rPr>
        <w:t xml:space="preserve"> below 2005 levels by 2030, and reaffirming </w:t>
      </w:r>
      <w:r w:rsidR="005833D8">
        <w:rPr>
          <w:sz w:val="22"/>
        </w:rPr>
        <w:t>a</w:t>
      </w:r>
      <w:r w:rsidR="005833D8" w:rsidRPr="008240DA">
        <w:rPr>
          <w:sz w:val="22"/>
        </w:rPr>
        <w:t xml:space="preserve"> </w:t>
      </w:r>
      <w:r w:rsidRPr="008240DA">
        <w:rPr>
          <w:sz w:val="22"/>
        </w:rPr>
        <w:t xml:space="preserve">commitment to achieve net zero emissions by 2050. </w:t>
      </w:r>
    </w:p>
    <w:p w14:paraId="07D2D3ED" w14:textId="77777777" w:rsidR="00D66128" w:rsidRPr="001425A9" w:rsidRDefault="008240DA" w:rsidP="008240DA">
      <w:pPr>
        <w:rPr>
          <w:sz w:val="22"/>
          <w:szCs w:val="22"/>
        </w:rPr>
      </w:pPr>
      <w:r w:rsidRPr="008240DA">
        <w:rPr>
          <w:sz w:val="22"/>
        </w:rPr>
        <w:t>These targets have been formalised in Australia’s updated Nationally Determined Contribution (</w:t>
      </w:r>
      <w:proofErr w:type="spellStart"/>
      <w:r w:rsidRPr="008240DA">
        <w:rPr>
          <w:sz w:val="22"/>
        </w:rPr>
        <w:t>NDC</w:t>
      </w:r>
      <w:proofErr w:type="spellEnd"/>
      <w:r w:rsidRPr="008240DA">
        <w:rPr>
          <w:sz w:val="22"/>
        </w:rPr>
        <w:t>) under the Paris Agreement</w:t>
      </w:r>
      <w:r w:rsidR="00771785">
        <w:rPr>
          <w:sz w:val="22"/>
        </w:rPr>
        <w:t>,</w:t>
      </w:r>
      <w:r w:rsidRPr="001425A9">
        <w:rPr>
          <w:sz w:val="22"/>
          <w:vertAlign w:val="superscript"/>
        </w:rPr>
        <w:footnoteReference w:id="3"/>
      </w:r>
      <w:r w:rsidRPr="008240DA">
        <w:rPr>
          <w:sz w:val="22"/>
        </w:rPr>
        <w:t xml:space="preserve"> </w:t>
      </w:r>
      <w:r w:rsidR="001425A9" w:rsidRPr="001425A9">
        <w:rPr>
          <w:sz w:val="22"/>
          <w:szCs w:val="22"/>
        </w:rPr>
        <w:t xml:space="preserve">and enshrined in law in the </w:t>
      </w:r>
      <w:r w:rsidR="001425A9" w:rsidRPr="001425A9">
        <w:rPr>
          <w:i/>
          <w:sz w:val="22"/>
          <w:szCs w:val="22"/>
        </w:rPr>
        <w:t>Climate Change Act</w:t>
      </w:r>
      <w:r w:rsidR="001425A9">
        <w:rPr>
          <w:i/>
          <w:sz w:val="22"/>
          <w:szCs w:val="22"/>
        </w:rPr>
        <w:t xml:space="preserve"> 2022</w:t>
      </w:r>
      <w:r w:rsidR="001425A9" w:rsidRPr="001425A9">
        <w:rPr>
          <w:sz w:val="22"/>
          <w:szCs w:val="22"/>
        </w:rPr>
        <w:t>.</w:t>
      </w:r>
      <w:r w:rsidR="004C75EE">
        <w:rPr>
          <w:sz w:val="22"/>
          <w:szCs w:val="22"/>
        </w:rPr>
        <w:t xml:space="preserve"> </w:t>
      </w:r>
    </w:p>
    <w:p w14:paraId="3E18DDC0" w14:textId="2122981E" w:rsidR="008240DA" w:rsidRDefault="008240DA" w:rsidP="008240DA">
      <w:pPr>
        <w:rPr>
          <w:sz w:val="22"/>
        </w:rPr>
      </w:pPr>
      <w:r w:rsidRPr="008240DA">
        <w:rPr>
          <w:sz w:val="22"/>
        </w:rPr>
        <w:t>Australia’s new climate targets are realistic and achievable, but it will take deliberate and sustained effort to meet them. Businesses are well prepared</w:t>
      </w:r>
      <w:r w:rsidR="005833D8">
        <w:rPr>
          <w:sz w:val="22"/>
        </w:rPr>
        <w:t>, as t</w:t>
      </w:r>
      <w:r w:rsidRPr="008240DA">
        <w:rPr>
          <w:sz w:val="22"/>
        </w:rPr>
        <w:t>he majority of companies controlling or operating</w:t>
      </w:r>
      <w:r w:rsidRPr="008240DA" w:rsidDel="004D0573">
        <w:rPr>
          <w:sz w:val="22"/>
        </w:rPr>
        <w:t xml:space="preserve"> </w:t>
      </w:r>
      <w:r w:rsidRPr="008240DA">
        <w:rPr>
          <w:sz w:val="22"/>
        </w:rPr>
        <w:t xml:space="preserve">Safeguard facilities </w:t>
      </w:r>
      <w:r w:rsidRPr="008240DA">
        <w:rPr>
          <w:sz w:val="22"/>
        </w:rPr>
        <w:lastRenderedPageBreak/>
        <w:t xml:space="preserve">have </w:t>
      </w:r>
      <w:r w:rsidR="00671B56" w:rsidRPr="008240DA">
        <w:rPr>
          <w:sz w:val="22"/>
        </w:rPr>
        <w:t>medium- and long-term</w:t>
      </w:r>
      <w:r w:rsidRPr="008240DA">
        <w:rPr>
          <w:sz w:val="22"/>
        </w:rPr>
        <w:t xml:space="preserve"> climate targets, including net zero goals, and are factoring Australian and global decarbonisation into their decisions, operations and investments. </w:t>
      </w:r>
    </w:p>
    <w:p w14:paraId="5AFFE07F" w14:textId="77777777" w:rsidR="00695BBA" w:rsidRDefault="00CA42BC" w:rsidP="00051D78">
      <w:pPr>
        <w:rPr>
          <w:sz w:val="22"/>
          <w:szCs w:val="22"/>
        </w:rPr>
      </w:pPr>
      <w:r>
        <w:rPr>
          <w:sz w:val="22"/>
        </w:rPr>
        <w:t>The Government committed to the reforms taking effect from 1 July 2023.</w:t>
      </w:r>
      <w:r>
        <w:rPr>
          <w:rStyle w:val="FootnoteReference"/>
          <w:sz w:val="22"/>
        </w:rPr>
        <w:footnoteReference w:id="4"/>
      </w:r>
      <w:r>
        <w:rPr>
          <w:sz w:val="22"/>
        </w:rPr>
        <w:t xml:space="preserve"> </w:t>
      </w:r>
      <w:r w:rsidR="001425A9" w:rsidRPr="00051D78">
        <w:rPr>
          <w:sz w:val="22"/>
          <w:szCs w:val="22"/>
        </w:rPr>
        <w:t>The ref</w:t>
      </w:r>
      <w:r w:rsidR="00DF7A6D" w:rsidRPr="00051D78">
        <w:rPr>
          <w:sz w:val="22"/>
          <w:szCs w:val="22"/>
        </w:rPr>
        <w:t xml:space="preserve">orms have been designed to be effective, equitable, efficient, and simple. </w:t>
      </w:r>
      <w:r w:rsidR="004F3CD7" w:rsidRPr="00051D78">
        <w:rPr>
          <w:sz w:val="22"/>
          <w:szCs w:val="22"/>
        </w:rPr>
        <w:t>An e</w:t>
      </w:r>
      <w:r w:rsidR="001425A9" w:rsidRPr="00051D78">
        <w:rPr>
          <w:sz w:val="22"/>
          <w:szCs w:val="22"/>
        </w:rPr>
        <w:t>xtensive</w:t>
      </w:r>
      <w:r w:rsidR="004F3CD7" w:rsidRPr="00051D78">
        <w:rPr>
          <w:sz w:val="22"/>
          <w:szCs w:val="22"/>
        </w:rPr>
        <w:t xml:space="preserve"> </w:t>
      </w:r>
      <w:r w:rsidR="001425A9" w:rsidRPr="00051D78">
        <w:rPr>
          <w:sz w:val="22"/>
          <w:szCs w:val="22"/>
        </w:rPr>
        <w:t>consultation</w:t>
      </w:r>
      <w:r w:rsidR="004F3CD7" w:rsidRPr="00051D78">
        <w:rPr>
          <w:sz w:val="22"/>
          <w:szCs w:val="22"/>
        </w:rPr>
        <w:t xml:space="preserve"> process has included</w:t>
      </w:r>
      <w:r w:rsidR="00695BBA">
        <w:rPr>
          <w:sz w:val="22"/>
          <w:szCs w:val="22"/>
        </w:rPr>
        <w:t>:</w:t>
      </w:r>
    </w:p>
    <w:p w14:paraId="2554487F" w14:textId="1B21BB24" w:rsidR="00695BBA" w:rsidRDefault="004F3CD7" w:rsidP="00695BBA">
      <w:pPr>
        <w:pStyle w:val="ListParagraph"/>
        <w:numPr>
          <w:ilvl w:val="0"/>
          <w:numId w:val="78"/>
        </w:numPr>
        <w:rPr>
          <w:sz w:val="22"/>
          <w:szCs w:val="22"/>
        </w:rPr>
      </w:pPr>
      <w:r w:rsidRPr="00695BBA">
        <w:rPr>
          <w:sz w:val="22"/>
          <w:szCs w:val="22"/>
        </w:rPr>
        <w:t xml:space="preserve">a </w:t>
      </w:r>
      <w:r w:rsidRPr="00695BBA">
        <w:rPr>
          <w:i/>
          <w:sz w:val="22"/>
          <w:szCs w:val="22"/>
        </w:rPr>
        <w:t>Consultation Paper</w:t>
      </w:r>
      <w:r w:rsidRPr="00695BBA">
        <w:rPr>
          <w:sz w:val="22"/>
          <w:szCs w:val="22"/>
        </w:rPr>
        <w:t xml:space="preserve"> (August</w:t>
      </w:r>
      <w:r w:rsidR="00695BBA">
        <w:rPr>
          <w:sz w:val="22"/>
          <w:szCs w:val="22"/>
        </w:rPr>
        <w:t>-September</w:t>
      </w:r>
      <w:r w:rsidRPr="00695BBA">
        <w:rPr>
          <w:sz w:val="22"/>
          <w:szCs w:val="22"/>
        </w:rPr>
        <w:t xml:space="preserve"> 2022)</w:t>
      </w:r>
      <w:r w:rsidR="00695BBA">
        <w:rPr>
          <w:sz w:val="22"/>
          <w:szCs w:val="22"/>
        </w:rPr>
        <w:t>, factsheets,</w:t>
      </w:r>
      <w:r w:rsidRPr="00695BBA">
        <w:rPr>
          <w:sz w:val="22"/>
          <w:szCs w:val="22"/>
        </w:rPr>
        <w:t xml:space="preserve"> </w:t>
      </w:r>
      <w:r w:rsidR="00695BBA" w:rsidRPr="00695BBA">
        <w:rPr>
          <w:sz w:val="22"/>
          <w:szCs w:val="22"/>
        </w:rPr>
        <w:t xml:space="preserve">webinar, and 5 roundtables </w:t>
      </w:r>
    </w:p>
    <w:p w14:paraId="2D6DFA3E" w14:textId="77777777" w:rsidR="007432BE" w:rsidRDefault="00EB5C4D" w:rsidP="00695BBA">
      <w:pPr>
        <w:pStyle w:val="ListParagraph"/>
        <w:numPr>
          <w:ilvl w:val="0"/>
          <w:numId w:val="78"/>
        </w:numPr>
        <w:rPr>
          <w:sz w:val="22"/>
          <w:szCs w:val="22"/>
        </w:rPr>
      </w:pPr>
      <w:r>
        <w:rPr>
          <w:sz w:val="22"/>
          <w:szCs w:val="22"/>
        </w:rPr>
        <w:t>e</w:t>
      </w:r>
      <w:r w:rsidR="00695BBA">
        <w:rPr>
          <w:sz w:val="22"/>
          <w:szCs w:val="22"/>
        </w:rPr>
        <w:t xml:space="preserve">xposure </w:t>
      </w:r>
      <w:r w:rsidR="004F3CD7" w:rsidRPr="00695BBA">
        <w:rPr>
          <w:sz w:val="22"/>
          <w:szCs w:val="22"/>
        </w:rPr>
        <w:t>draft legislation</w:t>
      </w:r>
      <w:r w:rsidR="007432BE">
        <w:rPr>
          <w:sz w:val="22"/>
          <w:szCs w:val="22"/>
        </w:rPr>
        <w:t xml:space="preserve"> (October 2022)</w:t>
      </w:r>
    </w:p>
    <w:p w14:paraId="6F25E8A6" w14:textId="77777777" w:rsidR="007432BE" w:rsidRDefault="004F3CD7" w:rsidP="007432BE">
      <w:pPr>
        <w:pStyle w:val="ListParagraph"/>
        <w:numPr>
          <w:ilvl w:val="1"/>
          <w:numId w:val="78"/>
        </w:numPr>
        <w:rPr>
          <w:sz w:val="22"/>
          <w:szCs w:val="22"/>
        </w:rPr>
      </w:pPr>
      <w:r w:rsidRPr="00695BBA">
        <w:rPr>
          <w:sz w:val="22"/>
          <w:szCs w:val="22"/>
        </w:rPr>
        <w:t>draft</w:t>
      </w:r>
      <w:r w:rsidRPr="00695BBA">
        <w:rPr>
          <w:i/>
          <w:sz w:val="22"/>
          <w:szCs w:val="22"/>
        </w:rPr>
        <w:t xml:space="preserve"> Safeguard Mechanism Reforms (Crediting) Amendment Bill 2022</w:t>
      </w:r>
      <w:r w:rsidR="007432BE">
        <w:rPr>
          <w:i/>
          <w:sz w:val="22"/>
          <w:szCs w:val="22"/>
        </w:rPr>
        <w:t>,</w:t>
      </w:r>
    </w:p>
    <w:p w14:paraId="1C5B1720" w14:textId="77777777" w:rsidR="00695BBA" w:rsidRDefault="004F3CD7" w:rsidP="007432BE">
      <w:pPr>
        <w:pStyle w:val="ListParagraph"/>
        <w:numPr>
          <w:ilvl w:val="1"/>
          <w:numId w:val="78"/>
        </w:numPr>
        <w:rPr>
          <w:sz w:val="22"/>
          <w:szCs w:val="22"/>
        </w:rPr>
      </w:pPr>
      <w:r w:rsidRPr="00695BBA">
        <w:rPr>
          <w:sz w:val="22"/>
          <w:szCs w:val="22"/>
        </w:rPr>
        <w:t>draft</w:t>
      </w:r>
      <w:r w:rsidRPr="00695BBA">
        <w:rPr>
          <w:i/>
          <w:sz w:val="22"/>
          <w:szCs w:val="22"/>
        </w:rPr>
        <w:t xml:space="preserve"> Carbon Credits (Carbon Farming Initiative) Amendment (Safeguard Facility Eligibility Requirements) Rules 2022</w:t>
      </w:r>
      <w:r w:rsidR="00695BBA">
        <w:rPr>
          <w:sz w:val="22"/>
          <w:szCs w:val="22"/>
        </w:rPr>
        <w:t>)</w:t>
      </w:r>
      <w:r w:rsidRPr="00695BBA">
        <w:rPr>
          <w:sz w:val="22"/>
          <w:szCs w:val="22"/>
        </w:rPr>
        <w:t xml:space="preserve"> </w:t>
      </w:r>
    </w:p>
    <w:p w14:paraId="6D92F2F9" w14:textId="772EFE47" w:rsidR="00695BBA" w:rsidRDefault="00695BBA" w:rsidP="00695BBA">
      <w:pPr>
        <w:pStyle w:val="ListParagraph"/>
        <w:numPr>
          <w:ilvl w:val="0"/>
          <w:numId w:val="78"/>
        </w:numPr>
        <w:rPr>
          <w:sz w:val="22"/>
          <w:szCs w:val="22"/>
        </w:rPr>
      </w:pPr>
      <w:r>
        <w:rPr>
          <w:sz w:val="22"/>
          <w:szCs w:val="22"/>
        </w:rPr>
        <w:t xml:space="preserve">a </w:t>
      </w:r>
      <w:r w:rsidRPr="00695BBA">
        <w:rPr>
          <w:i/>
          <w:sz w:val="22"/>
          <w:szCs w:val="22"/>
        </w:rPr>
        <w:t>Position Paper</w:t>
      </w:r>
      <w:r>
        <w:rPr>
          <w:sz w:val="22"/>
          <w:szCs w:val="22"/>
        </w:rPr>
        <w:t xml:space="preserve"> (January</w:t>
      </w:r>
      <w:r w:rsidR="007432BE">
        <w:rPr>
          <w:sz w:val="22"/>
          <w:szCs w:val="22"/>
        </w:rPr>
        <w:t xml:space="preserve"> – </w:t>
      </w:r>
      <w:r>
        <w:rPr>
          <w:sz w:val="22"/>
          <w:szCs w:val="22"/>
        </w:rPr>
        <w:t>February</w:t>
      </w:r>
      <w:r w:rsidR="007432BE">
        <w:rPr>
          <w:sz w:val="22"/>
          <w:szCs w:val="22"/>
        </w:rPr>
        <w:t xml:space="preserve"> </w:t>
      </w:r>
      <w:r>
        <w:rPr>
          <w:sz w:val="22"/>
          <w:szCs w:val="22"/>
        </w:rPr>
        <w:t>2023), factsheets, webinar, and 3 roundtables</w:t>
      </w:r>
    </w:p>
    <w:p w14:paraId="39803E2F" w14:textId="77777777" w:rsidR="00695BBA" w:rsidRDefault="00EB5C4D" w:rsidP="00695BBA">
      <w:pPr>
        <w:pStyle w:val="ListParagraph"/>
        <w:numPr>
          <w:ilvl w:val="0"/>
          <w:numId w:val="78"/>
        </w:numPr>
        <w:rPr>
          <w:sz w:val="22"/>
          <w:szCs w:val="22"/>
        </w:rPr>
      </w:pPr>
      <w:r>
        <w:rPr>
          <w:sz w:val="22"/>
          <w:szCs w:val="22"/>
        </w:rPr>
        <w:t>e</w:t>
      </w:r>
      <w:r w:rsidR="00695BBA">
        <w:rPr>
          <w:sz w:val="22"/>
          <w:szCs w:val="22"/>
        </w:rPr>
        <w:t>xposure draft legislation</w:t>
      </w:r>
      <w:r w:rsidR="007432BE">
        <w:rPr>
          <w:sz w:val="22"/>
          <w:szCs w:val="22"/>
        </w:rPr>
        <w:t xml:space="preserve"> (January – February 2023)</w:t>
      </w:r>
    </w:p>
    <w:p w14:paraId="07DE5124" w14:textId="77777777" w:rsidR="00695BBA" w:rsidRDefault="00695BBA" w:rsidP="00695BBA">
      <w:pPr>
        <w:pStyle w:val="ListParagraph"/>
        <w:numPr>
          <w:ilvl w:val="1"/>
          <w:numId w:val="78"/>
        </w:numPr>
        <w:rPr>
          <w:sz w:val="22"/>
          <w:szCs w:val="22"/>
        </w:rPr>
      </w:pPr>
      <w:r>
        <w:rPr>
          <w:sz w:val="22"/>
          <w:szCs w:val="22"/>
        </w:rPr>
        <w:t xml:space="preserve">draft </w:t>
      </w:r>
      <w:r w:rsidRPr="00695BBA">
        <w:rPr>
          <w:i/>
          <w:sz w:val="22"/>
          <w:szCs w:val="22"/>
        </w:rPr>
        <w:t>National Greenhouse and Energy Reporting (Safeguard Mechanism) Amendment (Reforms) Rules 2023</w:t>
      </w:r>
      <w:r w:rsidR="00EB5C4D">
        <w:rPr>
          <w:sz w:val="22"/>
          <w:szCs w:val="22"/>
        </w:rPr>
        <w:t>,</w:t>
      </w:r>
    </w:p>
    <w:p w14:paraId="76DB912A" w14:textId="77777777" w:rsidR="00695BBA" w:rsidRDefault="00695BBA" w:rsidP="00695BBA">
      <w:pPr>
        <w:pStyle w:val="ListParagraph"/>
        <w:numPr>
          <w:ilvl w:val="1"/>
          <w:numId w:val="78"/>
        </w:numPr>
        <w:rPr>
          <w:sz w:val="22"/>
          <w:szCs w:val="22"/>
        </w:rPr>
      </w:pPr>
      <w:r>
        <w:rPr>
          <w:sz w:val="22"/>
          <w:szCs w:val="22"/>
        </w:rPr>
        <w:t xml:space="preserve">draft </w:t>
      </w:r>
      <w:r w:rsidRPr="00695BBA">
        <w:rPr>
          <w:i/>
          <w:sz w:val="22"/>
          <w:szCs w:val="22"/>
        </w:rPr>
        <w:t>Carbon Credits (Carbon Farming Initiative) Amendment (No. 2) 2023</w:t>
      </w:r>
      <w:r w:rsidR="00EB5C4D">
        <w:rPr>
          <w:i/>
          <w:sz w:val="22"/>
          <w:szCs w:val="22"/>
        </w:rPr>
        <w:t>,</w:t>
      </w:r>
    </w:p>
    <w:p w14:paraId="605CF636" w14:textId="77777777" w:rsidR="00695BBA" w:rsidRDefault="00695BBA" w:rsidP="00695BBA">
      <w:pPr>
        <w:pStyle w:val="ListParagraph"/>
        <w:numPr>
          <w:ilvl w:val="1"/>
          <w:numId w:val="78"/>
        </w:numPr>
        <w:rPr>
          <w:sz w:val="22"/>
          <w:szCs w:val="22"/>
        </w:rPr>
      </w:pPr>
      <w:r>
        <w:rPr>
          <w:sz w:val="22"/>
          <w:szCs w:val="22"/>
        </w:rPr>
        <w:t xml:space="preserve">draft </w:t>
      </w:r>
      <w:r w:rsidRPr="00695BBA">
        <w:rPr>
          <w:i/>
          <w:sz w:val="22"/>
          <w:szCs w:val="22"/>
        </w:rPr>
        <w:t>Australian National Registry of Emissions Units Rules 2023</w:t>
      </w:r>
      <w:r>
        <w:rPr>
          <w:sz w:val="22"/>
          <w:szCs w:val="22"/>
        </w:rPr>
        <w:t>,</w:t>
      </w:r>
    </w:p>
    <w:p w14:paraId="695E5C7E" w14:textId="0A538599" w:rsidR="006E5B85" w:rsidRPr="00257A5A" w:rsidRDefault="00695BBA" w:rsidP="00695BBA">
      <w:pPr>
        <w:pStyle w:val="ListParagraph"/>
        <w:numPr>
          <w:ilvl w:val="1"/>
          <w:numId w:val="78"/>
        </w:numPr>
        <w:rPr>
          <w:sz w:val="22"/>
          <w:szCs w:val="22"/>
        </w:rPr>
      </w:pPr>
      <w:r>
        <w:rPr>
          <w:sz w:val="22"/>
          <w:szCs w:val="22"/>
        </w:rPr>
        <w:t xml:space="preserve">draft </w:t>
      </w:r>
      <w:r w:rsidRPr="00695BBA">
        <w:rPr>
          <w:i/>
          <w:sz w:val="22"/>
          <w:szCs w:val="22"/>
        </w:rPr>
        <w:t>Safeguard Mechanism Legislation Amendment (2023 Measures No 1) Regulations 2023</w:t>
      </w:r>
      <w:r w:rsidR="00EB5C4D">
        <w:rPr>
          <w:i/>
          <w:sz w:val="22"/>
          <w:szCs w:val="22"/>
        </w:rPr>
        <w:t>.</w:t>
      </w:r>
    </w:p>
    <w:p w14:paraId="4138F102" w14:textId="13F475DE" w:rsidR="009B6565" w:rsidRPr="00695BBA" w:rsidRDefault="009B6565" w:rsidP="00257A5A">
      <w:pPr>
        <w:pStyle w:val="ListParagraph"/>
        <w:numPr>
          <w:ilvl w:val="0"/>
          <w:numId w:val="78"/>
        </w:numPr>
        <w:rPr>
          <w:sz w:val="22"/>
          <w:szCs w:val="22"/>
        </w:rPr>
      </w:pPr>
      <w:r>
        <w:rPr>
          <w:sz w:val="22"/>
          <w:szCs w:val="22"/>
        </w:rPr>
        <w:t>Over 170 meetings over June 2022 to April 2023</w:t>
      </w:r>
    </w:p>
    <w:p w14:paraId="640F36AC" w14:textId="77777777" w:rsidR="007432BE" w:rsidRDefault="007432BE" w:rsidP="00CB2DC3">
      <w:pPr>
        <w:pStyle w:val="BodyText"/>
        <w:rPr>
          <w:sz w:val="22"/>
          <w:szCs w:val="22"/>
        </w:rPr>
      </w:pPr>
    </w:p>
    <w:p w14:paraId="36B149B7" w14:textId="60DDDF81" w:rsidR="007432BE" w:rsidRDefault="007432BE" w:rsidP="00CB2DC3">
      <w:pPr>
        <w:pStyle w:val="BodyText"/>
        <w:rPr>
          <w:sz w:val="22"/>
          <w:szCs w:val="22"/>
        </w:rPr>
      </w:pPr>
      <w:r>
        <w:rPr>
          <w:sz w:val="22"/>
          <w:szCs w:val="22"/>
        </w:rPr>
        <w:t xml:space="preserve">Over </w:t>
      </w:r>
      <w:r w:rsidR="001C1B17" w:rsidRPr="00DD2EB8">
        <w:rPr>
          <w:sz w:val="22"/>
          <w:szCs w:val="22"/>
        </w:rPr>
        <w:t>57</w:t>
      </w:r>
      <w:r w:rsidR="009B6565">
        <w:rPr>
          <w:sz w:val="22"/>
          <w:szCs w:val="22"/>
        </w:rPr>
        <w:t>0</w:t>
      </w:r>
      <w:r>
        <w:rPr>
          <w:sz w:val="22"/>
          <w:szCs w:val="22"/>
        </w:rPr>
        <w:t xml:space="preserve"> submissions have been received on the consultation paper, exposure draft legislation and position paper above.</w:t>
      </w:r>
    </w:p>
    <w:p w14:paraId="4A65B42B" w14:textId="3AD43F7D" w:rsidR="00BD1EF1" w:rsidRPr="00BD1EF1" w:rsidRDefault="00BD1EF1" w:rsidP="00E44D3D">
      <w:pPr>
        <w:pStyle w:val="Heading3"/>
      </w:pPr>
      <w:bookmarkStart w:id="97" w:name="_Toc118750357"/>
      <w:bookmarkStart w:id="98" w:name="_Toc118754633"/>
      <w:bookmarkStart w:id="99" w:name="_Toc118813924"/>
      <w:bookmarkStart w:id="100" w:name="_Toc119327132"/>
      <w:bookmarkStart w:id="101" w:name="_Toc119360638"/>
      <w:bookmarkStart w:id="102" w:name="_Toc132807529"/>
      <w:r w:rsidRPr="00BD1EF1">
        <w:t>This RI</w:t>
      </w:r>
      <w:r w:rsidR="007432BE">
        <w:t>A</w:t>
      </w:r>
      <w:bookmarkEnd w:id="97"/>
      <w:bookmarkEnd w:id="98"/>
      <w:bookmarkEnd w:id="99"/>
      <w:bookmarkEnd w:id="100"/>
      <w:bookmarkEnd w:id="101"/>
      <w:bookmarkEnd w:id="102"/>
    </w:p>
    <w:p w14:paraId="180CEA0B" w14:textId="68C70197" w:rsidR="00C26E99" w:rsidRDefault="00BD1EF1" w:rsidP="00736756">
      <w:pPr>
        <w:pStyle w:val="BodyText"/>
        <w:rPr>
          <w:sz w:val="22"/>
        </w:rPr>
      </w:pPr>
      <w:r>
        <w:rPr>
          <w:sz w:val="22"/>
        </w:rPr>
        <w:t>This RI</w:t>
      </w:r>
      <w:r w:rsidR="007432BE">
        <w:rPr>
          <w:sz w:val="22"/>
        </w:rPr>
        <w:t>A</w:t>
      </w:r>
      <w:r w:rsidR="00C26E99">
        <w:rPr>
          <w:sz w:val="22"/>
        </w:rPr>
        <w:t>:</w:t>
      </w:r>
    </w:p>
    <w:p w14:paraId="427B758C" w14:textId="2DB89015" w:rsidR="003263F0" w:rsidRDefault="003263F0">
      <w:pPr>
        <w:pStyle w:val="BodyText"/>
        <w:numPr>
          <w:ilvl w:val="0"/>
          <w:numId w:val="31"/>
        </w:numPr>
        <w:rPr>
          <w:sz w:val="22"/>
        </w:rPr>
      </w:pPr>
      <w:r>
        <w:rPr>
          <w:sz w:val="22"/>
        </w:rPr>
        <w:t xml:space="preserve">is intended </w:t>
      </w:r>
      <w:r w:rsidRPr="00C26E99">
        <w:rPr>
          <w:sz w:val="22"/>
        </w:rPr>
        <w:t xml:space="preserve">to inform </w:t>
      </w:r>
      <w:r w:rsidR="00DD40A8">
        <w:rPr>
          <w:sz w:val="22"/>
        </w:rPr>
        <w:t>understanding</w:t>
      </w:r>
      <w:r w:rsidR="00DD40A8" w:rsidRPr="00C26E99">
        <w:rPr>
          <w:sz w:val="22"/>
        </w:rPr>
        <w:t xml:space="preserve"> </w:t>
      </w:r>
      <w:r w:rsidRPr="00C26E99">
        <w:rPr>
          <w:sz w:val="22"/>
        </w:rPr>
        <w:t>of the</w:t>
      </w:r>
      <w:r w:rsidR="00C07E70">
        <w:rPr>
          <w:sz w:val="22"/>
        </w:rPr>
        <w:t xml:space="preserve"> final</w:t>
      </w:r>
      <w:r w:rsidRPr="00C26E99">
        <w:rPr>
          <w:sz w:val="22"/>
        </w:rPr>
        <w:t xml:space="preserve"> design</w:t>
      </w:r>
      <w:r w:rsidR="00C07E70">
        <w:rPr>
          <w:sz w:val="22"/>
        </w:rPr>
        <w:t>, which refines the proposal</w:t>
      </w:r>
      <w:r w:rsidRPr="00C26E99">
        <w:rPr>
          <w:sz w:val="22"/>
        </w:rPr>
        <w:t xml:space="preserve"> </w:t>
      </w:r>
      <w:r>
        <w:rPr>
          <w:sz w:val="22"/>
        </w:rPr>
        <w:t xml:space="preserve">outlined in the </w:t>
      </w:r>
      <w:r>
        <w:rPr>
          <w:i/>
          <w:sz w:val="22"/>
        </w:rPr>
        <w:t xml:space="preserve">Safeguard Mechanism Reforms Position Paper </w:t>
      </w:r>
      <w:r w:rsidR="00345A5D">
        <w:rPr>
          <w:i/>
          <w:sz w:val="22"/>
        </w:rPr>
        <w:t xml:space="preserve">January </w:t>
      </w:r>
      <w:r>
        <w:rPr>
          <w:i/>
          <w:sz w:val="22"/>
        </w:rPr>
        <w:t>202</w:t>
      </w:r>
      <w:r w:rsidR="00345A5D">
        <w:rPr>
          <w:i/>
          <w:sz w:val="22"/>
        </w:rPr>
        <w:t>3</w:t>
      </w:r>
      <w:r w:rsidR="00C07E70">
        <w:rPr>
          <w:i/>
          <w:sz w:val="22"/>
        </w:rPr>
        <w:t xml:space="preserve"> </w:t>
      </w:r>
      <w:r w:rsidR="00C07E70">
        <w:rPr>
          <w:sz w:val="22"/>
        </w:rPr>
        <w:t>based on stakeholder consultation and changes to strengthen the scheme</w:t>
      </w:r>
      <w:r w:rsidR="00912E01">
        <w:rPr>
          <w:sz w:val="22"/>
        </w:rPr>
        <w:t>,</w:t>
      </w:r>
      <w:r>
        <w:rPr>
          <w:sz w:val="22"/>
        </w:rPr>
        <w:t xml:space="preserve"> </w:t>
      </w:r>
    </w:p>
    <w:p w14:paraId="155955A0" w14:textId="77777777" w:rsidR="00A65679" w:rsidRPr="00BD0FAD" w:rsidRDefault="00C26E99">
      <w:pPr>
        <w:pStyle w:val="BodyText"/>
        <w:numPr>
          <w:ilvl w:val="0"/>
          <w:numId w:val="31"/>
        </w:numPr>
        <w:rPr>
          <w:sz w:val="22"/>
        </w:rPr>
      </w:pPr>
      <w:r>
        <w:rPr>
          <w:sz w:val="22"/>
        </w:rPr>
        <w:t>a</w:t>
      </w:r>
      <w:r w:rsidR="00BD1EF1">
        <w:rPr>
          <w:sz w:val="22"/>
        </w:rPr>
        <w:t>nswers the</w:t>
      </w:r>
      <w:r w:rsidR="00BD1EF1" w:rsidDel="00FA68D0">
        <w:rPr>
          <w:sz w:val="22"/>
        </w:rPr>
        <w:t xml:space="preserve"> </w:t>
      </w:r>
      <w:r w:rsidR="00FA68D0">
        <w:rPr>
          <w:sz w:val="22"/>
        </w:rPr>
        <w:t xml:space="preserve">seven </w:t>
      </w:r>
      <w:r w:rsidR="00BD1EF1">
        <w:rPr>
          <w:sz w:val="22"/>
        </w:rPr>
        <w:t>RI</w:t>
      </w:r>
      <w:r w:rsidR="007432BE">
        <w:rPr>
          <w:sz w:val="22"/>
        </w:rPr>
        <w:t>A</w:t>
      </w:r>
      <w:r w:rsidR="00BD1EF1">
        <w:rPr>
          <w:sz w:val="22"/>
        </w:rPr>
        <w:t xml:space="preserve"> questions</w:t>
      </w:r>
      <w:r w:rsidR="00912E01">
        <w:rPr>
          <w:sz w:val="22"/>
        </w:rPr>
        <w:t>,</w:t>
      </w:r>
    </w:p>
    <w:p w14:paraId="1F36A5D5" w14:textId="1C7C44C1" w:rsidR="003263F0" w:rsidRDefault="003263F0" w:rsidP="00736756">
      <w:pPr>
        <w:pStyle w:val="BodyText"/>
        <w:numPr>
          <w:ilvl w:val="0"/>
          <w:numId w:val="31"/>
        </w:numPr>
        <w:rPr>
          <w:sz w:val="22"/>
        </w:rPr>
      </w:pPr>
      <w:r>
        <w:rPr>
          <w:sz w:val="22"/>
        </w:rPr>
        <w:t xml:space="preserve">presents a qualitative assessment of the </w:t>
      </w:r>
      <w:r w:rsidR="00912E01">
        <w:rPr>
          <w:sz w:val="22"/>
        </w:rPr>
        <w:t>regulatory impact</w:t>
      </w:r>
      <w:r w:rsidR="00257A5A">
        <w:rPr>
          <w:sz w:val="22"/>
        </w:rPr>
        <w:t xml:space="preserve"> and a quantitative regulatory burden estimate for administrative compliance cost</w:t>
      </w:r>
      <w:r w:rsidR="00F371C6">
        <w:rPr>
          <w:sz w:val="22"/>
        </w:rPr>
        <w:t>s</w:t>
      </w:r>
      <w:r w:rsidR="00912E01">
        <w:rPr>
          <w:sz w:val="22"/>
        </w:rPr>
        <w:t>,</w:t>
      </w:r>
    </w:p>
    <w:p w14:paraId="0E849388" w14:textId="2F1A3284" w:rsidR="003C7CEC" w:rsidRDefault="003C7CEC" w:rsidP="00736756">
      <w:pPr>
        <w:pStyle w:val="BodyText"/>
        <w:numPr>
          <w:ilvl w:val="0"/>
          <w:numId w:val="31"/>
        </w:numPr>
        <w:rPr>
          <w:sz w:val="22"/>
        </w:rPr>
      </w:pPr>
      <w:r w:rsidRPr="00C26E99">
        <w:rPr>
          <w:sz w:val="22"/>
        </w:rPr>
        <w:t xml:space="preserve">has been prepared </w:t>
      </w:r>
      <w:r>
        <w:rPr>
          <w:sz w:val="22"/>
        </w:rPr>
        <w:t xml:space="preserve">in close consultation with </w:t>
      </w:r>
      <w:r w:rsidR="00DC111D">
        <w:rPr>
          <w:sz w:val="22"/>
        </w:rPr>
        <w:t>the Office of Impact Analysis (</w:t>
      </w:r>
      <w:proofErr w:type="spellStart"/>
      <w:r w:rsidR="00317F46">
        <w:rPr>
          <w:sz w:val="22"/>
        </w:rPr>
        <w:t>OIA</w:t>
      </w:r>
      <w:proofErr w:type="spellEnd"/>
      <w:r w:rsidR="00DC111D">
        <w:rPr>
          <w:sz w:val="22"/>
        </w:rPr>
        <w:t>)</w:t>
      </w:r>
      <w:r w:rsidR="00912E01">
        <w:rPr>
          <w:sz w:val="22"/>
        </w:rPr>
        <w:t>,</w:t>
      </w:r>
    </w:p>
    <w:p w14:paraId="0F1C6FE6" w14:textId="77777777" w:rsidR="0033466E" w:rsidRPr="003263F0" w:rsidRDefault="003455A0" w:rsidP="003263F0">
      <w:pPr>
        <w:pStyle w:val="BodyText"/>
        <w:numPr>
          <w:ilvl w:val="0"/>
          <w:numId w:val="31"/>
        </w:numPr>
        <w:rPr>
          <w:sz w:val="22"/>
        </w:rPr>
      </w:pPr>
      <w:r>
        <w:rPr>
          <w:sz w:val="22"/>
        </w:rPr>
        <w:t>is</w:t>
      </w:r>
      <w:r w:rsidRPr="003263F0">
        <w:rPr>
          <w:sz w:val="22"/>
        </w:rPr>
        <w:t xml:space="preserve"> </w:t>
      </w:r>
      <w:r w:rsidR="00BD1EF1" w:rsidRPr="003263F0">
        <w:rPr>
          <w:sz w:val="22"/>
        </w:rPr>
        <w:t>Certified by the Department of Climate Change, Energy, the Environment and Water (</w:t>
      </w:r>
      <w:proofErr w:type="spellStart"/>
      <w:r w:rsidR="00BD1EF1" w:rsidRPr="003263F0">
        <w:rPr>
          <w:sz w:val="22"/>
        </w:rPr>
        <w:t>DCCEEW</w:t>
      </w:r>
      <w:proofErr w:type="spellEnd"/>
      <w:r w:rsidR="00D70DED">
        <w:rPr>
          <w:sz w:val="22"/>
        </w:rPr>
        <w:t>)</w:t>
      </w:r>
      <w:r w:rsidR="0033466E" w:rsidRPr="003263F0">
        <w:rPr>
          <w:sz w:val="22"/>
        </w:rPr>
        <w:t>.</w:t>
      </w:r>
    </w:p>
    <w:p w14:paraId="50FD7377" w14:textId="034D63BB" w:rsidR="00E21128" w:rsidRDefault="00E21128" w:rsidP="00F228BE">
      <w:pPr>
        <w:pStyle w:val="Heading2"/>
      </w:pPr>
      <w:bookmarkStart w:id="103" w:name="_Toc119327134"/>
      <w:bookmarkStart w:id="104" w:name="_Toc119360640"/>
      <w:bookmarkStart w:id="105" w:name="_Toc132807530"/>
      <w:r>
        <w:t xml:space="preserve">Summary of regulatory impact </w:t>
      </w:r>
      <w:bookmarkEnd w:id="103"/>
      <w:bookmarkEnd w:id="104"/>
      <w:r w:rsidR="00F10D3E">
        <w:t>analysis</w:t>
      </w:r>
      <w:bookmarkEnd w:id="105"/>
    </w:p>
    <w:p w14:paraId="26437CD1" w14:textId="05975E9C" w:rsidR="00BD0FAD" w:rsidRPr="00C00BEC" w:rsidRDefault="00C00BEC" w:rsidP="00292EDC">
      <w:pPr>
        <w:pStyle w:val="BodyText"/>
        <w:rPr>
          <w:sz w:val="22"/>
          <w:szCs w:val="22"/>
        </w:rPr>
      </w:pPr>
      <w:r w:rsidRPr="00202E2F">
        <w:rPr>
          <w:color w:val="auto"/>
          <w:sz w:val="22"/>
          <w:szCs w:val="22"/>
        </w:rPr>
        <w:t>This RI</w:t>
      </w:r>
      <w:r w:rsidR="000D00F1">
        <w:rPr>
          <w:color w:val="auto"/>
          <w:sz w:val="22"/>
          <w:szCs w:val="22"/>
        </w:rPr>
        <w:t>A</w:t>
      </w:r>
      <w:r w:rsidRPr="00202E2F">
        <w:rPr>
          <w:color w:val="auto"/>
          <w:sz w:val="22"/>
          <w:szCs w:val="22"/>
        </w:rPr>
        <w:t xml:space="preserve"> analyses three reform options.</w:t>
      </w:r>
      <w:r w:rsidR="00BD0FAD" w:rsidRPr="00202E2F">
        <w:rPr>
          <w:color w:val="auto"/>
          <w:sz w:val="22"/>
          <w:szCs w:val="22"/>
        </w:rPr>
        <w:t xml:space="preserve"> Options 1 and 2 are consistent with reform options proposed in the August 2022 Consultation Paper. </w:t>
      </w:r>
      <w:r w:rsidR="00E66EC0">
        <w:rPr>
          <w:color w:val="auto"/>
          <w:sz w:val="22"/>
          <w:szCs w:val="22"/>
        </w:rPr>
        <w:t>Option 3 reflects the final design.</w:t>
      </w:r>
      <w:r w:rsidR="00BD0FAD" w:rsidRPr="00202E2F">
        <w:rPr>
          <w:color w:val="auto"/>
          <w:sz w:val="22"/>
          <w:szCs w:val="22"/>
        </w:rPr>
        <w:t xml:space="preserve"> </w:t>
      </w:r>
      <w:r w:rsidR="00E66EC0" w:rsidRPr="00E66EC0">
        <w:rPr>
          <w:color w:val="auto"/>
          <w:sz w:val="22"/>
          <w:szCs w:val="22"/>
        </w:rPr>
        <w:t xml:space="preserve">The Government has taken feedback received through consultation on the proposed design outlined in the January 2023 Position Paper to refine the final </w:t>
      </w:r>
      <w:r w:rsidR="00E66EC0" w:rsidRPr="00E66EC0">
        <w:rPr>
          <w:color w:val="auto"/>
          <w:sz w:val="22"/>
          <w:szCs w:val="22"/>
        </w:rPr>
        <w:lastRenderedPageBreak/>
        <w:t xml:space="preserve">design of the policy. </w:t>
      </w:r>
      <w:r w:rsidR="00BD0FAD" w:rsidRPr="00202E2F">
        <w:rPr>
          <w:color w:val="auto"/>
          <w:sz w:val="22"/>
          <w:szCs w:val="22"/>
        </w:rPr>
        <w:t xml:space="preserve">All three reform options are </w:t>
      </w:r>
      <w:r w:rsidR="00A67A2F">
        <w:rPr>
          <w:color w:val="auto"/>
          <w:sz w:val="22"/>
          <w:szCs w:val="22"/>
        </w:rPr>
        <w:t>compared</w:t>
      </w:r>
      <w:r w:rsidR="00BD0FAD" w:rsidRPr="00202E2F">
        <w:rPr>
          <w:color w:val="auto"/>
          <w:sz w:val="22"/>
          <w:szCs w:val="22"/>
        </w:rPr>
        <w:t xml:space="preserve"> with the reference (business-as-usual) option where no reform is undertaken.</w:t>
      </w:r>
    </w:p>
    <w:p w14:paraId="06181693" w14:textId="41F9C516" w:rsidR="00292EDC" w:rsidRDefault="00FA68D0" w:rsidP="00292EDC">
      <w:pPr>
        <w:pStyle w:val="BodyText"/>
        <w:rPr>
          <w:sz w:val="22"/>
          <w:szCs w:val="22"/>
        </w:rPr>
      </w:pPr>
      <w:r>
        <w:rPr>
          <w:sz w:val="22"/>
          <w:szCs w:val="22"/>
        </w:rPr>
        <w:t xml:space="preserve">Based on </w:t>
      </w:r>
      <w:r w:rsidR="006B367A">
        <w:rPr>
          <w:sz w:val="22"/>
          <w:szCs w:val="22"/>
        </w:rPr>
        <w:t xml:space="preserve">consultation and </w:t>
      </w:r>
      <w:r>
        <w:rPr>
          <w:sz w:val="22"/>
          <w:szCs w:val="22"/>
        </w:rPr>
        <w:t xml:space="preserve">the qualitative assessment, </w:t>
      </w:r>
      <w:r w:rsidR="00292EDC">
        <w:rPr>
          <w:sz w:val="22"/>
          <w:szCs w:val="22"/>
        </w:rPr>
        <w:t>Option 3</w:t>
      </w:r>
      <w:r w:rsidR="00B5486E">
        <w:rPr>
          <w:sz w:val="22"/>
          <w:szCs w:val="22"/>
        </w:rPr>
        <w:t xml:space="preserve"> for baseline setting</w:t>
      </w:r>
      <w:r w:rsidR="009D750B">
        <w:rPr>
          <w:sz w:val="22"/>
          <w:szCs w:val="22"/>
        </w:rPr>
        <w:t xml:space="preserve"> for existing facilities (and retaining a production-adjusted framework)</w:t>
      </w:r>
      <w:r w:rsidR="006B367A">
        <w:rPr>
          <w:sz w:val="22"/>
          <w:szCs w:val="22"/>
        </w:rPr>
        <w:t xml:space="preserve"> was </w:t>
      </w:r>
      <w:r w:rsidR="00A67A2F">
        <w:rPr>
          <w:sz w:val="22"/>
          <w:szCs w:val="22"/>
        </w:rPr>
        <w:t>selected</w:t>
      </w:r>
      <w:r w:rsidR="00292EDC">
        <w:rPr>
          <w:sz w:val="22"/>
          <w:szCs w:val="22"/>
        </w:rPr>
        <w:t xml:space="preserve"> </w:t>
      </w:r>
      <w:r w:rsidR="006B367A">
        <w:rPr>
          <w:sz w:val="22"/>
          <w:szCs w:val="22"/>
        </w:rPr>
        <w:t>to best</w:t>
      </w:r>
      <w:r w:rsidR="00292EDC">
        <w:rPr>
          <w:sz w:val="22"/>
          <w:szCs w:val="22"/>
        </w:rPr>
        <w:t xml:space="preserve"> achieve</w:t>
      </w:r>
      <w:r w:rsidR="009E00A4">
        <w:rPr>
          <w:sz w:val="22"/>
          <w:szCs w:val="22"/>
        </w:rPr>
        <w:t xml:space="preserve"> the</w:t>
      </w:r>
      <w:r w:rsidR="00292EDC">
        <w:rPr>
          <w:sz w:val="22"/>
          <w:szCs w:val="22"/>
        </w:rPr>
        <w:t xml:space="preserve"> reform objectives while </w:t>
      </w:r>
      <w:r w:rsidR="001F0BFE">
        <w:rPr>
          <w:sz w:val="22"/>
          <w:szCs w:val="22"/>
        </w:rPr>
        <w:t xml:space="preserve">achieving the best </w:t>
      </w:r>
      <w:r w:rsidR="00292EDC">
        <w:rPr>
          <w:sz w:val="22"/>
          <w:szCs w:val="22"/>
        </w:rPr>
        <w:t>balanc</w:t>
      </w:r>
      <w:r w:rsidR="001F0BFE">
        <w:rPr>
          <w:sz w:val="22"/>
          <w:szCs w:val="22"/>
        </w:rPr>
        <w:t>e of the</w:t>
      </w:r>
      <w:r w:rsidR="00292EDC">
        <w:rPr>
          <w:sz w:val="22"/>
          <w:szCs w:val="22"/>
        </w:rPr>
        <w:t xml:space="preserve"> </w:t>
      </w:r>
      <w:r w:rsidR="009E00A4">
        <w:rPr>
          <w:sz w:val="22"/>
          <w:szCs w:val="22"/>
        </w:rPr>
        <w:t>policy principles</w:t>
      </w:r>
      <w:r w:rsidR="00292EDC">
        <w:rPr>
          <w:sz w:val="22"/>
          <w:szCs w:val="22"/>
        </w:rPr>
        <w:t xml:space="preserve">. </w:t>
      </w:r>
      <w:r w:rsidR="006B367A">
        <w:rPr>
          <w:sz w:val="22"/>
          <w:szCs w:val="22"/>
        </w:rPr>
        <w:t xml:space="preserve">Finalisation of detailed policy design for </w:t>
      </w:r>
      <w:r w:rsidR="00921573">
        <w:rPr>
          <w:sz w:val="22"/>
          <w:szCs w:val="22"/>
        </w:rPr>
        <w:t>O</w:t>
      </w:r>
      <w:r w:rsidR="00292EDC">
        <w:rPr>
          <w:sz w:val="22"/>
          <w:szCs w:val="22"/>
        </w:rPr>
        <w:t xml:space="preserve">ption </w:t>
      </w:r>
      <w:r w:rsidR="00921573">
        <w:rPr>
          <w:sz w:val="22"/>
          <w:szCs w:val="22"/>
        </w:rPr>
        <w:t xml:space="preserve">3 </w:t>
      </w:r>
      <w:r w:rsidR="006B367A">
        <w:rPr>
          <w:sz w:val="22"/>
          <w:szCs w:val="22"/>
        </w:rPr>
        <w:t>further establishes it as the preferred option as it</w:t>
      </w:r>
      <w:r w:rsidR="00292EDC">
        <w:rPr>
          <w:sz w:val="22"/>
          <w:szCs w:val="22"/>
        </w:rPr>
        <w:t>:</w:t>
      </w:r>
    </w:p>
    <w:p w14:paraId="6526C52A" w14:textId="77777777" w:rsidR="00292EDC" w:rsidRDefault="00614722" w:rsidP="00292EDC">
      <w:pPr>
        <w:pStyle w:val="BodyText"/>
        <w:numPr>
          <w:ilvl w:val="0"/>
          <w:numId w:val="55"/>
        </w:numPr>
        <w:rPr>
          <w:sz w:val="22"/>
          <w:szCs w:val="22"/>
        </w:rPr>
      </w:pPr>
      <w:r>
        <w:rPr>
          <w:sz w:val="22"/>
          <w:szCs w:val="22"/>
        </w:rPr>
        <w:t>o</w:t>
      </w:r>
      <w:r w:rsidR="00292EDC">
        <w:rPr>
          <w:sz w:val="22"/>
          <w:szCs w:val="22"/>
        </w:rPr>
        <w:t xml:space="preserve">ffers a hybrid approach to baseline setting that </w:t>
      </w:r>
      <w:r w:rsidR="00292EDC" w:rsidRPr="00375133">
        <w:rPr>
          <w:sz w:val="22"/>
          <w:szCs w:val="22"/>
        </w:rPr>
        <w:t xml:space="preserve">introduces costs and benefits </w:t>
      </w:r>
      <w:r w:rsidR="009E00A4" w:rsidRPr="00375133">
        <w:rPr>
          <w:sz w:val="22"/>
          <w:szCs w:val="22"/>
        </w:rPr>
        <w:t xml:space="preserve">gradually </w:t>
      </w:r>
      <w:r w:rsidR="00292EDC" w:rsidRPr="00375133">
        <w:rPr>
          <w:sz w:val="22"/>
          <w:szCs w:val="22"/>
        </w:rPr>
        <w:t>from scheme commencement to 2030</w:t>
      </w:r>
      <w:r>
        <w:rPr>
          <w:sz w:val="22"/>
          <w:szCs w:val="22"/>
        </w:rPr>
        <w:t>,</w:t>
      </w:r>
      <w:r w:rsidRPr="009E00A4">
        <w:rPr>
          <w:sz w:val="22"/>
          <w:szCs w:val="22"/>
        </w:rPr>
        <w:t xml:space="preserve"> </w:t>
      </w:r>
    </w:p>
    <w:p w14:paraId="1B66CC34" w14:textId="77777777" w:rsidR="009E00A4" w:rsidRDefault="00614722" w:rsidP="004932D2">
      <w:pPr>
        <w:pStyle w:val="BodyText"/>
        <w:numPr>
          <w:ilvl w:val="0"/>
          <w:numId w:val="55"/>
        </w:numPr>
        <w:rPr>
          <w:sz w:val="22"/>
          <w:szCs w:val="22"/>
        </w:rPr>
      </w:pPr>
      <w:r>
        <w:rPr>
          <w:sz w:val="22"/>
          <w:szCs w:val="22"/>
        </w:rPr>
        <w:t>a</w:t>
      </w:r>
      <w:r w:rsidR="009E00A4" w:rsidRPr="004932D2">
        <w:rPr>
          <w:sz w:val="22"/>
          <w:szCs w:val="22"/>
        </w:rPr>
        <w:t>llows the market to find the lowest cost abatement wherever it occurs and encourages production where it is least emissions-intensive</w:t>
      </w:r>
      <w:r>
        <w:rPr>
          <w:sz w:val="22"/>
          <w:szCs w:val="22"/>
        </w:rPr>
        <w:t>,</w:t>
      </w:r>
    </w:p>
    <w:p w14:paraId="51B4A89A" w14:textId="77777777" w:rsidR="006E1B83" w:rsidRPr="009E00A4" w:rsidDel="009E00A4" w:rsidRDefault="00614722" w:rsidP="006E1B83">
      <w:pPr>
        <w:pStyle w:val="BodyText"/>
        <w:numPr>
          <w:ilvl w:val="0"/>
          <w:numId w:val="55"/>
        </w:numPr>
        <w:rPr>
          <w:sz w:val="22"/>
          <w:szCs w:val="22"/>
        </w:rPr>
      </w:pPr>
      <w:r>
        <w:rPr>
          <w:sz w:val="22"/>
          <w:szCs w:val="22"/>
        </w:rPr>
        <w:t>d</w:t>
      </w:r>
      <w:r w:rsidR="006E73BE">
        <w:rPr>
          <w:sz w:val="22"/>
          <w:szCs w:val="22"/>
        </w:rPr>
        <w:t xml:space="preserve">emonstrates strong commitment to </w:t>
      </w:r>
      <w:r w:rsidR="003263F0">
        <w:rPr>
          <w:sz w:val="22"/>
          <w:szCs w:val="22"/>
        </w:rPr>
        <w:t xml:space="preserve">the </w:t>
      </w:r>
      <w:r w:rsidR="006E73BE">
        <w:rPr>
          <w:sz w:val="22"/>
          <w:szCs w:val="22"/>
        </w:rPr>
        <w:t>net zero target and sends a strong market signal to investors by applying international best-practice benchmarks (adapted to the Australian context) for setting baselines for new facilities</w:t>
      </w:r>
      <w:r>
        <w:rPr>
          <w:sz w:val="22"/>
          <w:szCs w:val="22"/>
        </w:rPr>
        <w:t>,</w:t>
      </w:r>
    </w:p>
    <w:p w14:paraId="1AB50140" w14:textId="77777777" w:rsidR="00292EDC" w:rsidRPr="006E73BE" w:rsidRDefault="00614722">
      <w:pPr>
        <w:pStyle w:val="BodyText"/>
        <w:numPr>
          <w:ilvl w:val="0"/>
          <w:numId w:val="55"/>
        </w:numPr>
        <w:rPr>
          <w:sz w:val="22"/>
          <w:szCs w:val="22"/>
        </w:rPr>
      </w:pPr>
      <w:r>
        <w:rPr>
          <w:sz w:val="22"/>
          <w:szCs w:val="22"/>
        </w:rPr>
        <w:t>i</w:t>
      </w:r>
      <w:r w:rsidR="00292EDC" w:rsidRPr="004932D2">
        <w:rPr>
          <w:sz w:val="22"/>
          <w:szCs w:val="22"/>
        </w:rPr>
        <w:t>ntroduces access to new flexibility mechanisms, such as crediting and trading, banking and borrowing, extended multi-year monitoring periods, and a cost containment measure—to reduce costs, while ensuring support is targeted and aligned to overarching emissions reduction objectives</w:t>
      </w:r>
      <w:r>
        <w:rPr>
          <w:sz w:val="22"/>
          <w:szCs w:val="22"/>
        </w:rPr>
        <w:t>,</w:t>
      </w:r>
    </w:p>
    <w:p w14:paraId="2CFDBDE8" w14:textId="77777777" w:rsidR="00292EDC" w:rsidRDefault="00614722" w:rsidP="00292EDC">
      <w:pPr>
        <w:pStyle w:val="BodyText"/>
        <w:numPr>
          <w:ilvl w:val="0"/>
          <w:numId w:val="55"/>
        </w:numPr>
        <w:rPr>
          <w:sz w:val="22"/>
          <w:szCs w:val="22"/>
        </w:rPr>
      </w:pPr>
      <w:r>
        <w:rPr>
          <w:sz w:val="22"/>
          <w:szCs w:val="22"/>
        </w:rPr>
        <w:t>r</w:t>
      </w:r>
      <w:r w:rsidR="00292EDC">
        <w:rPr>
          <w:sz w:val="22"/>
          <w:szCs w:val="22"/>
        </w:rPr>
        <w:t xml:space="preserve">etains simplicity in architecture by </w:t>
      </w:r>
      <w:r w:rsidR="009E00A4">
        <w:rPr>
          <w:sz w:val="22"/>
          <w:szCs w:val="22"/>
        </w:rPr>
        <w:t>maintaining</w:t>
      </w:r>
      <w:r w:rsidR="00292EDC">
        <w:rPr>
          <w:sz w:val="22"/>
          <w:szCs w:val="22"/>
        </w:rPr>
        <w:t xml:space="preserve"> the existing production</w:t>
      </w:r>
      <w:r w:rsidR="003263F0">
        <w:rPr>
          <w:sz w:val="22"/>
          <w:szCs w:val="22"/>
        </w:rPr>
        <w:t>-</w:t>
      </w:r>
      <w:r w:rsidR="00292EDC">
        <w:rPr>
          <w:sz w:val="22"/>
          <w:szCs w:val="22"/>
        </w:rPr>
        <w:t>adjusting framework</w:t>
      </w:r>
      <w:r>
        <w:rPr>
          <w:sz w:val="22"/>
          <w:szCs w:val="22"/>
        </w:rPr>
        <w:t>,</w:t>
      </w:r>
    </w:p>
    <w:p w14:paraId="1D6B35F7" w14:textId="77777777" w:rsidR="00292EDC" w:rsidRDefault="00614722" w:rsidP="00292EDC">
      <w:pPr>
        <w:pStyle w:val="BodyText"/>
        <w:numPr>
          <w:ilvl w:val="0"/>
          <w:numId w:val="55"/>
        </w:numPr>
        <w:rPr>
          <w:sz w:val="22"/>
          <w:szCs w:val="22"/>
        </w:rPr>
      </w:pPr>
      <w:r>
        <w:rPr>
          <w:sz w:val="22"/>
          <w:szCs w:val="22"/>
        </w:rPr>
        <w:t>e</w:t>
      </w:r>
      <w:r w:rsidR="00292EDC" w:rsidRPr="00375133">
        <w:rPr>
          <w:sz w:val="22"/>
          <w:szCs w:val="22"/>
        </w:rPr>
        <w:t>nhances</w:t>
      </w:r>
      <w:r w:rsidR="00292EDC">
        <w:rPr>
          <w:sz w:val="22"/>
          <w:szCs w:val="22"/>
        </w:rPr>
        <w:t xml:space="preserve"> broader </w:t>
      </w:r>
      <w:r w:rsidR="009E00A4">
        <w:rPr>
          <w:sz w:val="22"/>
          <w:szCs w:val="22"/>
        </w:rPr>
        <w:t>S</w:t>
      </w:r>
      <w:r w:rsidR="00292EDC">
        <w:rPr>
          <w:sz w:val="22"/>
          <w:szCs w:val="22"/>
        </w:rPr>
        <w:t xml:space="preserve">afeguard </w:t>
      </w:r>
      <w:r w:rsidR="009E00A4">
        <w:rPr>
          <w:sz w:val="22"/>
          <w:szCs w:val="22"/>
        </w:rPr>
        <w:t>M</w:t>
      </w:r>
      <w:r w:rsidR="00292EDC">
        <w:rPr>
          <w:sz w:val="22"/>
          <w:szCs w:val="22"/>
        </w:rPr>
        <w:t>echanism</w:t>
      </w:r>
      <w:r w:rsidR="00292EDC" w:rsidRPr="00375133">
        <w:rPr>
          <w:sz w:val="22"/>
          <w:szCs w:val="22"/>
        </w:rPr>
        <w:t xml:space="preserve"> transparency by mandating production</w:t>
      </w:r>
      <w:r w:rsidR="003263F0">
        <w:rPr>
          <w:sz w:val="22"/>
          <w:szCs w:val="22"/>
        </w:rPr>
        <w:t>-</w:t>
      </w:r>
      <w:r w:rsidR="00292EDC" w:rsidRPr="00375133">
        <w:rPr>
          <w:sz w:val="22"/>
          <w:szCs w:val="22"/>
        </w:rPr>
        <w:t>adjusted baselines for all facilities at commencement of reforms, and requiring all facilities to use Government</w:t>
      </w:r>
      <w:r w:rsidR="003263F0">
        <w:rPr>
          <w:sz w:val="22"/>
          <w:szCs w:val="22"/>
        </w:rPr>
        <w:t>-</w:t>
      </w:r>
      <w:r w:rsidR="00292EDC" w:rsidRPr="00375133">
        <w:rPr>
          <w:sz w:val="22"/>
          <w:szCs w:val="22"/>
        </w:rPr>
        <w:t>defined production variables</w:t>
      </w:r>
      <w:r>
        <w:rPr>
          <w:sz w:val="22"/>
          <w:szCs w:val="22"/>
        </w:rPr>
        <w:t>,</w:t>
      </w:r>
    </w:p>
    <w:p w14:paraId="3501FF8D" w14:textId="1B153CFF" w:rsidR="005070D4" w:rsidRPr="005070D4" w:rsidRDefault="00614722" w:rsidP="005070D4">
      <w:pPr>
        <w:pStyle w:val="BodyText"/>
        <w:numPr>
          <w:ilvl w:val="0"/>
          <w:numId w:val="55"/>
        </w:numPr>
        <w:rPr>
          <w:color w:val="auto"/>
          <w:sz w:val="22"/>
          <w:szCs w:val="22"/>
        </w:rPr>
      </w:pPr>
      <w:r>
        <w:rPr>
          <w:color w:val="auto"/>
          <w:sz w:val="22"/>
          <w:szCs w:val="22"/>
        </w:rPr>
        <w:t>s</w:t>
      </w:r>
      <w:r w:rsidR="009E00A4" w:rsidRPr="00921573">
        <w:rPr>
          <w:color w:val="auto"/>
          <w:sz w:val="22"/>
          <w:szCs w:val="22"/>
        </w:rPr>
        <w:t>ets</w:t>
      </w:r>
      <w:r w:rsidR="009E00A4" w:rsidRPr="008D31D1">
        <w:rPr>
          <w:color w:val="auto"/>
          <w:sz w:val="22"/>
          <w:szCs w:val="22"/>
        </w:rPr>
        <w:t xml:space="preserve"> clear</w:t>
      </w:r>
      <w:r w:rsidR="00292EDC" w:rsidRPr="00CC038D">
        <w:rPr>
          <w:color w:val="auto"/>
          <w:sz w:val="22"/>
          <w:szCs w:val="22"/>
        </w:rPr>
        <w:t xml:space="preserve"> eligibility requirements for assistance</w:t>
      </w:r>
      <w:r w:rsidR="007E1EF8">
        <w:rPr>
          <w:color w:val="auto"/>
          <w:sz w:val="22"/>
          <w:szCs w:val="22"/>
        </w:rPr>
        <w:t xml:space="preserve"> to emissions-intensive trade-expose</w:t>
      </w:r>
      <w:r w:rsidR="009E00A4" w:rsidRPr="00CC038D">
        <w:rPr>
          <w:color w:val="auto"/>
          <w:sz w:val="22"/>
          <w:szCs w:val="22"/>
        </w:rPr>
        <w:t xml:space="preserve"> </w:t>
      </w:r>
      <w:r w:rsidR="007E1EF8">
        <w:rPr>
          <w:color w:val="auto"/>
          <w:sz w:val="22"/>
          <w:szCs w:val="22"/>
        </w:rPr>
        <w:t>(</w:t>
      </w:r>
      <w:proofErr w:type="spellStart"/>
      <w:r w:rsidR="007E1EF8" w:rsidRPr="00CC038D">
        <w:rPr>
          <w:color w:val="auto"/>
          <w:sz w:val="22"/>
          <w:szCs w:val="22"/>
        </w:rPr>
        <w:t>EITE</w:t>
      </w:r>
      <w:proofErr w:type="spellEnd"/>
      <w:r w:rsidR="007E1EF8">
        <w:rPr>
          <w:color w:val="auto"/>
          <w:sz w:val="22"/>
          <w:szCs w:val="22"/>
        </w:rPr>
        <w:t>) facilities</w:t>
      </w:r>
      <w:r w:rsidR="007E1EF8" w:rsidRPr="00CC038D">
        <w:rPr>
          <w:color w:val="auto"/>
          <w:sz w:val="22"/>
          <w:szCs w:val="22"/>
        </w:rPr>
        <w:t xml:space="preserve"> </w:t>
      </w:r>
      <w:r w:rsidR="009E00A4" w:rsidRPr="00CC038D">
        <w:rPr>
          <w:color w:val="auto"/>
          <w:sz w:val="22"/>
          <w:szCs w:val="22"/>
        </w:rPr>
        <w:t xml:space="preserve">based on </w:t>
      </w:r>
      <w:r w:rsidR="00AE5699" w:rsidRPr="008D31D1">
        <w:rPr>
          <w:color w:val="auto"/>
          <w:sz w:val="22"/>
          <w:szCs w:val="22"/>
        </w:rPr>
        <w:t>scheme impact metric</w:t>
      </w:r>
      <w:r w:rsidR="00F40824">
        <w:rPr>
          <w:color w:val="auto"/>
          <w:sz w:val="22"/>
          <w:szCs w:val="22"/>
        </w:rPr>
        <w:t>s</w:t>
      </w:r>
      <w:r w:rsidR="00292EDC" w:rsidRPr="00CC038D">
        <w:rPr>
          <w:color w:val="auto"/>
          <w:sz w:val="22"/>
          <w:szCs w:val="22"/>
        </w:rPr>
        <w:t>,</w:t>
      </w:r>
      <w:r w:rsidR="005070D4">
        <w:rPr>
          <w:color w:val="auto"/>
          <w:sz w:val="22"/>
          <w:szCs w:val="22"/>
        </w:rPr>
        <w:t xml:space="preserve"> including specific treatment for hard-to-abate, value-added manufacturing,</w:t>
      </w:r>
      <w:r w:rsidR="00292EDC" w:rsidRPr="00CC038D">
        <w:rPr>
          <w:color w:val="auto"/>
          <w:sz w:val="22"/>
          <w:szCs w:val="22"/>
        </w:rPr>
        <w:t xml:space="preserve"> </w:t>
      </w:r>
      <w:r w:rsidR="009E00A4" w:rsidRPr="00921573">
        <w:rPr>
          <w:color w:val="auto"/>
          <w:sz w:val="22"/>
          <w:szCs w:val="22"/>
        </w:rPr>
        <w:t>thereby</w:t>
      </w:r>
      <w:r w:rsidR="00292EDC" w:rsidRPr="008D31D1">
        <w:rPr>
          <w:color w:val="auto"/>
          <w:sz w:val="22"/>
          <w:szCs w:val="22"/>
        </w:rPr>
        <w:t xml:space="preserve"> m</w:t>
      </w:r>
      <w:r w:rsidR="00AE5699" w:rsidRPr="00CC038D">
        <w:rPr>
          <w:color w:val="auto"/>
          <w:sz w:val="22"/>
          <w:szCs w:val="22"/>
        </w:rPr>
        <w:t>inimising</w:t>
      </w:r>
      <w:r w:rsidR="00292EDC" w:rsidRPr="00CC038D">
        <w:rPr>
          <w:color w:val="auto"/>
          <w:sz w:val="22"/>
          <w:szCs w:val="22"/>
        </w:rPr>
        <w:t xml:space="preserve"> scheme impacts on non-</w:t>
      </w:r>
      <w:proofErr w:type="spellStart"/>
      <w:r w:rsidR="00AE5699" w:rsidRPr="00921573">
        <w:rPr>
          <w:color w:val="auto"/>
          <w:sz w:val="22"/>
          <w:szCs w:val="22"/>
        </w:rPr>
        <w:t>EITE</w:t>
      </w:r>
      <w:proofErr w:type="spellEnd"/>
      <w:r w:rsidR="00292EDC" w:rsidRPr="008D31D1">
        <w:rPr>
          <w:color w:val="auto"/>
          <w:sz w:val="22"/>
          <w:szCs w:val="22"/>
        </w:rPr>
        <w:t xml:space="preserve"> facil</w:t>
      </w:r>
      <w:r w:rsidR="00292EDC" w:rsidRPr="00CC038D">
        <w:rPr>
          <w:color w:val="auto"/>
          <w:sz w:val="22"/>
          <w:szCs w:val="22"/>
        </w:rPr>
        <w:t>ities while maintaining clear long-term incentives for reducing all emissions</w:t>
      </w:r>
      <w:r>
        <w:rPr>
          <w:color w:val="auto"/>
          <w:sz w:val="22"/>
          <w:szCs w:val="22"/>
        </w:rPr>
        <w:t>,</w:t>
      </w:r>
    </w:p>
    <w:p w14:paraId="28B58E41" w14:textId="77777777" w:rsidR="00C34C12" w:rsidRPr="00202E2F" w:rsidRDefault="00614722" w:rsidP="00202E2F">
      <w:pPr>
        <w:pStyle w:val="BodyText"/>
        <w:numPr>
          <w:ilvl w:val="0"/>
          <w:numId w:val="55"/>
        </w:numPr>
        <w:sectPr w:rsidR="00C34C12" w:rsidRPr="00202E2F" w:rsidSect="00753174">
          <w:pgSz w:w="11906" w:h="16838"/>
          <w:pgMar w:top="1559" w:right="851" w:bottom="1701" w:left="851" w:header="567" w:footer="57" w:gutter="0"/>
          <w:cols w:space="708"/>
          <w:docGrid w:linePitch="360"/>
        </w:sectPr>
      </w:pPr>
      <w:r>
        <w:rPr>
          <w:sz w:val="22"/>
          <w:szCs w:val="22"/>
        </w:rPr>
        <w:t>a</w:t>
      </w:r>
      <w:r w:rsidR="006E1B83" w:rsidRPr="009D11C9">
        <w:rPr>
          <w:sz w:val="22"/>
          <w:szCs w:val="22"/>
        </w:rPr>
        <w:t>llows for recalibration of reform settings through a scheduled review as well as a periodic baseline setting process, to stay aligned with Austr</w:t>
      </w:r>
      <w:r w:rsidR="00D21370">
        <w:rPr>
          <w:sz w:val="22"/>
          <w:szCs w:val="22"/>
        </w:rPr>
        <w:t>a</w:t>
      </w:r>
      <w:r w:rsidR="006E1B83" w:rsidRPr="009D11C9">
        <w:rPr>
          <w:sz w:val="22"/>
          <w:szCs w:val="22"/>
        </w:rPr>
        <w:t xml:space="preserve">lia's future </w:t>
      </w:r>
      <w:proofErr w:type="spellStart"/>
      <w:r w:rsidR="006E1B83" w:rsidRPr="009D11C9">
        <w:rPr>
          <w:sz w:val="22"/>
          <w:szCs w:val="22"/>
        </w:rPr>
        <w:t>NDC</w:t>
      </w:r>
      <w:proofErr w:type="spellEnd"/>
      <w:r w:rsidR="006E1B83" w:rsidRPr="009D11C9">
        <w:rPr>
          <w:sz w:val="22"/>
          <w:szCs w:val="22"/>
        </w:rPr>
        <w:t xml:space="preserve"> updates and climate targets.</w:t>
      </w:r>
    </w:p>
    <w:p w14:paraId="581F18C5" w14:textId="77777777" w:rsidR="00C51551" w:rsidRPr="00C51551" w:rsidRDefault="00C51551">
      <w:pPr>
        <w:pStyle w:val="Heading1"/>
        <w:rPr>
          <w:sz w:val="22"/>
        </w:rPr>
      </w:pPr>
      <w:bookmarkStart w:id="106" w:name="_Toc118750359"/>
      <w:bookmarkStart w:id="107" w:name="_Toc118754635"/>
      <w:bookmarkStart w:id="108" w:name="_Toc118813926"/>
      <w:bookmarkStart w:id="109" w:name="_Toc119327135"/>
      <w:bookmarkStart w:id="110" w:name="_Toc119360641"/>
      <w:bookmarkStart w:id="111" w:name="_Toc132807531"/>
      <w:r w:rsidRPr="00C51551">
        <w:lastRenderedPageBreak/>
        <w:t>Background</w:t>
      </w:r>
      <w:bookmarkEnd w:id="106"/>
      <w:bookmarkEnd w:id="107"/>
      <w:bookmarkEnd w:id="108"/>
      <w:bookmarkEnd w:id="109"/>
      <w:bookmarkEnd w:id="110"/>
      <w:bookmarkEnd w:id="111"/>
      <w:r w:rsidRPr="00C51551">
        <w:rPr>
          <w:sz w:val="22"/>
        </w:rPr>
        <w:t xml:space="preserve"> </w:t>
      </w:r>
    </w:p>
    <w:p w14:paraId="3C063082" w14:textId="77777777" w:rsidR="00B41941" w:rsidRDefault="004A108C" w:rsidP="00AC0425">
      <w:pPr>
        <w:pStyle w:val="Heading2"/>
      </w:pPr>
      <w:bookmarkStart w:id="112" w:name="_Toc118750360"/>
      <w:bookmarkStart w:id="113" w:name="_Toc118754636"/>
      <w:bookmarkStart w:id="114" w:name="_Toc118813927"/>
      <w:bookmarkStart w:id="115" w:name="_Toc119327136"/>
      <w:bookmarkStart w:id="116" w:name="_Toc119360642"/>
      <w:bookmarkStart w:id="117" w:name="_Toc132807532"/>
      <w:r>
        <w:t>Current policy settings</w:t>
      </w:r>
      <w:bookmarkEnd w:id="112"/>
      <w:bookmarkEnd w:id="113"/>
      <w:bookmarkEnd w:id="114"/>
      <w:bookmarkEnd w:id="115"/>
      <w:bookmarkEnd w:id="116"/>
      <w:bookmarkEnd w:id="117"/>
    </w:p>
    <w:p w14:paraId="547FB721" w14:textId="61284B51" w:rsidR="004A108C" w:rsidRDefault="004A108C" w:rsidP="004A108C">
      <w:pPr>
        <w:rPr>
          <w:sz w:val="22"/>
        </w:rPr>
      </w:pPr>
      <w:r w:rsidRPr="00E27C75">
        <w:rPr>
          <w:sz w:val="22"/>
        </w:rPr>
        <w:t xml:space="preserve">The Safeguard Mechanism provides a framework for Australia’s largest emitters to measure, report and manage their emissions. It places legislated emissions limits (called baselines) on facilities that emit more than 100,000 tonnes of carbon dioxide equivalent each year, which encourages facilities to manage their emissions. Facilities covered by the Safeguard Mechanism account for approximately </w:t>
      </w:r>
      <w:r w:rsidR="003C7CEC">
        <w:rPr>
          <w:sz w:val="22"/>
        </w:rPr>
        <w:t xml:space="preserve">28 </w:t>
      </w:r>
      <w:r w:rsidR="004901E0">
        <w:rPr>
          <w:sz w:val="22"/>
        </w:rPr>
        <w:t>per cent</w:t>
      </w:r>
      <w:r w:rsidRPr="00E27C75">
        <w:rPr>
          <w:sz w:val="22"/>
        </w:rPr>
        <w:t xml:space="preserve"> of Australia’s emissions</w:t>
      </w:r>
      <w:r>
        <w:rPr>
          <w:sz w:val="22"/>
        </w:rPr>
        <w:t>, including facilities in the mining, oil and gas production, manufacturing, transport and waste sectors (</w:t>
      </w:r>
      <w:r w:rsidRPr="00724367">
        <w:rPr>
          <w:sz w:val="22"/>
          <w:szCs w:val="22"/>
        </w:rPr>
        <w:t xml:space="preserve">see </w:t>
      </w:r>
      <w:r w:rsidR="00724367" w:rsidRPr="00724367">
        <w:rPr>
          <w:sz w:val="22"/>
          <w:szCs w:val="22"/>
          <w:highlight w:val="yellow"/>
        </w:rPr>
        <w:fldChar w:fldCharType="begin"/>
      </w:r>
      <w:r w:rsidR="00724367" w:rsidRPr="00724367">
        <w:rPr>
          <w:sz w:val="22"/>
          <w:szCs w:val="22"/>
        </w:rPr>
        <w:instrText xml:space="preserve"> REF _Ref118203786 \h </w:instrText>
      </w:r>
      <w:r w:rsidR="00724367">
        <w:rPr>
          <w:sz w:val="22"/>
          <w:szCs w:val="22"/>
          <w:highlight w:val="yellow"/>
        </w:rPr>
        <w:instrText xml:space="preserve"> \* MERGEFORMAT </w:instrText>
      </w:r>
      <w:r w:rsidR="00724367" w:rsidRPr="00724367">
        <w:rPr>
          <w:sz w:val="22"/>
          <w:szCs w:val="22"/>
          <w:highlight w:val="yellow"/>
        </w:rPr>
      </w:r>
      <w:r w:rsidR="00724367" w:rsidRPr="00724367">
        <w:rPr>
          <w:sz w:val="22"/>
          <w:szCs w:val="22"/>
          <w:highlight w:val="yellow"/>
        </w:rPr>
        <w:fldChar w:fldCharType="separate"/>
      </w:r>
      <w:r w:rsidR="004C704F" w:rsidRPr="00CF219C">
        <w:rPr>
          <w:sz w:val="22"/>
          <w:szCs w:val="22"/>
        </w:rPr>
        <w:t>Figure 1</w:t>
      </w:r>
      <w:r w:rsidR="00724367" w:rsidRPr="00724367">
        <w:rPr>
          <w:sz w:val="22"/>
          <w:szCs w:val="22"/>
          <w:highlight w:val="yellow"/>
        </w:rPr>
        <w:fldChar w:fldCharType="end"/>
      </w:r>
      <w:r>
        <w:rPr>
          <w:sz w:val="22"/>
        </w:rPr>
        <w:t>)</w:t>
      </w:r>
      <w:r w:rsidRPr="00E27C75">
        <w:rPr>
          <w:sz w:val="22"/>
        </w:rPr>
        <w:t>.</w:t>
      </w:r>
    </w:p>
    <w:p w14:paraId="42A146E7" w14:textId="77777777" w:rsidR="00724367" w:rsidRDefault="006D1800" w:rsidP="00724367">
      <w:pPr>
        <w:keepNext/>
      </w:pPr>
      <w:r>
        <w:rPr>
          <w:noProof/>
          <w:lang w:eastAsia="en-AU"/>
        </w:rPr>
        <w:drawing>
          <wp:inline distT="0" distB="0" distL="0" distR="0" wp14:anchorId="68A31996" wp14:editId="4C64A29F">
            <wp:extent cx="6194488" cy="3490622"/>
            <wp:effectExtent l="0" t="0" r="0" b="0"/>
            <wp:docPr id="9" name="Picture 9" descr="Pie chart with a sectoral breakdown of safeguard facility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e chart with a sectoral breakdown of safeguard facility emissions"/>
                    <pic:cNvPicPr/>
                  </pic:nvPicPr>
                  <pic:blipFill>
                    <a:blip r:embed="rId23"/>
                    <a:stretch>
                      <a:fillRect/>
                    </a:stretch>
                  </pic:blipFill>
                  <pic:spPr>
                    <a:xfrm>
                      <a:off x="0" y="0"/>
                      <a:ext cx="6196469" cy="3491738"/>
                    </a:xfrm>
                    <a:prstGeom prst="rect">
                      <a:avLst/>
                    </a:prstGeom>
                  </pic:spPr>
                </pic:pic>
              </a:graphicData>
            </a:graphic>
          </wp:inline>
        </w:drawing>
      </w:r>
    </w:p>
    <w:p w14:paraId="4029E48F" w14:textId="61DE41F5" w:rsidR="004A108C" w:rsidRDefault="00724367" w:rsidP="00724367">
      <w:pPr>
        <w:pStyle w:val="Caption"/>
      </w:pPr>
      <w:bookmarkStart w:id="118" w:name="_Ref118203786"/>
      <w:r>
        <w:t xml:space="preserve">Figure </w:t>
      </w:r>
      <w:r w:rsidR="00E37705">
        <w:rPr>
          <w:noProof/>
        </w:rPr>
        <w:fldChar w:fldCharType="begin"/>
      </w:r>
      <w:r w:rsidR="00E37705">
        <w:rPr>
          <w:noProof/>
        </w:rPr>
        <w:instrText xml:space="preserve"> SEQ Figure \* ARABIC </w:instrText>
      </w:r>
      <w:r w:rsidR="00E37705">
        <w:rPr>
          <w:noProof/>
        </w:rPr>
        <w:fldChar w:fldCharType="separate"/>
      </w:r>
      <w:r w:rsidR="00A811DA">
        <w:rPr>
          <w:noProof/>
        </w:rPr>
        <w:t>1</w:t>
      </w:r>
      <w:r w:rsidR="00E37705">
        <w:rPr>
          <w:noProof/>
        </w:rPr>
        <w:fldChar w:fldCharType="end"/>
      </w:r>
      <w:bookmarkEnd w:id="118"/>
      <w:r>
        <w:t xml:space="preserve"> Safeguard facility emissions – sectoral breakdown</w:t>
      </w:r>
      <w:r w:rsidR="00771785">
        <w:rPr>
          <w:rStyle w:val="FootnoteReference"/>
        </w:rPr>
        <w:footnoteReference w:id="5"/>
      </w:r>
    </w:p>
    <w:p w14:paraId="22321738" w14:textId="77777777" w:rsidR="003C7CEC" w:rsidRPr="003C7CEC" w:rsidRDefault="003C7CEC" w:rsidP="003C7CEC">
      <w:pPr>
        <w:rPr>
          <w:sz w:val="22"/>
          <w:szCs w:val="22"/>
        </w:rPr>
      </w:pPr>
      <w:r w:rsidRPr="003C7CEC">
        <w:rPr>
          <w:sz w:val="22"/>
          <w:szCs w:val="22"/>
        </w:rPr>
        <w:t>Only emissions that are produced on-site at a facility count towards the facility’s compliance position. These are called ‘Scope 1 emissions’. Emissions that are produced off-site are not covered by the Safeguard Mechanism. These can include emissions from generating the electricity the facility buys from the grid (‘Scope 2 emissions’) or emissions the facility’s customers produce when using its products (‘Scope 3 emissions’).</w:t>
      </w:r>
    </w:p>
    <w:p w14:paraId="76B18DF1" w14:textId="77777777" w:rsidR="003C7CEC" w:rsidRPr="003C7CEC" w:rsidRDefault="003C7CEC" w:rsidP="003C7CEC">
      <w:pPr>
        <w:rPr>
          <w:sz w:val="22"/>
        </w:rPr>
      </w:pPr>
      <w:r w:rsidRPr="003C7CEC">
        <w:rPr>
          <w:sz w:val="22"/>
          <w:szCs w:val="22"/>
        </w:rPr>
        <w:t>Around 215 large industrial facilities are covered by the Safeguard Mechanism</w:t>
      </w:r>
      <w:r w:rsidR="001941F5">
        <w:rPr>
          <w:sz w:val="22"/>
          <w:szCs w:val="22"/>
        </w:rPr>
        <w:t>.</w:t>
      </w:r>
      <w:r>
        <w:rPr>
          <w:rStyle w:val="FootnoteReference"/>
          <w:sz w:val="22"/>
          <w:szCs w:val="22"/>
        </w:rPr>
        <w:footnoteReference w:id="6"/>
      </w:r>
      <w:r w:rsidRPr="003C7CEC">
        <w:rPr>
          <w:sz w:val="24"/>
          <w:szCs w:val="22"/>
        </w:rPr>
        <w:t xml:space="preserve"> </w:t>
      </w:r>
      <w:r w:rsidRPr="003C7CEC">
        <w:rPr>
          <w:sz w:val="22"/>
        </w:rPr>
        <w:t xml:space="preserve">Each year, every large facility within the Mechanism needs to prove that their </w:t>
      </w:r>
      <w:r w:rsidR="005E6A90">
        <w:rPr>
          <w:sz w:val="22"/>
        </w:rPr>
        <w:t xml:space="preserve">net </w:t>
      </w:r>
      <w:r w:rsidRPr="003C7CEC">
        <w:rPr>
          <w:sz w:val="22"/>
        </w:rPr>
        <w:t xml:space="preserve">emissions for that year are below their baseline. Each facility reports their emissions to the Clean Energy Regulator, which publishes the results on its website. </w:t>
      </w:r>
    </w:p>
    <w:p w14:paraId="149F4526" w14:textId="77777777" w:rsidR="003E72EA" w:rsidRDefault="0033466E" w:rsidP="00DA1B55">
      <w:pPr>
        <w:pStyle w:val="Heading2"/>
      </w:pPr>
      <w:bookmarkStart w:id="119" w:name="_Toc118750361"/>
      <w:bookmarkStart w:id="120" w:name="_Toc118754637"/>
      <w:bookmarkStart w:id="121" w:name="_Toc118813928"/>
      <w:bookmarkStart w:id="122" w:name="_Toc119327137"/>
      <w:bookmarkStart w:id="123" w:name="_Toc119360643"/>
      <w:bookmarkStart w:id="124" w:name="_Toc132807533"/>
      <w:r>
        <w:lastRenderedPageBreak/>
        <w:t>Coverage threshold</w:t>
      </w:r>
      <w:bookmarkEnd w:id="119"/>
      <w:bookmarkEnd w:id="120"/>
      <w:bookmarkEnd w:id="121"/>
      <w:bookmarkEnd w:id="122"/>
      <w:bookmarkEnd w:id="123"/>
      <w:bookmarkEnd w:id="124"/>
    </w:p>
    <w:p w14:paraId="3D2C7A2D" w14:textId="77777777" w:rsidR="00E23D9C" w:rsidRDefault="003E72EA" w:rsidP="003C7CEC">
      <w:pPr>
        <w:rPr>
          <w:sz w:val="22"/>
        </w:rPr>
      </w:pPr>
      <w:r>
        <w:rPr>
          <w:sz w:val="22"/>
        </w:rPr>
        <w:t xml:space="preserve">The Government confirmed the current coverage threshold of </w:t>
      </w:r>
      <w:r w:rsidRPr="003E72EA">
        <w:rPr>
          <w:sz w:val="22"/>
        </w:rPr>
        <w:t xml:space="preserve">100,000 tonnes of Scope 1 (direct) </w:t>
      </w:r>
      <w:r w:rsidR="00AC0425">
        <w:rPr>
          <w:sz w:val="22"/>
        </w:rPr>
        <w:t>carbon dioxide equivalent (</w:t>
      </w:r>
      <w:r w:rsidRPr="003E72EA">
        <w:rPr>
          <w:sz w:val="22"/>
        </w:rPr>
        <w:t>CO</w:t>
      </w:r>
      <w:r w:rsidRPr="003E72EA">
        <w:rPr>
          <w:sz w:val="22"/>
          <w:vertAlign w:val="subscript"/>
        </w:rPr>
        <w:t>2</w:t>
      </w:r>
      <w:r w:rsidRPr="003E72EA">
        <w:rPr>
          <w:sz w:val="22"/>
        </w:rPr>
        <w:noBreakHyphen/>
        <w:t>e</w:t>
      </w:r>
      <w:r w:rsidR="00AC0425">
        <w:rPr>
          <w:sz w:val="22"/>
        </w:rPr>
        <w:t>)</w:t>
      </w:r>
      <w:r w:rsidRPr="003E72EA" w:rsidDel="00AC0425">
        <w:rPr>
          <w:sz w:val="22"/>
        </w:rPr>
        <w:t xml:space="preserve"> </w:t>
      </w:r>
      <w:r w:rsidRPr="003E72EA">
        <w:rPr>
          <w:sz w:val="22"/>
        </w:rPr>
        <w:t>emissions each year will remain in place under the reformed scheme</w:t>
      </w:r>
      <w:r>
        <w:rPr>
          <w:sz w:val="22"/>
        </w:rPr>
        <w:t xml:space="preserve">. </w:t>
      </w:r>
      <w:proofErr w:type="spellStart"/>
      <w:r>
        <w:rPr>
          <w:sz w:val="22"/>
        </w:rPr>
        <w:t>DCCEEW</w:t>
      </w:r>
      <w:proofErr w:type="spellEnd"/>
      <w:r>
        <w:rPr>
          <w:sz w:val="22"/>
        </w:rPr>
        <w:t xml:space="preserve"> analysis shows that a lower coverage threshold – of 25,000 tonnes or 50,000 tonnes – would change the nature of facilities covered by the scheme without covering significantly more emissions. This would increase the administrative and regulatory burden by requiring many smaller businesses to become compliant, which would include the submission of new reports and applications to the Clean Energy Regulator. New production variables and emissions intensity values would need to be defined for </w:t>
      </w:r>
      <w:r w:rsidR="001A0784">
        <w:rPr>
          <w:sz w:val="22"/>
        </w:rPr>
        <w:t>several industrial sectors not yet covered under the Safeguard.</w:t>
      </w:r>
    </w:p>
    <w:p w14:paraId="6E57F31A" w14:textId="77777777" w:rsidR="00E23D9C" w:rsidRDefault="00E23D9C" w:rsidP="003C7CEC">
      <w:pPr>
        <w:rPr>
          <w:sz w:val="22"/>
        </w:rPr>
      </w:pPr>
      <w:r>
        <w:rPr>
          <w:sz w:val="22"/>
        </w:rPr>
        <w:t xml:space="preserve">Using emissions data reported for 2020-2021 under </w:t>
      </w:r>
      <w:r w:rsidR="004566CB">
        <w:rPr>
          <w:sz w:val="22"/>
        </w:rPr>
        <w:t xml:space="preserve">the </w:t>
      </w:r>
      <w:proofErr w:type="spellStart"/>
      <w:r>
        <w:rPr>
          <w:sz w:val="22"/>
        </w:rPr>
        <w:t>NGER</w:t>
      </w:r>
      <w:proofErr w:type="spellEnd"/>
      <w:r>
        <w:rPr>
          <w:sz w:val="22"/>
        </w:rPr>
        <w:t xml:space="preserve"> </w:t>
      </w:r>
      <w:r w:rsidR="004566CB">
        <w:rPr>
          <w:sz w:val="22"/>
        </w:rPr>
        <w:t xml:space="preserve">scheme </w:t>
      </w:r>
      <w:r>
        <w:rPr>
          <w:sz w:val="22"/>
        </w:rPr>
        <w:t xml:space="preserve">and the </w:t>
      </w:r>
      <w:r w:rsidRPr="00E23D9C">
        <w:rPr>
          <w:sz w:val="22"/>
        </w:rPr>
        <w:t>National Greenhouse Gas Inventory</w:t>
      </w:r>
      <w:r>
        <w:rPr>
          <w:sz w:val="22"/>
        </w:rPr>
        <w:t>:</w:t>
      </w:r>
    </w:p>
    <w:p w14:paraId="3F1615B8" w14:textId="77777777" w:rsidR="00E23D9C" w:rsidRPr="00D9504F" w:rsidRDefault="00E23D9C" w:rsidP="00DA1B55">
      <w:pPr>
        <w:pStyle w:val="ListParagraph"/>
        <w:numPr>
          <w:ilvl w:val="0"/>
          <w:numId w:val="65"/>
        </w:numPr>
        <w:rPr>
          <w:sz w:val="22"/>
        </w:rPr>
      </w:pPr>
      <w:r w:rsidRPr="00D9504F">
        <w:rPr>
          <w:sz w:val="22"/>
        </w:rPr>
        <w:t>A</w:t>
      </w:r>
      <w:r w:rsidR="003E72EA" w:rsidRPr="00D9504F">
        <w:rPr>
          <w:sz w:val="22"/>
        </w:rPr>
        <w:t xml:space="preserve">t </w:t>
      </w:r>
      <w:r w:rsidR="001A0784" w:rsidRPr="00D9504F">
        <w:rPr>
          <w:sz w:val="22"/>
        </w:rPr>
        <w:t xml:space="preserve">a coverage threshold of </w:t>
      </w:r>
      <w:r w:rsidR="003E72EA" w:rsidRPr="00D9504F">
        <w:rPr>
          <w:sz w:val="22"/>
        </w:rPr>
        <w:t xml:space="preserve">50,000 tonnes, </w:t>
      </w:r>
      <w:r w:rsidR="00D9504F">
        <w:rPr>
          <w:sz w:val="22"/>
        </w:rPr>
        <w:t xml:space="preserve">around </w:t>
      </w:r>
      <w:r w:rsidR="00FB7EEB" w:rsidRPr="00D9504F">
        <w:rPr>
          <w:sz w:val="22"/>
        </w:rPr>
        <w:t>11</w:t>
      </w:r>
      <w:r w:rsidR="00D9504F">
        <w:rPr>
          <w:sz w:val="22"/>
        </w:rPr>
        <w:t>0</w:t>
      </w:r>
      <w:r w:rsidR="00FB7EEB" w:rsidRPr="00D9504F">
        <w:rPr>
          <w:sz w:val="22"/>
        </w:rPr>
        <w:t xml:space="preserve"> </w:t>
      </w:r>
      <w:r w:rsidR="003E72EA" w:rsidRPr="00D9504F">
        <w:rPr>
          <w:sz w:val="22"/>
        </w:rPr>
        <w:t xml:space="preserve">new facilities </w:t>
      </w:r>
      <w:r w:rsidR="007A398A" w:rsidRPr="00D9504F">
        <w:rPr>
          <w:sz w:val="22"/>
        </w:rPr>
        <w:t xml:space="preserve">would be covered, </w:t>
      </w:r>
      <w:r w:rsidRPr="00D9504F">
        <w:rPr>
          <w:sz w:val="22"/>
        </w:rPr>
        <w:t xml:space="preserve">covering </w:t>
      </w:r>
      <w:r w:rsidR="005864E8" w:rsidRPr="00D9504F">
        <w:rPr>
          <w:sz w:val="22"/>
        </w:rPr>
        <w:t xml:space="preserve">only </w:t>
      </w:r>
      <w:r w:rsidRPr="00D9504F">
        <w:rPr>
          <w:sz w:val="22"/>
        </w:rPr>
        <w:t xml:space="preserve">an additional </w:t>
      </w:r>
      <w:r w:rsidR="00FB7EEB" w:rsidRPr="00D9504F">
        <w:rPr>
          <w:sz w:val="22"/>
        </w:rPr>
        <w:t xml:space="preserve">1.6 </w:t>
      </w:r>
      <w:r w:rsidR="004901E0">
        <w:rPr>
          <w:sz w:val="22"/>
        </w:rPr>
        <w:t>per cent</w:t>
      </w:r>
      <w:r w:rsidR="007A398A" w:rsidRPr="00D9504F">
        <w:rPr>
          <w:sz w:val="22"/>
        </w:rPr>
        <w:t xml:space="preserve"> </w:t>
      </w:r>
      <w:r w:rsidRPr="00D9504F">
        <w:rPr>
          <w:sz w:val="22"/>
        </w:rPr>
        <w:t xml:space="preserve">of Australia’s national emissions. </w:t>
      </w:r>
    </w:p>
    <w:p w14:paraId="4D4C15A0" w14:textId="77777777" w:rsidR="00231899" w:rsidRPr="00DA1B55" w:rsidRDefault="001A0784" w:rsidP="00DA1B55">
      <w:pPr>
        <w:pStyle w:val="ListParagraph"/>
        <w:numPr>
          <w:ilvl w:val="0"/>
          <w:numId w:val="65"/>
        </w:numPr>
        <w:rPr>
          <w:sz w:val="22"/>
        </w:rPr>
      </w:pPr>
      <w:r w:rsidRPr="00D9504F">
        <w:rPr>
          <w:sz w:val="22"/>
        </w:rPr>
        <w:t xml:space="preserve">If </w:t>
      </w:r>
      <w:r w:rsidR="00D9504F">
        <w:rPr>
          <w:sz w:val="22"/>
        </w:rPr>
        <w:t>the</w:t>
      </w:r>
      <w:r>
        <w:rPr>
          <w:sz w:val="22"/>
        </w:rPr>
        <w:t xml:space="preserve"> </w:t>
      </w:r>
      <w:r w:rsidRPr="00D9504F">
        <w:rPr>
          <w:sz w:val="22"/>
        </w:rPr>
        <w:t>coverage threshold is lowered to</w:t>
      </w:r>
      <w:r w:rsidR="007A398A" w:rsidRPr="00D9504F">
        <w:rPr>
          <w:sz w:val="22"/>
        </w:rPr>
        <w:t xml:space="preserve"> 25,000 tonnes, </w:t>
      </w:r>
      <w:r w:rsidR="00D9504F">
        <w:rPr>
          <w:sz w:val="22"/>
        </w:rPr>
        <w:t xml:space="preserve">a total of around </w:t>
      </w:r>
      <w:r w:rsidR="00D84FC4" w:rsidRPr="00D9504F">
        <w:rPr>
          <w:sz w:val="22"/>
        </w:rPr>
        <w:t>25</w:t>
      </w:r>
      <w:r w:rsidR="00D9504F">
        <w:rPr>
          <w:sz w:val="22"/>
        </w:rPr>
        <w:t>0</w:t>
      </w:r>
      <w:r w:rsidR="00D84FC4" w:rsidRPr="00D9504F">
        <w:rPr>
          <w:sz w:val="22"/>
        </w:rPr>
        <w:t xml:space="preserve"> </w:t>
      </w:r>
      <w:r w:rsidR="00FB7EEB" w:rsidRPr="00D9504F">
        <w:rPr>
          <w:sz w:val="22"/>
        </w:rPr>
        <w:t xml:space="preserve">new </w:t>
      </w:r>
      <w:r w:rsidR="007A398A" w:rsidRPr="00D9504F">
        <w:rPr>
          <w:sz w:val="22"/>
        </w:rPr>
        <w:t xml:space="preserve">facilities would be covered, </w:t>
      </w:r>
      <w:r w:rsidR="005864E8" w:rsidRPr="00D9504F">
        <w:rPr>
          <w:sz w:val="22"/>
        </w:rPr>
        <w:t xml:space="preserve">covering only an additional </w:t>
      </w:r>
      <w:r w:rsidR="00D84FC4" w:rsidRPr="00D9504F">
        <w:rPr>
          <w:sz w:val="22"/>
        </w:rPr>
        <w:t xml:space="preserve">3 </w:t>
      </w:r>
      <w:r w:rsidR="004901E0">
        <w:rPr>
          <w:sz w:val="22"/>
        </w:rPr>
        <w:t>per cent</w:t>
      </w:r>
      <w:r w:rsidR="007A398A" w:rsidRPr="00D9504F">
        <w:rPr>
          <w:sz w:val="22"/>
        </w:rPr>
        <w:t xml:space="preserve"> </w:t>
      </w:r>
      <w:r w:rsidR="005864E8" w:rsidRPr="00D9504F">
        <w:rPr>
          <w:sz w:val="22"/>
        </w:rPr>
        <w:t>of national emission</w:t>
      </w:r>
      <w:r w:rsidR="007A398A" w:rsidRPr="00D9504F">
        <w:rPr>
          <w:sz w:val="22"/>
        </w:rPr>
        <w:t>s</w:t>
      </w:r>
      <w:r w:rsidR="004566CB" w:rsidRPr="00D9504F">
        <w:rPr>
          <w:sz w:val="22"/>
        </w:rPr>
        <w:t>.</w:t>
      </w:r>
      <w:r w:rsidR="007A398A">
        <w:rPr>
          <w:rStyle w:val="FootnoteReference"/>
          <w:sz w:val="22"/>
        </w:rPr>
        <w:footnoteReference w:id="7"/>
      </w:r>
    </w:p>
    <w:p w14:paraId="7AE67689" w14:textId="77777777" w:rsidR="00B16F54" w:rsidRPr="00DA1B55" w:rsidRDefault="00B16F54" w:rsidP="00DA1B55">
      <w:pPr>
        <w:pStyle w:val="ListParagraph"/>
        <w:numPr>
          <w:ilvl w:val="0"/>
          <w:numId w:val="65"/>
        </w:numPr>
        <w:rPr>
          <w:sz w:val="22"/>
        </w:rPr>
      </w:pPr>
      <w:r>
        <w:rPr>
          <w:sz w:val="22"/>
        </w:rPr>
        <w:t>This compares with the 100,000 tonne threshold, which covered 136.9 million tonnes of CO</w:t>
      </w:r>
      <w:r w:rsidRPr="00051D78">
        <w:rPr>
          <w:sz w:val="22"/>
          <w:vertAlign w:val="subscript"/>
        </w:rPr>
        <w:t>2</w:t>
      </w:r>
      <w:r>
        <w:rPr>
          <w:sz w:val="22"/>
        </w:rPr>
        <w:t xml:space="preserve">-e in 2020-21 from 212 facilities. </w:t>
      </w:r>
    </w:p>
    <w:p w14:paraId="1C9B71D9" w14:textId="74669DDF" w:rsidR="009C3F32" w:rsidRPr="0097473F" w:rsidRDefault="00F66F61" w:rsidP="00F251A6">
      <w:pPr>
        <w:ind w:right="720"/>
        <w:rPr>
          <w:i/>
          <w:sz w:val="22"/>
        </w:rPr>
      </w:pPr>
      <w:r w:rsidRPr="00F66F61" w:rsidDel="003263F0">
        <w:rPr>
          <w:sz w:val="22"/>
        </w:rPr>
        <w:t xml:space="preserve">The Safeguard Mechanism is part of the </w:t>
      </w:r>
      <w:r w:rsidRPr="00F66F61" w:rsidDel="003263F0">
        <w:rPr>
          <w:i/>
          <w:sz w:val="22"/>
        </w:rPr>
        <w:t>National Greenhouse and Energy Reporting Act 2007</w:t>
      </w:r>
      <w:r w:rsidRPr="00F66F61" w:rsidDel="003263F0">
        <w:rPr>
          <w:sz w:val="22"/>
        </w:rPr>
        <w:t>.</w:t>
      </w:r>
      <w:r w:rsidRPr="00F66F61" w:rsidDel="003263F0">
        <w:rPr>
          <w:rStyle w:val="FootnoteReference"/>
          <w:sz w:val="22"/>
        </w:rPr>
        <w:footnoteReference w:id="8"/>
      </w:r>
      <w:r w:rsidRPr="00F66F61" w:rsidDel="003263F0">
        <w:rPr>
          <w:sz w:val="22"/>
        </w:rPr>
        <w:t xml:space="preserve"> Together with the emissions reporting obligations under the Act, the Safeguard Mechanism provides a framework for Australia’s largest emitters to measure, report and manage their emissions. The Safeguard Mechanism places a legislated obligation on Australia’s largest greenhouse gas emitters </w:t>
      </w:r>
      <w:r w:rsidRPr="00F66F61" w:rsidDel="003263F0">
        <w:rPr>
          <w:rFonts w:cs="Arial"/>
          <w:sz w:val="22"/>
        </w:rPr>
        <w:t xml:space="preserve">to keep net emissions below their emissions limit (or baseline). This obligation implements the </w:t>
      </w:r>
      <w:r w:rsidR="009C3F32">
        <w:rPr>
          <w:rFonts w:cs="Arial"/>
          <w:sz w:val="22"/>
        </w:rPr>
        <w:t xml:space="preserve">first outcome in the </w:t>
      </w:r>
      <w:r w:rsidRPr="00F66F61" w:rsidDel="003263F0">
        <w:rPr>
          <w:rFonts w:cs="Arial"/>
          <w:sz w:val="22"/>
        </w:rPr>
        <w:t xml:space="preserve">second object of the Act  </w:t>
      </w:r>
      <w:r w:rsidR="009C3F32" w:rsidRPr="0097473F">
        <w:rPr>
          <w:i/>
          <w:sz w:val="22"/>
        </w:rPr>
        <w:t>To contribute to the achievement of Australia’s greenhouse gas emissions reduction targets by ensuring that each of the following outcomes (the safeguard outcomes) are achieved:</w:t>
      </w:r>
    </w:p>
    <w:p w14:paraId="1C306D97" w14:textId="538CAD08" w:rsidR="00F66F61" w:rsidRPr="00F66F61" w:rsidDel="003263F0" w:rsidRDefault="009C3F32" w:rsidP="00C537F6">
      <w:pPr>
        <w:spacing w:line="281" w:lineRule="auto"/>
        <w:ind w:left="720"/>
        <w:rPr>
          <w:rFonts w:ascii="Times New Roman" w:hAnsi="Times New Roman"/>
          <w:i/>
          <w:sz w:val="28"/>
          <w:szCs w:val="24"/>
          <w:lang w:eastAsia="en-AU"/>
        </w:rPr>
      </w:pPr>
      <w:r w:rsidRPr="0097473F">
        <w:rPr>
          <w:i/>
          <w:sz w:val="22"/>
        </w:rPr>
        <w:t>(a)</w:t>
      </w:r>
      <w:r w:rsidRPr="0097473F">
        <w:rPr>
          <w:i/>
          <w:sz w:val="22"/>
        </w:rPr>
        <w:tab/>
        <w:t>net covered emissions from the operation of a designated large facility do not exceed the baseline applicable to the facility</w:t>
      </w:r>
      <w:r w:rsidR="00BA0018">
        <w:rPr>
          <w:i/>
          <w:sz w:val="22"/>
        </w:rPr>
        <w:t>.</w:t>
      </w:r>
      <w:r w:rsidRPr="00F66F61" w:rsidDel="003263F0">
        <w:rPr>
          <w:i/>
          <w:sz w:val="22"/>
        </w:rPr>
        <w:t xml:space="preserve"> </w:t>
      </w:r>
    </w:p>
    <w:p w14:paraId="08E8F0A2" w14:textId="18D1D091" w:rsidR="00F66F61" w:rsidRPr="003C7CEC" w:rsidDel="003263F0" w:rsidRDefault="00F66F61" w:rsidP="00F66F61">
      <w:pPr>
        <w:rPr>
          <w:sz w:val="22"/>
        </w:rPr>
      </w:pPr>
      <w:r w:rsidRPr="003C7CEC" w:rsidDel="003263F0">
        <w:rPr>
          <w:sz w:val="22"/>
        </w:rPr>
        <w:t xml:space="preserve">Any facility that emits more greenhouse gases than allowed by their baseline </w:t>
      </w:r>
      <w:r w:rsidR="00EB5C4D">
        <w:rPr>
          <w:sz w:val="22"/>
        </w:rPr>
        <w:t>must</w:t>
      </w:r>
      <w:r w:rsidRPr="003C7CEC" w:rsidDel="003263F0">
        <w:rPr>
          <w:sz w:val="22"/>
        </w:rPr>
        <w:t xml:space="preserve"> take action to reduce their emissions. This can include purchasing Australian Carbon Credit Units (</w:t>
      </w:r>
      <w:proofErr w:type="spellStart"/>
      <w:r w:rsidRPr="003C7CEC" w:rsidDel="003263F0">
        <w:rPr>
          <w:sz w:val="22"/>
        </w:rPr>
        <w:t>ACCUs</w:t>
      </w:r>
      <w:proofErr w:type="spellEnd"/>
      <w:r w:rsidRPr="003C7CEC" w:rsidDel="003263F0">
        <w:rPr>
          <w:sz w:val="22"/>
        </w:rPr>
        <w:t xml:space="preserve">) and </w:t>
      </w:r>
      <w:r w:rsidR="00EE201F" w:rsidDel="003263F0">
        <w:rPr>
          <w:sz w:val="22"/>
        </w:rPr>
        <w:t>surrendering</w:t>
      </w:r>
      <w:r w:rsidR="00EE201F" w:rsidRPr="003C7CEC" w:rsidDel="003263F0">
        <w:rPr>
          <w:sz w:val="22"/>
        </w:rPr>
        <w:t xml:space="preserve"> </w:t>
      </w:r>
      <w:r w:rsidRPr="003C7CEC" w:rsidDel="003263F0">
        <w:rPr>
          <w:sz w:val="22"/>
        </w:rPr>
        <w:t xml:space="preserve">them to the Government. Each </w:t>
      </w:r>
      <w:proofErr w:type="spellStart"/>
      <w:r w:rsidRPr="003C7CEC" w:rsidDel="003263F0">
        <w:rPr>
          <w:sz w:val="22"/>
        </w:rPr>
        <w:t>ACCU</w:t>
      </w:r>
      <w:proofErr w:type="spellEnd"/>
      <w:r w:rsidRPr="003C7CEC" w:rsidDel="003263F0">
        <w:rPr>
          <w:sz w:val="22"/>
        </w:rPr>
        <w:t xml:space="preserve"> represents one tonne of CO</w:t>
      </w:r>
      <w:r w:rsidRPr="003C7CEC" w:rsidDel="003263F0">
        <w:rPr>
          <w:sz w:val="22"/>
          <w:vertAlign w:val="subscript"/>
        </w:rPr>
        <w:t>2</w:t>
      </w:r>
      <w:r w:rsidRPr="003C7CEC" w:rsidDel="003263F0">
        <w:rPr>
          <w:sz w:val="22"/>
        </w:rPr>
        <w:t>-e that has been stored or avoided.</w:t>
      </w:r>
      <w:r w:rsidRPr="003C7CEC" w:rsidDel="003263F0">
        <w:rPr>
          <w:rStyle w:val="FootnoteReference"/>
          <w:sz w:val="22"/>
        </w:rPr>
        <w:footnoteReference w:id="9"/>
      </w:r>
      <w:r w:rsidR="00070C40" w:rsidRPr="00070C40">
        <w:rPr>
          <w:sz w:val="22"/>
          <w:vertAlign w:val="superscript"/>
        </w:rPr>
        <w:t>,</w:t>
      </w:r>
      <w:r w:rsidR="00191100">
        <w:rPr>
          <w:rStyle w:val="FootnoteReference"/>
          <w:sz w:val="22"/>
        </w:rPr>
        <w:footnoteReference w:id="10"/>
      </w:r>
      <w:r w:rsidRPr="003C7CEC" w:rsidDel="003263F0">
        <w:rPr>
          <w:sz w:val="22"/>
        </w:rPr>
        <w:t xml:space="preserve"> </w:t>
      </w:r>
    </w:p>
    <w:p w14:paraId="7B73D8CC" w14:textId="77777777" w:rsidR="00716A5F" w:rsidRDefault="00716A5F" w:rsidP="00B8443C">
      <w:pPr>
        <w:pStyle w:val="Heading1"/>
      </w:pPr>
      <w:bookmarkStart w:id="125" w:name="_Toc118750362"/>
      <w:bookmarkStart w:id="126" w:name="_Toc118754638"/>
      <w:bookmarkStart w:id="127" w:name="_Toc118813929"/>
      <w:bookmarkStart w:id="128" w:name="_Toc119327139"/>
      <w:bookmarkStart w:id="129" w:name="_Toc119360644"/>
      <w:bookmarkStart w:id="130" w:name="_Toc132807534"/>
      <w:r>
        <w:lastRenderedPageBreak/>
        <w:t>1. What is the problem you are trying to solve?</w:t>
      </w:r>
      <w:bookmarkEnd w:id="125"/>
      <w:bookmarkEnd w:id="126"/>
      <w:bookmarkEnd w:id="127"/>
      <w:bookmarkEnd w:id="128"/>
      <w:bookmarkEnd w:id="129"/>
      <w:bookmarkEnd w:id="130"/>
    </w:p>
    <w:p w14:paraId="26510F42" w14:textId="77777777" w:rsidR="002F2EAE" w:rsidRDefault="00041624" w:rsidP="00D9504F">
      <w:pPr>
        <w:pStyle w:val="Heading2"/>
      </w:pPr>
      <w:bookmarkStart w:id="131" w:name="_Toc118750363"/>
      <w:bookmarkStart w:id="132" w:name="_Toc118754639"/>
      <w:bookmarkStart w:id="133" w:name="_Toc118813930"/>
      <w:bookmarkStart w:id="134" w:name="_Toc119327140"/>
      <w:bookmarkStart w:id="135" w:name="_Toc119360645"/>
      <w:bookmarkStart w:id="136" w:name="_Toc132807535"/>
      <w:r>
        <w:t>The problem</w:t>
      </w:r>
      <w:bookmarkEnd w:id="131"/>
      <w:bookmarkEnd w:id="132"/>
      <w:bookmarkEnd w:id="133"/>
      <w:bookmarkEnd w:id="134"/>
      <w:bookmarkEnd w:id="135"/>
      <w:bookmarkEnd w:id="136"/>
    </w:p>
    <w:p w14:paraId="0EC32847" w14:textId="3B87BA3D" w:rsidR="00912696" w:rsidRDefault="00912696" w:rsidP="00FE673D">
      <w:pPr>
        <w:pStyle w:val="BodyText"/>
        <w:rPr>
          <w:sz w:val="22"/>
        </w:rPr>
      </w:pPr>
      <w:r>
        <w:rPr>
          <w:sz w:val="22"/>
        </w:rPr>
        <w:t>Safeguard covered facilities account for about 28 per cent of Australia’s emissions (</w:t>
      </w:r>
      <w:r w:rsidR="009825DB">
        <w:rPr>
          <w:sz w:val="22"/>
        </w:rPr>
        <w:t>136.9 Mt CO</w:t>
      </w:r>
      <w:r w:rsidR="009825DB" w:rsidRPr="00051D78">
        <w:rPr>
          <w:sz w:val="22"/>
          <w:vertAlign w:val="subscript"/>
        </w:rPr>
        <w:t>2</w:t>
      </w:r>
      <w:r w:rsidR="009825DB">
        <w:rPr>
          <w:sz w:val="22"/>
        </w:rPr>
        <w:t>-e</w:t>
      </w:r>
      <w:r>
        <w:rPr>
          <w:sz w:val="22"/>
        </w:rPr>
        <w:t xml:space="preserve"> in </w:t>
      </w:r>
      <w:r w:rsidR="000D00F1">
        <w:rPr>
          <w:sz w:val="22"/>
        </w:rPr>
        <w:t>2020-</w:t>
      </w:r>
      <w:r w:rsidR="009825DB">
        <w:rPr>
          <w:sz w:val="22"/>
        </w:rPr>
        <w:t>21</w:t>
      </w:r>
      <w:r w:rsidR="00A67A2F">
        <w:rPr>
          <w:sz w:val="22"/>
        </w:rPr>
        <w:t>) and</w:t>
      </w:r>
      <w:r>
        <w:rPr>
          <w:sz w:val="22"/>
        </w:rPr>
        <w:t xml:space="preserve"> are </w:t>
      </w:r>
      <w:r w:rsidR="009825DB">
        <w:rPr>
          <w:sz w:val="22"/>
        </w:rPr>
        <w:t>projected to grow at an annual average growth rate of 0.7</w:t>
      </w:r>
      <w:r w:rsidR="00AF6661">
        <w:rPr>
          <w:sz w:val="22"/>
        </w:rPr>
        <w:t xml:space="preserve"> </w:t>
      </w:r>
      <w:r w:rsidR="004901E0">
        <w:rPr>
          <w:sz w:val="22"/>
        </w:rPr>
        <w:t>per cent</w:t>
      </w:r>
      <w:r w:rsidR="009825DB">
        <w:rPr>
          <w:sz w:val="22"/>
        </w:rPr>
        <w:t xml:space="preserve"> between </w:t>
      </w:r>
      <w:r w:rsidR="000D00F1">
        <w:rPr>
          <w:sz w:val="22"/>
        </w:rPr>
        <w:t xml:space="preserve">2020-21 </w:t>
      </w:r>
      <w:r w:rsidR="004901E0">
        <w:rPr>
          <w:sz w:val="22"/>
        </w:rPr>
        <w:t>and</w:t>
      </w:r>
      <w:r w:rsidR="000D00F1">
        <w:rPr>
          <w:sz w:val="22"/>
        </w:rPr>
        <w:t xml:space="preserve"> 2029</w:t>
      </w:r>
      <w:r w:rsidR="009825DB">
        <w:rPr>
          <w:sz w:val="22"/>
        </w:rPr>
        <w:t>-30</w:t>
      </w:r>
      <w:r w:rsidR="008203AF">
        <w:rPr>
          <w:sz w:val="22"/>
        </w:rPr>
        <w:t xml:space="preserve"> in the absence of the reforms</w:t>
      </w:r>
      <w:r w:rsidR="009825DB">
        <w:rPr>
          <w:sz w:val="22"/>
        </w:rPr>
        <w:t>.</w:t>
      </w:r>
      <w:r w:rsidR="00C77CA4">
        <w:rPr>
          <w:rStyle w:val="FootnoteReference"/>
          <w:sz w:val="22"/>
        </w:rPr>
        <w:footnoteReference w:id="11"/>
      </w:r>
    </w:p>
    <w:p w14:paraId="29C29B60" w14:textId="77777777" w:rsidR="00744A4B" w:rsidRDefault="001F78F1" w:rsidP="00FE673D">
      <w:pPr>
        <w:pStyle w:val="BodyText"/>
        <w:rPr>
          <w:sz w:val="22"/>
        </w:rPr>
      </w:pPr>
      <w:r w:rsidRPr="001F78F1">
        <w:rPr>
          <w:sz w:val="22"/>
        </w:rPr>
        <w:t xml:space="preserve">Emissions from </w:t>
      </w:r>
      <w:r>
        <w:rPr>
          <w:sz w:val="22"/>
        </w:rPr>
        <w:t xml:space="preserve">Safeguard covered facilities must reduce for Australia to meet </w:t>
      </w:r>
      <w:r w:rsidR="002F745E">
        <w:rPr>
          <w:sz w:val="22"/>
        </w:rPr>
        <w:t>our</w:t>
      </w:r>
      <w:r>
        <w:rPr>
          <w:sz w:val="22"/>
        </w:rPr>
        <w:t xml:space="preserve"> </w:t>
      </w:r>
      <w:r w:rsidR="002F745E">
        <w:rPr>
          <w:sz w:val="22"/>
        </w:rPr>
        <w:t xml:space="preserve">enhanced 2030 target and commitment to net zero by 2050. </w:t>
      </w:r>
    </w:p>
    <w:p w14:paraId="6FECE257" w14:textId="3941D747" w:rsidR="008072BA" w:rsidRDefault="002F745E" w:rsidP="00FE673D">
      <w:pPr>
        <w:pStyle w:val="BodyText"/>
        <w:rPr>
          <w:sz w:val="22"/>
        </w:rPr>
      </w:pPr>
      <w:r>
        <w:rPr>
          <w:sz w:val="22"/>
        </w:rPr>
        <w:t xml:space="preserve">Current policy settings are not designed to reduce emissions from Safeguard covered facilities. The Safeguard Mechanism does not currently </w:t>
      </w:r>
      <w:r w:rsidR="00793653">
        <w:rPr>
          <w:sz w:val="22"/>
        </w:rPr>
        <w:t>incentivise</w:t>
      </w:r>
      <w:r>
        <w:rPr>
          <w:sz w:val="22"/>
        </w:rPr>
        <w:t xml:space="preserve"> facilities to reduce emissions below their baseline level.</w:t>
      </w:r>
      <w:r w:rsidR="00C77CA4">
        <w:rPr>
          <w:sz w:val="22"/>
        </w:rPr>
        <w:t xml:space="preserve"> Since it commenced on 1 July 2016, emissions from Safeguard covered facilities have grown over 4 per cent from 131.3 Mt CO</w:t>
      </w:r>
      <w:r w:rsidR="00C77CA4" w:rsidRPr="008D6651">
        <w:rPr>
          <w:sz w:val="22"/>
          <w:vertAlign w:val="subscript"/>
        </w:rPr>
        <w:t>2</w:t>
      </w:r>
      <w:r w:rsidR="00C77CA4">
        <w:rPr>
          <w:sz w:val="22"/>
        </w:rPr>
        <w:t>-e in to 136.9 Mt CO</w:t>
      </w:r>
      <w:r w:rsidR="00C77CA4" w:rsidRPr="008D6651">
        <w:rPr>
          <w:sz w:val="22"/>
          <w:vertAlign w:val="subscript"/>
        </w:rPr>
        <w:t>2</w:t>
      </w:r>
      <w:r w:rsidR="00C77CA4">
        <w:rPr>
          <w:sz w:val="22"/>
        </w:rPr>
        <w:t>-e in 2020-21.</w:t>
      </w:r>
      <w:r w:rsidR="00C77CA4">
        <w:rPr>
          <w:rStyle w:val="FootnoteReference"/>
          <w:sz w:val="22"/>
        </w:rPr>
        <w:footnoteReference w:id="12"/>
      </w:r>
      <w:r w:rsidR="00744A4B">
        <w:rPr>
          <w:sz w:val="22"/>
        </w:rPr>
        <w:t>Under current policy settings, these aggregate emissions are projected to reach 146 Mt CO</w:t>
      </w:r>
      <w:r w:rsidR="00744A4B" w:rsidRPr="008D6651">
        <w:rPr>
          <w:sz w:val="22"/>
          <w:vertAlign w:val="subscript"/>
        </w:rPr>
        <w:t>2</w:t>
      </w:r>
      <w:r w:rsidR="00744A4B">
        <w:rPr>
          <w:sz w:val="22"/>
        </w:rPr>
        <w:t>-e in 2029-30.</w:t>
      </w:r>
    </w:p>
    <w:p w14:paraId="6DB4066F" w14:textId="35ED61E6" w:rsidR="00E32202" w:rsidRDefault="008D6651" w:rsidP="00FE673D">
      <w:pPr>
        <w:pStyle w:val="BodyText"/>
        <w:rPr>
          <w:sz w:val="22"/>
        </w:rPr>
      </w:pPr>
      <w:r>
        <w:rPr>
          <w:sz w:val="22"/>
        </w:rPr>
        <w:t>Without a contribution from Safeguard covered facilities, other sectors of the economy would</w:t>
      </w:r>
      <w:r w:rsidR="001A5F16">
        <w:rPr>
          <w:sz w:val="22"/>
        </w:rPr>
        <w:t xml:space="preserve"> </w:t>
      </w:r>
      <w:r w:rsidR="00AF495F">
        <w:rPr>
          <w:sz w:val="22"/>
        </w:rPr>
        <w:t>face a disproportionately high burden for</w:t>
      </w:r>
      <w:r w:rsidDel="001A5F16">
        <w:rPr>
          <w:sz w:val="22"/>
        </w:rPr>
        <w:t xml:space="preserve"> </w:t>
      </w:r>
      <w:r>
        <w:rPr>
          <w:sz w:val="22"/>
        </w:rPr>
        <w:t xml:space="preserve">Australia to meet </w:t>
      </w:r>
      <w:r w:rsidR="001A5F16">
        <w:rPr>
          <w:sz w:val="22"/>
        </w:rPr>
        <w:t>its</w:t>
      </w:r>
      <w:r>
        <w:rPr>
          <w:sz w:val="22"/>
        </w:rPr>
        <w:t xml:space="preserve"> </w:t>
      </w:r>
      <w:r w:rsidR="00AF495F">
        <w:rPr>
          <w:sz w:val="22"/>
        </w:rPr>
        <w:t xml:space="preserve">legislated </w:t>
      </w:r>
      <w:r>
        <w:rPr>
          <w:sz w:val="22"/>
        </w:rPr>
        <w:t>2030</w:t>
      </w:r>
      <w:r w:rsidDel="00AF495F">
        <w:rPr>
          <w:sz w:val="22"/>
        </w:rPr>
        <w:t xml:space="preserve"> </w:t>
      </w:r>
      <w:r w:rsidR="00AF495F">
        <w:rPr>
          <w:sz w:val="22"/>
        </w:rPr>
        <w:t xml:space="preserve">emissions reduction </w:t>
      </w:r>
      <w:r>
        <w:rPr>
          <w:sz w:val="22"/>
        </w:rPr>
        <w:t xml:space="preserve">target. Safeguard facilities would not commence an orderly transition to net zero by 2050 and policy uncertainty (or exemption) </w:t>
      </w:r>
      <w:r w:rsidR="000D31F4">
        <w:rPr>
          <w:sz w:val="22"/>
        </w:rPr>
        <w:t xml:space="preserve">would continue to deter investment or </w:t>
      </w:r>
      <w:r>
        <w:rPr>
          <w:sz w:val="22"/>
        </w:rPr>
        <w:t xml:space="preserve">create financial risks in the form of a capital risk premium. </w:t>
      </w:r>
    </w:p>
    <w:p w14:paraId="6019A7DF" w14:textId="3DBD48B3" w:rsidR="00744A4B" w:rsidRDefault="00E252EA" w:rsidP="008072BA">
      <w:pPr>
        <w:pStyle w:val="BodyText"/>
        <w:rPr>
          <w:sz w:val="22"/>
        </w:rPr>
      </w:pPr>
      <w:r>
        <w:rPr>
          <w:sz w:val="22"/>
        </w:rPr>
        <w:t>The Safeguard reforms will reduce aggregate baselines to achieve its target of no more than 100 Mt CO</w:t>
      </w:r>
      <w:r w:rsidRPr="008D6651">
        <w:rPr>
          <w:sz w:val="22"/>
          <w:vertAlign w:val="subscript"/>
        </w:rPr>
        <w:t>2</w:t>
      </w:r>
      <w:r>
        <w:rPr>
          <w:sz w:val="22"/>
        </w:rPr>
        <w:t xml:space="preserve">-e in 2030, and 1,233 </w:t>
      </w:r>
      <w:r w:rsidR="00BA0018">
        <w:rPr>
          <w:sz w:val="22"/>
        </w:rPr>
        <w:t xml:space="preserve">Mt </w:t>
      </w:r>
      <w:r>
        <w:rPr>
          <w:sz w:val="22"/>
        </w:rPr>
        <w:t>CO</w:t>
      </w:r>
      <w:r w:rsidRPr="008D6651">
        <w:rPr>
          <w:sz w:val="22"/>
          <w:vertAlign w:val="subscript"/>
        </w:rPr>
        <w:t>2</w:t>
      </w:r>
      <w:r>
        <w:rPr>
          <w:sz w:val="22"/>
        </w:rPr>
        <w:t>-e between 2020-21 and 2029-30</w:t>
      </w:r>
      <w:r w:rsidR="00BA0018">
        <w:rPr>
          <w:sz w:val="22"/>
        </w:rPr>
        <w:t xml:space="preserve"> in net emissions</w:t>
      </w:r>
      <w:r>
        <w:rPr>
          <w:sz w:val="22"/>
        </w:rPr>
        <w:t>.</w:t>
      </w:r>
      <w:r w:rsidRPr="00E252EA">
        <w:rPr>
          <w:sz w:val="22"/>
        </w:rPr>
        <w:t xml:space="preserve"> </w:t>
      </w:r>
      <w:r w:rsidR="0099677D">
        <w:rPr>
          <w:sz w:val="22"/>
        </w:rPr>
        <w:t xml:space="preserve">The reforms are expected to result in at least 205 Mt of </w:t>
      </w:r>
      <w:r w:rsidR="00EE3FA8">
        <w:rPr>
          <w:sz w:val="22"/>
        </w:rPr>
        <w:t>emission reductions between 2023-24 and 2029-30.</w:t>
      </w:r>
      <w:r w:rsidR="00744A4B">
        <w:rPr>
          <w:sz w:val="22"/>
        </w:rPr>
        <w:t xml:space="preserve"> </w:t>
      </w:r>
      <w:r w:rsidR="002F745E">
        <w:rPr>
          <w:sz w:val="22"/>
        </w:rPr>
        <w:t>The</w:t>
      </w:r>
      <w:r w:rsidR="00744A4B">
        <w:rPr>
          <w:sz w:val="22"/>
        </w:rPr>
        <w:t xml:space="preserve">y </w:t>
      </w:r>
      <w:r w:rsidR="00237366">
        <w:rPr>
          <w:sz w:val="22"/>
        </w:rPr>
        <w:t xml:space="preserve">will </w:t>
      </w:r>
      <w:r w:rsidR="009825DB">
        <w:rPr>
          <w:sz w:val="22"/>
        </w:rPr>
        <w:t xml:space="preserve">arrest and reverse the growth in </w:t>
      </w:r>
      <w:r w:rsidR="00744A4B">
        <w:rPr>
          <w:sz w:val="22"/>
        </w:rPr>
        <w:t xml:space="preserve">covered </w:t>
      </w:r>
      <w:r w:rsidR="009825DB">
        <w:rPr>
          <w:sz w:val="22"/>
        </w:rPr>
        <w:t xml:space="preserve">emissions, </w:t>
      </w:r>
      <w:r w:rsidR="00237366">
        <w:rPr>
          <w:sz w:val="22"/>
        </w:rPr>
        <w:t>position Safeguard facilities to do a proportionate share of the emissions reduction task to 2030</w:t>
      </w:r>
      <w:r w:rsidR="009825DB">
        <w:rPr>
          <w:sz w:val="22"/>
        </w:rPr>
        <w:t>,</w:t>
      </w:r>
      <w:r w:rsidR="00237366">
        <w:rPr>
          <w:sz w:val="22"/>
        </w:rPr>
        <w:t xml:space="preserve"> and prepare for net zero by 2050. </w:t>
      </w:r>
    </w:p>
    <w:p w14:paraId="5D563835" w14:textId="2F4EB249" w:rsidR="008072BA" w:rsidRDefault="00BA0018" w:rsidP="008072BA">
      <w:pPr>
        <w:pStyle w:val="BodyText"/>
        <w:rPr>
          <w:sz w:val="22"/>
        </w:rPr>
      </w:pPr>
      <w:r>
        <w:rPr>
          <w:sz w:val="22"/>
        </w:rPr>
        <w:t>The</w:t>
      </w:r>
      <w:r w:rsidR="002572E1">
        <w:rPr>
          <w:sz w:val="22"/>
        </w:rPr>
        <w:t xml:space="preserve"> final policy design</w:t>
      </w:r>
      <w:r w:rsidR="00237366">
        <w:rPr>
          <w:sz w:val="22"/>
        </w:rPr>
        <w:t xml:space="preserve"> fulfils the Government</w:t>
      </w:r>
      <w:r>
        <w:rPr>
          <w:sz w:val="22"/>
        </w:rPr>
        <w:t>’</w:t>
      </w:r>
      <w:r w:rsidR="00237366">
        <w:rPr>
          <w:sz w:val="22"/>
        </w:rPr>
        <w:t xml:space="preserve">s </w:t>
      </w:r>
      <w:r w:rsidR="008072BA">
        <w:rPr>
          <w:sz w:val="22"/>
        </w:rPr>
        <w:t xml:space="preserve">election commitment </w:t>
      </w:r>
      <w:r w:rsidR="00237366">
        <w:rPr>
          <w:sz w:val="22"/>
        </w:rPr>
        <w:t xml:space="preserve">for the Safeguard Mechanism </w:t>
      </w:r>
      <w:r w:rsidR="008072BA">
        <w:rPr>
          <w:sz w:val="22"/>
        </w:rPr>
        <w:t>to:</w:t>
      </w:r>
    </w:p>
    <w:p w14:paraId="4FB720EB" w14:textId="77777777" w:rsidR="008072BA" w:rsidRDefault="00237366" w:rsidP="008072BA">
      <w:pPr>
        <w:pStyle w:val="BodyText"/>
        <w:numPr>
          <w:ilvl w:val="0"/>
          <w:numId w:val="28"/>
        </w:numPr>
        <w:rPr>
          <w:sz w:val="22"/>
        </w:rPr>
      </w:pPr>
      <w:r>
        <w:rPr>
          <w:sz w:val="22"/>
        </w:rPr>
        <w:t>r</w:t>
      </w:r>
      <w:r w:rsidR="008072BA">
        <w:rPr>
          <w:sz w:val="22"/>
        </w:rPr>
        <w:t>educe</w:t>
      </w:r>
      <w:r>
        <w:rPr>
          <w:sz w:val="22"/>
        </w:rPr>
        <w:t xml:space="preserve"> baselines</w:t>
      </w:r>
      <w:r w:rsidR="008072BA">
        <w:rPr>
          <w:sz w:val="22"/>
        </w:rPr>
        <w:t xml:space="preserve"> predictably and gradually over time</w:t>
      </w:r>
      <w:r>
        <w:rPr>
          <w:sz w:val="22"/>
        </w:rPr>
        <w:t>;</w:t>
      </w:r>
      <w:r w:rsidR="008072BA">
        <w:rPr>
          <w:sz w:val="22"/>
        </w:rPr>
        <w:t xml:space="preserve"> </w:t>
      </w:r>
    </w:p>
    <w:p w14:paraId="3F76C524" w14:textId="77777777" w:rsidR="008072BA" w:rsidRDefault="008072BA" w:rsidP="008072BA">
      <w:pPr>
        <w:pStyle w:val="BodyText"/>
        <w:numPr>
          <w:ilvl w:val="0"/>
          <w:numId w:val="28"/>
        </w:numPr>
        <w:rPr>
          <w:sz w:val="22"/>
        </w:rPr>
      </w:pPr>
      <w:r>
        <w:rPr>
          <w:sz w:val="22"/>
        </w:rPr>
        <w:t xml:space="preserve">provide tailored treatment for </w:t>
      </w:r>
      <w:proofErr w:type="spellStart"/>
      <w:r w:rsidR="005B78B4">
        <w:rPr>
          <w:sz w:val="22"/>
        </w:rPr>
        <w:t>EITEs</w:t>
      </w:r>
      <w:proofErr w:type="spellEnd"/>
      <w:r w:rsidR="00237366">
        <w:rPr>
          <w:sz w:val="22"/>
        </w:rPr>
        <w:t>, and</w:t>
      </w:r>
    </w:p>
    <w:p w14:paraId="4A75D3E3" w14:textId="77777777" w:rsidR="008072BA" w:rsidRDefault="008072BA" w:rsidP="008072BA">
      <w:pPr>
        <w:pStyle w:val="BodyText"/>
        <w:numPr>
          <w:ilvl w:val="0"/>
          <w:numId w:val="28"/>
        </w:numPr>
        <w:rPr>
          <w:sz w:val="22"/>
        </w:rPr>
      </w:pPr>
      <w:r>
        <w:rPr>
          <w:sz w:val="22"/>
        </w:rPr>
        <w:t>include tradeable credits for companies that stay below their baselines.</w:t>
      </w:r>
    </w:p>
    <w:p w14:paraId="254E9531" w14:textId="77777777" w:rsidR="00005893" w:rsidRDefault="007A398A" w:rsidP="00FE673D">
      <w:pPr>
        <w:pStyle w:val="BodyText"/>
        <w:rPr>
          <w:sz w:val="22"/>
        </w:rPr>
      </w:pPr>
      <w:r>
        <w:rPr>
          <w:sz w:val="22"/>
        </w:rPr>
        <w:lastRenderedPageBreak/>
        <w:t>The legislative framework is in place</w:t>
      </w:r>
      <w:r w:rsidR="00AF495F">
        <w:rPr>
          <w:sz w:val="22"/>
        </w:rPr>
        <w:t xml:space="preserve"> to reform the Safeguard Mechanism to help industry</w:t>
      </w:r>
      <w:r>
        <w:rPr>
          <w:sz w:val="22"/>
        </w:rPr>
        <w:t xml:space="preserve"> </w:t>
      </w:r>
      <w:r w:rsidR="00AF495F">
        <w:rPr>
          <w:sz w:val="22"/>
        </w:rPr>
        <w:t>r</w:t>
      </w:r>
      <w:r w:rsidR="00AF495F" w:rsidRPr="00AF495F">
        <w:rPr>
          <w:sz w:val="22"/>
        </w:rPr>
        <w:t>educe emissions in line with Australia's climate targets</w:t>
      </w:r>
      <w:r w:rsidR="00AF495F">
        <w:rPr>
          <w:sz w:val="22"/>
        </w:rPr>
        <w:t xml:space="preserve">. </w:t>
      </w:r>
      <w:r w:rsidRPr="008240DA">
        <w:rPr>
          <w:sz w:val="22"/>
        </w:rPr>
        <w:t>Businesses are familiar with the scheme</w:t>
      </w:r>
      <w:r w:rsidRPr="00DF7A6D">
        <w:rPr>
          <w:sz w:val="22"/>
        </w:rPr>
        <w:t xml:space="preserve">. It has been operating </w:t>
      </w:r>
      <w:r>
        <w:rPr>
          <w:sz w:val="22"/>
        </w:rPr>
        <w:t>since 1 July 2016</w:t>
      </w:r>
      <w:r w:rsidRPr="00DF7A6D">
        <w:rPr>
          <w:sz w:val="22"/>
        </w:rPr>
        <w:t>.</w:t>
      </w:r>
      <w:r w:rsidRPr="00734F78">
        <w:rPr>
          <w:sz w:val="22"/>
        </w:rPr>
        <w:t xml:space="preserve"> </w:t>
      </w:r>
    </w:p>
    <w:p w14:paraId="52BE3797" w14:textId="77777777" w:rsidR="00F96438" w:rsidRDefault="009312F6" w:rsidP="00FE673D">
      <w:pPr>
        <w:pStyle w:val="BodyText"/>
        <w:rPr>
          <w:sz w:val="22"/>
        </w:rPr>
      </w:pPr>
      <w:r>
        <w:rPr>
          <w:sz w:val="22"/>
        </w:rPr>
        <w:t>Business</w:t>
      </w:r>
      <w:r w:rsidR="001A5F16">
        <w:rPr>
          <w:sz w:val="22"/>
        </w:rPr>
        <w:t xml:space="preserve">es </w:t>
      </w:r>
      <w:r w:rsidR="00AF495F">
        <w:rPr>
          <w:sz w:val="22"/>
        </w:rPr>
        <w:t xml:space="preserve">recognise that an enhanced Safeguard Mechanism will provide policy certainty for large industrial emitters and send clear market signals to drive investments. </w:t>
      </w:r>
      <w:r w:rsidR="006D5EB1" w:rsidRPr="006D5EB1">
        <w:rPr>
          <w:sz w:val="22"/>
        </w:rPr>
        <w:t xml:space="preserve">The reforms will put </w:t>
      </w:r>
      <w:r w:rsidR="006D5EB1">
        <w:rPr>
          <w:sz w:val="22"/>
        </w:rPr>
        <w:t>Safeguard</w:t>
      </w:r>
      <w:r w:rsidR="006D5EB1" w:rsidRPr="006D5EB1">
        <w:rPr>
          <w:sz w:val="22"/>
        </w:rPr>
        <w:t xml:space="preserve"> facilities on a pathway to net zero by 2050, backing in the climate commitments that companies have made, and helping meet our legislated national target of a 43 per cent reduction on 2005 levels by 2030. </w:t>
      </w:r>
    </w:p>
    <w:p w14:paraId="66677DEF" w14:textId="77777777" w:rsidR="00734F78" w:rsidRPr="00734F78" w:rsidRDefault="00734F78" w:rsidP="00FE673D">
      <w:pPr>
        <w:pStyle w:val="BodyText"/>
        <w:rPr>
          <w:sz w:val="22"/>
        </w:rPr>
      </w:pPr>
      <w:r>
        <w:rPr>
          <w:sz w:val="22"/>
        </w:rPr>
        <w:t xml:space="preserve">Reforms to the Safeguard can effectively and efficiently reduce emissions from Safeguard facilities by declining baselines, prevent emissions from ‘leaking’ overseas by providing appropriate assistance to </w:t>
      </w:r>
      <w:proofErr w:type="spellStart"/>
      <w:r w:rsidR="005B78B4">
        <w:rPr>
          <w:sz w:val="22"/>
        </w:rPr>
        <w:t>EITE</w:t>
      </w:r>
      <w:proofErr w:type="spellEnd"/>
      <w:r>
        <w:rPr>
          <w:sz w:val="22"/>
        </w:rPr>
        <w:t xml:space="preserve"> facilities, and incentivise facilities that have additional abatement opportunities to ensure the emissions reductions are achieved at least cost across the scheme.</w:t>
      </w:r>
    </w:p>
    <w:p w14:paraId="2B57311D" w14:textId="074ABAF6" w:rsidR="00734F78" w:rsidRDefault="00734F78" w:rsidP="00734F78">
      <w:pPr>
        <w:pStyle w:val="BodyText"/>
        <w:rPr>
          <w:sz w:val="22"/>
        </w:rPr>
      </w:pPr>
      <w:r>
        <w:rPr>
          <w:sz w:val="22"/>
        </w:rPr>
        <w:t>An orderly transition to reduce</w:t>
      </w:r>
      <w:r w:rsidRPr="00411D13">
        <w:rPr>
          <w:sz w:val="22"/>
        </w:rPr>
        <w:t xml:space="preserve"> Australia’s greenhouse gas emissions will provide benefits for the Aust</w:t>
      </w:r>
      <w:r>
        <w:rPr>
          <w:sz w:val="22"/>
        </w:rPr>
        <w:t xml:space="preserve">ralian economy and environment. </w:t>
      </w:r>
      <w:r w:rsidRPr="00734F78">
        <w:rPr>
          <w:sz w:val="22"/>
        </w:rPr>
        <w:t>Increased take up of low emissions technology and abatement opportunities by the industrial sector will allow them to remain internationally competitive</w:t>
      </w:r>
      <w:r>
        <w:rPr>
          <w:sz w:val="22"/>
        </w:rPr>
        <w:t xml:space="preserve"> in the global shift to net zero</w:t>
      </w:r>
      <w:r w:rsidRPr="00734F78">
        <w:rPr>
          <w:sz w:val="22"/>
        </w:rPr>
        <w:t xml:space="preserve">. </w:t>
      </w:r>
      <w:r w:rsidR="00C067BF">
        <w:rPr>
          <w:sz w:val="22"/>
        </w:rPr>
        <w:t>I</w:t>
      </w:r>
      <w:r w:rsidRPr="00734F78">
        <w:rPr>
          <w:sz w:val="22"/>
        </w:rPr>
        <w:t xml:space="preserve">n a decarbonising world, businesses that produce products with a comparatively high emissions intensity may </w:t>
      </w:r>
      <w:r>
        <w:rPr>
          <w:sz w:val="22"/>
        </w:rPr>
        <w:t xml:space="preserve">increasingly </w:t>
      </w:r>
      <w:r w:rsidRPr="00734F78">
        <w:rPr>
          <w:sz w:val="22"/>
        </w:rPr>
        <w:t>face tariffs when exporting overseas</w:t>
      </w:r>
      <w:r w:rsidR="00912696">
        <w:rPr>
          <w:sz w:val="22"/>
        </w:rPr>
        <w:t>,</w:t>
      </w:r>
      <w:r w:rsidRPr="00734F78">
        <w:rPr>
          <w:sz w:val="22"/>
        </w:rPr>
        <w:t xml:space="preserve"> </w:t>
      </w:r>
      <w:r w:rsidR="00912696">
        <w:rPr>
          <w:sz w:val="22"/>
        </w:rPr>
        <w:t xml:space="preserve">and </w:t>
      </w:r>
      <w:r w:rsidRPr="00734F78">
        <w:rPr>
          <w:sz w:val="22"/>
        </w:rPr>
        <w:t>consumers and importers may shift to less emissions</w:t>
      </w:r>
      <w:r w:rsidR="0024655D">
        <w:rPr>
          <w:sz w:val="22"/>
        </w:rPr>
        <w:t>-</w:t>
      </w:r>
      <w:r w:rsidRPr="00734F78">
        <w:rPr>
          <w:sz w:val="22"/>
        </w:rPr>
        <w:t>intens</w:t>
      </w:r>
      <w:r w:rsidR="0024655D">
        <w:rPr>
          <w:sz w:val="22"/>
        </w:rPr>
        <w:t>iv</w:t>
      </w:r>
      <w:r w:rsidRPr="00734F78">
        <w:rPr>
          <w:sz w:val="22"/>
        </w:rPr>
        <w:t>e competitors.</w:t>
      </w:r>
      <w:r>
        <w:rPr>
          <w:sz w:val="22"/>
        </w:rPr>
        <w:t xml:space="preserve"> </w:t>
      </w:r>
    </w:p>
    <w:p w14:paraId="4B03DF9B" w14:textId="77777777" w:rsidR="00716A5F" w:rsidRPr="00B92808" w:rsidRDefault="00716A5F" w:rsidP="00B92808">
      <w:pPr>
        <w:pStyle w:val="BodyText"/>
        <w:rPr>
          <w:sz w:val="22"/>
        </w:rPr>
      </w:pPr>
      <w:r>
        <w:br w:type="page"/>
      </w:r>
    </w:p>
    <w:p w14:paraId="6EA60E61" w14:textId="77777777" w:rsidR="00716A5F" w:rsidRDefault="00716A5F" w:rsidP="00DA1B55">
      <w:pPr>
        <w:pStyle w:val="Heading1"/>
      </w:pPr>
      <w:bookmarkStart w:id="137" w:name="_Toc118750364"/>
      <w:bookmarkStart w:id="138" w:name="_Toc118754640"/>
      <w:bookmarkStart w:id="139" w:name="_Toc118813931"/>
      <w:bookmarkStart w:id="140" w:name="_Toc119327141"/>
      <w:bookmarkStart w:id="141" w:name="_Toc119360646"/>
      <w:bookmarkStart w:id="142" w:name="_Toc132807536"/>
      <w:r>
        <w:lastRenderedPageBreak/>
        <w:t>2. Why is Government action needed?</w:t>
      </w:r>
      <w:bookmarkEnd w:id="137"/>
      <w:bookmarkEnd w:id="138"/>
      <w:bookmarkEnd w:id="139"/>
      <w:bookmarkEnd w:id="140"/>
      <w:bookmarkEnd w:id="141"/>
      <w:bookmarkEnd w:id="142"/>
    </w:p>
    <w:p w14:paraId="73828D9B" w14:textId="6ED1736B" w:rsidR="0024655D" w:rsidRDefault="0024655D" w:rsidP="0024655D">
      <w:pPr>
        <w:rPr>
          <w:sz w:val="22"/>
        </w:rPr>
      </w:pPr>
      <w:r>
        <w:rPr>
          <w:sz w:val="22"/>
        </w:rPr>
        <w:t>Businesses are acting to manage their emissions</w:t>
      </w:r>
      <w:r w:rsidR="00C07E70">
        <w:rPr>
          <w:sz w:val="22"/>
        </w:rPr>
        <w:t xml:space="preserve"> risks</w:t>
      </w:r>
      <w:r>
        <w:rPr>
          <w:sz w:val="22"/>
        </w:rPr>
        <w:t xml:space="preserve">, </w:t>
      </w:r>
      <w:r w:rsidR="00454393">
        <w:rPr>
          <w:sz w:val="22"/>
        </w:rPr>
        <w:t>recognising</w:t>
      </w:r>
      <w:r>
        <w:rPr>
          <w:sz w:val="22"/>
        </w:rPr>
        <w:t xml:space="preserve"> the decarbonisation transition underway</w:t>
      </w:r>
      <w:r w:rsidRPr="0024655D">
        <w:rPr>
          <w:sz w:val="22"/>
        </w:rPr>
        <w:t>. The majority of companies controlling or operating</w:t>
      </w:r>
      <w:r w:rsidRPr="0024655D" w:rsidDel="004D0573">
        <w:rPr>
          <w:sz w:val="22"/>
        </w:rPr>
        <w:t xml:space="preserve"> </w:t>
      </w:r>
      <w:r w:rsidRPr="0024655D">
        <w:rPr>
          <w:sz w:val="22"/>
        </w:rPr>
        <w:t>Safeguard facilities have medium and long</w:t>
      </w:r>
      <w:r w:rsidR="00284948">
        <w:rPr>
          <w:sz w:val="22"/>
        </w:rPr>
        <w:t>-</w:t>
      </w:r>
      <w:r w:rsidRPr="0024655D">
        <w:rPr>
          <w:sz w:val="22"/>
        </w:rPr>
        <w:t xml:space="preserve">term climate targets, including net zero goals, and are factoring Australian and global decarbonisation into their decisions, operations and investments. </w:t>
      </w:r>
    </w:p>
    <w:p w14:paraId="62CA4467" w14:textId="58F311C2" w:rsidR="007B383E" w:rsidRDefault="0024655D" w:rsidP="0024655D">
      <w:pPr>
        <w:rPr>
          <w:sz w:val="22"/>
        </w:rPr>
      </w:pPr>
      <w:r>
        <w:rPr>
          <w:sz w:val="22"/>
        </w:rPr>
        <w:t xml:space="preserve">However, the scale of voluntary action from Safeguard facilities is </w:t>
      </w:r>
      <w:r w:rsidR="00A177C5">
        <w:rPr>
          <w:sz w:val="22"/>
        </w:rPr>
        <w:t>varied</w:t>
      </w:r>
      <w:r w:rsidRPr="00A177C5">
        <w:rPr>
          <w:sz w:val="22"/>
        </w:rPr>
        <w:t xml:space="preserve"> and insufficient</w:t>
      </w:r>
      <w:r>
        <w:rPr>
          <w:sz w:val="22"/>
        </w:rPr>
        <w:t xml:space="preserve"> </w:t>
      </w:r>
      <w:r w:rsidR="00912696">
        <w:rPr>
          <w:sz w:val="22"/>
        </w:rPr>
        <w:t xml:space="preserve">to provide confidence Australia will achieve </w:t>
      </w:r>
      <w:r>
        <w:rPr>
          <w:sz w:val="22"/>
        </w:rPr>
        <w:t xml:space="preserve">the </w:t>
      </w:r>
      <w:r w:rsidR="00390801">
        <w:rPr>
          <w:sz w:val="22"/>
        </w:rPr>
        <w:t>emissions reduction</w:t>
      </w:r>
      <w:r w:rsidR="002C6BAF">
        <w:rPr>
          <w:sz w:val="22"/>
        </w:rPr>
        <w:t xml:space="preserve"> </w:t>
      </w:r>
      <w:r>
        <w:rPr>
          <w:sz w:val="22"/>
        </w:rPr>
        <w:t>task required to 2030 or 2050. Without an overarching requirement that applies equally to all Safeguard facilities, some facilities may not take voluntary action and other facilities or sectors would need to compensate. Relying on voluntary action</w:t>
      </w:r>
      <w:r w:rsidR="00CF03D1">
        <w:rPr>
          <w:sz w:val="22"/>
        </w:rPr>
        <w:t>,</w:t>
      </w:r>
      <w:r>
        <w:rPr>
          <w:sz w:val="22"/>
        </w:rPr>
        <w:t xml:space="preserve"> from </w:t>
      </w:r>
      <w:r w:rsidR="00CF03D1">
        <w:rPr>
          <w:sz w:val="22"/>
        </w:rPr>
        <w:t>a</w:t>
      </w:r>
      <w:r w:rsidDel="00CF03D1">
        <w:rPr>
          <w:sz w:val="22"/>
        </w:rPr>
        <w:t xml:space="preserve"> </w:t>
      </w:r>
      <w:r>
        <w:rPr>
          <w:sz w:val="22"/>
        </w:rPr>
        <w:t xml:space="preserve">significant </w:t>
      </w:r>
      <w:r w:rsidR="00CF03D1">
        <w:rPr>
          <w:sz w:val="22"/>
        </w:rPr>
        <w:t xml:space="preserve">share </w:t>
      </w:r>
      <w:r>
        <w:rPr>
          <w:sz w:val="22"/>
        </w:rPr>
        <w:t xml:space="preserve">of Australia’s emissions (28 </w:t>
      </w:r>
      <w:r w:rsidR="004901E0">
        <w:rPr>
          <w:sz w:val="22"/>
        </w:rPr>
        <w:t>per cent</w:t>
      </w:r>
      <w:r>
        <w:rPr>
          <w:sz w:val="22"/>
        </w:rPr>
        <w:t>)</w:t>
      </w:r>
      <w:r w:rsidR="00CF03D1">
        <w:rPr>
          <w:sz w:val="22"/>
        </w:rPr>
        <w:t>,</w:t>
      </w:r>
      <w:r>
        <w:rPr>
          <w:sz w:val="22"/>
        </w:rPr>
        <w:t xml:space="preserve"> could jeopardise the achievement of </w:t>
      </w:r>
      <w:r w:rsidDel="00284948">
        <w:rPr>
          <w:sz w:val="22"/>
        </w:rPr>
        <w:t xml:space="preserve">our </w:t>
      </w:r>
      <w:r>
        <w:rPr>
          <w:sz w:val="22"/>
        </w:rPr>
        <w:t xml:space="preserve">climate goals. </w:t>
      </w:r>
      <w:r w:rsidR="00625C3B">
        <w:rPr>
          <w:sz w:val="22"/>
        </w:rPr>
        <w:t>Under existing policy settings, Australia’s emissions are projected to be 32 per cent below 2005 levels by 2030 – well short of the legislated target of 43 per cent reductions.</w:t>
      </w:r>
      <w:r w:rsidR="000E78D9">
        <w:rPr>
          <w:rStyle w:val="FootnoteReference"/>
          <w:sz w:val="22"/>
        </w:rPr>
        <w:footnoteReference w:id="13"/>
      </w:r>
    </w:p>
    <w:p w14:paraId="2E3C34F4" w14:textId="551466A9" w:rsidR="007B383E" w:rsidRPr="007B383E" w:rsidRDefault="007B383E" w:rsidP="007740E1">
      <w:pPr>
        <w:rPr>
          <w:sz w:val="22"/>
        </w:rPr>
      </w:pPr>
      <w:r w:rsidRPr="007B383E">
        <w:rPr>
          <w:sz w:val="22"/>
        </w:rPr>
        <w:t>The Australian Government is firmly committed to taking action on climate change. The Government has already demonstrated this commitment by legislating targets to reduce Australia’s emissions by 43 per cent below 2005 levels by 2030 and achieving net zero by 2050.  </w:t>
      </w:r>
    </w:p>
    <w:p w14:paraId="5ACB80A3" w14:textId="7D5CF4B1" w:rsidR="007B383E" w:rsidRPr="007B383E" w:rsidRDefault="007B383E" w:rsidP="007740E1">
      <w:pPr>
        <w:rPr>
          <w:sz w:val="22"/>
        </w:rPr>
      </w:pPr>
      <w:r w:rsidRPr="007740E1">
        <w:rPr>
          <w:sz w:val="22"/>
        </w:rPr>
        <w:t xml:space="preserve">Powering Australia is the Government’s plan to reduce emissions and achieve these targets. It spans electricity, industry, agriculture and carbon farming and transport. To boost our renewable energy output, the Government is making a $20 billion investment to upgrade the electricity grid, ensuring it can handle more renewable energy. Investments in solar banks and community batteries will help more people access solar and maximise the benefits of Australia's rooftop solar transformation. Other commitments include </w:t>
      </w:r>
      <w:r>
        <w:rPr>
          <w:sz w:val="22"/>
        </w:rPr>
        <w:t>these reforms to the Safeguard Mechanism</w:t>
      </w:r>
      <w:r w:rsidRPr="007B383E">
        <w:rPr>
          <w:sz w:val="22"/>
        </w:rPr>
        <w:t>, grants to support decarbonisation and access to finance to drive uptake of renewables and low emissions technologies. All of these actions will help us reduce our emissions and put us on the pathway to net zero.  </w:t>
      </w:r>
    </w:p>
    <w:p w14:paraId="1BF59791" w14:textId="3C7DF109" w:rsidR="0024655D" w:rsidRPr="0024655D" w:rsidRDefault="00454393" w:rsidP="0024655D">
      <w:pPr>
        <w:rPr>
          <w:sz w:val="22"/>
        </w:rPr>
      </w:pPr>
      <w:r>
        <w:rPr>
          <w:sz w:val="22"/>
        </w:rPr>
        <w:t>Aligning</w:t>
      </w:r>
      <w:r w:rsidR="0024655D">
        <w:rPr>
          <w:sz w:val="22"/>
        </w:rPr>
        <w:t xml:space="preserve"> the contribution expected from Safeguard facilities </w:t>
      </w:r>
      <w:r w:rsidR="0024655D" w:rsidRPr="0024655D">
        <w:rPr>
          <w:sz w:val="22"/>
        </w:rPr>
        <w:t xml:space="preserve">with </w:t>
      </w:r>
      <w:r>
        <w:rPr>
          <w:sz w:val="22"/>
        </w:rPr>
        <w:t>the national targets</w:t>
      </w:r>
      <w:r w:rsidR="0024655D" w:rsidRPr="0024655D">
        <w:rPr>
          <w:sz w:val="22"/>
        </w:rPr>
        <w:t xml:space="preserve"> through changes to the existing </w:t>
      </w:r>
      <w:r w:rsidR="0024655D">
        <w:rPr>
          <w:sz w:val="22"/>
        </w:rPr>
        <w:t>Safeguard Mechanism</w:t>
      </w:r>
      <w:r w:rsidR="0024655D" w:rsidRPr="0024655D">
        <w:rPr>
          <w:sz w:val="22"/>
        </w:rPr>
        <w:t xml:space="preserve"> framework will promote policy certainty and stability</w:t>
      </w:r>
      <w:r>
        <w:rPr>
          <w:sz w:val="22"/>
        </w:rPr>
        <w:t xml:space="preserve">. It </w:t>
      </w:r>
      <w:r w:rsidR="0024655D" w:rsidRPr="0024655D">
        <w:rPr>
          <w:sz w:val="22"/>
        </w:rPr>
        <w:t>has been identified by a broad coalition of business leaders and groups as the preferred approach to provide policy certainty for large industrial emitters.</w:t>
      </w:r>
      <w:r w:rsidR="00625C3B">
        <w:rPr>
          <w:sz w:val="22"/>
        </w:rPr>
        <w:t xml:space="preserve"> The Safeguard reforms, in combination with the Government’s target of 82 per cent renewable electricity generation by 2030</w:t>
      </w:r>
      <w:r w:rsidR="000E78D9">
        <w:rPr>
          <w:sz w:val="22"/>
        </w:rPr>
        <w:t xml:space="preserve"> and the Rewiring the Nation program</w:t>
      </w:r>
      <w:r w:rsidR="00625C3B">
        <w:rPr>
          <w:sz w:val="22"/>
        </w:rPr>
        <w:t xml:space="preserve">, </w:t>
      </w:r>
      <w:r w:rsidR="000E78D9">
        <w:rPr>
          <w:sz w:val="22"/>
        </w:rPr>
        <w:t>are projected to put Australia on track to 40 per cent below 2005 levels by 2030. It is expected the remaining gap will close as more policies are developed and implemented.</w:t>
      </w:r>
      <w:r w:rsidR="000E78D9">
        <w:rPr>
          <w:rStyle w:val="FootnoteReference"/>
          <w:sz w:val="22"/>
        </w:rPr>
        <w:footnoteReference w:id="14"/>
      </w:r>
      <w:r w:rsidR="000E78D9">
        <w:rPr>
          <w:sz w:val="22"/>
        </w:rPr>
        <w:t xml:space="preserve"> </w:t>
      </w:r>
    </w:p>
    <w:p w14:paraId="37C45A63" w14:textId="77777777" w:rsidR="00DB1211" w:rsidRDefault="00454393" w:rsidP="00454393">
      <w:pPr>
        <w:rPr>
          <w:sz w:val="22"/>
        </w:rPr>
      </w:pPr>
      <w:r w:rsidRPr="00454393">
        <w:rPr>
          <w:sz w:val="22"/>
        </w:rPr>
        <w:t>Through reforms to the existing framework</w:t>
      </w:r>
      <w:r w:rsidRPr="00454393">
        <w:rPr>
          <w:sz w:val="24"/>
        </w:rPr>
        <w:t xml:space="preserve">, </w:t>
      </w:r>
      <w:r>
        <w:rPr>
          <w:sz w:val="24"/>
        </w:rPr>
        <w:t>t</w:t>
      </w:r>
      <w:r w:rsidR="0024655D" w:rsidRPr="00454393">
        <w:rPr>
          <w:sz w:val="22"/>
        </w:rPr>
        <w:t>he Government aims to deliver its climate targets in a way that maximises benefits, minimises costs and shares the effort among participants</w:t>
      </w:r>
      <w:r w:rsidR="00D27342">
        <w:rPr>
          <w:sz w:val="22"/>
        </w:rPr>
        <w:t xml:space="preserve">. In delivering the reforms, the Government </w:t>
      </w:r>
      <w:r w:rsidR="00912696">
        <w:rPr>
          <w:sz w:val="22"/>
        </w:rPr>
        <w:t>is guided by</w:t>
      </w:r>
      <w:r w:rsidR="00D27342">
        <w:rPr>
          <w:sz w:val="22"/>
        </w:rPr>
        <w:t xml:space="preserve"> the policy principles of being</w:t>
      </w:r>
      <w:r w:rsidR="00D27342" w:rsidRPr="00D27342">
        <w:rPr>
          <w:sz w:val="22"/>
        </w:rPr>
        <w:t xml:space="preserve"> effective, efficient, equitable and simple</w:t>
      </w:r>
      <w:r w:rsidR="00D27342">
        <w:rPr>
          <w:sz w:val="22"/>
        </w:rPr>
        <w:t xml:space="preserve"> </w:t>
      </w:r>
      <w:r w:rsidR="00D27342" w:rsidRPr="00D27342">
        <w:rPr>
          <w:sz w:val="22"/>
        </w:rPr>
        <w:t>—the principles set out in the consultation paper</w:t>
      </w:r>
      <w:r w:rsidR="00D27342">
        <w:rPr>
          <w:sz w:val="22"/>
        </w:rPr>
        <w:t xml:space="preserve"> as the overarching objective.</w:t>
      </w:r>
      <w:r w:rsidR="00D27342">
        <w:rPr>
          <w:rStyle w:val="FootnoteReference"/>
          <w:sz w:val="22"/>
        </w:rPr>
        <w:footnoteReference w:id="15"/>
      </w:r>
      <w:r w:rsidR="00D27342">
        <w:rPr>
          <w:sz w:val="22"/>
        </w:rPr>
        <w:t xml:space="preserve"> </w:t>
      </w:r>
    </w:p>
    <w:p w14:paraId="02CC5119" w14:textId="77777777" w:rsidR="00DB1211" w:rsidRDefault="00DB1211" w:rsidP="00DA1B55">
      <w:pPr>
        <w:keepNext/>
      </w:pPr>
      <w:r w:rsidRPr="00DA1B55">
        <w:rPr>
          <w:noProof/>
          <w:sz w:val="22"/>
          <w:szCs w:val="22"/>
          <w:shd w:val="clear" w:color="auto" w:fill="014463" w:themeFill="text2"/>
          <w:lang w:eastAsia="en-AU"/>
        </w:rPr>
        <w:lastRenderedPageBreak/>
        <w:drawing>
          <wp:inline distT="0" distB="0" distL="0" distR="0" wp14:anchorId="7035192A" wp14:editId="4013634F">
            <wp:extent cx="6249670" cy="2063692"/>
            <wp:effectExtent l="38100" t="0" r="55880" b="1333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34FEA58" w14:textId="425A2347" w:rsidR="00DB1211" w:rsidRDefault="00DB1211" w:rsidP="00DA1B55">
      <w:pPr>
        <w:pStyle w:val="Caption"/>
        <w:rPr>
          <w:sz w:val="22"/>
        </w:rPr>
      </w:pPr>
      <w:bookmarkStart w:id="143" w:name="_Ref119325732"/>
      <w:r>
        <w:t xml:space="preserve">Figure </w:t>
      </w:r>
      <w:r w:rsidR="00DA1B55">
        <w:rPr>
          <w:noProof/>
        </w:rPr>
        <w:fldChar w:fldCharType="begin"/>
      </w:r>
      <w:r w:rsidR="00DA1B55">
        <w:rPr>
          <w:noProof/>
        </w:rPr>
        <w:instrText xml:space="preserve"> SEQ Figure \* ARABIC </w:instrText>
      </w:r>
      <w:r w:rsidR="00DA1B55">
        <w:rPr>
          <w:noProof/>
        </w:rPr>
        <w:fldChar w:fldCharType="separate"/>
      </w:r>
      <w:r w:rsidR="00A811DA">
        <w:rPr>
          <w:noProof/>
        </w:rPr>
        <w:t>2</w:t>
      </w:r>
      <w:r w:rsidR="00DA1B55">
        <w:rPr>
          <w:noProof/>
        </w:rPr>
        <w:fldChar w:fldCharType="end"/>
      </w:r>
      <w:bookmarkEnd w:id="143"/>
      <w:r>
        <w:t xml:space="preserve"> </w:t>
      </w:r>
      <w:r w:rsidRPr="00723431">
        <w:t>Objectives and policy principles of proposed Safeguard Mechanism Reforms</w:t>
      </w:r>
    </w:p>
    <w:p w14:paraId="5BDE3000" w14:textId="7FFD27A0" w:rsidR="00CF68FA" w:rsidRPr="00CF68FA" w:rsidRDefault="006F1EB5" w:rsidP="00DA1B55">
      <w:pPr>
        <w:rPr>
          <w:b/>
        </w:rPr>
        <w:sectPr w:rsidR="00CF68FA" w:rsidRPr="00CF68FA" w:rsidSect="00753174">
          <w:pgSz w:w="11906" w:h="16838"/>
          <w:pgMar w:top="1559" w:right="851" w:bottom="1701" w:left="851" w:header="567" w:footer="57" w:gutter="0"/>
          <w:cols w:space="708"/>
          <w:docGrid w:linePitch="360"/>
        </w:sectPr>
      </w:pPr>
      <w:r w:rsidRPr="006F1EB5">
        <w:rPr>
          <w:sz w:val="22"/>
        </w:rPr>
        <w:t xml:space="preserve">Consultation revealed general consensus that the policy design principles </w:t>
      </w:r>
      <w:r w:rsidR="00912696">
        <w:rPr>
          <w:sz w:val="22"/>
        </w:rPr>
        <w:t>are appropriate</w:t>
      </w:r>
      <w:r w:rsidRPr="006F1EB5">
        <w:rPr>
          <w:sz w:val="22"/>
        </w:rPr>
        <w:t>.</w:t>
      </w:r>
      <w:r>
        <w:rPr>
          <w:sz w:val="22"/>
        </w:rPr>
        <w:t xml:space="preserve"> </w:t>
      </w:r>
      <w:r w:rsidR="00CF68FA" w:rsidRPr="00D21F8C">
        <w:rPr>
          <w:sz w:val="22"/>
        </w:rPr>
        <w:t>These principles have</w:t>
      </w:r>
      <w:r w:rsidR="00D27342">
        <w:rPr>
          <w:sz w:val="22"/>
        </w:rPr>
        <w:t>,</w:t>
      </w:r>
      <w:r w:rsidR="00CF68FA" w:rsidRPr="00D21F8C">
        <w:rPr>
          <w:sz w:val="22"/>
        </w:rPr>
        <w:t xml:space="preserve"> </w:t>
      </w:r>
      <w:r>
        <w:rPr>
          <w:sz w:val="22"/>
        </w:rPr>
        <w:t>therefore</w:t>
      </w:r>
      <w:r w:rsidR="00D27342">
        <w:rPr>
          <w:sz w:val="22"/>
        </w:rPr>
        <w:t>,</w:t>
      </w:r>
      <w:r>
        <w:rPr>
          <w:sz w:val="22"/>
        </w:rPr>
        <w:t xml:space="preserve"> </w:t>
      </w:r>
      <w:r w:rsidR="00CF68FA" w:rsidRPr="00D21F8C">
        <w:rPr>
          <w:sz w:val="22"/>
        </w:rPr>
        <w:t xml:space="preserve">informed the </w:t>
      </w:r>
      <w:r w:rsidR="00912E01">
        <w:rPr>
          <w:sz w:val="22"/>
        </w:rPr>
        <w:t>analysis</w:t>
      </w:r>
      <w:r w:rsidR="00912E01" w:rsidRPr="00D21F8C">
        <w:rPr>
          <w:sz w:val="22"/>
        </w:rPr>
        <w:t xml:space="preserve"> </w:t>
      </w:r>
      <w:r w:rsidR="00CF68FA" w:rsidRPr="00D21F8C">
        <w:rPr>
          <w:sz w:val="22"/>
        </w:rPr>
        <w:t xml:space="preserve">and proposed recommendations in </w:t>
      </w:r>
      <w:r w:rsidR="002C6BAF">
        <w:rPr>
          <w:sz w:val="22"/>
        </w:rPr>
        <w:t xml:space="preserve">response to </w:t>
      </w:r>
      <w:r w:rsidR="009A2948">
        <w:rPr>
          <w:sz w:val="22"/>
        </w:rPr>
        <w:t xml:space="preserve">Question 4 </w:t>
      </w:r>
      <w:r w:rsidR="00BC699F">
        <w:rPr>
          <w:sz w:val="22"/>
        </w:rPr>
        <w:t xml:space="preserve">and Question 6 </w:t>
      </w:r>
      <w:r w:rsidR="009A2948">
        <w:rPr>
          <w:sz w:val="22"/>
        </w:rPr>
        <w:t xml:space="preserve">of this </w:t>
      </w:r>
      <w:r w:rsidR="00912E01">
        <w:rPr>
          <w:sz w:val="22"/>
        </w:rPr>
        <w:t>R</w:t>
      </w:r>
      <w:r w:rsidR="009A2948">
        <w:rPr>
          <w:sz w:val="22"/>
        </w:rPr>
        <w:t>egulat</w:t>
      </w:r>
      <w:r w:rsidR="00912E01">
        <w:rPr>
          <w:sz w:val="22"/>
        </w:rPr>
        <w:t>ory</w:t>
      </w:r>
      <w:r w:rsidR="009A2948">
        <w:rPr>
          <w:sz w:val="22"/>
        </w:rPr>
        <w:t xml:space="preserve"> </w:t>
      </w:r>
      <w:r w:rsidR="00912E01">
        <w:rPr>
          <w:sz w:val="22"/>
        </w:rPr>
        <w:t>I</w:t>
      </w:r>
      <w:r w:rsidR="009A2948">
        <w:rPr>
          <w:sz w:val="22"/>
        </w:rPr>
        <w:t xml:space="preserve">mpact </w:t>
      </w:r>
      <w:r w:rsidR="00F10D3E">
        <w:rPr>
          <w:sz w:val="22"/>
        </w:rPr>
        <w:t>Analysis</w:t>
      </w:r>
      <w:r w:rsidR="009A2948">
        <w:rPr>
          <w:sz w:val="22"/>
        </w:rPr>
        <w:t xml:space="preserve">. </w:t>
      </w:r>
    </w:p>
    <w:p w14:paraId="75E44E7B" w14:textId="77777777" w:rsidR="00651F89" w:rsidRDefault="00651F89" w:rsidP="00DA1B55">
      <w:pPr>
        <w:pStyle w:val="Heading1"/>
      </w:pPr>
      <w:bookmarkStart w:id="144" w:name="_Toc118750365"/>
      <w:bookmarkStart w:id="145" w:name="_Toc118754641"/>
      <w:bookmarkStart w:id="146" w:name="_Toc118813932"/>
      <w:bookmarkStart w:id="147" w:name="_Toc119327142"/>
      <w:bookmarkStart w:id="148" w:name="_Toc119360647"/>
      <w:bookmarkStart w:id="149" w:name="_Toc132807537"/>
      <w:r>
        <w:lastRenderedPageBreak/>
        <w:t>3. What policy options are you considering?</w:t>
      </w:r>
      <w:bookmarkEnd w:id="144"/>
      <w:bookmarkEnd w:id="145"/>
      <w:bookmarkEnd w:id="146"/>
      <w:bookmarkEnd w:id="147"/>
      <w:bookmarkEnd w:id="148"/>
      <w:bookmarkEnd w:id="149"/>
    </w:p>
    <w:p w14:paraId="52A3C6C2" w14:textId="77777777" w:rsidR="00A406D1" w:rsidRDefault="00A406D1" w:rsidP="00DA1B55">
      <w:pPr>
        <w:pStyle w:val="Heading2"/>
      </w:pPr>
      <w:bookmarkStart w:id="150" w:name="_Toc118750366"/>
      <w:bookmarkStart w:id="151" w:name="_Toc118754642"/>
      <w:bookmarkStart w:id="152" w:name="_Toc118813933"/>
      <w:bookmarkStart w:id="153" w:name="_Toc119327143"/>
      <w:bookmarkStart w:id="154" w:name="_Toc119360648"/>
      <w:bookmarkStart w:id="155" w:name="_Toc132807538"/>
      <w:r>
        <w:t>Overview of policy options</w:t>
      </w:r>
      <w:bookmarkEnd w:id="150"/>
      <w:bookmarkEnd w:id="151"/>
      <w:bookmarkEnd w:id="152"/>
      <w:bookmarkEnd w:id="153"/>
      <w:bookmarkEnd w:id="154"/>
      <w:bookmarkEnd w:id="155"/>
    </w:p>
    <w:p w14:paraId="700CE6E7" w14:textId="1AE19CD8" w:rsidR="0070441A" w:rsidRDefault="0070441A" w:rsidP="0070441A">
      <w:pPr>
        <w:rPr>
          <w:sz w:val="22"/>
        </w:rPr>
      </w:pPr>
      <w:r>
        <w:rPr>
          <w:sz w:val="22"/>
        </w:rPr>
        <w:t xml:space="preserve">Three policy options </w:t>
      </w:r>
      <w:r w:rsidR="00D13430">
        <w:rPr>
          <w:sz w:val="22"/>
        </w:rPr>
        <w:t xml:space="preserve">have been analysed to fulfil the </w:t>
      </w:r>
      <w:r w:rsidR="00905068">
        <w:rPr>
          <w:sz w:val="22"/>
        </w:rPr>
        <w:t xml:space="preserve">2022 </w:t>
      </w:r>
      <w:r w:rsidR="00D13430">
        <w:rPr>
          <w:sz w:val="22"/>
        </w:rPr>
        <w:t>election commitment to reform the Safeguard Mechanism</w:t>
      </w:r>
      <w:r w:rsidR="00C35CCF">
        <w:rPr>
          <w:sz w:val="22"/>
        </w:rPr>
        <w:t xml:space="preserve">. </w:t>
      </w:r>
      <w:r w:rsidR="00563D28">
        <w:rPr>
          <w:sz w:val="22"/>
        </w:rPr>
        <w:t xml:space="preserve">In making the Safeguard Rules, Option 3 is preferred. </w:t>
      </w:r>
      <w:r w:rsidR="003C672A">
        <w:rPr>
          <w:sz w:val="22"/>
        </w:rPr>
        <w:t>Options</w:t>
      </w:r>
      <w:r w:rsidDel="00D13430">
        <w:rPr>
          <w:sz w:val="22"/>
        </w:rPr>
        <w:t xml:space="preserve"> </w:t>
      </w:r>
      <w:r>
        <w:rPr>
          <w:sz w:val="22"/>
        </w:rPr>
        <w:t xml:space="preserve">are </w:t>
      </w:r>
      <w:r w:rsidR="00476D8F">
        <w:rPr>
          <w:sz w:val="22"/>
        </w:rPr>
        <w:t>compared</w:t>
      </w:r>
      <w:r>
        <w:rPr>
          <w:sz w:val="22"/>
        </w:rPr>
        <w:t xml:space="preserve"> with the </w:t>
      </w:r>
      <w:r w:rsidR="00854EFE">
        <w:rPr>
          <w:sz w:val="22"/>
        </w:rPr>
        <w:t xml:space="preserve">reference </w:t>
      </w:r>
      <w:r w:rsidR="00A403FF">
        <w:rPr>
          <w:sz w:val="22"/>
        </w:rPr>
        <w:t>(business-as-usual</w:t>
      </w:r>
      <w:r w:rsidR="00854EFE">
        <w:rPr>
          <w:sz w:val="22"/>
        </w:rPr>
        <w:t>) option</w:t>
      </w:r>
      <w:r w:rsidR="00152D97">
        <w:rPr>
          <w:sz w:val="22"/>
        </w:rPr>
        <w:t>, reflecting</w:t>
      </w:r>
      <w:r w:rsidR="00D13430" w:rsidDel="00152D97">
        <w:rPr>
          <w:sz w:val="22"/>
        </w:rPr>
        <w:t xml:space="preserve"> </w:t>
      </w:r>
      <w:r w:rsidR="00D13430">
        <w:rPr>
          <w:sz w:val="22"/>
        </w:rPr>
        <w:t>the current policy settings for the Safeguard Mechanism</w:t>
      </w:r>
      <w:r w:rsidR="00854EFE">
        <w:rPr>
          <w:sz w:val="22"/>
        </w:rPr>
        <w:t>. The main features and points of difference between the options are identified</w:t>
      </w:r>
      <w:r w:rsidR="00ED084B">
        <w:rPr>
          <w:sz w:val="22"/>
        </w:rPr>
        <w:t xml:space="preserve"> </w:t>
      </w:r>
      <w:r w:rsidR="00105048">
        <w:rPr>
          <w:sz w:val="22"/>
          <w:szCs w:val="22"/>
        </w:rPr>
        <w:t xml:space="preserve">in </w:t>
      </w:r>
      <w:r w:rsidR="00105048" w:rsidRPr="00A403FF">
        <w:rPr>
          <w:sz w:val="22"/>
          <w:szCs w:val="22"/>
        </w:rPr>
        <w:fldChar w:fldCharType="begin"/>
      </w:r>
      <w:r w:rsidR="00105048" w:rsidRPr="00A403FF">
        <w:rPr>
          <w:sz w:val="22"/>
          <w:szCs w:val="22"/>
        </w:rPr>
        <w:instrText xml:space="preserve"> REF _Ref118191938 \h </w:instrText>
      </w:r>
      <w:r w:rsidR="00105048">
        <w:rPr>
          <w:sz w:val="22"/>
          <w:szCs w:val="22"/>
        </w:rPr>
        <w:instrText xml:space="preserve"> \* MERGEFORMAT </w:instrText>
      </w:r>
      <w:r w:rsidR="00105048" w:rsidRPr="00A403FF">
        <w:rPr>
          <w:sz w:val="22"/>
          <w:szCs w:val="22"/>
        </w:rPr>
      </w:r>
      <w:r w:rsidR="00105048" w:rsidRPr="00A403FF">
        <w:rPr>
          <w:sz w:val="22"/>
          <w:szCs w:val="22"/>
        </w:rPr>
        <w:fldChar w:fldCharType="separate"/>
      </w:r>
      <w:r w:rsidR="004C704F" w:rsidRPr="00CF219C">
        <w:rPr>
          <w:sz w:val="22"/>
          <w:szCs w:val="22"/>
        </w:rPr>
        <w:t>Table 2</w:t>
      </w:r>
      <w:r w:rsidR="00105048" w:rsidRPr="00A403FF">
        <w:rPr>
          <w:sz w:val="22"/>
          <w:szCs w:val="22"/>
        </w:rPr>
        <w:fldChar w:fldCharType="end"/>
      </w:r>
      <w:r w:rsidR="00105048">
        <w:rPr>
          <w:sz w:val="22"/>
          <w:szCs w:val="22"/>
        </w:rPr>
        <w:t>.</w:t>
      </w:r>
    </w:p>
    <w:p w14:paraId="3A03115F" w14:textId="306E4A42" w:rsidR="00ED084B" w:rsidRDefault="004C704F" w:rsidP="00ED084B">
      <w:pPr>
        <w:pStyle w:val="Caption"/>
      </w:pPr>
      <w:bookmarkStart w:id="156" w:name="_Ref118191938"/>
      <w:bookmarkStart w:id="157" w:name="_Ref118191921"/>
      <w:r>
        <w:t xml:space="preserve">Table </w:t>
      </w:r>
      <w:fldSimple w:instr=" SEQ Table \* ARABIC ">
        <w:r w:rsidR="00F30595">
          <w:rPr>
            <w:noProof/>
          </w:rPr>
          <w:t>2</w:t>
        </w:r>
      </w:fldSimple>
      <w:bookmarkEnd w:id="156"/>
      <w:r w:rsidR="00105048">
        <w:t xml:space="preserve"> </w:t>
      </w:r>
      <w:r w:rsidR="00ED084B">
        <w:t>Summary of policy options</w:t>
      </w:r>
      <w:bookmarkEnd w:id="157"/>
    </w:p>
    <w:tbl>
      <w:tblPr>
        <w:tblStyle w:val="PMCTableStyle2"/>
        <w:tblW w:w="0" w:type="auto"/>
        <w:tblLook w:val="04A0" w:firstRow="1" w:lastRow="0" w:firstColumn="1" w:lastColumn="0" w:noHBand="0" w:noVBand="1"/>
      </w:tblPr>
      <w:tblGrid>
        <w:gridCol w:w="2405"/>
        <w:gridCol w:w="7789"/>
      </w:tblGrid>
      <w:tr w:rsidR="0070441A" w14:paraId="07634B9A" w14:textId="77777777" w:rsidTr="00734E60">
        <w:trPr>
          <w:cnfStyle w:val="100000000000" w:firstRow="1" w:lastRow="0" w:firstColumn="0" w:lastColumn="0" w:oddVBand="0" w:evenVBand="0" w:oddHBand="0" w:evenHBand="0" w:firstRowFirstColumn="0" w:firstRowLastColumn="0" w:lastRowFirstColumn="0" w:lastRowLastColumn="0"/>
        </w:trPr>
        <w:tc>
          <w:tcPr>
            <w:tcW w:w="2405" w:type="dxa"/>
          </w:tcPr>
          <w:p w14:paraId="22BE4141" w14:textId="77777777" w:rsidR="0070441A" w:rsidRPr="00734E60" w:rsidRDefault="00A403FF" w:rsidP="0070441A">
            <w:pPr>
              <w:rPr>
                <w:sz w:val="20"/>
              </w:rPr>
            </w:pPr>
            <w:r w:rsidRPr="00734E60">
              <w:rPr>
                <w:sz w:val="20"/>
              </w:rPr>
              <w:t>Policy option</w:t>
            </w:r>
          </w:p>
        </w:tc>
        <w:tc>
          <w:tcPr>
            <w:tcW w:w="7789" w:type="dxa"/>
          </w:tcPr>
          <w:p w14:paraId="77DA28FC" w14:textId="77777777" w:rsidR="0070441A" w:rsidRPr="00734E60" w:rsidRDefault="00A403FF" w:rsidP="0070441A">
            <w:pPr>
              <w:rPr>
                <w:sz w:val="20"/>
              </w:rPr>
            </w:pPr>
            <w:r w:rsidRPr="00734E60">
              <w:rPr>
                <w:sz w:val="20"/>
              </w:rPr>
              <w:t>Policy setting</w:t>
            </w:r>
          </w:p>
        </w:tc>
      </w:tr>
      <w:tr w:rsidR="00A403FF" w14:paraId="3F0E3098" w14:textId="77777777" w:rsidTr="00734E60">
        <w:tc>
          <w:tcPr>
            <w:tcW w:w="2405" w:type="dxa"/>
          </w:tcPr>
          <w:p w14:paraId="075816C2" w14:textId="77777777" w:rsidR="00A403FF" w:rsidRPr="00734E60" w:rsidRDefault="00A403FF" w:rsidP="00A403FF">
            <w:r w:rsidRPr="00734E60">
              <w:t>Reference option (</w:t>
            </w:r>
            <w:proofErr w:type="spellStart"/>
            <w:r w:rsidRPr="00734E60">
              <w:t>BAU</w:t>
            </w:r>
            <w:proofErr w:type="spellEnd"/>
            <w:r w:rsidRPr="00734E60">
              <w:t>)</w:t>
            </w:r>
          </w:p>
        </w:tc>
        <w:tc>
          <w:tcPr>
            <w:tcW w:w="7789" w:type="dxa"/>
          </w:tcPr>
          <w:p w14:paraId="596DD2B6" w14:textId="77777777" w:rsidR="00A403FF" w:rsidRPr="00734E60" w:rsidRDefault="00A403FF">
            <w:pPr>
              <w:pStyle w:val="ListParagraph"/>
              <w:numPr>
                <w:ilvl w:val="0"/>
                <w:numId w:val="47"/>
              </w:numPr>
            </w:pPr>
            <w:r w:rsidRPr="00734E60">
              <w:t xml:space="preserve">The current policy based on </w:t>
            </w:r>
            <w:r w:rsidRPr="00734E60" w:rsidDel="00ED0C81">
              <w:t>the 2 September 2022 compilation of the National Greenhouse and Energy Reporting (Safeguard Mechanism) Rule 2015.</w:t>
            </w:r>
          </w:p>
          <w:p w14:paraId="65397FD5" w14:textId="77777777" w:rsidR="00A403FF" w:rsidRPr="00734E60" w:rsidRDefault="00A403FF">
            <w:pPr>
              <w:pStyle w:val="ListParagraph"/>
              <w:numPr>
                <w:ilvl w:val="0"/>
                <w:numId w:val="47"/>
              </w:numPr>
            </w:pPr>
            <w:r w:rsidRPr="00734E60">
              <w:rPr>
                <w:b/>
              </w:rPr>
              <w:t>Baselines do not decline</w:t>
            </w:r>
            <w:r w:rsidRPr="00734E60">
              <w:t xml:space="preserve"> and emissions from Safeguard facilities are not reduced consistent with Australia’s 2030 target. </w:t>
            </w:r>
          </w:p>
          <w:p w14:paraId="69EA07E9" w14:textId="77777777" w:rsidR="00A403FF" w:rsidRPr="00734E60" w:rsidRDefault="00A403FF">
            <w:pPr>
              <w:pStyle w:val="ListParagraph"/>
              <w:numPr>
                <w:ilvl w:val="0"/>
                <w:numId w:val="47"/>
              </w:numPr>
            </w:pPr>
            <w:r w:rsidRPr="00734E60">
              <w:t xml:space="preserve">No requirement for </w:t>
            </w:r>
            <w:proofErr w:type="spellStart"/>
            <w:r w:rsidRPr="00734E60">
              <w:t>EITEs</w:t>
            </w:r>
            <w:proofErr w:type="spellEnd"/>
            <w:r w:rsidRPr="00734E60">
              <w:t xml:space="preserve"> assistance.</w:t>
            </w:r>
          </w:p>
          <w:p w14:paraId="523E674F" w14:textId="77777777" w:rsidR="00A403FF" w:rsidRPr="00734E60" w:rsidRDefault="00A403FF">
            <w:pPr>
              <w:pStyle w:val="ListParagraph"/>
              <w:numPr>
                <w:ilvl w:val="0"/>
                <w:numId w:val="47"/>
              </w:numPr>
            </w:pPr>
            <w:r w:rsidRPr="00734E60">
              <w:t xml:space="preserve">No crediting or trading. </w:t>
            </w:r>
          </w:p>
        </w:tc>
      </w:tr>
      <w:tr w:rsidR="00A403FF" w14:paraId="23CCD51F" w14:textId="77777777" w:rsidTr="00734E60">
        <w:trPr>
          <w:cnfStyle w:val="000000010000" w:firstRow="0" w:lastRow="0" w:firstColumn="0" w:lastColumn="0" w:oddVBand="0" w:evenVBand="0" w:oddHBand="0" w:evenHBand="1" w:firstRowFirstColumn="0" w:firstRowLastColumn="0" w:lastRowFirstColumn="0" w:lastRowLastColumn="0"/>
        </w:trPr>
        <w:tc>
          <w:tcPr>
            <w:tcW w:w="2405" w:type="dxa"/>
          </w:tcPr>
          <w:p w14:paraId="1E6B0A77" w14:textId="77777777" w:rsidR="00A403FF" w:rsidRPr="00734E60" w:rsidRDefault="00A403FF" w:rsidP="00A403FF">
            <w:r w:rsidRPr="00734E60">
              <w:t>Option 1 (industry average emissions intensities)</w:t>
            </w:r>
          </w:p>
        </w:tc>
        <w:tc>
          <w:tcPr>
            <w:tcW w:w="7789" w:type="dxa"/>
          </w:tcPr>
          <w:p w14:paraId="0B7D4981" w14:textId="77777777" w:rsidR="00A403FF" w:rsidRPr="00734E60" w:rsidRDefault="00A403FF">
            <w:pPr>
              <w:pStyle w:val="ListParagraph"/>
              <w:numPr>
                <w:ilvl w:val="0"/>
                <w:numId w:val="47"/>
              </w:numPr>
            </w:pPr>
            <w:r w:rsidRPr="00734E60">
              <w:t xml:space="preserve">Baselines are reset using </w:t>
            </w:r>
            <w:r w:rsidRPr="00734E60">
              <w:rPr>
                <w:b/>
              </w:rPr>
              <w:t>industry average emissions intensity</w:t>
            </w:r>
            <w:r w:rsidRPr="00734E60">
              <w:t xml:space="preserve"> values.</w:t>
            </w:r>
          </w:p>
          <w:p w14:paraId="60799E45" w14:textId="77777777" w:rsidR="00A403FF" w:rsidRPr="00734E60" w:rsidRDefault="00A403FF">
            <w:pPr>
              <w:pStyle w:val="ListParagraph"/>
              <w:numPr>
                <w:ilvl w:val="0"/>
                <w:numId w:val="47"/>
              </w:numPr>
            </w:pPr>
            <w:r w:rsidRPr="00734E60">
              <w:t xml:space="preserve">Baselines decline and emissions from Safeguard facilities are reduced consistent with Australia’s 2030 target. </w:t>
            </w:r>
          </w:p>
          <w:p w14:paraId="34B9B70D" w14:textId="77777777" w:rsidR="00096253" w:rsidRPr="00734E60" w:rsidRDefault="00096253">
            <w:pPr>
              <w:pStyle w:val="ListParagraph"/>
              <w:numPr>
                <w:ilvl w:val="0"/>
                <w:numId w:val="47"/>
              </w:numPr>
            </w:pPr>
            <w:r w:rsidRPr="00734E60">
              <w:t xml:space="preserve">Best-practice benchmarks applied to new entrants for baseline setting  </w:t>
            </w:r>
          </w:p>
          <w:p w14:paraId="53B03C79" w14:textId="77777777" w:rsidR="00A403FF" w:rsidRPr="00734E60" w:rsidRDefault="00A403FF">
            <w:pPr>
              <w:pStyle w:val="ListParagraph"/>
              <w:numPr>
                <w:ilvl w:val="0"/>
                <w:numId w:val="47"/>
              </w:numPr>
            </w:pPr>
            <w:r w:rsidRPr="00734E60">
              <w:t xml:space="preserve">Tailored </w:t>
            </w:r>
            <w:proofErr w:type="spellStart"/>
            <w:r w:rsidRPr="00734E60">
              <w:t>EITEs</w:t>
            </w:r>
            <w:proofErr w:type="spellEnd"/>
            <w:r w:rsidRPr="00734E60">
              <w:t xml:space="preserve"> assistance</w:t>
            </w:r>
            <w:r w:rsidR="005B78B4">
              <w:t xml:space="preserve"> (detailed criteria not defined)</w:t>
            </w:r>
            <w:r w:rsidRPr="00734E60">
              <w:t>.</w:t>
            </w:r>
          </w:p>
          <w:p w14:paraId="2B0CC420" w14:textId="77777777" w:rsidR="00A403FF" w:rsidRPr="00734E60" w:rsidRDefault="00A403FF">
            <w:pPr>
              <w:pStyle w:val="ListParagraph"/>
              <w:numPr>
                <w:ilvl w:val="0"/>
                <w:numId w:val="47"/>
              </w:numPr>
            </w:pPr>
            <w:r w:rsidRPr="00734E60">
              <w:t xml:space="preserve">Crediting </w:t>
            </w:r>
            <w:r w:rsidR="00C35CCF" w:rsidRPr="00734E60">
              <w:t xml:space="preserve">and </w:t>
            </w:r>
            <w:r w:rsidRPr="00734E60">
              <w:t>trading.</w:t>
            </w:r>
          </w:p>
        </w:tc>
      </w:tr>
      <w:tr w:rsidR="00A403FF" w14:paraId="49CC8FA1" w14:textId="77777777" w:rsidTr="00734E60">
        <w:tc>
          <w:tcPr>
            <w:tcW w:w="2405" w:type="dxa"/>
          </w:tcPr>
          <w:p w14:paraId="0418C368" w14:textId="77777777" w:rsidR="00A403FF" w:rsidRPr="00734E60" w:rsidRDefault="00A403FF" w:rsidP="00A403FF">
            <w:r w:rsidRPr="00734E60">
              <w:t>Option 2 (site</w:t>
            </w:r>
            <w:r w:rsidR="00552CEA" w:rsidRPr="00734E60">
              <w:t>-</w:t>
            </w:r>
            <w:r w:rsidRPr="00734E60">
              <w:t>specific emissions intensities)</w:t>
            </w:r>
          </w:p>
        </w:tc>
        <w:tc>
          <w:tcPr>
            <w:tcW w:w="7789" w:type="dxa"/>
          </w:tcPr>
          <w:p w14:paraId="450D28A6" w14:textId="77777777" w:rsidR="00A403FF" w:rsidRPr="00734E60" w:rsidRDefault="00A403FF">
            <w:pPr>
              <w:pStyle w:val="ListParagraph"/>
              <w:numPr>
                <w:ilvl w:val="0"/>
                <w:numId w:val="47"/>
              </w:numPr>
            </w:pPr>
            <w:r w:rsidRPr="00734E60">
              <w:t xml:space="preserve">Baselines are reset using </w:t>
            </w:r>
            <w:r w:rsidRPr="00734E60">
              <w:rPr>
                <w:b/>
              </w:rPr>
              <w:t>site</w:t>
            </w:r>
            <w:r w:rsidR="00552CEA" w:rsidRPr="00734E60">
              <w:rPr>
                <w:b/>
              </w:rPr>
              <w:t>-</w:t>
            </w:r>
            <w:r w:rsidRPr="00734E60">
              <w:rPr>
                <w:b/>
              </w:rPr>
              <w:t>specific emissions intensity</w:t>
            </w:r>
            <w:r w:rsidRPr="00734E60">
              <w:t xml:space="preserve"> values.</w:t>
            </w:r>
          </w:p>
          <w:p w14:paraId="24DD472A" w14:textId="77777777" w:rsidR="00096253" w:rsidRPr="00734E60" w:rsidRDefault="00A403FF">
            <w:pPr>
              <w:pStyle w:val="ListParagraph"/>
              <w:numPr>
                <w:ilvl w:val="0"/>
                <w:numId w:val="47"/>
              </w:numPr>
            </w:pPr>
            <w:r w:rsidRPr="00734E60">
              <w:t>Baselines decline and emissions from Safeguard facilities are reduced consistent with Australia’s 2030 target.</w:t>
            </w:r>
          </w:p>
          <w:p w14:paraId="57FFEE73" w14:textId="77777777" w:rsidR="00A403FF" w:rsidRPr="00734E60" w:rsidRDefault="00096253">
            <w:pPr>
              <w:pStyle w:val="ListParagraph"/>
              <w:numPr>
                <w:ilvl w:val="0"/>
                <w:numId w:val="47"/>
              </w:numPr>
            </w:pPr>
            <w:r w:rsidRPr="00734E60">
              <w:t>Best-practice benchmarks applied to new entrants for baseline setting</w:t>
            </w:r>
            <w:r w:rsidR="00A403FF" w:rsidRPr="00734E60">
              <w:t xml:space="preserve"> </w:t>
            </w:r>
          </w:p>
          <w:p w14:paraId="106B839A" w14:textId="77777777" w:rsidR="00A403FF" w:rsidRPr="00734E60" w:rsidRDefault="00A403FF">
            <w:pPr>
              <w:pStyle w:val="ListParagraph"/>
              <w:numPr>
                <w:ilvl w:val="0"/>
                <w:numId w:val="47"/>
              </w:numPr>
            </w:pPr>
            <w:r w:rsidRPr="00734E60">
              <w:t xml:space="preserve">Tailored </w:t>
            </w:r>
            <w:proofErr w:type="spellStart"/>
            <w:r w:rsidRPr="00734E60">
              <w:t>EITEs</w:t>
            </w:r>
            <w:proofErr w:type="spellEnd"/>
            <w:r w:rsidRPr="00734E60">
              <w:t xml:space="preserve"> assistance</w:t>
            </w:r>
            <w:r w:rsidR="005B78B4">
              <w:t xml:space="preserve"> (detailed criteria not defined)</w:t>
            </w:r>
            <w:r w:rsidRPr="00734E60">
              <w:t>.</w:t>
            </w:r>
          </w:p>
          <w:p w14:paraId="07A46BE9" w14:textId="77777777" w:rsidR="00A403FF" w:rsidRPr="00734E60" w:rsidRDefault="00A403FF">
            <w:pPr>
              <w:pStyle w:val="ListParagraph"/>
              <w:numPr>
                <w:ilvl w:val="0"/>
                <w:numId w:val="47"/>
              </w:numPr>
            </w:pPr>
            <w:r w:rsidRPr="00734E60">
              <w:t xml:space="preserve">Crediting </w:t>
            </w:r>
            <w:r w:rsidR="00C35CCF" w:rsidRPr="00734E60">
              <w:t xml:space="preserve">and </w:t>
            </w:r>
            <w:r w:rsidRPr="00734E60">
              <w:t>trading.</w:t>
            </w:r>
          </w:p>
        </w:tc>
      </w:tr>
      <w:tr w:rsidR="00A403FF" w14:paraId="74F2D9F4" w14:textId="77777777" w:rsidTr="00734E60">
        <w:trPr>
          <w:cnfStyle w:val="000000010000" w:firstRow="0" w:lastRow="0" w:firstColumn="0" w:lastColumn="0" w:oddVBand="0" w:evenVBand="0" w:oddHBand="0" w:evenHBand="1" w:firstRowFirstColumn="0" w:firstRowLastColumn="0" w:lastRowFirstColumn="0" w:lastRowLastColumn="0"/>
        </w:trPr>
        <w:tc>
          <w:tcPr>
            <w:tcW w:w="2405" w:type="dxa"/>
          </w:tcPr>
          <w:p w14:paraId="47AEDFFD" w14:textId="77777777" w:rsidR="00A403FF" w:rsidRPr="00734E60" w:rsidRDefault="00A403FF" w:rsidP="00A403FF">
            <w:r w:rsidRPr="00734E60">
              <w:t>Option 3 (hybrid that transitions to Option 1 by 2030</w:t>
            </w:r>
            <w:r w:rsidR="006A0F1D">
              <w:t xml:space="preserve"> and final policy design</w:t>
            </w:r>
            <w:r w:rsidRPr="00734E60">
              <w:t>)</w:t>
            </w:r>
          </w:p>
        </w:tc>
        <w:tc>
          <w:tcPr>
            <w:tcW w:w="7789" w:type="dxa"/>
          </w:tcPr>
          <w:p w14:paraId="1AD3D836" w14:textId="77777777" w:rsidR="00A403FF" w:rsidRPr="00734E60" w:rsidRDefault="00A403FF">
            <w:pPr>
              <w:pStyle w:val="ListParagraph"/>
              <w:numPr>
                <w:ilvl w:val="0"/>
                <w:numId w:val="47"/>
              </w:numPr>
            </w:pPr>
            <w:r w:rsidRPr="00734E60">
              <w:t xml:space="preserve">Baselines are reset starting with close to </w:t>
            </w:r>
            <w:r w:rsidRPr="00734E60">
              <w:rPr>
                <w:b/>
              </w:rPr>
              <w:t>site</w:t>
            </w:r>
            <w:r w:rsidR="00552CEA" w:rsidRPr="00734E60">
              <w:rPr>
                <w:b/>
              </w:rPr>
              <w:t>-</w:t>
            </w:r>
            <w:r w:rsidRPr="00734E60">
              <w:rPr>
                <w:b/>
              </w:rPr>
              <w:t>specific emissions intensity values, transitioning to industry average emissions intensity values by 2030</w:t>
            </w:r>
            <w:r w:rsidRPr="00734E60">
              <w:t>.</w:t>
            </w:r>
          </w:p>
          <w:p w14:paraId="4C1A474A" w14:textId="77777777" w:rsidR="00A403FF" w:rsidRPr="00734E60" w:rsidRDefault="00A403FF">
            <w:pPr>
              <w:pStyle w:val="ListParagraph"/>
              <w:numPr>
                <w:ilvl w:val="0"/>
                <w:numId w:val="47"/>
              </w:numPr>
            </w:pPr>
            <w:r w:rsidRPr="00734E60">
              <w:t xml:space="preserve">Baselines decline and emissions from Safeguard facilities are reduced consistent with Australia’s 2030 target. </w:t>
            </w:r>
          </w:p>
          <w:p w14:paraId="272DBA26" w14:textId="77777777" w:rsidR="00B2204F" w:rsidRPr="00734E60" w:rsidRDefault="00B2204F">
            <w:pPr>
              <w:pStyle w:val="ListParagraph"/>
              <w:numPr>
                <w:ilvl w:val="0"/>
                <w:numId w:val="47"/>
              </w:numPr>
            </w:pPr>
            <w:r w:rsidRPr="00734E60">
              <w:t xml:space="preserve">International best-practice benchmarks applied to new entrants for baseline setting </w:t>
            </w:r>
          </w:p>
          <w:p w14:paraId="204B1C99" w14:textId="77777777" w:rsidR="00A403FF" w:rsidRPr="00734E60" w:rsidRDefault="00A403FF">
            <w:pPr>
              <w:pStyle w:val="ListParagraph"/>
              <w:numPr>
                <w:ilvl w:val="0"/>
                <w:numId w:val="47"/>
              </w:numPr>
            </w:pPr>
            <w:r w:rsidRPr="00734E60">
              <w:t>Tailored</w:t>
            </w:r>
            <w:r w:rsidR="00096253" w:rsidRPr="00734E60">
              <w:t xml:space="preserve"> and targeted</w:t>
            </w:r>
            <w:r w:rsidRPr="00734E60">
              <w:t xml:space="preserve"> </w:t>
            </w:r>
            <w:proofErr w:type="spellStart"/>
            <w:r w:rsidRPr="00734E60">
              <w:t>EITEs</w:t>
            </w:r>
            <w:proofErr w:type="spellEnd"/>
            <w:r w:rsidRPr="00734E60">
              <w:t xml:space="preserve"> assistance</w:t>
            </w:r>
            <w:r w:rsidR="005B78B4">
              <w:t xml:space="preserve"> (criteria defined)</w:t>
            </w:r>
            <w:r w:rsidRPr="00734E60">
              <w:t>.</w:t>
            </w:r>
          </w:p>
          <w:p w14:paraId="7C94D66C" w14:textId="77777777" w:rsidR="00A403FF" w:rsidRPr="00734E60" w:rsidRDefault="00A403FF">
            <w:pPr>
              <w:pStyle w:val="ListParagraph"/>
              <w:numPr>
                <w:ilvl w:val="0"/>
                <w:numId w:val="47"/>
              </w:numPr>
            </w:pPr>
            <w:r w:rsidRPr="00734E60">
              <w:t xml:space="preserve">Crediting </w:t>
            </w:r>
            <w:r w:rsidR="00C35CCF" w:rsidRPr="00734E60">
              <w:t xml:space="preserve">and </w:t>
            </w:r>
            <w:r w:rsidRPr="00734E60">
              <w:t>trading.</w:t>
            </w:r>
          </w:p>
        </w:tc>
      </w:tr>
    </w:tbl>
    <w:p w14:paraId="23A05510" w14:textId="77777777" w:rsidR="0070441A" w:rsidRDefault="0070441A" w:rsidP="0070441A">
      <w:pPr>
        <w:rPr>
          <w:sz w:val="22"/>
        </w:rPr>
      </w:pPr>
    </w:p>
    <w:p w14:paraId="58EBFE2F" w14:textId="66150BF7" w:rsidR="00A406D1" w:rsidRPr="00A403FF" w:rsidRDefault="00A406D1" w:rsidP="0070441A">
      <w:pPr>
        <w:rPr>
          <w:sz w:val="22"/>
          <w:szCs w:val="22"/>
        </w:rPr>
      </w:pPr>
      <w:r w:rsidRPr="00A403FF">
        <w:rPr>
          <w:sz w:val="22"/>
          <w:szCs w:val="22"/>
        </w:rPr>
        <w:t xml:space="preserve">As indicated in </w:t>
      </w:r>
      <w:r w:rsidR="003F3B7E" w:rsidRPr="00A403FF">
        <w:rPr>
          <w:sz w:val="22"/>
          <w:szCs w:val="22"/>
        </w:rPr>
        <w:fldChar w:fldCharType="begin"/>
      </w:r>
      <w:r w:rsidR="003F3B7E" w:rsidRPr="00A403FF">
        <w:rPr>
          <w:sz w:val="22"/>
          <w:szCs w:val="22"/>
        </w:rPr>
        <w:instrText xml:space="preserve"> REF _Ref118191938 \h </w:instrText>
      </w:r>
      <w:r w:rsidR="00A403FF">
        <w:rPr>
          <w:sz w:val="22"/>
          <w:szCs w:val="22"/>
        </w:rPr>
        <w:instrText xml:space="preserve"> \* MERGEFORMAT </w:instrText>
      </w:r>
      <w:r w:rsidR="003F3B7E" w:rsidRPr="00A403FF">
        <w:rPr>
          <w:sz w:val="22"/>
          <w:szCs w:val="22"/>
        </w:rPr>
      </w:r>
      <w:r w:rsidR="003F3B7E" w:rsidRPr="00A403FF">
        <w:rPr>
          <w:sz w:val="22"/>
          <w:szCs w:val="22"/>
        </w:rPr>
        <w:fldChar w:fldCharType="separate"/>
      </w:r>
      <w:r w:rsidR="005B78B4" w:rsidRPr="00114411">
        <w:rPr>
          <w:sz w:val="22"/>
          <w:szCs w:val="22"/>
        </w:rPr>
        <w:t>Table</w:t>
      </w:r>
      <w:r w:rsidR="00105048">
        <w:rPr>
          <w:sz w:val="22"/>
          <w:szCs w:val="22"/>
        </w:rPr>
        <w:t xml:space="preserve"> 2</w:t>
      </w:r>
      <w:r w:rsidR="003F3B7E" w:rsidRPr="00A403FF">
        <w:rPr>
          <w:sz w:val="22"/>
          <w:szCs w:val="22"/>
        </w:rPr>
        <w:fldChar w:fldCharType="end"/>
      </w:r>
      <w:r w:rsidRPr="00A403FF">
        <w:rPr>
          <w:sz w:val="22"/>
          <w:szCs w:val="22"/>
        </w:rPr>
        <w:t xml:space="preserve">, the policy options 1 – 3 are </w:t>
      </w:r>
      <w:r w:rsidR="00697CD9" w:rsidRPr="003B7C69">
        <w:rPr>
          <w:sz w:val="22"/>
          <w:szCs w:val="22"/>
        </w:rPr>
        <w:t>substantively</w:t>
      </w:r>
      <w:r w:rsidR="00697CD9" w:rsidRPr="00A403FF">
        <w:rPr>
          <w:sz w:val="22"/>
          <w:szCs w:val="22"/>
        </w:rPr>
        <w:t xml:space="preserve"> </w:t>
      </w:r>
      <w:r w:rsidRPr="00A403FF">
        <w:rPr>
          <w:sz w:val="22"/>
          <w:szCs w:val="22"/>
        </w:rPr>
        <w:t>different in the way baselines are initially reset at the start of the reforms (year 2023-24)</w:t>
      </w:r>
      <w:r w:rsidR="004F0D1C">
        <w:rPr>
          <w:sz w:val="22"/>
          <w:szCs w:val="22"/>
        </w:rPr>
        <w:t>, baseline setting arrangements for new entrants</w:t>
      </w:r>
      <w:r w:rsidR="005B78B4">
        <w:rPr>
          <w:sz w:val="22"/>
          <w:szCs w:val="22"/>
        </w:rPr>
        <w:t xml:space="preserve"> and the definition of </w:t>
      </w:r>
      <w:r w:rsidR="005B78B4">
        <w:rPr>
          <w:sz w:val="22"/>
          <w:szCs w:val="22"/>
        </w:rPr>
        <w:lastRenderedPageBreak/>
        <w:t xml:space="preserve">the </w:t>
      </w:r>
      <w:proofErr w:type="spellStart"/>
      <w:r w:rsidR="005B78B4">
        <w:rPr>
          <w:sz w:val="22"/>
          <w:szCs w:val="22"/>
        </w:rPr>
        <w:t>EITEs</w:t>
      </w:r>
      <w:proofErr w:type="spellEnd"/>
      <w:r w:rsidR="005B78B4">
        <w:rPr>
          <w:sz w:val="22"/>
          <w:szCs w:val="22"/>
        </w:rPr>
        <w:t xml:space="preserve"> assistance</w:t>
      </w:r>
      <w:r w:rsidRPr="00A403FF">
        <w:rPr>
          <w:sz w:val="22"/>
          <w:szCs w:val="22"/>
        </w:rPr>
        <w:t xml:space="preserve">. Other </w:t>
      </w:r>
      <w:r w:rsidR="0032296D" w:rsidRPr="00A403FF">
        <w:rPr>
          <w:sz w:val="22"/>
          <w:szCs w:val="22"/>
        </w:rPr>
        <w:t xml:space="preserve">high-level </w:t>
      </w:r>
      <w:r w:rsidRPr="00A403FF">
        <w:rPr>
          <w:sz w:val="22"/>
          <w:szCs w:val="22"/>
        </w:rPr>
        <w:t xml:space="preserve">policy settings are </w:t>
      </w:r>
      <w:r w:rsidR="004F0D1C">
        <w:rPr>
          <w:sz w:val="22"/>
          <w:szCs w:val="22"/>
        </w:rPr>
        <w:t xml:space="preserve">generally </w:t>
      </w:r>
      <w:r w:rsidRPr="00A403FF">
        <w:rPr>
          <w:sz w:val="22"/>
          <w:szCs w:val="22"/>
        </w:rPr>
        <w:t>consistent across all three options</w:t>
      </w:r>
      <w:r w:rsidR="006A0F1D">
        <w:rPr>
          <w:sz w:val="22"/>
          <w:szCs w:val="22"/>
        </w:rPr>
        <w:t>, with greater detail provided in Option 3 reflecting the outcomes of consultation</w:t>
      </w:r>
      <w:r w:rsidR="00476D8F">
        <w:rPr>
          <w:sz w:val="22"/>
          <w:szCs w:val="22"/>
        </w:rPr>
        <w:t xml:space="preserve"> and Government policy decision</w:t>
      </w:r>
      <w:r w:rsidR="009C3F32">
        <w:rPr>
          <w:sz w:val="22"/>
          <w:szCs w:val="22"/>
        </w:rPr>
        <w:t>s</w:t>
      </w:r>
      <w:r w:rsidR="00476D8F">
        <w:rPr>
          <w:sz w:val="22"/>
          <w:szCs w:val="22"/>
        </w:rPr>
        <w:t>.</w:t>
      </w:r>
    </w:p>
    <w:p w14:paraId="708333D4" w14:textId="2DE61166" w:rsidR="00A406D1" w:rsidRPr="00A403FF" w:rsidRDefault="00A406D1" w:rsidP="0070441A">
      <w:pPr>
        <w:rPr>
          <w:sz w:val="22"/>
          <w:szCs w:val="22"/>
        </w:rPr>
      </w:pPr>
      <w:r w:rsidRPr="00A403FF">
        <w:rPr>
          <w:sz w:val="22"/>
          <w:szCs w:val="22"/>
        </w:rPr>
        <w:t xml:space="preserve">A comprehensive policy options table is at the end of this </w:t>
      </w:r>
      <w:r w:rsidRPr="004C704F">
        <w:rPr>
          <w:sz w:val="22"/>
          <w:szCs w:val="22"/>
        </w:rPr>
        <w:t xml:space="preserve">question in </w:t>
      </w:r>
      <w:r w:rsidR="00F371C6" w:rsidRPr="00F371C6">
        <w:rPr>
          <w:sz w:val="22"/>
          <w:szCs w:val="22"/>
        </w:rPr>
        <w:fldChar w:fldCharType="begin"/>
      </w:r>
      <w:r w:rsidR="00F371C6" w:rsidRPr="00F371C6">
        <w:rPr>
          <w:sz w:val="22"/>
          <w:szCs w:val="22"/>
        </w:rPr>
        <w:instrText xml:space="preserve"> REF _Ref132107397 \h </w:instrText>
      </w:r>
      <w:r w:rsidR="00F371C6">
        <w:rPr>
          <w:sz w:val="22"/>
          <w:szCs w:val="22"/>
        </w:rPr>
        <w:instrText xml:space="preserve"> \* MERGEFORMAT </w:instrText>
      </w:r>
      <w:r w:rsidR="00F371C6" w:rsidRPr="00F371C6">
        <w:rPr>
          <w:sz w:val="22"/>
          <w:szCs w:val="22"/>
        </w:rPr>
      </w:r>
      <w:r w:rsidR="00F371C6" w:rsidRPr="00F371C6">
        <w:rPr>
          <w:sz w:val="22"/>
          <w:szCs w:val="22"/>
        </w:rPr>
        <w:fldChar w:fldCharType="separate"/>
      </w:r>
      <w:r w:rsidR="00F371C6" w:rsidRPr="00F251A6">
        <w:rPr>
          <w:sz w:val="22"/>
          <w:szCs w:val="22"/>
        </w:rPr>
        <w:t xml:space="preserve">Table </w:t>
      </w:r>
      <w:r w:rsidR="00F371C6" w:rsidRPr="00F251A6">
        <w:rPr>
          <w:noProof/>
          <w:sz w:val="22"/>
          <w:szCs w:val="22"/>
        </w:rPr>
        <w:t>4</w:t>
      </w:r>
      <w:r w:rsidR="00F371C6" w:rsidRPr="00F371C6">
        <w:rPr>
          <w:sz w:val="22"/>
          <w:szCs w:val="22"/>
        </w:rPr>
        <w:fldChar w:fldCharType="end"/>
      </w:r>
      <w:r w:rsidRPr="004C704F">
        <w:rPr>
          <w:sz w:val="22"/>
          <w:szCs w:val="22"/>
        </w:rPr>
        <w:t>. This</w:t>
      </w:r>
      <w:r w:rsidRPr="00A403FF">
        <w:rPr>
          <w:sz w:val="22"/>
          <w:szCs w:val="22"/>
        </w:rPr>
        <w:t xml:space="preserve"> table provides additional detail on the policy settings and provides the full range of equivalence and differences between options. It also identifies how Option 3 has developed based on consultation to date.</w:t>
      </w:r>
    </w:p>
    <w:p w14:paraId="74683549" w14:textId="77777777" w:rsidR="00FE5912" w:rsidRDefault="00FE5912" w:rsidP="003B7C69">
      <w:pPr>
        <w:pStyle w:val="Heading2"/>
      </w:pPr>
      <w:bookmarkStart w:id="158" w:name="_Toc118750367"/>
      <w:bookmarkStart w:id="159" w:name="_Toc118754643"/>
      <w:bookmarkStart w:id="160" w:name="_Toc118813934"/>
      <w:bookmarkStart w:id="161" w:name="_Toc119327144"/>
      <w:bookmarkStart w:id="162" w:name="_Toc132807539"/>
      <w:bookmarkStart w:id="163" w:name="_Toc119360649"/>
      <w:r>
        <w:t>Policy elements</w:t>
      </w:r>
      <w:bookmarkEnd w:id="158"/>
      <w:bookmarkEnd w:id="159"/>
      <w:bookmarkEnd w:id="160"/>
      <w:bookmarkEnd w:id="161"/>
      <w:bookmarkEnd w:id="162"/>
      <w:r>
        <w:t xml:space="preserve"> </w:t>
      </w:r>
      <w:bookmarkEnd w:id="163"/>
    </w:p>
    <w:p w14:paraId="5CD139AA" w14:textId="6E363BA9" w:rsidR="00A406D1" w:rsidRPr="000D3BF7" w:rsidRDefault="00A406D1" w:rsidP="000D3BF7">
      <w:pPr>
        <w:rPr>
          <w:sz w:val="22"/>
        </w:rPr>
      </w:pPr>
      <w:r w:rsidRPr="00A406D1">
        <w:rPr>
          <w:sz w:val="22"/>
        </w:rPr>
        <w:t>Th</w:t>
      </w:r>
      <w:r>
        <w:rPr>
          <w:sz w:val="22"/>
        </w:rPr>
        <w:t>is part describes the</w:t>
      </w:r>
      <w:r w:rsidRPr="00A406D1">
        <w:rPr>
          <w:sz w:val="22"/>
        </w:rPr>
        <w:t xml:space="preserve"> </w:t>
      </w:r>
      <w:r>
        <w:rPr>
          <w:sz w:val="22"/>
        </w:rPr>
        <w:t xml:space="preserve">policy elements that </w:t>
      </w:r>
      <w:r w:rsidR="001A52FF">
        <w:rPr>
          <w:sz w:val="22"/>
        </w:rPr>
        <w:t>are</w:t>
      </w:r>
      <w:r>
        <w:rPr>
          <w:sz w:val="22"/>
        </w:rPr>
        <w:t xml:space="preserve"> </w:t>
      </w:r>
      <w:r w:rsidRPr="0083119B">
        <w:rPr>
          <w:sz w:val="22"/>
          <w:szCs w:val="22"/>
        </w:rPr>
        <w:t xml:space="preserve">presented in </w:t>
      </w:r>
      <w:r w:rsidR="00F371C6" w:rsidRPr="00F371C6">
        <w:rPr>
          <w:sz w:val="22"/>
          <w:szCs w:val="22"/>
        </w:rPr>
        <w:fldChar w:fldCharType="begin"/>
      </w:r>
      <w:r w:rsidR="00F371C6" w:rsidRPr="001B1972">
        <w:rPr>
          <w:sz w:val="22"/>
          <w:szCs w:val="22"/>
        </w:rPr>
        <w:instrText xml:space="preserve"> REF _Ref132107397 \h </w:instrText>
      </w:r>
      <w:r w:rsidR="00F371C6">
        <w:rPr>
          <w:sz w:val="22"/>
          <w:szCs w:val="22"/>
        </w:rPr>
        <w:instrText xml:space="preserve"> \* MERGEFORMAT </w:instrText>
      </w:r>
      <w:r w:rsidR="00F371C6" w:rsidRPr="00F371C6">
        <w:rPr>
          <w:sz w:val="22"/>
          <w:szCs w:val="22"/>
        </w:rPr>
      </w:r>
      <w:r w:rsidR="00F371C6" w:rsidRPr="00F371C6">
        <w:rPr>
          <w:sz w:val="22"/>
          <w:szCs w:val="22"/>
        </w:rPr>
        <w:fldChar w:fldCharType="separate"/>
      </w:r>
      <w:r w:rsidR="00F371C6" w:rsidRPr="001B1972">
        <w:rPr>
          <w:sz w:val="22"/>
          <w:szCs w:val="22"/>
        </w:rPr>
        <w:t xml:space="preserve">Table </w:t>
      </w:r>
      <w:r w:rsidR="00F371C6" w:rsidRPr="001B1972">
        <w:rPr>
          <w:noProof/>
          <w:sz w:val="22"/>
          <w:szCs w:val="22"/>
        </w:rPr>
        <w:t>4</w:t>
      </w:r>
      <w:r w:rsidR="00F371C6" w:rsidRPr="00F371C6">
        <w:rPr>
          <w:sz w:val="22"/>
          <w:szCs w:val="22"/>
        </w:rPr>
        <w:fldChar w:fldCharType="end"/>
      </w:r>
      <w:r w:rsidRPr="004C704F">
        <w:rPr>
          <w:sz w:val="22"/>
          <w:szCs w:val="22"/>
        </w:rPr>
        <w:t>.</w:t>
      </w:r>
      <w:r w:rsidRPr="0083119B">
        <w:rPr>
          <w:sz w:val="22"/>
          <w:szCs w:val="22"/>
        </w:rPr>
        <w:t xml:space="preserve"> </w:t>
      </w:r>
      <w:r w:rsidR="004A7D13" w:rsidRPr="00292E49">
        <w:rPr>
          <w:sz w:val="22"/>
          <w:szCs w:val="22"/>
        </w:rPr>
        <w:t>More detailed</w:t>
      </w:r>
      <w:r w:rsidR="004A7D13">
        <w:rPr>
          <w:sz w:val="22"/>
        </w:rPr>
        <w:t xml:space="preserve"> descriptions can be found in the </w:t>
      </w:r>
      <w:r w:rsidR="000D3BF7" w:rsidRPr="00114411">
        <w:rPr>
          <w:i/>
          <w:sz w:val="22"/>
        </w:rPr>
        <w:t xml:space="preserve">Safeguard Mechanism Reforms Consultation </w:t>
      </w:r>
      <w:r w:rsidR="00114411" w:rsidRPr="00114411">
        <w:rPr>
          <w:i/>
          <w:sz w:val="22"/>
        </w:rPr>
        <w:t>P</w:t>
      </w:r>
      <w:r w:rsidR="000D3BF7" w:rsidRPr="00114411">
        <w:rPr>
          <w:i/>
          <w:sz w:val="22"/>
        </w:rPr>
        <w:t>aper</w:t>
      </w:r>
      <w:r w:rsidR="000D3BF7">
        <w:rPr>
          <w:sz w:val="22"/>
        </w:rPr>
        <w:t xml:space="preserve"> </w:t>
      </w:r>
      <w:r w:rsidR="000D3BF7">
        <w:rPr>
          <w:rStyle w:val="FootnoteReference"/>
          <w:sz w:val="22"/>
        </w:rPr>
        <w:footnoteReference w:id="16"/>
      </w:r>
      <w:r w:rsidR="000D3BF7" w:rsidRPr="000D3BF7">
        <w:rPr>
          <w:sz w:val="22"/>
        </w:rPr>
        <w:t xml:space="preserve"> </w:t>
      </w:r>
      <w:r w:rsidR="000D3BF7">
        <w:rPr>
          <w:sz w:val="22"/>
        </w:rPr>
        <w:t xml:space="preserve">and the </w:t>
      </w:r>
      <w:r w:rsidR="00C95F15" w:rsidRPr="004A17C8">
        <w:rPr>
          <w:i/>
          <w:sz w:val="22"/>
        </w:rPr>
        <w:t xml:space="preserve">Safeguard Mechanism Reforms Position Paper </w:t>
      </w:r>
      <w:r w:rsidR="00345A5D">
        <w:rPr>
          <w:i/>
          <w:sz w:val="22"/>
        </w:rPr>
        <w:t>January</w:t>
      </w:r>
      <w:r w:rsidR="00345A5D" w:rsidRPr="004A17C8">
        <w:rPr>
          <w:i/>
          <w:sz w:val="22"/>
        </w:rPr>
        <w:t xml:space="preserve"> </w:t>
      </w:r>
      <w:r w:rsidR="00C95F15" w:rsidRPr="004A17C8">
        <w:rPr>
          <w:i/>
          <w:sz w:val="22"/>
        </w:rPr>
        <w:t>202</w:t>
      </w:r>
      <w:r w:rsidR="00345A5D">
        <w:rPr>
          <w:i/>
          <w:sz w:val="22"/>
        </w:rPr>
        <w:t>3</w:t>
      </w:r>
      <w:r w:rsidR="00553D63">
        <w:rPr>
          <w:sz w:val="22"/>
        </w:rPr>
        <w:t>.</w:t>
      </w:r>
      <w:r w:rsidR="000D3BF7">
        <w:rPr>
          <w:rStyle w:val="FootnoteReference"/>
          <w:sz w:val="22"/>
        </w:rPr>
        <w:footnoteReference w:id="17"/>
      </w:r>
      <w:r w:rsidR="00427320">
        <w:rPr>
          <w:sz w:val="22"/>
        </w:rPr>
        <w:t xml:space="preserve"> </w:t>
      </w:r>
      <w:r w:rsidR="00697CD9">
        <w:rPr>
          <w:sz w:val="22"/>
        </w:rPr>
        <w:t xml:space="preserve">The substantive area of difference between options is </w:t>
      </w:r>
      <w:r w:rsidR="0032296D" w:rsidRPr="0032296D">
        <w:rPr>
          <w:sz w:val="22"/>
        </w:rPr>
        <w:t>the</w:t>
      </w:r>
      <w:r w:rsidR="00697CD9" w:rsidRPr="0032296D">
        <w:rPr>
          <w:sz w:val="22"/>
        </w:rPr>
        <w:t xml:space="preserve"> baseline setting</w:t>
      </w:r>
      <w:r w:rsidR="0032296D">
        <w:rPr>
          <w:sz w:val="22"/>
        </w:rPr>
        <w:t xml:space="preserve"> for existing facilities</w:t>
      </w:r>
      <w:r w:rsidR="00697CD9">
        <w:rPr>
          <w:sz w:val="22"/>
        </w:rPr>
        <w:t>. For other elements, there is either equivalence or strong similarity between Options 1 and 2. There are some nuanced areas of difference between Option 3 and Options 1 and 2 as Option 3 takes on stakeholder feedback</w:t>
      </w:r>
      <w:r w:rsidR="00114411">
        <w:rPr>
          <w:sz w:val="22"/>
        </w:rPr>
        <w:t xml:space="preserve"> received since August 2022, whereas Options 1 and 2 are as presented in the August 2022 </w:t>
      </w:r>
      <w:r w:rsidR="008B6118" w:rsidRPr="00114411">
        <w:rPr>
          <w:i/>
          <w:sz w:val="22"/>
        </w:rPr>
        <w:t>Consultation</w:t>
      </w:r>
      <w:r w:rsidR="00114411" w:rsidRPr="00114411">
        <w:rPr>
          <w:i/>
          <w:sz w:val="22"/>
        </w:rPr>
        <w:t xml:space="preserve"> Paper</w:t>
      </w:r>
      <w:r w:rsidR="00697CD9">
        <w:rPr>
          <w:sz w:val="22"/>
        </w:rPr>
        <w:t xml:space="preserve">. </w:t>
      </w:r>
    </w:p>
    <w:p w14:paraId="619E0A3E" w14:textId="77777777" w:rsidR="00DC1C4C" w:rsidRDefault="00504FF1" w:rsidP="003B7C69">
      <w:pPr>
        <w:pStyle w:val="Heading3"/>
      </w:pPr>
      <w:bookmarkStart w:id="164" w:name="_Toc118750368"/>
      <w:bookmarkStart w:id="165" w:name="_Toc118754644"/>
      <w:bookmarkStart w:id="166" w:name="_Toc118813935"/>
      <w:bookmarkStart w:id="167" w:name="_Toc119327145"/>
      <w:bookmarkStart w:id="168" w:name="_Toc119360650"/>
      <w:bookmarkStart w:id="169" w:name="_Toc132807540"/>
      <w:r>
        <w:t>Safeguard Mechanism emissions target</w:t>
      </w:r>
      <w:bookmarkEnd w:id="164"/>
      <w:bookmarkEnd w:id="165"/>
      <w:bookmarkEnd w:id="166"/>
      <w:bookmarkEnd w:id="167"/>
      <w:bookmarkEnd w:id="168"/>
      <w:bookmarkEnd w:id="169"/>
    </w:p>
    <w:p w14:paraId="06FBE46A" w14:textId="77777777" w:rsidR="0032296D" w:rsidRDefault="0032296D" w:rsidP="00DC1C4C">
      <w:pPr>
        <w:keepLines/>
        <w:rPr>
          <w:sz w:val="22"/>
        </w:rPr>
      </w:pPr>
      <w:r w:rsidRPr="0032296D">
        <w:rPr>
          <w:sz w:val="22"/>
        </w:rPr>
        <w:t xml:space="preserve">The </w:t>
      </w:r>
      <w:r>
        <w:rPr>
          <w:sz w:val="22"/>
        </w:rPr>
        <w:t xml:space="preserve">Safeguard Mechanism covers facilities with emissions </w:t>
      </w:r>
      <w:r w:rsidRPr="0032296D">
        <w:rPr>
          <w:sz w:val="22"/>
        </w:rPr>
        <w:t xml:space="preserve">of 100,000 tonnes </w:t>
      </w:r>
      <w:r>
        <w:rPr>
          <w:sz w:val="22"/>
        </w:rPr>
        <w:t xml:space="preserve">or more </w:t>
      </w:r>
      <w:r w:rsidRPr="0032296D">
        <w:rPr>
          <w:sz w:val="22"/>
        </w:rPr>
        <w:t>of Scope 1 (direct) CO</w:t>
      </w:r>
      <w:r w:rsidRPr="0032296D">
        <w:rPr>
          <w:sz w:val="22"/>
          <w:vertAlign w:val="subscript"/>
        </w:rPr>
        <w:t>2</w:t>
      </w:r>
      <w:r w:rsidRPr="0032296D">
        <w:rPr>
          <w:sz w:val="22"/>
        </w:rPr>
        <w:noBreakHyphen/>
        <w:t>e emissions each year</w:t>
      </w:r>
      <w:r>
        <w:rPr>
          <w:sz w:val="22"/>
        </w:rPr>
        <w:t xml:space="preserve">. As indicated in the </w:t>
      </w:r>
      <w:r w:rsidRPr="0032296D">
        <w:rPr>
          <w:i/>
          <w:sz w:val="22"/>
        </w:rPr>
        <w:t>Powering Australia</w:t>
      </w:r>
      <w:r>
        <w:rPr>
          <w:sz w:val="22"/>
        </w:rPr>
        <w:t xml:space="preserve"> plan</w:t>
      </w:r>
      <w:r w:rsidR="001F308B">
        <w:rPr>
          <w:sz w:val="22"/>
        </w:rPr>
        <w:t>,</w:t>
      </w:r>
      <w:r w:rsidR="00D0655B">
        <w:rPr>
          <w:rStyle w:val="FootnoteReference"/>
          <w:sz w:val="22"/>
        </w:rPr>
        <w:footnoteReference w:id="18"/>
      </w:r>
      <w:r>
        <w:rPr>
          <w:sz w:val="22"/>
        </w:rPr>
        <w:t xml:space="preserve"> this coverage threshold </w:t>
      </w:r>
      <w:r w:rsidRPr="0032296D">
        <w:rPr>
          <w:sz w:val="22"/>
        </w:rPr>
        <w:t>will remain in place under the reformed scheme.</w:t>
      </w:r>
      <w:r>
        <w:rPr>
          <w:sz w:val="22"/>
        </w:rPr>
        <w:t xml:space="preserve"> There is no change to the emissions cover</w:t>
      </w:r>
      <w:r w:rsidR="001776AD">
        <w:rPr>
          <w:sz w:val="22"/>
        </w:rPr>
        <w:t xml:space="preserve">age threshold </w:t>
      </w:r>
      <w:r>
        <w:rPr>
          <w:sz w:val="22"/>
        </w:rPr>
        <w:t xml:space="preserve">and emissions from grid-connected electricity generators </w:t>
      </w:r>
      <w:r w:rsidR="001776AD">
        <w:rPr>
          <w:sz w:val="22"/>
        </w:rPr>
        <w:t xml:space="preserve">will </w:t>
      </w:r>
      <w:r>
        <w:rPr>
          <w:sz w:val="22"/>
        </w:rPr>
        <w:t>remain uncovered unless the sectoral-baseline for the electricity sector is exceeded.</w:t>
      </w:r>
    </w:p>
    <w:p w14:paraId="08765B9A" w14:textId="77777777" w:rsidR="00DC1C4C" w:rsidRDefault="00A403FF" w:rsidP="0032296D">
      <w:pPr>
        <w:keepLines/>
        <w:rPr>
          <w:sz w:val="22"/>
        </w:rPr>
      </w:pPr>
      <w:r>
        <w:rPr>
          <w:sz w:val="22"/>
        </w:rPr>
        <w:t>I</w:t>
      </w:r>
      <w:r w:rsidR="0032296D">
        <w:rPr>
          <w:sz w:val="22"/>
        </w:rPr>
        <w:t>n the reference case, there is no emissions reduction target for Safeguard covered emissions. Under Options 1-3, Safeguard covered emissions take on a proportional share of the national emissions target. The proportional share is determined based on f</w:t>
      </w:r>
      <w:r w:rsidR="00DC1C4C" w:rsidRPr="0032296D">
        <w:rPr>
          <w:sz w:val="22"/>
        </w:rPr>
        <w:t>acilities covered by the</w:t>
      </w:r>
      <w:r w:rsidR="0032296D">
        <w:rPr>
          <w:sz w:val="22"/>
        </w:rPr>
        <w:t xml:space="preserve"> Safeguard Mechanism contributing to</w:t>
      </w:r>
      <w:r w:rsidR="00DC1C4C" w:rsidRPr="0032296D">
        <w:rPr>
          <w:sz w:val="22"/>
        </w:rPr>
        <w:t xml:space="preserve"> 28 </w:t>
      </w:r>
      <w:r w:rsidR="004901E0">
        <w:rPr>
          <w:sz w:val="22"/>
        </w:rPr>
        <w:t>per cent</w:t>
      </w:r>
      <w:r w:rsidR="00DC1C4C" w:rsidRPr="0032296D">
        <w:rPr>
          <w:sz w:val="22"/>
        </w:rPr>
        <w:t xml:space="preserve"> of national emissions in 2020-21</w:t>
      </w:r>
      <w:r w:rsidR="00821DBD">
        <w:rPr>
          <w:sz w:val="22"/>
        </w:rPr>
        <w:t>.</w:t>
      </w:r>
      <w:r w:rsidR="00DC1C4C" w:rsidRPr="0032296D">
        <w:rPr>
          <w:rStyle w:val="FootnoteReference"/>
          <w:sz w:val="22"/>
        </w:rPr>
        <w:footnoteReference w:id="19"/>
      </w:r>
      <w:r w:rsidR="00DC1C4C" w:rsidRPr="0032296D">
        <w:rPr>
          <w:sz w:val="22"/>
        </w:rPr>
        <w:t xml:space="preserve"> To </w:t>
      </w:r>
      <w:r w:rsidR="0032296D">
        <w:rPr>
          <w:sz w:val="22"/>
        </w:rPr>
        <w:t>adopt a</w:t>
      </w:r>
      <w:r w:rsidR="00DC1C4C" w:rsidRPr="0032296D">
        <w:rPr>
          <w:sz w:val="22"/>
        </w:rPr>
        <w:t xml:space="preserve"> proportional share of the national emissions target, aggregate baselines need to fall to </w:t>
      </w:r>
      <w:r w:rsidR="00114411">
        <w:rPr>
          <w:sz w:val="22"/>
        </w:rPr>
        <w:t xml:space="preserve">no more than </w:t>
      </w:r>
      <w:r w:rsidR="00E2555F" w:rsidRPr="0032296D">
        <w:rPr>
          <w:sz w:val="22"/>
        </w:rPr>
        <w:t>100</w:t>
      </w:r>
      <w:r w:rsidR="00DC1C4C" w:rsidRPr="0032296D">
        <w:rPr>
          <w:sz w:val="22"/>
        </w:rPr>
        <w:t> million tonnes CO</w:t>
      </w:r>
      <w:r w:rsidR="00DC1C4C" w:rsidRPr="0032296D">
        <w:rPr>
          <w:sz w:val="22"/>
          <w:vertAlign w:val="subscript"/>
        </w:rPr>
        <w:t>2</w:t>
      </w:r>
      <w:r w:rsidR="00DC1C4C" w:rsidRPr="0032296D">
        <w:rPr>
          <w:sz w:val="22"/>
        </w:rPr>
        <w:t>-e by 2030</w:t>
      </w:r>
      <w:r w:rsidR="00DC1C4C" w:rsidRPr="0032296D">
        <w:rPr>
          <w:rStyle w:val="FootnoteReference"/>
          <w:sz w:val="22"/>
        </w:rPr>
        <w:footnoteReference w:id="20"/>
      </w:r>
      <w:r w:rsidR="00DC1C4C" w:rsidRPr="0032296D">
        <w:rPr>
          <w:sz w:val="22"/>
        </w:rPr>
        <w:t>. This compares with covered emissions of 137 million tonnes CO</w:t>
      </w:r>
      <w:r w:rsidR="00DC1C4C" w:rsidRPr="0032296D">
        <w:rPr>
          <w:sz w:val="22"/>
          <w:vertAlign w:val="subscript"/>
        </w:rPr>
        <w:t>2</w:t>
      </w:r>
      <w:r w:rsidR="00DC1C4C" w:rsidRPr="0032296D">
        <w:rPr>
          <w:sz w:val="22"/>
        </w:rPr>
        <w:noBreakHyphen/>
        <w:t>e in 2020</w:t>
      </w:r>
      <w:r w:rsidR="00DC1C4C" w:rsidRPr="0032296D">
        <w:rPr>
          <w:sz w:val="22"/>
        </w:rPr>
        <w:noBreakHyphen/>
        <w:t>21</w:t>
      </w:r>
      <w:r w:rsidR="0032296D">
        <w:rPr>
          <w:sz w:val="22"/>
        </w:rPr>
        <w:t xml:space="preserve"> and projected emissions of 14</w:t>
      </w:r>
      <w:r w:rsidR="00821DBD">
        <w:rPr>
          <w:sz w:val="22"/>
        </w:rPr>
        <w:t>3</w:t>
      </w:r>
      <w:r w:rsidR="0032296D">
        <w:rPr>
          <w:sz w:val="22"/>
        </w:rPr>
        <w:t xml:space="preserve"> </w:t>
      </w:r>
      <w:r w:rsidR="0032296D" w:rsidRPr="0032296D">
        <w:rPr>
          <w:sz w:val="22"/>
        </w:rPr>
        <w:t>million tonnes CO</w:t>
      </w:r>
      <w:r w:rsidR="0032296D" w:rsidRPr="0032296D">
        <w:rPr>
          <w:sz w:val="22"/>
          <w:vertAlign w:val="subscript"/>
        </w:rPr>
        <w:t>2</w:t>
      </w:r>
      <w:r w:rsidR="0032296D" w:rsidRPr="0032296D">
        <w:rPr>
          <w:sz w:val="22"/>
        </w:rPr>
        <w:noBreakHyphen/>
        <w:t>e in 202</w:t>
      </w:r>
      <w:r w:rsidR="0032296D">
        <w:rPr>
          <w:sz w:val="22"/>
        </w:rPr>
        <w:t>3</w:t>
      </w:r>
      <w:r w:rsidR="0032296D" w:rsidRPr="0032296D">
        <w:rPr>
          <w:sz w:val="22"/>
        </w:rPr>
        <w:noBreakHyphen/>
        <w:t>2</w:t>
      </w:r>
      <w:r w:rsidR="0032296D">
        <w:rPr>
          <w:sz w:val="22"/>
        </w:rPr>
        <w:t>4</w:t>
      </w:r>
      <w:r w:rsidR="00DC1C4C" w:rsidRPr="0032296D">
        <w:rPr>
          <w:sz w:val="22"/>
        </w:rPr>
        <w:t>. The Safeguard Mechanism’s corresponding share of the national emissions budget for the decad</w:t>
      </w:r>
      <w:r w:rsidR="00E2555F" w:rsidRPr="0032296D">
        <w:rPr>
          <w:sz w:val="22"/>
        </w:rPr>
        <w:t xml:space="preserve">e </w:t>
      </w:r>
      <w:r w:rsidR="0032296D">
        <w:rPr>
          <w:sz w:val="22"/>
        </w:rPr>
        <w:t>is</w:t>
      </w:r>
      <w:r w:rsidR="00E2555F" w:rsidRPr="0032296D">
        <w:rPr>
          <w:sz w:val="22"/>
        </w:rPr>
        <w:t xml:space="preserve"> 1,23</w:t>
      </w:r>
      <w:r w:rsidR="00DD24E4">
        <w:rPr>
          <w:sz w:val="22"/>
        </w:rPr>
        <w:t>3</w:t>
      </w:r>
      <w:r w:rsidR="00DC1C4C" w:rsidRPr="0032296D">
        <w:rPr>
          <w:sz w:val="22"/>
        </w:rPr>
        <w:t> million tonnes CO</w:t>
      </w:r>
      <w:r w:rsidR="00DC1C4C" w:rsidRPr="0032296D">
        <w:rPr>
          <w:sz w:val="22"/>
          <w:vertAlign w:val="subscript"/>
        </w:rPr>
        <w:t>2</w:t>
      </w:r>
      <w:r w:rsidR="00DC1C4C" w:rsidRPr="0032296D">
        <w:rPr>
          <w:sz w:val="22"/>
        </w:rPr>
        <w:noBreakHyphen/>
        <w:t>e</w:t>
      </w:r>
      <w:r w:rsidR="00821DBD">
        <w:rPr>
          <w:sz w:val="22"/>
        </w:rPr>
        <w:t>.</w:t>
      </w:r>
      <w:r w:rsidR="00DC1C4C" w:rsidRPr="0032296D">
        <w:rPr>
          <w:rStyle w:val="FootnoteReference"/>
          <w:sz w:val="22"/>
        </w:rPr>
        <w:footnoteReference w:id="21"/>
      </w:r>
      <w:r w:rsidR="00DC1C4C" w:rsidRPr="0032296D">
        <w:rPr>
          <w:sz w:val="22"/>
        </w:rPr>
        <w:t xml:space="preserve"> Setting and achieving this 2030 target will ensure that Safeguard emission reductions are on track and aligned with the broad trajec</w:t>
      </w:r>
      <w:r w:rsidR="0032296D">
        <w:rPr>
          <w:sz w:val="22"/>
        </w:rPr>
        <w:t>tory to reach net zero by 2050.</w:t>
      </w:r>
    </w:p>
    <w:p w14:paraId="3FA4D30D" w14:textId="613EDE07" w:rsidR="008956E1" w:rsidRDefault="008956E1" w:rsidP="008956E1">
      <w:pPr>
        <w:pStyle w:val="BodyText"/>
        <w:rPr>
          <w:sz w:val="22"/>
        </w:rPr>
      </w:pPr>
      <w:r w:rsidRPr="008956E1">
        <w:rPr>
          <w:sz w:val="22"/>
        </w:rPr>
        <w:t xml:space="preserve">Using the design parameters </w:t>
      </w:r>
      <w:r>
        <w:rPr>
          <w:sz w:val="22"/>
        </w:rPr>
        <w:t>of Option 3,</w:t>
      </w:r>
      <w:r w:rsidRPr="008956E1">
        <w:rPr>
          <w:sz w:val="22"/>
        </w:rPr>
        <w:t xml:space="preserve"> a uniform, annual decline rate of 4.9 per cent each year is expected to meet the Safeguard’s share of the national emissions budget and the 2030 point target.</w:t>
      </w:r>
      <w:r w:rsidR="00821DBD">
        <w:rPr>
          <w:sz w:val="22"/>
        </w:rPr>
        <w:t xml:space="preserve"> The decline rate will apply to existing and new facilities, </w:t>
      </w:r>
      <w:r w:rsidR="009D0881">
        <w:rPr>
          <w:sz w:val="22"/>
        </w:rPr>
        <w:t xml:space="preserve">except where </w:t>
      </w:r>
      <w:r w:rsidR="00821DBD">
        <w:rPr>
          <w:sz w:val="22"/>
        </w:rPr>
        <w:t xml:space="preserve">a differential </w:t>
      </w:r>
      <w:r w:rsidR="0047068D">
        <w:rPr>
          <w:sz w:val="22"/>
        </w:rPr>
        <w:t>trade-exposed</w:t>
      </w:r>
      <w:r w:rsidR="00821DBD">
        <w:rPr>
          <w:sz w:val="22"/>
        </w:rPr>
        <w:t xml:space="preserve"> </w:t>
      </w:r>
      <w:r w:rsidR="00F371C6">
        <w:rPr>
          <w:sz w:val="22"/>
        </w:rPr>
        <w:t xml:space="preserve">baseline adjusted </w:t>
      </w:r>
      <w:r w:rsidR="00821DBD">
        <w:rPr>
          <w:sz w:val="22"/>
        </w:rPr>
        <w:t>(</w:t>
      </w:r>
      <w:proofErr w:type="spellStart"/>
      <w:r w:rsidR="00F371C6">
        <w:rPr>
          <w:sz w:val="22"/>
        </w:rPr>
        <w:t>TEBA</w:t>
      </w:r>
      <w:proofErr w:type="spellEnd"/>
      <w:r w:rsidR="00821DBD">
        <w:rPr>
          <w:sz w:val="22"/>
        </w:rPr>
        <w:t xml:space="preserve">) rate has </w:t>
      </w:r>
      <w:r w:rsidR="00821DBD">
        <w:rPr>
          <w:sz w:val="22"/>
        </w:rPr>
        <w:lastRenderedPageBreak/>
        <w:t xml:space="preserve">been approved for a facility. </w:t>
      </w:r>
      <w:r w:rsidR="00821DBD" w:rsidRPr="00821DBD">
        <w:rPr>
          <w:sz w:val="22"/>
        </w:rPr>
        <w:t xml:space="preserve">These baseline decline rates have been determined in the context of the policy design settings proposed </w:t>
      </w:r>
      <w:r w:rsidR="00821DBD">
        <w:rPr>
          <w:sz w:val="22"/>
        </w:rPr>
        <w:t xml:space="preserve">in the </w:t>
      </w:r>
      <w:r w:rsidR="00C95F15">
        <w:rPr>
          <w:i/>
          <w:sz w:val="22"/>
        </w:rPr>
        <w:t xml:space="preserve">Safeguard Mechanism Reforms Position Paper </w:t>
      </w:r>
      <w:r w:rsidR="00345A5D">
        <w:rPr>
          <w:i/>
          <w:sz w:val="22"/>
        </w:rPr>
        <w:t xml:space="preserve">January </w:t>
      </w:r>
      <w:r w:rsidR="00C95F15">
        <w:rPr>
          <w:i/>
          <w:sz w:val="22"/>
        </w:rPr>
        <w:t>202</w:t>
      </w:r>
      <w:r w:rsidR="00345A5D">
        <w:rPr>
          <w:i/>
          <w:sz w:val="22"/>
        </w:rPr>
        <w:t>3</w:t>
      </w:r>
      <w:r w:rsidR="00BF405E">
        <w:rPr>
          <w:sz w:val="22"/>
        </w:rPr>
        <w:t xml:space="preserve"> and following subsequent </w:t>
      </w:r>
      <w:r w:rsidR="00F461F6">
        <w:rPr>
          <w:sz w:val="22"/>
        </w:rPr>
        <w:t>incorporation of feedback</w:t>
      </w:r>
      <w:r w:rsidR="00BF405E">
        <w:rPr>
          <w:sz w:val="22"/>
        </w:rPr>
        <w:t>.</w:t>
      </w:r>
    </w:p>
    <w:p w14:paraId="314164BA" w14:textId="04826D2A" w:rsidR="00065060" w:rsidRDefault="00065060" w:rsidP="008956E1">
      <w:pPr>
        <w:pStyle w:val="BodyText"/>
        <w:rPr>
          <w:sz w:val="22"/>
        </w:rPr>
      </w:pPr>
      <w:r>
        <w:rPr>
          <w:sz w:val="22"/>
        </w:rPr>
        <w:t>Under Option 3, p</w:t>
      </w:r>
      <w:r w:rsidRPr="00065060">
        <w:rPr>
          <w:sz w:val="22"/>
        </w:rPr>
        <w:t>ost-2030 decline rates will be predictably set in 5 year blocks, after updates to Australia’s Nationally Determined Contribution (</w:t>
      </w:r>
      <w:proofErr w:type="spellStart"/>
      <w:r w:rsidRPr="00065060">
        <w:rPr>
          <w:sz w:val="22"/>
        </w:rPr>
        <w:t>NDC</w:t>
      </w:r>
      <w:proofErr w:type="spellEnd"/>
      <w:r w:rsidRPr="00065060">
        <w:rPr>
          <w:sz w:val="22"/>
        </w:rPr>
        <w:t xml:space="preserve">) under the Paris Agreement. Decline rates for 2030-31 to 2034-35 will be set by 1 July 2027. Periodic baseline setting would involve consultation and take </w:t>
      </w:r>
      <w:r w:rsidR="00912696">
        <w:rPr>
          <w:sz w:val="22"/>
        </w:rPr>
        <w:t xml:space="preserve">account of </w:t>
      </w:r>
      <w:r w:rsidRPr="00065060">
        <w:rPr>
          <w:sz w:val="22"/>
        </w:rPr>
        <w:t>advice from the Climate Change Authority and the latest Annual Climate Change Statements to Parliament. To maintain progress to net zero by 2050, indicative annual decline rates will be set for 2030-31 to 2049-50, noting that the actual rate will be set through the periodic baseline setting process.</w:t>
      </w:r>
    </w:p>
    <w:p w14:paraId="34C20698" w14:textId="43D8A722" w:rsidR="00BE7413" w:rsidRDefault="00CF10CE" w:rsidP="003B7C69">
      <w:pPr>
        <w:pStyle w:val="Heading3"/>
      </w:pPr>
      <w:bookmarkStart w:id="170" w:name="_Toc118750369"/>
      <w:bookmarkStart w:id="171" w:name="_Toc118754645"/>
      <w:bookmarkStart w:id="172" w:name="_Toc118813936"/>
      <w:bookmarkStart w:id="173" w:name="_Toc119327146"/>
      <w:bookmarkStart w:id="174" w:name="_Toc119360651"/>
      <w:bookmarkStart w:id="175" w:name="_Toc132807541"/>
      <w:r>
        <w:t>Implementation and e</w:t>
      </w:r>
      <w:r w:rsidR="00504FF1" w:rsidRPr="003B7C69">
        <w:t>valuation</w:t>
      </w:r>
      <w:bookmarkEnd w:id="170"/>
      <w:bookmarkEnd w:id="171"/>
      <w:bookmarkEnd w:id="172"/>
      <w:bookmarkEnd w:id="173"/>
      <w:bookmarkEnd w:id="174"/>
      <w:bookmarkEnd w:id="175"/>
    </w:p>
    <w:p w14:paraId="1283B297" w14:textId="038B8A4F" w:rsidR="00D41DDB" w:rsidRPr="003B7C69" w:rsidRDefault="00D41DDB" w:rsidP="003B7C69">
      <w:pPr>
        <w:rPr>
          <w:rFonts w:cstheme="minorHAnsi"/>
          <w:sz w:val="22"/>
          <w:szCs w:val="22"/>
        </w:rPr>
      </w:pPr>
      <w:r w:rsidRPr="009C3F32">
        <w:rPr>
          <w:sz w:val="22"/>
          <w:szCs w:val="22"/>
        </w:rPr>
        <w:t>Under Options 1 and 2,</w:t>
      </w:r>
      <w:r w:rsidR="005976A7" w:rsidRPr="009C3F32">
        <w:rPr>
          <w:sz w:val="22"/>
          <w:szCs w:val="22"/>
        </w:rPr>
        <w:t xml:space="preserve"> the</w:t>
      </w:r>
      <w:r w:rsidRPr="009C3F32">
        <w:rPr>
          <w:sz w:val="22"/>
          <w:szCs w:val="22"/>
        </w:rPr>
        <w:t xml:space="preserve"> reforms were proposed to be delivered </w:t>
      </w:r>
      <w:r w:rsidRPr="009C3F32">
        <w:rPr>
          <w:rFonts w:cstheme="minorHAnsi"/>
          <w:sz w:val="22"/>
          <w:szCs w:val="22"/>
        </w:rPr>
        <w:t xml:space="preserve">in </w:t>
      </w:r>
      <w:r w:rsidR="00DF135F" w:rsidRPr="009C3F32">
        <w:rPr>
          <w:rFonts w:cstheme="minorHAnsi"/>
          <w:sz w:val="22"/>
          <w:szCs w:val="22"/>
        </w:rPr>
        <w:t>two phases</w:t>
      </w:r>
      <w:r w:rsidRPr="009C3F32">
        <w:rPr>
          <w:rFonts w:cstheme="minorHAnsi"/>
          <w:sz w:val="22"/>
          <w:szCs w:val="22"/>
        </w:rPr>
        <w:t>.</w:t>
      </w:r>
      <w:r w:rsidRPr="003B7C69">
        <w:rPr>
          <w:rFonts w:cstheme="minorHAnsi"/>
          <w:sz w:val="22"/>
          <w:szCs w:val="22"/>
        </w:rPr>
        <w:t xml:space="preserve"> Option 3 does not</w:t>
      </w:r>
      <w:r w:rsidR="00476D8F">
        <w:rPr>
          <w:rFonts w:cstheme="minorHAnsi"/>
          <w:sz w:val="22"/>
          <w:szCs w:val="22"/>
        </w:rPr>
        <w:t xml:space="preserve"> include</w:t>
      </w:r>
      <w:r w:rsidRPr="003B7C69">
        <w:rPr>
          <w:rFonts w:cstheme="minorHAnsi"/>
          <w:sz w:val="22"/>
          <w:szCs w:val="22"/>
        </w:rPr>
        <w:t xml:space="preserve"> a phased delivery but </w:t>
      </w:r>
      <w:r w:rsidR="00476D8F">
        <w:rPr>
          <w:rFonts w:cstheme="minorHAnsi"/>
          <w:sz w:val="22"/>
          <w:szCs w:val="22"/>
        </w:rPr>
        <w:t xml:space="preserve">commits to </w:t>
      </w:r>
      <w:r w:rsidRPr="003B7C69">
        <w:rPr>
          <w:rFonts w:cstheme="minorHAnsi"/>
          <w:sz w:val="22"/>
          <w:szCs w:val="22"/>
        </w:rPr>
        <w:t xml:space="preserve">a review of the </w:t>
      </w:r>
      <w:r w:rsidR="005976A7">
        <w:rPr>
          <w:rFonts w:cstheme="minorHAnsi"/>
          <w:sz w:val="22"/>
          <w:szCs w:val="22"/>
        </w:rPr>
        <w:t>S</w:t>
      </w:r>
      <w:r w:rsidRPr="003B7C69">
        <w:rPr>
          <w:rFonts w:cstheme="minorHAnsi"/>
          <w:sz w:val="22"/>
          <w:szCs w:val="22"/>
        </w:rPr>
        <w:t xml:space="preserve">afeguard </w:t>
      </w:r>
      <w:r w:rsidR="005976A7">
        <w:rPr>
          <w:rFonts w:cstheme="minorHAnsi"/>
          <w:sz w:val="22"/>
          <w:szCs w:val="22"/>
        </w:rPr>
        <w:t>M</w:t>
      </w:r>
      <w:r w:rsidRPr="003B7C69">
        <w:rPr>
          <w:rFonts w:cstheme="minorHAnsi"/>
          <w:sz w:val="22"/>
          <w:szCs w:val="22"/>
        </w:rPr>
        <w:t xml:space="preserve">echanism in </w:t>
      </w:r>
      <w:r w:rsidR="003326DF">
        <w:rPr>
          <w:rFonts w:cstheme="minorHAnsi"/>
          <w:sz w:val="22"/>
          <w:szCs w:val="22"/>
        </w:rPr>
        <w:t>2026-27</w:t>
      </w:r>
      <w:r w:rsidRPr="003B7C69">
        <w:rPr>
          <w:rFonts w:cstheme="minorHAnsi"/>
          <w:sz w:val="22"/>
          <w:szCs w:val="22"/>
        </w:rPr>
        <w:t xml:space="preserve"> </w:t>
      </w:r>
      <w:r w:rsidR="00476D8F">
        <w:rPr>
          <w:rFonts w:cstheme="minorHAnsi"/>
          <w:sz w:val="22"/>
          <w:szCs w:val="22"/>
        </w:rPr>
        <w:t>to</w:t>
      </w:r>
      <w:r w:rsidR="00476D8F" w:rsidRPr="003B7C69">
        <w:rPr>
          <w:rFonts w:cstheme="minorHAnsi"/>
          <w:sz w:val="22"/>
          <w:szCs w:val="22"/>
        </w:rPr>
        <w:t xml:space="preserve"> </w:t>
      </w:r>
      <w:r w:rsidRPr="003B7C69">
        <w:rPr>
          <w:rFonts w:cstheme="minorHAnsi"/>
          <w:sz w:val="22"/>
          <w:szCs w:val="22"/>
        </w:rPr>
        <w:t xml:space="preserve">assess initial reform impacts, and ensure policy settings are appropriately calibrated. </w:t>
      </w:r>
    </w:p>
    <w:p w14:paraId="6166F543" w14:textId="1B45AAFB" w:rsidR="00D41DDB" w:rsidRDefault="00D41DDB" w:rsidP="003B7C69">
      <w:pPr>
        <w:rPr>
          <w:sz w:val="22"/>
          <w:szCs w:val="22"/>
        </w:rPr>
      </w:pPr>
      <w:r w:rsidRPr="003B7C69">
        <w:rPr>
          <w:sz w:val="22"/>
          <w:szCs w:val="22"/>
        </w:rPr>
        <w:t>The review will consider, among other things, the initial impacts of resetting and declining baselines, including the costs and availability of domestic offsets; the appropriate treatment of international units; the suitability of arrangements for emissions-intensive, trade-exposed activities; whether the cost containment measure is sufficient; and treatment of flexibility mechanisms beyond 2030, such as banking and borrowing and multi-year monitoring periods.</w:t>
      </w:r>
    </w:p>
    <w:p w14:paraId="45DC0433" w14:textId="77777777" w:rsidR="00B95D61" w:rsidRPr="00DA1B55" w:rsidRDefault="005976A7" w:rsidP="003B7C69">
      <w:pPr>
        <w:rPr>
          <w:sz w:val="22"/>
          <w:szCs w:val="22"/>
        </w:rPr>
      </w:pPr>
      <w:r>
        <w:rPr>
          <w:sz w:val="22"/>
          <w:szCs w:val="22"/>
        </w:rPr>
        <w:t>R</w:t>
      </w:r>
      <w:r w:rsidR="00B95D61">
        <w:rPr>
          <w:sz w:val="22"/>
          <w:szCs w:val="22"/>
        </w:rPr>
        <w:t>efer</w:t>
      </w:r>
      <w:r w:rsidR="00B95D61" w:rsidDel="005976A7">
        <w:rPr>
          <w:sz w:val="22"/>
          <w:szCs w:val="22"/>
        </w:rPr>
        <w:t xml:space="preserve"> </w:t>
      </w:r>
      <w:r w:rsidR="00B95D61">
        <w:rPr>
          <w:sz w:val="22"/>
          <w:szCs w:val="22"/>
        </w:rPr>
        <w:t>to Question 7 for more details on implementation</w:t>
      </w:r>
      <w:r w:rsidR="00D224CC">
        <w:rPr>
          <w:sz w:val="22"/>
          <w:szCs w:val="22"/>
        </w:rPr>
        <w:t xml:space="preserve"> and evaluation.</w:t>
      </w:r>
      <w:r w:rsidR="00B95D61">
        <w:rPr>
          <w:sz w:val="22"/>
          <w:szCs w:val="22"/>
        </w:rPr>
        <w:t xml:space="preserve"> </w:t>
      </w:r>
    </w:p>
    <w:p w14:paraId="2499F1D8" w14:textId="77777777" w:rsidR="002F5219" w:rsidRDefault="0032296D" w:rsidP="003B7C69">
      <w:pPr>
        <w:pStyle w:val="Heading3"/>
      </w:pPr>
      <w:bookmarkStart w:id="176" w:name="_Toc118750370"/>
      <w:bookmarkStart w:id="177" w:name="_Toc118754646"/>
      <w:bookmarkStart w:id="178" w:name="_Toc118813937"/>
      <w:bookmarkStart w:id="179" w:name="_Toc119327147"/>
      <w:bookmarkStart w:id="180" w:name="_Toc119360652"/>
      <w:bookmarkStart w:id="181" w:name="_Toc132807542"/>
      <w:r>
        <w:t>B</w:t>
      </w:r>
      <w:r w:rsidR="002F5219">
        <w:t>aseline</w:t>
      </w:r>
      <w:r>
        <w:t>s</w:t>
      </w:r>
      <w:bookmarkEnd w:id="176"/>
      <w:bookmarkEnd w:id="177"/>
      <w:bookmarkEnd w:id="178"/>
      <w:bookmarkEnd w:id="179"/>
      <w:bookmarkEnd w:id="180"/>
      <w:bookmarkEnd w:id="181"/>
      <w:r>
        <w:t xml:space="preserve"> </w:t>
      </w:r>
    </w:p>
    <w:p w14:paraId="40DFB2BA" w14:textId="77777777" w:rsidR="008956E1" w:rsidRPr="008956E1" w:rsidRDefault="008956E1" w:rsidP="008956E1">
      <w:pPr>
        <w:keepNext/>
        <w:rPr>
          <w:sz w:val="22"/>
        </w:rPr>
      </w:pPr>
      <w:r w:rsidRPr="008956E1">
        <w:rPr>
          <w:sz w:val="22"/>
        </w:rPr>
        <w:t>The Government consulted on a fixed (absolute) or production-adjusted (intensity) baseline setting framework</w:t>
      </w:r>
      <w:r w:rsidR="00497D9B">
        <w:rPr>
          <w:sz w:val="22"/>
        </w:rPr>
        <w:t>:</w:t>
      </w:r>
    </w:p>
    <w:p w14:paraId="60D85971" w14:textId="77777777" w:rsidR="002F5219" w:rsidRPr="003B7C69" w:rsidRDefault="002F5219" w:rsidP="003B7C69">
      <w:pPr>
        <w:pStyle w:val="BodyText"/>
        <w:numPr>
          <w:ilvl w:val="0"/>
          <w:numId w:val="66"/>
        </w:numPr>
        <w:rPr>
          <w:sz w:val="22"/>
          <w:szCs w:val="22"/>
        </w:rPr>
      </w:pPr>
      <w:r w:rsidRPr="003B7C69">
        <w:rPr>
          <w:b/>
          <w:sz w:val="22"/>
          <w:szCs w:val="22"/>
        </w:rPr>
        <w:t>Fixed (absolute) baselines</w:t>
      </w:r>
      <w:r w:rsidRPr="003B7C69">
        <w:rPr>
          <w:sz w:val="22"/>
          <w:szCs w:val="22"/>
        </w:rPr>
        <w:t xml:space="preserve"> place an absolute limit on covered emissions. They can be met by reducing output and/or improving emissions-intensity. </w:t>
      </w:r>
    </w:p>
    <w:p w14:paraId="66EC3604" w14:textId="77777777" w:rsidR="008956E1" w:rsidRPr="003B7C69" w:rsidRDefault="008956E1" w:rsidP="003B7C69">
      <w:pPr>
        <w:pStyle w:val="BodyText"/>
        <w:numPr>
          <w:ilvl w:val="0"/>
          <w:numId w:val="66"/>
        </w:numPr>
        <w:rPr>
          <w:sz w:val="22"/>
          <w:szCs w:val="22"/>
        </w:rPr>
      </w:pPr>
      <w:r w:rsidRPr="003B7C69">
        <w:rPr>
          <w:b/>
          <w:sz w:val="22"/>
          <w:szCs w:val="22"/>
        </w:rPr>
        <w:t>Production-adjusted (intensity)</w:t>
      </w:r>
      <w:r w:rsidRPr="003B7C69">
        <w:rPr>
          <w:sz w:val="22"/>
          <w:szCs w:val="22"/>
        </w:rPr>
        <w:t xml:space="preserve"> baselines rise and fall annually with production. They can only be met by improving the emissions-intensity of production.</w:t>
      </w:r>
    </w:p>
    <w:p w14:paraId="0EE11BDC" w14:textId="77777777" w:rsidR="008956E1" w:rsidRPr="008956E1" w:rsidRDefault="008956E1" w:rsidP="008956E1">
      <w:pPr>
        <w:rPr>
          <w:sz w:val="22"/>
        </w:rPr>
      </w:pPr>
      <w:r w:rsidRPr="008956E1">
        <w:rPr>
          <w:sz w:val="22"/>
        </w:rPr>
        <w:t>Consultation revealed widespread support for retaining the production-adjusted framework. It helps to decouple emissions from growth, supporting business competitiveness and growing jobs as the world continues to decarbonise.</w:t>
      </w:r>
      <w:r>
        <w:rPr>
          <w:sz w:val="22"/>
        </w:rPr>
        <w:t xml:space="preserve"> Options 1-3 are based on a production-adjusted baseline framework.</w:t>
      </w:r>
    </w:p>
    <w:p w14:paraId="6CF689AE" w14:textId="728CBCF1" w:rsidR="00867FD3" w:rsidRDefault="00867FD3" w:rsidP="00867FD3">
      <w:pPr>
        <w:pStyle w:val="BodyText"/>
        <w:rPr>
          <w:sz w:val="22"/>
        </w:rPr>
      </w:pPr>
      <w:r w:rsidRPr="008956E1">
        <w:rPr>
          <w:sz w:val="22"/>
        </w:rPr>
        <w:t xml:space="preserve">Baselines for existing facilities </w:t>
      </w:r>
      <w:r w:rsidR="008956E1" w:rsidRPr="008956E1">
        <w:rPr>
          <w:sz w:val="22"/>
        </w:rPr>
        <w:t xml:space="preserve">need to be reset before the reforms can commence to remove </w:t>
      </w:r>
      <w:r w:rsidR="009B6246">
        <w:rPr>
          <w:sz w:val="22"/>
        </w:rPr>
        <w:t xml:space="preserve">aggregate </w:t>
      </w:r>
      <w:r w:rsidR="008956E1" w:rsidRPr="008956E1">
        <w:rPr>
          <w:sz w:val="22"/>
        </w:rPr>
        <w:t>headroom.</w:t>
      </w:r>
      <w:r w:rsidR="009B6246">
        <w:rPr>
          <w:rStyle w:val="FootnoteReference"/>
          <w:sz w:val="22"/>
        </w:rPr>
        <w:footnoteReference w:id="22"/>
      </w:r>
      <w:r w:rsidR="00C07E70">
        <w:rPr>
          <w:sz w:val="22"/>
        </w:rPr>
        <w:t xml:space="preserve"> </w:t>
      </w:r>
      <w:r w:rsidR="008956E1" w:rsidRPr="008956E1">
        <w:rPr>
          <w:sz w:val="22"/>
        </w:rPr>
        <w:t>The Government consulted on</w:t>
      </w:r>
      <w:r w:rsidR="008956E1">
        <w:rPr>
          <w:sz w:val="22"/>
        </w:rPr>
        <w:t xml:space="preserve"> two options to remove headroom:</w:t>
      </w:r>
    </w:p>
    <w:p w14:paraId="490CD258" w14:textId="77777777" w:rsidR="00365FFC" w:rsidRPr="003B7C69" w:rsidRDefault="00365FFC" w:rsidP="003B7C69">
      <w:pPr>
        <w:pStyle w:val="BodyText"/>
        <w:numPr>
          <w:ilvl w:val="0"/>
          <w:numId w:val="66"/>
        </w:numPr>
        <w:rPr>
          <w:b/>
          <w:sz w:val="22"/>
          <w:szCs w:val="22"/>
        </w:rPr>
      </w:pPr>
      <w:r w:rsidRPr="003B7C69">
        <w:rPr>
          <w:b/>
          <w:sz w:val="22"/>
          <w:szCs w:val="22"/>
        </w:rPr>
        <w:t xml:space="preserve">Option 1: all baselines are set using benchmark (industry average) emissions-intensity values – </w:t>
      </w:r>
      <w:r w:rsidRPr="003B7C69">
        <w:rPr>
          <w:sz w:val="22"/>
          <w:szCs w:val="22"/>
        </w:rPr>
        <w:t xml:space="preserve">they hold all facilities making the same product to the same standard and make the least emissions-intensive producers relatively better off. </w:t>
      </w:r>
    </w:p>
    <w:p w14:paraId="0BEE56CF" w14:textId="77777777" w:rsidR="00365FFC" w:rsidRPr="003B7C69" w:rsidRDefault="00365FFC" w:rsidP="003B7C69">
      <w:pPr>
        <w:pStyle w:val="BodyText"/>
        <w:numPr>
          <w:ilvl w:val="0"/>
          <w:numId w:val="66"/>
        </w:numPr>
        <w:rPr>
          <w:b/>
          <w:sz w:val="22"/>
          <w:szCs w:val="22"/>
        </w:rPr>
      </w:pPr>
      <w:r w:rsidRPr="003B7C69">
        <w:rPr>
          <w:b/>
          <w:sz w:val="22"/>
          <w:szCs w:val="22"/>
        </w:rPr>
        <w:t xml:space="preserve">Option 2: all baselines are set using site-specific emissions-intensity values </w:t>
      </w:r>
      <w:r w:rsidRPr="003B7C69">
        <w:rPr>
          <w:sz w:val="22"/>
          <w:szCs w:val="22"/>
        </w:rPr>
        <w:t>– they approximate actual facility emissions levels—this is often referred to as ‘grandfathering’</w:t>
      </w:r>
      <w:r w:rsidRPr="003B7C69">
        <w:rPr>
          <w:b/>
          <w:sz w:val="22"/>
          <w:szCs w:val="22"/>
        </w:rPr>
        <w:t>.</w:t>
      </w:r>
    </w:p>
    <w:p w14:paraId="5184F8B3" w14:textId="7DFE4CA8" w:rsidR="008956E1" w:rsidRDefault="00ED05BE" w:rsidP="00867FD3">
      <w:pPr>
        <w:pStyle w:val="BodyText"/>
        <w:rPr>
          <w:sz w:val="22"/>
        </w:rPr>
      </w:pPr>
      <w:r>
        <w:rPr>
          <w:sz w:val="22"/>
        </w:rPr>
        <w:lastRenderedPageBreak/>
        <w:t>The Consultation Paper welcomed views on other options, noting there are many possible a</w:t>
      </w:r>
      <w:r w:rsidR="0035454E">
        <w:rPr>
          <w:sz w:val="22"/>
        </w:rPr>
        <w:t xml:space="preserve">pproaches. </w:t>
      </w:r>
      <w:r>
        <w:rPr>
          <w:sz w:val="22"/>
        </w:rPr>
        <w:t xml:space="preserve"> Options 1 and 2 distribute costs differently. Option 1 provides an </w:t>
      </w:r>
      <w:r w:rsidRPr="00ED05BE">
        <w:rPr>
          <w:sz w:val="22"/>
        </w:rPr>
        <w:t>incentive for production to occur at the least emissions-intensive facilities.</w:t>
      </w:r>
      <w:r w:rsidRPr="00ED05BE">
        <w:t xml:space="preserve"> </w:t>
      </w:r>
      <w:r w:rsidRPr="00ED05BE">
        <w:rPr>
          <w:sz w:val="22"/>
        </w:rPr>
        <w:t>Option 2 more evenly distribute</w:t>
      </w:r>
      <w:r w:rsidR="00056C21">
        <w:rPr>
          <w:sz w:val="22"/>
        </w:rPr>
        <w:t>s</w:t>
      </w:r>
      <w:r w:rsidRPr="00ED05BE">
        <w:rPr>
          <w:sz w:val="22"/>
        </w:rPr>
        <w:t xml:space="preserve"> costs in the short term, but fail</w:t>
      </w:r>
      <w:r>
        <w:rPr>
          <w:sz w:val="22"/>
        </w:rPr>
        <w:t>s</w:t>
      </w:r>
      <w:r w:rsidRPr="00ED05BE">
        <w:rPr>
          <w:sz w:val="22"/>
        </w:rPr>
        <w:t xml:space="preserve"> to encourage production to occur where </w:t>
      </w:r>
      <w:r>
        <w:rPr>
          <w:sz w:val="22"/>
        </w:rPr>
        <w:t xml:space="preserve">it is least emissions intensive. </w:t>
      </w:r>
      <w:r w:rsidRPr="00ED05BE">
        <w:rPr>
          <w:sz w:val="22"/>
        </w:rPr>
        <w:t xml:space="preserve">To balance these strengths and weaknesses, </w:t>
      </w:r>
      <w:r>
        <w:rPr>
          <w:sz w:val="22"/>
        </w:rPr>
        <w:t>Option 3</w:t>
      </w:r>
      <w:r w:rsidR="00960F92">
        <w:rPr>
          <w:sz w:val="22"/>
        </w:rPr>
        <w:t xml:space="preserve"> </w:t>
      </w:r>
      <w:r w:rsidR="007C6154">
        <w:rPr>
          <w:sz w:val="22"/>
        </w:rPr>
        <w:t>was</w:t>
      </w:r>
      <w:r w:rsidR="00960F92">
        <w:rPr>
          <w:sz w:val="22"/>
        </w:rPr>
        <w:t xml:space="preserve"> developed</w:t>
      </w:r>
      <w:r>
        <w:rPr>
          <w:sz w:val="22"/>
        </w:rPr>
        <w:t xml:space="preserve"> – a </w:t>
      </w:r>
      <w:r w:rsidRPr="00ED05BE">
        <w:rPr>
          <w:sz w:val="22"/>
        </w:rPr>
        <w:t xml:space="preserve">hybrid model </w:t>
      </w:r>
      <w:r>
        <w:rPr>
          <w:sz w:val="22"/>
        </w:rPr>
        <w:t xml:space="preserve">– </w:t>
      </w:r>
      <w:r w:rsidRPr="00ED05BE">
        <w:rPr>
          <w:sz w:val="22"/>
        </w:rPr>
        <w:t>weighted</w:t>
      </w:r>
      <w:r>
        <w:rPr>
          <w:sz w:val="22"/>
        </w:rPr>
        <w:t xml:space="preserve"> </w:t>
      </w:r>
      <w:r w:rsidRPr="00ED05BE">
        <w:rPr>
          <w:sz w:val="22"/>
        </w:rPr>
        <w:t>towards site-specific baselines (Option 2) in the short term, and transitioning to industry</w:t>
      </w:r>
      <w:r w:rsidRPr="00ED05BE">
        <w:rPr>
          <w:sz w:val="22"/>
        </w:rPr>
        <w:noBreakHyphen/>
        <w:t>average benchmarks (Option 1) by the end of the decade</w:t>
      </w:r>
      <w:r>
        <w:rPr>
          <w:sz w:val="22"/>
        </w:rPr>
        <w:t>.</w:t>
      </w:r>
    </w:p>
    <w:p w14:paraId="7545B906" w14:textId="6242368B" w:rsidR="0035454E" w:rsidRPr="00FA7E86" w:rsidRDefault="004C704F" w:rsidP="00867FD3">
      <w:pPr>
        <w:pStyle w:val="BodyText"/>
        <w:rPr>
          <w:sz w:val="22"/>
          <w:szCs w:val="22"/>
        </w:rPr>
      </w:pPr>
      <w:r w:rsidRPr="0083119B">
        <w:rPr>
          <w:sz w:val="22"/>
          <w:szCs w:val="22"/>
        </w:rPr>
        <w:fldChar w:fldCharType="begin"/>
      </w:r>
      <w:r w:rsidRPr="004C704F">
        <w:rPr>
          <w:sz w:val="22"/>
          <w:szCs w:val="22"/>
        </w:rPr>
        <w:instrText xml:space="preserve"> REF _Ref132107188 \h </w:instrText>
      </w:r>
      <w:r>
        <w:rPr>
          <w:sz w:val="22"/>
          <w:szCs w:val="22"/>
        </w:rPr>
        <w:instrText xml:space="preserve"> \* MERGEFORMAT </w:instrText>
      </w:r>
      <w:r w:rsidRPr="0083119B">
        <w:rPr>
          <w:sz w:val="22"/>
          <w:szCs w:val="22"/>
        </w:rPr>
      </w:r>
      <w:r w:rsidRPr="0083119B">
        <w:rPr>
          <w:sz w:val="22"/>
          <w:szCs w:val="22"/>
        </w:rPr>
        <w:fldChar w:fldCharType="separate"/>
      </w:r>
      <w:r w:rsidRPr="00CF219C">
        <w:rPr>
          <w:sz w:val="22"/>
          <w:szCs w:val="22"/>
        </w:rPr>
        <w:t xml:space="preserve">Table </w:t>
      </w:r>
      <w:r w:rsidRPr="00CF219C">
        <w:rPr>
          <w:noProof/>
          <w:sz w:val="22"/>
          <w:szCs w:val="22"/>
        </w:rPr>
        <w:t>3</w:t>
      </w:r>
      <w:r w:rsidRPr="0083119B">
        <w:rPr>
          <w:sz w:val="22"/>
          <w:szCs w:val="22"/>
        </w:rPr>
        <w:fldChar w:fldCharType="end"/>
      </w:r>
      <w:r w:rsidRPr="004C704F">
        <w:rPr>
          <w:sz w:val="22"/>
          <w:szCs w:val="22"/>
        </w:rPr>
        <w:t xml:space="preserve"> </w:t>
      </w:r>
      <w:r w:rsidR="0035454E" w:rsidRPr="00F40F78">
        <w:rPr>
          <w:sz w:val="22"/>
          <w:szCs w:val="22"/>
        </w:rPr>
        <w:t>defines the ratios of industry average (</w:t>
      </w:r>
      <w:proofErr w:type="spellStart"/>
      <w:r w:rsidR="0035454E" w:rsidRPr="006B47AF">
        <w:rPr>
          <w:b/>
          <w:sz w:val="22"/>
          <w:szCs w:val="22"/>
        </w:rPr>
        <w:t>EI</w:t>
      </w:r>
      <w:r w:rsidR="0035454E" w:rsidRPr="006B47AF">
        <w:rPr>
          <w:b/>
          <w:sz w:val="22"/>
          <w:szCs w:val="22"/>
          <w:vertAlign w:val="subscript"/>
        </w:rPr>
        <w:t>IA</w:t>
      </w:r>
      <w:proofErr w:type="spellEnd"/>
      <w:r w:rsidR="0035454E" w:rsidRPr="004932D2">
        <w:rPr>
          <w:sz w:val="22"/>
          <w:szCs w:val="22"/>
        </w:rPr>
        <w:t>) and site-specific emissions intensity values (</w:t>
      </w:r>
      <w:proofErr w:type="spellStart"/>
      <w:r w:rsidR="0035454E" w:rsidRPr="004932D2">
        <w:rPr>
          <w:b/>
          <w:sz w:val="22"/>
          <w:szCs w:val="22"/>
        </w:rPr>
        <w:t>EI</w:t>
      </w:r>
      <w:r w:rsidR="0035454E" w:rsidRPr="004932D2">
        <w:rPr>
          <w:b/>
          <w:sz w:val="22"/>
          <w:szCs w:val="22"/>
          <w:vertAlign w:val="subscript"/>
        </w:rPr>
        <w:t>SS</w:t>
      </w:r>
      <w:proofErr w:type="spellEnd"/>
      <w:r w:rsidR="0035454E" w:rsidRPr="004932D2">
        <w:rPr>
          <w:sz w:val="22"/>
          <w:szCs w:val="22"/>
        </w:rPr>
        <w:t xml:space="preserve">) for </w:t>
      </w:r>
      <w:r w:rsidR="00917B3F" w:rsidRPr="00553D63">
        <w:rPr>
          <w:sz w:val="22"/>
          <w:szCs w:val="22"/>
        </w:rPr>
        <w:t>Option 3</w:t>
      </w:r>
      <w:r w:rsidR="0035454E" w:rsidRPr="007D2B05">
        <w:rPr>
          <w:sz w:val="22"/>
          <w:szCs w:val="22"/>
        </w:rPr>
        <w:t>.</w:t>
      </w:r>
    </w:p>
    <w:p w14:paraId="0ED81EC2" w14:textId="52EC4F3C" w:rsidR="006E69B2" w:rsidRDefault="004C704F" w:rsidP="003B7C69">
      <w:pPr>
        <w:pStyle w:val="Caption"/>
      </w:pPr>
      <w:bookmarkStart w:id="182" w:name="_Ref132107188"/>
      <w:bookmarkStart w:id="183" w:name="_Ref118287442"/>
      <w:r>
        <w:t xml:space="preserve">Table </w:t>
      </w:r>
      <w:fldSimple w:instr=" SEQ Table \* ARABIC ">
        <w:r w:rsidR="00F30595">
          <w:rPr>
            <w:noProof/>
          </w:rPr>
          <w:t>3</w:t>
        </w:r>
      </w:fldSimple>
      <w:bookmarkEnd w:id="182"/>
      <w:bookmarkEnd w:id="183"/>
      <w:r w:rsidR="006D5585">
        <w:t xml:space="preserve"> </w:t>
      </w:r>
      <w:r w:rsidR="006E69B2">
        <w:t>Ratio of industry average and site-specific emissions intensity values for Option 3 FY 24 - FY 30</w:t>
      </w:r>
    </w:p>
    <w:tbl>
      <w:tblPr>
        <w:tblStyle w:val="PMCTableStyle2"/>
        <w:tblW w:w="10626" w:type="dxa"/>
        <w:tblLook w:val="04A0" w:firstRow="1" w:lastRow="0" w:firstColumn="1" w:lastColumn="0" w:noHBand="0" w:noVBand="1"/>
      </w:tblPr>
      <w:tblGrid>
        <w:gridCol w:w="1328"/>
        <w:gridCol w:w="1328"/>
        <w:gridCol w:w="1328"/>
        <w:gridCol w:w="1328"/>
        <w:gridCol w:w="1328"/>
        <w:gridCol w:w="1328"/>
        <w:gridCol w:w="1329"/>
        <w:gridCol w:w="1329"/>
      </w:tblGrid>
      <w:tr w:rsidR="00917B3F" w14:paraId="143ED4ED" w14:textId="77777777" w:rsidTr="0035454E">
        <w:trPr>
          <w:cnfStyle w:val="100000000000" w:firstRow="1" w:lastRow="0" w:firstColumn="0" w:lastColumn="0" w:oddVBand="0" w:evenVBand="0" w:oddHBand="0" w:evenHBand="0" w:firstRowFirstColumn="0" w:firstRowLastColumn="0" w:lastRowFirstColumn="0" w:lastRowLastColumn="0"/>
          <w:trHeight w:val="407"/>
        </w:trPr>
        <w:tc>
          <w:tcPr>
            <w:tcW w:w="1328" w:type="dxa"/>
          </w:tcPr>
          <w:p w14:paraId="1420AA75" w14:textId="77777777" w:rsidR="00917B3F" w:rsidRPr="0035454E" w:rsidRDefault="00917B3F" w:rsidP="0035454E">
            <w:pPr>
              <w:pStyle w:val="BodyText"/>
              <w:jc w:val="center"/>
              <w:rPr>
                <w:sz w:val="20"/>
              </w:rPr>
            </w:pPr>
            <w:r w:rsidRPr="0035454E">
              <w:rPr>
                <w:sz w:val="20"/>
              </w:rPr>
              <w:t>Year</w:t>
            </w:r>
          </w:p>
        </w:tc>
        <w:tc>
          <w:tcPr>
            <w:tcW w:w="1328" w:type="dxa"/>
          </w:tcPr>
          <w:p w14:paraId="443803E6" w14:textId="77777777" w:rsidR="00917B3F" w:rsidRPr="0035454E" w:rsidRDefault="00917B3F" w:rsidP="0035454E">
            <w:pPr>
              <w:pStyle w:val="BodyText"/>
              <w:jc w:val="center"/>
              <w:rPr>
                <w:sz w:val="20"/>
              </w:rPr>
            </w:pPr>
            <w:r w:rsidRPr="0035454E">
              <w:rPr>
                <w:sz w:val="20"/>
              </w:rPr>
              <w:t>2023-24</w:t>
            </w:r>
          </w:p>
        </w:tc>
        <w:tc>
          <w:tcPr>
            <w:tcW w:w="1328" w:type="dxa"/>
          </w:tcPr>
          <w:p w14:paraId="33FA6DA4" w14:textId="77777777" w:rsidR="00917B3F" w:rsidRPr="0035454E" w:rsidRDefault="00917B3F" w:rsidP="0035454E">
            <w:pPr>
              <w:pStyle w:val="BodyText"/>
              <w:jc w:val="center"/>
              <w:rPr>
                <w:sz w:val="20"/>
              </w:rPr>
            </w:pPr>
            <w:r w:rsidRPr="0035454E">
              <w:rPr>
                <w:sz w:val="20"/>
              </w:rPr>
              <w:t>2024-25</w:t>
            </w:r>
          </w:p>
        </w:tc>
        <w:tc>
          <w:tcPr>
            <w:tcW w:w="1328" w:type="dxa"/>
          </w:tcPr>
          <w:p w14:paraId="294CF350" w14:textId="77777777" w:rsidR="00917B3F" w:rsidRPr="0035454E" w:rsidRDefault="00917B3F" w:rsidP="0035454E">
            <w:pPr>
              <w:pStyle w:val="BodyText"/>
              <w:jc w:val="center"/>
              <w:rPr>
                <w:sz w:val="20"/>
              </w:rPr>
            </w:pPr>
            <w:r w:rsidRPr="0035454E">
              <w:rPr>
                <w:sz w:val="20"/>
              </w:rPr>
              <w:t>2025-26</w:t>
            </w:r>
          </w:p>
        </w:tc>
        <w:tc>
          <w:tcPr>
            <w:tcW w:w="1328" w:type="dxa"/>
          </w:tcPr>
          <w:p w14:paraId="081F0986" w14:textId="77777777" w:rsidR="00917B3F" w:rsidRPr="0035454E" w:rsidRDefault="00917B3F" w:rsidP="0035454E">
            <w:pPr>
              <w:pStyle w:val="BodyText"/>
              <w:jc w:val="center"/>
              <w:rPr>
                <w:sz w:val="20"/>
              </w:rPr>
            </w:pPr>
            <w:r w:rsidRPr="0035454E">
              <w:rPr>
                <w:sz w:val="20"/>
              </w:rPr>
              <w:t>2026-27</w:t>
            </w:r>
          </w:p>
        </w:tc>
        <w:tc>
          <w:tcPr>
            <w:tcW w:w="1328" w:type="dxa"/>
          </w:tcPr>
          <w:p w14:paraId="29BD1BC5" w14:textId="77777777" w:rsidR="00917B3F" w:rsidRPr="0035454E" w:rsidRDefault="00917B3F" w:rsidP="0035454E">
            <w:pPr>
              <w:pStyle w:val="BodyText"/>
              <w:jc w:val="center"/>
              <w:rPr>
                <w:sz w:val="20"/>
              </w:rPr>
            </w:pPr>
            <w:r w:rsidRPr="0035454E">
              <w:rPr>
                <w:sz w:val="20"/>
              </w:rPr>
              <w:t>2027-28</w:t>
            </w:r>
          </w:p>
        </w:tc>
        <w:tc>
          <w:tcPr>
            <w:tcW w:w="1329" w:type="dxa"/>
          </w:tcPr>
          <w:p w14:paraId="56DF0FFC" w14:textId="77777777" w:rsidR="00917B3F" w:rsidRPr="0035454E" w:rsidRDefault="00917B3F" w:rsidP="0035454E">
            <w:pPr>
              <w:pStyle w:val="BodyText"/>
              <w:jc w:val="center"/>
              <w:rPr>
                <w:sz w:val="20"/>
              </w:rPr>
            </w:pPr>
            <w:r w:rsidRPr="0035454E">
              <w:rPr>
                <w:sz w:val="20"/>
              </w:rPr>
              <w:t>2028-29</w:t>
            </w:r>
          </w:p>
        </w:tc>
        <w:tc>
          <w:tcPr>
            <w:tcW w:w="1329" w:type="dxa"/>
          </w:tcPr>
          <w:p w14:paraId="467511F6" w14:textId="77777777" w:rsidR="00917B3F" w:rsidRPr="0035454E" w:rsidRDefault="00917B3F" w:rsidP="0035454E">
            <w:pPr>
              <w:pStyle w:val="BodyText"/>
              <w:jc w:val="center"/>
              <w:rPr>
                <w:sz w:val="20"/>
              </w:rPr>
            </w:pPr>
            <w:r w:rsidRPr="0035454E">
              <w:rPr>
                <w:sz w:val="20"/>
              </w:rPr>
              <w:t>2029-30</w:t>
            </w:r>
          </w:p>
        </w:tc>
      </w:tr>
      <w:tr w:rsidR="00917B3F" w14:paraId="18334993" w14:textId="77777777" w:rsidTr="0035454E">
        <w:trPr>
          <w:trHeight w:val="446"/>
        </w:trPr>
        <w:tc>
          <w:tcPr>
            <w:tcW w:w="1328" w:type="dxa"/>
          </w:tcPr>
          <w:p w14:paraId="497B314F" w14:textId="77777777" w:rsidR="00917B3F" w:rsidRPr="0035454E" w:rsidRDefault="00917B3F" w:rsidP="0035454E">
            <w:pPr>
              <w:pStyle w:val="BodyText"/>
              <w:jc w:val="center"/>
              <w:rPr>
                <w:sz w:val="22"/>
              </w:rPr>
            </w:pPr>
            <w:r w:rsidRPr="0035454E">
              <w:rPr>
                <w:sz w:val="22"/>
              </w:rPr>
              <w:t xml:space="preserve">Ratio </w:t>
            </w:r>
            <w:proofErr w:type="spellStart"/>
            <w:r w:rsidRPr="0035454E">
              <w:rPr>
                <w:b/>
                <w:color w:val="000000" w:themeColor="text1"/>
                <w:sz w:val="22"/>
              </w:rPr>
              <w:t>EI</w:t>
            </w:r>
            <w:r w:rsidRPr="0035454E">
              <w:rPr>
                <w:b/>
                <w:color w:val="000000" w:themeColor="text1"/>
                <w:sz w:val="22"/>
                <w:vertAlign w:val="subscript"/>
              </w:rPr>
              <w:t>IA</w:t>
            </w:r>
            <w:r w:rsidRPr="0035454E">
              <w:rPr>
                <w:b/>
                <w:color w:val="000000" w:themeColor="text1"/>
                <w:sz w:val="22"/>
              </w:rPr>
              <w:t>:EI</w:t>
            </w:r>
            <w:r w:rsidRPr="0035454E">
              <w:rPr>
                <w:b/>
                <w:color w:val="000000" w:themeColor="text1"/>
                <w:sz w:val="22"/>
                <w:vertAlign w:val="subscript"/>
              </w:rPr>
              <w:t>SS</w:t>
            </w:r>
            <w:proofErr w:type="spellEnd"/>
          </w:p>
        </w:tc>
        <w:tc>
          <w:tcPr>
            <w:tcW w:w="1328" w:type="dxa"/>
          </w:tcPr>
          <w:p w14:paraId="161F79CB" w14:textId="77777777" w:rsidR="00917B3F" w:rsidRPr="0035454E" w:rsidRDefault="00917B3F" w:rsidP="0035454E">
            <w:pPr>
              <w:pStyle w:val="BodyText"/>
              <w:jc w:val="center"/>
              <w:rPr>
                <w:sz w:val="22"/>
              </w:rPr>
            </w:pPr>
            <w:r w:rsidRPr="0035454E">
              <w:rPr>
                <w:b/>
                <w:color w:val="000000" w:themeColor="text1"/>
                <w:sz w:val="22"/>
              </w:rPr>
              <w:t>10:90</w:t>
            </w:r>
          </w:p>
        </w:tc>
        <w:tc>
          <w:tcPr>
            <w:tcW w:w="1328" w:type="dxa"/>
          </w:tcPr>
          <w:p w14:paraId="50902F45" w14:textId="77777777" w:rsidR="00917B3F" w:rsidRPr="0035454E" w:rsidRDefault="00917B3F" w:rsidP="0035454E">
            <w:pPr>
              <w:pStyle w:val="BodyText"/>
              <w:jc w:val="center"/>
              <w:rPr>
                <w:sz w:val="22"/>
              </w:rPr>
            </w:pPr>
            <w:r w:rsidRPr="0035454E">
              <w:rPr>
                <w:b/>
                <w:sz w:val="22"/>
              </w:rPr>
              <w:t>20:80</w:t>
            </w:r>
          </w:p>
        </w:tc>
        <w:tc>
          <w:tcPr>
            <w:tcW w:w="1328" w:type="dxa"/>
          </w:tcPr>
          <w:p w14:paraId="467251B1" w14:textId="77777777" w:rsidR="00917B3F" w:rsidRPr="0035454E" w:rsidRDefault="00917B3F" w:rsidP="0035454E">
            <w:pPr>
              <w:pStyle w:val="BodyText"/>
              <w:jc w:val="center"/>
              <w:rPr>
                <w:sz w:val="22"/>
              </w:rPr>
            </w:pPr>
            <w:r w:rsidRPr="0035454E">
              <w:rPr>
                <w:b/>
                <w:sz w:val="22"/>
              </w:rPr>
              <w:t>30:70</w:t>
            </w:r>
          </w:p>
        </w:tc>
        <w:tc>
          <w:tcPr>
            <w:tcW w:w="1328" w:type="dxa"/>
          </w:tcPr>
          <w:p w14:paraId="2AB4D529" w14:textId="77777777" w:rsidR="00917B3F" w:rsidRPr="0035454E" w:rsidRDefault="00917B3F" w:rsidP="0035454E">
            <w:pPr>
              <w:pStyle w:val="BodyText"/>
              <w:jc w:val="center"/>
              <w:rPr>
                <w:sz w:val="22"/>
              </w:rPr>
            </w:pPr>
            <w:r w:rsidRPr="0035454E">
              <w:rPr>
                <w:b/>
                <w:sz w:val="22"/>
              </w:rPr>
              <w:t>40:60</w:t>
            </w:r>
          </w:p>
        </w:tc>
        <w:tc>
          <w:tcPr>
            <w:tcW w:w="1328" w:type="dxa"/>
          </w:tcPr>
          <w:p w14:paraId="766241E9" w14:textId="77777777" w:rsidR="00917B3F" w:rsidRPr="0035454E" w:rsidRDefault="00917B3F" w:rsidP="0035454E">
            <w:pPr>
              <w:pStyle w:val="BodyText"/>
              <w:jc w:val="center"/>
              <w:rPr>
                <w:sz w:val="22"/>
              </w:rPr>
            </w:pPr>
            <w:r w:rsidRPr="0035454E">
              <w:rPr>
                <w:b/>
                <w:sz w:val="22"/>
              </w:rPr>
              <w:t>60:40</w:t>
            </w:r>
          </w:p>
        </w:tc>
        <w:tc>
          <w:tcPr>
            <w:tcW w:w="1329" w:type="dxa"/>
          </w:tcPr>
          <w:p w14:paraId="32877471" w14:textId="77777777" w:rsidR="00917B3F" w:rsidRPr="0035454E" w:rsidRDefault="00917B3F" w:rsidP="0035454E">
            <w:pPr>
              <w:pStyle w:val="BodyText"/>
              <w:jc w:val="center"/>
              <w:rPr>
                <w:sz w:val="22"/>
              </w:rPr>
            </w:pPr>
            <w:r w:rsidRPr="0035454E">
              <w:rPr>
                <w:b/>
                <w:sz w:val="22"/>
              </w:rPr>
              <w:t>80:20</w:t>
            </w:r>
          </w:p>
        </w:tc>
        <w:tc>
          <w:tcPr>
            <w:tcW w:w="1329" w:type="dxa"/>
          </w:tcPr>
          <w:p w14:paraId="118AE301" w14:textId="77777777" w:rsidR="00917B3F" w:rsidRPr="0035454E" w:rsidRDefault="00917B3F" w:rsidP="0035454E">
            <w:pPr>
              <w:pStyle w:val="BodyText"/>
              <w:jc w:val="center"/>
              <w:rPr>
                <w:sz w:val="22"/>
              </w:rPr>
            </w:pPr>
            <w:r w:rsidRPr="0035454E">
              <w:rPr>
                <w:b/>
                <w:sz w:val="22"/>
              </w:rPr>
              <w:t>100:0</w:t>
            </w:r>
          </w:p>
        </w:tc>
      </w:tr>
    </w:tbl>
    <w:p w14:paraId="029A4653" w14:textId="77777777" w:rsidR="00ED05BE" w:rsidRPr="00ED05BE" w:rsidRDefault="00ED05BE" w:rsidP="002B7D58">
      <w:pPr>
        <w:pStyle w:val="BodyText"/>
        <w:rPr>
          <w:sz w:val="28"/>
        </w:rPr>
      </w:pPr>
    </w:p>
    <w:p w14:paraId="7388A149" w14:textId="77777777" w:rsidR="002B7D58" w:rsidRPr="002B7D58" w:rsidRDefault="002B7D58" w:rsidP="00867FD3">
      <w:pPr>
        <w:pStyle w:val="BodyText"/>
        <w:rPr>
          <w:sz w:val="22"/>
        </w:rPr>
      </w:pPr>
      <w:r w:rsidRPr="002B7D58">
        <w:rPr>
          <w:sz w:val="22"/>
        </w:rPr>
        <w:t xml:space="preserve">By combining </w:t>
      </w:r>
      <w:r>
        <w:rPr>
          <w:sz w:val="22"/>
        </w:rPr>
        <w:t>O</w:t>
      </w:r>
      <w:r w:rsidRPr="002B7D58">
        <w:rPr>
          <w:sz w:val="22"/>
        </w:rPr>
        <w:t xml:space="preserve">ptions 1 and 2 in ratios that always sum to 100 per cent, the hybrid model removes aggregate headroom from scheme commencement and delivers the same aggregate baselines as either </w:t>
      </w:r>
      <w:r>
        <w:rPr>
          <w:sz w:val="22"/>
        </w:rPr>
        <w:t>Option 1 or O</w:t>
      </w:r>
      <w:r w:rsidRPr="002B7D58">
        <w:rPr>
          <w:sz w:val="22"/>
        </w:rPr>
        <w:t>ption 2 in every year to 2030. All three models deliver the same amount of abatement to 2030 for any given baseline decline rate. The key difference between the three models is which facilities see costs and benefits</w:t>
      </w:r>
      <w:r w:rsidR="00DF135F">
        <w:rPr>
          <w:sz w:val="22"/>
        </w:rPr>
        <w:t>, and the timing and scale of those costs and benefits</w:t>
      </w:r>
      <w:r w:rsidRPr="002B7D58">
        <w:rPr>
          <w:sz w:val="22"/>
        </w:rPr>
        <w:t>.</w:t>
      </w:r>
    </w:p>
    <w:p w14:paraId="5BA06422" w14:textId="77777777" w:rsidR="00016707" w:rsidRDefault="00016707" w:rsidP="00202E2F">
      <w:pPr>
        <w:pStyle w:val="Heading4"/>
      </w:pPr>
      <w:r>
        <w:t>Setting baselines for new facilities</w:t>
      </w:r>
    </w:p>
    <w:p w14:paraId="332E4B70" w14:textId="77777777" w:rsidR="00016707" w:rsidRPr="00E83B3C" w:rsidRDefault="00016707" w:rsidP="00016707">
      <w:pPr>
        <w:rPr>
          <w:sz w:val="22"/>
          <w:szCs w:val="22"/>
        </w:rPr>
      </w:pPr>
      <w:r>
        <w:rPr>
          <w:sz w:val="22"/>
          <w:szCs w:val="22"/>
        </w:rPr>
        <w:t>Under current (pre-reform) settings for the Safeguard Mechanism</w:t>
      </w:r>
      <w:r w:rsidRPr="00E83B3C">
        <w:rPr>
          <w:sz w:val="22"/>
          <w:szCs w:val="22"/>
        </w:rPr>
        <w:t>, baselines for new facilities—those that are first covered under the Safeguard Mechanism after 1 July 2021—</w:t>
      </w:r>
      <w:r>
        <w:rPr>
          <w:sz w:val="22"/>
          <w:szCs w:val="22"/>
        </w:rPr>
        <w:t>wer</w:t>
      </w:r>
      <w:r w:rsidRPr="00E83B3C">
        <w:rPr>
          <w:sz w:val="22"/>
          <w:szCs w:val="22"/>
        </w:rPr>
        <w:t>e intended to be set using emissions-intensity benchmarks, though the level of these benchmarks has not been set</w:t>
      </w:r>
      <w:r w:rsidR="00073AA1">
        <w:rPr>
          <w:sz w:val="22"/>
          <w:szCs w:val="22"/>
        </w:rPr>
        <w:t>.</w:t>
      </w:r>
      <w:r w:rsidRPr="00E83B3C">
        <w:rPr>
          <w:rStyle w:val="FootnoteReference"/>
          <w:sz w:val="22"/>
          <w:szCs w:val="22"/>
        </w:rPr>
        <w:footnoteReference w:id="23"/>
      </w:r>
      <w:r w:rsidRPr="00E83B3C">
        <w:rPr>
          <w:sz w:val="22"/>
          <w:szCs w:val="22"/>
        </w:rPr>
        <w:t xml:space="preserve"> </w:t>
      </w:r>
      <w:r w:rsidR="00073AA1">
        <w:rPr>
          <w:sz w:val="22"/>
          <w:szCs w:val="22"/>
        </w:rPr>
        <w:t xml:space="preserve">The August 2022 Consultation Paper </w:t>
      </w:r>
      <w:r w:rsidRPr="00E83B3C">
        <w:rPr>
          <w:sz w:val="22"/>
          <w:szCs w:val="22"/>
        </w:rPr>
        <w:t xml:space="preserve">considered two options for </w:t>
      </w:r>
      <w:r w:rsidR="00073AA1">
        <w:rPr>
          <w:sz w:val="22"/>
          <w:szCs w:val="22"/>
        </w:rPr>
        <w:t>setting new facility benchmarks</w:t>
      </w:r>
      <w:r w:rsidR="00DF135F" w:rsidRPr="00E83B3C">
        <w:rPr>
          <w:sz w:val="22"/>
          <w:szCs w:val="22"/>
        </w:rPr>
        <w:t>—</w:t>
      </w:r>
      <w:r>
        <w:rPr>
          <w:sz w:val="22"/>
          <w:szCs w:val="22"/>
        </w:rPr>
        <w:t xml:space="preserve">the </w:t>
      </w:r>
      <w:r w:rsidR="00073AA1">
        <w:rPr>
          <w:sz w:val="22"/>
          <w:szCs w:val="22"/>
        </w:rPr>
        <w:t>industry-</w:t>
      </w:r>
      <w:r w:rsidRPr="00E83B3C">
        <w:rPr>
          <w:sz w:val="22"/>
          <w:szCs w:val="22"/>
        </w:rPr>
        <w:t>average</w:t>
      </w:r>
      <w:r>
        <w:rPr>
          <w:sz w:val="22"/>
          <w:szCs w:val="22"/>
        </w:rPr>
        <w:t xml:space="preserve"> </w:t>
      </w:r>
      <w:r w:rsidR="00DF135F">
        <w:rPr>
          <w:sz w:val="22"/>
          <w:szCs w:val="22"/>
        </w:rPr>
        <w:t xml:space="preserve">(that is, the same as </w:t>
      </w:r>
      <w:r>
        <w:rPr>
          <w:sz w:val="22"/>
          <w:szCs w:val="22"/>
        </w:rPr>
        <w:t>for existing facilities</w:t>
      </w:r>
      <w:r w:rsidR="00DF135F">
        <w:rPr>
          <w:sz w:val="22"/>
          <w:szCs w:val="22"/>
        </w:rPr>
        <w:t>),</w:t>
      </w:r>
      <w:r>
        <w:rPr>
          <w:sz w:val="22"/>
          <w:szCs w:val="22"/>
        </w:rPr>
        <w:t xml:space="preserve"> or </w:t>
      </w:r>
      <w:r w:rsidRPr="00E83B3C">
        <w:rPr>
          <w:sz w:val="22"/>
          <w:szCs w:val="22"/>
        </w:rPr>
        <w:t>best</w:t>
      </w:r>
      <w:r>
        <w:rPr>
          <w:sz w:val="22"/>
          <w:szCs w:val="22"/>
        </w:rPr>
        <w:t>-</w:t>
      </w:r>
      <w:r w:rsidRPr="00E83B3C">
        <w:rPr>
          <w:sz w:val="22"/>
          <w:szCs w:val="22"/>
        </w:rPr>
        <w:t>practice</w:t>
      </w:r>
      <w:r w:rsidR="00073AA1">
        <w:rPr>
          <w:sz w:val="22"/>
          <w:szCs w:val="22"/>
        </w:rPr>
        <w:t xml:space="preserve"> </w:t>
      </w:r>
      <w:r w:rsidRPr="00E83B3C">
        <w:rPr>
          <w:sz w:val="22"/>
          <w:szCs w:val="22"/>
        </w:rPr>
        <w:t xml:space="preserve">emissions intensity values. </w:t>
      </w:r>
      <w:r w:rsidR="00073AA1">
        <w:rPr>
          <w:sz w:val="22"/>
          <w:szCs w:val="22"/>
        </w:rPr>
        <w:t>For simplicity, Options 1 and 2 are assessed with the assumption that new facilities are put on a best-practice benchmark.</w:t>
      </w:r>
    </w:p>
    <w:p w14:paraId="1210CE6C" w14:textId="77777777" w:rsidR="002F20F1" w:rsidRDefault="00016707" w:rsidP="007C240A">
      <w:pPr>
        <w:keepLines/>
      </w:pPr>
      <w:r>
        <w:rPr>
          <w:sz w:val="22"/>
        </w:rPr>
        <w:t>Under Option 3, n</w:t>
      </w:r>
      <w:r w:rsidRPr="00E83B3C">
        <w:rPr>
          <w:sz w:val="22"/>
        </w:rPr>
        <w:t xml:space="preserve">ew </w:t>
      </w:r>
      <w:r>
        <w:rPr>
          <w:sz w:val="22"/>
        </w:rPr>
        <w:t xml:space="preserve">facility </w:t>
      </w:r>
      <w:r w:rsidRPr="00E83B3C">
        <w:rPr>
          <w:sz w:val="22"/>
          <w:szCs w:val="22"/>
        </w:rPr>
        <w:t xml:space="preserve">baselines </w:t>
      </w:r>
      <w:r>
        <w:rPr>
          <w:sz w:val="22"/>
          <w:szCs w:val="22"/>
        </w:rPr>
        <w:t>are</w:t>
      </w:r>
      <w:r w:rsidRPr="00E83B3C">
        <w:rPr>
          <w:sz w:val="22"/>
          <w:szCs w:val="22"/>
        </w:rPr>
        <w:t xml:space="preserve"> based on international best</w:t>
      </w:r>
      <w:r w:rsidR="00073AA1">
        <w:rPr>
          <w:sz w:val="22"/>
          <w:szCs w:val="22"/>
        </w:rPr>
        <w:t>-</w:t>
      </w:r>
      <w:r w:rsidRPr="00E83B3C">
        <w:rPr>
          <w:sz w:val="22"/>
          <w:szCs w:val="22"/>
        </w:rPr>
        <w:t>practice emissions-intensity benchmarks, adapted for Australian circumstances.</w:t>
      </w:r>
      <w:r>
        <w:t xml:space="preserve"> </w:t>
      </w:r>
      <w:r w:rsidRPr="002F20F1">
        <w:rPr>
          <w:sz w:val="22"/>
          <w:szCs w:val="22"/>
        </w:rPr>
        <w:t xml:space="preserve">New investments differ from existing production in that they have the opportunity to use the latest technology and build world’s best practice emissions performance into their design. </w:t>
      </w:r>
      <w:r w:rsidR="009B6246">
        <w:rPr>
          <w:sz w:val="22"/>
          <w:szCs w:val="22"/>
        </w:rPr>
        <w:t xml:space="preserve">There is growing global momentum to reach net zero by 2050, </w:t>
      </w:r>
      <w:r w:rsidR="00A460BC">
        <w:rPr>
          <w:sz w:val="22"/>
          <w:szCs w:val="22"/>
        </w:rPr>
        <w:t xml:space="preserve">with accelerated global efforts to decarbonise through the rapid development and deployment of clean technology. Best-practice benchmarks reflects this dynamic global investment environment, which will have </w:t>
      </w:r>
      <w:r w:rsidR="009B6246">
        <w:rPr>
          <w:sz w:val="22"/>
          <w:szCs w:val="22"/>
        </w:rPr>
        <w:t xml:space="preserve">positive </w:t>
      </w:r>
      <w:proofErr w:type="spellStart"/>
      <w:r w:rsidR="009B6246">
        <w:rPr>
          <w:sz w:val="22"/>
          <w:szCs w:val="22"/>
        </w:rPr>
        <w:t>spillovers</w:t>
      </w:r>
      <w:proofErr w:type="spellEnd"/>
      <w:r w:rsidR="009B6246">
        <w:rPr>
          <w:sz w:val="22"/>
          <w:szCs w:val="22"/>
        </w:rPr>
        <w:t xml:space="preserve"> for new Australian facilities in terms of the availability and cost of</w:t>
      </w:r>
      <w:r w:rsidR="00A460BC">
        <w:rPr>
          <w:sz w:val="22"/>
          <w:szCs w:val="22"/>
        </w:rPr>
        <w:t xml:space="preserve"> clean</w:t>
      </w:r>
      <w:r w:rsidR="009B6246">
        <w:rPr>
          <w:sz w:val="22"/>
          <w:szCs w:val="22"/>
        </w:rPr>
        <w:t xml:space="preserve"> technologies.  </w:t>
      </w:r>
      <w:r w:rsidR="007C240A" w:rsidRPr="00051D78">
        <w:rPr>
          <w:sz w:val="22"/>
          <w:szCs w:val="22"/>
        </w:rPr>
        <w:t>Adapting international best practice for an Australian context means, for example, adjusting for energy sources or other resources that are used overseas but are not available in Australia.</w:t>
      </w:r>
    </w:p>
    <w:p w14:paraId="29CBCAB2" w14:textId="1FCFBF92" w:rsidR="00EF358F" w:rsidRDefault="004D2E59" w:rsidP="007C240A">
      <w:pPr>
        <w:keepLines/>
        <w:rPr>
          <w:sz w:val="22"/>
          <w:szCs w:val="22"/>
        </w:rPr>
      </w:pPr>
      <w:r w:rsidRPr="004D2E59">
        <w:rPr>
          <w:sz w:val="22"/>
          <w:szCs w:val="22"/>
        </w:rPr>
        <w:lastRenderedPageBreak/>
        <w:t xml:space="preserve">To reduce competitive distortions between new and existing facilities, international best practice will also apply at existing Safeguard Mechanism facilities if they begin producing new products. This means any Safeguard facility—whether new or existing—that invests in new plant and equipment resulting in the use of a new production variable will face the more stringent performance </w:t>
      </w:r>
      <w:r w:rsidR="00016707" w:rsidRPr="00E83B3C" w:rsidDel="004D2E59">
        <w:rPr>
          <w:sz w:val="22"/>
          <w:szCs w:val="22"/>
        </w:rPr>
        <w:t>requirement</w:t>
      </w:r>
      <w:r w:rsidR="006B1DEA">
        <w:rPr>
          <w:sz w:val="22"/>
          <w:szCs w:val="22"/>
        </w:rPr>
        <w:t>, except where the new product is substantially similar to the existing product</w:t>
      </w:r>
      <w:r w:rsidR="00016707" w:rsidRPr="00E83B3C">
        <w:rPr>
          <w:sz w:val="22"/>
          <w:szCs w:val="22"/>
        </w:rPr>
        <w:t>.</w:t>
      </w:r>
      <w:r w:rsidR="00EF358F">
        <w:rPr>
          <w:sz w:val="22"/>
          <w:szCs w:val="22"/>
        </w:rPr>
        <w:t xml:space="preserve"> </w:t>
      </w:r>
    </w:p>
    <w:p w14:paraId="0A2BD0C1" w14:textId="4E951D81" w:rsidR="00016707" w:rsidRPr="00C74439" w:rsidRDefault="00EF358F" w:rsidP="007C240A">
      <w:pPr>
        <w:keepLines/>
      </w:pPr>
      <w:r>
        <w:rPr>
          <w:sz w:val="22"/>
          <w:szCs w:val="22"/>
        </w:rPr>
        <w:t xml:space="preserve">International best practice will also apply to </w:t>
      </w:r>
      <w:r w:rsidRPr="00EF358F">
        <w:rPr>
          <w:sz w:val="22"/>
          <w:szCs w:val="22"/>
        </w:rPr>
        <w:t>new oil and gas fields supplying an LNG train. This will provide certainty that all developments that open a new oil and gas fie</w:t>
      </w:r>
      <w:r w:rsidR="00056C21">
        <w:rPr>
          <w:sz w:val="22"/>
          <w:szCs w:val="22"/>
        </w:rPr>
        <w:t>l</w:t>
      </w:r>
      <w:r w:rsidRPr="00EF358F">
        <w:rPr>
          <w:sz w:val="22"/>
          <w:szCs w:val="22"/>
        </w:rPr>
        <w:t>d to supply an LNG train will be treated the same with respect to their reservoir carbon dioxide emissions for the purposes of the Safeguard Mechanism.</w:t>
      </w:r>
    </w:p>
    <w:p w14:paraId="4DF43788" w14:textId="77777777" w:rsidR="00BE7413" w:rsidRDefault="00867FD3" w:rsidP="00124202">
      <w:pPr>
        <w:pStyle w:val="Heading3"/>
      </w:pPr>
      <w:bookmarkStart w:id="184" w:name="_Toc118750371"/>
      <w:bookmarkStart w:id="185" w:name="_Toc118754647"/>
      <w:bookmarkStart w:id="186" w:name="_Toc118813938"/>
      <w:bookmarkStart w:id="187" w:name="_Toc119327148"/>
      <w:bookmarkStart w:id="188" w:name="_Toc119360653"/>
      <w:bookmarkStart w:id="189" w:name="_Toc132807543"/>
      <w:r>
        <w:t>Flexible compliance options</w:t>
      </w:r>
      <w:bookmarkEnd w:id="184"/>
      <w:bookmarkEnd w:id="185"/>
      <w:bookmarkEnd w:id="186"/>
      <w:bookmarkEnd w:id="187"/>
      <w:bookmarkEnd w:id="188"/>
      <w:bookmarkEnd w:id="189"/>
    </w:p>
    <w:p w14:paraId="2D0337D2" w14:textId="568E8488" w:rsidR="005C7B15" w:rsidRDefault="005C7B15" w:rsidP="00BE7413">
      <w:pPr>
        <w:pStyle w:val="BodyText"/>
        <w:rPr>
          <w:sz w:val="22"/>
        </w:rPr>
      </w:pPr>
      <w:r w:rsidRPr="005C7B15">
        <w:rPr>
          <w:sz w:val="22"/>
        </w:rPr>
        <w:t>In the reference scenario</w:t>
      </w:r>
      <w:r w:rsidR="00400597">
        <w:rPr>
          <w:sz w:val="22"/>
        </w:rPr>
        <w:t xml:space="preserve"> (pre</w:t>
      </w:r>
      <w:r w:rsidR="00073AA1">
        <w:rPr>
          <w:sz w:val="22"/>
        </w:rPr>
        <w:t>-</w:t>
      </w:r>
      <w:r w:rsidR="00400597">
        <w:rPr>
          <w:sz w:val="22"/>
        </w:rPr>
        <w:t>reform scheme settings)</w:t>
      </w:r>
      <w:r w:rsidRPr="005C7B15">
        <w:rPr>
          <w:sz w:val="22"/>
        </w:rPr>
        <w:t xml:space="preserve">, </w:t>
      </w:r>
      <w:r>
        <w:rPr>
          <w:sz w:val="22"/>
        </w:rPr>
        <w:t xml:space="preserve">only Australian Carbon Credit Units can be generated and acquitted for compliance purposes. International units are not permitted. Facilities are able to apply for a multi-year monitoring period to take a </w:t>
      </w:r>
      <w:r w:rsidR="00476D8F">
        <w:rPr>
          <w:sz w:val="22"/>
        </w:rPr>
        <w:t>two- or three-year</w:t>
      </w:r>
      <w:r>
        <w:rPr>
          <w:sz w:val="22"/>
        </w:rPr>
        <w:t xml:space="preserve"> averaging approach to managing their baseline compliance.</w:t>
      </w:r>
    </w:p>
    <w:p w14:paraId="6F813DD7" w14:textId="77777777" w:rsidR="00EC631E" w:rsidRDefault="005C7B15" w:rsidP="00BE7413">
      <w:pPr>
        <w:pStyle w:val="BodyText"/>
        <w:rPr>
          <w:sz w:val="22"/>
        </w:rPr>
      </w:pPr>
      <w:r>
        <w:rPr>
          <w:sz w:val="22"/>
        </w:rPr>
        <w:t>The introduction of a new type of within</w:t>
      </w:r>
      <w:r w:rsidR="00400597">
        <w:rPr>
          <w:sz w:val="22"/>
        </w:rPr>
        <w:t>-</w:t>
      </w:r>
      <w:r>
        <w:rPr>
          <w:sz w:val="22"/>
        </w:rPr>
        <w:t xml:space="preserve">scheme credit under the reforms – the Safeguard Mechanism Credit (SMC) – is accompanied by detailed design features. </w:t>
      </w:r>
    </w:p>
    <w:p w14:paraId="4C2E570B" w14:textId="347F382A" w:rsidR="005C7B15" w:rsidRPr="005C7B15" w:rsidRDefault="00EA5787" w:rsidP="00BE7413">
      <w:pPr>
        <w:pStyle w:val="BodyText"/>
        <w:rPr>
          <w:sz w:val="22"/>
        </w:rPr>
      </w:pPr>
      <w:r w:rsidRPr="00EA5787">
        <w:rPr>
          <w:sz w:val="22"/>
        </w:rPr>
        <w:t xml:space="preserve">SMCs will be automatically generated when </w:t>
      </w:r>
      <w:r w:rsidR="0082071B">
        <w:rPr>
          <w:sz w:val="22"/>
        </w:rPr>
        <w:t xml:space="preserve">a facility’s </w:t>
      </w:r>
      <w:r w:rsidRPr="00EA5787">
        <w:rPr>
          <w:sz w:val="22"/>
        </w:rPr>
        <w:t xml:space="preserve">emissions are below </w:t>
      </w:r>
      <w:r w:rsidR="0082071B">
        <w:rPr>
          <w:sz w:val="22"/>
        </w:rPr>
        <w:t xml:space="preserve">its </w:t>
      </w:r>
      <w:r w:rsidRPr="00EA5787">
        <w:rPr>
          <w:sz w:val="22"/>
        </w:rPr>
        <w:t>baseline.</w:t>
      </w:r>
      <w:r w:rsidR="00EC631E" w:rsidRPr="00EC631E">
        <w:t xml:space="preserve"> </w:t>
      </w:r>
      <w:r w:rsidR="00EC631E" w:rsidRPr="00EC631E">
        <w:rPr>
          <w:sz w:val="22"/>
        </w:rPr>
        <w:t xml:space="preserve">All Safeguard Mechanism facilities can generate credits, except facilities </w:t>
      </w:r>
      <w:r w:rsidR="008D2EE3">
        <w:rPr>
          <w:sz w:val="22"/>
        </w:rPr>
        <w:t xml:space="preserve">accessing </w:t>
      </w:r>
      <w:r w:rsidR="00EC631E" w:rsidRPr="00EC631E">
        <w:rPr>
          <w:sz w:val="22"/>
        </w:rPr>
        <w:t>borrowing arrangements and landfills</w:t>
      </w:r>
      <w:r w:rsidR="00EC631E">
        <w:rPr>
          <w:sz w:val="22"/>
        </w:rPr>
        <w:t>.</w:t>
      </w:r>
    </w:p>
    <w:p w14:paraId="28CE173E" w14:textId="77777777" w:rsidR="005C7B15" w:rsidRPr="005C7B15" w:rsidRDefault="005C7B15" w:rsidP="00BE7413">
      <w:pPr>
        <w:pStyle w:val="BodyText"/>
        <w:rPr>
          <w:sz w:val="22"/>
        </w:rPr>
      </w:pPr>
      <w:r w:rsidRPr="005C7B15">
        <w:rPr>
          <w:sz w:val="22"/>
        </w:rPr>
        <w:t>Flexible compliance options that are equivalent across Option 1 and Option 2 include:</w:t>
      </w:r>
    </w:p>
    <w:p w14:paraId="055E5BA0" w14:textId="77777777" w:rsidR="003F3B5B" w:rsidRPr="003F3B5B" w:rsidRDefault="003E4961" w:rsidP="005C7B15">
      <w:pPr>
        <w:pStyle w:val="BodyText"/>
        <w:numPr>
          <w:ilvl w:val="0"/>
          <w:numId w:val="28"/>
        </w:numPr>
        <w:rPr>
          <w:sz w:val="24"/>
        </w:rPr>
      </w:pPr>
      <w:r>
        <w:rPr>
          <w:sz w:val="22"/>
        </w:rPr>
        <w:t>b</w:t>
      </w:r>
      <w:r w:rsidR="003F3B5B" w:rsidRPr="003F3B5B">
        <w:rPr>
          <w:sz w:val="22"/>
        </w:rPr>
        <w:t xml:space="preserve">anking of SMCs </w:t>
      </w:r>
      <w:r w:rsidR="003F3B5B">
        <w:rPr>
          <w:sz w:val="22"/>
        </w:rPr>
        <w:t xml:space="preserve">allowed within </w:t>
      </w:r>
      <w:r w:rsidR="003F3B5B" w:rsidRPr="003F3B5B">
        <w:rPr>
          <w:sz w:val="22"/>
        </w:rPr>
        <w:t>2 phases</w:t>
      </w:r>
      <w:r w:rsidR="003F3B5B">
        <w:rPr>
          <w:sz w:val="22"/>
        </w:rPr>
        <w:t xml:space="preserve">, but not between phases </w:t>
      </w:r>
      <w:r w:rsidR="003F3B5B" w:rsidRPr="003F3B5B">
        <w:rPr>
          <w:sz w:val="22"/>
        </w:rPr>
        <w:t xml:space="preserve">—phase 1 (2023-24 to 2024-25) </w:t>
      </w:r>
      <w:r w:rsidR="003F3B5B">
        <w:rPr>
          <w:sz w:val="22"/>
        </w:rPr>
        <w:t>and phase 2 (2025-26 to 2029-30)</w:t>
      </w:r>
      <w:r>
        <w:rPr>
          <w:sz w:val="22"/>
        </w:rPr>
        <w:t>,</w:t>
      </w:r>
      <w:r w:rsidR="003F3B5B">
        <w:rPr>
          <w:sz w:val="22"/>
        </w:rPr>
        <w:t xml:space="preserve"> </w:t>
      </w:r>
    </w:p>
    <w:p w14:paraId="0FEDC226" w14:textId="77777777" w:rsidR="006C110F" w:rsidRDefault="003E4961" w:rsidP="005C7B15">
      <w:pPr>
        <w:pStyle w:val="BodyText"/>
        <w:numPr>
          <w:ilvl w:val="0"/>
          <w:numId w:val="28"/>
        </w:numPr>
        <w:rPr>
          <w:sz w:val="22"/>
        </w:rPr>
      </w:pPr>
      <w:r>
        <w:rPr>
          <w:sz w:val="22"/>
        </w:rPr>
        <w:t>b</w:t>
      </w:r>
      <w:r w:rsidR="006C110F">
        <w:rPr>
          <w:sz w:val="22"/>
        </w:rPr>
        <w:t>orrowing to 5 per cent of the baseline each year to 2030, no interest rate and no borrowing beyond 2030</w:t>
      </w:r>
      <w:r>
        <w:rPr>
          <w:sz w:val="22"/>
        </w:rPr>
        <w:t>.</w:t>
      </w:r>
    </w:p>
    <w:p w14:paraId="2F3DE80C" w14:textId="77777777" w:rsidR="005C7B15" w:rsidRPr="005C7B15" w:rsidRDefault="00400597" w:rsidP="00BE7413">
      <w:pPr>
        <w:pStyle w:val="BodyText"/>
        <w:rPr>
          <w:sz w:val="22"/>
        </w:rPr>
      </w:pPr>
      <w:r>
        <w:rPr>
          <w:sz w:val="22"/>
        </w:rPr>
        <w:t xml:space="preserve">In response to stakeholder feedback, </w:t>
      </w:r>
      <w:r w:rsidR="005C7B15" w:rsidRPr="005C7B15">
        <w:rPr>
          <w:sz w:val="22"/>
        </w:rPr>
        <w:t>Option 3 contains several differences:</w:t>
      </w:r>
    </w:p>
    <w:p w14:paraId="74FBEFB2" w14:textId="77777777" w:rsidR="00EA5787" w:rsidRPr="00124202" w:rsidRDefault="003E4961" w:rsidP="006C110F">
      <w:pPr>
        <w:pStyle w:val="BodyText"/>
        <w:numPr>
          <w:ilvl w:val="0"/>
          <w:numId w:val="28"/>
        </w:numPr>
        <w:rPr>
          <w:sz w:val="24"/>
        </w:rPr>
      </w:pPr>
      <w:r>
        <w:rPr>
          <w:sz w:val="22"/>
        </w:rPr>
        <w:t>u</w:t>
      </w:r>
      <w:r w:rsidR="00EA5787">
        <w:rPr>
          <w:sz w:val="22"/>
        </w:rPr>
        <w:t>nlimited banking of SMCs until 2030</w:t>
      </w:r>
      <w:r>
        <w:rPr>
          <w:sz w:val="22"/>
        </w:rPr>
        <w:t>,</w:t>
      </w:r>
    </w:p>
    <w:p w14:paraId="0027699E" w14:textId="0E60A210" w:rsidR="006C110F" w:rsidRPr="006C110F" w:rsidRDefault="003E4961" w:rsidP="006C110F">
      <w:pPr>
        <w:pStyle w:val="BodyText"/>
        <w:numPr>
          <w:ilvl w:val="0"/>
          <w:numId w:val="28"/>
        </w:numPr>
        <w:rPr>
          <w:sz w:val="24"/>
        </w:rPr>
      </w:pPr>
      <w:r>
        <w:rPr>
          <w:sz w:val="22"/>
        </w:rPr>
        <w:t>b</w:t>
      </w:r>
      <w:r w:rsidR="006C110F" w:rsidRPr="006C110F">
        <w:rPr>
          <w:sz w:val="22"/>
        </w:rPr>
        <w:t xml:space="preserve">orrowing to 10 per cent of the baseline each year to 2030, with a </w:t>
      </w:r>
      <w:r w:rsidR="003A6CF8">
        <w:rPr>
          <w:sz w:val="22"/>
        </w:rPr>
        <w:t>2</w:t>
      </w:r>
      <w:r w:rsidR="003A6CF8" w:rsidRPr="006C110F">
        <w:rPr>
          <w:sz w:val="22"/>
        </w:rPr>
        <w:t> </w:t>
      </w:r>
      <w:r w:rsidR="006C110F" w:rsidRPr="006C110F">
        <w:rPr>
          <w:sz w:val="22"/>
        </w:rPr>
        <w:t>per cent interest rate applied in the year after borrowing occurred</w:t>
      </w:r>
      <w:r w:rsidR="003A6CF8">
        <w:rPr>
          <w:sz w:val="22"/>
        </w:rPr>
        <w:t xml:space="preserve"> for the first two years of the reforms and 10 per cent thereafter</w:t>
      </w:r>
      <w:r w:rsidR="003C672A">
        <w:rPr>
          <w:sz w:val="22"/>
        </w:rPr>
        <w:t>,</w:t>
      </w:r>
    </w:p>
    <w:p w14:paraId="030B7FE2" w14:textId="77777777" w:rsidR="006C110F" w:rsidRDefault="006C110F" w:rsidP="005C7B15">
      <w:pPr>
        <w:pStyle w:val="BodyText"/>
        <w:numPr>
          <w:ilvl w:val="0"/>
          <w:numId w:val="28"/>
        </w:numPr>
        <w:rPr>
          <w:sz w:val="22"/>
        </w:rPr>
      </w:pPr>
      <w:r>
        <w:rPr>
          <w:sz w:val="22"/>
        </w:rPr>
        <w:t xml:space="preserve">borrowing and banking </w:t>
      </w:r>
      <w:r w:rsidR="003E4961">
        <w:rPr>
          <w:sz w:val="22"/>
        </w:rPr>
        <w:t xml:space="preserve">arrangements </w:t>
      </w:r>
      <w:r>
        <w:rPr>
          <w:sz w:val="22"/>
        </w:rPr>
        <w:t>post</w:t>
      </w:r>
      <w:r w:rsidR="003E4961">
        <w:rPr>
          <w:sz w:val="22"/>
        </w:rPr>
        <w:t>-</w:t>
      </w:r>
      <w:r>
        <w:rPr>
          <w:sz w:val="22"/>
        </w:rPr>
        <w:t xml:space="preserve">2030 to be reviewed in </w:t>
      </w:r>
      <w:r w:rsidR="004E3EB6">
        <w:rPr>
          <w:sz w:val="22"/>
        </w:rPr>
        <w:t xml:space="preserve">the </w:t>
      </w:r>
      <w:r w:rsidR="00EA5787">
        <w:rPr>
          <w:sz w:val="22"/>
        </w:rPr>
        <w:t xml:space="preserve">Safeguard Mechanism review in </w:t>
      </w:r>
      <w:r>
        <w:rPr>
          <w:sz w:val="22"/>
        </w:rPr>
        <w:t>2026</w:t>
      </w:r>
      <w:r w:rsidR="00EA5787">
        <w:rPr>
          <w:sz w:val="22"/>
        </w:rPr>
        <w:t>-27</w:t>
      </w:r>
      <w:r w:rsidR="003E4961">
        <w:rPr>
          <w:sz w:val="22"/>
        </w:rPr>
        <w:t>,</w:t>
      </w:r>
    </w:p>
    <w:p w14:paraId="6B35BE64" w14:textId="77777777" w:rsidR="005C7B15" w:rsidRDefault="005C7B15" w:rsidP="005C7B15">
      <w:pPr>
        <w:pStyle w:val="BodyText"/>
        <w:numPr>
          <w:ilvl w:val="0"/>
          <w:numId w:val="28"/>
        </w:numPr>
        <w:rPr>
          <w:sz w:val="22"/>
        </w:rPr>
      </w:pPr>
      <w:r w:rsidRPr="005C7B15">
        <w:rPr>
          <w:sz w:val="22"/>
        </w:rPr>
        <w:t>setting a maximum price of $</w:t>
      </w:r>
      <w:r w:rsidR="005976A7">
        <w:rPr>
          <w:sz w:val="22"/>
        </w:rPr>
        <w:t>7</w:t>
      </w:r>
      <w:r w:rsidR="00EA5787">
        <w:rPr>
          <w:sz w:val="22"/>
        </w:rPr>
        <w:t>5</w:t>
      </w:r>
      <w:r w:rsidRPr="005C7B15">
        <w:rPr>
          <w:sz w:val="22"/>
        </w:rPr>
        <w:t> per tonne of CO</w:t>
      </w:r>
      <w:r w:rsidRPr="005C7B15">
        <w:rPr>
          <w:sz w:val="22"/>
          <w:vertAlign w:val="subscript"/>
        </w:rPr>
        <w:t>2</w:t>
      </w:r>
      <w:r w:rsidRPr="005C7B15">
        <w:rPr>
          <w:sz w:val="22"/>
        </w:rPr>
        <w:noBreakHyphen/>
        <w:t>e in 2023-24</w:t>
      </w:r>
      <w:r w:rsidR="003E4961">
        <w:rPr>
          <w:sz w:val="22"/>
        </w:rPr>
        <w:t xml:space="preserve"> as a cost containment measure</w:t>
      </w:r>
      <w:r w:rsidRPr="005C7B15">
        <w:rPr>
          <w:sz w:val="22"/>
        </w:rPr>
        <w:t xml:space="preserve">, </w:t>
      </w:r>
      <w:r w:rsidR="00EA5787">
        <w:rPr>
          <w:sz w:val="22"/>
        </w:rPr>
        <w:t xml:space="preserve">increasing with </w:t>
      </w:r>
      <w:r w:rsidR="001327DD">
        <w:rPr>
          <w:sz w:val="22"/>
        </w:rPr>
        <w:t xml:space="preserve">the </w:t>
      </w:r>
      <w:r w:rsidR="008D4F4D">
        <w:rPr>
          <w:sz w:val="22"/>
        </w:rPr>
        <w:t>consumer price index</w:t>
      </w:r>
      <w:r w:rsidR="001327DD">
        <w:rPr>
          <w:sz w:val="22"/>
        </w:rPr>
        <w:t xml:space="preserve"> (CPI)</w:t>
      </w:r>
      <w:r w:rsidR="00363538">
        <w:rPr>
          <w:sz w:val="22"/>
        </w:rPr>
        <w:t xml:space="preserve"> plus 2% each year</w:t>
      </w:r>
      <w:r w:rsidRPr="005C7B15">
        <w:rPr>
          <w:sz w:val="22"/>
        </w:rPr>
        <w:t>.</w:t>
      </w:r>
      <w:r w:rsidR="00CC53A2">
        <w:rPr>
          <w:sz w:val="22"/>
        </w:rPr>
        <w:t xml:space="preserve"> The 2026-27 review will also consider the cost containment measure arrangements</w:t>
      </w:r>
      <w:r w:rsidR="003E4961">
        <w:rPr>
          <w:sz w:val="22"/>
        </w:rPr>
        <w:t>,</w:t>
      </w:r>
    </w:p>
    <w:p w14:paraId="07D600E0" w14:textId="77777777" w:rsidR="005C7B15" w:rsidRPr="005C7B15" w:rsidRDefault="005C7B15" w:rsidP="00CC53A2">
      <w:pPr>
        <w:pStyle w:val="BodyText"/>
        <w:numPr>
          <w:ilvl w:val="0"/>
          <w:numId w:val="28"/>
        </w:numPr>
        <w:rPr>
          <w:sz w:val="22"/>
        </w:rPr>
      </w:pPr>
      <w:r>
        <w:rPr>
          <w:sz w:val="22"/>
        </w:rPr>
        <w:t xml:space="preserve">multi-year monitoring periods </w:t>
      </w:r>
      <w:r w:rsidR="003E4961">
        <w:rPr>
          <w:sz w:val="22"/>
        </w:rPr>
        <w:t xml:space="preserve">extended </w:t>
      </w:r>
      <w:r>
        <w:rPr>
          <w:sz w:val="22"/>
        </w:rPr>
        <w:t>to five years</w:t>
      </w:r>
      <w:r w:rsidR="00CC53A2">
        <w:rPr>
          <w:sz w:val="22"/>
        </w:rPr>
        <w:t xml:space="preserve"> </w:t>
      </w:r>
      <w:r w:rsidR="00566669">
        <w:rPr>
          <w:sz w:val="22"/>
        </w:rPr>
        <w:t>with SMCs permitted to be earned at the end of the extended period</w:t>
      </w:r>
      <w:r w:rsidR="00CC53A2">
        <w:rPr>
          <w:sz w:val="22"/>
        </w:rPr>
        <w:t>.</w:t>
      </w:r>
    </w:p>
    <w:p w14:paraId="37EC3D0F" w14:textId="77012B49" w:rsidR="003F3B5B" w:rsidRPr="003F3B5B" w:rsidRDefault="003F3B5B" w:rsidP="003F3B5B">
      <w:pPr>
        <w:pStyle w:val="BodyText"/>
        <w:rPr>
          <w:sz w:val="24"/>
        </w:rPr>
      </w:pPr>
      <w:r>
        <w:rPr>
          <w:sz w:val="22"/>
        </w:rPr>
        <w:t xml:space="preserve">Across Options 1 – 3, international </w:t>
      </w:r>
      <w:r w:rsidRPr="003F3B5B">
        <w:rPr>
          <w:sz w:val="22"/>
        </w:rPr>
        <w:t xml:space="preserve">offsets are not proposed to be part of the initial reforms, but the Government may consider </w:t>
      </w:r>
      <w:r w:rsidR="00CC53A2">
        <w:rPr>
          <w:sz w:val="22"/>
        </w:rPr>
        <w:t>allowing access to high integrity offsets at s</w:t>
      </w:r>
      <w:r w:rsidRPr="003F3B5B">
        <w:rPr>
          <w:sz w:val="22"/>
        </w:rPr>
        <w:t>ome time in the future</w:t>
      </w:r>
      <w:r w:rsidR="00CC53A2">
        <w:rPr>
          <w:sz w:val="22"/>
        </w:rPr>
        <w:t>.</w:t>
      </w:r>
      <w:r w:rsidR="000219C7">
        <w:rPr>
          <w:sz w:val="22"/>
        </w:rPr>
        <w:t xml:space="preserve"> Given the state of market development and focus on domestic benefits, both for Safeguard facilities and the Australian carbon market, international offsets are not proposed to be a part of the initial enhanced Safeguard Mechanism. </w:t>
      </w:r>
      <w:r w:rsidR="00CC53A2">
        <w:rPr>
          <w:sz w:val="22"/>
        </w:rPr>
        <w:t xml:space="preserve"> As a first step, the Government will consult in 2023 </w:t>
      </w:r>
      <w:r w:rsidR="00CC53A2" w:rsidRPr="00CC53A2">
        <w:rPr>
          <w:sz w:val="22"/>
        </w:rPr>
        <w:t>on the possibility of establishing the legislative framework for international units</w:t>
      </w:r>
      <w:r w:rsidDel="00CC53A2">
        <w:rPr>
          <w:sz w:val="22"/>
        </w:rPr>
        <w:t>.</w:t>
      </w:r>
    </w:p>
    <w:p w14:paraId="7CEF3E50" w14:textId="16865D1D" w:rsidR="00BE7413" w:rsidRDefault="00FA5E2A">
      <w:pPr>
        <w:pStyle w:val="Heading3"/>
      </w:pPr>
      <w:bookmarkStart w:id="190" w:name="_Toc118750372"/>
      <w:bookmarkStart w:id="191" w:name="_Toc118754648"/>
      <w:bookmarkStart w:id="192" w:name="_Toc118813939"/>
      <w:bookmarkStart w:id="193" w:name="_Toc119327149"/>
      <w:bookmarkStart w:id="194" w:name="_Toc119360654"/>
      <w:bookmarkStart w:id="195" w:name="_Toc132807544"/>
      <w:r>
        <w:lastRenderedPageBreak/>
        <w:t xml:space="preserve">Emissions-intensive, </w:t>
      </w:r>
      <w:r w:rsidR="0047068D">
        <w:t>trade-exposed</w:t>
      </w:r>
      <w:r>
        <w:t xml:space="preserve"> (</w:t>
      </w:r>
      <w:proofErr w:type="spellStart"/>
      <w:r>
        <w:t>EITE</w:t>
      </w:r>
      <w:proofErr w:type="spellEnd"/>
      <w:r>
        <w:t xml:space="preserve">) </w:t>
      </w:r>
      <w:r w:rsidR="00867FD3">
        <w:t>designation and assistance</w:t>
      </w:r>
      <w:bookmarkEnd w:id="190"/>
      <w:bookmarkEnd w:id="191"/>
      <w:bookmarkEnd w:id="192"/>
      <w:bookmarkEnd w:id="193"/>
      <w:bookmarkEnd w:id="194"/>
      <w:bookmarkEnd w:id="195"/>
    </w:p>
    <w:p w14:paraId="0136896A" w14:textId="545F686A" w:rsidR="00BC699F" w:rsidRDefault="00ED170C" w:rsidP="00124202">
      <w:pPr>
        <w:spacing w:before="60" w:after="60"/>
        <w:rPr>
          <w:sz w:val="22"/>
          <w:szCs w:val="22"/>
        </w:rPr>
      </w:pPr>
      <w:r w:rsidRPr="00124202">
        <w:rPr>
          <w:sz w:val="22"/>
          <w:szCs w:val="22"/>
        </w:rPr>
        <w:t xml:space="preserve">The Government consulted on two broad approaches to the designation of </w:t>
      </w:r>
      <w:proofErr w:type="spellStart"/>
      <w:r w:rsidRPr="00124202">
        <w:rPr>
          <w:sz w:val="22"/>
          <w:szCs w:val="22"/>
        </w:rPr>
        <w:t>EITE</w:t>
      </w:r>
      <w:proofErr w:type="spellEnd"/>
      <w:r w:rsidRPr="00124202">
        <w:rPr>
          <w:sz w:val="22"/>
          <w:szCs w:val="22"/>
        </w:rPr>
        <w:t xml:space="preserve"> facilities. The first is an activity-based approach similar to that currently used under the Renewable Energy Target (RET).  The second is a facility-by-facility designation providing tailored treatment for </w:t>
      </w:r>
      <w:r w:rsidR="0047068D">
        <w:rPr>
          <w:sz w:val="22"/>
          <w:szCs w:val="22"/>
        </w:rPr>
        <w:t>trade-exposed</w:t>
      </w:r>
      <w:r w:rsidRPr="00124202">
        <w:rPr>
          <w:sz w:val="22"/>
          <w:szCs w:val="22"/>
        </w:rPr>
        <w:t xml:space="preserve"> facilities that face material new costs due to the reforms. </w:t>
      </w:r>
    </w:p>
    <w:p w14:paraId="24424ED9" w14:textId="77777777" w:rsidR="00ED170C" w:rsidRPr="00124202" w:rsidRDefault="007578C1" w:rsidP="00124202">
      <w:pPr>
        <w:spacing w:before="60" w:after="60"/>
        <w:rPr>
          <w:sz w:val="22"/>
          <w:szCs w:val="22"/>
        </w:rPr>
      </w:pPr>
      <w:r>
        <w:rPr>
          <w:rFonts w:cstheme="minorHAnsi"/>
          <w:sz w:val="22"/>
          <w:szCs w:val="22"/>
        </w:rPr>
        <w:t>A</w:t>
      </w:r>
      <w:r w:rsidR="00ED170C" w:rsidRPr="00124202">
        <w:rPr>
          <w:rFonts w:cstheme="minorHAnsi"/>
          <w:sz w:val="22"/>
          <w:szCs w:val="22"/>
        </w:rPr>
        <w:t xml:space="preserve"> range of assistance measures were consulted on, including funding options from P</w:t>
      </w:r>
      <w:r w:rsidR="00145EFA">
        <w:rPr>
          <w:rFonts w:cstheme="minorHAnsi"/>
          <w:sz w:val="22"/>
          <w:szCs w:val="22"/>
        </w:rPr>
        <w:t xml:space="preserve">owering the </w:t>
      </w:r>
      <w:r w:rsidR="00ED170C" w:rsidRPr="00124202">
        <w:rPr>
          <w:rFonts w:cstheme="minorHAnsi"/>
          <w:sz w:val="22"/>
          <w:szCs w:val="22"/>
        </w:rPr>
        <w:t>R</w:t>
      </w:r>
      <w:r w:rsidR="00145EFA">
        <w:rPr>
          <w:rFonts w:cstheme="minorHAnsi"/>
          <w:sz w:val="22"/>
          <w:szCs w:val="22"/>
        </w:rPr>
        <w:t xml:space="preserve">egions </w:t>
      </w:r>
      <w:r w:rsidR="00ED170C" w:rsidRPr="00124202">
        <w:rPr>
          <w:rFonts w:cstheme="minorHAnsi"/>
          <w:sz w:val="22"/>
          <w:szCs w:val="22"/>
        </w:rPr>
        <w:t>F</w:t>
      </w:r>
      <w:r w:rsidR="00145EFA">
        <w:rPr>
          <w:rFonts w:cstheme="minorHAnsi"/>
          <w:sz w:val="22"/>
          <w:szCs w:val="22"/>
        </w:rPr>
        <w:t>und (</w:t>
      </w:r>
      <w:proofErr w:type="spellStart"/>
      <w:r w:rsidR="00145EFA" w:rsidRPr="006C10C8">
        <w:rPr>
          <w:rFonts w:cstheme="minorHAnsi"/>
          <w:sz w:val="22"/>
          <w:szCs w:val="22"/>
        </w:rPr>
        <w:t>PRF</w:t>
      </w:r>
      <w:proofErr w:type="spellEnd"/>
      <w:r w:rsidR="00145EFA">
        <w:rPr>
          <w:rFonts w:cstheme="minorHAnsi"/>
          <w:sz w:val="22"/>
          <w:szCs w:val="22"/>
        </w:rPr>
        <w:t>)</w:t>
      </w:r>
      <w:r w:rsidR="00ED170C" w:rsidRPr="00124202">
        <w:rPr>
          <w:rFonts w:cstheme="minorHAnsi"/>
          <w:sz w:val="22"/>
          <w:szCs w:val="22"/>
        </w:rPr>
        <w:t>, direct provision of SMCs and differentiated baseline decline rates.</w:t>
      </w:r>
    </w:p>
    <w:p w14:paraId="1ED79C2C" w14:textId="0F9A662C" w:rsidR="00BC75BE" w:rsidRDefault="007578C1" w:rsidP="00124202">
      <w:pPr>
        <w:pStyle w:val="BodyText"/>
        <w:rPr>
          <w:rFonts w:cstheme="minorHAnsi"/>
          <w:sz w:val="22"/>
          <w:szCs w:val="22"/>
        </w:rPr>
      </w:pPr>
      <w:r>
        <w:rPr>
          <w:sz w:val="22"/>
          <w:szCs w:val="22"/>
        </w:rPr>
        <w:t>D</w:t>
      </w:r>
      <w:r w:rsidR="00B61FAD" w:rsidRPr="00124202">
        <w:rPr>
          <w:sz w:val="22"/>
          <w:szCs w:val="22"/>
        </w:rPr>
        <w:t xml:space="preserve">esignation and assistance is </w:t>
      </w:r>
      <w:r w:rsidR="00391A67">
        <w:rPr>
          <w:sz w:val="22"/>
          <w:szCs w:val="22"/>
        </w:rPr>
        <w:t xml:space="preserve">proposed to be </w:t>
      </w:r>
      <w:r w:rsidR="00B61FAD" w:rsidRPr="00124202">
        <w:rPr>
          <w:sz w:val="22"/>
          <w:szCs w:val="22"/>
        </w:rPr>
        <w:t>targeted</w:t>
      </w:r>
      <w:r w:rsidR="00FD5E9E">
        <w:rPr>
          <w:sz w:val="22"/>
          <w:szCs w:val="22"/>
        </w:rPr>
        <w:t xml:space="preserve"> and time</w:t>
      </w:r>
      <w:r w:rsidR="00391A67">
        <w:rPr>
          <w:sz w:val="22"/>
          <w:szCs w:val="22"/>
        </w:rPr>
        <w:t>-</w:t>
      </w:r>
      <w:r w:rsidR="00FD5E9E">
        <w:rPr>
          <w:sz w:val="22"/>
          <w:szCs w:val="22"/>
        </w:rPr>
        <w:t>limited</w:t>
      </w:r>
      <w:r w:rsidR="00BC75BE">
        <w:rPr>
          <w:sz w:val="22"/>
          <w:szCs w:val="22"/>
        </w:rPr>
        <w:t>. Under Option 3, there will be two ca</w:t>
      </w:r>
      <w:r w:rsidR="00D7574E" w:rsidRPr="00124202">
        <w:rPr>
          <w:sz w:val="22"/>
          <w:szCs w:val="22"/>
        </w:rPr>
        <w:t xml:space="preserve">tegories of facilities </w:t>
      </w:r>
      <w:r w:rsidR="00BC75BE">
        <w:rPr>
          <w:sz w:val="22"/>
          <w:szCs w:val="22"/>
        </w:rPr>
        <w:t xml:space="preserve">that will be eligible to </w:t>
      </w:r>
      <w:r w:rsidR="00D7574E" w:rsidRPr="00124202">
        <w:rPr>
          <w:sz w:val="22"/>
          <w:szCs w:val="22"/>
        </w:rPr>
        <w:t>receive assistance to manage competitiveness issues and carbon leakage risks</w:t>
      </w:r>
      <w:r w:rsidR="00B61FAD" w:rsidRPr="00124202">
        <w:rPr>
          <w:sz w:val="22"/>
          <w:szCs w:val="22"/>
        </w:rPr>
        <w:t>.</w:t>
      </w:r>
      <w:r w:rsidR="00D7574E" w:rsidRPr="00124202">
        <w:rPr>
          <w:rFonts w:cstheme="minorHAnsi"/>
          <w:sz w:val="22"/>
          <w:szCs w:val="22"/>
        </w:rPr>
        <w:t xml:space="preserve"> </w:t>
      </w:r>
    </w:p>
    <w:p w14:paraId="508F11F2" w14:textId="77777777" w:rsidR="006606B6" w:rsidRDefault="0047068D" w:rsidP="00124202">
      <w:pPr>
        <w:pStyle w:val="BodyText"/>
        <w:numPr>
          <w:ilvl w:val="0"/>
          <w:numId w:val="69"/>
        </w:numPr>
        <w:rPr>
          <w:rFonts w:cstheme="minorHAnsi"/>
          <w:sz w:val="22"/>
          <w:szCs w:val="22"/>
        </w:rPr>
      </w:pPr>
      <w:r>
        <w:rPr>
          <w:rFonts w:cstheme="minorHAnsi"/>
          <w:sz w:val="22"/>
          <w:szCs w:val="22"/>
        </w:rPr>
        <w:t>Trade-exposed</w:t>
      </w:r>
      <w:r w:rsidR="006606B6">
        <w:rPr>
          <w:rFonts w:cstheme="minorHAnsi"/>
          <w:sz w:val="22"/>
          <w:szCs w:val="22"/>
        </w:rPr>
        <w:t xml:space="preserve"> facilities </w:t>
      </w:r>
    </w:p>
    <w:p w14:paraId="1BB05DD3" w14:textId="77777777" w:rsidR="006606B6" w:rsidRDefault="006606B6" w:rsidP="00124202">
      <w:pPr>
        <w:pStyle w:val="BodyText"/>
        <w:numPr>
          <w:ilvl w:val="1"/>
          <w:numId w:val="50"/>
        </w:numPr>
        <w:rPr>
          <w:rFonts w:cstheme="minorHAnsi"/>
          <w:sz w:val="22"/>
          <w:szCs w:val="22"/>
        </w:rPr>
      </w:pPr>
      <w:r>
        <w:rPr>
          <w:rFonts w:cstheme="minorHAnsi"/>
          <w:sz w:val="22"/>
          <w:szCs w:val="22"/>
        </w:rPr>
        <w:t xml:space="preserve">Designation will be determined at an activity level. </w:t>
      </w:r>
    </w:p>
    <w:p w14:paraId="580C2ED5" w14:textId="77777777" w:rsidR="006606B6" w:rsidRDefault="006606B6" w:rsidP="00124202">
      <w:pPr>
        <w:pStyle w:val="BodyText"/>
        <w:numPr>
          <w:ilvl w:val="1"/>
          <w:numId w:val="50"/>
        </w:numPr>
        <w:rPr>
          <w:rFonts w:cstheme="minorHAnsi"/>
          <w:sz w:val="22"/>
          <w:szCs w:val="22"/>
        </w:rPr>
      </w:pPr>
      <w:r>
        <w:rPr>
          <w:rFonts w:cstheme="minorHAnsi"/>
          <w:sz w:val="22"/>
          <w:szCs w:val="22"/>
        </w:rPr>
        <w:t xml:space="preserve">An indicative </w:t>
      </w:r>
      <w:r w:rsidR="0047068D">
        <w:rPr>
          <w:rFonts w:cstheme="minorHAnsi"/>
          <w:sz w:val="22"/>
          <w:szCs w:val="22"/>
        </w:rPr>
        <w:t>trade-exposed</w:t>
      </w:r>
      <w:r>
        <w:rPr>
          <w:rFonts w:cstheme="minorHAnsi"/>
          <w:sz w:val="22"/>
          <w:szCs w:val="22"/>
        </w:rPr>
        <w:t xml:space="preserve"> activity list </w:t>
      </w:r>
      <w:r w:rsidR="007578C1">
        <w:rPr>
          <w:rFonts w:cstheme="minorHAnsi"/>
          <w:sz w:val="22"/>
          <w:szCs w:val="22"/>
        </w:rPr>
        <w:t>was</w:t>
      </w:r>
      <w:r>
        <w:rPr>
          <w:rFonts w:cstheme="minorHAnsi"/>
          <w:sz w:val="22"/>
          <w:szCs w:val="22"/>
        </w:rPr>
        <w:t xml:space="preserve"> set out in the exposure draft Rule</w:t>
      </w:r>
      <w:r w:rsidR="007578C1">
        <w:rPr>
          <w:rFonts w:cstheme="minorHAnsi"/>
          <w:sz w:val="22"/>
          <w:szCs w:val="22"/>
        </w:rPr>
        <w:t xml:space="preserve">, based </w:t>
      </w:r>
      <w:r w:rsidR="0082071B">
        <w:rPr>
          <w:rFonts w:cstheme="minorHAnsi"/>
          <w:sz w:val="22"/>
          <w:szCs w:val="22"/>
        </w:rPr>
        <w:t xml:space="preserve">on </w:t>
      </w:r>
      <w:r w:rsidR="007578C1">
        <w:rPr>
          <w:rFonts w:cstheme="minorHAnsi"/>
          <w:sz w:val="22"/>
          <w:szCs w:val="22"/>
        </w:rPr>
        <w:t>commodities with a trade share higher than ten per cent</w:t>
      </w:r>
      <w:r>
        <w:rPr>
          <w:rFonts w:cstheme="minorHAnsi"/>
          <w:sz w:val="22"/>
          <w:szCs w:val="22"/>
        </w:rPr>
        <w:t xml:space="preserve">. </w:t>
      </w:r>
    </w:p>
    <w:p w14:paraId="666D90A5" w14:textId="77777777" w:rsidR="006606B6" w:rsidRDefault="006606B6" w:rsidP="00124202">
      <w:pPr>
        <w:pStyle w:val="BodyText"/>
        <w:numPr>
          <w:ilvl w:val="1"/>
          <w:numId w:val="50"/>
        </w:numPr>
        <w:rPr>
          <w:rFonts w:cstheme="minorHAnsi"/>
          <w:sz w:val="22"/>
          <w:szCs w:val="22"/>
        </w:rPr>
      </w:pPr>
      <w:r>
        <w:rPr>
          <w:rFonts w:cstheme="minorHAnsi"/>
          <w:sz w:val="22"/>
          <w:szCs w:val="22"/>
        </w:rPr>
        <w:t xml:space="preserve">Facilities </w:t>
      </w:r>
      <w:r w:rsidR="002C35A1">
        <w:rPr>
          <w:rFonts w:cstheme="minorHAnsi"/>
          <w:sz w:val="22"/>
          <w:szCs w:val="22"/>
        </w:rPr>
        <w:t>are considered trade-exposed</w:t>
      </w:r>
      <w:r w:rsidR="002C35A1" w:rsidDel="007578C1">
        <w:rPr>
          <w:rFonts w:cstheme="minorHAnsi"/>
          <w:sz w:val="22"/>
          <w:szCs w:val="22"/>
        </w:rPr>
        <w:t xml:space="preserve"> </w:t>
      </w:r>
      <w:r w:rsidR="007578C1">
        <w:rPr>
          <w:rFonts w:cstheme="minorHAnsi"/>
          <w:sz w:val="22"/>
          <w:szCs w:val="22"/>
        </w:rPr>
        <w:t>where the primary production variable</w:t>
      </w:r>
      <w:r w:rsidR="002C35A1">
        <w:rPr>
          <w:rFonts w:cstheme="minorHAnsi"/>
          <w:sz w:val="22"/>
          <w:szCs w:val="22"/>
        </w:rPr>
        <w:t xml:space="preserve"> of that facility</w:t>
      </w:r>
      <w:r w:rsidR="007578C1">
        <w:rPr>
          <w:rFonts w:cstheme="minorHAnsi"/>
          <w:sz w:val="22"/>
          <w:szCs w:val="22"/>
        </w:rPr>
        <w:t xml:space="preserve"> is designated as</w:t>
      </w:r>
      <w:r w:rsidDel="007578C1">
        <w:rPr>
          <w:rFonts w:cstheme="minorHAnsi"/>
          <w:sz w:val="22"/>
          <w:szCs w:val="22"/>
        </w:rPr>
        <w:t xml:space="preserve"> </w:t>
      </w:r>
      <w:r w:rsidR="007578C1">
        <w:rPr>
          <w:rFonts w:cstheme="minorHAnsi"/>
          <w:sz w:val="22"/>
          <w:szCs w:val="22"/>
        </w:rPr>
        <w:t>trade exposed</w:t>
      </w:r>
      <w:r w:rsidR="002C35A1">
        <w:rPr>
          <w:rFonts w:cstheme="minorHAnsi"/>
          <w:sz w:val="22"/>
          <w:szCs w:val="22"/>
        </w:rPr>
        <w:t xml:space="preserve"> in the Rule</w:t>
      </w:r>
      <w:r>
        <w:rPr>
          <w:rFonts w:cstheme="minorHAnsi"/>
          <w:sz w:val="22"/>
          <w:szCs w:val="22"/>
        </w:rPr>
        <w:t>.</w:t>
      </w:r>
    </w:p>
    <w:p w14:paraId="14530008" w14:textId="7BE9E735" w:rsidR="006606B6" w:rsidRDefault="0047068D" w:rsidP="00124202">
      <w:pPr>
        <w:pStyle w:val="BodyText"/>
        <w:numPr>
          <w:ilvl w:val="0"/>
          <w:numId w:val="50"/>
        </w:numPr>
        <w:rPr>
          <w:rFonts w:cstheme="minorHAnsi"/>
          <w:sz w:val="22"/>
          <w:szCs w:val="22"/>
        </w:rPr>
      </w:pPr>
      <w:r>
        <w:rPr>
          <w:sz w:val="22"/>
          <w:szCs w:val="22"/>
        </w:rPr>
        <w:t>Trade-exposed baseline-adjusted</w:t>
      </w:r>
      <w:r w:rsidR="00561D00">
        <w:rPr>
          <w:sz w:val="22"/>
          <w:szCs w:val="22"/>
        </w:rPr>
        <w:t xml:space="preserve"> (</w:t>
      </w:r>
      <w:proofErr w:type="spellStart"/>
      <w:r w:rsidR="00561D00">
        <w:rPr>
          <w:sz w:val="22"/>
          <w:szCs w:val="22"/>
        </w:rPr>
        <w:t>TEBA</w:t>
      </w:r>
      <w:proofErr w:type="spellEnd"/>
      <w:r w:rsidR="00561D00">
        <w:rPr>
          <w:sz w:val="22"/>
          <w:szCs w:val="22"/>
        </w:rPr>
        <w:t>)</w:t>
      </w:r>
      <w:r w:rsidR="006606B6">
        <w:rPr>
          <w:rFonts w:cstheme="minorHAnsi"/>
          <w:sz w:val="22"/>
          <w:szCs w:val="22"/>
        </w:rPr>
        <w:t xml:space="preserve"> facilities</w:t>
      </w:r>
    </w:p>
    <w:p w14:paraId="4F34F092" w14:textId="10BBF05D" w:rsidR="006606B6" w:rsidRPr="006606B6" w:rsidRDefault="0047068D" w:rsidP="00124202">
      <w:pPr>
        <w:pStyle w:val="BodyText"/>
        <w:numPr>
          <w:ilvl w:val="1"/>
          <w:numId w:val="50"/>
        </w:numPr>
        <w:rPr>
          <w:rFonts w:cstheme="minorHAnsi"/>
          <w:sz w:val="22"/>
          <w:szCs w:val="22"/>
        </w:rPr>
      </w:pPr>
      <w:r>
        <w:rPr>
          <w:sz w:val="22"/>
          <w:szCs w:val="22"/>
        </w:rPr>
        <w:t>Trade-exposed baseline-adjusted</w:t>
      </w:r>
      <w:r w:rsidR="006606B6" w:rsidRPr="006606B6">
        <w:rPr>
          <w:rFonts w:cstheme="minorHAnsi"/>
          <w:sz w:val="22"/>
          <w:szCs w:val="22"/>
        </w:rPr>
        <w:t xml:space="preserve"> facilities are those that are at a higher risk of carbon leakage. </w:t>
      </w:r>
      <w:r w:rsidR="00876488">
        <w:rPr>
          <w:rFonts w:cstheme="minorHAnsi"/>
          <w:sz w:val="22"/>
          <w:szCs w:val="22"/>
        </w:rPr>
        <w:t>Th</w:t>
      </w:r>
      <w:r w:rsidR="0082071B">
        <w:rPr>
          <w:rFonts w:cstheme="minorHAnsi"/>
          <w:sz w:val="22"/>
          <w:szCs w:val="22"/>
        </w:rPr>
        <w:t>e</w:t>
      </w:r>
      <w:r w:rsidR="00876488">
        <w:rPr>
          <w:rFonts w:cstheme="minorHAnsi"/>
          <w:sz w:val="22"/>
          <w:szCs w:val="22"/>
        </w:rPr>
        <w:t xml:space="preserve"> </w:t>
      </w:r>
      <w:r w:rsidR="002C35A1">
        <w:rPr>
          <w:rFonts w:cstheme="minorHAnsi"/>
          <w:sz w:val="22"/>
          <w:szCs w:val="22"/>
        </w:rPr>
        <w:t>scheme impacts faced by this</w:t>
      </w:r>
      <w:r w:rsidR="00876488">
        <w:rPr>
          <w:rFonts w:cstheme="minorHAnsi"/>
          <w:sz w:val="22"/>
          <w:szCs w:val="22"/>
        </w:rPr>
        <w:t xml:space="preserve"> category of facilities </w:t>
      </w:r>
      <w:r w:rsidR="00876488" w:rsidRPr="00876488">
        <w:rPr>
          <w:rFonts w:cstheme="minorHAnsi"/>
          <w:sz w:val="22"/>
          <w:szCs w:val="22"/>
        </w:rPr>
        <w:t xml:space="preserve">will </w:t>
      </w:r>
      <w:r w:rsidR="002C35A1">
        <w:rPr>
          <w:rFonts w:cstheme="minorHAnsi"/>
          <w:sz w:val="22"/>
          <w:szCs w:val="22"/>
        </w:rPr>
        <w:t>be</w:t>
      </w:r>
      <w:r w:rsidR="002C35A1" w:rsidRPr="00876488">
        <w:rPr>
          <w:rFonts w:cstheme="minorHAnsi"/>
          <w:sz w:val="22"/>
          <w:szCs w:val="22"/>
        </w:rPr>
        <w:t xml:space="preserve"> </w:t>
      </w:r>
      <w:r w:rsidR="00876488" w:rsidRPr="00876488">
        <w:rPr>
          <w:rFonts w:cstheme="minorHAnsi"/>
          <w:sz w:val="22"/>
          <w:szCs w:val="22"/>
        </w:rPr>
        <w:t>more significant, particularly after the first few years of the scheme and in those industries with limited currently available technology to reduce emissions</w:t>
      </w:r>
      <w:r w:rsidR="002C35A1">
        <w:rPr>
          <w:rFonts w:cstheme="minorHAnsi"/>
          <w:sz w:val="22"/>
          <w:szCs w:val="22"/>
        </w:rPr>
        <w:t>.</w:t>
      </w:r>
      <w:r w:rsidR="00876488" w:rsidRPr="00876488">
        <w:rPr>
          <w:rFonts w:cstheme="minorHAnsi"/>
          <w:sz w:val="22"/>
          <w:szCs w:val="22"/>
        </w:rPr>
        <w:t xml:space="preserve"> </w:t>
      </w:r>
      <w:r w:rsidR="006606B6" w:rsidRPr="006606B6">
        <w:rPr>
          <w:rFonts w:cstheme="minorHAnsi"/>
          <w:sz w:val="22"/>
          <w:szCs w:val="22"/>
        </w:rPr>
        <w:t>Th</w:t>
      </w:r>
      <w:r w:rsidR="006606B6">
        <w:rPr>
          <w:rFonts w:cstheme="minorHAnsi"/>
          <w:sz w:val="22"/>
          <w:szCs w:val="22"/>
        </w:rPr>
        <w:t>ey will be assessed under a two-</w:t>
      </w:r>
      <w:r w:rsidR="006606B6" w:rsidRPr="006606B6">
        <w:rPr>
          <w:rFonts w:cstheme="minorHAnsi"/>
          <w:sz w:val="22"/>
          <w:szCs w:val="22"/>
        </w:rPr>
        <w:t>step process:</w:t>
      </w:r>
    </w:p>
    <w:p w14:paraId="3CFDFDB0" w14:textId="77777777" w:rsidR="006606B6" w:rsidRPr="006606B6" w:rsidRDefault="006606B6" w:rsidP="001E09BD">
      <w:pPr>
        <w:pStyle w:val="BodyText"/>
        <w:numPr>
          <w:ilvl w:val="2"/>
          <w:numId w:val="50"/>
        </w:numPr>
        <w:rPr>
          <w:rFonts w:cstheme="minorHAnsi"/>
          <w:sz w:val="22"/>
          <w:szCs w:val="22"/>
        </w:rPr>
      </w:pPr>
      <w:r w:rsidRPr="006606B6">
        <w:rPr>
          <w:rFonts w:cstheme="minorHAnsi"/>
          <w:sz w:val="22"/>
          <w:szCs w:val="22"/>
        </w:rPr>
        <w:t xml:space="preserve">Step 1: Confirm the facility is </w:t>
      </w:r>
      <w:r w:rsidR="0047068D">
        <w:rPr>
          <w:rFonts w:cstheme="minorHAnsi"/>
          <w:sz w:val="22"/>
          <w:szCs w:val="22"/>
        </w:rPr>
        <w:t>trade-exposed</w:t>
      </w:r>
      <w:r w:rsidRPr="006606B6">
        <w:rPr>
          <w:rFonts w:cstheme="minorHAnsi"/>
          <w:sz w:val="22"/>
          <w:szCs w:val="22"/>
        </w:rPr>
        <w:t xml:space="preserve"> (as per the </w:t>
      </w:r>
      <w:r w:rsidR="00145EFA">
        <w:rPr>
          <w:rFonts w:cstheme="minorHAnsi"/>
          <w:sz w:val="22"/>
          <w:szCs w:val="22"/>
        </w:rPr>
        <w:t>t</w:t>
      </w:r>
      <w:r w:rsidRPr="006606B6">
        <w:rPr>
          <w:rFonts w:cstheme="minorHAnsi"/>
          <w:sz w:val="22"/>
          <w:szCs w:val="22"/>
        </w:rPr>
        <w:t>rade exposure activity list)</w:t>
      </w:r>
    </w:p>
    <w:p w14:paraId="76FA0AF2" w14:textId="6E375FE3" w:rsidR="00FD5E9E" w:rsidRDefault="006606B6">
      <w:pPr>
        <w:pStyle w:val="BodyText"/>
        <w:numPr>
          <w:ilvl w:val="2"/>
          <w:numId w:val="50"/>
        </w:numPr>
        <w:rPr>
          <w:rFonts w:cstheme="minorHAnsi"/>
          <w:sz w:val="22"/>
          <w:szCs w:val="22"/>
        </w:rPr>
      </w:pPr>
      <w:r w:rsidRPr="006606B6">
        <w:rPr>
          <w:rFonts w:cstheme="minorHAnsi"/>
          <w:sz w:val="22"/>
          <w:szCs w:val="22"/>
        </w:rPr>
        <w:t xml:space="preserve">Step 2: </w:t>
      </w:r>
      <w:r w:rsidR="00721386">
        <w:rPr>
          <w:rFonts w:cstheme="minorHAnsi"/>
          <w:sz w:val="22"/>
          <w:szCs w:val="22"/>
        </w:rPr>
        <w:t>Determine whether t</w:t>
      </w:r>
      <w:r w:rsidRPr="006606B6">
        <w:rPr>
          <w:rFonts w:cstheme="minorHAnsi"/>
          <w:sz w:val="22"/>
          <w:szCs w:val="22"/>
        </w:rPr>
        <w:t xml:space="preserve">he effect of the reformed scheme on the facility exceeds </w:t>
      </w:r>
      <w:r w:rsidR="00721386">
        <w:rPr>
          <w:rFonts w:cstheme="minorHAnsi"/>
          <w:sz w:val="22"/>
          <w:szCs w:val="22"/>
        </w:rPr>
        <w:t xml:space="preserve">the relevant </w:t>
      </w:r>
      <w:r w:rsidRPr="006606B6">
        <w:rPr>
          <w:rFonts w:cstheme="minorHAnsi"/>
          <w:sz w:val="22"/>
          <w:szCs w:val="22"/>
        </w:rPr>
        <w:t xml:space="preserve">cost impact </w:t>
      </w:r>
      <w:r w:rsidR="00FD5E9E">
        <w:rPr>
          <w:rFonts w:cstheme="minorHAnsi"/>
          <w:sz w:val="22"/>
          <w:szCs w:val="22"/>
        </w:rPr>
        <w:t>metric</w:t>
      </w:r>
      <w:r w:rsidR="00721386">
        <w:rPr>
          <w:rFonts w:cstheme="minorHAnsi"/>
          <w:sz w:val="22"/>
          <w:szCs w:val="22"/>
        </w:rPr>
        <w:t>. The metric will reflect</w:t>
      </w:r>
      <w:r w:rsidR="00FD5E9E">
        <w:rPr>
          <w:rFonts w:cstheme="minorHAnsi"/>
          <w:sz w:val="22"/>
          <w:szCs w:val="22"/>
        </w:rPr>
        <w:t xml:space="preserve"> a facility’s cost of compliance for the year</w:t>
      </w:r>
      <w:r w:rsidR="00721386">
        <w:rPr>
          <w:rFonts w:cstheme="minorHAnsi"/>
          <w:sz w:val="22"/>
          <w:szCs w:val="22"/>
        </w:rPr>
        <w:t>, as a share of</w:t>
      </w:r>
      <w:r w:rsidR="00FD5E9E">
        <w:rPr>
          <w:rFonts w:cstheme="minorHAnsi"/>
          <w:sz w:val="22"/>
          <w:szCs w:val="22"/>
        </w:rPr>
        <w:t xml:space="preserve"> </w:t>
      </w:r>
      <w:r w:rsidR="00721386">
        <w:rPr>
          <w:rFonts w:cstheme="minorHAnsi"/>
          <w:sz w:val="22"/>
          <w:szCs w:val="22"/>
        </w:rPr>
        <w:t>its</w:t>
      </w:r>
      <w:r w:rsidR="00962849">
        <w:rPr>
          <w:rFonts w:cstheme="minorHAnsi"/>
          <w:sz w:val="22"/>
          <w:szCs w:val="22"/>
        </w:rPr>
        <w:t xml:space="preserve"> margin</w:t>
      </w:r>
      <w:r w:rsidR="00F50CF9">
        <w:rPr>
          <w:rFonts w:cstheme="minorHAnsi"/>
          <w:sz w:val="22"/>
          <w:szCs w:val="22"/>
        </w:rPr>
        <w:t xml:space="preserve"> based on Earnings Before Interest and Tax or EBIT</w:t>
      </w:r>
      <w:r w:rsidR="00962849">
        <w:rPr>
          <w:rFonts w:cstheme="minorHAnsi"/>
          <w:sz w:val="22"/>
          <w:szCs w:val="22"/>
        </w:rPr>
        <w:t xml:space="preserve"> </w:t>
      </w:r>
      <w:r w:rsidR="00721386">
        <w:rPr>
          <w:rFonts w:cstheme="minorHAnsi"/>
          <w:sz w:val="22"/>
          <w:szCs w:val="22"/>
        </w:rPr>
        <w:t>(for manufacturing facilities), or as a share of its revenue (for all other facilities)</w:t>
      </w:r>
    </w:p>
    <w:p w14:paraId="7182E716" w14:textId="1D1C2D07" w:rsidR="00FD5E9E" w:rsidRPr="00C35CCF" w:rsidRDefault="00FD5E9E">
      <w:pPr>
        <w:pStyle w:val="BodyText"/>
        <w:numPr>
          <w:ilvl w:val="2"/>
          <w:numId w:val="50"/>
        </w:numPr>
        <w:rPr>
          <w:rFonts w:cstheme="minorHAnsi"/>
          <w:sz w:val="22"/>
          <w:szCs w:val="22"/>
        </w:rPr>
      </w:pPr>
      <w:r w:rsidRPr="00C35CCF">
        <w:rPr>
          <w:rFonts w:cstheme="minorHAnsi"/>
          <w:sz w:val="22"/>
          <w:szCs w:val="22"/>
        </w:rPr>
        <w:t xml:space="preserve">Designation will </w:t>
      </w:r>
      <w:r w:rsidR="001C4E39">
        <w:rPr>
          <w:rFonts w:cstheme="minorHAnsi"/>
          <w:sz w:val="22"/>
          <w:szCs w:val="22"/>
        </w:rPr>
        <w:t xml:space="preserve">apply </w:t>
      </w:r>
      <w:r w:rsidR="00721386">
        <w:rPr>
          <w:rFonts w:cstheme="minorHAnsi"/>
          <w:sz w:val="22"/>
          <w:szCs w:val="22"/>
        </w:rPr>
        <w:t>for a three</w:t>
      </w:r>
      <w:r w:rsidR="001C4E39">
        <w:rPr>
          <w:rFonts w:cstheme="minorHAnsi"/>
          <w:sz w:val="22"/>
          <w:szCs w:val="22"/>
        </w:rPr>
        <w:t>-</w:t>
      </w:r>
      <w:r w:rsidR="00721386">
        <w:rPr>
          <w:rFonts w:cstheme="minorHAnsi"/>
          <w:sz w:val="22"/>
          <w:szCs w:val="22"/>
        </w:rPr>
        <w:t>year period</w:t>
      </w:r>
      <w:r w:rsidR="001C4E39">
        <w:rPr>
          <w:rFonts w:cstheme="minorHAnsi"/>
          <w:sz w:val="22"/>
          <w:szCs w:val="22"/>
        </w:rPr>
        <w:t>. Facilities may be reassessed for a new three-year designation each year.</w:t>
      </w:r>
    </w:p>
    <w:p w14:paraId="45E83CE4" w14:textId="2C50570B" w:rsidR="002C35A1" w:rsidRDefault="006606B6">
      <w:pPr>
        <w:pStyle w:val="BodyText"/>
        <w:rPr>
          <w:rFonts w:cstheme="minorHAnsi"/>
          <w:sz w:val="22"/>
          <w:szCs w:val="22"/>
        </w:rPr>
      </w:pPr>
      <w:r w:rsidRPr="00C35CCF">
        <w:rPr>
          <w:rFonts w:cstheme="minorHAnsi"/>
          <w:sz w:val="22"/>
          <w:szCs w:val="22"/>
        </w:rPr>
        <w:t xml:space="preserve">In terms of assistance, </w:t>
      </w:r>
      <w:r w:rsidR="0047068D">
        <w:rPr>
          <w:rFonts w:cstheme="minorHAnsi"/>
          <w:sz w:val="22"/>
          <w:szCs w:val="22"/>
        </w:rPr>
        <w:t>trade-exposed</w:t>
      </w:r>
      <w:r w:rsidRPr="00C35CCF">
        <w:rPr>
          <w:rFonts w:cstheme="minorHAnsi"/>
          <w:sz w:val="22"/>
          <w:szCs w:val="22"/>
        </w:rPr>
        <w:t xml:space="preserve"> </w:t>
      </w:r>
      <w:r w:rsidR="0073276E">
        <w:rPr>
          <w:rFonts w:cstheme="minorHAnsi"/>
          <w:sz w:val="22"/>
          <w:szCs w:val="22"/>
        </w:rPr>
        <w:t>facilities</w:t>
      </w:r>
      <w:r w:rsidR="0073276E" w:rsidRPr="00C35CCF">
        <w:rPr>
          <w:rFonts w:cstheme="minorHAnsi"/>
          <w:sz w:val="22"/>
          <w:szCs w:val="22"/>
        </w:rPr>
        <w:t xml:space="preserve"> </w:t>
      </w:r>
      <w:r w:rsidRPr="00C35CCF">
        <w:rPr>
          <w:rFonts w:cstheme="minorHAnsi"/>
          <w:sz w:val="22"/>
          <w:szCs w:val="22"/>
        </w:rPr>
        <w:t>will be</w:t>
      </w:r>
      <w:r w:rsidRPr="001E09BD">
        <w:rPr>
          <w:rFonts w:cstheme="minorHAnsi"/>
          <w:sz w:val="22"/>
          <w:szCs w:val="22"/>
        </w:rPr>
        <w:t xml:space="preserve"> </w:t>
      </w:r>
      <w:r w:rsidRPr="00C35CCF">
        <w:rPr>
          <w:rFonts w:cstheme="minorHAnsi"/>
          <w:sz w:val="22"/>
          <w:szCs w:val="22"/>
        </w:rPr>
        <w:t>eligible to</w:t>
      </w:r>
      <w:r w:rsidR="00E35263">
        <w:rPr>
          <w:rFonts w:cstheme="minorHAnsi"/>
          <w:sz w:val="22"/>
          <w:szCs w:val="22"/>
        </w:rPr>
        <w:t xml:space="preserve"> access </w:t>
      </w:r>
      <w:r w:rsidRPr="00C35CCF">
        <w:rPr>
          <w:rFonts w:cstheme="minorHAnsi"/>
          <w:sz w:val="22"/>
          <w:szCs w:val="22"/>
        </w:rPr>
        <w:t xml:space="preserve">the $600 million Safeguard </w:t>
      </w:r>
      <w:r w:rsidR="00145EFA">
        <w:rPr>
          <w:rFonts w:cstheme="minorHAnsi"/>
          <w:sz w:val="22"/>
          <w:szCs w:val="22"/>
        </w:rPr>
        <w:t>Transformation</w:t>
      </w:r>
      <w:r w:rsidRPr="00C35CCF">
        <w:rPr>
          <w:rFonts w:cstheme="minorHAnsi"/>
          <w:sz w:val="22"/>
          <w:szCs w:val="22"/>
        </w:rPr>
        <w:t xml:space="preserve"> </w:t>
      </w:r>
      <w:r w:rsidR="008A488D">
        <w:rPr>
          <w:rFonts w:cstheme="minorHAnsi"/>
          <w:sz w:val="22"/>
          <w:szCs w:val="22"/>
        </w:rPr>
        <w:t>Stream</w:t>
      </w:r>
      <w:r w:rsidR="00687D9E">
        <w:rPr>
          <w:rFonts w:cstheme="minorHAnsi"/>
          <w:sz w:val="22"/>
          <w:szCs w:val="22"/>
        </w:rPr>
        <w:t xml:space="preserve"> (STS)</w:t>
      </w:r>
      <w:r w:rsidR="00391A67">
        <w:rPr>
          <w:rFonts w:cstheme="minorHAnsi"/>
          <w:sz w:val="22"/>
          <w:szCs w:val="22"/>
        </w:rPr>
        <w:t xml:space="preserve"> within the Powering the Regions Fund (</w:t>
      </w:r>
      <w:proofErr w:type="spellStart"/>
      <w:r w:rsidR="00391A67">
        <w:rPr>
          <w:rFonts w:cstheme="minorHAnsi"/>
          <w:sz w:val="22"/>
          <w:szCs w:val="22"/>
        </w:rPr>
        <w:t>PRF</w:t>
      </w:r>
      <w:proofErr w:type="spellEnd"/>
      <w:r w:rsidR="00391A67">
        <w:rPr>
          <w:rFonts w:cstheme="minorHAnsi"/>
          <w:sz w:val="22"/>
          <w:szCs w:val="22"/>
        </w:rPr>
        <w:t>)</w:t>
      </w:r>
      <w:r w:rsidRPr="00C35CCF">
        <w:rPr>
          <w:rFonts w:cstheme="minorHAnsi"/>
          <w:sz w:val="22"/>
          <w:szCs w:val="22"/>
        </w:rPr>
        <w:t xml:space="preserve">. </w:t>
      </w:r>
      <w:r w:rsidR="00DE619B">
        <w:rPr>
          <w:rFonts w:cstheme="minorHAnsi"/>
          <w:sz w:val="22"/>
          <w:szCs w:val="22"/>
        </w:rPr>
        <w:t>The STS will provide financial support for investments to reduce scope 1 emissions by trade-exposed facilities with the aim of brin</w:t>
      </w:r>
      <w:r w:rsidR="00930C12">
        <w:rPr>
          <w:rFonts w:cstheme="minorHAnsi"/>
          <w:sz w:val="22"/>
          <w:szCs w:val="22"/>
        </w:rPr>
        <w:t>g</w:t>
      </w:r>
      <w:r w:rsidR="00DE619B">
        <w:rPr>
          <w:rFonts w:cstheme="minorHAnsi"/>
          <w:sz w:val="22"/>
          <w:szCs w:val="22"/>
        </w:rPr>
        <w:t>ing forward investment and technology adoption, lowering regulatory compliance costs, supporting workforce development, and helping Australian industry to gain first mover advantage.</w:t>
      </w:r>
      <w:r w:rsidR="002C35A1">
        <w:rPr>
          <w:rFonts w:cstheme="minorHAnsi"/>
          <w:sz w:val="22"/>
          <w:szCs w:val="22"/>
        </w:rPr>
        <w:t xml:space="preserve"> </w:t>
      </w:r>
      <w:r w:rsidR="009C3F32">
        <w:rPr>
          <w:rFonts w:cstheme="minorHAnsi"/>
          <w:sz w:val="22"/>
          <w:szCs w:val="22"/>
        </w:rPr>
        <w:t xml:space="preserve"> The </w:t>
      </w:r>
      <w:proofErr w:type="spellStart"/>
      <w:r w:rsidR="009C3F32">
        <w:rPr>
          <w:rFonts w:cstheme="minorHAnsi"/>
          <w:sz w:val="22"/>
          <w:szCs w:val="22"/>
        </w:rPr>
        <w:t>PRF</w:t>
      </w:r>
      <w:proofErr w:type="spellEnd"/>
      <w:r w:rsidR="009C3F32">
        <w:rPr>
          <w:rFonts w:cstheme="minorHAnsi"/>
          <w:sz w:val="22"/>
          <w:szCs w:val="22"/>
        </w:rPr>
        <w:t xml:space="preserve"> funding will not be available to new or expanding coal or gas facilities.</w:t>
      </w:r>
    </w:p>
    <w:p w14:paraId="0F201CB2" w14:textId="0243098E" w:rsidR="00DC237C" w:rsidRDefault="0047068D">
      <w:pPr>
        <w:pStyle w:val="BodyText"/>
        <w:rPr>
          <w:rFonts w:cstheme="minorHAnsi"/>
          <w:sz w:val="22"/>
          <w:szCs w:val="22"/>
        </w:rPr>
      </w:pPr>
      <w:r>
        <w:rPr>
          <w:sz w:val="22"/>
          <w:szCs w:val="22"/>
        </w:rPr>
        <w:t>Trade-exposed baseline-adjusted</w:t>
      </w:r>
      <w:r w:rsidR="00ED170C" w:rsidRPr="001E09BD">
        <w:rPr>
          <w:rFonts w:cstheme="minorHAnsi"/>
          <w:sz w:val="22"/>
          <w:szCs w:val="22"/>
        </w:rPr>
        <w:t xml:space="preserve"> facilities will be eligible </w:t>
      </w:r>
      <w:r w:rsidR="00DC237C">
        <w:rPr>
          <w:rFonts w:cstheme="minorHAnsi"/>
          <w:sz w:val="22"/>
          <w:szCs w:val="22"/>
        </w:rPr>
        <w:t xml:space="preserve">for </w:t>
      </w:r>
      <w:r w:rsidR="00ED170C" w:rsidRPr="001E09BD">
        <w:rPr>
          <w:rFonts w:cstheme="minorHAnsi"/>
          <w:sz w:val="22"/>
          <w:szCs w:val="22"/>
        </w:rPr>
        <w:t xml:space="preserve">a differential </w:t>
      </w:r>
      <w:r w:rsidR="00637C08">
        <w:rPr>
          <w:rFonts w:cstheme="minorHAnsi"/>
          <w:sz w:val="22"/>
          <w:szCs w:val="22"/>
        </w:rPr>
        <w:t>concessional</w:t>
      </w:r>
      <w:r w:rsidR="00637C08" w:rsidRPr="001E09BD">
        <w:rPr>
          <w:rFonts w:cstheme="minorHAnsi"/>
          <w:sz w:val="22"/>
          <w:szCs w:val="22"/>
        </w:rPr>
        <w:t xml:space="preserve"> </w:t>
      </w:r>
      <w:r w:rsidR="00ED170C" w:rsidRPr="00003AE5">
        <w:rPr>
          <w:rFonts w:cstheme="minorHAnsi"/>
          <w:sz w:val="22"/>
          <w:szCs w:val="22"/>
        </w:rPr>
        <w:t>decline rate that will be set based on scheme impact, with a minimum decline rate of 2</w:t>
      </w:r>
      <w:r w:rsidR="004901E0">
        <w:rPr>
          <w:rFonts w:cstheme="minorHAnsi"/>
          <w:sz w:val="22"/>
          <w:szCs w:val="22"/>
        </w:rPr>
        <w:t xml:space="preserve"> per cent</w:t>
      </w:r>
      <w:r w:rsidR="002C35A1">
        <w:rPr>
          <w:rFonts w:cstheme="minorHAnsi"/>
          <w:sz w:val="22"/>
          <w:szCs w:val="22"/>
        </w:rPr>
        <w:t xml:space="preserve"> (or 1 per cent for manufacturing facilities)</w:t>
      </w:r>
      <w:r w:rsidR="00ED170C" w:rsidRPr="00003AE5">
        <w:rPr>
          <w:rFonts w:cstheme="minorHAnsi"/>
          <w:sz w:val="22"/>
          <w:szCs w:val="22"/>
        </w:rPr>
        <w:t>.</w:t>
      </w:r>
      <w:r w:rsidR="007B7030">
        <w:rPr>
          <w:rFonts w:cstheme="minorHAnsi"/>
          <w:sz w:val="22"/>
          <w:szCs w:val="22"/>
        </w:rPr>
        <w:t xml:space="preserve"> The</w:t>
      </w:r>
      <w:r w:rsidR="007B7030" w:rsidRPr="007B7030">
        <w:rPr>
          <w:rFonts w:cstheme="minorHAnsi"/>
          <w:sz w:val="22"/>
          <w:szCs w:val="22"/>
        </w:rPr>
        <w:t xml:space="preserve"> baseline decline rate “discount” will be applied </w:t>
      </w:r>
      <w:r w:rsidR="002C35A1">
        <w:rPr>
          <w:rFonts w:cstheme="minorHAnsi"/>
          <w:sz w:val="22"/>
          <w:szCs w:val="22"/>
        </w:rPr>
        <w:t xml:space="preserve">for three year period, </w:t>
      </w:r>
      <w:r w:rsidR="00F50CF9">
        <w:rPr>
          <w:rFonts w:cstheme="minorHAnsi"/>
          <w:sz w:val="22"/>
          <w:szCs w:val="22"/>
        </w:rPr>
        <w:t>and can apply</w:t>
      </w:r>
      <w:r w:rsidR="007B7030" w:rsidRPr="007B7030">
        <w:rPr>
          <w:rFonts w:cstheme="minorHAnsi"/>
          <w:sz w:val="22"/>
          <w:szCs w:val="22"/>
        </w:rPr>
        <w:t xml:space="preserve"> iteratively depending on how impacted a particular facility is in terms of the cost impact metric. The discount will start applying when the cost impact metric first exceeds </w:t>
      </w:r>
      <w:r w:rsidR="0073276E">
        <w:rPr>
          <w:rFonts w:cstheme="minorHAnsi"/>
          <w:sz w:val="22"/>
          <w:szCs w:val="22"/>
        </w:rPr>
        <w:t>3</w:t>
      </w:r>
      <w:r w:rsidR="0073276E" w:rsidRPr="007B7030">
        <w:rPr>
          <w:rFonts w:cstheme="minorHAnsi"/>
          <w:sz w:val="22"/>
          <w:szCs w:val="22"/>
        </w:rPr>
        <w:t xml:space="preserve"> </w:t>
      </w:r>
      <w:r w:rsidR="007B7030" w:rsidRPr="007B7030">
        <w:rPr>
          <w:rFonts w:cstheme="minorHAnsi"/>
          <w:sz w:val="22"/>
          <w:szCs w:val="22"/>
        </w:rPr>
        <w:t xml:space="preserve">per cent </w:t>
      </w:r>
      <w:r w:rsidR="00962849">
        <w:rPr>
          <w:rFonts w:cstheme="minorHAnsi"/>
          <w:sz w:val="22"/>
          <w:szCs w:val="22"/>
        </w:rPr>
        <w:t xml:space="preserve">of revenue (or </w:t>
      </w:r>
      <w:r w:rsidR="005C158D">
        <w:rPr>
          <w:rFonts w:cstheme="minorHAnsi"/>
          <w:sz w:val="22"/>
          <w:szCs w:val="22"/>
        </w:rPr>
        <w:t>3</w:t>
      </w:r>
      <w:r w:rsidR="00962849">
        <w:rPr>
          <w:rFonts w:cstheme="minorHAnsi"/>
          <w:sz w:val="22"/>
          <w:szCs w:val="22"/>
        </w:rPr>
        <w:t xml:space="preserve"> per cent of </w:t>
      </w:r>
      <w:r w:rsidR="00F50CF9">
        <w:rPr>
          <w:rFonts w:cstheme="minorHAnsi"/>
          <w:sz w:val="22"/>
          <w:szCs w:val="22"/>
        </w:rPr>
        <w:t xml:space="preserve">EBIT </w:t>
      </w:r>
      <w:r w:rsidR="00962849">
        <w:rPr>
          <w:rFonts w:cstheme="minorHAnsi"/>
          <w:sz w:val="22"/>
          <w:szCs w:val="22"/>
        </w:rPr>
        <w:t xml:space="preserve">for manufacturing </w:t>
      </w:r>
      <w:r w:rsidR="00962849">
        <w:rPr>
          <w:rFonts w:cstheme="minorHAnsi"/>
          <w:sz w:val="22"/>
          <w:szCs w:val="22"/>
        </w:rPr>
        <w:lastRenderedPageBreak/>
        <w:t xml:space="preserve">facilities) </w:t>
      </w:r>
      <w:r w:rsidR="007B7030" w:rsidRPr="007B7030">
        <w:rPr>
          <w:rFonts w:cstheme="minorHAnsi"/>
          <w:sz w:val="22"/>
          <w:szCs w:val="22"/>
        </w:rPr>
        <w:t xml:space="preserve">and reach a maximum discount value when the </w:t>
      </w:r>
      <w:r w:rsidR="000D12C0">
        <w:rPr>
          <w:rFonts w:cstheme="minorHAnsi"/>
          <w:sz w:val="22"/>
          <w:szCs w:val="22"/>
        </w:rPr>
        <w:t xml:space="preserve">cost </w:t>
      </w:r>
      <w:r w:rsidR="007B7030" w:rsidRPr="007B7030">
        <w:rPr>
          <w:rFonts w:cstheme="minorHAnsi"/>
          <w:sz w:val="22"/>
          <w:szCs w:val="22"/>
        </w:rPr>
        <w:t xml:space="preserve">impact metric exceeds </w:t>
      </w:r>
      <w:r w:rsidR="0073276E">
        <w:rPr>
          <w:rFonts w:cstheme="minorHAnsi"/>
          <w:sz w:val="22"/>
          <w:szCs w:val="22"/>
        </w:rPr>
        <w:t xml:space="preserve">8 </w:t>
      </w:r>
      <w:r w:rsidR="007B7030" w:rsidRPr="007B7030">
        <w:rPr>
          <w:rFonts w:cstheme="minorHAnsi"/>
          <w:sz w:val="22"/>
          <w:szCs w:val="22"/>
        </w:rPr>
        <w:t>per cent</w:t>
      </w:r>
      <w:r w:rsidR="00962849">
        <w:rPr>
          <w:rFonts w:cstheme="minorHAnsi"/>
          <w:sz w:val="22"/>
          <w:szCs w:val="22"/>
        </w:rPr>
        <w:t xml:space="preserve"> of revenue (or </w:t>
      </w:r>
      <w:r w:rsidR="00F50CF9">
        <w:rPr>
          <w:rFonts w:cstheme="minorHAnsi"/>
          <w:sz w:val="22"/>
          <w:szCs w:val="22"/>
        </w:rPr>
        <w:t>10</w:t>
      </w:r>
      <w:r w:rsidR="00962849">
        <w:rPr>
          <w:rFonts w:cstheme="minorHAnsi"/>
          <w:sz w:val="22"/>
          <w:szCs w:val="22"/>
        </w:rPr>
        <w:t xml:space="preserve"> per cent of </w:t>
      </w:r>
      <w:r w:rsidR="000D12C0">
        <w:rPr>
          <w:rFonts w:cstheme="minorHAnsi"/>
          <w:sz w:val="22"/>
          <w:szCs w:val="22"/>
        </w:rPr>
        <w:t xml:space="preserve">EBIT </w:t>
      </w:r>
      <w:r w:rsidR="00962849">
        <w:rPr>
          <w:rFonts w:cstheme="minorHAnsi"/>
          <w:sz w:val="22"/>
          <w:szCs w:val="22"/>
        </w:rPr>
        <w:t>for manufacturing facilities)</w:t>
      </w:r>
      <w:r w:rsidR="00FD5E9E">
        <w:rPr>
          <w:rFonts w:cstheme="minorHAnsi"/>
          <w:sz w:val="22"/>
          <w:szCs w:val="22"/>
        </w:rPr>
        <w:t>.</w:t>
      </w:r>
    </w:p>
    <w:p w14:paraId="5DF99907" w14:textId="753A7FA0" w:rsidR="001C4E39" w:rsidRDefault="001C4E39" w:rsidP="0043024C">
      <w:pPr>
        <w:pStyle w:val="Heading3"/>
      </w:pPr>
      <w:bookmarkStart w:id="196" w:name="_Toc132807545"/>
      <w:r w:rsidRPr="0043024C">
        <w:t>Other assistance</w:t>
      </w:r>
      <w:bookmarkEnd w:id="196"/>
    </w:p>
    <w:p w14:paraId="35654E56" w14:textId="2BA3E513" w:rsidR="001C4E39" w:rsidRDefault="00EE3FA8">
      <w:pPr>
        <w:pStyle w:val="BodyText"/>
      </w:pPr>
      <w:r>
        <w:rPr>
          <w:rFonts w:cstheme="minorHAnsi"/>
          <w:sz w:val="22"/>
          <w:szCs w:val="22"/>
        </w:rPr>
        <w:t xml:space="preserve">An additional $400 million stream of the </w:t>
      </w:r>
      <w:proofErr w:type="spellStart"/>
      <w:r>
        <w:rPr>
          <w:rFonts w:cstheme="minorHAnsi"/>
          <w:sz w:val="22"/>
          <w:szCs w:val="22"/>
        </w:rPr>
        <w:t>PRF</w:t>
      </w:r>
      <w:proofErr w:type="spellEnd"/>
      <w:r>
        <w:rPr>
          <w:rFonts w:cstheme="minorHAnsi"/>
          <w:sz w:val="22"/>
          <w:szCs w:val="22"/>
        </w:rPr>
        <w:t xml:space="preserve"> will be set aside </w:t>
      </w:r>
      <w:r w:rsidRPr="002C35A1">
        <w:rPr>
          <w:rFonts w:cstheme="minorHAnsi"/>
          <w:sz w:val="22"/>
          <w:szCs w:val="22"/>
        </w:rPr>
        <w:t xml:space="preserve">to support the sovereign manufacturing capability of critical inputs to the energy transition. This </w:t>
      </w:r>
      <w:r w:rsidR="001C4E39" w:rsidRPr="002C35A1">
        <w:rPr>
          <w:rFonts w:cstheme="minorHAnsi"/>
          <w:sz w:val="22"/>
          <w:szCs w:val="22"/>
        </w:rPr>
        <w:t>would provide grant funding to support businesses producing steel, cement, lime and aluminium/alumina, which will be covered by the Safeguard Mechanism but are also essential to the development of Australia’s clean energy industries.</w:t>
      </w:r>
    </w:p>
    <w:p w14:paraId="2B02E78F" w14:textId="21281033" w:rsidR="00772658" w:rsidRDefault="00EE5F42">
      <w:pPr>
        <w:pStyle w:val="BodyText"/>
        <w:sectPr w:rsidR="00772658" w:rsidSect="00753174">
          <w:pgSz w:w="11906" w:h="16838"/>
          <w:pgMar w:top="1559" w:right="851" w:bottom="1701" w:left="851" w:header="567" w:footer="57" w:gutter="0"/>
          <w:cols w:space="708"/>
          <w:docGrid w:linePitch="360"/>
        </w:sectPr>
      </w:pPr>
      <w:r w:rsidRPr="00202E2F">
        <w:rPr>
          <w:sz w:val="22"/>
          <w:szCs w:val="22"/>
        </w:rPr>
        <w:t xml:space="preserve">Safeguard facilities will have preferential access to the remaining </w:t>
      </w:r>
      <w:proofErr w:type="spellStart"/>
      <w:r w:rsidRPr="00202E2F">
        <w:rPr>
          <w:sz w:val="22"/>
          <w:szCs w:val="22"/>
        </w:rPr>
        <w:t>PRF</w:t>
      </w:r>
      <w:proofErr w:type="spellEnd"/>
      <w:r w:rsidRPr="00202E2F">
        <w:rPr>
          <w:sz w:val="22"/>
          <w:szCs w:val="22"/>
        </w:rPr>
        <w:t xml:space="preserve"> funding, and will continue to have access to funding through ARENA. </w:t>
      </w:r>
      <w:r w:rsidRPr="00202E2F">
        <w:rPr>
          <w:sz w:val="22"/>
          <w:szCs w:val="22"/>
          <w:lang w:val="en-GB"/>
        </w:rPr>
        <w:t xml:space="preserve">In addition, independently governed investment vehicles – such as the National Reconstruction Fund and the CEFC – </w:t>
      </w:r>
      <w:r>
        <w:rPr>
          <w:sz w:val="22"/>
          <w:szCs w:val="22"/>
          <w:lang w:val="en-GB"/>
        </w:rPr>
        <w:t>are available to</w:t>
      </w:r>
      <w:r w:rsidRPr="00202E2F">
        <w:rPr>
          <w:sz w:val="22"/>
          <w:szCs w:val="22"/>
          <w:lang w:val="en-GB"/>
        </w:rPr>
        <w:t xml:space="preserve"> support businesses to meet their obligations under the Safeguard Mechanism.</w:t>
      </w:r>
      <w:r w:rsidRPr="00202E2F" w:rsidDel="0073276E">
        <w:rPr>
          <w:sz w:val="22"/>
          <w:szCs w:val="22"/>
        </w:rPr>
        <w:t xml:space="preserve"> </w:t>
      </w:r>
    </w:p>
    <w:p w14:paraId="4BB41254" w14:textId="3AA34CDC" w:rsidR="003F3B7E" w:rsidRDefault="004C704F" w:rsidP="003F3B7E">
      <w:pPr>
        <w:pStyle w:val="Caption"/>
      </w:pPr>
      <w:bookmarkStart w:id="197" w:name="_Ref132107397"/>
      <w:bookmarkStart w:id="198" w:name="_Ref118192676"/>
      <w:bookmarkStart w:id="199" w:name="_Ref129000941"/>
      <w:r>
        <w:lastRenderedPageBreak/>
        <w:t xml:space="preserve">Table </w:t>
      </w:r>
      <w:fldSimple w:instr=" SEQ Table \* ARABIC ">
        <w:r w:rsidR="00F30595">
          <w:rPr>
            <w:noProof/>
          </w:rPr>
          <w:t>4</w:t>
        </w:r>
      </w:fldSimple>
      <w:bookmarkEnd w:id="197"/>
      <w:bookmarkEnd w:id="198"/>
      <w:r w:rsidR="006D5585">
        <w:t xml:space="preserve"> </w:t>
      </w:r>
      <w:r w:rsidR="003F3B7E">
        <w:t xml:space="preserve">Reference </w:t>
      </w:r>
      <w:r w:rsidR="00726DEF">
        <w:t xml:space="preserve">scenario </w:t>
      </w:r>
      <w:r w:rsidR="003F3B7E">
        <w:t xml:space="preserve">and </w:t>
      </w:r>
      <w:r w:rsidR="00726DEF">
        <w:t>S</w:t>
      </w:r>
      <w:r w:rsidR="003F3B7E">
        <w:t xml:space="preserve">afeguard </w:t>
      </w:r>
      <w:r w:rsidR="00726DEF">
        <w:t xml:space="preserve">Mechanism </w:t>
      </w:r>
      <w:r w:rsidR="003F3B7E">
        <w:t xml:space="preserve">reform policy </w:t>
      </w:r>
      <w:r w:rsidR="00726DEF">
        <w:t>options</w:t>
      </w:r>
      <w:bookmarkEnd w:id="199"/>
    </w:p>
    <w:tbl>
      <w:tblPr>
        <w:tblStyle w:val="TableGrid"/>
        <w:tblW w:w="22675" w:type="dxa"/>
        <w:tblLayout w:type="fixed"/>
        <w:tblLook w:val="04A0" w:firstRow="1" w:lastRow="0" w:firstColumn="1" w:lastColumn="0" w:noHBand="0" w:noVBand="1"/>
      </w:tblPr>
      <w:tblGrid>
        <w:gridCol w:w="2404"/>
        <w:gridCol w:w="2553"/>
        <w:gridCol w:w="34"/>
        <w:gridCol w:w="2517"/>
        <w:gridCol w:w="70"/>
        <w:gridCol w:w="2587"/>
        <w:gridCol w:w="36"/>
        <w:gridCol w:w="2552"/>
        <w:gridCol w:w="9922"/>
      </w:tblGrid>
      <w:tr w:rsidR="00EE5F90" w:rsidRPr="00F87ED6" w14:paraId="0FE3BEA9" w14:textId="77777777" w:rsidTr="00F77C46">
        <w:trPr>
          <w:trHeight w:val="73"/>
        </w:trPr>
        <w:tc>
          <w:tcPr>
            <w:tcW w:w="2404" w:type="dxa"/>
            <w:vMerge w:val="restart"/>
            <w:shd w:val="clear" w:color="auto" w:fill="BFBFBF" w:themeFill="background1" w:themeFillShade="BF"/>
          </w:tcPr>
          <w:p w14:paraId="562FF722" w14:textId="77777777" w:rsidR="00EE5F90" w:rsidRPr="00F87ED6" w:rsidRDefault="00EE5F90" w:rsidP="00CF477B">
            <w:pPr>
              <w:spacing w:before="60" w:after="60"/>
              <w:rPr>
                <w:rFonts w:cstheme="minorHAnsi"/>
                <w:b/>
              </w:rPr>
            </w:pPr>
            <w:r w:rsidRPr="00C056E8">
              <w:rPr>
                <w:rFonts w:cstheme="minorHAnsi"/>
                <w:b/>
              </w:rPr>
              <w:t>Policy setting</w:t>
            </w:r>
          </w:p>
        </w:tc>
        <w:tc>
          <w:tcPr>
            <w:tcW w:w="10349" w:type="dxa"/>
            <w:gridSpan w:val="7"/>
            <w:shd w:val="clear" w:color="auto" w:fill="BFBFBF" w:themeFill="background1" w:themeFillShade="BF"/>
          </w:tcPr>
          <w:p w14:paraId="0928AC4C" w14:textId="77777777" w:rsidR="00EE5F90" w:rsidRPr="00F87ED6" w:rsidRDefault="00EE5F90" w:rsidP="00726DEF">
            <w:pPr>
              <w:spacing w:before="60" w:after="60"/>
              <w:jc w:val="center"/>
              <w:rPr>
                <w:rFonts w:cstheme="minorHAnsi"/>
                <w:b/>
              </w:rPr>
            </w:pPr>
            <w:r>
              <w:rPr>
                <w:rFonts w:cstheme="minorHAnsi"/>
                <w:b/>
              </w:rPr>
              <w:t xml:space="preserve">Safeguard </w:t>
            </w:r>
            <w:r w:rsidR="00726DEF">
              <w:rPr>
                <w:rFonts w:cstheme="minorHAnsi"/>
                <w:b/>
              </w:rPr>
              <w:t>M</w:t>
            </w:r>
            <w:r>
              <w:rPr>
                <w:rFonts w:cstheme="minorHAnsi"/>
                <w:b/>
              </w:rPr>
              <w:t xml:space="preserve">echanism – </w:t>
            </w:r>
            <w:proofErr w:type="spellStart"/>
            <w:r>
              <w:rPr>
                <w:rFonts w:cstheme="minorHAnsi"/>
                <w:b/>
              </w:rPr>
              <w:t>BAU</w:t>
            </w:r>
            <w:proofErr w:type="spellEnd"/>
            <w:r>
              <w:rPr>
                <w:rFonts w:cstheme="minorHAnsi"/>
                <w:b/>
              </w:rPr>
              <w:t xml:space="preserve"> and reform options</w:t>
            </w:r>
          </w:p>
        </w:tc>
        <w:tc>
          <w:tcPr>
            <w:tcW w:w="9922" w:type="dxa"/>
            <w:vMerge w:val="restart"/>
            <w:tcBorders>
              <w:right w:val="single" w:sz="4" w:space="0" w:color="auto"/>
            </w:tcBorders>
            <w:shd w:val="clear" w:color="auto" w:fill="BFBFBF" w:themeFill="background1" w:themeFillShade="BF"/>
          </w:tcPr>
          <w:p w14:paraId="78668405" w14:textId="77777777" w:rsidR="00EE5F90" w:rsidRPr="00F87ED6" w:rsidRDefault="00EE5F90" w:rsidP="00726DEF">
            <w:pPr>
              <w:spacing w:before="60" w:after="60"/>
              <w:jc w:val="center"/>
              <w:rPr>
                <w:rFonts w:cstheme="minorHAnsi"/>
                <w:b/>
              </w:rPr>
            </w:pPr>
            <w:r>
              <w:rPr>
                <w:rFonts w:cstheme="minorHAnsi"/>
                <w:b/>
              </w:rPr>
              <w:t xml:space="preserve">Differences between </w:t>
            </w:r>
            <w:r w:rsidR="00726DEF">
              <w:rPr>
                <w:rFonts w:cstheme="minorHAnsi"/>
                <w:b/>
              </w:rPr>
              <w:t>reference scenario and policy</w:t>
            </w:r>
            <w:r>
              <w:rPr>
                <w:rFonts w:cstheme="minorHAnsi"/>
                <w:b/>
              </w:rPr>
              <w:t xml:space="preserve"> options – </w:t>
            </w:r>
            <w:r w:rsidR="00726DEF">
              <w:rPr>
                <w:rFonts w:cstheme="minorHAnsi"/>
                <w:b/>
              </w:rPr>
              <w:t xml:space="preserve">key </w:t>
            </w:r>
            <w:r>
              <w:rPr>
                <w:rFonts w:cstheme="minorHAnsi"/>
                <w:b/>
              </w:rPr>
              <w:t>points and evolu</w:t>
            </w:r>
            <w:r w:rsidR="004354C1">
              <w:rPr>
                <w:rFonts w:cstheme="minorHAnsi"/>
                <w:b/>
              </w:rPr>
              <w:t>tion of Option 3</w:t>
            </w:r>
            <w:r w:rsidR="00F746FE">
              <w:rPr>
                <w:rFonts w:cstheme="minorHAnsi"/>
                <w:b/>
              </w:rPr>
              <w:t xml:space="preserve"> and final design</w:t>
            </w:r>
          </w:p>
        </w:tc>
      </w:tr>
      <w:tr w:rsidR="00642695" w:rsidRPr="00F87ED6" w14:paraId="44D5C754" w14:textId="77777777" w:rsidTr="00757CF7">
        <w:trPr>
          <w:trHeight w:val="73"/>
        </w:trPr>
        <w:tc>
          <w:tcPr>
            <w:tcW w:w="2404" w:type="dxa"/>
            <w:vMerge/>
            <w:shd w:val="clear" w:color="auto" w:fill="BFBFBF" w:themeFill="background1" w:themeFillShade="BF"/>
          </w:tcPr>
          <w:p w14:paraId="2F162333" w14:textId="77777777" w:rsidR="00642695" w:rsidRPr="00C056E8" w:rsidRDefault="00642695" w:rsidP="00CF477B">
            <w:pPr>
              <w:spacing w:before="60" w:after="60"/>
              <w:rPr>
                <w:rFonts w:cstheme="minorHAnsi"/>
                <w:b/>
              </w:rPr>
            </w:pPr>
          </w:p>
        </w:tc>
        <w:tc>
          <w:tcPr>
            <w:tcW w:w="2587" w:type="dxa"/>
            <w:gridSpan w:val="2"/>
            <w:shd w:val="clear" w:color="auto" w:fill="BFBFBF" w:themeFill="background1" w:themeFillShade="BF"/>
          </w:tcPr>
          <w:p w14:paraId="7F513224" w14:textId="77777777" w:rsidR="00642695" w:rsidRDefault="00642695" w:rsidP="00CF477B">
            <w:pPr>
              <w:spacing w:before="60" w:after="60"/>
              <w:jc w:val="center"/>
              <w:rPr>
                <w:rFonts w:cstheme="minorHAnsi"/>
                <w:b/>
              </w:rPr>
            </w:pPr>
            <w:r w:rsidRPr="00F87ED6">
              <w:rPr>
                <w:rFonts w:cstheme="minorHAnsi"/>
                <w:b/>
              </w:rPr>
              <w:t>Reference scenario</w:t>
            </w:r>
            <w:r>
              <w:rPr>
                <w:rFonts w:cstheme="minorHAnsi"/>
                <w:b/>
              </w:rPr>
              <w:t xml:space="preserve"> </w:t>
            </w:r>
            <w:r>
              <w:rPr>
                <w:rFonts w:cstheme="minorHAnsi"/>
                <w:b/>
              </w:rPr>
              <w:br/>
              <w:t>(</w:t>
            </w:r>
            <w:proofErr w:type="spellStart"/>
            <w:r>
              <w:rPr>
                <w:rFonts w:cstheme="minorHAnsi"/>
                <w:b/>
              </w:rPr>
              <w:t>BAU</w:t>
            </w:r>
            <w:proofErr w:type="spellEnd"/>
            <w:r>
              <w:rPr>
                <w:rFonts w:cstheme="minorHAnsi"/>
                <w:b/>
              </w:rPr>
              <w:t>)</w:t>
            </w:r>
          </w:p>
        </w:tc>
        <w:tc>
          <w:tcPr>
            <w:tcW w:w="2587" w:type="dxa"/>
            <w:gridSpan w:val="2"/>
            <w:shd w:val="clear" w:color="auto" w:fill="BFBFBF" w:themeFill="background1" w:themeFillShade="BF"/>
          </w:tcPr>
          <w:p w14:paraId="68FD8E61" w14:textId="77777777" w:rsidR="00642695" w:rsidRDefault="00642695" w:rsidP="00642695">
            <w:pPr>
              <w:spacing w:before="60" w:after="60"/>
              <w:jc w:val="center"/>
              <w:rPr>
                <w:rFonts w:cstheme="minorHAnsi"/>
                <w:b/>
              </w:rPr>
            </w:pPr>
            <w:r w:rsidRPr="00F87ED6">
              <w:rPr>
                <w:rFonts w:cstheme="minorHAnsi"/>
                <w:b/>
              </w:rPr>
              <w:t>Option 1</w:t>
            </w:r>
          </w:p>
          <w:p w14:paraId="624C1074" w14:textId="77777777" w:rsidR="00642695" w:rsidRDefault="00642695" w:rsidP="00CF477B">
            <w:pPr>
              <w:spacing w:before="60" w:after="60"/>
              <w:jc w:val="center"/>
              <w:rPr>
                <w:rFonts w:cstheme="minorHAnsi"/>
                <w:b/>
              </w:rPr>
            </w:pPr>
          </w:p>
        </w:tc>
        <w:tc>
          <w:tcPr>
            <w:tcW w:w="2587" w:type="dxa"/>
            <w:shd w:val="clear" w:color="auto" w:fill="BFBFBF" w:themeFill="background1" w:themeFillShade="BF"/>
          </w:tcPr>
          <w:p w14:paraId="1B201D97" w14:textId="77777777" w:rsidR="00642695" w:rsidRDefault="00642695" w:rsidP="00642695">
            <w:pPr>
              <w:spacing w:before="60" w:after="60"/>
              <w:jc w:val="center"/>
              <w:rPr>
                <w:rFonts w:cstheme="minorHAnsi"/>
                <w:b/>
              </w:rPr>
            </w:pPr>
            <w:r w:rsidRPr="00F87ED6">
              <w:rPr>
                <w:rFonts w:cstheme="minorHAnsi"/>
                <w:b/>
              </w:rPr>
              <w:t>Option 2</w:t>
            </w:r>
          </w:p>
          <w:p w14:paraId="3A1BEF77" w14:textId="77777777" w:rsidR="00642695" w:rsidRDefault="00642695" w:rsidP="00CF477B">
            <w:pPr>
              <w:spacing w:before="60" w:after="60"/>
              <w:jc w:val="center"/>
              <w:rPr>
                <w:rFonts w:cstheme="minorHAnsi"/>
                <w:b/>
              </w:rPr>
            </w:pPr>
          </w:p>
        </w:tc>
        <w:tc>
          <w:tcPr>
            <w:tcW w:w="2588" w:type="dxa"/>
            <w:gridSpan w:val="2"/>
            <w:shd w:val="clear" w:color="auto" w:fill="BFBFBF" w:themeFill="background1" w:themeFillShade="BF"/>
          </w:tcPr>
          <w:p w14:paraId="5CBE7841" w14:textId="77777777" w:rsidR="00642695" w:rsidRDefault="00642695" w:rsidP="00CF477B">
            <w:pPr>
              <w:spacing w:before="60" w:after="60"/>
              <w:jc w:val="center"/>
              <w:rPr>
                <w:rFonts w:cstheme="minorHAnsi"/>
                <w:b/>
              </w:rPr>
            </w:pPr>
            <w:r w:rsidRPr="00F87ED6">
              <w:rPr>
                <w:rFonts w:cstheme="minorHAnsi"/>
                <w:b/>
              </w:rPr>
              <w:t>Option 3</w:t>
            </w:r>
          </w:p>
        </w:tc>
        <w:tc>
          <w:tcPr>
            <w:tcW w:w="9922" w:type="dxa"/>
            <w:vMerge/>
            <w:tcBorders>
              <w:right w:val="single" w:sz="4" w:space="0" w:color="auto"/>
            </w:tcBorders>
            <w:shd w:val="clear" w:color="auto" w:fill="BFBFBF" w:themeFill="background1" w:themeFillShade="BF"/>
          </w:tcPr>
          <w:p w14:paraId="12182F28" w14:textId="77777777" w:rsidR="00642695" w:rsidRDefault="00642695" w:rsidP="00CF477B">
            <w:pPr>
              <w:spacing w:before="60" w:after="60"/>
              <w:jc w:val="center"/>
              <w:rPr>
                <w:rFonts w:cstheme="minorHAnsi"/>
                <w:b/>
              </w:rPr>
            </w:pPr>
          </w:p>
        </w:tc>
      </w:tr>
      <w:tr w:rsidR="00EE5F90" w:rsidRPr="00F87ED6" w14:paraId="1523880F" w14:textId="77777777" w:rsidTr="00CF477B">
        <w:trPr>
          <w:trHeight w:val="73"/>
        </w:trPr>
        <w:tc>
          <w:tcPr>
            <w:tcW w:w="22675" w:type="dxa"/>
            <w:gridSpan w:val="9"/>
            <w:tcBorders>
              <w:right w:val="single" w:sz="4" w:space="0" w:color="auto"/>
            </w:tcBorders>
            <w:shd w:val="clear" w:color="auto" w:fill="F2F2F2" w:themeFill="background1" w:themeFillShade="F2"/>
          </w:tcPr>
          <w:p w14:paraId="584CCB63" w14:textId="77777777" w:rsidR="00EE5F90" w:rsidRPr="00856F20" w:rsidRDefault="00EE5F90" w:rsidP="00CF477B">
            <w:pPr>
              <w:spacing w:before="60" w:after="60"/>
              <w:jc w:val="center"/>
              <w:rPr>
                <w:rFonts w:cstheme="minorHAnsi"/>
                <w:b/>
              </w:rPr>
            </w:pPr>
            <w:r>
              <w:rPr>
                <w:rFonts w:cstheme="minorHAnsi"/>
                <w:b/>
              </w:rPr>
              <w:t xml:space="preserve">Safeguard </w:t>
            </w:r>
            <w:r w:rsidR="00504FF1">
              <w:rPr>
                <w:rFonts w:cstheme="minorHAnsi"/>
                <w:b/>
              </w:rPr>
              <w:t>M</w:t>
            </w:r>
            <w:r>
              <w:rPr>
                <w:rFonts w:cstheme="minorHAnsi"/>
                <w:b/>
              </w:rPr>
              <w:t>echanism emissions target</w:t>
            </w:r>
          </w:p>
        </w:tc>
      </w:tr>
      <w:tr w:rsidR="00EE5F90" w:rsidRPr="00F87ED6" w14:paraId="4C56328D" w14:textId="77777777" w:rsidTr="00F77C46">
        <w:trPr>
          <w:trHeight w:val="2806"/>
        </w:trPr>
        <w:tc>
          <w:tcPr>
            <w:tcW w:w="2404" w:type="dxa"/>
            <w:shd w:val="clear" w:color="auto" w:fill="auto"/>
          </w:tcPr>
          <w:p w14:paraId="0F275AEE" w14:textId="3D6FCDDA" w:rsidR="00EE5F90" w:rsidRPr="00856F20" w:rsidRDefault="000044A5" w:rsidP="000044A5">
            <w:pPr>
              <w:spacing w:before="60" w:after="60"/>
              <w:rPr>
                <w:rFonts w:cstheme="minorHAnsi"/>
              </w:rPr>
            </w:pPr>
            <w:r>
              <w:rPr>
                <w:rFonts w:cstheme="minorHAnsi"/>
              </w:rPr>
              <w:t>Safeguard Mechanism e</w:t>
            </w:r>
            <w:r w:rsidR="00EE5F90" w:rsidRPr="00856F20">
              <w:rPr>
                <w:rFonts w:cstheme="minorHAnsi"/>
              </w:rPr>
              <w:t xml:space="preserve">missions </w:t>
            </w:r>
            <w:r w:rsidR="006D37D4">
              <w:rPr>
                <w:rFonts w:cstheme="minorHAnsi"/>
              </w:rPr>
              <w:t>target</w:t>
            </w:r>
          </w:p>
        </w:tc>
        <w:tc>
          <w:tcPr>
            <w:tcW w:w="2553" w:type="dxa"/>
            <w:shd w:val="clear" w:color="auto" w:fill="auto"/>
          </w:tcPr>
          <w:p w14:paraId="73D807C4" w14:textId="77777777" w:rsidR="00EE5F90" w:rsidRPr="00856F20" w:rsidRDefault="003233ED" w:rsidP="00CF477B">
            <w:pPr>
              <w:spacing w:before="60" w:after="60"/>
              <w:jc w:val="center"/>
              <w:rPr>
                <w:rFonts w:cstheme="minorHAnsi"/>
              </w:rPr>
            </w:pPr>
            <w:r>
              <w:rPr>
                <w:rFonts w:cstheme="minorHAnsi"/>
              </w:rPr>
              <w:t>No reduction target applies to emissions from Safeguard facilities. An additional 205 Mt are emitted from Safeguard facilities relative to Options 1-3 over 2024 to 2030</w:t>
            </w:r>
          </w:p>
        </w:tc>
        <w:tc>
          <w:tcPr>
            <w:tcW w:w="7796" w:type="dxa"/>
            <w:gridSpan w:val="6"/>
            <w:shd w:val="clear" w:color="auto" w:fill="auto"/>
          </w:tcPr>
          <w:p w14:paraId="41AEE9F5" w14:textId="190227C8" w:rsidR="00EE5F90" w:rsidRPr="00F87ED6" w:rsidRDefault="00EE5F90" w:rsidP="00CF477B">
            <w:pPr>
              <w:spacing w:before="60" w:after="60"/>
              <w:jc w:val="center"/>
              <w:rPr>
                <w:rFonts w:cstheme="minorHAnsi"/>
                <w:b/>
              </w:rPr>
            </w:pPr>
            <w:r w:rsidRPr="00F87ED6">
              <w:rPr>
                <w:rFonts w:cstheme="minorHAnsi"/>
              </w:rPr>
              <w:t>Proportional share based on 2020-21</w:t>
            </w:r>
            <w:r w:rsidR="00726DEF">
              <w:rPr>
                <w:rFonts w:cstheme="minorHAnsi"/>
              </w:rPr>
              <w:t xml:space="preserve"> emissions levels</w:t>
            </w:r>
            <w:r w:rsidRPr="00F87ED6">
              <w:rPr>
                <w:rFonts w:cstheme="minorHAnsi"/>
              </w:rPr>
              <w:t xml:space="preserve"> (28</w:t>
            </w:r>
            <w:r>
              <w:rPr>
                <w:rFonts w:cstheme="minorHAnsi"/>
              </w:rPr>
              <w:t>.</w:t>
            </w:r>
            <w:r w:rsidR="008D2EE3">
              <w:rPr>
                <w:rFonts w:cstheme="minorHAnsi"/>
              </w:rPr>
              <w:t>1</w:t>
            </w:r>
            <w:r>
              <w:rPr>
                <w:rFonts w:cstheme="minorHAnsi"/>
              </w:rPr>
              <w:t>4</w:t>
            </w:r>
            <w:r w:rsidRPr="00F87ED6">
              <w:rPr>
                <w:rFonts w:cstheme="minorHAnsi"/>
              </w:rPr>
              <w:t>%</w:t>
            </w:r>
            <w:r w:rsidR="00726DEF">
              <w:rPr>
                <w:rFonts w:cstheme="minorHAnsi"/>
              </w:rPr>
              <w:t xml:space="preserve"> of national emissions</w:t>
            </w:r>
            <w:r w:rsidRPr="00F87ED6">
              <w:rPr>
                <w:rFonts w:cstheme="minorHAnsi"/>
              </w:rPr>
              <w:t xml:space="preserve"> or </w:t>
            </w:r>
            <w:r>
              <w:rPr>
                <w:rFonts w:cstheme="minorHAnsi"/>
              </w:rPr>
              <w:t>100</w:t>
            </w:r>
            <w:r w:rsidRPr="00F87ED6">
              <w:rPr>
                <w:rFonts w:cstheme="minorHAnsi"/>
              </w:rPr>
              <w:t xml:space="preserve"> Mt in 2030)</w:t>
            </w:r>
          </w:p>
        </w:tc>
        <w:tc>
          <w:tcPr>
            <w:tcW w:w="9922" w:type="dxa"/>
            <w:tcBorders>
              <w:right w:val="single" w:sz="4" w:space="0" w:color="auto"/>
            </w:tcBorders>
            <w:shd w:val="clear" w:color="auto" w:fill="auto"/>
          </w:tcPr>
          <w:p w14:paraId="6E522A4D" w14:textId="77777777" w:rsidR="00EE5F90" w:rsidRDefault="00EE5F90" w:rsidP="00EE5F90">
            <w:pPr>
              <w:pStyle w:val="ListParagraph"/>
              <w:numPr>
                <w:ilvl w:val="0"/>
                <w:numId w:val="32"/>
              </w:numPr>
              <w:spacing w:before="60" w:after="60"/>
              <w:rPr>
                <w:rFonts w:cstheme="minorHAnsi"/>
              </w:rPr>
            </w:pPr>
            <w:r w:rsidRPr="00A53698">
              <w:rPr>
                <w:rFonts w:cstheme="minorHAnsi"/>
              </w:rPr>
              <w:t xml:space="preserve">Proportional share of the national target, consistent with the Government’s revised emissions reduction target, </w:t>
            </w:r>
            <w:r>
              <w:rPr>
                <w:rFonts w:cstheme="minorHAnsi"/>
              </w:rPr>
              <w:t xml:space="preserve">the </w:t>
            </w:r>
            <w:r w:rsidRPr="008C3BA5">
              <w:rPr>
                <w:rFonts w:cstheme="minorHAnsi"/>
                <w:i/>
              </w:rPr>
              <w:t>Climate Change Act</w:t>
            </w:r>
            <w:r>
              <w:rPr>
                <w:rFonts w:cstheme="minorHAnsi"/>
              </w:rPr>
              <w:t>, Australia’s nationally determined contribution (</w:t>
            </w:r>
            <w:proofErr w:type="spellStart"/>
            <w:r>
              <w:rPr>
                <w:rFonts w:cstheme="minorHAnsi"/>
              </w:rPr>
              <w:t>NDC</w:t>
            </w:r>
            <w:proofErr w:type="spellEnd"/>
            <w:r>
              <w:rPr>
                <w:rFonts w:cstheme="minorHAnsi"/>
              </w:rPr>
              <w:t xml:space="preserve">) for 2030 </w:t>
            </w:r>
            <w:r w:rsidRPr="00A53698">
              <w:rPr>
                <w:rFonts w:cstheme="minorHAnsi"/>
              </w:rPr>
              <w:t>and commitment to achieve net zero emissions by 2050</w:t>
            </w:r>
            <w:r>
              <w:rPr>
                <w:rFonts w:cstheme="minorHAnsi"/>
              </w:rPr>
              <w:t>.</w:t>
            </w:r>
          </w:p>
          <w:p w14:paraId="612DC50E" w14:textId="77777777" w:rsidR="00EE5F90" w:rsidRDefault="00EE5F90" w:rsidP="00EE5F90">
            <w:pPr>
              <w:pStyle w:val="ListParagraph"/>
              <w:numPr>
                <w:ilvl w:val="0"/>
                <w:numId w:val="32"/>
              </w:numPr>
              <w:spacing w:before="60" w:after="60"/>
              <w:rPr>
                <w:rFonts w:cstheme="minorHAnsi"/>
              </w:rPr>
            </w:pPr>
            <w:r>
              <w:rPr>
                <w:rFonts w:cstheme="minorHAnsi"/>
              </w:rPr>
              <w:t xml:space="preserve">Consistent with the </w:t>
            </w:r>
            <w:r w:rsidRPr="00DA1B55">
              <w:rPr>
                <w:rFonts w:cstheme="minorHAnsi"/>
                <w:i/>
              </w:rPr>
              <w:t>Powering Australia</w:t>
            </w:r>
            <w:r>
              <w:rPr>
                <w:rFonts w:cstheme="minorHAnsi"/>
              </w:rPr>
              <w:t xml:space="preserve"> plan, which committed to build on the existing Safeguard </w:t>
            </w:r>
            <w:r w:rsidR="00726DEF">
              <w:rPr>
                <w:rFonts w:cstheme="minorHAnsi"/>
              </w:rPr>
              <w:t>M</w:t>
            </w:r>
            <w:r>
              <w:rPr>
                <w:rFonts w:cstheme="minorHAnsi"/>
              </w:rPr>
              <w:t>echanism to reduce industrial sector emissions.</w:t>
            </w:r>
          </w:p>
          <w:p w14:paraId="33ED984E" w14:textId="77777777" w:rsidR="00EE5F90" w:rsidRDefault="00EE5F90" w:rsidP="00EE5F90">
            <w:pPr>
              <w:pStyle w:val="ListParagraph"/>
              <w:numPr>
                <w:ilvl w:val="0"/>
                <w:numId w:val="32"/>
              </w:numPr>
              <w:spacing w:before="60" w:after="60"/>
              <w:rPr>
                <w:rFonts w:cstheme="minorHAnsi"/>
              </w:rPr>
            </w:pPr>
            <w:r>
              <w:rPr>
                <w:rFonts w:cstheme="minorHAnsi"/>
              </w:rPr>
              <w:t>Proposed reforms build on a legislated framework, in place since 2016, and therefore promote policy certainty and stability.</w:t>
            </w:r>
          </w:p>
          <w:p w14:paraId="3CF8C998" w14:textId="77777777" w:rsidR="00EE5F90" w:rsidRDefault="00EE5F90" w:rsidP="00EE5F90">
            <w:pPr>
              <w:pStyle w:val="ListParagraph"/>
              <w:numPr>
                <w:ilvl w:val="0"/>
                <w:numId w:val="32"/>
              </w:numPr>
              <w:spacing w:before="60" w:after="60"/>
              <w:rPr>
                <w:rFonts w:cstheme="minorHAnsi"/>
              </w:rPr>
            </w:pPr>
            <w:r>
              <w:rPr>
                <w:rFonts w:cstheme="minorHAnsi"/>
              </w:rPr>
              <w:t xml:space="preserve">Equitable sectoral share that minimises costs and shares the effort across the economy. </w:t>
            </w:r>
          </w:p>
          <w:p w14:paraId="2F5A9D38" w14:textId="77777777" w:rsidR="00EE5F90" w:rsidRDefault="00623223" w:rsidP="00EE5F90">
            <w:pPr>
              <w:pStyle w:val="ListParagraph"/>
              <w:numPr>
                <w:ilvl w:val="0"/>
                <w:numId w:val="32"/>
              </w:numPr>
              <w:spacing w:before="60" w:after="60"/>
              <w:rPr>
                <w:rFonts w:cstheme="minorHAnsi"/>
              </w:rPr>
            </w:pPr>
            <w:r>
              <w:rPr>
                <w:rFonts w:cstheme="minorHAnsi"/>
              </w:rPr>
              <w:t>As per inte</w:t>
            </w:r>
            <w:r w:rsidR="0070299D">
              <w:rPr>
                <w:rFonts w:cstheme="minorHAnsi"/>
              </w:rPr>
              <w:t xml:space="preserve">rnal </w:t>
            </w:r>
            <w:proofErr w:type="spellStart"/>
            <w:r w:rsidR="0070299D">
              <w:rPr>
                <w:rFonts w:cstheme="minorHAnsi"/>
              </w:rPr>
              <w:t>DCCEEW</w:t>
            </w:r>
            <w:proofErr w:type="spellEnd"/>
            <w:r w:rsidR="0070299D">
              <w:rPr>
                <w:rFonts w:cstheme="minorHAnsi"/>
              </w:rPr>
              <w:t xml:space="preserve"> analysis, the r</w:t>
            </w:r>
            <w:r w:rsidR="00EE5F90">
              <w:rPr>
                <w:rFonts w:cstheme="minorHAnsi"/>
              </w:rPr>
              <w:t>eforms will deliver</w:t>
            </w:r>
            <w:r w:rsidR="00CB2523">
              <w:rPr>
                <w:rFonts w:cstheme="minorHAnsi"/>
              </w:rPr>
              <w:t xml:space="preserve"> an estimated </w:t>
            </w:r>
            <w:r w:rsidR="00EE5F90" w:rsidRPr="00F77C46">
              <w:rPr>
                <w:rFonts w:cstheme="minorHAnsi"/>
              </w:rPr>
              <w:t>2</w:t>
            </w:r>
            <w:r w:rsidR="00CB2523">
              <w:rPr>
                <w:rFonts w:cstheme="minorHAnsi"/>
              </w:rPr>
              <w:t>0</w:t>
            </w:r>
            <w:r w:rsidR="00EE5F90" w:rsidRPr="00F77C46">
              <w:rPr>
                <w:rFonts w:cstheme="minorHAnsi"/>
              </w:rPr>
              <w:t>5</w:t>
            </w:r>
            <w:r w:rsidR="00EE5F90">
              <w:rPr>
                <w:rFonts w:cstheme="minorHAnsi"/>
              </w:rPr>
              <w:t xml:space="preserve"> million tonnes of abatement by 2030.</w:t>
            </w:r>
          </w:p>
          <w:p w14:paraId="424E2E62" w14:textId="77777777" w:rsidR="00EE5F90" w:rsidRPr="00A53698" w:rsidRDefault="00EE5F90">
            <w:pPr>
              <w:pStyle w:val="ListParagraph"/>
              <w:numPr>
                <w:ilvl w:val="0"/>
                <w:numId w:val="32"/>
              </w:numPr>
              <w:spacing w:before="60" w:after="60"/>
              <w:rPr>
                <w:rFonts w:cstheme="minorHAnsi"/>
              </w:rPr>
            </w:pPr>
            <w:r>
              <w:rPr>
                <w:rFonts w:cstheme="minorHAnsi"/>
              </w:rPr>
              <w:t xml:space="preserve">The current mechanism is not fit for purpose for achieving emissions reduction outcomes. It allowed </w:t>
            </w:r>
            <w:proofErr w:type="spellStart"/>
            <w:r>
              <w:rPr>
                <w:rFonts w:cstheme="minorHAnsi"/>
              </w:rPr>
              <w:t>BAU</w:t>
            </w:r>
            <w:proofErr w:type="spellEnd"/>
            <w:r>
              <w:rPr>
                <w:rFonts w:cstheme="minorHAnsi"/>
              </w:rPr>
              <w:t xml:space="preserve"> operations and aggregate emissions from </w:t>
            </w:r>
            <w:r w:rsidR="003326DF">
              <w:rPr>
                <w:rFonts w:cstheme="minorHAnsi"/>
              </w:rPr>
              <w:t>Safeguard</w:t>
            </w:r>
            <w:r>
              <w:rPr>
                <w:rFonts w:cstheme="minorHAnsi"/>
              </w:rPr>
              <w:t xml:space="preserve"> facilities to grow. It requires reform to deliver on emissions reduction outcomes.</w:t>
            </w:r>
          </w:p>
        </w:tc>
      </w:tr>
      <w:tr w:rsidR="00E35EC6" w:rsidRPr="00F87ED6" w14:paraId="331574DE" w14:textId="77777777" w:rsidTr="00F77C46">
        <w:trPr>
          <w:trHeight w:val="1564"/>
        </w:trPr>
        <w:tc>
          <w:tcPr>
            <w:tcW w:w="2404" w:type="dxa"/>
            <w:shd w:val="clear" w:color="auto" w:fill="auto"/>
          </w:tcPr>
          <w:p w14:paraId="21DE39F8" w14:textId="77777777" w:rsidR="00E35EC6" w:rsidRPr="00856F20" w:rsidRDefault="00E35EC6" w:rsidP="005855A8">
            <w:pPr>
              <w:spacing w:before="60" w:after="60"/>
              <w:rPr>
                <w:rFonts w:cstheme="minorHAnsi"/>
              </w:rPr>
            </w:pPr>
            <w:r>
              <w:rPr>
                <w:rFonts w:cstheme="minorHAnsi"/>
              </w:rPr>
              <w:t>Baseline d</w:t>
            </w:r>
            <w:r w:rsidRPr="00C056E8">
              <w:rPr>
                <w:rFonts w:cstheme="minorHAnsi"/>
              </w:rPr>
              <w:t>ecline trajectory</w:t>
            </w:r>
          </w:p>
        </w:tc>
        <w:tc>
          <w:tcPr>
            <w:tcW w:w="2553" w:type="dxa"/>
            <w:shd w:val="clear" w:color="auto" w:fill="auto"/>
          </w:tcPr>
          <w:p w14:paraId="6562A467" w14:textId="77777777" w:rsidR="00E35EC6" w:rsidRPr="00856F20" w:rsidRDefault="00E35EC6" w:rsidP="005855A8">
            <w:pPr>
              <w:spacing w:before="60" w:after="60"/>
              <w:jc w:val="center"/>
              <w:rPr>
                <w:rFonts w:cstheme="minorHAnsi"/>
              </w:rPr>
            </w:pPr>
            <w:r w:rsidRPr="00F87ED6">
              <w:rPr>
                <w:rFonts w:cstheme="minorHAnsi"/>
              </w:rPr>
              <w:t>n/a</w:t>
            </w:r>
          </w:p>
        </w:tc>
        <w:tc>
          <w:tcPr>
            <w:tcW w:w="5244" w:type="dxa"/>
            <w:gridSpan w:val="5"/>
            <w:shd w:val="clear" w:color="auto" w:fill="auto"/>
          </w:tcPr>
          <w:p w14:paraId="1449DDEF" w14:textId="77777777" w:rsidR="00E35EC6" w:rsidRDefault="00E35EC6" w:rsidP="00F77C46">
            <w:pPr>
              <w:spacing w:before="60" w:after="60"/>
              <w:jc w:val="center"/>
            </w:pPr>
            <w:r w:rsidRPr="00816AA2">
              <w:rPr>
                <w:rFonts w:cstheme="minorHAnsi"/>
              </w:rPr>
              <w:t>Linear decline of 4.9% each year (which incorporates a reserve to account for new entrants and uncertainty in production)</w:t>
            </w:r>
          </w:p>
        </w:tc>
        <w:tc>
          <w:tcPr>
            <w:tcW w:w="2552" w:type="dxa"/>
            <w:shd w:val="clear" w:color="auto" w:fill="auto"/>
          </w:tcPr>
          <w:p w14:paraId="70D3DD7B" w14:textId="0934BD24" w:rsidR="00E35EC6" w:rsidRDefault="00E35EC6" w:rsidP="00E35EC6">
            <w:pPr>
              <w:pStyle w:val="ListParagraph"/>
              <w:numPr>
                <w:ilvl w:val="0"/>
                <w:numId w:val="36"/>
              </w:numPr>
              <w:spacing w:before="60" w:after="60"/>
              <w:rPr>
                <w:rFonts w:cstheme="minorHAnsi"/>
              </w:rPr>
            </w:pPr>
            <w:r w:rsidRPr="00816AA2">
              <w:rPr>
                <w:rFonts w:cstheme="minorHAnsi"/>
              </w:rPr>
              <w:t>L</w:t>
            </w:r>
            <w:r>
              <w:rPr>
                <w:rFonts w:cstheme="minorHAnsi"/>
              </w:rPr>
              <w:t>inear decline of 4.9% each year</w:t>
            </w:r>
            <w:r w:rsidR="00C91B0E">
              <w:rPr>
                <w:rFonts w:cstheme="minorHAnsi"/>
              </w:rPr>
              <w:t>, includes a reserve</w:t>
            </w:r>
          </w:p>
          <w:p w14:paraId="038EEFDE" w14:textId="0BA05097" w:rsidR="00E35EC6" w:rsidRPr="00B748D0" w:rsidRDefault="00E35EC6" w:rsidP="001D1845">
            <w:pPr>
              <w:pStyle w:val="ListParagraph"/>
              <w:numPr>
                <w:ilvl w:val="0"/>
                <w:numId w:val="36"/>
              </w:numPr>
              <w:spacing w:before="60" w:after="60"/>
              <w:rPr>
                <w:rFonts w:cstheme="minorHAnsi"/>
              </w:rPr>
            </w:pPr>
            <w:r w:rsidRPr="00816AA2">
              <w:rPr>
                <w:rFonts w:cstheme="minorHAnsi"/>
              </w:rPr>
              <w:t xml:space="preserve">Decline rates for 2030-2035 </w:t>
            </w:r>
            <w:r>
              <w:rPr>
                <w:rFonts w:cstheme="minorHAnsi"/>
              </w:rPr>
              <w:t xml:space="preserve">to </w:t>
            </w:r>
            <w:r w:rsidRPr="00816AA2">
              <w:rPr>
                <w:rFonts w:cstheme="minorHAnsi"/>
              </w:rPr>
              <w:t>be subject of review in 2026</w:t>
            </w:r>
            <w:r w:rsidR="00726DEF">
              <w:rPr>
                <w:rFonts w:cstheme="minorHAnsi"/>
              </w:rPr>
              <w:t>-27</w:t>
            </w:r>
            <w:r w:rsidRPr="00816AA2">
              <w:rPr>
                <w:rFonts w:cstheme="minorHAnsi"/>
              </w:rPr>
              <w:t xml:space="preserve"> following </w:t>
            </w:r>
            <w:proofErr w:type="spellStart"/>
            <w:r w:rsidRPr="00816AA2">
              <w:rPr>
                <w:rFonts w:cstheme="minorHAnsi"/>
              </w:rPr>
              <w:t>NDC</w:t>
            </w:r>
            <w:proofErr w:type="spellEnd"/>
            <w:r w:rsidRPr="00816AA2">
              <w:rPr>
                <w:rFonts w:cstheme="minorHAnsi"/>
              </w:rPr>
              <w:t xml:space="preserve"> update, and made by 1 July 2027</w:t>
            </w:r>
            <w:r>
              <w:rPr>
                <w:rFonts w:cstheme="minorHAnsi"/>
              </w:rPr>
              <w:t>.</w:t>
            </w:r>
          </w:p>
        </w:tc>
        <w:tc>
          <w:tcPr>
            <w:tcW w:w="9922" w:type="dxa"/>
            <w:tcBorders>
              <w:right w:val="single" w:sz="4" w:space="0" w:color="auto"/>
            </w:tcBorders>
            <w:shd w:val="clear" w:color="auto" w:fill="auto"/>
          </w:tcPr>
          <w:p w14:paraId="1D94D1A5" w14:textId="599CF5F4" w:rsidR="00E35EC6" w:rsidRPr="00C416FD" w:rsidRDefault="00E35EC6" w:rsidP="005855A8">
            <w:pPr>
              <w:pStyle w:val="ListParagraph"/>
              <w:numPr>
                <w:ilvl w:val="0"/>
                <w:numId w:val="32"/>
              </w:numPr>
              <w:spacing w:before="60" w:after="60"/>
              <w:rPr>
                <w:rFonts w:cstheme="minorHAnsi"/>
              </w:rPr>
            </w:pPr>
            <w:r w:rsidRPr="00C416FD">
              <w:rPr>
                <w:rFonts w:cstheme="minorHAnsi"/>
              </w:rPr>
              <w:t>Existing and new facilities will be subject to an annual decline rate</w:t>
            </w:r>
            <w:r w:rsidR="006B2D03">
              <w:rPr>
                <w:rFonts w:cstheme="minorHAnsi"/>
              </w:rPr>
              <w:t xml:space="preserve">, and therefore limit their exposure to increased capital risk premiums and measures such as </w:t>
            </w:r>
            <w:r w:rsidR="00B72727">
              <w:rPr>
                <w:rFonts w:cstheme="minorHAnsi"/>
              </w:rPr>
              <w:t xml:space="preserve">a </w:t>
            </w:r>
            <w:r w:rsidR="00392B17">
              <w:rPr>
                <w:rFonts w:cstheme="minorHAnsi"/>
              </w:rPr>
              <w:t>carbon border adjustment mechanism (</w:t>
            </w:r>
            <w:proofErr w:type="spellStart"/>
            <w:r w:rsidR="006B2D03">
              <w:rPr>
                <w:rFonts w:cstheme="minorHAnsi"/>
              </w:rPr>
              <w:t>CBAM</w:t>
            </w:r>
            <w:proofErr w:type="spellEnd"/>
            <w:r w:rsidR="00392B17">
              <w:rPr>
                <w:rFonts w:cstheme="minorHAnsi"/>
              </w:rPr>
              <w:t>)</w:t>
            </w:r>
            <w:r w:rsidRPr="00C416FD">
              <w:rPr>
                <w:rFonts w:cstheme="minorHAnsi"/>
              </w:rPr>
              <w:t xml:space="preserve">. </w:t>
            </w:r>
          </w:p>
          <w:p w14:paraId="713B710B" w14:textId="77777777" w:rsidR="00E35EC6" w:rsidRDefault="00E35EC6" w:rsidP="005855A8">
            <w:pPr>
              <w:pStyle w:val="ListParagraph"/>
              <w:numPr>
                <w:ilvl w:val="0"/>
                <w:numId w:val="32"/>
              </w:numPr>
              <w:spacing w:before="60" w:after="60"/>
              <w:rPr>
                <w:rFonts w:cstheme="minorHAnsi"/>
              </w:rPr>
            </w:pPr>
            <w:r w:rsidRPr="00C416FD">
              <w:rPr>
                <w:rFonts w:cstheme="minorHAnsi"/>
              </w:rPr>
              <w:t>To ensure compliance, Safeguard businesses will invest in low-emissions technologies and/or other compliance options (SMC/</w:t>
            </w:r>
            <w:proofErr w:type="spellStart"/>
            <w:r w:rsidRPr="00C416FD">
              <w:rPr>
                <w:rFonts w:cstheme="minorHAnsi"/>
              </w:rPr>
              <w:t>ACCU</w:t>
            </w:r>
            <w:proofErr w:type="spellEnd"/>
            <w:r w:rsidRPr="00C416FD">
              <w:rPr>
                <w:rFonts w:cstheme="minorHAnsi"/>
              </w:rPr>
              <w:t xml:space="preserve"> purchase)</w:t>
            </w:r>
            <w:r>
              <w:rPr>
                <w:rFonts w:cstheme="minorHAnsi"/>
              </w:rPr>
              <w:t>.</w:t>
            </w:r>
          </w:p>
          <w:p w14:paraId="106CA57D" w14:textId="77777777" w:rsidR="00E35EC6" w:rsidRPr="00A53698" w:rsidRDefault="00F80E4C" w:rsidP="00F80E4C">
            <w:pPr>
              <w:pStyle w:val="ListParagraph"/>
              <w:numPr>
                <w:ilvl w:val="0"/>
                <w:numId w:val="32"/>
              </w:numPr>
              <w:spacing w:before="60" w:after="60"/>
              <w:rPr>
                <w:rFonts w:cstheme="minorHAnsi"/>
              </w:rPr>
            </w:pPr>
            <w:r>
              <w:rPr>
                <w:rFonts w:cstheme="minorHAnsi"/>
              </w:rPr>
              <w:t>R</w:t>
            </w:r>
            <w:r w:rsidR="00E35EC6">
              <w:rPr>
                <w:rFonts w:cstheme="minorHAnsi"/>
              </w:rPr>
              <w:t xml:space="preserve">eview </w:t>
            </w:r>
            <w:r>
              <w:rPr>
                <w:rFonts w:cstheme="minorHAnsi"/>
              </w:rPr>
              <w:t xml:space="preserve">proposed </w:t>
            </w:r>
            <w:r w:rsidR="00E35EC6">
              <w:rPr>
                <w:rFonts w:cstheme="minorHAnsi"/>
              </w:rPr>
              <w:t>i</w:t>
            </w:r>
            <w:r w:rsidR="00485C43">
              <w:rPr>
                <w:rFonts w:cstheme="minorHAnsi"/>
              </w:rPr>
              <w:t>n</w:t>
            </w:r>
            <w:r w:rsidR="00E35EC6">
              <w:rPr>
                <w:rFonts w:cstheme="minorHAnsi"/>
              </w:rPr>
              <w:t xml:space="preserve"> 2026</w:t>
            </w:r>
            <w:r w:rsidR="00726DEF">
              <w:rPr>
                <w:rFonts w:cstheme="minorHAnsi"/>
              </w:rPr>
              <w:t>-27</w:t>
            </w:r>
            <w:r w:rsidR="00566669">
              <w:rPr>
                <w:rFonts w:cstheme="minorHAnsi"/>
              </w:rPr>
              <w:t xml:space="preserve"> in Option 3</w:t>
            </w:r>
            <w:r w:rsidR="00E35EC6">
              <w:rPr>
                <w:rFonts w:cstheme="minorHAnsi"/>
              </w:rPr>
              <w:t>, which presents an opportunity to reassess baseline decline rates, to align better with emissions reduction targets (point target and emissions budget).</w:t>
            </w:r>
          </w:p>
        </w:tc>
      </w:tr>
      <w:tr w:rsidR="005855A8" w:rsidRPr="00F87ED6" w14:paraId="4FC83E7D" w14:textId="77777777" w:rsidTr="00CF477B">
        <w:trPr>
          <w:trHeight w:val="73"/>
        </w:trPr>
        <w:tc>
          <w:tcPr>
            <w:tcW w:w="22675" w:type="dxa"/>
            <w:gridSpan w:val="9"/>
            <w:tcBorders>
              <w:right w:val="single" w:sz="4" w:space="0" w:color="auto"/>
            </w:tcBorders>
            <w:shd w:val="clear" w:color="auto" w:fill="F2F2F2" w:themeFill="background1" w:themeFillShade="F2"/>
          </w:tcPr>
          <w:p w14:paraId="593134ED" w14:textId="77777777" w:rsidR="005855A8" w:rsidRPr="00856F20" w:rsidRDefault="005855A8" w:rsidP="005855A8">
            <w:pPr>
              <w:spacing w:before="60" w:after="60"/>
              <w:jc w:val="center"/>
              <w:rPr>
                <w:rFonts w:cstheme="minorHAnsi"/>
                <w:b/>
              </w:rPr>
            </w:pPr>
            <w:r>
              <w:rPr>
                <w:rFonts w:cstheme="minorHAnsi"/>
                <w:b/>
              </w:rPr>
              <w:t>Implementation and evaluation</w:t>
            </w:r>
          </w:p>
        </w:tc>
      </w:tr>
      <w:tr w:rsidR="005855A8" w:rsidRPr="00F87ED6" w14:paraId="29420E72" w14:textId="77777777" w:rsidTr="00F77C46">
        <w:trPr>
          <w:trHeight w:val="73"/>
        </w:trPr>
        <w:tc>
          <w:tcPr>
            <w:tcW w:w="2404" w:type="dxa"/>
            <w:tcBorders>
              <w:right w:val="single" w:sz="4" w:space="0" w:color="auto"/>
            </w:tcBorders>
            <w:shd w:val="clear" w:color="auto" w:fill="auto"/>
          </w:tcPr>
          <w:p w14:paraId="50122BCF" w14:textId="77777777" w:rsidR="005855A8" w:rsidRPr="00856F20" w:rsidRDefault="005855A8" w:rsidP="005855A8">
            <w:pPr>
              <w:spacing w:before="60" w:after="60"/>
              <w:rPr>
                <w:rFonts w:cstheme="minorHAnsi"/>
              </w:rPr>
            </w:pPr>
            <w:r>
              <w:rPr>
                <w:rFonts w:cstheme="minorHAnsi"/>
              </w:rPr>
              <w:t>R</w:t>
            </w:r>
            <w:r w:rsidRPr="00856F20">
              <w:rPr>
                <w:rFonts w:cstheme="minorHAnsi"/>
              </w:rPr>
              <w:t>eform delivery</w:t>
            </w:r>
          </w:p>
        </w:tc>
        <w:tc>
          <w:tcPr>
            <w:tcW w:w="2553" w:type="dxa"/>
            <w:tcBorders>
              <w:right w:val="single" w:sz="4" w:space="0" w:color="auto"/>
            </w:tcBorders>
            <w:shd w:val="clear" w:color="auto" w:fill="auto"/>
          </w:tcPr>
          <w:p w14:paraId="64277B57" w14:textId="77777777" w:rsidR="005855A8" w:rsidRPr="00856F20" w:rsidRDefault="005855A8" w:rsidP="005855A8">
            <w:pPr>
              <w:spacing w:before="60" w:after="60"/>
              <w:jc w:val="center"/>
              <w:rPr>
                <w:rFonts w:cstheme="minorHAnsi"/>
              </w:rPr>
            </w:pPr>
            <w:r w:rsidRPr="00856F20">
              <w:rPr>
                <w:rFonts w:cstheme="minorHAnsi"/>
              </w:rPr>
              <w:t>n/a</w:t>
            </w:r>
          </w:p>
        </w:tc>
        <w:tc>
          <w:tcPr>
            <w:tcW w:w="5244" w:type="dxa"/>
            <w:gridSpan w:val="5"/>
            <w:tcBorders>
              <w:right w:val="single" w:sz="4" w:space="0" w:color="auto"/>
            </w:tcBorders>
            <w:shd w:val="clear" w:color="auto" w:fill="auto"/>
          </w:tcPr>
          <w:p w14:paraId="59B39BF6" w14:textId="77777777" w:rsidR="005855A8" w:rsidRDefault="005855A8" w:rsidP="005855A8">
            <w:pPr>
              <w:pStyle w:val="ListParagraph"/>
              <w:numPr>
                <w:ilvl w:val="0"/>
                <w:numId w:val="33"/>
              </w:numPr>
              <w:spacing w:before="60" w:after="60"/>
              <w:rPr>
                <w:rFonts w:cstheme="minorHAnsi"/>
              </w:rPr>
            </w:pPr>
            <w:r w:rsidRPr="00B7227E">
              <w:rPr>
                <w:rFonts w:cstheme="minorHAnsi"/>
              </w:rPr>
              <w:t xml:space="preserve">Phase 1 (2 years from FY 24 to FY 25) transition commencing </w:t>
            </w:r>
            <w:r>
              <w:rPr>
                <w:rFonts w:cstheme="minorHAnsi"/>
              </w:rPr>
              <w:t xml:space="preserve"> 1 July 2023</w:t>
            </w:r>
          </w:p>
          <w:p w14:paraId="5A7300A9" w14:textId="77777777" w:rsidR="005855A8" w:rsidRPr="00B7227E" w:rsidRDefault="005855A8" w:rsidP="005855A8">
            <w:pPr>
              <w:pStyle w:val="ListParagraph"/>
              <w:numPr>
                <w:ilvl w:val="0"/>
                <w:numId w:val="33"/>
              </w:numPr>
              <w:spacing w:before="60" w:after="60"/>
              <w:rPr>
                <w:rFonts w:cstheme="minorHAnsi"/>
              </w:rPr>
            </w:pPr>
            <w:r w:rsidRPr="00B7227E">
              <w:rPr>
                <w:rFonts w:cstheme="minorHAnsi"/>
              </w:rPr>
              <w:t>Phase 2 (5 years from FY 26 to FY 30) changes commence in full on 1 July 2025</w:t>
            </w:r>
          </w:p>
        </w:tc>
        <w:tc>
          <w:tcPr>
            <w:tcW w:w="2552" w:type="dxa"/>
            <w:tcBorders>
              <w:right w:val="single" w:sz="4" w:space="0" w:color="auto"/>
            </w:tcBorders>
            <w:shd w:val="clear" w:color="auto" w:fill="auto"/>
          </w:tcPr>
          <w:p w14:paraId="08ED3A80" w14:textId="77777777" w:rsidR="00726DEF" w:rsidRPr="00F77C46" w:rsidRDefault="00726DEF" w:rsidP="005855A8">
            <w:pPr>
              <w:pStyle w:val="ListParagraph"/>
              <w:numPr>
                <w:ilvl w:val="0"/>
                <w:numId w:val="34"/>
              </w:numPr>
              <w:spacing w:before="60" w:after="60"/>
              <w:rPr>
                <w:rFonts w:cstheme="minorHAnsi"/>
                <w:b/>
              </w:rPr>
            </w:pPr>
            <w:r>
              <w:rPr>
                <w:rFonts w:cstheme="minorHAnsi"/>
              </w:rPr>
              <w:t xml:space="preserve">Policy settings </w:t>
            </w:r>
            <w:r w:rsidR="005855A8">
              <w:rPr>
                <w:rFonts w:cstheme="minorHAnsi"/>
              </w:rPr>
              <w:t>r</w:t>
            </w:r>
            <w:r w:rsidR="005855A8" w:rsidRPr="00B7227E">
              <w:rPr>
                <w:rFonts w:cstheme="minorHAnsi"/>
              </w:rPr>
              <w:t xml:space="preserve">eview in </w:t>
            </w:r>
            <w:r w:rsidR="003326DF">
              <w:rPr>
                <w:rFonts w:cstheme="minorHAnsi"/>
              </w:rPr>
              <w:t>2026-27</w:t>
            </w:r>
          </w:p>
          <w:p w14:paraId="0FE9F195" w14:textId="77777777" w:rsidR="005855A8" w:rsidRPr="00A8565D" w:rsidRDefault="00726DEF" w:rsidP="005855A8">
            <w:pPr>
              <w:pStyle w:val="ListParagraph"/>
              <w:numPr>
                <w:ilvl w:val="0"/>
                <w:numId w:val="34"/>
              </w:numPr>
              <w:spacing w:before="60" w:after="60"/>
              <w:rPr>
                <w:rFonts w:cstheme="minorHAnsi"/>
                <w:b/>
              </w:rPr>
            </w:pPr>
            <w:r>
              <w:rPr>
                <w:rFonts w:cstheme="minorHAnsi"/>
              </w:rPr>
              <w:t xml:space="preserve">Periodic baseline setting review every 5 y commencing in </w:t>
            </w:r>
            <w:r w:rsidR="003326DF">
              <w:rPr>
                <w:rFonts w:cstheme="minorHAnsi"/>
              </w:rPr>
              <w:t>2026-27</w:t>
            </w:r>
          </w:p>
        </w:tc>
        <w:tc>
          <w:tcPr>
            <w:tcW w:w="9922" w:type="dxa"/>
            <w:tcBorders>
              <w:right w:val="single" w:sz="4" w:space="0" w:color="auto"/>
            </w:tcBorders>
            <w:shd w:val="clear" w:color="auto" w:fill="auto"/>
          </w:tcPr>
          <w:p w14:paraId="1CE593A2" w14:textId="77777777" w:rsidR="005855A8" w:rsidRDefault="005855A8" w:rsidP="005855A8">
            <w:pPr>
              <w:pStyle w:val="ListParagraph"/>
              <w:numPr>
                <w:ilvl w:val="0"/>
                <w:numId w:val="32"/>
              </w:numPr>
              <w:spacing w:before="60" w:after="60"/>
              <w:rPr>
                <w:rFonts w:cstheme="minorHAnsi"/>
              </w:rPr>
            </w:pPr>
            <w:r>
              <w:rPr>
                <w:rFonts w:cstheme="minorHAnsi"/>
              </w:rPr>
              <w:t xml:space="preserve">Under Option 1 and Option 2, </w:t>
            </w:r>
            <w:r w:rsidR="00D46FFE">
              <w:rPr>
                <w:rFonts w:cstheme="minorHAnsi"/>
              </w:rPr>
              <w:t xml:space="preserve">the </w:t>
            </w:r>
            <w:r>
              <w:rPr>
                <w:rFonts w:cstheme="minorHAnsi"/>
              </w:rPr>
              <w:t>r</w:t>
            </w:r>
            <w:r w:rsidRPr="00FD3A52">
              <w:rPr>
                <w:rFonts w:cstheme="minorHAnsi"/>
              </w:rPr>
              <w:t>eforms</w:t>
            </w:r>
            <w:r>
              <w:rPr>
                <w:rFonts w:cstheme="minorHAnsi"/>
              </w:rPr>
              <w:t xml:space="preserve"> </w:t>
            </w:r>
            <w:r w:rsidR="00D46FFE">
              <w:rPr>
                <w:rFonts w:cstheme="minorHAnsi"/>
              </w:rPr>
              <w:t>were proposed</w:t>
            </w:r>
            <w:r>
              <w:rPr>
                <w:rFonts w:cstheme="minorHAnsi"/>
              </w:rPr>
              <w:t xml:space="preserve"> </w:t>
            </w:r>
            <w:r w:rsidRPr="00FD3A52">
              <w:rPr>
                <w:rFonts w:cstheme="minorHAnsi"/>
              </w:rPr>
              <w:t xml:space="preserve">to be delivered in a phased manner, with Phase 1 allowing </w:t>
            </w:r>
            <w:r>
              <w:rPr>
                <w:rFonts w:cstheme="minorHAnsi"/>
              </w:rPr>
              <w:t xml:space="preserve">the </w:t>
            </w:r>
            <w:r w:rsidRPr="00FD3A52">
              <w:rPr>
                <w:rFonts w:cstheme="minorHAnsi"/>
              </w:rPr>
              <w:t xml:space="preserve">Government to work with </w:t>
            </w:r>
            <w:r w:rsidR="00D46FFE">
              <w:rPr>
                <w:rFonts w:cstheme="minorHAnsi"/>
              </w:rPr>
              <w:t>facilities</w:t>
            </w:r>
            <w:r w:rsidRPr="00FD3A52">
              <w:rPr>
                <w:rFonts w:cstheme="minorHAnsi"/>
              </w:rPr>
              <w:t xml:space="preserve"> to smooth out operational issues</w:t>
            </w:r>
            <w:r w:rsidR="00D46FFE">
              <w:rPr>
                <w:rFonts w:cstheme="minorHAnsi"/>
              </w:rPr>
              <w:t xml:space="preserve"> if needed</w:t>
            </w:r>
            <w:r w:rsidRPr="00FD3A52">
              <w:rPr>
                <w:rFonts w:cstheme="minorHAnsi"/>
              </w:rPr>
              <w:t>.</w:t>
            </w:r>
          </w:p>
          <w:p w14:paraId="2E5D71AA" w14:textId="77777777" w:rsidR="005855A8" w:rsidRDefault="00566669" w:rsidP="005855A8">
            <w:pPr>
              <w:pStyle w:val="ListParagraph"/>
              <w:numPr>
                <w:ilvl w:val="0"/>
                <w:numId w:val="32"/>
              </w:numPr>
              <w:spacing w:before="60" w:after="60"/>
              <w:rPr>
                <w:rFonts w:cstheme="minorHAnsi"/>
              </w:rPr>
            </w:pPr>
            <w:r>
              <w:rPr>
                <w:rFonts w:cstheme="minorHAnsi"/>
              </w:rPr>
              <w:t xml:space="preserve">Some </w:t>
            </w:r>
            <w:r w:rsidR="005855A8">
              <w:rPr>
                <w:rFonts w:cstheme="minorHAnsi"/>
              </w:rPr>
              <w:t>Safeguard businesses expressed concerns around</w:t>
            </w:r>
            <w:r w:rsidR="00D46FFE">
              <w:rPr>
                <w:rFonts w:cstheme="minorHAnsi"/>
              </w:rPr>
              <w:t xml:space="preserve"> the</w:t>
            </w:r>
            <w:r w:rsidR="005855A8">
              <w:rPr>
                <w:rFonts w:cstheme="minorHAnsi"/>
              </w:rPr>
              <w:t xml:space="preserve"> </w:t>
            </w:r>
            <w:r w:rsidR="00D46FFE">
              <w:rPr>
                <w:rFonts w:cstheme="minorHAnsi"/>
              </w:rPr>
              <w:t>timing</w:t>
            </w:r>
            <w:r w:rsidR="005855A8" w:rsidDel="00D46FFE">
              <w:rPr>
                <w:rFonts w:cstheme="minorHAnsi"/>
              </w:rPr>
              <w:t xml:space="preserve"> </w:t>
            </w:r>
            <w:r w:rsidR="005855A8">
              <w:rPr>
                <w:rFonts w:cstheme="minorHAnsi"/>
              </w:rPr>
              <w:t xml:space="preserve">of </w:t>
            </w:r>
            <w:r w:rsidR="00D46FFE">
              <w:rPr>
                <w:rFonts w:cstheme="minorHAnsi"/>
              </w:rPr>
              <w:t xml:space="preserve">the </w:t>
            </w:r>
            <w:r w:rsidR="005855A8">
              <w:rPr>
                <w:rFonts w:cstheme="minorHAnsi"/>
              </w:rPr>
              <w:t xml:space="preserve">reforms </w:t>
            </w:r>
            <w:r w:rsidR="00D46FFE">
              <w:rPr>
                <w:rFonts w:cstheme="minorHAnsi"/>
              </w:rPr>
              <w:t xml:space="preserve">and 1 July 2023 start date. </w:t>
            </w:r>
          </w:p>
          <w:p w14:paraId="51DE48FE" w14:textId="65F64697" w:rsidR="005855A8" w:rsidRDefault="005855A8" w:rsidP="005855A8">
            <w:pPr>
              <w:pStyle w:val="ListParagraph"/>
              <w:numPr>
                <w:ilvl w:val="0"/>
                <w:numId w:val="32"/>
              </w:numPr>
              <w:spacing w:before="60" w:after="60"/>
              <w:rPr>
                <w:rFonts w:cstheme="minorHAnsi"/>
              </w:rPr>
            </w:pPr>
            <w:r>
              <w:rPr>
                <w:rFonts w:cstheme="minorHAnsi"/>
              </w:rPr>
              <w:t xml:space="preserve">Option 3 addresses concerns raised by </w:t>
            </w:r>
            <w:r w:rsidR="00D46FFE">
              <w:rPr>
                <w:rFonts w:cstheme="minorHAnsi"/>
              </w:rPr>
              <w:t>S</w:t>
            </w:r>
            <w:r>
              <w:rPr>
                <w:rFonts w:cstheme="minorHAnsi"/>
              </w:rPr>
              <w:t xml:space="preserve">afeguard businesses by introducing a review of the </w:t>
            </w:r>
            <w:r w:rsidR="00D46FFE">
              <w:rPr>
                <w:rFonts w:cstheme="minorHAnsi"/>
              </w:rPr>
              <w:t>initial policy settings</w:t>
            </w:r>
            <w:r>
              <w:rPr>
                <w:rFonts w:cstheme="minorHAnsi"/>
              </w:rPr>
              <w:t xml:space="preserve"> in 2026</w:t>
            </w:r>
            <w:r w:rsidR="003326DF">
              <w:rPr>
                <w:rFonts w:cstheme="minorHAnsi"/>
              </w:rPr>
              <w:t>-27</w:t>
            </w:r>
            <w:r>
              <w:rPr>
                <w:rFonts w:cstheme="minorHAnsi"/>
              </w:rPr>
              <w:t xml:space="preserve">, to assess </w:t>
            </w:r>
            <w:r w:rsidR="006010FD">
              <w:rPr>
                <w:rFonts w:cstheme="minorHAnsi"/>
              </w:rPr>
              <w:t xml:space="preserve">the </w:t>
            </w:r>
            <w:r w:rsidR="006D37D4">
              <w:rPr>
                <w:rFonts w:cstheme="minorHAnsi"/>
              </w:rPr>
              <w:t xml:space="preserve">initial </w:t>
            </w:r>
            <w:r>
              <w:rPr>
                <w:rFonts w:cstheme="minorHAnsi"/>
              </w:rPr>
              <w:t xml:space="preserve">reform impacts, and to ensure policy settings are appropriately calibrated. </w:t>
            </w:r>
            <w:r w:rsidR="006D37D4">
              <w:t>The review will consider, among other things, the initial impacts of resetting and declining baselines, including the costs and availability of domestic offsets; the appropriate treatment of international units; the suitability of arrangements for emissions-intensive, trade-exposed activities; whether the cost containment measure is sufficient; and treatment of flexibility mechanisms beyond 2030, such as banking and borrowing and multi-year monitoring periods.</w:t>
            </w:r>
            <w:r w:rsidR="006F1EB5">
              <w:t xml:space="preserve"> Internal</w:t>
            </w:r>
            <w:r w:rsidR="006F1EB5" w:rsidDel="00566669">
              <w:t xml:space="preserve"> </w:t>
            </w:r>
            <w:r w:rsidR="00566669">
              <w:t>assessment</w:t>
            </w:r>
            <w:r w:rsidR="006F1EB5">
              <w:t xml:space="preserve"> found that</w:t>
            </w:r>
            <w:r w:rsidR="002917B2">
              <w:t xml:space="preserve"> a</w:t>
            </w:r>
            <w:r w:rsidR="006F1EB5">
              <w:t xml:space="preserve"> phased approach (as suggested in the </w:t>
            </w:r>
            <w:r w:rsidR="00C91B0E">
              <w:t>Consultation P</w:t>
            </w:r>
            <w:r w:rsidR="006F1EB5">
              <w:t>aper) is not required as proposed policy settings remove headroom and baselines decline from 2023-2024.</w:t>
            </w:r>
          </w:p>
          <w:p w14:paraId="57A327FE" w14:textId="77777777" w:rsidR="005855A8" w:rsidRPr="00FD3A52" w:rsidRDefault="005855A8" w:rsidP="006010FD">
            <w:pPr>
              <w:pStyle w:val="ListParagraph"/>
              <w:numPr>
                <w:ilvl w:val="0"/>
                <w:numId w:val="32"/>
              </w:numPr>
              <w:spacing w:before="60" w:after="60"/>
              <w:rPr>
                <w:rFonts w:cstheme="minorHAnsi"/>
              </w:rPr>
            </w:pPr>
            <w:r>
              <w:rPr>
                <w:rFonts w:cstheme="minorHAnsi"/>
              </w:rPr>
              <w:t xml:space="preserve">Under all </w:t>
            </w:r>
            <w:r w:rsidR="006010FD">
              <w:rPr>
                <w:rFonts w:cstheme="minorHAnsi"/>
              </w:rPr>
              <w:t>r</w:t>
            </w:r>
            <w:r>
              <w:rPr>
                <w:rFonts w:cstheme="minorHAnsi"/>
              </w:rPr>
              <w:t xml:space="preserve">eform Options (1-3), existing/new entrant </w:t>
            </w:r>
            <w:r w:rsidR="006010FD">
              <w:rPr>
                <w:rFonts w:cstheme="minorHAnsi"/>
              </w:rPr>
              <w:t>S</w:t>
            </w:r>
            <w:r>
              <w:rPr>
                <w:rFonts w:cstheme="minorHAnsi"/>
              </w:rPr>
              <w:t xml:space="preserve">afeguard businesses will incur costs to </w:t>
            </w:r>
            <w:r w:rsidR="006010FD">
              <w:rPr>
                <w:rFonts w:cstheme="minorHAnsi"/>
              </w:rPr>
              <w:t xml:space="preserve">prepare for the </w:t>
            </w:r>
            <w:r>
              <w:rPr>
                <w:rFonts w:cstheme="minorHAnsi"/>
              </w:rPr>
              <w:t>reforms</w:t>
            </w:r>
            <w:r w:rsidR="006010FD">
              <w:rPr>
                <w:rFonts w:cstheme="minorHAnsi"/>
              </w:rPr>
              <w:t xml:space="preserve"> and</w:t>
            </w:r>
            <w:r>
              <w:rPr>
                <w:rFonts w:cstheme="minorHAnsi"/>
              </w:rPr>
              <w:t xml:space="preserve"> train personnel for </w:t>
            </w:r>
            <w:r w:rsidR="006D37D4">
              <w:rPr>
                <w:rFonts w:cstheme="minorHAnsi"/>
              </w:rPr>
              <w:t xml:space="preserve">meeting and operationalising </w:t>
            </w:r>
            <w:r>
              <w:rPr>
                <w:rFonts w:cstheme="minorHAnsi"/>
              </w:rPr>
              <w:t>compliance</w:t>
            </w:r>
            <w:r w:rsidR="006D37D4">
              <w:rPr>
                <w:rFonts w:cstheme="minorHAnsi"/>
              </w:rPr>
              <w:t xml:space="preserve"> requirements</w:t>
            </w:r>
            <w:r w:rsidR="009D4702">
              <w:rPr>
                <w:rFonts w:cstheme="minorHAnsi"/>
              </w:rPr>
              <w:t xml:space="preserve"> for baseline declines, flexible compliance options, </w:t>
            </w:r>
            <w:r w:rsidR="00566669">
              <w:rPr>
                <w:rFonts w:cstheme="minorHAnsi"/>
              </w:rPr>
              <w:t xml:space="preserve">and </w:t>
            </w:r>
            <w:proofErr w:type="spellStart"/>
            <w:r w:rsidR="009D4702">
              <w:rPr>
                <w:rFonts w:cstheme="minorHAnsi"/>
              </w:rPr>
              <w:t>EITE</w:t>
            </w:r>
            <w:proofErr w:type="spellEnd"/>
            <w:r w:rsidR="009D4702">
              <w:rPr>
                <w:rFonts w:cstheme="minorHAnsi"/>
              </w:rPr>
              <w:t xml:space="preserve"> designation</w:t>
            </w:r>
            <w:r>
              <w:rPr>
                <w:rFonts w:cstheme="minorHAnsi"/>
              </w:rPr>
              <w:t>.</w:t>
            </w:r>
          </w:p>
        </w:tc>
      </w:tr>
      <w:tr w:rsidR="005855A8" w:rsidRPr="00F87ED6" w14:paraId="7F75B95F" w14:textId="77777777" w:rsidTr="00CF477B">
        <w:trPr>
          <w:trHeight w:val="73"/>
        </w:trPr>
        <w:tc>
          <w:tcPr>
            <w:tcW w:w="22675" w:type="dxa"/>
            <w:gridSpan w:val="9"/>
            <w:tcBorders>
              <w:right w:val="single" w:sz="4" w:space="0" w:color="auto"/>
            </w:tcBorders>
            <w:shd w:val="clear" w:color="auto" w:fill="F2F2F2" w:themeFill="background1" w:themeFillShade="F2"/>
          </w:tcPr>
          <w:p w14:paraId="6630F6B7" w14:textId="77777777" w:rsidR="005855A8" w:rsidRPr="00856F20" w:rsidRDefault="005855A8" w:rsidP="005855A8">
            <w:pPr>
              <w:spacing w:before="60" w:after="60"/>
              <w:jc w:val="center"/>
              <w:rPr>
                <w:rFonts w:cstheme="minorHAnsi"/>
                <w:b/>
              </w:rPr>
            </w:pPr>
            <w:r w:rsidRPr="00F87ED6">
              <w:rPr>
                <w:rFonts w:cstheme="minorHAnsi"/>
                <w:b/>
              </w:rPr>
              <w:t>Baselines</w:t>
            </w:r>
          </w:p>
        </w:tc>
      </w:tr>
      <w:tr w:rsidR="005855A8" w:rsidRPr="00F87ED6" w14:paraId="05AEB8AA" w14:textId="77777777" w:rsidTr="004D3983">
        <w:trPr>
          <w:trHeight w:val="70"/>
        </w:trPr>
        <w:tc>
          <w:tcPr>
            <w:tcW w:w="2404" w:type="dxa"/>
          </w:tcPr>
          <w:p w14:paraId="62556B1E" w14:textId="77777777" w:rsidR="005855A8" w:rsidRPr="00C056E8" w:rsidRDefault="005855A8" w:rsidP="005855A8">
            <w:pPr>
              <w:spacing w:before="60" w:after="60"/>
              <w:rPr>
                <w:rFonts w:cstheme="minorHAnsi"/>
              </w:rPr>
            </w:pPr>
            <w:r>
              <w:rPr>
                <w:rFonts w:cstheme="minorHAnsi"/>
              </w:rPr>
              <w:t>Baselines for existing facilities</w:t>
            </w:r>
          </w:p>
        </w:tc>
        <w:tc>
          <w:tcPr>
            <w:tcW w:w="2553" w:type="dxa"/>
          </w:tcPr>
          <w:p w14:paraId="01FB569D" w14:textId="77777777" w:rsidR="005855A8" w:rsidRPr="00F87ED6" w:rsidRDefault="005855A8" w:rsidP="005855A8">
            <w:pPr>
              <w:spacing w:before="60" w:after="60"/>
              <w:jc w:val="center"/>
              <w:rPr>
                <w:rFonts w:cstheme="minorHAnsi"/>
              </w:rPr>
            </w:pPr>
            <w:r w:rsidRPr="00F87ED6">
              <w:rPr>
                <w:rFonts w:cstheme="minorHAnsi"/>
              </w:rPr>
              <w:t xml:space="preserve">Site-specific and industry average </w:t>
            </w:r>
            <w:proofErr w:type="spellStart"/>
            <w:r w:rsidRPr="00F87ED6">
              <w:rPr>
                <w:rFonts w:cstheme="minorHAnsi"/>
              </w:rPr>
              <w:t>EI</w:t>
            </w:r>
            <w:proofErr w:type="spellEnd"/>
          </w:p>
        </w:tc>
        <w:tc>
          <w:tcPr>
            <w:tcW w:w="2551" w:type="dxa"/>
            <w:gridSpan w:val="2"/>
            <w:shd w:val="clear" w:color="auto" w:fill="FFFFFF" w:themeFill="background1"/>
          </w:tcPr>
          <w:p w14:paraId="22366A0D" w14:textId="77777777" w:rsidR="005855A8" w:rsidRPr="00F87ED6" w:rsidRDefault="005855A8" w:rsidP="005855A8">
            <w:pPr>
              <w:spacing w:before="60" w:after="60"/>
              <w:jc w:val="center"/>
              <w:rPr>
                <w:rFonts w:cstheme="minorHAnsi"/>
              </w:rPr>
            </w:pPr>
            <w:r w:rsidRPr="00F87ED6">
              <w:rPr>
                <w:rFonts w:cstheme="minorHAnsi"/>
              </w:rPr>
              <w:t xml:space="preserve">Industry average </w:t>
            </w:r>
            <w:proofErr w:type="spellStart"/>
            <w:r w:rsidRPr="00F87ED6">
              <w:rPr>
                <w:rFonts w:cstheme="minorHAnsi"/>
              </w:rPr>
              <w:t>EI</w:t>
            </w:r>
            <w:proofErr w:type="spellEnd"/>
          </w:p>
        </w:tc>
        <w:tc>
          <w:tcPr>
            <w:tcW w:w="2693" w:type="dxa"/>
            <w:gridSpan w:val="3"/>
            <w:shd w:val="clear" w:color="auto" w:fill="FFFFFF" w:themeFill="background1"/>
          </w:tcPr>
          <w:p w14:paraId="1C8F443A" w14:textId="77777777" w:rsidR="005855A8" w:rsidRPr="00F87ED6" w:rsidRDefault="005855A8" w:rsidP="005855A8">
            <w:pPr>
              <w:spacing w:before="60" w:after="60"/>
              <w:jc w:val="center"/>
              <w:rPr>
                <w:rFonts w:cstheme="minorHAnsi"/>
              </w:rPr>
            </w:pPr>
            <w:r w:rsidRPr="00F87ED6">
              <w:rPr>
                <w:rFonts w:cstheme="minorHAnsi"/>
              </w:rPr>
              <w:t xml:space="preserve">Site-specific </w:t>
            </w:r>
            <w:proofErr w:type="spellStart"/>
            <w:r w:rsidRPr="00F87ED6">
              <w:rPr>
                <w:rFonts w:cstheme="minorHAnsi"/>
              </w:rPr>
              <w:t>EI</w:t>
            </w:r>
            <w:proofErr w:type="spellEnd"/>
          </w:p>
        </w:tc>
        <w:tc>
          <w:tcPr>
            <w:tcW w:w="2552" w:type="dxa"/>
            <w:shd w:val="clear" w:color="auto" w:fill="FFFFFF" w:themeFill="background1"/>
          </w:tcPr>
          <w:p w14:paraId="3F3924D6" w14:textId="77777777" w:rsidR="005855A8" w:rsidRPr="00F87ED6" w:rsidRDefault="005855A8" w:rsidP="005855A8">
            <w:pPr>
              <w:spacing w:before="60" w:after="60"/>
              <w:jc w:val="center"/>
              <w:rPr>
                <w:rFonts w:cstheme="minorHAnsi"/>
              </w:rPr>
            </w:pPr>
            <w:r w:rsidRPr="00F87ED6">
              <w:rPr>
                <w:rFonts w:cstheme="minorHAnsi"/>
              </w:rPr>
              <w:t>Hybrid approach</w:t>
            </w:r>
          </w:p>
        </w:tc>
        <w:tc>
          <w:tcPr>
            <w:tcW w:w="9922" w:type="dxa"/>
            <w:tcBorders>
              <w:right w:val="single" w:sz="4" w:space="0" w:color="auto"/>
            </w:tcBorders>
            <w:shd w:val="clear" w:color="auto" w:fill="FFFFFF" w:themeFill="background1"/>
          </w:tcPr>
          <w:p w14:paraId="0E46EF53" w14:textId="77777777" w:rsidR="005855A8" w:rsidRPr="0018563D" w:rsidRDefault="005855A8" w:rsidP="005855A8">
            <w:pPr>
              <w:pStyle w:val="ListParagraph"/>
              <w:numPr>
                <w:ilvl w:val="0"/>
                <w:numId w:val="32"/>
              </w:numPr>
              <w:spacing w:before="60" w:after="60"/>
              <w:rPr>
                <w:rFonts w:cstheme="minorHAnsi"/>
              </w:rPr>
            </w:pPr>
            <w:r w:rsidRPr="0018563D">
              <w:rPr>
                <w:rFonts w:cstheme="minorHAnsi"/>
              </w:rPr>
              <w:t xml:space="preserve">Options 1 offers more transparency </w:t>
            </w:r>
            <w:r w:rsidR="00F80E4C">
              <w:rPr>
                <w:rFonts w:cstheme="minorHAnsi"/>
              </w:rPr>
              <w:t xml:space="preserve">compared to Option 2 </w:t>
            </w:r>
            <w:r w:rsidRPr="0018563D">
              <w:rPr>
                <w:rFonts w:cstheme="minorHAnsi"/>
              </w:rPr>
              <w:t xml:space="preserve">as benchmark emissions intensity values are published in the Safeguard </w:t>
            </w:r>
            <w:r w:rsidR="006010FD">
              <w:rPr>
                <w:rFonts w:cstheme="minorHAnsi"/>
              </w:rPr>
              <w:t>R</w:t>
            </w:r>
            <w:r w:rsidRPr="0018563D">
              <w:rPr>
                <w:rFonts w:cstheme="minorHAnsi"/>
              </w:rPr>
              <w:t>ule</w:t>
            </w:r>
            <w:r w:rsidR="00363181">
              <w:rPr>
                <w:rFonts w:cstheme="minorHAnsi"/>
              </w:rPr>
              <w:t>, and holds facilities producing the same outputs to a common standard.</w:t>
            </w:r>
            <w:r w:rsidR="000344A5">
              <w:rPr>
                <w:rFonts w:cstheme="minorHAnsi"/>
              </w:rPr>
              <w:t xml:space="preserve"> </w:t>
            </w:r>
            <w:r w:rsidRPr="0018563D">
              <w:rPr>
                <w:rFonts w:cstheme="minorHAnsi"/>
              </w:rPr>
              <w:t xml:space="preserve">Under Option 2, facility specific emissions intensity values could be commercially sensitive, reducing transparency of the baseline setting process. </w:t>
            </w:r>
          </w:p>
          <w:p w14:paraId="525804DD" w14:textId="77777777" w:rsidR="006D37D4" w:rsidRDefault="000344A5" w:rsidP="005855A8">
            <w:pPr>
              <w:pStyle w:val="ListParagraph"/>
              <w:numPr>
                <w:ilvl w:val="0"/>
                <w:numId w:val="32"/>
              </w:numPr>
              <w:spacing w:before="60" w:after="60"/>
              <w:rPr>
                <w:rFonts w:cstheme="minorHAnsi"/>
              </w:rPr>
            </w:pPr>
            <w:r>
              <w:rPr>
                <w:rFonts w:cstheme="minorHAnsi"/>
              </w:rPr>
              <w:t xml:space="preserve">Consistent with the primary objective of reducing emissions, </w:t>
            </w:r>
            <w:r w:rsidR="005855A8" w:rsidRPr="0018563D">
              <w:rPr>
                <w:rFonts w:cstheme="minorHAnsi"/>
              </w:rPr>
              <w:t>Option 1 encourages least emissions intensive production, and rewards investment in low emissions resources or technologies,</w:t>
            </w:r>
            <w:r w:rsidR="005855A8" w:rsidRPr="0018563D" w:rsidDel="00E829F4">
              <w:rPr>
                <w:rFonts w:cstheme="minorHAnsi"/>
              </w:rPr>
              <w:t xml:space="preserve"> </w:t>
            </w:r>
            <w:r w:rsidR="004E3EB6">
              <w:rPr>
                <w:rFonts w:cstheme="minorHAnsi"/>
              </w:rPr>
              <w:t xml:space="preserve">and </w:t>
            </w:r>
            <w:r w:rsidR="005855A8" w:rsidRPr="0018563D">
              <w:rPr>
                <w:rFonts w:cstheme="minorHAnsi"/>
              </w:rPr>
              <w:t xml:space="preserve">past actions to reduce emissions. </w:t>
            </w:r>
            <w:r w:rsidR="006D37D4">
              <w:rPr>
                <w:rFonts w:cstheme="minorHAnsi"/>
              </w:rPr>
              <w:t>On the other hand, Option 1 will disproportionately affect high emitters who will face significant upfront costs with little time to prepare and adjust.</w:t>
            </w:r>
          </w:p>
          <w:p w14:paraId="15BF7797" w14:textId="02BCE06D" w:rsidR="005855A8" w:rsidRPr="0018563D" w:rsidRDefault="005855A8" w:rsidP="005855A8">
            <w:pPr>
              <w:pStyle w:val="ListParagraph"/>
              <w:numPr>
                <w:ilvl w:val="0"/>
                <w:numId w:val="32"/>
              </w:numPr>
              <w:spacing w:before="60" w:after="60"/>
              <w:rPr>
                <w:rFonts w:cstheme="minorHAnsi"/>
              </w:rPr>
            </w:pPr>
            <w:r w:rsidRPr="0018563D">
              <w:rPr>
                <w:rFonts w:cstheme="minorHAnsi"/>
              </w:rPr>
              <w:lastRenderedPageBreak/>
              <w:t>Option 2 would not reward least emissions intensive facilities. It may also disadvantage facilities who have already invested in low emissions production, and who may find it relatively more difficult to reduce emissions compared to more emission intensive competitors.</w:t>
            </w:r>
          </w:p>
          <w:p w14:paraId="6D5BA582" w14:textId="77777777" w:rsidR="005855A8" w:rsidRPr="0018563D" w:rsidRDefault="005855A8" w:rsidP="005855A8">
            <w:pPr>
              <w:pStyle w:val="ListParagraph"/>
              <w:numPr>
                <w:ilvl w:val="0"/>
                <w:numId w:val="32"/>
              </w:numPr>
              <w:spacing w:before="60" w:after="60"/>
              <w:rPr>
                <w:rFonts w:cstheme="minorHAnsi"/>
              </w:rPr>
            </w:pPr>
            <w:r w:rsidRPr="0018563D">
              <w:rPr>
                <w:rFonts w:cstheme="minorHAnsi"/>
              </w:rPr>
              <w:t>Option 2 is cognisant of differences within industries related to location and technologies of facilities</w:t>
            </w:r>
            <w:r w:rsidR="00E829F4">
              <w:rPr>
                <w:rFonts w:cstheme="minorHAnsi"/>
              </w:rPr>
              <w:t>, and individual facility circumstances. Option 2 will keep initial costs (exceedances) and benefits (credits) low</w:t>
            </w:r>
            <w:r w:rsidDel="006D37D4">
              <w:rPr>
                <w:rFonts w:cstheme="minorHAnsi"/>
              </w:rPr>
              <w:t>.</w:t>
            </w:r>
          </w:p>
          <w:p w14:paraId="6FE95B45" w14:textId="77777777" w:rsidR="005855A8" w:rsidRDefault="005855A8" w:rsidP="005855A8">
            <w:pPr>
              <w:pStyle w:val="ListParagraph"/>
              <w:numPr>
                <w:ilvl w:val="0"/>
                <w:numId w:val="32"/>
              </w:numPr>
              <w:spacing w:before="60" w:after="60"/>
              <w:rPr>
                <w:rFonts w:cstheme="minorHAnsi"/>
              </w:rPr>
            </w:pPr>
            <w:r>
              <w:rPr>
                <w:rFonts w:cstheme="minorHAnsi"/>
              </w:rPr>
              <w:t>Option 3 balance</w:t>
            </w:r>
            <w:r w:rsidR="00566669">
              <w:rPr>
                <w:rFonts w:cstheme="minorHAnsi"/>
              </w:rPr>
              <w:t>s</w:t>
            </w:r>
            <w:r>
              <w:rPr>
                <w:rFonts w:cstheme="minorHAnsi"/>
              </w:rPr>
              <w:t xml:space="preserve"> the strengths and weaknesses of Options 1 and 2 by implementing a hybrid model weighted towards </w:t>
            </w:r>
            <w:r w:rsidRPr="0020438F">
              <w:rPr>
                <w:rFonts w:cstheme="minorHAnsi"/>
              </w:rPr>
              <w:t>site-specific baselines (Option 2) in the short term, and transitioning to industry average benchmarks (Option 1) by the end of the decade</w:t>
            </w:r>
            <w:r>
              <w:rPr>
                <w:rFonts w:cstheme="minorHAnsi"/>
              </w:rPr>
              <w:t xml:space="preserve">. </w:t>
            </w:r>
          </w:p>
          <w:p w14:paraId="665F4765" w14:textId="77777777" w:rsidR="005855A8" w:rsidRDefault="005855A8" w:rsidP="005855A8">
            <w:pPr>
              <w:pStyle w:val="ListParagraph"/>
              <w:numPr>
                <w:ilvl w:val="0"/>
                <w:numId w:val="32"/>
              </w:numPr>
              <w:spacing w:before="60" w:after="60"/>
              <w:rPr>
                <w:rFonts w:cstheme="minorHAnsi"/>
              </w:rPr>
            </w:pPr>
            <w:r>
              <w:rPr>
                <w:rFonts w:cstheme="minorHAnsi"/>
              </w:rPr>
              <w:t xml:space="preserve">Option 3 </w:t>
            </w:r>
            <w:r w:rsidRPr="005A0D5F">
              <w:rPr>
                <w:rFonts w:cstheme="minorHAnsi"/>
              </w:rPr>
              <w:t xml:space="preserve">delivers the medium to long term benefits of a </w:t>
            </w:r>
            <w:r w:rsidR="00566669">
              <w:rPr>
                <w:rFonts w:cstheme="minorHAnsi"/>
              </w:rPr>
              <w:t>standardised</w:t>
            </w:r>
            <w:r w:rsidR="00566669" w:rsidRPr="005A0D5F">
              <w:rPr>
                <w:rFonts w:cstheme="minorHAnsi"/>
              </w:rPr>
              <w:t xml:space="preserve"> </w:t>
            </w:r>
            <w:r w:rsidRPr="005A0D5F">
              <w:rPr>
                <w:rFonts w:cstheme="minorHAnsi"/>
              </w:rPr>
              <w:t>approach, while giving businesses sufficient time to prepare</w:t>
            </w:r>
            <w:r>
              <w:rPr>
                <w:rFonts w:cstheme="minorHAnsi"/>
              </w:rPr>
              <w:t>.</w:t>
            </w:r>
          </w:p>
          <w:p w14:paraId="7042EC18" w14:textId="77777777" w:rsidR="000344A5" w:rsidRDefault="000344A5" w:rsidP="005855A8">
            <w:pPr>
              <w:pStyle w:val="ListParagraph"/>
              <w:numPr>
                <w:ilvl w:val="0"/>
                <w:numId w:val="32"/>
              </w:numPr>
              <w:spacing w:before="60" w:after="60"/>
              <w:rPr>
                <w:rFonts w:cstheme="minorHAnsi"/>
              </w:rPr>
            </w:pPr>
            <w:r>
              <w:rPr>
                <w:rFonts w:cstheme="minorHAnsi"/>
              </w:rPr>
              <w:t>Option 3 resolves legacy issues stemming from optionality (between site-specific and industry-average emissions intensity) in existing arrangements.</w:t>
            </w:r>
          </w:p>
          <w:p w14:paraId="52683EF7" w14:textId="77777777" w:rsidR="005855A8" w:rsidRDefault="005855A8" w:rsidP="005855A8">
            <w:pPr>
              <w:pStyle w:val="ListParagraph"/>
              <w:numPr>
                <w:ilvl w:val="0"/>
                <w:numId w:val="32"/>
              </w:numPr>
              <w:spacing w:before="60" w:after="60"/>
              <w:rPr>
                <w:rFonts w:cstheme="minorHAnsi"/>
              </w:rPr>
            </w:pPr>
            <w:r>
              <w:rPr>
                <w:rFonts w:cstheme="minorHAnsi"/>
              </w:rPr>
              <w:t>Under Option 2 and Option 3</w:t>
            </w:r>
            <w:r w:rsidRPr="0018563D">
              <w:rPr>
                <w:rFonts w:cstheme="minorHAnsi"/>
              </w:rPr>
              <w:t xml:space="preserve"> </w:t>
            </w:r>
            <w:r>
              <w:rPr>
                <w:rFonts w:cstheme="minorHAnsi"/>
              </w:rPr>
              <w:t>site</w:t>
            </w:r>
            <w:r w:rsidR="00552CEA">
              <w:rPr>
                <w:rFonts w:cstheme="minorHAnsi"/>
              </w:rPr>
              <w:t>-</w:t>
            </w:r>
            <w:r>
              <w:rPr>
                <w:rFonts w:cstheme="minorHAnsi"/>
              </w:rPr>
              <w:t xml:space="preserve">specific emissions intensity values will need to be determined for all facilities that currently use published industry average values, and reset existing site-specific emissions intensity values to ensure they are set on a consistent basis. </w:t>
            </w:r>
          </w:p>
          <w:p w14:paraId="04447974" w14:textId="77777777" w:rsidR="005855A8" w:rsidRDefault="000B44D2" w:rsidP="000B44D2">
            <w:pPr>
              <w:pStyle w:val="ListParagraph"/>
              <w:numPr>
                <w:ilvl w:val="0"/>
                <w:numId w:val="32"/>
              </w:numPr>
              <w:spacing w:before="60" w:after="60"/>
              <w:rPr>
                <w:rFonts w:cstheme="minorHAnsi"/>
              </w:rPr>
            </w:pPr>
            <w:r>
              <w:rPr>
                <w:rFonts w:cstheme="minorHAnsi"/>
              </w:rPr>
              <w:t>Under Options 2 and 3, f</w:t>
            </w:r>
            <w:r w:rsidRPr="000B44D2">
              <w:rPr>
                <w:rFonts w:cstheme="minorHAnsi"/>
              </w:rPr>
              <w:t>acilities must apply for site-specific emissions-intensity values by 30 April 2024. The application must be accompanied by an audit</w:t>
            </w:r>
            <w:r>
              <w:rPr>
                <w:rFonts w:cstheme="minorHAnsi"/>
              </w:rPr>
              <w:t xml:space="preserve">. This </w:t>
            </w:r>
            <w:r w:rsidR="005855A8">
              <w:rPr>
                <w:rFonts w:cstheme="minorHAnsi"/>
              </w:rPr>
              <w:t xml:space="preserve">cost will be borne by </w:t>
            </w:r>
            <w:r w:rsidR="003326DF">
              <w:rPr>
                <w:rFonts w:cstheme="minorHAnsi"/>
              </w:rPr>
              <w:t>Safeguard</w:t>
            </w:r>
            <w:r w:rsidR="005855A8">
              <w:rPr>
                <w:rFonts w:cstheme="minorHAnsi"/>
              </w:rPr>
              <w:t xml:space="preserve"> facilities. </w:t>
            </w:r>
          </w:p>
          <w:p w14:paraId="51F403F2" w14:textId="77777777" w:rsidR="005855A8" w:rsidRPr="0018563D" w:rsidRDefault="005855A8" w:rsidP="005855A8">
            <w:pPr>
              <w:pStyle w:val="ListParagraph"/>
              <w:numPr>
                <w:ilvl w:val="0"/>
                <w:numId w:val="32"/>
              </w:numPr>
              <w:spacing w:before="60" w:after="60"/>
              <w:rPr>
                <w:rFonts w:cstheme="minorHAnsi"/>
              </w:rPr>
            </w:pPr>
            <w:r>
              <w:rPr>
                <w:rFonts w:cstheme="minorHAnsi"/>
              </w:rPr>
              <w:t>Option 3 increases complexity and administrative costs by combining site-specific and industry-average.</w:t>
            </w:r>
          </w:p>
          <w:p w14:paraId="19484C95" w14:textId="77777777" w:rsidR="005855A8" w:rsidRPr="0010247A" w:rsidRDefault="005855A8">
            <w:pPr>
              <w:pStyle w:val="ListParagraph"/>
              <w:numPr>
                <w:ilvl w:val="0"/>
                <w:numId w:val="32"/>
              </w:numPr>
              <w:spacing w:before="60" w:after="60"/>
              <w:rPr>
                <w:rFonts w:cstheme="minorHAnsi"/>
              </w:rPr>
            </w:pPr>
            <w:r>
              <w:rPr>
                <w:rFonts w:cstheme="minorHAnsi"/>
              </w:rPr>
              <w:t>Option 3 will make baseline settings simpler and fairer, by mandating (</w:t>
            </w:r>
            <w:proofErr w:type="spellStart"/>
            <w:r>
              <w:rPr>
                <w:rFonts w:cstheme="minorHAnsi"/>
              </w:rPr>
              <w:t>i</w:t>
            </w:r>
            <w:proofErr w:type="spellEnd"/>
            <w:r>
              <w:rPr>
                <w:rFonts w:cstheme="minorHAnsi"/>
              </w:rPr>
              <w:t>) production adjusted baselines for FY24 (ii) use of Government defined production variables and (iii) all production variables be production adjusted.</w:t>
            </w:r>
          </w:p>
        </w:tc>
      </w:tr>
      <w:tr w:rsidR="005855A8" w:rsidRPr="00F87ED6" w14:paraId="4B648DA4" w14:textId="77777777" w:rsidTr="00F77C46">
        <w:trPr>
          <w:trHeight w:val="70"/>
        </w:trPr>
        <w:tc>
          <w:tcPr>
            <w:tcW w:w="2404" w:type="dxa"/>
          </w:tcPr>
          <w:p w14:paraId="1AEEFEA4" w14:textId="767F108D" w:rsidR="005855A8" w:rsidRPr="00C056E8" w:rsidRDefault="00CF10CE" w:rsidP="00CF10CE">
            <w:pPr>
              <w:spacing w:before="60" w:after="60"/>
              <w:rPr>
                <w:rFonts w:cstheme="minorHAnsi"/>
              </w:rPr>
            </w:pPr>
            <w:r>
              <w:rPr>
                <w:rFonts w:cstheme="minorHAnsi"/>
              </w:rPr>
              <w:lastRenderedPageBreak/>
              <w:t>Setting baselines for n</w:t>
            </w:r>
            <w:r w:rsidR="005855A8" w:rsidRPr="00C056E8">
              <w:rPr>
                <w:rFonts w:cstheme="minorHAnsi"/>
              </w:rPr>
              <w:t xml:space="preserve">ew entrants </w:t>
            </w:r>
          </w:p>
        </w:tc>
        <w:tc>
          <w:tcPr>
            <w:tcW w:w="2553" w:type="dxa"/>
          </w:tcPr>
          <w:p w14:paraId="5DABABD9" w14:textId="77777777" w:rsidR="005855A8" w:rsidRPr="00F87ED6" w:rsidRDefault="005855A8" w:rsidP="001B0E5D">
            <w:pPr>
              <w:spacing w:before="60" w:after="60"/>
              <w:jc w:val="center"/>
              <w:rPr>
                <w:rFonts w:cstheme="minorHAnsi"/>
              </w:rPr>
            </w:pPr>
            <w:proofErr w:type="spellStart"/>
            <w:r w:rsidRPr="00F87ED6">
              <w:rPr>
                <w:rFonts w:cstheme="minorHAnsi"/>
              </w:rPr>
              <w:t>EI</w:t>
            </w:r>
            <w:proofErr w:type="spellEnd"/>
            <w:r w:rsidRPr="00F87ED6">
              <w:rPr>
                <w:rFonts w:cstheme="minorHAnsi"/>
              </w:rPr>
              <w:t xml:space="preserve"> benchmarks</w:t>
            </w:r>
            <w:r w:rsidR="001B0E5D">
              <w:rPr>
                <w:rFonts w:cstheme="minorHAnsi"/>
              </w:rPr>
              <w:t xml:space="preserve"> </w:t>
            </w:r>
            <w:r w:rsidR="001B0E5D">
              <w:rPr>
                <w:rFonts w:cstheme="minorHAnsi"/>
              </w:rPr>
              <w:br/>
              <w:t>(not operational)</w:t>
            </w:r>
          </w:p>
        </w:tc>
        <w:tc>
          <w:tcPr>
            <w:tcW w:w="5244" w:type="dxa"/>
            <w:gridSpan w:val="5"/>
            <w:shd w:val="clear" w:color="auto" w:fill="FFFFFF" w:themeFill="background1"/>
          </w:tcPr>
          <w:p w14:paraId="1DEC8E9B" w14:textId="77777777" w:rsidR="005855A8" w:rsidRPr="00F87ED6" w:rsidRDefault="005855A8">
            <w:pPr>
              <w:spacing w:before="60" w:after="60"/>
              <w:jc w:val="center"/>
              <w:rPr>
                <w:rFonts w:cstheme="minorHAnsi"/>
              </w:rPr>
            </w:pPr>
            <w:r w:rsidRPr="00F87ED6">
              <w:rPr>
                <w:rFonts w:cstheme="minorHAnsi"/>
              </w:rPr>
              <w:t xml:space="preserve">Best practice </w:t>
            </w:r>
            <w:proofErr w:type="spellStart"/>
            <w:r w:rsidRPr="00F87ED6">
              <w:rPr>
                <w:rFonts w:cstheme="minorHAnsi"/>
              </w:rPr>
              <w:t>EI</w:t>
            </w:r>
            <w:proofErr w:type="spellEnd"/>
            <w:r w:rsidR="000D7816">
              <w:rPr>
                <w:rFonts w:cstheme="minorHAnsi"/>
              </w:rPr>
              <w:t xml:space="preserve">, noting that feedback was also sought on industry average </w:t>
            </w:r>
            <w:proofErr w:type="spellStart"/>
            <w:r w:rsidR="000D7816">
              <w:rPr>
                <w:rFonts w:cstheme="minorHAnsi"/>
              </w:rPr>
              <w:t>EI</w:t>
            </w:r>
            <w:proofErr w:type="spellEnd"/>
            <w:r w:rsidR="000D7816">
              <w:rPr>
                <w:rFonts w:cstheme="minorHAnsi"/>
              </w:rPr>
              <w:t xml:space="preserve"> </w:t>
            </w:r>
          </w:p>
        </w:tc>
        <w:tc>
          <w:tcPr>
            <w:tcW w:w="2552" w:type="dxa"/>
            <w:shd w:val="clear" w:color="auto" w:fill="FFFFFF" w:themeFill="background1"/>
          </w:tcPr>
          <w:p w14:paraId="1727A3EE" w14:textId="77777777" w:rsidR="005855A8" w:rsidRDefault="005855A8" w:rsidP="00F77C46">
            <w:pPr>
              <w:pStyle w:val="ListParagraph"/>
              <w:numPr>
                <w:ilvl w:val="0"/>
                <w:numId w:val="56"/>
              </w:numPr>
              <w:spacing w:before="60" w:after="60"/>
              <w:rPr>
                <w:rFonts w:cstheme="minorHAnsi"/>
              </w:rPr>
            </w:pPr>
            <w:r w:rsidRPr="00F40F78">
              <w:rPr>
                <w:rFonts w:cstheme="minorHAnsi"/>
              </w:rPr>
              <w:t>International best practice, adapted for an Australian context</w:t>
            </w:r>
          </w:p>
          <w:p w14:paraId="66C8B035" w14:textId="4C583532" w:rsidR="00245203" w:rsidRDefault="00245203" w:rsidP="00F77C46">
            <w:pPr>
              <w:pStyle w:val="ListParagraph"/>
              <w:numPr>
                <w:ilvl w:val="0"/>
                <w:numId w:val="56"/>
              </w:numPr>
              <w:spacing w:before="60" w:after="60"/>
              <w:rPr>
                <w:rFonts w:cstheme="minorHAnsi"/>
              </w:rPr>
            </w:pPr>
            <w:r>
              <w:rPr>
                <w:rFonts w:cstheme="minorHAnsi"/>
              </w:rPr>
              <w:t xml:space="preserve">International best-practice </w:t>
            </w:r>
            <w:r w:rsidRPr="00245203">
              <w:rPr>
                <w:rFonts w:cstheme="minorHAnsi"/>
              </w:rPr>
              <w:t>will extend to existing Safeguard facilities that invest in new plant and equipment resulting in the use of a new production variable</w:t>
            </w:r>
            <w:r w:rsidR="00915B43">
              <w:rPr>
                <w:rFonts w:cstheme="minorHAnsi"/>
              </w:rPr>
              <w:t>, unless it is substantially similar</w:t>
            </w:r>
            <w:r w:rsidRPr="00245203">
              <w:rPr>
                <w:rFonts w:cstheme="minorHAnsi"/>
              </w:rPr>
              <w:t>.</w:t>
            </w:r>
          </w:p>
          <w:p w14:paraId="3C1CDDC9" w14:textId="2040580C" w:rsidR="00245203" w:rsidRPr="00F40F78" w:rsidRDefault="00E86D38" w:rsidP="001D1845">
            <w:pPr>
              <w:pStyle w:val="ListParagraph"/>
              <w:numPr>
                <w:ilvl w:val="0"/>
                <w:numId w:val="56"/>
              </w:numPr>
              <w:spacing w:before="60" w:after="60"/>
              <w:rPr>
                <w:rFonts w:cstheme="minorHAnsi"/>
              </w:rPr>
            </w:pPr>
            <w:r>
              <w:rPr>
                <w:rFonts w:cstheme="minorHAnsi"/>
              </w:rPr>
              <w:t xml:space="preserve">International best-practice </w:t>
            </w:r>
            <w:r w:rsidRPr="00245203">
              <w:rPr>
                <w:rFonts w:cstheme="minorHAnsi"/>
              </w:rPr>
              <w:t xml:space="preserve">will extend </w:t>
            </w:r>
            <w:r w:rsidRPr="00E86D38">
              <w:rPr>
                <w:rFonts w:cstheme="minorHAnsi"/>
              </w:rPr>
              <w:t>to new oil and gas fields supplying an LNG train</w:t>
            </w:r>
            <w:r w:rsidR="00366E5A">
              <w:rPr>
                <w:rFonts w:cstheme="minorHAnsi"/>
              </w:rPr>
              <w:t>.</w:t>
            </w:r>
          </w:p>
        </w:tc>
        <w:tc>
          <w:tcPr>
            <w:tcW w:w="9922" w:type="dxa"/>
            <w:tcBorders>
              <w:right w:val="single" w:sz="4" w:space="0" w:color="auto"/>
            </w:tcBorders>
            <w:shd w:val="clear" w:color="auto" w:fill="FFFFFF" w:themeFill="background1"/>
          </w:tcPr>
          <w:p w14:paraId="3A753D83" w14:textId="77777777" w:rsidR="005855A8" w:rsidRPr="008471C3" w:rsidRDefault="005855A8" w:rsidP="005855A8">
            <w:pPr>
              <w:pStyle w:val="ListParagraph"/>
              <w:numPr>
                <w:ilvl w:val="0"/>
                <w:numId w:val="32"/>
              </w:numPr>
              <w:spacing w:before="60" w:after="60"/>
              <w:rPr>
                <w:rFonts w:cstheme="minorHAnsi"/>
              </w:rPr>
            </w:pPr>
            <w:r w:rsidRPr="008471C3">
              <w:rPr>
                <w:rFonts w:cstheme="minorHAnsi"/>
              </w:rPr>
              <w:t>Under current arrangements, new entrant baselines should be set using emissions intensity benchmarks, however, the level of benchmarks has not been set</w:t>
            </w:r>
            <w:r>
              <w:rPr>
                <w:rFonts w:cstheme="minorHAnsi"/>
              </w:rPr>
              <w:t xml:space="preserve"> yet.</w:t>
            </w:r>
          </w:p>
          <w:p w14:paraId="3EC5AE18" w14:textId="77777777" w:rsidR="001B0E5D" w:rsidRDefault="005855A8" w:rsidP="005855A8">
            <w:pPr>
              <w:pStyle w:val="ListParagraph"/>
              <w:numPr>
                <w:ilvl w:val="0"/>
                <w:numId w:val="32"/>
              </w:numPr>
              <w:spacing w:before="60" w:after="60"/>
              <w:rPr>
                <w:rFonts w:cstheme="minorHAnsi"/>
              </w:rPr>
            </w:pPr>
            <w:r w:rsidRPr="008471C3">
              <w:rPr>
                <w:rFonts w:cstheme="minorHAnsi"/>
              </w:rPr>
              <w:t xml:space="preserve">Under </w:t>
            </w:r>
            <w:r w:rsidR="006010FD">
              <w:rPr>
                <w:rFonts w:cstheme="minorHAnsi"/>
              </w:rPr>
              <w:t>O</w:t>
            </w:r>
            <w:r w:rsidRPr="008471C3">
              <w:rPr>
                <w:rFonts w:cstheme="minorHAnsi"/>
              </w:rPr>
              <w:t>ptions</w:t>
            </w:r>
            <w:r w:rsidR="001B0E5D">
              <w:rPr>
                <w:rFonts w:cstheme="minorHAnsi"/>
              </w:rPr>
              <w:t xml:space="preserve"> (1-3)</w:t>
            </w:r>
            <w:r w:rsidRPr="008471C3">
              <w:rPr>
                <w:rFonts w:cstheme="minorHAnsi"/>
              </w:rPr>
              <w:t>, benchmark emissions intensity values will apply to all new entrants.</w:t>
            </w:r>
          </w:p>
          <w:p w14:paraId="40B4B0F3" w14:textId="77777777" w:rsidR="005855A8" w:rsidRDefault="001B0E5D" w:rsidP="005855A8">
            <w:pPr>
              <w:pStyle w:val="ListParagraph"/>
              <w:numPr>
                <w:ilvl w:val="0"/>
                <w:numId w:val="32"/>
              </w:numPr>
              <w:spacing w:before="60" w:after="60"/>
              <w:rPr>
                <w:rFonts w:cstheme="minorHAnsi"/>
              </w:rPr>
            </w:pPr>
            <w:r>
              <w:rPr>
                <w:rFonts w:cstheme="minorHAnsi"/>
              </w:rPr>
              <w:t>For Options 1 and Option 2, t</w:t>
            </w:r>
            <w:r w:rsidR="005855A8" w:rsidRPr="008471C3">
              <w:rPr>
                <w:rFonts w:cstheme="minorHAnsi"/>
              </w:rPr>
              <w:t xml:space="preserve">he consultation paper proposed </w:t>
            </w:r>
            <w:r w:rsidR="006010FD">
              <w:rPr>
                <w:rFonts w:cstheme="minorHAnsi"/>
              </w:rPr>
              <w:t xml:space="preserve">the </w:t>
            </w:r>
            <w:r w:rsidR="005855A8" w:rsidRPr="008471C3">
              <w:rPr>
                <w:rFonts w:cstheme="minorHAnsi"/>
              </w:rPr>
              <w:t>top 10% best</w:t>
            </w:r>
            <w:r w:rsidR="006010FD">
              <w:rPr>
                <w:rFonts w:cstheme="minorHAnsi"/>
              </w:rPr>
              <w:t xml:space="preserve"> </w:t>
            </w:r>
            <w:r w:rsidR="005855A8" w:rsidRPr="008471C3">
              <w:rPr>
                <w:rFonts w:cstheme="minorHAnsi"/>
              </w:rPr>
              <w:t xml:space="preserve">practice </w:t>
            </w:r>
            <w:r w:rsidR="005855A8">
              <w:rPr>
                <w:rFonts w:cstheme="minorHAnsi"/>
              </w:rPr>
              <w:t xml:space="preserve">of Australian industry </w:t>
            </w:r>
            <w:r w:rsidR="005855A8" w:rsidRPr="008471C3">
              <w:rPr>
                <w:rFonts w:cstheme="minorHAnsi"/>
              </w:rPr>
              <w:t xml:space="preserve">as </w:t>
            </w:r>
            <w:r w:rsidR="006010FD">
              <w:rPr>
                <w:rFonts w:cstheme="minorHAnsi"/>
              </w:rPr>
              <w:t xml:space="preserve">the </w:t>
            </w:r>
            <w:r w:rsidR="005855A8" w:rsidRPr="008471C3">
              <w:rPr>
                <w:rFonts w:cstheme="minorHAnsi"/>
              </w:rPr>
              <w:t xml:space="preserve">benchmark. </w:t>
            </w:r>
          </w:p>
          <w:p w14:paraId="6EF53922" w14:textId="77777777" w:rsidR="005855A8" w:rsidRPr="008471C3" w:rsidRDefault="00A403FF" w:rsidP="005855A8">
            <w:pPr>
              <w:pStyle w:val="ListParagraph"/>
              <w:numPr>
                <w:ilvl w:val="0"/>
                <w:numId w:val="32"/>
              </w:numPr>
              <w:spacing w:before="60" w:after="60"/>
              <w:rPr>
                <w:rFonts w:cstheme="minorHAnsi"/>
              </w:rPr>
            </w:pPr>
            <w:r>
              <w:rPr>
                <w:rFonts w:cstheme="minorHAnsi"/>
              </w:rPr>
              <w:t>Through the reform process, under all reform options (1-3), b</w:t>
            </w:r>
            <w:r w:rsidR="005855A8">
              <w:rPr>
                <w:rFonts w:cstheme="minorHAnsi"/>
              </w:rPr>
              <w:t xml:space="preserve">est practice benchmarks </w:t>
            </w:r>
            <w:r>
              <w:rPr>
                <w:rFonts w:cstheme="minorHAnsi"/>
              </w:rPr>
              <w:t xml:space="preserve">will </w:t>
            </w:r>
            <w:r w:rsidR="005855A8">
              <w:rPr>
                <w:rFonts w:cstheme="minorHAnsi"/>
              </w:rPr>
              <w:t>a</w:t>
            </w:r>
            <w:r w:rsidR="005855A8" w:rsidRPr="008471C3">
              <w:rPr>
                <w:rFonts w:cstheme="minorHAnsi"/>
              </w:rPr>
              <w:t xml:space="preserve">void locking in </w:t>
            </w:r>
            <w:r w:rsidR="005855A8">
              <w:rPr>
                <w:rFonts w:cstheme="minorHAnsi"/>
              </w:rPr>
              <w:t>long-lived assets that are emissions-intensive.</w:t>
            </w:r>
            <w:r w:rsidR="006010FD">
              <w:rPr>
                <w:rFonts w:cstheme="minorHAnsi"/>
              </w:rPr>
              <w:t xml:space="preserve"> The making</w:t>
            </w:r>
            <w:r w:rsidR="001B0E5D" w:rsidDel="006010FD">
              <w:rPr>
                <w:rFonts w:cstheme="minorHAnsi"/>
              </w:rPr>
              <w:t xml:space="preserve"> </w:t>
            </w:r>
            <w:r w:rsidR="001B0E5D">
              <w:rPr>
                <w:rFonts w:cstheme="minorHAnsi"/>
              </w:rPr>
              <w:t>of best</w:t>
            </w:r>
            <w:r w:rsidR="006010FD">
              <w:rPr>
                <w:rFonts w:cstheme="minorHAnsi"/>
              </w:rPr>
              <w:t xml:space="preserve"> </w:t>
            </w:r>
            <w:r w:rsidR="001B0E5D">
              <w:rPr>
                <w:rFonts w:cstheme="minorHAnsi"/>
              </w:rPr>
              <w:t xml:space="preserve">practice benchmarks will demonstrate </w:t>
            </w:r>
            <w:r w:rsidR="00227A05">
              <w:rPr>
                <w:rFonts w:cstheme="minorHAnsi"/>
              </w:rPr>
              <w:t xml:space="preserve">Australia’s </w:t>
            </w:r>
            <w:r w:rsidR="001B0E5D">
              <w:rPr>
                <w:rFonts w:cstheme="minorHAnsi"/>
              </w:rPr>
              <w:t xml:space="preserve">strong commitment to </w:t>
            </w:r>
            <w:r w:rsidR="00227A05">
              <w:rPr>
                <w:rFonts w:cstheme="minorHAnsi"/>
              </w:rPr>
              <w:t xml:space="preserve">meet its </w:t>
            </w:r>
            <w:r w:rsidR="001B0E5D">
              <w:rPr>
                <w:rFonts w:cstheme="minorHAnsi"/>
              </w:rPr>
              <w:t>decarbonisation</w:t>
            </w:r>
            <w:r w:rsidR="00227A05">
              <w:rPr>
                <w:rFonts w:cstheme="minorHAnsi"/>
              </w:rPr>
              <w:t xml:space="preserve"> targets and encourage efficient investment.</w:t>
            </w:r>
          </w:p>
          <w:p w14:paraId="235C7A31" w14:textId="77777777" w:rsidR="004C634F" w:rsidRDefault="005855A8" w:rsidP="00661B2F">
            <w:pPr>
              <w:pStyle w:val="ListParagraph"/>
              <w:numPr>
                <w:ilvl w:val="0"/>
                <w:numId w:val="32"/>
              </w:numPr>
              <w:spacing w:before="60" w:after="60"/>
              <w:rPr>
                <w:rFonts w:cstheme="minorHAnsi"/>
              </w:rPr>
            </w:pPr>
            <w:r w:rsidRPr="008471C3">
              <w:rPr>
                <w:rFonts w:cstheme="minorHAnsi"/>
              </w:rPr>
              <w:t>Under Option 3, international best practice</w:t>
            </w:r>
            <w:r w:rsidR="00227A05">
              <w:rPr>
                <w:rFonts w:cstheme="minorHAnsi"/>
              </w:rPr>
              <w:t xml:space="preserve"> (adapted to an Australian context)</w:t>
            </w:r>
            <w:r w:rsidRPr="008471C3">
              <w:rPr>
                <w:rFonts w:cstheme="minorHAnsi"/>
              </w:rPr>
              <w:t xml:space="preserve"> will apply for new entrant</w:t>
            </w:r>
            <w:r>
              <w:rPr>
                <w:rFonts w:cstheme="minorHAnsi"/>
              </w:rPr>
              <w:t>s</w:t>
            </w:r>
            <w:r w:rsidR="00AE4B00">
              <w:rPr>
                <w:rFonts w:cstheme="minorHAnsi"/>
              </w:rPr>
              <w:t xml:space="preserve"> as well as to existing Safeguard facilities that invest in new plant and </w:t>
            </w:r>
            <w:r w:rsidR="00AE4B00" w:rsidRPr="00B945B2">
              <w:rPr>
                <w:rFonts w:cstheme="minorHAnsi"/>
              </w:rPr>
              <w:t>equipment resulting in the use of a new production variable</w:t>
            </w:r>
            <w:r>
              <w:rPr>
                <w:rFonts w:cstheme="minorHAnsi"/>
              </w:rPr>
              <w:t>, which will encourage world’s best practice emissions performance in design.</w:t>
            </w:r>
            <w:r w:rsidR="00661B2F">
              <w:rPr>
                <w:rFonts w:cstheme="minorHAnsi"/>
              </w:rPr>
              <w:t xml:space="preserve"> </w:t>
            </w:r>
          </w:p>
          <w:p w14:paraId="509DCBE8" w14:textId="070D46A9" w:rsidR="001B0E5D" w:rsidRPr="001B0E5D" w:rsidRDefault="00661B2F" w:rsidP="00661B2F">
            <w:pPr>
              <w:pStyle w:val="ListParagraph"/>
              <w:numPr>
                <w:ilvl w:val="0"/>
                <w:numId w:val="32"/>
              </w:numPr>
              <w:spacing w:before="60" w:after="60"/>
              <w:rPr>
                <w:rFonts w:cstheme="minorHAnsi"/>
              </w:rPr>
            </w:pPr>
            <w:r>
              <w:rPr>
                <w:rFonts w:cstheme="minorHAnsi"/>
              </w:rPr>
              <w:t>Where a facility produces a new production variable on an existing production variable, an amended s</w:t>
            </w:r>
            <w:r w:rsidR="00EC631E">
              <w:rPr>
                <w:rFonts w:cstheme="minorHAnsi"/>
              </w:rPr>
              <w:t>ite-specific emissions intensity value</w:t>
            </w:r>
            <w:r>
              <w:rPr>
                <w:rFonts w:cstheme="minorHAnsi"/>
              </w:rPr>
              <w:t xml:space="preserve"> will be considered. </w:t>
            </w:r>
            <w:r w:rsidR="00915B43">
              <w:rPr>
                <w:rFonts w:cstheme="minorHAnsi"/>
              </w:rPr>
              <w:t xml:space="preserve">If the new production variable is substantially similar, the facility could use the emissions intensity determination for the previous production variable. </w:t>
            </w:r>
            <w:r w:rsidR="00566669">
              <w:rPr>
                <w:rFonts w:cstheme="minorHAnsi"/>
              </w:rPr>
              <w:t>In addition, international best practice is extended to</w:t>
            </w:r>
            <w:r w:rsidR="005A18D7">
              <w:rPr>
                <w:rFonts w:cstheme="minorHAnsi"/>
              </w:rPr>
              <w:t xml:space="preserve"> the reservoir carbon dioxide emissions from</w:t>
            </w:r>
            <w:r w:rsidR="00566669">
              <w:rPr>
                <w:rFonts w:cstheme="minorHAnsi"/>
              </w:rPr>
              <w:t xml:space="preserve"> new oil and gas fields </w:t>
            </w:r>
            <w:r w:rsidR="005A18D7">
              <w:rPr>
                <w:rFonts w:cstheme="minorHAnsi"/>
              </w:rPr>
              <w:t>that supply an LNG facility.</w:t>
            </w:r>
          </w:p>
          <w:p w14:paraId="50A4552D" w14:textId="40D431B1" w:rsidR="005855A8" w:rsidRPr="008471C3" w:rsidRDefault="005855A8" w:rsidP="00C537F6">
            <w:pPr>
              <w:pStyle w:val="ListParagraph"/>
              <w:spacing w:before="60" w:after="60"/>
              <w:ind w:left="360"/>
              <w:rPr>
                <w:rFonts w:cstheme="minorHAnsi"/>
              </w:rPr>
            </w:pPr>
          </w:p>
        </w:tc>
      </w:tr>
      <w:tr w:rsidR="005855A8" w:rsidRPr="00F87ED6" w14:paraId="29170FB7" w14:textId="77777777" w:rsidTr="00CF477B">
        <w:trPr>
          <w:trHeight w:val="73"/>
        </w:trPr>
        <w:tc>
          <w:tcPr>
            <w:tcW w:w="22675" w:type="dxa"/>
            <w:gridSpan w:val="9"/>
            <w:tcBorders>
              <w:right w:val="single" w:sz="4" w:space="0" w:color="auto"/>
            </w:tcBorders>
            <w:shd w:val="clear" w:color="auto" w:fill="F2F2F2" w:themeFill="background1" w:themeFillShade="F2"/>
          </w:tcPr>
          <w:p w14:paraId="6B9AB4CD" w14:textId="77777777" w:rsidR="005855A8" w:rsidRPr="00F87ED6" w:rsidRDefault="005855A8" w:rsidP="005855A8">
            <w:pPr>
              <w:spacing w:before="60" w:after="60"/>
              <w:jc w:val="center"/>
              <w:rPr>
                <w:rFonts w:cstheme="minorHAnsi"/>
                <w:b/>
              </w:rPr>
            </w:pPr>
            <w:r>
              <w:rPr>
                <w:rFonts w:cstheme="minorHAnsi"/>
                <w:b/>
              </w:rPr>
              <w:t>Flexible compliance options</w:t>
            </w:r>
          </w:p>
        </w:tc>
      </w:tr>
      <w:tr w:rsidR="005855A8" w:rsidRPr="00F87ED6" w14:paraId="30023DF3" w14:textId="77777777" w:rsidTr="00984B71">
        <w:trPr>
          <w:trHeight w:val="70"/>
        </w:trPr>
        <w:tc>
          <w:tcPr>
            <w:tcW w:w="2404" w:type="dxa"/>
          </w:tcPr>
          <w:p w14:paraId="74C2A10A" w14:textId="77777777" w:rsidR="005855A8" w:rsidRPr="00E90F35" w:rsidRDefault="005855A8" w:rsidP="005855A8">
            <w:pPr>
              <w:spacing w:before="60" w:after="60"/>
              <w:rPr>
                <w:rFonts w:cstheme="minorHAnsi"/>
              </w:rPr>
            </w:pPr>
            <w:r>
              <w:rPr>
                <w:rFonts w:cstheme="minorHAnsi"/>
              </w:rPr>
              <w:t>Crediting and trading</w:t>
            </w:r>
          </w:p>
        </w:tc>
        <w:tc>
          <w:tcPr>
            <w:tcW w:w="2553" w:type="dxa"/>
          </w:tcPr>
          <w:p w14:paraId="69A8FA5C" w14:textId="77777777" w:rsidR="005855A8" w:rsidRPr="00F87ED6" w:rsidRDefault="005855A8" w:rsidP="005855A8">
            <w:pPr>
              <w:spacing w:before="60" w:after="60"/>
              <w:jc w:val="center"/>
              <w:rPr>
                <w:rFonts w:cstheme="minorHAnsi"/>
              </w:rPr>
            </w:pPr>
            <w:r w:rsidRPr="00F87ED6">
              <w:rPr>
                <w:rFonts w:cstheme="minorHAnsi"/>
              </w:rPr>
              <w:t>n/a</w:t>
            </w:r>
          </w:p>
        </w:tc>
        <w:tc>
          <w:tcPr>
            <w:tcW w:w="7796" w:type="dxa"/>
            <w:gridSpan w:val="6"/>
            <w:shd w:val="clear" w:color="auto" w:fill="FFFFFF" w:themeFill="background1"/>
          </w:tcPr>
          <w:p w14:paraId="129993D6" w14:textId="77777777" w:rsidR="005855A8" w:rsidRPr="00F87ED6" w:rsidRDefault="005855A8" w:rsidP="005855A8">
            <w:pPr>
              <w:spacing w:before="60" w:after="60"/>
              <w:jc w:val="center"/>
              <w:rPr>
                <w:rFonts w:cstheme="minorHAnsi"/>
              </w:rPr>
            </w:pPr>
            <w:r w:rsidRPr="009B1DD8">
              <w:rPr>
                <w:rFonts w:cstheme="minorHAnsi"/>
              </w:rPr>
              <w:t>Permitted</w:t>
            </w:r>
          </w:p>
        </w:tc>
        <w:tc>
          <w:tcPr>
            <w:tcW w:w="9922" w:type="dxa"/>
            <w:tcBorders>
              <w:right w:val="single" w:sz="4" w:space="0" w:color="auto"/>
            </w:tcBorders>
            <w:shd w:val="clear" w:color="auto" w:fill="FFFFFF" w:themeFill="background1"/>
          </w:tcPr>
          <w:p w14:paraId="28C92840" w14:textId="77777777" w:rsidR="005855A8" w:rsidRPr="008F2CD0" w:rsidRDefault="006010FD" w:rsidP="005855A8">
            <w:pPr>
              <w:pStyle w:val="ListParagraph"/>
              <w:numPr>
                <w:ilvl w:val="0"/>
                <w:numId w:val="32"/>
              </w:numPr>
              <w:spacing w:before="60" w:after="60"/>
              <w:rPr>
                <w:rFonts w:cstheme="minorHAnsi"/>
              </w:rPr>
            </w:pPr>
            <w:r>
              <w:rPr>
                <w:rFonts w:cstheme="minorHAnsi"/>
              </w:rPr>
              <w:t xml:space="preserve">The </w:t>
            </w:r>
            <w:r w:rsidR="00E35EC6">
              <w:rPr>
                <w:rFonts w:cstheme="minorHAnsi"/>
              </w:rPr>
              <w:t>SMC market i</w:t>
            </w:r>
            <w:r w:rsidR="005855A8" w:rsidRPr="008F2CD0">
              <w:rPr>
                <w:rFonts w:cstheme="minorHAnsi"/>
              </w:rPr>
              <w:t xml:space="preserve">ntroduces an additional source of flexibility by allowing facilities to generate tradeable credits specific to the </w:t>
            </w:r>
            <w:r>
              <w:rPr>
                <w:rFonts w:cstheme="minorHAnsi"/>
              </w:rPr>
              <w:t>Safeguard Mechanism</w:t>
            </w:r>
            <w:r w:rsidRPr="008F2CD0">
              <w:rPr>
                <w:rFonts w:cstheme="minorHAnsi"/>
              </w:rPr>
              <w:t xml:space="preserve"> </w:t>
            </w:r>
            <w:r w:rsidR="005855A8" w:rsidRPr="008F2CD0">
              <w:rPr>
                <w:rFonts w:cstheme="minorHAnsi"/>
              </w:rPr>
              <w:t>when their emissions fall below their baseline</w:t>
            </w:r>
            <w:r>
              <w:rPr>
                <w:rFonts w:cstheme="minorHAnsi"/>
              </w:rPr>
              <w:t>. This incentivises and rewards facilities that undertake additional abatement and</w:t>
            </w:r>
            <w:r w:rsidR="005855A8" w:rsidRPr="008F2CD0">
              <w:rPr>
                <w:rFonts w:cstheme="minorHAnsi"/>
              </w:rPr>
              <w:t xml:space="preserve"> allow</w:t>
            </w:r>
            <w:r>
              <w:rPr>
                <w:rFonts w:cstheme="minorHAnsi"/>
              </w:rPr>
              <w:t>s</w:t>
            </w:r>
            <w:r w:rsidR="005855A8" w:rsidRPr="008F2CD0">
              <w:rPr>
                <w:rFonts w:cstheme="minorHAnsi"/>
              </w:rPr>
              <w:t xml:space="preserve"> businesses </w:t>
            </w:r>
            <w:r>
              <w:rPr>
                <w:rFonts w:cstheme="minorHAnsi"/>
              </w:rPr>
              <w:t xml:space="preserve">another method </w:t>
            </w:r>
            <w:r w:rsidR="005855A8" w:rsidRPr="008F2CD0">
              <w:rPr>
                <w:rFonts w:cstheme="minorHAnsi"/>
              </w:rPr>
              <w:t>to manage compliance costs as baselines decline.</w:t>
            </w:r>
          </w:p>
          <w:p w14:paraId="4819D8DF" w14:textId="77777777" w:rsidR="005855A8" w:rsidRPr="008F2CD0" w:rsidRDefault="005855A8" w:rsidP="005855A8">
            <w:pPr>
              <w:pStyle w:val="ListParagraph"/>
              <w:numPr>
                <w:ilvl w:val="0"/>
                <w:numId w:val="32"/>
              </w:numPr>
              <w:spacing w:before="60" w:after="60"/>
              <w:rPr>
                <w:rFonts w:cstheme="minorHAnsi"/>
              </w:rPr>
            </w:pPr>
            <w:r w:rsidRPr="008F2CD0">
              <w:rPr>
                <w:rFonts w:cstheme="minorHAnsi"/>
              </w:rPr>
              <w:t xml:space="preserve">The Clean Energy Regulator will automatically issue </w:t>
            </w:r>
            <w:r w:rsidR="00A93C39">
              <w:rPr>
                <w:rFonts w:cstheme="minorHAnsi"/>
              </w:rPr>
              <w:t>S</w:t>
            </w:r>
            <w:r w:rsidRPr="008F2CD0">
              <w:rPr>
                <w:rFonts w:cstheme="minorHAnsi"/>
              </w:rPr>
              <w:t xml:space="preserve">MCs to facilities with emissions below their Safeguard Mechanism baseline. The </w:t>
            </w:r>
            <w:proofErr w:type="spellStart"/>
            <w:r w:rsidRPr="008F2CD0">
              <w:rPr>
                <w:rFonts w:cstheme="minorHAnsi"/>
              </w:rPr>
              <w:t>CER</w:t>
            </w:r>
            <w:proofErr w:type="spellEnd"/>
            <w:r w:rsidRPr="008F2CD0">
              <w:rPr>
                <w:rFonts w:cstheme="minorHAnsi"/>
              </w:rPr>
              <w:t xml:space="preserve"> will incur administrative costs to issue SMC credits, as well as for ongoing monitoring and audit</w:t>
            </w:r>
            <w:r w:rsidR="001F013F">
              <w:rPr>
                <w:rFonts w:cstheme="minorHAnsi"/>
              </w:rPr>
              <w:t xml:space="preserve"> requirements</w:t>
            </w:r>
            <w:r w:rsidRPr="008F2CD0">
              <w:rPr>
                <w:rFonts w:cstheme="minorHAnsi"/>
              </w:rPr>
              <w:t>.</w:t>
            </w:r>
          </w:p>
          <w:p w14:paraId="22A1B0A4" w14:textId="4CB468A0" w:rsidR="005855A8" w:rsidRPr="008F2CD0" w:rsidRDefault="005855A8" w:rsidP="00915B43">
            <w:pPr>
              <w:pStyle w:val="ListParagraph"/>
              <w:numPr>
                <w:ilvl w:val="0"/>
                <w:numId w:val="32"/>
              </w:numPr>
              <w:spacing w:before="60" w:after="60"/>
              <w:rPr>
                <w:rFonts w:cstheme="minorHAnsi"/>
              </w:rPr>
            </w:pPr>
            <w:r w:rsidRPr="008F2CD0">
              <w:rPr>
                <w:rFonts w:cstheme="minorHAnsi"/>
              </w:rPr>
              <w:t xml:space="preserve">Facilities </w:t>
            </w:r>
            <w:r w:rsidR="00915B43">
              <w:rPr>
                <w:rFonts w:cstheme="minorHAnsi"/>
              </w:rPr>
              <w:t>that have been covered by the Safeguard Mechanism for at least three years</w:t>
            </w:r>
            <w:r w:rsidR="00915B43" w:rsidRPr="008F2CD0">
              <w:rPr>
                <w:rFonts w:cstheme="minorHAnsi"/>
              </w:rPr>
              <w:t xml:space="preserve"> </w:t>
            </w:r>
            <w:r w:rsidRPr="008F2CD0">
              <w:rPr>
                <w:rFonts w:cstheme="minorHAnsi"/>
              </w:rPr>
              <w:t xml:space="preserve">that fall below the coverage threshold </w:t>
            </w:r>
            <w:r>
              <w:rPr>
                <w:rFonts w:cstheme="minorHAnsi"/>
              </w:rPr>
              <w:t>will</w:t>
            </w:r>
            <w:r w:rsidRPr="008F2CD0">
              <w:rPr>
                <w:rFonts w:cstheme="minorHAnsi"/>
              </w:rPr>
              <w:t xml:space="preserve"> </w:t>
            </w:r>
            <w:r w:rsidR="00915B43">
              <w:rPr>
                <w:rFonts w:cstheme="minorHAnsi"/>
              </w:rPr>
              <w:t xml:space="preserve">be able to opt-in </w:t>
            </w:r>
            <w:r w:rsidRPr="008F2CD0">
              <w:rPr>
                <w:rFonts w:cstheme="minorHAnsi"/>
              </w:rPr>
              <w:t>to receive credits for</w:t>
            </w:r>
            <w:r w:rsidRPr="008F2CD0" w:rsidDel="00A93C39">
              <w:rPr>
                <w:rFonts w:cstheme="minorHAnsi"/>
              </w:rPr>
              <w:t xml:space="preserve"> </w:t>
            </w:r>
            <w:r w:rsidR="00915B43">
              <w:rPr>
                <w:rFonts w:cstheme="minorHAnsi"/>
              </w:rPr>
              <w:t>up to 10</w:t>
            </w:r>
            <w:r w:rsidRPr="008F2CD0">
              <w:rPr>
                <w:rFonts w:cstheme="minorHAnsi"/>
              </w:rPr>
              <w:t xml:space="preserve"> year</w:t>
            </w:r>
            <w:r w:rsidR="001F013F">
              <w:rPr>
                <w:rFonts w:cstheme="minorHAnsi"/>
              </w:rPr>
              <w:t>s</w:t>
            </w:r>
            <w:r w:rsidRPr="008F2CD0">
              <w:rPr>
                <w:rFonts w:cstheme="minorHAnsi"/>
              </w:rPr>
              <w:t xml:space="preserve">, </w:t>
            </w:r>
            <w:r w:rsidR="00EC631E">
              <w:rPr>
                <w:rFonts w:cstheme="minorHAnsi"/>
              </w:rPr>
              <w:t xml:space="preserve">noting that their baselines will continue to decline, </w:t>
            </w:r>
            <w:r w:rsidRPr="008F2CD0">
              <w:rPr>
                <w:rFonts w:cstheme="minorHAnsi"/>
              </w:rPr>
              <w:t>retaining incentives to pursue further abatement</w:t>
            </w:r>
            <w:r w:rsidR="001F013F">
              <w:rPr>
                <w:rFonts w:cstheme="minorHAnsi"/>
              </w:rPr>
              <w:t xml:space="preserve"> and not wind-back any actions</w:t>
            </w:r>
            <w:r w:rsidRPr="008F2CD0">
              <w:rPr>
                <w:rFonts w:cstheme="minorHAnsi"/>
              </w:rPr>
              <w:t>.</w:t>
            </w:r>
          </w:p>
        </w:tc>
      </w:tr>
      <w:tr w:rsidR="005855A8" w:rsidRPr="00F87ED6" w14:paraId="386F02EF" w14:textId="77777777" w:rsidTr="00984B71">
        <w:trPr>
          <w:trHeight w:val="70"/>
        </w:trPr>
        <w:tc>
          <w:tcPr>
            <w:tcW w:w="2404" w:type="dxa"/>
          </w:tcPr>
          <w:p w14:paraId="610F59DC" w14:textId="77777777" w:rsidR="005855A8" w:rsidRDefault="005855A8" w:rsidP="005855A8">
            <w:pPr>
              <w:spacing w:before="60" w:after="60"/>
              <w:rPr>
                <w:rFonts w:cstheme="minorHAnsi"/>
              </w:rPr>
            </w:pPr>
            <w:r>
              <w:rPr>
                <w:rFonts w:cstheme="minorHAnsi"/>
              </w:rPr>
              <w:t>Intertemporal flexibility –banking and borrowing</w:t>
            </w:r>
          </w:p>
        </w:tc>
        <w:tc>
          <w:tcPr>
            <w:tcW w:w="2553" w:type="dxa"/>
          </w:tcPr>
          <w:p w14:paraId="24F72ACF" w14:textId="77777777" w:rsidR="005855A8" w:rsidRPr="00F87ED6" w:rsidRDefault="005855A8" w:rsidP="005855A8">
            <w:pPr>
              <w:spacing w:before="60" w:after="60"/>
              <w:jc w:val="center"/>
              <w:rPr>
                <w:rFonts w:cstheme="minorHAnsi"/>
              </w:rPr>
            </w:pPr>
            <w:r>
              <w:rPr>
                <w:rFonts w:cstheme="minorHAnsi"/>
              </w:rPr>
              <w:t>n/a</w:t>
            </w:r>
          </w:p>
        </w:tc>
        <w:tc>
          <w:tcPr>
            <w:tcW w:w="5244" w:type="dxa"/>
            <w:gridSpan w:val="5"/>
            <w:shd w:val="clear" w:color="auto" w:fill="FFFFFF" w:themeFill="background1"/>
          </w:tcPr>
          <w:p w14:paraId="39321187" w14:textId="77777777" w:rsidR="005855A8" w:rsidRPr="009B1DD8" w:rsidRDefault="005855A8" w:rsidP="005855A8">
            <w:pPr>
              <w:spacing w:before="60" w:after="60"/>
              <w:jc w:val="center"/>
              <w:rPr>
                <w:rFonts w:cstheme="minorHAnsi"/>
              </w:rPr>
            </w:pPr>
            <w:r>
              <w:rPr>
                <w:rFonts w:cstheme="minorHAnsi"/>
              </w:rPr>
              <w:t>Banking within but not between phases (see timing and process for reform delivery)</w:t>
            </w:r>
          </w:p>
        </w:tc>
        <w:tc>
          <w:tcPr>
            <w:tcW w:w="2552" w:type="dxa"/>
            <w:shd w:val="clear" w:color="auto" w:fill="FFFFFF" w:themeFill="background1"/>
          </w:tcPr>
          <w:p w14:paraId="50D74913" w14:textId="77777777" w:rsidR="00EE42DA" w:rsidRDefault="005855A8" w:rsidP="005855A8">
            <w:pPr>
              <w:pStyle w:val="ListParagraph"/>
              <w:numPr>
                <w:ilvl w:val="0"/>
                <w:numId w:val="37"/>
              </w:numPr>
              <w:spacing w:before="60" w:after="60"/>
              <w:rPr>
                <w:rFonts w:cstheme="minorHAnsi"/>
              </w:rPr>
            </w:pPr>
            <w:r w:rsidRPr="00D06D3F">
              <w:rPr>
                <w:rFonts w:cstheme="minorHAnsi"/>
              </w:rPr>
              <w:t>Unlimited banking of SMCs to 2030.</w:t>
            </w:r>
          </w:p>
          <w:p w14:paraId="6E1B405B" w14:textId="77777777" w:rsidR="005855A8" w:rsidRPr="00D06D3F" w:rsidRDefault="005855A8" w:rsidP="005855A8">
            <w:pPr>
              <w:pStyle w:val="ListParagraph"/>
              <w:numPr>
                <w:ilvl w:val="0"/>
                <w:numId w:val="37"/>
              </w:numPr>
              <w:spacing w:before="60" w:after="60"/>
              <w:rPr>
                <w:rFonts w:cstheme="minorHAnsi"/>
              </w:rPr>
            </w:pPr>
            <w:r w:rsidRPr="00D06D3F">
              <w:rPr>
                <w:rFonts w:cstheme="minorHAnsi"/>
              </w:rPr>
              <w:t xml:space="preserve">Borrowing up to 10 per cent each year to 2030 with a </w:t>
            </w:r>
            <w:r w:rsidR="00CB70AB">
              <w:rPr>
                <w:rFonts w:cstheme="minorHAnsi"/>
              </w:rPr>
              <w:t>2</w:t>
            </w:r>
            <w:r w:rsidR="00CB70AB" w:rsidRPr="00D06D3F">
              <w:rPr>
                <w:rFonts w:cstheme="minorHAnsi"/>
              </w:rPr>
              <w:t xml:space="preserve"> </w:t>
            </w:r>
            <w:r w:rsidRPr="00D06D3F">
              <w:rPr>
                <w:rFonts w:cstheme="minorHAnsi"/>
              </w:rPr>
              <w:t>per cent interest rate applied in the following year</w:t>
            </w:r>
            <w:r w:rsidR="00CB70AB">
              <w:rPr>
                <w:rFonts w:cstheme="minorHAnsi"/>
              </w:rPr>
              <w:t xml:space="preserve"> for </w:t>
            </w:r>
            <w:r w:rsidR="00CB70AB">
              <w:rPr>
                <w:rFonts w:cstheme="minorHAnsi"/>
              </w:rPr>
              <w:lastRenderedPageBreak/>
              <w:t>the first two years and 10 per cent thereafter</w:t>
            </w:r>
            <w:r w:rsidRPr="00D06D3F">
              <w:rPr>
                <w:rFonts w:cstheme="minorHAnsi"/>
              </w:rPr>
              <w:t>.</w:t>
            </w:r>
          </w:p>
          <w:p w14:paraId="2680D6D3" w14:textId="77777777" w:rsidR="005855A8" w:rsidRPr="00D06D3F" w:rsidRDefault="005855A8" w:rsidP="005855A8">
            <w:pPr>
              <w:pStyle w:val="ListParagraph"/>
              <w:numPr>
                <w:ilvl w:val="0"/>
                <w:numId w:val="37"/>
              </w:numPr>
              <w:spacing w:before="60" w:after="60"/>
              <w:rPr>
                <w:rFonts w:cstheme="minorHAnsi"/>
              </w:rPr>
            </w:pPr>
            <w:r w:rsidRPr="00D06D3F">
              <w:rPr>
                <w:rFonts w:cstheme="minorHAnsi"/>
              </w:rPr>
              <w:t xml:space="preserve">The Government will consider banking and borrowing arrangement post-2030 in the </w:t>
            </w:r>
            <w:r w:rsidR="003326DF">
              <w:rPr>
                <w:rFonts w:cstheme="minorHAnsi"/>
              </w:rPr>
              <w:t>2026-27</w:t>
            </w:r>
            <w:r w:rsidRPr="00D06D3F">
              <w:rPr>
                <w:rFonts w:cstheme="minorHAnsi"/>
              </w:rPr>
              <w:t xml:space="preserve"> review.</w:t>
            </w:r>
          </w:p>
        </w:tc>
        <w:tc>
          <w:tcPr>
            <w:tcW w:w="9922" w:type="dxa"/>
            <w:tcBorders>
              <w:right w:val="single" w:sz="4" w:space="0" w:color="auto"/>
            </w:tcBorders>
            <w:shd w:val="clear" w:color="auto" w:fill="FFFFFF" w:themeFill="background1"/>
          </w:tcPr>
          <w:p w14:paraId="37BE288E" w14:textId="77777777" w:rsidR="005855A8" w:rsidRDefault="005855A8" w:rsidP="005855A8">
            <w:pPr>
              <w:pStyle w:val="ListParagraph"/>
              <w:numPr>
                <w:ilvl w:val="0"/>
                <w:numId w:val="32"/>
              </w:numPr>
              <w:spacing w:before="60" w:after="60"/>
              <w:rPr>
                <w:rFonts w:cstheme="minorHAnsi"/>
              </w:rPr>
            </w:pPr>
            <w:r>
              <w:rPr>
                <w:rFonts w:cstheme="minorHAnsi"/>
              </w:rPr>
              <w:lastRenderedPageBreak/>
              <w:t xml:space="preserve">Banking provisions promote price stability, as prices then reflect present supply and demand as well as expectations of future supply and demand. </w:t>
            </w:r>
          </w:p>
          <w:p w14:paraId="1526A981" w14:textId="77777777" w:rsidR="005855A8" w:rsidRDefault="005855A8" w:rsidP="005855A8">
            <w:pPr>
              <w:pStyle w:val="ListParagraph"/>
              <w:numPr>
                <w:ilvl w:val="0"/>
                <w:numId w:val="32"/>
              </w:numPr>
              <w:spacing w:before="60" w:after="60"/>
              <w:rPr>
                <w:rFonts w:cstheme="minorHAnsi"/>
              </w:rPr>
            </w:pPr>
            <w:r>
              <w:rPr>
                <w:rFonts w:cstheme="minorHAnsi"/>
              </w:rPr>
              <w:t xml:space="preserve">Under Options 1 and 2, with </w:t>
            </w:r>
            <w:r w:rsidR="004E3EB6">
              <w:rPr>
                <w:rFonts w:cstheme="minorHAnsi"/>
              </w:rPr>
              <w:t xml:space="preserve">a </w:t>
            </w:r>
            <w:r>
              <w:rPr>
                <w:rFonts w:cstheme="minorHAnsi"/>
              </w:rPr>
              <w:t xml:space="preserve">phased approach for banking, limited banking could encourage liquidity of the SMC market. </w:t>
            </w:r>
          </w:p>
          <w:p w14:paraId="07416C25" w14:textId="54FFF80F" w:rsidR="005855A8" w:rsidRDefault="005855A8" w:rsidP="005855A8">
            <w:pPr>
              <w:pStyle w:val="ListParagraph"/>
              <w:numPr>
                <w:ilvl w:val="0"/>
                <w:numId w:val="32"/>
              </w:numPr>
              <w:spacing w:before="60" w:after="60"/>
              <w:rPr>
                <w:rFonts w:cstheme="minorHAnsi"/>
              </w:rPr>
            </w:pPr>
            <w:r>
              <w:rPr>
                <w:rFonts w:cstheme="minorHAnsi"/>
              </w:rPr>
              <w:t xml:space="preserve">Under Options 1 and 2, with banking not permitted between phases, SMC prices could potentially become unstable at the end of the phase. SMC price uncertainty could increase risks and financing costs associated with </w:t>
            </w:r>
            <w:r>
              <w:rPr>
                <w:rFonts w:cstheme="minorHAnsi"/>
              </w:rPr>
              <w:lastRenderedPageBreak/>
              <w:t>investment in abatement opportunities Under Option 3, it is proposed</w:t>
            </w:r>
            <w:r w:rsidRPr="002D5700">
              <w:rPr>
                <w:rFonts w:cstheme="minorHAnsi"/>
              </w:rPr>
              <w:t xml:space="preserve"> to allow unlimited banking to 2030</w:t>
            </w:r>
            <w:r w:rsidR="004E3EB6">
              <w:rPr>
                <w:rFonts w:cstheme="minorHAnsi"/>
              </w:rPr>
              <w:t xml:space="preserve">, with the 2026/26 review to </w:t>
            </w:r>
            <w:r w:rsidR="00915B43">
              <w:rPr>
                <w:rFonts w:cstheme="minorHAnsi"/>
              </w:rPr>
              <w:t xml:space="preserve">consider post-2030 arrangements. </w:t>
            </w:r>
          </w:p>
          <w:p w14:paraId="73DE7658" w14:textId="77777777" w:rsidR="005855A8" w:rsidRPr="008F2CD0" w:rsidRDefault="000A0B66" w:rsidP="000A0B66">
            <w:pPr>
              <w:pStyle w:val="ListParagraph"/>
              <w:numPr>
                <w:ilvl w:val="0"/>
                <w:numId w:val="32"/>
              </w:numPr>
              <w:spacing w:before="60" w:after="60"/>
              <w:rPr>
                <w:rFonts w:cstheme="minorHAnsi"/>
              </w:rPr>
            </w:pPr>
            <w:r>
              <w:rPr>
                <w:rFonts w:cstheme="minorHAnsi"/>
              </w:rPr>
              <w:t>I</w:t>
            </w:r>
            <w:r w:rsidR="005855A8">
              <w:rPr>
                <w:rFonts w:cstheme="minorHAnsi"/>
              </w:rPr>
              <w:t xml:space="preserve">t is proposed that </w:t>
            </w:r>
            <w:r w:rsidR="004E3EB6">
              <w:rPr>
                <w:rFonts w:cstheme="minorHAnsi"/>
              </w:rPr>
              <w:t xml:space="preserve">facilities be permitted to borrow up to ten per cent of their current baseline, and face a </w:t>
            </w:r>
            <w:r w:rsidR="002A3505">
              <w:rPr>
                <w:rFonts w:cstheme="minorHAnsi"/>
              </w:rPr>
              <w:t xml:space="preserve">two </w:t>
            </w:r>
            <w:r w:rsidR="004E3EB6">
              <w:rPr>
                <w:rFonts w:cstheme="minorHAnsi"/>
              </w:rPr>
              <w:t>per cent interest rate</w:t>
            </w:r>
            <w:r w:rsidR="002A3505">
              <w:rPr>
                <w:rFonts w:cstheme="minorHAnsi"/>
              </w:rPr>
              <w:t xml:space="preserve"> for the first two years and 10 per cent thereafter</w:t>
            </w:r>
            <w:r w:rsidR="004E3EB6">
              <w:rPr>
                <w:rFonts w:cstheme="minorHAnsi"/>
              </w:rPr>
              <w:t>. B</w:t>
            </w:r>
            <w:r w:rsidR="005855A8">
              <w:rPr>
                <w:rFonts w:cstheme="minorHAnsi"/>
              </w:rPr>
              <w:t xml:space="preserve">orrowing provisions </w:t>
            </w:r>
            <w:r w:rsidR="004E3EB6">
              <w:rPr>
                <w:rFonts w:cstheme="minorHAnsi"/>
              </w:rPr>
              <w:t xml:space="preserve">will be </w:t>
            </w:r>
            <w:r w:rsidR="005855A8">
              <w:rPr>
                <w:rFonts w:cstheme="minorHAnsi"/>
              </w:rPr>
              <w:t>considered in the</w:t>
            </w:r>
            <w:r w:rsidR="005855A8" w:rsidRPr="002D5700">
              <w:rPr>
                <w:rFonts w:cstheme="minorHAnsi"/>
              </w:rPr>
              <w:t xml:space="preserve"> </w:t>
            </w:r>
            <w:r w:rsidR="003326DF">
              <w:rPr>
                <w:rFonts w:cstheme="minorHAnsi"/>
              </w:rPr>
              <w:t>2026-27</w:t>
            </w:r>
            <w:r w:rsidR="005855A8" w:rsidRPr="002D5700">
              <w:rPr>
                <w:rFonts w:cstheme="minorHAnsi"/>
              </w:rPr>
              <w:t xml:space="preserve"> Safeguard Mechanism review.</w:t>
            </w:r>
          </w:p>
        </w:tc>
      </w:tr>
      <w:tr w:rsidR="005855A8" w:rsidRPr="00F87ED6" w14:paraId="6F92201D" w14:textId="77777777" w:rsidTr="00984B71">
        <w:trPr>
          <w:trHeight w:val="70"/>
        </w:trPr>
        <w:tc>
          <w:tcPr>
            <w:tcW w:w="2404" w:type="dxa"/>
          </w:tcPr>
          <w:p w14:paraId="15D05322" w14:textId="77777777" w:rsidR="005855A8" w:rsidRDefault="00EE42DA" w:rsidP="00EE42DA">
            <w:pPr>
              <w:spacing w:before="60" w:after="60"/>
              <w:rPr>
                <w:rFonts w:cstheme="minorHAnsi"/>
              </w:rPr>
            </w:pPr>
            <w:r>
              <w:rPr>
                <w:rFonts w:cstheme="minorHAnsi"/>
              </w:rPr>
              <w:lastRenderedPageBreak/>
              <w:t>Domestic o</w:t>
            </w:r>
            <w:r w:rsidR="005855A8" w:rsidRPr="00C056E8">
              <w:rPr>
                <w:rFonts w:cstheme="minorHAnsi"/>
              </w:rPr>
              <w:t xml:space="preserve">ffsets: </w:t>
            </w:r>
            <w:proofErr w:type="spellStart"/>
            <w:r w:rsidR="005855A8" w:rsidRPr="00C056E8">
              <w:rPr>
                <w:rFonts w:cstheme="minorHAnsi"/>
              </w:rPr>
              <w:t>ACCUs</w:t>
            </w:r>
            <w:proofErr w:type="spellEnd"/>
          </w:p>
        </w:tc>
        <w:tc>
          <w:tcPr>
            <w:tcW w:w="2553" w:type="dxa"/>
          </w:tcPr>
          <w:p w14:paraId="7411FDB0" w14:textId="77777777" w:rsidR="005855A8" w:rsidRPr="00F87ED6" w:rsidRDefault="005855A8" w:rsidP="005855A8">
            <w:pPr>
              <w:spacing w:before="60" w:after="60"/>
              <w:jc w:val="center"/>
              <w:rPr>
                <w:rFonts w:cstheme="minorHAnsi"/>
              </w:rPr>
            </w:pPr>
            <w:r>
              <w:rPr>
                <w:rFonts w:cstheme="minorHAnsi"/>
              </w:rPr>
              <w:t xml:space="preserve">Permitted </w:t>
            </w:r>
          </w:p>
        </w:tc>
        <w:tc>
          <w:tcPr>
            <w:tcW w:w="7796" w:type="dxa"/>
            <w:gridSpan w:val="6"/>
            <w:shd w:val="clear" w:color="auto" w:fill="FFFFFF" w:themeFill="background1"/>
          </w:tcPr>
          <w:p w14:paraId="713E4DEF" w14:textId="77777777" w:rsidR="005855A8" w:rsidRPr="009B1DD8" w:rsidRDefault="005855A8" w:rsidP="005855A8">
            <w:pPr>
              <w:spacing w:before="60" w:after="60"/>
              <w:jc w:val="center"/>
              <w:rPr>
                <w:rFonts w:cstheme="minorHAnsi"/>
              </w:rPr>
            </w:pPr>
            <w:r w:rsidRPr="00F87ED6">
              <w:rPr>
                <w:rFonts w:cstheme="minorHAnsi"/>
              </w:rPr>
              <w:t xml:space="preserve">Permitted </w:t>
            </w:r>
            <w:r>
              <w:rPr>
                <w:rFonts w:cstheme="minorHAnsi"/>
              </w:rPr>
              <w:t xml:space="preserve">with enhanced transparency on </w:t>
            </w:r>
            <w:proofErr w:type="spellStart"/>
            <w:r>
              <w:rPr>
                <w:rFonts w:cstheme="minorHAnsi"/>
              </w:rPr>
              <w:t>ACCU</w:t>
            </w:r>
            <w:proofErr w:type="spellEnd"/>
            <w:r>
              <w:rPr>
                <w:rFonts w:cstheme="minorHAnsi"/>
              </w:rPr>
              <w:t xml:space="preserve"> </w:t>
            </w:r>
            <w:r w:rsidR="00EE42DA" w:rsidRPr="00EE42DA">
              <w:rPr>
                <w:rFonts w:cstheme="minorHAnsi"/>
              </w:rPr>
              <w:t xml:space="preserve">and SMC issuance, use and </w:t>
            </w:r>
            <w:r w:rsidDel="00EE42DA">
              <w:rPr>
                <w:rFonts w:cstheme="minorHAnsi"/>
              </w:rPr>
              <w:t>holdings</w:t>
            </w:r>
          </w:p>
        </w:tc>
        <w:tc>
          <w:tcPr>
            <w:tcW w:w="9922" w:type="dxa"/>
            <w:tcBorders>
              <w:right w:val="single" w:sz="4" w:space="0" w:color="auto"/>
            </w:tcBorders>
            <w:shd w:val="clear" w:color="auto" w:fill="FFFFFF" w:themeFill="background1"/>
          </w:tcPr>
          <w:p w14:paraId="7E40B38B" w14:textId="77777777" w:rsidR="00EE42DA" w:rsidRDefault="00EE42DA" w:rsidP="005855A8">
            <w:pPr>
              <w:pStyle w:val="ListParagraph"/>
              <w:numPr>
                <w:ilvl w:val="0"/>
                <w:numId w:val="32"/>
              </w:numPr>
              <w:spacing w:before="60" w:after="60"/>
              <w:rPr>
                <w:rFonts w:cstheme="minorHAnsi"/>
              </w:rPr>
            </w:pPr>
            <w:r>
              <w:rPr>
                <w:rFonts w:cstheme="minorHAnsi"/>
              </w:rPr>
              <w:t xml:space="preserve">Under all options, including </w:t>
            </w:r>
            <w:proofErr w:type="spellStart"/>
            <w:r>
              <w:rPr>
                <w:rFonts w:cstheme="minorHAnsi"/>
              </w:rPr>
              <w:t>BAU</w:t>
            </w:r>
            <w:proofErr w:type="spellEnd"/>
            <w:r>
              <w:rPr>
                <w:rFonts w:cstheme="minorHAnsi"/>
              </w:rPr>
              <w:t>, access to domestic offsets (</w:t>
            </w:r>
            <w:proofErr w:type="spellStart"/>
            <w:r>
              <w:rPr>
                <w:rFonts w:cstheme="minorHAnsi"/>
              </w:rPr>
              <w:t>ACCUs</w:t>
            </w:r>
            <w:proofErr w:type="spellEnd"/>
            <w:r>
              <w:rPr>
                <w:rFonts w:cstheme="minorHAnsi"/>
              </w:rPr>
              <w:t>) will remain unchanged</w:t>
            </w:r>
          </w:p>
          <w:p w14:paraId="1334E717" w14:textId="77777777" w:rsidR="005855A8" w:rsidRPr="0042341D" w:rsidRDefault="002A3505" w:rsidP="00EE42DA">
            <w:pPr>
              <w:pStyle w:val="ListParagraph"/>
              <w:numPr>
                <w:ilvl w:val="0"/>
                <w:numId w:val="32"/>
              </w:numPr>
              <w:spacing w:before="60" w:after="60"/>
              <w:rPr>
                <w:rFonts w:cstheme="minorHAnsi"/>
              </w:rPr>
            </w:pPr>
            <w:r>
              <w:rPr>
                <w:rFonts w:cstheme="minorHAnsi"/>
              </w:rPr>
              <w:t xml:space="preserve">Under Option 3, the Clean Energy Regulator will publish the number and type of </w:t>
            </w:r>
            <w:proofErr w:type="spellStart"/>
            <w:r>
              <w:rPr>
                <w:rFonts w:cstheme="minorHAnsi"/>
              </w:rPr>
              <w:t>ACCUs</w:t>
            </w:r>
            <w:proofErr w:type="spellEnd"/>
            <w:r>
              <w:rPr>
                <w:rFonts w:cstheme="minorHAnsi"/>
              </w:rPr>
              <w:t xml:space="preserve"> and SMCs surrendered by a facility, including the method type for any </w:t>
            </w:r>
            <w:proofErr w:type="spellStart"/>
            <w:r>
              <w:rPr>
                <w:rFonts w:cstheme="minorHAnsi"/>
              </w:rPr>
              <w:t>ACCUS</w:t>
            </w:r>
            <w:proofErr w:type="spellEnd"/>
            <w:r>
              <w:rPr>
                <w:rFonts w:cstheme="minorHAnsi"/>
              </w:rPr>
              <w:t xml:space="preserve">. </w:t>
            </w:r>
            <w:r w:rsidR="009D6B85">
              <w:rPr>
                <w:rFonts w:cstheme="minorHAnsi"/>
              </w:rPr>
              <w:t xml:space="preserve">Facilities that surrender </w:t>
            </w:r>
            <w:proofErr w:type="spellStart"/>
            <w:r w:rsidR="009D6B85">
              <w:rPr>
                <w:rFonts w:cstheme="minorHAnsi"/>
              </w:rPr>
              <w:t>ACCUs</w:t>
            </w:r>
            <w:proofErr w:type="spellEnd"/>
            <w:r w:rsidR="009D6B85">
              <w:rPr>
                <w:rFonts w:cstheme="minorHAnsi"/>
              </w:rPr>
              <w:t xml:space="preserve"> equivalent to 30 per cent or more of their baselines will need to submit a statement on why more on-site abatement has not been undertaken.</w:t>
            </w:r>
          </w:p>
        </w:tc>
      </w:tr>
      <w:tr w:rsidR="005855A8" w:rsidRPr="00F87ED6" w14:paraId="05C90543" w14:textId="77777777" w:rsidTr="00984B71">
        <w:trPr>
          <w:trHeight w:val="70"/>
        </w:trPr>
        <w:tc>
          <w:tcPr>
            <w:tcW w:w="2404" w:type="dxa"/>
          </w:tcPr>
          <w:p w14:paraId="53E6F2AB" w14:textId="77777777" w:rsidR="005855A8" w:rsidRPr="00C056E8" w:rsidRDefault="005855A8" w:rsidP="005855A8">
            <w:pPr>
              <w:spacing w:before="60" w:after="60"/>
              <w:rPr>
                <w:rFonts w:cstheme="minorHAnsi"/>
              </w:rPr>
            </w:pPr>
            <w:r>
              <w:rPr>
                <w:rFonts w:cstheme="minorHAnsi"/>
              </w:rPr>
              <w:t>Intertemporal flexibility – multi-year monitoring period (</w:t>
            </w:r>
            <w:proofErr w:type="spellStart"/>
            <w:r>
              <w:rPr>
                <w:rFonts w:cstheme="minorHAnsi"/>
              </w:rPr>
              <w:t>MYMP</w:t>
            </w:r>
            <w:proofErr w:type="spellEnd"/>
            <w:r>
              <w:rPr>
                <w:rFonts w:cstheme="minorHAnsi"/>
              </w:rPr>
              <w:t>)</w:t>
            </w:r>
          </w:p>
        </w:tc>
        <w:tc>
          <w:tcPr>
            <w:tcW w:w="2553" w:type="dxa"/>
          </w:tcPr>
          <w:p w14:paraId="5DF866F5" w14:textId="77777777" w:rsidR="005855A8" w:rsidRDefault="005855A8" w:rsidP="005855A8">
            <w:pPr>
              <w:spacing w:before="60" w:after="60"/>
              <w:jc w:val="center"/>
              <w:rPr>
                <w:rFonts w:cstheme="minorHAnsi"/>
              </w:rPr>
            </w:pPr>
            <w:r>
              <w:rPr>
                <w:rFonts w:cstheme="minorHAnsi"/>
              </w:rPr>
              <w:t xml:space="preserve">2-3 year </w:t>
            </w:r>
            <w:proofErr w:type="spellStart"/>
            <w:r>
              <w:rPr>
                <w:rFonts w:cstheme="minorHAnsi"/>
              </w:rPr>
              <w:t>MYMP</w:t>
            </w:r>
            <w:proofErr w:type="spellEnd"/>
            <w:r>
              <w:rPr>
                <w:rFonts w:cstheme="minorHAnsi"/>
              </w:rPr>
              <w:t xml:space="preserve"> permitted</w:t>
            </w:r>
          </w:p>
        </w:tc>
        <w:tc>
          <w:tcPr>
            <w:tcW w:w="5244" w:type="dxa"/>
            <w:gridSpan w:val="5"/>
            <w:shd w:val="clear" w:color="auto" w:fill="FFFFFF" w:themeFill="background1"/>
          </w:tcPr>
          <w:p w14:paraId="1D92A0DE" w14:textId="77777777" w:rsidR="005855A8" w:rsidRDefault="005855A8" w:rsidP="005855A8">
            <w:pPr>
              <w:spacing w:before="60" w:after="60"/>
              <w:jc w:val="center"/>
              <w:rPr>
                <w:rFonts w:cstheme="minorHAnsi"/>
              </w:rPr>
            </w:pPr>
            <w:r>
              <w:rPr>
                <w:rFonts w:cstheme="minorHAnsi"/>
              </w:rPr>
              <w:t xml:space="preserve">Restricted access to </w:t>
            </w:r>
            <w:proofErr w:type="spellStart"/>
            <w:r>
              <w:rPr>
                <w:rFonts w:cstheme="minorHAnsi"/>
              </w:rPr>
              <w:t>MYMP</w:t>
            </w:r>
            <w:proofErr w:type="spellEnd"/>
            <w:r>
              <w:rPr>
                <w:rFonts w:cstheme="minorHAnsi"/>
              </w:rPr>
              <w:t xml:space="preserve"> for a 5 year period </w:t>
            </w:r>
          </w:p>
          <w:p w14:paraId="1D3232A7" w14:textId="77777777" w:rsidR="005855A8" w:rsidRPr="00F87ED6" w:rsidRDefault="005855A8" w:rsidP="005855A8">
            <w:pPr>
              <w:spacing w:before="60" w:after="60"/>
              <w:jc w:val="center"/>
              <w:rPr>
                <w:rFonts w:cstheme="minorHAnsi"/>
              </w:rPr>
            </w:pPr>
            <w:proofErr w:type="spellStart"/>
            <w:r>
              <w:rPr>
                <w:rFonts w:cstheme="minorHAnsi"/>
              </w:rPr>
              <w:t>MYMP</w:t>
            </w:r>
            <w:proofErr w:type="spellEnd"/>
            <w:r>
              <w:rPr>
                <w:rFonts w:cstheme="minorHAnsi"/>
              </w:rPr>
              <w:t xml:space="preserve"> provisions not to be extended beyond 2030</w:t>
            </w:r>
          </w:p>
        </w:tc>
        <w:tc>
          <w:tcPr>
            <w:tcW w:w="2552" w:type="dxa"/>
            <w:shd w:val="clear" w:color="auto" w:fill="FFFFFF" w:themeFill="background1"/>
          </w:tcPr>
          <w:p w14:paraId="29CDE784" w14:textId="77777777" w:rsidR="005855A8" w:rsidRPr="003E5036" w:rsidRDefault="005855A8" w:rsidP="005855A8">
            <w:pPr>
              <w:pStyle w:val="ListParagraph"/>
              <w:numPr>
                <w:ilvl w:val="0"/>
                <w:numId w:val="38"/>
              </w:numPr>
              <w:spacing w:before="60" w:after="60"/>
              <w:rPr>
                <w:rFonts w:cstheme="minorHAnsi"/>
              </w:rPr>
            </w:pPr>
            <w:r w:rsidRPr="003E5036">
              <w:rPr>
                <w:rFonts w:cstheme="minorHAnsi"/>
              </w:rPr>
              <w:t xml:space="preserve">Restricted access to </w:t>
            </w:r>
            <w:proofErr w:type="spellStart"/>
            <w:r w:rsidRPr="003E5036">
              <w:rPr>
                <w:rFonts w:cstheme="minorHAnsi"/>
              </w:rPr>
              <w:t>MYMP</w:t>
            </w:r>
            <w:proofErr w:type="spellEnd"/>
            <w:r w:rsidRPr="003E5036">
              <w:rPr>
                <w:rFonts w:cstheme="minorHAnsi"/>
              </w:rPr>
              <w:t xml:space="preserve"> for a 5 year period on a facility based assessment</w:t>
            </w:r>
          </w:p>
          <w:p w14:paraId="5B378B4B" w14:textId="77777777" w:rsidR="005855A8" w:rsidRPr="003E5036" w:rsidRDefault="005855A8" w:rsidP="00EE42DA">
            <w:pPr>
              <w:pStyle w:val="ListParagraph"/>
              <w:numPr>
                <w:ilvl w:val="0"/>
                <w:numId w:val="38"/>
              </w:numPr>
              <w:spacing w:before="60" w:after="60"/>
              <w:rPr>
                <w:rFonts w:cstheme="minorHAnsi"/>
              </w:rPr>
            </w:pPr>
            <w:r>
              <w:rPr>
                <w:rFonts w:cstheme="minorHAnsi"/>
              </w:rPr>
              <w:t xml:space="preserve">Extension of </w:t>
            </w:r>
            <w:proofErr w:type="spellStart"/>
            <w:r w:rsidRPr="003E5036">
              <w:rPr>
                <w:rFonts w:cstheme="minorHAnsi"/>
              </w:rPr>
              <w:t>MYMP</w:t>
            </w:r>
            <w:proofErr w:type="spellEnd"/>
            <w:r w:rsidRPr="003E5036">
              <w:rPr>
                <w:rFonts w:cstheme="minorHAnsi"/>
              </w:rPr>
              <w:t xml:space="preserve"> provisions </w:t>
            </w:r>
            <w:r w:rsidR="00EE42DA">
              <w:rPr>
                <w:rFonts w:cstheme="minorHAnsi"/>
              </w:rPr>
              <w:t xml:space="preserve">beyond 2030 </w:t>
            </w:r>
            <w:r>
              <w:rPr>
                <w:rFonts w:cstheme="minorHAnsi"/>
              </w:rPr>
              <w:t>will be subject to review in 2026</w:t>
            </w:r>
            <w:r w:rsidR="0064266E">
              <w:rPr>
                <w:rFonts w:cstheme="minorHAnsi"/>
              </w:rPr>
              <w:t>-27</w:t>
            </w:r>
            <w:r>
              <w:rPr>
                <w:rFonts w:cstheme="minorHAnsi"/>
              </w:rPr>
              <w:t xml:space="preserve">, and may potentially be restricted </w:t>
            </w:r>
            <w:r w:rsidR="00EE42DA">
              <w:rPr>
                <w:rFonts w:cstheme="minorHAnsi"/>
              </w:rPr>
              <w:t xml:space="preserve">after </w:t>
            </w:r>
            <w:r>
              <w:rPr>
                <w:rFonts w:cstheme="minorHAnsi"/>
              </w:rPr>
              <w:t>2030.</w:t>
            </w:r>
          </w:p>
        </w:tc>
        <w:tc>
          <w:tcPr>
            <w:tcW w:w="9922" w:type="dxa"/>
            <w:tcBorders>
              <w:right w:val="single" w:sz="4" w:space="0" w:color="auto"/>
            </w:tcBorders>
            <w:shd w:val="clear" w:color="auto" w:fill="FFFFFF" w:themeFill="background1"/>
          </w:tcPr>
          <w:p w14:paraId="7CE79C00" w14:textId="77777777" w:rsidR="005855A8" w:rsidRDefault="001F013F" w:rsidP="005855A8">
            <w:pPr>
              <w:pStyle w:val="ListParagraph"/>
              <w:numPr>
                <w:ilvl w:val="0"/>
                <w:numId w:val="32"/>
              </w:numPr>
              <w:spacing w:before="60" w:after="60"/>
              <w:rPr>
                <w:rFonts w:cstheme="minorHAnsi"/>
              </w:rPr>
            </w:pPr>
            <w:r>
              <w:rPr>
                <w:rFonts w:cstheme="minorHAnsi"/>
              </w:rPr>
              <w:t>In</w:t>
            </w:r>
            <w:r w:rsidRPr="00AA18C9">
              <w:rPr>
                <w:rFonts w:cstheme="minorHAnsi"/>
              </w:rPr>
              <w:t xml:space="preserve"> </w:t>
            </w:r>
            <w:r w:rsidR="005855A8" w:rsidRPr="00AA18C9">
              <w:rPr>
                <w:rFonts w:cstheme="minorHAnsi"/>
              </w:rPr>
              <w:t xml:space="preserve">the </w:t>
            </w:r>
            <w:r>
              <w:rPr>
                <w:rFonts w:cstheme="minorHAnsi"/>
              </w:rPr>
              <w:t>r</w:t>
            </w:r>
            <w:r w:rsidR="005855A8" w:rsidRPr="00AA18C9">
              <w:rPr>
                <w:rFonts w:cstheme="minorHAnsi"/>
              </w:rPr>
              <w:t xml:space="preserve">eference </w:t>
            </w:r>
            <w:r>
              <w:rPr>
                <w:rFonts w:cstheme="minorHAnsi"/>
              </w:rPr>
              <w:t>s</w:t>
            </w:r>
            <w:r w:rsidR="005855A8" w:rsidRPr="00AA18C9">
              <w:rPr>
                <w:rFonts w:cstheme="minorHAnsi"/>
              </w:rPr>
              <w:t xml:space="preserve">cenario, </w:t>
            </w:r>
            <w:proofErr w:type="spellStart"/>
            <w:r w:rsidR="005855A8" w:rsidRPr="00AA18C9">
              <w:rPr>
                <w:rFonts w:cstheme="minorHAnsi"/>
              </w:rPr>
              <w:t>MYMP</w:t>
            </w:r>
            <w:proofErr w:type="spellEnd"/>
            <w:r w:rsidR="005855A8" w:rsidRPr="00AA18C9">
              <w:rPr>
                <w:rFonts w:cstheme="minorHAnsi"/>
              </w:rPr>
              <w:t xml:space="preserve"> provisions provide all facilities with time to implement emissions reduction projects, acquire </w:t>
            </w:r>
            <w:proofErr w:type="spellStart"/>
            <w:r w:rsidR="005855A8" w:rsidRPr="00AA18C9">
              <w:rPr>
                <w:rFonts w:cstheme="minorHAnsi"/>
              </w:rPr>
              <w:t>ACCUs</w:t>
            </w:r>
            <w:proofErr w:type="spellEnd"/>
            <w:r w:rsidR="005855A8" w:rsidRPr="00AA18C9">
              <w:rPr>
                <w:rFonts w:cstheme="minorHAnsi"/>
              </w:rPr>
              <w:t xml:space="preserve"> or </w:t>
            </w:r>
            <w:r w:rsidR="00EE42DA">
              <w:rPr>
                <w:rFonts w:cstheme="minorHAnsi"/>
              </w:rPr>
              <w:t>manage year-on-year fluctuations in emissions</w:t>
            </w:r>
            <w:r w:rsidR="005855A8" w:rsidRPr="00AA18C9">
              <w:rPr>
                <w:rFonts w:cstheme="minorHAnsi"/>
              </w:rPr>
              <w:t xml:space="preserve">. </w:t>
            </w:r>
            <w:proofErr w:type="spellStart"/>
            <w:r w:rsidR="005855A8" w:rsidRPr="00AA18C9">
              <w:rPr>
                <w:rFonts w:cstheme="minorHAnsi"/>
              </w:rPr>
              <w:t>MYMP</w:t>
            </w:r>
            <w:proofErr w:type="spellEnd"/>
            <w:r w:rsidR="005855A8" w:rsidRPr="00AA18C9">
              <w:rPr>
                <w:rFonts w:cstheme="minorHAnsi"/>
              </w:rPr>
              <w:t xml:space="preserve"> provisions could result in risks to achieving the 2030 target because the current arrangements could potentially allow a significant number of facilities to delay reductions in their net emissions until after 2030. </w:t>
            </w:r>
            <w:r w:rsidR="005855A8">
              <w:rPr>
                <w:rFonts w:cstheme="minorHAnsi"/>
              </w:rPr>
              <w:t xml:space="preserve">This risk to achieving the 2030 target will also apply to Options 1 and 2. </w:t>
            </w:r>
          </w:p>
          <w:p w14:paraId="5C58B172" w14:textId="77777777" w:rsidR="005855A8" w:rsidRDefault="005855A8" w:rsidP="005855A8">
            <w:pPr>
              <w:pStyle w:val="ListParagraph"/>
              <w:numPr>
                <w:ilvl w:val="0"/>
                <w:numId w:val="32"/>
              </w:numPr>
              <w:spacing w:before="60" w:after="60"/>
              <w:rPr>
                <w:rFonts w:cstheme="minorHAnsi"/>
              </w:rPr>
            </w:pPr>
            <w:r>
              <w:rPr>
                <w:rFonts w:cstheme="minorHAnsi"/>
              </w:rPr>
              <w:t xml:space="preserve">Under reform scenarios (Options 1-3), extended </w:t>
            </w:r>
            <w:proofErr w:type="spellStart"/>
            <w:r>
              <w:rPr>
                <w:rFonts w:cstheme="minorHAnsi"/>
              </w:rPr>
              <w:t>MYMP</w:t>
            </w:r>
            <w:proofErr w:type="spellEnd"/>
            <w:r>
              <w:rPr>
                <w:rFonts w:cstheme="minorHAnsi"/>
              </w:rPr>
              <w:t xml:space="preserve"> arrangements could be established by application on a facility-by-facility basis, be based on an assessment of available and emerging technologies, and where facilities reasonably anticipate emissions reduction during the extended period. </w:t>
            </w:r>
            <w:proofErr w:type="spellStart"/>
            <w:r>
              <w:rPr>
                <w:rFonts w:cstheme="minorHAnsi"/>
              </w:rPr>
              <w:t>MYMP</w:t>
            </w:r>
            <w:proofErr w:type="spellEnd"/>
            <w:r>
              <w:rPr>
                <w:rFonts w:cstheme="minorHAnsi"/>
              </w:rPr>
              <w:t xml:space="preserve"> provisions will be afforded to facilities where a facility does</w:t>
            </w:r>
            <w:r w:rsidRPr="00D65CE7">
              <w:rPr>
                <w:rFonts w:cstheme="minorHAnsi"/>
              </w:rPr>
              <w:t xml:space="preserve"> not have reasonably available technological options to avoid the initial exceedance and reasonably anticipates to reduce its emissions within this period</w:t>
            </w:r>
            <w:r>
              <w:rPr>
                <w:rFonts w:cstheme="minorHAnsi"/>
              </w:rPr>
              <w:t>.</w:t>
            </w:r>
          </w:p>
          <w:p w14:paraId="519C4F95" w14:textId="2728A3D1" w:rsidR="005855A8" w:rsidRDefault="005855A8" w:rsidP="005855A8">
            <w:pPr>
              <w:pStyle w:val="ListParagraph"/>
              <w:numPr>
                <w:ilvl w:val="0"/>
                <w:numId w:val="32"/>
              </w:numPr>
              <w:spacing w:before="60" w:after="60"/>
              <w:rPr>
                <w:rFonts w:cstheme="minorHAnsi"/>
              </w:rPr>
            </w:pPr>
            <w:r>
              <w:rPr>
                <w:rFonts w:cstheme="minorHAnsi"/>
              </w:rPr>
              <w:t xml:space="preserve">Under Options 1-3, applicant facilities will need to </w:t>
            </w:r>
            <w:r w:rsidRPr="000A6FAC">
              <w:rPr>
                <w:rFonts w:cstheme="minorHAnsi"/>
              </w:rPr>
              <w:t xml:space="preserve">provide a statement, signed by the responsible financial officer stating that the facility </w:t>
            </w:r>
            <w:r w:rsidR="00F07D52">
              <w:rPr>
                <w:rFonts w:cstheme="minorHAnsi"/>
              </w:rPr>
              <w:t>is reasonably likely to</w:t>
            </w:r>
            <w:r w:rsidR="00F07D52" w:rsidRPr="000A6FAC">
              <w:rPr>
                <w:rFonts w:cstheme="minorHAnsi"/>
              </w:rPr>
              <w:t xml:space="preserve"> </w:t>
            </w:r>
            <w:r w:rsidRPr="000A6FAC">
              <w:rPr>
                <w:rFonts w:cstheme="minorHAnsi"/>
              </w:rPr>
              <w:t xml:space="preserve">avoid </w:t>
            </w:r>
            <w:r w:rsidR="00F07D52">
              <w:rPr>
                <w:rFonts w:cstheme="minorHAnsi"/>
              </w:rPr>
              <w:t>an exceedance</w:t>
            </w:r>
            <w:r w:rsidRPr="000A6FAC">
              <w:rPr>
                <w:rFonts w:cstheme="minorHAnsi"/>
              </w:rPr>
              <w:t xml:space="preserve"> at the end of the relevant period</w:t>
            </w:r>
            <w:r>
              <w:rPr>
                <w:rFonts w:cstheme="minorHAnsi"/>
              </w:rPr>
              <w:t xml:space="preserve">. </w:t>
            </w:r>
            <w:r w:rsidRPr="000A6FAC">
              <w:rPr>
                <w:rFonts w:cstheme="minorHAnsi"/>
              </w:rPr>
              <w:t>Facilities will need to be able to demonstrate to the Clean Energy Regulator that they have a plan in place and a credible basis for providing a statement that the facility is unlikely to be in exceedance at the end of the period.</w:t>
            </w:r>
          </w:p>
          <w:p w14:paraId="74A5F9EB" w14:textId="77777777" w:rsidR="005855A8" w:rsidRDefault="005855A8" w:rsidP="005855A8">
            <w:pPr>
              <w:pStyle w:val="ListParagraph"/>
              <w:numPr>
                <w:ilvl w:val="0"/>
                <w:numId w:val="32"/>
              </w:numPr>
              <w:spacing w:before="60" w:after="60"/>
              <w:rPr>
                <w:rFonts w:cstheme="minorHAnsi"/>
              </w:rPr>
            </w:pPr>
            <w:r>
              <w:rPr>
                <w:rFonts w:cstheme="minorHAnsi"/>
              </w:rPr>
              <w:t xml:space="preserve">Options 1-3 allow for </w:t>
            </w:r>
            <w:proofErr w:type="spellStart"/>
            <w:r>
              <w:rPr>
                <w:rFonts w:cstheme="minorHAnsi"/>
              </w:rPr>
              <w:t>MYMP</w:t>
            </w:r>
            <w:proofErr w:type="spellEnd"/>
            <w:r>
              <w:rPr>
                <w:rFonts w:cstheme="minorHAnsi"/>
              </w:rPr>
              <w:t xml:space="preserve"> provisions to be more targeted at facilities that have limited near-term abatement opportunities, and where the permitted multi-year compliance period will enable </w:t>
            </w:r>
            <w:r w:rsidR="003326DF">
              <w:rPr>
                <w:rFonts w:cstheme="minorHAnsi"/>
              </w:rPr>
              <w:t>Safeguard</w:t>
            </w:r>
            <w:r>
              <w:rPr>
                <w:rFonts w:cstheme="minorHAnsi"/>
              </w:rPr>
              <w:t xml:space="preserve"> facilities to match available and emerging technologies. </w:t>
            </w:r>
          </w:p>
          <w:p w14:paraId="1E7190B4" w14:textId="5D214F6F" w:rsidR="005855A8" w:rsidRPr="00604205" w:rsidRDefault="005855A8" w:rsidP="00995530">
            <w:pPr>
              <w:pStyle w:val="ListParagraph"/>
              <w:numPr>
                <w:ilvl w:val="0"/>
                <w:numId w:val="32"/>
              </w:numPr>
              <w:spacing w:before="60" w:after="60"/>
              <w:rPr>
                <w:rFonts w:cstheme="minorHAnsi"/>
              </w:rPr>
            </w:pPr>
            <w:r>
              <w:rPr>
                <w:rFonts w:cstheme="minorHAnsi"/>
              </w:rPr>
              <w:t xml:space="preserve">A review phase </w:t>
            </w:r>
            <w:r w:rsidR="00A403FF">
              <w:rPr>
                <w:rFonts w:cstheme="minorHAnsi"/>
              </w:rPr>
              <w:t xml:space="preserve">will </w:t>
            </w:r>
            <w:r>
              <w:rPr>
                <w:rFonts w:cstheme="minorHAnsi"/>
              </w:rPr>
              <w:t>allow for a stocktake, and assessment of potential risks</w:t>
            </w:r>
            <w:r w:rsidR="00EE42DA">
              <w:rPr>
                <w:rFonts w:cstheme="minorHAnsi"/>
              </w:rPr>
              <w:t xml:space="preserve"> for meeting Australia’s emissions reduction targets</w:t>
            </w:r>
            <w:r>
              <w:rPr>
                <w:rFonts w:cstheme="minorHAnsi"/>
              </w:rPr>
              <w:t>.</w:t>
            </w:r>
          </w:p>
        </w:tc>
      </w:tr>
      <w:tr w:rsidR="005855A8" w:rsidRPr="00F87ED6" w14:paraId="6BC4F14E" w14:textId="77777777" w:rsidTr="00984B71">
        <w:trPr>
          <w:trHeight w:val="325"/>
        </w:trPr>
        <w:tc>
          <w:tcPr>
            <w:tcW w:w="2404" w:type="dxa"/>
            <w:shd w:val="clear" w:color="auto" w:fill="auto"/>
          </w:tcPr>
          <w:p w14:paraId="0BDB93D7" w14:textId="77777777" w:rsidR="005855A8" w:rsidRPr="00C056E8" w:rsidRDefault="005855A8" w:rsidP="005855A8">
            <w:pPr>
              <w:spacing w:before="60" w:after="60"/>
              <w:rPr>
                <w:rFonts w:cstheme="minorHAnsi"/>
              </w:rPr>
            </w:pPr>
            <w:r>
              <w:rPr>
                <w:rFonts w:cstheme="minorHAnsi"/>
              </w:rPr>
              <w:t>Price containment measure</w:t>
            </w:r>
          </w:p>
        </w:tc>
        <w:tc>
          <w:tcPr>
            <w:tcW w:w="2553" w:type="dxa"/>
            <w:shd w:val="clear" w:color="auto" w:fill="auto"/>
          </w:tcPr>
          <w:p w14:paraId="01C350F0" w14:textId="77777777" w:rsidR="005855A8" w:rsidRPr="00F87ED6" w:rsidRDefault="005855A8" w:rsidP="005855A8">
            <w:pPr>
              <w:spacing w:before="60" w:after="60"/>
              <w:jc w:val="center"/>
              <w:rPr>
                <w:rFonts w:cstheme="minorHAnsi"/>
              </w:rPr>
            </w:pPr>
            <w:r>
              <w:rPr>
                <w:rFonts w:cstheme="minorHAnsi"/>
              </w:rPr>
              <w:t>n/a</w:t>
            </w:r>
          </w:p>
        </w:tc>
        <w:tc>
          <w:tcPr>
            <w:tcW w:w="5244" w:type="dxa"/>
            <w:gridSpan w:val="5"/>
            <w:shd w:val="clear" w:color="auto" w:fill="FFFFFF" w:themeFill="background1"/>
          </w:tcPr>
          <w:p w14:paraId="3D04B2A5" w14:textId="77777777" w:rsidR="005855A8" w:rsidRPr="00F87ED6" w:rsidRDefault="005855A8" w:rsidP="005855A8">
            <w:pPr>
              <w:spacing w:before="60" w:after="60"/>
              <w:jc w:val="center"/>
              <w:rPr>
                <w:rFonts w:cstheme="minorHAnsi"/>
              </w:rPr>
            </w:pPr>
            <w:r>
              <w:rPr>
                <w:rFonts w:cstheme="minorHAnsi"/>
              </w:rPr>
              <w:t>n/a</w:t>
            </w:r>
          </w:p>
        </w:tc>
        <w:tc>
          <w:tcPr>
            <w:tcW w:w="2552" w:type="dxa"/>
            <w:shd w:val="clear" w:color="auto" w:fill="FFFFFF" w:themeFill="background1"/>
          </w:tcPr>
          <w:p w14:paraId="78464B44" w14:textId="77777777" w:rsidR="005855A8" w:rsidRPr="00F87ED6" w:rsidRDefault="005855A8" w:rsidP="005855A8">
            <w:pPr>
              <w:spacing w:before="60" w:after="60"/>
              <w:jc w:val="center"/>
              <w:rPr>
                <w:rFonts w:cstheme="minorHAnsi"/>
              </w:rPr>
            </w:pPr>
            <w:r>
              <w:rPr>
                <w:rFonts w:cstheme="minorHAnsi"/>
              </w:rPr>
              <w:t>Price containment measure in place, to be reviewed in 202</w:t>
            </w:r>
            <w:r w:rsidR="000C2F96">
              <w:rPr>
                <w:rFonts w:cstheme="minorHAnsi"/>
              </w:rPr>
              <w:t>6-27</w:t>
            </w:r>
          </w:p>
        </w:tc>
        <w:tc>
          <w:tcPr>
            <w:tcW w:w="9922" w:type="dxa"/>
            <w:tcBorders>
              <w:right w:val="single" w:sz="4" w:space="0" w:color="auto"/>
            </w:tcBorders>
            <w:shd w:val="clear" w:color="auto" w:fill="FFFFFF" w:themeFill="background1"/>
          </w:tcPr>
          <w:p w14:paraId="3BC2730E" w14:textId="77777777" w:rsidR="005855A8" w:rsidRDefault="005855A8" w:rsidP="005855A8">
            <w:pPr>
              <w:pStyle w:val="ListParagraph"/>
              <w:numPr>
                <w:ilvl w:val="0"/>
                <w:numId w:val="32"/>
              </w:numPr>
              <w:spacing w:before="60" w:after="60"/>
              <w:rPr>
                <w:rFonts w:cstheme="minorHAnsi"/>
              </w:rPr>
            </w:pPr>
            <w:r>
              <w:rPr>
                <w:rFonts w:cstheme="minorHAnsi"/>
              </w:rPr>
              <w:t xml:space="preserve">Facilities </w:t>
            </w:r>
            <w:r w:rsidR="00A403FF">
              <w:rPr>
                <w:rFonts w:cstheme="minorHAnsi"/>
              </w:rPr>
              <w:t xml:space="preserve">have </w:t>
            </w:r>
            <w:r>
              <w:rPr>
                <w:rFonts w:cstheme="minorHAnsi"/>
              </w:rPr>
              <w:t xml:space="preserve">expressed concerns around </w:t>
            </w:r>
            <w:proofErr w:type="spellStart"/>
            <w:r>
              <w:rPr>
                <w:rFonts w:cstheme="minorHAnsi"/>
              </w:rPr>
              <w:t>ACCU</w:t>
            </w:r>
            <w:proofErr w:type="spellEnd"/>
            <w:r>
              <w:rPr>
                <w:rFonts w:cstheme="minorHAnsi"/>
              </w:rPr>
              <w:t xml:space="preserve"> market supply constraints, which could lead to potential price and availability risks.</w:t>
            </w:r>
          </w:p>
          <w:p w14:paraId="2DC4A399" w14:textId="77777777" w:rsidR="005855A8" w:rsidRPr="002050BB" w:rsidRDefault="005855A8" w:rsidP="005855A8">
            <w:pPr>
              <w:pStyle w:val="ListParagraph"/>
              <w:numPr>
                <w:ilvl w:val="0"/>
                <w:numId w:val="32"/>
              </w:numPr>
              <w:spacing w:before="60" w:after="60"/>
              <w:rPr>
                <w:rFonts w:cstheme="minorHAnsi"/>
              </w:rPr>
            </w:pPr>
            <w:r>
              <w:rPr>
                <w:rFonts w:cstheme="minorHAnsi"/>
              </w:rPr>
              <w:t xml:space="preserve">To address this, under Option 3, a price containment measure will be implemented to prevent excessive prices, where a facility can </w:t>
            </w:r>
            <w:r w:rsidR="004E3EB6">
              <w:rPr>
                <w:rFonts w:cstheme="minorHAnsi"/>
              </w:rPr>
              <w:t xml:space="preserve">purchase fixed price </w:t>
            </w:r>
            <w:proofErr w:type="spellStart"/>
            <w:r w:rsidR="004E3EB6">
              <w:rPr>
                <w:rFonts w:cstheme="minorHAnsi"/>
              </w:rPr>
              <w:t>ACCUs</w:t>
            </w:r>
            <w:proofErr w:type="spellEnd"/>
            <w:r w:rsidR="004E3EB6">
              <w:rPr>
                <w:rFonts w:cstheme="minorHAnsi"/>
              </w:rPr>
              <w:t xml:space="preserve"> from the Government to meet scheme compliance obligations. </w:t>
            </w:r>
            <w:r>
              <w:rPr>
                <w:rFonts w:cstheme="minorHAnsi"/>
              </w:rPr>
              <w:t xml:space="preserve"> </w:t>
            </w:r>
          </w:p>
        </w:tc>
      </w:tr>
      <w:tr w:rsidR="005855A8" w:rsidRPr="00F87ED6" w14:paraId="6FC7A8E1" w14:textId="77777777" w:rsidTr="00CF477B">
        <w:trPr>
          <w:trHeight w:val="73"/>
        </w:trPr>
        <w:tc>
          <w:tcPr>
            <w:tcW w:w="22675" w:type="dxa"/>
            <w:gridSpan w:val="9"/>
            <w:tcBorders>
              <w:right w:val="single" w:sz="4" w:space="0" w:color="auto"/>
            </w:tcBorders>
            <w:shd w:val="clear" w:color="auto" w:fill="F2F2F2" w:themeFill="background1" w:themeFillShade="F2"/>
          </w:tcPr>
          <w:p w14:paraId="7D6A3D89" w14:textId="77777777" w:rsidR="005855A8" w:rsidRPr="00F87ED6" w:rsidRDefault="005855A8" w:rsidP="005855A8">
            <w:pPr>
              <w:spacing w:before="60" w:after="60"/>
              <w:jc w:val="center"/>
              <w:rPr>
                <w:rFonts w:cstheme="minorHAnsi"/>
                <w:b/>
              </w:rPr>
            </w:pPr>
            <w:proofErr w:type="spellStart"/>
            <w:r>
              <w:rPr>
                <w:rFonts w:cstheme="minorHAnsi"/>
                <w:b/>
              </w:rPr>
              <w:t>EITEs</w:t>
            </w:r>
            <w:proofErr w:type="spellEnd"/>
            <w:r>
              <w:rPr>
                <w:rFonts w:cstheme="minorHAnsi"/>
                <w:b/>
              </w:rPr>
              <w:t xml:space="preserve"> designation and assistance</w:t>
            </w:r>
            <w:r w:rsidR="00356148">
              <w:rPr>
                <w:rFonts w:cstheme="minorHAnsi"/>
                <w:b/>
              </w:rPr>
              <w:t xml:space="preserve"> and broader assistance to non-</w:t>
            </w:r>
            <w:proofErr w:type="spellStart"/>
            <w:r w:rsidR="00356148">
              <w:rPr>
                <w:rFonts w:cstheme="minorHAnsi"/>
                <w:b/>
              </w:rPr>
              <w:t>EITE</w:t>
            </w:r>
            <w:proofErr w:type="spellEnd"/>
            <w:r w:rsidR="00356148">
              <w:rPr>
                <w:rFonts w:cstheme="minorHAnsi"/>
                <w:b/>
              </w:rPr>
              <w:t xml:space="preserve"> facilities</w:t>
            </w:r>
          </w:p>
        </w:tc>
      </w:tr>
      <w:tr w:rsidR="00BF7BE2" w:rsidRPr="00F87ED6" w14:paraId="146D73BA" w14:textId="77777777" w:rsidTr="003014BA">
        <w:trPr>
          <w:trHeight w:val="1585"/>
        </w:trPr>
        <w:tc>
          <w:tcPr>
            <w:tcW w:w="2404" w:type="dxa"/>
          </w:tcPr>
          <w:p w14:paraId="59A6A02B" w14:textId="77777777" w:rsidR="00BF7BE2" w:rsidRPr="00C056E8" w:rsidRDefault="00BF7BE2" w:rsidP="005855A8">
            <w:pPr>
              <w:spacing w:before="60" w:after="60"/>
              <w:rPr>
                <w:rFonts w:cstheme="minorHAnsi"/>
              </w:rPr>
            </w:pPr>
            <w:proofErr w:type="spellStart"/>
            <w:r>
              <w:rPr>
                <w:rFonts w:cstheme="minorHAnsi"/>
              </w:rPr>
              <w:t>EITE</w:t>
            </w:r>
            <w:proofErr w:type="spellEnd"/>
            <w:r w:rsidRPr="00C056E8">
              <w:rPr>
                <w:rFonts w:cstheme="minorHAnsi"/>
              </w:rPr>
              <w:t xml:space="preserve"> designation</w:t>
            </w:r>
          </w:p>
          <w:p w14:paraId="685B8921" w14:textId="77777777" w:rsidR="00BF7BE2" w:rsidRPr="00C056E8" w:rsidRDefault="00BF7BE2" w:rsidP="005855A8">
            <w:pPr>
              <w:spacing w:before="60" w:after="60"/>
              <w:rPr>
                <w:rFonts w:cstheme="minorHAnsi"/>
              </w:rPr>
            </w:pPr>
          </w:p>
        </w:tc>
        <w:tc>
          <w:tcPr>
            <w:tcW w:w="2553" w:type="dxa"/>
          </w:tcPr>
          <w:p w14:paraId="1AA8AC54" w14:textId="77777777" w:rsidR="00BF7BE2" w:rsidRPr="00F87ED6" w:rsidRDefault="00BF7BE2" w:rsidP="005855A8">
            <w:pPr>
              <w:spacing w:before="60" w:after="60"/>
              <w:jc w:val="center"/>
              <w:rPr>
                <w:rFonts w:cstheme="minorHAnsi"/>
              </w:rPr>
            </w:pPr>
            <w:r w:rsidRPr="00F87ED6">
              <w:rPr>
                <w:rFonts w:cstheme="minorHAnsi"/>
              </w:rPr>
              <w:t>n/a</w:t>
            </w:r>
          </w:p>
        </w:tc>
        <w:tc>
          <w:tcPr>
            <w:tcW w:w="5244" w:type="dxa"/>
            <w:gridSpan w:val="5"/>
            <w:shd w:val="clear" w:color="auto" w:fill="FFFFFF" w:themeFill="background1"/>
          </w:tcPr>
          <w:p w14:paraId="53E7D739" w14:textId="77777777" w:rsidR="003014BA" w:rsidRDefault="003014BA" w:rsidP="005855A8">
            <w:pPr>
              <w:pStyle w:val="ListParagraph"/>
              <w:numPr>
                <w:ilvl w:val="0"/>
                <w:numId w:val="39"/>
              </w:numPr>
              <w:spacing w:before="60" w:after="60"/>
              <w:rPr>
                <w:rFonts w:cstheme="minorHAnsi"/>
              </w:rPr>
            </w:pPr>
            <w:r>
              <w:rPr>
                <w:rFonts w:cstheme="minorHAnsi"/>
              </w:rPr>
              <w:t xml:space="preserve">Time-limited </w:t>
            </w:r>
            <w:proofErr w:type="spellStart"/>
            <w:r>
              <w:rPr>
                <w:rFonts w:cstheme="minorHAnsi"/>
              </w:rPr>
              <w:t>EITE</w:t>
            </w:r>
            <w:proofErr w:type="spellEnd"/>
            <w:r>
              <w:rPr>
                <w:rFonts w:cstheme="minorHAnsi"/>
              </w:rPr>
              <w:t xml:space="preserve"> designation</w:t>
            </w:r>
          </w:p>
          <w:p w14:paraId="00389534" w14:textId="77777777" w:rsidR="00BF7BE2" w:rsidRPr="002E5FD8" w:rsidRDefault="003014BA" w:rsidP="005855A8">
            <w:pPr>
              <w:pStyle w:val="ListParagraph"/>
              <w:numPr>
                <w:ilvl w:val="0"/>
                <w:numId w:val="39"/>
              </w:numPr>
              <w:spacing w:before="60" w:after="60"/>
              <w:rPr>
                <w:rFonts w:cstheme="minorHAnsi"/>
              </w:rPr>
            </w:pPr>
            <w:r>
              <w:rPr>
                <w:rFonts w:cstheme="minorHAnsi"/>
              </w:rPr>
              <w:t>An adapted RET test for trade exposure and emissions intensity as related to cost intensity.</w:t>
            </w:r>
          </w:p>
        </w:tc>
        <w:tc>
          <w:tcPr>
            <w:tcW w:w="2552" w:type="dxa"/>
            <w:shd w:val="clear" w:color="auto" w:fill="FFFFFF" w:themeFill="background1"/>
          </w:tcPr>
          <w:p w14:paraId="15C0AA29" w14:textId="77777777" w:rsidR="00BF7BE2" w:rsidRDefault="00BF7BE2" w:rsidP="005855A8">
            <w:pPr>
              <w:pStyle w:val="ListParagraph"/>
              <w:numPr>
                <w:ilvl w:val="0"/>
                <w:numId w:val="39"/>
              </w:numPr>
              <w:spacing w:before="60" w:after="60"/>
              <w:rPr>
                <w:rFonts w:cstheme="minorHAnsi"/>
              </w:rPr>
            </w:pPr>
            <w:r>
              <w:rPr>
                <w:rFonts w:cstheme="minorHAnsi"/>
              </w:rPr>
              <w:t xml:space="preserve">Two categories of </w:t>
            </w:r>
            <w:proofErr w:type="spellStart"/>
            <w:r>
              <w:rPr>
                <w:rFonts w:cstheme="minorHAnsi"/>
              </w:rPr>
              <w:t>EITE</w:t>
            </w:r>
            <w:proofErr w:type="spellEnd"/>
            <w:r>
              <w:rPr>
                <w:rFonts w:cstheme="minorHAnsi"/>
              </w:rPr>
              <w:t xml:space="preserve"> </w:t>
            </w:r>
            <w:r w:rsidR="0047068D">
              <w:rPr>
                <w:rFonts w:cstheme="minorHAnsi"/>
              </w:rPr>
              <w:t>–</w:t>
            </w:r>
            <w:r>
              <w:rPr>
                <w:rFonts w:cstheme="minorHAnsi"/>
              </w:rPr>
              <w:t xml:space="preserve"> </w:t>
            </w:r>
            <w:r w:rsidRPr="002E5FD8">
              <w:rPr>
                <w:rFonts w:cstheme="minorHAnsi"/>
                <w:i/>
              </w:rPr>
              <w:t>Trade</w:t>
            </w:r>
            <w:r w:rsidR="0047068D">
              <w:rPr>
                <w:rFonts w:cstheme="minorHAnsi"/>
                <w:i/>
              </w:rPr>
              <w:t>-</w:t>
            </w:r>
            <w:r w:rsidRPr="002E5FD8">
              <w:rPr>
                <w:rFonts w:cstheme="minorHAnsi"/>
                <w:i/>
              </w:rPr>
              <w:t>exposed industries</w:t>
            </w:r>
            <w:r w:rsidRPr="00ED42BD">
              <w:rPr>
                <w:rFonts w:cstheme="minorHAnsi"/>
              </w:rPr>
              <w:t xml:space="preserve"> determined at an activity level</w:t>
            </w:r>
            <w:r>
              <w:rPr>
                <w:rFonts w:cstheme="minorHAnsi"/>
              </w:rPr>
              <w:t xml:space="preserve"> &amp; </w:t>
            </w:r>
            <w:r w:rsidR="0047068D">
              <w:rPr>
                <w:rFonts w:cstheme="minorHAnsi"/>
                <w:i/>
              </w:rPr>
              <w:t>trade-exposed baseline-adjusted</w:t>
            </w:r>
            <w:r w:rsidRPr="002E5FD8">
              <w:rPr>
                <w:rFonts w:cstheme="minorHAnsi"/>
                <w:i/>
              </w:rPr>
              <w:t xml:space="preserve"> facilities</w:t>
            </w:r>
            <w:r w:rsidRPr="002E5FD8">
              <w:rPr>
                <w:rFonts w:cstheme="minorHAnsi"/>
              </w:rPr>
              <w:t xml:space="preserve"> facing concentrated scheme impacts</w:t>
            </w:r>
          </w:p>
          <w:p w14:paraId="1B4C9834" w14:textId="77777777" w:rsidR="00BF7BE2" w:rsidRPr="00ED42BD" w:rsidRDefault="00BF7BE2" w:rsidP="005855A8">
            <w:pPr>
              <w:pStyle w:val="ListParagraph"/>
              <w:numPr>
                <w:ilvl w:val="0"/>
                <w:numId w:val="39"/>
              </w:numPr>
              <w:spacing w:before="60" w:after="60"/>
              <w:rPr>
                <w:rFonts w:cstheme="minorHAnsi"/>
              </w:rPr>
            </w:pPr>
            <w:r>
              <w:rPr>
                <w:rFonts w:cstheme="minorHAnsi"/>
              </w:rPr>
              <w:t xml:space="preserve">Time limited </w:t>
            </w:r>
            <w:proofErr w:type="spellStart"/>
            <w:r>
              <w:rPr>
                <w:rFonts w:cstheme="minorHAnsi"/>
              </w:rPr>
              <w:t>EITE</w:t>
            </w:r>
            <w:proofErr w:type="spellEnd"/>
            <w:r>
              <w:rPr>
                <w:rFonts w:cstheme="minorHAnsi"/>
              </w:rPr>
              <w:t xml:space="preserve"> designation (3 years)</w:t>
            </w:r>
          </w:p>
        </w:tc>
        <w:tc>
          <w:tcPr>
            <w:tcW w:w="9922" w:type="dxa"/>
            <w:tcBorders>
              <w:right w:val="single" w:sz="4" w:space="0" w:color="auto"/>
            </w:tcBorders>
            <w:shd w:val="clear" w:color="auto" w:fill="FFFFFF" w:themeFill="background1"/>
          </w:tcPr>
          <w:p w14:paraId="6477B24D" w14:textId="77777777" w:rsidR="00BF7BE2" w:rsidRDefault="00BF7BE2" w:rsidP="00757CF7">
            <w:pPr>
              <w:pStyle w:val="ListParagraph"/>
              <w:numPr>
                <w:ilvl w:val="0"/>
                <w:numId w:val="32"/>
              </w:numPr>
              <w:spacing w:before="60" w:after="60"/>
              <w:rPr>
                <w:rFonts w:cstheme="minorHAnsi"/>
                <w:sz w:val="22"/>
                <w:szCs w:val="22"/>
              </w:rPr>
            </w:pPr>
            <w:r>
              <w:rPr>
                <w:rFonts w:cstheme="minorHAnsi"/>
              </w:rPr>
              <w:t xml:space="preserve">Under reform options (1-3), </w:t>
            </w:r>
            <w:proofErr w:type="spellStart"/>
            <w:r>
              <w:rPr>
                <w:rFonts w:cstheme="minorHAnsi"/>
              </w:rPr>
              <w:t>EITE</w:t>
            </w:r>
            <w:proofErr w:type="spellEnd"/>
            <w:r>
              <w:rPr>
                <w:rFonts w:cstheme="minorHAnsi"/>
              </w:rPr>
              <w:t xml:space="preserve"> </w:t>
            </w:r>
            <w:r w:rsidR="00EF7548">
              <w:rPr>
                <w:rFonts w:cstheme="minorHAnsi"/>
              </w:rPr>
              <w:t>designation</w:t>
            </w:r>
            <w:r>
              <w:rPr>
                <w:rFonts w:cstheme="minorHAnsi"/>
              </w:rPr>
              <w:t xml:space="preserve"> will be based on comparative impact. </w:t>
            </w:r>
            <w:r w:rsidRPr="00D52C33">
              <w:rPr>
                <w:rFonts w:cstheme="minorHAnsi"/>
              </w:rPr>
              <w:t>There will be two categories of facilities that will have access to tailored treatment to manage competitiveness and carbon leakage risks. Trade</w:t>
            </w:r>
            <w:r w:rsidR="0047068D">
              <w:rPr>
                <w:rFonts w:cstheme="minorHAnsi"/>
              </w:rPr>
              <w:t>-</w:t>
            </w:r>
            <w:r w:rsidR="001F013F">
              <w:rPr>
                <w:rFonts w:cstheme="minorHAnsi"/>
              </w:rPr>
              <w:t>e</w:t>
            </w:r>
            <w:r w:rsidRPr="00D52C33">
              <w:rPr>
                <w:rFonts w:cstheme="minorHAnsi"/>
              </w:rPr>
              <w:t>xposed facilities will include all facilities undertaking a trade</w:t>
            </w:r>
            <w:r w:rsidR="0047068D">
              <w:rPr>
                <w:rFonts w:cstheme="minorHAnsi"/>
              </w:rPr>
              <w:t>-</w:t>
            </w:r>
            <w:r w:rsidRPr="00D52C33">
              <w:rPr>
                <w:rFonts w:cstheme="minorHAnsi"/>
              </w:rPr>
              <w:t xml:space="preserve">exposed activity and </w:t>
            </w:r>
            <w:r w:rsidR="0047068D" w:rsidRPr="00D1033B">
              <w:t>trade-exposed baseline-adjusted</w:t>
            </w:r>
            <w:r w:rsidRPr="00D1033B">
              <w:rPr>
                <w:rFonts w:cstheme="minorHAnsi"/>
              </w:rPr>
              <w:t xml:space="preserve"> facilities will include those facilities facing concentrated</w:t>
            </w:r>
            <w:r w:rsidRPr="00D52C33">
              <w:rPr>
                <w:rFonts w:cstheme="minorHAnsi"/>
              </w:rPr>
              <w:t xml:space="preserve"> scheme impacts.  </w:t>
            </w:r>
          </w:p>
          <w:p w14:paraId="5F0014DA" w14:textId="77777777" w:rsidR="00EF7548" w:rsidRPr="00D52C33" w:rsidRDefault="00BF7BE2">
            <w:pPr>
              <w:pStyle w:val="ListParagraph"/>
              <w:numPr>
                <w:ilvl w:val="0"/>
                <w:numId w:val="32"/>
              </w:numPr>
              <w:spacing w:before="60" w:after="60"/>
              <w:rPr>
                <w:rFonts w:cstheme="minorHAnsi"/>
              </w:rPr>
            </w:pPr>
            <w:r w:rsidRPr="00D52C33">
              <w:rPr>
                <w:rFonts w:cstheme="minorHAnsi"/>
              </w:rPr>
              <w:t xml:space="preserve">Under Reform Options (1-3), </w:t>
            </w:r>
            <w:r w:rsidR="001F013F">
              <w:rPr>
                <w:rFonts w:cstheme="minorHAnsi"/>
              </w:rPr>
              <w:t xml:space="preserve">the </w:t>
            </w:r>
            <w:proofErr w:type="spellStart"/>
            <w:r w:rsidRPr="00D52C33">
              <w:rPr>
                <w:rFonts w:cstheme="minorHAnsi"/>
              </w:rPr>
              <w:t>EITE</w:t>
            </w:r>
            <w:proofErr w:type="spellEnd"/>
            <w:r w:rsidRPr="00D52C33">
              <w:rPr>
                <w:rFonts w:cstheme="minorHAnsi"/>
              </w:rPr>
              <w:t xml:space="preserve"> designation will be time bound, and will be based on either trade exposure and cost impact threshold for facilities facing concentrated impacts. </w:t>
            </w:r>
          </w:p>
          <w:p w14:paraId="212CEA14" w14:textId="77777777" w:rsidR="006831C4" w:rsidRDefault="0047068D" w:rsidP="006831C4">
            <w:pPr>
              <w:pStyle w:val="ListParagraph"/>
              <w:numPr>
                <w:ilvl w:val="0"/>
                <w:numId w:val="32"/>
              </w:numPr>
              <w:spacing w:before="60" w:after="60"/>
              <w:rPr>
                <w:rFonts w:cstheme="minorHAnsi"/>
              </w:rPr>
            </w:pPr>
            <w:r>
              <w:rPr>
                <w:rFonts w:cstheme="minorHAnsi"/>
              </w:rPr>
              <w:t>Trade-exposed baseline-adjusted</w:t>
            </w:r>
            <w:r w:rsidR="006831C4">
              <w:rPr>
                <w:rFonts w:cstheme="minorHAnsi"/>
              </w:rPr>
              <w:t xml:space="preserve"> facilities will incur administrative costs to apply for relevant designation and for an independent audit report for providing assurance over information in the application, including the revenue </w:t>
            </w:r>
            <w:r w:rsidR="00D127CF">
              <w:rPr>
                <w:rFonts w:cstheme="minorHAnsi"/>
              </w:rPr>
              <w:t xml:space="preserve">and EBIT </w:t>
            </w:r>
            <w:r w:rsidR="006831C4">
              <w:rPr>
                <w:rFonts w:cstheme="minorHAnsi"/>
              </w:rPr>
              <w:t xml:space="preserve">values and confirm that all eligibility criteria have been met. </w:t>
            </w:r>
          </w:p>
          <w:p w14:paraId="531CD6E8" w14:textId="77777777" w:rsidR="00BF7BE2" w:rsidRPr="00D52C33" w:rsidRDefault="006831C4" w:rsidP="006831C4">
            <w:pPr>
              <w:pStyle w:val="ListParagraph"/>
              <w:numPr>
                <w:ilvl w:val="0"/>
                <w:numId w:val="32"/>
              </w:numPr>
              <w:spacing w:before="60" w:after="60"/>
              <w:rPr>
                <w:rFonts w:cstheme="minorHAnsi"/>
              </w:rPr>
            </w:pPr>
            <w:r>
              <w:rPr>
                <w:rFonts w:cstheme="minorHAnsi"/>
              </w:rPr>
              <w:t xml:space="preserve">The </w:t>
            </w:r>
            <w:proofErr w:type="spellStart"/>
            <w:r>
              <w:rPr>
                <w:rFonts w:cstheme="minorHAnsi"/>
              </w:rPr>
              <w:t>CER</w:t>
            </w:r>
            <w:proofErr w:type="spellEnd"/>
            <w:r>
              <w:rPr>
                <w:rFonts w:cstheme="minorHAnsi"/>
              </w:rPr>
              <w:t xml:space="preserve"> will incur costs to assess </w:t>
            </w:r>
            <w:r w:rsidR="0047068D">
              <w:rPr>
                <w:rFonts w:cstheme="minorHAnsi"/>
              </w:rPr>
              <w:t>trade-exposed baseline-adjusted</w:t>
            </w:r>
            <w:r>
              <w:rPr>
                <w:rFonts w:cstheme="minorHAnsi"/>
              </w:rPr>
              <w:t xml:space="preserve"> applications.</w:t>
            </w:r>
            <w:r w:rsidR="00EF7548">
              <w:rPr>
                <w:rFonts w:cstheme="minorHAnsi"/>
              </w:rPr>
              <w:t xml:space="preserve"> </w:t>
            </w:r>
          </w:p>
        </w:tc>
      </w:tr>
      <w:tr w:rsidR="003014BA" w:rsidRPr="00F87ED6" w14:paraId="2FF392AE" w14:textId="77777777" w:rsidTr="0064266E">
        <w:trPr>
          <w:trHeight w:val="85"/>
        </w:trPr>
        <w:tc>
          <w:tcPr>
            <w:tcW w:w="2404" w:type="dxa"/>
          </w:tcPr>
          <w:p w14:paraId="45FD5A32" w14:textId="77777777" w:rsidR="003014BA" w:rsidRPr="00C056E8" w:rsidRDefault="003014BA" w:rsidP="005855A8">
            <w:pPr>
              <w:spacing w:before="60" w:after="60"/>
              <w:rPr>
                <w:rFonts w:cstheme="minorHAnsi"/>
              </w:rPr>
            </w:pPr>
            <w:proofErr w:type="spellStart"/>
            <w:r>
              <w:rPr>
                <w:rFonts w:cstheme="minorHAnsi"/>
              </w:rPr>
              <w:t>EITE</w:t>
            </w:r>
            <w:proofErr w:type="spellEnd"/>
            <w:r>
              <w:rPr>
                <w:rFonts w:cstheme="minorHAnsi"/>
              </w:rPr>
              <w:t xml:space="preserve"> – assistance measures</w:t>
            </w:r>
          </w:p>
        </w:tc>
        <w:tc>
          <w:tcPr>
            <w:tcW w:w="2553" w:type="dxa"/>
          </w:tcPr>
          <w:p w14:paraId="237A0FC6" w14:textId="77777777" w:rsidR="003014BA" w:rsidRPr="00F87ED6" w:rsidRDefault="003014BA" w:rsidP="005855A8">
            <w:pPr>
              <w:spacing w:before="60" w:after="60"/>
              <w:jc w:val="center"/>
              <w:rPr>
                <w:rFonts w:cstheme="minorHAnsi"/>
              </w:rPr>
            </w:pPr>
            <w:r w:rsidRPr="00F87ED6">
              <w:rPr>
                <w:rFonts w:cstheme="minorHAnsi"/>
              </w:rPr>
              <w:t>n/a</w:t>
            </w:r>
          </w:p>
        </w:tc>
        <w:tc>
          <w:tcPr>
            <w:tcW w:w="5244" w:type="dxa"/>
            <w:gridSpan w:val="5"/>
            <w:shd w:val="clear" w:color="auto" w:fill="FFFFFF" w:themeFill="background1"/>
          </w:tcPr>
          <w:p w14:paraId="1CBBF014" w14:textId="77777777" w:rsidR="003014BA" w:rsidRDefault="003014BA" w:rsidP="003014BA">
            <w:pPr>
              <w:pStyle w:val="ListParagraph"/>
              <w:numPr>
                <w:ilvl w:val="0"/>
                <w:numId w:val="40"/>
              </w:numPr>
              <w:spacing w:before="60" w:after="60"/>
              <w:rPr>
                <w:rFonts w:cstheme="minorHAnsi"/>
              </w:rPr>
            </w:pPr>
            <w:r>
              <w:rPr>
                <w:rFonts w:cstheme="minorHAnsi"/>
              </w:rPr>
              <w:t xml:space="preserve">Potential options including financial assistance to meet </w:t>
            </w:r>
            <w:r w:rsidR="006831C4">
              <w:rPr>
                <w:rFonts w:cstheme="minorHAnsi"/>
              </w:rPr>
              <w:t>S</w:t>
            </w:r>
            <w:r>
              <w:rPr>
                <w:rFonts w:cstheme="minorHAnsi"/>
              </w:rPr>
              <w:t xml:space="preserve">afeguard obligations. Potential assistance from </w:t>
            </w:r>
            <w:r w:rsidR="006831C4">
              <w:rPr>
                <w:rFonts w:cstheme="minorHAnsi"/>
              </w:rPr>
              <w:t xml:space="preserve">the </w:t>
            </w:r>
            <w:proofErr w:type="spellStart"/>
            <w:r>
              <w:rPr>
                <w:rFonts w:cstheme="minorHAnsi"/>
              </w:rPr>
              <w:t>PRF</w:t>
            </w:r>
            <w:proofErr w:type="spellEnd"/>
            <w:r>
              <w:rPr>
                <w:rFonts w:cstheme="minorHAnsi"/>
              </w:rPr>
              <w:t xml:space="preserve"> and </w:t>
            </w:r>
            <w:proofErr w:type="spellStart"/>
            <w:r>
              <w:rPr>
                <w:rFonts w:cstheme="minorHAnsi"/>
              </w:rPr>
              <w:t>NRF</w:t>
            </w:r>
            <w:proofErr w:type="spellEnd"/>
            <w:r>
              <w:rPr>
                <w:rFonts w:cstheme="minorHAnsi"/>
              </w:rPr>
              <w:t>, in addition to existing sources of funding and finance.</w:t>
            </w:r>
          </w:p>
          <w:p w14:paraId="70F5FE3D" w14:textId="77777777" w:rsidR="003014BA" w:rsidRDefault="003014BA" w:rsidP="003014BA">
            <w:pPr>
              <w:pStyle w:val="ListParagraph"/>
              <w:numPr>
                <w:ilvl w:val="0"/>
                <w:numId w:val="40"/>
              </w:numPr>
              <w:spacing w:before="60" w:after="60"/>
              <w:rPr>
                <w:rFonts w:cstheme="minorHAnsi"/>
              </w:rPr>
            </w:pPr>
            <w:r>
              <w:rPr>
                <w:rFonts w:cstheme="minorHAnsi"/>
              </w:rPr>
              <w:t xml:space="preserve">Direct provision of SMCs to </w:t>
            </w:r>
            <w:proofErr w:type="spellStart"/>
            <w:r>
              <w:rPr>
                <w:rFonts w:cstheme="minorHAnsi"/>
              </w:rPr>
              <w:t>EITEs</w:t>
            </w:r>
            <w:proofErr w:type="spellEnd"/>
          </w:p>
          <w:p w14:paraId="2827553C" w14:textId="77777777" w:rsidR="003014BA" w:rsidRPr="00F87ED6" w:rsidRDefault="003014BA" w:rsidP="003014BA">
            <w:pPr>
              <w:pStyle w:val="ListParagraph"/>
              <w:numPr>
                <w:ilvl w:val="0"/>
                <w:numId w:val="40"/>
              </w:numPr>
              <w:spacing w:before="60" w:after="60"/>
              <w:rPr>
                <w:rFonts w:cstheme="minorHAnsi"/>
              </w:rPr>
            </w:pPr>
            <w:r>
              <w:rPr>
                <w:rFonts w:cstheme="minorHAnsi"/>
              </w:rPr>
              <w:t>Differentiated baseline decline rates</w:t>
            </w:r>
          </w:p>
        </w:tc>
        <w:tc>
          <w:tcPr>
            <w:tcW w:w="2552" w:type="dxa"/>
            <w:shd w:val="clear" w:color="auto" w:fill="FFFFFF" w:themeFill="background1"/>
          </w:tcPr>
          <w:p w14:paraId="07FDA801" w14:textId="77777777" w:rsidR="003014BA" w:rsidRDefault="003014BA" w:rsidP="003014BA">
            <w:pPr>
              <w:pStyle w:val="ListParagraph"/>
              <w:numPr>
                <w:ilvl w:val="0"/>
                <w:numId w:val="40"/>
              </w:numPr>
              <w:spacing w:before="60" w:after="60"/>
              <w:rPr>
                <w:rFonts w:cstheme="minorHAnsi"/>
              </w:rPr>
            </w:pPr>
            <w:r>
              <w:rPr>
                <w:rFonts w:cstheme="minorHAnsi"/>
              </w:rPr>
              <w:t xml:space="preserve">Preferential grant funding for </w:t>
            </w:r>
            <w:r w:rsidRPr="00AB75BE">
              <w:rPr>
                <w:rFonts w:cstheme="minorHAnsi"/>
              </w:rPr>
              <w:t xml:space="preserve">trade exposed industries through the </w:t>
            </w:r>
            <w:r>
              <w:rPr>
                <w:rFonts w:cstheme="minorHAnsi"/>
              </w:rPr>
              <w:t xml:space="preserve">Safeguard </w:t>
            </w:r>
            <w:r w:rsidR="006831C4">
              <w:rPr>
                <w:rFonts w:cstheme="minorHAnsi"/>
              </w:rPr>
              <w:t>Transformation</w:t>
            </w:r>
            <w:r>
              <w:rPr>
                <w:rFonts w:cstheme="minorHAnsi"/>
              </w:rPr>
              <w:t xml:space="preserve"> </w:t>
            </w:r>
            <w:r w:rsidR="008A488D">
              <w:rPr>
                <w:rFonts w:cstheme="minorHAnsi"/>
              </w:rPr>
              <w:t>Stream</w:t>
            </w:r>
            <w:r>
              <w:rPr>
                <w:rFonts w:cstheme="minorHAnsi"/>
              </w:rPr>
              <w:t xml:space="preserve"> (through </w:t>
            </w:r>
            <w:r w:rsidRPr="00AB75BE" w:rsidDel="006831C4">
              <w:rPr>
                <w:rFonts w:cstheme="minorHAnsi"/>
              </w:rPr>
              <w:t xml:space="preserve">the </w:t>
            </w:r>
            <w:proofErr w:type="spellStart"/>
            <w:r w:rsidR="006831C4">
              <w:rPr>
                <w:rFonts w:cstheme="minorHAnsi"/>
              </w:rPr>
              <w:t>PRF</w:t>
            </w:r>
            <w:proofErr w:type="spellEnd"/>
            <w:r>
              <w:rPr>
                <w:rFonts w:cstheme="minorHAnsi"/>
              </w:rPr>
              <w:t>)</w:t>
            </w:r>
          </w:p>
          <w:p w14:paraId="2922F399" w14:textId="77777777" w:rsidR="003014BA" w:rsidRPr="00F87ED6" w:rsidRDefault="0047068D" w:rsidP="006831C4">
            <w:pPr>
              <w:pStyle w:val="ListParagraph"/>
              <w:numPr>
                <w:ilvl w:val="0"/>
                <w:numId w:val="40"/>
              </w:numPr>
              <w:spacing w:before="60" w:after="60"/>
              <w:rPr>
                <w:rFonts w:cstheme="minorHAnsi"/>
              </w:rPr>
            </w:pPr>
            <w:r>
              <w:rPr>
                <w:rFonts w:cstheme="minorHAnsi"/>
              </w:rPr>
              <w:t>Trade-exposed baseline-adjusted</w:t>
            </w:r>
            <w:r w:rsidR="003014BA">
              <w:rPr>
                <w:rFonts w:cstheme="minorHAnsi"/>
              </w:rPr>
              <w:t xml:space="preserve"> facilities facing concentrated impacts </w:t>
            </w:r>
            <w:r w:rsidR="003014BA">
              <w:rPr>
                <w:rFonts w:cstheme="minorHAnsi"/>
              </w:rPr>
              <w:lastRenderedPageBreak/>
              <w:t xml:space="preserve">eligible for a </w:t>
            </w:r>
            <w:r w:rsidR="006831C4">
              <w:rPr>
                <w:rFonts w:cstheme="minorHAnsi"/>
              </w:rPr>
              <w:t>concessional</w:t>
            </w:r>
            <w:r w:rsidR="003014BA" w:rsidDel="006831C4">
              <w:rPr>
                <w:rFonts w:cstheme="minorHAnsi"/>
              </w:rPr>
              <w:t xml:space="preserve"> </w:t>
            </w:r>
            <w:r w:rsidR="003014BA">
              <w:rPr>
                <w:rFonts w:cstheme="minorHAnsi"/>
              </w:rPr>
              <w:t>decline rate</w:t>
            </w:r>
            <w:r w:rsidR="006831C4">
              <w:rPr>
                <w:rFonts w:cstheme="minorHAnsi"/>
              </w:rPr>
              <w:t xml:space="preserve"> in addition to grant funding above</w:t>
            </w:r>
            <w:r w:rsidR="003014BA">
              <w:rPr>
                <w:rFonts w:cstheme="minorHAnsi"/>
              </w:rPr>
              <w:t>.</w:t>
            </w:r>
          </w:p>
        </w:tc>
        <w:tc>
          <w:tcPr>
            <w:tcW w:w="9922" w:type="dxa"/>
            <w:tcBorders>
              <w:right w:val="single" w:sz="4" w:space="0" w:color="auto"/>
            </w:tcBorders>
            <w:shd w:val="clear" w:color="auto" w:fill="FFFFFF" w:themeFill="background1"/>
          </w:tcPr>
          <w:p w14:paraId="3CE80821" w14:textId="77777777" w:rsidR="003014BA" w:rsidRDefault="00F50CF9" w:rsidP="005855A8">
            <w:pPr>
              <w:pStyle w:val="ListParagraph"/>
              <w:numPr>
                <w:ilvl w:val="0"/>
                <w:numId w:val="32"/>
              </w:numPr>
              <w:spacing w:before="60" w:after="60"/>
              <w:rPr>
                <w:rFonts w:cstheme="minorHAnsi"/>
              </w:rPr>
            </w:pPr>
            <w:r>
              <w:rPr>
                <w:rFonts w:cstheme="minorHAnsi"/>
              </w:rPr>
              <w:lastRenderedPageBreak/>
              <w:t>A</w:t>
            </w:r>
            <w:r w:rsidR="003014BA">
              <w:rPr>
                <w:rFonts w:cstheme="minorHAnsi"/>
              </w:rPr>
              <w:t xml:space="preserve"> range of assistance measures were consulted on, including funding options from </w:t>
            </w:r>
            <w:r w:rsidR="000C2F96">
              <w:rPr>
                <w:rFonts w:cstheme="minorHAnsi"/>
              </w:rPr>
              <w:t xml:space="preserve">the </w:t>
            </w:r>
            <w:proofErr w:type="spellStart"/>
            <w:r w:rsidR="003014BA">
              <w:rPr>
                <w:rFonts w:cstheme="minorHAnsi"/>
              </w:rPr>
              <w:t>NRF</w:t>
            </w:r>
            <w:proofErr w:type="spellEnd"/>
            <w:r w:rsidR="003014BA">
              <w:rPr>
                <w:rFonts w:cstheme="minorHAnsi"/>
              </w:rPr>
              <w:t xml:space="preserve"> and </w:t>
            </w:r>
            <w:proofErr w:type="spellStart"/>
            <w:r w:rsidR="003014BA">
              <w:rPr>
                <w:rFonts w:cstheme="minorHAnsi"/>
              </w:rPr>
              <w:t>PRF</w:t>
            </w:r>
            <w:proofErr w:type="spellEnd"/>
            <w:r w:rsidR="003014BA">
              <w:rPr>
                <w:rFonts w:cstheme="minorHAnsi"/>
              </w:rPr>
              <w:t>, direct provision of SMCs and differentiated baseline decline rates.</w:t>
            </w:r>
          </w:p>
          <w:p w14:paraId="2C8CA1C5" w14:textId="77777777" w:rsidR="003014BA" w:rsidRDefault="00F50CF9">
            <w:pPr>
              <w:pStyle w:val="ListParagraph"/>
              <w:numPr>
                <w:ilvl w:val="0"/>
                <w:numId w:val="32"/>
              </w:numPr>
              <w:spacing w:before="60" w:after="60"/>
              <w:rPr>
                <w:rFonts w:cstheme="minorHAnsi"/>
              </w:rPr>
            </w:pPr>
            <w:r>
              <w:rPr>
                <w:rFonts w:cstheme="minorHAnsi"/>
              </w:rPr>
              <w:t>A</w:t>
            </w:r>
            <w:r w:rsidR="00083B77">
              <w:rPr>
                <w:rFonts w:cstheme="minorHAnsi"/>
              </w:rPr>
              <w:t xml:space="preserve"> two-step process has been proposed for </w:t>
            </w:r>
            <w:proofErr w:type="spellStart"/>
            <w:r w:rsidR="00083B77">
              <w:rPr>
                <w:rFonts w:cstheme="minorHAnsi"/>
              </w:rPr>
              <w:t>EITE</w:t>
            </w:r>
            <w:proofErr w:type="spellEnd"/>
            <w:r w:rsidR="00083B77">
              <w:rPr>
                <w:rFonts w:cstheme="minorHAnsi"/>
              </w:rPr>
              <w:t xml:space="preserve"> assistance. </w:t>
            </w:r>
            <w:r w:rsidR="003014BA" w:rsidRPr="00EE201F">
              <w:rPr>
                <w:rFonts w:cstheme="minorHAnsi"/>
              </w:rPr>
              <w:t xml:space="preserve">Safeguard facilities that satisfy the trade exposure test (only) will have preferential access to the Safeguard </w:t>
            </w:r>
            <w:r w:rsidR="006831C4">
              <w:rPr>
                <w:rFonts w:cstheme="minorHAnsi"/>
              </w:rPr>
              <w:t>Transformation</w:t>
            </w:r>
            <w:r w:rsidR="006831C4" w:rsidRPr="00EE201F">
              <w:rPr>
                <w:rFonts w:cstheme="minorHAnsi"/>
              </w:rPr>
              <w:t xml:space="preserve"> </w:t>
            </w:r>
            <w:r w:rsidR="008A488D">
              <w:rPr>
                <w:rFonts w:cstheme="minorHAnsi"/>
              </w:rPr>
              <w:t>Stream</w:t>
            </w:r>
            <w:r w:rsidR="003014BA" w:rsidRPr="00EE201F">
              <w:rPr>
                <w:rFonts w:cstheme="minorHAnsi"/>
              </w:rPr>
              <w:t xml:space="preserve"> </w:t>
            </w:r>
            <w:r w:rsidR="006831C4">
              <w:rPr>
                <w:rFonts w:cstheme="minorHAnsi"/>
              </w:rPr>
              <w:t>within</w:t>
            </w:r>
            <w:r w:rsidR="003014BA" w:rsidRPr="00EE201F">
              <w:rPr>
                <w:rFonts w:cstheme="minorHAnsi"/>
              </w:rPr>
              <w:t xml:space="preserve"> the </w:t>
            </w:r>
            <w:proofErr w:type="spellStart"/>
            <w:r w:rsidR="003014BA" w:rsidRPr="00EE201F">
              <w:rPr>
                <w:rFonts w:cstheme="minorHAnsi"/>
              </w:rPr>
              <w:t>PRF’s</w:t>
            </w:r>
            <w:proofErr w:type="spellEnd"/>
            <w:r w:rsidR="003014BA" w:rsidRPr="00EE201F">
              <w:rPr>
                <w:rFonts w:cstheme="minorHAnsi"/>
              </w:rPr>
              <w:t xml:space="preserve"> broader decarbonisation fund for hard-to-abate sectors.</w:t>
            </w:r>
            <w:r w:rsidR="00083B77">
              <w:rPr>
                <w:rFonts w:cstheme="minorHAnsi"/>
              </w:rPr>
              <w:t xml:space="preserve"> </w:t>
            </w:r>
            <w:r w:rsidR="0047068D">
              <w:rPr>
                <w:rFonts w:cstheme="minorHAnsi"/>
              </w:rPr>
              <w:t>Trade-exposed baseline-adjusted</w:t>
            </w:r>
            <w:r w:rsidR="003014BA" w:rsidRPr="00EE201F">
              <w:rPr>
                <w:rFonts w:cstheme="minorHAnsi"/>
              </w:rPr>
              <w:t xml:space="preserve"> facilities that satisf</w:t>
            </w:r>
            <w:r w:rsidR="003014BA" w:rsidRPr="00C35CCF">
              <w:rPr>
                <w:rFonts w:cstheme="minorHAnsi"/>
              </w:rPr>
              <w:t>y the trade exposure test as well as concentrated impact test will</w:t>
            </w:r>
            <w:r w:rsidR="003014BA">
              <w:rPr>
                <w:rFonts w:cstheme="minorHAnsi"/>
              </w:rPr>
              <w:t xml:space="preserve"> </w:t>
            </w:r>
            <w:r w:rsidR="006606B6">
              <w:rPr>
                <w:rFonts w:cstheme="minorHAnsi"/>
              </w:rPr>
              <w:t>also</w:t>
            </w:r>
            <w:r w:rsidR="003014BA" w:rsidRPr="00C35CCF">
              <w:rPr>
                <w:rFonts w:cstheme="minorHAnsi"/>
              </w:rPr>
              <w:t xml:space="preserve"> be eligible for a </w:t>
            </w:r>
            <w:r w:rsidR="006831C4">
              <w:rPr>
                <w:rFonts w:cstheme="minorHAnsi"/>
              </w:rPr>
              <w:t>concessional</w:t>
            </w:r>
            <w:r w:rsidR="003014BA" w:rsidRPr="00C35CCF">
              <w:rPr>
                <w:rFonts w:cstheme="minorHAnsi"/>
              </w:rPr>
              <w:t xml:space="preserve"> </w:t>
            </w:r>
            <w:r w:rsidR="004E3EB6">
              <w:rPr>
                <w:rFonts w:cstheme="minorHAnsi"/>
              </w:rPr>
              <w:t>baseline</w:t>
            </w:r>
            <w:r w:rsidR="003014BA" w:rsidRPr="00C35CCF">
              <w:rPr>
                <w:rFonts w:cstheme="minorHAnsi"/>
              </w:rPr>
              <w:t xml:space="preserve"> decline rate that will be set based on scheme impact, with a minimum </w:t>
            </w:r>
            <w:r w:rsidR="00995530">
              <w:rPr>
                <w:rFonts w:cstheme="minorHAnsi"/>
              </w:rPr>
              <w:t xml:space="preserve">annual </w:t>
            </w:r>
            <w:r w:rsidR="003014BA" w:rsidRPr="00C35CCF">
              <w:rPr>
                <w:rFonts w:cstheme="minorHAnsi"/>
              </w:rPr>
              <w:t>decline rate of 2%</w:t>
            </w:r>
            <w:r>
              <w:rPr>
                <w:rFonts w:cstheme="minorHAnsi"/>
              </w:rPr>
              <w:t xml:space="preserve"> (or 1% for manufacturing </w:t>
            </w:r>
            <w:r w:rsidR="00D127CF">
              <w:rPr>
                <w:rFonts w:cstheme="minorHAnsi"/>
              </w:rPr>
              <w:t>facilities</w:t>
            </w:r>
            <w:r>
              <w:rPr>
                <w:rFonts w:cstheme="minorHAnsi"/>
              </w:rPr>
              <w:t>)</w:t>
            </w:r>
            <w:r w:rsidR="003014BA" w:rsidRPr="00C35CCF">
              <w:rPr>
                <w:rFonts w:cstheme="minorHAnsi"/>
              </w:rPr>
              <w:t xml:space="preserve">. </w:t>
            </w:r>
          </w:p>
          <w:p w14:paraId="2A26DCDB" w14:textId="77777777" w:rsidR="003014BA" w:rsidRPr="00C35CCF" w:rsidRDefault="00EF7548">
            <w:pPr>
              <w:pStyle w:val="ListParagraph"/>
              <w:numPr>
                <w:ilvl w:val="0"/>
                <w:numId w:val="32"/>
              </w:numPr>
              <w:spacing w:before="60" w:after="60"/>
              <w:rPr>
                <w:rFonts w:cstheme="minorHAnsi"/>
              </w:rPr>
            </w:pPr>
            <w:proofErr w:type="spellStart"/>
            <w:r w:rsidRPr="00D73C61">
              <w:rPr>
                <w:rFonts w:cstheme="minorHAnsi"/>
              </w:rPr>
              <w:t>EITE</w:t>
            </w:r>
            <w:proofErr w:type="spellEnd"/>
            <w:r w:rsidRPr="00D73C61">
              <w:rPr>
                <w:rFonts w:cstheme="minorHAnsi"/>
              </w:rPr>
              <w:t xml:space="preserve"> facilities will incur administrative costs to apply for grant funding.</w:t>
            </w:r>
          </w:p>
        </w:tc>
      </w:tr>
      <w:tr w:rsidR="002D5411" w:rsidRPr="00F87ED6" w14:paraId="21378F55" w14:textId="77777777" w:rsidTr="00C15003">
        <w:trPr>
          <w:trHeight w:val="85"/>
        </w:trPr>
        <w:tc>
          <w:tcPr>
            <w:tcW w:w="2404" w:type="dxa"/>
          </w:tcPr>
          <w:p w14:paraId="2E4EDDE0" w14:textId="77777777" w:rsidR="002D5411" w:rsidRDefault="002D5411" w:rsidP="005855A8">
            <w:pPr>
              <w:spacing w:before="60" w:after="60"/>
              <w:rPr>
                <w:rFonts w:cstheme="minorHAnsi"/>
              </w:rPr>
            </w:pPr>
            <w:r>
              <w:rPr>
                <w:rFonts w:cstheme="minorHAnsi"/>
              </w:rPr>
              <w:t>Non-</w:t>
            </w:r>
            <w:proofErr w:type="spellStart"/>
            <w:r>
              <w:rPr>
                <w:rFonts w:cstheme="minorHAnsi"/>
              </w:rPr>
              <w:t>EITE</w:t>
            </w:r>
            <w:proofErr w:type="spellEnd"/>
            <w:r>
              <w:rPr>
                <w:rFonts w:cstheme="minorHAnsi"/>
              </w:rPr>
              <w:t xml:space="preserve"> financial assistance</w:t>
            </w:r>
          </w:p>
        </w:tc>
        <w:tc>
          <w:tcPr>
            <w:tcW w:w="2553" w:type="dxa"/>
          </w:tcPr>
          <w:p w14:paraId="22A2AADA" w14:textId="77777777" w:rsidR="002D5411" w:rsidRPr="00F87ED6" w:rsidRDefault="002D5411" w:rsidP="005855A8">
            <w:pPr>
              <w:spacing w:before="60" w:after="60"/>
              <w:jc w:val="center"/>
              <w:rPr>
                <w:rFonts w:cstheme="minorHAnsi"/>
              </w:rPr>
            </w:pPr>
            <w:r>
              <w:rPr>
                <w:rFonts w:cstheme="minorHAnsi"/>
              </w:rPr>
              <w:t>n/a</w:t>
            </w:r>
          </w:p>
        </w:tc>
        <w:tc>
          <w:tcPr>
            <w:tcW w:w="7796" w:type="dxa"/>
            <w:gridSpan w:val="6"/>
            <w:shd w:val="clear" w:color="auto" w:fill="FFFFFF" w:themeFill="background1"/>
          </w:tcPr>
          <w:p w14:paraId="558123D1" w14:textId="77777777" w:rsidR="002D5411" w:rsidRDefault="002D5411">
            <w:pPr>
              <w:pStyle w:val="ListParagraph"/>
              <w:numPr>
                <w:ilvl w:val="0"/>
                <w:numId w:val="40"/>
              </w:numPr>
              <w:spacing w:before="60" w:after="60"/>
              <w:rPr>
                <w:rFonts w:cstheme="minorHAnsi"/>
              </w:rPr>
            </w:pPr>
            <w:r>
              <w:rPr>
                <w:rFonts w:cstheme="minorHAnsi"/>
              </w:rPr>
              <w:t xml:space="preserve">Competitive grants and concessional finance options through </w:t>
            </w:r>
            <w:r w:rsidRPr="008D23BB">
              <w:rPr>
                <w:rFonts w:cstheme="minorHAnsi"/>
              </w:rPr>
              <w:t xml:space="preserve">a variety </w:t>
            </w:r>
            <w:r>
              <w:rPr>
                <w:rFonts w:cstheme="minorHAnsi"/>
              </w:rPr>
              <w:t>of</w:t>
            </w:r>
            <w:r w:rsidRPr="008D23BB">
              <w:rPr>
                <w:rFonts w:cstheme="minorHAnsi"/>
              </w:rPr>
              <w:t xml:space="preserve"> sources, including other programs under the Powering the Regions Fund, the National Reconstruction Fund, ARENA and the CEFC.</w:t>
            </w:r>
          </w:p>
        </w:tc>
        <w:tc>
          <w:tcPr>
            <w:tcW w:w="9922" w:type="dxa"/>
            <w:tcBorders>
              <w:right w:val="single" w:sz="4" w:space="0" w:color="auto"/>
            </w:tcBorders>
            <w:shd w:val="clear" w:color="auto" w:fill="FFFFFF" w:themeFill="background1"/>
          </w:tcPr>
          <w:p w14:paraId="5647F2B9" w14:textId="77777777" w:rsidR="002D5411" w:rsidRDefault="00223CAB">
            <w:pPr>
              <w:pStyle w:val="ListParagraph"/>
              <w:numPr>
                <w:ilvl w:val="0"/>
                <w:numId w:val="32"/>
              </w:numPr>
              <w:spacing w:before="60" w:after="60"/>
              <w:rPr>
                <w:rFonts w:cstheme="minorHAnsi"/>
              </w:rPr>
            </w:pPr>
            <w:r>
              <w:rPr>
                <w:rFonts w:cstheme="minorHAnsi"/>
              </w:rPr>
              <w:t>Addresses non-</w:t>
            </w:r>
            <w:proofErr w:type="spellStart"/>
            <w:r>
              <w:rPr>
                <w:rFonts w:cstheme="minorHAnsi"/>
              </w:rPr>
              <w:t>EITE</w:t>
            </w:r>
            <w:proofErr w:type="spellEnd"/>
            <w:r>
              <w:rPr>
                <w:rFonts w:cstheme="minorHAnsi"/>
              </w:rPr>
              <w:t xml:space="preserve"> facility concerns around the need for </w:t>
            </w:r>
            <w:r w:rsidRPr="00223CAB">
              <w:rPr>
                <w:rFonts w:cstheme="minorHAnsi"/>
              </w:rPr>
              <w:t>funding and attractive financing in order to conduct significant emissions reductions projects, particularly for hard-to-abate activities where the required technology may not be commercially viable for several years.</w:t>
            </w:r>
          </w:p>
        </w:tc>
      </w:tr>
    </w:tbl>
    <w:p w14:paraId="6B826779" w14:textId="77777777" w:rsidR="00EE5F90" w:rsidRPr="00EE5F90" w:rsidRDefault="00EE5F90" w:rsidP="00EE5F90">
      <w:pPr>
        <w:pStyle w:val="BodyText"/>
      </w:pPr>
    </w:p>
    <w:p w14:paraId="04C8849F" w14:textId="77777777" w:rsidR="00EE5F90" w:rsidRDefault="00EE5F90" w:rsidP="00FE5912">
      <w:pPr>
        <w:pStyle w:val="Heading3"/>
        <w:sectPr w:rsidR="00EE5F90" w:rsidSect="00EE5F90">
          <w:pgSz w:w="23814" w:h="16839" w:orient="landscape" w:code="8"/>
          <w:pgMar w:top="720" w:right="720" w:bottom="720" w:left="720" w:header="567" w:footer="57" w:gutter="0"/>
          <w:cols w:space="708"/>
          <w:docGrid w:linePitch="360"/>
        </w:sectPr>
      </w:pPr>
    </w:p>
    <w:p w14:paraId="1B947E63" w14:textId="77777777" w:rsidR="00651F89" w:rsidRDefault="00651F89" w:rsidP="0064266E">
      <w:pPr>
        <w:pStyle w:val="Heading1"/>
      </w:pPr>
      <w:bookmarkStart w:id="200" w:name="_Ref118669397"/>
      <w:bookmarkStart w:id="201" w:name="_Ref118669408"/>
      <w:bookmarkStart w:id="202" w:name="_Toc118750374"/>
      <w:bookmarkStart w:id="203" w:name="_Toc118754650"/>
      <w:bookmarkStart w:id="204" w:name="_Toc118813941"/>
      <w:bookmarkStart w:id="205" w:name="_Toc119327151"/>
      <w:bookmarkStart w:id="206" w:name="_Toc119360655"/>
      <w:bookmarkStart w:id="207" w:name="_Toc132807546"/>
      <w:r>
        <w:lastRenderedPageBreak/>
        <w:t>4. What is the likely net benefit of each option?</w:t>
      </w:r>
      <w:bookmarkEnd w:id="200"/>
      <w:bookmarkEnd w:id="201"/>
      <w:bookmarkEnd w:id="202"/>
      <w:bookmarkEnd w:id="203"/>
      <w:bookmarkEnd w:id="204"/>
      <w:bookmarkEnd w:id="205"/>
      <w:bookmarkEnd w:id="206"/>
      <w:bookmarkEnd w:id="207"/>
    </w:p>
    <w:p w14:paraId="2AC15F67" w14:textId="03AAE49E" w:rsidR="00E05D63" w:rsidRDefault="0032768A" w:rsidP="00651F89">
      <w:pPr>
        <w:pStyle w:val="Heading2"/>
      </w:pPr>
      <w:bookmarkStart w:id="208" w:name="_Toc118813942"/>
      <w:bookmarkStart w:id="209" w:name="_Toc119327152"/>
      <w:bookmarkStart w:id="210" w:name="_Toc119360656"/>
      <w:bookmarkStart w:id="211" w:name="_Toc132807547"/>
      <w:r>
        <w:t xml:space="preserve">Impact </w:t>
      </w:r>
      <w:bookmarkEnd w:id="208"/>
      <w:bookmarkEnd w:id="209"/>
      <w:bookmarkEnd w:id="210"/>
      <w:r w:rsidR="00F10D3E">
        <w:t>analysis</w:t>
      </w:r>
      <w:bookmarkEnd w:id="211"/>
    </w:p>
    <w:p w14:paraId="21643A9D" w14:textId="79AD4607" w:rsidR="002F5F50" w:rsidRPr="00CC0208" w:rsidRDefault="002F5F50" w:rsidP="002F5F50">
      <w:pPr>
        <w:pStyle w:val="BodyText"/>
        <w:rPr>
          <w:sz w:val="22"/>
          <w:szCs w:val="22"/>
        </w:rPr>
      </w:pPr>
      <w:r>
        <w:rPr>
          <w:sz w:val="22"/>
          <w:szCs w:val="22"/>
        </w:rPr>
        <w:t>The</w:t>
      </w:r>
      <w:r w:rsidR="00F875FE">
        <w:rPr>
          <w:sz w:val="22"/>
          <w:szCs w:val="22"/>
        </w:rPr>
        <w:t xml:space="preserve"> following</w:t>
      </w:r>
      <w:r>
        <w:rPr>
          <w:sz w:val="22"/>
          <w:szCs w:val="22"/>
        </w:rPr>
        <w:t xml:space="preserve"> qualitative </w:t>
      </w:r>
      <w:r w:rsidR="00F10D3E">
        <w:rPr>
          <w:sz w:val="22"/>
          <w:szCs w:val="22"/>
        </w:rPr>
        <w:t xml:space="preserve">analysis </w:t>
      </w:r>
      <w:r>
        <w:rPr>
          <w:sz w:val="22"/>
          <w:szCs w:val="22"/>
        </w:rPr>
        <w:t xml:space="preserve">provides a description of </w:t>
      </w:r>
      <w:r w:rsidR="00F875FE">
        <w:rPr>
          <w:sz w:val="22"/>
          <w:szCs w:val="22"/>
        </w:rPr>
        <w:t xml:space="preserve">direct </w:t>
      </w:r>
      <w:r w:rsidR="00ED763A">
        <w:rPr>
          <w:sz w:val="22"/>
          <w:szCs w:val="22"/>
        </w:rPr>
        <w:t xml:space="preserve">net </w:t>
      </w:r>
      <w:r w:rsidR="00F875FE">
        <w:rPr>
          <w:sz w:val="22"/>
          <w:szCs w:val="22"/>
        </w:rPr>
        <w:t xml:space="preserve">benefits expected to Safeguard facilities and the community </w:t>
      </w:r>
      <w:r>
        <w:rPr>
          <w:sz w:val="22"/>
          <w:szCs w:val="22"/>
        </w:rPr>
        <w:t xml:space="preserve">and how they could be realised through the introduction of the reforms. These benefits are broadly the same across all three options analysed, due to the same overall objectives of the </w:t>
      </w:r>
      <w:r w:rsidRPr="00CC0208">
        <w:rPr>
          <w:sz w:val="22"/>
          <w:szCs w:val="22"/>
        </w:rPr>
        <w:t>reforms.</w:t>
      </w:r>
      <w:r w:rsidRPr="00CC0208" w:rsidDel="00BA7996">
        <w:rPr>
          <w:sz w:val="22"/>
          <w:szCs w:val="22"/>
        </w:rPr>
        <w:t xml:space="preserve"> </w:t>
      </w:r>
      <w:r w:rsidRPr="00CC0208">
        <w:rPr>
          <w:sz w:val="22"/>
          <w:szCs w:val="22"/>
        </w:rPr>
        <w:t xml:space="preserve"> </w:t>
      </w:r>
    </w:p>
    <w:p w14:paraId="08187CD9" w14:textId="2E7F2CE8" w:rsidR="00700B93" w:rsidRDefault="00700B93" w:rsidP="002F5F50">
      <w:pPr>
        <w:pStyle w:val="BodyText"/>
        <w:rPr>
          <w:sz w:val="22"/>
          <w:szCs w:val="22"/>
        </w:rPr>
      </w:pPr>
      <w:r w:rsidRPr="00CC0208">
        <w:rPr>
          <w:sz w:val="22"/>
          <w:szCs w:val="22"/>
        </w:rPr>
        <w:t xml:space="preserve">Challenges in quantifying direct </w:t>
      </w:r>
      <w:r w:rsidR="002E48B7">
        <w:rPr>
          <w:sz w:val="22"/>
          <w:szCs w:val="22"/>
        </w:rPr>
        <w:t xml:space="preserve">costs and </w:t>
      </w:r>
      <w:r w:rsidRPr="00CC0208">
        <w:rPr>
          <w:sz w:val="22"/>
          <w:szCs w:val="22"/>
        </w:rPr>
        <w:t xml:space="preserve">benefits arise from difficulty in isolating and attributing the impacts of specific policies relative to other drivers of abatement activity, including corporate climate commitments and shifts in global capital markets. There is currently limited information on facility decision making, abatement costs and intentions regarding onsite emissions reductions and the use of flexibility mechanisms. Greater information is expected to become available through enhanced transparency </w:t>
      </w:r>
      <w:r w:rsidR="00CC0208" w:rsidRPr="00CC0208">
        <w:rPr>
          <w:sz w:val="22"/>
          <w:szCs w:val="22"/>
        </w:rPr>
        <w:t xml:space="preserve">measures </w:t>
      </w:r>
      <w:r w:rsidRPr="00CC0208">
        <w:rPr>
          <w:sz w:val="22"/>
          <w:szCs w:val="22"/>
        </w:rPr>
        <w:t>introduced through the reforms.</w:t>
      </w:r>
      <w:r w:rsidR="00F51B15">
        <w:rPr>
          <w:sz w:val="22"/>
          <w:szCs w:val="22"/>
        </w:rPr>
        <w:t xml:space="preserve"> Consequently, the impacts other than the regulatory burden estimate of administrative compliance costs have not been able to be quantified.</w:t>
      </w:r>
      <w:r w:rsidRPr="00CC0208">
        <w:rPr>
          <w:sz w:val="22"/>
          <w:szCs w:val="22"/>
        </w:rPr>
        <w:t xml:space="preserve"> </w:t>
      </w:r>
    </w:p>
    <w:p w14:paraId="5775B82D" w14:textId="6BC803F4" w:rsidR="00E63494" w:rsidRDefault="00575ACE" w:rsidP="008B71B0">
      <w:pPr>
        <w:rPr>
          <w:sz w:val="22"/>
          <w:szCs w:val="22"/>
        </w:rPr>
      </w:pPr>
      <w:r>
        <w:rPr>
          <w:sz w:val="22"/>
          <w:szCs w:val="22"/>
        </w:rPr>
        <w:t>The</w:t>
      </w:r>
      <w:r w:rsidR="00912E01">
        <w:rPr>
          <w:sz w:val="22"/>
          <w:szCs w:val="22"/>
        </w:rPr>
        <w:t xml:space="preserve"> analysis of qualitative impacts </w:t>
      </w:r>
      <w:r w:rsidR="008B71B0" w:rsidRPr="0064266E">
        <w:rPr>
          <w:sz w:val="22"/>
          <w:szCs w:val="22"/>
        </w:rPr>
        <w:t xml:space="preserve">captures </w:t>
      </w:r>
      <w:r>
        <w:rPr>
          <w:sz w:val="22"/>
          <w:szCs w:val="22"/>
        </w:rPr>
        <w:t xml:space="preserve">the nature of the expected impact – whether </w:t>
      </w:r>
      <w:r w:rsidR="008B71B0" w:rsidRPr="0064266E">
        <w:rPr>
          <w:sz w:val="22"/>
          <w:szCs w:val="22"/>
        </w:rPr>
        <w:t xml:space="preserve">positive </w:t>
      </w:r>
      <w:r>
        <w:rPr>
          <w:sz w:val="22"/>
          <w:szCs w:val="22"/>
        </w:rPr>
        <w:t>or</w:t>
      </w:r>
      <w:r w:rsidRPr="0064266E">
        <w:rPr>
          <w:sz w:val="22"/>
          <w:szCs w:val="22"/>
        </w:rPr>
        <w:t xml:space="preserve"> </w:t>
      </w:r>
      <w:r w:rsidR="008B71B0" w:rsidRPr="0064266E">
        <w:rPr>
          <w:sz w:val="22"/>
          <w:szCs w:val="22"/>
        </w:rPr>
        <w:t xml:space="preserve">negative </w:t>
      </w:r>
      <w:r>
        <w:rPr>
          <w:sz w:val="22"/>
          <w:szCs w:val="22"/>
        </w:rPr>
        <w:t>–</w:t>
      </w:r>
      <w:r w:rsidRPr="0064266E">
        <w:rPr>
          <w:sz w:val="22"/>
          <w:szCs w:val="22"/>
        </w:rPr>
        <w:t xml:space="preserve"> </w:t>
      </w:r>
      <w:r w:rsidR="008B71B0" w:rsidRPr="0064266E">
        <w:rPr>
          <w:sz w:val="22"/>
          <w:szCs w:val="22"/>
        </w:rPr>
        <w:t>arising</w:t>
      </w:r>
      <w:r>
        <w:rPr>
          <w:sz w:val="22"/>
          <w:szCs w:val="22"/>
        </w:rPr>
        <w:t xml:space="preserve"> </w:t>
      </w:r>
      <w:r w:rsidR="007B5CDE">
        <w:rPr>
          <w:sz w:val="22"/>
          <w:szCs w:val="22"/>
        </w:rPr>
        <w:t>from the</w:t>
      </w:r>
      <w:r w:rsidR="008B71B0" w:rsidRPr="0064266E">
        <w:rPr>
          <w:sz w:val="22"/>
          <w:szCs w:val="22"/>
        </w:rPr>
        <w:t xml:space="preserve"> different policy </w:t>
      </w:r>
      <w:r w:rsidR="007B5CDE">
        <w:rPr>
          <w:sz w:val="22"/>
          <w:szCs w:val="22"/>
        </w:rPr>
        <w:t>options</w:t>
      </w:r>
      <w:r w:rsidR="008B71B0" w:rsidRPr="0064266E">
        <w:rPr>
          <w:sz w:val="22"/>
          <w:szCs w:val="22"/>
        </w:rPr>
        <w:t xml:space="preserve">. </w:t>
      </w:r>
      <w:r w:rsidR="00FE27EE">
        <w:rPr>
          <w:sz w:val="22"/>
          <w:szCs w:val="22"/>
        </w:rPr>
        <w:t xml:space="preserve">The qualitative impact </w:t>
      </w:r>
      <w:r w:rsidR="00F10D3E">
        <w:rPr>
          <w:sz w:val="22"/>
          <w:szCs w:val="22"/>
        </w:rPr>
        <w:t xml:space="preserve">analysis </w:t>
      </w:r>
      <w:r w:rsidR="00FE27EE">
        <w:rPr>
          <w:sz w:val="22"/>
          <w:szCs w:val="22"/>
        </w:rPr>
        <w:t xml:space="preserve">of </w:t>
      </w:r>
      <w:r w:rsidR="00E63494" w:rsidRPr="00BD0FAD">
        <w:rPr>
          <w:sz w:val="22"/>
          <w:szCs w:val="22"/>
        </w:rPr>
        <w:fldChar w:fldCharType="begin"/>
      </w:r>
      <w:r w:rsidR="00E63494" w:rsidRPr="00051D30">
        <w:rPr>
          <w:sz w:val="22"/>
          <w:szCs w:val="22"/>
        </w:rPr>
        <w:instrText xml:space="preserve"> REF _Ref118194222 \h  \* MERGEFORMAT </w:instrText>
      </w:r>
      <w:r w:rsidR="00E63494" w:rsidRPr="00BD0FAD">
        <w:rPr>
          <w:sz w:val="22"/>
          <w:szCs w:val="22"/>
        </w:rPr>
      </w:r>
      <w:r w:rsidR="00E63494" w:rsidRPr="00BD0FAD">
        <w:rPr>
          <w:sz w:val="22"/>
          <w:szCs w:val="22"/>
        </w:rPr>
        <w:fldChar w:fldCharType="separate"/>
      </w:r>
      <w:r w:rsidR="005C13A2" w:rsidRPr="00605DE6">
        <w:rPr>
          <w:sz w:val="22"/>
          <w:szCs w:val="22"/>
        </w:rPr>
        <w:t>Table 6</w:t>
      </w:r>
      <w:r w:rsidR="00E63494" w:rsidRPr="00BD0FAD">
        <w:rPr>
          <w:sz w:val="22"/>
          <w:szCs w:val="22"/>
        </w:rPr>
        <w:fldChar w:fldCharType="end"/>
      </w:r>
      <w:r w:rsidR="00E63494" w:rsidRPr="004F352B">
        <w:rPr>
          <w:sz w:val="22"/>
          <w:szCs w:val="22"/>
        </w:rPr>
        <w:t xml:space="preserve"> </w:t>
      </w:r>
      <w:r w:rsidR="00E63494" w:rsidRPr="008B71B0">
        <w:rPr>
          <w:sz w:val="22"/>
          <w:szCs w:val="22"/>
        </w:rPr>
        <w:t xml:space="preserve">sets out </w:t>
      </w:r>
      <w:r w:rsidR="00E63494">
        <w:rPr>
          <w:sz w:val="22"/>
          <w:szCs w:val="22"/>
        </w:rPr>
        <w:t>the primary impacts</w:t>
      </w:r>
      <w:r w:rsidR="00E63494" w:rsidRPr="008B71B0">
        <w:rPr>
          <w:sz w:val="22"/>
          <w:szCs w:val="22"/>
        </w:rPr>
        <w:t xml:space="preserve"> </w:t>
      </w:r>
      <w:r w:rsidR="00E63494">
        <w:rPr>
          <w:sz w:val="22"/>
          <w:szCs w:val="22"/>
        </w:rPr>
        <w:t>of</w:t>
      </w:r>
      <w:r w:rsidR="00E63494" w:rsidRPr="008B71B0">
        <w:rPr>
          <w:sz w:val="22"/>
          <w:szCs w:val="22"/>
        </w:rPr>
        <w:t xml:space="preserve"> the different policy settings </w:t>
      </w:r>
      <w:r w:rsidR="00E63494">
        <w:rPr>
          <w:sz w:val="22"/>
          <w:szCs w:val="22"/>
        </w:rPr>
        <w:t>across the reference and policy options</w:t>
      </w:r>
      <w:r w:rsidR="00E63494" w:rsidRPr="008B71B0">
        <w:rPr>
          <w:sz w:val="22"/>
          <w:szCs w:val="22"/>
        </w:rPr>
        <w:t xml:space="preserve">. It refers </w:t>
      </w:r>
      <w:r w:rsidR="00E63494" w:rsidRPr="004C704F">
        <w:rPr>
          <w:sz w:val="22"/>
          <w:szCs w:val="22"/>
        </w:rPr>
        <w:t xml:space="preserve">to </w:t>
      </w:r>
      <w:r w:rsidR="00F371C6" w:rsidRPr="00F371C6">
        <w:rPr>
          <w:sz w:val="22"/>
          <w:szCs w:val="22"/>
        </w:rPr>
        <w:fldChar w:fldCharType="begin"/>
      </w:r>
      <w:r w:rsidR="00F371C6" w:rsidRPr="001B1972">
        <w:rPr>
          <w:sz w:val="22"/>
          <w:szCs w:val="22"/>
        </w:rPr>
        <w:instrText xml:space="preserve"> REF _Ref132107397 \h </w:instrText>
      </w:r>
      <w:r w:rsidR="00F371C6">
        <w:rPr>
          <w:sz w:val="22"/>
          <w:szCs w:val="22"/>
        </w:rPr>
        <w:instrText xml:space="preserve"> \* MERGEFORMAT </w:instrText>
      </w:r>
      <w:r w:rsidR="00F371C6" w:rsidRPr="00F371C6">
        <w:rPr>
          <w:sz w:val="22"/>
          <w:szCs w:val="22"/>
        </w:rPr>
      </w:r>
      <w:r w:rsidR="00F371C6" w:rsidRPr="00F371C6">
        <w:rPr>
          <w:sz w:val="22"/>
          <w:szCs w:val="22"/>
        </w:rPr>
        <w:fldChar w:fldCharType="separate"/>
      </w:r>
      <w:r w:rsidR="00F371C6" w:rsidRPr="001B1972">
        <w:rPr>
          <w:sz w:val="22"/>
          <w:szCs w:val="22"/>
        </w:rPr>
        <w:t xml:space="preserve">Table </w:t>
      </w:r>
      <w:r w:rsidR="00F371C6" w:rsidRPr="001B1972">
        <w:rPr>
          <w:noProof/>
          <w:sz w:val="22"/>
          <w:szCs w:val="22"/>
        </w:rPr>
        <w:t>4</w:t>
      </w:r>
      <w:r w:rsidR="00F371C6" w:rsidRPr="00F371C6">
        <w:rPr>
          <w:sz w:val="22"/>
          <w:szCs w:val="22"/>
        </w:rPr>
        <w:fldChar w:fldCharType="end"/>
      </w:r>
      <w:r w:rsidR="00E63494" w:rsidRPr="004C704F">
        <w:rPr>
          <w:sz w:val="22"/>
          <w:szCs w:val="22"/>
        </w:rPr>
        <w:t xml:space="preserve"> and identifies relevant key points that accrue positive/negative impacts, as relevant to the particular policy settin</w:t>
      </w:r>
      <w:r w:rsidR="00C86898" w:rsidRPr="004C704F">
        <w:rPr>
          <w:sz w:val="22"/>
          <w:szCs w:val="22"/>
        </w:rPr>
        <w:t>g</w:t>
      </w:r>
      <w:r w:rsidR="00E63494" w:rsidRPr="004C704F">
        <w:rPr>
          <w:sz w:val="22"/>
          <w:szCs w:val="22"/>
        </w:rPr>
        <w:t xml:space="preserve">. </w:t>
      </w:r>
      <w:r w:rsidR="0011322E" w:rsidRPr="004C704F">
        <w:rPr>
          <w:sz w:val="22"/>
          <w:szCs w:val="22"/>
        </w:rPr>
        <w:t xml:space="preserve">Wherever relevant, key points as listed in </w:t>
      </w:r>
      <w:r w:rsidR="00704903" w:rsidRPr="00F371C6">
        <w:rPr>
          <w:sz w:val="22"/>
          <w:szCs w:val="22"/>
        </w:rPr>
        <w:fldChar w:fldCharType="begin"/>
      </w:r>
      <w:r w:rsidR="00704903" w:rsidRPr="001B1972">
        <w:rPr>
          <w:sz w:val="22"/>
          <w:szCs w:val="22"/>
        </w:rPr>
        <w:instrText xml:space="preserve"> REF _Ref132107397 \h </w:instrText>
      </w:r>
      <w:r w:rsidR="00704903">
        <w:rPr>
          <w:sz w:val="22"/>
          <w:szCs w:val="22"/>
        </w:rPr>
        <w:instrText xml:space="preserve"> \* MERGEFORMAT </w:instrText>
      </w:r>
      <w:r w:rsidR="00704903" w:rsidRPr="00F371C6">
        <w:rPr>
          <w:sz w:val="22"/>
          <w:szCs w:val="22"/>
        </w:rPr>
      </w:r>
      <w:r w:rsidR="00704903" w:rsidRPr="00F371C6">
        <w:rPr>
          <w:sz w:val="22"/>
          <w:szCs w:val="22"/>
        </w:rPr>
        <w:fldChar w:fldCharType="separate"/>
      </w:r>
      <w:r w:rsidR="00704903" w:rsidRPr="001B1972">
        <w:rPr>
          <w:sz w:val="22"/>
          <w:szCs w:val="22"/>
        </w:rPr>
        <w:t xml:space="preserve">Table </w:t>
      </w:r>
      <w:r w:rsidR="00704903" w:rsidRPr="001B1972">
        <w:rPr>
          <w:noProof/>
          <w:sz w:val="22"/>
          <w:szCs w:val="22"/>
        </w:rPr>
        <w:t>4</w:t>
      </w:r>
      <w:r w:rsidR="00704903" w:rsidRPr="00F371C6">
        <w:rPr>
          <w:sz w:val="22"/>
          <w:szCs w:val="22"/>
        </w:rPr>
        <w:fldChar w:fldCharType="end"/>
      </w:r>
      <w:r w:rsidR="004C704F" w:rsidRPr="004C704F">
        <w:rPr>
          <w:sz w:val="22"/>
          <w:szCs w:val="22"/>
        </w:rPr>
        <w:t xml:space="preserve"> </w:t>
      </w:r>
      <w:r w:rsidR="0011322E" w:rsidRPr="004C704F">
        <w:rPr>
          <w:sz w:val="22"/>
          <w:szCs w:val="22"/>
        </w:rPr>
        <w:t xml:space="preserve">are cross referenced to impacts, as applicable to reference and policy options, in each cell (shown as numbered references). </w:t>
      </w:r>
      <w:r w:rsidR="00E63494" w:rsidRPr="004C704F">
        <w:rPr>
          <w:sz w:val="22"/>
          <w:szCs w:val="22"/>
        </w:rPr>
        <w:t>For each impact, the table classifies</w:t>
      </w:r>
      <w:r w:rsidR="00E63494" w:rsidRPr="008B71B0">
        <w:rPr>
          <w:sz w:val="22"/>
          <w:szCs w:val="22"/>
        </w:rPr>
        <w:t xml:space="preserve"> the type and materiality</w:t>
      </w:r>
      <w:r w:rsidR="00E63494">
        <w:rPr>
          <w:sz w:val="22"/>
          <w:szCs w:val="22"/>
        </w:rPr>
        <w:t xml:space="preserve"> of the impact</w:t>
      </w:r>
      <w:r w:rsidR="00E63494" w:rsidRPr="008B71B0">
        <w:rPr>
          <w:sz w:val="22"/>
          <w:szCs w:val="22"/>
        </w:rPr>
        <w:t xml:space="preserve">. </w:t>
      </w:r>
      <w:r w:rsidR="00E63494">
        <w:rPr>
          <w:sz w:val="22"/>
          <w:szCs w:val="22"/>
        </w:rPr>
        <w:t xml:space="preserve">Further materiality of the impact is categorised as ‘low’, ‘medium’ and ‘high’, depending on the relative scale of contribution to the overall benefits and costs. </w:t>
      </w:r>
      <w:r w:rsidR="00E63494" w:rsidRPr="008B71B0">
        <w:rPr>
          <w:sz w:val="22"/>
          <w:szCs w:val="22"/>
        </w:rPr>
        <w:t xml:space="preserve">Where a listed </w:t>
      </w:r>
      <w:r w:rsidR="00E63494">
        <w:rPr>
          <w:sz w:val="22"/>
          <w:szCs w:val="22"/>
        </w:rPr>
        <w:t>negative impact</w:t>
      </w:r>
      <w:r w:rsidR="00E63494" w:rsidRPr="008B71B0">
        <w:rPr>
          <w:sz w:val="22"/>
          <w:szCs w:val="22"/>
        </w:rPr>
        <w:t xml:space="preserve"> is applicable to a particular reform option, the relevant cell is shaded orange, and where a listed </w:t>
      </w:r>
      <w:r w:rsidR="00E63494">
        <w:rPr>
          <w:sz w:val="22"/>
          <w:szCs w:val="22"/>
        </w:rPr>
        <w:t>positive impact</w:t>
      </w:r>
      <w:r w:rsidR="00E63494" w:rsidRPr="008B71B0">
        <w:rPr>
          <w:sz w:val="22"/>
          <w:szCs w:val="22"/>
        </w:rPr>
        <w:t xml:space="preserve"> is applicable to a particular reform option, the relevant cell is shaded green.</w:t>
      </w:r>
    </w:p>
    <w:p w14:paraId="5025BC50" w14:textId="284B59A9" w:rsidR="005C13A2" w:rsidRDefault="005C13A2" w:rsidP="008B71B0">
      <w:pPr>
        <w:rPr>
          <w:sz w:val="22"/>
          <w:szCs w:val="22"/>
        </w:rPr>
      </w:pPr>
      <w:r>
        <w:rPr>
          <w:sz w:val="22"/>
          <w:szCs w:val="22"/>
        </w:rPr>
        <w:t xml:space="preserve">The following benefits listed in </w:t>
      </w:r>
      <w:r w:rsidRPr="005C13A2">
        <w:rPr>
          <w:sz w:val="22"/>
          <w:szCs w:val="22"/>
        </w:rPr>
        <w:fldChar w:fldCharType="begin"/>
      </w:r>
      <w:r w:rsidRPr="005C13A2">
        <w:rPr>
          <w:sz w:val="22"/>
          <w:szCs w:val="22"/>
        </w:rPr>
        <w:instrText xml:space="preserve"> REF _Ref118194222 \h </w:instrText>
      </w:r>
      <w:r>
        <w:rPr>
          <w:sz w:val="22"/>
          <w:szCs w:val="22"/>
        </w:rPr>
        <w:instrText xml:space="preserve"> \* MERGEFORMAT </w:instrText>
      </w:r>
      <w:r w:rsidRPr="005C13A2">
        <w:rPr>
          <w:sz w:val="22"/>
          <w:szCs w:val="22"/>
        </w:rPr>
      </w:r>
      <w:r w:rsidRPr="005C13A2">
        <w:rPr>
          <w:sz w:val="22"/>
          <w:szCs w:val="22"/>
        </w:rPr>
        <w:fldChar w:fldCharType="separate"/>
      </w:r>
      <w:r w:rsidRPr="005C13A2">
        <w:rPr>
          <w:sz w:val="22"/>
          <w:szCs w:val="22"/>
        </w:rPr>
        <w:t xml:space="preserve">Table </w:t>
      </w:r>
      <w:r w:rsidRPr="005C13A2">
        <w:rPr>
          <w:noProof/>
          <w:sz w:val="22"/>
          <w:szCs w:val="22"/>
        </w:rPr>
        <w:t>6</w:t>
      </w:r>
      <w:r w:rsidRPr="005C13A2">
        <w:rPr>
          <w:sz w:val="22"/>
          <w:szCs w:val="22"/>
        </w:rPr>
        <w:fldChar w:fldCharType="end"/>
      </w:r>
      <w:r>
        <w:rPr>
          <w:sz w:val="22"/>
          <w:szCs w:val="22"/>
        </w:rPr>
        <w:t xml:space="preserve"> are </w:t>
      </w:r>
      <w:r w:rsidR="00464244">
        <w:rPr>
          <w:sz w:val="22"/>
          <w:szCs w:val="22"/>
        </w:rPr>
        <w:t xml:space="preserve">difficult to quantify due to challenges in completing an economic analysis of the benefits of the Safeguard reforms relative to an estimated counterfactual of no reforms. </w:t>
      </w:r>
    </w:p>
    <w:p w14:paraId="7A37F7EC" w14:textId="15F6B090" w:rsidR="005C13A2" w:rsidRPr="00F749B6" w:rsidRDefault="005C13A2" w:rsidP="005C13A2">
      <w:pPr>
        <w:pStyle w:val="ListParagraph"/>
        <w:numPr>
          <w:ilvl w:val="0"/>
          <w:numId w:val="107"/>
        </w:numPr>
        <w:spacing w:after="0" w:line="240" w:lineRule="auto"/>
        <w:rPr>
          <w:rFonts w:ascii="Calibri" w:eastAsia="Times New Roman" w:hAnsi="Calibri" w:cs="Calibri"/>
          <w:color w:val="000000"/>
          <w:sz w:val="22"/>
          <w:szCs w:val="22"/>
          <w:lang w:eastAsia="en-AU"/>
        </w:rPr>
      </w:pPr>
      <w:r w:rsidRPr="00F749B6">
        <w:rPr>
          <w:rFonts w:ascii="Calibri" w:eastAsia="Times New Roman" w:hAnsi="Calibri" w:cs="Calibri"/>
          <w:color w:val="000000"/>
          <w:sz w:val="22"/>
          <w:szCs w:val="22"/>
          <w:lang w:eastAsia="en-AU"/>
        </w:rPr>
        <w:t xml:space="preserve">Policy certainty provided by parallel legislative changes aligned with </w:t>
      </w:r>
      <w:r w:rsidR="00E33A6F">
        <w:rPr>
          <w:rFonts w:ascii="Calibri" w:eastAsia="Times New Roman" w:hAnsi="Calibri" w:cs="Calibri"/>
          <w:color w:val="000000"/>
          <w:sz w:val="22"/>
          <w:szCs w:val="22"/>
          <w:lang w:eastAsia="en-AU"/>
        </w:rPr>
        <w:t xml:space="preserve">the </w:t>
      </w:r>
      <w:r w:rsidRPr="007740E1">
        <w:rPr>
          <w:rFonts w:ascii="Calibri" w:eastAsia="Times New Roman" w:hAnsi="Calibri" w:cs="Calibri"/>
          <w:i/>
          <w:color w:val="000000"/>
          <w:sz w:val="22"/>
          <w:szCs w:val="22"/>
          <w:lang w:eastAsia="en-AU"/>
        </w:rPr>
        <w:t>Climate Change Act</w:t>
      </w:r>
    </w:p>
    <w:p w14:paraId="76D38BF0" w14:textId="0ED861F2" w:rsidR="005C13A2" w:rsidRPr="00F749B6" w:rsidRDefault="005C13A2" w:rsidP="005C13A2">
      <w:pPr>
        <w:pStyle w:val="ListParagraph"/>
        <w:numPr>
          <w:ilvl w:val="0"/>
          <w:numId w:val="107"/>
        </w:numPr>
        <w:spacing w:after="0" w:line="240" w:lineRule="auto"/>
        <w:rPr>
          <w:rFonts w:ascii="Calibri" w:eastAsia="Times New Roman" w:hAnsi="Calibri" w:cs="Calibri"/>
          <w:color w:val="000000"/>
          <w:sz w:val="22"/>
          <w:szCs w:val="22"/>
          <w:lang w:eastAsia="en-AU"/>
        </w:rPr>
      </w:pPr>
      <w:r w:rsidRPr="00F749B6">
        <w:rPr>
          <w:rFonts w:ascii="Calibri" w:eastAsia="Times New Roman" w:hAnsi="Calibri" w:cs="Calibri"/>
          <w:color w:val="000000"/>
          <w:sz w:val="22"/>
          <w:szCs w:val="22"/>
          <w:lang w:eastAsia="en-AU"/>
        </w:rPr>
        <w:t>Reduced capital risk premium for Safeguard businesses and avoidance or reduction of import penalties imposed by trade partners</w:t>
      </w:r>
    </w:p>
    <w:p w14:paraId="0F507ECC" w14:textId="77777777" w:rsidR="005C13A2" w:rsidRPr="00F749B6" w:rsidRDefault="005C13A2" w:rsidP="005C13A2">
      <w:pPr>
        <w:pStyle w:val="ListParagraph"/>
        <w:numPr>
          <w:ilvl w:val="0"/>
          <w:numId w:val="107"/>
        </w:numPr>
        <w:spacing w:after="0" w:line="240" w:lineRule="auto"/>
        <w:rPr>
          <w:rFonts w:ascii="Calibri" w:eastAsia="Times New Roman" w:hAnsi="Calibri" w:cs="Calibri"/>
          <w:color w:val="000000"/>
          <w:sz w:val="22"/>
          <w:szCs w:val="22"/>
          <w:lang w:eastAsia="en-AU"/>
        </w:rPr>
      </w:pPr>
      <w:r w:rsidRPr="00F749B6">
        <w:rPr>
          <w:rFonts w:ascii="Calibri" w:eastAsia="Times New Roman" w:hAnsi="Calibri" w:cs="Calibri"/>
          <w:color w:val="000000"/>
          <w:sz w:val="22"/>
          <w:szCs w:val="22"/>
          <w:lang w:eastAsia="en-AU"/>
        </w:rPr>
        <w:t>Potential for green premiums to be applied to low or zero emissions intensity products</w:t>
      </w:r>
    </w:p>
    <w:p w14:paraId="256B6A91" w14:textId="33E03EC2" w:rsidR="005C13A2" w:rsidRDefault="005C13A2" w:rsidP="005C13A2">
      <w:pPr>
        <w:pStyle w:val="ListParagraph"/>
        <w:numPr>
          <w:ilvl w:val="0"/>
          <w:numId w:val="107"/>
        </w:numPr>
        <w:spacing w:after="0" w:line="240" w:lineRule="auto"/>
        <w:rPr>
          <w:rFonts w:ascii="Calibri" w:eastAsia="Times New Roman" w:hAnsi="Calibri" w:cs="Calibri"/>
          <w:color w:val="000000"/>
          <w:sz w:val="22"/>
          <w:szCs w:val="22"/>
          <w:lang w:eastAsia="en-AU"/>
        </w:rPr>
      </w:pPr>
      <w:r w:rsidRPr="00F749B6">
        <w:rPr>
          <w:rFonts w:ascii="Calibri" w:eastAsia="Times New Roman" w:hAnsi="Calibri" w:cs="Calibri"/>
          <w:color w:val="000000"/>
          <w:sz w:val="22"/>
          <w:szCs w:val="22"/>
          <w:lang w:eastAsia="en-AU"/>
        </w:rPr>
        <w:t>Domestic carbon market growth</w:t>
      </w:r>
      <w:r w:rsidR="00E33A6F">
        <w:rPr>
          <w:rFonts w:ascii="Calibri" w:eastAsia="Times New Roman" w:hAnsi="Calibri" w:cs="Calibri"/>
          <w:color w:val="000000"/>
          <w:sz w:val="22"/>
          <w:szCs w:val="22"/>
          <w:lang w:eastAsia="en-AU"/>
        </w:rPr>
        <w:t>, including associated benefits for</w:t>
      </w:r>
      <w:r w:rsidRPr="00F749B6">
        <w:rPr>
          <w:rFonts w:ascii="Calibri" w:eastAsia="Times New Roman" w:hAnsi="Calibri" w:cs="Calibri"/>
          <w:color w:val="000000"/>
          <w:sz w:val="22"/>
          <w:szCs w:val="22"/>
          <w:lang w:eastAsia="en-AU"/>
        </w:rPr>
        <w:t xml:space="preserve"> regional employment, biodiversity, cultural heritage, </w:t>
      </w:r>
      <w:r w:rsidR="00E33A6F">
        <w:rPr>
          <w:rFonts w:ascii="Calibri" w:eastAsia="Times New Roman" w:hAnsi="Calibri" w:cs="Calibri"/>
          <w:color w:val="000000"/>
          <w:sz w:val="22"/>
          <w:szCs w:val="22"/>
          <w:lang w:eastAsia="en-AU"/>
        </w:rPr>
        <w:t xml:space="preserve">and </w:t>
      </w:r>
      <w:r w:rsidRPr="00F749B6">
        <w:rPr>
          <w:rFonts w:ascii="Calibri" w:eastAsia="Times New Roman" w:hAnsi="Calibri" w:cs="Calibri"/>
          <w:color w:val="000000"/>
          <w:sz w:val="22"/>
          <w:szCs w:val="22"/>
          <w:lang w:eastAsia="en-AU"/>
        </w:rPr>
        <w:t>First Nations</w:t>
      </w:r>
      <w:r w:rsidR="00E33A6F">
        <w:rPr>
          <w:rFonts w:ascii="Calibri" w:eastAsia="Times New Roman" w:hAnsi="Calibri" w:cs="Calibri"/>
          <w:color w:val="000000"/>
          <w:sz w:val="22"/>
          <w:szCs w:val="22"/>
          <w:lang w:eastAsia="en-AU"/>
        </w:rPr>
        <w:t>.</w:t>
      </w:r>
      <w:r w:rsidRPr="00F749B6">
        <w:rPr>
          <w:rFonts w:ascii="Calibri" w:eastAsia="Times New Roman" w:hAnsi="Calibri" w:cs="Calibri"/>
          <w:color w:val="000000"/>
          <w:sz w:val="22"/>
          <w:szCs w:val="22"/>
          <w:lang w:eastAsia="en-AU"/>
        </w:rPr>
        <w:t xml:space="preserve"> </w:t>
      </w:r>
    </w:p>
    <w:p w14:paraId="2DADE751" w14:textId="77777777" w:rsidR="00CC66A3" w:rsidRPr="00F749B6" w:rsidRDefault="00CC66A3" w:rsidP="00CC66A3">
      <w:pPr>
        <w:pStyle w:val="ListParagraph"/>
        <w:spacing w:after="0" w:line="240" w:lineRule="auto"/>
        <w:rPr>
          <w:rFonts w:ascii="Calibri" w:eastAsia="Times New Roman" w:hAnsi="Calibri" w:cs="Calibri"/>
          <w:color w:val="000000"/>
          <w:sz w:val="22"/>
          <w:szCs w:val="22"/>
          <w:lang w:eastAsia="en-AU"/>
        </w:rPr>
      </w:pPr>
    </w:p>
    <w:p w14:paraId="075D237E" w14:textId="2B5B4568" w:rsidR="005150F9" w:rsidRDefault="00CC66A3" w:rsidP="008B71B0">
      <w:pPr>
        <w:rPr>
          <w:sz w:val="22"/>
          <w:szCs w:val="22"/>
        </w:rPr>
      </w:pPr>
      <w:r>
        <w:rPr>
          <w:sz w:val="22"/>
          <w:szCs w:val="22"/>
        </w:rPr>
        <w:t>Benefits such as a reduced capital risk premium or reduction of import penalties would require regional or global macroeconomic modelling of investment flow and trade flows</w:t>
      </w:r>
      <w:r w:rsidR="00E33A6F">
        <w:rPr>
          <w:sz w:val="22"/>
          <w:szCs w:val="22"/>
        </w:rPr>
        <w:t xml:space="preserve">. Such </w:t>
      </w:r>
      <w:r>
        <w:rPr>
          <w:sz w:val="22"/>
          <w:szCs w:val="22"/>
        </w:rPr>
        <w:t xml:space="preserve">modelling </w:t>
      </w:r>
      <w:r w:rsidR="00E33A6F">
        <w:rPr>
          <w:sz w:val="22"/>
          <w:szCs w:val="22"/>
        </w:rPr>
        <w:t xml:space="preserve">is generally highly aggregated, and not well suited to identifying </w:t>
      </w:r>
      <w:r>
        <w:rPr>
          <w:sz w:val="22"/>
          <w:szCs w:val="22"/>
        </w:rPr>
        <w:t>changes to one part of Australian industry from changes to one aspect of Australia’s domestic policy. M</w:t>
      </w:r>
      <w:r w:rsidRPr="00CC0208">
        <w:rPr>
          <w:sz w:val="22"/>
          <w:szCs w:val="22"/>
        </w:rPr>
        <w:t>ethods to quantify the benefits from resolving policy uncertainty are not well developed.</w:t>
      </w:r>
      <w:r>
        <w:rPr>
          <w:sz w:val="22"/>
          <w:szCs w:val="22"/>
        </w:rPr>
        <w:t xml:space="preserve"> Further, the benefits to the domestic carbon market include social benefits, such as the preservation or </w:t>
      </w:r>
      <w:r>
        <w:rPr>
          <w:sz w:val="22"/>
          <w:szCs w:val="22"/>
        </w:rPr>
        <w:lastRenderedPageBreak/>
        <w:t xml:space="preserve">enhancement of cultural heritage, which are difficult to quantify. </w:t>
      </w:r>
      <w:r w:rsidR="00464244">
        <w:rPr>
          <w:sz w:val="22"/>
          <w:szCs w:val="22"/>
        </w:rPr>
        <w:t xml:space="preserve">As a result, </w:t>
      </w:r>
      <w:r>
        <w:rPr>
          <w:sz w:val="22"/>
          <w:szCs w:val="22"/>
        </w:rPr>
        <w:t xml:space="preserve">the following </w:t>
      </w:r>
      <w:r w:rsidR="00464244">
        <w:rPr>
          <w:sz w:val="22"/>
          <w:szCs w:val="22"/>
        </w:rPr>
        <w:t xml:space="preserve">detailed qualitative </w:t>
      </w:r>
      <w:r w:rsidR="00F10D3E">
        <w:rPr>
          <w:sz w:val="22"/>
          <w:szCs w:val="22"/>
        </w:rPr>
        <w:t>analysis</w:t>
      </w:r>
      <w:r w:rsidR="00464244">
        <w:rPr>
          <w:sz w:val="22"/>
          <w:szCs w:val="22"/>
        </w:rPr>
        <w:t xml:space="preserve"> is provided for these benefits.</w:t>
      </w:r>
    </w:p>
    <w:p w14:paraId="2D79F8A7" w14:textId="77777777" w:rsidR="00690053" w:rsidRPr="00460B3A" w:rsidRDefault="00690053" w:rsidP="00690053">
      <w:pPr>
        <w:pStyle w:val="Heading3"/>
      </w:pPr>
      <w:bookmarkStart w:id="212" w:name="_Toc132807548"/>
      <w:r w:rsidRPr="00460B3A">
        <w:t>Policy certainty</w:t>
      </w:r>
      <w:bookmarkEnd w:id="212"/>
    </w:p>
    <w:p w14:paraId="3B44F9DB" w14:textId="77777777" w:rsidR="00690053" w:rsidRDefault="00690053" w:rsidP="00690053">
      <w:pPr>
        <w:pStyle w:val="BodyText"/>
        <w:rPr>
          <w:sz w:val="22"/>
          <w:szCs w:val="22"/>
        </w:rPr>
      </w:pPr>
      <w:r>
        <w:rPr>
          <w:sz w:val="22"/>
          <w:szCs w:val="22"/>
        </w:rPr>
        <w:t xml:space="preserve">Together with </w:t>
      </w:r>
      <w:r w:rsidRPr="00595E11">
        <w:rPr>
          <w:sz w:val="22"/>
          <w:szCs w:val="22"/>
        </w:rPr>
        <w:t xml:space="preserve">Australia’s </w:t>
      </w:r>
      <w:r w:rsidRPr="00196535">
        <w:rPr>
          <w:i/>
          <w:sz w:val="22"/>
          <w:szCs w:val="22"/>
        </w:rPr>
        <w:t>Climate Change Act 2022</w:t>
      </w:r>
      <w:r>
        <w:rPr>
          <w:sz w:val="22"/>
          <w:szCs w:val="22"/>
        </w:rPr>
        <w:t>, the Safeguard Mechanism reforms will provide Safeguard facilities and investors with policy certainty of the Government’s plan to use the Safeguard Mechanism to transition Australia’s biggest industrial emitters to net zero by 2050. The Business Council of Australia noted in its submission to the Position Paper that:</w:t>
      </w:r>
    </w:p>
    <w:p w14:paraId="60322292" w14:textId="77777777" w:rsidR="00690053" w:rsidRDefault="00690053" w:rsidP="00690053">
      <w:pPr>
        <w:pStyle w:val="BodyText"/>
        <w:ind w:left="720"/>
        <w:jc w:val="both"/>
        <w:rPr>
          <w:i/>
          <w:sz w:val="22"/>
          <w:szCs w:val="22"/>
        </w:rPr>
      </w:pPr>
      <w:r w:rsidRPr="00595E11">
        <w:rPr>
          <w:i/>
          <w:color w:val="7F7F7F" w:themeColor="text1" w:themeTint="80"/>
          <w:sz w:val="22"/>
          <w:szCs w:val="22"/>
        </w:rPr>
        <w:t>It is important to remember that even though business are committed to a net zero emissions future, they still face short term competitive pressures in both products and capital markets. An enhanced Safeguard Mechanism (as proposed) is needed to increase investor confidence, and guide investments towards a net zero emissions future by provide appropriate support and reducing the uncertainty industrial businesses face as they transition.</w:t>
      </w:r>
      <w:r w:rsidRPr="00595E11">
        <w:rPr>
          <w:i/>
          <w:color w:val="686868" w:themeColor="background2" w:themeShade="80"/>
          <w:sz w:val="22"/>
          <w:szCs w:val="22"/>
        </w:rPr>
        <w:tab/>
      </w:r>
      <w:r w:rsidRPr="00595E11">
        <w:rPr>
          <w:i/>
          <w:color w:val="686868" w:themeColor="background2" w:themeShade="80"/>
          <w:sz w:val="22"/>
          <w:szCs w:val="22"/>
        </w:rPr>
        <w:tab/>
      </w:r>
    </w:p>
    <w:p w14:paraId="7E6516F9" w14:textId="77777777" w:rsidR="00690053" w:rsidRDefault="00690053" w:rsidP="00690053">
      <w:pPr>
        <w:pStyle w:val="BodyText"/>
        <w:spacing w:line="276" w:lineRule="auto"/>
        <w:ind w:left="720"/>
        <w:jc w:val="right"/>
        <w:rPr>
          <w:sz w:val="22"/>
          <w:szCs w:val="22"/>
        </w:rPr>
      </w:pPr>
      <w:r>
        <w:rPr>
          <w:sz w:val="22"/>
          <w:szCs w:val="22"/>
        </w:rPr>
        <w:t>Business Council of Australia</w:t>
      </w:r>
    </w:p>
    <w:p w14:paraId="072F49CB" w14:textId="77777777" w:rsidR="00690053" w:rsidRDefault="00690053" w:rsidP="00690053">
      <w:pPr>
        <w:pStyle w:val="BodyText"/>
        <w:rPr>
          <w:sz w:val="22"/>
          <w:szCs w:val="22"/>
        </w:rPr>
      </w:pPr>
      <w:r>
        <w:rPr>
          <w:sz w:val="22"/>
          <w:szCs w:val="22"/>
        </w:rPr>
        <w:t>These sentiments are supported by the Investor Group on Climate Change who noted in relation to reducing regulatory risk to investments in Australia in their submission:</w:t>
      </w:r>
    </w:p>
    <w:p w14:paraId="3C2EA39F" w14:textId="77777777" w:rsidR="00690053" w:rsidRPr="0082719C" w:rsidRDefault="00690053" w:rsidP="00690053">
      <w:pPr>
        <w:pStyle w:val="BodyText"/>
        <w:ind w:left="720"/>
        <w:rPr>
          <w:i/>
          <w:sz w:val="22"/>
          <w:szCs w:val="22"/>
        </w:rPr>
      </w:pPr>
      <w:r w:rsidRPr="00595E11">
        <w:rPr>
          <w:i/>
          <w:color w:val="7F7F7F" w:themeColor="text1" w:themeTint="80"/>
          <w:sz w:val="22"/>
          <w:szCs w:val="22"/>
        </w:rPr>
        <w:t>The overall policy framework sets declining baselines to net zero by 2050. This is critical to investor confidence in long-term policy settings.</w:t>
      </w:r>
      <w:r w:rsidRPr="00595E11">
        <w:rPr>
          <w:i/>
          <w:color w:val="7F7F7F" w:themeColor="text1" w:themeTint="80"/>
          <w:sz w:val="22"/>
          <w:szCs w:val="22"/>
        </w:rPr>
        <w:tab/>
      </w:r>
      <w:r w:rsidRPr="0082719C">
        <w:rPr>
          <w:i/>
          <w:sz w:val="22"/>
          <w:szCs w:val="22"/>
        </w:rPr>
        <w:tab/>
      </w:r>
      <w:r w:rsidRPr="0082719C">
        <w:rPr>
          <w:i/>
          <w:sz w:val="22"/>
          <w:szCs w:val="22"/>
        </w:rPr>
        <w:tab/>
      </w:r>
      <w:r w:rsidRPr="0082719C">
        <w:rPr>
          <w:i/>
          <w:sz w:val="22"/>
          <w:szCs w:val="22"/>
        </w:rPr>
        <w:tab/>
      </w:r>
      <w:r w:rsidRPr="0082719C">
        <w:rPr>
          <w:i/>
          <w:sz w:val="22"/>
          <w:szCs w:val="22"/>
        </w:rPr>
        <w:tab/>
      </w:r>
    </w:p>
    <w:p w14:paraId="6447F169" w14:textId="5F87BC81" w:rsidR="00690053" w:rsidRDefault="00690053" w:rsidP="00690053">
      <w:pPr>
        <w:pStyle w:val="BodyText"/>
        <w:ind w:left="720"/>
        <w:jc w:val="right"/>
        <w:rPr>
          <w:sz w:val="22"/>
          <w:szCs w:val="22"/>
        </w:rPr>
      </w:pPr>
      <w:r>
        <w:rPr>
          <w:sz w:val="22"/>
          <w:szCs w:val="22"/>
        </w:rPr>
        <w:t>IGCC</w:t>
      </w:r>
    </w:p>
    <w:p w14:paraId="755798D2" w14:textId="651C0D57" w:rsidR="00700B93" w:rsidRDefault="00700B93" w:rsidP="00CC0208">
      <w:pPr>
        <w:pStyle w:val="BodyText"/>
        <w:rPr>
          <w:sz w:val="22"/>
          <w:szCs w:val="22"/>
        </w:rPr>
      </w:pPr>
      <w:r w:rsidRPr="00CC0208">
        <w:rPr>
          <w:sz w:val="22"/>
          <w:szCs w:val="22"/>
        </w:rPr>
        <w:t>Given the majority of Safeguard facilities are owned by corporations with net zero commitments, a higher level of emissions reductions than estimated could eventuate in the absence of the reforms, however the exact level is uncertain given the negative impacts of a lack of clear policy framework.</w:t>
      </w:r>
    </w:p>
    <w:p w14:paraId="37054381" w14:textId="77777777" w:rsidR="00690053" w:rsidRPr="00460B3A" w:rsidRDefault="00690053" w:rsidP="00690053">
      <w:pPr>
        <w:pStyle w:val="Heading3"/>
      </w:pPr>
      <w:bookmarkStart w:id="213" w:name="_Toc132807549"/>
      <w:r w:rsidRPr="00460B3A">
        <w:t xml:space="preserve">Competitiveness, trade and </w:t>
      </w:r>
      <w:r>
        <w:t xml:space="preserve">cost of </w:t>
      </w:r>
      <w:r w:rsidRPr="00460B3A">
        <w:t>borrowing</w:t>
      </w:r>
      <w:bookmarkEnd w:id="213"/>
    </w:p>
    <w:p w14:paraId="5FFB7717" w14:textId="77777777" w:rsidR="00690053" w:rsidRDefault="00690053" w:rsidP="00690053">
      <w:pPr>
        <w:pStyle w:val="BodyText"/>
        <w:rPr>
          <w:sz w:val="22"/>
          <w:szCs w:val="22"/>
        </w:rPr>
      </w:pPr>
      <w:r>
        <w:rPr>
          <w:sz w:val="22"/>
          <w:szCs w:val="22"/>
        </w:rPr>
        <w:t xml:space="preserve">As a stable, credible domestic policy to reduce industrial emissions, the Safeguard Mechanism reforms: </w:t>
      </w:r>
    </w:p>
    <w:p w14:paraId="4D149548" w14:textId="77777777" w:rsidR="00690053" w:rsidRDefault="00690053" w:rsidP="00690053">
      <w:pPr>
        <w:pStyle w:val="BodyText"/>
        <w:numPr>
          <w:ilvl w:val="0"/>
          <w:numId w:val="91"/>
        </w:numPr>
        <w:rPr>
          <w:sz w:val="22"/>
          <w:szCs w:val="22"/>
        </w:rPr>
      </w:pPr>
      <w:r>
        <w:rPr>
          <w:sz w:val="22"/>
          <w:szCs w:val="22"/>
        </w:rPr>
        <w:t>will improve certainty for competitiveness of Australian businesses by providing a clear framework to support their transition to net zero,</w:t>
      </w:r>
    </w:p>
    <w:p w14:paraId="29AFC286" w14:textId="77777777" w:rsidR="00690053" w:rsidRDefault="00690053" w:rsidP="00690053">
      <w:pPr>
        <w:pStyle w:val="BodyText"/>
        <w:numPr>
          <w:ilvl w:val="0"/>
          <w:numId w:val="91"/>
        </w:numPr>
        <w:rPr>
          <w:sz w:val="22"/>
          <w:szCs w:val="22"/>
        </w:rPr>
      </w:pPr>
      <w:r>
        <w:rPr>
          <w:sz w:val="22"/>
          <w:szCs w:val="22"/>
        </w:rPr>
        <w:t xml:space="preserve">could reduce the risk of Australian exports being subject to penalties imposed by export partners to address carbon leakage, such as through carbon border adjustment mechanisms; and </w:t>
      </w:r>
    </w:p>
    <w:p w14:paraId="56C66093" w14:textId="77777777" w:rsidR="00690053" w:rsidRDefault="00690053" w:rsidP="00690053">
      <w:pPr>
        <w:pStyle w:val="BodyText"/>
        <w:numPr>
          <w:ilvl w:val="0"/>
          <w:numId w:val="91"/>
        </w:numPr>
        <w:rPr>
          <w:sz w:val="22"/>
          <w:szCs w:val="22"/>
        </w:rPr>
      </w:pPr>
      <w:r>
        <w:rPr>
          <w:sz w:val="22"/>
          <w:szCs w:val="22"/>
        </w:rPr>
        <w:t>could reduce the risk of capital risk premiums, whereby Australian businesses face increased capital or finance costs in an environment where global financial institutions and decision makers are taking coordinated steps to align investment with the transition to net zero.</w:t>
      </w:r>
      <w:r>
        <w:rPr>
          <w:rStyle w:val="FootnoteReference"/>
          <w:sz w:val="22"/>
          <w:szCs w:val="22"/>
        </w:rPr>
        <w:footnoteReference w:id="24"/>
      </w:r>
      <w:r>
        <w:rPr>
          <w:sz w:val="22"/>
          <w:szCs w:val="22"/>
        </w:rPr>
        <w:t xml:space="preserve"> </w:t>
      </w:r>
    </w:p>
    <w:p w14:paraId="1373D5B3" w14:textId="77777777" w:rsidR="00690053" w:rsidRPr="00460B3A" w:rsidRDefault="00690053" w:rsidP="00690053">
      <w:pPr>
        <w:pStyle w:val="Heading3"/>
      </w:pPr>
      <w:bookmarkStart w:id="214" w:name="_Toc132807550"/>
      <w:r w:rsidRPr="00460B3A">
        <w:t>Green premiums</w:t>
      </w:r>
      <w:bookmarkEnd w:id="214"/>
    </w:p>
    <w:p w14:paraId="5DD9F5E3" w14:textId="09DE8B1E" w:rsidR="00690053" w:rsidRDefault="00690053" w:rsidP="00690053">
      <w:pPr>
        <w:pStyle w:val="BodyText"/>
        <w:rPr>
          <w:sz w:val="22"/>
          <w:szCs w:val="22"/>
        </w:rPr>
      </w:pPr>
      <w:r w:rsidRPr="003D1124">
        <w:rPr>
          <w:sz w:val="22"/>
          <w:szCs w:val="22"/>
        </w:rPr>
        <w:t xml:space="preserve">A reduction in the emissions intensity of production (or services delivered) driven by the Safeguard Mechanism reforms could see Safeguard facilities </w:t>
      </w:r>
      <w:r w:rsidR="0023286E" w:rsidRPr="003D1124">
        <w:rPr>
          <w:sz w:val="22"/>
          <w:szCs w:val="22"/>
        </w:rPr>
        <w:t xml:space="preserve">benefit from </w:t>
      </w:r>
      <w:r w:rsidRPr="003D1124">
        <w:rPr>
          <w:sz w:val="22"/>
          <w:szCs w:val="22"/>
        </w:rPr>
        <w:t xml:space="preserve">a green premium within their pricing. A green premium is the </w:t>
      </w:r>
      <w:r w:rsidRPr="003D1124">
        <w:rPr>
          <w:sz w:val="22"/>
          <w:szCs w:val="22"/>
        </w:rPr>
        <w:lastRenderedPageBreak/>
        <w:t xml:space="preserve">additional amount a customer is willing to pay for near-zero or net zero emissions intensive production. </w:t>
      </w:r>
      <w:r w:rsidR="0023286E" w:rsidRPr="003D1124">
        <w:rPr>
          <w:sz w:val="22"/>
          <w:szCs w:val="22"/>
        </w:rPr>
        <w:t>Internationally, m</w:t>
      </w:r>
      <w:r w:rsidRPr="003D1124">
        <w:rPr>
          <w:sz w:val="22"/>
          <w:szCs w:val="22"/>
        </w:rPr>
        <w:t>arkets and pricing structures are evolving with growing consumer demand for low-carbon products. Platts reports both a low-carbon and zero-carbon aluminium price above the London Metals Exchange cash price, both of which exhibited strong growth in 2022.</w:t>
      </w:r>
      <w:r w:rsidRPr="003D1124">
        <w:rPr>
          <w:rStyle w:val="FootnoteReference"/>
          <w:sz w:val="22"/>
          <w:szCs w:val="22"/>
        </w:rPr>
        <w:footnoteReference w:id="25"/>
      </w:r>
      <w:r w:rsidRPr="003D1124">
        <w:rPr>
          <w:sz w:val="22"/>
          <w:szCs w:val="22"/>
        </w:rPr>
        <w:t xml:space="preserve"> Australian miners have reported their intentions to reduce their emissions intensity in order to offer a premium product and apply a green premium.</w:t>
      </w:r>
      <w:r w:rsidRPr="003D1124">
        <w:rPr>
          <w:rStyle w:val="FootnoteReference"/>
          <w:sz w:val="22"/>
          <w:szCs w:val="22"/>
        </w:rPr>
        <w:footnoteReference w:id="26"/>
      </w:r>
      <w:r>
        <w:rPr>
          <w:sz w:val="22"/>
          <w:szCs w:val="22"/>
        </w:rPr>
        <w:t xml:space="preserve"> </w:t>
      </w:r>
    </w:p>
    <w:p w14:paraId="0DBAF8B5" w14:textId="77777777" w:rsidR="00690053" w:rsidRPr="00460B3A" w:rsidRDefault="00690053" w:rsidP="00690053">
      <w:pPr>
        <w:pStyle w:val="Heading3"/>
      </w:pPr>
      <w:bookmarkStart w:id="215" w:name="_Toc132807551"/>
      <w:r w:rsidRPr="00460B3A">
        <w:t>Domestic carbon market co-benefits</w:t>
      </w:r>
      <w:bookmarkEnd w:id="215"/>
    </w:p>
    <w:p w14:paraId="58E3F92A" w14:textId="77777777" w:rsidR="00690053" w:rsidRDefault="00690053" w:rsidP="00690053">
      <w:pPr>
        <w:pStyle w:val="BodyText"/>
        <w:rPr>
          <w:sz w:val="22"/>
          <w:szCs w:val="22"/>
        </w:rPr>
      </w:pPr>
      <w:r>
        <w:rPr>
          <w:sz w:val="22"/>
          <w:szCs w:val="22"/>
        </w:rPr>
        <w:t>The reforms are expected to have positive economic, social, cultural and environmental benefits for the domestic carbon market. The Independent Review of Australian Carbon Credit Units</w:t>
      </w:r>
      <w:r>
        <w:rPr>
          <w:rStyle w:val="FootnoteReference"/>
          <w:sz w:val="22"/>
          <w:szCs w:val="22"/>
        </w:rPr>
        <w:footnoteReference w:id="27"/>
      </w:r>
      <w:r>
        <w:rPr>
          <w:sz w:val="22"/>
          <w:szCs w:val="22"/>
        </w:rPr>
        <w:t xml:space="preserve"> heard that </w:t>
      </w:r>
      <w:proofErr w:type="spellStart"/>
      <w:r>
        <w:rPr>
          <w:sz w:val="22"/>
          <w:szCs w:val="22"/>
        </w:rPr>
        <w:t>ACCUs</w:t>
      </w:r>
      <w:proofErr w:type="spellEnd"/>
      <w:r>
        <w:rPr>
          <w:sz w:val="22"/>
          <w:szCs w:val="22"/>
        </w:rPr>
        <w:t xml:space="preserve"> have co-benefits which provide additional value for </w:t>
      </w:r>
      <w:proofErr w:type="spellStart"/>
      <w:r>
        <w:rPr>
          <w:sz w:val="22"/>
          <w:szCs w:val="22"/>
        </w:rPr>
        <w:t>ACCUs</w:t>
      </w:r>
      <w:proofErr w:type="spellEnd"/>
      <w:r>
        <w:rPr>
          <w:sz w:val="22"/>
          <w:szCs w:val="22"/>
        </w:rPr>
        <w:t xml:space="preserve">: </w:t>
      </w:r>
    </w:p>
    <w:p w14:paraId="3CDAB00D" w14:textId="77777777" w:rsidR="00690053" w:rsidRPr="00E57E10" w:rsidRDefault="00690053" w:rsidP="00690053">
      <w:pPr>
        <w:pStyle w:val="ListParagraph"/>
        <w:numPr>
          <w:ilvl w:val="0"/>
          <w:numId w:val="88"/>
        </w:numPr>
        <w:spacing w:before="120" w:line="252" w:lineRule="auto"/>
        <w:ind w:left="714" w:hanging="357"/>
        <w:rPr>
          <w:sz w:val="22"/>
          <w:szCs w:val="22"/>
        </w:rPr>
      </w:pPr>
      <w:r w:rsidRPr="00E57E10">
        <w:rPr>
          <w:sz w:val="22"/>
          <w:szCs w:val="22"/>
        </w:rPr>
        <w:t>Economic: carbon revenue streams create a more robust and sustainable business model for rural and remote landholders. Enhanced cash flow enables landholders to invest and make improvements on their properties leading to improved environmental condition and increases in productivity.</w:t>
      </w:r>
    </w:p>
    <w:p w14:paraId="2CA0BCDD" w14:textId="77777777" w:rsidR="00690053" w:rsidRPr="00E57E10" w:rsidRDefault="00690053" w:rsidP="00690053">
      <w:pPr>
        <w:pStyle w:val="ListParagraph"/>
        <w:numPr>
          <w:ilvl w:val="0"/>
          <w:numId w:val="88"/>
        </w:numPr>
        <w:spacing w:before="120" w:line="252" w:lineRule="auto"/>
        <w:ind w:left="714" w:hanging="357"/>
        <w:rPr>
          <w:sz w:val="22"/>
          <w:szCs w:val="22"/>
        </w:rPr>
      </w:pPr>
      <w:r w:rsidRPr="00E57E10">
        <w:rPr>
          <w:sz w:val="22"/>
          <w:szCs w:val="22"/>
        </w:rPr>
        <w:t>Social: Financial viability (from diversification of revenue streams) encourages younger generations to return to rural and remote living and increases on country job opportunities. In some instances, community stakeholders mentioned increased local co-ordination and knowledge sharing between landholders on agricultural productivity and with First Nations on land management practices.</w:t>
      </w:r>
    </w:p>
    <w:p w14:paraId="2D7A3178" w14:textId="77777777" w:rsidR="00690053" w:rsidRPr="00E57E10" w:rsidRDefault="00690053" w:rsidP="00690053">
      <w:pPr>
        <w:pStyle w:val="ListParagraph"/>
        <w:numPr>
          <w:ilvl w:val="0"/>
          <w:numId w:val="88"/>
        </w:numPr>
        <w:spacing w:before="120" w:line="252" w:lineRule="auto"/>
        <w:ind w:left="714" w:hanging="357"/>
        <w:rPr>
          <w:sz w:val="22"/>
          <w:szCs w:val="22"/>
        </w:rPr>
      </w:pPr>
      <w:r w:rsidRPr="00E57E10">
        <w:rPr>
          <w:sz w:val="22"/>
          <w:szCs w:val="22"/>
        </w:rPr>
        <w:t>Environmental: better management of feral animals, rehabilitation and protection of key habitat leading to an increase in diversity and distribution of native species. For savanna burning projects - reduced late season wildfire.</w:t>
      </w:r>
    </w:p>
    <w:p w14:paraId="43C89180" w14:textId="77777777" w:rsidR="00690053" w:rsidRPr="00E57E10" w:rsidRDefault="00690053" w:rsidP="00690053">
      <w:pPr>
        <w:pStyle w:val="ListParagraph"/>
        <w:numPr>
          <w:ilvl w:val="0"/>
          <w:numId w:val="88"/>
        </w:numPr>
        <w:spacing w:before="120" w:line="252" w:lineRule="auto"/>
        <w:ind w:left="714" w:hanging="357"/>
        <w:rPr>
          <w:sz w:val="22"/>
          <w:szCs w:val="22"/>
        </w:rPr>
      </w:pPr>
      <w:r w:rsidRPr="00E57E10">
        <w:rPr>
          <w:sz w:val="22"/>
          <w:szCs w:val="22"/>
        </w:rPr>
        <w:t>Cultural: intergenerational transfer of cultural knowledge; reconnection with Country; growing community recognition and interest in cultural land management practices; and increased autonomy to make decisions aligned with cultural responsibilities to care for Country.</w:t>
      </w:r>
    </w:p>
    <w:p w14:paraId="0082AB3A" w14:textId="77777777" w:rsidR="00690053" w:rsidRPr="0079611E" w:rsidRDefault="00690053" w:rsidP="00690053">
      <w:pPr>
        <w:pStyle w:val="Heading3"/>
      </w:pPr>
      <w:bookmarkStart w:id="216" w:name="_Toc132807552"/>
      <w:r w:rsidRPr="008A15C0">
        <w:t>Environmental benefits</w:t>
      </w:r>
      <w:bookmarkEnd w:id="216"/>
    </w:p>
    <w:p w14:paraId="2FEF8DBD" w14:textId="0F5A4151" w:rsidR="00690053" w:rsidRDefault="00690053" w:rsidP="00690053">
      <w:pPr>
        <w:pStyle w:val="BodyText"/>
        <w:rPr>
          <w:sz w:val="22"/>
          <w:szCs w:val="22"/>
        </w:rPr>
      </w:pPr>
      <w:r w:rsidRPr="0079611E">
        <w:rPr>
          <w:sz w:val="22"/>
          <w:szCs w:val="22"/>
        </w:rPr>
        <w:t>Under the reference case with no reforms, emissions from Safeguard covered facilities (new and existing) are projected to reach 146 Mt CO</w:t>
      </w:r>
      <w:r w:rsidRPr="0079611E">
        <w:rPr>
          <w:sz w:val="22"/>
          <w:szCs w:val="22"/>
          <w:vertAlign w:val="subscript"/>
        </w:rPr>
        <w:t>2</w:t>
      </w:r>
      <w:r w:rsidRPr="0079611E">
        <w:rPr>
          <w:sz w:val="22"/>
          <w:szCs w:val="22"/>
        </w:rPr>
        <w:t xml:space="preserve">-e in 2030. This is in contrast to net emissions with the reforms, which are projected to </w:t>
      </w:r>
      <w:r>
        <w:rPr>
          <w:sz w:val="22"/>
          <w:szCs w:val="22"/>
        </w:rPr>
        <w:t xml:space="preserve">be no more than 100 Mt </w:t>
      </w:r>
      <w:r w:rsidRPr="0079611E">
        <w:rPr>
          <w:sz w:val="22"/>
          <w:szCs w:val="22"/>
        </w:rPr>
        <w:t>CO</w:t>
      </w:r>
      <w:r w:rsidRPr="0079611E">
        <w:rPr>
          <w:sz w:val="22"/>
          <w:szCs w:val="22"/>
          <w:vertAlign w:val="subscript"/>
        </w:rPr>
        <w:t>2</w:t>
      </w:r>
      <w:r w:rsidRPr="0079611E">
        <w:rPr>
          <w:sz w:val="22"/>
          <w:szCs w:val="22"/>
        </w:rPr>
        <w:t>-e in 2030</w:t>
      </w:r>
      <w:r w:rsidRPr="0079611E">
        <w:rPr>
          <w:rStyle w:val="FootnoteReference"/>
          <w:sz w:val="22"/>
          <w:szCs w:val="22"/>
        </w:rPr>
        <w:footnoteReference w:id="28"/>
      </w:r>
      <w:r w:rsidRPr="0079611E">
        <w:rPr>
          <w:sz w:val="22"/>
          <w:szCs w:val="22"/>
        </w:rPr>
        <w:t>. The difference between the emissions pathway without the reforms and with the reforms is a total of 205 Mt CO</w:t>
      </w:r>
      <w:r w:rsidRPr="0079611E">
        <w:rPr>
          <w:sz w:val="22"/>
          <w:szCs w:val="22"/>
          <w:vertAlign w:val="subscript"/>
        </w:rPr>
        <w:t>2</w:t>
      </w:r>
      <w:r w:rsidRPr="0079611E">
        <w:rPr>
          <w:sz w:val="22"/>
          <w:szCs w:val="22"/>
        </w:rPr>
        <w:t xml:space="preserve">-e over 2023-24 to 2029-30. Under all three policy options, net baselines are designed to follow the same trajectory and the same </w:t>
      </w:r>
      <w:r>
        <w:rPr>
          <w:sz w:val="22"/>
          <w:szCs w:val="22"/>
        </w:rPr>
        <w:t>additional</w:t>
      </w:r>
      <w:r w:rsidRPr="0079611E">
        <w:rPr>
          <w:sz w:val="22"/>
          <w:szCs w:val="22"/>
        </w:rPr>
        <w:t xml:space="preserve"> emissions avoid</w:t>
      </w:r>
      <w:r>
        <w:rPr>
          <w:sz w:val="22"/>
          <w:szCs w:val="22"/>
        </w:rPr>
        <w:t>ance is being driven by the policy</w:t>
      </w:r>
      <w:r w:rsidRPr="0030305A">
        <w:rPr>
          <w:sz w:val="22"/>
          <w:szCs w:val="22"/>
        </w:rPr>
        <w:t xml:space="preserve">. The </w:t>
      </w:r>
      <w:r w:rsidR="00443927">
        <w:rPr>
          <w:sz w:val="22"/>
          <w:szCs w:val="22"/>
        </w:rPr>
        <w:t xml:space="preserve">direct </w:t>
      </w:r>
      <w:r w:rsidRPr="0030305A">
        <w:rPr>
          <w:sz w:val="22"/>
          <w:szCs w:val="22"/>
        </w:rPr>
        <w:t xml:space="preserve">environmental benefits are therefore </w:t>
      </w:r>
      <w:r w:rsidR="00443927">
        <w:rPr>
          <w:sz w:val="22"/>
          <w:szCs w:val="22"/>
        </w:rPr>
        <w:t>related to</w:t>
      </w:r>
      <w:r w:rsidRPr="0030305A">
        <w:rPr>
          <w:sz w:val="22"/>
          <w:szCs w:val="22"/>
        </w:rPr>
        <w:t xml:space="preserve"> avoided emissions of</w:t>
      </w:r>
      <w:r>
        <w:rPr>
          <w:sz w:val="22"/>
          <w:szCs w:val="22"/>
        </w:rPr>
        <w:t xml:space="preserve"> </w:t>
      </w:r>
      <w:r w:rsidRPr="0030305A">
        <w:rPr>
          <w:sz w:val="22"/>
          <w:szCs w:val="22"/>
        </w:rPr>
        <w:t>205</w:t>
      </w:r>
      <w:r w:rsidR="00443927">
        <w:rPr>
          <w:sz w:val="22"/>
          <w:szCs w:val="22"/>
        </w:rPr>
        <w:t> </w:t>
      </w:r>
      <w:r w:rsidRPr="0030305A">
        <w:rPr>
          <w:sz w:val="22"/>
          <w:szCs w:val="22"/>
        </w:rPr>
        <w:t>Mt CO</w:t>
      </w:r>
      <w:r w:rsidRPr="0030305A">
        <w:rPr>
          <w:sz w:val="22"/>
          <w:szCs w:val="22"/>
          <w:vertAlign w:val="subscript"/>
        </w:rPr>
        <w:t>2</w:t>
      </w:r>
      <w:r>
        <w:rPr>
          <w:sz w:val="22"/>
          <w:szCs w:val="22"/>
        </w:rPr>
        <w:t>-e.</w:t>
      </w:r>
    </w:p>
    <w:p w14:paraId="141D51F2" w14:textId="28F4635A" w:rsidR="00690053" w:rsidRDefault="00690053" w:rsidP="00690053">
      <w:pPr>
        <w:rPr>
          <w:sz w:val="22"/>
          <w:szCs w:val="22"/>
        </w:rPr>
      </w:pPr>
      <w:r>
        <w:rPr>
          <w:sz w:val="22"/>
          <w:szCs w:val="22"/>
        </w:rPr>
        <w:t xml:space="preserve">The </w:t>
      </w:r>
      <w:r w:rsidRPr="0079611E">
        <w:rPr>
          <w:sz w:val="22"/>
          <w:szCs w:val="22"/>
        </w:rPr>
        <w:t>social cost of carbon (SCC</w:t>
      </w:r>
      <w:r>
        <w:rPr>
          <w:sz w:val="22"/>
          <w:szCs w:val="22"/>
        </w:rPr>
        <w:t>)</w:t>
      </w:r>
      <w:r w:rsidRPr="0079611E">
        <w:rPr>
          <w:sz w:val="22"/>
          <w:szCs w:val="22"/>
        </w:rPr>
        <w:t xml:space="preserve"> is a metric that monetises the economic impacts of </w:t>
      </w:r>
      <w:r>
        <w:rPr>
          <w:sz w:val="22"/>
          <w:szCs w:val="22"/>
        </w:rPr>
        <w:t xml:space="preserve">changes in </w:t>
      </w:r>
      <w:r w:rsidRPr="0079611E">
        <w:rPr>
          <w:sz w:val="22"/>
          <w:szCs w:val="22"/>
        </w:rPr>
        <w:t xml:space="preserve">climate from the release of </w:t>
      </w:r>
      <w:r>
        <w:rPr>
          <w:sz w:val="22"/>
          <w:szCs w:val="22"/>
        </w:rPr>
        <w:t xml:space="preserve">each </w:t>
      </w:r>
      <w:r w:rsidRPr="0079611E">
        <w:rPr>
          <w:sz w:val="22"/>
          <w:szCs w:val="22"/>
        </w:rPr>
        <w:t>additional tonne of greenhouse gas</w:t>
      </w:r>
      <w:r>
        <w:rPr>
          <w:sz w:val="22"/>
          <w:szCs w:val="22"/>
        </w:rPr>
        <w:t xml:space="preserve"> emissions</w:t>
      </w:r>
      <w:r w:rsidRPr="0079611E">
        <w:rPr>
          <w:sz w:val="22"/>
          <w:szCs w:val="22"/>
        </w:rPr>
        <w:t>. SCCs are determined using integrated assessment models which aim to comprehensively capture climate damages on biological systems and physical infrastructure.</w:t>
      </w:r>
      <w:r>
        <w:rPr>
          <w:sz w:val="22"/>
          <w:szCs w:val="22"/>
        </w:rPr>
        <w:t xml:space="preserve"> </w:t>
      </w:r>
      <w:r w:rsidR="003F1118">
        <w:rPr>
          <w:sz w:val="22"/>
          <w:szCs w:val="22"/>
        </w:rPr>
        <w:t>The</w:t>
      </w:r>
      <w:r w:rsidRPr="0079611E">
        <w:rPr>
          <w:sz w:val="22"/>
          <w:szCs w:val="22"/>
        </w:rPr>
        <w:t xml:space="preserve"> SCC</w:t>
      </w:r>
      <w:r w:rsidR="003F1118">
        <w:rPr>
          <w:sz w:val="22"/>
          <w:szCs w:val="22"/>
        </w:rPr>
        <w:t xml:space="preserve"> is prominently used</w:t>
      </w:r>
      <w:r w:rsidRPr="0079611E">
        <w:rPr>
          <w:sz w:val="22"/>
          <w:szCs w:val="22"/>
        </w:rPr>
        <w:t xml:space="preserve"> in policy development and evaluation in the United States</w:t>
      </w:r>
      <w:r w:rsidR="003F1118">
        <w:rPr>
          <w:sz w:val="22"/>
          <w:szCs w:val="22"/>
        </w:rPr>
        <w:t xml:space="preserve">. Ranges of SCC used by </w:t>
      </w:r>
      <w:r w:rsidR="003F1118">
        <w:rPr>
          <w:sz w:val="22"/>
          <w:szCs w:val="22"/>
        </w:rPr>
        <w:lastRenderedPageBreak/>
        <w:t>the US – noting their</w:t>
      </w:r>
      <w:r w:rsidRPr="0079611E">
        <w:rPr>
          <w:sz w:val="22"/>
          <w:szCs w:val="22"/>
        </w:rPr>
        <w:t xml:space="preserve"> active work to incorp</w:t>
      </w:r>
      <w:r w:rsidR="003F1118">
        <w:rPr>
          <w:sz w:val="22"/>
          <w:szCs w:val="22"/>
        </w:rPr>
        <w:t>orate recent scientific advances – start from the</w:t>
      </w:r>
      <w:r w:rsidRPr="0079611E">
        <w:rPr>
          <w:sz w:val="22"/>
          <w:szCs w:val="22"/>
        </w:rPr>
        <w:t xml:space="preserve"> current US SCC </w:t>
      </w:r>
      <w:r>
        <w:rPr>
          <w:sz w:val="22"/>
          <w:szCs w:val="22"/>
        </w:rPr>
        <w:t>of between US$51</w:t>
      </w:r>
      <w:r w:rsidR="00F40033">
        <w:rPr>
          <w:sz w:val="22"/>
          <w:szCs w:val="22"/>
        </w:rPr>
        <w:t>/t</w:t>
      </w:r>
      <w:r>
        <w:rPr>
          <w:sz w:val="22"/>
          <w:szCs w:val="22"/>
        </w:rPr>
        <w:t xml:space="preserve"> in 2020$ in 2020 to US$190</w:t>
      </w:r>
      <w:r w:rsidR="00F40033">
        <w:rPr>
          <w:sz w:val="22"/>
          <w:szCs w:val="22"/>
        </w:rPr>
        <w:t>/t</w:t>
      </w:r>
      <w:r>
        <w:rPr>
          <w:sz w:val="22"/>
          <w:szCs w:val="22"/>
        </w:rPr>
        <w:t xml:space="preserve"> in 2020$ in 2020</w:t>
      </w:r>
      <w:r>
        <w:rPr>
          <w:rStyle w:val="FootnoteReference"/>
          <w:sz w:val="22"/>
          <w:szCs w:val="22"/>
        </w:rPr>
        <w:footnoteReference w:id="29"/>
      </w:r>
      <w:r>
        <w:rPr>
          <w:sz w:val="22"/>
          <w:szCs w:val="22"/>
        </w:rPr>
        <w:t xml:space="preserve">. </w:t>
      </w:r>
    </w:p>
    <w:p w14:paraId="42942A05" w14:textId="1407DFE9" w:rsidR="00301491" w:rsidRDefault="005150F9" w:rsidP="00301491">
      <w:pPr>
        <w:pStyle w:val="Heading3"/>
      </w:pPr>
      <w:bookmarkStart w:id="217" w:name="_Toc132807553"/>
      <w:r>
        <w:t>Secondary</w:t>
      </w:r>
      <w:r w:rsidR="00301491" w:rsidRPr="00301491">
        <w:t xml:space="preserve"> costs and benefits</w:t>
      </w:r>
      <w:bookmarkEnd w:id="217"/>
    </w:p>
    <w:p w14:paraId="3A637111" w14:textId="36AF3DB3" w:rsidR="00301491" w:rsidRPr="008E5C64" w:rsidRDefault="00893E10" w:rsidP="00893E10">
      <w:pPr>
        <w:pStyle w:val="BodyText"/>
        <w:rPr>
          <w:sz w:val="22"/>
          <w:szCs w:val="22"/>
        </w:rPr>
      </w:pPr>
      <w:r w:rsidRPr="008E5C64">
        <w:rPr>
          <w:sz w:val="22"/>
          <w:szCs w:val="22"/>
        </w:rPr>
        <w:t xml:space="preserve">The positive impact from the policy certainty created by the reforms </w:t>
      </w:r>
      <w:r w:rsidR="00B43B35" w:rsidRPr="008E5C64">
        <w:rPr>
          <w:sz w:val="22"/>
          <w:szCs w:val="22"/>
        </w:rPr>
        <w:t xml:space="preserve">can be expected to indirectly benefit other Australian business not covered by the Safeguard Mechanism. </w:t>
      </w:r>
      <w:r w:rsidR="008E5C64">
        <w:rPr>
          <w:sz w:val="22"/>
          <w:szCs w:val="22"/>
        </w:rPr>
        <w:t>Placing Australia’s largest industrial emitters on a regulated pathway to net zero will make Australia’s business environment more attractive to investors and innovators backing low emissions technologies and clean energy. Safeguard facilities will be</w:t>
      </w:r>
      <w:r w:rsidR="00B43B35" w:rsidRPr="008E5C64">
        <w:rPr>
          <w:sz w:val="22"/>
          <w:szCs w:val="22"/>
        </w:rPr>
        <w:t xml:space="preserve"> looking for products and services that align with their obligations </w:t>
      </w:r>
      <w:r w:rsidR="008E5C64">
        <w:rPr>
          <w:sz w:val="22"/>
          <w:szCs w:val="22"/>
        </w:rPr>
        <w:t xml:space="preserve">under the reforms </w:t>
      </w:r>
      <w:r w:rsidR="00B43B35" w:rsidRPr="008E5C64">
        <w:rPr>
          <w:sz w:val="22"/>
          <w:szCs w:val="22"/>
        </w:rPr>
        <w:t xml:space="preserve">and </w:t>
      </w:r>
      <w:r w:rsidR="008E5C64">
        <w:rPr>
          <w:sz w:val="22"/>
          <w:szCs w:val="22"/>
        </w:rPr>
        <w:t xml:space="preserve">their corporate </w:t>
      </w:r>
      <w:r w:rsidR="00B43B35" w:rsidRPr="008E5C64">
        <w:rPr>
          <w:sz w:val="22"/>
          <w:szCs w:val="22"/>
        </w:rPr>
        <w:t>climate goals</w:t>
      </w:r>
      <w:r w:rsidR="008E5C64">
        <w:rPr>
          <w:sz w:val="22"/>
          <w:szCs w:val="22"/>
        </w:rPr>
        <w:t xml:space="preserve">. This could benefit small to medium emitters not covered by the Safeguard, </w:t>
      </w:r>
      <w:r w:rsidR="00CC66A3">
        <w:rPr>
          <w:sz w:val="22"/>
          <w:szCs w:val="22"/>
        </w:rPr>
        <w:t xml:space="preserve">as well as financial institutions, </w:t>
      </w:r>
      <w:r w:rsidR="008E5C64">
        <w:rPr>
          <w:sz w:val="22"/>
          <w:szCs w:val="22"/>
        </w:rPr>
        <w:t>that are able to offer</w:t>
      </w:r>
      <w:r w:rsidR="0095531B">
        <w:rPr>
          <w:sz w:val="22"/>
          <w:szCs w:val="22"/>
        </w:rPr>
        <w:t xml:space="preserve"> decarbonisation</w:t>
      </w:r>
      <w:r w:rsidR="008E5C64">
        <w:rPr>
          <w:sz w:val="22"/>
          <w:szCs w:val="22"/>
        </w:rPr>
        <w:t xml:space="preserve"> solutions to Safeguard facilities. </w:t>
      </w:r>
      <w:r w:rsidR="00B43B35" w:rsidRPr="008E5C64">
        <w:rPr>
          <w:sz w:val="22"/>
          <w:szCs w:val="22"/>
        </w:rPr>
        <w:t xml:space="preserve"> </w:t>
      </w:r>
    </w:p>
    <w:p w14:paraId="54449EE5" w14:textId="0DD15634" w:rsidR="00D914FF" w:rsidRDefault="00D914FF" w:rsidP="00893E10">
      <w:pPr>
        <w:rPr>
          <w:sz w:val="22"/>
          <w:szCs w:val="22"/>
        </w:rPr>
      </w:pPr>
      <w:r>
        <w:rPr>
          <w:sz w:val="22"/>
          <w:szCs w:val="22"/>
        </w:rPr>
        <w:t xml:space="preserve">The reforms may also, by demonstrating Australia’s commitment to contributing to global climate action, reduce the risk that </w:t>
      </w:r>
      <w:r w:rsidR="00893E10" w:rsidRPr="008E5C64">
        <w:rPr>
          <w:sz w:val="22"/>
          <w:szCs w:val="22"/>
        </w:rPr>
        <w:t xml:space="preserve">exports </w:t>
      </w:r>
      <w:r w:rsidR="00B43B35" w:rsidRPr="008E5C64">
        <w:rPr>
          <w:sz w:val="22"/>
          <w:szCs w:val="22"/>
        </w:rPr>
        <w:t xml:space="preserve">from non-Safeguard covered </w:t>
      </w:r>
      <w:r w:rsidR="00893E10" w:rsidRPr="008E5C64">
        <w:rPr>
          <w:sz w:val="22"/>
          <w:szCs w:val="22"/>
        </w:rPr>
        <w:t>be subject to import tariffs or carbon border adjustments imposed by our trade partners</w:t>
      </w:r>
      <w:r w:rsidR="00B43B35" w:rsidRPr="008E5C64">
        <w:rPr>
          <w:sz w:val="22"/>
          <w:szCs w:val="22"/>
        </w:rPr>
        <w:t xml:space="preserve">. </w:t>
      </w:r>
    </w:p>
    <w:p w14:paraId="57A47D51" w14:textId="32E4D0BF" w:rsidR="00893E10" w:rsidRDefault="00CC66A3" w:rsidP="00893E10">
      <w:pPr>
        <w:pStyle w:val="BodyText"/>
        <w:rPr>
          <w:sz w:val="22"/>
          <w:szCs w:val="22"/>
        </w:rPr>
      </w:pPr>
      <w:r>
        <w:rPr>
          <w:sz w:val="22"/>
          <w:szCs w:val="22"/>
        </w:rPr>
        <w:t>T</w:t>
      </w:r>
      <w:r w:rsidRPr="00CC66A3">
        <w:rPr>
          <w:sz w:val="22"/>
          <w:szCs w:val="22"/>
        </w:rPr>
        <w:t xml:space="preserve">he </w:t>
      </w:r>
      <w:r>
        <w:rPr>
          <w:sz w:val="22"/>
          <w:szCs w:val="22"/>
        </w:rPr>
        <w:t xml:space="preserve">reforms have been carefully designed to moderate and mitigate cost impacts to Safeguard facilities and to mitigate cost pass through to other businesses and the community. Refer to Question 3 for a description of how the flexible compliance options, tailored </w:t>
      </w:r>
      <w:proofErr w:type="spellStart"/>
      <w:r>
        <w:rPr>
          <w:sz w:val="22"/>
          <w:szCs w:val="22"/>
        </w:rPr>
        <w:t>TEBA</w:t>
      </w:r>
      <w:proofErr w:type="spellEnd"/>
      <w:r>
        <w:rPr>
          <w:sz w:val="22"/>
          <w:szCs w:val="22"/>
        </w:rPr>
        <w:t xml:space="preserve"> rates and funding and financial assistance </w:t>
      </w:r>
      <w:r w:rsidR="001B749A">
        <w:rPr>
          <w:sz w:val="22"/>
          <w:szCs w:val="22"/>
        </w:rPr>
        <w:t>have been designed</w:t>
      </w:r>
      <w:r>
        <w:rPr>
          <w:sz w:val="22"/>
          <w:szCs w:val="22"/>
        </w:rPr>
        <w:t xml:space="preserve"> to </w:t>
      </w:r>
      <w:r w:rsidR="001B749A">
        <w:rPr>
          <w:sz w:val="22"/>
          <w:szCs w:val="22"/>
        </w:rPr>
        <w:t>moderate and mitigate cost impacts</w:t>
      </w:r>
      <w:r>
        <w:rPr>
          <w:sz w:val="22"/>
          <w:szCs w:val="22"/>
        </w:rPr>
        <w:t xml:space="preserve">. </w:t>
      </w:r>
    </w:p>
    <w:p w14:paraId="1EDEAB14" w14:textId="78CF4B1B" w:rsidR="000219C7" w:rsidRDefault="000219C7" w:rsidP="000219C7">
      <w:pPr>
        <w:pStyle w:val="BodyText"/>
        <w:rPr>
          <w:sz w:val="22"/>
          <w:szCs w:val="22"/>
        </w:rPr>
      </w:pPr>
      <w:r w:rsidRPr="0010263B">
        <w:rPr>
          <w:sz w:val="22"/>
          <w:szCs w:val="22"/>
        </w:rPr>
        <w:t>Any potential cost pass through from Safeguard facilities to consumers should be measured against a reference case where negative climate change impacts are more frequent and severe.</w:t>
      </w:r>
      <w:r>
        <w:t xml:space="preserve"> </w:t>
      </w:r>
      <w:r w:rsidRPr="008E5C64">
        <w:rPr>
          <w:sz w:val="22"/>
          <w:szCs w:val="22"/>
        </w:rPr>
        <w:t xml:space="preserve">These events disrupt supply chains, impact productivity and increase insurance costs for businesses and consumers. </w:t>
      </w:r>
      <w:r>
        <w:rPr>
          <w:sz w:val="22"/>
          <w:szCs w:val="22"/>
        </w:rPr>
        <w:t>For example, i</w:t>
      </w:r>
      <w:r w:rsidRPr="008E5C64">
        <w:rPr>
          <w:sz w:val="22"/>
          <w:szCs w:val="22"/>
        </w:rPr>
        <w:t>n the October 2022 Budget, fruit and vegetable prices were estimated to be around 8 per cent higher than what they would have otherwise been as a result of flooding events at the time. Food prices were forecast to contribute 1½ percentage points to inflation through the year to the December quarter 2022. The October floods specifically were expected to add an additional 0.1 percentage points to inflation in the December quarter 2022 and again in the March quarter 2023</w:t>
      </w:r>
      <w:r>
        <w:rPr>
          <w:sz w:val="22"/>
          <w:szCs w:val="22"/>
        </w:rPr>
        <w:t>.</w:t>
      </w:r>
    </w:p>
    <w:p w14:paraId="7A2FD93A" w14:textId="77777777" w:rsidR="00CA5152" w:rsidRPr="00366E5A" w:rsidRDefault="00CA5152" w:rsidP="00366E5A">
      <w:pPr>
        <w:pStyle w:val="Heading3"/>
      </w:pPr>
      <w:bookmarkStart w:id="218" w:name="_Toc132807554"/>
      <w:r w:rsidRPr="00366E5A">
        <w:t>Regulatory burden estimate</w:t>
      </w:r>
      <w:bookmarkEnd w:id="218"/>
    </w:p>
    <w:p w14:paraId="22350BF6" w14:textId="363CCFDC" w:rsidR="00AE39CC" w:rsidRDefault="00B6122A" w:rsidP="00FD4573">
      <w:pPr>
        <w:pStyle w:val="BodyText"/>
        <w:rPr>
          <w:sz w:val="22"/>
          <w:szCs w:val="22"/>
        </w:rPr>
      </w:pPr>
      <w:r>
        <w:rPr>
          <w:sz w:val="22"/>
          <w:szCs w:val="22"/>
        </w:rPr>
        <w:t>R</w:t>
      </w:r>
      <w:r w:rsidR="00F042F6" w:rsidRPr="00366E5A">
        <w:rPr>
          <w:sz w:val="22"/>
          <w:szCs w:val="22"/>
        </w:rPr>
        <w:t>egulatory costs</w:t>
      </w:r>
      <w:r w:rsidR="00AE39CC">
        <w:rPr>
          <w:sz w:val="22"/>
          <w:szCs w:val="22"/>
        </w:rPr>
        <w:t xml:space="preserve"> have been assessed qualitatively and quantitatively.</w:t>
      </w:r>
      <w:r w:rsidR="00F042F6" w:rsidRPr="00366E5A">
        <w:rPr>
          <w:sz w:val="22"/>
          <w:szCs w:val="22"/>
        </w:rPr>
        <w:t xml:space="preserve"> </w:t>
      </w:r>
    </w:p>
    <w:p w14:paraId="29E7D984" w14:textId="3EB1BED5" w:rsidR="00FB4E03" w:rsidRDefault="00F4689A" w:rsidP="00FD4573">
      <w:pPr>
        <w:pStyle w:val="BodyText"/>
        <w:rPr>
          <w:sz w:val="22"/>
          <w:szCs w:val="22"/>
        </w:rPr>
      </w:pPr>
      <w:r>
        <w:rPr>
          <w:sz w:val="22"/>
          <w:szCs w:val="22"/>
        </w:rPr>
        <w:t>A</w:t>
      </w:r>
      <w:r w:rsidR="000706F4">
        <w:rPr>
          <w:sz w:val="22"/>
          <w:szCs w:val="22"/>
        </w:rPr>
        <w:t xml:space="preserve">dministrative costs are estimated </w:t>
      </w:r>
      <w:r w:rsidR="00AE39CC" w:rsidRPr="00C15A6C">
        <w:rPr>
          <w:sz w:val="22"/>
          <w:szCs w:val="22"/>
        </w:rPr>
        <w:t xml:space="preserve">at </w:t>
      </w:r>
      <w:r w:rsidR="00AE39CC" w:rsidRPr="00C15A6C">
        <w:rPr>
          <w:sz w:val="22"/>
          <w:szCs w:val="22"/>
        </w:rPr>
        <w:fldChar w:fldCharType="begin"/>
      </w:r>
      <w:r w:rsidR="00AE39CC" w:rsidRPr="00C15A6C">
        <w:rPr>
          <w:sz w:val="22"/>
          <w:szCs w:val="22"/>
        </w:rPr>
        <w:instrText xml:space="preserve"> REF _Ref132623423 \h </w:instrText>
      </w:r>
      <w:r w:rsidR="00C15A6C" w:rsidRPr="00C15A6C">
        <w:rPr>
          <w:sz w:val="22"/>
          <w:szCs w:val="22"/>
        </w:rPr>
        <w:instrText xml:space="preserve"> \* MERGEFORMAT </w:instrText>
      </w:r>
      <w:r w:rsidR="00AE39CC" w:rsidRPr="00C15A6C">
        <w:rPr>
          <w:sz w:val="22"/>
          <w:szCs w:val="22"/>
        </w:rPr>
      </w:r>
      <w:r w:rsidR="00AE39CC" w:rsidRPr="00C15A6C">
        <w:rPr>
          <w:sz w:val="22"/>
          <w:szCs w:val="22"/>
        </w:rPr>
        <w:fldChar w:fldCharType="separate"/>
      </w:r>
      <w:r w:rsidR="00AE39CC" w:rsidRPr="00C15A6C">
        <w:rPr>
          <w:sz w:val="22"/>
          <w:szCs w:val="22"/>
        </w:rPr>
        <w:t xml:space="preserve">Table </w:t>
      </w:r>
      <w:r w:rsidR="00AE39CC" w:rsidRPr="00C15A6C">
        <w:rPr>
          <w:noProof/>
          <w:sz w:val="22"/>
          <w:szCs w:val="22"/>
        </w:rPr>
        <w:t>5</w:t>
      </w:r>
      <w:r w:rsidR="00AE39CC" w:rsidRPr="00C15A6C">
        <w:rPr>
          <w:sz w:val="22"/>
          <w:szCs w:val="22"/>
        </w:rPr>
        <w:fldChar w:fldCharType="end"/>
      </w:r>
      <w:r w:rsidR="00AE39CC">
        <w:rPr>
          <w:sz w:val="22"/>
          <w:szCs w:val="22"/>
        </w:rPr>
        <w:t xml:space="preserve"> and</w:t>
      </w:r>
      <w:r w:rsidR="000706F4">
        <w:rPr>
          <w:sz w:val="22"/>
          <w:szCs w:val="22"/>
        </w:rPr>
        <w:t xml:space="preserve"> relate to labour costs for Safeguard facilities to become familiar with the reforms, new application processes, including emissions intensity determinations, </w:t>
      </w:r>
      <w:proofErr w:type="spellStart"/>
      <w:r w:rsidR="000706F4">
        <w:rPr>
          <w:sz w:val="22"/>
          <w:szCs w:val="22"/>
        </w:rPr>
        <w:t>TEBA</w:t>
      </w:r>
      <w:proofErr w:type="spellEnd"/>
      <w:r w:rsidR="000706F4">
        <w:rPr>
          <w:sz w:val="22"/>
          <w:szCs w:val="22"/>
        </w:rPr>
        <w:t xml:space="preserve"> determinations and </w:t>
      </w:r>
      <w:proofErr w:type="spellStart"/>
      <w:r w:rsidR="000706F4">
        <w:rPr>
          <w:sz w:val="22"/>
          <w:szCs w:val="22"/>
        </w:rPr>
        <w:t>MYMP</w:t>
      </w:r>
      <w:proofErr w:type="spellEnd"/>
      <w:r w:rsidR="000706F4">
        <w:rPr>
          <w:sz w:val="22"/>
          <w:szCs w:val="22"/>
        </w:rPr>
        <w:t xml:space="preserve"> determinations, and time spent monitoring and managing a facility’s compliance position through crediting and trading. </w:t>
      </w:r>
      <w:r>
        <w:rPr>
          <w:sz w:val="22"/>
          <w:szCs w:val="22"/>
        </w:rPr>
        <w:t>A</w:t>
      </w:r>
      <w:r w:rsidR="000706F4">
        <w:rPr>
          <w:sz w:val="22"/>
          <w:szCs w:val="22"/>
        </w:rPr>
        <w:t>dministrative labour cost</w:t>
      </w:r>
      <w:r w:rsidR="00A63AFE">
        <w:rPr>
          <w:sz w:val="22"/>
          <w:szCs w:val="22"/>
        </w:rPr>
        <w:t>s</w:t>
      </w:r>
      <w:r w:rsidR="000706F4">
        <w:rPr>
          <w:sz w:val="22"/>
          <w:szCs w:val="22"/>
        </w:rPr>
        <w:t xml:space="preserve"> </w:t>
      </w:r>
      <w:r>
        <w:rPr>
          <w:sz w:val="22"/>
          <w:szCs w:val="22"/>
        </w:rPr>
        <w:t>are also expected to arise from</w:t>
      </w:r>
      <w:r w:rsidR="000706F4">
        <w:rPr>
          <w:sz w:val="22"/>
          <w:szCs w:val="22"/>
        </w:rPr>
        <w:t xml:space="preserve"> d</w:t>
      </w:r>
      <w:r w:rsidR="000706F4" w:rsidRPr="000542E2">
        <w:rPr>
          <w:sz w:val="22"/>
          <w:szCs w:val="22"/>
        </w:rPr>
        <w:t>eveloping and carrying out on-site abatement projects</w:t>
      </w:r>
      <w:r>
        <w:rPr>
          <w:sz w:val="22"/>
          <w:szCs w:val="22"/>
        </w:rPr>
        <w:t>, which are</w:t>
      </w:r>
      <w:r w:rsidR="000706F4">
        <w:rPr>
          <w:sz w:val="22"/>
          <w:szCs w:val="22"/>
        </w:rPr>
        <w:t xml:space="preserve"> expected to occur </w:t>
      </w:r>
      <w:r>
        <w:rPr>
          <w:sz w:val="22"/>
          <w:szCs w:val="22"/>
        </w:rPr>
        <w:t xml:space="preserve">more broadly and significantly </w:t>
      </w:r>
      <w:r w:rsidR="000706F4">
        <w:rPr>
          <w:sz w:val="22"/>
          <w:szCs w:val="22"/>
        </w:rPr>
        <w:t xml:space="preserve">than prior to the reforms. </w:t>
      </w:r>
      <w:r>
        <w:rPr>
          <w:sz w:val="22"/>
          <w:szCs w:val="22"/>
        </w:rPr>
        <w:t>These costs will be</w:t>
      </w:r>
      <w:r w:rsidR="002F5F50">
        <w:rPr>
          <w:sz w:val="22"/>
          <w:szCs w:val="22"/>
        </w:rPr>
        <w:t xml:space="preserve"> partially offset by regulatory benefits from streamlining baseline setting so that all baselines are production-adjusting and use prescribed production variables, with fixed (calculated and reported) baselines removed. </w:t>
      </w:r>
      <w:r w:rsidR="00FB4E03">
        <w:rPr>
          <w:sz w:val="22"/>
          <w:szCs w:val="22"/>
        </w:rPr>
        <w:t xml:space="preserve">The </w:t>
      </w:r>
      <w:r w:rsidR="00FB4E03" w:rsidRPr="008427EC">
        <w:rPr>
          <w:sz w:val="22"/>
          <w:szCs w:val="22"/>
        </w:rPr>
        <w:t>different baseline setting approaches</w:t>
      </w:r>
      <w:r>
        <w:rPr>
          <w:sz w:val="22"/>
          <w:szCs w:val="22"/>
        </w:rPr>
        <w:t xml:space="preserve"> are expected to</w:t>
      </w:r>
      <w:r w:rsidR="00FB4E03">
        <w:rPr>
          <w:sz w:val="22"/>
          <w:szCs w:val="22"/>
        </w:rPr>
        <w:t xml:space="preserve"> result in comparatively minor </w:t>
      </w:r>
      <w:r>
        <w:rPr>
          <w:sz w:val="22"/>
          <w:szCs w:val="22"/>
        </w:rPr>
        <w:t xml:space="preserve">variations in </w:t>
      </w:r>
      <w:r>
        <w:rPr>
          <w:sz w:val="22"/>
          <w:szCs w:val="22"/>
        </w:rPr>
        <w:lastRenderedPageBreak/>
        <w:t>administrative</w:t>
      </w:r>
      <w:r w:rsidR="00FD4573" w:rsidRPr="00366E5A">
        <w:rPr>
          <w:sz w:val="22"/>
          <w:szCs w:val="22"/>
        </w:rPr>
        <w:t xml:space="preserve"> cost esti</w:t>
      </w:r>
      <w:r w:rsidR="00FB4E03">
        <w:rPr>
          <w:sz w:val="22"/>
          <w:szCs w:val="22"/>
        </w:rPr>
        <w:t>mates across the three options</w:t>
      </w:r>
      <w:r>
        <w:rPr>
          <w:sz w:val="22"/>
          <w:szCs w:val="22"/>
        </w:rPr>
        <w:t xml:space="preserve">, with an overall </w:t>
      </w:r>
      <w:r w:rsidR="0069286C">
        <w:rPr>
          <w:sz w:val="22"/>
          <w:szCs w:val="22"/>
        </w:rPr>
        <w:t>minor</w:t>
      </w:r>
      <w:r>
        <w:rPr>
          <w:sz w:val="22"/>
          <w:szCs w:val="22"/>
        </w:rPr>
        <w:t xml:space="preserve"> impact on businesses</w:t>
      </w:r>
      <w:r w:rsidR="00212623">
        <w:rPr>
          <w:sz w:val="22"/>
          <w:szCs w:val="22"/>
        </w:rPr>
        <w:t xml:space="preserve"> relative to expected annual margin</w:t>
      </w:r>
      <w:r>
        <w:rPr>
          <w:sz w:val="22"/>
          <w:szCs w:val="22"/>
        </w:rPr>
        <w:t xml:space="preserve">. Under Option 1, a small number of facilities that are currently not using prescribed production variables would need to apply for an emissions intensity determination using prescribed production variables and default (industry average) emissions intensities. Under Options 2 and 3, </w:t>
      </w:r>
      <w:r w:rsidR="00EC3DBE">
        <w:rPr>
          <w:sz w:val="22"/>
          <w:szCs w:val="22"/>
        </w:rPr>
        <w:t xml:space="preserve">all </w:t>
      </w:r>
      <w:r>
        <w:rPr>
          <w:sz w:val="22"/>
          <w:szCs w:val="22"/>
        </w:rPr>
        <w:t xml:space="preserve">facilities would need to apply to the Clean Energy Regulator for an emissions intensity determination based on site specific data. Option 3 introduces slightly more administrative burden over Option 2, as under the hybrid model, facilities are required to </w:t>
      </w:r>
      <w:r w:rsidR="00C47D97">
        <w:rPr>
          <w:sz w:val="22"/>
          <w:szCs w:val="22"/>
        </w:rPr>
        <w:t>apply for</w:t>
      </w:r>
      <w:r w:rsidR="00BE294F">
        <w:rPr>
          <w:sz w:val="22"/>
          <w:szCs w:val="22"/>
        </w:rPr>
        <w:t xml:space="preserve"> </w:t>
      </w:r>
      <w:r w:rsidR="00A63AFE">
        <w:rPr>
          <w:sz w:val="22"/>
          <w:szCs w:val="22"/>
        </w:rPr>
        <w:t>site-specific</w:t>
      </w:r>
      <w:r>
        <w:rPr>
          <w:sz w:val="22"/>
          <w:szCs w:val="22"/>
        </w:rPr>
        <w:t xml:space="preserve"> emissions intensities </w:t>
      </w:r>
      <w:r w:rsidR="00BE294F">
        <w:rPr>
          <w:sz w:val="22"/>
          <w:szCs w:val="22"/>
        </w:rPr>
        <w:t xml:space="preserve">and </w:t>
      </w:r>
      <w:r w:rsidR="00C47D97">
        <w:rPr>
          <w:sz w:val="22"/>
          <w:szCs w:val="22"/>
        </w:rPr>
        <w:t>use the prescribed production variables required in Option 1</w:t>
      </w:r>
      <w:r>
        <w:rPr>
          <w:sz w:val="22"/>
          <w:szCs w:val="22"/>
        </w:rPr>
        <w:t>.</w:t>
      </w:r>
      <w:r w:rsidR="00AE39CC">
        <w:rPr>
          <w:sz w:val="22"/>
          <w:szCs w:val="22"/>
        </w:rPr>
        <w:t xml:space="preserve"> At an average facility level, the average annual regulatory costs</w:t>
      </w:r>
      <w:r w:rsidR="00CA062A">
        <w:rPr>
          <w:sz w:val="22"/>
          <w:szCs w:val="22"/>
        </w:rPr>
        <w:t xml:space="preserve"> translate to a</w:t>
      </w:r>
      <w:r w:rsidR="00AE39CC">
        <w:rPr>
          <w:sz w:val="22"/>
          <w:szCs w:val="22"/>
        </w:rPr>
        <w:t xml:space="preserve"> range between </w:t>
      </w:r>
      <w:r w:rsidR="005A71A5">
        <w:rPr>
          <w:sz w:val="22"/>
          <w:szCs w:val="22"/>
        </w:rPr>
        <w:t xml:space="preserve">around </w:t>
      </w:r>
      <w:r w:rsidR="00AE39CC">
        <w:rPr>
          <w:sz w:val="22"/>
          <w:szCs w:val="22"/>
        </w:rPr>
        <w:t>$17,</w:t>
      </w:r>
      <w:r w:rsidR="00917D2B">
        <w:rPr>
          <w:sz w:val="22"/>
          <w:szCs w:val="22"/>
        </w:rPr>
        <w:t xml:space="preserve"> </w:t>
      </w:r>
      <w:r w:rsidR="005A3519">
        <w:rPr>
          <w:sz w:val="22"/>
          <w:szCs w:val="22"/>
        </w:rPr>
        <w:t>000</w:t>
      </w:r>
      <w:r w:rsidR="00917D2B">
        <w:rPr>
          <w:sz w:val="22"/>
          <w:szCs w:val="22"/>
        </w:rPr>
        <w:t xml:space="preserve"> for Option 1 to $2</w:t>
      </w:r>
      <w:r w:rsidR="00D3327C">
        <w:rPr>
          <w:sz w:val="22"/>
          <w:szCs w:val="22"/>
        </w:rPr>
        <w:t>1</w:t>
      </w:r>
      <w:r w:rsidR="00917D2B">
        <w:rPr>
          <w:sz w:val="22"/>
          <w:szCs w:val="22"/>
        </w:rPr>
        <w:t xml:space="preserve">, </w:t>
      </w:r>
      <w:r w:rsidR="005A3519">
        <w:rPr>
          <w:sz w:val="22"/>
          <w:szCs w:val="22"/>
        </w:rPr>
        <w:t>000</w:t>
      </w:r>
      <w:r w:rsidR="00917D2B">
        <w:rPr>
          <w:sz w:val="22"/>
          <w:szCs w:val="22"/>
        </w:rPr>
        <w:t xml:space="preserve"> for Option 3.</w:t>
      </w:r>
    </w:p>
    <w:p w14:paraId="67D23705" w14:textId="70DFF38E" w:rsidR="00F30595" w:rsidRDefault="00F30595" w:rsidP="00F30595">
      <w:pPr>
        <w:pStyle w:val="Caption"/>
        <w:rPr>
          <w:sz w:val="22"/>
          <w:szCs w:val="22"/>
        </w:rPr>
      </w:pPr>
      <w:bookmarkStart w:id="219" w:name="_Ref132623423"/>
      <w:r>
        <w:t xml:space="preserve">Table </w:t>
      </w:r>
      <w:fldSimple w:instr=" SEQ Table \* ARABIC ">
        <w:r>
          <w:rPr>
            <w:noProof/>
          </w:rPr>
          <w:t>5</w:t>
        </w:r>
      </w:fldSimple>
      <w:bookmarkEnd w:id="219"/>
      <w:r>
        <w:t xml:space="preserve"> Regulatory burden estimate, $2023 Australian dollars</w:t>
      </w:r>
    </w:p>
    <w:tbl>
      <w:tblPr>
        <w:tblStyle w:val="GridTable4-Accent1"/>
        <w:tblW w:w="0" w:type="auto"/>
        <w:tblLook w:val="04A0" w:firstRow="1" w:lastRow="0" w:firstColumn="1" w:lastColumn="0" w:noHBand="0" w:noVBand="1"/>
      </w:tblPr>
      <w:tblGrid>
        <w:gridCol w:w="3216"/>
        <w:gridCol w:w="1887"/>
        <w:gridCol w:w="2029"/>
        <w:gridCol w:w="1221"/>
        <w:gridCol w:w="1841"/>
      </w:tblGrid>
      <w:tr w:rsidR="00F30595" w14:paraId="16689098" w14:textId="77777777" w:rsidTr="00F30595">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5103" w:type="dxa"/>
            <w:gridSpan w:val="2"/>
          </w:tcPr>
          <w:p w14:paraId="30D85B19" w14:textId="77777777" w:rsidR="00F30595" w:rsidRDefault="00F30595" w:rsidP="00A039B3">
            <w:r w:rsidRPr="009E51D3">
              <w:t>Average annual regulatory costs (from business as usual)</w:t>
            </w:r>
          </w:p>
        </w:tc>
        <w:tc>
          <w:tcPr>
            <w:tcW w:w="2029" w:type="dxa"/>
          </w:tcPr>
          <w:p w14:paraId="772BACDD" w14:textId="77777777" w:rsidR="00F30595" w:rsidRPr="009E51D3" w:rsidRDefault="00F30595" w:rsidP="00A039B3">
            <w:pPr>
              <w:cnfStyle w:val="100000000000" w:firstRow="1" w:lastRow="0" w:firstColumn="0" w:lastColumn="0" w:oddVBand="0" w:evenVBand="0" w:oddHBand="0" w:evenHBand="0" w:firstRowFirstColumn="0" w:firstRowLastColumn="0" w:lastRowFirstColumn="0" w:lastRowLastColumn="0"/>
            </w:pPr>
          </w:p>
        </w:tc>
        <w:tc>
          <w:tcPr>
            <w:tcW w:w="1221" w:type="dxa"/>
          </w:tcPr>
          <w:p w14:paraId="619391DE" w14:textId="77777777" w:rsidR="00F30595" w:rsidRPr="009E51D3" w:rsidRDefault="00F30595" w:rsidP="00A039B3">
            <w:pPr>
              <w:cnfStyle w:val="100000000000" w:firstRow="1" w:lastRow="0" w:firstColumn="0" w:lastColumn="0" w:oddVBand="0" w:evenVBand="0" w:oddHBand="0" w:evenHBand="0" w:firstRowFirstColumn="0" w:firstRowLastColumn="0" w:lastRowFirstColumn="0" w:lastRowLastColumn="0"/>
            </w:pPr>
          </w:p>
        </w:tc>
        <w:tc>
          <w:tcPr>
            <w:tcW w:w="1841" w:type="dxa"/>
          </w:tcPr>
          <w:p w14:paraId="754FEDF4" w14:textId="77777777" w:rsidR="00F30595" w:rsidRPr="009E51D3" w:rsidRDefault="00F30595" w:rsidP="00A039B3">
            <w:pPr>
              <w:cnfStyle w:val="100000000000" w:firstRow="1" w:lastRow="0" w:firstColumn="0" w:lastColumn="0" w:oddVBand="0" w:evenVBand="0" w:oddHBand="0" w:evenHBand="0" w:firstRowFirstColumn="0" w:firstRowLastColumn="0" w:lastRowFirstColumn="0" w:lastRowLastColumn="0"/>
            </w:pPr>
          </w:p>
        </w:tc>
      </w:tr>
      <w:tr w:rsidR="00F30595" w14:paraId="3C0519FE" w14:textId="77777777" w:rsidTr="00F30595">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216" w:type="dxa"/>
          </w:tcPr>
          <w:p w14:paraId="447FE0E0" w14:textId="2E412033" w:rsidR="00F30595" w:rsidRPr="009D4189" w:rsidRDefault="00F30595" w:rsidP="00F30595">
            <w:r w:rsidRPr="0074681D">
              <w:t>C</w:t>
            </w:r>
            <w:r w:rsidRPr="009D4189">
              <w:t>hange in costs ($</w:t>
            </w:r>
            <w:r w:rsidR="00FD3648">
              <w:t xml:space="preserve"> million</w:t>
            </w:r>
            <w:r w:rsidRPr="009D4189">
              <w:t>)</w:t>
            </w:r>
          </w:p>
        </w:tc>
        <w:tc>
          <w:tcPr>
            <w:tcW w:w="1887" w:type="dxa"/>
          </w:tcPr>
          <w:p w14:paraId="78E2BA0D" w14:textId="77777777" w:rsidR="00F30595" w:rsidRPr="000B17F2" w:rsidRDefault="00F30595" w:rsidP="00A039B3">
            <w:pPr>
              <w:cnfStyle w:val="000000100000" w:firstRow="0" w:lastRow="0" w:firstColumn="0" w:lastColumn="0" w:oddVBand="0" w:evenVBand="0" w:oddHBand="1" w:evenHBand="0" w:firstRowFirstColumn="0" w:firstRowLastColumn="0" w:lastRowFirstColumn="0" w:lastRowLastColumn="0"/>
              <w:rPr>
                <w:b/>
              </w:rPr>
            </w:pPr>
            <w:r>
              <w:rPr>
                <w:b/>
              </w:rPr>
              <w:t>Business</w:t>
            </w:r>
          </w:p>
        </w:tc>
        <w:tc>
          <w:tcPr>
            <w:tcW w:w="2029" w:type="dxa"/>
          </w:tcPr>
          <w:p w14:paraId="2D088C45" w14:textId="77777777" w:rsidR="00F30595" w:rsidRPr="000B17F2" w:rsidRDefault="00F30595" w:rsidP="00A039B3">
            <w:pPr>
              <w:cnfStyle w:val="000000100000" w:firstRow="0" w:lastRow="0" w:firstColumn="0" w:lastColumn="0" w:oddVBand="0" w:evenVBand="0" w:oddHBand="1" w:evenHBand="0" w:firstRowFirstColumn="0" w:firstRowLastColumn="0" w:lastRowFirstColumn="0" w:lastRowLastColumn="0"/>
              <w:rPr>
                <w:b/>
              </w:rPr>
            </w:pPr>
            <w:r w:rsidRPr="000B17F2">
              <w:rPr>
                <w:b/>
              </w:rPr>
              <w:t>Community organisations</w:t>
            </w:r>
          </w:p>
        </w:tc>
        <w:tc>
          <w:tcPr>
            <w:tcW w:w="1221" w:type="dxa"/>
          </w:tcPr>
          <w:p w14:paraId="3BF9FD2C" w14:textId="77777777" w:rsidR="00F30595" w:rsidRPr="000B17F2" w:rsidRDefault="00F30595" w:rsidP="00A039B3">
            <w:pPr>
              <w:cnfStyle w:val="000000100000" w:firstRow="0" w:lastRow="0" w:firstColumn="0" w:lastColumn="0" w:oddVBand="0" w:evenVBand="0" w:oddHBand="1" w:evenHBand="0" w:firstRowFirstColumn="0" w:firstRowLastColumn="0" w:lastRowFirstColumn="0" w:lastRowLastColumn="0"/>
              <w:rPr>
                <w:b/>
              </w:rPr>
            </w:pPr>
            <w:r w:rsidRPr="000B17F2">
              <w:rPr>
                <w:b/>
              </w:rPr>
              <w:t>Individuals</w:t>
            </w:r>
          </w:p>
        </w:tc>
        <w:tc>
          <w:tcPr>
            <w:tcW w:w="1841" w:type="dxa"/>
          </w:tcPr>
          <w:p w14:paraId="00724D1E" w14:textId="77777777" w:rsidR="00F30595" w:rsidRPr="000B17F2" w:rsidRDefault="00F30595" w:rsidP="00A039B3">
            <w:pPr>
              <w:cnfStyle w:val="000000100000" w:firstRow="0" w:lastRow="0" w:firstColumn="0" w:lastColumn="0" w:oddVBand="0" w:evenVBand="0" w:oddHBand="1" w:evenHBand="0" w:firstRowFirstColumn="0" w:firstRowLastColumn="0" w:lastRowFirstColumn="0" w:lastRowLastColumn="0"/>
              <w:rPr>
                <w:b/>
              </w:rPr>
            </w:pPr>
            <w:r w:rsidRPr="000B17F2">
              <w:rPr>
                <w:b/>
              </w:rPr>
              <w:t>Total change in costs</w:t>
            </w:r>
          </w:p>
        </w:tc>
      </w:tr>
      <w:tr w:rsidR="00FD3648" w14:paraId="2FC4D83F" w14:textId="77777777" w:rsidTr="00F30595">
        <w:trPr>
          <w:trHeight w:val="257"/>
        </w:trPr>
        <w:tc>
          <w:tcPr>
            <w:cnfStyle w:val="001000000000" w:firstRow="0" w:lastRow="0" w:firstColumn="1" w:lastColumn="0" w:oddVBand="0" w:evenVBand="0" w:oddHBand="0" w:evenHBand="0" w:firstRowFirstColumn="0" w:firstRowLastColumn="0" w:lastRowFirstColumn="0" w:lastRowLastColumn="0"/>
            <w:tcW w:w="3216" w:type="dxa"/>
          </w:tcPr>
          <w:p w14:paraId="2AC2F18E" w14:textId="77777777" w:rsidR="00FD3648" w:rsidRDefault="00FD3648" w:rsidP="00FD3648">
            <w:r>
              <w:t>Option 1</w:t>
            </w:r>
          </w:p>
        </w:tc>
        <w:tc>
          <w:tcPr>
            <w:tcW w:w="1887" w:type="dxa"/>
            <w:vAlign w:val="bottom"/>
          </w:tcPr>
          <w:p w14:paraId="13B99015" w14:textId="52005B0C" w:rsidR="00FD3648" w:rsidRPr="00FD3648" w:rsidRDefault="00FD3648" w:rsidP="00FD3648">
            <w:pPr>
              <w:jc w:val="center"/>
              <w:cnfStyle w:val="000000000000" w:firstRow="0" w:lastRow="0" w:firstColumn="0" w:lastColumn="0" w:oddVBand="0" w:evenVBand="0" w:oddHBand="0" w:evenHBand="0" w:firstRowFirstColumn="0" w:firstRowLastColumn="0" w:lastRowFirstColumn="0" w:lastRowLastColumn="0"/>
            </w:pPr>
            <w:r w:rsidRPr="00FD3648">
              <w:rPr>
                <w:rFonts w:ascii="Calibri" w:hAnsi="Calibri"/>
                <w:color w:val="000000"/>
              </w:rPr>
              <w:t>3.7</w:t>
            </w:r>
          </w:p>
        </w:tc>
        <w:tc>
          <w:tcPr>
            <w:tcW w:w="2029" w:type="dxa"/>
          </w:tcPr>
          <w:p w14:paraId="50D931A5" w14:textId="77777777" w:rsidR="00FD3648" w:rsidRPr="00AE39CC" w:rsidRDefault="00FD3648" w:rsidP="00FD3648">
            <w:pPr>
              <w:jc w:val="center"/>
              <w:cnfStyle w:val="000000000000" w:firstRow="0" w:lastRow="0" w:firstColumn="0" w:lastColumn="0" w:oddVBand="0" w:evenVBand="0" w:oddHBand="0" w:evenHBand="0" w:firstRowFirstColumn="0" w:firstRowLastColumn="0" w:lastRowFirstColumn="0" w:lastRowLastColumn="0"/>
            </w:pPr>
            <w:r w:rsidRPr="00AE39CC">
              <w:t>$0</w:t>
            </w:r>
          </w:p>
        </w:tc>
        <w:tc>
          <w:tcPr>
            <w:tcW w:w="1221" w:type="dxa"/>
          </w:tcPr>
          <w:p w14:paraId="375273BD" w14:textId="77777777" w:rsidR="00FD3648" w:rsidRPr="00FD3648" w:rsidRDefault="00FD3648" w:rsidP="00FD3648">
            <w:pPr>
              <w:jc w:val="center"/>
              <w:cnfStyle w:val="000000000000" w:firstRow="0" w:lastRow="0" w:firstColumn="0" w:lastColumn="0" w:oddVBand="0" w:evenVBand="0" w:oddHBand="0" w:evenHBand="0" w:firstRowFirstColumn="0" w:firstRowLastColumn="0" w:lastRowFirstColumn="0" w:lastRowLastColumn="0"/>
            </w:pPr>
            <w:r w:rsidRPr="00FD3648">
              <w:t>$0</w:t>
            </w:r>
          </w:p>
        </w:tc>
        <w:tc>
          <w:tcPr>
            <w:tcW w:w="1841" w:type="dxa"/>
            <w:vAlign w:val="bottom"/>
          </w:tcPr>
          <w:p w14:paraId="712EE99B" w14:textId="1DE0D5C6" w:rsidR="00FD3648" w:rsidRPr="00F30595" w:rsidRDefault="00FD3648" w:rsidP="00FD3648">
            <w:pPr>
              <w:jc w:val="center"/>
              <w:cnfStyle w:val="000000000000" w:firstRow="0" w:lastRow="0" w:firstColumn="0" w:lastColumn="0" w:oddVBand="0" w:evenVBand="0" w:oddHBand="0" w:evenHBand="0" w:firstRowFirstColumn="0" w:firstRowLastColumn="0" w:lastRowFirstColumn="0" w:lastRowLastColumn="0"/>
            </w:pPr>
            <w:r w:rsidRPr="00FD3648">
              <w:rPr>
                <w:rFonts w:ascii="Calibri" w:hAnsi="Calibri"/>
                <w:color w:val="000000"/>
              </w:rPr>
              <w:t>3.7</w:t>
            </w:r>
          </w:p>
        </w:tc>
      </w:tr>
      <w:tr w:rsidR="00FD3648" w14:paraId="3CA602DF" w14:textId="77777777" w:rsidTr="00F30595">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216" w:type="dxa"/>
            <w:shd w:val="clear" w:color="auto" w:fill="auto"/>
          </w:tcPr>
          <w:p w14:paraId="2DA8A2F5" w14:textId="77777777" w:rsidR="00FD3648" w:rsidRDefault="00FD3648" w:rsidP="00FD3648">
            <w:r>
              <w:t>Option 2</w:t>
            </w:r>
          </w:p>
        </w:tc>
        <w:tc>
          <w:tcPr>
            <w:tcW w:w="1887" w:type="dxa"/>
            <w:shd w:val="clear" w:color="auto" w:fill="auto"/>
            <w:vAlign w:val="bottom"/>
          </w:tcPr>
          <w:p w14:paraId="39806214" w14:textId="5342FF37" w:rsidR="00FD3648" w:rsidRPr="00FD3648" w:rsidRDefault="00FD3648" w:rsidP="00FD3648">
            <w:pPr>
              <w:jc w:val="center"/>
              <w:cnfStyle w:val="000000100000" w:firstRow="0" w:lastRow="0" w:firstColumn="0" w:lastColumn="0" w:oddVBand="0" w:evenVBand="0" w:oddHBand="1" w:evenHBand="0" w:firstRowFirstColumn="0" w:firstRowLastColumn="0" w:lastRowFirstColumn="0" w:lastRowLastColumn="0"/>
            </w:pPr>
            <w:r w:rsidRPr="00FD3648">
              <w:rPr>
                <w:rFonts w:ascii="Calibri" w:hAnsi="Calibri"/>
                <w:color w:val="000000"/>
              </w:rPr>
              <w:t>4</w:t>
            </w:r>
            <w:r w:rsidR="00661153">
              <w:rPr>
                <w:rFonts w:ascii="Calibri" w:hAnsi="Calibri"/>
                <w:color w:val="000000"/>
              </w:rPr>
              <w:t>.4</w:t>
            </w:r>
          </w:p>
        </w:tc>
        <w:tc>
          <w:tcPr>
            <w:tcW w:w="2029" w:type="dxa"/>
            <w:shd w:val="clear" w:color="auto" w:fill="auto"/>
          </w:tcPr>
          <w:p w14:paraId="0D3F6146" w14:textId="77777777" w:rsidR="00FD3648" w:rsidRPr="00AE39CC" w:rsidRDefault="00FD3648" w:rsidP="00FD3648">
            <w:pPr>
              <w:jc w:val="center"/>
              <w:cnfStyle w:val="000000100000" w:firstRow="0" w:lastRow="0" w:firstColumn="0" w:lastColumn="0" w:oddVBand="0" w:evenVBand="0" w:oddHBand="1" w:evenHBand="0" w:firstRowFirstColumn="0" w:firstRowLastColumn="0" w:lastRowFirstColumn="0" w:lastRowLastColumn="0"/>
            </w:pPr>
            <w:r w:rsidRPr="00AE39CC">
              <w:t>$0</w:t>
            </w:r>
          </w:p>
        </w:tc>
        <w:tc>
          <w:tcPr>
            <w:tcW w:w="1221" w:type="dxa"/>
            <w:shd w:val="clear" w:color="auto" w:fill="auto"/>
          </w:tcPr>
          <w:p w14:paraId="53838342" w14:textId="77777777" w:rsidR="00FD3648" w:rsidRPr="00FD3648" w:rsidRDefault="00FD3648" w:rsidP="00FD3648">
            <w:pPr>
              <w:jc w:val="center"/>
              <w:cnfStyle w:val="000000100000" w:firstRow="0" w:lastRow="0" w:firstColumn="0" w:lastColumn="0" w:oddVBand="0" w:evenVBand="0" w:oddHBand="1" w:evenHBand="0" w:firstRowFirstColumn="0" w:firstRowLastColumn="0" w:lastRowFirstColumn="0" w:lastRowLastColumn="0"/>
            </w:pPr>
            <w:r w:rsidRPr="00FD3648">
              <w:t>$0</w:t>
            </w:r>
          </w:p>
        </w:tc>
        <w:tc>
          <w:tcPr>
            <w:tcW w:w="1841" w:type="dxa"/>
            <w:shd w:val="clear" w:color="auto" w:fill="auto"/>
            <w:vAlign w:val="bottom"/>
          </w:tcPr>
          <w:p w14:paraId="774F6A18" w14:textId="728EC2CD" w:rsidR="00FD3648" w:rsidRPr="00F30595" w:rsidRDefault="00661153" w:rsidP="00FD3648">
            <w:pPr>
              <w:jc w:val="center"/>
              <w:cnfStyle w:val="000000100000" w:firstRow="0" w:lastRow="0" w:firstColumn="0" w:lastColumn="0" w:oddVBand="0" w:evenVBand="0" w:oddHBand="1" w:evenHBand="0" w:firstRowFirstColumn="0" w:firstRowLastColumn="0" w:lastRowFirstColumn="0" w:lastRowLastColumn="0"/>
            </w:pPr>
            <w:r>
              <w:rPr>
                <w:rFonts w:ascii="Calibri" w:hAnsi="Calibri"/>
                <w:color w:val="000000"/>
              </w:rPr>
              <w:t>4.4</w:t>
            </w:r>
          </w:p>
        </w:tc>
      </w:tr>
      <w:tr w:rsidR="00FD3648" w14:paraId="59C175D2" w14:textId="77777777" w:rsidTr="00F30595">
        <w:trPr>
          <w:trHeight w:val="241"/>
        </w:trPr>
        <w:tc>
          <w:tcPr>
            <w:cnfStyle w:val="001000000000" w:firstRow="0" w:lastRow="0" w:firstColumn="1" w:lastColumn="0" w:oddVBand="0" w:evenVBand="0" w:oddHBand="0" w:evenHBand="0" w:firstRowFirstColumn="0" w:firstRowLastColumn="0" w:lastRowFirstColumn="0" w:lastRowLastColumn="0"/>
            <w:tcW w:w="3216" w:type="dxa"/>
          </w:tcPr>
          <w:p w14:paraId="47C8EB12" w14:textId="77777777" w:rsidR="00FD3648" w:rsidRDefault="00FD3648" w:rsidP="00FD3648">
            <w:r>
              <w:t>Option 3</w:t>
            </w:r>
          </w:p>
        </w:tc>
        <w:tc>
          <w:tcPr>
            <w:tcW w:w="1887" w:type="dxa"/>
            <w:vAlign w:val="bottom"/>
          </w:tcPr>
          <w:p w14:paraId="01EEE503" w14:textId="3C839C71" w:rsidR="00FD3648" w:rsidRPr="00FD3648" w:rsidRDefault="00FD3648" w:rsidP="00FD3648">
            <w:pPr>
              <w:jc w:val="center"/>
              <w:cnfStyle w:val="000000000000" w:firstRow="0" w:lastRow="0" w:firstColumn="0" w:lastColumn="0" w:oddVBand="0" w:evenVBand="0" w:oddHBand="0" w:evenHBand="0" w:firstRowFirstColumn="0" w:firstRowLastColumn="0" w:lastRowFirstColumn="0" w:lastRowLastColumn="0"/>
            </w:pPr>
            <w:r w:rsidRPr="00FD3648">
              <w:rPr>
                <w:rFonts w:ascii="Calibri" w:hAnsi="Calibri"/>
                <w:color w:val="000000"/>
              </w:rPr>
              <w:t>4</w:t>
            </w:r>
            <w:r w:rsidR="00D3327C">
              <w:rPr>
                <w:rFonts w:ascii="Calibri" w:hAnsi="Calibri"/>
                <w:color w:val="000000"/>
              </w:rPr>
              <w:t>.5</w:t>
            </w:r>
          </w:p>
        </w:tc>
        <w:tc>
          <w:tcPr>
            <w:tcW w:w="2029" w:type="dxa"/>
          </w:tcPr>
          <w:p w14:paraId="44D464E7" w14:textId="77777777" w:rsidR="00FD3648" w:rsidRPr="00AE39CC" w:rsidRDefault="00FD3648" w:rsidP="00FD3648">
            <w:pPr>
              <w:jc w:val="center"/>
              <w:cnfStyle w:val="000000000000" w:firstRow="0" w:lastRow="0" w:firstColumn="0" w:lastColumn="0" w:oddVBand="0" w:evenVBand="0" w:oddHBand="0" w:evenHBand="0" w:firstRowFirstColumn="0" w:firstRowLastColumn="0" w:lastRowFirstColumn="0" w:lastRowLastColumn="0"/>
            </w:pPr>
            <w:r w:rsidRPr="00AE39CC">
              <w:t>$0</w:t>
            </w:r>
          </w:p>
        </w:tc>
        <w:tc>
          <w:tcPr>
            <w:tcW w:w="1221" w:type="dxa"/>
          </w:tcPr>
          <w:p w14:paraId="232FD055" w14:textId="77777777" w:rsidR="00FD3648" w:rsidRPr="00AE39CC" w:rsidRDefault="00FD3648" w:rsidP="00FD3648">
            <w:pPr>
              <w:jc w:val="center"/>
              <w:cnfStyle w:val="000000000000" w:firstRow="0" w:lastRow="0" w:firstColumn="0" w:lastColumn="0" w:oddVBand="0" w:evenVBand="0" w:oddHBand="0" w:evenHBand="0" w:firstRowFirstColumn="0" w:firstRowLastColumn="0" w:lastRowFirstColumn="0" w:lastRowLastColumn="0"/>
            </w:pPr>
            <w:r w:rsidRPr="00AE39CC">
              <w:t>$0</w:t>
            </w:r>
          </w:p>
        </w:tc>
        <w:tc>
          <w:tcPr>
            <w:tcW w:w="1841" w:type="dxa"/>
            <w:vAlign w:val="bottom"/>
          </w:tcPr>
          <w:p w14:paraId="7C581242" w14:textId="15186D04" w:rsidR="00FD3648" w:rsidRPr="00F30595" w:rsidRDefault="00D3327C" w:rsidP="00FD3648">
            <w:pPr>
              <w:jc w:val="center"/>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4.5</w:t>
            </w:r>
          </w:p>
        </w:tc>
      </w:tr>
    </w:tbl>
    <w:p w14:paraId="544ABEF2" w14:textId="7138D6A4" w:rsidR="00F30595" w:rsidRPr="00C74A12" w:rsidRDefault="00C74A12" w:rsidP="00FD4573">
      <w:pPr>
        <w:pStyle w:val="BodyText"/>
        <w:rPr>
          <w:szCs w:val="22"/>
        </w:rPr>
      </w:pPr>
      <w:r w:rsidRPr="00C74A12">
        <w:rPr>
          <w:szCs w:val="22"/>
        </w:rPr>
        <w:t>Costs estimated over the period of the reforms (2023-24 to 2029-30) and the preparatory year; 2022-23</w:t>
      </w:r>
    </w:p>
    <w:p w14:paraId="1C52F1D0" w14:textId="1E65095D" w:rsidR="00F4689A" w:rsidRDefault="00F4689A" w:rsidP="00FB4E03">
      <w:pPr>
        <w:rPr>
          <w:sz w:val="22"/>
          <w:szCs w:val="22"/>
        </w:rPr>
      </w:pPr>
      <w:r>
        <w:rPr>
          <w:sz w:val="22"/>
          <w:szCs w:val="22"/>
        </w:rPr>
        <w:t>S</w:t>
      </w:r>
      <w:r w:rsidR="00FD4573" w:rsidRPr="00366E5A">
        <w:rPr>
          <w:sz w:val="22"/>
          <w:szCs w:val="22"/>
        </w:rPr>
        <w:t xml:space="preserve">ubstantive compliance costs </w:t>
      </w:r>
      <w:r w:rsidR="00CA062A">
        <w:rPr>
          <w:sz w:val="22"/>
          <w:szCs w:val="22"/>
        </w:rPr>
        <w:t xml:space="preserve">have been estimated qualitatively </w:t>
      </w:r>
      <w:r w:rsidR="00BC0FC4">
        <w:rPr>
          <w:sz w:val="22"/>
          <w:szCs w:val="22"/>
        </w:rPr>
        <w:t>due to the high degree of</w:t>
      </w:r>
      <w:r w:rsidR="00E76ACE">
        <w:rPr>
          <w:sz w:val="22"/>
          <w:szCs w:val="22"/>
        </w:rPr>
        <w:t xml:space="preserve"> uncertainty in </w:t>
      </w:r>
      <w:r w:rsidR="00C15A6C">
        <w:rPr>
          <w:sz w:val="22"/>
          <w:szCs w:val="22"/>
        </w:rPr>
        <w:t xml:space="preserve">the range </w:t>
      </w:r>
      <w:r w:rsidR="006C61BD">
        <w:rPr>
          <w:sz w:val="22"/>
          <w:szCs w:val="22"/>
        </w:rPr>
        <w:t>of</w:t>
      </w:r>
      <w:r w:rsidR="00C15A6C">
        <w:rPr>
          <w:sz w:val="22"/>
          <w:szCs w:val="22"/>
        </w:rPr>
        <w:t xml:space="preserve"> possible outcomes</w:t>
      </w:r>
      <w:r w:rsidR="00D656E7">
        <w:rPr>
          <w:sz w:val="22"/>
          <w:szCs w:val="22"/>
        </w:rPr>
        <w:t xml:space="preserve"> </w:t>
      </w:r>
      <w:r w:rsidR="00C15A6C">
        <w:rPr>
          <w:sz w:val="22"/>
          <w:szCs w:val="22"/>
        </w:rPr>
        <w:t xml:space="preserve">in terms of facility decision making (refer Box 1), the evolution </w:t>
      </w:r>
      <w:r w:rsidR="00D914FF">
        <w:rPr>
          <w:sz w:val="22"/>
          <w:szCs w:val="22"/>
        </w:rPr>
        <w:t xml:space="preserve">and costs </w:t>
      </w:r>
      <w:r w:rsidR="00C15A6C">
        <w:rPr>
          <w:sz w:val="22"/>
          <w:szCs w:val="22"/>
        </w:rPr>
        <w:t xml:space="preserve">of </w:t>
      </w:r>
      <w:r w:rsidR="00BC0FC4">
        <w:rPr>
          <w:sz w:val="22"/>
          <w:szCs w:val="22"/>
        </w:rPr>
        <w:t xml:space="preserve">decarbonisation </w:t>
      </w:r>
      <w:r w:rsidR="00C15A6C">
        <w:rPr>
          <w:sz w:val="22"/>
          <w:szCs w:val="22"/>
        </w:rPr>
        <w:t xml:space="preserve">technologies, and the cost of domestic offsets. Substantive compliance costs </w:t>
      </w:r>
      <w:r w:rsidR="002F5F50">
        <w:rPr>
          <w:sz w:val="22"/>
          <w:szCs w:val="22"/>
        </w:rPr>
        <w:t>relate to the cost of managing excess emissions; the difference between a facility’s gross emissions and their baseline. A facility’s net emissions must not exceed their baseline. Companies will take different approaches to managing their Safeguard Mechanism obligations and their climate risk. The</w:t>
      </w:r>
      <w:r>
        <w:rPr>
          <w:sz w:val="22"/>
          <w:szCs w:val="22"/>
        </w:rPr>
        <w:t xml:space="preserve"> total</w:t>
      </w:r>
      <w:r w:rsidR="002F5F50">
        <w:rPr>
          <w:sz w:val="22"/>
          <w:szCs w:val="22"/>
        </w:rPr>
        <w:t xml:space="preserve"> substantive compliance costs are</w:t>
      </w:r>
      <w:r w:rsidR="00FB4E03">
        <w:rPr>
          <w:sz w:val="22"/>
          <w:szCs w:val="22"/>
        </w:rPr>
        <w:t xml:space="preserve"> estimated to be </w:t>
      </w:r>
      <w:r w:rsidR="00FD4573" w:rsidRPr="00366E5A">
        <w:rPr>
          <w:sz w:val="22"/>
          <w:szCs w:val="22"/>
        </w:rPr>
        <w:t>the same</w:t>
      </w:r>
      <w:r w:rsidR="0069286C">
        <w:rPr>
          <w:sz w:val="22"/>
          <w:szCs w:val="22"/>
        </w:rPr>
        <w:t xml:space="preserve"> across all three options at a</w:t>
      </w:r>
      <w:r w:rsidR="00292E49">
        <w:rPr>
          <w:sz w:val="22"/>
          <w:szCs w:val="22"/>
        </w:rPr>
        <w:t xml:space="preserve"> </w:t>
      </w:r>
      <w:r w:rsidR="0069286C">
        <w:rPr>
          <w:sz w:val="22"/>
          <w:szCs w:val="22"/>
        </w:rPr>
        <w:t xml:space="preserve">low impact on Safeguard businesses relative to expected annual </w:t>
      </w:r>
      <w:r w:rsidR="00041C35">
        <w:rPr>
          <w:sz w:val="22"/>
          <w:szCs w:val="22"/>
        </w:rPr>
        <w:t>margin</w:t>
      </w:r>
      <w:r w:rsidR="0069286C">
        <w:rPr>
          <w:sz w:val="22"/>
          <w:szCs w:val="22"/>
        </w:rPr>
        <w:t xml:space="preserve">. </w:t>
      </w:r>
      <w:r w:rsidR="00FD4573" w:rsidRPr="00366E5A">
        <w:rPr>
          <w:sz w:val="22"/>
          <w:szCs w:val="22"/>
        </w:rPr>
        <w:t xml:space="preserve"> </w:t>
      </w:r>
      <w:r w:rsidR="0069286C">
        <w:rPr>
          <w:sz w:val="22"/>
          <w:szCs w:val="22"/>
        </w:rPr>
        <w:t xml:space="preserve">Total substantive costs are estimated to be the same </w:t>
      </w:r>
      <w:r w:rsidR="00FD4573" w:rsidRPr="00366E5A">
        <w:rPr>
          <w:sz w:val="22"/>
          <w:szCs w:val="22"/>
        </w:rPr>
        <w:t xml:space="preserve">across all three options due to the same overall </w:t>
      </w:r>
      <w:r w:rsidR="00FB4E03">
        <w:rPr>
          <w:sz w:val="22"/>
          <w:szCs w:val="22"/>
        </w:rPr>
        <w:t xml:space="preserve">emissions </w:t>
      </w:r>
      <w:r w:rsidR="00FD4573" w:rsidRPr="00366E5A">
        <w:rPr>
          <w:sz w:val="22"/>
          <w:szCs w:val="22"/>
        </w:rPr>
        <w:t>objectives of the reforms</w:t>
      </w:r>
      <w:r w:rsidRPr="00366E5A">
        <w:rPr>
          <w:sz w:val="22"/>
          <w:szCs w:val="22"/>
        </w:rPr>
        <w:t>.</w:t>
      </w:r>
      <w:r w:rsidR="0069286C">
        <w:rPr>
          <w:sz w:val="22"/>
          <w:szCs w:val="22"/>
        </w:rPr>
        <w:t xml:space="preserve"> C</w:t>
      </w:r>
      <w:r>
        <w:rPr>
          <w:sz w:val="22"/>
          <w:szCs w:val="22"/>
        </w:rPr>
        <w:t>ompliance costs are expected to be more evenly distributed</w:t>
      </w:r>
      <w:r w:rsidR="00EC3D25">
        <w:rPr>
          <w:sz w:val="22"/>
          <w:szCs w:val="22"/>
        </w:rPr>
        <w:t xml:space="preserve"> between facilities</w:t>
      </w:r>
      <w:r>
        <w:rPr>
          <w:sz w:val="22"/>
          <w:szCs w:val="22"/>
        </w:rPr>
        <w:t xml:space="preserve"> under Option 3 relative to Options 1 and 2 (</w:t>
      </w:r>
      <w:r w:rsidR="0083119B" w:rsidRPr="00A846AD">
        <w:rPr>
          <w:sz w:val="22"/>
          <w:szCs w:val="22"/>
        </w:rPr>
        <w:fldChar w:fldCharType="begin"/>
      </w:r>
      <w:r w:rsidR="0083119B" w:rsidRPr="00A846AD">
        <w:rPr>
          <w:sz w:val="22"/>
          <w:szCs w:val="22"/>
        </w:rPr>
        <w:instrText xml:space="preserve"> REF _Ref132109000 \h </w:instrText>
      </w:r>
      <w:r w:rsidR="00A846AD">
        <w:rPr>
          <w:sz w:val="22"/>
          <w:szCs w:val="22"/>
        </w:rPr>
        <w:instrText xml:space="preserve"> \* MERGEFORMAT </w:instrText>
      </w:r>
      <w:r w:rsidR="0083119B" w:rsidRPr="00A846AD">
        <w:rPr>
          <w:sz w:val="22"/>
          <w:szCs w:val="22"/>
        </w:rPr>
      </w:r>
      <w:r w:rsidR="0083119B" w:rsidRPr="00A846AD">
        <w:rPr>
          <w:sz w:val="22"/>
          <w:szCs w:val="22"/>
        </w:rPr>
        <w:fldChar w:fldCharType="separate"/>
      </w:r>
      <w:r w:rsidR="00786D74" w:rsidRPr="00786D74">
        <w:rPr>
          <w:sz w:val="22"/>
          <w:szCs w:val="22"/>
        </w:rPr>
        <w:t xml:space="preserve">Table </w:t>
      </w:r>
      <w:r w:rsidR="00786D74" w:rsidRPr="00786D74">
        <w:rPr>
          <w:noProof/>
          <w:sz w:val="22"/>
          <w:szCs w:val="22"/>
        </w:rPr>
        <w:t>7</w:t>
      </w:r>
      <w:r w:rsidR="0083119B" w:rsidRPr="00A846AD">
        <w:rPr>
          <w:sz w:val="22"/>
          <w:szCs w:val="22"/>
        </w:rPr>
        <w:fldChar w:fldCharType="end"/>
      </w:r>
      <w:r>
        <w:rPr>
          <w:sz w:val="22"/>
          <w:szCs w:val="22"/>
        </w:rPr>
        <w:t>). Option 1 would disproportionately impact facilities with an emissions intensity above the industry average. Option 2 would distribute compliance costs evenly among facilities but would not recognise past performance and would not incentivise lower emissions-intensive production.</w:t>
      </w:r>
      <w:r w:rsidR="00FB4E03">
        <w:rPr>
          <w:sz w:val="22"/>
          <w:szCs w:val="22"/>
        </w:rPr>
        <w:t xml:space="preserve"> </w:t>
      </w:r>
      <w:r w:rsidR="00C54C63">
        <w:rPr>
          <w:sz w:val="22"/>
          <w:szCs w:val="22"/>
        </w:rPr>
        <w:t xml:space="preserve">At an individual facility level the designation of facilities as </w:t>
      </w:r>
      <w:proofErr w:type="spellStart"/>
      <w:r w:rsidR="00C54C63">
        <w:rPr>
          <w:sz w:val="22"/>
          <w:szCs w:val="22"/>
        </w:rPr>
        <w:t>TEBA</w:t>
      </w:r>
      <w:proofErr w:type="spellEnd"/>
      <w:r w:rsidR="00C54C63">
        <w:rPr>
          <w:sz w:val="22"/>
          <w:szCs w:val="22"/>
        </w:rPr>
        <w:t xml:space="preserve"> </w:t>
      </w:r>
      <w:r w:rsidR="00292E49">
        <w:rPr>
          <w:sz w:val="22"/>
          <w:szCs w:val="22"/>
        </w:rPr>
        <w:t xml:space="preserve">based on cost impact </w:t>
      </w:r>
      <w:r w:rsidR="00C54C63">
        <w:rPr>
          <w:sz w:val="22"/>
          <w:szCs w:val="22"/>
        </w:rPr>
        <w:t>will</w:t>
      </w:r>
      <w:r w:rsidR="00292E49">
        <w:rPr>
          <w:sz w:val="22"/>
          <w:szCs w:val="22"/>
        </w:rPr>
        <w:t xml:space="preserve"> moderate </w:t>
      </w:r>
      <w:r w:rsidR="00C54C63">
        <w:rPr>
          <w:sz w:val="22"/>
          <w:szCs w:val="22"/>
        </w:rPr>
        <w:t>individual cost impacts above</w:t>
      </w:r>
      <w:r w:rsidR="00292E49">
        <w:rPr>
          <w:sz w:val="22"/>
          <w:szCs w:val="22"/>
        </w:rPr>
        <w:t xml:space="preserve"> </w:t>
      </w:r>
      <w:r w:rsidR="00C54C63">
        <w:rPr>
          <w:sz w:val="22"/>
          <w:szCs w:val="22"/>
        </w:rPr>
        <w:t>a set</w:t>
      </w:r>
      <w:r w:rsidR="00292E49">
        <w:rPr>
          <w:sz w:val="22"/>
          <w:szCs w:val="22"/>
        </w:rPr>
        <w:t xml:space="preserve"> threshold</w:t>
      </w:r>
      <w:r w:rsidR="00C54C63">
        <w:rPr>
          <w:sz w:val="22"/>
          <w:szCs w:val="22"/>
        </w:rPr>
        <w:t>.</w:t>
      </w:r>
      <w:r w:rsidR="0023286E">
        <w:rPr>
          <w:sz w:val="22"/>
          <w:szCs w:val="22"/>
        </w:rPr>
        <w:t xml:space="preserve"> Risks of extreme price outcomes for </w:t>
      </w:r>
      <w:proofErr w:type="spellStart"/>
      <w:r w:rsidR="0023286E">
        <w:rPr>
          <w:sz w:val="22"/>
          <w:szCs w:val="22"/>
        </w:rPr>
        <w:t>ACCUs</w:t>
      </w:r>
      <w:proofErr w:type="spellEnd"/>
      <w:r w:rsidR="0023286E">
        <w:rPr>
          <w:sz w:val="22"/>
          <w:szCs w:val="22"/>
        </w:rPr>
        <w:t xml:space="preserve"> are addressed through a cost containment mechanism.</w:t>
      </w:r>
    </w:p>
    <w:p w14:paraId="26D21C62" w14:textId="499666CD" w:rsidR="00D76CEB" w:rsidRDefault="00FB4E03" w:rsidP="00D76CEB">
      <w:pPr>
        <w:rPr>
          <w:sz w:val="22"/>
          <w:szCs w:val="22"/>
        </w:rPr>
      </w:pPr>
      <w:r>
        <w:rPr>
          <w:sz w:val="22"/>
          <w:szCs w:val="22"/>
        </w:rPr>
        <w:t xml:space="preserve">Safeguard facilities will have </w:t>
      </w:r>
      <w:r w:rsidR="00891170">
        <w:rPr>
          <w:sz w:val="22"/>
          <w:szCs w:val="22"/>
        </w:rPr>
        <w:t xml:space="preserve">flexible compliance options and will have </w:t>
      </w:r>
      <w:r>
        <w:rPr>
          <w:sz w:val="22"/>
          <w:szCs w:val="22"/>
        </w:rPr>
        <w:t xml:space="preserve">mitigation opportunities both above and below the prevailing </w:t>
      </w:r>
      <w:r w:rsidR="00E76ACE">
        <w:rPr>
          <w:sz w:val="22"/>
          <w:szCs w:val="22"/>
        </w:rPr>
        <w:t xml:space="preserve">cost of domestic offsets </w:t>
      </w:r>
      <w:r w:rsidR="00891170">
        <w:rPr>
          <w:sz w:val="22"/>
          <w:szCs w:val="22"/>
        </w:rPr>
        <w:t>(</w:t>
      </w:r>
      <w:proofErr w:type="spellStart"/>
      <w:r w:rsidR="00891170">
        <w:rPr>
          <w:sz w:val="22"/>
          <w:szCs w:val="22"/>
        </w:rPr>
        <w:t>ACCU</w:t>
      </w:r>
      <w:r w:rsidR="00E76ACE">
        <w:rPr>
          <w:sz w:val="22"/>
          <w:szCs w:val="22"/>
        </w:rPr>
        <w:t>s</w:t>
      </w:r>
      <w:proofErr w:type="spellEnd"/>
      <w:r w:rsidR="00891170">
        <w:rPr>
          <w:sz w:val="22"/>
          <w:szCs w:val="22"/>
        </w:rPr>
        <w:t>)</w:t>
      </w:r>
      <w:r>
        <w:rPr>
          <w:sz w:val="22"/>
          <w:szCs w:val="22"/>
        </w:rPr>
        <w:t xml:space="preserve"> </w:t>
      </w:r>
      <w:r w:rsidR="00E76ACE">
        <w:rPr>
          <w:sz w:val="22"/>
          <w:szCs w:val="22"/>
        </w:rPr>
        <w:t>and SMCs</w:t>
      </w:r>
      <w:r>
        <w:rPr>
          <w:sz w:val="22"/>
          <w:szCs w:val="22"/>
        </w:rPr>
        <w:t>. While th</w:t>
      </w:r>
      <w:r w:rsidRPr="00B35977">
        <w:rPr>
          <w:sz w:val="22"/>
          <w:szCs w:val="22"/>
        </w:rPr>
        <w:t>ere is uncertainty</w:t>
      </w:r>
      <w:r>
        <w:rPr>
          <w:sz w:val="22"/>
          <w:szCs w:val="22"/>
        </w:rPr>
        <w:t xml:space="preserve"> regarding</w:t>
      </w:r>
      <w:r w:rsidRPr="00B35977">
        <w:rPr>
          <w:sz w:val="22"/>
          <w:szCs w:val="22"/>
        </w:rPr>
        <w:t xml:space="preserve"> the evolution of technologies for on-site abatement activities and their costs</w:t>
      </w:r>
      <w:r>
        <w:rPr>
          <w:sz w:val="22"/>
          <w:szCs w:val="22"/>
        </w:rPr>
        <w:t xml:space="preserve">, substantial opportunities for on-site emission reductions are expected at costs below the prevailing </w:t>
      </w:r>
      <w:proofErr w:type="spellStart"/>
      <w:r>
        <w:rPr>
          <w:sz w:val="22"/>
          <w:szCs w:val="22"/>
        </w:rPr>
        <w:t>ACCU</w:t>
      </w:r>
      <w:proofErr w:type="spellEnd"/>
      <w:r>
        <w:rPr>
          <w:sz w:val="22"/>
          <w:szCs w:val="22"/>
        </w:rPr>
        <w:t xml:space="preserve"> prices</w:t>
      </w:r>
      <w:r w:rsidRPr="00B35977">
        <w:rPr>
          <w:sz w:val="22"/>
          <w:szCs w:val="22"/>
        </w:rPr>
        <w:t>. The pace of technological innovation and associated cost reductions has historically been underestimated. An example of this is the consistent under-projection of solar panel growth and deployment (and over-estimation of future costs) in most energy-systems modelling forecasts that extrapolate historical experience curves.</w:t>
      </w:r>
      <w:r w:rsidR="00D76CEB">
        <w:rPr>
          <w:sz w:val="22"/>
          <w:szCs w:val="22"/>
        </w:rPr>
        <w:t xml:space="preserve"> </w:t>
      </w:r>
      <w:r w:rsidR="00D76CEB" w:rsidRPr="00CC0208">
        <w:rPr>
          <w:sz w:val="22"/>
          <w:szCs w:val="22"/>
        </w:rPr>
        <w:t>Businesses’ investment strategies to managing carbon risk will also be based on a broad range of factors, with cost only one consideration for managing their climate risk (Box 1).</w:t>
      </w:r>
      <w:r w:rsidR="00D76CEB">
        <w:rPr>
          <w:sz w:val="22"/>
          <w:szCs w:val="22"/>
        </w:rPr>
        <w:t xml:space="preserve"> </w:t>
      </w:r>
    </w:p>
    <w:p w14:paraId="2221225E" w14:textId="756028C5" w:rsidR="002F5F50" w:rsidRDefault="00884BD5" w:rsidP="002F5F50">
      <w:pPr>
        <w:rPr>
          <w:sz w:val="22"/>
          <w:szCs w:val="22"/>
        </w:rPr>
      </w:pPr>
      <w:r>
        <w:rPr>
          <w:sz w:val="22"/>
          <w:szCs w:val="22"/>
        </w:rPr>
        <w:t xml:space="preserve">The Safeguard reforms are likely to boost the energy productivity of industrial energy use. </w:t>
      </w:r>
      <w:r w:rsidR="002F5F50" w:rsidRPr="008A15C0">
        <w:rPr>
          <w:sz w:val="22"/>
          <w:szCs w:val="22"/>
        </w:rPr>
        <w:t xml:space="preserve">Australia’s economic and emissions data show a consistent improvement in emissions intensity for the mining and manufacturing sectors (the two largest sectors covered by the Safeguard Mechanism reforms, which contribute almost 93 per </w:t>
      </w:r>
      <w:r w:rsidR="002F5F50" w:rsidRPr="008A15C0">
        <w:rPr>
          <w:sz w:val="22"/>
          <w:szCs w:val="22"/>
        </w:rPr>
        <w:lastRenderedPageBreak/>
        <w:t>cent of Safeguard emissions) over the period since 1990. This period spans a range of economic and policy environments</w:t>
      </w:r>
      <w:r w:rsidR="002F5F50">
        <w:rPr>
          <w:sz w:val="22"/>
          <w:szCs w:val="22"/>
        </w:rPr>
        <w:t xml:space="preserve">. A historical emissions intensity improvement rate of </w:t>
      </w:r>
      <w:r w:rsidR="002F5F50" w:rsidRPr="00262C82">
        <w:rPr>
          <w:sz w:val="22"/>
          <w:szCs w:val="22"/>
        </w:rPr>
        <w:t>1</w:t>
      </w:r>
      <w:r w:rsidR="002F5F50" w:rsidRPr="005736CE">
        <w:rPr>
          <w:sz w:val="22"/>
          <w:szCs w:val="22"/>
        </w:rPr>
        <w:t>.4</w:t>
      </w:r>
      <w:r w:rsidR="002F5F50" w:rsidRPr="00262C82">
        <w:rPr>
          <w:sz w:val="22"/>
          <w:szCs w:val="22"/>
        </w:rPr>
        <w:t xml:space="preserve"> per cent was observed for these emissions over 1990 to </w:t>
      </w:r>
      <w:r w:rsidR="002F5F50" w:rsidRPr="005736CE">
        <w:rPr>
          <w:sz w:val="22"/>
          <w:szCs w:val="22"/>
        </w:rPr>
        <w:t>2020</w:t>
      </w:r>
      <w:r w:rsidR="002F5F50" w:rsidRPr="00262C82">
        <w:rPr>
          <w:sz w:val="22"/>
          <w:szCs w:val="22"/>
        </w:rPr>
        <w:t xml:space="preserve">, with a 10 year high of </w:t>
      </w:r>
      <w:r w:rsidR="002F5F50" w:rsidRPr="005736CE">
        <w:rPr>
          <w:sz w:val="22"/>
          <w:szCs w:val="22"/>
        </w:rPr>
        <w:t>2.5</w:t>
      </w:r>
      <w:r w:rsidR="002F5F50" w:rsidRPr="00262C82">
        <w:rPr>
          <w:sz w:val="22"/>
          <w:szCs w:val="22"/>
        </w:rPr>
        <w:t xml:space="preserve"> per cent</w:t>
      </w:r>
      <w:r w:rsidR="002F5F50">
        <w:rPr>
          <w:sz w:val="22"/>
          <w:szCs w:val="22"/>
        </w:rPr>
        <w:t>.</w:t>
      </w:r>
      <w:r w:rsidR="002F5F50">
        <w:rPr>
          <w:rStyle w:val="FootnoteReference"/>
          <w:sz w:val="22"/>
          <w:szCs w:val="22"/>
        </w:rPr>
        <w:footnoteReference w:id="30"/>
      </w:r>
      <w:r w:rsidR="002F5F50">
        <w:rPr>
          <w:sz w:val="22"/>
          <w:szCs w:val="22"/>
        </w:rPr>
        <w:t xml:space="preserve"> This </w:t>
      </w:r>
      <w:r w:rsidR="002F5F50" w:rsidRPr="00884548">
        <w:rPr>
          <w:color w:val="auto"/>
          <w:sz w:val="22"/>
          <w:szCs w:val="22"/>
        </w:rPr>
        <w:t>assessment</w:t>
      </w:r>
      <w:r w:rsidR="002F5F50" w:rsidRPr="00884548">
        <w:rPr>
          <w:sz w:val="24"/>
          <w:szCs w:val="22"/>
        </w:rPr>
        <w:t xml:space="preserve"> </w:t>
      </w:r>
      <w:r w:rsidR="002F5F50">
        <w:rPr>
          <w:sz w:val="22"/>
          <w:szCs w:val="22"/>
        </w:rPr>
        <w:t xml:space="preserve">shows that even under changing policy and economic environments, incremental efficiency improvements have been consistently observed. </w:t>
      </w:r>
      <w:r w:rsidR="002F5F50" w:rsidRPr="008A15C0">
        <w:rPr>
          <w:sz w:val="22"/>
          <w:szCs w:val="22"/>
        </w:rPr>
        <w:t xml:space="preserve">Incremental efficiency improvements can represent a range of different activities, such as </w:t>
      </w:r>
      <w:r w:rsidR="002F5F50">
        <w:rPr>
          <w:sz w:val="22"/>
          <w:szCs w:val="22"/>
        </w:rPr>
        <w:t>capital renewal</w:t>
      </w:r>
      <w:r w:rsidR="002F5F50" w:rsidRPr="008A15C0">
        <w:rPr>
          <w:sz w:val="22"/>
          <w:szCs w:val="22"/>
        </w:rPr>
        <w:t>, replacement of minor equipment for more energy-efficient versions, and process optimisation</w:t>
      </w:r>
      <w:r w:rsidR="002F5F50">
        <w:rPr>
          <w:sz w:val="22"/>
          <w:szCs w:val="22"/>
        </w:rPr>
        <w:t xml:space="preserve">. </w:t>
      </w:r>
    </w:p>
    <w:p w14:paraId="6C30371A" w14:textId="77777777" w:rsidR="002F5F50" w:rsidRDefault="002F5F50" w:rsidP="002F5F50">
      <w:pPr>
        <w:rPr>
          <w:sz w:val="22"/>
          <w:szCs w:val="22"/>
        </w:rPr>
      </w:pPr>
      <w:r w:rsidRPr="008A15C0">
        <w:rPr>
          <w:sz w:val="22"/>
          <w:szCs w:val="22"/>
        </w:rPr>
        <w:t>The Safeguard Mechanism reforms are likely to incentivise Safeguard facilities to increase their efforts to adopt incremental improvements</w:t>
      </w:r>
      <w:r>
        <w:rPr>
          <w:sz w:val="22"/>
          <w:szCs w:val="22"/>
        </w:rPr>
        <w:t>. E</w:t>
      </w:r>
      <w:r w:rsidRPr="008A15C0">
        <w:rPr>
          <w:sz w:val="22"/>
          <w:szCs w:val="22"/>
        </w:rPr>
        <w:t xml:space="preserve">xternal analysis </w:t>
      </w:r>
      <w:r>
        <w:rPr>
          <w:sz w:val="22"/>
          <w:szCs w:val="22"/>
        </w:rPr>
        <w:t xml:space="preserve">finds </w:t>
      </w:r>
      <w:r w:rsidRPr="008A15C0">
        <w:rPr>
          <w:sz w:val="22"/>
          <w:szCs w:val="22"/>
        </w:rPr>
        <w:t xml:space="preserve">that Australian industry could reduce emissions by 10 Mt </w:t>
      </w:r>
      <w:r>
        <w:rPr>
          <w:sz w:val="22"/>
          <w:szCs w:val="22"/>
        </w:rPr>
        <w:t>CO</w:t>
      </w:r>
      <w:r w:rsidRPr="00262C82">
        <w:rPr>
          <w:sz w:val="22"/>
          <w:szCs w:val="22"/>
          <w:vertAlign w:val="subscript"/>
        </w:rPr>
        <w:t>2</w:t>
      </w:r>
      <w:r>
        <w:rPr>
          <w:sz w:val="22"/>
          <w:szCs w:val="22"/>
        </w:rPr>
        <w:t xml:space="preserve">-e </w:t>
      </w:r>
      <w:r w:rsidRPr="008A15C0">
        <w:rPr>
          <w:sz w:val="22"/>
          <w:szCs w:val="22"/>
        </w:rPr>
        <w:t>a year by implementing additional energy efficiency measures and switching from gas to other clean energy sources.</w:t>
      </w:r>
      <w:r w:rsidRPr="00262C82">
        <w:rPr>
          <w:sz w:val="22"/>
          <w:szCs w:val="22"/>
          <w:vertAlign w:val="superscript"/>
        </w:rPr>
        <w:footnoteReference w:id="31"/>
      </w:r>
      <w:r w:rsidRPr="00262C82">
        <w:rPr>
          <w:vertAlign w:val="superscript"/>
        </w:rPr>
        <w:t xml:space="preserve"> </w:t>
      </w:r>
      <w:r>
        <w:rPr>
          <w:sz w:val="22"/>
          <w:szCs w:val="22"/>
        </w:rPr>
        <w:t>T</w:t>
      </w:r>
      <w:r w:rsidRPr="008A15C0">
        <w:rPr>
          <w:sz w:val="22"/>
          <w:szCs w:val="22"/>
        </w:rPr>
        <w:t xml:space="preserve">he IEA’s </w:t>
      </w:r>
      <w:r>
        <w:rPr>
          <w:sz w:val="22"/>
          <w:szCs w:val="22"/>
        </w:rPr>
        <w:t>2022</w:t>
      </w:r>
      <w:r w:rsidRPr="008A15C0">
        <w:rPr>
          <w:sz w:val="22"/>
          <w:szCs w:val="22"/>
        </w:rPr>
        <w:t xml:space="preserve"> World Energy Outlook (</w:t>
      </w:r>
      <w:proofErr w:type="spellStart"/>
      <w:r w:rsidRPr="008A15C0">
        <w:rPr>
          <w:sz w:val="22"/>
          <w:szCs w:val="22"/>
        </w:rPr>
        <w:t>WEO</w:t>
      </w:r>
      <w:proofErr w:type="spellEnd"/>
      <w:r w:rsidRPr="008A15C0">
        <w:rPr>
          <w:sz w:val="22"/>
          <w:szCs w:val="22"/>
        </w:rPr>
        <w:t>) estimates primary energy intensity will improve 2.4 per cent each year over the period to 2030 under its Stated Polices Scenarios (</w:t>
      </w:r>
      <w:r>
        <w:rPr>
          <w:sz w:val="22"/>
          <w:szCs w:val="22"/>
        </w:rPr>
        <w:t xml:space="preserve">or </w:t>
      </w:r>
      <w:r w:rsidRPr="008A15C0">
        <w:rPr>
          <w:sz w:val="22"/>
          <w:szCs w:val="22"/>
        </w:rPr>
        <w:t xml:space="preserve">STEPS, which incorporates </w:t>
      </w:r>
      <w:r>
        <w:rPr>
          <w:sz w:val="22"/>
          <w:szCs w:val="22"/>
        </w:rPr>
        <w:t>policies</w:t>
      </w:r>
      <w:r w:rsidRPr="008A15C0">
        <w:rPr>
          <w:sz w:val="22"/>
          <w:szCs w:val="22"/>
        </w:rPr>
        <w:t xml:space="preserve"> governments have actually put in place to achieve net zero targets and objectives), 3 per cent under its Announced Pledges Scenario (APS), and 4 per cent under its Net Zero Emissions by 2050 Scenario (</w:t>
      </w:r>
      <w:proofErr w:type="spellStart"/>
      <w:r w:rsidRPr="008A15C0">
        <w:rPr>
          <w:sz w:val="22"/>
          <w:szCs w:val="22"/>
        </w:rPr>
        <w:t>NZE</w:t>
      </w:r>
      <w:proofErr w:type="spellEnd"/>
      <w:r w:rsidRPr="008A15C0">
        <w:rPr>
          <w:sz w:val="22"/>
          <w:szCs w:val="22"/>
        </w:rPr>
        <w:t>).</w:t>
      </w:r>
      <w:r w:rsidRPr="008A15C0">
        <w:rPr>
          <w:rStyle w:val="FootnoteReference"/>
          <w:sz w:val="22"/>
          <w:szCs w:val="22"/>
        </w:rPr>
        <w:footnoteReference w:id="32"/>
      </w:r>
    </w:p>
    <w:p w14:paraId="1067401A" w14:textId="7D4F2E4F" w:rsidR="00FB4E03" w:rsidRDefault="00EC3DBE" w:rsidP="00FB4E03">
      <w:pPr>
        <w:rPr>
          <w:sz w:val="22"/>
          <w:szCs w:val="22"/>
        </w:rPr>
      </w:pPr>
      <w:r>
        <w:rPr>
          <w:sz w:val="22"/>
          <w:szCs w:val="22"/>
        </w:rPr>
        <w:t>Under all three options, t</w:t>
      </w:r>
      <w:r w:rsidR="00CA45DE">
        <w:rPr>
          <w:sz w:val="22"/>
          <w:szCs w:val="22"/>
        </w:rPr>
        <w:t>he overall</w:t>
      </w:r>
      <w:r w:rsidR="00F4689A">
        <w:rPr>
          <w:sz w:val="22"/>
          <w:szCs w:val="22"/>
        </w:rPr>
        <w:t xml:space="preserve"> annual average</w:t>
      </w:r>
      <w:r w:rsidR="00CA45DE">
        <w:rPr>
          <w:sz w:val="22"/>
          <w:szCs w:val="22"/>
        </w:rPr>
        <w:t xml:space="preserve"> regulator</w:t>
      </w:r>
      <w:r w:rsidR="00B6122A">
        <w:rPr>
          <w:sz w:val="22"/>
          <w:szCs w:val="22"/>
        </w:rPr>
        <w:t>y</w:t>
      </w:r>
      <w:r w:rsidR="00CA45DE">
        <w:rPr>
          <w:sz w:val="22"/>
          <w:szCs w:val="22"/>
        </w:rPr>
        <w:t xml:space="preserve"> burden is </w:t>
      </w:r>
      <w:r w:rsidR="00B6122A">
        <w:rPr>
          <w:sz w:val="22"/>
          <w:szCs w:val="22"/>
        </w:rPr>
        <w:t xml:space="preserve">estimated to be a moderately higher impact on businesses relative to business as usual. </w:t>
      </w:r>
    </w:p>
    <w:p w14:paraId="61B07F43" w14:textId="22BB0B13" w:rsidR="00D76CEB" w:rsidRDefault="00D76CEB" w:rsidP="00FB4E03">
      <w:pPr>
        <w:rPr>
          <w:sz w:val="22"/>
          <w:szCs w:val="22"/>
        </w:rPr>
      </w:pPr>
      <w:r w:rsidRPr="003D4754">
        <w:rPr>
          <w:noProof/>
          <w:sz w:val="22"/>
          <w:szCs w:val="22"/>
          <w:lang w:eastAsia="en-AU"/>
        </w:rPr>
        <mc:AlternateContent>
          <mc:Choice Requires="wps">
            <w:drawing>
              <wp:anchor distT="45720" distB="45720" distL="114300" distR="114300" simplePos="0" relativeHeight="251660291" behindDoc="0" locked="0" layoutInCell="1" allowOverlap="1" wp14:anchorId="66D68784" wp14:editId="0FE8D498">
                <wp:simplePos x="0" y="0"/>
                <wp:positionH relativeFrom="margin">
                  <wp:posOffset>314325</wp:posOffset>
                </wp:positionH>
                <wp:positionV relativeFrom="paragraph">
                  <wp:posOffset>168910</wp:posOffset>
                </wp:positionV>
                <wp:extent cx="5718175" cy="2413000"/>
                <wp:effectExtent l="0" t="0" r="158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413000"/>
                        </a:xfrm>
                        <a:prstGeom prst="rect">
                          <a:avLst/>
                        </a:prstGeom>
                        <a:solidFill>
                          <a:srgbClr val="FFFFFF"/>
                        </a:solidFill>
                        <a:ln w="9525">
                          <a:solidFill>
                            <a:srgbClr val="000000"/>
                          </a:solidFill>
                          <a:miter lim="800000"/>
                          <a:headEnd/>
                          <a:tailEnd/>
                        </a:ln>
                      </wps:spPr>
                      <wps:txbx>
                        <w:txbxContent>
                          <w:p w14:paraId="522C5ADE" w14:textId="77777777" w:rsidR="00E457F4" w:rsidRPr="001D6303" w:rsidRDefault="00E457F4" w:rsidP="00D76CEB">
                            <w:pPr>
                              <w:pStyle w:val="BoxHeading"/>
                              <w:spacing w:before="0"/>
                              <w:rPr>
                                <w:sz w:val="22"/>
                                <w:szCs w:val="22"/>
                                <w:lang w:eastAsia="en-US"/>
                              </w:rPr>
                            </w:pPr>
                            <w:r>
                              <w:rPr>
                                <w:sz w:val="22"/>
                                <w:szCs w:val="22"/>
                                <w:lang w:eastAsia="en-US"/>
                              </w:rPr>
                              <w:t xml:space="preserve">Box 1. </w:t>
                            </w:r>
                            <w:r w:rsidRPr="00D65176">
                              <w:rPr>
                                <w:sz w:val="22"/>
                                <w:szCs w:val="22"/>
                                <w:lang w:eastAsia="en-US"/>
                              </w:rPr>
                              <w:t xml:space="preserve">Non-financial factors influencing </w:t>
                            </w:r>
                            <w:r>
                              <w:rPr>
                                <w:sz w:val="22"/>
                                <w:szCs w:val="22"/>
                                <w:lang w:eastAsia="en-US"/>
                              </w:rPr>
                              <w:t xml:space="preserve">Safeguard </w:t>
                            </w:r>
                            <w:r w:rsidRPr="00D65176">
                              <w:rPr>
                                <w:sz w:val="22"/>
                                <w:szCs w:val="22"/>
                                <w:lang w:eastAsia="en-US"/>
                              </w:rPr>
                              <w:t>facilities’ decision-making</w:t>
                            </w:r>
                          </w:p>
                          <w:p w14:paraId="0AA6D3DD" w14:textId="77777777" w:rsidR="00E457F4" w:rsidRPr="00D65176" w:rsidRDefault="00E457F4" w:rsidP="00D76CEB">
                            <w:pPr>
                              <w:pStyle w:val="BoxText"/>
                            </w:pPr>
                            <w:r w:rsidRPr="00D65176">
                              <w:t>There are a range of factors, beyond an assessment of the least-cost option, which will influence facilities’ decision-making in the context of the Safeguard</w:t>
                            </w:r>
                            <w:r>
                              <w:t xml:space="preserve"> Mechanism</w:t>
                            </w:r>
                            <w:r w:rsidRPr="00D65176">
                              <w:t xml:space="preserve"> reforms. These factors could contribute to a prioritisa</w:t>
                            </w:r>
                            <w:r>
                              <w:t>tion of</w:t>
                            </w:r>
                            <w:r w:rsidRPr="00D65176">
                              <w:t xml:space="preserve"> on-site emission</w:t>
                            </w:r>
                            <w:r>
                              <w:t>s</w:t>
                            </w:r>
                            <w:r w:rsidRPr="00D65176">
                              <w:t xml:space="preserve"> reductions </w:t>
                            </w:r>
                            <w:r>
                              <w:t>over using</w:t>
                            </w:r>
                            <w:r w:rsidRPr="00D65176">
                              <w:t xml:space="preserve"> </w:t>
                            </w:r>
                            <w:r>
                              <w:t>offsets or credits</w:t>
                            </w:r>
                            <w:r w:rsidRPr="00D65176">
                              <w:t xml:space="preserve">, even where </w:t>
                            </w:r>
                            <w:r>
                              <w:t>the latter is</w:t>
                            </w:r>
                            <w:r w:rsidRPr="00D65176">
                              <w:t xml:space="preserve"> a lower</w:t>
                            </w:r>
                            <w:r>
                              <w:t>-</w:t>
                            </w:r>
                            <w:r w:rsidRPr="00D65176">
                              <w:t>cost option.</w:t>
                            </w:r>
                          </w:p>
                          <w:p w14:paraId="3D1A7743" w14:textId="77777777" w:rsidR="00E457F4" w:rsidRPr="00D65176" w:rsidRDefault="00E457F4" w:rsidP="00D76CEB">
                            <w:pPr>
                              <w:pStyle w:val="BoxText"/>
                            </w:pPr>
                            <w:r>
                              <w:t>Around 80 per cent of facilities, accounting for over 86 per cent of scheme emissions, are covered by</w:t>
                            </w:r>
                            <w:r w:rsidRPr="00D65176">
                              <w:t xml:space="preserve"> </w:t>
                            </w:r>
                            <w:r>
                              <w:t>corporate</w:t>
                            </w:r>
                            <w:r w:rsidRPr="00D65176">
                              <w:t xml:space="preserve"> commitments</w:t>
                            </w:r>
                            <w:r>
                              <w:t xml:space="preserve"> to net zero</w:t>
                            </w:r>
                            <w:r w:rsidRPr="00D65176">
                              <w:t>.</w:t>
                            </w:r>
                            <w:r w:rsidRPr="00D65176">
                              <w:rPr>
                                <w:vertAlign w:val="superscript"/>
                              </w:rPr>
                              <w:t xml:space="preserve"> </w:t>
                            </w:r>
                            <w:r w:rsidRPr="00D65176">
                              <w:t xml:space="preserve">There is also a growing shareholder expectation and social license consideration for companies to operate within Australia’s legislated framework to net zero by 2050. </w:t>
                            </w:r>
                            <w:r>
                              <w:t>Emerging climate risk disclosure frameworks will reinforce this trend.</w:t>
                            </w:r>
                          </w:p>
                          <w:p w14:paraId="3B5E2519" w14:textId="77777777" w:rsidR="00E457F4" w:rsidRPr="00EE631D" w:rsidRDefault="00E457F4" w:rsidP="00D76CEB">
                            <w:pPr>
                              <w:spacing w:after="80" w:line="276" w:lineRule="auto"/>
                              <w:rPr>
                                <w:rFonts w:ascii="Calibri Light" w:eastAsia="Times New Roman" w:hAnsi="Calibri Light" w:cs="Times New Roman"/>
                                <w:color w:val="auto"/>
                                <w:sz w:val="22"/>
                                <w:lang w:eastAsia="en-AU"/>
                              </w:rPr>
                            </w:pPr>
                            <w:r w:rsidRPr="00EE631D">
                              <w:rPr>
                                <w:rFonts w:ascii="Calibri Light" w:eastAsia="Times New Roman" w:hAnsi="Calibri Light" w:cs="Times New Roman"/>
                                <w:color w:val="auto"/>
                                <w:sz w:val="22"/>
                                <w:lang w:eastAsia="en-AU"/>
                              </w:rPr>
                              <w:t>A third of publicly listed companies that own Safeguard facilities use an internal carbon price for investment decisions, with half using prices of more than $100 a tonne.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D68784" id="_x0000_s1029" type="#_x0000_t202" style="position:absolute;margin-left:24.75pt;margin-top:13.3pt;width:450.25pt;height:190pt;z-index:251660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">
                <v:textbox>
                  <w:txbxContent>
                    <w:p w14:paraId="522C5ADE" w14:textId="77777777" w:rsidR="00E457F4" w:rsidRPr="001D6303" w:rsidRDefault="00E457F4" w:rsidP="00D76CEB">
                      <w:pPr>
                        <w:pStyle w:val="BoxHeading"/>
                        <w:spacing w:before="0"/>
                        <w:rPr>
                          <w:sz w:val="22"/>
                          <w:szCs w:val="22"/>
                          <w:lang w:eastAsia="en-US"/>
                        </w:rPr>
                      </w:pPr>
                      <w:r>
                        <w:rPr>
                          <w:sz w:val="22"/>
                          <w:szCs w:val="22"/>
                          <w:lang w:eastAsia="en-US"/>
                        </w:rPr>
                        <w:t xml:space="preserve">Box 1. </w:t>
                      </w:r>
                      <w:r w:rsidRPr="00D65176">
                        <w:rPr>
                          <w:sz w:val="22"/>
                          <w:szCs w:val="22"/>
                          <w:lang w:eastAsia="en-US"/>
                        </w:rPr>
                        <w:t xml:space="preserve">Non-financial factors influencing </w:t>
                      </w:r>
                      <w:r>
                        <w:rPr>
                          <w:sz w:val="22"/>
                          <w:szCs w:val="22"/>
                          <w:lang w:eastAsia="en-US"/>
                        </w:rPr>
                        <w:t xml:space="preserve">Safeguard </w:t>
                      </w:r>
                      <w:r w:rsidRPr="00D65176">
                        <w:rPr>
                          <w:sz w:val="22"/>
                          <w:szCs w:val="22"/>
                          <w:lang w:eastAsia="en-US"/>
                        </w:rPr>
                        <w:t>facilities’ decision-making</w:t>
                      </w:r>
                    </w:p>
                    <w:p w14:paraId="0AA6D3DD" w14:textId="77777777" w:rsidR="00E457F4" w:rsidRPr="00D65176" w:rsidRDefault="00E457F4" w:rsidP="00D76CEB">
                      <w:pPr>
                        <w:pStyle w:val="BoxText"/>
                      </w:pPr>
                      <w:r w:rsidRPr="00D65176">
                        <w:t>There are a range of factors, beyond an assessment of the least-cost option, which will influence facilities’ decision-making in the context of the Safeguard</w:t>
                      </w:r>
                      <w:r>
                        <w:t xml:space="preserve"> Mechanism</w:t>
                      </w:r>
                      <w:r w:rsidRPr="00D65176">
                        <w:t xml:space="preserve"> reforms. These factors could contribute to a prioritisa</w:t>
                      </w:r>
                      <w:r>
                        <w:t>tion of</w:t>
                      </w:r>
                      <w:r w:rsidRPr="00D65176">
                        <w:t xml:space="preserve"> on-site emission</w:t>
                      </w:r>
                      <w:r>
                        <w:t>s</w:t>
                      </w:r>
                      <w:r w:rsidRPr="00D65176">
                        <w:t xml:space="preserve"> reductions </w:t>
                      </w:r>
                      <w:r>
                        <w:t>over using</w:t>
                      </w:r>
                      <w:r w:rsidRPr="00D65176">
                        <w:t xml:space="preserve"> </w:t>
                      </w:r>
                      <w:r>
                        <w:t>offsets or credits</w:t>
                      </w:r>
                      <w:r w:rsidRPr="00D65176">
                        <w:t xml:space="preserve">, even where </w:t>
                      </w:r>
                      <w:r>
                        <w:t>the latter is</w:t>
                      </w:r>
                      <w:r w:rsidRPr="00D65176">
                        <w:t xml:space="preserve"> a lower</w:t>
                      </w:r>
                      <w:r>
                        <w:t>-</w:t>
                      </w:r>
                      <w:r w:rsidRPr="00D65176">
                        <w:t>cost option.</w:t>
                      </w:r>
                    </w:p>
                    <w:p w14:paraId="3D1A7743" w14:textId="77777777" w:rsidR="00E457F4" w:rsidRPr="00D65176" w:rsidRDefault="00E457F4" w:rsidP="00D76CEB">
                      <w:pPr>
                        <w:pStyle w:val="BoxText"/>
                      </w:pPr>
                      <w:r>
                        <w:t>Around 80 per cent of facilities, accounting for over 86 per cent of scheme emissions, are covered by</w:t>
                      </w:r>
                      <w:r w:rsidRPr="00D65176">
                        <w:t xml:space="preserve"> </w:t>
                      </w:r>
                      <w:r>
                        <w:t>corporate</w:t>
                      </w:r>
                      <w:r w:rsidRPr="00D65176">
                        <w:t xml:space="preserve"> commitments</w:t>
                      </w:r>
                      <w:r>
                        <w:t xml:space="preserve"> to net zero</w:t>
                      </w:r>
                      <w:r w:rsidRPr="00D65176">
                        <w:t>.</w:t>
                      </w:r>
                      <w:r w:rsidRPr="00D65176">
                        <w:rPr>
                          <w:vertAlign w:val="superscript"/>
                        </w:rPr>
                        <w:t xml:space="preserve"> </w:t>
                      </w:r>
                      <w:r w:rsidRPr="00D65176">
                        <w:t xml:space="preserve">There is also a growing shareholder expectation and social license consideration for companies to operate within Australia’s legislated framework to net zero by 2050. </w:t>
                      </w:r>
                      <w:r>
                        <w:t>Emerging climate risk disclosure frameworks will reinforce this trend.</w:t>
                      </w:r>
                    </w:p>
                    <w:p w14:paraId="3B5E2519" w14:textId="77777777" w:rsidR="00E457F4" w:rsidRPr="00EE631D" w:rsidRDefault="00E457F4" w:rsidP="00D76CEB">
                      <w:pPr>
                        <w:spacing w:after="80" w:line="276" w:lineRule="auto"/>
                        <w:rPr>
                          <w:rFonts w:ascii="Calibri Light" w:eastAsia="Times New Roman" w:hAnsi="Calibri Light" w:cs="Times New Roman"/>
                          <w:color w:val="auto"/>
                          <w:sz w:val="22"/>
                          <w:lang w:eastAsia="en-AU"/>
                        </w:rPr>
                      </w:pPr>
                      <w:r w:rsidRPr="00EE631D">
                        <w:rPr>
                          <w:rFonts w:ascii="Calibri Light" w:eastAsia="Times New Roman" w:hAnsi="Calibri Light" w:cs="Times New Roman"/>
                          <w:color w:val="auto"/>
                          <w:sz w:val="22"/>
                          <w:lang w:eastAsia="en-AU"/>
                        </w:rPr>
                        <w:t>A third of publicly listed companies that own Safeguard facilities use an internal carbon price for investment decisions, with half using prices of more than $100 a tonne.</w:t>
                      </w:r>
                    </w:p>
                  </w:txbxContent>
                </v:textbox>
                <w10:wrap type="square" anchorx="margin"/>
              </v:shape>
            </w:pict>
          </mc:Fallback>
        </mc:AlternateContent>
      </w:r>
    </w:p>
    <w:p w14:paraId="48DA714C" w14:textId="29F2A0B0" w:rsidR="00412CD5" w:rsidRDefault="00412CD5">
      <w:pPr>
        <w:pStyle w:val="Heading2"/>
      </w:pPr>
      <w:bookmarkStart w:id="220" w:name="_Toc119327153"/>
      <w:bookmarkStart w:id="221" w:name="_Toc119360657"/>
      <w:bookmarkStart w:id="222" w:name="_Toc132807555"/>
      <w:r>
        <w:t xml:space="preserve">Net benefit </w:t>
      </w:r>
      <w:bookmarkEnd w:id="220"/>
      <w:bookmarkEnd w:id="221"/>
      <w:r w:rsidR="00F10D3E">
        <w:t>analysis</w:t>
      </w:r>
      <w:bookmarkEnd w:id="222"/>
    </w:p>
    <w:p w14:paraId="74263190" w14:textId="5632C84D" w:rsidR="00D17A8D" w:rsidRDefault="001458E9" w:rsidP="00366E5A">
      <w:pPr>
        <w:pStyle w:val="BodyText"/>
        <w:sectPr w:rsidR="00D17A8D" w:rsidSect="00A774B4">
          <w:pgSz w:w="11906" w:h="16838"/>
          <w:pgMar w:top="1559" w:right="851" w:bottom="1701" w:left="851" w:header="567" w:footer="57" w:gutter="0"/>
          <w:cols w:space="708"/>
          <w:docGrid w:linePitch="360"/>
        </w:sectPr>
      </w:pPr>
      <w:r>
        <w:rPr>
          <w:sz w:val="22"/>
          <w:szCs w:val="22"/>
        </w:rPr>
        <w:t>To identify the preferred option,</w:t>
      </w:r>
      <w:r w:rsidR="004656E2">
        <w:rPr>
          <w:sz w:val="22"/>
          <w:szCs w:val="22"/>
        </w:rPr>
        <w:t xml:space="preserve"> net benefits have been assessed based on the qualitative </w:t>
      </w:r>
      <w:r w:rsidR="00F10D3E">
        <w:rPr>
          <w:sz w:val="22"/>
          <w:szCs w:val="22"/>
        </w:rPr>
        <w:t xml:space="preserve">analysis </w:t>
      </w:r>
      <w:r w:rsidR="004656E2">
        <w:rPr>
          <w:sz w:val="22"/>
          <w:szCs w:val="22"/>
        </w:rPr>
        <w:t>framework</w:t>
      </w:r>
      <w:r w:rsidR="004E342D">
        <w:rPr>
          <w:sz w:val="22"/>
          <w:szCs w:val="22"/>
        </w:rPr>
        <w:t xml:space="preserve"> (</w:t>
      </w:r>
      <w:r w:rsidR="004E342D" w:rsidRPr="001E05AA">
        <w:rPr>
          <w:sz w:val="22"/>
          <w:szCs w:val="22"/>
        </w:rPr>
        <w:t xml:space="preserve">refer </w:t>
      </w:r>
      <w:r w:rsidR="001E05AA" w:rsidRPr="00366E5A">
        <w:rPr>
          <w:sz w:val="22"/>
          <w:szCs w:val="22"/>
        </w:rPr>
        <w:fldChar w:fldCharType="begin"/>
      </w:r>
      <w:r w:rsidR="001E05AA" w:rsidRPr="001E05AA">
        <w:rPr>
          <w:sz w:val="22"/>
          <w:szCs w:val="22"/>
        </w:rPr>
        <w:instrText xml:space="preserve"> REF _Ref129120135 \h </w:instrText>
      </w:r>
      <w:r w:rsidR="001E05AA">
        <w:rPr>
          <w:sz w:val="22"/>
          <w:szCs w:val="22"/>
        </w:rPr>
        <w:instrText xml:space="preserve"> \* MERGEFORMAT </w:instrText>
      </w:r>
      <w:r w:rsidR="001E05AA" w:rsidRPr="00366E5A">
        <w:rPr>
          <w:sz w:val="22"/>
          <w:szCs w:val="22"/>
        </w:rPr>
      </w:r>
      <w:r w:rsidR="001E05AA" w:rsidRPr="00366E5A">
        <w:rPr>
          <w:sz w:val="22"/>
          <w:szCs w:val="22"/>
        </w:rPr>
        <w:fldChar w:fldCharType="separate"/>
      </w:r>
      <w:r w:rsidR="00464244" w:rsidRPr="00C12FCC">
        <w:rPr>
          <w:sz w:val="22"/>
          <w:szCs w:val="22"/>
        </w:rPr>
        <w:t>Table 7</w:t>
      </w:r>
      <w:r w:rsidR="00464244">
        <w:t xml:space="preserve"> </w:t>
      </w:r>
      <w:r w:rsidR="001E05AA" w:rsidRPr="00366E5A">
        <w:rPr>
          <w:sz w:val="22"/>
          <w:szCs w:val="22"/>
        </w:rPr>
        <w:fldChar w:fldCharType="end"/>
      </w:r>
      <w:r w:rsidR="004E342D" w:rsidRPr="001E05AA">
        <w:rPr>
          <w:sz w:val="22"/>
          <w:szCs w:val="22"/>
        </w:rPr>
        <w:t>)</w:t>
      </w:r>
      <w:r w:rsidR="004656E2">
        <w:rPr>
          <w:sz w:val="22"/>
          <w:szCs w:val="22"/>
        </w:rPr>
        <w:t xml:space="preserve"> which uses the</w:t>
      </w:r>
      <w:r>
        <w:rPr>
          <w:sz w:val="22"/>
          <w:szCs w:val="22"/>
        </w:rPr>
        <w:t xml:space="preserve"> </w:t>
      </w:r>
      <w:r w:rsidR="00235DBC">
        <w:rPr>
          <w:sz w:val="22"/>
          <w:szCs w:val="22"/>
        </w:rPr>
        <w:t xml:space="preserve">overarching </w:t>
      </w:r>
      <w:r>
        <w:rPr>
          <w:sz w:val="22"/>
          <w:szCs w:val="22"/>
        </w:rPr>
        <w:t xml:space="preserve">objectives and policy principles set out in the consultation paper. </w:t>
      </w:r>
    </w:p>
    <w:p w14:paraId="78486A21" w14:textId="30F317F9" w:rsidR="00E311BE" w:rsidRDefault="004C704F" w:rsidP="00E311BE">
      <w:pPr>
        <w:pStyle w:val="Caption"/>
      </w:pPr>
      <w:bookmarkStart w:id="223" w:name="_Ref118194222"/>
      <w:r>
        <w:lastRenderedPageBreak/>
        <w:t xml:space="preserve">Table </w:t>
      </w:r>
      <w:fldSimple w:instr=" SEQ Table \* ARABIC ">
        <w:r w:rsidR="00F30595">
          <w:rPr>
            <w:noProof/>
          </w:rPr>
          <w:t>6</w:t>
        </w:r>
      </w:fldSimple>
      <w:bookmarkEnd w:id="223"/>
      <w:r w:rsidR="006D5585">
        <w:t xml:space="preserve"> </w:t>
      </w:r>
      <w:proofErr w:type="spellStart"/>
      <w:r w:rsidR="00E311BE">
        <w:t>BAU</w:t>
      </w:r>
      <w:proofErr w:type="spellEnd"/>
      <w:r w:rsidR="00E311BE">
        <w:t xml:space="preserve"> and Safeguard reform options </w:t>
      </w:r>
      <w:r w:rsidR="00930039">
        <w:t>–</w:t>
      </w:r>
      <w:r w:rsidR="00E311BE">
        <w:t xml:space="preserve"> </w:t>
      </w:r>
      <w:r w:rsidR="00257522">
        <w:t>qualitative i</w:t>
      </w:r>
      <w:r w:rsidR="00930039">
        <w:t xml:space="preserve">mpact </w:t>
      </w:r>
      <w:r w:rsidR="00F10D3E">
        <w:t>analysis</w:t>
      </w:r>
    </w:p>
    <w:tbl>
      <w:tblPr>
        <w:tblW w:w="5000" w:type="pct"/>
        <w:tblLayout w:type="fixed"/>
        <w:tblLook w:val="04A0" w:firstRow="1" w:lastRow="0" w:firstColumn="1" w:lastColumn="0" w:noHBand="0" w:noVBand="1"/>
      </w:tblPr>
      <w:tblGrid>
        <w:gridCol w:w="1608"/>
        <w:gridCol w:w="1443"/>
        <w:gridCol w:w="335"/>
        <w:gridCol w:w="1108"/>
        <w:gridCol w:w="170"/>
        <w:gridCol w:w="1274"/>
        <w:gridCol w:w="1560"/>
        <w:gridCol w:w="992"/>
        <w:gridCol w:w="1135"/>
        <w:gridCol w:w="1417"/>
        <w:gridCol w:w="2891"/>
        <w:gridCol w:w="1645"/>
        <w:gridCol w:w="1278"/>
        <w:gridCol w:w="1269"/>
        <w:gridCol w:w="1417"/>
        <w:gridCol w:w="1417"/>
        <w:gridCol w:w="1385"/>
      </w:tblGrid>
      <w:tr w:rsidR="00C77AD6" w:rsidRPr="00C77AD6" w14:paraId="3447D132" w14:textId="77777777" w:rsidTr="0082719C">
        <w:trPr>
          <w:trHeight w:val="300"/>
          <w:tblHeader/>
        </w:trPr>
        <w:tc>
          <w:tcPr>
            <w:tcW w:w="360" w:type="pct"/>
            <w:vMerge w:val="restart"/>
            <w:tcBorders>
              <w:left w:val="single" w:sz="12" w:space="0" w:color="auto"/>
              <w:right w:val="single" w:sz="12" w:space="0" w:color="auto"/>
            </w:tcBorders>
            <w:shd w:val="clear" w:color="auto" w:fill="BCBCBC"/>
            <w:vAlign w:val="center"/>
            <w:hideMark/>
          </w:tcPr>
          <w:p w14:paraId="0D1C67E8" w14:textId="77777777" w:rsidR="00C77AD6" w:rsidRPr="00C77AD6" w:rsidRDefault="00C77AD6" w:rsidP="00C77AD6">
            <w:pPr>
              <w:spacing w:after="0" w:line="240" w:lineRule="auto"/>
              <w:jc w:val="center"/>
              <w:rPr>
                <w:rFonts w:ascii="Calibri" w:eastAsia="Times New Roman" w:hAnsi="Calibri" w:cs="Calibri"/>
                <w:b/>
                <w:color w:val="000000"/>
                <w:lang w:eastAsia="en-AU"/>
              </w:rPr>
            </w:pPr>
            <w:bookmarkStart w:id="224" w:name="_Ref118763990"/>
            <w:r w:rsidRPr="00C77AD6">
              <w:rPr>
                <w:rFonts w:ascii="Calibri" w:eastAsia="Times New Roman" w:hAnsi="Calibri" w:cs="Calibri"/>
                <w:b/>
                <w:color w:val="000000"/>
                <w:lang w:eastAsia="en-AU"/>
              </w:rPr>
              <w:t>Policy setting</w:t>
            </w:r>
          </w:p>
        </w:tc>
        <w:tc>
          <w:tcPr>
            <w:tcW w:w="2111" w:type="pct"/>
            <w:gridSpan w:val="9"/>
            <w:tcBorders>
              <w:top w:val="single" w:sz="12" w:space="0" w:color="auto"/>
              <w:left w:val="single" w:sz="12" w:space="0" w:color="auto"/>
              <w:right w:val="single" w:sz="12" w:space="0" w:color="auto"/>
            </w:tcBorders>
            <w:shd w:val="clear" w:color="auto" w:fill="BCBCBC"/>
            <w:noWrap/>
            <w:vAlign w:val="bottom"/>
            <w:hideMark/>
          </w:tcPr>
          <w:p w14:paraId="15CAE2C3" w14:textId="77777777" w:rsidR="00C77AD6" w:rsidRPr="00C77AD6" w:rsidRDefault="00C77AD6" w:rsidP="00C77AD6">
            <w:pPr>
              <w:spacing w:after="0" w:line="240" w:lineRule="auto"/>
              <w:jc w:val="center"/>
              <w:rPr>
                <w:rFonts w:ascii="Calibri" w:eastAsia="Times New Roman" w:hAnsi="Calibri" w:cs="Calibri"/>
                <w:b/>
                <w:color w:val="000000"/>
                <w:sz w:val="28"/>
                <w:szCs w:val="28"/>
                <w:lang w:eastAsia="en-AU"/>
              </w:rPr>
            </w:pPr>
            <w:r w:rsidRPr="00C77AD6">
              <w:rPr>
                <w:rFonts w:ascii="Calibri" w:eastAsia="Times New Roman" w:hAnsi="Calibri" w:cs="Calibri"/>
                <w:b/>
                <w:color w:val="000000"/>
                <w:sz w:val="28"/>
                <w:szCs w:val="28"/>
                <w:lang w:eastAsia="en-AU"/>
              </w:rPr>
              <w:t>Negative</w:t>
            </w:r>
          </w:p>
        </w:tc>
        <w:tc>
          <w:tcPr>
            <w:tcW w:w="2529" w:type="pct"/>
            <w:gridSpan w:val="7"/>
            <w:tcBorders>
              <w:top w:val="single" w:sz="12" w:space="0" w:color="auto"/>
              <w:left w:val="single" w:sz="12" w:space="0" w:color="auto"/>
              <w:right w:val="single" w:sz="12" w:space="0" w:color="auto"/>
            </w:tcBorders>
            <w:shd w:val="clear" w:color="auto" w:fill="BCBCBC"/>
            <w:noWrap/>
            <w:vAlign w:val="bottom"/>
            <w:hideMark/>
          </w:tcPr>
          <w:p w14:paraId="2369FE27" w14:textId="77777777" w:rsidR="00C77AD6" w:rsidRPr="00C77AD6" w:rsidRDefault="00C77AD6" w:rsidP="00C77AD6">
            <w:pPr>
              <w:spacing w:after="0" w:line="240" w:lineRule="auto"/>
              <w:jc w:val="center"/>
              <w:rPr>
                <w:rFonts w:ascii="Calibri" w:eastAsia="Times New Roman" w:hAnsi="Calibri" w:cs="Calibri"/>
                <w:b/>
                <w:color w:val="000000"/>
                <w:sz w:val="28"/>
                <w:szCs w:val="28"/>
                <w:lang w:eastAsia="en-AU"/>
              </w:rPr>
            </w:pPr>
            <w:r w:rsidRPr="00C77AD6">
              <w:rPr>
                <w:rFonts w:ascii="Calibri" w:eastAsia="Times New Roman" w:hAnsi="Calibri" w:cs="Calibri"/>
                <w:b/>
                <w:color w:val="000000"/>
                <w:sz w:val="28"/>
                <w:szCs w:val="28"/>
                <w:lang w:eastAsia="en-AU"/>
              </w:rPr>
              <w:t>Positive</w:t>
            </w:r>
          </w:p>
        </w:tc>
      </w:tr>
      <w:tr w:rsidR="00DC3D94" w:rsidRPr="00C77AD6" w14:paraId="7577C914" w14:textId="77777777" w:rsidTr="002572E1">
        <w:trPr>
          <w:trHeight w:val="300"/>
          <w:tblHeader/>
        </w:trPr>
        <w:tc>
          <w:tcPr>
            <w:tcW w:w="360" w:type="pct"/>
            <w:vMerge/>
            <w:tcBorders>
              <w:left w:val="single" w:sz="12" w:space="0" w:color="auto"/>
              <w:right w:val="single" w:sz="12" w:space="0" w:color="auto"/>
            </w:tcBorders>
            <w:shd w:val="clear" w:color="auto" w:fill="BCBCBC"/>
            <w:vAlign w:val="center"/>
            <w:hideMark/>
          </w:tcPr>
          <w:p w14:paraId="42313964" w14:textId="77777777" w:rsidR="00C77AD6" w:rsidRPr="00C77AD6" w:rsidRDefault="00C77AD6" w:rsidP="00C77AD6">
            <w:pPr>
              <w:spacing w:after="0" w:line="240" w:lineRule="auto"/>
              <w:rPr>
                <w:rFonts w:ascii="Calibri" w:eastAsia="Times New Roman" w:hAnsi="Calibri" w:cs="Calibri"/>
                <w:b/>
                <w:color w:val="000000"/>
                <w:lang w:eastAsia="en-AU"/>
              </w:rPr>
            </w:pPr>
          </w:p>
        </w:tc>
        <w:tc>
          <w:tcPr>
            <w:tcW w:w="398" w:type="pct"/>
            <w:gridSpan w:val="2"/>
            <w:tcBorders>
              <w:left w:val="single" w:sz="12" w:space="0" w:color="auto"/>
              <w:bottom w:val="nil"/>
            </w:tcBorders>
            <w:shd w:val="clear" w:color="auto" w:fill="BCBCBC"/>
            <w:vAlign w:val="bottom"/>
            <w:hideMark/>
          </w:tcPr>
          <w:p w14:paraId="75737D14" w14:textId="77777777" w:rsidR="00C77AD6" w:rsidRPr="00C77AD6" w:rsidRDefault="00C77AD6" w:rsidP="00C77AD6">
            <w:pPr>
              <w:spacing w:after="0" w:line="240" w:lineRule="auto"/>
              <w:jc w:val="center"/>
              <w:rPr>
                <w:rFonts w:ascii="Calibri" w:eastAsia="Times New Roman" w:hAnsi="Calibri" w:cs="Calibri"/>
                <w:color w:val="000000"/>
                <w:lang w:eastAsia="en-AU"/>
              </w:rPr>
            </w:pPr>
          </w:p>
        </w:tc>
        <w:tc>
          <w:tcPr>
            <w:tcW w:w="286" w:type="pct"/>
            <w:gridSpan w:val="2"/>
            <w:tcBorders>
              <w:bottom w:val="nil"/>
            </w:tcBorders>
            <w:shd w:val="clear" w:color="auto" w:fill="BCBCBC"/>
            <w:noWrap/>
            <w:vAlign w:val="bottom"/>
            <w:hideMark/>
          </w:tcPr>
          <w:p w14:paraId="6A925A9B" w14:textId="77777777" w:rsidR="00C77AD6" w:rsidRPr="00C77AD6" w:rsidRDefault="00C77AD6" w:rsidP="00C77AD6">
            <w:pPr>
              <w:spacing w:after="0" w:line="240" w:lineRule="auto"/>
              <w:rPr>
                <w:rFonts w:ascii="Times New Roman" w:eastAsia="Times New Roman" w:hAnsi="Times New Roman" w:cs="Times New Roman"/>
                <w:color w:val="262626"/>
                <w:lang w:eastAsia="en-AU"/>
              </w:rPr>
            </w:pPr>
          </w:p>
        </w:tc>
        <w:tc>
          <w:tcPr>
            <w:tcW w:w="285" w:type="pct"/>
            <w:tcBorders>
              <w:bottom w:val="nil"/>
              <w:right w:val="single" w:sz="12" w:space="0" w:color="auto"/>
            </w:tcBorders>
            <w:shd w:val="clear" w:color="auto" w:fill="BCBCBC"/>
            <w:noWrap/>
            <w:vAlign w:val="bottom"/>
            <w:hideMark/>
          </w:tcPr>
          <w:p w14:paraId="0BAACD58" w14:textId="77777777" w:rsidR="00C77AD6" w:rsidRPr="00C77AD6" w:rsidRDefault="00C77AD6" w:rsidP="00C77AD6">
            <w:pPr>
              <w:spacing w:after="0" w:line="240" w:lineRule="auto"/>
              <w:rPr>
                <w:rFonts w:ascii="Times New Roman" w:eastAsia="Times New Roman" w:hAnsi="Times New Roman" w:cs="Times New Roman"/>
                <w:b/>
                <w:color w:val="262626"/>
                <w:lang w:eastAsia="en-AU"/>
              </w:rPr>
            </w:pPr>
          </w:p>
        </w:tc>
        <w:tc>
          <w:tcPr>
            <w:tcW w:w="1142" w:type="pct"/>
            <w:gridSpan w:val="4"/>
            <w:tcBorders>
              <w:top w:val="single" w:sz="12" w:space="0" w:color="auto"/>
              <w:left w:val="single" w:sz="12" w:space="0" w:color="auto"/>
              <w:bottom w:val="nil"/>
              <w:right w:val="single" w:sz="12" w:space="0" w:color="auto"/>
            </w:tcBorders>
            <w:shd w:val="clear" w:color="auto" w:fill="BCBCBC"/>
            <w:noWrap/>
            <w:vAlign w:val="bottom"/>
            <w:hideMark/>
          </w:tcPr>
          <w:p w14:paraId="32946510" w14:textId="77777777" w:rsidR="00C77AD6" w:rsidRPr="00C77AD6" w:rsidRDefault="00C77AD6" w:rsidP="00C77AD6">
            <w:pPr>
              <w:spacing w:after="0" w:line="240" w:lineRule="auto"/>
              <w:jc w:val="center"/>
              <w:rPr>
                <w:rFonts w:ascii="Calibri" w:eastAsia="Times New Roman" w:hAnsi="Calibri" w:cs="Calibri"/>
                <w:b/>
                <w:color w:val="000000"/>
                <w:lang w:eastAsia="en-AU"/>
              </w:rPr>
            </w:pPr>
            <w:r w:rsidRPr="00C77AD6">
              <w:rPr>
                <w:rFonts w:ascii="Calibri" w:eastAsia="Times New Roman" w:hAnsi="Calibri" w:cs="Calibri"/>
                <w:b/>
                <w:color w:val="000000"/>
                <w:lang w:eastAsia="en-AU"/>
              </w:rPr>
              <w:t>Applicable to</w:t>
            </w:r>
          </w:p>
        </w:tc>
        <w:tc>
          <w:tcPr>
            <w:tcW w:w="647" w:type="pct"/>
            <w:tcBorders>
              <w:left w:val="single" w:sz="12" w:space="0" w:color="auto"/>
              <w:bottom w:val="nil"/>
            </w:tcBorders>
            <w:shd w:val="clear" w:color="auto" w:fill="BCBCBC"/>
            <w:vAlign w:val="bottom"/>
            <w:hideMark/>
          </w:tcPr>
          <w:p w14:paraId="01F5E438" w14:textId="77777777" w:rsidR="00C77AD6" w:rsidRPr="00C77AD6" w:rsidRDefault="00C77AD6" w:rsidP="00C77AD6">
            <w:pPr>
              <w:spacing w:after="0" w:line="240" w:lineRule="auto"/>
              <w:jc w:val="center"/>
              <w:rPr>
                <w:rFonts w:ascii="Calibri" w:eastAsia="Times New Roman" w:hAnsi="Calibri" w:cs="Calibri"/>
                <w:b/>
                <w:color w:val="000000"/>
                <w:lang w:eastAsia="en-AU"/>
              </w:rPr>
            </w:pPr>
          </w:p>
        </w:tc>
        <w:tc>
          <w:tcPr>
            <w:tcW w:w="368" w:type="pct"/>
            <w:tcBorders>
              <w:bottom w:val="nil"/>
            </w:tcBorders>
            <w:shd w:val="clear" w:color="auto" w:fill="BCBCBC"/>
            <w:noWrap/>
            <w:vAlign w:val="bottom"/>
            <w:hideMark/>
          </w:tcPr>
          <w:p w14:paraId="5140DDCF" w14:textId="77777777" w:rsidR="00C77AD6" w:rsidRPr="00C77AD6" w:rsidRDefault="00C77AD6" w:rsidP="00C77AD6">
            <w:pPr>
              <w:spacing w:after="0" w:line="240" w:lineRule="auto"/>
              <w:rPr>
                <w:rFonts w:ascii="Times New Roman" w:eastAsia="Times New Roman" w:hAnsi="Times New Roman" w:cs="Times New Roman"/>
                <w:b/>
                <w:color w:val="262626"/>
                <w:lang w:eastAsia="en-AU"/>
              </w:rPr>
            </w:pPr>
          </w:p>
        </w:tc>
        <w:tc>
          <w:tcPr>
            <w:tcW w:w="286" w:type="pct"/>
            <w:tcBorders>
              <w:bottom w:val="nil"/>
              <w:right w:val="single" w:sz="12" w:space="0" w:color="auto"/>
            </w:tcBorders>
            <w:shd w:val="clear" w:color="auto" w:fill="BCBCBC"/>
            <w:noWrap/>
            <w:vAlign w:val="bottom"/>
            <w:hideMark/>
          </w:tcPr>
          <w:p w14:paraId="408A2126" w14:textId="77777777" w:rsidR="00C77AD6" w:rsidRPr="00C77AD6" w:rsidRDefault="00C77AD6" w:rsidP="00C77AD6">
            <w:pPr>
              <w:spacing w:after="0" w:line="240" w:lineRule="auto"/>
              <w:rPr>
                <w:rFonts w:ascii="Times New Roman" w:eastAsia="Times New Roman" w:hAnsi="Times New Roman" w:cs="Times New Roman"/>
                <w:b/>
                <w:color w:val="262626"/>
                <w:lang w:eastAsia="en-AU"/>
              </w:rPr>
            </w:pPr>
          </w:p>
        </w:tc>
        <w:tc>
          <w:tcPr>
            <w:tcW w:w="1228" w:type="pct"/>
            <w:gridSpan w:val="4"/>
            <w:tcBorders>
              <w:top w:val="single" w:sz="12" w:space="0" w:color="auto"/>
              <w:left w:val="single" w:sz="12" w:space="0" w:color="auto"/>
              <w:bottom w:val="nil"/>
              <w:right w:val="single" w:sz="12" w:space="0" w:color="auto"/>
            </w:tcBorders>
            <w:shd w:val="clear" w:color="auto" w:fill="BCBCBC"/>
            <w:noWrap/>
            <w:vAlign w:val="bottom"/>
            <w:hideMark/>
          </w:tcPr>
          <w:p w14:paraId="0E267C35" w14:textId="77777777" w:rsidR="00C77AD6" w:rsidRPr="00C77AD6" w:rsidRDefault="00C77AD6" w:rsidP="00C77AD6">
            <w:pPr>
              <w:spacing w:after="0" w:line="240" w:lineRule="auto"/>
              <w:jc w:val="center"/>
              <w:rPr>
                <w:rFonts w:ascii="Calibri" w:eastAsia="Times New Roman" w:hAnsi="Calibri" w:cs="Calibri"/>
                <w:b/>
                <w:color w:val="000000"/>
                <w:lang w:eastAsia="en-AU"/>
              </w:rPr>
            </w:pPr>
            <w:r w:rsidRPr="00C77AD6">
              <w:rPr>
                <w:rFonts w:ascii="Calibri" w:eastAsia="Times New Roman" w:hAnsi="Calibri" w:cs="Calibri"/>
                <w:b/>
                <w:color w:val="000000"/>
                <w:lang w:eastAsia="en-AU"/>
              </w:rPr>
              <w:t>Applicable to</w:t>
            </w:r>
          </w:p>
        </w:tc>
      </w:tr>
      <w:tr w:rsidR="00DC3D94" w:rsidRPr="00C77AD6" w14:paraId="7887DACA" w14:textId="77777777" w:rsidTr="002572E1">
        <w:trPr>
          <w:trHeight w:val="300"/>
          <w:tblHeader/>
        </w:trPr>
        <w:tc>
          <w:tcPr>
            <w:tcW w:w="360" w:type="pct"/>
            <w:vMerge/>
            <w:tcBorders>
              <w:left w:val="single" w:sz="12" w:space="0" w:color="auto"/>
              <w:right w:val="single" w:sz="12" w:space="0" w:color="auto"/>
            </w:tcBorders>
            <w:shd w:val="clear" w:color="auto" w:fill="BCBCBC"/>
            <w:vAlign w:val="center"/>
            <w:hideMark/>
          </w:tcPr>
          <w:p w14:paraId="0F69FD94" w14:textId="77777777" w:rsidR="00C77AD6" w:rsidRPr="00C77AD6" w:rsidRDefault="00C77AD6" w:rsidP="00C77AD6">
            <w:pPr>
              <w:spacing w:after="0" w:line="240" w:lineRule="auto"/>
              <w:rPr>
                <w:rFonts w:ascii="Calibri" w:eastAsia="Times New Roman" w:hAnsi="Calibri" w:cs="Calibri"/>
                <w:b/>
                <w:color w:val="000000"/>
                <w:lang w:eastAsia="en-AU"/>
              </w:rPr>
            </w:pPr>
          </w:p>
        </w:tc>
        <w:tc>
          <w:tcPr>
            <w:tcW w:w="398" w:type="pct"/>
            <w:gridSpan w:val="2"/>
            <w:vMerge w:val="restart"/>
            <w:tcBorders>
              <w:left w:val="single" w:sz="12" w:space="0" w:color="auto"/>
            </w:tcBorders>
            <w:shd w:val="clear" w:color="auto" w:fill="BCBCBC"/>
            <w:vAlign w:val="center"/>
            <w:hideMark/>
          </w:tcPr>
          <w:p w14:paraId="7031CD3C"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Description</w:t>
            </w:r>
          </w:p>
        </w:tc>
        <w:tc>
          <w:tcPr>
            <w:tcW w:w="286" w:type="pct"/>
            <w:gridSpan w:val="2"/>
            <w:vMerge w:val="restart"/>
            <w:shd w:val="clear" w:color="auto" w:fill="BCBCBC"/>
            <w:noWrap/>
            <w:vAlign w:val="center"/>
            <w:hideMark/>
          </w:tcPr>
          <w:p w14:paraId="419B7906"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Type</w:t>
            </w:r>
          </w:p>
        </w:tc>
        <w:tc>
          <w:tcPr>
            <w:tcW w:w="285" w:type="pct"/>
            <w:vMerge w:val="restart"/>
            <w:tcBorders>
              <w:right w:val="single" w:sz="12" w:space="0" w:color="auto"/>
            </w:tcBorders>
            <w:shd w:val="clear" w:color="auto" w:fill="BCBCBC"/>
            <w:noWrap/>
            <w:vAlign w:val="center"/>
            <w:hideMark/>
          </w:tcPr>
          <w:p w14:paraId="047EA955"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Materiality</w:t>
            </w:r>
          </w:p>
        </w:tc>
        <w:tc>
          <w:tcPr>
            <w:tcW w:w="349" w:type="pct"/>
            <w:tcBorders>
              <w:left w:val="single" w:sz="12" w:space="0" w:color="auto"/>
              <w:bottom w:val="single" w:sz="12" w:space="0" w:color="auto"/>
            </w:tcBorders>
            <w:shd w:val="clear" w:color="auto" w:fill="BCBCBC"/>
            <w:noWrap/>
            <w:vAlign w:val="center"/>
            <w:hideMark/>
          </w:tcPr>
          <w:p w14:paraId="0A32E6AB"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 xml:space="preserve">Reference Scenario </w:t>
            </w:r>
            <w:proofErr w:type="spellStart"/>
            <w:r w:rsidRPr="00C77AD6">
              <w:rPr>
                <w:rFonts w:ascii="Calibri" w:eastAsia="Times New Roman" w:hAnsi="Calibri" w:cs="Calibri"/>
                <w:b/>
                <w:color w:val="000000"/>
                <w:lang w:eastAsia="en-AU"/>
              </w:rPr>
              <w:t>BAU</w:t>
            </w:r>
            <w:proofErr w:type="spellEnd"/>
          </w:p>
        </w:tc>
        <w:tc>
          <w:tcPr>
            <w:tcW w:w="222" w:type="pct"/>
            <w:tcBorders>
              <w:bottom w:val="single" w:sz="12" w:space="0" w:color="auto"/>
            </w:tcBorders>
            <w:shd w:val="clear" w:color="auto" w:fill="BCBCBC"/>
            <w:noWrap/>
            <w:vAlign w:val="center"/>
            <w:hideMark/>
          </w:tcPr>
          <w:p w14:paraId="5DC7D7DB"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Option 1</w:t>
            </w:r>
          </w:p>
        </w:tc>
        <w:tc>
          <w:tcPr>
            <w:tcW w:w="254" w:type="pct"/>
            <w:tcBorders>
              <w:bottom w:val="single" w:sz="12" w:space="0" w:color="auto"/>
            </w:tcBorders>
            <w:shd w:val="clear" w:color="auto" w:fill="BCBCBC"/>
            <w:noWrap/>
            <w:vAlign w:val="center"/>
            <w:hideMark/>
          </w:tcPr>
          <w:p w14:paraId="56B0CD11"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Option 2</w:t>
            </w:r>
          </w:p>
        </w:tc>
        <w:tc>
          <w:tcPr>
            <w:tcW w:w="317" w:type="pct"/>
            <w:tcBorders>
              <w:bottom w:val="single" w:sz="12" w:space="0" w:color="auto"/>
              <w:right w:val="single" w:sz="12" w:space="0" w:color="auto"/>
            </w:tcBorders>
            <w:shd w:val="clear" w:color="auto" w:fill="BCBCBC"/>
            <w:noWrap/>
            <w:vAlign w:val="center"/>
            <w:hideMark/>
          </w:tcPr>
          <w:p w14:paraId="57B7DD37"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Option 3</w:t>
            </w:r>
          </w:p>
        </w:tc>
        <w:tc>
          <w:tcPr>
            <w:tcW w:w="647" w:type="pct"/>
            <w:vMerge w:val="restart"/>
            <w:tcBorders>
              <w:left w:val="single" w:sz="12" w:space="0" w:color="auto"/>
            </w:tcBorders>
            <w:shd w:val="clear" w:color="auto" w:fill="BCBCBC"/>
            <w:vAlign w:val="center"/>
            <w:hideMark/>
          </w:tcPr>
          <w:p w14:paraId="43AE713B"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Description</w:t>
            </w:r>
          </w:p>
        </w:tc>
        <w:tc>
          <w:tcPr>
            <w:tcW w:w="368" w:type="pct"/>
            <w:vMerge w:val="restart"/>
            <w:shd w:val="clear" w:color="auto" w:fill="BCBCBC"/>
            <w:noWrap/>
            <w:vAlign w:val="center"/>
            <w:hideMark/>
          </w:tcPr>
          <w:p w14:paraId="163AADA4"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Type</w:t>
            </w:r>
          </w:p>
        </w:tc>
        <w:tc>
          <w:tcPr>
            <w:tcW w:w="286" w:type="pct"/>
            <w:vMerge w:val="restart"/>
            <w:tcBorders>
              <w:right w:val="single" w:sz="12" w:space="0" w:color="auto"/>
            </w:tcBorders>
            <w:shd w:val="clear" w:color="auto" w:fill="BCBCBC"/>
            <w:noWrap/>
            <w:vAlign w:val="center"/>
            <w:hideMark/>
          </w:tcPr>
          <w:p w14:paraId="642431CF"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Materiality</w:t>
            </w:r>
          </w:p>
        </w:tc>
        <w:tc>
          <w:tcPr>
            <w:tcW w:w="284" w:type="pct"/>
            <w:tcBorders>
              <w:left w:val="single" w:sz="12" w:space="0" w:color="auto"/>
              <w:bottom w:val="single" w:sz="12" w:space="0" w:color="auto"/>
            </w:tcBorders>
            <w:shd w:val="clear" w:color="auto" w:fill="BCBCBC"/>
            <w:noWrap/>
            <w:vAlign w:val="center"/>
            <w:hideMark/>
          </w:tcPr>
          <w:p w14:paraId="5B97CC1B"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 xml:space="preserve">Reference Scenario </w:t>
            </w:r>
            <w:proofErr w:type="spellStart"/>
            <w:r w:rsidRPr="00C77AD6">
              <w:rPr>
                <w:rFonts w:ascii="Calibri" w:eastAsia="Times New Roman" w:hAnsi="Calibri" w:cs="Calibri"/>
                <w:b/>
                <w:color w:val="000000"/>
                <w:lang w:eastAsia="en-AU"/>
              </w:rPr>
              <w:t>BAU</w:t>
            </w:r>
            <w:proofErr w:type="spellEnd"/>
          </w:p>
        </w:tc>
        <w:tc>
          <w:tcPr>
            <w:tcW w:w="317" w:type="pct"/>
            <w:tcBorders>
              <w:bottom w:val="single" w:sz="12" w:space="0" w:color="auto"/>
            </w:tcBorders>
            <w:shd w:val="clear" w:color="auto" w:fill="BCBCBC"/>
            <w:noWrap/>
            <w:vAlign w:val="center"/>
            <w:hideMark/>
          </w:tcPr>
          <w:p w14:paraId="697E15F3"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Option 1</w:t>
            </w:r>
          </w:p>
        </w:tc>
        <w:tc>
          <w:tcPr>
            <w:tcW w:w="317" w:type="pct"/>
            <w:tcBorders>
              <w:bottom w:val="single" w:sz="12" w:space="0" w:color="auto"/>
            </w:tcBorders>
            <w:shd w:val="clear" w:color="auto" w:fill="BCBCBC"/>
            <w:noWrap/>
            <w:vAlign w:val="center"/>
            <w:hideMark/>
          </w:tcPr>
          <w:p w14:paraId="251D0BEE"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Option 2</w:t>
            </w:r>
          </w:p>
        </w:tc>
        <w:tc>
          <w:tcPr>
            <w:tcW w:w="310" w:type="pct"/>
            <w:tcBorders>
              <w:bottom w:val="single" w:sz="12" w:space="0" w:color="auto"/>
              <w:right w:val="single" w:sz="12" w:space="0" w:color="auto"/>
            </w:tcBorders>
            <w:shd w:val="clear" w:color="auto" w:fill="BCBCBC"/>
            <w:noWrap/>
            <w:vAlign w:val="center"/>
            <w:hideMark/>
          </w:tcPr>
          <w:p w14:paraId="665F7E94"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Option 3</w:t>
            </w:r>
          </w:p>
        </w:tc>
      </w:tr>
      <w:tr w:rsidR="00DC3D94" w:rsidRPr="00C77AD6" w14:paraId="2FBC1D45" w14:textId="77777777" w:rsidTr="002572E1">
        <w:trPr>
          <w:trHeight w:val="300"/>
          <w:tblHeader/>
        </w:trPr>
        <w:tc>
          <w:tcPr>
            <w:tcW w:w="360" w:type="pct"/>
            <w:vMerge/>
            <w:tcBorders>
              <w:left w:val="single" w:sz="12" w:space="0" w:color="auto"/>
              <w:bottom w:val="single" w:sz="12" w:space="0" w:color="auto"/>
              <w:right w:val="single" w:sz="12" w:space="0" w:color="auto"/>
            </w:tcBorders>
            <w:shd w:val="clear" w:color="auto" w:fill="BCBCBC"/>
            <w:vAlign w:val="center"/>
          </w:tcPr>
          <w:p w14:paraId="0EE16E39" w14:textId="77777777" w:rsidR="00C77AD6" w:rsidRPr="00C77AD6" w:rsidRDefault="00C77AD6" w:rsidP="00C77AD6">
            <w:pPr>
              <w:spacing w:after="0" w:line="240" w:lineRule="auto"/>
              <w:rPr>
                <w:rFonts w:ascii="Calibri" w:eastAsia="Times New Roman" w:hAnsi="Calibri" w:cs="Calibri"/>
                <w:b/>
                <w:color w:val="000000"/>
                <w:lang w:eastAsia="en-AU"/>
              </w:rPr>
            </w:pPr>
          </w:p>
        </w:tc>
        <w:tc>
          <w:tcPr>
            <w:tcW w:w="398" w:type="pct"/>
            <w:gridSpan w:val="2"/>
            <w:vMerge/>
            <w:tcBorders>
              <w:left w:val="single" w:sz="12" w:space="0" w:color="auto"/>
              <w:bottom w:val="single" w:sz="8" w:space="0" w:color="auto"/>
            </w:tcBorders>
            <w:shd w:val="clear" w:color="auto" w:fill="BCBCBC"/>
            <w:vAlign w:val="center"/>
          </w:tcPr>
          <w:p w14:paraId="794E377A" w14:textId="77777777" w:rsidR="00C77AD6" w:rsidRPr="00C77AD6" w:rsidRDefault="00C77AD6" w:rsidP="00C77AD6">
            <w:pPr>
              <w:spacing w:after="0" w:line="240" w:lineRule="auto"/>
              <w:rPr>
                <w:rFonts w:ascii="Calibri" w:eastAsia="Times New Roman" w:hAnsi="Calibri" w:cs="Calibri"/>
                <w:b/>
                <w:color w:val="000000"/>
                <w:lang w:eastAsia="en-AU"/>
              </w:rPr>
            </w:pPr>
          </w:p>
        </w:tc>
        <w:tc>
          <w:tcPr>
            <w:tcW w:w="286" w:type="pct"/>
            <w:gridSpan w:val="2"/>
            <w:vMerge/>
            <w:tcBorders>
              <w:bottom w:val="single" w:sz="8" w:space="0" w:color="auto"/>
            </w:tcBorders>
            <w:shd w:val="clear" w:color="auto" w:fill="BCBCBC"/>
            <w:noWrap/>
            <w:vAlign w:val="center"/>
          </w:tcPr>
          <w:p w14:paraId="48B33B0E" w14:textId="77777777" w:rsidR="00C77AD6" w:rsidRPr="00C77AD6" w:rsidRDefault="00C77AD6" w:rsidP="00C77AD6">
            <w:pPr>
              <w:spacing w:after="0" w:line="240" w:lineRule="auto"/>
              <w:rPr>
                <w:rFonts w:ascii="Calibri" w:eastAsia="Times New Roman" w:hAnsi="Calibri" w:cs="Calibri"/>
                <w:b/>
                <w:color w:val="000000"/>
                <w:lang w:eastAsia="en-AU"/>
              </w:rPr>
            </w:pPr>
          </w:p>
        </w:tc>
        <w:tc>
          <w:tcPr>
            <w:tcW w:w="285" w:type="pct"/>
            <w:vMerge/>
            <w:tcBorders>
              <w:bottom w:val="single" w:sz="8" w:space="0" w:color="auto"/>
              <w:right w:val="single" w:sz="12" w:space="0" w:color="auto"/>
            </w:tcBorders>
            <w:shd w:val="clear" w:color="auto" w:fill="BCBCBC"/>
            <w:noWrap/>
            <w:vAlign w:val="center"/>
          </w:tcPr>
          <w:p w14:paraId="1EED6C1E" w14:textId="77777777" w:rsidR="00C77AD6" w:rsidRPr="00C77AD6" w:rsidRDefault="00C77AD6" w:rsidP="00C77AD6">
            <w:pPr>
              <w:spacing w:after="0" w:line="240" w:lineRule="auto"/>
              <w:rPr>
                <w:rFonts w:ascii="Calibri" w:eastAsia="Times New Roman" w:hAnsi="Calibri" w:cs="Calibri"/>
                <w:b/>
                <w:color w:val="000000"/>
                <w:lang w:eastAsia="en-AU"/>
              </w:rPr>
            </w:pPr>
          </w:p>
        </w:tc>
        <w:tc>
          <w:tcPr>
            <w:tcW w:w="1142" w:type="pct"/>
            <w:gridSpan w:val="4"/>
            <w:tcBorders>
              <w:left w:val="single" w:sz="12" w:space="0" w:color="auto"/>
              <w:bottom w:val="single" w:sz="8" w:space="0" w:color="auto"/>
              <w:right w:val="single" w:sz="12" w:space="0" w:color="auto"/>
            </w:tcBorders>
            <w:shd w:val="clear" w:color="auto" w:fill="D1D1D1"/>
            <w:noWrap/>
            <w:vAlign w:val="center"/>
          </w:tcPr>
          <w:p w14:paraId="1559812F" w14:textId="5C331846" w:rsidR="00C77AD6" w:rsidRPr="00C77AD6" w:rsidRDefault="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 xml:space="preserve">Numbered references correspond to key points in </w:t>
            </w:r>
            <w:r w:rsidRPr="00C77AD6">
              <w:rPr>
                <w:rFonts w:ascii="Calibri" w:eastAsia="Times New Roman" w:hAnsi="Calibri" w:cs="Calibri"/>
                <w:b/>
                <w:color w:val="000000"/>
                <w:lang w:eastAsia="en-AU"/>
              </w:rPr>
              <w:fldChar w:fldCharType="begin"/>
            </w:r>
            <w:r w:rsidRPr="00C77AD6">
              <w:rPr>
                <w:rFonts w:ascii="Calibri" w:eastAsia="Times New Roman" w:hAnsi="Calibri" w:cs="Calibri"/>
                <w:b/>
                <w:color w:val="000000"/>
                <w:lang w:eastAsia="en-AU"/>
              </w:rPr>
              <w:instrText xml:space="preserve"> REF _Ref118192676 \h  \* MERGEFORMAT </w:instrText>
            </w:r>
            <w:r w:rsidRPr="00C77AD6">
              <w:rPr>
                <w:rFonts w:ascii="Calibri" w:eastAsia="Times New Roman" w:hAnsi="Calibri" w:cs="Calibri"/>
                <w:b/>
                <w:color w:val="000000"/>
                <w:lang w:eastAsia="en-AU"/>
              </w:rPr>
            </w:r>
            <w:r w:rsidRPr="00C77AD6">
              <w:rPr>
                <w:rFonts w:ascii="Calibri" w:eastAsia="Times New Roman" w:hAnsi="Calibri" w:cs="Calibri"/>
                <w:b/>
                <w:color w:val="000000"/>
                <w:lang w:eastAsia="en-AU"/>
              </w:rPr>
              <w:fldChar w:fldCharType="separate"/>
            </w:r>
            <w:r w:rsidRPr="00C77AD6">
              <w:rPr>
                <w:rFonts w:ascii="Calibri" w:eastAsia="Calibri" w:hAnsi="Calibri" w:cs="Times New Roman"/>
                <w:b/>
                <w:color w:val="262626"/>
              </w:rPr>
              <w:t xml:space="preserve">Table </w:t>
            </w:r>
            <w:r w:rsidRPr="00C77AD6">
              <w:rPr>
                <w:rFonts w:ascii="Calibri" w:eastAsia="Times New Roman" w:hAnsi="Calibri" w:cs="Calibri"/>
                <w:b/>
                <w:color w:val="000000"/>
                <w:lang w:eastAsia="en-AU"/>
              </w:rPr>
              <w:fldChar w:fldCharType="end"/>
            </w:r>
            <w:r w:rsidR="006D5585">
              <w:rPr>
                <w:rFonts w:ascii="Calibri" w:eastAsia="Times New Roman" w:hAnsi="Calibri" w:cs="Calibri"/>
                <w:b/>
                <w:color w:val="000000"/>
                <w:lang w:eastAsia="en-AU"/>
              </w:rPr>
              <w:t>4</w:t>
            </w:r>
          </w:p>
        </w:tc>
        <w:tc>
          <w:tcPr>
            <w:tcW w:w="647" w:type="pct"/>
            <w:vMerge/>
            <w:tcBorders>
              <w:left w:val="single" w:sz="12" w:space="0" w:color="auto"/>
              <w:bottom w:val="single" w:sz="8" w:space="0" w:color="auto"/>
            </w:tcBorders>
            <w:shd w:val="clear" w:color="auto" w:fill="BCBCBC"/>
            <w:vAlign w:val="center"/>
          </w:tcPr>
          <w:p w14:paraId="25BDAA17" w14:textId="77777777" w:rsidR="00C77AD6" w:rsidRPr="00C77AD6" w:rsidRDefault="00C77AD6" w:rsidP="00C77AD6">
            <w:pPr>
              <w:spacing w:after="0" w:line="240" w:lineRule="auto"/>
              <w:rPr>
                <w:rFonts w:ascii="Calibri" w:eastAsia="Times New Roman" w:hAnsi="Calibri" w:cs="Calibri"/>
                <w:b/>
                <w:color w:val="000000"/>
                <w:lang w:eastAsia="en-AU"/>
              </w:rPr>
            </w:pPr>
          </w:p>
        </w:tc>
        <w:tc>
          <w:tcPr>
            <w:tcW w:w="368" w:type="pct"/>
            <w:vMerge/>
            <w:tcBorders>
              <w:bottom w:val="single" w:sz="8" w:space="0" w:color="auto"/>
            </w:tcBorders>
            <w:shd w:val="clear" w:color="auto" w:fill="BCBCBC"/>
            <w:noWrap/>
            <w:vAlign w:val="center"/>
          </w:tcPr>
          <w:p w14:paraId="7832E8CD" w14:textId="77777777" w:rsidR="00C77AD6" w:rsidRPr="00C77AD6" w:rsidRDefault="00C77AD6" w:rsidP="00C77AD6">
            <w:pPr>
              <w:spacing w:after="0" w:line="240" w:lineRule="auto"/>
              <w:rPr>
                <w:rFonts w:ascii="Calibri" w:eastAsia="Times New Roman" w:hAnsi="Calibri" w:cs="Calibri"/>
                <w:b/>
                <w:color w:val="000000"/>
                <w:lang w:eastAsia="en-AU"/>
              </w:rPr>
            </w:pPr>
          </w:p>
        </w:tc>
        <w:tc>
          <w:tcPr>
            <w:tcW w:w="286" w:type="pct"/>
            <w:vMerge/>
            <w:tcBorders>
              <w:bottom w:val="single" w:sz="8" w:space="0" w:color="auto"/>
              <w:right w:val="single" w:sz="12" w:space="0" w:color="auto"/>
            </w:tcBorders>
            <w:shd w:val="clear" w:color="auto" w:fill="BCBCBC"/>
            <w:noWrap/>
            <w:vAlign w:val="center"/>
          </w:tcPr>
          <w:p w14:paraId="541A065E" w14:textId="77777777" w:rsidR="00C77AD6" w:rsidRPr="00C77AD6" w:rsidRDefault="00C77AD6" w:rsidP="00C77AD6">
            <w:pPr>
              <w:spacing w:after="0" w:line="240" w:lineRule="auto"/>
              <w:rPr>
                <w:rFonts w:ascii="Calibri" w:eastAsia="Times New Roman" w:hAnsi="Calibri" w:cs="Calibri"/>
                <w:b/>
                <w:color w:val="000000"/>
                <w:lang w:eastAsia="en-AU"/>
              </w:rPr>
            </w:pPr>
          </w:p>
        </w:tc>
        <w:tc>
          <w:tcPr>
            <w:tcW w:w="1228" w:type="pct"/>
            <w:gridSpan w:val="4"/>
            <w:tcBorders>
              <w:left w:val="single" w:sz="12" w:space="0" w:color="auto"/>
              <w:bottom w:val="single" w:sz="8" w:space="0" w:color="auto"/>
              <w:right w:val="single" w:sz="12" w:space="0" w:color="auto"/>
            </w:tcBorders>
            <w:shd w:val="clear" w:color="auto" w:fill="D1D1D1"/>
            <w:noWrap/>
            <w:vAlign w:val="center"/>
          </w:tcPr>
          <w:p w14:paraId="057334C5" w14:textId="2F371437" w:rsidR="00C77AD6" w:rsidRPr="00C77AD6" w:rsidRDefault="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 xml:space="preserve">Numbered references correspond to key points in </w:t>
            </w:r>
            <w:r w:rsidRPr="00C77AD6">
              <w:rPr>
                <w:rFonts w:ascii="Calibri" w:eastAsia="Times New Roman" w:hAnsi="Calibri" w:cs="Calibri"/>
                <w:b/>
                <w:color w:val="000000"/>
                <w:lang w:eastAsia="en-AU"/>
              </w:rPr>
              <w:fldChar w:fldCharType="begin"/>
            </w:r>
            <w:r w:rsidRPr="00C77AD6">
              <w:rPr>
                <w:rFonts w:ascii="Calibri" w:eastAsia="Times New Roman" w:hAnsi="Calibri" w:cs="Calibri"/>
                <w:b/>
                <w:color w:val="000000"/>
                <w:lang w:eastAsia="en-AU"/>
              </w:rPr>
              <w:instrText xml:space="preserve"> REF _Ref118192676 \h  \* MERGEFORMAT </w:instrText>
            </w:r>
            <w:r w:rsidRPr="00C77AD6">
              <w:rPr>
                <w:rFonts w:ascii="Calibri" w:eastAsia="Times New Roman" w:hAnsi="Calibri" w:cs="Calibri"/>
                <w:b/>
                <w:color w:val="000000"/>
                <w:lang w:eastAsia="en-AU"/>
              </w:rPr>
            </w:r>
            <w:r w:rsidRPr="00C77AD6">
              <w:rPr>
                <w:rFonts w:ascii="Calibri" w:eastAsia="Times New Roman" w:hAnsi="Calibri" w:cs="Calibri"/>
                <w:b/>
                <w:color w:val="000000"/>
                <w:lang w:eastAsia="en-AU"/>
              </w:rPr>
              <w:fldChar w:fldCharType="separate"/>
            </w:r>
            <w:r w:rsidRPr="00C77AD6">
              <w:rPr>
                <w:rFonts w:ascii="Calibri" w:eastAsia="Calibri" w:hAnsi="Calibri" w:cs="Times New Roman"/>
                <w:b/>
                <w:color w:val="262626"/>
              </w:rPr>
              <w:t xml:space="preserve">Table </w:t>
            </w:r>
            <w:r w:rsidR="006D5585">
              <w:rPr>
                <w:rFonts w:ascii="Calibri" w:eastAsia="Calibri" w:hAnsi="Calibri" w:cs="Times New Roman"/>
                <w:b/>
                <w:color w:val="262626"/>
              </w:rPr>
              <w:t>4</w:t>
            </w:r>
            <w:r w:rsidRPr="00C77AD6">
              <w:rPr>
                <w:rFonts w:ascii="Calibri" w:eastAsia="Times New Roman" w:hAnsi="Calibri" w:cs="Calibri"/>
                <w:b/>
                <w:color w:val="000000"/>
                <w:lang w:eastAsia="en-AU"/>
              </w:rPr>
              <w:fldChar w:fldCharType="end"/>
            </w:r>
          </w:p>
        </w:tc>
      </w:tr>
      <w:tr w:rsidR="00DC3D94" w:rsidRPr="00C77AD6" w14:paraId="5BC2C2AE" w14:textId="77777777" w:rsidTr="007740E1">
        <w:trPr>
          <w:trHeight w:val="1164"/>
        </w:trPr>
        <w:tc>
          <w:tcPr>
            <w:tcW w:w="360" w:type="pct"/>
            <w:tcBorders>
              <w:top w:val="single" w:sz="8" w:space="0" w:color="auto"/>
              <w:left w:val="single" w:sz="12" w:space="0" w:color="auto"/>
              <w:right w:val="single" w:sz="12" w:space="0" w:color="auto"/>
            </w:tcBorders>
            <w:shd w:val="clear" w:color="auto" w:fill="BCBCBC"/>
            <w:vAlign w:val="bottom"/>
          </w:tcPr>
          <w:p w14:paraId="5EBBA047" w14:textId="77777777" w:rsidR="00C77AD6" w:rsidRPr="00C77AD6" w:rsidRDefault="00C77AD6"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Overall reforms legislative  package</w:t>
            </w:r>
          </w:p>
        </w:tc>
        <w:tc>
          <w:tcPr>
            <w:tcW w:w="398" w:type="pct"/>
            <w:gridSpan w:val="2"/>
            <w:tcBorders>
              <w:top w:val="single" w:sz="8" w:space="0" w:color="auto"/>
              <w:left w:val="single" w:sz="12" w:space="0" w:color="auto"/>
              <w:bottom w:val="single" w:sz="8" w:space="0" w:color="auto"/>
            </w:tcBorders>
            <w:shd w:val="clear" w:color="auto" w:fill="auto"/>
            <w:vAlign w:val="bottom"/>
          </w:tcPr>
          <w:p w14:paraId="5F00B72E" w14:textId="77777777" w:rsidR="00C77AD6" w:rsidRPr="00C77AD6" w:rsidRDefault="00C77AD6" w:rsidP="00C77AD6">
            <w:pPr>
              <w:spacing w:after="0" w:line="240" w:lineRule="auto"/>
              <w:rPr>
                <w:rFonts w:ascii="Calibri" w:eastAsia="Times New Roman" w:hAnsi="Calibri" w:cs="Calibri"/>
                <w:color w:val="000000"/>
                <w:lang w:eastAsia="en-AU"/>
              </w:rPr>
            </w:pPr>
          </w:p>
        </w:tc>
        <w:tc>
          <w:tcPr>
            <w:tcW w:w="286" w:type="pct"/>
            <w:gridSpan w:val="2"/>
            <w:tcBorders>
              <w:top w:val="single" w:sz="8" w:space="0" w:color="auto"/>
              <w:bottom w:val="single" w:sz="8" w:space="0" w:color="auto"/>
            </w:tcBorders>
            <w:shd w:val="clear" w:color="auto" w:fill="auto"/>
            <w:noWrap/>
            <w:vAlign w:val="bottom"/>
          </w:tcPr>
          <w:p w14:paraId="3980556D" w14:textId="77777777" w:rsidR="00C77AD6" w:rsidRPr="00C77AD6" w:rsidRDefault="00C77AD6" w:rsidP="00C77AD6">
            <w:pPr>
              <w:spacing w:after="0" w:line="240" w:lineRule="auto"/>
              <w:rPr>
                <w:rFonts w:ascii="Times New Roman" w:eastAsia="Times New Roman" w:hAnsi="Times New Roman" w:cs="Times New Roman"/>
                <w:color w:val="262626"/>
                <w:lang w:eastAsia="en-AU"/>
              </w:rPr>
            </w:pPr>
          </w:p>
        </w:tc>
        <w:tc>
          <w:tcPr>
            <w:tcW w:w="285" w:type="pct"/>
            <w:tcBorders>
              <w:top w:val="single" w:sz="8" w:space="0" w:color="auto"/>
              <w:bottom w:val="single" w:sz="8" w:space="0" w:color="auto"/>
              <w:right w:val="single" w:sz="8" w:space="0" w:color="auto"/>
            </w:tcBorders>
            <w:shd w:val="clear" w:color="auto" w:fill="auto"/>
            <w:noWrap/>
            <w:vAlign w:val="bottom"/>
          </w:tcPr>
          <w:p w14:paraId="0B59F7CA" w14:textId="77777777" w:rsidR="00C77AD6" w:rsidRPr="00C77AD6" w:rsidRDefault="00C77AD6" w:rsidP="00C77AD6">
            <w:pPr>
              <w:spacing w:after="0" w:line="240" w:lineRule="auto"/>
              <w:rPr>
                <w:rFonts w:ascii="Times New Roman" w:eastAsia="Times New Roman" w:hAnsi="Times New Roman" w:cs="Times New Roman"/>
                <w:color w:val="262626"/>
                <w:lang w:eastAsia="en-AU"/>
              </w:rPr>
            </w:pPr>
          </w:p>
        </w:tc>
        <w:tc>
          <w:tcPr>
            <w:tcW w:w="349" w:type="pct"/>
            <w:tcBorders>
              <w:top w:val="single" w:sz="8" w:space="0" w:color="auto"/>
              <w:left w:val="single" w:sz="8" w:space="0" w:color="auto"/>
              <w:bottom w:val="single" w:sz="8" w:space="0" w:color="auto"/>
            </w:tcBorders>
            <w:shd w:val="clear" w:color="auto" w:fill="auto"/>
            <w:noWrap/>
            <w:vAlign w:val="bottom"/>
          </w:tcPr>
          <w:p w14:paraId="1583B4E9" w14:textId="77777777" w:rsidR="00C77AD6" w:rsidRPr="00C77AD6" w:rsidRDefault="00C77AD6" w:rsidP="00C77AD6">
            <w:pPr>
              <w:spacing w:after="0" w:line="240" w:lineRule="auto"/>
              <w:rPr>
                <w:rFonts w:ascii="Times New Roman" w:eastAsia="Times New Roman" w:hAnsi="Times New Roman" w:cs="Times New Roman"/>
                <w:color w:val="262626"/>
                <w:lang w:eastAsia="en-AU"/>
              </w:rPr>
            </w:pPr>
          </w:p>
        </w:tc>
        <w:tc>
          <w:tcPr>
            <w:tcW w:w="222" w:type="pct"/>
            <w:tcBorders>
              <w:top w:val="single" w:sz="8" w:space="0" w:color="auto"/>
              <w:bottom w:val="single" w:sz="8" w:space="0" w:color="auto"/>
            </w:tcBorders>
            <w:shd w:val="clear" w:color="auto" w:fill="auto"/>
            <w:noWrap/>
            <w:vAlign w:val="bottom"/>
          </w:tcPr>
          <w:p w14:paraId="78C00EC8" w14:textId="77777777" w:rsidR="00C77AD6" w:rsidRPr="00C77AD6" w:rsidRDefault="00C77AD6" w:rsidP="00C77AD6">
            <w:pPr>
              <w:spacing w:after="0" w:line="240" w:lineRule="auto"/>
              <w:rPr>
                <w:rFonts w:ascii="Times New Roman" w:eastAsia="Times New Roman" w:hAnsi="Times New Roman" w:cs="Times New Roman"/>
                <w:color w:val="262626"/>
                <w:lang w:eastAsia="en-AU"/>
              </w:rPr>
            </w:pPr>
          </w:p>
        </w:tc>
        <w:tc>
          <w:tcPr>
            <w:tcW w:w="254" w:type="pct"/>
            <w:tcBorders>
              <w:top w:val="single" w:sz="8" w:space="0" w:color="auto"/>
              <w:bottom w:val="single" w:sz="8" w:space="0" w:color="auto"/>
            </w:tcBorders>
            <w:shd w:val="clear" w:color="auto" w:fill="auto"/>
            <w:noWrap/>
            <w:vAlign w:val="bottom"/>
          </w:tcPr>
          <w:p w14:paraId="7B03FB13" w14:textId="77777777" w:rsidR="00C77AD6" w:rsidRPr="00C77AD6" w:rsidRDefault="00C77AD6" w:rsidP="00C77AD6">
            <w:pPr>
              <w:spacing w:after="0" w:line="240" w:lineRule="auto"/>
              <w:rPr>
                <w:rFonts w:ascii="Times New Roman" w:eastAsia="Times New Roman" w:hAnsi="Times New Roman" w:cs="Times New Roman"/>
                <w:color w:val="262626"/>
                <w:lang w:eastAsia="en-AU"/>
              </w:rPr>
            </w:pPr>
          </w:p>
        </w:tc>
        <w:tc>
          <w:tcPr>
            <w:tcW w:w="317" w:type="pct"/>
            <w:tcBorders>
              <w:top w:val="single" w:sz="8" w:space="0" w:color="auto"/>
              <w:bottom w:val="single" w:sz="8" w:space="0" w:color="auto"/>
              <w:right w:val="single" w:sz="12" w:space="0" w:color="auto"/>
            </w:tcBorders>
            <w:shd w:val="clear" w:color="auto" w:fill="auto"/>
            <w:noWrap/>
            <w:vAlign w:val="bottom"/>
          </w:tcPr>
          <w:p w14:paraId="62C401CF" w14:textId="77777777" w:rsidR="00C77AD6" w:rsidRPr="00C77AD6" w:rsidRDefault="00C77AD6" w:rsidP="00C77AD6">
            <w:pPr>
              <w:spacing w:after="0" w:line="240" w:lineRule="auto"/>
              <w:rPr>
                <w:rFonts w:ascii="Times New Roman" w:eastAsia="Times New Roman" w:hAnsi="Times New Roman" w:cs="Times New Roman"/>
                <w:color w:val="262626"/>
                <w:lang w:eastAsia="en-AU"/>
              </w:rPr>
            </w:pPr>
          </w:p>
        </w:tc>
        <w:tc>
          <w:tcPr>
            <w:tcW w:w="647" w:type="pct"/>
            <w:tcBorders>
              <w:top w:val="single" w:sz="8" w:space="0" w:color="auto"/>
              <w:left w:val="single" w:sz="12" w:space="0" w:color="auto"/>
              <w:bottom w:val="single" w:sz="8" w:space="0" w:color="auto"/>
            </w:tcBorders>
            <w:shd w:val="clear" w:color="auto" w:fill="auto"/>
            <w:vAlign w:val="bottom"/>
          </w:tcPr>
          <w:p w14:paraId="1486506C" w14:textId="77777777" w:rsidR="00C77AD6" w:rsidRPr="00C77AD6" w:rsidRDefault="00C77AD6" w:rsidP="00C77AD6">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xml:space="preserve">Policy certainty provided by parallel legislative changes aligned with Climate Change Act and net zero by 2050 </w:t>
            </w:r>
          </w:p>
        </w:tc>
        <w:tc>
          <w:tcPr>
            <w:tcW w:w="368" w:type="pct"/>
            <w:tcBorders>
              <w:top w:val="single" w:sz="8" w:space="0" w:color="auto"/>
              <w:bottom w:val="single" w:sz="8" w:space="0" w:color="auto"/>
            </w:tcBorders>
            <w:shd w:val="clear" w:color="auto" w:fill="auto"/>
            <w:noWrap/>
            <w:vAlign w:val="bottom"/>
          </w:tcPr>
          <w:p w14:paraId="7FC7FA20" w14:textId="77777777" w:rsidR="00C77AD6" w:rsidRPr="00C77AD6" w:rsidRDefault="00C77AD6" w:rsidP="00C77AD6">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Economic and regulatory</w:t>
            </w:r>
          </w:p>
        </w:tc>
        <w:tc>
          <w:tcPr>
            <w:tcW w:w="286" w:type="pct"/>
            <w:tcBorders>
              <w:top w:val="single" w:sz="8" w:space="0" w:color="auto"/>
              <w:bottom w:val="single" w:sz="8" w:space="0" w:color="auto"/>
              <w:right w:val="single" w:sz="8" w:space="0" w:color="auto"/>
            </w:tcBorders>
            <w:shd w:val="clear" w:color="auto" w:fill="auto"/>
            <w:noWrap/>
            <w:vAlign w:val="bottom"/>
          </w:tcPr>
          <w:p w14:paraId="35D394FD" w14:textId="77777777" w:rsidR="00C77AD6" w:rsidRPr="00C77AD6" w:rsidRDefault="00C77AD6" w:rsidP="00C77AD6">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High</w:t>
            </w:r>
          </w:p>
        </w:tc>
        <w:tc>
          <w:tcPr>
            <w:tcW w:w="284" w:type="pct"/>
            <w:tcBorders>
              <w:top w:val="single" w:sz="8" w:space="0" w:color="auto"/>
              <w:left w:val="single" w:sz="8" w:space="0" w:color="auto"/>
              <w:bottom w:val="single" w:sz="8" w:space="0" w:color="auto"/>
            </w:tcBorders>
            <w:shd w:val="clear" w:color="auto" w:fill="auto"/>
            <w:noWrap/>
            <w:vAlign w:val="bottom"/>
          </w:tcPr>
          <w:p w14:paraId="11076F07" w14:textId="77777777" w:rsidR="00C77AD6" w:rsidRPr="00C77AD6" w:rsidRDefault="00C77AD6" w:rsidP="00C77AD6">
            <w:pPr>
              <w:spacing w:after="0" w:line="240" w:lineRule="auto"/>
              <w:rPr>
                <w:rFonts w:ascii="Calibri" w:eastAsia="Times New Roman" w:hAnsi="Calibri" w:cs="Calibri"/>
                <w:color w:val="000000"/>
                <w:lang w:eastAsia="en-AU"/>
              </w:rPr>
            </w:pPr>
          </w:p>
        </w:tc>
        <w:tc>
          <w:tcPr>
            <w:tcW w:w="317" w:type="pct"/>
            <w:tcBorders>
              <w:top w:val="single" w:sz="8" w:space="0" w:color="auto"/>
              <w:bottom w:val="single" w:sz="8" w:space="0" w:color="auto"/>
            </w:tcBorders>
            <w:shd w:val="clear" w:color="auto" w:fill="6DF0C4"/>
            <w:noWrap/>
            <w:vAlign w:val="bottom"/>
          </w:tcPr>
          <w:p w14:paraId="653B0D19" w14:textId="77777777" w:rsidR="00C77AD6" w:rsidRPr="00C77AD6" w:rsidRDefault="00F37C51" w:rsidP="00C77AD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1,5</w:t>
            </w:r>
          </w:p>
        </w:tc>
        <w:tc>
          <w:tcPr>
            <w:tcW w:w="317" w:type="pct"/>
            <w:tcBorders>
              <w:top w:val="single" w:sz="8" w:space="0" w:color="auto"/>
              <w:bottom w:val="single" w:sz="8" w:space="0" w:color="auto"/>
            </w:tcBorders>
            <w:shd w:val="clear" w:color="auto" w:fill="6DF0C4"/>
            <w:noWrap/>
            <w:vAlign w:val="bottom"/>
          </w:tcPr>
          <w:p w14:paraId="257262B5" w14:textId="77777777" w:rsidR="00C77AD6" w:rsidRPr="00C77AD6" w:rsidRDefault="00F37C51" w:rsidP="00C77AD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1,5</w:t>
            </w:r>
          </w:p>
        </w:tc>
        <w:tc>
          <w:tcPr>
            <w:tcW w:w="310" w:type="pct"/>
            <w:tcBorders>
              <w:top w:val="single" w:sz="8" w:space="0" w:color="auto"/>
              <w:bottom w:val="single" w:sz="8" w:space="0" w:color="auto"/>
              <w:right w:val="single" w:sz="12" w:space="0" w:color="auto"/>
            </w:tcBorders>
            <w:shd w:val="clear" w:color="auto" w:fill="6DF0C4"/>
            <w:noWrap/>
            <w:vAlign w:val="bottom"/>
          </w:tcPr>
          <w:p w14:paraId="30417F70" w14:textId="77777777" w:rsidR="00C77AD6" w:rsidRPr="00C77AD6" w:rsidRDefault="00F37C51" w:rsidP="00C77AD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1,5</w:t>
            </w:r>
          </w:p>
        </w:tc>
      </w:tr>
      <w:tr w:rsidR="005E0F84" w:rsidRPr="00C77AD6" w14:paraId="3D868D64" w14:textId="77777777" w:rsidTr="007740E1">
        <w:trPr>
          <w:trHeight w:val="737"/>
        </w:trPr>
        <w:tc>
          <w:tcPr>
            <w:tcW w:w="360" w:type="pct"/>
            <w:vMerge w:val="restart"/>
            <w:tcBorders>
              <w:top w:val="single" w:sz="8" w:space="0" w:color="auto"/>
              <w:left w:val="single" w:sz="12" w:space="0" w:color="auto"/>
              <w:right w:val="single" w:sz="12" w:space="0" w:color="auto"/>
            </w:tcBorders>
            <w:shd w:val="clear" w:color="auto" w:fill="BCBCBC"/>
            <w:vAlign w:val="bottom"/>
          </w:tcPr>
          <w:p w14:paraId="59B362A1" w14:textId="77777777" w:rsidR="005E0F84" w:rsidRPr="00C77AD6" w:rsidRDefault="005E0F84" w:rsidP="00C77AD6">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Baseline decline trajectory and net emission reductions</w:t>
            </w:r>
          </w:p>
        </w:tc>
        <w:tc>
          <w:tcPr>
            <w:tcW w:w="323" w:type="pct"/>
            <w:vMerge w:val="restart"/>
            <w:tcBorders>
              <w:top w:val="single" w:sz="8" w:space="0" w:color="auto"/>
              <w:left w:val="single" w:sz="12" w:space="0" w:color="auto"/>
              <w:bottom w:val="single" w:sz="4" w:space="0" w:color="auto"/>
            </w:tcBorders>
            <w:shd w:val="clear" w:color="auto" w:fill="auto"/>
            <w:vAlign w:val="bottom"/>
          </w:tcPr>
          <w:p w14:paraId="798E5FFC" w14:textId="36350577" w:rsidR="005E0F84" w:rsidRPr="00C77AD6" w:rsidRDefault="005E0F84" w:rsidP="00464244">
            <w:pPr>
              <w:spacing w:after="0" w:line="240" w:lineRule="auto"/>
              <w:rPr>
                <w:rFonts w:ascii="Times New Roman" w:eastAsia="Times New Roman" w:hAnsi="Times New Roman" w:cs="Times New Roman"/>
                <w:color w:val="262626"/>
                <w:lang w:eastAsia="en-AU"/>
              </w:rPr>
            </w:pPr>
            <w:r w:rsidRPr="007740E1">
              <w:rPr>
                <w:rFonts w:ascii="Calibri" w:eastAsia="Times New Roman" w:hAnsi="Calibri" w:cs="Calibri"/>
                <w:color w:val="000000"/>
                <w:lang w:eastAsia="en-AU"/>
              </w:rPr>
              <w:t xml:space="preserve">Cost to </w:t>
            </w:r>
            <w:r w:rsidR="00464244" w:rsidRPr="007740E1">
              <w:rPr>
                <w:rFonts w:ascii="Calibri" w:eastAsia="Times New Roman" w:hAnsi="Calibri" w:cs="Calibri"/>
                <w:color w:val="000000"/>
                <w:lang w:eastAsia="en-AU"/>
              </w:rPr>
              <w:t>S</w:t>
            </w:r>
            <w:r w:rsidRPr="007740E1">
              <w:rPr>
                <w:rFonts w:ascii="Calibri" w:eastAsia="Times New Roman" w:hAnsi="Calibri" w:cs="Calibri"/>
                <w:color w:val="000000"/>
                <w:lang w:eastAsia="en-AU"/>
              </w:rPr>
              <w:t xml:space="preserve">afeguard businesses for meeting declining baselines, including capital costs for deploying low-carbon technologies and/or </w:t>
            </w:r>
            <w:proofErr w:type="spellStart"/>
            <w:r w:rsidRPr="007740E1">
              <w:rPr>
                <w:rFonts w:ascii="Calibri" w:eastAsia="Times New Roman" w:hAnsi="Calibri" w:cs="Calibri"/>
                <w:color w:val="000000"/>
                <w:lang w:eastAsia="en-AU"/>
              </w:rPr>
              <w:t>ACCU</w:t>
            </w:r>
            <w:proofErr w:type="spellEnd"/>
            <w:r w:rsidRPr="007740E1">
              <w:rPr>
                <w:rFonts w:ascii="Calibri" w:eastAsia="Times New Roman" w:hAnsi="Calibri" w:cs="Calibri"/>
                <w:color w:val="000000"/>
                <w:lang w:eastAsia="en-AU"/>
              </w:rPr>
              <w:t>/SMC purchase and surrender</w:t>
            </w:r>
          </w:p>
        </w:tc>
        <w:tc>
          <w:tcPr>
            <w:tcW w:w="323" w:type="pct"/>
            <w:gridSpan w:val="2"/>
            <w:vMerge w:val="restart"/>
            <w:tcBorders>
              <w:top w:val="single" w:sz="8" w:space="0" w:color="auto"/>
              <w:left w:val="nil"/>
              <w:bottom w:val="single" w:sz="4" w:space="0" w:color="auto"/>
            </w:tcBorders>
            <w:shd w:val="clear" w:color="auto" w:fill="auto"/>
            <w:vAlign w:val="bottom"/>
          </w:tcPr>
          <w:p w14:paraId="66052D46" w14:textId="6ADBC6A4" w:rsidR="005E0F84" w:rsidRPr="00C77AD6" w:rsidRDefault="005E0F84" w:rsidP="005E0F84">
            <w:pPr>
              <w:spacing w:after="0" w:line="240" w:lineRule="auto"/>
              <w:rPr>
                <w:rFonts w:ascii="Times New Roman" w:eastAsia="Times New Roman" w:hAnsi="Times New Roman" w:cs="Times New Roman"/>
                <w:color w:val="262626"/>
                <w:lang w:eastAsia="en-AU"/>
              </w:rPr>
            </w:pPr>
            <w:r w:rsidRPr="00C77AD6">
              <w:rPr>
                <w:rFonts w:ascii="Calibri" w:eastAsia="Times New Roman" w:hAnsi="Calibri" w:cs="Calibri"/>
                <w:color w:val="000000"/>
                <w:lang w:eastAsia="en-AU"/>
              </w:rPr>
              <w:t>Economic</w:t>
            </w:r>
          </w:p>
        </w:tc>
        <w:tc>
          <w:tcPr>
            <w:tcW w:w="323" w:type="pct"/>
            <w:gridSpan w:val="2"/>
            <w:vMerge w:val="restart"/>
            <w:tcBorders>
              <w:top w:val="single" w:sz="8" w:space="0" w:color="auto"/>
              <w:left w:val="nil"/>
              <w:right w:val="single" w:sz="8" w:space="0" w:color="auto"/>
            </w:tcBorders>
            <w:shd w:val="clear" w:color="auto" w:fill="auto"/>
            <w:vAlign w:val="bottom"/>
          </w:tcPr>
          <w:p w14:paraId="0850EAE5" w14:textId="78EB7A5A" w:rsidR="005E0F84" w:rsidRPr="007740E1" w:rsidRDefault="008B62F8" w:rsidP="00C77AD6">
            <w:pPr>
              <w:spacing w:after="0" w:line="240" w:lineRule="auto"/>
              <w:rPr>
                <w:rFonts w:eastAsia="Times New Roman" w:cstheme="minorHAnsi"/>
                <w:color w:val="262626"/>
                <w:lang w:eastAsia="en-AU"/>
              </w:rPr>
            </w:pPr>
            <w:r>
              <w:rPr>
                <w:rFonts w:eastAsia="Times New Roman" w:cstheme="minorHAnsi"/>
                <w:color w:val="262626"/>
                <w:lang w:eastAsia="en-AU"/>
              </w:rPr>
              <w:t>Medium</w:t>
            </w:r>
          </w:p>
        </w:tc>
        <w:tc>
          <w:tcPr>
            <w:tcW w:w="349" w:type="pct"/>
            <w:tcBorders>
              <w:top w:val="single" w:sz="8" w:space="0" w:color="auto"/>
              <w:left w:val="single" w:sz="8" w:space="0" w:color="auto"/>
            </w:tcBorders>
            <w:shd w:val="clear" w:color="auto" w:fill="auto"/>
            <w:noWrap/>
            <w:vAlign w:val="bottom"/>
          </w:tcPr>
          <w:p w14:paraId="2350089E" w14:textId="77777777" w:rsidR="005E0F84" w:rsidRPr="00C77AD6" w:rsidRDefault="005E0F84" w:rsidP="00C77AD6">
            <w:pPr>
              <w:spacing w:after="0" w:line="240" w:lineRule="auto"/>
              <w:rPr>
                <w:rFonts w:ascii="Times New Roman" w:eastAsia="Times New Roman" w:hAnsi="Times New Roman" w:cs="Times New Roman"/>
                <w:color w:val="262626"/>
                <w:lang w:eastAsia="en-AU"/>
              </w:rPr>
            </w:pPr>
          </w:p>
        </w:tc>
        <w:tc>
          <w:tcPr>
            <w:tcW w:w="222" w:type="pct"/>
            <w:tcBorders>
              <w:top w:val="single" w:sz="8" w:space="0" w:color="auto"/>
            </w:tcBorders>
            <w:shd w:val="clear" w:color="auto" w:fill="F3BA97" w:themeFill="accent4" w:themeFillTint="66"/>
            <w:noWrap/>
            <w:vAlign w:val="bottom"/>
          </w:tcPr>
          <w:p w14:paraId="50675C6E" w14:textId="77777777" w:rsidR="005E0F84" w:rsidRPr="00C77AD6" w:rsidRDefault="005E0F84" w:rsidP="00C77AD6">
            <w:pPr>
              <w:spacing w:after="0" w:line="240" w:lineRule="auto"/>
              <w:rPr>
                <w:rFonts w:ascii="Times New Roman" w:eastAsia="Times New Roman" w:hAnsi="Times New Roman" w:cs="Times New Roman"/>
                <w:color w:val="262626"/>
                <w:lang w:eastAsia="en-AU"/>
              </w:rPr>
            </w:pPr>
          </w:p>
        </w:tc>
        <w:tc>
          <w:tcPr>
            <w:tcW w:w="254" w:type="pct"/>
            <w:tcBorders>
              <w:top w:val="single" w:sz="8" w:space="0" w:color="auto"/>
            </w:tcBorders>
            <w:shd w:val="clear" w:color="auto" w:fill="F3BA97" w:themeFill="accent4" w:themeFillTint="66"/>
            <w:noWrap/>
            <w:vAlign w:val="bottom"/>
          </w:tcPr>
          <w:p w14:paraId="2851C94B" w14:textId="77777777" w:rsidR="005E0F84" w:rsidRPr="00C77AD6" w:rsidRDefault="005E0F84" w:rsidP="00C77AD6">
            <w:pPr>
              <w:spacing w:after="0" w:line="240" w:lineRule="auto"/>
              <w:rPr>
                <w:rFonts w:ascii="Times New Roman" w:eastAsia="Times New Roman" w:hAnsi="Times New Roman" w:cs="Times New Roman"/>
                <w:color w:val="262626"/>
                <w:lang w:eastAsia="en-AU"/>
              </w:rPr>
            </w:pPr>
          </w:p>
        </w:tc>
        <w:tc>
          <w:tcPr>
            <w:tcW w:w="317" w:type="pct"/>
            <w:tcBorders>
              <w:top w:val="single" w:sz="8" w:space="0" w:color="auto"/>
              <w:right w:val="single" w:sz="12" w:space="0" w:color="auto"/>
            </w:tcBorders>
            <w:shd w:val="clear" w:color="auto" w:fill="F3BA97" w:themeFill="accent4" w:themeFillTint="66"/>
            <w:noWrap/>
            <w:vAlign w:val="bottom"/>
          </w:tcPr>
          <w:p w14:paraId="64A41A36" w14:textId="77777777" w:rsidR="005E0F84" w:rsidRPr="00C77AD6" w:rsidRDefault="005E0F84" w:rsidP="00C77AD6">
            <w:pPr>
              <w:spacing w:after="0" w:line="240" w:lineRule="auto"/>
              <w:rPr>
                <w:rFonts w:ascii="Times New Roman" w:eastAsia="Times New Roman" w:hAnsi="Times New Roman" w:cs="Times New Roman"/>
                <w:color w:val="262626"/>
                <w:lang w:eastAsia="en-AU"/>
              </w:rPr>
            </w:pPr>
          </w:p>
        </w:tc>
        <w:tc>
          <w:tcPr>
            <w:tcW w:w="647" w:type="pct"/>
            <w:tcBorders>
              <w:top w:val="single" w:sz="8" w:space="0" w:color="auto"/>
              <w:left w:val="single" w:sz="12" w:space="0" w:color="auto"/>
              <w:bottom w:val="dashSmallGap" w:sz="4" w:space="0" w:color="auto"/>
            </w:tcBorders>
            <w:shd w:val="clear" w:color="auto" w:fill="auto"/>
            <w:vAlign w:val="bottom"/>
          </w:tcPr>
          <w:p w14:paraId="068E6CE7" w14:textId="77777777" w:rsidR="005E0F84" w:rsidRPr="00C77AD6" w:rsidRDefault="005E0F84" w:rsidP="00C77AD6">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Reduced capital risk premium for Safeguard businesses</w:t>
            </w:r>
          </w:p>
        </w:tc>
        <w:tc>
          <w:tcPr>
            <w:tcW w:w="368" w:type="pct"/>
            <w:tcBorders>
              <w:top w:val="single" w:sz="8" w:space="0" w:color="auto"/>
              <w:bottom w:val="dashSmallGap" w:sz="4" w:space="0" w:color="auto"/>
            </w:tcBorders>
            <w:shd w:val="clear" w:color="auto" w:fill="auto"/>
            <w:noWrap/>
            <w:vAlign w:val="bottom"/>
          </w:tcPr>
          <w:p w14:paraId="20F480E2" w14:textId="77777777" w:rsidR="005E0F84" w:rsidRPr="00C77AD6" w:rsidRDefault="005E0F84" w:rsidP="00C77AD6">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Economic</w:t>
            </w:r>
          </w:p>
        </w:tc>
        <w:tc>
          <w:tcPr>
            <w:tcW w:w="286" w:type="pct"/>
            <w:tcBorders>
              <w:top w:val="single" w:sz="8" w:space="0" w:color="auto"/>
              <w:bottom w:val="dashSmallGap" w:sz="4" w:space="0" w:color="auto"/>
              <w:right w:val="single" w:sz="8" w:space="0" w:color="auto"/>
            </w:tcBorders>
            <w:shd w:val="clear" w:color="auto" w:fill="auto"/>
            <w:noWrap/>
            <w:vAlign w:val="bottom"/>
          </w:tcPr>
          <w:p w14:paraId="5F0122F6" w14:textId="77777777" w:rsidR="005E0F84" w:rsidRPr="00C77AD6" w:rsidRDefault="005E0F84" w:rsidP="00C77AD6">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Low</w:t>
            </w:r>
          </w:p>
        </w:tc>
        <w:tc>
          <w:tcPr>
            <w:tcW w:w="284" w:type="pct"/>
            <w:tcBorders>
              <w:top w:val="single" w:sz="8" w:space="0" w:color="auto"/>
              <w:left w:val="single" w:sz="8" w:space="0" w:color="auto"/>
              <w:bottom w:val="dashSmallGap" w:sz="4" w:space="0" w:color="auto"/>
            </w:tcBorders>
            <w:shd w:val="clear" w:color="auto" w:fill="auto"/>
            <w:noWrap/>
            <w:vAlign w:val="bottom"/>
          </w:tcPr>
          <w:p w14:paraId="49A70E6F" w14:textId="77777777" w:rsidR="005E0F84" w:rsidRPr="00C77AD6" w:rsidRDefault="005E0F84" w:rsidP="00C77AD6">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7" w:type="pct"/>
            <w:tcBorders>
              <w:top w:val="single" w:sz="8" w:space="0" w:color="auto"/>
              <w:bottom w:val="dashSmallGap" w:sz="4" w:space="0" w:color="auto"/>
            </w:tcBorders>
            <w:shd w:val="clear" w:color="auto" w:fill="6DF0C4"/>
            <w:noWrap/>
            <w:vAlign w:val="bottom"/>
          </w:tcPr>
          <w:p w14:paraId="28E194B6" w14:textId="77777777" w:rsidR="005E0F84" w:rsidRPr="00C77AD6" w:rsidRDefault="005E0F84" w:rsidP="00C77AD6">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7</w:t>
            </w:r>
          </w:p>
        </w:tc>
        <w:tc>
          <w:tcPr>
            <w:tcW w:w="317" w:type="pct"/>
            <w:tcBorders>
              <w:top w:val="single" w:sz="8" w:space="0" w:color="auto"/>
              <w:bottom w:val="dashSmallGap" w:sz="4" w:space="0" w:color="auto"/>
            </w:tcBorders>
            <w:shd w:val="clear" w:color="auto" w:fill="6DF0C4"/>
            <w:noWrap/>
            <w:vAlign w:val="bottom"/>
          </w:tcPr>
          <w:p w14:paraId="7112E288" w14:textId="77777777" w:rsidR="005E0F84" w:rsidRPr="00C77AD6" w:rsidRDefault="005E0F84" w:rsidP="00C77AD6">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7</w:t>
            </w:r>
          </w:p>
        </w:tc>
        <w:tc>
          <w:tcPr>
            <w:tcW w:w="310" w:type="pct"/>
            <w:tcBorders>
              <w:top w:val="single" w:sz="8" w:space="0" w:color="auto"/>
              <w:bottom w:val="dashSmallGap" w:sz="4" w:space="0" w:color="auto"/>
              <w:right w:val="single" w:sz="12" w:space="0" w:color="auto"/>
            </w:tcBorders>
            <w:shd w:val="clear" w:color="auto" w:fill="6DF0C4"/>
            <w:noWrap/>
            <w:vAlign w:val="bottom"/>
          </w:tcPr>
          <w:p w14:paraId="7C896221" w14:textId="77777777" w:rsidR="005E0F84" w:rsidRPr="00C77AD6" w:rsidRDefault="005E0F84" w:rsidP="00C77AD6">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7</w:t>
            </w:r>
          </w:p>
        </w:tc>
      </w:tr>
      <w:tr w:rsidR="00685A91" w:rsidRPr="00C77AD6" w14:paraId="1E3CA40B" w14:textId="77777777" w:rsidTr="00685A91">
        <w:trPr>
          <w:trHeight w:val="1164"/>
        </w:trPr>
        <w:tc>
          <w:tcPr>
            <w:tcW w:w="360" w:type="pct"/>
            <w:vMerge/>
            <w:tcBorders>
              <w:left w:val="single" w:sz="12" w:space="0" w:color="auto"/>
              <w:right w:val="single" w:sz="12" w:space="0" w:color="auto"/>
            </w:tcBorders>
            <w:shd w:val="clear" w:color="auto" w:fill="BCBCBC"/>
            <w:vAlign w:val="bottom"/>
          </w:tcPr>
          <w:p w14:paraId="6DEB037A" w14:textId="77777777" w:rsidR="005E0F84" w:rsidRPr="00C77AD6" w:rsidRDefault="005E0F84" w:rsidP="00C77AD6">
            <w:pPr>
              <w:spacing w:after="0" w:line="240" w:lineRule="auto"/>
              <w:rPr>
                <w:rFonts w:ascii="Calibri" w:eastAsia="Times New Roman" w:hAnsi="Calibri" w:cs="Calibri"/>
                <w:b/>
                <w:color w:val="000000"/>
                <w:lang w:eastAsia="en-AU"/>
              </w:rPr>
            </w:pPr>
          </w:p>
        </w:tc>
        <w:tc>
          <w:tcPr>
            <w:tcW w:w="323" w:type="pct"/>
            <w:vMerge/>
            <w:tcBorders>
              <w:top w:val="single" w:sz="4" w:space="0" w:color="auto"/>
              <w:left w:val="single" w:sz="12" w:space="0" w:color="auto"/>
              <w:bottom w:val="single" w:sz="4" w:space="0" w:color="auto"/>
            </w:tcBorders>
            <w:shd w:val="clear" w:color="auto" w:fill="auto"/>
            <w:vAlign w:val="bottom"/>
          </w:tcPr>
          <w:p w14:paraId="44892715" w14:textId="77777777" w:rsidR="005E0F84" w:rsidRPr="00C77AD6" w:rsidRDefault="005E0F84" w:rsidP="00C77AD6">
            <w:pPr>
              <w:spacing w:after="0" w:line="240" w:lineRule="auto"/>
              <w:rPr>
                <w:rFonts w:ascii="Times New Roman" w:eastAsia="Times New Roman" w:hAnsi="Times New Roman" w:cs="Times New Roman"/>
                <w:color w:val="262626"/>
                <w:lang w:eastAsia="en-AU"/>
              </w:rPr>
            </w:pPr>
          </w:p>
        </w:tc>
        <w:tc>
          <w:tcPr>
            <w:tcW w:w="323" w:type="pct"/>
            <w:gridSpan w:val="2"/>
            <w:vMerge/>
            <w:tcBorders>
              <w:top w:val="single" w:sz="4" w:space="0" w:color="auto"/>
              <w:left w:val="nil"/>
              <w:bottom w:val="single" w:sz="4" w:space="0" w:color="auto"/>
            </w:tcBorders>
            <w:shd w:val="clear" w:color="auto" w:fill="auto"/>
            <w:vAlign w:val="bottom"/>
          </w:tcPr>
          <w:p w14:paraId="5CAD2F56" w14:textId="77777777" w:rsidR="005E0F84" w:rsidRPr="00C77AD6" w:rsidRDefault="005E0F84" w:rsidP="00C77AD6">
            <w:pPr>
              <w:spacing w:after="0" w:line="240" w:lineRule="auto"/>
              <w:rPr>
                <w:rFonts w:ascii="Times New Roman" w:eastAsia="Times New Roman" w:hAnsi="Times New Roman" w:cs="Times New Roman"/>
                <w:color w:val="262626"/>
                <w:lang w:eastAsia="en-AU"/>
              </w:rPr>
            </w:pPr>
          </w:p>
        </w:tc>
        <w:tc>
          <w:tcPr>
            <w:tcW w:w="323" w:type="pct"/>
            <w:gridSpan w:val="2"/>
            <w:vMerge/>
            <w:tcBorders>
              <w:left w:val="nil"/>
              <w:right w:val="single" w:sz="8" w:space="0" w:color="auto"/>
            </w:tcBorders>
            <w:shd w:val="clear" w:color="auto" w:fill="auto"/>
            <w:vAlign w:val="bottom"/>
          </w:tcPr>
          <w:p w14:paraId="2193FFA0" w14:textId="66A434C4" w:rsidR="005E0F84" w:rsidRPr="00C77AD6" w:rsidRDefault="005E0F84" w:rsidP="00C77AD6">
            <w:pPr>
              <w:spacing w:after="0" w:line="240" w:lineRule="auto"/>
              <w:rPr>
                <w:rFonts w:ascii="Times New Roman" w:eastAsia="Times New Roman" w:hAnsi="Times New Roman" w:cs="Times New Roman"/>
                <w:color w:val="262626"/>
                <w:lang w:eastAsia="en-AU"/>
              </w:rPr>
            </w:pPr>
          </w:p>
        </w:tc>
        <w:tc>
          <w:tcPr>
            <w:tcW w:w="349" w:type="pct"/>
            <w:tcBorders>
              <w:left w:val="single" w:sz="8" w:space="0" w:color="auto"/>
            </w:tcBorders>
            <w:shd w:val="clear" w:color="auto" w:fill="auto"/>
            <w:noWrap/>
            <w:vAlign w:val="bottom"/>
          </w:tcPr>
          <w:p w14:paraId="45C273E4" w14:textId="77777777" w:rsidR="005E0F84" w:rsidRPr="00C77AD6" w:rsidRDefault="005E0F84" w:rsidP="00C77AD6">
            <w:pPr>
              <w:spacing w:after="0" w:line="240" w:lineRule="auto"/>
              <w:rPr>
                <w:rFonts w:ascii="Times New Roman" w:eastAsia="Times New Roman" w:hAnsi="Times New Roman" w:cs="Times New Roman"/>
                <w:color w:val="262626"/>
                <w:lang w:eastAsia="en-AU"/>
              </w:rPr>
            </w:pPr>
          </w:p>
        </w:tc>
        <w:tc>
          <w:tcPr>
            <w:tcW w:w="222" w:type="pct"/>
            <w:shd w:val="clear" w:color="auto" w:fill="F3BA97" w:themeFill="accent4" w:themeFillTint="66"/>
            <w:noWrap/>
            <w:vAlign w:val="bottom"/>
          </w:tcPr>
          <w:p w14:paraId="4FE4D8B4" w14:textId="77777777" w:rsidR="005E0F84" w:rsidRPr="00C77AD6" w:rsidRDefault="005E0F84" w:rsidP="00C77AD6">
            <w:pPr>
              <w:spacing w:after="0" w:line="240" w:lineRule="auto"/>
              <w:rPr>
                <w:rFonts w:ascii="Times New Roman" w:eastAsia="Times New Roman" w:hAnsi="Times New Roman" w:cs="Times New Roman"/>
                <w:color w:val="262626"/>
                <w:lang w:eastAsia="en-AU"/>
              </w:rPr>
            </w:pPr>
          </w:p>
        </w:tc>
        <w:tc>
          <w:tcPr>
            <w:tcW w:w="254" w:type="pct"/>
            <w:shd w:val="clear" w:color="auto" w:fill="F3BA97" w:themeFill="accent4" w:themeFillTint="66"/>
            <w:noWrap/>
            <w:vAlign w:val="bottom"/>
          </w:tcPr>
          <w:p w14:paraId="195A5A4B" w14:textId="77777777" w:rsidR="005E0F84" w:rsidRPr="00C77AD6" w:rsidRDefault="005E0F84" w:rsidP="00C77AD6">
            <w:pPr>
              <w:spacing w:after="0" w:line="240" w:lineRule="auto"/>
              <w:rPr>
                <w:rFonts w:ascii="Times New Roman" w:eastAsia="Times New Roman" w:hAnsi="Times New Roman" w:cs="Times New Roman"/>
                <w:color w:val="262626"/>
                <w:lang w:eastAsia="en-AU"/>
              </w:rPr>
            </w:pPr>
          </w:p>
        </w:tc>
        <w:tc>
          <w:tcPr>
            <w:tcW w:w="317" w:type="pct"/>
            <w:tcBorders>
              <w:right w:val="single" w:sz="12" w:space="0" w:color="auto"/>
            </w:tcBorders>
            <w:shd w:val="clear" w:color="auto" w:fill="F3BA97" w:themeFill="accent4" w:themeFillTint="66"/>
            <w:noWrap/>
            <w:vAlign w:val="bottom"/>
          </w:tcPr>
          <w:p w14:paraId="3A46AE1D" w14:textId="77777777" w:rsidR="005E0F84" w:rsidRPr="00C77AD6" w:rsidRDefault="005E0F84" w:rsidP="00C77AD6">
            <w:pPr>
              <w:spacing w:after="0" w:line="240" w:lineRule="auto"/>
              <w:rPr>
                <w:rFonts w:ascii="Times New Roman" w:eastAsia="Times New Roman" w:hAnsi="Times New Roman" w:cs="Times New Roman"/>
                <w:color w:val="262626"/>
                <w:lang w:eastAsia="en-AU"/>
              </w:rPr>
            </w:pPr>
          </w:p>
        </w:tc>
        <w:tc>
          <w:tcPr>
            <w:tcW w:w="647" w:type="pct"/>
            <w:tcBorders>
              <w:top w:val="dashSmallGap" w:sz="4" w:space="0" w:color="auto"/>
              <w:left w:val="single" w:sz="12" w:space="0" w:color="auto"/>
              <w:bottom w:val="dashSmallGap" w:sz="4" w:space="0" w:color="auto"/>
            </w:tcBorders>
            <w:shd w:val="clear" w:color="auto" w:fill="auto"/>
            <w:vAlign w:val="bottom"/>
          </w:tcPr>
          <w:p w14:paraId="44925139" w14:textId="77777777" w:rsidR="005E0F84" w:rsidRPr="00C77AD6" w:rsidRDefault="005E0F84" w:rsidP="00C77AD6">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Potential for green premiums to be applied to low or zero emissions intensity products</w:t>
            </w:r>
          </w:p>
        </w:tc>
        <w:tc>
          <w:tcPr>
            <w:tcW w:w="368" w:type="pct"/>
            <w:tcBorders>
              <w:top w:val="dashSmallGap" w:sz="4" w:space="0" w:color="auto"/>
              <w:bottom w:val="dashSmallGap" w:sz="4" w:space="0" w:color="auto"/>
            </w:tcBorders>
            <w:shd w:val="clear" w:color="auto" w:fill="auto"/>
            <w:noWrap/>
            <w:vAlign w:val="bottom"/>
          </w:tcPr>
          <w:p w14:paraId="3C42C482" w14:textId="77777777" w:rsidR="005E0F84" w:rsidRPr="00C77AD6" w:rsidRDefault="005E0F84" w:rsidP="00C77AD6">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Economic</w:t>
            </w:r>
          </w:p>
        </w:tc>
        <w:tc>
          <w:tcPr>
            <w:tcW w:w="286" w:type="pct"/>
            <w:tcBorders>
              <w:top w:val="dashSmallGap" w:sz="4" w:space="0" w:color="auto"/>
              <w:bottom w:val="dashSmallGap" w:sz="4" w:space="0" w:color="auto"/>
              <w:right w:val="single" w:sz="8" w:space="0" w:color="auto"/>
            </w:tcBorders>
            <w:shd w:val="clear" w:color="auto" w:fill="auto"/>
            <w:noWrap/>
            <w:vAlign w:val="bottom"/>
          </w:tcPr>
          <w:p w14:paraId="68799008" w14:textId="77777777" w:rsidR="005E0F84" w:rsidRPr="00C77AD6" w:rsidRDefault="005E0F84" w:rsidP="00C77AD6">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Low</w:t>
            </w:r>
          </w:p>
        </w:tc>
        <w:tc>
          <w:tcPr>
            <w:tcW w:w="284" w:type="pct"/>
            <w:tcBorders>
              <w:top w:val="dashSmallGap" w:sz="4" w:space="0" w:color="auto"/>
              <w:left w:val="single" w:sz="8" w:space="0" w:color="auto"/>
              <w:bottom w:val="dashSmallGap" w:sz="4" w:space="0" w:color="auto"/>
            </w:tcBorders>
            <w:shd w:val="clear" w:color="auto" w:fill="auto"/>
            <w:noWrap/>
            <w:vAlign w:val="bottom"/>
          </w:tcPr>
          <w:p w14:paraId="1A9776D3" w14:textId="77777777" w:rsidR="005E0F84" w:rsidRPr="00C77AD6" w:rsidRDefault="005E0F84" w:rsidP="00C77AD6">
            <w:pPr>
              <w:spacing w:after="0" w:line="240" w:lineRule="auto"/>
              <w:rPr>
                <w:rFonts w:ascii="Calibri" w:eastAsia="Times New Roman" w:hAnsi="Calibri" w:cs="Calibri"/>
                <w:color w:val="000000"/>
                <w:lang w:eastAsia="en-AU"/>
              </w:rPr>
            </w:pPr>
          </w:p>
        </w:tc>
        <w:tc>
          <w:tcPr>
            <w:tcW w:w="317" w:type="pct"/>
            <w:tcBorders>
              <w:top w:val="dashSmallGap" w:sz="4" w:space="0" w:color="auto"/>
              <w:bottom w:val="dashSmallGap" w:sz="4" w:space="0" w:color="auto"/>
            </w:tcBorders>
            <w:shd w:val="clear" w:color="auto" w:fill="6DF0C4"/>
            <w:noWrap/>
            <w:vAlign w:val="bottom"/>
          </w:tcPr>
          <w:p w14:paraId="3FB6300E" w14:textId="77777777" w:rsidR="005E0F84" w:rsidRPr="00C77AD6" w:rsidRDefault="005E0F84" w:rsidP="00C77AD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7, 8, 31, 51, 52, 54</w:t>
            </w:r>
          </w:p>
        </w:tc>
        <w:tc>
          <w:tcPr>
            <w:tcW w:w="317" w:type="pct"/>
            <w:tcBorders>
              <w:top w:val="dashSmallGap" w:sz="4" w:space="0" w:color="auto"/>
              <w:bottom w:val="dashSmallGap" w:sz="4" w:space="0" w:color="auto"/>
            </w:tcBorders>
            <w:shd w:val="clear" w:color="auto" w:fill="6DF0C4"/>
            <w:noWrap/>
            <w:vAlign w:val="bottom"/>
          </w:tcPr>
          <w:p w14:paraId="4B5E53CA" w14:textId="77777777" w:rsidR="005E0F84" w:rsidRPr="00C77AD6" w:rsidRDefault="005E0F84" w:rsidP="00C77AD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7, 8, 31, 51, 52, 54</w:t>
            </w:r>
          </w:p>
        </w:tc>
        <w:tc>
          <w:tcPr>
            <w:tcW w:w="310" w:type="pct"/>
            <w:tcBorders>
              <w:top w:val="dashSmallGap" w:sz="4" w:space="0" w:color="auto"/>
              <w:bottom w:val="dashSmallGap" w:sz="4" w:space="0" w:color="auto"/>
              <w:right w:val="single" w:sz="12" w:space="0" w:color="auto"/>
            </w:tcBorders>
            <w:shd w:val="clear" w:color="auto" w:fill="6DF0C4"/>
            <w:noWrap/>
            <w:vAlign w:val="bottom"/>
          </w:tcPr>
          <w:p w14:paraId="7CC149E4" w14:textId="77777777" w:rsidR="005E0F84" w:rsidRPr="00C77AD6" w:rsidRDefault="005E0F84" w:rsidP="00C77AD6">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7, 8, 31, 51, 52, 54</w:t>
            </w:r>
          </w:p>
        </w:tc>
      </w:tr>
      <w:tr w:rsidR="00685A91" w:rsidRPr="00C77AD6" w14:paraId="12CD0779" w14:textId="77777777" w:rsidTr="007740E1">
        <w:trPr>
          <w:trHeight w:val="964"/>
        </w:trPr>
        <w:tc>
          <w:tcPr>
            <w:tcW w:w="360" w:type="pct"/>
            <w:vMerge/>
            <w:tcBorders>
              <w:left w:val="single" w:sz="12" w:space="0" w:color="auto"/>
              <w:right w:val="single" w:sz="12" w:space="0" w:color="auto"/>
            </w:tcBorders>
            <w:shd w:val="clear" w:color="auto" w:fill="BCBCBC"/>
            <w:vAlign w:val="bottom"/>
          </w:tcPr>
          <w:p w14:paraId="176E0959" w14:textId="77777777" w:rsidR="00685A91" w:rsidRPr="00C77AD6" w:rsidRDefault="00685A91" w:rsidP="00685A91">
            <w:pPr>
              <w:spacing w:after="0" w:line="240" w:lineRule="auto"/>
              <w:rPr>
                <w:rFonts w:ascii="Calibri" w:eastAsia="Times New Roman" w:hAnsi="Calibri" w:cs="Calibri"/>
                <w:b/>
                <w:color w:val="000000"/>
                <w:lang w:eastAsia="en-AU"/>
              </w:rPr>
            </w:pPr>
          </w:p>
        </w:tc>
        <w:tc>
          <w:tcPr>
            <w:tcW w:w="323" w:type="pct"/>
            <w:vMerge/>
            <w:tcBorders>
              <w:top w:val="single" w:sz="4" w:space="0" w:color="auto"/>
              <w:left w:val="single" w:sz="12" w:space="0" w:color="auto"/>
              <w:bottom w:val="single" w:sz="4" w:space="0" w:color="auto"/>
            </w:tcBorders>
            <w:shd w:val="clear" w:color="auto" w:fill="auto"/>
            <w:vAlign w:val="bottom"/>
          </w:tcPr>
          <w:p w14:paraId="32773D3E" w14:textId="77777777" w:rsidR="00685A91" w:rsidRPr="00C77AD6" w:rsidRDefault="00685A91" w:rsidP="00685A91">
            <w:pPr>
              <w:spacing w:after="0" w:line="240" w:lineRule="auto"/>
              <w:rPr>
                <w:rFonts w:ascii="Times New Roman" w:eastAsia="Times New Roman" w:hAnsi="Times New Roman" w:cs="Times New Roman"/>
                <w:color w:val="262626"/>
                <w:lang w:eastAsia="en-AU"/>
              </w:rPr>
            </w:pPr>
          </w:p>
        </w:tc>
        <w:tc>
          <w:tcPr>
            <w:tcW w:w="323" w:type="pct"/>
            <w:gridSpan w:val="2"/>
            <w:vMerge/>
            <w:tcBorders>
              <w:top w:val="single" w:sz="4" w:space="0" w:color="auto"/>
              <w:left w:val="nil"/>
              <w:bottom w:val="single" w:sz="4" w:space="0" w:color="auto"/>
            </w:tcBorders>
            <w:shd w:val="clear" w:color="auto" w:fill="auto"/>
            <w:vAlign w:val="bottom"/>
          </w:tcPr>
          <w:p w14:paraId="237550A9" w14:textId="77777777" w:rsidR="00685A91" w:rsidRPr="00C77AD6" w:rsidRDefault="00685A91" w:rsidP="00685A91">
            <w:pPr>
              <w:spacing w:after="0" w:line="240" w:lineRule="auto"/>
              <w:rPr>
                <w:rFonts w:ascii="Times New Roman" w:eastAsia="Times New Roman" w:hAnsi="Times New Roman" w:cs="Times New Roman"/>
                <w:color w:val="262626"/>
                <w:lang w:eastAsia="en-AU"/>
              </w:rPr>
            </w:pPr>
          </w:p>
        </w:tc>
        <w:tc>
          <w:tcPr>
            <w:tcW w:w="323" w:type="pct"/>
            <w:gridSpan w:val="2"/>
            <w:vMerge/>
            <w:tcBorders>
              <w:left w:val="nil"/>
              <w:bottom w:val="single" w:sz="4" w:space="0" w:color="auto"/>
              <w:right w:val="single" w:sz="8" w:space="0" w:color="auto"/>
            </w:tcBorders>
            <w:shd w:val="clear" w:color="auto" w:fill="auto"/>
            <w:vAlign w:val="bottom"/>
          </w:tcPr>
          <w:p w14:paraId="5E78F277" w14:textId="07390B68" w:rsidR="00685A91" w:rsidRPr="00C77AD6" w:rsidRDefault="00685A91" w:rsidP="00685A91">
            <w:pPr>
              <w:spacing w:after="0" w:line="240" w:lineRule="auto"/>
              <w:rPr>
                <w:rFonts w:ascii="Times New Roman" w:eastAsia="Times New Roman" w:hAnsi="Times New Roman" w:cs="Times New Roman"/>
                <w:color w:val="262626"/>
                <w:lang w:eastAsia="en-AU"/>
              </w:rPr>
            </w:pPr>
          </w:p>
        </w:tc>
        <w:tc>
          <w:tcPr>
            <w:tcW w:w="349" w:type="pct"/>
            <w:tcBorders>
              <w:left w:val="single" w:sz="8" w:space="0" w:color="auto"/>
              <w:bottom w:val="single" w:sz="4" w:space="0" w:color="auto"/>
            </w:tcBorders>
            <w:shd w:val="clear" w:color="auto" w:fill="auto"/>
            <w:noWrap/>
            <w:vAlign w:val="bottom"/>
          </w:tcPr>
          <w:p w14:paraId="60FAB29E" w14:textId="77777777" w:rsidR="00685A91" w:rsidRPr="007740E1" w:rsidRDefault="00685A91" w:rsidP="00685A91">
            <w:pPr>
              <w:spacing w:after="0" w:line="240" w:lineRule="auto"/>
              <w:rPr>
                <w:rFonts w:eastAsia="Times New Roman" w:cs="Times New Roman"/>
                <w:color w:val="262626"/>
                <w:lang w:eastAsia="en-AU"/>
              </w:rPr>
            </w:pPr>
          </w:p>
        </w:tc>
        <w:tc>
          <w:tcPr>
            <w:tcW w:w="222" w:type="pct"/>
            <w:tcBorders>
              <w:bottom w:val="single" w:sz="4" w:space="0" w:color="auto"/>
            </w:tcBorders>
            <w:shd w:val="clear" w:color="auto" w:fill="F3BA97" w:themeFill="accent4" w:themeFillTint="66"/>
            <w:noWrap/>
            <w:vAlign w:val="bottom"/>
          </w:tcPr>
          <w:p w14:paraId="0CA34D1D" w14:textId="7CC1D929" w:rsidR="00685A91" w:rsidRPr="007740E1" w:rsidRDefault="00685A91" w:rsidP="00685A91">
            <w:pPr>
              <w:spacing w:after="0" w:line="240" w:lineRule="auto"/>
              <w:rPr>
                <w:rFonts w:eastAsia="Times New Roman" w:cs="Times New Roman"/>
                <w:color w:val="262626"/>
                <w:lang w:eastAsia="en-AU"/>
              </w:rPr>
            </w:pPr>
            <w:r w:rsidRPr="007740E1">
              <w:rPr>
                <w:rFonts w:eastAsia="Times New Roman" w:cs="Times New Roman"/>
                <w:color w:val="262626"/>
                <w:lang w:eastAsia="en-AU"/>
              </w:rPr>
              <w:t>1,</w:t>
            </w:r>
            <w:r w:rsidR="00D568C5">
              <w:rPr>
                <w:rFonts w:eastAsia="Times New Roman" w:cs="Times New Roman"/>
                <w:color w:val="262626"/>
                <w:lang w:eastAsia="en-AU"/>
              </w:rPr>
              <w:t xml:space="preserve"> </w:t>
            </w:r>
            <w:r w:rsidRPr="007740E1">
              <w:rPr>
                <w:rFonts w:eastAsia="Times New Roman" w:cs="Times New Roman"/>
                <w:color w:val="262626"/>
                <w:lang w:eastAsia="en-AU"/>
              </w:rPr>
              <w:t>6</w:t>
            </w:r>
            <w:r w:rsidR="00D568C5">
              <w:rPr>
                <w:rFonts w:eastAsia="Times New Roman" w:cs="Times New Roman"/>
                <w:color w:val="262626"/>
                <w:lang w:eastAsia="en-AU"/>
              </w:rPr>
              <w:t xml:space="preserve">, 7, </w:t>
            </w:r>
            <w:r w:rsidRPr="007740E1">
              <w:rPr>
                <w:rFonts w:eastAsia="Times New Roman" w:cs="Times New Roman"/>
                <w:color w:val="262626"/>
                <w:lang w:eastAsia="en-AU"/>
              </w:rPr>
              <w:t>8</w:t>
            </w:r>
          </w:p>
        </w:tc>
        <w:tc>
          <w:tcPr>
            <w:tcW w:w="254" w:type="pct"/>
            <w:tcBorders>
              <w:bottom w:val="single" w:sz="4" w:space="0" w:color="auto"/>
            </w:tcBorders>
            <w:shd w:val="clear" w:color="auto" w:fill="F3BA97" w:themeFill="accent4" w:themeFillTint="66"/>
            <w:noWrap/>
            <w:vAlign w:val="bottom"/>
          </w:tcPr>
          <w:p w14:paraId="6FD212B8" w14:textId="33B4ED83" w:rsidR="00685A91" w:rsidRPr="00C77AD6" w:rsidRDefault="00685A91" w:rsidP="00685A91">
            <w:pPr>
              <w:spacing w:after="0" w:line="240" w:lineRule="auto"/>
              <w:rPr>
                <w:rFonts w:ascii="Times New Roman" w:eastAsia="Times New Roman" w:hAnsi="Times New Roman" w:cs="Times New Roman"/>
                <w:color w:val="262626"/>
                <w:lang w:eastAsia="en-AU"/>
              </w:rPr>
            </w:pPr>
            <w:r w:rsidRPr="000B17F2">
              <w:rPr>
                <w:rFonts w:eastAsia="Times New Roman" w:cs="Times New Roman"/>
                <w:color w:val="262626"/>
                <w:lang w:eastAsia="en-AU"/>
              </w:rPr>
              <w:t>1,</w:t>
            </w:r>
            <w:r w:rsidR="00D568C5">
              <w:rPr>
                <w:rFonts w:eastAsia="Times New Roman" w:cs="Times New Roman"/>
                <w:color w:val="262626"/>
                <w:lang w:eastAsia="en-AU"/>
              </w:rPr>
              <w:t xml:space="preserve"> </w:t>
            </w:r>
            <w:r w:rsidRPr="000B17F2">
              <w:rPr>
                <w:rFonts w:eastAsia="Times New Roman" w:cs="Times New Roman"/>
                <w:color w:val="262626"/>
                <w:lang w:eastAsia="en-AU"/>
              </w:rPr>
              <w:t>6</w:t>
            </w:r>
            <w:r w:rsidR="00D568C5">
              <w:rPr>
                <w:rFonts w:eastAsia="Times New Roman" w:cs="Times New Roman"/>
                <w:color w:val="262626"/>
                <w:lang w:eastAsia="en-AU"/>
              </w:rPr>
              <w:t xml:space="preserve">, 7, </w:t>
            </w:r>
            <w:r w:rsidRPr="000B17F2">
              <w:rPr>
                <w:rFonts w:eastAsia="Times New Roman" w:cs="Times New Roman"/>
                <w:color w:val="262626"/>
                <w:lang w:eastAsia="en-AU"/>
              </w:rPr>
              <w:t>8</w:t>
            </w:r>
          </w:p>
        </w:tc>
        <w:tc>
          <w:tcPr>
            <w:tcW w:w="317" w:type="pct"/>
            <w:tcBorders>
              <w:bottom w:val="single" w:sz="4" w:space="0" w:color="auto"/>
              <w:right w:val="single" w:sz="12" w:space="0" w:color="auto"/>
            </w:tcBorders>
            <w:shd w:val="clear" w:color="auto" w:fill="F3BA97" w:themeFill="accent4" w:themeFillTint="66"/>
            <w:noWrap/>
            <w:vAlign w:val="bottom"/>
          </w:tcPr>
          <w:p w14:paraId="69251E18" w14:textId="3F08788E" w:rsidR="00685A91" w:rsidRPr="00C77AD6" w:rsidRDefault="00685A91" w:rsidP="00685A91">
            <w:pPr>
              <w:spacing w:after="0" w:line="240" w:lineRule="auto"/>
              <w:rPr>
                <w:rFonts w:ascii="Times New Roman" w:eastAsia="Times New Roman" w:hAnsi="Times New Roman" w:cs="Times New Roman"/>
                <w:color w:val="262626"/>
                <w:lang w:eastAsia="en-AU"/>
              </w:rPr>
            </w:pPr>
            <w:r w:rsidRPr="000B17F2">
              <w:rPr>
                <w:rFonts w:eastAsia="Times New Roman" w:cs="Times New Roman"/>
                <w:color w:val="262626"/>
                <w:lang w:eastAsia="en-AU"/>
              </w:rPr>
              <w:t>1,</w:t>
            </w:r>
            <w:r w:rsidR="00D568C5">
              <w:rPr>
                <w:rFonts w:eastAsia="Times New Roman" w:cs="Times New Roman"/>
                <w:color w:val="262626"/>
                <w:lang w:eastAsia="en-AU"/>
              </w:rPr>
              <w:t xml:space="preserve"> </w:t>
            </w:r>
            <w:r w:rsidRPr="000B17F2">
              <w:rPr>
                <w:rFonts w:eastAsia="Times New Roman" w:cs="Times New Roman"/>
                <w:color w:val="262626"/>
                <w:lang w:eastAsia="en-AU"/>
              </w:rPr>
              <w:t>6</w:t>
            </w:r>
            <w:r w:rsidR="00D568C5">
              <w:rPr>
                <w:rFonts w:eastAsia="Times New Roman" w:cs="Times New Roman"/>
                <w:color w:val="262626"/>
                <w:lang w:eastAsia="en-AU"/>
              </w:rPr>
              <w:t xml:space="preserve">, 7, </w:t>
            </w:r>
            <w:r w:rsidRPr="000B17F2">
              <w:rPr>
                <w:rFonts w:eastAsia="Times New Roman" w:cs="Times New Roman"/>
                <w:color w:val="262626"/>
                <w:lang w:eastAsia="en-AU"/>
              </w:rPr>
              <w:t>8</w:t>
            </w:r>
          </w:p>
        </w:tc>
        <w:tc>
          <w:tcPr>
            <w:tcW w:w="647" w:type="pct"/>
            <w:tcBorders>
              <w:top w:val="dashSmallGap" w:sz="4" w:space="0" w:color="auto"/>
              <w:left w:val="single" w:sz="12" w:space="0" w:color="auto"/>
              <w:bottom w:val="single" w:sz="4" w:space="0" w:color="auto"/>
            </w:tcBorders>
            <w:shd w:val="clear" w:color="auto" w:fill="auto"/>
            <w:vAlign w:val="bottom"/>
          </w:tcPr>
          <w:p w14:paraId="5000654C"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Avoidance or reduction of import penalties imposed by trade partners</w:t>
            </w:r>
          </w:p>
        </w:tc>
        <w:tc>
          <w:tcPr>
            <w:tcW w:w="368" w:type="pct"/>
            <w:tcBorders>
              <w:top w:val="dashSmallGap" w:sz="4" w:space="0" w:color="auto"/>
              <w:bottom w:val="single" w:sz="4" w:space="0" w:color="auto"/>
            </w:tcBorders>
            <w:shd w:val="clear" w:color="auto" w:fill="auto"/>
            <w:noWrap/>
            <w:vAlign w:val="bottom"/>
          </w:tcPr>
          <w:p w14:paraId="3A3AE1A3"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Economic</w:t>
            </w:r>
          </w:p>
        </w:tc>
        <w:tc>
          <w:tcPr>
            <w:tcW w:w="286" w:type="pct"/>
            <w:tcBorders>
              <w:top w:val="dashSmallGap" w:sz="4" w:space="0" w:color="auto"/>
              <w:bottom w:val="single" w:sz="4" w:space="0" w:color="auto"/>
              <w:right w:val="single" w:sz="8" w:space="0" w:color="auto"/>
            </w:tcBorders>
            <w:shd w:val="clear" w:color="auto" w:fill="auto"/>
            <w:noWrap/>
            <w:vAlign w:val="bottom"/>
          </w:tcPr>
          <w:p w14:paraId="7FEEF98F"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Low</w:t>
            </w:r>
          </w:p>
        </w:tc>
        <w:tc>
          <w:tcPr>
            <w:tcW w:w="284" w:type="pct"/>
            <w:tcBorders>
              <w:top w:val="dashSmallGap" w:sz="4" w:space="0" w:color="auto"/>
              <w:left w:val="single" w:sz="8" w:space="0" w:color="auto"/>
              <w:bottom w:val="single" w:sz="4" w:space="0" w:color="auto"/>
            </w:tcBorders>
            <w:shd w:val="clear" w:color="auto" w:fill="auto"/>
            <w:noWrap/>
            <w:vAlign w:val="bottom"/>
          </w:tcPr>
          <w:p w14:paraId="0DE8F0DE"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17" w:type="pct"/>
            <w:tcBorders>
              <w:top w:val="dashSmallGap" w:sz="4" w:space="0" w:color="auto"/>
              <w:bottom w:val="single" w:sz="4" w:space="0" w:color="auto"/>
            </w:tcBorders>
            <w:shd w:val="clear" w:color="auto" w:fill="6DF0C4"/>
            <w:noWrap/>
            <w:vAlign w:val="bottom"/>
          </w:tcPr>
          <w:p w14:paraId="3C6D2953" w14:textId="77777777" w:rsidR="00685A91" w:rsidRPr="00C77AD6" w:rsidRDefault="00685A91" w:rsidP="00685A9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1, 7, 8</w:t>
            </w:r>
          </w:p>
        </w:tc>
        <w:tc>
          <w:tcPr>
            <w:tcW w:w="317" w:type="pct"/>
            <w:tcBorders>
              <w:top w:val="dashSmallGap" w:sz="4" w:space="0" w:color="auto"/>
              <w:bottom w:val="single" w:sz="4" w:space="0" w:color="auto"/>
            </w:tcBorders>
            <w:shd w:val="clear" w:color="auto" w:fill="6DF0C4"/>
            <w:noWrap/>
            <w:vAlign w:val="bottom"/>
          </w:tcPr>
          <w:p w14:paraId="42D7233A" w14:textId="77777777" w:rsidR="00685A91" w:rsidRPr="00C77AD6" w:rsidRDefault="00685A91" w:rsidP="00685A9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1, 7, 8</w:t>
            </w:r>
          </w:p>
        </w:tc>
        <w:tc>
          <w:tcPr>
            <w:tcW w:w="310" w:type="pct"/>
            <w:tcBorders>
              <w:top w:val="dashSmallGap" w:sz="4" w:space="0" w:color="auto"/>
              <w:bottom w:val="single" w:sz="4" w:space="0" w:color="auto"/>
              <w:right w:val="single" w:sz="12" w:space="0" w:color="auto"/>
            </w:tcBorders>
            <w:shd w:val="clear" w:color="auto" w:fill="6DF0C4"/>
            <w:noWrap/>
            <w:vAlign w:val="bottom"/>
          </w:tcPr>
          <w:p w14:paraId="526F4C40" w14:textId="77777777" w:rsidR="00685A91" w:rsidRPr="00C77AD6" w:rsidRDefault="00685A91" w:rsidP="00685A9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1, 7, 8</w:t>
            </w:r>
          </w:p>
        </w:tc>
      </w:tr>
      <w:tr w:rsidR="00685A91" w:rsidRPr="00C77AD6" w14:paraId="62A3691D" w14:textId="77777777" w:rsidTr="007740E1">
        <w:trPr>
          <w:trHeight w:val="964"/>
        </w:trPr>
        <w:tc>
          <w:tcPr>
            <w:tcW w:w="360" w:type="pct"/>
            <w:tcBorders>
              <w:top w:val="single" w:sz="8" w:space="0" w:color="auto"/>
              <w:left w:val="single" w:sz="12" w:space="0" w:color="auto"/>
              <w:bottom w:val="single" w:sz="8" w:space="0" w:color="auto"/>
              <w:right w:val="single" w:sz="12" w:space="0" w:color="auto"/>
            </w:tcBorders>
            <w:shd w:val="clear" w:color="auto" w:fill="BCBCBC"/>
            <w:vAlign w:val="bottom"/>
            <w:hideMark/>
          </w:tcPr>
          <w:p w14:paraId="5EA466BA" w14:textId="77777777" w:rsidR="00685A91" w:rsidRPr="00C77AD6" w:rsidRDefault="00685A91" w:rsidP="00685A91">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Implementation and evaluation</w:t>
            </w:r>
          </w:p>
        </w:tc>
        <w:tc>
          <w:tcPr>
            <w:tcW w:w="398" w:type="pct"/>
            <w:gridSpan w:val="2"/>
            <w:tcBorders>
              <w:top w:val="single" w:sz="4" w:space="0" w:color="auto"/>
              <w:left w:val="single" w:sz="12" w:space="0" w:color="auto"/>
              <w:bottom w:val="single" w:sz="8" w:space="0" w:color="auto"/>
            </w:tcBorders>
            <w:shd w:val="clear" w:color="auto" w:fill="auto"/>
            <w:vAlign w:val="bottom"/>
          </w:tcPr>
          <w:p w14:paraId="6405C921"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86" w:type="pct"/>
            <w:gridSpan w:val="2"/>
            <w:tcBorders>
              <w:top w:val="single" w:sz="4" w:space="0" w:color="auto"/>
              <w:bottom w:val="single" w:sz="8" w:space="0" w:color="auto"/>
            </w:tcBorders>
            <w:shd w:val="clear" w:color="auto" w:fill="auto"/>
            <w:noWrap/>
            <w:vAlign w:val="bottom"/>
          </w:tcPr>
          <w:p w14:paraId="4D01F5D7"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85" w:type="pct"/>
            <w:tcBorders>
              <w:top w:val="single" w:sz="4" w:space="0" w:color="auto"/>
              <w:bottom w:val="single" w:sz="8" w:space="0" w:color="auto"/>
              <w:right w:val="single" w:sz="8" w:space="0" w:color="auto"/>
            </w:tcBorders>
            <w:shd w:val="clear" w:color="auto" w:fill="auto"/>
            <w:noWrap/>
            <w:vAlign w:val="bottom"/>
          </w:tcPr>
          <w:p w14:paraId="5F4126CD"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49" w:type="pct"/>
            <w:tcBorders>
              <w:top w:val="single" w:sz="4" w:space="0" w:color="auto"/>
              <w:left w:val="single" w:sz="8" w:space="0" w:color="auto"/>
              <w:bottom w:val="single" w:sz="8" w:space="0" w:color="auto"/>
            </w:tcBorders>
            <w:shd w:val="clear" w:color="auto" w:fill="auto"/>
            <w:noWrap/>
            <w:vAlign w:val="bottom"/>
          </w:tcPr>
          <w:p w14:paraId="617A5D50"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22" w:type="pct"/>
            <w:tcBorders>
              <w:top w:val="single" w:sz="4" w:space="0" w:color="auto"/>
              <w:bottom w:val="single" w:sz="8" w:space="0" w:color="auto"/>
            </w:tcBorders>
            <w:shd w:val="clear" w:color="auto" w:fill="auto"/>
            <w:noWrap/>
            <w:vAlign w:val="bottom"/>
          </w:tcPr>
          <w:p w14:paraId="2E5AB3E9"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54" w:type="pct"/>
            <w:tcBorders>
              <w:top w:val="single" w:sz="4" w:space="0" w:color="auto"/>
              <w:bottom w:val="single" w:sz="8" w:space="0" w:color="auto"/>
            </w:tcBorders>
            <w:shd w:val="clear" w:color="auto" w:fill="auto"/>
            <w:noWrap/>
            <w:vAlign w:val="bottom"/>
          </w:tcPr>
          <w:p w14:paraId="68B4B00F"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17" w:type="pct"/>
            <w:tcBorders>
              <w:top w:val="single" w:sz="4" w:space="0" w:color="auto"/>
              <w:bottom w:val="single" w:sz="8" w:space="0" w:color="auto"/>
              <w:right w:val="single" w:sz="12" w:space="0" w:color="auto"/>
            </w:tcBorders>
            <w:shd w:val="clear" w:color="auto" w:fill="auto"/>
            <w:noWrap/>
            <w:vAlign w:val="bottom"/>
          </w:tcPr>
          <w:p w14:paraId="76D3150D"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647" w:type="pct"/>
            <w:tcBorders>
              <w:top w:val="single" w:sz="4" w:space="0" w:color="auto"/>
              <w:left w:val="single" w:sz="12" w:space="0" w:color="auto"/>
              <w:bottom w:val="single" w:sz="8" w:space="0" w:color="auto"/>
            </w:tcBorders>
            <w:shd w:val="clear" w:color="auto" w:fill="auto"/>
            <w:vAlign w:val="bottom"/>
            <w:hideMark/>
          </w:tcPr>
          <w:p w14:paraId="1ADB7941"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xml:space="preserve">Appropriate calibration of policy settings through a review in 2026-27 </w:t>
            </w:r>
          </w:p>
        </w:tc>
        <w:tc>
          <w:tcPr>
            <w:tcW w:w="368" w:type="pct"/>
            <w:tcBorders>
              <w:top w:val="single" w:sz="4" w:space="0" w:color="auto"/>
              <w:bottom w:val="single" w:sz="8" w:space="0" w:color="auto"/>
            </w:tcBorders>
            <w:shd w:val="clear" w:color="000000" w:fill="FFFFFF"/>
            <w:noWrap/>
            <w:vAlign w:val="bottom"/>
            <w:hideMark/>
          </w:tcPr>
          <w:p w14:paraId="70C76AE2"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Economic</w:t>
            </w:r>
          </w:p>
        </w:tc>
        <w:tc>
          <w:tcPr>
            <w:tcW w:w="286" w:type="pct"/>
            <w:tcBorders>
              <w:top w:val="single" w:sz="4" w:space="0" w:color="auto"/>
              <w:bottom w:val="single" w:sz="8" w:space="0" w:color="auto"/>
              <w:right w:val="single" w:sz="8" w:space="0" w:color="auto"/>
            </w:tcBorders>
            <w:shd w:val="clear" w:color="000000" w:fill="FFFFFF"/>
            <w:noWrap/>
            <w:vAlign w:val="bottom"/>
            <w:hideMark/>
          </w:tcPr>
          <w:p w14:paraId="2D5C49C0"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Medium</w:t>
            </w:r>
          </w:p>
        </w:tc>
        <w:tc>
          <w:tcPr>
            <w:tcW w:w="284" w:type="pct"/>
            <w:tcBorders>
              <w:top w:val="single" w:sz="4" w:space="0" w:color="auto"/>
              <w:left w:val="single" w:sz="8" w:space="0" w:color="auto"/>
              <w:bottom w:val="single" w:sz="8" w:space="0" w:color="auto"/>
            </w:tcBorders>
            <w:shd w:val="clear" w:color="auto" w:fill="auto"/>
            <w:noWrap/>
            <w:vAlign w:val="bottom"/>
            <w:hideMark/>
          </w:tcPr>
          <w:p w14:paraId="48862916"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7" w:type="pct"/>
            <w:tcBorders>
              <w:top w:val="single" w:sz="4" w:space="0" w:color="auto"/>
              <w:bottom w:val="single" w:sz="8" w:space="0" w:color="auto"/>
            </w:tcBorders>
            <w:shd w:val="clear" w:color="auto" w:fill="auto"/>
            <w:noWrap/>
            <w:vAlign w:val="bottom"/>
            <w:hideMark/>
          </w:tcPr>
          <w:p w14:paraId="5DE2FEC4"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10-11</w:t>
            </w:r>
          </w:p>
        </w:tc>
        <w:tc>
          <w:tcPr>
            <w:tcW w:w="317" w:type="pct"/>
            <w:tcBorders>
              <w:top w:val="single" w:sz="4" w:space="0" w:color="auto"/>
              <w:bottom w:val="single" w:sz="8" w:space="0" w:color="auto"/>
            </w:tcBorders>
            <w:shd w:val="clear" w:color="auto" w:fill="auto"/>
            <w:noWrap/>
            <w:vAlign w:val="bottom"/>
            <w:hideMark/>
          </w:tcPr>
          <w:p w14:paraId="685493DF"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10-11</w:t>
            </w:r>
          </w:p>
        </w:tc>
        <w:tc>
          <w:tcPr>
            <w:tcW w:w="310" w:type="pct"/>
            <w:tcBorders>
              <w:top w:val="single" w:sz="4" w:space="0" w:color="auto"/>
              <w:bottom w:val="single" w:sz="8" w:space="0" w:color="auto"/>
              <w:right w:val="single" w:sz="12" w:space="0" w:color="auto"/>
            </w:tcBorders>
            <w:shd w:val="clear" w:color="auto" w:fill="6DF0C4"/>
            <w:noWrap/>
            <w:vAlign w:val="bottom"/>
            <w:hideMark/>
          </w:tcPr>
          <w:p w14:paraId="0FB9B6B8"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12</w:t>
            </w:r>
          </w:p>
        </w:tc>
      </w:tr>
      <w:tr w:rsidR="00685A91" w:rsidRPr="00C77AD6" w14:paraId="4B0568B1" w14:textId="77777777" w:rsidTr="0082719C">
        <w:trPr>
          <w:trHeight w:val="2304"/>
        </w:trPr>
        <w:tc>
          <w:tcPr>
            <w:tcW w:w="360" w:type="pct"/>
            <w:tcBorders>
              <w:top w:val="single" w:sz="8" w:space="0" w:color="auto"/>
              <w:left w:val="single" w:sz="12" w:space="0" w:color="auto"/>
              <w:bottom w:val="single" w:sz="8" w:space="0" w:color="auto"/>
              <w:right w:val="single" w:sz="12" w:space="0" w:color="auto"/>
            </w:tcBorders>
            <w:shd w:val="clear" w:color="auto" w:fill="BCBCBC"/>
            <w:vAlign w:val="bottom"/>
            <w:hideMark/>
          </w:tcPr>
          <w:p w14:paraId="3204672F" w14:textId="77777777" w:rsidR="00685A91" w:rsidRPr="00C77AD6" w:rsidRDefault="00685A91" w:rsidP="00685A91">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Baselines for existing facilities</w:t>
            </w:r>
          </w:p>
        </w:tc>
        <w:tc>
          <w:tcPr>
            <w:tcW w:w="398" w:type="pct"/>
            <w:gridSpan w:val="2"/>
            <w:tcBorders>
              <w:top w:val="single" w:sz="8" w:space="0" w:color="auto"/>
              <w:left w:val="single" w:sz="12" w:space="0" w:color="auto"/>
              <w:bottom w:val="single" w:sz="8" w:space="0" w:color="auto"/>
            </w:tcBorders>
            <w:shd w:val="clear" w:color="auto" w:fill="auto"/>
            <w:vAlign w:val="bottom"/>
          </w:tcPr>
          <w:p w14:paraId="6DF75442" w14:textId="2189A4CD" w:rsidR="00685A91" w:rsidRPr="00C77AD6" w:rsidRDefault="00685A91" w:rsidP="00685A91">
            <w:pPr>
              <w:spacing w:after="0" w:line="240" w:lineRule="auto"/>
              <w:rPr>
                <w:rFonts w:ascii="Calibri" w:eastAsia="Times New Roman" w:hAnsi="Calibri" w:cs="Calibri"/>
                <w:color w:val="000000"/>
                <w:lang w:eastAsia="en-AU"/>
              </w:rPr>
            </w:pPr>
          </w:p>
        </w:tc>
        <w:tc>
          <w:tcPr>
            <w:tcW w:w="286" w:type="pct"/>
            <w:gridSpan w:val="2"/>
            <w:tcBorders>
              <w:top w:val="single" w:sz="8" w:space="0" w:color="auto"/>
              <w:bottom w:val="single" w:sz="8" w:space="0" w:color="auto"/>
            </w:tcBorders>
            <w:shd w:val="clear" w:color="auto" w:fill="auto"/>
            <w:noWrap/>
            <w:vAlign w:val="bottom"/>
          </w:tcPr>
          <w:p w14:paraId="44684E2E"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85" w:type="pct"/>
            <w:tcBorders>
              <w:top w:val="single" w:sz="8" w:space="0" w:color="auto"/>
              <w:bottom w:val="single" w:sz="8" w:space="0" w:color="auto"/>
              <w:right w:val="single" w:sz="8" w:space="0" w:color="auto"/>
            </w:tcBorders>
            <w:shd w:val="clear" w:color="auto" w:fill="auto"/>
            <w:noWrap/>
            <w:vAlign w:val="bottom"/>
          </w:tcPr>
          <w:p w14:paraId="708C0B42"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49" w:type="pct"/>
            <w:tcBorders>
              <w:top w:val="single" w:sz="8" w:space="0" w:color="auto"/>
              <w:left w:val="single" w:sz="8" w:space="0" w:color="auto"/>
              <w:bottom w:val="single" w:sz="8" w:space="0" w:color="auto"/>
            </w:tcBorders>
            <w:shd w:val="clear" w:color="auto" w:fill="auto"/>
            <w:noWrap/>
            <w:vAlign w:val="bottom"/>
          </w:tcPr>
          <w:p w14:paraId="4798C6EE"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22" w:type="pct"/>
            <w:tcBorders>
              <w:top w:val="single" w:sz="8" w:space="0" w:color="auto"/>
              <w:bottom w:val="single" w:sz="8" w:space="0" w:color="auto"/>
            </w:tcBorders>
            <w:shd w:val="clear" w:color="auto" w:fill="auto"/>
            <w:noWrap/>
            <w:vAlign w:val="bottom"/>
          </w:tcPr>
          <w:p w14:paraId="4B147E4A"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54" w:type="pct"/>
            <w:tcBorders>
              <w:top w:val="single" w:sz="8" w:space="0" w:color="auto"/>
              <w:bottom w:val="single" w:sz="8" w:space="0" w:color="auto"/>
            </w:tcBorders>
            <w:shd w:val="clear" w:color="auto" w:fill="auto"/>
            <w:noWrap/>
            <w:vAlign w:val="bottom"/>
          </w:tcPr>
          <w:p w14:paraId="6C3DB0F3"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17" w:type="pct"/>
            <w:tcBorders>
              <w:top w:val="single" w:sz="8" w:space="0" w:color="auto"/>
              <w:bottom w:val="single" w:sz="8" w:space="0" w:color="auto"/>
              <w:right w:val="single" w:sz="12" w:space="0" w:color="auto"/>
            </w:tcBorders>
            <w:shd w:val="clear" w:color="auto" w:fill="auto"/>
            <w:noWrap/>
            <w:vAlign w:val="bottom"/>
          </w:tcPr>
          <w:p w14:paraId="15BA52D7"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647" w:type="pct"/>
            <w:tcBorders>
              <w:top w:val="single" w:sz="8" w:space="0" w:color="auto"/>
              <w:left w:val="single" w:sz="12" w:space="0" w:color="auto"/>
              <w:bottom w:val="single" w:sz="8" w:space="0" w:color="auto"/>
            </w:tcBorders>
            <w:shd w:val="clear" w:color="auto" w:fill="auto"/>
            <w:vAlign w:val="bottom"/>
            <w:hideMark/>
          </w:tcPr>
          <w:p w14:paraId="2808BFA0"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Hybrid option allows businesses to manage transition by giving sufficient time to prepare to manage the lumpy nature of abatement technology deployment while delivering on the benchmark approach in the medium to long term</w:t>
            </w:r>
          </w:p>
        </w:tc>
        <w:tc>
          <w:tcPr>
            <w:tcW w:w="368" w:type="pct"/>
            <w:tcBorders>
              <w:top w:val="single" w:sz="8" w:space="0" w:color="auto"/>
              <w:bottom w:val="single" w:sz="8" w:space="0" w:color="auto"/>
            </w:tcBorders>
            <w:shd w:val="clear" w:color="auto" w:fill="auto"/>
            <w:noWrap/>
            <w:vAlign w:val="bottom"/>
            <w:hideMark/>
          </w:tcPr>
          <w:p w14:paraId="72AC1578"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Economic</w:t>
            </w:r>
          </w:p>
        </w:tc>
        <w:tc>
          <w:tcPr>
            <w:tcW w:w="286" w:type="pct"/>
            <w:tcBorders>
              <w:top w:val="single" w:sz="8" w:space="0" w:color="auto"/>
              <w:bottom w:val="single" w:sz="8" w:space="0" w:color="auto"/>
              <w:right w:val="single" w:sz="8" w:space="0" w:color="auto"/>
            </w:tcBorders>
            <w:shd w:val="clear" w:color="auto" w:fill="auto"/>
            <w:noWrap/>
            <w:vAlign w:val="bottom"/>
            <w:hideMark/>
          </w:tcPr>
          <w:p w14:paraId="4EC08D36"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High</w:t>
            </w:r>
          </w:p>
        </w:tc>
        <w:tc>
          <w:tcPr>
            <w:tcW w:w="284" w:type="pct"/>
            <w:tcBorders>
              <w:top w:val="single" w:sz="8" w:space="0" w:color="auto"/>
              <w:left w:val="single" w:sz="8" w:space="0" w:color="auto"/>
              <w:bottom w:val="single" w:sz="8" w:space="0" w:color="auto"/>
            </w:tcBorders>
            <w:shd w:val="clear" w:color="auto" w:fill="auto"/>
            <w:noWrap/>
            <w:vAlign w:val="bottom"/>
            <w:hideMark/>
          </w:tcPr>
          <w:p w14:paraId="4BF62AC1"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7" w:type="pct"/>
            <w:tcBorders>
              <w:top w:val="single" w:sz="8" w:space="0" w:color="auto"/>
              <w:bottom w:val="single" w:sz="8" w:space="0" w:color="auto"/>
            </w:tcBorders>
            <w:shd w:val="clear" w:color="auto" w:fill="auto"/>
            <w:noWrap/>
            <w:vAlign w:val="bottom"/>
            <w:hideMark/>
          </w:tcPr>
          <w:p w14:paraId="3DD31BA9"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7" w:type="pct"/>
            <w:tcBorders>
              <w:top w:val="single" w:sz="8" w:space="0" w:color="auto"/>
              <w:bottom w:val="single" w:sz="8" w:space="0" w:color="auto"/>
            </w:tcBorders>
            <w:shd w:val="clear" w:color="auto" w:fill="auto"/>
            <w:noWrap/>
            <w:vAlign w:val="bottom"/>
            <w:hideMark/>
          </w:tcPr>
          <w:p w14:paraId="66D8EB4C"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0" w:type="pct"/>
            <w:tcBorders>
              <w:top w:val="single" w:sz="8" w:space="0" w:color="auto"/>
              <w:bottom w:val="single" w:sz="8" w:space="0" w:color="auto"/>
              <w:right w:val="single" w:sz="12" w:space="0" w:color="auto"/>
            </w:tcBorders>
            <w:shd w:val="clear" w:color="auto" w:fill="6DF0C4"/>
            <w:noWrap/>
            <w:vAlign w:val="bottom"/>
            <w:hideMark/>
          </w:tcPr>
          <w:p w14:paraId="2AC7B8B3"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18-20, 24</w:t>
            </w:r>
          </w:p>
        </w:tc>
      </w:tr>
      <w:tr w:rsidR="00685A91" w:rsidRPr="00C77AD6" w14:paraId="59EE7B71" w14:textId="77777777" w:rsidTr="002572E1">
        <w:trPr>
          <w:trHeight w:val="2016"/>
        </w:trPr>
        <w:tc>
          <w:tcPr>
            <w:tcW w:w="360" w:type="pct"/>
            <w:tcBorders>
              <w:top w:val="single" w:sz="8" w:space="0" w:color="auto"/>
              <w:left w:val="single" w:sz="12" w:space="0" w:color="auto"/>
              <w:bottom w:val="single" w:sz="8" w:space="0" w:color="auto"/>
              <w:right w:val="single" w:sz="12" w:space="0" w:color="auto"/>
            </w:tcBorders>
            <w:shd w:val="clear" w:color="auto" w:fill="BCBCBC"/>
            <w:vAlign w:val="bottom"/>
            <w:hideMark/>
          </w:tcPr>
          <w:p w14:paraId="298E3AF3" w14:textId="77777777" w:rsidR="00685A91" w:rsidRPr="00C77AD6" w:rsidRDefault="00685A91" w:rsidP="00685A91">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Baselines for new entrants and significant expansions</w:t>
            </w:r>
          </w:p>
        </w:tc>
        <w:tc>
          <w:tcPr>
            <w:tcW w:w="398" w:type="pct"/>
            <w:gridSpan w:val="2"/>
            <w:tcBorders>
              <w:top w:val="single" w:sz="8" w:space="0" w:color="auto"/>
              <w:left w:val="single" w:sz="12" w:space="0" w:color="auto"/>
              <w:bottom w:val="single" w:sz="8" w:space="0" w:color="auto"/>
            </w:tcBorders>
            <w:shd w:val="clear" w:color="auto" w:fill="auto"/>
            <w:vAlign w:val="bottom"/>
            <w:hideMark/>
          </w:tcPr>
          <w:p w14:paraId="50783E4A" w14:textId="416AE72A" w:rsidR="00685A91" w:rsidRPr="00C77AD6" w:rsidRDefault="00685A91" w:rsidP="00685A9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Potential i</w:t>
            </w:r>
            <w:r w:rsidRPr="00C77AD6">
              <w:rPr>
                <w:rFonts w:ascii="Calibri" w:eastAsia="Times New Roman" w:hAnsi="Calibri" w:cs="Calibri"/>
                <w:color w:val="000000"/>
                <w:lang w:eastAsia="en-AU"/>
              </w:rPr>
              <w:t xml:space="preserve">ncreased capital cost to </w:t>
            </w:r>
            <w:r>
              <w:rPr>
                <w:rFonts w:ascii="Calibri" w:eastAsia="Times New Roman" w:hAnsi="Calibri" w:cs="Calibri"/>
                <w:color w:val="000000"/>
                <w:lang w:eastAsia="en-AU"/>
              </w:rPr>
              <w:t xml:space="preserve">some </w:t>
            </w:r>
            <w:r w:rsidRPr="00C77AD6">
              <w:rPr>
                <w:rFonts w:ascii="Calibri" w:eastAsia="Times New Roman" w:hAnsi="Calibri" w:cs="Calibri"/>
                <w:color w:val="000000"/>
                <w:lang w:eastAsia="en-AU"/>
              </w:rPr>
              <w:t>new entrant businesses for setting up facilities that meet  best-practice benchmarks</w:t>
            </w:r>
          </w:p>
        </w:tc>
        <w:tc>
          <w:tcPr>
            <w:tcW w:w="286" w:type="pct"/>
            <w:gridSpan w:val="2"/>
            <w:tcBorders>
              <w:top w:val="single" w:sz="8" w:space="0" w:color="auto"/>
              <w:bottom w:val="single" w:sz="8" w:space="0" w:color="auto"/>
            </w:tcBorders>
            <w:shd w:val="clear" w:color="auto" w:fill="auto"/>
            <w:noWrap/>
            <w:vAlign w:val="bottom"/>
            <w:hideMark/>
          </w:tcPr>
          <w:p w14:paraId="2FFA77B2"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Economic</w:t>
            </w:r>
          </w:p>
        </w:tc>
        <w:tc>
          <w:tcPr>
            <w:tcW w:w="285" w:type="pct"/>
            <w:tcBorders>
              <w:top w:val="single" w:sz="8" w:space="0" w:color="auto"/>
              <w:bottom w:val="single" w:sz="8" w:space="0" w:color="auto"/>
              <w:right w:val="single" w:sz="8" w:space="0" w:color="auto"/>
            </w:tcBorders>
            <w:shd w:val="clear" w:color="auto" w:fill="auto"/>
            <w:noWrap/>
            <w:vAlign w:val="bottom"/>
            <w:hideMark/>
          </w:tcPr>
          <w:p w14:paraId="36CEC733" w14:textId="3D3312F2" w:rsidR="00685A91" w:rsidRPr="00C77AD6" w:rsidRDefault="00685A91" w:rsidP="00685A9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Medium</w:t>
            </w:r>
          </w:p>
        </w:tc>
        <w:tc>
          <w:tcPr>
            <w:tcW w:w="349" w:type="pct"/>
            <w:tcBorders>
              <w:top w:val="single" w:sz="8" w:space="0" w:color="auto"/>
              <w:left w:val="single" w:sz="8" w:space="0" w:color="auto"/>
              <w:bottom w:val="single" w:sz="8" w:space="0" w:color="auto"/>
            </w:tcBorders>
            <w:shd w:val="clear" w:color="auto" w:fill="auto"/>
            <w:noWrap/>
            <w:vAlign w:val="bottom"/>
            <w:hideMark/>
          </w:tcPr>
          <w:p w14:paraId="35BCB9B5"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25</w:t>
            </w:r>
          </w:p>
        </w:tc>
        <w:tc>
          <w:tcPr>
            <w:tcW w:w="222" w:type="pct"/>
            <w:tcBorders>
              <w:top w:val="single" w:sz="8" w:space="0" w:color="auto"/>
              <w:bottom w:val="single" w:sz="8" w:space="0" w:color="auto"/>
            </w:tcBorders>
            <w:shd w:val="clear" w:color="auto" w:fill="F3BA97"/>
            <w:noWrap/>
            <w:vAlign w:val="bottom"/>
            <w:hideMark/>
          </w:tcPr>
          <w:p w14:paraId="242D27DA" w14:textId="5ABDFEA8" w:rsidR="00685A91" w:rsidRPr="00C77AD6" w:rsidRDefault="00685A91" w:rsidP="00685A9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29-</w:t>
            </w:r>
            <w:r w:rsidRPr="00C77AD6">
              <w:rPr>
                <w:rFonts w:ascii="Calibri" w:eastAsia="Times New Roman" w:hAnsi="Calibri" w:cs="Calibri"/>
                <w:color w:val="000000"/>
                <w:lang w:eastAsia="en-AU"/>
              </w:rPr>
              <w:t>30</w:t>
            </w:r>
          </w:p>
        </w:tc>
        <w:tc>
          <w:tcPr>
            <w:tcW w:w="254" w:type="pct"/>
            <w:tcBorders>
              <w:top w:val="single" w:sz="8" w:space="0" w:color="auto"/>
              <w:bottom w:val="single" w:sz="8" w:space="0" w:color="auto"/>
            </w:tcBorders>
            <w:shd w:val="clear" w:color="auto" w:fill="F3BA97"/>
            <w:noWrap/>
            <w:vAlign w:val="bottom"/>
            <w:hideMark/>
          </w:tcPr>
          <w:p w14:paraId="735E9A87" w14:textId="520FE4CA" w:rsidR="00685A91" w:rsidRPr="00C77AD6" w:rsidRDefault="00685A91" w:rsidP="00685A9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29-</w:t>
            </w:r>
            <w:r w:rsidRPr="00C77AD6">
              <w:rPr>
                <w:rFonts w:ascii="Calibri" w:eastAsia="Times New Roman" w:hAnsi="Calibri" w:cs="Calibri"/>
                <w:color w:val="000000"/>
                <w:lang w:eastAsia="en-AU"/>
              </w:rPr>
              <w:t>30</w:t>
            </w:r>
          </w:p>
        </w:tc>
        <w:tc>
          <w:tcPr>
            <w:tcW w:w="317" w:type="pct"/>
            <w:tcBorders>
              <w:top w:val="single" w:sz="8" w:space="0" w:color="auto"/>
              <w:bottom w:val="single" w:sz="8" w:space="0" w:color="auto"/>
              <w:right w:val="single" w:sz="12" w:space="0" w:color="auto"/>
            </w:tcBorders>
            <w:shd w:val="clear" w:color="auto" w:fill="F3BA97"/>
            <w:noWrap/>
            <w:vAlign w:val="bottom"/>
            <w:hideMark/>
          </w:tcPr>
          <w:p w14:paraId="0F5B2010" w14:textId="58346A1D" w:rsidR="00685A91" w:rsidRPr="00C77AD6" w:rsidRDefault="00685A91" w:rsidP="00685A9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29-</w:t>
            </w:r>
            <w:r w:rsidRPr="00C77AD6">
              <w:rPr>
                <w:rFonts w:ascii="Calibri" w:eastAsia="Times New Roman" w:hAnsi="Calibri" w:cs="Calibri"/>
                <w:color w:val="000000"/>
                <w:lang w:eastAsia="en-AU"/>
              </w:rPr>
              <w:t>30</w:t>
            </w:r>
          </w:p>
        </w:tc>
        <w:tc>
          <w:tcPr>
            <w:tcW w:w="647" w:type="pct"/>
            <w:tcBorders>
              <w:top w:val="single" w:sz="8" w:space="0" w:color="auto"/>
              <w:left w:val="single" w:sz="12" w:space="0" w:color="auto"/>
              <w:bottom w:val="single" w:sz="8" w:space="0" w:color="auto"/>
            </w:tcBorders>
            <w:shd w:val="clear" w:color="auto" w:fill="auto"/>
            <w:vAlign w:val="bottom"/>
            <w:hideMark/>
          </w:tcPr>
          <w:p w14:paraId="35E9B265"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Avoids locking in investment in emissions-intensive long-life assets, reduces competitive distortions between new and existing facilities, and reduce</w:t>
            </w:r>
            <w:r>
              <w:rPr>
                <w:rFonts w:ascii="Calibri" w:eastAsia="Times New Roman" w:hAnsi="Calibri" w:cs="Calibri"/>
                <w:color w:val="000000"/>
                <w:lang w:eastAsia="en-AU"/>
              </w:rPr>
              <w:t>s</w:t>
            </w:r>
            <w:r w:rsidRPr="00C77AD6">
              <w:rPr>
                <w:rFonts w:ascii="Calibri" w:eastAsia="Times New Roman" w:hAnsi="Calibri" w:cs="Calibri"/>
                <w:color w:val="000000"/>
                <w:lang w:eastAsia="en-AU"/>
              </w:rPr>
              <w:t xml:space="preserve"> the potential opportunities for gaming facility definitions under </w:t>
            </w:r>
            <w:proofErr w:type="spellStart"/>
            <w:r w:rsidRPr="00C77AD6">
              <w:rPr>
                <w:rFonts w:ascii="Calibri" w:eastAsia="Times New Roman" w:hAnsi="Calibri" w:cs="Calibri"/>
                <w:color w:val="000000"/>
                <w:lang w:eastAsia="en-AU"/>
              </w:rPr>
              <w:t>NGERs</w:t>
            </w:r>
            <w:proofErr w:type="spellEnd"/>
            <w:r w:rsidRPr="00C77AD6">
              <w:rPr>
                <w:rFonts w:ascii="Calibri" w:eastAsia="Times New Roman" w:hAnsi="Calibri" w:cs="Calibri"/>
                <w:color w:val="000000"/>
                <w:lang w:eastAsia="en-AU"/>
              </w:rPr>
              <w:t xml:space="preserve">. </w:t>
            </w:r>
          </w:p>
        </w:tc>
        <w:tc>
          <w:tcPr>
            <w:tcW w:w="368" w:type="pct"/>
            <w:tcBorders>
              <w:top w:val="single" w:sz="8" w:space="0" w:color="auto"/>
              <w:bottom w:val="single" w:sz="8" w:space="0" w:color="auto"/>
            </w:tcBorders>
            <w:shd w:val="clear" w:color="auto" w:fill="auto"/>
            <w:noWrap/>
            <w:vAlign w:val="bottom"/>
            <w:hideMark/>
          </w:tcPr>
          <w:p w14:paraId="616DA973"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Economic</w:t>
            </w:r>
          </w:p>
        </w:tc>
        <w:tc>
          <w:tcPr>
            <w:tcW w:w="286" w:type="pct"/>
            <w:tcBorders>
              <w:top w:val="single" w:sz="8" w:space="0" w:color="auto"/>
              <w:bottom w:val="single" w:sz="8" w:space="0" w:color="auto"/>
              <w:right w:val="single" w:sz="8" w:space="0" w:color="auto"/>
            </w:tcBorders>
            <w:shd w:val="clear" w:color="auto" w:fill="auto"/>
            <w:noWrap/>
            <w:vAlign w:val="bottom"/>
            <w:hideMark/>
          </w:tcPr>
          <w:p w14:paraId="470A9C09"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High</w:t>
            </w:r>
          </w:p>
        </w:tc>
        <w:tc>
          <w:tcPr>
            <w:tcW w:w="284" w:type="pct"/>
            <w:tcBorders>
              <w:top w:val="single" w:sz="8" w:space="0" w:color="auto"/>
              <w:left w:val="single" w:sz="8" w:space="0" w:color="auto"/>
              <w:bottom w:val="single" w:sz="8" w:space="0" w:color="auto"/>
            </w:tcBorders>
            <w:shd w:val="clear" w:color="auto" w:fill="auto"/>
            <w:noWrap/>
            <w:vAlign w:val="bottom"/>
            <w:hideMark/>
          </w:tcPr>
          <w:p w14:paraId="7D10D763"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7" w:type="pct"/>
            <w:tcBorders>
              <w:top w:val="single" w:sz="8" w:space="0" w:color="auto"/>
              <w:bottom w:val="single" w:sz="8" w:space="0" w:color="auto"/>
            </w:tcBorders>
            <w:shd w:val="clear" w:color="auto" w:fill="6DF0C4"/>
            <w:noWrap/>
            <w:vAlign w:val="bottom"/>
            <w:hideMark/>
          </w:tcPr>
          <w:p w14:paraId="0A23F42B"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26-28</w:t>
            </w:r>
          </w:p>
        </w:tc>
        <w:tc>
          <w:tcPr>
            <w:tcW w:w="317" w:type="pct"/>
            <w:tcBorders>
              <w:top w:val="single" w:sz="8" w:space="0" w:color="auto"/>
              <w:bottom w:val="single" w:sz="8" w:space="0" w:color="auto"/>
            </w:tcBorders>
            <w:shd w:val="clear" w:color="auto" w:fill="6DF0C4"/>
            <w:noWrap/>
            <w:vAlign w:val="bottom"/>
            <w:hideMark/>
          </w:tcPr>
          <w:p w14:paraId="205ACB32"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26-28</w:t>
            </w:r>
          </w:p>
        </w:tc>
        <w:tc>
          <w:tcPr>
            <w:tcW w:w="310" w:type="pct"/>
            <w:tcBorders>
              <w:top w:val="single" w:sz="8" w:space="0" w:color="auto"/>
              <w:bottom w:val="single" w:sz="8" w:space="0" w:color="auto"/>
              <w:right w:val="single" w:sz="12" w:space="0" w:color="auto"/>
            </w:tcBorders>
            <w:shd w:val="clear" w:color="auto" w:fill="6DF0C4"/>
            <w:noWrap/>
            <w:vAlign w:val="bottom"/>
            <w:hideMark/>
          </w:tcPr>
          <w:p w14:paraId="56321222" w14:textId="287CC5AA"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29</w:t>
            </w:r>
            <w:r>
              <w:rPr>
                <w:rFonts w:ascii="Calibri" w:eastAsia="Times New Roman" w:hAnsi="Calibri" w:cs="Calibri"/>
                <w:color w:val="000000"/>
                <w:lang w:eastAsia="en-AU"/>
              </w:rPr>
              <w:t>-30</w:t>
            </w:r>
          </w:p>
        </w:tc>
      </w:tr>
      <w:tr w:rsidR="00685A91" w:rsidRPr="00C77AD6" w14:paraId="1E957CA9" w14:textId="77777777" w:rsidTr="002572E1">
        <w:trPr>
          <w:trHeight w:val="899"/>
        </w:trPr>
        <w:tc>
          <w:tcPr>
            <w:tcW w:w="360" w:type="pct"/>
            <w:tcBorders>
              <w:top w:val="single" w:sz="8" w:space="0" w:color="auto"/>
              <w:left w:val="single" w:sz="12" w:space="0" w:color="auto"/>
              <w:bottom w:val="single" w:sz="8" w:space="0" w:color="auto"/>
              <w:right w:val="single" w:sz="12" w:space="0" w:color="auto"/>
            </w:tcBorders>
            <w:shd w:val="clear" w:color="auto" w:fill="BCBCBC"/>
            <w:vAlign w:val="bottom"/>
            <w:hideMark/>
          </w:tcPr>
          <w:p w14:paraId="2D0276C4" w14:textId="77777777" w:rsidR="00685A91" w:rsidRPr="00C77AD6" w:rsidRDefault="00685A91" w:rsidP="00685A91">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Flexible compliance options - SMC crediting and trading</w:t>
            </w:r>
          </w:p>
        </w:tc>
        <w:tc>
          <w:tcPr>
            <w:tcW w:w="398" w:type="pct"/>
            <w:gridSpan w:val="2"/>
            <w:tcBorders>
              <w:left w:val="single" w:sz="12" w:space="0" w:color="auto"/>
              <w:bottom w:val="single" w:sz="8" w:space="0" w:color="auto"/>
            </w:tcBorders>
            <w:shd w:val="clear" w:color="auto" w:fill="auto"/>
            <w:vAlign w:val="bottom"/>
          </w:tcPr>
          <w:p w14:paraId="52931970"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86" w:type="pct"/>
            <w:gridSpan w:val="2"/>
            <w:tcBorders>
              <w:bottom w:val="single" w:sz="8" w:space="0" w:color="auto"/>
            </w:tcBorders>
            <w:shd w:val="clear" w:color="auto" w:fill="auto"/>
            <w:noWrap/>
            <w:vAlign w:val="bottom"/>
          </w:tcPr>
          <w:p w14:paraId="7043CE87"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85" w:type="pct"/>
            <w:tcBorders>
              <w:bottom w:val="single" w:sz="8" w:space="0" w:color="auto"/>
              <w:right w:val="single" w:sz="8" w:space="0" w:color="auto"/>
            </w:tcBorders>
            <w:shd w:val="clear" w:color="auto" w:fill="auto"/>
            <w:noWrap/>
            <w:vAlign w:val="bottom"/>
          </w:tcPr>
          <w:p w14:paraId="74570002"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49" w:type="pct"/>
            <w:tcBorders>
              <w:left w:val="single" w:sz="8" w:space="0" w:color="auto"/>
              <w:bottom w:val="single" w:sz="8" w:space="0" w:color="auto"/>
            </w:tcBorders>
            <w:shd w:val="clear" w:color="auto" w:fill="auto"/>
            <w:noWrap/>
            <w:vAlign w:val="bottom"/>
          </w:tcPr>
          <w:p w14:paraId="48A84D61"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22" w:type="pct"/>
            <w:tcBorders>
              <w:bottom w:val="single" w:sz="8" w:space="0" w:color="auto"/>
            </w:tcBorders>
            <w:shd w:val="clear" w:color="auto" w:fill="auto"/>
            <w:noWrap/>
            <w:vAlign w:val="bottom"/>
          </w:tcPr>
          <w:p w14:paraId="7BAD576E"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54" w:type="pct"/>
            <w:tcBorders>
              <w:bottom w:val="single" w:sz="8" w:space="0" w:color="auto"/>
            </w:tcBorders>
            <w:shd w:val="clear" w:color="auto" w:fill="auto"/>
            <w:noWrap/>
            <w:vAlign w:val="bottom"/>
          </w:tcPr>
          <w:p w14:paraId="440004F5"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17" w:type="pct"/>
            <w:tcBorders>
              <w:bottom w:val="single" w:sz="8" w:space="0" w:color="auto"/>
              <w:right w:val="single" w:sz="12" w:space="0" w:color="auto"/>
            </w:tcBorders>
            <w:shd w:val="clear" w:color="auto" w:fill="auto"/>
            <w:noWrap/>
            <w:vAlign w:val="bottom"/>
          </w:tcPr>
          <w:p w14:paraId="4FCAF75B"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647" w:type="pct"/>
            <w:tcBorders>
              <w:left w:val="single" w:sz="12" w:space="0" w:color="auto"/>
              <w:bottom w:val="single" w:sz="8" w:space="0" w:color="auto"/>
            </w:tcBorders>
            <w:shd w:val="clear" w:color="auto" w:fill="auto"/>
            <w:vAlign w:val="bottom"/>
            <w:hideMark/>
          </w:tcPr>
          <w:p w14:paraId="38803B6C"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xml:space="preserve">Improved flexibility for compliance obligations through availability/liquidity of offsets with SMC trade, fungibility of </w:t>
            </w:r>
            <w:proofErr w:type="spellStart"/>
            <w:r w:rsidRPr="00C77AD6">
              <w:rPr>
                <w:rFonts w:ascii="Calibri" w:eastAsia="Times New Roman" w:hAnsi="Calibri" w:cs="Calibri"/>
                <w:color w:val="000000"/>
                <w:lang w:eastAsia="en-AU"/>
              </w:rPr>
              <w:t>ACCUs</w:t>
            </w:r>
            <w:proofErr w:type="spellEnd"/>
            <w:r w:rsidRPr="00C77AD6">
              <w:rPr>
                <w:rFonts w:ascii="Calibri" w:eastAsia="Times New Roman" w:hAnsi="Calibri" w:cs="Calibri"/>
                <w:color w:val="000000"/>
                <w:lang w:eastAsia="en-AU"/>
              </w:rPr>
              <w:t xml:space="preserve">, allowing businesses to </w:t>
            </w:r>
            <w:r w:rsidRPr="00C77AD6">
              <w:rPr>
                <w:rFonts w:ascii="Calibri" w:eastAsia="Times New Roman" w:hAnsi="Calibri" w:cs="Calibri"/>
                <w:color w:val="000000"/>
                <w:lang w:eastAsia="en-AU"/>
              </w:rPr>
              <w:lastRenderedPageBreak/>
              <w:t>manage compliance costs and lower abatement cost</w:t>
            </w:r>
          </w:p>
        </w:tc>
        <w:tc>
          <w:tcPr>
            <w:tcW w:w="368" w:type="pct"/>
            <w:tcBorders>
              <w:bottom w:val="single" w:sz="8" w:space="0" w:color="auto"/>
            </w:tcBorders>
            <w:shd w:val="clear" w:color="auto" w:fill="auto"/>
            <w:noWrap/>
            <w:vAlign w:val="bottom"/>
            <w:hideMark/>
          </w:tcPr>
          <w:p w14:paraId="2A745E26"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lastRenderedPageBreak/>
              <w:t>Economic</w:t>
            </w:r>
          </w:p>
        </w:tc>
        <w:tc>
          <w:tcPr>
            <w:tcW w:w="286" w:type="pct"/>
            <w:tcBorders>
              <w:bottom w:val="single" w:sz="8" w:space="0" w:color="auto"/>
              <w:right w:val="single" w:sz="8" w:space="0" w:color="auto"/>
            </w:tcBorders>
            <w:shd w:val="clear" w:color="auto" w:fill="auto"/>
            <w:noWrap/>
            <w:vAlign w:val="bottom"/>
            <w:hideMark/>
          </w:tcPr>
          <w:p w14:paraId="4D4CAF52"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High</w:t>
            </w:r>
          </w:p>
        </w:tc>
        <w:tc>
          <w:tcPr>
            <w:tcW w:w="284" w:type="pct"/>
            <w:tcBorders>
              <w:left w:val="single" w:sz="8" w:space="0" w:color="auto"/>
              <w:bottom w:val="single" w:sz="8" w:space="0" w:color="auto"/>
            </w:tcBorders>
            <w:shd w:val="clear" w:color="auto" w:fill="auto"/>
            <w:noWrap/>
            <w:vAlign w:val="bottom"/>
            <w:hideMark/>
          </w:tcPr>
          <w:p w14:paraId="11EEBCA0"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17" w:type="pct"/>
            <w:tcBorders>
              <w:bottom w:val="single" w:sz="8" w:space="0" w:color="auto"/>
            </w:tcBorders>
            <w:shd w:val="clear" w:color="auto" w:fill="6DF0C4"/>
            <w:noWrap/>
            <w:vAlign w:val="bottom"/>
            <w:hideMark/>
          </w:tcPr>
          <w:p w14:paraId="0EC705D1"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31, 33</w:t>
            </w:r>
          </w:p>
        </w:tc>
        <w:tc>
          <w:tcPr>
            <w:tcW w:w="317" w:type="pct"/>
            <w:tcBorders>
              <w:bottom w:val="single" w:sz="8" w:space="0" w:color="auto"/>
            </w:tcBorders>
            <w:shd w:val="clear" w:color="auto" w:fill="6DF0C4"/>
            <w:noWrap/>
            <w:vAlign w:val="bottom"/>
            <w:hideMark/>
          </w:tcPr>
          <w:p w14:paraId="0436E58A"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31, 33</w:t>
            </w:r>
          </w:p>
        </w:tc>
        <w:tc>
          <w:tcPr>
            <w:tcW w:w="310" w:type="pct"/>
            <w:tcBorders>
              <w:bottom w:val="single" w:sz="8" w:space="0" w:color="auto"/>
              <w:right w:val="single" w:sz="12" w:space="0" w:color="auto"/>
            </w:tcBorders>
            <w:shd w:val="clear" w:color="auto" w:fill="6DF0C4"/>
            <w:noWrap/>
            <w:vAlign w:val="bottom"/>
            <w:hideMark/>
          </w:tcPr>
          <w:p w14:paraId="4910A4F7"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31, 33</w:t>
            </w:r>
          </w:p>
        </w:tc>
      </w:tr>
      <w:tr w:rsidR="00685A91" w:rsidRPr="00C77AD6" w14:paraId="76B055E9" w14:textId="77777777" w:rsidTr="002572E1">
        <w:trPr>
          <w:trHeight w:val="1587"/>
        </w:trPr>
        <w:tc>
          <w:tcPr>
            <w:tcW w:w="360" w:type="pct"/>
            <w:tcBorders>
              <w:top w:val="single" w:sz="8" w:space="0" w:color="auto"/>
              <w:left w:val="single" w:sz="12" w:space="0" w:color="auto"/>
              <w:bottom w:val="single" w:sz="8" w:space="0" w:color="auto"/>
              <w:right w:val="single" w:sz="12" w:space="0" w:color="auto"/>
            </w:tcBorders>
            <w:shd w:val="clear" w:color="auto" w:fill="BCBCBC"/>
            <w:vAlign w:val="bottom"/>
          </w:tcPr>
          <w:p w14:paraId="67DC2C92" w14:textId="77777777" w:rsidR="00685A91" w:rsidRPr="00C77AD6" w:rsidRDefault="00685A91" w:rsidP="00685A91">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Flexible compliance options – allowance of domestic offsets</w:t>
            </w:r>
          </w:p>
        </w:tc>
        <w:tc>
          <w:tcPr>
            <w:tcW w:w="398" w:type="pct"/>
            <w:gridSpan w:val="2"/>
            <w:tcBorders>
              <w:left w:val="single" w:sz="12" w:space="0" w:color="auto"/>
              <w:bottom w:val="single" w:sz="8" w:space="0" w:color="auto"/>
            </w:tcBorders>
            <w:shd w:val="clear" w:color="auto" w:fill="auto"/>
            <w:vAlign w:val="bottom"/>
          </w:tcPr>
          <w:p w14:paraId="04A6BA54"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86" w:type="pct"/>
            <w:gridSpan w:val="2"/>
            <w:tcBorders>
              <w:bottom w:val="single" w:sz="8" w:space="0" w:color="auto"/>
            </w:tcBorders>
            <w:shd w:val="clear" w:color="auto" w:fill="auto"/>
            <w:noWrap/>
            <w:vAlign w:val="bottom"/>
          </w:tcPr>
          <w:p w14:paraId="0B46E177"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85" w:type="pct"/>
            <w:tcBorders>
              <w:bottom w:val="single" w:sz="8" w:space="0" w:color="auto"/>
              <w:right w:val="single" w:sz="8" w:space="0" w:color="auto"/>
            </w:tcBorders>
            <w:shd w:val="clear" w:color="auto" w:fill="auto"/>
            <w:noWrap/>
            <w:vAlign w:val="bottom"/>
          </w:tcPr>
          <w:p w14:paraId="39444781"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49" w:type="pct"/>
            <w:tcBorders>
              <w:left w:val="single" w:sz="8" w:space="0" w:color="auto"/>
              <w:bottom w:val="single" w:sz="8" w:space="0" w:color="auto"/>
            </w:tcBorders>
            <w:shd w:val="clear" w:color="auto" w:fill="auto"/>
            <w:noWrap/>
            <w:vAlign w:val="bottom"/>
          </w:tcPr>
          <w:p w14:paraId="0B77FF53"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22" w:type="pct"/>
            <w:tcBorders>
              <w:bottom w:val="single" w:sz="8" w:space="0" w:color="auto"/>
            </w:tcBorders>
            <w:shd w:val="clear" w:color="auto" w:fill="auto"/>
            <w:noWrap/>
            <w:vAlign w:val="bottom"/>
          </w:tcPr>
          <w:p w14:paraId="158AD65E"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54" w:type="pct"/>
            <w:tcBorders>
              <w:bottom w:val="single" w:sz="8" w:space="0" w:color="auto"/>
            </w:tcBorders>
            <w:shd w:val="clear" w:color="auto" w:fill="auto"/>
            <w:noWrap/>
            <w:vAlign w:val="bottom"/>
          </w:tcPr>
          <w:p w14:paraId="0A4E8501"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17" w:type="pct"/>
            <w:tcBorders>
              <w:bottom w:val="single" w:sz="8" w:space="0" w:color="auto"/>
              <w:right w:val="single" w:sz="12" w:space="0" w:color="auto"/>
            </w:tcBorders>
            <w:shd w:val="clear" w:color="auto" w:fill="auto"/>
            <w:noWrap/>
            <w:vAlign w:val="bottom"/>
          </w:tcPr>
          <w:p w14:paraId="01513B54"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647" w:type="pct"/>
            <w:tcBorders>
              <w:left w:val="single" w:sz="12" w:space="0" w:color="auto"/>
              <w:bottom w:val="single" w:sz="8" w:space="0" w:color="auto"/>
            </w:tcBorders>
            <w:shd w:val="clear" w:color="auto" w:fill="auto"/>
            <w:vAlign w:val="bottom"/>
          </w:tcPr>
          <w:p w14:paraId="245DAF54" w14:textId="39F7C7D6"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xml:space="preserve">Domestic carbon market growth: regional employment, biodiversity, cultural heritage, </w:t>
            </w:r>
            <w:r>
              <w:rPr>
                <w:rFonts w:ascii="Calibri" w:eastAsia="Times New Roman" w:hAnsi="Calibri" w:cs="Calibri"/>
                <w:color w:val="000000"/>
                <w:lang w:eastAsia="en-AU"/>
              </w:rPr>
              <w:t>F</w:t>
            </w:r>
            <w:r w:rsidRPr="00C77AD6">
              <w:rPr>
                <w:rFonts w:ascii="Calibri" w:eastAsia="Times New Roman" w:hAnsi="Calibri" w:cs="Calibri"/>
                <w:color w:val="000000"/>
                <w:lang w:eastAsia="en-AU"/>
              </w:rPr>
              <w:t xml:space="preserve">irst </w:t>
            </w:r>
            <w:r>
              <w:rPr>
                <w:rFonts w:ascii="Calibri" w:eastAsia="Times New Roman" w:hAnsi="Calibri" w:cs="Calibri"/>
                <w:color w:val="000000"/>
                <w:lang w:eastAsia="en-AU"/>
              </w:rPr>
              <w:t>N</w:t>
            </w:r>
            <w:r w:rsidRPr="00C77AD6">
              <w:rPr>
                <w:rFonts w:ascii="Calibri" w:eastAsia="Times New Roman" w:hAnsi="Calibri" w:cs="Calibri"/>
                <w:color w:val="000000"/>
                <w:lang w:eastAsia="en-AU"/>
              </w:rPr>
              <w:t>ations</w:t>
            </w:r>
          </w:p>
        </w:tc>
        <w:tc>
          <w:tcPr>
            <w:tcW w:w="368" w:type="pct"/>
            <w:tcBorders>
              <w:bottom w:val="single" w:sz="8" w:space="0" w:color="auto"/>
            </w:tcBorders>
            <w:shd w:val="clear" w:color="auto" w:fill="auto"/>
            <w:noWrap/>
            <w:vAlign w:val="bottom"/>
          </w:tcPr>
          <w:p w14:paraId="391BEAA1"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Economic, social</w:t>
            </w:r>
          </w:p>
        </w:tc>
        <w:tc>
          <w:tcPr>
            <w:tcW w:w="286" w:type="pct"/>
            <w:tcBorders>
              <w:bottom w:val="single" w:sz="8" w:space="0" w:color="auto"/>
              <w:right w:val="single" w:sz="8" w:space="0" w:color="auto"/>
            </w:tcBorders>
            <w:shd w:val="clear" w:color="auto" w:fill="auto"/>
            <w:noWrap/>
            <w:vAlign w:val="bottom"/>
          </w:tcPr>
          <w:p w14:paraId="7F0501E8"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High</w:t>
            </w:r>
          </w:p>
        </w:tc>
        <w:tc>
          <w:tcPr>
            <w:tcW w:w="284" w:type="pct"/>
            <w:tcBorders>
              <w:left w:val="single" w:sz="8" w:space="0" w:color="auto"/>
              <w:bottom w:val="single" w:sz="8" w:space="0" w:color="auto"/>
            </w:tcBorders>
            <w:shd w:val="clear" w:color="auto" w:fill="auto"/>
            <w:noWrap/>
            <w:vAlign w:val="bottom"/>
          </w:tcPr>
          <w:p w14:paraId="7E271A83"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17" w:type="pct"/>
            <w:tcBorders>
              <w:bottom w:val="single" w:sz="8" w:space="0" w:color="auto"/>
            </w:tcBorders>
            <w:shd w:val="clear" w:color="auto" w:fill="6DF0C4"/>
            <w:noWrap/>
            <w:vAlign w:val="bottom"/>
          </w:tcPr>
          <w:p w14:paraId="3D310FE5" w14:textId="77777777" w:rsidR="00685A91" w:rsidRPr="00C77AD6" w:rsidRDefault="00685A91" w:rsidP="00685A9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8, 38</w:t>
            </w:r>
          </w:p>
        </w:tc>
        <w:tc>
          <w:tcPr>
            <w:tcW w:w="317" w:type="pct"/>
            <w:tcBorders>
              <w:bottom w:val="single" w:sz="8" w:space="0" w:color="auto"/>
            </w:tcBorders>
            <w:shd w:val="clear" w:color="auto" w:fill="6DF0C4"/>
            <w:noWrap/>
            <w:vAlign w:val="bottom"/>
          </w:tcPr>
          <w:p w14:paraId="1E3BAB38" w14:textId="77777777" w:rsidR="00685A91" w:rsidRPr="00C77AD6" w:rsidRDefault="00685A91" w:rsidP="00685A9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8, 38</w:t>
            </w:r>
          </w:p>
        </w:tc>
        <w:tc>
          <w:tcPr>
            <w:tcW w:w="310" w:type="pct"/>
            <w:tcBorders>
              <w:bottom w:val="single" w:sz="8" w:space="0" w:color="auto"/>
              <w:right w:val="single" w:sz="12" w:space="0" w:color="auto"/>
            </w:tcBorders>
            <w:shd w:val="clear" w:color="auto" w:fill="6DF0C4"/>
            <w:noWrap/>
            <w:vAlign w:val="bottom"/>
          </w:tcPr>
          <w:p w14:paraId="722453D0" w14:textId="77777777" w:rsidR="00685A91" w:rsidRPr="00C77AD6" w:rsidRDefault="00685A91" w:rsidP="00685A9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8, 38</w:t>
            </w:r>
          </w:p>
        </w:tc>
      </w:tr>
      <w:tr w:rsidR="00685A91" w:rsidRPr="00C77AD6" w14:paraId="43F0AD7C" w14:textId="77777777" w:rsidTr="002572E1">
        <w:trPr>
          <w:trHeight w:val="2948"/>
        </w:trPr>
        <w:tc>
          <w:tcPr>
            <w:tcW w:w="360" w:type="pct"/>
            <w:vMerge w:val="restart"/>
            <w:tcBorders>
              <w:top w:val="single" w:sz="8" w:space="0" w:color="auto"/>
              <w:left w:val="single" w:sz="12" w:space="0" w:color="auto"/>
              <w:bottom w:val="single" w:sz="8" w:space="0" w:color="auto"/>
              <w:right w:val="single" w:sz="12" w:space="0" w:color="auto"/>
            </w:tcBorders>
            <w:shd w:val="clear" w:color="auto" w:fill="BCBCBC"/>
            <w:vAlign w:val="bottom"/>
            <w:hideMark/>
          </w:tcPr>
          <w:p w14:paraId="65DCB584" w14:textId="77777777" w:rsidR="00685A91" w:rsidRPr="00C77AD6" w:rsidRDefault="00685A91" w:rsidP="00685A91">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Flexible compliance options - intertemporal flexibility - banking and borrowing provisions</w:t>
            </w:r>
          </w:p>
        </w:tc>
        <w:tc>
          <w:tcPr>
            <w:tcW w:w="398" w:type="pct"/>
            <w:gridSpan w:val="2"/>
            <w:tcBorders>
              <w:top w:val="single" w:sz="8" w:space="0" w:color="auto"/>
              <w:left w:val="single" w:sz="12" w:space="0" w:color="auto"/>
              <w:bottom w:val="dashSmallGap" w:sz="4" w:space="0" w:color="auto"/>
            </w:tcBorders>
            <w:shd w:val="clear" w:color="auto" w:fill="auto"/>
            <w:vAlign w:val="bottom"/>
            <w:hideMark/>
          </w:tcPr>
          <w:p w14:paraId="5F2C7C1E"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Potential risk of instability in the SMC market if banking only permitted within phases and not between, which could increase financing cost of investment in abatement technologies</w:t>
            </w:r>
          </w:p>
        </w:tc>
        <w:tc>
          <w:tcPr>
            <w:tcW w:w="286" w:type="pct"/>
            <w:gridSpan w:val="2"/>
            <w:tcBorders>
              <w:top w:val="single" w:sz="8" w:space="0" w:color="auto"/>
              <w:bottom w:val="dashSmallGap" w:sz="4" w:space="0" w:color="auto"/>
            </w:tcBorders>
            <w:shd w:val="clear" w:color="auto" w:fill="auto"/>
            <w:noWrap/>
            <w:vAlign w:val="bottom"/>
            <w:hideMark/>
          </w:tcPr>
          <w:p w14:paraId="48A26BB5"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Economic</w:t>
            </w:r>
          </w:p>
        </w:tc>
        <w:tc>
          <w:tcPr>
            <w:tcW w:w="285" w:type="pct"/>
            <w:tcBorders>
              <w:top w:val="single" w:sz="8" w:space="0" w:color="auto"/>
              <w:bottom w:val="dashSmallGap" w:sz="4" w:space="0" w:color="auto"/>
              <w:right w:val="single" w:sz="8" w:space="0" w:color="auto"/>
            </w:tcBorders>
            <w:shd w:val="clear" w:color="auto" w:fill="auto"/>
            <w:noWrap/>
            <w:vAlign w:val="bottom"/>
            <w:hideMark/>
          </w:tcPr>
          <w:p w14:paraId="1A0ACC4F"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High</w:t>
            </w:r>
          </w:p>
        </w:tc>
        <w:tc>
          <w:tcPr>
            <w:tcW w:w="349" w:type="pct"/>
            <w:tcBorders>
              <w:top w:val="single" w:sz="8" w:space="0" w:color="auto"/>
              <w:left w:val="single" w:sz="8" w:space="0" w:color="auto"/>
              <w:bottom w:val="dashSmallGap" w:sz="4" w:space="0" w:color="auto"/>
            </w:tcBorders>
            <w:shd w:val="clear" w:color="auto" w:fill="auto"/>
            <w:noWrap/>
            <w:vAlign w:val="bottom"/>
            <w:hideMark/>
          </w:tcPr>
          <w:p w14:paraId="2B4CA61A"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222" w:type="pct"/>
            <w:tcBorders>
              <w:top w:val="single" w:sz="8" w:space="0" w:color="auto"/>
              <w:bottom w:val="dashSmallGap" w:sz="4" w:space="0" w:color="auto"/>
            </w:tcBorders>
            <w:shd w:val="clear" w:color="auto" w:fill="F3BA97"/>
            <w:noWrap/>
            <w:vAlign w:val="bottom"/>
            <w:hideMark/>
          </w:tcPr>
          <w:p w14:paraId="368CFE26"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36</w:t>
            </w:r>
          </w:p>
        </w:tc>
        <w:tc>
          <w:tcPr>
            <w:tcW w:w="254" w:type="pct"/>
            <w:tcBorders>
              <w:top w:val="single" w:sz="8" w:space="0" w:color="auto"/>
              <w:bottom w:val="dashSmallGap" w:sz="4" w:space="0" w:color="auto"/>
            </w:tcBorders>
            <w:shd w:val="clear" w:color="auto" w:fill="F3BA97"/>
            <w:noWrap/>
            <w:vAlign w:val="bottom"/>
            <w:hideMark/>
          </w:tcPr>
          <w:p w14:paraId="59FED550"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36</w:t>
            </w:r>
          </w:p>
        </w:tc>
        <w:tc>
          <w:tcPr>
            <w:tcW w:w="317" w:type="pct"/>
            <w:tcBorders>
              <w:top w:val="single" w:sz="8" w:space="0" w:color="auto"/>
              <w:bottom w:val="dashSmallGap" w:sz="4" w:space="0" w:color="auto"/>
              <w:right w:val="single" w:sz="12" w:space="0" w:color="auto"/>
            </w:tcBorders>
            <w:shd w:val="clear" w:color="auto" w:fill="auto"/>
            <w:noWrap/>
            <w:vAlign w:val="bottom"/>
            <w:hideMark/>
          </w:tcPr>
          <w:p w14:paraId="204A5247"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36</w:t>
            </w:r>
          </w:p>
        </w:tc>
        <w:tc>
          <w:tcPr>
            <w:tcW w:w="647" w:type="pct"/>
            <w:tcBorders>
              <w:top w:val="single" w:sz="8" w:space="0" w:color="auto"/>
              <w:left w:val="single" w:sz="12" w:space="0" w:color="auto"/>
              <w:bottom w:val="dashSmallGap" w:sz="4" w:space="0" w:color="auto"/>
            </w:tcBorders>
            <w:shd w:val="clear" w:color="auto" w:fill="auto"/>
            <w:vAlign w:val="bottom"/>
            <w:hideMark/>
          </w:tcPr>
          <w:p w14:paraId="5E433D11"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Improved price stability through banking provisions</w:t>
            </w:r>
          </w:p>
        </w:tc>
        <w:tc>
          <w:tcPr>
            <w:tcW w:w="368" w:type="pct"/>
            <w:tcBorders>
              <w:top w:val="single" w:sz="8" w:space="0" w:color="auto"/>
              <w:bottom w:val="dashSmallGap" w:sz="4" w:space="0" w:color="auto"/>
            </w:tcBorders>
            <w:shd w:val="clear" w:color="auto" w:fill="auto"/>
            <w:noWrap/>
            <w:vAlign w:val="bottom"/>
            <w:hideMark/>
          </w:tcPr>
          <w:p w14:paraId="548A95C2"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Economic</w:t>
            </w:r>
          </w:p>
        </w:tc>
        <w:tc>
          <w:tcPr>
            <w:tcW w:w="286" w:type="pct"/>
            <w:tcBorders>
              <w:top w:val="single" w:sz="8" w:space="0" w:color="auto"/>
              <w:bottom w:val="dashSmallGap" w:sz="4" w:space="0" w:color="auto"/>
              <w:right w:val="single" w:sz="8" w:space="0" w:color="auto"/>
            </w:tcBorders>
            <w:shd w:val="clear" w:color="auto" w:fill="auto"/>
            <w:noWrap/>
            <w:vAlign w:val="bottom"/>
            <w:hideMark/>
          </w:tcPr>
          <w:p w14:paraId="63A0127C"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High</w:t>
            </w:r>
          </w:p>
        </w:tc>
        <w:tc>
          <w:tcPr>
            <w:tcW w:w="284" w:type="pct"/>
            <w:tcBorders>
              <w:top w:val="single" w:sz="8" w:space="0" w:color="auto"/>
              <w:left w:val="single" w:sz="8" w:space="0" w:color="auto"/>
              <w:bottom w:val="dashSmallGap" w:sz="4" w:space="0" w:color="auto"/>
            </w:tcBorders>
            <w:shd w:val="clear" w:color="auto" w:fill="auto"/>
            <w:noWrap/>
            <w:vAlign w:val="bottom"/>
            <w:hideMark/>
          </w:tcPr>
          <w:p w14:paraId="0EF2052D"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7" w:type="pct"/>
            <w:tcBorders>
              <w:top w:val="single" w:sz="8" w:space="0" w:color="auto"/>
              <w:bottom w:val="dashSmallGap" w:sz="4" w:space="0" w:color="auto"/>
            </w:tcBorders>
            <w:shd w:val="clear" w:color="auto" w:fill="6DF0C4"/>
            <w:noWrap/>
            <w:vAlign w:val="bottom"/>
            <w:hideMark/>
          </w:tcPr>
          <w:p w14:paraId="75BD58ED"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34</w:t>
            </w:r>
          </w:p>
        </w:tc>
        <w:tc>
          <w:tcPr>
            <w:tcW w:w="317" w:type="pct"/>
            <w:tcBorders>
              <w:top w:val="single" w:sz="8" w:space="0" w:color="auto"/>
              <w:bottom w:val="dashSmallGap" w:sz="4" w:space="0" w:color="auto"/>
            </w:tcBorders>
            <w:shd w:val="clear" w:color="auto" w:fill="6DF0C4"/>
            <w:noWrap/>
            <w:vAlign w:val="bottom"/>
            <w:hideMark/>
          </w:tcPr>
          <w:p w14:paraId="7C09642B"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34</w:t>
            </w:r>
          </w:p>
        </w:tc>
        <w:tc>
          <w:tcPr>
            <w:tcW w:w="310" w:type="pct"/>
            <w:tcBorders>
              <w:top w:val="single" w:sz="8" w:space="0" w:color="auto"/>
              <w:bottom w:val="dashSmallGap" w:sz="4" w:space="0" w:color="auto"/>
              <w:right w:val="single" w:sz="12" w:space="0" w:color="auto"/>
            </w:tcBorders>
            <w:shd w:val="clear" w:color="auto" w:fill="6DF0C4"/>
            <w:noWrap/>
            <w:vAlign w:val="bottom"/>
            <w:hideMark/>
          </w:tcPr>
          <w:p w14:paraId="0F54D15E"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34</w:t>
            </w:r>
          </w:p>
        </w:tc>
      </w:tr>
      <w:tr w:rsidR="00685A91" w:rsidRPr="00C77AD6" w14:paraId="48637C74" w14:textId="77777777" w:rsidTr="002572E1">
        <w:trPr>
          <w:trHeight w:val="67"/>
        </w:trPr>
        <w:tc>
          <w:tcPr>
            <w:tcW w:w="360" w:type="pct"/>
            <w:vMerge/>
            <w:tcBorders>
              <w:top w:val="single" w:sz="8" w:space="0" w:color="auto"/>
              <w:left w:val="single" w:sz="12" w:space="0" w:color="auto"/>
              <w:bottom w:val="single" w:sz="8" w:space="0" w:color="auto"/>
              <w:right w:val="single" w:sz="12" w:space="0" w:color="auto"/>
            </w:tcBorders>
            <w:shd w:val="clear" w:color="auto" w:fill="BCBCBC"/>
            <w:vAlign w:val="center"/>
            <w:hideMark/>
          </w:tcPr>
          <w:p w14:paraId="033C3994" w14:textId="77777777" w:rsidR="00685A91" w:rsidRPr="00C77AD6" w:rsidRDefault="00685A91" w:rsidP="00685A91">
            <w:pPr>
              <w:spacing w:after="0" w:line="240" w:lineRule="auto"/>
              <w:rPr>
                <w:rFonts w:ascii="Calibri" w:eastAsia="Times New Roman" w:hAnsi="Calibri" w:cs="Calibri"/>
                <w:b/>
                <w:color w:val="000000"/>
                <w:lang w:eastAsia="en-AU"/>
              </w:rPr>
            </w:pPr>
          </w:p>
        </w:tc>
        <w:tc>
          <w:tcPr>
            <w:tcW w:w="398" w:type="pct"/>
            <w:gridSpan w:val="2"/>
            <w:tcBorders>
              <w:top w:val="dashSmallGap" w:sz="4" w:space="0" w:color="auto"/>
              <w:left w:val="single" w:sz="12" w:space="0" w:color="auto"/>
              <w:bottom w:val="single" w:sz="8" w:space="0" w:color="auto"/>
            </w:tcBorders>
            <w:shd w:val="clear" w:color="auto" w:fill="auto"/>
            <w:vAlign w:val="bottom"/>
            <w:hideMark/>
          </w:tcPr>
          <w:p w14:paraId="387999D7"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Risk to 2030 target if borrowing is allowed in 2029-2030</w:t>
            </w:r>
          </w:p>
        </w:tc>
        <w:tc>
          <w:tcPr>
            <w:tcW w:w="286" w:type="pct"/>
            <w:gridSpan w:val="2"/>
            <w:tcBorders>
              <w:top w:val="dashSmallGap" w:sz="4" w:space="0" w:color="auto"/>
              <w:bottom w:val="single" w:sz="8" w:space="0" w:color="auto"/>
            </w:tcBorders>
            <w:shd w:val="clear" w:color="auto" w:fill="auto"/>
            <w:noWrap/>
            <w:vAlign w:val="bottom"/>
            <w:hideMark/>
          </w:tcPr>
          <w:p w14:paraId="2C0F93FE"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Environmental</w:t>
            </w:r>
          </w:p>
        </w:tc>
        <w:tc>
          <w:tcPr>
            <w:tcW w:w="285" w:type="pct"/>
            <w:tcBorders>
              <w:top w:val="dashSmallGap" w:sz="4" w:space="0" w:color="auto"/>
              <w:bottom w:val="single" w:sz="8" w:space="0" w:color="auto"/>
              <w:right w:val="single" w:sz="8" w:space="0" w:color="auto"/>
            </w:tcBorders>
            <w:shd w:val="clear" w:color="auto" w:fill="auto"/>
            <w:noWrap/>
            <w:vAlign w:val="bottom"/>
            <w:hideMark/>
          </w:tcPr>
          <w:p w14:paraId="6CAD3B4E"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High</w:t>
            </w:r>
          </w:p>
        </w:tc>
        <w:tc>
          <w:tcPr>
            <w:tcW w:w="349" w:type="pct"/>
            <w:tcBorders>
              <w:top w:val="dashSmallGap" w:sz="4" w:space="0" w:color="auto"/>
              <w:left w:val="single" w:sz="8" w:space="0" w:color="auto"/>
              <w:bottom w:val="single" w:sz="8" w:space="0" w:color="auto"/>
            </w:tcBorders>
            <w:shd w:val="clear" w:color="auto" w:fill="auto"/>
            <w:noWrap/>
            <w:vAlign w:val="bottom"/>
            <w:hideMark/>
          </w:tcPr>
          <w:p w14:paraId="4CC91CD7"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222" w:type="pct"/>
            <w:tcBorders>
              <w:top w:val="dashSmallGap" w:sz="4" w:space="0" w:color="auto"/>
              <w:bottom w:val="single" w:sz="8" w:space="0" w:color="auto"/>
            </w:tcBorders>
            <w:shd w:val="clear" w:color="auto" w:fill="F3BA97"/>
            <w:noWrap/>
            <w:vAlign w:val="bottom"/>
            <w:hideMark/>
          </w:tcPr>
          <w:p w14:paraId="5A644789"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34</w:t>
            </w:r>
          </w:p>
        </w:tc>
        <w:tc>
          <w:tcPr>
            <w:tcW w:w="254" w:type="pct"/>
            <w:tcBorders>
              <w:top w:val="dashSmallGap" w:sz="4" w:space="0" w:color="auto"/>
              <w:bottom w:val="single" w:sz="8" w:space="0" w:color="auto"/>
            </w:tcBorders>
            <w:shd w:val="clear" w:color="auto" w:fill="F3BA97"/>
            <w:noWrap/>
            <w:vAlign w:val="bottom"/>
            <w:hideMark/>
          </w:tcPr>
          <w:p w14:paraId="54192E08"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34</w:t>
            </w:r>
          </w:p>
        </w:tc>
        <w:tc>
          <w:tcPr>
            <w:tcW w:w="317" w:type="pct"/>
            <w:tcBorders>
              <w:top w:val="dashSmallGap" w:sz="4" w:space="0" w:color="auto"/>
              <w:bottom w:val="single" w:sz="8" w:space="0" w:color="auto"/>
              <w:right w:val="single" w:sz="12" w:space="0" w:color="auto"/>
            </w:tcBorders>
            <w:shd w:val="clear" w:color="auto" w:fill="auto"/>
            <w:noWrap/>
            <w:vAlign w:val="bottom"/>
            <w:hideMark/>
          </w:tcPr>
          <w:p w14:paraId="6507CBE2"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34</w:t>
            </w:r>
          </w:p>
        </w:tc>
        <w:tc>
          <w:tcPr>
            <w:tcW w:w="647" w:type="pct"/>
            <w:tcBorders>
              <w:top w:val="dashSmallGap" w:sz="4" w:space="0" w:color="auto"/>
              <w:left w:val="single" w:sz="12" w:space="0" w:color="auto"/>
              <w:bottom w:val="single" w:sz="8" w:space="0" w:color="auto"/>
            </w:tcBorders>
            <w:shd w:val="clear" w:color="auto" w:fill="auto"/>
            <w:vAlign w:val="bottom"/>
            <w:hideMark/>
          </w:tcPr>
          <w:p w14:paraId="77259B47"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68" w:type="pct"/>
            <w:tcBorders>
              <w:top w:val="dashSmallGap" w:sz="4" w:space="0" w:color="auto"/>
              <w:bottom w:val="single" w:sz="8" w:space="0" w:color="auto"/>
            </w:tcBorders>
            <w:shd w:val="clear" w:color="auto" w:fill="auto"/>
            <w:noWrap/>
            <w:vAlign w:val="bottom"/>
            <w:hideMark/>
          </w:tcPr>
          <w:p w14:paraId="78C2EE7F"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286" w:type="pct"/>
            <w:tcBorders>
              <w:top w:val="dashSmallGap" w:sz="4" w:space="0" w:color="auto"/>
              <w:bottom w:val="single" w:sz="8" w:space="0" w:color="auto"/>
              <w:right w:val="single" w:sz="8" w:space="0" w:color="auto"/>
            </w:tcBorders>
            <w:shd w:val="clear" w:color="auto" w:fill="auto"/>
            <w:noWrap/>
            <w:vAlign w:val="bottom"/>
            <w:hideMark/>
          </w:tcPr>
          <w:p w14:paraId="69447A24"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84" w:type="pct"/>
            <w:tcBorders>
              <w:top w:val="dashSmallGap" w:sz="4" w:space="0" w:color="auto"/>
              <w:left w:val="single" w:sz="8" w:space="0" w:color="auto"/>
              <w:bottom w:val="single" w:sz="8" w:space="0" w:color="auto"/>
            </w:tcBorders>
            <w:shd w:val="clear" w:color="auto" w:fill="auto"/>
            <w:noWrap/>
            <w:vAlign w:val="bottom"/>
            <w:hideMark/>
          </w:tcPr>
          <w:p w14:paraId="030EA899"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7" w:type="pct"/>
            <w:tcBorders>
              <w:top w:val="dashSmallGap" w:sz="4" w:space="0" w:color="auto"/>
              <w:bottom w:val="single" w:sz="8" w:space="0" w:color="auto"/>
            </w:tcBorders>
            <w:shd w:val="clear" w:color="auto" w:fill="FFFFFF"/>
            <w:noWrap/>
            <w:vAlign w:val="bottom"/>
            <w:hideMark/>
          </w:tcPr>
          <w:p w14:paraId="6466B02D"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7" w:type="pct"/>
            <w:tcBorders>
              <w:top w:val="dashSmallGap" w:sz="4" w:space="0" w:color="auto"/>
              <w:bottom w:val="single" w:sz="8" w:space="0" w:color="auto"/>
            </w:tcBorders>
            <w:shd w:val="clear" w:color="auto" w:fill="FFFFFF"/>
            <w:noWrap/>
            <w:vAlign w:val="bottom"/>
            <w:hideMark/>
          </w:tcPr>
          <w:p w14:paraId="528189D6"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0" w:type="pct"/>
            <w:tcBorders>
              <w:top w:val="dashSmallGap" w:sz="4" w:space="0" w:color="auto"/>
              <w:bottom w:val="single" w:sz="8" w:space="0" w:color="auto"/>
              <w:right w:val="single" w:sz="12" w:space="0" w:color="auto"/>
            </w:tcBorders>
            <w:shd w:val="clear" w:color="auto" w:fill="FFFFFF"/>
            <w:noWrap/>
            <w:vAlign w:val="bottom"/>
            <w:hideMark/>
          </w:tcPr>
          <w:p w14:paraId="4E91BF44"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r>
      <w:tr w:rsidR="00685A91" w:rsidRPr="00C77AD6" w14:paraId="256B1F4F" w14:textId="77777777" w:rsidTr="002572E1">
        <w:trPr>
          <w:trHeight w:val="1531"/>
        </w:trPr>
        <w:tc>
          <w:tcPr>
            <w:tcW w:w="360" w:type="pct"/>
            <w:tcBorders>
              <w:top w:val="single" w:sz="8" w:space="0" w:color="auto"/>
              <w:left w:val="single" w:sz="12" w:space="0" w:color="auto"/>
              <w:bottom w:val="single" w:sz="8" w:space="0" w:color="auto"/>
              <w:right w:val="single" w:sz="12" w:space="0" w:color="auto"/>
            </w:tcBorders>
            <w:shd w:val="clear" w:color="auto" w:fill="BCBCBC"/>
            <w:vAlign w:val="bottom"/>
            <w:hideMark/>
          </w:tcPr>
          <w:p w14:paraId="2BAA456F" w14:textId="77777777" w:rsidR="00685A91" w:rsidRPr="00C77AD6" w:rsidRDefault="00685A91" w:rsidP="00685A91">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 xml:space="preserve">Flexible compliance options - Requirement to report </w:t>
            </w:r>
            <w:proofErr w:type="spellStart"/>
            <w:r w:rsidRPr="00C77AD6">
              <w:rPr>
                <w:rFonts w:ascii="Calibri" w:eastAsia="Times New Roman" w:hAnsi="Calibri" w:cs="Calibri"/>
                <w:b/>
                <w:color w:val="000000"/>
                <w:lang w:eastAsia="en-AU"/>
              </w:rPr>
              <w:t>ACCU</w:t>
            </w:r>
            <w:proofErr w:type="spellEnd"/>
            <w:r w:rsidRPr="00C77AD6">
              <w:rPr>
                <w:rFonts w:ascii="Calibri" w:eastAsia="Times New Roman" w:hAnsi="Calibri" w:cs="Calibri"/>
                <w:b/>
                <w:color w:val="000000"/>
                <w:lang w:eastAsia="en-AU"/>
              </w:rPr>
              <w:t xml:space="preserve"> unit holdings</w:t>
            </w:r>
          </w:p>
        </w:tc>
        <w:tc>
          <w:tcPr>
            <w:tcW w:w="398" w:type="pct"/>
            <w:gridSpan w:val="2"/>
            <w:tcBorders>
              <w:top w:val="single" w:sz="8" w:space="0" w:color="auto"/>
              <w:left w:val="single" w:sz="12" w:space="0" w:color="auto"/>
              <w:bottom w:val="single" w:sz="8" w:space="0" w:color="auto"/>
            </w:tcBorders>
            <w:shd w:val="clear" w:color="auto" w:fill="auto"/>
            <w:vAlign w:val="bottom"/>
          </w:tcPr>
          <w:p w14:paraId="3E367E41"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86" w:type="pct"/>
            <w:gridSpan w:val="2"/>
            <w:tcBorders>
              <w:top w:val="single" w:sz="8" w:space="0" w:color="auto"/>
              <w:bottom w:val="single" w:sz="8" w:space="0" w:color="auto"/>
            </w:tcBorders>
            <w:shd w:val="clear" w:color="auto" w:fill="auto"/>
            <w:noWrap/>
            <w:vAlign w:val="bottom"/>
          </w:tcPr>
          <w:p w14:paraId="4B964FAA"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85" w:type="pct"/>
            <w:tcBorders>
              <w:top w:val="single" w:sz="8" w:space="0" w:color="auto"/>
              <w:bottom w:val="single" w:sz="8" w:space="0" w:color="auto"/>
              <w:right w:val="single" w:sz="8" w:space="0" w:color="auto"/>
            </w:tcBorders>
            <w:shd w:val="clear" w:color="auto" w:fill="auto"/>
            <w:noWrap/>
            <w:vAlign w:val="bottom"/>
          </w:tcPr>
          <w:p w14:paraId="607B149B"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49" w:type="pct"/>
            <w:tcBorders>
              <w:top w:val="single" w:sz="8" w:space="0" w:color="auto"/>
              <w:left w:val="single" w:sz="8" w:space="0" w:color="auto"/>
              <w:bottom w:val="single" w:sz="8" w:space="0" w:color="auto"/>
            </w:tcBorders>
            <w:shd w:val="clear" w:color="auto" w:fill="auto"/>
            <w:noWrap/>
            <w:vAlign w:val="bottom"/>
          </w:tcPr>
          <w:p w14:paraId="6CD27511"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22" w:type="pct"/>
            <w:tcBorders>
              <w:top w:val="single" w:sz="8" w:space="0" w:color="auto"/>
              <w:bottom w:val="single" w:sz="8" w:space="0" w:color="auto"/>
            </w:tcBorders>
            <w:shd w:val="clear" w:color="auto" w:fill="auto"/>
            <w:noWrap/>
            <w:vAlign w:val="bottom"/>
          </w:tcPr>
          <w:p w14:paraId="60E2098E"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54" w:type="pct"/>
            <w:tcBorders>
              <w:top w:val="single" w:sz="8" w:space="0" w:color="auto"/>
              <w:bottom w:val="single" w:sz="8" w:space="0" w:color="auto"/>
            </w:tcBorders>
            <w:shd w:val="clear" w:color="auto" w:fill="auto"/>
            <w:noWrap/>
            <w:vAlign w:val="bottom"/>
          </w:tcPr>
          <w:p w14:paraId="5A957A81"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17" w:type="pct"/>
            <w:tcBorders>
              <w:top w:val="single" w:sz="8" w:space="0" w:color="auto"/>
              <w:bottom w:val="single" w:sz="8" w:space="0" w:color="auto"/>
              <w:right w:val="single" w:sz="12" w:space="0" w:color="auto"/>
            </w:tcBorders>
            <w:shd w:val="clear" w:color="auto" w:fill="auto"/>
            <w:noWrap/>
            <w:vAlign w:val="bottom"/>
          </w:tcPr>
          <w:p w14:paraId="3389929C"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647" w:type="pct"/>
            <w:tcBorders>
              <w:top w:val="single" w:sz="8" w:space="0" w:color="auto"/>
              <w:left w:val="single" w:sz="12" w:space="0" w:color="auto"/>
              <w:bottom w:val="single" w:sz="8" w:space="0" w:color="auto"/>
            </w:tcBorders>
            <w:shd w:val="clear" w:color="auto" w:fill="auto"/>
            <w:vAlign w:val="bottom"/>
            <w:hideMark/>
          </w:tcPr>
          <w:p w14:paraId="3FCA4C27"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xml:space="preserve">Improved transparency in the </w:t>
            </w:r>
            <w:proofErr w:type="spellStart"/>
            <w:r w:rsidRPr="00C77AD6">
              <w:rPr>
                <w:rFonts w:ascii="Calibri" w:eastAsia="Times New Roman" w:hAnsi="Calibri" w:cs="Calibri"/>
                <w:color w:val="000000"/>
                <w:lang w:eastAsia="en-AU"/>
              </w:rPr>
              <w:t>ACCU</w:t>
            </w:r>
            <w:proofErr w:type="spellEnd"/>
            <w:r w:rsidRPr="00C77AD6">
              <w:rPr>
                <w:rFonts w:ascii="Calibri" w:eastAsia="Times New Roman" w:hAnsi="Calibri" w:cs="Calibri"/>
                <w:color w:val="000000"/>
                <w:lang w:eastAsia="en-AU"/>
              </w:rPr>
              <w:t xml:space="preserve"> market</w:t>
            </w:r>
          </w:p>
        </w:tc>
        <w:tc>
          <w:tcPr>
            <w:tcW w:w="368" w:type="pct"/>
            <w:tcBorders>
              <w:top w:val="single" w:sz="8" w:space="0" w:color="auto"/>
              <w:bottom w:val="single" w:sz="8" w:space="0" w:color="auto"/>
            </w:tcBorders>
            <w:shd w:val="clear" w:color="auto" w:fill="auto"/>
            <w:noWrap/>
            <w:vAlign w:val="bottom"/>
            <w:hideMark/>
          </w:tcPr>
          <w:p w14:paraId="4ED85A12"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Economic</w:t>
            </w:r>
          </w:p>
        </w:tc>
        <w:tc>
          <w:tcPr>
            <w:tcW w:w="286" w:type="pct"/>
            <w:tcBorders>
              <w:top w:val="single" w:sz="8" w:space="0" w:color="auto"/>
              <w:bottom w:val="single" w:sz="8" w:space="0" w:color="auto"/>
              <w:right w:val="single" w:sz="8" w:space="0" w:color="auto"/>
            </w:tcBorders>
            <w:shd w:val="clear" w:color="auto" w:fill="auto"/>
            <w:noWrap/>
            <w:vAlign w:val="bottom"/>
            <w:hideMark/>
          </w:tcPr>
          <w:p w14:paraId="5D043F93"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High</w:t>
            </w:r>
          </w:p>
        </w:tc>
        <w:tc>
          <w:tcPr>
            <w:tcW w:w="284" w:type="pct"/>
            <w:tcBorders>
              <w:top w:val="single" w:sz="8" w:space="0" w:color="auto"/>
              <w:left w:val="single" w:sz="8" w:space="0" w:color="auto"/>
              <w:bottom w:val="single" w:sz="8" w:space="0" w:color="auto"/>
            </w:tcBorders>
            <w:shd w:val="clear" w:color="auto" w:fill="auto"/>
            <w:noWrap/>
            <w:vAlign w:val="bottom"/>
            <w:hideMark/>
          </w:tcPr>
          <w:p w14:paraId="0707DED8"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7" w:type="pct"/>
            <w:tcBorders>
              <w:top w:val="single" w:sz="8" w:space="0" w:color="auto"/>
              <w:bottom w:val="single" w:sz="8" w:space="0" w:color="auto"/>
            </w:tcBorders>
            <w:shd w:val="clear" w:color="auto" w:fill="6DF0C4"/>
            <w:noWrap/>
            <w:vAlign w:val="bottom"/>
            <w:hideMark/>
          </w:tcPr>
          <w:p w14:paraId="53FCC249"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39</w:t>
            </w:r>
          </w:p>
        </w:tc>
        <w:tc>
          <w:tcPr>
            <w:tcW w:w="317" w:type="pct"/>
            <w:tcBorders>
              <w:top w:val="single" w:sz="8" w:space="0" w:color="auto"/>
              <w:bottom w:val="single" w:sz="8" w:space="0" w:color="auto"/>
            </w:tcBorders>
            <w:shd w:val="clear" w:color="auto" w:fill="6DF0C4"/>
            <w:noWrap/>
            <w:vAlign w:val="bottom"/>
            <w:hideMark/>
          </w:tcPr>
          <w:p w14:paraId="22B63EBE"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39</w:t>
            </w:r>
          </w:p>
        </w:tc>
        <w:tc>
          <w:tcPr>
            <w:tcW w:w="310" w:type="pct"/>
            <w:tcBorders>
              <w:top w:val="single" w:sz="8" w:space="0" w:color="auto"/>
              <w:bottom w:val="single" w:sz="8" w:space="0" w:color="auto"/>
              <w:right w:val="single" w:sz="12" w:space="0" w:color="auto"/>
            </w:tcBorders>
            <w:shd w:val="clear" w:color="auto" w:fill="6DF0C4"/>
            <w:noWrap/>
            <w:vAlign w:val="bottom"/>
            <w:hideMark/>
          </w:tcPr>
          <w:p w14:paraId="4491B8CB"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39</w:t>
            </w:r>
          </w:p>
        </w:tc>
      </w:tr>
      <w:tr w:rsidR="00685A91" w:rsidRPr="00C77AD6" w14:paraId="53C5FC38" w14:textId="77777777" w:rsidTr="002572E1">
        <w:trPr>
          <w:trHeight w:val="2041"/>
        </w:trPr>
        <w:tc>
          <w:tcPr>
            <w:tcW w:w="360" w:type="pct"/>
            <w:tcBorders>
              <w:top w:val="single" w:sz="8" w:space="0" w:color="auto"/>
              <w:left w:val="single" w:sz="12" w:space="0" w:color="auto"/>
              <w:bottom w:val="single" w:sz="8" w:space="0" w:color="auto"/>
              <w:right w:val="single" w:sz="12" w:space="0" w:color="auto"/>
            </w:tcBorders>
            <w:shd w:val="clear" w:color="auto" w:fill="BCBCBC"/>
            <w:vAlign w:val="bottom"/>
            <w:hideMark/>
          </w:tcPr>
          <w:p w14:paraId="199CF231" w14:textId="77777777" w:rsidR="00685A91" w:rsidRPr="00C77AD6" w:rsidRDefault="00685A91" w:rsidP="00685A91">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Flexible compliance options - extended and targeted multi- year monitoring period</w:t>
            </w:r>
          </w:p>
        </w:tc>
        <w:tc>
          <w:tcPr>
            <w:tcW w:w="398" w:type="pct"/>
            <w:gridSpan w:val="2"/>
            <w:tcBorders>
              <w:top w:val="single" w:sz="8" w:space="0" w:color="auto"/>
              <w:left w:val="single" w:sz="12" w:space="0" w:color="auto"/>
              <w:bottom w:val="single" w:sz="4" w:space="0" w:color="auto"/>
            </w:tcBorders>
            <w:shd w:val="clear" w:color="auto" w:fill="auto"/>
            <w:vAlign w:val="bottom"/>
          </w:tcPr>
          <w:p w14:paraId="35040922"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86" w:type="pct"/>
            <w:gridSpan w:val="2"/>
            <w:tcBorders>
              <w:top w:val="single" w:sz="8" w:space="0" w:color="auto"/>
              <w:bottom w:val="single" w:sz="4" w:space="0" w:color="auto"/>
            </w:tcBorders>
            <w:shd w:val="clear" w:color="auto" w:fill="auto"/>
            <w:noWrap/>
            <w:vAlign w:val="bottom"/>
          </w:tcPr>
          <w:p w14:paraId="76DF3431"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85" w:type="pct"/>
            <w:tcBorders>
              <w:top w:val="single" w:sz="8" w:space="0" w:color="auto"/>
              <w:bottom w:val="single" w:sz="4" w:space="0" w:color="auto"/>
              <w:right w:val="single" w:sz="8" w:space="0" w:color="auto"/>
            </w:tcBorders>
            <w:shd w:val="clear" w:color="auto" w:fill="auto"/>
            <w:noWrap/>
            <w:vAlign w:val="bottom"/>
          </w:tcPr>
          <w:p w14:paraId="6BE229A5"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49" w:type="pct"/>
            <w:tcBorders>
              <w:top w:val="single" w:sz="8" w:space="0" w:color="auto"/>
              <w:left w:val="single" w:sz="8" w:space="0" w:color="auto"/>
              <w:bottom w:val="single" w:sz="4" w:space="0" w:color="auto"/>
            </w:tcBorders>
            <w:shd w:val="clear" w:color="auto" w:fill="auto"/>
            <w:noWrap/>
            <w:vAlign w:val="bottom"/>
          </w:tcPr>
          <w:p w14:paraId="5E6483DE"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22" w:type="pct"/>
            <w:tcBorders>
              <w:top w:val="single" w:sz="8" w:space="0" w:color="auto"/>
              <w:bottom w:val="single" w:sz="4" w:space="0" w:color="auto"/>
            </w:tcBorders>
            <w:shd w:val="clear" w:color="auto" w:fill="auto"/>
            <w:noWrap/>
            <w:vAlign w:val="bottom"/>
          </w:tcPr>
          <w:p w14:paraId="5123CF43"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254" w:type="pct"/>
            <w:tcBorders>
              <w:top w:val="single" w:sz="8" w:space="0" w:color="auto"/>
              <w:bottom w:val="single" w:sz="4" w:space="0" w:color="auto"/>
            </w:tcBorders>
            <w:shd w:val="clear" w:color="auto" w:fill="auto"/>
            <w:noWrap/>
            <w:vAlign w:val="bottom"/>
          </w:tcPr>
          <w:p w14:paraId="65D32198"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317" w:type="pct"/>
            <w:tcBorders>
              <w:top w:val="single" w:sz="8" w:space="0" w:color="auto"/>
              <w:bottom w:val="single" w:sz="4" w:space="0" w:color="auto"/>
              <w:right w:val="single" w:sz="12" w:space="0" w:color="auto"/>
            </w:tcBorders>
            <w:shd w:val="clear" w:color="auto" w:fill="auto"/>
            <w:noWrap/>
            <w:vAlign w:val="bottom"/>
          </w:tcPr>
          <w:p w14:paraId="6FBC9F67" w14:textId="77777777" w:rsidR="00685A91" w:rsidRPr="00C77AD6" w:rsidRDefault="00685A91" w:rsidP="00685A91">
            <w:pPr>
              <w:spacing w:after="0" w:line="240" w:lineRule="auto"/>
              <w:rPr>
                <w:rFonts w:ascii="Calibri" w:eastAsia="Times New Roman" w:hAnsi="Calibri" w:cs="Calibri"/>
                <w:color w:val="000000"/>
                <w:lang w:eastAsia="en-AU"/>
              </w:rPr>
            </w:pPr>
          </w:p>
        </w:tc>
        <w:tc>
          <w:tcPr>
            <w:tcW w:w="647" w:type="pct"/>
            <w:tcBorders>
              <w:top w:val="single" w:sz="8" w:space="0" w:color="auto"/>
              <w:left w:val="single" w:sz="12" w:space="0" w:color="auto"/>
              <w:bottom w:val="single" w:sz="4" w:space="0" w:color="auto"/>
            </w:tcBorders>
            <w:shd w:val="clear" w:color="auto" w:fill="auto"/>
            <w:vAlign w:val="bottom"/>
            <w:hideMark/>
          </w:tcPr>
          <w:p w14:paraId="323C34CB"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Improved inter-temporal flexibility and reduced direct costs afforded by extended multi-year monitoring periods</w:t>
            </w:r>
          </w:p>
        </w:tc>
        <w:tc>
          <w:tcPr>
            <w:tcW w:w="368" w:type="pct"/>
            <w:tcBorders>
              <w:top w:val="single" w:sz="8" w:space="0" w:color="auto"/>
              <w:bottom w:val="single" w:sz="4" w:space="0" w:color="auto"/>
            </w:tcBorders>
            <w:shd w:val="clear" w:color="auto" w:fill="auto"/>
            <w:noWrap/>
            <w:vAlign w:val="bottom"/>
            <w:hideMark/>
          </w:tcPr>
          <w:p w14:paraId="4AC22BAF"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Economic</w:t>
            </w:r>
          </w:p>
        </w:tc>
        <w:tc>
          <w:tcPr>
            <w:tcW w:w="286" w:type="pct"/>
            <w:tcBorders>
              <w:top w:val="single" w:sz="8" w:space="0" w:color="auto"/>
              <w:bottom w:val="single" w:sz="4" w:space="0" w:color="auto"/>
              <w:right w:val="single" w:sz="8" w:space="0" w:color="auto"/>
            </w:tcBorders>
            <w:shd w:val="clear" w:color="auto" w:fill="auto"/>
            <w:noWrap/>
            <w:vAlign w:val="bottom"/>
            <w:hideMark/>
          </w:tcPr>
          <w:p w14:paraId="1612AD8C"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High</w:t>
            </w:r>
          </w:p>
        </w:tc>
        <w:tc>
          <w:tcPr>
            <w:tcW w:w="284" w:type="pct"/>
            <w:tcBorders>
              <w:top w:val="single" w:sz="8" w:space="0" w:color="auto"/>
              <w:left w:val="single" w:sz="8" w:space="0" w:color="auto"/>
              <w:bottom w:val="single" w:sz="4" w:space="0" w:color="auto"/>
            </w:tcBorders>
            <w:shd w:val="clear" w:color="auto" w:fill="auto"/>
            <w:noWrap/>
            <w:vAlign w:val="bottom"/>
            <w:hideMark/>
          </w:tcPr>
          <w:p w14:paraId="65988695"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7" w:type="pct"/>
            <w:tcBorders>
              <w:top w:val="single" w:sz="8" w:space="0" w:color="auto"/>
              <w:bottom w:val="single" w:sz="4" w:space="0" w:color="auto"/>
            </w:tcBorders>
            <w:shd w:val="clear" w:color="auto" w:fill="6DF0C4"/>
            <w:noWrap/>
            <w:vAlign w:val="bottom"/>
            <w:hideMark/>
          </w:tcPr>
          <w:p w14:paraId="27700136"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41-43</w:t>
            </w:r>
          </w:p>
        </w:tc>
        <w:tc>
          <w:tcPr>
            <w:tcW w:w="317" w:type="pct"/>
            <w:tcBorders>
              <w:top w:val="single" w:sz="8" w:space="0" w:color="auto"/>
              <w:bottom w:val="single" w:sz="4" w:space="0" w:color="auto"/>
            </w:tcBorders>
            <w:shd w:val="clear" w:color="auto" w:fill="6DF0C4"/>
            <w:noWrap/>
            <w:vAlign w:val="bottom"/>
            <w:hideMark/>
          </w:tcPr>
          <w:p w14:paraId="0EEB2A7E"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41-43</w:t>
            </w:r>
          </w:p>
        </w:tc>
        <w:tc>
          <w:tcPr>
            <w:tcW w:w="310" w:type="pct"/>
            <w:tcBorders>
              <w:top w:val="single" w:sz="8" w:space="0" w:color="auto"/>
              <w:bottom w:val="single" w:sz="4" w:space="0" w:color="auto"/>
              <w:right w:val="single" w:sz="12" w:space="0" w:color="auto"/>
            </w:tcBorders>
            <w:shd w:val="clear" w:color="auto" w:fill="6DF0C4"/>
            <w:noWrap/>
            <w:vAlign w:val="bottom"/>
            <w:hideMark/>
          </w:tcPr>
          <w:p w14:paraId="6EC9EE40"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41-43</w:t>
            </w:r>
          </w:p>
        </w:tc>
      </w:tr>
      <w:tr w:rsidR="00685A91" w:rsidRPr="00C77AD6" w14:paraId="0519CDBD" w14:textId="77777777" w:rsidTr="002572E1">
        <w:trPr>
          <w:trHeight w:val="1073"/>
        </w:trPr>
        <w:tc>
          <w:tcPr>
            <w:tcW w:w="360" w:type="pct"/>
            <w:tcBorders>
              <w:top w:val="single" w:sz="8" w:space="0" w:color="auto"/>
              <w:left w:val="single" w:sz="12" w:space="0" w:color="auto"/>
              <w:bottom w:val="single" w:sz="8" w:space="0" w:color="auto"/>
              <w:right w:val="single" w:sz="12" w:space="0" w:color="auto"/>
            </w:tcBorders>
            <w:shd w:val="clear" w:color="auto" w:fill="BCBCBC"/>
            <w:vAlign w:val="bottom"/>
            <w:hideMark/>
          </w:tcPr>
          <w:p w14:paraId="6D69CAA1" w14:textId="77777777" w:rsidR="00685A91" w:rsidRPr="00C77AD6" w:rsidRDefault="00685A91" w:rsidP="00685A91">
            <w:pPr>
              <w:spacing w:after="0" w:line="240" w:lineRule="auto"/>
              <w:rPr>
                <w:rFonts w:ascii="Calibri" w:eastAsia="Times New Roman" w:hAnsi="Calibri" w:cs="Calibri"/>
                <w:b/>
                <w:color w:val="000000"/>
                <w:lang w:eastAsia="en-AU"/>
              </w:rPr>
            </w:pPr>
            <w:r w:rsidRPr="00C77AD6">
              <w:rPr>
                <w:rFonts w:ascii="Calibri" w:eastAsia="Times New Roman" w:hAnsi="Calibri" w:cs="Calibri"/>
                <w:b/>
                <w:color w:val="000000"/>
                <w:lang w:eastAsia="en-AU"/>
              </w:rPr>
              <w:t>Flexible compliance option - Price containment measure</w:t>
            </w:r>
          </w:p>
        </w:tc>
        <w:tc>
          <w:tcPr>
            <w:tcW w:w="398" w:type="pct"/>
            <w:gridSpan w:val="2"/>
            <w:tcBorders>
              <w:top w:val="single" w:sz="4" w:space="0" w:color="auto"/>
              <w:left w:val="single" w:sz="12" w:space="0" w:color="auto"/>
              <w:bottom w:val="single" w:sz="8" w:space="0" w:color="auto"/>
            </w:tcBorders>
            <w:shd w:val="clear" w:color="auto" w:fill="auto"/>
            <w:vAlign w:val="bottom"/>
            <w:hideMark/>
          </w:tcPr>
          <w:p w14:paraId="0E8F7DF9"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xml:space="preserve">Risks in </w:t>
            </w:r>
            <w:proofErr w:type="spellStart"/>
            <w:r w:rsidRPr="00C77AD6">
              <w:rPr>
                <w:rFonts w:ascii="Calibri" w:eastAsia="Times New Roman" w:hAnsi="Calibri" w:cs="Calibri"/>
                <w:color w:val="000000"/>
                <w:lang w:eastAsia="en-AU"/>
              </w:rPr>
              <w:t>ACCU</w:t>
            </w:r>
            <w:proofErr w:type="spellEnd"/>
            <w:r w:rsidRPr="00C77AD6">
              <w:rPr>
                <w:rFonts w:ascii="Calibri" w:eastAsia="Times New Roman" w:hAnsi="Calibri" w:cs="Calibri"/>
                <w:color w:val="000000"/>
                <w:lang w:eastAsia="en-AU"/>
              </w:rPr>
              <w:t xml:space="preserve"> market supply constraints with speculation and uncertainty on price and availability </w:t>
            </w:r>
          </w:p>
        </w:tc>
        <w:tc>
          <w:tcPr>
            <w:tcW w:w="286" w:type="pct"/>
            <w:gridSpan w:val="2"/>
            <w:tcBorders>
              <w:top w:val="single" w:sz="4" w:space="0" w:color="auto"/>
              <w:bottom w:val="single" w:sz="8" w:space="0" w:color="auto"/>
            </w:tcBorders>
            <w:shd w:val="clear" w:color="auto" w:fill="auto"/>
            <w:noWrap/>
            <w:vAlign w:val="bottom"/>
            <w:hideMark/>
          </w:tcPr>
          <w:p w14:paraId="31E07A1F"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Economic</w:t>
            </w:r>
          </w:p>
        </w:tc>
        <w:tc>
          <w:tcPr>
            <w:tcW w:w="285" w:type="pct"/>
            <w:tcBorders>
              <w:top w:val="single" w:sz="4" w:space="0" w:color="auto"/>
              <w:bottom w:val="single" w:sz="8" w:space="0" w:color="auto"/>
              <w:right w:val="single" w:sz="8" w:space="0" w:color="auto"/>
            </w:tcBorders>
            <w:shd w:val="clear" w:color="auto" w:fill="auto"/>
            <w:noWrap/>
            <w:vAlign w:val="bottom"/>
            <w:hideMark/>
          </w:tcPr>
          <w:p w14:paraId="0BB9C7BD"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xml:space="preserve">Medium </w:t>
            </w:r>
          </w:p>
        </w:tc>
        <w:tc>
          <w:tcPr>
            <w:tcW w:w="349" w:type="pct"/>
            <w:tcBorders>
              <w:top w:val="single" w:sz="4" w:space="0" w:color="auto"/>
              <w:left w:val="single" w:sz="8" w:space="0" w:color="auto"/>
              <w:bottom w:val="single" w:sz="8" w:space="0" w:color="auto"/>
            </w:tcBorders>
            <w:shd w:val="clear" w:color="auto" w:fill="auto"/>
            <w:noWrap/>
            <w:vAlign w:val="bottom"/>
            <w:hideMark/>
          </w:tcPr>
          <w:p w14:paraId="71305448"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222" w:type="pct"/>
            <w:tcBorders>
              <w:top w:val="single" w:sz="4" w:space="0" w:color="auto"/>
              <w:bottom w:val="single" w:sz="8" w:space="0" w:color="auto"/>
            </w:tcBorders>
            <w:shd w:val="clear" w:color="auto" w:fill="F3BA97"/>
            <w:noWrap/>
            <w:vAlign w:val="bottom"/>
            <w:hideMark/>
          </w:tcPr>
          <w:p w14:paraId="661E37F4"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45</w:t>
            </w:r>
          </w:p>
        </w:tc>
        <w:tc>
          <w:tcPr>
            <w:tcW w:w="254" w:type="pct"/>
            <w:tcBorders>
              <w:top w:val="single" w:sz="4" w:space="0" w:color="auto"/>
              <w:bottom w:val="single" w:sz="8" w:space="0" w:color="auto"/>
            </w:tcBorders>
            <w:shd w:val="clear" w:color="auto" w:fill="F3BA97"/>
            <w:noWrap/>
            <w:vAlign w:val="bottom"/>
            <w:hideMark/>
          </w:tcPr>
          <w:p w14:paraId="305577C3"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45</w:t>
            </w:r>
          </w:p>
        </w:tc>
        <w:tc>
          <w:tcPr>
            <w:tcW w:w="317" w:type="pct"/>
            <w:tcBorders>
              <w:top w:val="single" w:sz="4" w:space="0" w:color="auto"/>
              <w:bottom w:val="single" w:sz="8" w:space="0" w:color="auto"/>
              <w:right w:val="single" w:sz="12" w:space="0" w:color="auto"/>
            </w:tcBorders>
            <w:shd w:val="clear" w:color="auto" w:fill="auto"/>
            <w:noWrap/>
            <w:vAlign w:val="bottom"/>
            <w:hideMark/>
          </w:tcPr>
          <w:p w14:paraId="59E051CC"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647" w:type="pct"/>
            <w:tcBorders>
              <w:top w:val="single" w:sz="4" w:space="0" w:color="auto"/>
              <w:left w:val="single" w:sz="12" w:space="0" w:color="auto"/>
              <w:bottom w:val="single" w:sz="8" w:space="0" w:color="auto"/>
            </w:tcBorders>
            <w:shd w:val="clear" w:color="auto" w:fill="auto"/>
            <w:vAlign w:val="bottom"/>
            <w:hideMark/>
          </w:tcPr>
          <w:p w14:paraId="0DAEF6C6"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Improved flexibility and reduced direct costs for compliance through implementation of cost containment measures</w:t>
            </w:r>
          </w:p>
        </w:tc>
        <w:tc>
          <w:tcPr>
            <w:tcW w:w="368" w:type="pct"/>
            <w:tcBorders>
              <w:top w:val="single" w:sz="4" w:space="0" w:color="auto"/>
              <w:bottom w:val="single" w:sz="8" w:space="0" w:color="auto"/>
            </w:tcBorders>
            <w:shd w:val="clear" w:color="auto" w:fill="auto"/>
            <w:noWrap/>
            <w:vAlign w:val="bottom"/>
            <w:hideMark/>
          </w:tcPr>
          <w:p w14:paraId="0C3DC07B"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Economic</w:t>
            </w:r>
          </w:p>
        </w:tc>
        <w:tc>
          <w:tcPr>
            <w:tcW w:w="286" w:type="pct"/>
            <w:tcBorders>
              <w:top w:val="single" w:sz="4" w:space="0" w:color="auto"/>
              <w:bottom w:val="single" w:sz="8" w:space="0" w:color="auto"/>
              <w:right w:val="single" w:sz="8" w:space="0" w:color="auto"/>
            </w:tcBorders>
            <w:shd w:val="clear" w:color="auto" w:fill="auto"/>
            <w:noWrap/>
            <w:vAlign w:val="bottom"/>
            <w:hideMark/>
          </w:tcPr>
          <w:p w14:paraId="380DEB27"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Medium</w:t>
            </w:r>
          </w:p>
        </w:tc>
        <w:tc>
          <w:tcPr>
            <w:tcW w:w="284" w:type="pct"/>
            <w:tcBorders>
              <w:top w:val="single" w:sz="4" w:space="0" w:color="auto"/>
              <w:left w:val="single" w:sz="8" w:space="0" w:color="auto"/>
              <w:bottom w:val="single" w:sz="8" w:space="0" w:color="auto"/>
            </w:tcBorders>
            <w:shd w:val="clear" w:color="auto" w:fill="auto"/>
            <w:noWrap/>
            <w:vAlign w:val="bottom"/>
            <w:hideMark/>
          </w:tcPr>
          <w:p w14:paraId="0903010D"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7" w:type="pct"/>
            <w:tcBorders>
              <w:top w:val="single" w:sz="4" w:space="0" w:color="auto"/>
              <w:bottom w:val="single" w:sz="8" w:space="0" w:color="auto"/>
            </w:tcBorders>
            <w:shd w:val="clear" w:color="auto" w:fill="auto"/>
            <w:noWrap/>
            <w:vAlign w:val="bottom"/>
            <w:hideMark/>
          </w:tcPr>
          <w:p w14:paraId="534C06F2"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7" w:type="pct"/>
            <w:tcBorders>
              <w:top w:val="single" w:sz="4" w:space="0" w:color="auto"/>
              <w:bottom w:val="single" w:sz="8" w:space="0" w:color="auto"/>
            </w:tcBorders>
            <w:shd w:val="clear" w:color="auto" w:fill="auto"/>
            <w:noWrap/>
            <w:vAlign w:val="bottom"/>
            <w:hideMark/>
          </w:tcPr>
          <w:p w14:paraId="26B346BC" w14:textId="77777777" w:rsidR="00685A91" w:rsidRPr="00C77AD6" w:rsidRDefault="00685A91" w:rsidP="00685A91">
            <w:pPr>
              <w:spacing w:after="0" w:line="240" w:lineRule="auto"/>
              <w:rPr>
                <w:rFonts w:ascii="Calibri" w:eastAsia="Times New Roman" w:hAnsi="Calibri" w:cs="Calibri"/>
                <w:color w:val="000000"/>
                <w:lang w:eastAsia="en-AU"/>
              </w:rPr>
            </w:pPr>
            <w:r w:rsidRPr="00C77AD6">
              <w:rPr>
                <w:rFonts w:ascii="Calibri" w:eastAsia="Times New Roman" w:hAnsi="Calibri" w:cs="Calibri"/>
                <w:color w:val="000000"/>
                <w:lang w:eastAsia="en-AU"/>
              </w:rPr>
              <w:t> </w:t>
            </w:r>
          </w:p>
        </w:tc>
        <w:tc>
          <w:tcPr>
            <w:tcW w:w="310" w:type="pct"/>
            <w:tcBorders>
              <w:top w:val="single" w:sz="4" w:space="0" w:color="auto"/>
              <w:bottom w:val="single" w:sz="8" w:space="0" w:color="auto"/>
              <w:right w:val="single" w:sz="12" w:space="0" w:color="auto"/>
            </w:tcBorders>
            <w:shd w:val="clear" w:color="auto" w:fill="6DF0C4"/>
            <w:noWrap/>
            <w:vAlign w:val="bottom"/>
            <w:hideMark/>
          </w:tcPr>
          <w:p w14:paraId="46AD6573" w14:textId="77777777" w:rsidR="00685A91" w:rsidRPr="00C77AD6" w:rsidRDefault="00685A91" w:rsidP="00685A91">
            <w:pPr>
              <w:spacing w:after="0" w:line="240" w:lineRule="auto"/>
              <w:jc w:val="right"/>
              <w:rPr>
                <w:rFonts w:ascii="Calibri" w:eastAsia="Times New Roman" w:hAnsi="Calibri" w:cs="Calibri"/>
                <w:color w:val="000000"/>
                <w:lang w:eastAsia="en-AU"/>
              </w:rPr>
            </w:pPr>
            <w:r w:rsidRPr="00C77AD6">
              <w:rPr>
                <w:rFonts w:ascii="Calibri" w:eastAsia="Times New Roman" w:hAnsi="Calibri" w:cs="Calibri"/>
                <w:color w:val="000000"/>
                <w:lang w:eastAsia="en-AU"/>
              </w:rPr>
              <w:t>46</w:t>
            </w:r>
          </w:p>
        </w:tc>
      </w:tr>
    </w:tbl>
    <w:p w14:paraId="7B5F4C02" w14:textId="77777777" w:rsidR="00D559F8" w:rsidRDefault="00D559F8"/>
    <w:p w14:paraId="11F3EC3B" w14:textId="215CD78B" w:rsidR="00EA5706" w:rsidRDefault="00EA5706">
      <w:pPr>
        <w:rPr>
          <w:rFonts w:asciiTheme="majorHAnsi" w:hAnsiTheme="majorHAnsi"/>
          <w:color w:val="014463" w:themeColor="text2"/>
          <w:szCs w:val="18"/>
        </w:rPr>
      </w:pPr>
    </w:p>
    <w:p w14:paraId="55BA3E84" w14:textId="4C31B65A" w:rsidR="0041275E" w:rsidRDefault="00A811DA" w:rsidP="006B47AF">
      <w:pPr>
        <w:pStyle w:val="Caption"/>
      </w:pPr>
      <w:bookmarkStart w:id="225" w:name="_Ref132109000"/>
      <w:bookmarkStart w:id="226" w:name="_Ref129120135"/>
      <w:r>
        <w:t xml:space="preserve">Table </w:t>
      </w:r>
      <w:fldSimple w:instr=" SEQ Table \* ARABIC ">
        <w:r w:rsidR="00F30595">
          <w:rPr>
            <w:noProof/>
          </w:rPr>
          <w:t>7</w:t>
        </w:r>
      </w:fldSimple>
      <w:bookmarkEnd w:id="225"/>
      <w:r>
        <w:t xml:space="preserve"> </w:t>
      </w:r>
      <w:bookmarkEnd w:id="224"/>
      <w:bookmarkEnd w:id="226"/>
      <w:r w:rsidR="0041275E">
        <w:t xml:space="preserve">Safeguard </w:t>
      </w:r>
      <w:r w:rsidR="006B47AF">
        <w:t>M</w:t>
      </w:r>
      <w:r w:rsidR="0041275E">
        <w:t xml:space="preserve">echanism reforms - Net benefit </w:t>
      </w:r>
      <w:r w:rsidR="00F10D3E">
        <w:t>analysis</w:t>
      </w:r>
    </w:p>
    <w:tbl>
      <w:tblPr>
        <w:tblW w:w="22374" w:type="dxa"/>
        <w:tblLayout w:type="fixed"/>
        <w:tblCellMar>
          <w:left w:w="0" w:type="dxa"/>
          <w:right w:w="0" w:type="dxa"/>
        </w:tblCellMar>
        <w:tblLook w:val="04A0" w:firstRow="1" w:lastRow="0" w:firstColumn="1" w:lastColumn="0" w:noHBand="0" w:noVBand="1"/>
      </w:tblPr>
      <w:tblGrid>
        <w:gridCol w:w="3167"/>
        <w:gridCol w:w="6402"/>
        <w:gridCol w:w="6402"/>
        <w:gridCol w:w="6403"/>
      </w:tblGrid>
      <w:tr w:rsidR="0041275E" w:rsidRPr="00831800" w14:paraId="35837144" w14:textId="77777777" w:rsidTr="00202E2F">
        <w:trPr>
          <w:trHeight w:val="288"/>
          <w:tblHeader/>
        </w:trPr>
        <w:tc>
          <w:tcPr>
            <w:tcW w:w="3167" w:type="dxa"/>
            <w:tcBorders>
              <w:top w:val="single" w:sz="4" w:space="0" w:color="auto"/>
              <w:left w:val="single" w:sz="4" w:space="0" w:color="auto"/>
              <w:bottom w:val="single" w:sz="18" w:space="0" w:color="auto"/>
              <w:right w:val="single" w:sz="4" w:space="0" w:color="auto"/>
            </w:tcBorders>
            <w:shd w:val="clear" w:color="auto" w:fill="auto"/>
            <w:noWrap/>
            <w:tcMar>
              <w:top w:w="15" w:type="dxa"/>
              <w:left w:w="15" w:type="dxa"/>
              <w:bottom w:w="0" w:type="dxa"/>
              <w:right w:w="15" w:type="dxa"/>
            </w:tcMar>
            <w:vAlign w:val="bottom"/>
            <w:hideMark/>
          </w:tcPr>
          <w:p w14:paraId="64FD38CD" w14:textId="77777777" w:rsidR="0041275E" w:rsidRPr="00831800" w:rsidRDefault="00084D02">
            <w:pPr>
              <w:rPr>
                <w:rFonts w:cstheme="minorHAnsi"/>
              </w:rPr>
            </w:pPr>
            <w:r w:rsidRPr="00202E2F">
              <w:rPr>
                <w:rFonts w:cstheme="minorHAnsi"/>
                <w:b/>
                <w:color w:val="000000" w:themeColor="text1"/>
              </w:rPr>
              <w:t>Legend</w:t>
            </w:r>
            <w:r w:rsidR="005D668A" w:rsidRPr="006B47AF">
              <w:rPr>
                <w:rFonts w:cstheme="minorHAnsi"/>
                <w:color w:val="000000" w:themeColor="text1"/>
              </w:rPr>
              <w:br/>
              <w:t>[text] – Positive outcome</w:t>
            </w:r>
            <w:r w:rsidR="005D668A" w:rsidRPr="00831800">
              <w:rPr>
                <w:rFonts w:cstheme="minorHAnsi"/>
              </w:rPr>
              <w:br/>
            </w:r>
            <w:r w:rsidR="005D668A" w:rsidRPr="006140B8">
              <w:rPr>
                <w:rFonts w:cstheme="minorHAnsi"/>
                <w:color w:val="C85A17" w:themeColor="accent4"/>
              </w:rPr>
              <w:t>[text] – Negative outcome</w:t>
            </w:r>
          </w:p>
        </w:tc>
        <w:tc>
          <w:tcPr>
            <w:tcW w:w="6402" w:type="dxa"/>
            <w:tcBorders>
              <w:top w:val="single" w:sz="4" w:space="0" w:color="auto"/>
              <w:left w:val="single" w:sz="4" w:space="0" w:color="auto"/>
              <w:bottom w:val="single" w:sz="18" w:space="0" w:color="auto"/>
              <w:right w:val="single" w:sz="4" w:space="0" w:color="auto"/>
            </w:tcBorders>
            <w:shd w:val="clear" w:color="auto" w:fill="BFCAD7" w:themeFill="accent1" w:themeFillTint="40"/>
            <w:noWrap/>
            <w:tcMar>
              <w:top w:w="15" w:type="dxa"/>
              <w:left w:w="15" w:type="dxa"/>
              <w:bottom w:w="0" w:type="dxa"/>
              <w:right w:w="15" w:type="dxa"/>
            </w:tcMar>
            <w:vAlign w:val="bottom"/>
            <w:hideMark/>
          </w:tcPr>
          <w:p w14:paraId="6178EB0F" w14:textId="77777777" w:rsidR="0041275E" w:rsidRPr="006B47AF" w:rsidRDefault="005D668A" w:rsidP="006B47AF">
            <w:pPr>
              <w:jc w:val="center"/>
              <w:rPr>
                <w:rFonts w:cstheme="minorHAnsi"/>
                <w:b/>
                <w:color w:val="000000"/>
              </w:rPr>
            </w:pPr>
            <w:r w:rsidRPr="00831800">
              <w:rPr>
                <w:rFonts w:cstheme="minorHAnsi"/>
                <w:b/>
                <w:color w:val="000000"/>
              </w:rPr>
              <w:t xml:space="preserve"> </w:t>
            </w:r>
            <w:r w:rsidR="0041275E" w:rsidRPr="006B47AF">
              <w:rPr>
                <w:rFonts w:cstheme="minorHAnsi"/>
                <w:b/>
                <w:color w:val="000000"/>
              </w:rPr>
              <w:t>Option 1</w:t>
            </w:r>
          </w:p>
        </w:tc>
        <w:tc>
          <w:tcPr>
            <w:tcW w:w="6402" w:type="dxa"/>
            <w:tcBorders>
              <w:top w:val="single" w:sz="4" w:space="0" w:color="auto"/>
              <w:left w:val="single" w:sz="4" w:space="0" w:color="auto"/>
              <w:bottom w:val="single" w:sz="18" w:space="0" w:color="auto"/>
              <w:right w:val="single" w:sz="4" w:space="0" w:color="auto"/>
            </w:tcBorders>
            <w:shd w:val="clear" w:color="auto" w:fill="BFCAD7" w:themeFill="accent1" w:themeFillTint="40"/>
            <w:vAlign w:val="bottom"/>
          </w:tcPr>
          <w:p w14:paraId="76DE8F70" w14:textId="77777777" w:rsidR="0041275E" w:rsidRPr="006B47AF" w:rsidRDefault="0041275E" w:rsidP="006B47AF">
            <w:pPr>
              <w:jc w:val="center"/>
              <w:rPr>
                <w:rFonts w:cstheme="minorHAnsi"/>
                <w:b/>
                <w:color w:val="000000"/>
              </w:rPr>
            </w:pPr>
            <w:r w:rsidRPr="006B47AF">
              <w:rPr>
                <w:rFonts w:cstheme="minorHAnsi"/>
                <w:b/>
                <w:color w:val="000000"/>
              </w:rPr>
              <w:t>Option 2</w:t>
            </w:r>
          </w:p>
        </w:tc>
        <w:tc>
          <w:tcPr>
            <w:tcW w:w="6403" w:type="dxa"/>
            <w:tcBorders>
              <w:top w:val="single" w:sz="4" w:space="0" w:color="auto"/>
              <w:left w:val="single" w:sz="4" w:space="0" w:color="auto"/>
              <w:bottom w:val="single" w:sz="18" w:space="0" w:color="auto"/>
              <w:right w:val="single" w:sz="4" w:space="0" w:color="auto"/>
            </w:tcBorders>
            <w:shd w:val="clear" w:color="auto" w:fill="BFCAD7" w:themeFill="accent1" w:themeFillTint="40"/>
            <w:vAlign w:val="bottom"/>
          </w:tcPr>
          <w:p w14:paraId="5331B898" w14:textId="77777777" w:rsidR="0041275E" w:rsidRPr="006B47AF" w:rsidRDefault="0041275E" w:rsidP="006B47AF">
            <w:pPr>
              <w:jc w:val="center"/>
              <w:rPr>
                <w:rFonts w:cstheme="minorHAnsi"/>
                <w:b/>
                <w:color w:val="000000"/>
              </w:rPr>
            </w:pPr>
            <w:r w:rsidRPr="006B47AF">
              <w:rPr>
                <w:rFonts w:cstheme="minorHAnsi"/>
                <w:b/>
                <w:color w:val="000000"/>
              </w:rPr>
              <w:t>Option 3</w:t>
            </w:r>
          </w:p>
        </w:tc>
      </w:tr>
      <w:tr w:rsidR="0041275E" w:rsidRPr="00831800" w14:paraId="3B04A806" w14:textId="77777777" w:rsidTr="00202E2F">
        <w:trPr>
          <w:trHeight w:val="576"/>
          <w:tblHeader/>
        </w:trPr>
        <w:tc>
          <w:tcPr>
            <w:tcW w:w="22374" w:type="dxa"/>
            <w:gridSpan w:val="4"/>
            <w:tcBorders>
              <w:top w:val="single" w:sz="18" w:space="0" w:color="auto"/>
              <w:left w:val="single" w:sz="18" w:space="0" w:color="auto"/>
              <w:bottom w:val="single" w:sz="18" w:space="0" w:color="auto"/>
              <w:right w:val="single" w:sz="18" w:space="0" w:color="auto"/>
            </w:tcBorders>
            <w:shd w:val="clear" w:color="auto" w:fill="auto"/>
            <w:tcMar>
              <w:top w:w="15" w:type="dxa"/>
              <w:left w:w="15" w:type="dxa"/>
              <w:bottom w:w="0" w:type="dxa"/>
              <w:right w:w="15" w:type="dxa"/>
            </w:tcMar>
            <w:vAlign w:val="bottom"/>
            <w:hideMark/>
          </w:tcPr>
          <w:p w14:paraId="0E9D1393" w14:textId="77777777" w:rsidR="0041275E" w:rsidRPr="006B47AF" w:rsidRDefault="0041275E" w:rsidP="004932D2">
            <w:pPr>
              <w:rPr>
                <w:rFonts w:cstheme="minorHAnsi"/>
                <w:b/>
                <w:color w:val="000000"/>
              </w:rPr>
            </w:pPr>
            <w:r w:rsidRPr="006B47AF">
              <w:rPr>
                <w:rFonts w:cstheme="minorHAnsi"/>
                <w:b/>
                <w:color w:val="000000"/>
              </w:rPr>
              <w:t xml:space="preserve">Performance against overarching principles (relative to </w:t>
            </w:r>
            <w:r w:rsidR="004932D2">
              <w:rPr>
                <w:rFonts w:cstheme="minorHAnsi"/>
                <w:b/>
                <w:color w:val="000000"/>
              </w:rPr>
              <w:t>r</w:t>
            </w:r>
            <w:r w:rsidRPr="006B47AF">
              <w:rPr>
                <w:rFonts w:cstheme="minorHAnsi"/>
                <w:b/>
                <w:color w:val="000000"/>
              </w:rPr>
              <w:t xml:space="preserve">eference </w:t>
            </w:r>
            <w:r w:rsidR="004932D2">
              <w:rPr>
                <w:rFonts w:cstheme="minorHAnsi"/>
                <w:b/>
                <w:color w:val="000000"/>
              </w:rPr>
              <w:t>s</w:t>
            </w:r>
            <w:r w:rsidRPr="006B47AF">
              <w:rPr>
                <w:rFonts w:cstheme="minorHAnsi"/>
                <w:b/>
                <w:color w:val="000000"/>
              </w:rPr>
              <w:t xml:space="preserve">cenario </w:t>
            </w:r>
            <w:r w:rsidR="004932D2">
              <w:rPr>
                <w:rFonts w:cstheme="minorHAnsi"/>
                <w:b/>
                <w:color w:val="000000"/>
              </w:rPr>
              <w:t>)</w:t>
            </w:r>
          </w:p>
        </w:tc>
      </w:tr>
      <w:tr w:rsidR="00412CD5" w:rsidRPr="00831800" w14:paraId="10D4B1C4" w14:textId="77777777" w:rsidTr="006B47AF">
        <w:trPr>
          <w:trHeight w:val="2813"/>
        </w:trPr>
        <w:tc>
          <w:tcPr>
            <w:tcW w:w="3167" w:type="dxa"/>
            <w:vMerge w:val="restart"/>
            <w:tcBorders>
              <w:top w:val="single" w:sz="18" w:space="0" w:color="auto"/>
              <w:left w:val="single" w:sz="4" w:space="0" w:color="auto"/>
              <w:right w:val="single" w:sz="4" w:space="0" w:color="auto"/>
            </w:tcBorders>
            <w:shd w:val="clear" w:color="auto" w:fill="BFCAD7" w:themeFill="accent1" w:themeFillTint="40"/>
            <w:tcMar>
              <w:top w:w="15" w:type="dxa"/>
              <w:left w:w="15" w:type="dxa"/>
              <w:bottom w:w="0" w:type="dxa"/>
              <w:right w:w="15" w:type="dxa"/>
            </w:tcMar>
            <w:vAlign w:val="bottom"/>
            <w:hideMark/>
          </w:tcPr>
          <w:p w14:paraId="3CAEBBCE" w14:textId="77777777" w:rsidR="00412CD5" w:rsidRPr="006B47AF" w:rsidRDefault="00412CD5">
            <w:pPr>
              <w:rPr>
                <w:rFonts w:cstheme="minorHAnsi"/>
                <w:b/>
                <w:color w:val="000000"/>
              </w:rPr>
            </w:pPr>
            <w:r w:rsidRPr="006B47AF">
              <w:rPr>
                <w:rFonts w:cstheme="minorHAnsi"/>
                <w:b/>
                <w:color w:val="000000"/>
              </w:rPr>
              <w:t xml:space="preserve">Effective </w:t>
            </w:r>
            <w:r w:rsidRPr="00831800">
              <w:rPr>
                <w:rFonts w:cstheme="minorHAnsi"/>
                <w:b/>
                <w:color w:val="000000"/>
              </w:rPr>
              <w:t xml:space="preserve">- </w:t>
            </w:r>
            <w:r w:rsidRPr="006B47AF">
              <w:rPr>
                <w:rFonts w:cstheme="minorHAnsi"/>
                <w:b/>
                <w:i/>
                <w:color w:val="000000"/>
              </w:rPr>
              <w:t xml:space="preserve">reduces emissions consistent with Australia’s greenhouse gas emissions reduction </w:t>
            </w:r>
            <w:r w:rsidRPr="006B47AF">
              <w:rPr>
                <w:rFonts w:cstheme="minorHAnsi"/>
                <w:b/>
                <w:i/>
                <w:color w:val="000000"/>
              </w:rPr>
              <w:br/>
              <w:t>targets.</w:t>
            </w:r>
          </w:p>
        </w:tc>
        <w:tc>
          <w:tcPr>
            <w:tcW w:w="6402" w:type="dxa"/>
            <w:tcBorders>
              <w:top w:val="single" w:sz="18"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1667AE92" w14:textId="77777777" w:rsidR="00412CD5" w:rsidRPr="006B47AF" w:rsidRDefault="00412CD5" w:rsidP="006B47AF">
            <w:pPr>
              <w:pStyle w:val="ListParagraph"/>
              <w:numPr>
                <w:ilvl w:val="0"/>
                <w:numId w:val="40"/>
              </w:numPr>
              <w:rPr>
                <w:rFonts w:cstheme="minorHAnsi"/>
                <w:color w:val="000000"/>
              </w:rPr>
            </w:pPr>
            <w:r w:rsidRPr="006B47AF">
              <w:rPr>
                <w:rFonts w:cstheme="minorHAnsi"/>
                <w:color w:val="000000"/>
              </w:rPr>
              <w:t>Aggregate emissions reduction outcomes same across all reform options</w:t>
            </w:r>
          </w:p>
          <w:p w14:paraId="22A0DDA0" w14:textId="77777777" w:rsidR="00412CD5" w:rsidRDefault="000920C6" w:rsidP="006B47AF">
            <w:pPr>
              <w:pStyle w:val="ListParagraph"/>
              <w:numPr>
                <w:ilvl w:val="0"/>
                <w:numId w:val="40"/>
              </w:numPr>
              <w:rPr>
                <w:rFonts w:cstheme="minorHAnsi"/>
                <w:color w:val="000000"/>
              </w:rPr>
            </w:pPr>
            <w:r>
              <w:rPr>
                <w:rFonts w:cstheme="minorHAnsi"/>
                <w:color w:val="000000"/>
              </w:rPr>
              <w:t xml:space="preserve">Inclusion </w:t>
            </w:r>
            <w:r w:rsidR="00412CD5" w:rsidRPr="006B47AF">
              <w:rPr>
                <w:rFonts w:cstheme="minorHAnsi"/>
                <w:color w:val="000000"/>
              </w:rPr>
              <w:t>of a</w:t>
            </w:r>
            <w:r>
              <w:rPr>
                <w:rFonts w:cstheme="minorHAnsi"/>
                <w:color w:val="000000"/>
              </w:rPr>
              <w:t>n emissions</w:t>
            </w:r>
            <w:r w:rsidR="00412CD5" w:rsidRPr="006B47AF">
              <w:rPr>
                <w:rFonts w:cstheme="minorHAnsi"/>
                <w:color w:val="000000"/>
              </w:rPr>
              <w:t xml:space="preserve"> ‘</w:t>
            </w:r>
            <w:r>
              <w:rPr>
                <w:rFonts w:cstheme="minorHAnsi"/>
                <w:color w:val="000000"/>
              </w:rPr>
              <w:t>r</w:t>
            </w:r>
            <w:r w:rsidR="00412CD5" w:rsidRPr="006B47AF">
              <w:rPr>
                <w:rFonts w:cstheme="minorHAnsi"/>
                <w:color w:val="000000"/>
              </w:rPr>
              <w:t xml:space="preserve">eserve’ mitigates the risk </w:t>
            </w:r>
            <w:r>
              <w:rPr>
                <w:rFonts w:cstheme="minorHAnsi"/>
                <w:color w:val="000000"/>
              </w:rPr>
              <w:t xml:space="preserve">of </w:t>
            </w:r>
            <w:r w:rsidR="00412CD5" w:rsidRPr="006B47AF">
              <w:rPr>
                <w:rFonts w:cstheme="minorHAnsi"/>
                <w:color w:val="000000"/>
              </w:rPr>
              <w:t xml:space="preserve">overshooting </w:t>
            </w:r>
            <w:r>
              <w:rPr>
                <w:rFonts w:cstheme="minorHAnsi"/>
                <w:color w:val="000000"/>
              </w:rPr>
              <w:t>the</w:t>
            </w:r>
            <w:r w:rsidR="00412CD5" w:rsidRPr="006B47AF">
              <w:rPr>
                <w:rFonts w:cstheme="minorHAnsi"/>
                <w:color w:val="000000"/>
              </w:rPr>
              <w:t xml:space="preserve"> point and emissions budget targets</w:t>
            </w:r>
            <w:r>
              <w:rPr>
                <w:rFonts w:cstheme="minorHAnsi"/>
                <w:color w:val="000000"/>
              </w:rPr>
              <w:t xml:space="preserve"> </w:t>
            </w:r>
          </w:p>
          <w:p w14:paraId="1062FAA6" w14:textId="77777777" w:rsidR="002E37A2" w:rsidRPr="006B47AF" w:rsidRDefault="002E37A2" w:rsidP="006B47AF">
            <w:pPr>
              <w:pStyle w:val="ListParagraph"/>
              <w:numPr>
                <w:ilvl w:val="0"/>
                <w:numId w:val="40"/>
              </w:numPr>
              <w:rPr>
                <w:rFonts w:cstheme="minorHAnsi"/>
                <w:color w:val="000000"/>
              </w:rPr>
            </w:pPr>
            <w:r>
              <w:rPr>
                <w:rFonts w:cstheme="minorHAnsi"/>
                <w:color w:val="000000"/>
              </w:rPr>
              <w:t>Proportional target maintains the importance of a strong investment signal, and a clear decarbonisation trajectory to net zero by 2050.</w:t>
            </w:r>
          </w:p>
          <w:p w14:paraId="40367CA2" w14:textId="77777777" w:rsidR="00412CD5" w:rsidRPr="006B47AF" w:rsidRDefault="000920C6" w:rsidP="00270C71">
            <w:pPr>
              <w:pStyle w:val="ListParagraph"/>
              <w:numPr>
                <w:ilvl w:val="0"/>
                <w:numId w:val="40"/>
              </w:numPr>
              <w:rPr>
                <w:rFonts w:cstheme="minorHAnsi"/>
                <w:color w:val="000000"/>
              </w:rPr>
            </w:pPr>
            <w:r>
              <w:rPr>
                <w:rFonts w:cstheme="minorHAnsi"/>
                <w:color w:val="000000"/>
              </w:rPr>
              <w:t>Placing</w:t>
            </w:r>
            <w:r w:rsidR="00412CD5" w:rsidRPr="006B47AF">
              <w:rPr>
                <w:rFonts w:cstheme="minorHAnsi"/>
                <w:color w:val="000000"/>
              </w:rPr>
              <w:t xml:space="preserve"> new entrant facilities </w:t>
            </w:r>
            <w:r>
              <w:rPr>
                <w:rFonts w:cstheme="minorHAnsi"/>
                <w:color w:val="000000"/>
              </w:rPr>
              <w:t>on the</w:t>
            </w:r>
            <w:r w:rsidRPr="006B47AF">
              <w:rPr>
                <w:rFonts w:cstheme="minorHAnsi"/>
                <w:color w:val="000000"/>
              </w:rPr>
              <w:t xml:space="preserve"> </w:t>
            </w:r>
            <w:r w:rsidR="00412CD5" w:rsidRPr="006B47AF">
              <w:rPr>
                <w:rFonts w:cstheme="minorHAnsi"/>
                <w:color w:val="000000"/>
              </w:rPr>
              <w:t xml:space="preserve">best-practice benchmarks sends a strong signal to investors, indicating Australia’s strong commitment to emissions reduction, ensures closer alignment with emissions reduction trajectories and limits risks </w:t>
            </w:r>
            <w:r>
              <w:rPr>
                <w:rFonts w:cstheme="minorHAnsi"/>
                <w:color w:val="000000"/>
              </w:rPr>
              <w:t>of</w:t>
            </w:r>
            <w:r w:rsidRPr="006B47AF">
              <w:rPr>
                <w:rFonts w:cstheme="minorHAnsi"/>
                <w:color w:val="000000"/>
              </w:rPr>
              <w:t xml:space="preserve"> </w:t>
            </w:r>
            <w:r w:rsidR="00412CD5" w:rsidRPr="006B47AF">
              <w:rPr>
                <w:rFonts w:cstheme="minorHAnsi"/>
                <w:color w:val="000000"/>
              </w:rPr>
              <w:t>overshooting targets</w:t>
            </w:r>
          </w:p>
        </w:tc>
        <w:tc>
          <w:tcPr>
            <w:tcW w:w="6402" w:type="dxa"/>
            <w:tcBorders>
              <w:top w:val="single" w:sz="18" w:space="0" w:color="auto"/>
              <w:left w:val="nil"/>
              <w:bottom w:val="single" w:sz="4" w:space="0" w:color="auto"/>
              <w:right w:val="nil"/>
            </w:tcBorders>
            <w:shd w:val="clear" w:color="auto" w:fill="auto"/>
            <w:vAlign w:val="bottom"/>
          </w:tcPr>
          <w:p w14:paraId="055833E3" w14:textId="77777777" w:rsidR="00412CD5" w:rsidRPr="006B47AF" w:rsidRDefault="00412CD5" w:rsidP="00570844">
            <w:pPr>
              <w:pStyle w:val="ListParagraph"/>
              <w:numPr>
                <w:ilvl w:val="0"/>
                <w:numId w:val="40"/>
              </w:numPr>
              <w:rPr>
                <w:rFonts w:cstheme="minorHAnsi"/>
                <w:color w:val="000000"/>
              </w:rPr>
            </w:pPr>
            <w:r w:rsidRPr="006B47AF">
              <w:rPr>
                <w:rFonts w:cstheme="minorHAnsi"/>
                <w:color w:val="000000"/>
              </w:rPr>
              <w:t>Aggregate emissions reduction outcomes same across all reform options</w:t>
            </w:r>
          </w:p>
          <w:p w14:paraId="23CB478F" w14:textId="77777777" w:rsidR="00412CD5" w:rsidRDefault="000920C6" w:rsidP="006B47AF">
            <w:pPr>
              <w:pStyle w:val="ListParagraph"/>
              <w:numPr>
                <w:ilvl w:val="0"/>
                <w:numId w:val="40"/>
              </w:numPr>
              <w:rPr>
                <w:rFonts w:cstheme="minorHAnsi"/>
                <w:color w:val="000000"/>
              </w:rPr>
            </w:pPr>
            <w:r>
              <w:rPr>
                <w:rFonts w:cstheme="minorHAnsi"/>
                <w:color w:val="000000"/>
              </w:rPr>
              <w:t>Inclusion</w:t>
            </w:r>
            <w:r w:rsidRPr="006B47AF">
              <w:rPr>
                <w:rFonts w:cstheme="minorHAnsi"/>
                <w:color w:val="000000"/>
              </w:rPr>
              <w:t xml:space="preserve"> </w:t>
            </w:r>
            <w:r w:rsidR="00412CD5" w:rsidRPr="006B47AF">
              <w:rPr>
                <w:rFonts w:cstheme="minorHAnsi"/>
                <w:color w:val="000000"/>
              </w:rPr>
              <w:t>of a</w:t>
            </w:r>
            <w:r>
              <w:rPr>
                <w:rFonts w:cstheme="minorHAnsi"/>
                <w:color w:val="000000"/>
              </w:rPr>
              <w:t>n emissions</w:t>
            </w:r>
            <w:r w:rsidR="00412CD5" w:rsidRPr="006B47AF">
              <w:rPr>
                <w:rFonts w:cstheme="minorHAnsi"/>
                <w:color w:val="000000"/>
              </w:rPr>
              <w:t xml:space="preserve"> ‘</w:t>
            </w:r>
            <w:r>
              <w:rPr>
                <w:rFonts w:cstheme="minorHAnsi"/>
                <w:color w:val="000000"/>
              </w:rPr>
              <w:t>r</w:t>
            </w:r>
            <w:r w:rsidR="00412CD5" w:rsidRPr="006B47AF">
              <w:rPr>
                <w:rFonts w:cstheme="minorHAnsi"/>
                <w:color w:val="000000"/>
              </w:rPr>
              <w:t xml:space="preserve">eserve’ mitigates the risk </w:t>
            </w:r>
            <w:r>
              <w:rPr>
                <w:rFonts w:cstheme="minorHAnsi"/>
                <w:color w:val="000000"/>
              </w:rPr>
              <w:t xml:space="preserve">of </w:t>
            </w:r>
            <w:r w:rsidR="00412CD5" w:rsidRPr="006B47AF">
              <w:rPr>
                <w:rFonts w:cstheme="minorHAnsi"/>
                <w:color w:val="000000"/>
              </w:rPr>
              <w:t xml:space="preserve">overshooting </w:t>
            </w:r>
            <w:r>
              <w:rPr>
                <w:rFonts w:cstheme="minorHAnsi"/>
                <w:color w:val="000000"/>
              </w:rPr>
              <w:t xml:space="preserve">the </w:t>
            </w:r>
            <w:r w:rsidR="00412CD5" w:rsidRPr="006B47AF">
              <w:rPr>
                <w:rFonts w:cstheme="minorHAnsi"/>
                <w:color w:val="000000"/>
              </w:rPr>
              <w:t>point and emissions budget targets</w:t>
            </w:r>
          </w:p>
          <w:p w14:paraId="4885065A" w14:textId="77777777" w:rsidR="002E37A2" w:rsidRPr="006B47AF" w:rsidRDefault="002E37A2" w:rsidP="006B47AF">
            <w:pPr>
              <w:pStyle w:val="ListParagraph"/>
              <w:numPr>
                <w:ilvl w:val="0"/>
                <w:numId w:val="40"/>
              </w:numPr>
              <w:rPr>
                <w:rFonts w:cstheme="minorHAnsi"/>
                <w:color w:val="000000"/>
              </w:rPr>
            </w:pPr>
            <w:r>
              <w:rPr>
                <w:rFonts w:cstheme="minorHAnsi"/>
                <w:color w:val="000000"/>
              </w:rPr>
              <w:t>Proportional target maintains the importance of a strong investment signal, and a clear decarbonisation trajectory to net zero by 2050.</w:t>
            </w:r>
          </w:p>
          <w:p w14:paraId="32517686" w14:textId="77777777" w:rsidR="00412CD5" w:rsidRPr="006B47AF" w:rsidRDefault="000920C6" w:rsidP="00270C71">
            <w:pPr>
              <w:pStyle w:val="ListParagraph"/>
              <w:numPr>
                <w:ilvl w:val="0"/>
                <w:numId w:val="40"/>
              </w:numPr>
              <w:rPr>
                <w:rFonts w:cstheme="minorHAnsi"/>
                <w:color w:val="000000"/>
              </w:rPr>
            </w:pPr>
            <w:r>
              <w:rPr>
                <w:rFonts w:cstheme="minorHAnsi"/>
                <w:color w:val="000000"/>
              </w:rPr>
              <w:t>Placing</w:t>
            </w:r>
            <w:r w:rsidR="00412CD5" w:rsidRPr="006B47AF">
              <w:rPr>
                <w:rFonts w:cstheme="minorHAnsi"/>
                <w:color w:val="000000"/>
              </w:rPr>
              <w:t xml:space="preserve"> new entrant facilities </w:t>
            </w:r>
            <w:r>
              <w:rPr>
                <w:rFonts w:cstheme="minorHAnsi"/>
                <w:color w:val="000000"/>
              </w:rPr>
              <w:t>on the</w:t>
            </w:r>
            <w:r w:rsidR="00412CD5" w:rsidRPr="006B47AF">
              <w:rPr>
                <w:rFonts w:cstheme="minorHAnsi"/>
                <w:color w:val="000000"/>
              </w:rPr>
              <w:t xml:space="preserve"> best-practice benchmarks sends a strong signal to investors, indicating Australia’s strong commitment to emissions reduction, ensures closer alignment with emissions reduction trajectories and limits risks </w:t>
            </w:r>
            <w:r>
              <w:rPr>
                <w:rFonts w:cstheme="minorHAnsi"/>
                <w:color w:val="000000"/>
              </w:rPr>
              <w:t>of</w:t>
            </w:r>
            <w:r w:rsidRPr="006B47AF">
              <w:rPr>
                <w:rFonts w:cstheme="minorHAnsi"/>
                <w:color w:val="000000"/>
              </w:rPr>
              <w:t xml:space="preserve"> </w:t>
            </w:r>
            <w:r w:rsidR="00412CD5" w:rsidRPr="006B47AF">
              <w:rPr>
                <w:rFonts w:cstheme="minorHAnsi"/>
                <w:color w:val="000000"/>
              </w:rPr>
              <w:t>overshooting targets</w:t>
            </w:r>
          </w:p>
        </w:tc>
        <w:tc>
          <w:tcPr>
            <w:tcW w:w="6403" w:type="dxa"/>
            <w:tcBorders>
              <w:top w:val="single" w:sz="18" w:space="0" w:color="auto"/>
              <w:left w:val="nil"/>
              <w:bottom w:val="single" w:sz="4" w:space="0" w:color="auto"/>
              <w:right w:val="single" w:sz="4" w:space="0" w:color="auto"/>
            </w:tcBorders>
            <w:shd w:val="clear" w:color="auto" w:fill="auto"/>
            <w:vAlign w:val="bottom"/>
          </w:tcPr>
          <w:p w14:paraId="7A3CC59F" w14:textId="77777777" w:rsidR="00412CD5" w:rsidRPr="006B47AF" w:rsidRDefault="00412CD5" w:rsidP="00570844">
            <w:pPr>
              <w:pStyle w:val="ListParagraph"/>
              <w:numPr>
                <w:ilvl w:val="0"/>
                <w:numId w:val="40"/>
              </w:numPr>
              <w:rPr>
                <w:rFonts w:cstheme="minorHAnsi"/>
                <w:color w:val="000000"/>
              </w:rPr>
            </w:pPr>
            <w:r w:rsidRPr="006B47AF">
              <w:rPr>
                <w:rFonts w:cstheme="minorHAnsi"/>
                <w:color w:val="000000"/>
              </w:rPr>
              <w:t>Aggregate emissions reduction outcomes same across all reform options</w:t>
            </w:r>
          </w:p>
          <w:p w14:paraId="087667E4" w14:textId="77777777" w:rsidR="00B76068" w:rsidRDefault="00B76068" w:rsidP="006B47AF">
            <w:pPr>
              <w:pStyle w:val="ListParagraph"/>
              <w:numPr>
                <w:ilvl w:val="0"/>
                <w:numId w:val="40"/>
              </w:numPr>
              <w:rPr>
                <w:rFonts w:cstheme="minorHAnsi"/>
                <w:color w:val="000000"/>
              </w:rPr>
            </w:pPr>
            <w:r>
              <w:rPr>
                <w:rFonts w:cstheme="minorHAnsi"/>
                <w:color w:val="000000"/>
              </w:rPr>
              <w:t xml:space="preserve">Applying a uniform, annual decline rate of 4.9 </w:t>
            </w:r>
            <w:r w:rsidR="004901E0">
              <w:rPr>
                <w:rFonts w:cstheme="minorHAnsi"/>
                <w:color w:val="000000"/>
              </w:rPr>
              <w:t>per cent</w:t>
            </w:r>
            <w:r>
              <w:rPr>
                <w:rFonts w:cstheme="minorHAnsi"/>
                <w:color w:val="000000"/>
              </w:rPr>
              <w:t xml:space="preserve"> </w:t>
            </w:r>
            <w:r w:rsidR="002F242C">
              <w:rPr>
                <w:rFonts w:cstheme="minorHAnsi"/>
                <w:color w:val="000000"/>
              </w:rPr>
              <w:t>maintains policy position that this rate will transition industry to net zero and allow the Safeguard to meet its proportional share of the target.</w:t>
            </w:r>
          </w:p>
          <w:p w14:paraId="417C4482" w14:textId="77777777" w:rsidR="002E37A2" w:rsidRDefault="002E37A2" w:rsidP="006B47AF">
            <w:pPr>
              <w:pStyle w:val="ListParagraph"/>
              <w:numPr>
                <w:ilvl w:val="0"/>
                <w:numId w:val="40"/>
              </w:numPr>
              <w:rPr>
                <w:rFonts w:cstheme="minorHAnsi"/>
                <w:color w:val="000000"/>
              </w:rPr>
            </w:pPr>
            <w:r>
              <w:rPr>
                <w:rFonts w:cstheme="minorHAnsi"/>
                <w:color w:val="000000"/>
              </w:rPr>
              <w:t>Proportional target maintains the importance of a strong investment signal, and a clear decarbonisation trajectory to net zero by 2050.</w:t>
            </w:r>
          </w:p>
          <w:p w14:paraId="575D0F49" w14:textId="77777777" w:rsidR="00412CD5" w:rsidRPr="006B47AF" w:rsidRDefault="000920C6" w:rsidP="006B47AF">
            <w:pPr>
              <w:pStyle w:val="ListParagraph"/>
              <w:numPr>
                <w:ilvl w:val="0"/>
                <w:numId w:val="40"/>
              </w:numPr>
              <w:rPr>
                <w:rFonts w:cstheme="minorHAnsi"/>
                <w:color w:val="000000"/>
              </w:rPr>
            </w:pPr>
            <w:r>
              <w:rPr>
                <w:rFonts w:cstheme="minorHAnsi"/>
                <w:color w:val="000000"/>
              </w:rPr>
              <w:t>Inclusion</w:t>
            </w:r>
            <w:r w:rsidRPr="006B47AF">
              <w:rPr>
                <w:rFonts w:cstheme="minorHAnsi"/>
                <w:color w:val="000000"/>
              </w:rPr>
              <w:t xml:space="preserve"> </w:t>
            </w:r>
            <w:r w:rsidR="00412CD5" w:rsidRPr="006B47AF">
              <w:rPr>
                <w:rFonts w:cstheme="minorHAnsi"/>
                <w:color w:val="000000"/>
              </w:rPr>
              <w:t>of a</w:t>
            </w:r>
            <w:r>
              <w:rPr>
                <w:rFonts w:cstheme="minorHAnsi"/>
                <w:color w:val="000000"/>
              </w:rPr>
              <w:t>n emissions</w:t>
            </w:r>
            <w:r w:rsidR="00412CD5" w:rsidRPr="006B47AF">
              <w:rPr>
                <w:rFonts w:cstheme="minorHAnsi"/>
                <w:color w:val="000000"/>
              </w:rPr>
              <w:t xml:space="preserve"> ‘</w:t>
            </w:r>
            <w:r>
              <w:rPr>
                <w:rFonts w:cstheme="minorHAnsi"/>
                <w:color w:val="000000"/>
              </w:rPr>
              <w:t>r</w:t>
            </w:r>
            <w:r w:rsidR="00412CD5" w:rsidRPr="006B47AF">
              <w:rPr>
                <w:rFonts w:cstheme="minorHAnsi"/>
                <w:color w:val="000000"/>
              </w:rPr>
              <w:t xml:space="preserve">eserve’ mitigates the risk </w:t>
            </w:r>
            <w:r>
              <w:rPr>
                <w:rFonts w:cstheme="minorHAnsi"/>
                <w:color w:val="000000"/>
              </w:rPr>
              <w:t xml:space="preserve">of </w:t>
            </w:r>
            <w:r w:rsidR="00412CD5" w:rsidRPr="006B47AF">
              <w:rPr>
                <w:rFonts w:cstheme="minorHAnsi"/>
                <w:color w:val="000000"/>
              </w:rPr>
              <w:t xml:space="preserve">overshooting </w:t>
            </w:r>
            <w:r>
              <w:rPr>
                <w:rFonts w:cstheme="minorHAnsi"/>
                <w:color w:val="000000"/>
              </w:rPr>
              <w:t xml:space="preserve">the </w:t>
            </w:r>
            <w:r w:rsidR="00412CD5" w:rsidRPr="006B47AF">
              <w:rPr>
                <w:rFonts w:cstheme="minorHAnsi"/>
                <w:color w:val="000000"/>
              </w:rPr>
              <w:t>point and emissions budget targets</w:t>
            </w:r>
            <w:r w:rsidR="00692C46">
              <w:rPr>
                <w:rFonts w:cstheme="minorHAnsi"/>
                <w:color w:val="000000"/>
              </w:rPr>
              <w:t>.</w:t>
            </w:r>
          </w:p>
          <w:p w14:paraId="2820381E" w14:textId="77777777" w:rsidR="00412CD5" w:rsidRPr="006B47AF" w:rsidRDefault="003C5467" w:rsidP="006B47AF">
            <w:pPr>
              <w:pStyle w:val="ListParagraph"/>
              <w:numPr>
                <w:ilvl w:val="0"/>
                <w:numId w:val="40"/>
              </w:numPr>
              <w:rPr>
                <w:rFonts w:cstheme="minorHAnsi"/>
                <w:color w:val="000000"/>
              </w:rPr>
            </w:pPr>
            <w:r>
              <w:rPr>
                <w:rFonts w:cstheme="minorHAnsi"/>
                <w:color w:val="000000"/>
              </w:rPr>
              <w:t xml:space="preserve">Recognises that new investments have the opportunity to use the latest technology and build world’s best-practice emissions performance in design. </w:t>
            </w:r>
            <w:r w:rsidR="00412CD5" w:rsidRPr="006B47AF">
              <w:rPr>
                <w:rFonts w:cstheme="minorHAnsi"/>
                <w:color w:val="000000"/>
              </w:rPr>
              <w:t>By subjecting new entrant</w:t>
            </w:r>
            <w:r w:rsidR="009477D7">
              <w:rPr>
                <w:rFonts w:cstheme="minorHAnsi"/>
                <w:color w:val="000000"/>
              </w:rPr>
              <w:t>/significant expansion</w:t>
            </w:r>
            <w:r w:rsidR="00412CD5" w:rsidRPr="006B47AF">
              <w:rPr>
                <w:rFonts w:cstheme="minorHAnsi"/>
                <w:color w:val="000000"/>
              </w:rPr>
              <w:t xml:space="preserve"> facilities to international best-practice benchmarks (adapted to Australian context), </w:t>
            </w:r>
            <w:r w:rsidR="000920C6">
              <w:rPr>
                <w:rFonts w:cstheme="minorHAnsi"/>
                <w:color w:val="000000"/>
              </w:rPr>
              <w:t xml:space="preserve">this </w:t>
            </w:r>
            <w:r w:rsidR="00412CD5" w:rsidRPr="006B47AF">
              <w:rPr>
                <w:rFonts w:cstheme="minorHAnsi"/>
                <w:color w:val="000000"/>
              </w:rPr>
              <w:t xml:space="preserve">option sends a strong signal to investors, indicating Australia’s strong commitment to emissions reduction, ensures closer alignment with emissions reduction trajectories and limits risks to overshooting targets. </w:t>
            </w:r>
          </w:p>
          <w:p w14:paraId="77158D25" w14:textId="77777777" w:rsidR="00412CD5" w:rsidRPr="006B47AF" w:rsidRDefault="000920C6" w:rsidP="006B47AF">
            <w:pPr>
              <w:pStyle w:val="ListParagraph"/>
              <w:numPr>
                <w:ilvl w:val="0"/>
                <w:numId w:val="40"/>
              </w:numPr>
              <w:rPr>
                <w:rFonts w:cstheme="minorHAnsi"/>
                <w:color w:val="000000"/>
              </w:rPr>
            </w:pPr>
            <w:r>
              <w:rPr>
                <w:rFonts w:cstheme="minorHAnsi"/>
                <w:color w:val="000000"/>
              </w:rPr>
              <w:t>This</w:t>
            </w:r>
            <w:r w:rsidRPr="006B47AF">
              <w:rPr>
                <w:rFonts w:cstheme="minorHAnsi"/>
                <w:color w:val="000000"/>
              </w:rPr>
              <w:t xml:space="preserve"> </w:t>
            </w:r>
            <w:r w:rsidR="00412CD5" w:rsidRPr="006B47AF">
              <w:rPr>
                <w:rFonts w:cstheme="minorHAnsi"/>
                <w:color w:val="000000"/>
              </w:rPr>
              <w:t xml:space="preserve">option allows for recalibration of </w:t>
            </w:r>
            <w:r>
              <w:rPr>
                <w:rFonts w:cstheme="minorHAnsi"/>
                <w:color w:val="000000"/>
              </w:rPr>
              <w:t>policy</w:t>
            </w:r>
            <w:r w:rsidRPr="006B47AF">
              <w:rPr>
                <w:rFonts w:cstheme="minorHAnsi"/>
                <w:color w:val="000000"/>
              </w:rPr>
              <w:t xml:space="preserve"> </w:t>
            </w:r>
            <w:r w:rsidR="00412CD5" w:rsidRPr="006B47AF">
              <w:rPr>
                <w:rFonts w:cstheme="minorHAnsi"/>
                <w:color w:val="000000"/>
              </w:rPr>
              <w:t xml:space="preserve">settings through a scheduled review as well as a periodic baseline setting process, to stay aligned with Australia's future </w:t>
            </w:r>
            <w:proofErr w:type="spellStart"/>
            <w:r w:rsidR="00412CD5" w:rsidRPr="006B47AF">
              <w:rPr>
                <w:rFonts w:cstheme="minorHAnsi"/>
                <w:color w:val="000000"/>
              </w:rPr>
              <w:t>NDC</w:t>
            </w:r>
            <w:proofErr w:type="spellEnd"/>
            <w:r w:rsidR="00412CD5" w:rsidRPr="006B47AF">
              <w:rPr>
                <w:rFonts w:cstheme="minorHAnsi"/>
                <w:color w:val="000000"/>
              </w:rPr>
              <w:t xml:space="preserve"> updates and Australia’s climate targets</w:t>
            </w:r>
            <w:r w:rsidR="00692C46">
              <w:rPr>
                <w:rFonts w:cstheme="minorHAnsi"/>
                <w:color w:val="000000"/>
              </w:rPr>
              <w:t>.</w:t>
            </w:r>
          </w:p>
        </w:tc>
      </w:tr>
      <w:tr w:rsidR="00412CD5" w:rsidRPr="00831800" w14:paraId="01DC28B5" w14:textId="77777777" w:rsidTr="006B47AF">
        <w:trPr>
          <w:trHeight w:val="288"/>
        </w:trPr>
        <w:tc>
          <w:tcPr>
            <w:tcW w:w="3167" w:type="dxa"/>
            <w:vMerge/>
            <w:tcBorders>
              <w:left w:val="single" w:sz="4" w:space="0" w:color="auto"/>
              <w:bottom w:val="single" w:sz="4" w:space="0" w:color="auto"/>
              <w:right w:val="single" w:sz="4" w:space="0" w:color="auto"/>
            </w:tcBorders>
            <w:shd w:val="clear" w:color="auto" w:fill="BFCAD7" w:themeFill="accent1" w:themeFillTint="40"/>
            <w:tcMar>
              <w:top w:w="15" w:type="dxa"/>
              <w:left w:w="15" w:type="dxa"/>
              <w:bottom w:w="0" w:type="dxa"/>
              <w:right w:w="15" w:type="dxa"/>
            </w:tcMar>
            <w:vAlign w:val="bottom"/>
            <w:hideMark/>
          </w:tcPr>
          <w:p w14:paraId="4AB46047" w14:textId="77777777" w:rsidR="00412CD5" w:rsidRPr="006B47AF" w:rsidRDefault="00412CD5">
            <w:pPr>
              <w:rPr>
                <w:rFonts w:cstheme="minorHAnsi"/>
                <w:color w:val="000000"/>
              </w:rPr>
            </w:pPr>
          </w:p>
        </w:tc>
        <w:tc>
          <w:tcPr>
            <w:tcW w:w="6402" w:type="dxa"/>
            <w:tcBorders>
              <w:top w:val="single" w:sz="4" w:space="0" w:color="auto"/>
              <w:left w:val="single" w:sz="4" w:space="0" w:color="auto"/>
              <w:bottom w:val="single" w:sz="4" w:space="0" w:color="auto"/>
              <w:right w:val="nil"/>
            </w:tcBorders>
            <w:shd w:val="clear" w:color="auto" w:fill="6DF0C4" w:themeFill="accent3" w:themeFillTint="66"/>
            <w:noWrap/>
            <w:tcMar>
              <w:top w:w="15" w:type="dxa"/>
              <w:left w:w="15" w:type="dxa"/>
              <w:bottom w:w="0" w:type="dxa"/>
              <w:right w:w="15" w:type="dxa"/>
            </w:tcMar>
            <w:vAlign w:val="bottom"/>
            <w:hideMark/>
          </w:tcPr>
          <w:p w14:paraId="04DE66DA" w14:textId="77777777" w:rsidR="00412CD5" w:rsidRPr="006B47AF" w:rsidRDefault="00412CD5" w:rsidP="006B47AF">
            <w:pPr>
              <w:jc w:val="center"/>
              <w:rPr>
                <w:rFonts w:cstheme="minorHAnsi"/>
                <w:b/>
                <w:color w:val="auto"/>
              </w:rPr>
            </w:pPr>
            <w:r w:rsidRPr="006B47AF">
              <w:rPr>
                <w:rFonts w:cstheme="minorHAnsi"/>
                <w:b/>
                <w:color w:val="auto"/>
              </w:rPr>
              <w:t>Improvement</w:t>
            </w:r>
          </w:p>
        </w:tc>
        <w:tc>
          <w:tcPr>
            <w:tcW w:w="6402" w:type="dxa"/>
            <w:tcBorders>
              <w:top w:val="single" w:sz="4" w:space="0" w:color="auto"/>
              <w:left w:val="nil"/>
              <w:bottom w:val="single" w:sz="4" w:space="0" w:color="auto"/>
              <w:right w:val="nil"/>
            </w:tcBorders>
            <w:shd w:val="clear" w:color="auto" w:fill="6DF0C4" w:themeFill="accent3" w:themeFillTint="66"/>
            <w:vAlign w:val="bottom"/>
          </w:tcPr>
          <w:p w14:paraId="631C719D" w14:textId="77777777" w:rsidR="00412CD5" w:rsidRPr="006B47AF" w:rsidRDefault="00412CD5" w:rsidP="006B47AF">
            <w:pPr>
              <w:jc w:val="center"/>
              <w:rPr>
                <w:rFonts w:cstheme="minorHAnsi"/>
                <w:b/>
                <w:color w:val="auto"/>
              </w:rPr>
            </w:pPr>
            <w:r w:rsidRPr="006B47AF">
              <w:rPr>
                <w:rFonts w:cstheme="minorHAnsi"/>
                <w:b/>
                <w:color w:val="auto"/>
              </w:rPr>
              <w:t>Improvement</w:t>
            </w:r>
          </w:p>
        </w:tc>
        <w:tc>
          <w:tcPr>
            <w:tcW w:w="6403" w:type="dxa"/>
            <w:tcBorders>
              <w:top w:val="single" w:sz="4" w:space="0" w:color="auto"/>
              <w:left w:val="nil"/>
              <w:bottom w:val="single" w:sz="4" w:space="0" w:color="auto"/>
              <w:right w:val="single" w:sz="4" w:space="0" w:color="auto"/>
            </w:tcBorders>
            <w:shd w:val="clear" w:color="auto" w:fill="074A34" w:themeFill="accent3" w:themeFillShade="BF"/>
            <w:vAlign w:val="bottom"/>
          </w:tcPr>
          <w:p w14:paraId="553F8B9F" w14:textId="77777777" w:rsidR="00412CD5" w:rsidRPr="006B47AF" w:rsidRDefault="00412CD5" w:rsidP="006B47AF">
            <w:pPr>
              <w:jc w:val="center"/>
              <w:rPr>
                <w:rFonts w:cstheme="minorHAnsi"/>
                <w:b/>
                <w:color w:val="auto"/>
              </w:rPr>
            </w:pPr>
            <w:r w:rsidRPr="006B47AF">
              <w:rPr>
                <w:rFonts w:cstheme="minorHAnsi"/>
                <w:b/>
                <w:color w:val="auto"/>
              </w:rPr>
              <w:t>Significant improvement</w:t>
            </w:r>
          </w:p>
        </w:tc>
      </w:tr>
      <w:tr w:rsidR="007D0318" w:rsidRPr="00831800" w14:paraId="3446405A" w14:textId="77777777" w:rsidTr="006B47AF">
        <w:trPr>
          <w:trHeight w:val="2241"/>
        </w:trPr>
        <w:tc>
          <w:tcPr>
            <w:tcW w:w="3167" w:type="dxa"/>
            <w:vMerge w:val="restart"/>
            <w:tcBorders>
              <w:top w:val="single" w:sz="4" w:space="0" w:color="auto"/>
              <w:left w:val="single" w:sz="4" w:space="0" w:color="auto"/>
              <w:right w:val="single" w:sz="4" w:space="0" w:color="auto"/>
            </w:tcBorders>
            <w:shd w:val="clear" w:color="auto" w:fill="BFCAD7" w:themeFill="accent1" w:themeFillTint="40"/>
            <w:tcMar>
              <w:top w:w="15" w:type="dxa"/>
              <w:left w:w="15" w:type="dxa"/>
              <w:bottom w:w="0" w:type="dxa"/>
              <w:right w:w="15" w:type="dxa"/>
            </w:tcMar>
            <w:vAlign w:val="bottom"/>
            <w:hideMark/>
          </w:tcPr>
          <w:p w14:paraId="76126857" w14:textId="77777777" w:rsidR="007D0318" w:rsidRPr="006B47AF" w:rsidRDefault="007D0318">
            <w:pPr>
              <w:rPr>
                <w:rFonts w:cstheme="minorHAnsi"/>
                <w:b/>
                <w:color w:val="000000"/>
              </w:rPr>
            </w:pPr>
            <w:r w:rsidRPr="006B47AF">
              <w:rPr>
                <w:rFonts w:cstheme="minorHAnsi"/>
                <w:b/>
                <w:color w:val="000000"/>
              </w:rPr>
              <w:t xml:space="preserve">Equitable - </w:t>
            </w:r>
            <w:r w:rsidRPr="006B47AF">
              <w:rPr>
                <w:rFonts w:cstheme="minorHAnsi"/>
                <w:b/>
                <w:i/>
                <w:color w:val="000000"/>
              </w:rPr>
              <w:t>baselines are set on a consistent and transparent basis and achieve an equitable</w:t>
            </w:r>
            <w:r w:rsidRPr="006B47AF">
              <w:rPr>
                <w:rFonts w:cstheme="minorHAnsi"/>
                <w:b/>
                <w:i/>
                <w:color w:val="000000"/>
              </w:rPr>
              <w:br/>
              <w:t>distribution of the costs and benefits.</w:t>
            </w:r>
          </w:p>
        </w:tc>
        <w:tc>
          <w:tcPr>
            <w:tcW w:w="640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3B39C17A" w14:textId="77777777" w:rsidR="007D0318" w:rsidRPr="006B47AF" w:rsidRDefault="007D0318" w:rsidP="006B47AF">
            <w:pPr>
              <w:pStyle w:val="ListParagraph"/>
              <w:numPr>
                <w:ilvl w:val="0"/>
                <w:numId w:val="54"/>
              </w:numPr>
              <w:rPr>
                <w:rFonts w:cstheme="minorHAnsi"/>
                <w:color w:val="auto"/>
              </w:rPr>
            </w:pPr>
            <w:r w:rsidRPr="00831800">
              <w:rPr>
                <w:rFonts w:cstheme="minorHAnsi"/>
              </w:rPr>
              <w:t xml:space="preserve">Option 1 offers transparency as </w:t>
            </w:r>
            <w:r w:rsidR="000920C6">
              <w:rPr>
                <w:rFonts w:cstheme="minorHAnsi"/>
              </w:rPr>
              <w:t>industry average</w:t>
            </w:r>
            <w:r w:rsidR="000920C6" w:rsidRPr="00831800">
              <w:rPr>
                <w:rFonts w:cstheme="minorHAnsi"/>
              </w:rPr>
              <w:t xml:space="preserve"> </w:t>
            </w:r>
            <w:r w:rsidRPr="00831800">
              <w:rPr>
                <w:rFonts w:cstheme="minorHAnsi"/>
              </w:rPr>
              <w:t>emissions intensity values are published in the Safeguard Rule, and holds facilities producing the s</w:t>
            </w:r>
            <w:r w:rsidRPr="008A488D">
              <w:rPr>
                <w:rFonts w:cstheme="minorHAnsi"/>
              </w:rPr>
              <w:t>ame outputs to a common standard.</w:t>
            </w:r>
          </w:p>
          <w:p w14:paraId="31C03711" w14:textId="77777777" w:rsidR="007D0318" w:rsidRPr="006B47AF" w:rsidRDefault="007D0318" w:rsidP="006B47AF">
            <w:pPr>
              <w:pStyle w:val="ListParagraph"/>
              <w:numPr>
                <w:ilvl w:val="0"/>
                <w:numId w:val="54"/>
              </w:numPr>
              <w:spacing w:before="60" w:after="60"/>
              <w:rPr>
                <w:rFonts w:cstheme="minorHAnsi"/>
              </w:rPr>
            </w:pPr>
            <w:r w:rsidRPr="00202E2F">
              <w:rPr>
                <w:rFonts w:cstheme="minorHAnsi"/>
                <w:color w:val="C85A17" w:themeColor="accent4"/>
              </w:rPr>
              <w:t xml:space="preserve">Option 1 will disproportionately affect high emitters who will face upfront costs </w:t>
            </w:r>
            <w:r w:rsidR="000920C6" w:rsidRPr="00202E2F">
              <w:rPr>
                <w:rFonts w:cstheme="minorHAnsi"/>
                <w:color w:val="C85A17" w:themeColor="accent4"/>
              </w:rPr>
              <w:t xml:space="preserve">from scheme commencement </w:t>
            </w:r>
          </w:p>
        </w:tc>
        <w:tc>
          <w:tcPr>
            <w:tcW w:w="6402" w:type="dxa"/>
            <w:tcBorders>
              <w:top w:val="single" w:sz="4" w:space="0" w:color="auto"/>
              <w:left w:val="nil"/>
              <w:bottom w:val="single" w:sz="4" w:space="0" w:color="auto"/>
              <w:right w:val="nil"/>
            </w:tcBorders>
            <w:shd w:val="clear" w:color="auto" w:fill="auto"/>
            <w:vAlign w:val="bottom"/>
          </w:tcPr>
          <w:p w14:paraId="360D6789" w14:textId="77777777" w:rsidR="007D0318" w:rsidRPr="006B47AF" w:rsidRDefault="000920C6" w:rsidP="006B47AF">
            <w:pPr>
              <w:pStyle w:val="ListParagraph"/>
              <w:numPr>
                <w:ilvl w:val="0"/>
                <w:numId w:val="40"/>
              </w:numPr>
              <w:spacing w:before="60" w:after="60"/>
              <w:rPr>
                <w:rFonts w:cstheme="minorHAnsi"/>
                <w:color w:val="auto"/>
              </w:rPr>
            </w:pPr>
            <w:r>
              <w:rPr>
                <w:rFonts w:cstheme="minorHAnsi"/>
              </w:rPr>
              <w:t xml:space="preserve">By using site-specific emissions intensity values, </w:t>
            </w:r>
            <w:r w:rsidR="007D0318" w:rsidRPr="00831800">
              <w:rPr>
                <w:rFonts w:cstheme="minorHAnsi"/>
              </w:rPr>
              <w:t xml:space="preserve">Option 2 is cognisant of differences within industries related to location and technologies of facilities, and individual facility circumstances, and therefore distributes costs more equitably between </w:t>
            </w:r>
            <w:r w:rsidR="003326DF">
              <w:rPr>
                <w:rFonts w:cstheme="minorHAnsi"/>
              </w:rPr>
              <w:t>Safeguard</w:t>
            </w:r>
            <w:r w:rsidR="007D0318" w:rsidRPr="00831800">
              <w:rPr>
                <w:rFonts w:cstheme="minorHAnsi"/>
              </w:rPr>
              <w:t xml:space="preserve"> facilities</w:t>
            </w:r>
            <w:r w:rsidR="00EB7290" w:rsidRPr="00831800">
              <w:rPr>
                <w:rFonts w:cstheme="minorHAnsi"/>
              </w:rPr>
              <w:t xml:space="preserve"> in the short-term</w:t>
            </w:r>
            <w:r w:rsidR="007D0318" w:rsidRPr="00831800">
              <w:rPr>
                <w:rFonts w:cstheme="minorHAnsi"/>
              </w:rPr>
              <w:t>.</w:t>
            </w:r>
          </w:p>
          <w:p w14:paraId="3B49BCE0" w14:textId="77777777" w:rsidR="007D0318" w:rsidRPr="006B47AF" w:rsidRDefault="007D0318" w:rsidP="006B47AF">
            <w:pPr>
              <w:pStyle w:val="ListParagraph"/>
              <w:numPr>
                <w:ilvl w:val="0"/>
                <w:numId w:val="40"/>
              </w:numPr>
              <w:spacing w:before="60" w:after="60"/>
              <w:rPr>
                <w:rFonts w:cstheme="minorHAnsi"/>
                <w:color w:val="auto"/>
              </w:rPr>
            </w:pPr>
            <w:r w:rsidRPr="00202E2F">
              <w:rPr>
                <w:rFonts w:cstheme="minorHAnsi"/>
                <w:color w:val="C85A17" w:themeColor="accent4"/>
              </w:rPr>
              <w:t xml:space="preserve">Under Option 2, </w:t>
            </w:r>
            <w:r w:rsidR="000920C6" w:rsidRPr="00202E2F">
              <w:rPr>
                <w:rFonts w:cstheme="minorHAnsi"/>
                <w:color w:val="C85A17" w:themeColor="accent4"/>
              </w:rPr>
              <w:t>site-</w:t>
            </w:r>
            <w:r w:rsidRPr="00202E2F">
              <w:rPr>
                <w:rFonts w:cstheme="minorHAnsi"/>
                <w:color w:val="C85A17" w:themeColor="accent4"/>
              </w:rPr>
              <w:t xml:space="preserve">specific emissions intensity values could be commercially sensitive, reducing transparency of the baseline setting process. </w:t>
            </w:r>
          </w:p>
        </w:tc>
        <w:tc>
          <w:tcPr>
            <w:tcW w:w="6403" w:type="dxa"/>
            <w:tcBorders>
              <w:top w:val="single" w:sz="4" w:space="0" w:color="auto"/>
              <w:left w:val="nil"/>
              <w:bottom w:val="single" w:sz="4" w:space="0" w:color="auto"/>
              <w:right w:val="single" w:sz="4" w:space="0" w:color="auto"/>
            </w:tcBorders>
            <w:shd w:val="clear" w:color="auto" w:fill="auto"/>
            <w:vAlign w:val="bottom"/>
          </w:tcPr>
          <w:p w14:paraId="16DFA981" w14:textId="77777777" w:rsidR="005B20F3" w:rsidRDefault="005B20F3" w:rsidP="006B47AF">
            <w:pPr>
              <w:pStyle w:val="ListParagraph"/>
              <w:numPr>
                <w:ilvl w:val="0"/>
                <w:numId w:val="40"/>
              </w:numPr>
              <w:rPr>
                <w:rFonts w:cstheme="minorHAnsi"/>
                <w:color w:val="auto"/>
              </w:rPr>
            </w:pPr>
            <w:r>
              <w:rPr>
                <w:rFonts w:cstheme="minorHAnsi"/>
                <w:color w:val="auto"/>
              </w:rPr>
              <w:t>Shares effort equitably by phasing compliance costs.</w:t>
            </w:r>
          </w:p>
          <w:p w14:paraId="1D768252" w14:textId="77777777" w:rsidR="009477D7" w:rsidRDefault="009477D7" w:rsidP="006B47AF">
            <w:pPr>
              <w:pStyle w:val="ListParagraph"/>
              <w:numPr>
                <w:ilvl w:val="0"/>
                <w:numId w:val="40"/>
              </w:numPr>
              <w:rPr>
                <w:rFonts w:cstheme="minorHAnsi"/>
                <w:color w:val="auto"/>
              </w:rPr>
            </w:pPr>
            <w:r>
              <w:rPr>
                <w:rFonts w:cstheme="minorHAnsi"/>
                <w:color w:val="auto"/>
              </w:rPr>
              <w:t xml:space="preserve">Subjecting </w:t>
            </w:r>
            <w:r w:rsidR="0031006A">
              <w:rPr>
                <w:rFonts w:cstheme="minorHAnsi"/>
                <w:color w:val="auto"/>
              </w:rPr>
              <w:t xml:space="preserve">all new investments, including at existing </w:t>
            </w:r>
            <w:r w:rsidR="003326DF">
              <w:rPr>
                <w:rFonts w:cstheme="minorHAnsi"/>
                <w:color w:val="auto"/>
              </w:rPr>
              <w:t>Safeguard</w:t>
            </w:r>
            <w:r w:rsidR="0031006A">
              <w:rPr>
                <w:rFonts w:cstheme="minorHAnsi"/>
                <w:color w:val="auto"/>
              </w:rPr>
              <w:t xml:space="preserve"> facilities</w:t>
            </w:r>
            <w:r>
              <w:rPr>
                <w:rFonts w:cstheme="minorHAnsi"/>
                <w:color w:val="auto"/>
              </w:rPr>
              <w:t xml:space="preserve"> to international best-practice benchmarks reduces competitive distortions between new and existing facilities and limits opportunities for gaming facility definitions under </w:t>
            </w:r>
            <w:proofErr w:type="spellStart"/>
            <w:r>
              <w:rPr>
                <w:rFonts w:cstheme="minorHAnsi"/>
                <w:color w:val="auto"/>
              </w:rPr>
              <w:t>NGERs</w:t>
            </w:r>
            <w:proofErr w:type="spellEnd"/>
            <w:r>
              <w:rPr>
                <w:rFonts w:cstheme="minorHAnsi"/>
                <w:color w:val="auto"/>
              </w:rPr>
              <w:t>.</w:t>
            </w:r>
          </w:p>
          <w:p w14:paraId="66725010" w14:textId="77777777" w:rsidR="007D0318" w:rsidRPr="00831800" w:rsidRDefault="007D0318" w:rsidP="006B47AF">
            <w:pPr>
              <w:pStyle w:val="ListParagraph"/>
              <w:numPr>
                <w:ilvl w:val="0"/>
                <w:numId w:val="40"/>
              </w:numPr>
              <w:rPr>
                <w:rFonts w:cstheme="minorHAnsi"/>
                <w:color w:val="auto"/>
              </w:rPr>
            </w:pPr>
            <w:r w:rsidRPr="00831800">
              <w:rPr>
                <w:rFonts w:cstheme="minorHAnsi"/>
                <w:color w:val="auto"/>
              </w:rPr>
              <w:t>Periodic review will enhance transparency around targets and emissions outcomes and allow for appropriate recalibration</w:t>
            </w:r>
            <w:r w:rsidR="00692C46">
              <w:rPr>
                <w:rFonts w:cstheme="minorHAnsi"/>
                <w:color w:val="auto"/>
              </w:rPr>
              <w:t>.</w:t>
            </w:r>
          </w:p>
          <w:p w14:paraId="4A767291" w14:textId="77777777" w:rsidR="006F32D2" w:rsidRDefault="007D0318" w:rsidP="006B47AF">
            <w:pPr>
              <w:pStyle w:val="ListParagraph"/>
              <w:numPr>
                <w:ilvl w:val="0"/>
                <w:numId w:val="40"/>
              </w:numPr>
              <w:rPr>
                <w:rFonts w:cstheme="minorHAnsi"/>
                <w:color w:val="auto"/>
              </w:rPr>
            </w:pPr>
            <w:r w:rsidRPr="00831800">
              <w:rPr>
                <w:rFonts w:cstheme="minorHAnsi"/>
                <w:color w:val="auto"/>
              </w:rPr>
              <w:t xml:space="preserve">Application of strict eligibility requirements for </w:t>
            </w:r>
            <w:proofErr w:type="spellStart"/>
            <w:r w:rsidRPr="00831800">
              <w:rPr>
                <w:rFonts w:cstheme="minorHAnsi"/>
                <w:color w:val="auto"/>
              </w:rPr>
              <w:t>EITE</w:t>
            </w:r>
            <w:proofErr w:type="spellEnd"/>
            <w:r w:rsidRPr="00831800">
              <w:rPr>
                <w:rFonts w:cstheme="minorHAnsi"/>
                <w:color w:val="auto"/>
              </w:rPr>
              <w:t xml:space="preserve"> designation minimises scheme impacts on non-</w:t>
            </w:r>
            <w:r w:rsidR="000920C6">
              <w:rPr>
                <w:rFonts w:cstheme="minorHAnsi"/>
                <w:color w:val="auto"/>
              </w:rPr>
              <w:t>S</w:t>
            </w:r>
            <w:r w:rsidRPr="00831800">
              <w:rPr>
                <w:rFonts w:cstheme="minorHAnsi"/>
                <w:color w:val="auto"/>
              </w:rPr>
              <w:t>afeguard facilities while maintaining clear long-term incentives for reducing all emissions</w:t>
            </w:r>
            <w:r w:rsidR="006F32D2">
              <w:rPr>
                <w:rFonts w:cstheme="minorHAnsi"/>
                <w:color w:val="auto"/>
              </w:rPr>
              <w:t xml:space="preserve">. </w:t>
            </w:r>
          </w:p>
          <w:p w14:paraId="3D160F13" w14:textId="77777777" w:rsidR="007D0318" w:rsidRPr="00831800" w:rsidRDefault="006F32D2" w:rsidP="006B47AF">
            <w:pPr>
              <w:pStyle w:val="ListParagraph"/>
              <w:numPr>
                <w:ilvl w:val="0"/>
                <w:numId w:val="40"/>
              </w:numPr>
              <w:rPr>
                <w:rFonts w:cstheme="minorHAnsi"/>
                <w:color w:val="auto"/>
              </w:rPr>
            </w:pPr>
            <w:r>
              <w:rPr>
                <w:rFonts w:cstheme="minorHAnsi"/>
                <w:color w:val="auto"/>
              </w:rPr>
              <w:t xml:space="preserve">While </w:t>
            </w:r>
            <w:r w:rsidR="0047068D">
              <w:rPr>
                <w:rFonts w:cstheme="minorHAnsi"/>
              </w:rPr>
              <w:t>trade-exposed baseline-adjusted</w:t>
            </w:r>
            <w:r>
              <w:rPr>
                <w:rFonts w:cstheme="minorHAnsi"/>
                <w:color w:val="auto"/>
              </w:rPr>
              <w:t xml:space="preserve"> facilities will be afforded the concessional baseline decline rate (assessed on a facility level assessment), by requiring </w:t>
            </w:r>
            <w:proofErr w:type="spellStart"/>
            <w:r>
              <w:rPr>
                <w:rFonts w:cstheme="minorHAnsi"/>
                <w:color w:val="auto"/>
              </w:rPr>
              <w:t>EITE</w:t>
            </w:r>
            <w:proofErr w:type="spellEnd"/>
            <w:r>
              <w:rPr>
                <w:rFonts w:cstheme="minorHAnsi"/>
                <w:color w:val="auto"/>
              </w:rPr>
              <w:t xml:space="preserve"> facilities continue to have a baseline decline maintains appropriate abatement incentives and distribute</w:t>
            </w:r>
            <w:r w:rsidR="005B20F3">
              <w:rPr>
                <w:rFonts w:cstheme="minorHAnsi"/>
                <w:color w:val="auto"/>
              </w:rPr>
              <w:t>s</w:t>
            </w:r>
            <w:r>
              <w:rPr>
                <w:rFonts w:cstheme="minorHAnsi"/>
                <w:color w:val="auto"/>
              </w:rPr>
              <w:t xml:space="preserve"> the costs across </w:t>
            </w:r>
            <w:proofErr w:type="spellStart"/>
            <w:r>
              <w:rPr>
                <w:rFonts w:cstheme="minorHAnsi"/>
                <w:color w:val="auto"/>
              </w:rPr>
              <w:t>EITE</w:t>
            </w:r>
            <w:proofErr w:type="spellEnd"/>
            <w:r>
              <w:rPr>
                <w:rFonts w:cstheme="minorHAnsi"/>
                <w:color w:val="auto"/>
              </w:rPr>
              <w:t xml:space="preserve"> and non-</w:t>
            </w:r>
            <w:proofErr w:type="spellStart"/>
            <w:r>
              <w:rPr>
                <w:rFonts w:cstheme="minorHAnsi"/>
                <w:color w:val="auto"/>
              </w:rPr>
              <w:t>EITE</w:t>
            </w:r>
            <w:proofErr w:type="spellEnd"/>
            <w:r>
              <w:rPr>
                <w:rFonts w:cstheme="minorHAnsi"/>
                <w:color w:val="auto"/>
              </w:rPr>
              <w:t xml:space="preserve"> facilities</w:t>
            </w:r>
            <w:r w:rsidR="005B20F3">
              <w:rPr>
                <w:rFonts w:cstheme="minorHAnsi"/>
                <w:color w:val="auto"/>
              </w:rPr>
              <w:t>, and minimises scheme impacts on all facilities</w:t>
            </w:r>
            <w:r>
              <w:rPr>
                <w:rFonts w:cstheme="minorHAnsi"/>
                <w:color w:val="auto"/>
              </w:rPr>
              <w:t>.</w:t>
            </w:r>
          </w:p>
          <w:p w14:paraId="124D230C" w14:textId="77777777" w:rsidR="007D0318" w:rsidRPr="006B47AF" w:rsidRDefault="007D0318">
            <w:pPr>
              <w:pStyle w:val="ListParagraph"/>
              <w:numPr>
                <w:ilvl w:val="0"/>
                <w:numId w:val="40"/>
              </w:numPr>
              <w:rPr>
                <w:rFonts w:cstheme="minorHAnsi"/>
                <w:color w:val="auto"/>
              </w:rPr>
            </w:pPr>
            <w:r w:rsidRPr="00831800">
              <w:rPr>
                <w:rFonts w:cstheme="minorHAnsi"/>
                <w:color w:val="auto"/>
              </w:rPr>
              <w:t>Enhances transparency by mandating production adjusted baselines for all facilities at commencement of reforms, and requiring all facilities to use Government defined production variables.</w:t>
            </w:r>
            <w:r w:rsidR="00FD4804">
              <w:rPr>
                <w:rFonts w:cstheme="minorHAnsi"/>
                <w:color w:val="auto"/>
              </w:rPr>
              <w:t xml:space="preserve"> The periodic review process will also enhance transparency on baseline decline settings.</w:t>
            </w:r>
          </w:p>
        </w:tc>
      </w:tr>
      <w:tr w:rsidR="007D0318" w:rsidRPr="00831800" w14:paraId="58D1123D" w14:textId="77777777" w:rsidTr="007740E1">
        <w:trPr>
          <w:trHeight w:val="288"/>
        </w:trPr>
        <w:tc>
          <w:tcPr>
            <w:tcW w:w="3167" w:type="dxa"/>
            <w:vMerge/>
            <w:tcBorders>
              <w:left w:val="single" w:sz="4" w:space="0" w:color="auto"/>
              <w:bottom w:val="single" w:sz="4" w:space="0" w:color="auto"/>
              <w:right w:val="single" w:sz="4" w:space="0" w:color="auto"/>
            </w:tcBorders>
            <w:shd w:val="clear" w:color="auto" w:fill="BFCAD7" w:themeFill="accent1" w:themeFillTint="40"/>
            <w:tcMar>
              <w:top w:w="15" w:type="dxa"/>
              <w:left w:w="15" w:type="dxa"/>
              <w:bottom w:w="0" w:type="dxa"/>
              <w:right w:w="15" w:type="dxa"/>
            </w:tcMar>
            <w:vAlign w:val="bottom"/>
            <w:hideMark/>
          </w:tcPr>
          <w:p w14:paraId="061F90FE" w14:textId="77777777" w:rsidR="007D0318" w:rsidRPr="006B47AF" w:rsidRDefault="007D0318">
            <w:pPr>
              <w:rPr>
                <w:rFonts w:cstheme="minorHAnsi"/>
                <w:color w:val="000000"/>
              </w:rPr>
            </w:pPr>
          </w:p>
        </w:tc>
        <w:tc>
          <w:tcPr>
            <w:tcW w:w="6402" w:type="dxa"/>
            <w:tcBorders>
              <w:top w:val="single" w:sz="4" w:space="0" w:color="auto"/>
              <w:left w:val="single" w:sz="4" w:space="0" w:color="auto"/>
              <w:bottom w:val="single" w:sz="4" w:space="0" w:color="auto"/>
              <w:right w:val="nil"/>
            </w:tcBorders>
            <w:shd w:val="clear" w:color="auto" w:fill="6DF0C4" w:themeFill="accent3" w:themeFillTint="66"/>
            <w:noWrap/>
            <w:tcMar>
              <w:top w:w="15" w:type="dxa"/>
              <w:left w:w="15" w:type="dxa"/>
              <w:bottom w:w="0" w:type="dxa"/>
              <w:right w:w="15" w:type="dxa"/>
            </w:tcMar>
            <w:vAlign w:val="bottom"/>
            <w:hideMark/>
          </w:tcPr>
          <w:p w14:paraId="040A2104" w14:textId="2A2D6939" w:rsidR="007D0318" w:rsidRPr="00766649" w:rsidRDefault="00766649" w:rsidP="006B47AF">
            <w:pPr>
              <w:jc w:val="center"/>
              <w:rPr>
                <w:rFonts w:cstheme="minorHAnsi"/>
                <w:b/>
                <w:color w:val="auto"/>
              </w:rPr>
            </w:pPr>
            <w:r>
              <w:rPr>
                <w:rFonts w:cstheme="minorHAnsi"/>
                <w:b/>
                <w:color w:val="auto"/>
              </w:rPr>
              <w:t>Improvement</w:t>
            </w:r>
          </w:p>
        </w:tc>
        <w:tc>
          <w:tcPr>
            <w:tcW w:w="6402" w:type="dxa"/>
            <w:tcBorders>
              <w:top w:val="single" w:sz="4" w:space="0" w:color="auto"/>
              <w:left w:val="nil"/>
              <w:bottom w:val="single" w:sz="4" w:space="0" w:color="auto"/>
              <w:right w:val="nil"/>
            </w:tcBorders>
            <w:shd w:val="clear" w:color="auto" w:fill="6DF0C4" w:themeFill="accent3" w:themeFillTint="66"/>
            <w:vAlign w:val="bottom"/>
          </w:tcPr>
          <w:p w14:paraId="13A14789" w14:textId="2B2A70F9" w:rsidR="007D0318" w:rsidRPr="00766649" w:rsidRDefault="00766649" w:rsidP="006B47AF">
            <w:pPr>
              <w:jc w:val="center"/>
              <w:rPr>
                <w:rFonts w:cstheme="minorHAnsi"/>
                <w:b/>
                <w:color w:val="auto"/>
              </w:rPr>
            </w:pPr>
            <w:r>
              <w:rPr>
                <w:rFonts w:cstheme="minorHAnsi"/>
                <w:b/>
                <w:color w:val="auto"/>
              </w:rPr>
              <w:t>Improvement</w:t>
            </w:r>
          </w:p>
        </w:tc>
        <w:tc>
          <w:tcPr>
            <w:tcW w:w="6403" w:type="dxa"/>
            <w:tcBorders>
              <w:top w:val="single" w:sz="4" w:space="0" w:color="auto"/>
              <w:left w:val="nil"/>
              <w:bottom w:val="single" w:sz="4" w:space="0" w:color="auto"/>
              <w:right w:val="single" w:sz="4" w:space="0" w:color="auto"/>
            </w:tcBorders>
            <w:shd w:val="clear" w:color="auto" w:fill="074A34" w:themeFill="accent3" w:themeFillShade="BF"/>
            <w:vAlign w:val="bottom"/>
          </w:tcPr>
          <w:p w14:paraId="2D420546" w14:textId="77777777" w:rsidR="007D0318" w:rsidRPr="006B47AF" w:rsidRDefault="007D0318" w:rsidP="006B47AF">
            <w:pPr>
              <w:jc w:val="center"/>
              <w:rPr>
                <w:rFonts w:cstheme="minorHAnsi"/>
                <w:b/>
              </w:rPr>
            </w:pPr>
            <w:r w:rsidRPr="006B47AF">
              <w:rPr>
                <w:rFonts w:cstheme="minorHAnsi"/>
                <w:b/>
                <w:color w:val="FFFFFF" w:themeColor="background1"/>
              </w:rPr>
              <w:t>Significant improvement</w:t>
            </w:r>
          </w:p>
        </w:tc>
      </w:tr>
      <w:tr w:rsidR="00412CD5" w:rsidRPr="00831800" w14:paraId="4D0E77F4" w14:textId="77777777" w:rsidTr="006B47AF">
        <w:trPr>
          <w:trHeight w:val="3797"/>
        </w:trPr>
        <w:tc>
          <w:tcPr>
            <w:tcW w:w="3167" w:type="dxa"/>
            <w:vMerge w:val="restart"/>
            <w:tcBorders>
              <w:top w:val="single" w:sz="4" w:space="0" w:color="auto"/>
              <w:left w:val="single" w:sz="4" w:space="0" w:color="auto"/>
              <w:right w:val="single" w:sz="4" w:space="0" w:color="auto"/>
            </w:tcBorders>
            <w:shd w:val="clear" w:color="auto" w:fill="BFCAD7" w:themeFill="accent1" w:themeFillTint="40"/>
            <w:tcMar>
              <w:top w:w="15" w:type="dxa"/>
              <w:left w:w="15" w:type="dxa"/>
              <w:bottom w:w="0" w:type="dxa"/>
              <w:right w:w="15" w:type="dxa"/>
            </w:tcMar>
            <w:vAlign w:val="bottom"/>
            <w:hideMark/>
          </w:tcPr>
          <w:p w14:paraId="67B596C2" w14:textId="77777777" w:rsidR="00412CD5" w:rsidRPr="006B47AF" w:rsidRDefault="00412CD5">
            <w:pPr>
              <w:rPr>
                <w:rFonts w:cstheme="minorHAnsi"/>
                <w:b/>
                <w:color w:val="000000"/>
              </w:rPr>
            </w:pPr>
            <w:r w:rsidRPr="006B47AF">
              <w:rPr>
                <w:rFonts w:cstheme="minorHAnsi"/>
                <w:b/>
                <w:color w:val="000000"/>
              </w:rPr>
              <w:lastRenderedPageBreak/>
              <w:t xml:space="preserve">Efficient </w:t>
            </w:r>
            <w:r w:rsidRPr="006B47AF">
              <w:rPr>
                <w:rFonts w:cstheme="minorHAnsi"/>
                <w:b/>
                <w:i/>
                <w:color w:val="000000"/>
              </w:rPr>
              <w:t xml:space="preserve">allows the market to find the lowest cost abatement wherever it occurs, and </w:t>
            </w:r>
            <w:r w:rsidRPr="006B47AF">
              <w:rPr>
                <w:rFonts w:cstheme="minorHAnsi"/>
                <w:b/>
                <w:i/>
                <w:color w:val="000000"/>
              </w:rPr>
              <w:br/>
              <w:t>encourages production where it is least emissions-intensive.</w:t>
            </w:r>
          </w:p>
        </w:tc>
        <w:tc>
          <w:tcPr>
            <w:tcW w:w="640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3C658032" w14:textId="77777777" w:rsidR="007D0318" w:rsidRDefault="004F3796" w:rsidP="006B47AF">
            <w:pPr>
              <w:pStyle w:val="ListParagraph"/>
              <w:numPr>
                <w:ilvl w:val="0"/>
                <w:numId w:val="55"/>
              </w:numPr>
              <w:rPr>
                <w:rFonts w:cstheme="minorHAnsi"/>
                <w:color w:val="000000"/>
              </w:rPr>
            </w:pPr>
            <w:r w:rsidRPr="006B47AF">
              <w:rPr>
                <w:rFonts w:cstheme="minorHAnsi"/>
                <w:color w:val="000000"/>
              </w:rPr>
              <w:t xml:space="preserve">Option 1 encourages least emissions intensive production, and rewards investment in low emissions resources or technologies </w:t>
            </w:r>
            <w:r w:rsidR="000920C6">
              <w:rPr>
                <w:rFonts w:cstheme="minorHAnsi"/>
                <w:color w:val="000000"/>
              </w:rPr>
              <w:t>and</w:t>
            </w:r>
            <w:r w:rsidRPr="006B47AF">
              <w:rPr>
                <w:rFonts w:cstheme="minorHAnsi"/>
                <w:color w:val="000000"/>
              </w:rPr>
              <w:t xml:space="preserve"> past actions to reduce emissions and helps protect carbon leakage overseas</w:t>
            </w:r>
          </w:p>
          <w:p w14:paraId="1CF3D156" w14:textId="77777777" w:rsidR="00752F02" w:rsidRDefault="00752F02" w:rsidP="006B47AF">
            <w:pPr>
              <w:pStyle w:val="ListParagraph"/>
              <w:numPr>
                <w:ilvl w:val="0"/>
                <w:numId w:val="55"/>
              </w:numPr>
              <w:rPr>
                <w:rFonts w:cstheme="minorHAnsi"/>
                <w:color w:val="000000"/>
              </w:rPr>
            </w:pPr>
            <w:r w:rsidRPr="00365A0D">
              <w:rPr>
                <w:rFonts w:cstheme="minorHAnsi"/>
                <w:color w:val="000000"/>
              </w:rPr>
              <w:t xml:space="preserve">Flexible compliance options </w:t>
            </w:r>
            <w:r w:rsidRPr="00831800">
              <w:rPr>
                <w:rFonts w:cstheme="minorHAnsi"/>
                <w:color w:val="000000"/>
              </w:rPr>
              <w:t xml:space="preserve">will </w:t>
            </w:r>
            <w:r w:rsidRPr="00365A0D">
              <w:rPr>
                <w:rFonts w:cstheme="minorHAnsi"/>
                <w:color w:val="000000"/>
              </w:rPr>
              <w:t>deliver emissions reductions at lowest cost and reduce the overall costs to the economy – while delivering the required level of emission reductions</w:t>
            </w:r>
          </w:p>
          <w:p w14:paraId="50B29B8B" w14:textId="77777777" w:rsidR="00D72849" w:rsidRDefault="00D72849" w:rsidP="006B47AF">
            <w:pPr>
              <w:pStyle w:val="ListParagraph"/>
              <w:numPr>
                <w:ilvl w:val="0"/>
                <w:numId w:val="55"/>
              </w:numPr>
              <w:rPr>
                <w:rFonts w:cstheme="minorHAnsi"/>
                <w:color w:val="000000"/>
              </w:rPr>
            </w:pPr>
            <w:r>
              <w:rPr>
                <w:rFonts w:cstheme="minorHAnsi"/>
                <w:color w:val="000000"/>
              </w:rPr>
              <w:t>Retaining the production adjusted framework supports economic growth while delivering emissions reduction.</w:t>
            </w:r>
          </w:p>
          <w:p w14:paraId="6F061263" w14:textId="77777777" w:rsidR="00412CD5" w:rsidRPr="006B47AF" w:rsidRDefault="00241B2B" w:rsidP="00202E2F">
            <w:pPr>
              <w:pStyle w:val="ListParagraph"/>
              <w:numPr>
                <w:ilvl w:val="0"/>
                <w:numId w:val="55"/>
              </w:numPr>
              <w:rPr>
                <w:rFonts w:cstheme="minorHAnsi"/>
                <w:color w:val="000000"/>
              </w:rPr>
            </w:pPr>
            <w:r w:rsidRPr="006140B8">
              <w:rPr>
                <w:rFonts w:cstheme="minorHAnsi"/>
                <w:color w:val="C85A17" w:themeColor="accent4"/>
              </w:rPr>
              <w:t>Moving all facilities to industry-average benchmarks would impose relatively high compliance costs on some facilities from scheme commencement.</w:t>
            </w:r>
            <w:r w:rsidR="004F3796" w:rsidRPr="00202E2F">
              <w:rPr>
                <w:rFonts w:cstheme="minorHAnsi"/>
                <w:color w:val="C85A17" w:themeColor="accent4"/>
              </w:rPr>
              <w:t xml:space="preserve"> </w:t>
            </w:r>
          </w:p>
        </w:tc>
        <w:tc>
          <w:tcPr>
            <w:tcW w:w="6402" w:type="dxa"/>
            <w:tcBorders>
              <w:top w:val="single" w:sz="4" w:space="0" w:color="auto"/>
              <w:left w:val="nil"/>
              <w:bottom w:val="single" w:sz="4" w:space="0" w:color="auto"/>
              <w:right w:val="nil"/>
            </w:tcBorders>
            <w:shd w:val="clear" w:color="auto" w:fill="auto"/>
            <w:vAlign w:val="bottom"/>
          </w:tcPr>
          <w:p w14:paraId="56FC5993" w14:textId="77777777" w:rsidR="00752F02" w:rsidRDefault="00752F02" w:rsidP="00D72849">
            <w:pPr>
              <w:pStyle w:val="ListParagraph"/>
              <w:numPr>
                <w:ilvl w:val="0"/>
                <w:numId w:val="40"/>
              </w:numPr>
              <w:rPr>
                <w:rFonts w:cstheme="minorHAnsi"/>
                <w:color w:val="000000"/>
              </w:rPr>
            </w:pPr>
            <w:r w:rsidRPr="00365A0D">
              <w:rPr>
                <w:rFonts w:cstheme="minorHAnsi"/>
                <w:color w:val="000000"/>
              </w:rPr>
              <w:t xml:space="preserve">Flexible compliance options </w:t>
            </w:r>
            <w:r w:rsidRPr="00831800">
              <w:rPr>
                <w:rFonts w:cstheme="minorHAnsi"/>
                <w:color w:val="000000"/>
              </w:rPr>
              <w:t xml:space="preserve">will </w:t>
            </w:r>
            <w:r w:rsidRPr="00365A0D">
              <w:rPr>
                <w:rFonts w:cstheme="minorHAnsi"/>
                <w:color w:val="000000"/>
              </w:rPr>
              <w:t>deliver emissions reductions at lowest cost and reduce the overall costs to the economy – while delivering the required level of emission reductions</w:t>
            </w:r>
            <w:r w:rsidR="00D72849">
              <w:rPr>
                <w:rFonts w:cstheme="minorHAnsi"/>
                <w:color w:val="000000"/>
              </w:rPr>
              <w:t>.</w:t>
            </w:r>
          </w:p>
          <w:p w14:paraId="2A052EC0" w14:textId="77777777" w:rsidR="00D72849" w:rsidRPr="006B47AF" w:rsidRDefault="00D72849" w:rsidP="00D72849">
            <w:pPr>
              <w:pStyle w:val="ListParagraph"/>
              <w:numPr>
                <w:ilvl w:val="0"/>
                <w:numId w:val="40"/>
              </w:numPr>
              <w:rPr>
                <w:rFonts w:cstheme="minorHAnsi"/>
                <w:color w:val="000000"/>
              </w:rPr>
            </w:pPr>
            <w:r>
              <w:rPr>
                <w:rFonts w:cstheme="minorHAnsi"/>
                <w:color w:val="000000"/>
              </w:rPr>
              <w:t>Retaining the production adjusted framework supports economic growth while delivering emissions reduction.</w:t>
            </w:r>
          </w:p>
          <w:p w14:paraId="23DF4721" w14:textId="77777777" w:rsidR="00412CD5" w:rsidRPr="006B47AF" w:rsidRDefault="004F3796" w:rsidP="00202E2F">
            <w:pPr>
              <w:pStyle w:val="ListParagraph"/>
              <w:numPr>
                <w:ilvl w:val="0"/>
                <w:numId w:val="40"/>
              </w:numPr>
              <w:spacing w:before="60" w:after="60"/>
              <w:rPr>
                <w:rFonts w:cstheme="minorHAnsi"/>
                <w:color w:val="000000"/>
              </w:rPr>
            </w:pPr>
            <w:r w:rsidRPr="006140B8">
              <w:rPr>
                <w:rFonts w:cstheme="minorHAnsi"/>
                <w:color w:val="C85A17" w:themeColor="accent4"/>
              </w:rPr>
              <w:t>Option 2 would not reward least emissions intensive facilities. It may also disadvantage facilities who have already invested in low emissions production, and who may find it relatively more difficult to reduce emissions compared to more emissions intensive competitors.</w:t>
            </w:r>
          </w:p>
        </w:tc>
        <w:tc>
          <w:tcPr>
            <w:tcW w:w="6403" w:type="dxa"/>
            <w:tcBorders>
              <w:top w:val="single" w:sz="4" w:space="0" w:color="auto"/>
              <w:left w:val="nil"/>
              <w:bottom w:val="single" w:sz="4" w:space="0" w:color="auto"/>
              <w:right w:val="single" w:sz="4" w:space="0" w:color="auto"/>
            </w:tcBorders>
            <w:shd w:val="clear" w:color="auto" w:fill="auto"/>
            <w:vAlign w:val="bottom"/>
          </w:tcPr>
          <w:p w14:paraId="47B88C7D" w14:textId="77777777" w:rsidR="00412CD5" w:rsidRPr="00831800" w:rsidRDefault="00412CD5" w:rsidP="00D72849">
            <w:pPr>
              <w:pStyle w:val="ListParagraph"/>
              <w:numPr>
                <w:ilvl w:val="0"/>
                <w:numId w:val="40"/>
              </w:numPr>
              <w:rPr>
                <w:rFonts w:cstheme="minorHAnsi"/>
                <w:color w:val="000000"/>
              </w:rPr>
            </w:pPr>
            <w:r w:rsidRPr="00831800">
              <w:rPr>
                <w:rFonts w:cstheme="minorHAnsi"/>
                <w:color w:val="000000"/>
              </w:rPr>
              <w:t xml:space="preserve">Option </w:t>
            </w:r>
            <w:r w:rsidR="000920C6">
              <w:rPr>
                <w:rFonts w:cstheme="minorHAnsi"/>
                <w:color w:val="000000"/>
              </w:rPr>
              <w:t xml:space="preserve">3 </w:t>
            </w:r>
            <w:r w:rsidRPr="00831800">
              <w:rPr>
                <w:rFonts w:cstheme="minorHAnsi"/>
                <w:color w:val="000000"/>
              </w:rPr>
              <w:t xml:space="preserve">balances stakeholder views on </w:t>
            </w:r>
            <w:r w:rsidR="000920C6">
              <w:rPr>
                <w:rFonts w:cstheme="minorHAnsi"/>
                <w:color w:val="000000"/>
              </w:rPr>
              <w:t>baseline setting</w:t>
            </w:r>
            <w:r w:rsidRPr="00831800">
              <w:rPr>
                <w:rFonts w:cstheme="minorHAnsi"/>
                <w:color w:val="000000"/>
              </w:rPr>
              <w:t xml:space="preserve"> by offering a hybrid of options proposed in the consultation paper.</w:t>
            </w:r>
          </w:p>
          <w:p w14:paraId="0DF2668A" w14:textId="77777777" w:rsidR="00412CD5" w:rsidRPr="00831800" w:rsidRDefault="00412CD5" w:rsidP="00D72849">
            <w:pPr>
              <w:pStyle w:val="ListParagraph"/>
              <w:numPr>
                <w:ilvl w:val="0"/>
                <w:numId w:val="40"/>
              </w:numPr>
              <w:rPr>
                <w:rFonts w:cstheme="minorHAnsi"/>
                <w:color w:val="000000"/>
              </w:rPr>
            </w:pPr>
            <w:r w:rsidRPr="00831800">
              <w:rPr>
                <w:rFonts w:cstheme="minorHAnsi"/>
                <w:color w:val="000000"/>
              </w:rPr>
              <w:t>Maintains efficient policy settings in the long-term</w:t>
            </w:r>
            <w:r w:rsidR="001C6D87">
              <w:rPr>
                <w:rFonts w:cstheme="minorHAnsi"/>
                <w:color w:val="000000"/>
              </w:rPr>
              <w:t xml:space="preserve"> by phasing in compliance costs</w:t>
            </w:r>
            <w:r w:rsidR="00692C46">
              <w:rPr>
                <w:rFonts w:cstheme="minorHAnsi"/>
                <w:color w:val="000000"/>
              </w:rPr>
              <w:t>.</w:t>
            </w:r>
          </w:p>
          <w:p w14:paraId="2754686B" w14:textId="77777777" w:rsidR="00412CD5" w:rsidRPr="00831800" w:rsidRDefault="00412CD5" w:rsidP="00D72849">
            <w:pPr>
              <w:pStyle w:val="ListParagraph"/>
              <w:numPr>
                <w:ilvl w:val="0"/>
                <w:numId w:val="40"/>
              </w:numPr>
              <w:rPr>
                <w:rFonts w:cstheme="minorHAnsi"/>
                <w:color w:val="000000"/>
              </w:rPr>
            </w:pPr>
            <w:r w:rsidRPr="006B47AF">
              <w:rPr>
                <w:rFonts w:cstheme="minorHAnsi"/>
                <w:color w:val="000000"/>
              </w:rPr>
              <w:t>Introduces costs and benefits in manageable increments</w:t>
            </w:r>
            <w:r w:rsidR="001B4C69">
              <w:rPr>
                <w:rFonts w:cstheme="minorHAnsi"/>
                <w:color w:val="000000"/>
              </w:rPr>
              <w:t xml:space="preserve"> </w:t>
            </w:r>
            <w:r w:rsidRPr="00831800">
              <w:rPr>
                <w:rFonts w:cstheme="minorHAnsi"/>
                <w:color w:val="000000"/>
              </w:rPr>
              <w:t>while allowing businesses sufficient time to p</w:t>
            </w:r>
            <w:r w:rsidRPr="006B47AF">
              <w:rPr>
                <w:rFonts w:cstheme="minorHAnsi"/>
                <w:color w:val="000000"/>
              </w:rPr>
              <w:t>lan and impleme</w:t>
            </w:r>
            <w:r w:rsidRPr="00831800">
              <w:rPr>
                <w:rFonts w:cstheme="minorHAnsi"/>
                <w:color w:val="000000"/>
              </w:rPr>
              <w:t>nt emissions reduction projects</w:t>
            </w:r>
            <w:r w:rsidR="00692C46">
              <w:rPr>
                <w:rFonts w:cstheme="minorHAnsi"/>
                <w:color w:val="000000"/>
              </w:rPr>
              <w:t>.</w:t>
            </w:r>
          </w:p>
          <w:p w14:paraId="6C3691C2" w14:textId="77777777" w:rsidR="00412CD5" w:rsidRDefault="00412CD5" w:rsidP="00D72849">
            <w:pPr>
              <w:pStyle w:val="ListParagraph"/>
              <w:numPr>
                <w:ilvl w:val="0"/>
                <w:numId w:val="40"/>
              </w:numPr>
              <w:rPr>
                <w:rFonts w:cstheme="minorHAnsi"/>
                <w:color w:val="000000"/>
              </w:rPr>
            </w:pPr>
            <w:r w:rsidRPr="006B47AF">
              <w:rPr>
                <w:rFonts w:cstheme="minorHAnsi"/>
                <w:color w:val="000000"/>
              </w:rPr>
              <w:t xml:space="preserve">Flexible compliance options </w:t>
            </w:r>
            <w:r w:rsidRPr="00831800">
              <w:rPr>
                <w:rFonts w:cstheme="minorHAnsi"/>
                <w:color w:val="000000"/>
              </w:rPr>
              <w:t xml:space="preserve">will </w:t>
            </w:r>
            <w:r w:rsidRPr="006B47AF">
              <w:rPr>
                <w:rFonts w:cstheme="minorHAnsi"/>
                <w:color w:val="000000"/>
              </w:rPr>
              <w:t>deliver emissions reductions at lowest cost and reduce the overall costs to the economy – while delivering the required level of emission reductions</w:t>
            </w:r>
            <w:r w:rsidR="00692C46">
              <w:rPr>
                <w:rFonts w:cstheme="minorHAnsi"/>
                <w:color w:val="000000"/>
              </w:rPr>
              <w:t>.</w:t>
            </w:r>
          </w:p>
          <w:p w14:paraId="0482A4DC" w14:textId="77777777" w:rsidR="00315588" w:rsidRPr="00831800" w:rsidRDefault="00315588" w:rsidP="00D72849">
            <w:pPr>
              <w:pStyle w:val="ListParagraph"/>
              <w:numPr>
                <w:ilvl w:val="0"/>
                <w:numId w:val="40"/>
              </w:numPr>
              <w:rPr>
                <w:rFonts w:cstheme="minorHAnsi"/>
                <w:color w:val="000000"/>
              </w:rPr>
            </w:pPr>
            <w:r>
              <w:rPr>
                <w:rFonts w:cstheme="minorHAnsi"/>
                <w:color w:val="000000"/>
              </w:rPr>
              <w:t xml:space="preserve">Permitting full banking </w:t>
            </w:r>
            <w:r>
              <w:rPr>
                <w:rFonts w:cstheme="minorHAnsi"/>
              </w:rPr>
              <w:t>and generous borrowing will promote price stability</w:t>
            </w:r>
            <w:r w:rsidR="00692C46">
              <w:rPr>
                <w:rFonts w:cstheme="minorHAnsi"/>
              </w:rPr>
              <w:t>.</w:t>
            </w:r>
          </w:p>
          <w:p w14:paraId="22FB3642" w14:textId="77777777" w:rsidR="00412CD5" w:rsidRPr="00831800" w:rsidRDefault="005D668A" w:rsidP="00D72849">
            <w:pPr>
              <w:pStyle w:val="ListParagraph"/>
              <w:numPr>
                <w:ilvl w:val="0"/>
                <w:numId w:val="40"/>
              </w:numPr>
              <w:rPr>
                <w:rFonts w:cstheme="minorHAnsi"/>
                <w:color w:val="000000"/>
              </w:rPr>
            </w:pPr>
            <w:r w:rsidRPr="00831800">
              <w:rPr>
                <w:rFonts w:cstheme="minorHAnsi"/>
                <w:color w:val="000000"/>
              </w:rPr>
              <w:t>Extended but t</w:t>
            </w:r>
            <w:r w:rsidR="00412CD5" w:rsidRPr="006B47AF">
              <w:rPr>
                <w:rFonts w:cstheme="minorHAnsi"/>
                <w:color w:val="000000"/>
              </w:rPr>
              <w:t xml:space="preserve">argeted flexible compliance </w:t>
            </w:r>
            <w:r w:rsidRPr="00831800">
              <w:rPr>
                <w:rFonts w:cstheme="minorHAnsi"/>
                <w:color w:val="000000"/>
              </w:rPr>
              <w:t xml:space="preserve">arrangement through </w:t>
            </w:r>
            <w:proofErr w:type="spellStart"/>
            <w:r w:rsidRPr="00831800">
              <w:rPr>
                <w:rFonts w:cstheme="minorHAnsi"/>
                <w:color w:val="000000"/>
              </w:rPr>
              <w:t>MYMP</w:t>
            </w:r>
            <w:proofErr w:type="spellEnd"/>
            <w:r w:rsidRPr="00831800">
              <w:rPr>
                <w:rFonts w:cstheme="minorHAnsi"/>
                <w:color w:val="000000"/>
              </w:rPr>
              <w:t xml:space="preserve"> option will allow </w:t>
            </w:r>
            <w:r w:rsidR="00412CD5" w:rsidRPr="006B47AF">
              <w:rPr>
                <w:rFonts w:cstheme="minorHAnsi"/>
                <w:color w:val="000000"/>
              </w:rPr>
              <w:t>facilities baseline trajectory to match available and emerging technologies</w:t>
            </w:r>
            <w:r w:rsidR="00692C46">
              <w:rPr>
                <w:rFonts w:cstheme="minorHAnsi"/>
                <w:color w:val="000000"/>
              </w:rPr>
              <w:t>.</w:t>
            </w:r>
          </w:p>
          <w:p w14:paraId="1A5D4D82" w14:textId="77777777" w:rsidR="00412CD5" w:rsidRDefault="00412CD5" w:rsidP="00D72849">
            <w:pPr>
              <w:pStyle w:val="ListParagraph"/>
              <w:numPr>
                <w:ilvl w:val="0"/>
                <w:numId w:val="40"/>
              </w:numPr>
              <w:rPr>
                <w:rFonts w:cstheme="minorHAnsi"/>
                <w:color w:val="000000"/>
              </w:rPr>
            </w:pPr>
            <w:r w:rsidRPr="00831800">
              <w:rPr>
                <w:rFonts w:cstheme="minorHAnsi"/>
                <w:color w:val="000000"/>
              </w:rPr>
              <w:t>Proposed cost containment measure will give businesses certainty about maximum compliance costs</w:t>
            </w:r>
            <w:r w:rsidR="00692C46">
              <w:rPr>
                <w:rFonts w:cstheme="minorHAnsi"/>
                <w:color w:val="000000"/>
              </w:rPr>
              <w:t>.</w:t>
            </w:r>
          </w:p>
          <w:p w14:paraId="08732B4D" w14:textId="77777777" w:rsidR="00D72849" w:rsidRDefault="00D72849">
            <w:pPr>
              <w:pStyle w:val="ListParagraph"/>
              <w:numPr>
                <w:ilvl w:val="0"/>
                <w:numId w:val="40"/>
              </w:numPr>
              <w:rPr>
                <w:rFonts w:cstheme="minorHAnsi"/>
                <w:color w:val="000000"/>
              </w:rPr>
            </w:pPr>
            <w:r>
              <w:rPr>
                <w:rFonts w:cstheme="minorHAnsi"/>
                <w:color w:val="000000"/>
              </w:rPr>
              <w:t>Retaining the production adjusted framework supports economic growth while delivering emissions reduction.</w:t>
            </w:r>
          </w:p>
          <w:p w14:paraId="4550EFDB" w14:textId="77777777" w:rsidR="0030413B" w:rsidRPr="00DA1B55" w:rsidRDefault="0030413B">
            <w:pPr>
              <w:pStyle w:val="ListParagraph"/>
              <w:numPr>
                <w:ilvl w:val="0"/>
                <w:numId w:val="40"/>
              </w:numPr>
              <w:rPr>
                <w:rFonts w:cstheme="minorHAnsi"/>
                <w:color w:val="000000"/>
              </w:rPr>
            </w:pPr>
            <w:r>
              <w:rPr>
                <w:rFonts w:cstheme="minorHAnsi"/>
                <w:color w:val="auto"/>
              </w:rPr>
              <w:t xml:space="preserve">By requiring </w:t>
            </w:r>
            <w:proofErr w:type="spellStart"/>
            <w:r>
              <w:rPr>
                <w:rFonts w:cstheme="minorHAnsi"/>
                <w:color w:val="auto"/>
              </w:rPr>
              <w:t>EITE</w:t>
            </w:r>
            <w:proofErr w:type="spellEnd"/>
            <w:r>
              <w:rPr>
                <w:rFonts w:cstheme="minorHAnsi"/>
                <w:color w:val="auto"/>
              </w:rPr>
              <w:t xml:space="preserve"> facilities continue to have a baseline decline creates strong market signals for investment.</w:t>
            </w:r>
          </w:p>
        </w:tc>
      </w:tr>
      <w:tr w:rsidR="00412CD5" w:rsidRPr="00831800" w14:paraId="5593677B" w14:textId="77777777" w:rsidTr="007740E1">
        <w:trPr>
          <w:trHeight w:val="51"/>
        </w:trPr>
        <w:tc>
          <w:tcPr>
            <w:tcW w:w="3167" w:type="dxa"/>
            <w:vMerge/>
            <w:tcBorders>
              <w:left w:val="single" w:sz="4" w:space="0" w:color="auto"/>
              <w:bottom w:val="single" w:sz="4" w:space="0" w:color="auto"/>
              <w:right w:val="single" w:sz="4" w:space="0" w:color="auto"/>
            </w:tcBorders>
            <w:shd w:val="clear" w:color="auto" w:fill="BFCAD7" w:themeFill="accent1" w:themeFillTint="40"/>
            <w:tcMar>
              <w:top w:w="15" w:type="dxa"/>
              <w:left w:w="15" w:type="dxa"/>
              <w:bottom w:w="0" w:type="dxa"/>
              <w:right w:w="15" w:type="dxa"/>
            </w:tcMar>
            <w:vAlign w:val="bottom"/>
            <w:hideMark/>
          </w:tcPr>
          <w:p w14:paraId="3F1CABD9" w14:textId="77777777" w:rsidR="00412CD5" w:rsidRPr="006B47AF" w:rsidRDefault="00412CD5">
            <w:pPr>
              <w:rPr>
                <w:rFonts w:cstheme="minorHAnsi"/>
                <w:color w:val="000000"/>
              </w:rPr>
            </w:pPr>
          </w:p>
        </w:tc>
        <w:tc>
          <w:tcPr>
            <w:tcW w:w="6402" w:type="dxa"/>
            <w:tcBorders>
              <w:top w:val="single" w:sz="4" w:space="0" w:color="auto"/>
              <w:left w:val="single" w:sz="4" w:space="0" w:color="auto"/>
              <w:bottom w:val="single" w:sz="4" w:space="0" w:color="auto"/>
              <w:right w:val="nil"/>
            </w:tcBorders>
            <w:shd w:val="clear" w:color="auto" w:fill="0A6446" w:themeFill="accent3"/>
            <w:noWrap/>
            <w:tcMar>
              <w:top w:w="15" w:type="dxa"/>
              <w:left w:w="15" w:type="dxa"/>
              <w:bottom w:w="0" w:type="dxa"/>
              <w:right w:w="15" w:type="dxa"/>
            </w:tcMar>
            <w:vAlign w:val="bottom"/>
            <w:hideMark/>
          </w:tcPr>
          <w:p w14:paraId="49F9865D" w14:textId="163CBBF4" w:rsidR="00412CD5" w:rsidRPr="006B47AF" w:rsidRDefault="00766649" w:rsidP="006B47AF">
            <w:pPr>
              <w:jc w:val="center"/>
              <w:rPr>
                <w:rFonts w:cstheme="minorHAnsi"/>
                <w:b/>
              </w:rPr>
            </w:pPr>
            <w:r w:rsidRPr="00766649">
              <w:rPr>
                <w:rFonts w:cstheme="minorHAnsi"/>
                <w:b/>
                <w:color w:val="FFFFFF" w:themeColor="background1"/>
              </w:rPr>
              <w:t>Significant i</w:t>
            </w:r>
            <w:r w:rsidR="00412CD5" w:rsidRPr="00766649">
              <w:rPr>
                <w:rFonts w:cstheme="minorHAnsi"/>
                <w:b/>
                <w:color w:val="FFFFFF" w:themeColor="background1"/>
              </w:rPr>
              <w:t>mprovement</w:t>
            </w:r>
          </w:p>
        </w:tc>
        <w:tc>
          <w:tcPr>
            <w:tcW w:w="6402" w:type="dxa"/>
            <w:tcBorders>
              <w:top w:val="single" w:sz="4" w:space="0" w:color="auto"/>
              <w:left w:val="nil"/>
              <w:bottom w:val="single" w:sz="4" w:space="0" w:color="auto"/>
              <w:right w:val="nil"/>
            </w:tcBorders>
            <w:shd w:val="clear" w:color="auto" w:fill="B6F7E1" w:themeFill="accent3" w:themeFillTint="33"/>
            <w:vAlign w:val="bottom"/>
          </w:tcPr>
          <w:p w14:paraId="04A47229" w14:textId="33033BA9" w:rsidR="00412CD5" w:rsidRPr="006B47AF" w:rsidRDefault="00766649" w:rsidP="006B47AF">
            <w:pPr>
              <w:jc w:val="center"/>
              <w:rPr>
                <w:rFonts w:cstheme="minorHAnsi"/>
                <w:b/>
              </w:rPr>
            </w:pPr>
            <w:r>
              <w:rPr>
                <w:rFonts w:cstheme="minorHAnsi"/>
                <w:b/>
              </w:rPr>
              <w:t>Improvement</w:t>
            </w:r>
          </w:p>
        </w:tc>
        <w:tc>
          <w:tcPr>
            <w:tcW w:w="6403" w:type="dxa"/>
            <w:tcBorders>
              <w:top w:val="single" w:sz="4" w:space="0" w:color="auto"/>
              <w:left w:val="nil"/>
              <w:bottom w:val="single" w:sz="4" w:space="0" w:color="auto"/>
              <w:right w:val="single" w:sz="4" w:space="0" w:color="auto"/>
            </w:tcBorders>
            <w:shd w:val="clear" w:color="auto" w:fill="074A34" w:themeFill="accent3" w:themeFillShade="BF"/>
            <w:vAlign w:val="bottom"/>
          </w:tcPr>
          <w:p w14:paraId="33BC303D" w14:textId="77777777" w:rsidR="00412CD5" w:rsidRPr="006B47AF" w:rsidRDefault="00412CD5" w:rsidP="006B47AF">
            <w:pPr>
              <w:jc w:val="center"/>
              <w:rPr>
                <w:rFonts w:cstheme="minorHAnsi"/>
                <w:b/>
              </w:rPr>
            </w:pPr>
            <w:r w:rsidRPr="006B47AF">
              <w:rPr>
                <w:rFonts w:cstheme="minorHAnsi"/>
                <w:b/>
                <w:color w:val="FFFFFF" w:themeColor="background1"/>
              </w:rPr>
              <w:t>Significant improvement</w:t>
            </w:r>
          </w:p>
        </w:tc>
      </w:tr>
      <w:tr w:rsidR="00901D5C" w:rsidRPr="00831800" w14:paraId="21A1B162" w14:textId="77777777" w:rsidTr="004A17C8">
        <w:trPr>
          <w:trHeight w:val="2691"/>
        </w:trPr>
        <w:tc>
          <w:tcPr>
            <w:tcW w:w="3167" w:type="dxa"/>
            <w:vMerge w:val="restart"/>
            <w:tcBorders>
              <w:top w:val="single" w:sz="4" w:space="0" w:color="auto"/>
              <w:left w:val="single" w:sz="4" w:space="0" w:color="auto"/>
              <w:right w:val="single" w:sz="4" w:space="0" w:color="auto"/>
            </w:tcBorders>
            <w:shd w:val="clear" w:color="auto" w:fill="BFCAD7" w:themeFill="accent1" w:themeFillTint="40"/>
            <w:tcMar>
              <w:top w:w="15" w:type="dxa"/>
              <w:left w:w="15" w:type="dxa"/>
              <w:bottom w:w="0" w:type="dxa"/>
              <w:right w:w="15" w:type="dxa"/>
            </w:tcMar>
            <w:vAlign w:val="bottom"/>
            <w:hideMark/>
          </w:tcPr>
          <w:p w14:paraId="12F5B2ED" w14:textId="77777777" w:rsidR="00901D5C" w:rsidRPr="006B47AF" w:rsidRDefault="00901D5C">
            <w:pPr>
              <w:rPr>
                <w:rFonts w:cstheme="minorHAnsi"/>
                <w:b/>
                <w:color w:val="000000"/>
              </w:rPr>
            </w:pPr>
            <w:r w:rsidRPr="006B47AF">
              <w:rPr>
                <w:rFonts w:cstheme="minorHAnsi"/>
                <w:b/>
                <w:color w:val="000000"/>
              </w:rPr>
              <w:t xml:space="preserve">Simple </w:t>
            </w:r>
            <w:r w:rsidRPr="00831800">
              <w:rPr>
                <w:rFonts w:cstheme="minorHAnsi"/>
                <w:b/>
                <w:color w:val="000000"/>
              </w:rPr>
              <w:t>-</w:t>
            </w:r>
            <w:r w:rsidRPr="006B47AF">
              <w:rPr>
                <w:rFonts w:cstheme="minorHAnsi"/>
                <w:b/>
                <w:color w:val="000000"/>
              </w:rPr>
              <w:t xml:space="preserve"> </w:t>
            </w:r>
            <w:r w:rsidRPr="006B47AF">
              <w:rPr>
                <w:rFonts w:cstheme="minorHAnsi"/>
                <w:b/>
                <w:i/>
                <w:color w:val="000000"/>
              </w:rPr>
              <w:t xml:space="preserve">makes baseline setting arrangements, and administrative and reporting arrangements, </w:t>
            </w:r>
            <w:r w:rsidRPr="006B47AF">
              <w:rPr>
                <w:rFonts w:cstheme="minorHAnsi"/>
                <w:b/>
                <w:i/>
                <w:color w:val="000000"/>
              </w:rPr>
              <w:br/>
              <w:t>as simple and low cost as possible.</w:t>
            </w:r>
          </w:p>
        </w:tc>
        <w:tc>
          <w:tcPr>
            <w:tcW w:w="6402"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76DDEE62" w14:textId="77777777" w:rsidR="00901D5C" w:rsidRPr="006B47AF" w:rsidRDefault="00901D5C" w:rsidP="006B47AF">
            <w:pPr>
              <w:pStyle w:val="ListParagraph"/>
              <w:numPr>
                <w:ilvl w:val="0"/>
                <w:numId w:val="40"/>
              </w:numPr>
              <w:rPr>
                <w:rFonts w:cstheme="minorHAnsi"/>
                <w:color w:val="000000"/>
              </w:rPr>
            </w:pPr>
            <w:r w:rsidRPr="00831800">
              <w:rPr>
                <w:rFonts w:cstheme="minorHAnsi"/>
                <w:color w:val="000000"/>
              </w:rPr>
              <w:t>P</w:t>
            </w:r>
            <w:r w:rsidRPr="006B47AF">
              <w:rPr>
                <w:rFonts w:cstheme="minorHAnsi"/>
                <w:color w:val="000000"/>
              </w:rPr>
              <w:t xml:space="preserve">rovides stability </w:t>
            </w:r>
            <w:r w:rsidRPr="00831800">
              <w:rPr>
                <w:rFonts w:cstheme="minorHAnsi"/>
                <w:color w:val="000000"/>
              </w:rPr>
              <w:t xml:space="preserve">and makes implementation simple </w:t>
            </w:r>
            <w:r w:rsidRPr="006B47AF">
              <w:rPr>
                <w:rFonts w:cstheme="minorHAnsi"/>
                <w:color w:val="000000"/>
              </w:rPr>
              <w:t>by retaining the production adjusted baseline framework</w:t>
            </w:r>
            <w:r w:rsidRPr="00831800">
              <w:rPr>
                <w:rFonts w:cstheme="minorHAnsi"/>
                <w:color w:val="000000"/>
              </w:rPr>
              <w:t>, and application of industry average emissions intensity framework from scheme commencement</w:t>
            </w:r>
          </w:p>
        </w:tc>
        <w:tc>
          <w:tcPr>
            <w:tcW w:w="6402" w:type="dxa"/>
            <w:tcBorders>
              <w:top w:val="single" w:sz="4" w:space="0" w:color="auto"/>
              <w:left w:val="nil"/>
              <w:bottom w:val="single" w:sz="4" w:space="0" w:color="auto"/>
              <w:right w:val="nil"/>
            </w:tcBorders>
            <w:shd w:val="clear" w:color="auto" w:fill="auto"/>
            <w:vAlign w:val="bottom"/>
          </w:tcPr>
          <w:p w14:paraId="3B0F1FF6" w14:textId="77777777" w:rsidR="00901D5C" w:rsidRPr="00831800" w:rsidRDefault="00901D5C" w:rsidP="006B47AF">
            <w:pPr>
              <w:pStyle w:val="ListParagraph"/>
              <w:numPr>
                <w:ilvl w:val="0"/>
                <w:numId w:val="40"/>
              </w:numPr>
              <w:rPr>
                <w:rFonts w:cstheme="minorHAnsi"/>
                <w:color w:val="000000"/>
              </w:rPr>
            </w:pPr>
            <w:r w:rsidRPr="00831800">
              <w:rPr>
                <w:rFonts w:cstheme="minorHAnsi"/>
                <w:color w:val="000000"/>
              </w:rPr>
              <w:t xml:space="preserve">Provides stability and makes implementation simple by retaining the production adjusted baseline framework. </w:t>
            </w:r>
          </w:p>
          <w:p w14:paraId="4E49EBAB" w14:textId="77777777" w:rsidR="00901D5C" w:rsidRPr="006B47AF" w:rsidRDefault="00901D5C" w:rsidP="006B47AF">
            <w:pPr>
              <w:pStyle w:val="ListParagraph"/>
              <w:numPr>
                <w:ilvl w:val="0"/>
                <w:numId w:val="40"/>
              </w:numPr>
              <w:rPr>
                <w:rFonts w:cstheme="minorHAnsi"/>
                <w:color w:val="000000"/>
              </w:rPr>
            </w:pPr>
            <w:r w:rsidRPr="006140B8">
              <w:rPr>
                <w:rFonts w:cstheme="minorHAnsi"/>
                <w:color w:val="C85A17" w:themeColor="accent4"/>
              </w:rPr>
              <w:t>Requires development of all site-specific emissions intensity values</w:t>
            </w:r>
            <w:r w:rsidR="005A220B" w:rsidRPr="006140B8">
              <w:rPr>
                <w:rFonts w:cstheme="minorHAnsi"/>
                <w:color w:val="C85A17" w:themeColor="accent4"/>
              </w:rPr>
              <w:t>- increasing the regulatory burden under Option 2.</w:t>
            </w:r>
          </w:p>
        </w:tc>
        <w:tc>
          <w:tcPr>
            <w:tcW w:w="6403" w:type="dxa"/>
            <w:tcBorders>
              <w:top w:val="single" w:sz="4" w:space="0" w:color="auto"/>
              <w:left w:val="nil"/>
              <w:bottom w:val="single" w:sz="4" w:space="0" w:color="auto"/>
              <w:right w:val="single" w:sz="4" w:space="0" w:color="auto"/>
            </w:tcBorders>
            <w:shd w:val="clear" w:color="auto" w:fill="auto"/>
            <w:vAlign w:val="bottom"/>
          </w:tcPr>
          <w:p w14:paraId="04E2EE05" w14:textId="77777777" w:rsidR="00901D5C" w:rsidRPr="00831800" w:rsidRDefault="00901D5C" w:rsidP="006B47AF">
            <w:pPr>
              <w:pStyle w:val="ListParagraph"/>
              <w:numPr>
                <w:ilvl w:val="0"/>
                <w:numId w:val="53"/>
              </w:numPr>
              <w:rPr>
                <w:rFonts w:cstheme="minorHAnsi"/>
                <w:color w:val="000000"/>
              </w:rPr>
            </w:pPr>
            <w:r w:rsidRPr="006B47AF">
              <w:rPr>
                <w:rFonts w:cstheme="minorHAnsi"/>
                <w:color w:val="000000"/>
              </w:rPr>
              <w:t>Provides stability and makes implementation simple by</w:t>
            </w:r>
            <w:r w:rsidR="002E37A2">
              <w:rPr>
                <w:rFonts w:cstheme="minorHAnsi"/>
                <w:color w:val="000000"/>
              </w:rPr>
              <w:t xml:space="preserve"> building on a legislated framework and</w:t>
            </w:r>
            <w:r w:rsidRPr="006B47AF">
              <w:rPr>
                <w:rFonts w:cstheme="minorHAnsi"/>
                <w:color w:val="000000"/>
              </w:rPr>
              <w:t xml:space="preserve"> retaining the production adjusted baseline framework. </w:t>
            </w:r>
          </w:p>
          <w:p w14:paraId="10D1E2B4" w14:textId="77777777" w:rsidR="00901D5C" w:rsidRPr="006B47AF" w:rsidRDefault="00901D5C" w:rsidP="006B47AF">
            <w:pPr>
              <w:pStyle w:val="ListParagraph"/>
              <w:numPr>
                <w:ilvl w:val="0"/>
                <w:numId w:val="53"/>
              </w:numPr>
              <w:rPr>
                <w:rFonts w:cstheme="minorHAnsi"/>
                <w:color w:val="000000"/>
              </w:rPr>
            </w:pPr>
            <w:r w:rsidRPr="00831800">
              <w:rPr>
                <w:rFonts w:cstheme="minorHAnsi"/>
                <w:color w:val="000000"/>
              </w:rPr>
              <w:t xml:space="preserve">Mandating government defined PVs and production adjusted baselines simplifies </w:t>
            </w:r>
            <w:r w:rsidR="001C6D87">
              <w:rPr>
                <w:rFonts w:cstheme="minorHAnsi"/>
                <w:color w:val="000000"/>
              </w:rPr>
              <w:t>administrative</w:t>
            </w:r>
            <w:r w:rsidRPr="00831800">
              <w:rPr>
                <w:rFonts w:cstheme="minorHAnsi"/>
                <w:color w:val="000000"/>
              </w:rPr>
              <w:t xml:space="preserve"> arrangements</w:t>
            </w:r>
            <w:r w:rsidR="00692C46">
              <w:rPr>
                <w:rFonts w:cstheme="minorHAnsi"/>
                <w:color w:val="000000"/>
              </w:rPr>
              <w:t>.</w:t>
            </w:r>
          </w:p>
          <w:p w14:paraId="5EF2BF4C" w14:textId="720971B5" w:rsidR="00901D5C" w:rsidRPr="006B47AF" w:rsidRDefault="00901D5C" w:rsidP="006B47AF">
            <w:pPr>
              <w:pStyle w:val="ListParagraph"/>
              <w:numPr>
                <w:ilvl w:val="0"/>
                <w:numId w:val="53"/>
              </w:numPr>
              <w:rPr>
                <w:rFonts w:cstheme="minorHAnsi"/>
                <w:color w:val="C85A17" w:themeColor="accent4"/>
              </w:rPr>
            </w:pPr>
            <w:r w:rsidRPr="006140B8">
              <w:rPr>
                <w:rFonts w:cstheme="minorHAnsi"/>
                <w:color w:val="C85A17" w:themeColor="accent4"/>
              </w:rPr>
              <w:t>Requires development of site-specific emissions intensity values</w:t>
            </w:r>
            <w:r w:rsidR="000920C6" w:rsidRPr="006140B8">
              <w:rPr>
                <w:rFonts w:cstheme="minorHAnsi"/>
                <w:color w:val="C85A17" w:themeColor="accent4"/>
              </w:rPr>
              <w:t xml:space="preserve"> for all facilities</w:t>
            </w:r>
            <w:r w:rsidRPr="006140B8">
              <w:rPr>
                <w:rFonts w:cstheme="minorHAnsi"/>
                <w:color w:val="C85A17" w:themeColor="accent4"/>
              </w:rPr>
              <w:t xml:space="preserve">, development of international best-practice benchmarks, </w:t>
            </w:r>
            <w:r w:rsidR="00752F02" w:rsidRPr="006140B8">
              <w:rPr>
                <w:rFonts w:cstheme="minorHAnsi"/>
                <w:color w:val="C85A17" w:themeColor="accent4"/>
              </w:rPr>
              <w:t>development and operationalisation</w:t>
            </w:r>
            <w:r w:rsidRPr="006140B8">
              <w:rPr>
                <w:rFonts w:cstheme="minorHAnsi"/>
                <w:color w:val="C85A17" w:themeColor="accent4"/>
              </w:rPr>
              <w:t xml:space="preserve"> of the SMC market, implementation of banking and borrowing arrangements, ongoing audit</w:t>
            </w:r>
            <w:r w:rsidR="00C57A94">
              <w:rPr>
                <w:rFonts w:cstheme="minorHAnsi"/>
                <w:color w:val="C85A17" w:themeColor="accent4"/>
              </w:rPr>
              <w:t>ing</w:t>
            </w:r>
            <w:r w:rsidRPr="006140B8">
              <w:rPr>
                <w:rFonts w:cstheme="minorHAnsi"/>
                <w:color w:val="C85A17" w:themeColor="accent4"/>
              </w:rPr>
              <w:t xml:space="preserve"> and monitoring, facility level assessments of </w:t>
            </w:r>
            <w:proofErr w:type="spellStart"/>
            <w:r w:rsidRPr="006140B8">
              <w:rPr>
                <w:rFonts w:cstheme="minorHAnsi"/>
                <w:color w:val="C85A17" w:themeColor="accent4"/>
              </w:rPr>
              <w:t>EITE</w:t>
            </w:r>
            <w:proofErr w:type="spellEnd"/>
            <w:r w:rsidRPr="006140B8">
              <w:rPr>
                <w:rFonts w:cstheme="minorHAnsi"/>
                <w:color w:val="C85A17" w:themeColor="accent4"/>
              </w:rPr>
              <w:t xml:space="preserve"> designation applications – all increasing the </w:t>
            </w:r>
            <w:r w:rsidR="009543A9" w:rsidRPr="006140B8">
              <w:rPr>
                <w:rFonts w:cstheme="minorHAnsi"/>
                <w:color w:val="C85A17" w:themeColor="accent4"/>
              </w:rPr>
              <w:t>regulatory burden under Option 3</w:t>
            </w:r>
            <w:r w:rsidRPr="006140B8">
              <w:rPr>
                <w:rFonts w:cstheme="minorHAnsi"/>
                <w:color w:val="C85A17" w:themeColor="accent4"/>
              </w:rPr>
              <w:t>.</w:t>
            </w:r>
          </w:p>
        </w:tc>
      </w:tr>
      <w:tr w:rsidR="00901D5C" w:rsidRPr="00831800" w14:paraId="5D430453" w14:textId="77777777" w:rsidTr="007740E1">
        <w:trPr>
          <w:trHeight w:val="288"/>
        </w:trPr>
        <w:tc>
          <w:tcPr>
            <w:tcW w:w="3167" w:type="dxa"/>
            <w:vMerge/>
            <w:tcBorders>
              <w:left w:val="single" w:sz="4" w:space="0" w:color="auto"/>
              <w:bottom w:val="single" w:sz="18" w:space="0" w:color="auto"/>
              <w:right w:val="single" w:sz="4" w:space="0" w:color="auto"/>
            </w:tcBorders>
            <w:shd w:val="clear" w:color="auto" w:fill="auto"/>
            <w:noWrap/>
            <w:tcMar>
              <w:top w:w="15" w:type="dxa"/>
              <w:left w:w="15" w:type="dxa"/>
              <w:bottom w:w="0" w:type="dxa"/>
              <w:right w:w="15" w:type="dxa"/>
            </w:tcMar>
            <w:vAlign w:val="bottom"/>
            <w:hideMark/>
          </w:tcPr>
          <w:p w14:paraId="531ED038" w14:textId="77777777" w:rsidR="00901D5C" w:rsidRPr="006B47AF" w:rsidRDefault="00901D5C">
            <w:pPr>
              <w:rPr>
                <w:rFonts w:cstheme="minorHAnsi"/>
                <w:b/>
                <w:color w:val="000000"/>
              </w:rPr>
            </w:pPr>
          </w:p>
        </w:tc>
        <w:tc>
          <w:tcPr>
            <w:tcW w:w="6402" w:type="dxa"/>
            <w:tcBorders>
              <w:top w:val="single" w:sz="4" w:space="0" w:color="auto"/>
              <w:left w:val="single" w:sz="4" w:space="0" w:color="auto"/>
              <w:bottom w:val="single" w:sz="18" w:space="0" w:color="auto"/>
            </w:tcBorders>
            <w:shd w:val="clear" w:color="auto" w:fill="B6F7E1" w:themeFill="accent3" w:themeFillTint="33"/>
            <w:noWrap/>
            <w:tcMar>
              <w:top w:w="15" w:type="dxa"/>
              <w:left w:w="15" w:type="dxa"/>
              <w:bottom w:w="0" w:type="dxa"/>
              <w:right w:w="15" w:type="dxa"/>
            </w:tcMar>
            <w:vAlign w:val="bottom"/>
            <w:hideMark/>
          </w:tcPr>
          <w:p w14:paraId="6026E974" w14:textId="14D1FCF8" w:rsidR="00901D5C" w:rsidRPr="006B47AF" w:rsidRDefault="00766649" w:rsidP="006B47AF">
            <w:pPr>
              <w:jc w:val="center"/>
              <w:rPr>
                <w:rFonts w:cstheme="minorHAnsi"/>
                <w:b/>
              </w:rPr>
            </w:pPr>
            <w:r w:rsidRPr="00766649">
              <w:rPr>
                <w:rFonts w:cstheme="minorHAnsi"/>
                <w:b/>
                <w:shd w:val="clear" w:color="auto" w:fill="B6F7E1" w:themeFill="accent3" w:themeFillTint="33"/>
              </w:rPr>
              <w:t>Mixed</w:t>
            </w:r>
          </w:p>
        </w:tc>
        <w:tc>
          <w:tcPr>
            <w:tcW w:w="6402" w:type="dxa"/>
            <w:tcBorders>
              <w:top w:val="single" w:sz="4" w:space="0" w:color="auto"/>
              <w:bottom w:val="single" w:sz="18" w:space="0" w:color="auto"/>
            </w:tcBorders>
            <w:shd w:val="clear" w:color="auto" w:fill="F3BA97" w:themeFill="accent4" w:themeFillTint="66"/>
            <w:vAlign w:val="bottom"/>
          </w:tcPr>
          <w:p w14:paraId="4FD703AC" w14:textId="56E2624D" w:rsidR="00901D5C" w:rsidRPr="006B47AF" w:rsidRDefault="00766649" w:rsidP="006B47AF">
            <w:pPr>
              <w:jc w:val="center"/>
              <w:rPr>
                <w:rFonts w:cstheme="minorHAnsi"/>
                <w:b/>
              </w:rPr>
            </w:pPr>
            <w:r>
              <w:rPr>
                <w:rFonts w:cstheme="minorHAnsi"/>
                <w:b/>
              </w:rPr>
              <w:t>Lower</w:t>
            </w:r>
          </w:p>
        </w:tc>
        <w:tc>
          <w:tcPr>
            <w:tcW w:w="6403" w:type="dxa"/>
            <w:tcBorders>
              <w:top w:val="single" w:sz="4" w:space="0" w:color="auto"/>
              <w:bottom w:val="single" w:sz="18" w:space="0" w:color="auto"/>
              <w:right w:val="single" w:sz="4" w:space="0" w:color="auto"/>
            </w:tcBorders>
            <w:shd w:val="clear" w:color="auto" w:fill="F3BA97" w:themeFill="accent4" w:themeFillTint="66"/>
            <w:vAlign w:val="bottom"/>
          </w:tcPr>
          <w:p w14:paraId="06B4B2FB" w14:textId="77777777" w:rsidR="00901D5C" w:rsidRPr="006B47AF" w:rsidRDefault="00901D5C" w:rsidP="006B47AF">
            <w:pPr>
              <w:jc w:val="center"/>
              <w:rPr>
                <w:rFonts w:cstheme="minorHAnsi"/>
                <w:b/>
              </w:rPr>
            </w:pPr>
            <w:r w:rsidRPr="00831800">
              <w:rPr>
                <w:rFonts w:cstheme="minorHAnsi"/>
                <w:b/>
              </w:rPr>
              <w:t>Lower</w:t>
            </w:r>
          </w:p>
        </w:tc>
      </w:tr>
      <w:tr w:rsidR="008369DE" w:rsidRPr="00831800" w14:paraId="0464AA2E" w14:textId="77777777" w:rsidTr="007740E1">
        <w:trPr>
          <w:trHeight w:val="288"/>
        </w:trPr>
        <w:tc>
          <w:tcPr>
            <w:tcW w:w="3167" w:type="dxa"/>
            <w:tcBorders>
              <w:top w:val="single" w:sz="18" w:space="0" w:color="auto"/>
              <w:left w:val="single" w:sz="18" w:space="0" w:color="auto"/>
              <w:bottom w:val="single" w:sz="18" w:space="0" w:color="auto"/>
              <w:right w:val="single" w:sz="4" w:space="0" w:color="auto"/>
            </w:tcBorders>
            <w:shd w:val="clear" w:color="auto" w:fill="auto"/>
            <w:noWrap/>
            <w:tcMar>
              <w:top w:w="15" w:type="dxa"/>
              <w:left w:w="15" w:type="dxa"/>
              <w:bottom w:w="0" w:type="dxa"/>
              <w:right w:w="15" w:type="dxa"/>
            </w:tcMar>
            <w:vAlign w:val="bottom"/>
          </w:tcPr>
          <w:p w14:paraId="6F09C661" w14:textId="77777777" w:rsidR="008369DE" w:rsidRPr="00831800" w:rsidRDefault="008369DE">
            <w:pPr>
              <w:rPr>
                <w:rFonts w:cstheme="minorHAnsi"/>
                <w:b/>
                <w:color w:val="000000"/>
              </w:rPr>
            </w:pPr>
            <w:r w:rsidRPr="00831800">
              <w:rPr>
                <w:rFonts w:cstheme="minorHAnsi"/>
                <w:b/>
                <w:color w:val="000000"/>
              </w:rPr>
              <w:t>Net benefit relative to status quo</w:t>
            </w:r>
          </w:p>
        </w:tc>
        <w:tc>
          <w:tcPr>
            <w:tcW w:w="6402" w:type="dxa"/>
            <w:tcBorders>
              <w:top w:val="single" w:sz="18" w:space="0" w:color="auto"/>
              <w:left w:val="single" w:sz="4" w:space="0" w:color="auto"/>
              <w:bottom w:val="single" w:sz="18" w:space="0" w:color="auto"/>
              <w:right w:val="single" w:sz="4" w:space="0" w:color="auto"/>
            </w:tcBorders>
            <w:shd w:val="clear" w:color="auto" w:fill="6DF0C4" w:themeFill="accent3" w:themeFillTint="66"/>
            <w:noWrap/>
            <w:tcMar>
              <w:top w:w="15" w:type="dxa"/>
              <w:left w:w="15" w:type="dxa"/>
              <w:bottom w:w="0" w:type="dxa"/>
              <w:right w:w="15" w:type="dxa"/>
            </w:tcMar>
            <w:vAlign w:val="bottom"/>
          </w:tcPr>
          <w:p w14:paraId="650C7C75" w14:textId="45E20441" w:rsidR="008369DE" w:rsidRPr="00831800" w:rsidRDefault="00DF5209" w:rsidP="00B96557">
            <w:pPr>
              <w:jc w:val="center"/>
              <w:rPr>
                <w:rFonts w:cstheme="minorHAnsi"/>
                <w:b/>
              </w:rPr>
            </w:pPr>
            <w:r w:rsidRPr="00DF5209">
              <w:rPr>
                <w:rFonts w:cstheme="minorHAnsi"/>
                <w:b/>
              </w:rPr>
              <w:t>Improvement</w:t>
            </w:r>
          </w:p>
        </w:tc>
        <w:tc>
          <w:tcPr>
            <w:tcW w:w="6402" w:type="dxa"/>
            <w:tcBorders>
              <w:top w:val="single" w:sz="18" w:space="0" w:color="auto"/>
              <w:left w:val="single" w:sz="4" w:space="0" w:color="auto"/>
              <w:bottom w:val="single" w:sz="18" w:space="0" w:color="auto"/>
              <w:right w:val="single" w:sz="4" w:space="0" w:color="auto"/>
            </w:tcBorders>
            <w:shd w:val="clear" w:color="auto" w:fill="6DF0C4" w:themeFill="accent3" w:themeFillTint="66"/>
            <w:vAlign w:val="bottom"/>
          </w:tcPr>
          <w:p w14:paraId="2B0F9336" w14:textId="067EF7CA" w:rsidR="008369DE" w:rsidRPr="00831800" w:rsidRDefault="00766649" w:rsidP="00B96557">
            <w:pPr>
              <w:jc w:val="center"/>
              <w:rPr>
                <w:rFonts w:cstheme="minorHAnsi"/>
                <w:b/>
              </w:rPr>
            </w:pPr>
            <w:r w:rsidRPr="00766649">
              <w:rPr>
                <w:rFonts w:cstheme="minorHAnsi"/>
                <w:b/>
                <w:shd w:val="clear" w:color="auto" w:fill="6DF0C4" w:themeFill="accent3" w:themeFillTint="66"/>
              </w:rPr>
              <w:t>Improvement</w:t>
            </w:r>
          </w:p>
        </w:tc>
        <w:tc>
          <w:tcPr>
            <w:tcW w:w="6403" w:type="dxa"/>
            <w:tcBorders>
              <w:top w:val="single" w:sz="18" w:space="0" w:color="auto"/>
              <w:left w:val="single" w:sz="4" w:space="0" w:color="auto"/>
              <w:bottom w:val="single" w:sz="18" w:space="0" w:color="auto"/>
              <w:right w:val="single" w:sz="18" w:space="0" w:color="auto"/>
            </w:tcBorders>
            <w:shd w:val="clear" w:color="auto" w:fill="0A6446" w:themeFill="accent3"/>
            <w:vAlign w:val="bottom"/>
          </w:tcPr>
          <w:p w14:paraId="0F8F3804" w14:textId="4FF4A21A" w:rsidR="008369DE" w:rsidRPr="00831800" w:rsidRDefault="00DF5209" w:rsidP="00766649">
            <w:pPr>
              <w:jc w:val="center"/>
              <w:rPr>
                <w:rFonts w:cstheme="minorHAnsi"/>
                <w:b/>
              </w:rPr>
            </w:pPr>
            <w:r w:rsidRPr="00DF5209">
              <w:rPr>
                <w:rFonts w:cstheme="minorHAnsi"/>
                <w:b/>
                <w:color w:val="FFFFFF" w:themeColor="background1"/>
              </w:rPr>
              <w:t xml:space="preserve"> Significant Improvement</w:t>
            </w:r>
            <w:r w:rsidRPr="00DF5209">
              <w:rPr>
                <w:rFonts w:cstheme="minorHAnsi"/>
                <w:b/>
              </w:rPr>
              <w:t xml:space="preserve"> </w:t>
            </w:r>
          </w:p>
        </w:tc>
      </w:tr>
    </w:tbl>
    <w:p w14:paraId="24E14715" w14:textId="77777777" w:rsidR="00DD527E" w:rsidRDefault="00DD527E" w:rsidP="0024191E"/>
    <w:p w14:paraId="42A85F1C" w14:textId="77777777" w:rsidR="00DD527E" w:rsidRPr="00DD527E" w:rsidRDefault="00DD527E" w:rsidP="0082719C">
      <w:pPr>
        <w:pStyle w:val="BodyText"/>
        <w:sectPr w:rsidR="00DD527E" w:rsidRPr="00DD527E" w:rsidSect="00E311BE">
          <w:pgSz w:w="23814" w:h="16839" w:orient="landscape" w:code="8"/>
          <w:pgMar w:top="720" w:right="720" w:bottom="720" w:left="720" w:header="567" w:footer="57" w:gutter="0"/>
          <w:cols w:space="708"/>
          <w:docGrid w:linePitch="360"/>
        </w:sectPr>
      </w:pPr>
    </w:p>
    <w:p w14:paraId="50558A4A" w14:textId="77777777" w:rsidR="007C5FA7" w:rsidRDefault="007C5FA7" w:rsidP="006B47AF">
      <w:pPr>
        <w:pStyle w:val="Heading1"/>
      </w:pPr>
      <w:bookmarkStart w:id="227" w:name="_Toc118750377"/>
      <w:bookmarkStart w:id="228" w:name="_Toc118754653"/>
      <w:bookmarkStart w:id="229" w:name="_Toc118813944"/>
      <w:bookmarkStart w:id="230" w:name="_Toc119327154"/>
      <w:bookmarkStart w:id="231" w:name="_Toc119360658"/>
      <w:bookmarkStart w:id="232" w:name="_Toc132807556"/>
      <w:r>
        <w:lastRenderedPageBreak/>
        <w:t>5. Who did you consult and how did you incorporate their feedback?</w:t>
      </w:r>
      <w:bookmarkEnd w:id="227"/>
      <w:bookmarkEnd w:id="228"/>
      <w:bookmarkEnd w:id="229"/>
      <w:bookmarkEnd w:id="230"/>
      <w:bookmarkEnd w:id="231"/>
      <w:bookmarkEnd w:id="232"/>
    </w:p>
    <w:p w14:paraId="7CA71FE8" w14:textId="77777777" w:rsidR="00314BA9" w:rsidRDefault="00314BA9" w:rsidP="00025D95">
      <w:pPr>
        <w:pStyle w:val="Heading2"/>
      </w:pPr>
      <w:bookmarkStart w:id="233" w:name="_Toc118750378"/>
      <w:bookmarkStart w:id="234" w:name="_Toc118754654"/>
      <w:bookmarkStart w:id="235" w:name="_Toc118813945"/>
      <w:bookmarkStart w:id="236" w:name="_Toc119327155"/>
      <w:bookmarkStart w:id="237" w:name="_Toc119360659"/>
      <w:bookmarkStart w:id="238" w:name="_Toc132807557"/>
      <w:r>
        <w:t>Consultation to date</w:t>
      </w:r>
      <w:bookmarkEnd w:id="233"/>
      <w:bookmarkEnd w:id="234"/>
      <w:bookmarkEnd w:id="235"/>
      <w:bookmarkEnd w:id="236"/>
      <w:bookmarkEnd w:id="237"/>
      <w:bookmarkEnd w:id="238"/>
    </w:p>
    <w:p w14:paraId="327FFE1E" w14:textId="77777777" w:rsidR="00314BA9" w:rsidRPr="009F6FD0" w:rsidRDefault="00314BA9" w:rsidP="00314BA9">
      <w:pPr>
        <w:pStyle w:val="BodyText"/>
        <w:rPr>
          <w:sz w:val="22"/>
          <w:szCs w:val="22"/>
        </w:rPr>
      </w:pPr>
      <w:r w:rsidRPr="009F6FD0">
        <w:rPr>
          <w:sz w:val="22"/>
          <w:szCs w:val="22"/>
        </w:rPr>
        <w:t>The Department of Climate Change, Energy</w:t>
      </w:r>
      <w:r w:rsidR="00702A69" w:rsidRPr="009F6FD0">
        <w:rPr>
          <w:sz w:val="22"/>
          <w:szCs w:val="22"/>
        </w:rPr>
        <w:t>, the Environment and Water has been consulting extensively on the best approach to reform the Safeguard Mechanism. Consultation has been undertaken broadly with affected facilities, industry bodies, government agencies, non-</w:t>
      </w:r>
      <w:r w:rsidR="003326DF">
        <w:rPr>
          <w:sz w:val="22"/>
          <w:szCs w:val="22"/>
        </w:rPr>
        <w:t>Safeguard</w:t>
      </w:r>
      <w:r w:rsidR="00702A69" w:rsidRPr="009F6FD0">
        <w:rPr>
          <w:sz w:val="22"/>
          <w:szCs w:val="22"/>
        </w:rPr>
        <w:t xml:space="preserve"> industrial businesses, carbon market participants, environmental groups</w:t>
      </w:r>
      <w:r w:rsidR="0004342A" w:rsidRPr="009F6FD0">
        <w:rPr>
          <w:sz w:val="22"/>
          <w:szCs w:val="22"/>
        </w:rPr>
        <w:t xml:space="preserve"> and other interested parties</w:t>
      </w:r>
      <w:r w:rsidR="00702A69" w:rsidRPr="009F6FD0">
        <w:rPr>
          <w:sz w:val="22"/>
          <w:szCs w:val="22"/>
        </w:rPr>
        <w:t>.</w:t>
      </w:r>
    </w:p>
    <w:p w14:paraId="7344A208" w14:textId="77777777" w:rsidR="00702A69" w:rsidRPr="009F6FD0" w:rsidRDefault="00702A69" w:rsidP="00314BA9">
      <w:pPr>
        <w:pStyle w:val="BodyText"/>
        <w:rPr>
          <w:sz w:val="22"/>
          <w:szCs w:val="22"/>
        </w:rPr>
      </w:pPr>
      <w:r w:rsidRPr="009F6FD0">
        <w:rPr>
          <w:sz w:val="22"/>
          <w:szCs w:val="22"/>
        </w:rPr>
        <w:t>An outline of consultation activities is provided below.</w:t>
      </w:r>
    </w:p>
    <w:p w14:paraId="2B0904A5" w14:textId="77777777" w:rsidR="004E67BE" w:rsidRPr="00291A6B" w:rsidRDefault="004E67BE" w:rsidP="004E67BE">
      <w:pPr>
        <w:pStyle w:val="Heading3"/>
      </w:pPr>
      <w:bookmarkStart w:id="239" w:name="_Toc118750379"/>
      <w:bookmarkStart w:id="240" w:name="_Toc118754655"/>
      <w:bookmarkStart w:id="241" w:name="_Toc118813946"/>
      <w:bookmarkStart w:id="242" w:name="_Toc119327156"/>
      <w:bookmarkStart w:id="243" w:name="_Toc119360660"/>
      <w:bookmarkStart w:id="244" w:name="_Toc132807558"/>
      <w:r>
        <w:t xml:space="preserve">Direct </w:t>
      </w:r>
      <w:r w:rsidRPr="00025D95">
        <w:t>engagement</w:t>
      </w:r>
      <w:bookmarkEnd w:id="239"/>
      <w:bookmarkEnd w:id="240"/>
      <w:bookmarkEnd w:id="241"/>
      <w:bookmarkEnd w:id="242"/>
      <w:bookmarkEnd w:id="243"/>
      <w:bookmarkEnd w:id="244"/>
    </w:p>
    <w:p w14:paraId="1403EB9C" w14:textId="421146DB" w:rsidR="004E67BE" w:rsidRPr="009F6FD0" w:rsidRDefault="004E67BE" w:rsidP="004E67BE">
      <w:pPr>
        <w:pStyle w:val="BodyText"/>
        <w:rPr>
          <w:sz w:val="22"/>
          <w:szCs w:val="22"/>
        </w:rPr>
      </w:pPr>
      <w:r w:rsidRPr="009F6FD0">
        <w:rPr>
          <w:sz w:val="22"/>
          <w:szCs w:val="22"/>
        </w:rPr>
        <w:t xml:space="preserve">In addition to the formal public consultation processes outlined below, the Department held </w:t>
      </w:r>
      <w:r w:rsidRPr="009B6565">
        <w:rPr>
          <w:sz w:val="22"/>
          <w:szCs w:val="22"/>
        </w:rPr>
        <w:t xml:space="preserve">over </w:t>
      </w:r>
      <w:r w:rsidR="0062522B" w:rsidRPr="00C12FCC">
        <w:rPr>
          <w:sz w:val="22"/>
          <w:szCs w:val="22"/>
        </w:rPr>
        <w:t>1</w:t>
      </w:r>
      <w:r w:rsidR="009B6565" w:rsidRPr="00C12FCC">
        <w:rPr>
          <w:sz w:val="22"/>
          <w:szCs w:val="22"/>
        </w:rPr>
        <w:t>7</w:t>
      </w:r>
      <w:r w:rsidR="004C704F" w:rsidRPr="00C12FCC">
        <w:rPr>
          <w:sz w:val="22"/>
          <w:szCs w:val="22"/>
        </w:rPr>
        <w:t>0</w:t>
      </w:r>
      <w:r w:rsidR="00A94955" w:rsidRPr="009F6FD0">
        <w:rPr>
          <w:sz w:val="22"/>
          <w:szCs w:val="22"/>
        </w:rPr>
        <w:t xml:space="preserve"> </w:t>
      </w:r>
      <w:r w:rsidRPr="009F6FD0">
        <w:rPr>
          <w:sz w:val="22"/>
          <w:szCs w:val="22"/>
        </w:rPr>
        <w:t xml:space="preserve">meetings with interested stakeholders </w:t>
      </w:r>
      <w:r w:rsidR="00A02447" w:rsidRPr="009F6FD0">
        <w:rPr>
          <w:sz w:val="22"/>
          <w:szCs w:val="22"/>
        </w:rPr>
        <w:t xml:space="preserve">from June </w:t>
      </w:r>
      <w:r w:rsidR="00A94955">
        <w:rPr>
          <w:sz w:val="22"/>
          <w:szCs w:val="22"/>
        </w:rPr>
        <w:t xml:space="preserve">2022 </w:t>
      </w:r>
      <w:r w:rsidR="00A02447" w:rsidRPr="009F6FD0">
        <w:rPr>
          <w:sz w:val="22"/>
          <w:szCs w:val="22"/>
        </w:rPr>
        <w:t xml:space="preserve">to </w:t>
      </w:r>
      <w:r w:rsidR="009B6565">
        <w:rPr>
          <w:sz w:val="22"/>
          <w:szCs w:val="22"/>
        </w:rPr>
        <w:t xml:space="preserve">April </w:t>
      </w:r>
      <w:r w:rsidR="00A94955">
        <w:rPr>
          <w:sz w:val="22"/>
          <w:szCs w:val="22"/>
        </w:rPr>
        <w:t>2023</w:t>
      </w:r>
      <w:r w:rsidRPr="009F6FD0">
        <w:rPr>
          <w:sz w:val="22"/>
          <w:szCs w:val="22"/>
        </w:rPr>
        <w:t xml:space="preserve">. The Department also hosted an inter-departmental committee on a regular basis with Commonwealth agencies and a forum with state and territory governments to discuss reform progress and interlinkages with other policies. </w:t>
      </w:r>
    </w:p>
    <w:p w14:paraId="757285F4" w14:textId="77777777" w:rsidR="00AC2336" w:rsidRPr="00AC2336" w:rsidRDefault="00702A69" w:rsidP="00025D95">
      <w:pPr>
        <w:pStyle w:val="Heading3"/>
      </w:pPr>
      <w:bookmarkStart w:id="245" w:name="_Toc118750380"/>
      <w:bookmarkStart w:id="246" w:name="_Toc118754656"/>
      <w:bookmarkStart w:id="247" w:name="_Toc118813947"/>
      <w:bookmarkStart w:id="248" w:name="_Toc119327157"/>
      <w:bookmarkStart w:id="249" w:name="_Toc119360661"/>
      <w:bookmarkStart w:id="250" w:name="_Toc132807559"/>
      <w:r>
        <w:t>Initial consultation paper</w:t>
      </w:r>
      <w:bookmarkEnd w:id="245"/>
      <w:bookmarkEnd w:id="246"/>
      <w:bookmarkEnd w:id="247"/>
      <w:bookmarkEnd w:id="248"/>
      <w:bookmarkEnd w:id="249"/>
      <w:bookmarkEnd w:id="250"/>
    </w:p>
    <w:p w14:paraId="4589CA04" w14:textId="77777777" w:rsidR="00F83244" w:rsidRPr="009F6FD0" w:rsidRDefault="00AC2336" w:rsidP="00F83244">
      <w:pPr>
        <w:pStyle w:val="BodyText"/>
        <w:rPr>
          <w:sz w:val="22"/>
          <w:szCs w:val="22"/>
        </w:rPr>
      </w:pPr>
      <w:r w:rsidRPr="009F6FD0">
        <w:rPr>
          <w:sz w:val="22"/>
          <w:szCs w:val="22"/>
        </w:rPr>
        <w:t>Stakeholders were invited to respond to a consultation paper</w:t>
      </w:r>
      <w:r w:rsidR="00B0437A" w:rsidRPr="009F6FD0">
        <w:rPr>
          <w:sz w:val="22"/>
          <w:szCs w:val="22"/>
        </w:rPr>
        <w:t xml:space="preserve">, released on 20 August 2022. </w:t>
      </w:r>
      <w:r w:rsidR="00F83244" w:rsidRPr="009F6FD0">
        <w:rPr>
          <w:sz w:val="22"/>
          <w:szCs w:val="22"/>
        </w:rPr>
        <w:t>The consultation paper sought feedback on matters including the Safeguard Mechanism’s share of the national abatement task, how Safeguard Mechanism baselines are set, crediting and trading, the role of domestic offsets and international units, treatment of emissions-intensive trade-exposed businesses, taking account of available and emerging technologies, and indicative baseline decline rates.</w:t>
      </w:r>
    </w:p>
    <w:p w14:paraId="5217D657" w14:textId="77777777" w:rsidR="00991E4D" w:rsidRPr="009F6FD0" w:rsidRDefault="00F83244" w:rsidP="00F83244">
      <w:pPr>
        <w:pStyle w:val="BodyText"/>
        <w:rPr>
          <w:b/>
          <w:sz w:val="22"/>
          <w:szCs w:val="22"/>
        </w:rPr>
      </w:pPr>
      <w:r w:rsidRPr="009F6FD0">
        <w:rPr>
          <w:sz w:val="22"/>
          <w:szCs w:val="22"/>
        </w:rPr>
        <w:t>On Safeguard Mechanism baselines, the consultation paper sought feedback on whether baselines should be production-adjusted or be fixed as production changes. The paper raised the issue of ‘headroom’, where aggregate baselines currently exceed aggregate emissions covered by the Safeguard Mechanism. The paper sought feedback on possible approaches for setting baselines for existing facilities so that aggregate headroom can be removed, and on approaches for setting baselines for new entrants.</w:t>
      </w:r>
    </w:p>
    <w:p w14:paraId="7786AE1B" w14:textId="77777777" w:rsidR="00B0437A" w:rsidRPr="009F6FD0" w:rsidRDefault="0044113B" w:rsidP="00B0437A">
      <w:pPr>
        <w:pStyle w:val="BodyText"/>
        <w:rPr>
          <w:sz w:val="22"/>
          <w:szCs w:val="22"/>
        </w:rPr>
      </w:pPr>
      <w:r w:rsidRPr="009F6FD0">
        <w:rPr>
          <w:sz w:val="22"/>
          <w:szCs w:val="22"/>
        </w:rPr>
        <w:t>A public online information session was held on 31 August to outline the key elements of the consultation paper, and a recording was made availa</w:t>
      </w:r>
      <w:r w:rsidR="00060319" w:rsidRPr="009F6FD0">
        <w:rPr>
          <w:sz w:val="22"/>
          <w:szCs w:val="22"/>
        </w:rPr>
        <w:t>ble on the Department’s website shortly afterwards.</w:t>
      </w:r>
      <w:r w:rsidR="003226B1" w:rsidRPr="009F6FD0">
        <w:rPr>
          <w:sz w:val="22"/>
          <w:szCs w:val="22"/>
        </w:rPr>
        <w:t xml:space="preserve"> Approximately 220 people registered for the webinar.</w:t>
      </w:r>
    </w:p>
    <w:p w14:paraId="04D22E3C" w14:textId="77777777" w:rsidR="0044113B" w:rsidRPr="009F6FD0" w:rsidRDefault="0044113B" w:rsidP="00B0437A">
      <w:pPr>
        <w:pStyle w:val="BodyText"/>
        <w:rPr>
          <w:sz w:val="22"/>
          <w:szCs w:val="22"/>
        </w:rPr>
      </w:pPr>
      <w:r w:rsidRPr="009F6FD0">
        <w:rPr>
          <w:sz w:val="22"/>
          <w:szCs w:val="22"/>
        </w:rPr>
        <w:t xml:space="preserve">The Department held five in-person roundtables; in Brisbane on 2 September, in Melbourne on 6 September, in Adelaide on 8 September, in Perth on 13 September and in Sydney on 16 September. Invites were sent to stakeholders in </w:t>
      </w:r>
      <w:r w:rsidR="006627E3" w:rsidRPr="009F6FD0">
        <w:rPr>
          <w:sz w:val="22"/>
          <w:szCs w:val="22"/>
        </w:rPr>
        <w:t xml:space="preserve">Safeguard </w:t>
      </w:r>
      <w:r w:rsidRPr="009F6FD0">
        <w:rPr>
          <w:sz w:val="22"/>
          <w:szCs w:val="22"/>
        </w:rPr>
        <w:t xml:space="preserve">covered sectors, including transport, resources, aviation, minerals and cement; government agencies; consultancies; carbon market advisories; environmental non-government organisations; </w:t>
      </w:r>
      <w:r w:rsidRPr="009F6FD0">
        <w:rPr>
          <w:sz w:val="22"/>
          <w:szCs w:val="22"/>
        </w:rPr>
        <w:lastRenderedPageBreak/>
        <w:t>think tanks and academia; financial services; industry groups; unions and First Nations groups.</w:t>
      </w:r>
      <w:r w:rsidR="00060319" w:rsidRPr="009F6FD0">
        <w:rPr>
          <w:sz w:val="22"/>
          <w:szCs w:val="22"/>
        </w:rPr>
        <w:t xml:space="preserve"> Roundtables were attended by approximately </w:t>
      </w:r>
      <w:r w:rsidR="00CF08AB" w:rsidRPr="009F6FD0">
        <w:rPr>
          <w:sz w:val="22"/>
          <w:szCs w:val="22"/>
        </w:rPr>
        <w:t>140</w:t>
      </w:r>
      <w:r w:rsidR="00060319" w:rsidRPr="009F6FD0">
        <w:rPr>
          <w:sz w:val="22"/>
          <w:szCs w:val="22"/>
        </w:rPr>
        <w:t xml:space="preserve"> people.</w:t>
      </w:r>
    </w:p>
    <w:p w14:paraId="0E4460FB" w14:textId="2BD816DA" w:rsidR="0044113B" w:rsidRPr="009F6FD0" w:rsidRDefault="0044113B" w:rsidP="00B0437A">
      <w:pPr>
        <w:pStyle w:val="BodyText"/>
        <w:rPr>
          <w:sz w:val="22"/>
          <w:szCs w:val="22"/>
        </w:rPr>
      </w:pPr>
      <w:r w:rsidRPr="009F6FD0">
        <w:rPr>
          <w:sz w:val="22"/>
          <w:szCs w:val="22"/>
        </w:rPr>
        <w:t>Submissions were open on this consultation until 20 September 2022. The Department granted extensions until 23 September 2022 to all stakeholders who requested one.</w:t>
      </w:r>
      <w:r w:rsidR="0048094A">
        <w:rPr>
          <w:sz w:val="22"/>
          <w:szCs w:val="22"/>
        </w:rPr>
        <w:t xml:space="preserve"> </w:t>
      </w:r>
      <w:r w:rsidR="009B6565">
        <w:rPr>
          <w:sz w:val="22"/>
          <w:szCs w:val="22"/>
        </w:rPr>
        <w:t xml:space="preserve">Around </w:t>
      </w:r>
      <w:r w:rsidR="0048094A">
        <w:rPr>
          <w:sz w:val="22"/>
          <w:szCs w:val="22"/>
        </w:rPr>
        <w:t>240 submissions were received.</w:t>
      </w:r>
      <w:r w:rsidRPr="009F6FD0">
        <w:rPr>
          <w:sz w:val="22"/>
          <w:szCs w:val="22"/>
        </w:rPr>
        <w:t xml:space="preserve"> </w:t>
      </w:r>
      <w:r w:rsidR="003E67F0">
        <w:rPr>
          <w:sz w:val="22"/>
          <w:szCs w:val="22"/>
        </w:rPr>
        <w:t>A</w:t>
      </w:r>
      <w:r w:rsidRPr="009F6FD0">
        <w:rPr>
          <w:sz w:val="22"/>
          <w:szCs w:val="22"/>
        </w:rPr>
        <w:t>ll non-confidential submissions were published on the Department’s website.</w:t>
      </w:r>
    </w:p>
    <w:p w14:paraId="704944F6" w14:textId="02CE642E" w:rsidR="000B06B0" w:rsidRPr="009F6FD0" w:rsidRDefault="00C85C40" w:rsidP="00B0437A">
      <w:pPr>
        <w:pStyle w:val="BodyText"/>
        <w:rPr>
          <w:sz w:val="22"/>
          <w:szCs w:val="22"/>
        </w:rPr>
      </w:pPr>
      <w:r w:rsidRPr="009F6FD0">
        <w:rPr>
          <w:sz w:val="22"/>
          <w:szCs w:val="22"/>
        </w:rPr>
        <w:t>Stakeholders</w:t>
      </w:r>
      <w:r w:rsidR="00991E4D" w:rsidRPr="009F6FD0">
        <w:rPr>
          <w:sz w:val="22"/>
          <w:szCs w:val="22"/>
        </w:rPr>
        <w:t xml:space="preserve"> were generally supportive of the Government’s reforms, recognising the need to meet Australia’s emissions reduction targets</w:t>
      </w:r>
      <w:r w:rsidR="0057476A" w:rsidRPr="009F6FD0">
        <w:rPr>
          <w:sz w:val="22"/>
          <w:szCs w:val="22"/>
        </w:rPr>
        <w:t xml:space="preserve"> of 43</w:t>
      </w:r>
      <w:r w:rsidR="004901E0">
        <w:rPr>
          <w:sz w:val="22"/>
          <w:szCs w:val="22"/>
        </w:rPr>
        <w:t xml:space="preserve"> per cent</w:t>
      </w:r>
      <w:r w:rsidR="0057476A" w:rsidRPr="009F6FD0">
        <w:rPr>
          <w:sz w:val="22"/>
          <w:szCs w:val="22"/>
        </w:rPr>
        <w:t xml:space="preserve"> by 2030</w:t>
      </w:r>
      <w:r w:rsidR="00991E4D" w:rsidRPr="009F6FD0">
        <w:rPr>
          <w:sz w:val="22"/>
          <w:szCs w:val="22"/>
        </w:rPr>
        <w:t>.</w:t>
      </w:r>
      <w:r w:rsidRPr="009F6FD0">
        <w:rPr>
          <w:sz w:val="22"/>
          <w:szCs w:val="22"/>
        </w:rPr>
        <w:t xml:space="preserve"> </w:t>
      </w:r>
      <w:r w:rsidR="00BB5D55">
        <w:rPr>
          <w:sz w:val="22"/>
          <w:szCs w:val="22"/>
        </w:rPr>
        <w:t>However, feedback was mixed in response to each design element</w:t>
      </w:r>
      <w:r w:rsidR="0056391F">
        <w:rPr>
          <w:sz w:val="22"/>
          <w:szCs w:val="22"/>
        </w:rPr>
        <w:t>, reflecting the operating environment of each facility, or the interests of stakeholders</w:t>
      </w:r>
      <w:r w:rsidR="00BB5D55">
        <w:rPr>
          <w:sz w:val="22"/>
          <w:szCs w:val="22"/>
        </w:rPr>
        <w:t>.</w:t>
      </w:r>
    </w:p>
    <w:p w14:paraId="7EBCB48A" w14:textId="1BF17420" w:rsidR="00AA2664" w:rsidRPr="009F6FD0" w:rsidRDefault="00190FAD" w:rsidP="004C549A">
      <w:pPr>
        <w:pStyle w:val="BodyText"/>
        <w:rPr>
          <w:sz w:val="22"/>
          <w:szCs w:val="22"/>
        </w:rPr>
      </w:pPr>
      <w:r w:rsidRPr="009F6FD0">
        <w:rPr>
          <w:sz w:val="22"/>
          <w:szCs w:val="22"/>
        </w:rPr>
        <w:t>Th</w:t>
      </w:r>
      <w:r w:rsidR="00BB5D55">
        <w:rPr>
          <w:sz w:val="22"/>
          <w:szCs w:val="22"/>
        </w:rPr>
        <w:t>e</w:t>
      </w:r>
      <w:r w:rsidRPr="009F6FD0">
        <w:rPr>
          <w:sz w:val="22"/>
          <w:szCs w:val="22"/>
        </w:rPr>
        <w:t xml:space="preserve"> feedback was actively considered in developing the draft bill and </w:t>
      </w:r>
      <w:r w:rsidR="006D73EF">
        <w:rPr>
          <w:sz w:val="22"/>
          <w:szCs w:val="22"/>
        </w:rPr>
        <w:t>final</w:t>
      </w:r>
      <w:r w:rsidR="006D73EF" w:rsidRPr="009F6FD0">
        <w:rPr>
          <w:sz w:val="22"/>
          <w:szCs w:val="22"/>
        </w:rPr>
        <w:t xml:space="preserve"> </w:t>
      </w:r>
      <w:r w:rsidR="0010498A" w:rsidRPr="009F6FD0">
        <w:rPr>
          <w:sz w:val="22"/>
          <w:szCs w:val="22"/>
        </w:rPr>
        <w:t xml:space="preserve">policy </w:t>
      </w:r>
      <w:r w:rsidR="00077208" w:rsidRPr="009F6FD0">
        <w:rPr>
          <w:sz w:val="22"/>
          <w:szCs w:val="22"/>
        </w:rPr>
        <w:t>positions</w:t>
      </w:r>
      <w:r w:rsidR="005E6EB6" w:rsidRPr="009F6FD0">
        <w:rPr>
          <w:sz w:val="22"/>
          <w:szCs w:val="22"/>
        </w:rPr>
        <w:t>, as outlined below</w:t>
      </w:r>
      <w:r w:rsidR="00AD4DF5" w:rsidRPr="009F6FD0">
        <w:rPr>
          <w:sz w:val="22"/>
          <w:szCs w:val="22"/>
        </w:rPr>
        <w:t>.</w:t>
      </w:r>
      <w:r w:rsidR="00C41BD3" w:rsidRPr="009F6FD0">
        <w:rPr>
          <w:sz w:val="22"/>
          <w:szCs w:val="22"/>
        </w:rPr>
        <w:t xml:space="preserve"> Please also </w:t>
      </w:r>
      <w:r w:rsidR="00C41BD3" w:rsidRPr="004C704F">
        <w:rPr>
          <w:sz w:val="22"/>
          <w:szCs w:val="22"/>
        </w:rPr>
        <w:t xml:space="preserve">refer to </w:t>
      </w:r>
      <w:r w:rsidR="00A846AD" w:rsidRPr="00F371C6">
        <w:rPr>
          <w:sz w:val="22"/>
          <w:szCs w:val="22"/>
        </w:rPr>
        <w:fldChar w:fldCharType="begin"/>
      </w:r>
      <w:r w:rsidR="00A846AD" w:rsidRPr="001B1972">
        <w:rPr>
          <w:sz w:val="22"/>
          <w:szCs w:val="22"/>
        </w:rPr>
        <w:instrText xml:space="preserve"> REF _Ref132107397 \h </w:instrText>
      </w:r>
      <w:r w:rsidR="00A846AD">
        <w:rPr>
          <w:sz w:val="22"/>
          <w:szCs w:val="22"/>
        </w:rPr>
        <w:instrText xml:space="preserve"> \* MERGEFORMAT </w:instrText>
      </w:r>
      <w:r w:rsidR="00A846AD" w:rsidRPr="00F371C6">
        <w:rPr>
          <w:sz w:val="22"/>
          <w:szCs w:val="22"/>
        </w:rPr>
      </w:r>
      <w:r w:rsidR="00A846AD" w:rsidRPr="00F371C6">
        <w:rPr>
          <w:sz w:val="22"/>
          <w:szCs w:val="22"/>
        </w:rPr>
        <w:fldChar w:fldCharType="separate"/>
      </w:r>
      <w:r w:rsidR="00A846AD" w:rsidRPr="001B1972">
        <w:rPr>
          <w:sz w:val="22"/>
          <w:szCs w:val="22"/>
        </w:rPr>
        <w:t xml:space="preserve">Table </w:t>
      </w:r>
      <w:r w:rsidR="00A846AD" w:rsidRPr="001B1972">
        <w:rPr>
          <w:noProof/>
          <w:sz w:val="22"/>
          <w:szCs w:val="22"/>
        </w:rPr>
        <w:t>4</w:t>
      </w:r>
      <w:r w:rsidR="00A846AD" w:rsidRPr="00F371C6">
        <w:rPr>
          <w:sz w:val="22"/>
          <w:szCs w:val="22"/>
        </w:rPr>
        <w:fldChar w:fldCharType="end"/>
      </w:r>
      <w:r w:rsidR="00C41BD3" w:rsidRPr="004C704F">
        <w:rPr>
          <w:sz w:val="22"/>
          <w:szCs w:val="22"/>
        </w:rPr>
        <w:t xml:space="preserve"> which</w:t>
      </w:r>
      <w:r w:rsidR="00C41BD3" w:rsidRPr="009F6FD0">
        <w:rPr>
          <w:sz w:val="22"/>
          <w:szCs w:val="22"/>
        </w:rPr>
        <w:t xml:space="preserve"> steps out policy settings for Options 1 and 2 (as proposed in the consultation paper) as well the evolution of Option 3 based on stakeholder feedback.</w:t>
      </w:r>
    </w:p>
    <w:p w14:paraId="286704B3" w14:textId="77777777" w:rsidR="005E6EB6" w:rsidRPr="009F6FD0" w:rsidRDefault="005E6EB6" w:rsidP="00DA1B55">
      <w:pPr>
        <w:pStyle w:val="BodyText"/>
        <w:numPr>
          <w:ilvl w:val="0"/>
          <w:numId w:val="71"/>
        </w:numPr>
        <w:rPr>
          <w:sz w:val="22"/>
          <w:szCs w:val="22"/>
        </w:rPr>
      </w:pPr>
      <w:r w:rsidRPr="009F6FD0">
        <w:rPr>
          <w:sz w:val="22"/>
          <w:szCs w:val="22"/>
        </w:rPr>
        <w:t>Safeguard facilities will deliver a proportional share of the national target.</w:t>
      </w:r>
    </w:p>
    <w:p w14:paraId="132C1688" w14:textId="77777777" w:rsidR="005E6EB6" w:rsidRPr="009F6FD0" w:rsidRDefault="005E6EB6" w:rsidP="00DA1B55">
      <w:pPr>
        <w:pStyle w:val="BodyText"/>
        <w:numPr>
          <w:ilvl w:val="0"/>
          <w:numId w:val="71"/>
        </w:numPr>
        <w:rPr>
          <w:sz w:val="22"/>
          <w:szCs w:val="22"/>
        </w:rPr>
      </w:pPr>
      <w:r w:rsidRPr="009F6FD0">
        <w:rPr>
          <w:sz w:val="22"/>
          <w:szCs w:val="22"/>
        </w:rPr>
        <w:t>The existing production-adjusted (intensity) baseline framework will be retained to decouple economic and emissions growth. It will also protect against carbon leakage overseas by ensuring baselines cannot be met by reducing production.</w:t>
      </w:r>
    </w:p>
    <w:p w14:paraId="1D69082B" w14:textId="77777777" w:rsidR="00AA2664" w:rsidRPr="009F6FD0" w:rsidRDefault="005E6EB6" w:rsidP="00DA1B55">
      <w:pPr>
        <w:pStyle w:val="BodyText"/>
        <w:numPr>
          <w:ilvl w:val="0"/>
          <w:numId w:val="71"/>
        </w:numPr>
        <w:rPr>
          <w:sz w:val="22"/>
          <w:szCs w:val="22"/>
        </w:rPr>
      </w:pPr>
      <w:r w:rsidRPr="009F6FD0">
        <w:rPr>
          <w:sz w:val="22"/>
          <w:szCs w:val="22"/>
        </w:rPr>
        <w:t>A</w:t>
      </w:r>
      <w:r w:rsidR="00AA2664" w:rsidRPr="009F6FD0">
        <w:rPr>
          <w:sz w:val="22"/>
          <w:szCs w:val="22"/>
        </w:rPr>
        <w:t xml:space="preserve"> hybrid approach to setting baselines </w:t>
      </w:r>
      <w:r w:rsidRPr="009F6FD0">
        <w:rPr>
          <w:sz w:val="22"/>
          <w:szCs w:val="22"/>
        </w:rPr>
        <w:t xml:space="preserve">was </w:t>
      </w:r>
      <w:r w:rsidR="004E67BE" w:rsidRPr="009F6FD0">
        <w:rPr>
          <w:sz w:val="22"/>
          <w:szCs w:val="22"/>
        </w:rPr>
        <w:t>balances</w:t>
      </w:r>
      <w:r w:rsidRPr="009F6FD0">
        <w:rPr>
          <w:sz w:val="22"/>
          <w:szCs w:val="22"/>
        </w:rPr>
        <w:t xml:space="preserve"> the </w:t>
      </w:r>
      <w:r w:rsidR="004E67BE" w:rsidRPr="009F6FD0">
        <w:rPr>
          <w:sz w:val="22"/>
          <w:szCs w:val="22"/>
        </w:rPr>
        <w:t>long-term goal of Option 1 of incentivising low-emissions production, while minimising cost impacts on higher emissions-intensive producers</w:t>
      </w:r>
      <w:r w:rsidRPr="009F6FD0">
        <w:rPr>
          <w:sz w:val="22"/>
          <w:szCs w:val="22"/>
        </w:rPr>
        <w:t>. This approach would see baselines to be weighted towards site-specific, before transitioning to industry average benchmarks by 2030.</w:t>
      </w:r>
    </w:p>
    <w:p w14:paraId="616B2C44" w14:textId="77777777" w:rsidR="005E6EB6" w:rsidRPr="009F6FD0" w:rsidRDefault="006929A3" w:rsidP="00DA1B55">
      <w:pPr>
        <w:pStyle w:val="BodyText"/>
        <w:numPr>
          <w:ilvl w:val="0"/>
          <w:numId w:val="71"/>
        </w:numPr>
        <w:rPr>
          <w:sz w:val="22"/>
          <w:szCs w:val="22"/>
        </w:rPr>
      </w:pPr>
      <w:r w:rsidRPr="009F6FD0">
        <w:rPr>
          <w:sz w:val="22"/>
          <w:szCs w:val="22"/>
        </w:rPr>
        <w:t>New facilities will have baselines set at international best practice, recognising their opportunity to use the latest technology and build this into their design.</w:t>
      </w:r>
    </w:p>
    <w:p w14:paraId="678E13F4" w14:textId="77777777" w:rsidR="006929A3" w:rsidRPr="009F6FD0" w:rsidRDefault="006929A3" w:rsidP="00DA1B55">
      <w:pPr>
        <w:pStyle w:val="BodyText"/>
        <w:numPr>
          <w:ilvl w:val="0"/>
          <w:numId w:val="71"/>
        </w:numPr>
        <w:rPr>
          <w:sz w:val="22"/>
          <w:szCs w:val="22"/>
        </w:rPr>
      </w:pPr>
      <w:r w:rsidRPr="009F6FD0">
        <w:rPr>
          <w:sz w:val="22"/>
          <w:szCs w:val="22"/>
        </w:rPr>
        <w:t xml:space="preserve">Safeguard Mechanism Credits </w:t>
      </w:r>
      <w:r w:rsidR="002A2CCE">
        <w:rPr>
          <w:sz w:val="22"/>
          <w:szCs w:val="22"/>
        </w:rPr>
        <w:t xml:space="preserve">(SMC) </w:t>
      </w:r>
      <w:r w:rsidRPr="009F6FD0">
        <w:rPr>
          <w:sz w:val="22"/>
          <w:szCs w:val="22"/>
        </w:rPr>
        <w:t>will be available from 1 July 2023 to encourage reduction of baselines. Trading of credits to facilities with emissions above their baseline will be allowed.</w:t>
      </w:r>
    </w:p>
    <w:p w14:paraId="50A05D05" w14:textId="77777777" w:rsidR="0010498A" w:rsidRPr="009F6FD0" w:rsidRDefault="0010498A" w:rsidP="00DA1B55">
      <w:pPr>
        <w:pStyle w:val="BodyText"/>
        <w:numPr>
          <w:ilvl w:val="0"/>
          <w:numId w:val="71"/>
        </w:numPr>
        <w:rPr>
          <w:sz w:val="22"/>
          <w:szCs w:val="22"/>
        </w:rPr>
      </w:pPr>
      <w:r w:rsidRPr="009F6FD0">
        <w:rPr>
          <w:sz w:val="22"/>
          <w:szCs w:val="22"/>
        </w:rPr>
        <w:t xml:space="preserve">Banking and borrowing arrangement will be allowed to provide flexibility around the timing of abatement activities. Full banking will be allowed to 2030 and borrowing up to 10 per cent each year. A </w:t>
      </w:r>
      <w:r w:rsidR="00335E27">
        <w:rPr>
          <w:sz w:val="22"/>
          <w:szCs w:val="22"/>
        </w:rPr>
        <w:t>two</w:t>
      </w:r>
      <w:r w:rsidRPr="009F6FD0">
        <w:rPr>
          <w:sz w:val="22"/>
          <w:szCs w:val="22"/>
        </w:rPr>
        <w:t xml:space="preserve"> per cent interest rate will be applied to borrowing </w:t>
      </w:r>
      <w:r w:rsidR="00335E27">
        <w:rPr>
          <w:sz w:val="22"/>
          <w:szCs w:val="22"/>
        </w:rPr>
        <w:t xml:space="preserve">in the first two years, changing to a </w:t>
      </w:r>
      <w:r w:rsidRPr="009F6FD0">
        <w:rPr>
          <w:sz w:val="22"/>
          <w:szCs w:val="22"/>
        </w:rPr>
        <w:t xml:space="preserve">10 per cent interest rate </w:t>
      </w:r>
      <w:r w:rsidR="00335E27">
        <w:rPr>
          <w:sz w:val="22"/>
          <w:szCs w:val="22"/>
        </w:rPr>
        <w:t xml:space="preserve">thereafter </w:t>
      </w:r>
      <w:r w:rsidRPr="009F6FD0">
        <w:rPr>
          <w:sz w:val="22"/>
          <w:szCs w:val="22"/>
        </w:rPr>
        <w:t>to prevent it being used unless genuinely needed.</w:t>
      </w:r>
    </w:p>
    <w:p w14:paraId="331D5971" w14:textId="77777777" w:rsidR="006929A3" w:rsidRPr="009F6FD0" w:rsidRDefault="006929A3" w:rsidP="00DA1B55">
      <w:pPr>
        <w:pStyle w:val="BodyText"/>
        <w:numPr>
          <w:ilvl w:val="0"/>
          <w:numId w:val="71"/>
        </w:numPr>
        <w:rPr>
          <w:sz w:val="22"/>
          <w:szCs w:val="22"/>
        </w:rPr>
      </w:pPr>
      <w:r w:rsidRPr="009F6FD0">
        <w:rPr>
          <w:sz w:val="22"/>
          <w:szCs w:val="22"/>
        </w:rPr>
        <w:t>Facilities will be unable to register new ERF projects to reduce covered emissions. However, they can still register projects which do not relate to covered emissions, such as land sector projects and projects that reduce electricity use.</w:t>
      </w:r>
    </w:p>
    <w:p w14:paraId="07FD089D" w14:textId="77777777" w:rsidR="006929A3" w:rsidRPr="009F6FD0" w:rsidRDefault="0010498A" w:rsidP="00DA1B55">
      <w:pPr>
        <w:pStyle w:val="BodyText"/>
        <w:numPr>
          <w:ilvl w:val="0"/>
          <w:numId w:val="71"/>
        </w:numPr>
        <w:rPr>
          <w:sz w:val="22"/>
          <w:szCs w:val="22"/>
        </w:rPr>
      </w:pPr>
      <w:r w:rsidRPr="009F6FD0">
        <w:rPr>
          <w:sz w:val="22"/>
          <w:szCs w:val="22"/>
        </w:rPr>
        <w:t>Existing ERF projects that are already registered will be allowed to continue to generate and sell credits, but will not be able to enter into new contracts or extend their crediting period. ‘Double counting’ provisions will be retained to prevent the abatement being counted twice.</w:t>
      </w:r>
    </w:p>
    <w:p w14:paraId="11402A3B" w14:textId="77777777" w:rsidR="0010498A" w:rsidRPr="009F6FD0" w:rsidRDefault="0010498A" w:rsidP="00DA1B55">
      <w:pPr>
        <w:pStyle w:val="BodyText"/>
        <w:numPr>
          <w:ilvl w:val="0"/>
          <w:numId w:val="71"/>
        </w:numPr>
        <w:rPr>
          <w:sz w:val="22"/>
          <w:szCs w:val="22"/>
        </w:rPr>
      </w:pPr>
      <w:r w:rsidRPr="009F6FD0">
        <w:rPr>
          <w:sz w:val="22"/>
          <w:szCs w:val="22"/>
        </w:rPr>
        <w:t>Existing ERF contracts will remain in place, with ‘deemed surrender’ provisions to be grandfathered for two years. This will allow existing contracts to be able to continue to sell the abatement to the Government for the contract duration, but only count the abatement towards their baseline for the first two years.</w:t>
      </w:r>
    </w:p>
    <w:p w14:paraId="65A0DFF0" w14:textId="77777777" w:rsidR="0010498A" w:rsidRPr="009F6FD0" w:rsidRDefault="0010498A" w:rsidP="00DA1B55">
      <w:pPr>
        <w:pStyle w:val="BodyText"/>
        <w:numPr>
          <w:ilvl w:val="0"/>
          <w:numId w:val="71"/>
        </w:numPr>
        <w:rPr>
          <w:sz w:val="22"/>
          <w:szCs w:val="22"/>
        </w:rPr>
      </w:pPr>
      <w:r w:rsidRPr="009F6FD0">
        <w:rPr>
          <w:sz w:val="22"/>
          <w:szCs w:val="22"/>
        </w:rPr>
        <w:t>Multi-year monitoring periods will only be made available, on a facility-by-facility bases by application, to allow baseline trajectories to match available and emerging technologies.</w:t>
      </w:r>
    </w:p>
    <w:p w14:paraId="67BBF777" w14:textId="77777777" w:rsidR="00622A23" w:rsidRPr="009F6FD0" w:rsidRDefault="00622A23" w:rsidP="00DA1B55">
      <w:pPr>
        <w:pStyle w:val="BodyText"/>
        <w:numPr>
          <w:ilvl w:val="0"/>
          <w:numId w:val="71"/>
        </w:numPr>
        <w:rPr>
          <w:sz w:val="22"/>
          <w:szCs w:val="22"/>
        </w:rPr>
      </w:pPr>
      <w:r w:rsidRPr="009F6FD0">
        <w:rPr>
          <w:sz w:val="22"/>
          <w:szCs w:val="22"/>
        </w:rPr>
        <w:lastRenderedPageBreak/>
        <w:t xml:space="preserve">Concerns about price risks in the </w:t>
      </w:r>
      <w:proofErr w:type="spellStart"/>
      <w:r w:rsidRPr="009F6FD0">
        <w:rPr>
          <w:sz w:val="22"/>
          <w:szCs w:val="22"/>
        </w:rPr>
        <w:t>ACCU</w:t>
      </w:r>
      <w:proofErr w:type="spellEnd"/>
      <w:r w:rsidRPr="009F6FD0">
        <w:rPr>
          <w:sz w:val="22"/>
          <w:szCs w:val="22"/>
        </w:rPr>
        <w:t xml:space="preserve"> market revealed during consultation, will see the introduction of a </w:t>
      </w:r>
      <w:r w:rsidR="0048094A">
        <w:rPr>
          <w:sz w:val="22"/>
          <w:szCs w:val="22"/>
        </w:rPr>
        <w:t>cost</w:t>
      </w:r>
      <w:r w:rsidR="0048094A" w:rsidRPr="009F6FD0">
        <w:rPr>
          <w:sz w:val="22"/>
          <w:szCs w:val="22"/>
        </w:rPr>
        <w:t xml:space="preserve"> </w:t>
      </w:r>
      <w:r w:rsidRPr="009F6FD0">
        <w:rPr>
          <w:sz w:val="22"/>
          <w:szCs w:val="22"/>
        </w:rPr>
        <w:t xml:space="preserve">containment measure to provide certainty about maximum compliance costs. </w:t>
      </w:r>
    </w:p>
    <w:p w14:paraId="3111850B" w14:textId="77777777" w:rsidR="00077208" w:rsidRPr="009F6FD0" w:rsidRDefault="00077208" w:rsidP="00DA1B55">
      <w:pPr>
        <w:pStyle w:val="BodyText"/>
        <w:numPr>
          <w:ilvl w:val="0"/>
          <w:numId w:val="71"/>
        </w:numPr>
        <w:rPr>
          <w:sz w:val="22"/>
          <w:szCs w:val="22"/>
        </w:rPr>
      </w:pPr>
      <w:r w:rsidRPr="009F6FD0">
        <w:rPr>
          <w:sz w:val="22"/>
          <w:szCs w:val="22"/>
        </w:rPr>
        <w:t xml:space="preserve">Treatment of </w:t>
      </w:r>
      <w:proofErr w:type="spellStart"/>
      <w:r w:rsidRPr="009F6FD0">
        <w:rPr>
          <w:sz w:val="22"/>
          <w:szCs w:val="22"/>
        </w:rPr>
        <w:t>EITEs</w:t>
      </w:r>
      <w:proofErr w:type="spellEnd"/>
      <w:r w:rsidRPr="009F6FD0">
        <w:rPr>
          <w:sz w:val="22"/>
          <w:szCs w:val="22"/>
        </w:rPr>
        <w:t xml:space="preserve"> will be based on the principle of comparative risk, to ensure that businesses are not competitively disadvantaged and that emissions do not ‘leak’ overseas. Assistance will be provided for all trade-exposed facilities, using a sector-based assessment, in addition to all </w:t>
      </w:r>
      <w:r w:rsidR="0047068D">
        <w:rPr>
          <w:rFonts w:cstheme="minorHAnsi"/>
          <w:sz w:val="22"/>
          <w:szCs w:val="22"/>
        </w:rPr>
        <w:t>trade-exposed baseline-adjusted</w:t>
      </w:r>
      <w:r w:rsidR="000C14E9" w:rsidRPr="009F6FD0">
        <w:rPr>
          <w:sz w:val="22"/>
          <w:szCs w:val="22"/>
        </w:rPr>
        <w:t xml:space="preserve"> </w:t>
      </w:r>
      <w:r w:rsidR="000C14E9">
        <w:rPr>
          <w:sz w:val="22"/>
          <w:szCs w:val="22"/>
        </w:rPr>
        <w:t>facilitie</w:t>
      </w:r>
      <w:r w:rsidRPr="009F6FD0">
        <w:rPr>
          <w:sz w:val="22"/>
          <w:szCs w:val="22"/>
        </w:rPr>
        <w:t xml:space="preserve">s which have a concentrated risk of carbon leakage, based on a facility-specific assessment. </w:t>
      </w:r>
    </w:p>
    <w:p w14:paraId="0829D7A8" w14:textId="77777777" w:rsidR="00077208" w:rsidRPr="009F6FD0" w:rsidRDefault="00077208" w:rsidP="00DA1B55">
      <w:pPr>
        <w:pStyle w:val="BodyText"/>
        <w:numPr>
          <w:ilvl w:val="0"/>
          <w:numId w:val="71"/>
        </w:numPr>
        <w:rPr>
          <w:sz w:val="22"/>
          <w:szCs w:val="22"/>
        </w:rPr>
      </w:pPr>
      <w:r w:rsidRPr="009F6FD0">
        <w:rPr>
          <w:sz w:val="22"/>
          <w:szCs w:val="22"/>
        </w:rPr>
        <w:t xml:space="preserve">Facilities </w:t>
      </w:r>
      <w:r w:rsidRPr="000C14E9">
        <w:rPr>
          <w:sz w:val="22"/>
          <w:szCs w:val="22"/>
        </w:rPr>
        <w:t xml:space="preserve">assessed to be </w:t>
      </w:r>
      <w:r w:rsidR="0047068D">
        <w:rPr>
          <w:rFonts w:cstheme="minorHAnsi"/>
          <w:sz w:val="22"/>
          <w:szCs w:val="22"/>
        </w:rPr>
        <w:t>trade-exposed baseline-adjusted</w:t>
      </w:r>
      <w:r w:rsidR="000C14E9" w:rsidRPr="000C14E9">
        <w:rPr>
          <w:sz w:val="22"/>
          <w:szCs w:val="22"/>
        </w:rPr>
        <w:t xml:space="preserve"> facilitie</w:t>
      </w:r>
      <w:r w:rsidRPr="000C14E9">
        <w:rPr>
          <w:sz w:val="22"/>
          <w:szCs w:val="22"/>
        </w:rPr>
        <w:t>s</w:t>
      </w:r>
      <w:r w:rsidRPr="009F6FD0">
        <w:rPr>
          <w:sz w:val="22"/>
          <w:szCs w:val="22"/>
        </w:rPr>
        <w:t xml:space="preserve"> will be able to apply for lower baseline decline rates, which reflect the specific impacts faced and will be locked in for 3 years.</w:t>
      </w:r>
    </w:p>
    <w:p w14:paraId="484307A5" w14:textId="3E5AF80E" w:rsidR="00077208" w:rsidRDefault="00077208" w:rsidP="00DA1B55">
      <w:pPr>
        <w:pStyle w:val="BodyText"/>
        <w:numPr>
          <w:ilvl w:val="0"/>
          <w:numId w:val="71"/>
        </w:numPr>
        <w:rPr>
          <w:sz w:val="22"/>
          <w:szCs w:val="22"/>
        </w:rPr>
      </w:pPr>
      <w:r w:rsidRPr="009F6FD0">
        <w:rPr>
          <w:sz w:val="22"/>
          <w:szCs w:val="22"/>
        </w:rPr>
        <w:t xml:space="preserve">Funding </w:t>
      </w:r>
      <w:r w:rsidR="0048094A">
        <w:rPr>
          <w:sz w:val="22"/>
          <w:szCs w:val="22"/>
        </w:rPr>
        <w:t xml:space="preserve">of $600 million </w:t>
      </w:r>
      <w:r w:rsidRPr="009F6FD0">
        <w:rPr>
          <w:sz w:val="22"/>
          <w:szCs w:val="22"/>
        </w:rPr>
        <w:t xml:space="preserve">will be made available through the Powering the Regions Fund </w:t>
      </w:r>
      <w:r w:rsidR="004353B6">
        <w:rPr>
          <w:sz w:val="22"/>
          <w:szCs w:val="22"/>
        </w:rPr>
        <w:t>(</w:t>
      </w:r>
      <w:proofErr w:type="spellStart"/>
      <w:r w:rsidR="004353B6">
        <w:rPr>
          <w:sz w:val="22"/>
          <w:szCs w:val="22"/>
        </w:rPr>
        <w:t>PRF</w:t>
      </w:r>
      <w:proofErr w:type="spellEnd"/>
      <w:r w:rsidR="004353B6">
        <w:rPr>
          <w:sz w:val="22"/>
          <w:szCs w:val="22"/>
        </w:rPr>
        <w:t xml:space="preserve">) </w:t>
      </w:r>
      <w:r w:rsidRPr="009F6FD0">
        <w:rPr>
          <w:sz w:val="22"/>
          <w:szCs w:val="22"/>
        </w:rPr>
        <w:t xml:space="preserve">to support both categories, with preferential access </w:t>
      </w:r>
      <w:r w:rsidR="0048094A">
        <w:rPr>
          <w:sz w:val="22"/>
          <w:szCs w:val="22"/>
        </w:rPr>
        <w:t>for Safeguard facilities to other funding through the</w:t>
      </w:r>
      <w:r w:rsidR="004353B6">
        <w:rPr>
          <w:sz w:val="22"/>
          <w:szCs w:val="22"/>
        </w:rPr>
        <w:t xml:space="preserve"> PRF</w:t>
      </w:r>
      <w:r w:rsidRPr="009F6FD0">
        <w:rPr>
          <w:sz w:val="22"/>
          <w:szCs w:val="22"/>
        </w:rPr>
        <w:t>.</w:t>
      </w:r>
    </w:p>
    <w:p w14:paraId="42EB1976" w14:textId="38CE8935" w:rsidR="00BE6F58" w:rsidRPr="009F6FD0" w:rsidRDefault="00BE6F58" w:rsidP="00BE6F58">
      <w:pPr>
        <w:pStyle w:val="BodyText"/>
        <w:numPr>
          <w:ilvl w:val="0"/>
          <w:numId w:val="71"/>
        </w:numPr>
        <w:rPr>
          <w:sz w:val="22"/>
          <w:szCs w:val="22"/>
        </w:rPr>
      </w:pPr>
      <w:r w:rsidRPr="00BE6F58">
        <w:rPr>
          <w:sz w:val="22"/>
          <w:szCs w:val="22"/>
        </w:rPr>
        <w:t xml:space="preserve">An additional $400 million stream of the </w:t>
      </w:r>
      <w:proofErr w:type="spellStart"/>
      <w:r w:rsidRPr="00BE6F58">
        <w:rPr>
          <w:sz w:val="22"/>
          <w:szCs w:val="22"/>
        </w:rPr>
        <w:t>PRF</w:t>
      </w:r>
      <w:proofErr w:type="spellEnd"/>
      <w:r w:rsidRPr="00BE6F58">
        <w:rPr>
          <w:sz w:val="22"/>
          <w:szCs w:val="22"/>
        </w:rPr>
        <w:t xml:space="preserve"> will be set aside to support the sovereign manufacturing capability of critical inputs to the energy transition</w:t>
      </w:r>
      <w:r>
        <w:rPr>
          <w:sz w:val="22"/>
          <w:szCs w:val="22"/>
        </w:rPr>
        <w:t>.</w:t>
      </w:r>
    </w:p>
    <w:p w14:paraId="4E8926F2" w14:textId="77777777" w:rsidR="00077208" w:rsidRPr="009F6FD0" w:rsidRDefault="00077208" w:rsidP="00DA1B55">
      <w:pPr>
        <w:pStyle w:val="BodyText"/>
        <w:numPr>
          <w:ilvl w:val="0"/>
          <w:numId w:val="71"/>
        </w:numPr>
        <w:rPr>
          <w:sz w:val="22"/>
          <w:szCs w:val="22"/>
        </w:rPr>
      </w:pPr>
      <w:r w:rsidRPr="009F6FD0">
        <w:rPr>
          <w:sz w:val="22"/>
          <w:szCs w:val="22"/>
        </w:rPr>
        <w:t xml:space="preserve">Stakeholders expressed a preference for a carbon border adjustment mechanism to manage trade competitiveness. The Government will </w:t>
      </w:r>
      <w:r w:rsidR="00C67C9E">
        <w:rPr>
          <w:sz w:val="22"/>
          <w:szCs w:val="22"/>
        </w:rPr>
        <w:t>undertake a formal review</w:t>
      </w:r>
      <w:r w:rsidRPr="009F6FD0">
        <w:rPr>
          <w:sz w:val="22"/>
          <w:szCs w:val="22"/>
        </w:rPr>
        <w:t xml:space="preserve"> of such an approach, in response to this feedback. </w:t>
      </w:r>
    </w:p>
    <w:p w14:paraId="7EA8023A" w14:textId="77777777" w:rsidR="00077208" w:rsidRPr="009F6FD0" w:rsidRDefault="00077208" w:rsidP="00DA1B55">
      <w:pPr>
        <w:pStyle w:val="BodyText"/>
        <w:numPr>
          <w:ilvl w:val="0"/>
          <w:numId w:val="71"/>
        </w:numPr>
        <w:rPr>
          <w:sz w:val="22"/>
          <w:szCs w:val="22"/>
        </w:rPr>
      </w:pPr>
      <w:r w:rsidRPr="009F6FD0">
        <w:rPr>
          <w:sz w:val="22"/>
          <w:szCs w:val="22"/>
        </w:rPr>
        <w:t xml:space="preserve">Baselines will decline in a predictable and gradual way from 1 July 2023, at 4.9 per cent each year to 2030. This will apply to both new and existing facilities, unless a differential </w:t>
      </w:r>
      <w:proofErr w:type="spellStart"/>
      <w:r w:rsidRPr="009F6FD0">
        <w:rPr>
          <w:sz w:val="22"/>
          <w:szCs w:val="22"/>
        </w:rPr>
        <w:t>EITE</w:t>
      </w:r>
      <w:proofErr w:type="spellEnd"/>
      <w:r w:rsidRPr="009F6FD0">
        <w:rPr>
          <w:sz w:val="22"/>
          <w:szCs w:val="22"/>
        </w:rPr>
        <w:t xml:space="preserve"> rate has been approved. </w:t>
      </w:r>
    </w:p>
    <w:p w14:paraId="0E6A75FE" w14:textId="77777777" w:rsidR="00077208" w:rsidRPr="009F6FD0" w:rsidRDefault="00077208" w:rsidP="00DA1B55">
      <w:pPr>
        <w:pStyle w:val="BodyText"/>
        <w:numPr>
          <w:ilvl w:val="0"/>
          <w:numId w:val="71"/>
        </w:numPr>
        <w:rPr>
          <w:sz w:val="22"/>
          <w:szCs w:val="22"/>
        </w:rPr>
      </w:pPr>
      <w:r w:rsidRPr="009F6FD0">
        <w:rPr>
          <w:sz w:val="22"/>
          <w:szCs w:val="22"/>
        </w:rPr>
        <w:t>Post-2030 decline rates will be set in 5 year blocks, after updates to Australia’s Nationally Determined Contribution.</w:t>
      </w:r>
    </w:p>
    <w:p w14:paraId="253D3BC2" w14:textId="77777777" w:rsidR="0010498A" w:rsidRPr="009F6FD0" w:rsidRDefault="0010498A" w:rsidP="00DA1B55">
      <w:pPr>
        <w:pStyle w:val="BodyText"/>
        <w:numPr>
          <w:ilvl w:val="0"/>
          <w:numId w:val="71"/>
        </w:numPr>
        <w:rPr>
          <w:sz w:val="22"/>
          <w:szCs w:val="22"/>
        </w:rPr>
      </w:pPr>
      <w:r w:rsidRPr="009F6FD0">
        <w:rPr>
          <w:sz w:val="22"/>
          <w:szCs w:val="22"/>
        </w:rPr>
        <w:t xml:space="preserve">A review of the </w:t>
      </w:r>
      <w:r w:rsidR="005869CF" w:rsidRPr="009F6FD0">
        <w:rPr>
          <w:sz w:val="22"/>
          <w:szCs w:val="22"/>
        </w:rPr>
        <w:t xml:space="preserve">policy settings </w:t>
      </w:r>
      <w:r w:rsidRPr="009F6FD0">
        <w:rPr>
          <w:sz w:val="22"/>
          <w:szCs w:val="22"/>
        </w:rPr>
        <w:t xml:space="preserve">will be conducted in </w:t>
      </w:r>
      <w:r w:rsidR="003326DF">
        <w:rPr>
          <w:sz w:val="22"/>
          <w:szCs w:val="22"/>
        </w:rPr>
        <w:t>2026-27</w:t>
      </w:r>
      <w:r w:rsidRPr="009F6FD0">
        <w:rPr>
          <w:sz w:val="22"/>
          <w:szCs w:val="22"/>
        </w:rPr>
        <w:t xml:space="preserve"> to </w:t>
      </w:r>
      <w:r w:rsidR="005869CF" w:rsidRPr="009F6FD0">
        <w:rPr>
          <w:sz w:val="22"/>
          <w:szCs w:val="22"/>
        </w:rPr>
        <w:t>ensure they are appropriately calibrated</w:t>
      </w:r>
      <w:r w:rsidRPr="009F6FD0">
        <w:rPr>
          <w:sz w:val="22"/>
          <w:szCs w:val="22"/>
        </w:rPr>
        <w:t xml:space="preserve">. </w:t>
      </w:r>
    </w:p>
    <w:p w14:paraId="392A5AF1" w14:textId="77777777" w:rsidR="00291A6B" w:rsidRDefault="00291A6B" w:rsidP="00025D95">
      <w:pPr>
        <w:pStyle w:val="Heading3"/>
      </w:pPr>
      <w:bookmarkStart w:id="251" w:name="_Toc118750381"/>
      <w:bookmarkStart w:id="252" w:name="_Toc118754657"/>
      <w:bookmarkStart w:id="253" w:name="_Toc118813948"/>
      <w:bookmarkStart w:id="254" w:name="_Toc119327158"/>
      <w:bookmarkStart w:id="255" w:name="_Toc119360662"/>
      <w:bookmarkStart w:id="256" w:name="_Toc132807560"/>
      <w:r>
        <w:t>Draft Bill consultation</w:t>
      </w:r>
      <w:bookmarkEnd w:id="251"/>
      <w:bookmarkEnd w:id="252"/>
      <w:bookmarkEnd w:id="253"/>
      <w:bookmarkEnd w:id="254"/>
      <w:bookmarkEnd w:id="255"/>
      <w:bookmarkEnd w:id="256"/>
    </w:p>
    <w:p w14:paraId="28EFA4BF" w14:textId="77777777" w:rsidR="009C67EE" w:rsidRPr="009F6FD0" w:rsidRDefault="00647240" w:rsidP="00B0437A">
      <w:pPr>
        <w:pStyle w:val="BodyText"/>
        <w:rPr>
          <w:sz w:val="22"/>
          <w:szCs w:val="22"/>
        </w:rPr>
      </w:pPr>
      <w:r w:rsidRPr="009F6FD0">
        <w:rPr>
          <w:sz w:val="22"/>
          <w:szCs w:val="22"/>
        </w:rPr>
        <w:t xml:space="preserve">On 10 October 2022, exposure draft </w:t>
      </w:r>
      <w:r w:rsidR="009C67EE" w:rsidRPr="009F6FD0">
        <w:rPr>
          <w:sz w:val="22"/>
          <w:szCs w:val="22"/>
        </w:rPr>
        <w:t>legislation</w:t>
      </w:r>
      <w:r w:rsidRPr="009F6FD0">
        <w:rPr>
          <w:sz w:val="22"/>
          <w:szCs w:val="22"/>
        </w:rPr>
        <w:t xml:space="preserve"> was released for public comment.</w:t>
      </w:r>
      <w:r w:rsidR="009C67EE" w:rsidRPr="009F6FD0">
        <w:rPr>
          <w:sz w:val="22"/>
          <w:szCs w:val="22"/>
        </w:rPr>
        <w:t xml:space="preserve"> Whilst the main elements of the reformed scheme a</w:t>
      </w:r>
      <w:r w:rsidR="0095665C" w:rsidRPr="009F6FD0">
        <w:rPr>
          <w:sz w:val="22"/>
          <w:szCs w:val="22"/>
        </w:rPr>
        <w:t>re contained within subordinate</w:t>
      </w:r>
      <w:r w:rsidR="009C67EE" w:rsidRPr="009F6FD0">
        <w:rPr>
          <w:sz w:val="22"/>
          <w:szCs w:val="22"/>
        </w:rPr>
        <w:t xml:space="preserve"> legislation</w:t>
      </w:r>
      <w:r w:rsidR="005869CF" w:rsidRPr="009F6FD0">
        <w:rPr>
          <w:sz w:val="22"/>
          <w:szCs w:val="22"/>
        </w:rPr>
        <w:t xml:space="preserve"> (see Further Consultation)</w:t>
      </w:r>
      <w:r w:rsidR="009C67EE" w:rsidRPr="009F6FD0">
        <w:rPr>
          <w:sz w:val="22"/>
          <w:szCs w:val="22"/>
        </w:rPr>
        <w:t>, some changes to primary legislation were required to create the architecture for the reforms.</w:t>
      </w:r>
    </w:p>
    <w:p w14:paraId="0C8FFB06" w14:textId="77777777" w:rsidR="00291A6B" w:rsidRPr="009F6FD0" w:rsidRDefault="00647240" w:rsidP="00B0437A">
      <w:pPr>
        <w:pStyle w:val="BodyText"/>
        <w:rPr>
          <w:sz w:val="22"/>
          <w:szCs w:val="22"/>
        </w:rPr>
      </w:pPr>
      <w:r w:rsidRPr="009F6FD0">
        <w:rPr>
          <w:sz w:val="22"/>
          <w:szCs w:val="22"/>
        </w:rPr>
        <w:t xml:space="preserve">The </w:t>
      </w:r>
      <w:r w:rsidR="009C67EE" w:rsidRPr="00202E2F">
        <w:rPr>
          <w:i/>
          <w:sz w:val="22"/>
          <w:szCs w:val="22"/>
        </w:rPr>
        <w:t>Safeguard Mechanism Reforms (Crediting) Amendment Bill 2022</w:t>
      </w:r>
      <w:r w:rsidR="002C6D4B" w:rsidRPr="009F6FD0">
        <w:rPr>
          <w:sz w:val="22"/>
          <w:szCs w:val="22"/>
        </w:rPr>
        <w:t xml:space="preserve"> outlined proposed changes to allow for the creation of Safeguard Mechanism Credits. The</w:t>
      </w:r>
      <w:r w:rsidR="009C67EE" w:rsidRPr="009F6FD0">
        <w:rPr>
          <w:sz w:val="22"/>
          <w:szCs w:val="22"/>
        </w:rPr>
        <w:t xml:space="preserve"> </w:t>
      </w:r>
      <w:r w:rsidR="009C67EE" w:rsidRPr="00202E2F">
        <w:rPr>
          <w:i/>
          <w:sz w:val="22"/>
          <w:szCs w:val="22"/>
        </w:rPr>
        <w:t>Carbon Credits (Carbon Farming Initiative) Amendment (Safeguard Facility Eligibility Requirements) Rules 2022</w:t>
      </w:r>
      <w:r w:rsidR="009C67EE" w:rsidRPr="009F6FD0">
        <w:rPr>
          <w:sz w:val="22"/>
          <w:szCs w:val="22"/>
        </w:rPr>
        <w:t xml:space="preserve"> </w:t>
      </w:r>
      <w:r w:rsidR="002C6D4B" w:rsidRPr="009F6FD0">
        <w:rPr>
          <w:sz w:val="22"/>
          <w:szCs w:val="22"/>
        </w:rPr>
        <w:t xml:space="preserve">clarified the requirements for eligible offset projects relating to covered emissions at Safeguard facilities. </w:t>
      </w:r>
    </w:p>
    <w:p w14:paraId="0A9DBB2C" w14:textId="1900BBAE" w:rsidR="002C6D4B" w:rsidRPr="009F6FD0" w:rsidRDefault="002C6D4B" w:rsidP="00B0437A">
      <w:pPr>
        <w:pStyle w:val="BodyText"/>
        <w:rPr>
          <w:sz w:val="22"/>
          <w:szCs w:val="22"/>
        </w:rPr>
      </w:pPr>
      <w:r w:rsidRPr="009F6FD0">
        <w:rPr>
          <w:sz w:val="22"/>
          <w:szCs w:val="22"/>
        </w:rPr>
        <w:t>Submission</w:t>
      </w:r>
      <w:r w:rsidR="006D73EF">
        <w:rPr>
          <w:sz w:val="22"/>
          <w:szCs w:val="22"/>
        </w:rPr>
        <w:t>s</w:t>
      </w:r>
      <w:r w:rsidRPr="009F6FD0">
        <w:rPr>
          <w:sz w:val="22"/>
          <w:szCs w:val="22"/>
        </w:rPr>
        <w:t xml:space="preserve"> were open until 28 October 2022. The Department granted extensions until 1 November 2022. </w:t>
      </w:r>
      <w:r w:rsidR="00E6452D">
        <w:rPr>
          <w:sz w:val="22"/>
          <w:szCs w:val="22"/>
        </w:rPr>
        <w:br w:type="textWrapping" w:clear="all"/>
      </w:r>
      <w:r w:rsidR="009B6565">
        <w:rPr>
          <w:sz w:val="22"/>
          <w:szCs w:val="22"/>
        </w:rPr>
        <w:t xml:space="preserve">Over </w:t>
      </w:r>
      <w:r w:rsidR="00E6452D">
        <w:rPr>
          <w:sz w:val="22"/>
          <w:szCs w:val="22"/>
        </w:rPr>
        <w:t>5</w:t>
      </w:r>
      <w:r w:rsidR="009B6565">
        <w:rPr>
          <w:sz w:val="22"/>
          <w:szCs w:val="22"/>
        </w:rPr>
        <w:t>0</w:t>
      </w:r>
      <w:r w:rsidR="00E6452D">
        <w:rPr>
          <w:sz w:val="22"/>
          <w:szCs w:val="22"/>
        </w:rPr>
        <w:t xml:space="preserve"> submissions were received. </w:t>
      </w:r>
      <w:r w:rsidR="00BC5279">
        <w:rPr>
          <w:sz w:val="22"/>
          <w:szCs w:val="22"/>
        </w:rPr>
        <w:t>A</w:t>
      </w:r>
      <w:r w:rsidRPr="009F6FD0">
        <w:rPr>
          <w:sz w:val="22"/>
          <w:szCs w:val="22"/>
        </w:rPr>
        <w:t>ll non-confidential submissions were published on the Department’s website</w:t>
      </w:r>
      <w:r>
        <w:rPr>
          <w:sz w:val="22"/>
          <w:szCs w:val="22"/>
        </w:rPr>
        <w:t>.</w:t>
      </w:r>
      <w:r w:rsidRPr="009F6FD0">
        <w:rPr>
          <w:sz w:val="22"/>
          <w:szCs w:val="22"/>
        </w:rPr>
        <w:t xml:space="preserve"> </w:t>
      </w:r>
    </w:p>
    <w:p w14:paraId="60223DFB" w14:textId="61337B70" w:rsidR="00D7709D" w:rsidRDefault="005A682F" w:rsidP="00B0437A">
      <w:pPr>
        <w:pStyle w:val="BodyText"/>
        <w:rPr>
          <w:sz w:val="22"/>
          <w:szCs w:val="22"/>
        </w:rPr>
      </w:pPr>
      <w:r w:rsidRPr="009F6FD0">
        <w:rPr>
          <w:sz w:val="22"/>
          <w:szCs w:val="22"/>
        </w:rPr>
        <w:t xml:space="preserve">It was communicated in the Explanatory Document released as part of the consultation package, that additional elements would be consulted later in the year as part of </w:t>
      </w:r>
      <w:r w:rsidR="005869CF" w:rsidRPr="009F6FD0">
        <w:rPr>
          <w:sz w:val="22"/>
          <w:szCs w:val="22"/>
        </w:rPr>
        <w:t xml:space="preserve">proposed amendments to the </w:t>
      </w:r>
      <w:r w:rsidRPr="009F6FD0">
        <w:rPr>
          <w:sz w:val="22"/>
          <w:szCs w:val="22"/>
        </w:rPr>
        <w:t>Safeguard Rule</w:t>
      </w:r>
      <w:r w:rsidR="00801CC2" w:rsidRPr="009F6FD0">
        <w:rPr>
          <w:sz w:val="22"/>
          <w:szCs w:val="22"/>
        </w:rPr>
        <w:t>.</w:t>
      </w:r>
    </w:p>
    <w:p w14:paraId="1CB0AC77" w14:textId="77777777" w:rsidR="00FB1D0C" w:rsidRDefault="00FB1D0C" w:rsidP="00B0437A">
      <w:pPr>
        <w:pStyle w:val="BodyText"/>
        <w:rPr>
          <w:sz w:val="22"/>
          <w:szCs w:val="22"/>
        </w:rPr>
      </w:pPr>
      <w:r>
        <w:rPr>
          <w:sz w:val="22"/>
          <w:szCs w:val="22"/>
        </w:rPr>
        <w:t>Safeguard facilities were generally supportive of SMCs</w:t>
      </w:r>
      <w:r w:rsidR="00E6452D">
        <w:rPr>
          <w:sz w:val="22"/>
          <w:szCs w:val="22"/>
        </w:rPr>
        <w:t>.</w:t>
      </w:r>
      <w:r w:rsidR="00A94955">
        <w:rPr>
          <w:sz w:val="22"/>
          <w:szCs w:val="22"/>
        </w:rPr>
        <w:t xml:space="preserve"> </w:t>
      </w:r>
      <w:r w:rsidR="00E6452D">
        <w:rPr>
          <w:sz w:val="22"/>
          <w:szCs w:val="22"/>
        </w:rPr>
        <w:t>A</w:t>
      </w:r>
      <w:r>
        <w:rPr>
          <w:sz w:val="22"/>
          <w:szCs w:val="22"/>
        </w:rPr>
        <w:t xml:space="preserve"> consistent theme through submissions was to include further detail on how trading would operate and the scope of SMCs to ensure integrity. </w:t>
      </w:r>
    </w:p>
    <w:p w14:paraId="40D50262" w14:textId="77777777" w:rsidR="00FB1D0C" w:rsidRDefault="00A01EB7" w:rsidP="00B0437A">
      <w:pPr>
        <w:pStyle w:val="BodyText"/>
        <w:rPr>
          <w:sz w:val="22"/>
          <w:szCs w:val="22"/>
        </w:rPr>
      </w:pPr>
      <w:r>
        <w:rPr>
          <w:sz w:val="22"/>
          <w:szCs w:val="22"/>
        </w:rPr>
        <w:t xml:space="preserve">Some </w:t>
      </w:r>
      <w:r w:rsidR="000A424B" w:rsidRPr="009F6FD0">
        <w:rPr>
          <w:sz w:val="22"/>
          <w:szCs w:val="22"/>
        </w:rPr>
        <w:t xml:space="preserve">Safeguard covered facilities </w:t>
      </w:r>
      <w:r w:rsidR="00E6452D">
        <w:rPr>
          <w:sz w:val="22"/>
          <w:szCs w:val="22"/>
        </w:rPr>
        <w:t>opposed</w:t>
      </w:r>
      <w:r w:rsidR="000A424B" w:rsidRPr="009F6FD0">
        <w:rPr>
          <w:sz w:val="22"/>
          <w:szCs w:val="22"/>
        </w:rPr>
        <w:t xml:space="preserve"> changes to prevent the registration for new</w:t>
      </w:r>
      <w:r w:rsidR="00E6452D">
        <w:rPr>
          <w:sz w:val="22"/>
          <w:szCs w:val="22"/>
        </w:rPr>
        <w:t xml:space="preserve"> </w:t>
      </w:r>
      <w:proofErr w:type="spellStart"/>
      <w:r w:rsidR="00E6452D">
        <w:rPr>
          <w:sz w:val="22"/>
          <w:szCs w:val="22"/>
        </w:rPr>
        <w:t>ACCU</w:t>
      </w:r>
      <w:proofErr w:type="spellEnd"/>
      <w:r w:rsidR="000A424B" w:rsidRPr="009F6FD0">
        <w:rPr>
          <w:sz w:val="22"/>
          <w:szCs w:val="22"/>
        </w:rPr>
        <w:t xml:space="preserve"> projects</w:t>
      </w:r>
      <w:r w:rsidR="00E6452D">
        <w:rPr>
          <w:sz w:val="22"/>
          <w:szCs w:val="22"/>
        </w:rPr>
        <w:t xml:space="preserve"> and to prevent participation in future auctions</w:t>
      </w:r>
      <w:r w:rsidR="000A424B" w:rsidRPr="009F6FD0">
        <w:rPr>
          <w:sz w:val="22"/>
          <w:szCs w:val="22"/>
        </w:rPr>
        <w:t xml:space="preserve">, arguing that financial decisions may have been made previously on the </w:t>
      </w:r>
      <w:r w:rsidR="000A424B" w:rsidRPr="009F6FD0">
        <w:rPr>
          <w:sz w:val="22"/>
          <w:szCs w:val="22"/>
        </w:rPr>
        <w:lastRenderedPageBreak/>
        <w:t xml:space="preserve">assumption that an investment would generate </w:t>
      </w:r>
      <w:proofErr w:type="spellStart"/>
      <w:r w:rsidR="000A424B" w:rsidRPr="009F6FD0">
        <w:rPr>
          <w:sz w:val="22"/>
          <w:szCs w:val="22"/>
        </w:rPr>
        <w:t>ACCUs</w:t>
      </w:r>
      <w:proofErr w:type="spellEnd"/>
      <w:r w:rsidR="000A424B" w:rsidRPr="009F6FD0">
        <w:rPr>
          <w:sz w:val="22"/>
          <w:szCs w:val="22"/>
        </w:rPr>
        <w:t xml:space="preserve">. Some submissions suggested that facilities should be able to choose between generating </w:t>
      </w:r>
      <w:proofErr w:type="spellStart"/>
      <w:r w:rsidR="000A424B" w:rsidRPr="009F6FD0">
        <w:rPr>
          <w:sz w:val="22"/>
          <w:szCs w:val="22"/>
        </w:rPr>
        <w:t>ACCUs</w:t>
      </w:r>
      <w:proofErr w:type="spellEnd"/>
      <w:r w:rsidR="000A424B" w:rsidRPr="009F6FD0">
        <w:rPr>
          <w:sz w:val="22"/>
          <w:szCs w:val="22"/>
        </w:rPr>
        <w:t xml:space="preserve"> or SMCs.</w:t>
      </w:r>
      <w:r w:rsidR="005869CF" w:rsidRPr="009F6FD0">
        <w:rPr>
          <w:sz w:val="22"/>
          <w:szCs w:val="22"/>
        </w:rPr>
        <w:t xml:space="preserve"> </w:t>
      </w:r>
      <w:r w:rsidR="00E6452D">
        <w:rPr>
          <w:sz w:val="22"/>
          <w:szCs w:val="22"/>
        </w:rPr>
        <w:t>Other stakeholders support these changes.</w:t>
      </w:r>
    </w:p>
    <w:p w14:paraId="46C9496F" w14:textId="77777777" w:rsidR="00BC5279" w:rsidRDefault="00E6452D" w:rsidP="00B0437A">
      <w:pPr>
        <w:pStyle w:val="BodyText"/>
        <w:rPr>
          <w:sz w:val="22"/>
          <w:szCs w:val="22"/>
        </w:rPr>
      </w:pPr>
      <w:r>
        <w:rPr>
          <w:sz w:val="22"/>
          <w:szCs w:val="22"/>
        </w:rPr>
        <w:t>Some s</w:t>
      </w:r>
      <w:r w:rsidR="00237916">
        <w:rPr>
          <w:sz w:val="22"/>
          <w:szCs w:val="22"/>
        </w:rPr>
        <w:t xml:space="preserve">takeholders </w:t>
      </w:r>
      <w:r>
        <w:rPr>
          <w:sz w:val="22"/>
          <w:szCs w:val="22"/>
        </w:rPr>
        <w:t>proposed additional amendments through the Bill</w:t>
      </w:r>
      <w:r w:rsidR="00237916">
        <w:rPr>
          <w:sz w:val="22"/>
          <w:szCs w:val="22"/>
        </w:rPr>
        <w:t>, such as including a new object in the Act to specify the emissions reduction objective and to ensure that the Safeguard Rule is consistent with the updated object.</w:t>
      </w:r>
    </w:p>
    <w:p w14:paraId="33130D61" w14:textId="63C12C04" w:rsidR="00E6452D" w:rsidRDefault="00E6452D" w:rsidP="00B0437A">
      <w:pPr>
        <w:pStyle w:val="BodyText"/>
        <w:rPr>
          <w:sz w:val="22"/>
          <w:szCs w:val="22"/>
        </w:rPr>
      </w:pPr>
      <w:r>
        <w:rPr>
          <w:sz w:val="22"/>
          <w:szCs w:val="22"/>
        </w:rPr>
        <w:t>Some stakeholders expressed concern that the majority of the reforms would be contained within the Safeguard Rule, which is a determination made by the Minister. This is consistent with the current approach to the Safeguard Mechanism, and is a disallowable instrument.</w:t>
      </w:r>
    </w:p>
    <w:p w14:paraId="04C27178" w14:textId="500B2E95" w:rsidR="00A10271" w:rsidRDefault="00A10271" w:rsidP="00B0437A">
      <w:pPr>
        <w:pStyle w:val="BodyText"/>
        <w:rPr>
          <w:sz w:val="22"/>
          <w:szCs w:val="22"/>
        </w:rPr>
      </w:pPr>
      <w:r>
        <w:rPr>
          <w:sz w:val="22"/>
          <w:szCs w:val="22"/>
        </w:rPr>
        <w:t xml:space="preserve">The </w:t>
      </w:r>
      <w:r>
        <w:rPr>
          <w:i/>
          <w:sz w:val="22"/>
          <w:szCs w:val="22"/>
        </w:rPr>
        <w:t>Safeguard Mechanism (Crediting) Amendment Bill 2022</w:t>
      </w:r>
      <w:r>
        <w:rPr>
          <w:sz w:val="22"/>
          <w:szCs w:val="22"/>
        </w:rPr>
        <w:t xml:space="preserve"> was introduced to Parliament on 30 November 2022. It was referred to the Senate Environment and Communications Legislation Committee on 1 December 2022. The Committee received submissions and held public hearings, with a report tabled on 6 March 2023.</w:t>
      </w:r>
    </w:p>
    <w:p w14:paraId="5806FD71" w14:textId="5AA74E05" w:rsidR="00A10271" w:rsidRPr="00A10271" w:rsidRDefault="00A10271" w:rsidP="00B0437A">
      <w:pPr>
        <w:pStyle w:val="BodyText"/>
        <w:rPr>
          <w:sz w:val="22"/>
          <w:szCs w:val="22"/>
        </w:rPr>
      </w:pPr>
      <w:r>
        <w:rPr>
          <w:sz w:val="22"/>
          <w:szCs w:val="22"/>
        </w:rPr>
        <w:t>The Bill passed both houses on 3</w:t>
      </w:r>
      <w:r w:rsidR="0090384E">
        <w:rPr>
          <w:sz w:val="22"/>
          <w:szCs w:val="22"/>
        </w:rPr>
        <w:t>0</w:t>
      </w:r>
      <w:r>
        <w:rPr>
          <w:sz w:val="22"/>
          <w:szCs w:val="22"/>
        </w:rPr>
        <w:t xml:space="preserve"> March 2023.</w:t>
      </w:r>
      <w:r w:rsidR="00877A09">
        <w:rPr>
          <w:sz w:val="22"/>
          <w:szCs w:val="22"/>
        </w:rPr>
        <w:t xml:space="preserve"> The final Bill </w:t>
      </w:r>
      <w:r w:rsidR="007657C1">
        <w:rPr>
          <w:sz w:val="22"/>
          <w:szCs w:val="22"/>
        </w:rPr>
        <w:t>included amendments that reflected stakeholder concerns raised during the release of the position paper.</w:t>
      </w:r>
    </w:p>
    <w:p w14:paraId="5EC7E507" w14:textId="77777777" w:rsidR="00112281" w:rsidRPr="00526826" w:rsidRDefault="00A94955" w:rsidP="00DA1B55">
      <w:pPr>
        <w:pStyle w:val="Heading2"/>
        <w:rPr>
          <w:b w:val="0"/>
          <w:sz w:val="30"/>
          <w:szCs w:val="30"/>
        </w:rPr>
      </w:pPr>
      <w:bookmarkStart w:id="257" w:name="_Toc132807561"/>
      <w:r>
        <w:rPr>
          <w:b w:val="0"/>
          <w:sz w:val="30"/>
          <w:szCs w:val="30"/>
        </w:rPr>
        <w:t>Position Paper</w:t>
      </w:r>
      <w:r w:rsidR="009B3E11">
        <w:rPr>
          <w:b w:val="0"/>
          <w:sz w:val="30"/>
          <w:szCs w:val="30"/>
        </w:rPr>
        <w:t xml:space="preserve"> and subordinate legislation</w:t>
      </w:r>
      <w:bookmarkEnd w:id="257"/>
    </w:p>
    <w:p w14:paraId="35AA2279" w14:textId="77777777" w:rsidR="00A94955" w:rsidRDefault="00A94955" w:rsidP="00291A6B">
      <w:pPr>
        <w:pStyle w:val="BodyText"/>
        <w:rPr>
          <w:sz w:val="22"/>
          <w:szCs w:val="22"/>
        </w:rPr>
      </w:pPr>
      <w:r>
        <w:rPr>
          <w:sz w:val="22"/>
          <w:szCs w:val="22"/>
        </w:rPr>
        <w:t>The Government released a Position Paper on 10 January 2023 on the proposed design of the reforms</w:t>
      </w:r>
      <w:r w:rsidR="009B3E11">
        <w:rPr>
          <w:sz w:val="22"/>
          <w:szCs w:val="22"/>
        </w:rPr>
        <w:t xml:space="preserve"> and </w:t>
      </w:r>
      <w:r w:rsidR="006161E8">
        <w:rPr>
          <w:sz w:val="22"/>
          <w:szCs w:val="22"/>
        </w:rPr>
        <w:t xml:space="preserve">supporting exposure draft legislation. </w:t>
      </w:r>
      <w:r>
        <w:rPr>
          <w:sz w:val="22"/>
          <w:szCs w:val="22"/>
        </w:rPr>
        <w:t xml:space="preserve"> </w:t>
      </w:r>
    </w:p>
    <w:p w14:paraId="5AF94922" w14:textId="77777777" w:rsidR="006161E8" w:rsidRDefault="006161E8" w:rsidP="00291A6B">
      <w:pPr>
        <w:pStyle w:val="BodyText"/>
        <w:rPr>
          <w:sz w:val="22"/>
          <w:szCs w:val="22"/>
        </w:rPr>
      </w:pPr>
      <w:r>
        <w:rPr>
          <w:sz w:val="22"/>
          <w:szCs w:val="22"/>
        </w:rPr>
        <w:t>The position paper outlined the proposed design of the reforms</w:t>
      </w:r>
      <w:r w:rsidR="00CD59A7">
        <w:rPr>
          <w:sz w:val="22"/>
          <w:szCs w:val="22"/>
        </w:rPr>
        <w:t>, including the share of the national emissions reduction target that Safeguard facilities will deliver; the framework for setting baselines for existing and new facilities, including the rate of decline; arrangements for issuing and using Safeguard Mechanism Credits; access to flexible compliance options, including access to credits, offsets, banking and borrowing arrangements, multi-year monitoring periods and a cost containment measure; and tailored treatment fo</w:t>
      </w:r>
      <w:r w:rsidR="009C0EC2">
        <w:rPr>
          <w:sz w:val="22"/>
          <w:szCs w:val="22"/>
        </w:rPr>
        <w:t>r</w:t>
      </w:r>
      <w:r w:rsidR="00CD59A7">
        <w:rPr>
          <w:sz w:val="22"/>
          <w:szCs w:val="22"/>
        </w:rPr>
        <w:t xml:space="preserve"> emissions-</w:t>
      </w:r>
      <w:r w:rsidR="009C0EC2">
        <w:rPr>
          <w:sz w:val="22"/>
          <w:szCs w:val="22"/>
        </w:rPr>
        <w:t>intensive</w:t>
      </w:r>
      <w:r w:rsidR="00CD59A7">
        <w:rPr>
          <w:sz w:val="22"/>
          <w:szCs w:val="22"/>
        </w:rPr>
        <w:t xml:space="preserve">, trade-exposed facilities. </w:t>
      </w:r>
    </w:p>
    <w:p w14:paraId="062B6612" w14:textId="6C5B0E3D" w:rsidR="00CD59A7" w:rsidRPr="00CD59A7" w:rsidRDefault="00B27DDB" w:rsidP="00366E5A">
      <w:pPr>
        <w:pStyle w:val="BodyText"/>
        <w:rPr>
          <w:sz w:val="22"/>
          <w:szCs w:val="22"/>
        </w:rPr>
      </w:pPr>
      <w:r>
        <w:rPr>
          <w:sz w:val="22"/>
          <w:szCs w:val="22"/>
        </w:rPr>
        <w:t xml:space="preserve">Draft subordinate legislation was also released, that will give effect to the policy positions proposed in the paper. This included </w:t>
      </w:r>
      <w:r w:rsidR="00CD59A7" w:rsidRPr="00366E5A">
        <w:rPr>
          <w:bCs/>
          <w:i/>
          <w:iCs/>
          <w:sz w:val="22"/>
          <w:szCs w:val="22"/>
        </w:rPr>
        <w:t>National Greenhouse and Energy Reporting (Safeguard Mechanism) Amendment (Reforms) Rules 2023</w:t>
      </w:r>
      <w:r w:rsidRPr="00B27DDB">
        <w:rPr>
          <w:sz w:val="22"/>
          <w:szCs w:val="22"/>
        </w:rPr>
        <w:t xml:space="preserve">, </w:t>
      </w:r>
      <w:r w:rsidR="00CD59A7" w:rsidRPr="00366E5A">
        <w:rPr>
          <w:bCs/>
          <w:i/>
          <w:iCs/>
          <w:sz w:val="22"/>
          <w:szCs w:val="22"/>
        </w:rPr>
        <w:t>Carbon Credits (Carbon Farming Initiative) Amendment (No. 2) Rules 2023</w:t>
      </w:r>
      <w:r w:rsidRPr="00B27DDB">
        <w:rPr>
          <w:sz w:val="22"/>
          <w:szCs w:val="22"/>
        </w:rPr>
        <w:t>,</w:t>
      </w:r>
      <w:r w:rsidR="00CD59A7" w:rsidRPr="00366E5A">
        <w:rPr>
          <w:bCs/>
          <w:i/>
          <w:iCs/>
          <w:sz w:val="22"/>
          <w:szCs w:val="22"/>
        </w:rPr>
        <w:t xml:space="preserve"> Australian National Registry of Emissions Units Rules 2023</w:t>
      </w:r>
      <w:r w:rsidRPr="00366E5A">
        <w:rPr>
          <w:bCs/>
          <w:sz w:val="22"/>
          <w:szCs w:val="22"/>
        </w:rPr>
        <w:t xml:space="preserve"> and </w:t>
      </w:r>
      <w:r w:rsidR="00CD59A7" w:rsidRPr="00366E5A">
        <w:rPr>
          <w:bCs/>
          <w:i/>
          <w:iCs/>
          <w:sz w:val="22"/>
          <w:szCs w:val="22"/>
        </w:rPr>
        <w:t>Safeguard Mechanism Legislation Amendment (2023 Measures No 1) Regulations 2023</w:t>
      </w:r>
      <w:r>
        <w:rPr>
          <w:sz w:val="22"/>
          <w:szCs w:val="22"/>
        </w:rPr>
        <w:t>.</w:t>
      </w:r>
    </w:p>
    <w:p w14:paraId="49F77B6F" w14:textId="77777777" w:rsidR="00C138C5" w:rsidRPr="00C138C5" w:rsidRDefault="00C138C5" w:rsidP="00C138C5">
      <w:pPr>
        <w:pStyle w:val="BodyText"/>
        <w:rPr>
          <w:sz w:val="22"/>
          <w:szCs w:val="22"/>
        </w:rPr>
      </w:pPr>
      <w:r w:rsidRPr="00C138C5">
        <w:rPr>
          <w:sz w:val="22"/>
          <w:szCs w:val="22"/>
        </w:rPr>
        <w:t xml:space="preserve">A public online information session was held on </w:t>
      </w:r>
      <w:r>
        <w:rPr>
          <w:sz w:val="22"/>
          <w:szCs w:val="22"/>
        </w:rPr>
        <w:t>19 January 2023</w:t>
      </w:r>
      <w:r w:rsidRPr="00C138C5">
        <w:rPr>
          <w:sz w:val="22"/>
          <w:szCs w:val="22"/>
        </w:rPr>
        <w:t xml:space="preserve"> to outline the key elements of the consultation paper, and a recording was made available on the Department’s website shortly afterwards. Approximately </w:t>
      </w:r>
      <w:r>
        <w:rPr>
          <w:sz w:val="22"/>
          <w:szCs w:val="22"/>
        </w:rPr>
        <w:t>79</w:t>
      </w:r>
      <w:r w:rsidRPr="00C138C5">
        <w:rPr>
          <w:sz w:val="22"/>
          <w:szCs w:val="22"/>
        </w:rPr>
        <w:t>0 people registered for the webinar</w:t>
      </w:r>
      <w:r>
        <w:rPr>
          <w:sz w:val="22"/>
          <w:szCs w:val="22"/>
        </w:rPr>
        <w:t>, with approximately 640 joining the session</w:t>
      </w:r>
      <w:r w:rsidRPr="00C138C5">
        <w:rPr>
          <w:sz w:val="22"/>
          <w:szCs w:val="22"/>
        </w:rPr>
        <w:t>.</w:t>
      </w:r>
    </w:p>
    <w:p w14:paraId="36473951" w14:textId="77777777" w:rsidR="00C138C5" w:rsidRPr="00C138C5" w:rsidRDefault="00C138C5" w:rsidP="00C138C5">
      <w:pPr>
        <w:pStyle w:val="BodyText"/>
        <w:rPr>
          <w:sz w:val="22"/>
          <w:szCs w:val="22"/>
        </w:rPr>
      </w:pPr>
      <w:r w:rsidRPr="00C138C5">
        <w:rPr>
          <w:sz w:val="22"/>
          <w:szCs w:val="22"/>
        </w:rPr>
        <w:t xml:space="preserve">The Department held </w:t>
      </w:r>
      <w:r>
        <w:rPr>
          <w:sz w:val="22"/>
          <w:szCs w:val="22"/>
        </w:rPr>
        <w:t>three</w:t>
      </w:r>
      <w:r w:rsidRPr="00C138C5">
        <w:rPr>
          <w:sz w:val="22"/>
          <w:szCs w:val="22"/>
        </w:rPr>
        <w:t xml:space="preserve"> in-person roundtables; in </w:t>
      </w:r>
      <w:r>
        <w:rPr>
          <w:sz w:val="22"/>
          <w:szCs w:val="22"/>
        </w:rPr>
        <w:t>Melbourne</w:t>
      </w:r>
      <w:r w:rsidRPr="00C138C5">
        <w:rPr>
          <w:sz w:val="22"/>
          <w:szCs w:val="22"/>
        </w:rPr>
        <w:t xml:space="preserve"> </w:t>
      </w:r>
      <w:r w:rsidR="006161E8">
        <w:rPr>
          <w:sz w:val="22"/>
          <w:szCs w:val="22"/>
        </w:rPr>
        <w:t>on 24 January</w:t>
      </w:r>
      <w:r w:rsidRPr="00C138C5">
        <w:rPr>
          <w:sz w:val="22"/>
          <w:szCs w:val="22"/>
        </w:rPr>
        <w:t xml:space="preserve">, in </w:t>
      </w:r>
      <w:r>
        <w:rPr>
          <w:sz w:val="22"/>
          <w:szCs w:val="22"/>
        </w:rPr>
        <w:t>Brisbane</w:t>
      </w:r>
      <w:r w:rsidRPr="00C138C5">
        <w:rPr>
          <w:sz w:val="22"/>
          <w:szCs w:val="22"/>
        </w:rPr>
        <w:t xml:space="preserve"> on </w:t>
      </w:r>
      <w:r w:rsidR="006161E8">
        <w:rPr>
          <w:sz w:val="22"/>
          <w:szCs w:val="22"/>
        </w:rPr>
        <w:t>31 January</w:t>
      </w:r>
      <w:r w:rsidRPr="00C138C5">
        <w:rPr>
          <w:sz w:val="22"/>
          <w:szCs w:val="22"/>
        </w:rPr>
        <w:t xml:space="preserve">, and in </w:t>
      </w:r>
      <w:r>
        <w:rPr>
          <w:sz w:val="22"/>
          <w:szCs w:val="22"/>
        </w:rPr>
        <w:t>Perth</w:t>
      </w:r>
      <w:r w:rsidRPr="00C138C5">
        <w:rPr>
          <w:sz w:val="22"/>
          <w:szCs w:val="22"/>
        </w:rPr>
        <w:t xml:space="preserve"> on </w:t>
      </w:r>
      <w:r w:rsidR="006161E8">
        <w:rPr>
          <w:sz w:val="22"/>
          <w:szCs w:val="22"/>
        </w:rPr>
        <w:t>2 February</w:t>
      </w:r>
      <w:r w:rsidRPr="00C138C5">
        <w:rPr>
          <w:sz w:val="22"/>
          <w:szCs w:val="22"/>
        </w:rPr>
        <w:t>. The purpose of these roundtables was to provide a forum for discussion with directly affected or highly interested stakeholders. Invites were sent to stakeholders in Safeguard covered sectors, including transport, resources, aviation, minerals and cement; government agencies; consultancies; carbon market advisories; environmental non-government organisations; think tanks and academia; financial services; industry groups; unions and First Nations groups. Roundtables were attended by approximately 140 people.</w:t>
      </w:r>
    </w:p>
    <w:p w14:paraId="656EA779" w14:textId="77777777" w:rsidR="009B3E11" w:rsidRPr="009F6FD0" w:rsidRDefault="00C138C5" w:rsidP="00291A6B">
      <w:pPr>
        <w:pStyle w:val="BodyText"/>
        <w:rPr>
          <w:sz w:val="22"/>
          <w:szCs w:val="22"/>
        </w:rPr>
      </w:pPr>
      <w:r w:rsidRPr="00C138C5">
        <w:rPr>
          <w:sz w:val="22"/>
          <w:szCs w:val="22"/>
        </w:rPr>
        <w:t xml:space="preserve">Submissions were open on this consultation until </w:t>
      </w:r>
      <w:r w:rsidR="006161E8">
        <w:rPr>
          <w:sz w:val="22"/>
          <w:szCs w:val="22"/>
        </w:rPr>
        <w:t>24 February 2023</w:t>
      </w:r>
      <w:r w:rsidRPr="00C138C5">
        <w:rPr>
          <w:sz w:val="22"/>
          <w:szCs w:val="22"/>
        </w:rPr>
        <w:t xml:space="preserve">. The Department granted extensions until </w:t>
      </w:r>
      <w:r w:rsidR="006161E8">
        <w:rPr>
          <w:sz w:val="22"/>
          <w:szCs w:val="22"/>
        </w:rPr>
        <w:t>28 February</w:t>
      </w:r>
      <w:r w:rsidRPr="00C138C5">
        <w:rPr>
          <w:sz w:val="22"/>
          <w:szCs w:val="22"/>
        </w:rPr>
        <w:t xml:space="preserve"> to all stakeholders who requested one. Over 2</w:t>
      </w:r>
      <w:r w:rsidR="006161E8">
        <w:rPr>
          <w:sz w:val="22"/>
          <w:szCs w:val="22"/>
        </w:rPr>
        <w:t>8</w:t>
      </w:r>
      <w:r w:rsidRPr="00C138C5">
        <w:rPr>
          <w:sz w:val="22"/>
          <w:szCs w:val="22"/>
        </w:rPr>
        <w:t>0 submissions were received. All non-confidential submissions were published on the Department’s website.</w:t>
      </w:r>
    </w:p>
    <w:p w14:paraId="2B021496" w14:textId="6BF184F9" w:rsidR="00D5580A" w:rsidRDefault="00E71F53" w:rsidP="00291A6B">
      <w:pPr>
        <w:pStyle w:val="BodyText"/>
        <w:rPr>
          <w:sz w:val="22"/>
          <w:szCs w:val="22"/>
        </w:rPr>
      </w:pPr>
      <w:r>
        <w:rPr>
          <w:sz w:val="22"/>
          <w:szCs w:val="22"/>
        </w:rPr>
        <w:lastRenderedPageBreak/>
        <w:t>Stakeholders were broadly supportive of the policy certainty that the reforms would provide</w:t>
      </w:r>
      <w:r w:rsidR="00D5580A">
        <w:rPr>
          <w:sz w:val="22"/>
          <w:szCs w:val="22"/>
        </w:rPr>
        <w:t xml:space="preserve"> </w:t>
      </w:r>
      <w:r w:rsidR="00F975AE">
        <w:rPr>
          <w:sz w:val="22"/>
          <w:szCs w:val="22"/>
        </w:rPr>
        <w:t>as industry</w:t>
      </w:r>
      <w:r w:rsidR="00D5580A">
        <w:rPr>
          <w:sz w:val="22"/>
          <w:szCs w:val="22"/>
        </w:rPr>
        <w:t xml:space="preserve"> </w:t>
      </w:r>
      <w:r w:rsidR="00F975AE">
        <w:rPr>
          <w:sz w:val="22"/>
          <w:szCs w:val="22"/>
        </w:rPr>
        <w:t xml:space="preserve">transitions </w:t>
      </w:r>
      <w:r w:rsidR="00D5580A">
        <w:rPr>
          <w:sz w:val="22"/>
          <w:szCs w:val="22"/>
        </w:rPr>
        <w:t xml:space="preserve">to net zero. </w:t>
      </w:r>
    </w:p>
    <w:p w14:paraId="7378259B" w14:textId="2CE15C92" w:rsidR="00F975AE" w:rsidRDefault="00D5580A" w:rsidP="00291A6B">
      <w:pPr>
        <w:pStyle w:val="BodyText"/>
        <w:rPr>
          <w:sz w:val="22"/>
          <w:szCs w:val="22"/>
        </w:rPr>
      </w:pPr>
      <w:r>
        <w:rPr>
          <w:sz w:val="22"/>
          <w:szCs w:val="22"/>
        </w:rPr>
        <w:t xml:space="preserve">Stakeholders in the manufacturing sector requested </w:t>
      </w:r>
      <w:r w:rsidR="00F975AE">
        <w:rPr>
          <w:sz w:val="22"/>
          <w:szCs w:val="22"/>
        </w:rPr>
        <w:t xml:space="preserve">additional support, through an alternative metric to access </w:t>
      </w:r>
      <w:proofErr w:type="spellStart"/>
      <w:r w:rsidR="00F975AE">
        <w:rPr>
          <w:sz w:val="22"/>
          <w:szCs w:val="22"/>
        </w:rPr>
        <w:t>TEBA</w:t>
      </w:r>
      <w:proofErr w:type="spellEnd"/>
      <w:r w:rsidR="00F975AE">
        <w:rPr>
          <w:sz w:val="22"/>
          <w:szCs w:val="22"/>
        </w:rPr>
        <w:t xml:space="preserve"> status and additional funding through the Powering the Regions fund. They perceived the proposed policy settings would not recognise their operating environments and may negatively impact on their competitiveness.</w:t>
      </w:r>
    </w:p>
    <w:p w14:paraId="5882CE55" w14:textId="77777777" w:rsidR="00F975AE" w:rsidRDefault="00F975AE" w:rsidP="00291A6B">
      <w:pPr>
        <w:pStyle w:val="BodyText"/>
        <w:rPr>
          <w:sz w:val="22"/>
          <w:szCs w:val="22"/>
        </w:rPr>
      </w:pPr>
      <w:r>
        <w:rPr>
          <w:sz w:val="22"/>
          <w:szCs w:val="22"/>
        </w:rPr>
        <w:t>Environmental groups and others raised concerns about the use of offsets under the reforms, and called for increased transparency in how facilities were reducing emissions and their use of offsets.</w:t>
      </w:r>
    </w:p>
    <w:p w14:paraId="453C1D94" w14:textId="72B0D3F3" w:rsidR="00F975AE" w:rsidRDefault="002E7695" w:rsidP="00291A6B">
      <w:pPr>
        <w:pStyle w:val="BodyText"/>
        <w:rPr>
          <w:sz w:val="22"/>
          <w:szCs w:val="22"/>
        </w:rPr>
      </w:pPr>
      <w:r>
        <w:rPr>
          <w:sz w:val="22"/>
          <w:szCs w:val="22"/>
        </w:rPr>
        <w:t>Stakeholders</w:t>
      </w:r>
      <w:r w:rsidR="00F975AE">
        <w:rPr>
          <w:sz w:val="22"/>
          <w:szCs w:val="22"/>
        </w:rPr>
        <w:t xml:space="preserve"> expressed concern about the treatment of new entrants, </w:t>
      </w:r>
      <w:r>
        <w:rPr>
          <w:sz w:val="22"/>
          <w:szCs w:val="22"/>
        </w:rPr>
        <w:t>with industry calling for more leniency and environmental groups calling for</w:t>
      </w:r>
      <w:r w:rsidR="00F975AE">
        <w:rPr>
          <w:sz w:val="22"/>
          <w:szCs w:val="22"/>
        </w:rPr>
        <w:t xml:space="preserve"> stricter treatment. </w:t>
      </w:r>
    </w:p>
    <w:p w14:paraId="3033D3BE" w14:textId="12A56869" w:rsidR="00B73B85" w:rsidRDefault="00F975AE" w:rsidP="00291A6B">
      <w:pPr>
        <w:pStyle w:val="BodyText"/>
        <w:rPr>
          <w:sz w:val="22"/>
          <w:szCs w:val="22"/>
        </w:rPr>
      </w:pPr>
      <w:r>
        <w:rPr>
          <w:sz w:val="22"/>
          <w:szCs w:val="22"/>
        </w:rPr>
        <w:t>Stakeholders from across all groups</w:t>
      </w:r>
      <w:r w:rsidR="004F1937">
        <w:rPr>
          <w:sz w:val="22"/>
          <w:szCs w:val="22"/>
        </w:rPr>
        <w:t xml:space="preserve"> continued to </w:t>
      </w:r>
      <w:r w:rsidR="00244AD8">
        <w:rPr>
          <w:sz w:val="22"/>
          <w:szCs w:val="22"/>
        </w:rPr>
        <w:t xml:space="preserve">show strong stakeholder interest and </w:t>
      </w:r>
      <w:r w:rsidR="004F1937">
        <w:rPr>
          <w:sz w:val="22"/>
          <w:szCs w:val="22"/>
        </w:rPr>
        <w:t>support a review into policy options to address carbon leakage.</w:t>
      </w:r>
      <w:r w:rsidR="001C0AB7">
        <w:rPr>
          <w:sz w:val="22"/>
          <w:szCs w:val="22"/>
        </w:rPr>
        <w:t xml:space="preserve"> The government will commence a review to explore additional policy options to prevent carbon leakage. The review will consider an Australian </w:t>
      </w:r>
      <w:proofErr w:type="spellStart"/>
      <w:r w:rsidR="001C0AB7">
        <w:rPr>
          <w:sz w:val="22"/>
          <w:szCs w:val="22"/>
        </w:rPr>
        <w:t>CBAM</w:t>
      </w:r>
      <w:proofErr w:type="spellEnd"/>
      <w:r w:rsidR="001C0AB7">
        <w:rPr>
          <w:sz w:val="22"/>
          <w:szCs w:val="22"/>
        </w:rPr>
        <w:t xml:space="preserve"> as one of the potential responses to carbon leakage which could complement the Safeguard Mechanism reforms.</w:t>
      </w:r>
    </w:p>
    <w:p w14:paraId="4F4EFC69" w14:textId="77777777" w:rsidR="009B30D9" w:rsidRDefault="00B73B85" w:rsidP="00291A6B">
      <w:pPr>
        <w:pStyle w:val="BodyText"/>
        <w:rPr>
          <w:sz w:val="22"/>
          <w:szCs w:val="22"/>
        </w:rPr>
      </w:pPr>
      <w:r>
        <w:rPr>
          <w:sz w:val="22"/>
          <w:szCs w:val="22"/>
        </w:rPr>
        <w:t>The final policy design reflects feedback received through stakeholder consultation and a final suite of</w:t>
      </w:r>
      <w:r w:rsidR="009B30D9">
        <w:rPr>
          <w:sz w:val="22"/>
          <w:szCs w:val="22"/>
        </w:rPr>
        <w:t xml:space="preserve"> changes to strengthen the scheme, which primarily focuses on three outcomes:</w:t>
      </w:r>
    </w:p>
    <w:p w14:paraId="24362090" w14:textId="77777777" w:rsidR="009B30D9" w:rsidRDefault="009B30D9" w:rsidP="009B30D9">
      <w:pPr>
        <w:pStyle w:val="BodyText"/>
        <w:numPr>
          <w:ilvl w:val="0"/>
          <w:numId w:val="102"/>
        </w:numPr>
        <w:rPr>
          <w:sz w:val="22"/>
          <w:szCs w:val="22"/>
        </w:rPr>
      </w:pPr>
      <w:r>
        <w:rPr>
          <w:sz w:val="22"/>
          <w:szCs w:val="22"/>
        </w:rPr>
        <w:t>Recognising the importance of the manufacturing sector in the transition to a net zero economy by providing further flexibility and support for strategic industries.</w:t>
      </w:r>
    </w:p>
    <w:p w14:paraId="4B8BF4AD" w14:textId="0DF65F78" w:rsidR="009B30D9" w:rsidRDefault="00774BA9" w:rsidP="009B30D9">
      <w:pPr>
        <w:pStyle w:val="BodyText"/>
        <w:numPr>
          <w:ilvl w:val="0"/>
          <w:numId w:val="102"/>
        </w:numPr>
        <w:rPr>
          <w:sz w:val="22"/>
          <w:szCs w:val="22"/>
        </w:rPr>
      </w:pPr>
      <w:r>
        <w:rPr>
          <w:sz w:val="22"/>
          <w:szCs w:val="22"/>
        </w:rPr>
        <w:t>P</w:t>
      </w:r>
      <w:r w:rsidR="009B30D9">
        <w:rPr>
          <w:sz w:val="22"/>
          <w:szCs w:val="22"/>
        </w:rPr>
        <w:t>roviding greater certainty that the scheme will deliver on its emissions objective by enhancing its transparency and accountability mechanisms, including:</w:t>
      </w:r>
    </w:p>
    <w:p w14:paraId="53366BCF" w14:textId="77777777" w:rsidR="009B30D9" w:rsidRDefault="009B30D9" w:rsidP="009B30D9">
      <w:pPr>
        <w:pStyle w:val="BodyText"/>
        <w:numPr>
          <w:ilvl w:val="1"/>
          <w:numId w:val="102"/>
        </w:numPr>
        <w:rPr>
          <w:sz w:val="22"/>
          <w:szCs w:val="22"/>
        </w:rPr>
      </w:pPr>
      <w:r>
        <w:rPr>
          <w:sz w:val="22"/>
          <w:szCs w:val="22"/>
        </w:rPr>
        <w:t xml:space="preserve">Amendments to the </w:t>
      </w:r>
      <w:proofErr w:type="spellStart"/>
      <w:r>
        <w:rPr>
          <w:sz w:val="22"/>
          <w:szCs w:val="22"/>
        </w:rPr>
        <w:t>NGER</w:t>
      </w:r>
      <w:proofErr w:type="spellEnd"/>
      <w:r>
        <w:rPr>
          <w:sz w:val="22"/>
          <w:szCs w:val="22"/>
        </w:rPr>
        <w:t xml:space="preserve"> Act to ensure that the policy intent of the reforms to drive down emissions from Australia’s large industrial sector is achieved. The Objects of the Act now clarify specific net emission targets, that gross emissions should reduce over time, that Safeguard facilities should have a material incentive to reduce their on-site emissions, and the competitiveness of trade-exposed industries is appropriate supported.</w:t>
      </w:r>
    </w:p>
    <w:p w14:paraId="69D2D1AB" w14:textId="77777777" w:rsidR="009B30D9" w:rsidRDefault="009B30D9" w:rsidP="009B30D9">
      <w:pPr>
        <w:pStyle w:val="BodyText"/>
        <w:numPr>
          <w:ilvl w:val="1"/>
          <w:numId w:val="102"/>
        </w:numPr>
        <w:rPr>
          <w:sz w:val="22"/>
          <w:szCs w:val="22"/>
        </w:rPr>
      </w:pPr>
      <w:r>
        <w:rPr>
          <w:sz w:val="22"/>
          <w:szCs w:val="22"/>
        </w:rPr>
        <w:t>Introducing specific reporting on progress against the scheme’s emissions targets and a requirement for the Minister to take action, if necessary, in response, including consideration of the effect of new entrants and expansions on scheme objectives.</w:t>
      </w:r>
    </w:p>
    <w:p w14:paraId="57C2756C" w14:textId="77777777" w:rsidR="009B30D9" w:rsidRPr="009B30D9" w:rsidRDefault="009B30D9" w:rsidP="009B30D9">
      <w:pPr>
        <w:pStyle w:val="BodyText"/>
        <w:numPr>
          <w:ilvl w:val="1"/>
          <w:numId w:val="102"/>
        </w:numPr>
        <w:rPr>
          <w:sz w:val="22"/>
          <w:szCs w:val="22"/>
        </w:rPr>
      </w:pPr>
      <w:r>
        <w:rPr>
          <w:sz w:val="22"/>
          <w:szCs w:val="22"/>
        </w:rPr>
        <w:t>Introducing increased transparency and accountability on facilities’ emissions and compliance activities.</w:t>
      </w:r>
    </w:p>
    <w:p w14:paraId="061AD6ED" w14:textId="77777777" w:rsidR="00C138C5" w:rsidRPr="00526826" w:rsidRDefault="00C138C5" w:rsidP="00C138C5">
      <w:pPr>
        <w:pStyle w:val="Heading2"/>
        <w:rPr>
          <w:b w:val="0"/>
          <w:sz w:val="30"/>
          <w:szCs w:val="30"/>
        </w:rPr>
      </w:pPr>
      <w:bookmarkStart w:id="258" w:name="_Toc132807562"/>
      <w:r>
        <w:rPr>
          <w:b w:val="0"/>
          <w:sz w:val="30"/>
          <w:szCs w:val="30"/>
        </w:rPr>
        <w:t>Ongoing consultation during implementation</w:t>
      </w:r>
      <w:bookmarkEnd w:id="258"/>
    </w:p>
    <w:p w14:paraId="4EB3E58A" w14:textId="77777777" w:rsidR="00B55BF0" w:rsidRDefault="00B55BF0" w:rsidP="00291A6B">
      <w:pPr>
        <w:pStyle w:val="BodyText"/>
        <w:rPr>
          <w:sz w:val="22"/>
          <w:szCs w:val="22"/>
        </w:rPr>
      </w:pPr>
      <w:r w:rsidRPr="009F6FD0">
        <w:rPr>
          <w:sz w:val="22"/>
          <w:szCs w:val="22"/>
        </w:rPr>
        <w:t xml:space="preserve">One-on-one meetings will continue to be held with interested stakeholders to discuss the </w:t>
      </w:r>
      <w:r w:rsidR="00FC26BA">
        <w:rPr>
          <w:sz w:val="22"/>
          <w:szCs w:val="22"/>
        </w:rPr>
        <w:t>implementation of the reforms</w:t>
      </w:r>
      <w:r w:rsidRPr="009F6FD0">
        <w:rPr>
          <w:sz w:val="22"/>
          <w:szCs w:val="22"/>
        </w:rPr>
        <w:t>.</w:t>
      </w:r>
      <w:r w:rsidR="00AD4DF5" w:rsidRPr="009F6FD0">
        <w:rPr>
          <w:sz w:val="22"/>
          <w:szCs w:val="22"/>
        </w:rPr>
        <w:t xml:space="preserve"> The Department will continue to engage with other agencies at the federal</w:t>
      </w:r>
      <w:r w:rsidRPr="009F6FD0">
        <w:rPr>
          <w:sz w:val="22"/>
          <w:szCs w:val="22"/>
        </w:rPr>
        <w:t xml:space="preserve"> </w:t>
      </w:r>
      <w:r w:rsidR="00194D6B" w:rsidRPr="009F6FD0">
        <w:rPr>
          <w:sz w:val="22"/>
          <w:szCs w:val="22"/>
        </w:rPr>
        <w:t xml:space="preserve">and state level to ensure </w:t>
      </w:r>
      <w:r w:rsidR="00BC6991" w:rsidRPr="009F6FD0">
        <w:rPr>
          <w:sz w:val="22"/>
          <w:szCs w:val="22"/>
        </w:rPr>
        <w:t xml:space="preserve">the reforms are </w:t>
      </w:r>
      <w:r w:rsidR="005869CF" w:rsidRPr="009F6FD0">
        <w:rPr>
          <w:sz w:val="22"/>
          <w:szCs w:val="22"/>
        </w:rPr>
        <w:t xml:space="preserve">coordinated </w:t>
      </w:r>
      <w:r w:rsidR="00BC6991" w:rsidRPr="009F6FD0">
        <w:rPr>
          <w:sz w:val="22"/>
          <w:szCs w:val="22"/>
        </w:rPr>
        <w:t xml:space="preserve">with other policy </w:t>
      </w:r>
      <w:r w:rsidR="008106D4" w:rsidRPr="009F6FD0">
        <w:rPr>
          <w:sz w:val="22"/>
          <w:szCs w:val="22"/>
        </w:rPr>
        <w:t>reforms</w:t>
      </w:r>
      <w:r w:rsidR="00BC6991" w:rsidRPr="009F6FD0">
        <w:rPr>
          <w:sz w:val="22"/>
          <w:szCs w:val="22"/>
        </w:rPr>
        <w:t xml:space="preserve"> that are underway.</w:t>
      </w:r>
    </w:p>
    <w:p w14:paraId="6679B5BF" w14:textId="77777777" w:rsidR="00651F89" w:rsidRDefault="006D0E8A" w:rsidP="002861A8">
      <w:pPr>
        <w:pStyle w:val="BodyText"/>
        <w:rPr>
          <w:b/>
        </w:rPr>
      </w:pPr>
      <w:r w:rsidRPr="006D0E8A">
        <w:rPr>
          <w:sz w:val="22"/>
          <w:szCs w:val="22"/>
        </w:rPr>
        <w:t xml:space="preserve">Refer to </w:t>
      </w:r>
      <w:r w:rsidRPr="00EA3891">
        <w:rPr>
          <w:sz w:val="22"/>
          <w:szCs w:val="22"/>
        </w:rPr>
        <w:fldChar w:fldCharType="begin"/>
      </w:r>
      <w:r w:rsidRPr="006D0E8A">
        <w:rPr>
          <w:sz w:val="22"/>
          <w:szCs w:val="22"/>
        </w:rPr>
        <w:instrText xml:space="preserve"> REF _Ref119274839 \h </w:instrText>
      </w:r>
      <w:r>
        <w:rPr>
          <w:sz w:val="22"/>
          <w:szCs w:val="22"/>
        </w:rPr>
        <w:instrText xml:space="preserve"> \* MERGEFORMAT </w:instrText>
      </w:r>
      <w:r w:rsidRPr="00EA3891">
        <w:rPr>
          <w:sz w:val="22"/>
          <w:szCs w:val="22"/>
        </w:rPr>
      </w:r>
      <w:r w:rsidRPr="00EA3891">
        <w:rPr>
          <w:sz w:val="22"/>
          <w:szCs w:val="22"/>
        </w:rPr>
        <w:fldChar w:fldCharType="separate"/>
      </w:r>
      <w:r w:rsidRPr="00DA1B55">
        <w:rPr>
          <w:sz w:val="22"/>
          <w:szCs w:val="22"/>
        </w:rPr>
        <w:t>Appendix A</w:t>
      </w:r>
      <w:r w:rsidRPr="00EA3891">
        <w:rPr>
          <w:sz w:val="22"/>
          <w:szCs w:val="22"/>
        </w:rPr>
        <w:fldChar w:fldCharType="end"/>
      </w:r>
      <w:r w:rsidRPr="006D0E8A">
        <w:rPr>
          <w:sz w:val="22"/>
          <w:szCs w:val="22"/>
        </w:rPr>
        <w:t xml:space="preserve"> for a</w:t>
      </w:r>
      <w:r w:rsidR="00D10786" w:rsidRPr="006D0E8A">
        <w:rPr>
          <w:sz w:val="22"/>
          <w:szCs w:val="22"/>
        </w:rPr>
        <w:t xml:space="preserve"> list of stakeholders that submitted non-confidential submissions</w:t>
      </w:r>
      <w:r>
        <w:rPr>
          <w:sz w:val="22"/>
          <w:szCs w:val="22"/>
        </w:rPr>
        <w:t>.</w:t>
      </w:r>
      <w:r w:rsidR="00651F89">
        <w:br w:type="page"/>
      </w:r>
    </w:p>
    <w:p w14:paraId="663E5FB0" w14:textId="77777777" w:rsidR="00E6567D" w:rsidRDefault="00E6567D" w:rsidP="002861A8">
      <w:pPr>
        <w:pStyle w:val="Heading1"/>
      </w:pPr>
      <w:bookmarkStart w:id="259" w:name="_Toc118750383"/>
      <w:bookmarkStart w:id="260" w:name="_Toc118754659"/>
      <w:bookmarkStart w:id="261" w:name="_Toc118813950"/>
      <w:bookmarkStart w:id="262" w:name="_Toc119327160"/>
      <w:bookmarkStart w:id="263" w:name="_Toc119360664"/>
      <w:bookmarkStart w:id="264" w:name="_Toc132807563"/>
      <w:r>
        <w:lastRenderedPageBreak/>
        <w:t>6. What is the best option from those you have considered?</w:t>
      </w:r>
      <w:bookmarkEnd w:id="259"/>
      <w:bookmarkEnd w:id="260"/>
      <w:bookmarkEnd w:id="261"/>
      <w:bookmarkEnd w:id="262"/>
      <w:bookmarkEnd w:id="263"/>
      <w:bookmarkEnd w:id="264"/>
    </w:p>
    <w:p w14:paraId="01E9D415" w14:textId="29CCDDF5" w:rsidR="00557836" w:rsidRDefault="0032768A" w:rsidP="002861A8">
      <w:pPr>
        <w:pStyle w:val="BodyText"/>
        <w:rPr>
          <w:sz w:val="22"/>
          <w:szCs w:val="22"/>
        </w:rPr>
      </w:pPr>
      <w:r w:rsidRPr="005A037E">
        <w:rPr>
          <w:sz w:val="22"/>
          <w:szCs w:val="22"/>
        </w:rPr>
        <w:t>Assessment of the preferred option has taken into consideration</w:t>
      </w:r>
      <w:r w:rsidR="006D675A">
        <w:rPr>
          <w:sz w:val="22"/>
          <w:szCs w:val="22"/>
        </w:rPr>
        <w:t xml:space="preserve"> qualitative</w:t>
      </w:r>
      <w:r w:rsidRPr="005A037E">
        <w:rPr>
          <w:sz w:val="22"/>
          <w:szCs w:val="22"/>
        </w:rPr>
        <w:t xml:space="preserve"> impact </w:t>
      </w:r>
      <w:r w:rsidR="00F10D3E">
        <w:rPr>
          <w:color w:val="auto"/>
          <w:sz w:val="22"/>
          <w:szCs w:val="22"/>
        </w:rPr>
        <w:t>analysis</w:t>
      </w:r>
      <w:r w:rsidR="00F10D3E" w:rsidRPr="009C0EC2">
        <w:rPr>
          <w:sz w:val="24"/>
          <w:szCs w:val="22"/>
        </w:rPr>
        <w:t xml:space="preserve"> </w:t>
      </w:r>
      <w:r w:rsidR="00557836">
        <w:rPr>
          <w:sz w:val="22"/>
          <w:szCs w:val="22"/>
        </w:rPr>
        <w:t>(</w:t>
      </w:r>
      <w:r w:rsidR="00BA0EFC" w:rsidRPr="00BA0EFC">
        <w:rPr>
          <w:sz w:val="22"/>
          <w:szCs w:val="22"/>
        </w:rPr>
        <w:fldChar w:fldCharType="begin"/>
      </w:r>
      <w:r w:rsidR="00BA0EFC" w:rsidRPr="00BA0EFC">
        <w:rPr>
          <w:sz w:val="22"/>
          <w:szCs w:val="22"/>
        </w:rPr>
        <w:instrText xml:space="preserve"> REF _Ref118194222 \h </w:instrText>
      </w:r>
      <w:r w:rsidR="00BA0EFC">
        <w:rPr>
          <w:sz w:val="22"/>
          <w:szCs w:val="22"/>
        </w:rPr>
        <w:instrText xml:space="preserve"> \* MERGEFORMAT </w:instrText>
      </w:r>
      <w:r w:rsidR="00BA0EFC" w:rsidRPr="00BA0EFC">
        <w:rPr>
          <w:sz w:val="22"/>
          <w:szCs w:val="22"/>
        </w:rPr>
      </w:r>
      <w:r w:rsidR="00BA0EFC" w:rsidRPr="00BA0EFC">
        <w:rPr>
          <w:sz w:val="22"/>
          <w:szCs w:val="22"/>
        </w:rPr>
        <w:fldChar w:fldCharType="separate"/>
      </w:r>
      <w:r w:rsidR="00BA0EFC" w:rsidRPr="00AD1E8B">
        <w:rPr>
          <w:sz w:val="22"/>
          <w:szCs w:val="22"/>
        </w:rPr>
        <w:t xml:space="preserve">Table </w:t>
      </w:r>
      <w:r w:rsidR="00BA0EFC" w:rsidRPr="00AD1E8B">
        <w:rPr>
          <w:noProof/>
          <w:sz w:val="22"/>
          <w:szCs w:val="22"/>
        </w:rPr>
        <w:t>6</w:t>
      </w:r>
      <w:r w:rsidR="00BA0EFC" w:rsidRPr="00BA0EFC">
        <w:rPr>
          <w:sz w:val="22"/>
          <w:szCs w:val="22"/>
        </w:rPr>
        <w:fldChar w:fldCharType="end"/>
      </w:r>
      <w:r w:rsidR="00557836">
        <w:rPr>
          <w:sz w:val="22"/>
          <w:szCs w:val="22"/>
        </w:rPr>
        <w:t>)</w:t>
      </w:r>
      <w:r w:rsidR="00D125AE">
        <w:rPr>
          <w:sz w:val="22"/>
          <w:szCs w:val="22"/>
        </w:rPr>
        <w:t>, the regulatory burden estimate (</w:t>
      </w:r>
      <w:r w:rsidR="00D125AE" w:rsidRPr="00D125AE">
        <w:rPr>
          <w:sz w:val="22"/>
          <w:szCs w:val="22"/>
        </w:rPr>
        <w:fldChar w:fldCharType="begin"/>
      </w:r>
      <w:r w:rsidR="00D125AE" w:rsidRPr="00D125AE">
        <w:rPr>
          <w:sz w:val="22"/>
          <w:szCs w:val="22"/>
        </w:rPr>
        <w:instrText xml:space="preserve"> REF _Ref132623423 \h </w:instrText>
      </w:r>
      <w:r w:rsidR="00D125AE">
        <w:rPr>
          <w:sz w:val="22"/>
          <w:szCs w:val="22"/>
        </w:rPr>
        <w:instrText xml:space="preserve"> \* MERGEFORMAT </w:instrText>
      </w:r>
      <w:r w:rsidR="00D125AE" w:rsidRPr="00D125AE">
        <w:rPr>
          <w:sz w:val="22"/>
          <w:szCs w:val="22"/>
        </w:rPr>
      </w:r>
      <w:r w:rsidR="00D125AE" w:rsidRPr="00D125AE">
        <w:rPr>
          <w:sz w:val="22"/>
          <w:szCs w:val="22"/>
        </w:rPr>
        <w:fldChar w:fldCharType="separate"/>
      </w:r>
      <w:r w:rsidR="00D125AE" w:rsidRPr="00D125AE">
        <w:rPr>
          <w:sz w:val="22"/>
          <w:szCs w:val="22"/>
        </w:rPr>
        <w:t xml:space="preserve">Table </w:t>
      </w:r>
      <w:r w:rsidR="00D125AE" w:rsidRPr="00D125AE">
        <w:rPr>
          <w:noProof/>
          <w:sz w:val="22"/>
          <w:szCs w:val="22"/>
        </w:rPr>
        <w:t>5</w:t>
      </w:r>
      <w:r w:rsidR="00D125AE" w:rsidRPr="00D125AE">
        <w:rPr>
          <w:sz w:val="22"/>
          <w:szCs w:val="22"/>
        </w:rPr>
        <w:fldChar w:fldCharType="end"/>
      </w:r>
      <w:r w:rsidR="00D125AE">
        <w:rPr>
          <w:sz w:val="22"/>
          <w:szCs w:val="22"/>
        </w:rPr>
        <w:t>)</w:t>
      </w:r>
      <w:r w:rsidR="00257C95">
        <w:rPr>
          <w:sz w:val="22"/>
          <w:szCs w:val="22"/>
        </w:rPr>
        <w:t xml:space="preserve"> and </w:t>
      </w:r>
      <w:r w:rsidR="00664FC7">
        <w:rPr>
          <w:sz w:val="22"/>
          <w:szCs w:val="22"/>
        </w:rPr>
        <w:t xml:space="preserve">the </w:t>
      </w:r>
      <w:r w:rsidR="00D73209">
        <w:rPr>
          <w:sz w:val="22"/>
          <w:szCs w:val="22"/>
        </w:rPr>
        <w:t xml:space="preserve">overarching </w:t>
      </w:r>
      <w:r w:rsidR="00664FC7">
        <w:rPr>
          <w:sz w:val="22"/>
          <w:szCs w:val="22"/>
        </w:rPr>
        <w:t xml:space="preserve">policy principles for </w:t>
      </w:r>
      <w:r w:rsidR="00D73209">
        <w:rPr>
          <w:sz w:val="22"/>
          <w:szCs w:val="22"/>
        </w:rPr>
        <w:t>the</w:t>
      </w:r>
      <w:r w:rsidR="00D73209" w:rsidDel="00664FC7">
        <w:rPr>
          <w:sz w:val="22"/>
          <w:szCs w:val="22"/>
        </w:rPr>
        <w:t xml:space="preserve"> </w:t>
      </w:r>
      <w:r w:rsidR="00664FC7">
        <w:rPr>
          <w:sz w:val="22"/>
          <w:szCs w:val="22"/>
        </w:rPr>
        <w:t>S</w:t>
      </w:r>
      <w:r w:rsidR="00557836">
        <w:rPr>
          <w:sz w:val="22"/>
          <w:szCs w:val="22"/>
        </w:rPr>
        <w:t>afeguard</w:t>
      </w:r>
      <w:r w:rsidR="007A345E">
        <w:rPr>
          <w:sz w:val="22"/>
          <w:szCs w:val="22"/>
        </w:rPr>
        <w:t xml:space="preserve"> </w:t>
      </w:r>
      <w:r w:rsidR="00664FC7">
        <w:rPr>
          <w:sz w:val="22"/>
          <w:szCs w:val="22"/>
        </w:rPr>
        <w:t>M</w:t>
      </w:r>
      <w:r w:rsidR="007A345E">
        <w:rPr>
          <w:sz w:val="22"/>
          <w:szCs w:val="22"/>
        </w:rPr>
        <w:t>echanism</w:t>
      </w:r>
      <w:r w:rsidR="00557836">
        <w:rPr>
          <w:sz w:val="22"/>
          <w:szCs w:val="22"/>
        </w:rPr>
        <w:t xml:space="preserve"> reforms</w:t>
      </w:r>
      <w:r w:rsidR="002861A8">
        <w:rPr>
          <w:sz w:val="22"/>
          <w:szCs w:val="22"/>
        </w:rPr>
        <w:t xml:space="preserve"> (</w:t>
      </w:r>
      <w:r w:rsidR="00D73209" w:rsidRPr="004A17C8">
        <w:rPr>
          <w:sz w:val="22"/>
          <w:szCs w:val="22"/>
        </w:rPr>
        <w:fldChar w:fldCharType="begin"/>
      </w:r>
      <w:r w:rsidR="00D73209" w:rsidRPr="004A17C8">
        <w:rPr>
          <w:sz w:val="22"/>
          <w:szCs w:val="22"/>
        </w:rPr>
        <w:instrText xml:space="preserve"> REF _Ref119325732 \h </w:instrText>
      </w:r>
      <w:r w:rsidR="00D73209">
        <w:rPr>
          <w:sz w:val="22"/>
          <w:szCs w:val="22"/>
        </w:rPr>
        <w:instrText xml:space="preserve"> \* MERGEFORMAT </w:instrText>
      </w:r>
      <w:r w:rsidR="00D73209" w:rsidRPr="004A17C8">
        <w:rPr>
          <w:sz w:val="22"/>
          <w:szCs w:val="22"/>
        </w:rPr>
      </w:r>
      <w:r w:rsidR="00D73209" w:rsidRPr="004A17C8">
        <w:rPr>
          <w:sz w:val="22"/>
          <w:szCs w:val="22"/>
        </w:rPr>
        <w:fldChar w:fldCharType="separate"/>
      </w:r>
      <w:r w:rsidR="00A811DA" w:rsidRPr="00CF219C">
        <w:rPr>
          <w:sz w:val="22"/>
          <w:szCs w:val="22"/>
        </w:rPr>
        <w:t xml:space="preserve">Figure </w:t>
      </w:r>
      <w:r w:rsidR="00A811DA" w:rsidRPr="00CF219C">
        <w:rPr>
          <w:noProof/>
          <w:sz w:val="22"/>
          <w:szCs w:val="22"/>
        </w:rPr>
        <w:t>2</w:t>
      </w:r>
      <w:r w:rsidR="00D73209" w:rsidRPr="004A17C8">
        <w:rPr>
          <w:sz w:val="22"/>
          <w:szCs w:val="22"/>
        </w:rPr>
        <w:fldChar w:fldCharType="end"/>
      </w:r>
      <w:r w:rsidR="000A1820">
        <w:rPr>
          <w:sz w:val="22"/>
          <w:szCs w:val="22"/>
        </w:rPr>
        <w:t>)</w:t>
      </w:r>
      <w:r w:rsidR="00557836">
        <w:rPr>
          <w:sz w:val="22"/>
          <w:szCs w:val="22"/>
        </w:rPr>
        <w:t xml:space="preserve">. </w:t>
      </w:r>
    </w:p>
    <w:p w14:paraId="0279E7C0" w14:textId="421FB577" w:rsidR="00292EDC" w:rsidRDefault="00292EDC" w:rsidP="004A17C8">
      <w:pPr>
        <w:pStyle w:val="BodyText"/>
        <w:keepNext/>
        <w:rPr>
          <w:sz w:val="22"/>
          <w:szCs w:val="22"/>
        </w:rPr>
      </w:pPr>
      <w:r>
        <w:rPr>
          <w:sz w:val="22"/>
          <w:szCs w:val="22"/>
        </w:rPr>
        <w:t>The</w:t>
      </w:r>
      <w:r w:rsidR="00B823D2">
        <w:rPr>
          <w:sz w:val="22"/>
          <w:szCs w:val="22"/>
        </w:rPr>
        <w:t xml:space="preserve"> </w:t>
      </w:r>
      <w:r>
        <w:rPr>
          <w:sz w:val="22"/>
          <w:szCs w:val="22"/>
        </w:rPr>
        <w:t xml:space="preserve">regulatory impact </w:t>
      </w:r>
      <w:r w:rsidR="00F10D3E">
        <w:rPr>
          <w:color w:val="auto"/>
          <w:sz w:val="22"/>
          <w:szCs w:val="22"/>
        </w:rPr>
        <w:t>analysis</w:t>
      </w:r>
      <w:r w:rsidR="00F10D3E" w:rsidRPr="00884548">
        <w:rPr>
          <w:sz w:val="24"/>
          <w:szCs w:val="22"/>
        </w:rPr>
        <w:t xml:space="preserve"> </w:t>
      </w:r>
      <w:r w:rsidR="00664FC7">
        <w:rPr>
          <w:sz w:val="22"/>
          <w:szCs w:val="22"/>
        </w:rPr>
        <w:t>finds</w:t>
      </w:r>
      <w:r>
        <w:rPr>
          <w:sz w:val="22"/>
          <w:szCs w:val="22"/>
        </w:rPr>
        <w:t xml:space="preserve"> Option 3 </w:t>
      </w:r>
      <w:r w:rsidR="00B823D2">
        <w:rPr>
          <w:sz w:val="22"/>
          <w:szCs w:val="22"/>
        </w:rPr>
        <w:t>as</w:t>
      </w:r>
      <w:r>
        <w:rPr>
          <w:sz w:val="22"/>
          <w:szCs w:val="22"/>
        </w:rPr>
        <w:t xml:space="preserve"> the preferred option (</w:t>
      </w:r>
      <w:r w:rsidR="007B425D">
        <w:rPr>
          <w:sz w:val="22"/>
          <w:szCs w:val="22"/>
        </w:rPr>
        <w:fldChar w:fldCharType="begin"/>
      </w:r>
      <w:r w:rsidR="007B425D">
        <w:rPr>
          <w:sz w:val="22"/>
          <w:szCs w:val="22"/>
        </w:rPr>
        <w:instrText xml:space="preserve"> REF _Ref129120135 \h </w:instrText>
      </w:r>
      <w:r w:rsidR="001E05AA">
        <w:rPr>
          <w:sz w:val="22"/>
          <w:szCs w:val="22"/>
        </w:rPr>
        <w:instrText xml:space="preserve"> \* MERGEFORMAT </w:instrText>
      </w:r>
      <w:r w:rsidR="007B425D">
        <w:rPr>
          <w:sz w:val="22"/>
          <w:szCs w:val="22"/>
        </w:rPr>
      </w:r>
      <w:r w:rsidR="007B425D">
        <w:rPr>
          <w:sz w:val="22"/>
          <w:szCs w:val="22"/>
        </w:rPr>
        <w:fldChar w:fldCharType="separate"/>
      </w:r>
      <w:r w:rsidR="0029517D" w:rsidRPr="00C12FCC">
        <w:rPr>
          <w:sz w:val="22"/>
          <w:szCs w:val="22"/>
        </w:rPr>
        <w:t>Table 7</w:t>
      </w:r>
      <w:r w:rsidR="0029517D">
        <w:t xml:space="preserve"> </w:t>
      </w:r>
      <w:r w:rsidR="007B425D">
        <w:rPr>
          <w:sz w:val="22"/>
          <w:szCs w:val="22"/>
        </w:rPr>
        <w:fldChar w:fldCharType="end"/>
      </w:r>
      <w:r w:rsidRPr="008862D1">
        <w:rPr>
          <w:sz w:val="22"/>
          <w:szCs w:val="22"/>
        </w:rPr>
        <w:fldChar w:fldCharType="begin"/>
      </w:r>
      <w:r w:rsidRPr="000C4C0A">
        <w:rPr>
          <w:sz w:val="22"/>
          <w:szCs w:val="22"/>
          <w:highlight w:val="yellow"/>
        </w:rPr>
        <w:instrText xml:space="preserve"> REF _Ref118763990 \h  \* MERGEFORMAT </w:instrText>
      </w:r>
      <w:r w:rsidRPr="008862D1">
        <w:rPr>
          <w:sz w:val="22"/>
          <w:szCs w:val="22"/>
        </w:rPr>
      </w:r>
      <w:r w:rsidRPr="008862D1">
        <w:rPr>
          <w:sz w:val="22"/>
          <w:szCs w:val="22"/>
        </w:rPr>
        <w:fldChar w:fldCharType="end"/>
      </w:r>
      <w:r w:rsidRPr="008862D1">
        <w:rPr>
          <w:sz w:val="22"/>
          <w:szCs w:val="22"/>
        </w:rPr>
        <w:t>)</w:t>
      </w:r>
      <w:r>
        <w:rPr>
          <w:sz w:val="22"/>
          <w:szCs w:val="22"/>
        </w:rPr>
        <w:t xml:space="preserve"> as it best balances the overarching objective</w:t>
      </w:r>
      <w:r w:rsidR="00B823D2">
        <w:rPr>
          <w:sz w:val="22"/>
          <w:szCs w:val="22"/>
        </w:rPr>
        <w:t>s and policy principles</w:t>
      </w:r>
      <w:r w:rsidR="00BA0EFC">
        <w:rPr>
          <w:sz w:val="22"/>
          <w:szCs w:val="22"/>
        </w:rPr>
        <w:t xml:space="preserve">, is estimated to </w:t>
      </w:r>
      <w:r w:rsidR="00E44FBC">
        <w:rPr>
          <w:sz w:val="22"/>
          <w:szCs w:val="22"/>
        </w:rPr>
        <w:t xml:space="preserve">deliver a </w:t>
      </w:r>
      <w:r w:rsidR="00BA0EFC">
        <w:rPr>
          <w:sz w:val="22"/>
          <w:szCs w:val="22"/>
        </w:rPr>
        <w:t>significant improvement</w:t>
      </w:r>
      <w:r w:rsidR="00E44FBC">
        <w:rPr>
          <w:sz w:val="22"/>
          <w:szCs w:val="22"/>
        </w:rPr>
        <w:t xml:space="preserve"> on outcomes</w:t>
      </w:r>
      <w:r w:rsidR="00BA0EFC">
        <w:rPr>
          <w:sz w:val="22"/>
          <w:szCs w:val="22"/>
        </w:rPr>
        <w:t xml:space="preserve"> relative to the </w:t>
      </w:r>
      <w:r w:rsidR="00E44FBC">
        <w:rPr>
          <w:sz w:val="22"/>
          <w:szCs w:val="22"/>
        </w:rPr>
        <w:t>status quo</w:t>
      </w:r>
      <w:r w:rsidR="00B823D2">
        <w:rPr>
          <w:sz w:val="22"/>
          <w:szCs w:val="22"/>
        </w:rPr>
        <w:t xml:space="preserve"> and addresses</w:t>
      </w:r>
      <w:r>
        <w:rPr>
          <w:sz w:val="22"/>
          <w:szCs w:val="22"/>
        </w:rPr>
        <w:t xml:space="preserve"> concerns raised by stakeholders in consultations undertaken to date by:</w:t>
      </w:r>
    </w:p>
    <w:p w14:paraId="19BC541F" w14:textId="1BB76C9B" w:rsidR="00292EDC" w:rsidRDefault="0015225A" w:rsidP="00292EDC">
      <w:pPr>
        <w:pStyle w:val="BodyText"/>
        <w:numPr>
          <w:ilvl w:val="0"/>
          <w:numId w:val="31"/>
        </w:numPr>
        <w:rPr>
          <w:sz w:val="22"/>
          <w:szCs w:val="22"/>
        </w:rPr>
      </w:pPr>
      <w:r>
        <w:rPr>
          <w:sz w:val="22"/>
          <w:szCs w:val="22"/>
        </w:rPr>
        <w:t>b</w:t>
      </w:r>
      <w:r w:rsidR="00292EDC">
        <w:rPr>
          <w:sz w:val="22"/>
          <w:szCs w:val="22"/>
        </w:rPr>
        <w:t xml:space="preserve">uilding on a </w:t>
      </w:r>
      <w:r w:rsidR="00292EDC" w:rsidRPr="00954DC3">
        <w:rPr>
          <w:sz w:val="22"/>
          <w:szCs w:val="22"/>
        </w:rPr>
        <w:t xml:space="preserve">legislated framework that businesses </w:t>
      </w:r>
      <w:r w:rsidR="007B425D">
        <w:rPr>
          <w:sz w:val="22"/>
          <w:szCs w:val="22"/>
        </w:rPr>
        <w:t>already comply with</w:t>
      </w:r>
      <w:r w:rsidR="00292EDC">
        <w:rPr>
          <w:sz w:val="22"/>
          <w:szCs w:val="22"/>
        </w:rPr>
        <w:t>.</w:t>
      </w:r>
    </w:p>
    <w:p w14:paraId="68F3E98B" w14:textId="55816461" w:rsidR="00292EDC" w:rsidRDefault="0015225A" w:rsidP="00292EDC">
      <w:pPr>
        <w:pStyle w:val="BodyText"/>
        <w:numPr>
          <w:ilvl w:val="0"/>
          <w:numId w:val="31"/>
        </w:numPr>
        <w:rPr>
          <w:sz w:val="22"/>
          <w:szCs w:val="22"/>
        </w:rPr>
      </w:pPr>
      <w:r>
        <w:rPr>
          <w:sz w:val="22"/>
          <w:szCs w:val="22"/>
        </w:rPr>
        <w:t>p</w:t>
      </w:r>
      <w:r w:rsidR="00292EDC">
        <w:rPr>
          <w:sz w:val="22"/>
          <w:szCs w:val="22"/>
        </w:rPr>
        <w:t>roviding stability by retaining the production adjusting baseline framework, and preventing carbon leakage</w:t>
      </w:r>
      <w:r>
        <w:rPr>
          <w:sz w:val="22"/>
          <w:szCs w:val="22"/>
        </w:rPr>
        <w:t xml:space="preserve">, </w:t>
      </w:r>
      <w:r w:rsidR="00292EDC">
        <w:rPr>
          <w:sz w:val="22"/>
          <w:szCs w:val="22"/>
        </w:rPr>
        <w:t>support</w:t>
      </w:r>
      <w:r>
        <w:rPr>
          <w:sz w:val="22"/>
          <w:szCs w:val="22"/>
        </w:rPr>
        <w:t>ing</w:t>
      </w:r>
      <w:r w:rsidR="00292EDC">
        <w:rPr>
          <w:sz w:val="22"/>
          <w:szCs w:val="22"/>
        </w:rPr>
        <w:t xml:space="preserve"> business competitiveness, and address</w:t>
      </w:r>
      <w:r>
        <w:rPr>
          <w:sz w:val="22"/>
          <w:szCs w:val="22"/>
        </w:rPr>
        <w:t>ing</w:t>
      </w:r>
      <w:r w:rsidR="00292EDC">
        <w:rPr>
          <w:sz w:val="22"/>
          <w:szCs w:val="22"/>
        </w:rPr>
        <w:t xml:space="preserve"> risks to reliably meeting 2030 target by </w:t>
      </w:r>
      <w:r w:rsidR="00664FC7">
        <w:rPr>
          <w:sz w:val="22"/>
          <w:szCs w:val="22"/>
        </w:rPr>
        <w:t>including</w:t>
      </w:r>
      <w:r w:rsidR="00292EDC">
        <w:rPr>
          <w:sz w:val="22"/>
          <w:szCs w:val="22"/>
        </w:rPr>
        <w:t xml:space="preserve"> a</w:t>
      </w:r>
      <w:r w:rsidR="00664FC7">
        <w:rPr>
          <w:sz w:val="22"/>
          <w:szCs w:val="22"/>
        </w:rPr>
        <w:t>n emissions</w:t>
      </w:r>
      <w:r w:rsidR="00292EDC">
        <w:rPr>
          <w:sz w:val="22"/>
          <w:szCs w:val="22"/>
        </w:rPr>
        <w:t xml:space="preserve"> reserve that will apply equitably to all </w:t>
      </w:r>
      <w:r w:rsidR="005A037E">
        <w:rPr>
          <w:sz w:val="22"/>
          <w:szCs w:val="22"/>
        </w:rPr>
        <w:t>S</w:t>
      </w:r>
      <w:r w:rsidR="00292EDC">
        <w:rPr>
          <w:sz w:val="22"/>
          <w:szCs w:val="22"/>
        </w:rPr>
        <w:t xml:space="preserve">afeguard </w:t>
      </w:r>
      <w:r w:rsidR="005A037E">
        <w:rPr>
          <w:sz w:val="22"/>
          <w:szCs w:val="22"/>
        </w:rPr>
        <w:t>M</w:t>
      </w:r>
      <w:r w:rsidR="00292EDC">
        <w:rPr>
          <w:sz w:val="22"/>
          <w:szCs w:val="22"/>
        </w:rPr>
        <w:t>echanism facilities</w:t>
      </w:r>
      <w:r w:rsidR="00C57A94">
        <w:rPr>
          <w:sz w:val="22"/>
          <w:szCs w:val="22"/>
        </w:rPr>
        <w:t>.</w:t>
      </w:r>
    </w:p>
    <w:p w14:paraId="70536C3A" w14:textId="5FF4C862" w:rsidR="00292EDC" w:rsidRDefault="0015225A" w:rsidP="00292EDC">
      <w:pPr>
        <w:pStyle w:val="BodyText"/>
        <w:numPr>
          <w:ilvl w:val="0"/>
          <w:numId w:val="31"/>
        </w:numPr>
        <w:rPr>
          <w:sz w:val="22"/>
          <w:szCs w:val="22"/>
        </w:rPr>
      </w:pPr>
      <w:r>
        <w:rPr>
          <w:sz w:val="22"/>
          <w:szCs w:val="22"/>
        </w:rPr>
        <w:t>a</w:t>
      </w:r>
      <w:r w:rsidR="00292EDC">
        <w:rPr>
          <w:sz w:val="22"/>
          <w:szCs w:val="22"/>
        </w:rPr>
        <w:t xml:space="preserve">ddressing </w:t>
      </w:r>
      <w:r w:rsidR="00453C2A">
        <w:rPr>
          <w:sz w:val="22"/>
          <w:szCs w:val="22"/>
        </w:rPr>
        <w:t>feedback from</w:t>
      </w:r>
      <w:r w:rsidR="00292EDC">
        <w:rPr>
          <w:sz w:val="22"/>
          <w:szCs w:val="22"/>
        </w:rPr>
        <w:t xml:space="preserve"> </w:t>
      </w:r>
      <w:r w:rsidR="00664FC7">
        <w:rPr>
          <w:sz w:val="22"/>
          <w:szCs w:val="22"/>
        </w:rPr>
        <w:t>S</w:t>
      </w:r>
      <w:r w:rsidR="00292EDC">
        <w:rPr>
          <w:sz w:val="22"/>
          <w:szCs w:val="22"/>
        </w:rPr>
        <w:t>afeguard businesses on baseline setting for existing facilities as well as legacy issues stemming from optionality in existing arrangements</w:t>
      </w:r>
      <w:r w:rsidR="00C57A94">
        <w:rPr>
          <w:sz w:val="22"/>
          <w:szCs w:val="22"/>
        </w:rPr>
        <w:t>.</w:t>
      </w:r>
    </w:p>
    <w:p w14:paraId="4B6BE8ED" w14:textId="4CB84E10" w:rsidR="0015225A" w:rsidRDefault="0015225A" w:rsidP="00292EDC">
      <w:pPr>
        <w:pStyle w:val="BodyText"/>
        <w:numPr>
          <w:ilvl w:val="1"/>
          <w:numId w:val="31"/>
        </w:numPr>
        <w:rPr>
          <w:sz w:val="22"/>
          <w:szCs w:val="22"/>
        </w:rPr>
      </w:pPr>
      <w:r>
        <w:rPr>
          <w:sz w:val="22"/>
          <w:szCs w:val="22"/>
        </w:rPr>
        <w:t>r</w:t>
      </w:r>
      <w:r w:rsidR="00292EDC">
        <w:rPr>
          <w:sz w:val="22"/>
          <w:szCs w:val="22"/>
        </w:rPr>
        <w:t xml:space="preserve">eforming the policy design to deliver a hybrid approach that ensures efficient long-term policy settings, maintains a strong investment signal, allows opportunities for </w:t>
      </w:r>
      <w:r w:rsidR="00453C2A">
        <w:rPr>
          <w:sz w:val="22"/>
          <w:szCs w:val="22"/>
        </w:rPr>
        <w:t>S</w:t>
      </w:r>
      <w:r w:rsidR="00292EDC">
        <w:rPr>
          <w:sz w:val="22"/>
          <w:szCs w:val="22"/>
        </w:rPr>
        <w:t xml:space="preserve">afeguard businesses to </w:t>
      </w:r>
      <w:r w:rsidR="00453C2A">
        <w:rPr>
          <w:sz w:val="22"/>
          <w:szCs w:val="22"/>
        </w:rPr>
        <w:t>access</w:t>
      </w:r>
      <w:r w:rsidR="00292EDC">
        <w:rPr>
          <w:sz w:val="22"/>
          <w:szCs w:val="22"/>
        </w:rPr>
        <w:t xml:space="preserve"> abatement opportunities while introducing obligations in manageable increments, and encourages production to occur where it is least emissions intensive</w:t>
      </w:r>
      <w:r w:rsidR="00C57A94">
        <w:rPr>
          <w:sz w:val="22"/>
          <w:szCs w:val="22"/>
        </w:rPr>
        <w:t>.</w:t>
      </w:r>
    </w:p>
    <w:p w14:paraId="05D3AFAE" w14:textId="3454CDD5" w:rsidR="00292EDC" w:rsidRDefault="0015225A" w:rsidP="00292EDC">
      <w:pPr>
        <w:pStyle w:val="BodyText"/>
        <w:numPr>
          <w:ilvl w:val="1"/>
          <w:numId w:val="31"/>
        </w:numPr>
        <w:rPr>
          <w:sz w:val="22"/>
          <w:szCs w:val="22"/>
        </w:rPr>
      </w:pPr>
      <w:r>
        <w:rPr>
          <w:sz w:val="22"/>
          <w:szCs w:val="22"/>
        </w:rPr>
        <w:t xml:space="preserve">limiting </w:t>
      </w:r>
      <w:r w:rsidR="00292EDC">
        <w:rPr>
          <w:sz w:val="22"/>
          <w:szCs w:val="22"/>
        </w:rPr>
        <w:t xml:space="preserve">excessive initial/short-term costs </w:t>
      </w:r>
      <w:r>
        <w:rPr>
          <w:sz w:val="22"/>
          <w:szCs w:val="22"/>
        </w:rPr>
        <w:t xml:space="preserve">via the hybrid approach </w:t>
      </w:r>
      <w:r w:rsidR="00292EDC">
        <w:rPr>
          <w:sz w:val="22"/>
          <w:szCs w:val="22"/>
        </w:rPr>
        <w:t xml:space="preserve">to meet declining baselines that will be concentrated for </w:t>
      </w:r>
      <w:r w:rsidR="00453C2A">
        <w:rPr>
          <w:sz w:val="22"/>
          <w:szCs w:val="22"/>
        </w:rPr>
        <w:t>some</w:t>
      </w:r>
      <w:r w:rsidR="00292EDC">
        <w:rPr>
          <w:sz w:val="22"/>
          <w:szCs w:val="22"/>
        </w:rPr>
        <w:t xml:space="preserve"> facilities</w:t>
      </w:r>
      <w:r w:rsidR="00453C2A">
        <w:rPr>
          <w:sz w:val="22"/>
          <w:szCs w:val="22"/>
        </w:rPr>
        <w:t xml:space="preserve"> under Option 1</w:t>
      </w:r>
      <w:r w:rsidR="00292EDC">
        <w:rPr>
          <w:sz w:val="22"/>
          <w:szCs w:val="22"/>
        </w:rPr>
        <w:t>, while still retaining overall policy objective of supporting emissions reduction outcomes and making low emitters more cost-competitive</w:t>
      </w:r>
      <w:r w:rsidR="00C57A94">
        <w:rPr>
          <w:sz w:val="22"/>
          <w:szCs w:val="22"/>
        </w:rPr>
        <w:t>.</w:t>
      </w:r>
    </w:p>
    <w:p w14:paraId="2507690D" w14:textId="34692844" w:rsidR="00292EDC" w:rsidRDefault="0015225A" w:rsidP="00292EDC">
      <w:pPr>
        <w:pStyle w:val="BodyText"/>
        <w:numPr>
          <w:ilvl w:val="1"/>
          <w:numId w:val="31"/>
        </w:numPr>
        <w:rPr>
          <w:sz w:val="22"/>
          <w:szCs w:val="22"/>
        </w:rPr>
      </w:pPr>
      <w:r>
        <w:rPr>
          <w:sz w:val="22"/>
          <w:szCs w:val="22"/>
        </w:rPr>
        <w:t>r</w:t>
      </w:r>
      <w:r w:rsidR="00292EDC">
        <w:rPr>
          <w:sz w:val="22"/>
          <w:szCs w:val="22"/>
        </w:rPr>
        <w:t>ecognising that the additional regulatory burden is more than offset by the benefits of the approach</w:t>
      </w:r>
      <w:r w:rsidR="00C57A94">
        <w:rPr>
          <w:sz w:val="22"/>
          <w:szCs w:val="22"/>
        </w:rPr>
        <w:t>.</w:t>
      </w:r>
    </w:p>
    <w:p w14:paraId="2855CC19" w14:textId="77777777" w:rsidR="00292EDC" w:rsidRDefault="0015225A" w:rsidP="00292EDC">
      <w:pPr>
        <w:pStyle w:val="BodyText"/>
        <w:numPr>
          <w:ilvl w:val="0"/>
          <w:numId w:val="31"/>
        </w:numPr>
        <w:rPr>
          <w:sz w:val="22"/>
          <w:szCs w:val="22"/>
        </w:rPr>
      </w:pPr>
      <w:r>
        <w:rPr>
          <w:sz w:val="22"/>
          <w:szCs w:val="22"/>
        </w:rPr>
        <w:t>r</w:t>
      </w:r>
      <w:r w:rsidR="00D72DA3">
        <w:rPr>
          <w:sz w:val="22"/>
          <w:szCs w:val="22"/>
        </w:rPr>
        <w:t>ecognising that t</w:t>
      </w:r>
      <w:r w:rsidR="00090064">
        <w:rPr>
          <w:sz w:val="22"/>
          <w:szCs w:val="22"/>
        </w:rPr>
        <w:t>here would be</w:t>
      </w:r>
      <w:r w:rsidR="00292EDC">
        <w:rPr>
          <w:sz w:val="22"/>
          <w:szCs w:val="22"/>
        </w:rPr>
        <w:t xml:space="preserve"> risks of applying less stringent </w:t>
      </w:r>
      <w:r w:rsidR="00292EDC" w:rsidRPr="003C5467">
        <w:rPr>
          <w:sz w:val="22"/>
          <w:szCs w:val="22"/>
        </w:rPr>
        <w:t xml:space="preserve">industry average benchmarks to new investments </w:t>
      </w:r>
      <w:r w:rsidR="00453C2A">
        <w:rPr>
          <w:sz w:val="22"/>
          <w:szCs w:val="22"/>
        </w:rPr>
        <w:t>which would</w:t>
      </w:r>
      <w:r w:rsidR="00292EDC" w:rsidRPr="003C5467">
        <w:rPr>
          <w:sz w:val="22"/>
          <w:szCs w:val="22"/>
        </w:rPr>
        <w:t xml:space="preserve"> </w:t>
      </w:r>
      <w:r w:rsidR="00292EDC">
        <w:rPr>
          <w:sz w:val="22"/>
          <w:szCs w:val="22"/>
        </w:rPr>
        <w:t>l</w:t>
      </w:r>
      <w:r w:rsidR="00292EDC" w:rsidRPr="003C5467">
        <w:rPr>
          <w:sz w:val="22"/>
          <w:szCs w:val="22"/>
        </w:rPr>
        <w:t xml:space="preserve">ock-in </w:t>
      </w:r>
      <w:r w:rsidR="00292EDC">
        <w:rPr>
          <w:sz w:val="22"/>
          <w:szCs w:val="22"/>
        </w:rPr>
        <w:t>l</w:t>
      </w:r>
      <w:r w:rsidR="00292EDC" w:rsidRPr="003C5467">
        <w:rPr>
          <w:sz w:val="22"/>
          <w:szCs w:val="22"/>
        </w:rPr>
        <w:t>ong lived assets</w:t>
      </w:r>
      <w:r w:rsidR="00090064">
        <w:rPr>
          <w:sz w:val="22"/>
          <w:szCs w:val="22"/>
        </w:rPr>
        <w:t>, n</w:t>
      </w:r>
      <w:r w:rsidR="00453C2A">
        <w:rPr>
          <w:sz w:val="22"/>
          <w:szCs w:val="22"/>
        </w:rPr>
        <w:t>oting new</w:t>
      </w:r>
      <w:r w:rsidR="00292EDC">
        <w:rPr>
          <w:sz w:val="22"/>
          <w:szCs w:val="22"/>
        </w:rPr>
        <w:t xml:space="preserve"> facilities</w:t>
      </w:r>
      <w:r w:rsidR="00292EDC" w:rsidRPr="003C5467">
        <w:rPr>
          <w:sz w:val="22"/>
          <w:szCs w:val="22"/>
        </w:rPr>
        <w:t xml:space="preserve"> could operate for decades, making net zero harder to achieve.</w:t>
      </w:r>
      <w:r w:rsidR="00292EDC">
        <w:rPr>
          <w:sz w:val="22"/>
          <w:szCs w:val="22"/>
        </w:rPr>
        <w:t xml:space="preserve"> </w:t>
      </w:r>
      <w:r w:rsidR="00453C2A">
        <w:rPr>
          <w:sz w:val="22"/>
          <w:szCs w:val="22"/>
        </w:rPr>
        <w:t>The p</w:t>
      </w:r>
      <w:r w:rsidR="00292EDC">
        <w:rPr>
          <w:sz w:val="22"/>
          <w:szCs w:val="22"/>
        </w:rPr>
        <w:t xml:space="preserve">referred </w:t>
      </w:r>
      <w:r w:rsidR="00453C2A">
        <w:rPr>
          <w:sz w:val="22"/>
          <w:szCs w:val="22"/>
        </w:rPr>
        <w:t>option</w:t>
      </w:r>
      <w:r w:rsidR="00292EDC">
        <w:rPr>
          <w:sz w:val="22"/>
          <w:szCs w:val="22"/>
        </w:rPr>
        <w:t xml:space="preserve"> of international best-practice benchmarks meets the objective of the reforms while reducing competitive distortion, and aligns </w:t>
      </w:r>
      <w:r w:rsidR="00453C2A">
        <w:rPr>
          <w:sz w:val="22"/>
          <w:szCs w:val="22"/>
        </w:rPr>
        <w:t>S</w:t>
      </w:r>
      <w:r w:rsidR="00292EDC">
        <w:rPr>
          <w:sz w:val="22"/>
          <w:szCs w:val="22"/>
        </w:rPr>
        <w:t xml:space="preserve">afeguard reform settings with </w:t>
      </w:r>
      <w:r w:rsidR="00453C2A">
        <w:rPr>
          <w:sz w:val="22"/>
          <w:szCs w:val="22"/>
        </w:rPr>
        <w:t xml:space="preserve">the </w:t>
      </w:r>
      <w:r w:rsidR="00292EDC">
        <w:rPr>
          <w:sz w:val="22"/>
          <w:szCs w:val="22"/>
        </w:rPr>
        <w:t xml:space="preserve">emissions reduction </w:t>
      </w:r>
      <w:r w:rsidR="00453C2A">
        <w:rPr>
          <w:sz w:val="22"/>
          <w:szCs w:val="22"/>
        </w:rPr>
        <w:t xml:space="preserve">required </w:t>
      </w:r>
      <w:r w:rsidR="00292EDC">
        <w:rPr>
          <w:sz w:val="22"/>
          <w:szCs w:val="22"/>
        </w:rPr>
        <w:t>for meeting Australia’s 2050 commitment.</w:t>
      </w:r>
    </w:p>
    <w:p w14:paraId="7E83B3A5" w14:textId="77777777" w:rsidR="00292EDC" w:rsidRDefault="0015225A" w:rsidP="00292EDC">
      <w:pPr>
        <w:pStyle w:val="BodyText"/>
        <w:numPr>
          <w:ilvl w:val="1"/>
          <w:numId w:val="31"/>
        </w:numPr>
        <w:rPr>
          <w:sz w:val="22"/>
          <w:szCs w:val="22"/>
        </w:rPr>
      </w:pPr>
      <w:r>
        <w:rPr>
          <w:sz w:val="22"/>
          <w:szCs w:val="22"/>
        </w:rPr>
        <w:t>e</w:t>
      </w:r>
      <w:r w:rsidR="00292EDC">
        <w:rPr>
          <w:sz w:val="22"/>
          <w:szCs w:val="22"/>
        </w:rPr>
        <w:t xml:space="preserve">xtending best-practice benchmarks to </w:t>
      </w:r>
      <w:r w:rsidR="00292EDC" w:rsidRPr="009477D7">
        <w:rPr>
          <w:sz w:val="22"/>
          <w:szCs w:val="22"/>
        </w:rPr>
        <w:t>existing Safeguard facilities that invest in new plant and equipment resulting in the use of a new production variable</w:t>
      </w:r>
      <w:r w:rsidR="00292EDC">
        <w:rPr>
          <w:sz w:val="22"/>
          <w:szCs w:val="22"/>
        </w:rPr>
        <w:t xml:space="preserve"> reduces competitive distortions between existing and new facilities while limiting opportunities for gaming facility definitions under </w:t>
      </w:r>
      <w:proofErr w:type="spellStart"/>
      <w:r w:rsidR="00292EDC">
        <w:rPr>
          <w:sz w:val="22"/>
          <w:szCs w:val="22"/>
        </w:rPr>
        <w:t>NGERs</w:t>
      </w:r>
      <w:proofErr w:type="spellEnd"/>
      <w:r w:rsidR="00292EDC" w:rsidRPr="009477D7">
        <w:rPr>
          <w:sz w:val="22"/>
          <w:szCs w:val="22"/>
        </w:rPr>
        <w:t>.</w:t>
      </w:r>
    </w:p>
    <w:p w14:paraId="1D8FB59B" w14:textId="70F442B4" w:rsidR="00464F85" w:rsidRDefault="00464F85" w:rsidP="00292EDC">
      <w:pPr>
        <w:pStyle w:val="BodyText"/>
        <w:numPr>
          <w:ilvl w:val="1"/>
          <w:numId w:val="31"/>
        </w:numPr>
        <w:rPr>
          <w:sz w:val="22"/>
          <w:szCs w:val="22"/>
        </w:rPr>
      </w:pPr>
      <w:r>
        <w:rPr>
          <w:sz w:val="22"/>
          <w:szCs w:val="22"/>
        </w:rPr>
        <w:t xml:space="preserve">extending best-practice benchmarks </w:t>
      </w:r>
      <w:r w:rsidRPr="00464F85">
        <w:rPr>
          <w:sz w:val="22"/>
          <w:szCs w:val="22"/>
        </w:rPr>
        <w:t xml:space="preserve">to new oil and gas fields supplying an LNG train. This will provide certainty that all developments that open a new oil and gas filed to supply an LNG train </w:t>
      </w:r>
      <w:r w:rsidRPr="00464F85">
        <w:rPr>
          <w:sz w:val="22"/>
          <w:szCs w:val="22"/>
        </w:rPr>
        <w:lastRenderedPageBreak/>
        <w:t>will be treated the same with respect to their reservoir carbon dioxide emissions for the purposes of the Safeguard Mechanism.</w:t>
      </w:r>
    </w:p>
    <w:p w14:paraId="2D36CE1B" w14:textId="77777777" w:rsidR="00292EDC" w:rsidRDefault="0015225A" w:rsidP="00292EDC">
      <w:pPr>
        <w:pStyle w:val="BodyText"/>
        <w:numPr>
          <w:ilvl w:val="0"/>
          <w:numId w:val="31"/>
        </w:numPr>
        <w:rPr>
          <w:sz w:val="22"/>
          <w:szCs w:val="22"/>
        </w:rPr>
      </w:pPr>
      <w:r>
        <w:rPr>
          <w:sz w:val="22"/>
          <w:szCs w:val="22"/>
        </w:rPr>
        <w:t>r</w:t>
      </w:r>
      <w:r w:rsidR="00D229CA">
        <w:rPr>
          <w:sz w:val="22"/>
          <w:szCs w:val="22"/>
        </w:rPr>
        <w:t>ecognising stro</w:t>
      </w:r>
      <w:r w:rsidR="00292EDC">
        <w:rPr>
          <w:sz w:val="22"/>
          <w:szCs w:val="22"/>
        </w:rPr>
        <w:t>ng stakeholder support for flexible compliance options that achieve lowest cost abatement by introducing flexible yet targeted compliance arrangements that improve scheme efficiency, and help reduce facility compliance costs without jeopardising scheme effectiveness.</w:t>
      </w:r>
    </w:p>
    <w:p w14:paraId="2A8DB0A3" w14:textId="3ED6EFD2" w:rsidR="0015225A" w:rsidRDefault="0015225A" w:rsidP="00292EDC">
      <w:pPr>
        <w:pStyle w:val="BodyText"/>
        <w:numPr>
          <w:ilvl w:val="1"/>
          <w:numId w:val="31"/>
        </w:numPr>
        <w:rPr>
          <w:sz w:val="22"/>
          <w:szCs w:val="22"/>
        </w:rPr>
      </w:pPr>
      <w:r>
        <w:rPr>
          <w:sz w:val="22"/>
          <w:szCs w:val="22"/>
        </w:rPr>
        <w:t>r</w:t>
      </w:r>
      <w:r w:rsidR="00292EDC">
        <w:rPr>
          <w:sz w:val="22"/>
          <w:szCs w:val="22"/>
        </w:rPr>
        <w:t xml:space="preserve">ecognising the risks from allowing banking and borrowing beyond 2030 to meeting emissions reduction commitments to 2030 and carrying forward </w:t>
      </w:r>
      <w:r w:rsidR="006D73EF">
        <w:rPr>
          <w:sz w:val="22"/>
          <w:szCs w:val="22"/>
        </w:rPr>
        <w:t>low-cost</w:t>
      </w:r>
      <w:r w:rsidR="00292EDC">
        <w:rPr>
          <w:sz w:val="22"/>
          <w:szCs w:val="22"/>
        </w:rPr>
        <w:t xml:space="preserve"> SMCs to the next decade if initial policy settings are not calibrated correctly, respectively. </w:t>
      </w:r>
      <w:r w:rsidR="006D73EF">
        <w:rPr>
          <w:sz w:val="22"/>
          <w:szCs w:val="22"/>
        </w:rPr>
        <w:t>Option 3</w:t>
      </w:r>
      <w:r w:rsidR="00292EDC">
        <w:rPr>
          <w:sz w:val="22"/>
          <w:szCs w:val="22"/>
        </w:rPr>
        <w:t xml:space="preserve"> promotes price stability while calibrating baseline decline to meet the target</w:t>
      </w:r>
      <w:r w:rsidR="00453C2A">
        <w:rPr>
          <w:sz w:val="22"/>
          <w:szCs w:val="22"/>
        </w:rPr>
        <w:t xml:space="preserve"> </w:t>
      </w:r>
      <w:r w:rsidR="00874265">
        <w:rPr>
          <w:sz w:val="22"/>
          <w:szCs w:val="22"/>
        </w:rPr>
        <w:t>of no more than 100 million</w:t>
      </w:r>
      <w:r w:rsidR="0004446E">
        <w:rPr>
          <w:sz w:val="22"/>
          <w:szCs w:val="22"/>
        </w:rPr>
        <w:t xml:space="preserve"> tonnes CO</w:t>
      </w:r>
      <w:r w:rsidR="0004446E" w:rsidRPr="0004446E">
        <w:rPr>
          <w:sz w:val="22"/>
          <w:szCs w:val="22"/>
          <w:vertAlign w:val="subscript"/>
        </w:rPr>
        <w:t>2</w:t>
      </w:r>
      <w:r w:rsidR="0004446E">
        <w:rPr>
          <w:sz w:val="22"/>
          <w:szCs w:val="22"/>
        </w:rPr>
        <w:t>-e</w:t>
      </w:r>
      <w:r w:rsidR="00874265">
        <w:rPr>
          <w:sz w:val="22"/>
          <w:szCs w:val="22"/>
        </w:rPr>
        <w:t xml:space="preserve"> </w:t>
      </w:r>
      <w:r w:rsidR="00453C2A">
        <w:rPr>
          <w:sz w:val="22"/>
          <w:szCs w:val="22"/>
        </w:rPr>
        <w:t>in 2030</w:t>
      </w:r>
      <w:r w:rsidR="00292EDC">
        <w:rPr>
          <w:sz w:val="22"/>
          <w:szCs w:val="22"/>
        </w:rPr>
        <w:t>.</w:t>
      </w:r>
    </w:p>
    <w:p w14:paraId="18BE13FD" w14:textId="77777777" w:rsidR="0015225A" w:rsidRPr="0015225A" w:rsidRDefault="0015225A" w:rsidP="00B00BDD">
      <w:pPr>
        <w:pStyle w:val="BodyText"/>
        <w:numPr>
          <w:ilvl w:val="0"/>
          <w:numId w:val="31"/>
        </w:numPr>
        <w:rPr>
          <w:sz w:val="22"/>
          <w:szCs w:val="22"/>
        </w:rPr>
      </w:pPr>
      <w:r w:rsidRPr="0015225A">
        <w:rPr>
          <w:sz w:val="22"/>
          <w:szCs w:val="22"/>
        </w:rPr>
        <w:t>a</w:t>
      </w:r>
      <w:r w:rsidR="00292EDC" w:rsidRPr="0015225A">
        <w:rPr>
          <w:sz w:val="22"/>
          <w:szCs w:val="22"/>
        </w:rPr>
        <w:t xml:space="preserve">ddressing </w:t>
      </w:r>
      <w:r w:rsidR="00453C2A" w:rsidRPr="0015225A">
        <w:rPr>
          <w:sz w:val="22"/>
          <w:szCs w:val="22"/>
        </w:rPr>
        <w:t>S</w:t>
      </w:r>
      <w:r w:rsidR="00292EDC" w:rsidRPr="0015225A">
        <w:rPr>
          <w:sz w:val="22"/>
          <w:szCs w:val="22"/>
        </w:rPr>
        <w:t>afeguard businesses’ concerns around</w:t>
      </w:r>
      <w:r>
        <w:rPr>
          <w:sz w:val="22"/>
          <w:szCs w:val="22"/>
        </w:rPr>
        <w:t>:</w:t>
      </w:r>
    </w:p>
    <w:p w14:paraId="4F11A248" w14:textId="36A76749" w:rsidR="00292EDC" w:rsidRDefault="00292EDC" w:rsidP="0015225A">
      <w:pPr>
        <w:pStyle w:val="BodyText"/>
        <w:numPr>
          <w:ilvl w:val="1"/>
          <w:numId w:val="31"/>
        </w:numPr>
        <w:rPr>
          <w:sz w:val="22"/>
          <w:szCs w:val="22"/>
        </w:rPr>
      </w:pPr>
      <w:r>
        <w:rPr>
          <w:sz w:val="22"/>
          <w:szCs w:val="22"/>
        </w:rPr>
        <w:t xml:space="preserve">excessive price risks from </w:t>
      </w:r>
      <w:proofErr w:type="spellStart"/>
      <w:r>
        <w:rPr>
          <w:sz w:val="22"/>
          <w:szCs w:val="22"/>
        </w:rPr>
        <w:t>ACCU</w:t>
      </w:r>
      <w:proofErr w:type="spellEnd"/>
      <w:r>
        <w:rPr>
          <w:sz w:val="22"/>
          <w:szCs w:val="22"/>
        </w:rPr>
        <w:t xml:space="preserve"> market instability and </w:t>
      </w:r>
      <w:r w:rsidR="00090064">
        <w:rPr>
          <w:sz w:val="22"/>
          <w:szCs w:val="22"/>
        </w:rPr>
        <w:t>calls</w:t>
      </w:r>
      <w:r>
        <w:rPr>
          <w:sz w:val="22"/>
          <w:szCs w:val="22"/>
        </w:rPr>
        <w:t xml:space="preserve"> for a </w:t>
      </w:r>
      <w:r w:rsidR="00090064">
        <w:rPr>
          <w:sz w:val="22"/>
          <w:szCs w:val="22"/>
        </w:rPr>
        <w:t xml:space="preserve">cost </w:t>
      </w:r>
      <w:r>
        <w:rPr>
          <w:sz w:val="22"/>
          <w:szCs w:val="22"/>
        </w:rPr>
        <w:t xml:space="preserve">containment measure by introducing a cost containment measure that </w:t>
      </w:r>
      <w:r w:rsidRPr="002047A5">
        <w:rPr>
          <w:sz w:val="22"/>
          <w:szCs w:val="22"/>
        </w:rPr>
        <w:t xml:space="preserve">will </w:t>
      </w:r>
      <w:r>
        <w:rPr>
          <w:sz w:val="22"/>
          <w:szCs w:val="22"/>
        </w:rPr>
        <w:t xml:space="preserve">be </w:t>
      </w:r>
      <w:r w:rsidRPr="002047A5">
        <w:rPr>
          <w:sz w:val="22"/>
          <w:szCs w:val="22"/>
        </w:rPr>
        <w:t>set a</w:t>
      </w:r>
      <w:r>
        <w:rPr>
          <w:sz w:val="22"/>
          <w:szCs w:val="22"/>
        </w:rPr>
        <w:t>t</w:t>
      </w:r>
      <w:r w:rsidRPr="002047A5">
        <w:rPr>
          <w:sz w:val="22"/>
          <w:szCs w:val="22"/>
        </w:rPr>
        <w:t xml:space="preserve"> $7</w:t>
      </w:r>
      <w:r w:rsidR="00453C2A">
        <w:rPr>
          <w:sz w:val="22"/>
          <w:szCs w:val="22"/>
        </w:rPr>
        <w:t>5</w:t>
      </w:r>
      <w:r w:rsidRPr="002047A5">
        <w:rPr>
          <w:sz w:val="22"/>
          <w:szCs w:val="22"/>
        </w:rPr>
        <w:t xml:space="preserve"> per tonne of CO</w:t>
      </w:r>
      <w:r w:rsidRPr="005A037E">
        <w:rPr>
          <w:sz w:val="22"/>
          <w:szCs w:val="22"/>
          <w:vertAlign w:val="subscript"/>
        </w:rPr>
        <w:t>2</w:t>
      </w:r>
      <w:r w:rsidR="00453C2A">
        <w:rPr>
          <w:sz w:val="22"/>
          <w:szCs w:val="22"/>
        </w:rPr>
        <w:t>-</w:t>
      </w:r>
      <w:r w:rsidRPr="002047A5">
        <w:rPr>
          <w:sz w:val="22"/>
          <w:szCs w:val="22"/>
        </w:rPr>
        <w:t>e in 2023-24, indexed to</w:t>
      </w:r>
      <w:r w:rsidR="00D75DA0">
        <w:rPr>
          <w:sz w:val="22"/>
          <w:szCs w:val="22"/>
        </w:rPr>
        <w:t xml:space="preserve"> the Consumer Price Index (CPI) plus 2 per cent</w:t>
      </w:r>
      <w:r w:rsidRPr="002047A5">
        <w:rPr>
          <w:sz w:val="22"/>
          <w:szCs w:val="22"/>
        </w:rPr>
        <w:t xml:space="preserve"> over time</w:t>
      </w:r>
      <w:r w:rsidR="00C57A94">
        <w:rPr>
          <w:sz w:val="22"/>
          <w:szCs w:val="22"/>
        </w:rPr>
        <w:t>.</w:t>
      </w:r>
    </w:p>
    <w:p w14:paraId="728B8808" w14:textId="4F322360" w:rsidR="0015225A" w:rsidRDefault="00292EDC" w:rsidP="0015225A">
      <w:pPr>
        <w:pStyle w:val="BodyText"/>
        <w:numPr>
          <w:ilvl w:val="1"/>
          <w:numId w:val="31"/>
        </w:numPr>
        <w:rPr>
          <w:sz w:val="22"/>
          <w:szCs w:val="22"/>
        </w:rPr>
      </w:pPr>
      <w:r>
        <w:rPr>
          <w:sz w:val="22"/>
          <w:szCs w:val="22"/>
        </w:rPr>
        <w:t xml:space="preserve">limited abatement opportunities for some </w:t>
      </w:r>
      <w:r w:rsidR="003326DF">
        <w:rPr>
          <w:sz w:val="22"/>
          <w:szCs w:val="22"/>
        </w:rPr>
        <w:t>Safeguard</w:t>
      </w:r>
      <w:r>
        <w:rPr>
          <w:sz w:val="22"/>
          <w:szCs w:val="22"/>
        </w:rPr>
        <w:t xml:space="preserve"> sub-sectors by </w:t>
      </w:r>
      <w:r w:rsidR="00CB7174">
        <w:rPr>
          <w:sz w:val="22"/>
          <w:szCs w:val="22"/>
        </w:rPr>
        <w:t xml:space="preserve">granting </w:t>
      </w:r>
      <w:r>
        <w:rPr>
          <w:sz w:val="22"/>
          <w:szCs w:val="22"/>
        </w:rPr>
        <w:t>a targeted 5-year multi-year monitoring period (</w:t>
      </w:r>
      <w:proofErr w:type="spellStart"/>
      <w:r>
        <w:rPr>
          <w:sz w:val="22"/>
          <w:szCs w:val="22"/>
        </w:rPr>
        <w:t>MYMP</w:t>
      </w:r>
      <w:proofErr w:type="spellEnd"/>
      <w:r>
        <w:rPr>
          <w:sz w:val="22"/>
          <w:szCs w:val="22"/>
        </w:rPr>
        <w:t>) arrangement that will allow those businesses to smooth out abatement trajectories to average out an exceedance in an initial year(s) with below baseline emissions in later years, after a facility has implemented a</w:t>
      </w:r>
      <w:r w:rsidR="00B9315A">
        <w:rPr>
          <w:sz w:val="22"/>
          <w:szCs w:val="22"/>
        </w:rPr>
        <w:t>n abatement</w:t>
      </w:r>
      <w:r>
        <w:rPr>
          <w:sz w:val="22"/>
          <w:szCs w:val="22"/>
        </w:rPr>
        <w:t xml:space="preserve"> project</w:t>
      </w:r>
      <w:r w:rsidR="00C57A94">
        <w:rPr>
          <w:sz w:val="22"/>
          <w:szCs w:val="22"/>
        </w:rPr>
        <w:t>.</w:t>
      </w:r>
    </w:p>
    <w:p w14:paraId="6DEE9FFA" w14:textId="356FF02F" w:rsidR="00292EDC" w:rsidRDefault="00292EDC" w:rsidP="0015225A">
      <w:pPr>
        <w:pStyle w:val="BodyText"/>
        <w:numPr>
          <w:ilvl w:val="1"/>
          <w:numId w:val="31"/>
        </w:numPr>
        <w:rPr>
          <w:sz w:val="22"/>
          <w:szCs w:val="22"/>
        </w:rPr>
      </w:pPr>
      <w:r>
        <w:rPr>
          <w:sz w:val="22"/>
          <w:szCs w:val="22"/>
        </w:rPr>
        <w:t>restrict</w:t>
      </w:r>
      <w:r w:rsidR="0015225A">
        <w:rPr>
          <w:sz w:val="22"/>
          <w:szCs w:val="22"/>
        </w:rPr>
        <w:t>ed</w:t>
      </w:r>
      <w:r>
        <w:rPr>
          <w:sz w:val="22"/>
          <w:szCs w:val="22"/>
        </w:rPr>
        <w:t xml:space="preserve"> eligibility </w:t>
      </w:r>
      <w:r w:rsidR="0015225A">
        <w:rPr>
          <w:sz w:val="22"/>
          <w:szCs w:val="22"/>
        </w:rPr>
        <w:t xml:space="preserve">for the preferred </w:t>
      </w:r>
      <w:proofErr w:type="spellStart"/>
      <w:r w:rsidR="00C57A94">
        <w:rPr>
          <w:sz w:val="22"/>
          <w:szCs w:val="22"/>
        </w:rPr>
        <w:t>MYMP</w:t>
      </w:r>
      <w:proofErr w:type="spellEnd"/>
      <w:r w:rsidR="00C57A94">
        <w:rPr>
          <w:sz w:val="22"/>
          <w:szCs w:val="22"/>
        </w:rPr>
        <w:t xml:space="preserve"> </w:t>
      </w:r>
      <w:r w:rsidR="0015225A">
        <w:rPr>
          <w:sz w:val="22"/>
          <w:szCs w:val="22"/>
        </w:rPr>
        <w:t xml:space="preserve">option </w:t>
      </w:r>
      <w:r>
        <w:rPr>
          <w:sz w:val="22"/>
          <w:szCs w:val="22"/>
        </w:rPr>
        <w:t xml:space="preserve">only to those that can be under the five year declining baseline, and therefore reduces the risk of </w:t>
      </w:r>
      <w:proofErr w:type="spellStart"/>
      <w:r>
        <w:rPr>
          <w:sz w:val="22"/>
          <w:szCs w:val="22"/>
        </w:rPr>
        <w:t>MYMP</w:t>
      </w:r>
      <w:proofErr w:type="spellEnd"/>
      <w:r>
        <w:rPr>
          <w:sz w:val="22"/>
          <w:szCs w:val="22"/>
        </w:rPr>
        <w:t xml:space="preserve"> being used to defer liability. </w:t>
      </w:r>
      <w:r w:rsidR="00453C2A">
        <w:rPr>
          <w:sz w:val="22"/>
          <w:szCs w:val="22"/>
        </w:rPr>
        <w:t>The p</w:t>
      </w:r>
      <w:r>
        <w:rPr>
          <w:sz w:val="22"/>
          <w:szCs w:val="22"/>
        </w:rPr>
        <w:t>referred option also allows for a review for further recalibration.</w:t>
      </w:r>
    </w:p>
    <w:p w14:paraId="767C2A6F" w14:textId="280AD691" w:rsidR="002C6C66" w:rsidRDefault="0015225A" w:rsidP="002C6C66">
      <w:pPr>
        <w:pStyle w:val="BodyText"/>
        <w:numPr>
          <w:ilvl w:val="0"/>
          <w:numId w:val="31"/>
        </w:numPr>
        <w:rPr>
          <w:sz w:val="22"/>
          <w:szCs w:val="22"/>
        </w:rPr>
      </w:pPr>
      <w:r>
        <w:rPr>
          <w:sz w:val="22"/>
          <w:szCs w:val="22"/>
        </w:rPr>
        <w:t>p</w:t>
      </w:r>
      <w:r w:rsidR="002C6C66">
        <w:rPr>
          <w:sz w:val="22"/>
          <w:szCs w:val="22"/>
        </w:rPr>
        <w:t xml:space="preserve">roposing tailored and targeted treatment to </w:t>
      </w:r>
      <w:proofErr w:type="spellStart"/>
      <w:r w:rsidR="002C6C66" w:rsidRPr="002C6C66">
        <w:rPr>
          <w:sz w:val="22"/>
          <w:szCs w:val="22"/>
        </w:rPr>
        <w:t>EITE</w:t>
      </w:r>
      <w:proofErr w:type="spellEnd"/>
      <w:r w:rsidR="002C6C66" w:rsidRPr="002C6C66">
        <w:rPr>
          <w:sz w:val="22"/>
          <w:szCs w:val="22"/>
        </w:rPr>
        <w:t xml:space="preserve"> facilities to manage competitiveness and carbon leakage risks</w:t>
      </w:r>
      <w:r w:rsidR="002C6C66">
        <w:rPr>
          <w:sz w:val="22"/>
          <w:szCs w:val="22"/>
        </w:rPr>
        <w:t xml:space="preserve">. </w:t>
      </w:r>
    </w:p>
    <w:p w14:paraId="1474E4D4" w14:textId="77777777" w:rsidR="002C6C66" w:rsidRDefault="0015225A" w:rsidP="005A037E">
      <w:pPr>
        <w:pStyle w:val="BodyText"/>
        <w:numPr>
          <w:ilvl w:val="1"/>
          <w:numId w:val="31"/>
        </w:numPr>
        <w:rPr>
          <w:sz w:val="22"/>
          <w:szCs w:val="22"/>
        </w:rPr>
      </w:pPr>
      <w:r>
        <w:rPr>
          <w:sz w:val="22"/>
          <w:szCs w:val="22"/>
        </w:rPr>
        <w:t>a</w:t>
      </w:r>
      <w:r w:rsidR="002C6C66">
        <w:rPr>
          <w:sz w:val="22"/>
          <w:szCs w:val="22"/>
        </w:rPr>
        <w:t xml:space="preserve">ssessing the RET criteria as unsuitable as it is based on </w:t>
      </w:r>
      <w:r w:rsidR="002C6C66" w:rsidRPr="002C6C66">
        <w:rPr>
          <w:sz w:val="22"/>
          <w:szCs w:val="22"/>
        </w:rPr>
        <w:t>data that is 15-20 years old, and includes the cost of scope 2 emissions which are not covered by the Safeguard Mechanism</w:t>
      </w:r>
      <w:r w:rsidR="002C6C66">
        <w:rPr>
          <w:sz w:val="22"/>
          <w:szCs w:val="22"/>
        </w:rPr>
        <w:t>.</w:t>
      </w:r>
    </w:p>
    <w:p w14:paraId="637B6045" w14:textId="64C6048D" w:rsidR="002C6C66" w:rsidRDefault="0015225A" w:rsidP="005A037E">
      <w:pPr>
        <w:pStyle w:val="BodyText"/>
        <w:numPr>
          <w:ilvl w:val="1"/>
          <w:numId w:val="31"/>
        </w:numPr>
        <w:rPr>
          <w:sz w:val="22"/>
          <w:szCs w:val="22"/>
        </w:rPr>
      </w:pPr>
      <w:r>
        <w:rPr>
          <w:sz w:val="22"/>
          <w:szCs w:val="22"/>
        </w:rPr>
        <w:t>i</w:t>
      </w:r>
      <w:r w:rsidR="002C6C66">
        <w:rPr>
          <w:sz w:val="22"/>
          <w:szCs w:val="22"/>
        </w:rPr>
        <w:t xml:space="preserve">ntroducing transparency by reassessing </w:t>
      </w:r>
      <w:r w:rsidR="002C6C66" w:rsidRPr="002C6C66">
        <w:rPr>
          <w:sz w:val="22"/>
          <w:szCs w:val="22"/>
        </w:rPr>
        <w:t>the trade-exposure of activities</w:t>
      </w:r>
      <w:r w:rsidR="00C57A94">
        <w:rPr>
          <w:sz w:val="22"/>
          <w:szCs w:val="22"/>
        </w:rPr>
        <w:t>.</w:t>
      </w:r>
    </w:p>
    <w:p w14:paraId="39BBD4F0" w14:textId="77777777" w:rsidR="002C6C66" w:rsidRDefault="0015225A" w:rsidP="005A037E">
      <w:pPr>
        <w:pStyle w:val="BodyText"/>
        <w:numPr>
          <w:ilvl w:val="1"/>
          <w:numId w:val="31"/>
        </w:numPr>
        <w:rPr>
          <w:sz w:val="22"/>
          <w:szCs w:val="22"/>
        </w:rPr>
      </w:pPr>
      <w:r>
        <w:rPr>
          <w:sz w:val="22"/>
          <w:szCs w:val="22"/>
        </w:rPr>
        <w:t>p</w:t>
      </w:r>
      <w:r w:rsidR="00CF60CA">
        <w:rPr>
          <w:sz w:val="22"/>
          <w:szCs w:val="22"/>
        </w:rPr>
        <w:t>roposing targeted financial assistance and concessional decline rates (determined on cost impact threshold) for facilities facing concentrated impacts, thereby reducing competition concerns while still maintaining appropriate abatement incentives and ensuring</w:t>
      </w:r>
      <w:r w:rsidR="00CF60CA" w:rsidRPr="00CF60CA">
        <w:rPr>
          <w:sz w:val="22"/>
          <w:szCs w:val="22"/>
        </w:rPr>
        <w:t xml:space="preserve"> that all facilities are contributing to Australia’s emission reduction targets.</w:t>
      </w:r>
      <w:r w:rsidR="00CF60CA">
        <w:rPr>
          <w:sz w:val="22"/>
          <w:szCs w:val="22"/>
        </w:rPr>
        <w:t xml:space="preserve"> </w:t>
      </w:r>
    </w:p>
    <w:p w14:paraId="75E4DF97" w14:textId="32256070" w:rsidR="000659BD" w:rsidRDefault="000659BD" w:rsidP="005A037E">
      <w:pPr>
        <w:pStyle w:val="BodyText"/>
        <w:numPr>
          <w:ilvl w:val="1"/>
          <w:numId w:val="31"/>
        </w:numPr>
        <w:rPr>
          <w:sz w:val="22"/>
          <w:szCs w:val="22"/>
        </w:rPr>
      </w:pPr>
      <w:r>
        <w:rPr>
          <w:sz w:val="22"/>
          <w:szCs w:val="22"/>
        </w:rPr>
        <w:t xml:space="preserve">In recognition of particular circumstances of manufacturing sector structures, applying a </w:t>
      </w:r>
      <w:proofErr w:type="spellStart"/>
      <w:r>
        <w:rPr>
          <w:sz w:val="22"/>
          <w:szCs w:val="22"/>
        </w:rPr>
        <w:t>TEBA</w:t>
      </w:r>
      <w:proofErr w:type="spellEnd"/>
      <w:r>
        <w:rPr>
          <w:sz w:val="22"/>
          <w:szCs w:val="22"/>
        </w:rPr>
        <w:t xml:space="preserve"> test based on EBIT with assistance commencing at </w:t>
      </w:r>
      <w:r w:rsidR="00B35BEB">
        <w:rPr>
          <w:sz w:val="22"/>
          <w:szCs w:val="22"/>
        </w:rPr>
        <w:t>3</w:t>
      </w:r>
      <w:r w:rsidR="00144FFB">
        <w:rPr>
          <w:sz w:val="22"/>
          <w:szCs w:val="22"/>
        </w:rPr>
        <w:t xml:space="preserve"> per cent</w:t>
      </w:r>
      <w:r>
        <w:rPr>
          <w:sz w:val="22"/>
          <w:szCs w:val="22"/>
        </w:rPr>
        <w:t xml:space="preserve"> cost impact and the minimum baseline decline rate of 1</w:t>
      </w:r>
      <w:r w:rsidR="00144FFB">
        <w:rPr>
          <w:sz w:val="22"/>
          <w:szCs w:val="22"/>
        </w:rPr>
        <w:t xml:space="preserve"> per cent</w:t>
      </w:r>
      <w:r>
        <w:rPr>
          <w:sz w:val="22"/>
          <w:szCs w:val="22"/>
        </w:rPr>
        <w:t xml:space="preserve"> being available when the cost impact is 10</w:t>
      </w:r>
      <w:r w:rsidR="00144FFB">
        <w:rPr>
          <w:sz w:val="22"/>
          <w:szCs w:val="22"/>
        </w:rPr>
        <w:t xml:space="preserve"> per cent</w:t>
      </w:r>
      <w:r>
        <w:rPr>
          <w:sz w:val="22"/>
          <w:szCs w:val="22"/>
        </w:rPr>
        <w:t>.</w:t>
      </w:r>
    </w:p>
    <w:p w14:paraId="68628CFA" w14:textId="701B3E61" w:rsidR="00C67C9E" w:rsidRDefault="0015225A" w:rsidP="00244AD8">
      <w:pPr>
        <w:pStyle w:val="BodyText"/>
        <w:numPr>
          <w:ilvl w:val="1"/>
          <w:numId w:val="31"/>
        </w:numPr>
        <w:rPr>
          <w:sz w:val="22"/>
          <w:szCs w:val="22"/>
        </w:rPr>
      </w:pPr>
      <w:r>
        <w:rPr>
          <w:sz w:val="22"/>
          <w:szCs w:val="22"/>
        </w:rPr>
        <w:t>u</w:t>
      </w:r>
      <w:r w:rsidR="00C67C9E">
        <w:rPr>
          <w:sz w:val="22"/>
          <w:szCs w:val="22"/>
        </w:rPr>
        <w:t xml:space="preserve">ndertaking a review to explore </w:t>
      </w:r>
      <w:r w:rsidR="00244AD8" w:rsidRPr="00244AD8">
        <w:rPr>
          <w:sz w:val="22"/>
          <w:szCs w:val="22"/>
        </w:rPr>
        <w:t xml:space="preserve">policy options to prevent carbon leakage. The review will consider an Australian </w:t>
      </w:r>
      <w:proofErr w:type="spellStart"/>
      <w:r w:rsidR="00244AD8" w:rsidRPr="00244AD8">
        <w:rPr>
          <w:sz w:val="22"/>
          <w:szCs w:val="22"/>
        </w:rPr>
        <w:t>CBAM</w:t>
      </w:r>
      <w:proofErr w:type="spellEnd"/>
      <w:r w:rsidR="00244AD8" w:rsidRPr="00244AD8">
        <w:rPr>
          <w:sz w:val="22"/>
          <w:szCs w:val="22"/>
        </w:rPr>
        <w:t xml:space="preserve"> as one of the potential responses to carbon leakage which could complement the Safeguard Mechanism reforms. </w:t>
      </w:r>
    </w:p>
    <w:p w14:paraId="27C74D08" w14:textId="5183FB22" w:rsidR="00AF7250" w:rsidRDefault="0015225A">
      <w:pPr>
        <w:pStyle w:val="BodyText"/>
        <w:numPr>
          <w:ilvl w:val="0"/>
          <w:numId w:val="31"/>
        </w:numPr>
        <w:rPr>
          <w:sz w:val="22"/>
          <w:szCs w:val="22"/>
        </w:rPr>
      </w:pPr>
      <w:r>
        <w:rPr>
          <w:sz w:val="22"/>
          <w:szCs w:val="22"/>
        </w:rPr>
        <w:t>a</w:t>
      </w:r>
      <w:r w:rsidR="00AF7250">
        <w:rPr>
          <w:sz w:val="22"/>
          <w:szCs w:val="22"/>
        </w:rPr>
        <w:t xml:space="preserve">ddressing </w:t>
      </w:r>
      <w:r w:rsidR="00B5608C">
        <w:rPr>
          <w:sz w:val="22"/>
          <w:szCs w:val="22"/>
        </w:rPr>
        <w:t>non-</w:t>
      </w:r>
      <w:proofErr w:type="spellStart"/>
      <w:r w:rsidR="00B5608C">
        <w:rPr>
          <w:sz w:val="22"/>
          <w:szCs w:val="22"/>
        </w:rPr>
        <w:t>EITE</w:t>
      </w:r>
      <w:proofErr w:type="spellEnd"/>
      <w:r w:rsidR="00AF7250">
        <w:rPr>
          <w:sz w:val="22"/>
          <w:szCs w:val="22"/>
        </w:rPr>
        <w:t xml:space="preserve"> industry concerns around the need for funding and attractive financing for deploying significant emissions reduction projects (particularly in hard-to-abate sectors </w:t>
      </w:r>
      <w:r w:rsidR="00453C2A">
        <w:rPr>
          <w:sz w:val="22"/>
          <w:szCs w:val="22"/>
        </w:rPr>
        <w:t>with</w:t>
      </w:r>
      <w:r w:rsidR="00AF7250">
        <w:rPr>
          <w:sz w:val="22"/>
          <w:szCs w:val="22"/>
        </w:rPr>
        <w:t xml:space="preserve"> technologies </w:t>
      </w:r>
      <w:r w:rsidR="00453C2A">
        <w:rPr>
          <w:sz w:val="22"/>
          <w:szCs w:val="22"/>
        </w:rPr>
        <w:t>that</w:t>
      </w:r>
      <w:r w:rsidR="00AF7250">
        <w:rPr>
          <w:sz w:val="22"/>
          <w:szCs w:val="22"/>
        </w:rPr>
        <w:t xml:space="preserve"> aren’t commercially viable) by proposing financial assistance be extended to non-</w:t>
      </w:r>
      <w:proofErr w:type="spellStart"/>
      <w:r w:rsidR="00AF7250">
        <w:rPr>
          <w:sz w:val="22"/>
          <w:szCs w:val="22"/>
        </w:rPr>
        <w:t>EITE</w:t>
      </w:r>
      <w:proofErr w:type="spellEnd"/>
      <w:r w:rsidR="00AF7250">
        <w:rPr>
          <w:sz w:val="22"/>
          <w:szCs w:val="22"/>
        </w:rPr>
        <w:t xml:space="preserve"> designation facilities through </w:t>
      </w:r>
      <w:r w:rsidR="00090064">
        <w:rPr>
          <w:sz w:val="22"/>
          <w:szCs w:val="22"/>
        </w:rPr>
        <w:t xml:space="preserve">preferential access to </w:t>
      </w:r>
      <w:r w:rsidR="00AF7250">
        <w:rPr>
          <w:sz w:val="22"/>
          <w:szCs w:val="22"/>
        </w:rPr>
        <w:t xml:space="preserve">the </w:t>
      </w:r>
      <w:r w:rsidR="00AF7250" w:rsidRPr="00AF7250">
        <w:rPr>
          <w:sz w:val="22"/>
          <w:szCs w:val="22"/>
        </w:rPr>
        <w:t xml:space="preserve">Powering the Regions Fund, </w:t>
      </w:r>
      <w:r w:rsidR="00090064">
        <w:rPr>
          <w:sz w:val="22"/>
          <w:szCs w:val="22"/>
        </w:rPr>
        <w:t xml:space="preserve">(as well as potential access to </w:t>
      </w:r>
      <w:r w:rsidR="00AF7250" w:rsidRPr="00AF7250">
        <w:rPr>
          <w:sz w:val="22"/>
          <w:szCs w:val="22"/>
        </w:rPr>
        <w:t>the National Reconstruction Fund, ARENA and the CEFC</w:t>
      </w:r>
      <w:r w:rsidR="00090064">
        <w:rPr>
          <w:sz w:val="22"/>
          <w:szCs w:val="22"/>
        </w:rPr>
        <w:t>)</w:t>
      </w:r>
      <w:r w:rsidR="00C57A94">
        <w:rPr>
          <w:sz w:val="22"/>
          <w:szCs w:val="22"/>
        </w:rPr>
        <w:t>.</w:t>
      </w:r>
    </w:p>
    <w:p w14:paraId="23E2E933" w14:textId="77777777" w:rsidR="0015225A" w:rsidRDefault="0015225A" w:rsidP="00292EDC">
      <w:pPr>
        <w:pStyle w:val="BodyText"/>
        <w:numPr>
          <w:ilvl w:val="0"/>
          <w:numId w:val="31"/>
        </w:numPr>
        <w:rPr>
          <w:sz w:val="22"/>
          <w:szCs w:val="22"/>
        </w:rPr>
      </w:pPr>
      <w:r>
        <w:rPr>
          <w:sz w:val="22"/>
          <w:szCs w:val="22"/>
        </w:rPr>
        <w:lastRenderedPageBreak/>
        <w:t>s</w:t>
      </w:r>
      <w:r w:rsidR="00292EDC">
        <w:rPr>
          <w:sz w:val="22"/>
          <w:szCs w:val="22"/>
        </w:rPr>
        <w:t xml:space="preserve">etting a uniform </w:t>
      </w:r>
      <w:r w:rsidR="00292EDC" w:rsidRPr="002A09D5">
        <w:rPr>
          <w:sz w:val="22"/>
          <w:szCs w:val="22"/>
        </w:rPr>
        <w:t xml:space="preserve">annual decline rate of 4.9 per cent each year </w:t>
      </w:r>
      <w:r w:rsidR="00292EDC">
        <w:rPr>
          <w:sz w:val="22"/>
          <w:szCs w:val="22"/>
        </w:rPr>
        <w:t>for meeting</w:t>
      </w:r>
      <w:r w:rsidR="00292EDC" w:rsidRPr="002A09D5">
        <w:rPr>
          <w:sz w:val="22"/>
          <w:szCs w:val="22"/>
        </w:rPr>
        <w:t xml:space="preserve"> </w:t>
      </w:r>
      <w:r w:rsidR="00453C2A">
        <w:rPr>
          <w:sz w:val="22"/>
          <w:szCs w:val="22"/>
        </w:rPr>
        <w:t xml:space="preserve">the </w:t>
      </w:r>
      <w:r w:rsidR="00292EDC" w:rsidRPr="002A09D5">
        <w:rPr>
          <w:sz w:val="22"/>
          <w:szCs w:val="22"/>
        </w:rPr>
        <w:t>Safeguard’s share of the national emissions b</w:t>
      </w:r>
      <w:r w:rsidR="00292EDC">
        <w:rPr>
          <w:sz w:val="22"/>
          <w:szCs w:val="22"/>
        </w:rPr>
        <w:t xml:space="preserve">udget and the 2030 point target, which </w:t>
      </w:r>
      <w:r w:rsidR="00292EDC" w:rsidRPr="002A09D5">
        <w:rPr>
          <w:sz w:val="22"/>
          <w:szCs w:val="22"/>
        </w:rPr>
        <w:t>includes the production-adjusted framework, a</w:t>
      </w:r>
      <w:r w:rsidR="00453C2A">
        <w:rPr>
          <w:sz w:val="22"/>
          <w:szCs w:val="22"/>
        </w:rPr>
        <w:t>n emissions</w:t>
      </w:r>
      <w:r w:rsidR="00292EDC" w:rsidRPr="002A09D5">
        <w:rPr>
          <w:sz w:val="22"/>
          <w:szCs w:val="22"/>
        </w:rPr>
        <w:t xml:space="preserve"> reserve for new entrants and production uncertainty, the outlook from the draft 2022 emissions projections and an </w:t>
      </w:r>
      <w:proofErr w:type="spellStart"/>
      <w:r w:rsidR="00292EDC" w:rsidRPr="002A09D5">
        <w:rPr>
          <w:sz w:val="22"/>
          <w:szCs w:val="22"/>
        </w:rPr>
        <w:t>EITEs</w:t>
      </w:r>
      <w:proofErr w:type="spellEnd"/>
      <w:r w:rsidR="00292EDC" w:rsidRPr="002A09D5">
        <w:rPr>
          <w:sz w:val="22"/>
          <w:szCs w:val="22"/>
        </w:rPr>
        <w:t xml:space="preserve"> concessional decline rate for some facilities.</w:t>
      </w:r>
    </w:p>
    <w:p w14:paraId="53191355" w14:textId="4F461859" w:rsidR="00292EDC" w:rsidRDefault="0015225A" w:rsidP="00292EDC">
      <w:pPr>
        <w:pStyle w:val="BodyText"/>
        <w:numPr>
          <w:ilvl w:val="0"/>
          <w:numId w:val="31"/>
        </w:numPr>
        <w:rPr>
          <w:sz w:val="22"/>
          <w:szCs w:val="22"/>
        </w:rPr>
      </w:pPr>
      <w:r>
        <w:rPr>
          <w:sz w:val="22"/>
          <w:szCs w:val="22"/>
        </w:rPr>
        <w:t xml:space="preserve">maintaining the policy position that the decline rate will transition industry to net zero by 2050 while allowing the Safeguard to meet its proportional share of the target, </w:t>
      </w:r>
      <w:r w:rsidR="00A87F88">
        <w:rPr>
          <w:sz w:val="22"/>
          <w:szCs w:val="22"/>
        </w:rPr>
        <w:t>while</w:t>
      </w:r>
      <w:r>
        <w:rPr>
          <w:sz w:val="22"/>
          <w:szCs w:val="22"/>
        </w:rPr>
        <w:t xml:space="preserve"> having the </w:t>
      </w:r>
      <w:r w:rsidR="00292EDC">
        <w:rPr>
          <w:sz w:val="22"/>
          <w:szCs w:val="22"/>
        </w:rPr>
        <w:t xml:space="preserve">decline rate within the </w:t>
      </w:r>
      <w:r w:rsidR="00292EDC" w:rsidRPr="004F5966">
        <w:rPr>
          <w:sz w:val="22"/>
          <w:szCs w:val="22"/>
        </w:rPr>
        <w:t>3.5 to 6 per cent range</w:t>
      </w:r>
      <w:r>
        <w:rPr>
          <w:sz w:val="22"/>
          <w:szCs w:val="22"/>
        </w:rPr>
        <w:t xml:space="preserve"> as</w:t>
      </w:r>
      <w:r w:rsidR="00292EDC" w:rsidRPr="004F5966">
        <w:rPr>
          <w:sz w:val="22"/>
          <w:szCs w:val="22"/>
        </w:rPr>
        <w:t xml:space="preserve"> flagged in the consultation paper</w:t>
      </w:r>
      <w:r w:rsidR="00C57A94">
        <w:rPr>
          <w:sz w:val="22"/>
          <w:szCs w:val="22"/>
        </w:rPr>
        <w:t>.</w:t>
      </w:r>
    </w:p>
    <w:p w14:paraId="04077A80" w14:textId="4F20F5BC" w:rsidR="00292EDC" w:rsidRDefault="0015225A" w:rsidP="005A037E">
      <w:pPr>
        <w:pStyle w:val="BodyText"/>
        <w:numPr>
          <w:ilvl w:val="1"/>
          <w:numId w:val="31"/>
        </w:numPr>
        <w:rPr>
          <w:sz w:val="22"/>
          <w:szCs w:val="22"/>
        </w:rPr>
      </w:pPr>
      <w:r>
        <w:rPr>
          <w:sz w:val="22"/>
          <w:szCs w:val="22"/>
        </w:rPr>
        <w:t>a</w:t>
      </w:r>
      <w:r w:rsidR="00292EDC">
        <w:rPr>
          <w:sz w:val="22"/>
          <w:szCs w:val="22"/>
        </w:rPr>
        <w:t>llowing all p</w:t>
      </w:r>
      <w:r w:rsidR="00292EDC" w:rsidRPr="009C3B15">
        <w:rPr>
          <w:sz w:val="22"/>
          <w:szCs w:val="22"/>
        </w:rPr>
        <w:t xml:space="preserve">ost-2030 decline rates </w:t>
      </w:r>
      <w:r w:rsidR="00292EDC">
        <w:rPr>
          <w:sz w:val="22"/>
          <w:szCs w:val="22"/>
        </w:rPr>
        <w:t xml:space="preserve">to </w:t>
      </w:r>
      <w:r w:rsidR="00292EDC" w:rsidRPr="009C3B15">
        <w:rPr>
          <w:sz w:val="22"/>
          <w:szCs w:val="22"/>
        </w:rPr>
        <w:t xml:space="preserve">be set in </w:t>
      </w:r>
      <w:r>
        <w:rPr>
          <w:sz w:val="22"/>
          <w:szCs w:val="22"/>
        </w:rPr>
        <w:t>five-</w:t>
      </w:r>
      <w:r w:rsidR="00292EDC" w:rsidRPr="009C3B15">
        <w:rPr>
          <w:sz w:val="22"/>
          <w:szCs w:val="22"/>
        </w:rPr>
        <w:t>year blocks, with the process for setting them aligned with updates to Australia’s Nationally Determined Contribution (</w:t>
      </w:r>
      <w:proofErr w:type="spellStart"/>
      <w:r w:rsidR="00292EDC" w:rsidRPr="009C3B15">
        <w:rPr>
          <w:sz w:val="22"/>
          <w:szCs w:val="22"/>
        </w:rPr>
        <w:t>NDC</w:t>
      </w:r>
      <w:proofErr w:type="spellEnd"/>
      <w:r w:rsidR="00292EDC" w:rsidRPr="009C3B15">
        <w:rPr>
          <w:sz w:val="22"/>
          <w:szCs w:val="22"/>
        </w:rPr>
        <w:t>) under the Paris Agreement and Australia’s commitment to net zero by 2050</w:t>
      </w:r>
      <w:r w:rsidR="00C57A94">
        <w:rPr>
          <w:sz w:val="22"/>
          <w:szCs w:val="22"/>
        </w:rPr>
        <w:t>.</w:t>
      </w:r>
    </w:p>
    <w:p w14:paraId="0CA671B1" w14:textId="3DEFE12E" w:rsidR="0078217E" w:rsidRPr="004315F4" w:rsidRDefault="0015225A" w:rsidP="004315F4">
      <w:pPr>
        <w:pStyle w:val="BodyText"/>
        <w:numPr>
          <w:ilvl w:val="0"/>
          <w:numId w:val="31"/>
        </w:numPr>
        <w:rPr>
          <w:sz w:val="22"/>
          <w:szCs w:val="22"/>
        </w:rPr>
      </w:pPr>
      <w:r>
        <w:rPr>
          <w:sz w:val="22"/>
        </w:rPr>
        <w:t>p</w:t>
      </w:r>
      <w:r w:rsidR="00292EDC" w:rsidRPr="00292EDC">
        <w:rPr>
          <w:sz w:val="22"/>
        </w:rPr>
        <w:t>roposing a review of the Safeguard Mechanism in 2026</w:t>
      </w:r>
      <w:r w:rsidR="00453C2A">
        <w:rPr>
          <w:sz w:val="22"/>
        </w:rPr>
        <w:t>-</w:t>
      </w:r>
      <w:r w:rsidR="003326DF">
        <w:rPr>
          <w:sz w:val="22"/>
        </w:rPr>
        <w:t>27</w:t>
      </w:r>
      <w:r w:rsidR="00292EDC" w:rsidRPr="00292EDC">
        <w:rPr>
          <w:sz w:val="22"/>
        </w:rPr>
        <w:t>—once two years of data are available—to ensure policy settings are appropriately calibrated and ensuring that reformed settings are operating as intended</w:t>
      </w:r>
      <w:r>
        <w:rPr>
          <w:sz w:val="22"/>
        </w:rPr>
        <w:t xml:space="preserve">, </w:t>
      </w:r>
      <w:r w:rsidR="00453C2A">
        <w:rPr>
          <w:sz w:val="22"/>
        </w:rPr>
        <w:t>includ</w:t>
      </w:r>
      <w:r>
        <w:rPr>
          <w:sz w:val="22"/>
        </w:rPr>
        <w:t>ing</w:t>
      </w:r>
      <w:r w:rsidR="00453C2A">
        <w:rPr>
          <w:sz w:val="22"/>
        </w:rPr>
        <w:t xml:space="preserve"> the first</w:t>
      </w:r>
      <w:r w:rsidR="00292EDC" w:rsidRPr="00292EDC">
        <w:rPr>
          <w:sz w:val="22"/>
        </w:rPr>
        <w:t xml:space="preserve"> </w:t>
      </w:r>
      <w:r>
        <w:rPr>
          <w:sz w:val="22"/>
        </w:rPr>
        <w:t>five-</w:t>
      </w:r>
      <w:r w:rsidR="00292EDC" w:rsidRPr="00292EDC">
        <w:rPr>
          <w:sz w:val="22"/>
        </w:rPr>
        <w:t>yearly reviews of the specific rate of baseline decline</w:t>
      </w:r>
      <w:r>
        <w:rPr>
          <w:sz w:val="22"/>
        </w:rPr>
        <w:t>, with</w:t>
      </w:r>
      <w:r w:rsidR="00453C2A">
        <w:rPr>
          <w:sz w:val="22"/>
        </w:rPr>
        <w:t xml:space="preserve"> </w:t>
      </w:r>
      <w:r>
        <w:rPr>
          <w:sz w:val="22"/>
        </w:rPr>
        <w:t>f</w:t>
      </w:r>
      <w:r w:rsidR="00453C2A">
        <w:rPr>
          <w:sz w:val="22"/>
        </w:rPr>
        <w:t>ive</w:t>
      </w:r>
      <w:r>
        <w:rPr>
          <w:sz w:val="22"/>
        </w:rPr>
        <w:t>-</w:t>
      </w:r>
      <w:r w:rsidR="00292EDC" w:rsidRPr="00292EDC">
        <w:rPr>
          <w:sz w:val="22"/>
        </w:rPr>
        <w:t xml:space="preserve">yearly reviews of the </w:t>
      </w:r>
      <w:proofErr w:type="spellStart"/>
      <w:r w:rsidR="00292EDC" w:rsidRPr="00292EDC">
        <w:rPr>
          <w:sz w:val="22"/>
        </w:rPr>
        <w:t>NGERs</w:t>
      </w:r>
      <w:proofErr w:type="spellEnd"/>
      <w:r w:rsidR="00292EDC" w:rsidRPr="00292EDC">
        <w:rPr>
          <w:sz w:val="22"/>
        </w:rPr>
        <w:t xml:space="preserve"> Act continu</w:t>
      </w:r>
      <w:r>
        <w:rPr>
          <w:sz w:val="22"/>
        </w:rPr>
        <w:t>ing</w:t>
      </w:r>
      <w:r w:rsidR="00292EDC" w:rsidRPr="00292EDC">
        <w:rPr>
          <w:sz w:val="22"/>
        </w:rPr>
        <w:t xml:space="preserve"> to be undertaken by the </w:t>
      </w:r>
      <w:proofErr w:type="spellStart"/>
      <w:r w:rsidR="00292EDC" w:rsidRPr="00292EDC">
        <w:rPr>
          <w:sz w:val="22"/>
        </w:rPr>
        <w:t>CCA</w:t>
      </w:r>
      <w:proofErr w:type="spellEnd"/>
      <w:r w:rsidR="00AF7250">
        <w:rPr>
          <w:sz w:val="22"/>
        </w:rPr>
        <w:t>.</w:t>
      </w:r>
    </w:p>
    <w:p w14:paraId="6387FADE" w14:textId="77777777" w:rsidR="0078217E" w:rsidRDefault="0078217E" w:rsidP="0078217E">
      <w:pPr>
        <w:pStyle w:val="BodyText"/>
        <w:rPr>
          <w:sz w:val="22"/>
          <w:szCs w:val="22"/>
        </w:rPr>
      </w:pPr>
      <w:r>
        <w:rPr>
          <w:sz w:val="22"/>
          <w:szCs w:val="22"/>
        </w:rPr>
        <w:t>During consultation there was broad support of the proposed design, with stakeholders identifying the hybrid baseline setting as being the best option for meeting the need of the reforms. The National Environmental Law Association supported the hybrid model in their submission to the Position Paper:</w:t>
      </w:r>
    </w:p>
    <w:p w14:paraId="72B003AB" w14:textId="77777777" w:rsidR="0078217E" w:rsidRPr="0082719C" w:rsidRDefault="0078217E" w:rsidP="0078217E">
      <w:pPr>
        <w:pStyle w:val="BodyText"/>
        <w:ind w:left="720"/>
        <w:rPr>
          <w:i/>
          <w:sz w:val="22"/>
          <w:szCs w:val="22"/>
        </w:rPr>
      </w:pPr>
      <w:r w:rsidRPr="00F50853">
        <w:rPr>
          <w:i/>
          <w:color w:val="7F7F7F" w:themeColor="text1" w:themeTint="80"/>
          <w:sz w:val="22"/>
          <w:szCs w:val="22"/>
        </w:rPr>
        <w:t xml:space="preserve">This transitional approach, which recognises the inherent variability of large emitting facility’s emissions profiles, ensures that costs for business will be introduced incrementally, and businesses will have adequate time to implement decarbonization methods and technologies. The hybrid model delivers the long-term benefits of industry average baselines, while making the SM manageable for all facilities by giving businesses more time to prepare for the changes. This design will allow the balancing of baseline compliance, investing in at-point decarbonisation, and allowing sufficient flexibility so that compliance obligations can be </w:t>
      </w:r>
      <w:r>
        <w:rPr>
          <w:i/>
          <w:color w:val="7F7F7F" w:themeColor="text1" w:themeTint="80"/>
          <w:sz w:val="22"/>
          <w:szCs w:val="22"/>
        </w:rPr>
        <w:t>managed by facilities over time</w:t>
      </w:r>
      <w:r w:rsidRPr="00595E11">
        <w:rPr>
          <w:i/>
          <w:color w:val="7F7F7F" w:themeColor="text1" w:themeTint="80"/>
          <w:sz w:val="22"/>
          <w:szCs w:val="22"/>
        </w:rPr>
        <w:t>.</w:t>
      </w:r>
      <w:r w:rsidRPr="00595E11">
        <w:rPr>
          <w:i/>
          <w:color w:val="7F7F7F" w:themeColor="text1" w:themeTint="80"/>
          <w:sz w:val="22"/>
          <w:szCs w:val="22"/>
        </w:rPr>
        <w:tab/>
      </w:r>
      <w:r w:rsidRPr="0082719C">
        <w:rPr>
          <w:i/>
          <w:sz w:val="22"/>
          <w:szCs w:val="22"/>
        </w:rPr>
        <w:tab/>
      </w:r>
      <w:r w:rsidRPr="0082719C">
        <w:rPr>
          <w:i/>
          <w:sz w:val="22"/>
          <w:szCs w:val="22"/>
        </w:rPr>
        <w:tab/>
      </w:r>
      <w:r w:rsidRPr="0082719C">
        <w:rPr>
          <w:i/>
          <w:sz w:val="22"/>
          <w:szCs w:val="22"/>
        </w:rPr>
        <w:tab/>
      </w:r>
      <w:r w:rsidRPr="0082719C">
        <w:rPr>
          <w:i/>
          <w:sz w:val="22"/>
          <w:szCs w:val="22"/>
        </w:rPr>
        <w:tab/>
      </w:r>
    </w:p>
    <w:p w14:paraId="65899BF9" w14:textId="77777777" w:rsidR="0078217E" w:rsidRDefault="0078217E" w:rsidP="0078217E">
      <w:pPr>
        <w:pStyle w:val="BodyText"/>
        <w:ind w:left="720"/>
        <w:jc w:val="right"/>
        <w:rPr>
          <w:sz w:val="22"/>
          <w:szCs w:val="22"/>
        </w:rPr>
      </w:pPr>
      <w:proofErr w:type="spellStart"/>
      <w:r>
        <w:rPr>
          <w:sz w:val="22"/>
          <w:szCs w:val="22"/>
        </w:rPr>
        <w:t>NELA</w:t>
      </w:r>
      <w:proofErr w:type="spellEnd"/>
    </w:p>
    <w:p w14:paraId="6B318C2D" w14:textId="77777777" w:rsidR="0078217E" w:rsidRDefault="0078217E" w:rsidP="0078217E">
      <w:pPr>
        <w:pStyle w:val="BodyText"/>
        <w:rPr>
          <w:sz w:val="22"/>
          <w:szCs w:val="22"/>
        </w:rPr>
      </w:pPr>
      <w:r>
        <w:rPr>
          <w:sz w:val="22"/>
          <w:szCs w:val="22"/>
        </w:rPr>
        <w:t>The Carbon Market Institute and the Energy Efficiency Council highlighted that the hybrid baseline option would be equitable and effective:</w:t>
      </w:r>
    </w:p>
    <w:p w14:paraId="66DB89B0" w14:textId="77777777" w:rsidR="0078217E" w:rsidRPr="0082719C" w:rsidRDefault="0078217E" w:rsidP="0078217E">
      <w:pPr>
        <w:pStyle w:val="BodyText"/>
        <w:ind w:left="720"/>
        <w:rPr>
          <w:i/>
          <w:sz w:val="22"/>
          <w:szCs w:val="22"/>
        </w:rPr>
      </w:pPr>
      <w:r w:rsidRPr="00D26A78">
        <w:rPr>
          <w:i/>
          <w:color w:val="7F7F7F" w:themeColor="text1" w:themeTint="80"/>
          <w:sz w:val="22"/>
          <w:szCs w:val="22"/>
        </w:rPr>
        <w:t>CMI supports the proposed hybrid approach to baseline setting as an elegant solution that balances the competing circumstances of different facilities through the transition from site-specific values to industry average benchmarks</w:t>
      </w:r>
      <w:r>
        <w:rPr>
          <w:i/>
          <w:color w:val="7F7F7F" w:themeColor="text1" w:themeTint="80"/>
          <w:sz w:val="22"/>
          <w:szCs w:val="22"/>
        </w:rPr>
        <w:t>.</w:t>
      </w:r>
      <w:r w:rsidRPr="00595E11">
        <w:rPr>
          <w:i/>
          <w:color w:val="7F7F7F" w:themeColor="text1" w:themeTint="80"/>
          <w:sz w:val="22"/>
          <w:szCs w:val="22"/>
        </w:rPr>
        <w:tab/>
      </w:r>
      <w:r w:rsidRPr="0082719C">
        <w:rPr>
          <w:i/>
          <w:sz w:val="22"/>
          <w:szCs w:val="22"/>
        </w:rPr>
        <w:tab/>
      </w:r>
      <w:r w:rsidRPr="0082719C">
        <w:rPr>
          <w:i/>
          <w:sz w:val="22"/>
          <w:szCs w:val="22"/>
        </w:rPr>
        <w:tab/>
      </w:r>
      <w:r w:rsidRPr="0082719C">
        <w:rPr>
          <w:i/>
          <w:sz w:val="22"/>
          <w:szCs w:val="22"/>
        </w:rPr>
        <w:tab/>
      </w:r>
      <w:r w:rsidRPr="0082719C">
        <w:rPr>
          <w:i/>
          <w:sz w:val="22"/>
          <w:szCs w:val="22"/>
        </w:rPr>
        <w:tab/>
      </w:r>
    </w:p>
    <w:p w14:paraId="0F3E2225" w14:textId="77777777" w:rsidR="0078217E" w:rsidRDefault="0078217E" w:rsidP="0078217E">
      <w:pPr>
        <w:pStyle w:val="BodyText"/>
        <w:ind w:left="720"/>
        <w:jc w:val="right"/>
        <w:rPr>
          <w:sz w:val="22"/>
          <w:szCs w:val="22"/>
        </w:rPr>
      </w:pPr>
      <w:r>
        <w:rPr>
          <w:sz w:val="22"/>
          <w:szCs w:val="22"/>
        </w:rPr>
        <w:t>CMI</w:t>
      </w:r>
    </w:p>
    <w:p w14:paraId="5DB0ACEC" w14:textId="77777777" w:rsidR="0078217E" w:rsidRPr="0082719C" w:rsidRDefault="0078217E" w:rsidP="0078217E">
      <w:pPr>
        <w:pStyle w:val="BodyText"/>
        <w:ind w:left="720"/>
        <w:rPr>
          <w:i/>
          <w:sz w:val="22"/>
          <w:szCs w:val="22"/>
        </w:rPr>
      </w:pPr>
      <w:r w:rsidRPr="00D26A78">
        <w:rPr>
          <w:i/>
          <w:color w:val="7F7F7F" w:themeColor="text1" w:themeTint="80"/>
          <w:sz w:val="22"/>
          <w:szCs w:val="22"/>
        </w:rPr>
        <w:t>The proposed transition from site-specific to industry-average baselines is equitable, and will assist in making low-emitting businesses more competitive</w:t>
      </w:r>
      <w:r>
        <w:rPr>
          <w:i/>
          <w:color w:val="7F7F7F" w:themeColor="text1" w:themeTint="80"/>
          <w:sz w:val="22"/>
          <w:szCs w:val="22"/>
        </w:rPr>
        <w:t>.</w:t>
      </w:r>
      <w:r w:rsidRPr="00595E11">
        <w:rPr>
          <w:i/>
          <w:color w:val="7F7F7F" w:themeColor="text1" w:themeTint="80"/>
          <w:sz w:val="22"/>
          <w:szCs w:val="22"/>
        </w:rPr>
        <w:tab/>
      </w:r>
      <w:r w:rsidRPr="0082719C">
        <w:rPr>
          <w:i/>
          <w:sz w:val="22"/>
          <w:szCs w:val="22"/>
        </w:rPr>
        <w:tab/>
      </w:r>
      <w:r w:rsidRPr="0082719C">
        <w:rPr>
          <w:i/>
          <w:sz w:val="22"/>
          <w:szCs w:val="22"/>
        </w:rPr>
        <w:tab/>
      </w:r>
      <w:r w:rsidRPr="0082719C">
        <w:rPr>
          <w:i/>
          <w:sz w:val="22"/>
          <w:szCs w:val="22"/>
        </w:rPr>
        <w:tab/>
      </w:r>
      <w:r w:rsidRPr="0082719C">
        <w:rPr>
          <w:i/>
          <w:sz w:val="22"/>
          <w:szCs w:val="22"/>
        </w:rPr>
        <w:tab/>
      </w:r>
    </w:p>
    <w:p w14:paraId="5DE6BE83" w14:textId="77777777" w:rsidR="0078217E" w:rsidRDefault="0078217E" w:rsidP="0078217E">
      <w:pPr>
        <w:pStyle w:val="BodyText"/>
        <w:ind w:left="720"/>
        <w:jc w:val="right"/>
        <w:rPr>
          <w:sz w:val="22"/>
          <w:szCs w:val="22"/>
        </w:rPr>
      </w:pPr>
      <w:r>
        <w:rPr>
          <w:sz w:val="22"/>
          <w:szCs w:val="22"/>
        </w:rPr>
        <w:t>EFC</w:t>
      </w:r>
    </w:p>
    <w:p w14:paraId="78278D31" w14:textId="77777777" w:rsidR="0078217E" w:rsidRDefault="0078217E" w:rsidP="0078217E">
      <w:pPr>
        <w:pStyle w:val="BodyText"/>
        <w:rPr>
          <w:sz w:val="22"/>
          <w:szCs w:val="22"/>
        </w:rPr>
      </w:pPr>
      <w:r>
        <w:rPr>
          <w:sz w:val="22"/>
          <w:szCs w:val="22"/>
        </w:rPr>
        <w:t xml:space="preserve">PwC further </w:t>
      </w:r>
      <w:r w:rsidRPr="00FF537C">
        <w:rPr>
          <w:sz w:val="22"/>
          <w:szCs w:val="22"/>
        </w:rPr>
        <w:t xml:space="preserve">expressed their endorsement of the hybrid model as a proficient </w:t>
      </w:r>
      <w:r>
        <w:rPr>
          <w:sz w:val="22"/>
          <w:szCs w:val="22"/>
        </w:rPr>
        <w:t>balancing the needs of affected businesses:</w:t>
      </w:r>
    </w:p>
    <w:p w14:paraId="20607655" w14:textId="77777777" w:rsidR="0078217E" w:rsidRPr="0082719C" w:rsidRDefault="0078217E" w:rsidP="0078217E">
      <w:pPr>
        <w:pStyle w:val="BodyText"/>
        <w:ind w:left="720"/>
        <w:rPr>
          <w:i/>
          <w:sz w:val="22"/>
          <w:szCs w:val="22"/>
        </w:rPr>
      </w:pPr>
      <w:r w:rsidRPr="00D26A78">
        <w:rPr>
          <w:i/>
          <w:color w:val="7F7F7F" w:themeColor="text1" w:themeTint="80"/>
          <w:sz w:val="22"/>
          <w:szCs w:val="22"/>
        </w:rPr>
        <w:t>Resetting the baseline methodology for existing Safeguard facilities will have an overall positive effect. We acknowledge that the intended impact of this is to remove the headroom that currently exists to encourage prompt direct emissions reductions. As the proposed future model is a “hybrid” system of both industry averages and site-specific emissions intensity values, we agree that the current proposed sliding-</w:t>
      </w:r>
      <w:r w:rsidRPr="00D26A78">
        <w:rPr>
          <w:i/>
          <w:color w:val="7F7F7F" w:themeColor="text1" w:themeTint="80"/>
          <w:sz w:val="22"/>
          <w:szCs w:val="22"/>
        </w:rPr>
        <w:lastRenderedPageBreak/>
        <w:t>scale timeline to 2030 provides adequate time for affected businesses to prepare to transition from site-specific values to industry average</w:t>
      </w:r>
      <w:r>
        <w:rPr>
          <w:i/>
          <w:color w:val="7F7F7F" w:themeColor="text1" w:themeTint="80"/>
          <w:sz w:val="22"/>
          <w:szCs w:val="22"/>
        </w:rPr>
        <w:t>.</w:t>
      </w:r>
      <w:r w:rsidRPr="00595E11">
        <w:rPr>
          <w:i/>
          <w:color w:val="7F7F7F" w:themeColor="text1" w:themeTint="80"/>
          <w:sz w:val="22"/>
          <w:szCs w:val="22"/>
        </w:rPr>
        <w:tab/>
      </w:r>
      <w:r w:rsidRPr="0082719C">
        <w:rPr>
          <w:i/>
          <w:sz w:val="22"/>
          <w:szCs w:val="22"/>
        </w:rPr>
        <w:tab/>
      </w:r>
      <w:r w:rsidRPr="0082719C">
        <w:rPr>
          <w:i/>
          <w:sz w:val="22"/>
          <w:szCs w:val="22"/>
        </w:rPr>
        <w:tab/>
      </w:r>
      <w:r w:rsidRPr="0082719C">
        <w:rPr>
          <w:i/>
          <w:sz w:val="22"/>
          <w:szCs w:val="22"/>
        </w:rPr>
        <w:tab/>
      </w:r>
      <w:r w:rsidRPr="0082719C">
        <w:rPr>
          <w:i/>
          <w:sz w:val="22"/>
          <w:szCs w:val="22"/>
        </w:rPr>
        <w:tab/>
      </w:r>
    </w:p>
    <w:p w14:paraId="2FA85327" w14:textId="77777777" w:rsidR="0078217E" w:rsidRDefault="0078217E" w:rsidP="0078217E">
      <w:pPr>
        <w:pStyle w:val="BodyText"/>
        <w:ind w:left="720"/>
        <w:jc w:val="right"/>
        <w:rPr>
          <w:sz w:val="22"/>
          <w:szCs w:val="22"/>
        </w:rPr>
      </w:pPr>
      <w:r w:rsidRPr="00D26A78">
        <w:rPr>
          <w:sz w:val="22"/>
          <w:szCs w:val="22"/>
        </w:rPr>
        <w:t>PwC</w:t>
      </w:r>
    </w:p>
    <w:p w14:paraId="7537616D" w14:textId="675CC6E3" w:rsidR="006759AD" w:rsidRPr="004315F4" w:rsidRDefault="006759AD" w:rsidP="00366E5A">
      <w:pPr>
        <w:pStyle w:val="BodyText"/>
        <w:rPr>
          <w:sz w:val="22"/>
          <w:szCs w:val="22"/>
        </w:rPr>
      </w:pPr>
      <w:r>
        <w:rPr>
          <w:sz w:val="22"/>
          <w:szCs w:val="22"/>
        </w:rPr>
        <w:t>P</w:t>
      </w:r>
      <w:r w:rsidRPr="006759AD">
        <w:rPr>
          <w:sz w:val="22"/>
          <w:szCs w:val="22"/>
        </w:rPr>
        <w:t xml:space="preserve">ublic submissions to the Position Paper are available at: </w:t>
      </w:r>
      <w:hyperlink r:id="rId29" w:history="1">
        <w:r w:rsidR="00887C98" w:rsidRPr="00003BBA">
          <w:rPr>
            <w:rStyle w:val="Hyperlink"/>
            <w:sz w:val="22"/>
            <w:szCs w:val="22"/>
          </w:rPr>
          <w:t>https://consult.dcceew.gov.au/safeguard-mechanism-reform-consult-on-design</w:t>
        </w:r>
      </w:hyperlink>
      <w:r w:rsidR="00887C98">
        <w:rPr>
          <w:sz w:val="22"/>
          <w:szCs w:val="22"/>
        </w:rPr>
        <w:t xml:space="preserve"> </w:t>
      </w:r>
    </w:p>
    <w:p w14:paraId="65FB510B" w14:textId="77777777" w:rsidR="00E6567D" w:rsidRPr="00DA1B55" w:rsidRDefault="00E6567D" w:rsidP="005A037E">
      <w:pPr>
        <w:pStyle w:val="BodyText"/>
      </w:pPr>
      <w:r>
        <w:br w:type="page"/>
      </w:r>
    </w:p>
    <w:p w14:paraId="67729947" w14:textId="77777777" w:rsidR="000D4DE5" w:rsidRDefault="00E6567D" w:rsidP="0028064F">
      <w:pPr>
        <w:pStyle w:val="Heading1"/>
      </w:pPr>
      <w:bookmarkStart w:id="265" w:name="_Toc118750384"/>
      <w:bookmarkStart w:id="266" w:name="_Toc118754660"/>
      <w:bookmarkStart w:id="267" w:name="_Toc119327161"/>
      <w:bookmarkStart w:id="268" w:name="_Toc119360665"/>
      <w:bookmarkStart w:id="269" w:name="_Toc132807564"/>
      <w:bookmarkStart w:id="270" w:name="_Toc118813951"/>
      <w:r>
        <w:lastRenderedPageBreak/>
        <w:t xml:space="preserve">7. </w:t>
      </w:r>
      <w:r w:rsidR="00E01B77">
        <w:t>How will you implement and evaluate your chosen option?</w:t>
      </w:r>
      <w:bookmarkEnd w:id="265"/>
      <w:bookmarkEnd w:id="266"/>
      <w:bookmarkEnd w:id="267"/>
      <w:bookmarkEnd w:id="268"/>
      <w:bookmarkEnd w:id="269"/>
      <w:r w:rsidR="00E01B77">
        <w:t xml:space="preserve"> </w:t>
      </w:r>
      <w:bookmarkStart w:id="271" w:name="_Toc119327163"/>
      <w:bookmarkStart w:id="272" w:name="_Toc119360667"/>
      <w:bookmarkEnd w:id="270"/>
    </w:p>
    <w:p w14:paraId="22253264" w14:textId="12D09862" w:rsidR="00100558" w:rsidRDefault="00983082" w:rsidP="00DA1B55">
      <w:pPr>
        <w:pStyle w:val="Heading3"/>
      </w:pPr>
      <w:bookmarkStart w:id="273" w:name="_Toc132807565"/>
      <w:r>
        <w:t>Baseline setting</w:t>
      </w:r>
      <w:bookmarkEnd w:id="271"/>
      <w:bookmarkEnd w:id="272"/>
      <w:bookmarkEnd w:id="273"/>
    </w:p>
    <w:p w14:paraId="080AEB7E" w14:textId="77777777" w:rsidR="00983082" w:rsidRPr="00DA1B55" w:rsidRDefault="00983082" w:rsidP="00DA1B55">
      <w:pPr>
        <w:pStyle w:val="BodyText"/>
        <w:rPr>
          <w:sz w:val="22"/>
          <w:szCs w:val="22"/>
        </w:rPr>
      </w:pPr>
      <w:r w:rsidRPr="00777998">
        <w:rPr>
          <w:sz w:val="22"/>
          <w:szCs w:val="22"/>
        </w:rPr>
        <w:t xml:space="preserve">The existing production-adjusted (intensity) baseline setting framework will be retained. </w:t>
      </w:r>
      <w:r w:rsidR="00DB6460">
        <w:rPr>
          <w:sz w:val="22"/>
          <w:szCs w:val="22"/>
        </w:rPr>
        <w:t>In the first compliance year under the reforms;</w:t>
      </w:r>
      <w:r w:rsidRPr="00CA477A">
        <w:rPr>
          <w:sz w:val="22"/>
          <w:szCs w:val="22"/>
        </w:rPr>
        <w:t xml:space="preserve"> 2023-24, all facilities must be on </w:t>
      </w:r>
      <w:r w:rsidRPr="00DA1B55">
        <w:rPr>
          <w:sz w:val="22"/>
          <w:szCs w:val="22"/>
        </w:rPr>
        <w:t xml:space="preserve">production-adjusted baselines—reported, calculated and fixed baselines will no longer be available and all facilities must use published, Government-determined production variables. </w:t>
      </w:r>
    </w:p>
    <w:p w14:paraId="25F8E6FD" w14:textId="77777777" w:rsidR="00983082" w:rsidRPr="00DA1B55" w:rsidRDefault="00983082" w:rsidP="00DA1B55">
      <w:pPr>
        <w:pStyle w:val="BodyText"/>
        <w:rPr>
          <w:sz w:val="22"/>
          <w:szCs w:val="22"/>
        </w:rPr>
      </w:pPr>
      <w:r w:rsidRPr="00DA1B55">
        <w:rPr>
          <w:sz w:val="22"/>
          <w:szCs w:val="22"/>
        </w:rPr>
        <w:t xml:space="preserve">To deliver this, in consultation with Safeguard businesses, the Government will: </w:t>
      </w:r>
    </w:p>
    <w:p w14:paraId="58C243D0" w14:textId="77777777" w:rsidR="00BE1146" w:rsidRPr="00C05380" w:rsidRDefault="00983082" w:rsidP="004A17C8">
      <w:pPr>
        <w:pStyle w:val="BodyText"/>
        <w:numPr>
          <w:ilvl w:val="0"/>
          <w:numId w:val="73"/>
        </w:numPr>
        <w:rPr>
          <w:sz w:val="22"/>
          <w:szCs w:val="22"/>
        </w:rPr>
      </w:pPr>
      <w:r w:rsidRPr="00C05380">
        <w:rPr>
          <w:sz w:val="22"/>
          <w:szCs w:val="22"/>
        </w:rPr>
        <w:t>finalise and publish remaining production variables and industry average emissions intensity values; and</w:t>
      </w:r>
    </w:p>
    <w:p w14:paraId="2FB05C7A" w14:textId="77777777" w:rsidR="00BE1146" w:rsidRPr="00526826" w:rsidRDefault="00BE1146" w:rsidP="00202E2F">
      <w:pPr>
        <w:pStyle w:val="BodyText"/>
        <w:numPr>
          <w:ilvl w:val="0"/>
          <w:numId w:val="73"/>
        </w:numPr>
        <w:rPr>
          <w:sz w:val="22"/>
          <w:szCs w:val="22"/>
        </w:rPr>
      </w:pPr>
      <w:r w:rsidRPr="00526826">
        <w:rPr>
          <w:sz w:val="22"/>
          <w:szCs w:val="22"/>
        </w:rPr>
        <w:t>review existing production variable definitions to ensure a comprehensive set of suitable production variables is in place when reforms commence.</w:t>
      </w:r>
    </w:p>
    <w:p w14:paraId="1BD88CF7" w14:textId="77777777" w:rsidR="00743AEC" w:rsidRPr="00526826" w:rsidRDefault="00DB6460" w:rsidP="00426BD9">
      <w:pPr>
        <w:pStyle w:val="BodyText"/>
        <w:rPr>
          <w:sz w:val="22"/>
          <w:szCs w:val="22"/>
        </w:rPr>
      </w:pPr>
      <w:r w:rsidRPr="007A23F8">
        <w:rPr>
          <w:sz w:val="22"/>
          <w:szCs w:val="22"/>
        </w:rPr>
        <w:t xml:space="preserve">The intention is for this work to be finalised before 1 July 2023. </w:t>
      </w:r>
    </w:p>
    <w:p w14:paraId="5DA48EA2" w14:textId="77777777" w:rsidR="00983082" w:rsidRPr="003010B3" w:rsidRDefault="00983082">
      <w:pPr>
        <w:pStyle w:val="Heading4"/>
      </w:pPr>
      <w:r w:rsidRPr="00E93F6E">
        <w:t>Setting baselines for new facilities</w:t>
      </w:r>
    </w:p>
    <w:p w14:paraId="0D00D1D1" w14:textId="77777777" w:rsidR="00983082" w:rsidRPr="00B61180" w:rsidRDefault="00983082">
      <w:pPr>
        <w:spacing w:after="100" w:line="259" w:lineRule="auto"/>
        <w:rPr>
          <w:rFonts w:cstheme="minorHAnsi"/>
          <w:sz w:val="22"/>
          <w:szCs w:val="22"/>
        </w:rPr>
      </w:pPr>
      <w:r w:rsidRPr="00777998">
        <w:rPr>
          <w:rFonts w:cstheme="minorHAnsi"/>
          <w:sz w:val="22"/>
          <w:szCs w:val="22"/>
        </w:rPr>
        <w:t>New facility baselines will be based on international best</w:t>
      </w:r>
      <w:r w:rsidR="00BE1146">
        <w:rPr>
          <w:rFonts w:cstheme="minorHAnsi"/>
          <w:sz w:val="22"/>
          <w:szCs w:val="22"/>
        </w:rPr>
        <w:t>-</w:t>
      </w:r>
      <w:r w:rsidRPr="00777998">
        <w:rPr>
          <w:rFonts w:cstheme="minorHAnsi"/>
          <w:sz w:val="22"/>
          <w:szCs w:val="22"/>
        </w:rPr>
        <w:t>practice emissions-intensity benc</w:t>
      </w:r>
      <w:r w:rsidRPr="00B61180">
        <w:rPr>
          <w:rFonts w:cstheme="minorHAnsi"/>
          <w:sz w:val="22"/>
          <w:szCs w:val="22"/>
        </w:rPr>
        <w:t>hmarks, adapted for Australian circumstances. International best</w:t>
      </w:r>
      <w:r w:rsidR="00BE1146">
        <w:rPr>
          <w:rFonts w:cstheme="minorHAnsi"/>
          <w:sz w:val="22"/>
          <w:szCs w:val="22"/>
        </w:rPr>
        <w:t>-</w:t>
      </w:r>
      <w:r w:rsidRPr="00B61180">
        <w:rPr>
          <w:rFonts w:cstheme="minorHAnsi"/>
          <w:sz w:val="22"/>
          <w:szCs w:val="22"/>
        </w:rPr>
        <w:t>practice will apply to all new investments, including at existing Safeguard Mechanism facilities that start producing a new product.</w:t>
      </w:r>
    </w:p>
    <w:p w14:paraId="737E0727" w14:textId="77777777" w:rsidR="00983082" w:rsidRDefault="00983082">
      <w:pPr>
        <w:spacing w:after="100" w:line="259" w:lineRule="auto"/>
        <w:rPr>
          <w:rFonts w:cstheme="minorHAnsi"/>
          <w:sz w:val="22"/>
          <w:szCs w:val="22"/>
        </w:rPr>
      </w:pPr>
      <w:r w:rsidRPr="00C412B4">
        <w:rPr>
          <w:rFonts w:cstheme="minorHAnsi"/>
          <w:sz w:val="22"/>
          <w:szCs w:val="22"/>
        </w:rPr>
        <w:t xml:space="preserve">New entrant arrangements will commence from 1 July 2023, consistent with broader Safeguard reforms. </w:t>
      </w:r>
      <w:r w:rsidRPr="00983082">
        <w:rPr>
          <w:rFonts w:cstheme="minorHAnsi"/>
          <w:sz w:val="22"/>
          <w:szCs w:val="22"/>
        </w:rPr>
        <w:t>New facility baselines will be subject to an annual decline rate, consistent with baselines for existing facilities.</w:t>
      </w:r>
    </w:p>
    <w:p w14:paraId="44E56744" w14:textId="77777777" w:rsidR="00C9647E" w:rsidRPr="00983082" w:rsidRDefault="001A23CE">
      <w:pPr>
        <w:spacing w:after="100" w:line="259" w:lineRule="auto"/>
        <w:rPr>
          <w:rFonts w:cstheme="minorHAnsi"/>
          <w:sz w:val="22"/>
          <w:szCs w:val="22"/>
        </w:rPr>
      </w:pPr>
      <w:proofErr w:type="spellStart"/>
      <w:r w:rsidRPr="001A23CE">
        <w:rPr>
          <w:rFonts w:cstheme="minorHAnsi"/>
          <w:sz w:val="22"/>
          <w:szCs w:val="22"/>
        </w:rPr>
        <w:t>D</w:t>
      </w:r>
      <w:r w:rsidR="00A11B04" w:rsidRPr="001A23CE">
        <w:rPr>
          <w:rFonts w:cstheme="minorHAnsi"/>
          <w:sz w:val="22"/>
          <w:szCs w:val="22"/>
        </w:rPr>
        <w:t>CCEEW</w:t>
      </w:r>
      <w:proofErr w:type="spellEnd"/>
      <w:r w:rsidR="00A11B04" w:rsidRPr="001A23CE">
        <w:rPr>
          <w:rFonts w:cstheme="minorHAnsi"/>
          <w:sz w:val="22"/>
          <w:szCs w:val="22"/>
        </w:rPr>
        <w:t xml:space="preserve"> intends to consult on a framework to establishing international best-practice emissions-intensity benchmarks by 1 July 2023</w:t>
      </w:r>
      <w:r w:rsidR="00C9647E" w:rsidRPr="001A23CE">
        <w:rPr>
          <w:rFonts w:cstheme="minorHAnsi"/>
          <w:sz w:val="22"/>
          <w:szCs w:val="22"/>
        </w:rPr>
        <w:t xml:space="preserve"> and </w:t>
      </w:r>
      <w:r w:rsidR="00A11B04" w:rsidRPr="001A23CE">
        <w:rPr>
          <w:rFonts w:cstheme="minorHAnsi"/>
          <w:sz w:val="22"/>
          <w:szCs w:val="22"/>
        </w:rPr>
        <w:t xml:space="preserve">develop and consult on the </w:t>
      </w:r>
      <w:r w:rsidR="00C9647E" w:rsidRPr="001A23CE">
        <w:rPr>
          <w:rFonts w:cstheme="minorHAnsi"/>
          <w:sz w:val="22"/>
          <w:szCs w:val="22"/>
        </w:rPr>
        <w:t xml:space="preserve">first set of benchmarks </w:t>
      </w:r>
      <w:r w:rsidR="00CB7174">
        <w:rPr>
          <w:rFonts w:cstheme="minorHAnsi"/>
          <w:sz w:val="22"/>
          <w:szCs w:val="22"/>
        </w:rPr>
        <w:t>during the 2023 calendar year.</w:t>
      </w:r>
    </w:p>
    <w:p w14:paraId="2FB77E89" w14:textId="77777777" w:rsidR="001339D9" w:rsidRPr="00526826" w:rsidRDefault="001339D9" w:rsidP="00293FEF">
      <w:pPr>
        <w:pStyle w:val="Heading4"/>
        <w:rPr>
          <w:rFonts w:eastAsiaTheme="majorEastAsia" w:cstheme="majorBidi"/>
          <w:sz w:val="30"/>
          <w:szCs w:val="30"/>
        </w:rPr>
      </w:pPr>
      <w:r w:rsidRPr="00526826">
        <w:rPr>
          <w:rFonts w:eastAsiaTheme="majorEastAsia" w:cstheme="majorBidi"/>
          <w:sz w:val="30"/>
          <w:szCs w:val="30"/>
        </w:rPr>
        <w:t xml:space="preserve">Implementation </w:t>
      </w:r>
      <w:r w:rsidR="006D0974">
        <w:rPr>
          <w:rFonts w:eastAsiaTheme="majorEastAsia" w:cstheme="majorBidi"/>
          <w:sz w:val="30"/>
          <w:szCs w:val="30"/>
        </w:rPr>
        <w:t>post 1 July 2023</w:t>
      </w:r>
    </w:p>
    <w:p w14:paraId="2D7E17A6" w14:textId="63A9FE38" w:rsidR="00776035" w:rsidRPr="00406F7F" w:rsidRDefault="00776035" w:rsidP="0041065C">
      <w:pPr>
        <w:rPr>
          <w:rFonts w:cstheme="minorHAnsi"/>
          <w:sz w:val="22"/>
          <w:szCs w:val="22"/>
        </w:rPr>
      </w:pPr>
      <w:r w:rsidRPr="00406F7F">
        <w:rPr>
          <w:sz w:val="22"/>
          <w:szCs w:val="22"/>
        </w:rPr>
        <w:t xml:space="preserve">Once the reforms commence on 1 July 2023, there may be some policy implementation which is finalised within the first compliance year, and other areas which require ongoing </w:t>
      </w:r>
      <w:r w:rsidR="005F5DA8" w:rsidRPr="00406F7F">
        <w:rPr>
          <w:sz w:val="22"/>
          <w:szCs w:val="22"/>
        </w:rPr>
        <w:t>monitoring and consultation. Stakeholder consultation</w:t>
      </w:r>
      <w:r w:rsidR="00CF2C91" w:rsidRPr="00406F7F">
        <w:rPr>
          <w:sz w:val="22"/>
          <w:szCs w:val="22"/>
        </w:rPr>
        <w:t xml:space="preserve"> and</w:t>
      </w:r>
      <w:r w:rsidR="005F5DA8" w:rsidRPr="00406F7F">
        <w:rPr>
          <w:sz w:val="22"/>
          <w:szCs w:val="22"/>
        </w:rPr>
        <w:t xml:space="preserve"> ongoing functions </w:t>
      </w:r>
      <w:r w:rsidR="00CF2C91" w:rsidRPr="00406F7F">
        <w:rPr>
          <w:sz w:val="22"/>
          <w:szCs w:val="22"/>
        </w:rPr>
        <w:t xml:space="preserve">of </w:t>
      </w:r>
      <w:proofErr w:type="spellStart"/>
      <w:r w:rsidR="00CF2C91" w:rsidRPr="00406F7F">
        <w:rPr>
          <w:sz w:val="22"/>
          <w:szCs w:val="22"/>
        </w:rPr>
        <w:t>DCCEEW</w:t>
      </w:r>
      <w:proofErr w:type="spellEnd"/>
      <w:r w:rsidR="00CF2C91" w:rsidRPr="00406F7F">
        <w:rPr>
          <w:sz w:val="22"/>
          <w:szCs w:val="22"/>
        </w:rPr>
        <w:t xml:space="preserve"> and the Clean Energy Regulator </w:t>
      </w:r>
      <w:r w:rsidR="005F5DA8" w:rsidRPr="00406F7F">
        <w:rPr>
          <w:sz w:val="22"/>
          <w:szCs w:val="22"/>
        </w:rPr>
        <w:t xml:space="preserve">to </w:t>
      </w:r>
      <w:r w:rsidR="00CF2C91" w:rsidRPr="00406F7F">
        <w:rPr>
          <w:sz w:val="22"/>
          <w:szCs w:val="22"/>
        </w:rPr>
        <w:t xml:space="preserve">maintain the smooth operation of the scheme will continue. </w:t>
      </w:r>
      <w:r w:rsidR="00406F7F" w:rsidRPr="00406F7F">
        <w:rPr>
          <w:sz w:val="22"/>
          <w:szCs w:val="22"/>
        </w:rPr>
        <w:t xml:space="preserve">Regulatory </w:t>
      </w:r>
      <w:r w:rsidR="00CF2C91" w:rsidRPr="00406F7F">
        <w:rPr>
          <w:sz w:val="22"/>
          <w:szCs w:val="22"/>
        </w:rPr>
        <w:t xml:space="preserve">changes will be necessary, for example making international best practice benchmark emissions intensity values. </w:t>
      </w:r>
      <w:r w:rsidR="005F5DA8" w:rsidRPr="00406F7F">
        <w:rPr>
          <w:sz w:val="22"/>
          <w:szCs w:val="22"/>
        </w:rPr>
        <w:t>These processes are outlined below and reflected in the proposed schedule in</w:t>
      </w:r>
      <w:r w:rsidR="0079165B">
        <w:rPr>
          <w:rFonts w:cstheme="minorHAnsi"/>
          <w:sz w:val="22"/>
          <w:szCs w:val="22"/>
        </w:rPr>
        <w:t xml:space="preserve"> </w:t>
      </w:r>
      <w:r w:rsidR="0079165B" w:rsidRPr="0079165B">
        <w:rPr>
          <w:rFonts w:cstheme="minorHAnsi"/>
          <w:sz w:val="22"/>
          <w:szCs w:val="22"/>
        </w:rPr>
        <w:fldChar w:fldCharType="begin"/>
      </w:r>
      <w:r w:rsidR="0079165B" w:rsidRPr="0079165B">
        <w:rPr>
          <w:rFonts w:cstheme="minorHAnsi"/>
          <w:sz w:val="22"/>
          <w:szCs w:val="22"/>
        </w:rPr>
        <w:instrText xml:space="preserve"> REF _Ref132709084 \h </w:instrText>
      </w:r>
      <w:r w:rsidR="0079165B">
        <w:rPr>
          <w:rFonts w:cstheme="minorHAnsi"/>
          <w:sz w:val="22"/>
          <w:szCs w:val="22"/>
        </w:rPr>
        <w:instrText xml:space="preserve"> \* MERGEFORMAT </w:instrText>
      </w:r>
      <w:r w:rsidR="0079165B" w:rsidRPr="0079165B">
        <w:rPr>
          <w:rFonts w:cstheme="minorHAnsi"/>
          <w:sz w:val="22"/>
          <w:szCs w:val="22"/>
        </w:rPr>
      </w:r>
      <w:r w:rsidR="0079165B" w:rsidRPr="0079165B">
        <w:rPr>
          <w:rFonts w:cstheme="minorHAnsi"/>
          <w:sz w:val="22"/>
          <w:szCs w:val="22"/>
        </w:rPr>
        <w:fldChar w:fldCharType="separate"/>
      </w:r>
      <w:r w:rsidR="0079165B" w:rsidRPr="007740E1">
        <w:rPr>
          <w:sz w:val="22"/>
          <w:szCs w:val="22"/>
        </w:rPr>
        <w:t xml:space="preserve">Table </w:t>
      </w:r>
      <w:r w:rsidR="0079165B" w:rsidRPr="007740E1">
        <w:rPr>
          <w:noProof/>
          <w:sz w:val="22"/>
          <w:szCs w:val="22"/>
        </w:rPr>
        <w:t>8</w:t>
      </w:r>
      <w:r w:rsidR="0079165B" w:rsidRPr="0079165B">
        <w:rPr>
          <w:rFonts w:cstheme="minorHAnsi"/>
          <w:sz w:val="22"/>
          <w:szCs w:val="22"/>
        </w:rPr>
        <w:fldChar w:fldCharType="end"/>
      </w:r>
      <w:r w:rsidR="005F5DA8" w:rsidRPr="00406F7F">
        <w:rPr>
          <w:rFonts w:cstheme="minorHAnsi"/>
          <w:color w:val="auto"/>
          <w:sz w:val="22"/>
          <w:szCs w:val="22"/>
        </w:rPr>
        <w:t>.</w:t>
      </w:r>
    </w:p>
    <w:p w14:paraId="595E18E4" w14:textId="77777777" w:rsidR="00C9647E" w:rsidRPr="003010B3" w:rsidRDefault="00C9647E" w:rsidP="00526826">
      <w:pPr>
        <w:pStyle w:val="Heading4"/>
      </w:pPr>
      <w:r w:rsidRPr="00E93F6E">
        <w:t>Setting baselines for existing facilities</w:t>
      </w:r>
    </w:p>
    <w:p w14:paraId="09EDB7A7" w14:textId="77777777" w:rsidR="00C9647E" w:rsidRPr="00983082" w:rsidRDefault="00C9647E" w:rsidP="00C9647E">
      <w:pPr>
        <w:spacing w:after="100" w:line="259" w:lineRule="auto"/>
        <w:rPr>
          <w:rFonts w:cstheme="minorHAnsi"/>
          <w:sz w:val="22"/>
          <w:szCs w:val="22"/>
        </w:rPr>
      </w:pPr>
      <w:r w:rsidRPr="00777998">
        <w:rPr>
          <w:rFonts w:cstheme="minorHAnsi"/>
          <w:sz w:val="22"/>
          <w:szCs w:val="22"/>
        </w:rPr>
        <w:t>Baselines for existing facilities will be set using a hybrid model initially weighted towards the use of site-specific emissions intensity values, and transitioning to industry average emissions intensity values</w:t>
      </w:r>
      <w:r w:rsidRPr="00983082">
        <w:rPr>
          <w:rFonts w:cstheme="minorHAnsi"/>
          <w:sz w:val="22"/>
          <w:szCs w:val="22"/>
        </w:rPr>
        <w:t xml:space="preserve"> by 2030.</w:t>
      </w:r>
    </w:p>
    <w:p w14:paraId="7FAB2674" w14:textId="77777777" w:rsidR="00C9647E" w:rsidRPr="003010B3" w:rsidRDefault="00C9647E" w:rsidP="00C9647E">
      <w:pPr>
        <w:pStyle w:val="Heading4"/>
      </w:pPr>
      <w:r w:rsidRPr="00E93F6E">
        <w:t>Calculating site-specific emissions intensity values</w:t>
      </w:r>
    </w:p>
    <w:p w14:paraId="63EF3776" w14:textId="087D9021" w:rsidR="00C9647E" w:rsidRPr="00983082" w:rsidRDefault="00C9647E" w:rsidP="00C9647E">
      <w:pPr>
        <w:spacing w:after="100" w:line="259" w:lineRule="auto"/>
        <w:rPr>
          <w:rFonts w:cstheme="minorHAnsi"/>
          <w:sz w:val="22"/>
          <w:szCs w:val="22"/>
        </w:rPr>
      </w:pPr>
      <w:r w:rsidRPr="00777998">
        <w:rPr>
          <w:rFonts w:cstheme="minorHAnsi"/>
          <w:sz w:val="22"/>
          <w:szCs w:val="22"/>
        </w:rPr>
        <w:lastRenderedPageBreak/>
        <w:t>All existing facilities’ site-specific emissions-intensity values will be reset using historic data. Facilities must apply for site-specific emissions-intensity values by 30 April 2024. The app</w:t>
      </w:r>
      <w:r w:rsidRPr="00983082">
        <w:rPr>
          <w:rFonts w:cstheme="minorHAnsi"/>
          <w:sz w:val="22"/>
          <w:szCs w:val="22"/>
        </w:rPr>
        <w:t xml:space="preserve">lication must be accompanied by an </w:t>
      </w:r>
      <w:r>
        <w:rPr>
          <w:rFonts w:cstheme="minorHAnsi"/>
          <w:sz w:val="22"/>
          <w:szCs w:val="22"/>
        </w:rPr>
        <w:t>audit</w:t>
      </w:r>
      <w:r w:rsidR="00275FED">
        <w:rPr>
          <w:rFonts w:cstheme="minorHAnsi"/>
          <w:sz w:val="22"/>
          <w:szCs w:val="22"/>
        </w:rPr>
        <w:t xml:space="preserve">, except </w:t>
      </w:r>
      <w:r w:rsidR="00275FED" w:rsidRPr="00540B16">
        <w:rPr>
          <w:rFonts w:cstheme="minorHAnsi"/>
          <w:sz w:val="22"/>
          <w:szCs w:val="22"/>
        </w:rPr>
        <w:t xml:space="preserve">for components of applications that have already been audited for the purposes of an </w:t>
      </w:r>
      <w:proofErr w:type="spellStart"/>
      <w:r w:rsidR="00275FED" w:rsidRPr="00540B16">
        <w:rPr>
          <w:rFonts w:cstheme="minorHAnsi"/>
          <w:sz w:val="22"/>
          <w:szCs w:val="22"/>
        </w:rPr>
        <w:t>NGERs</w:t>
      </w:r>
      <w:proofErr w:type="spellEnd"/>
      <w:r w:rsidR="00275FED" w:rsidRPr="00540B16">
        <w:rPr>
          <w:rFonts w:cstheme="minorHAnsi"/>
          <w:sz w:val="22"/>
          <w:szCs w:val="22"/>
        </w:rPr>
        <w:t xml:space="preserve"> report</w:t>
      </w:r>
      <w:r>
        <w:rPr>
          <w:rFonts w:cstheme="minorHAnsi"/>
          <w:sz w:val="22"/>
          <w:szCs w:val="22"/>
        </w:rPr>
        <w:t xml:space="preserve">. </w:t>
      </w:r>
      <w:r w:rsidRPr="00777998">
        <w:rPr>
          <w:rFonts w:cstheme="minorHAnsi"/>
          <w:sz w:val="22"/>
          <w:szCs w:val="22"/>
        </w:rPr>
        <w:t>The values will be calculated using the middle two values from the f</w:t>
      </w:r>
      <w:r>
        <w:rPr>
          <w:rFonts w:cstheme="minorHAnsi"/>
          <w:sz w:val="22"/>
          <w:szCs w:val="22"/>
        </w:rPr>
        <w:t xml:space="preserve">our most recent years of data. </w:t>
      </w:r>
      <w:r w:rsidRPr="00777998">
        <w:rPr>
          <w:rFonts w:cstheme="minorHAnsi"/>
          <w:sz w:val="22"/>
          <w:szCs w:val="22"/>
        </w:rPr>
        <w:t>The remaining two years of data will be used to calculate a production-weighted, average emissions</w:t>
      </w:r>
      <w:r w:rsidRPr="00777998">
        <w:rPr>
          <w:rFonts w:cstheme="minorHAnsi"/>
          <w:sz w:val="22"/>
          <w:szCs w:val="22"/>
        </w:rPr>
        <w:noBreakHyphen/>
        <w:t>intensity value(</w:t>
      </w:r>
      <w:r w:rsidRPr="00983082">
        <w:rPr>
          <w:rFonts w:cstheme="minorHAnsi"/>
          <w:sz w:val="22"/>
          <w:szCs w:val="22"/>
        </w:rPr>
        <w:t>s) for the facility, noting that any emissions apportioning must be consistent with published production variable definitions.</w:t>
      </w:r>
    </w:p>
    <w:p w14:paraId="6B2F8581" w14:textId="77777777" w:rsidR="00506DE1" w:rsidRPr="00BA53E0" w:rsidRDefault="00506DE1" w:rsidP="0091770F">
      <w:pPr>
        <w:pStyle w:val="Heading4"/>
      </w:pPr>
      <w:r w:rsidRPr="00BA53E0">
        <w:t>Tailored treatment for emissions-intensive, trad</w:t>
      </w:r>
      <w:r>
        <w:t>e-exposed (</w:t>
      </w:r>
      <w:proofErr w:type="spellStart"/>
      <w:r>
        <w:t>EITE</w:t>
      </w:r>
      <w:proofErr w:type="spellEnd"/>
      <w:r>
        <w:t xml:space="preserve">) </w:t>
      </w:r>
      <w:r w:rsidRPr="00BA53E0">
        <w:t xml:space="preserve">businesses </w:t>
      </w:r>
    </w:p>
    <w:p w14:paraId="19218553" w14:textId="77777777" w:rsidR="00506DE1" w:rsidRPr="00293FEF" w:rsidRDefault="00506DE1" w:rsidP="00506DE1">
      <w:pPr>
        <w:spacing w:after="160" w:line="259" w:lineRule="auto"/>
        <w:rPr>
          <w:sz w:val="22"/>
          <w:szCs w:val="22"/>
        </w:rPr>
      </w:pPr>
      <w:r w:rsidRPr="00777998">
        <w:rPr>
          <w:sz w:val="22"/>
          <w:szCs w:val="22"/>
        </w:rPr>
        <w:t>There will be two categories of facilities that will receive tailored treatment to manage competitiveness issues an</w:t>
      </w:r>
      <w:r w:rsidRPr="00293FEF">
        <w:rPr>
          <w:sz w:val="22"/>
          <w:szCs w:val="22"/>
        </w:rPr>
        <w:t>d carbon leakage risks. ‘Trade</w:t>
      </w:r>
      <w:r w:rsidR="0047068D">
        <w:rPr>
          <w:sz w:val="22"/>
          <w:szCs w:val="22"/>
        </w:rPr>
        <w:t>-e</w:t>
      </w:r>
      <w:r w:rsidRPr="00293FEF">
        <w:rPr>
          <w:sz w:val="22"/>
          <w:szCs w:val="22"/>
        </w:rPr>
        <w:t>xposed’ facilities will include all facilities undertaking a trade-exposed activity, and ‘</w:t>
      </w:r>
      <w:r w:rsidR="0047068D">
        <w:rPr>
          <w:sz w:val="22"/>
          <w:szCs w:val="22"/>
        </w:rPr>
        <w:t>trade-exposed baseline-adjusted</w:t>
      </w:r>
      <w:r w:rsidRPr="00293FEF">
        <w:rPr>
          <w:sz w:val="22"/>
          <w:szCs w:val="22"/>
        </w:rPr>
        <w:t>’</w:t>
      </w:r>
      <w:r>
        <w:rPr>
          <w:sz w:val="22"/>
          <w:szCs w:val="22"/>
        </w:rPr>
        <w:t xml:space="preserve"> facilities</w:t>
      </w:r>
      <w:r w:rsidRPr="00293FEF">
        <w:rPr>
          <w:sz w:val="22"/>
          <w:szCs w:val="22"/>
        </w:rPr>
        <w:t xml:space="preserve"> will include those facilities with an elevated risk of carbon leakage</w:t>
      </w:r>
      <w:r w:rsidR="0015225A">
        <w:rPr>
          <w:sz w:val="22"/>
          <w:szCs w:val="22"/>
        </w:rPr>
        <w:t>:</w:t>
      </w:r>
    </w:p>
    <w:p w14:paraId="36048484" w14:textId="09CE22AC" w:rsidR="00506DE1" w:rsidRDefault="0015225A" w:rsidP="00506DE1">
      <w:pPr>
        <w:pStyle w:val="ListParagraph"/>
        <w:numPr>
          <w:ilvl w:val="0"/>
          <w:numId w:val="76"/>
        </w:numPr>
        <w:spacing w:after="160" w:line="259" w:lineRule="auto"/>
        <w:contextualSpacing w:val="0"/>
        <w:rPr>
          <w:sz w:val="22"/>
          <w:szCs w:val="22"/>
        </w:rPr>
      </w:pPr>
      <w:r>
        <w:rPr>
          <w:sz w:val="22"/>
          <w:szCs w:val="22"/>
        </w:rPr>
        <w:t>T</w:t>
      </w:r>
      <w:r w:rsidR="00506DE1" w:rsidRPr="00293FEF">
        <w:rPr>
          <w:sz w:val="22"/>
          <w:szCs w:val="22"/>
        </w:rPr>
        <w:t>rade</w:t>
      </w:r>
      <w:r w:rsidR="0047068D">
        <w:rPr>
          <w:sz w:val="22"/>
          <w:szCs w:val="22"/>
        </w:rPr>
        <w:t>-e</w:t>
      </w:r>
      <w:r w:rsidR="00506DE1" w:rsidRPr="00293FEF">
        <w:rPr>
          <w:sz w:val="22"/>
          <w:szCs w:val="22"/>
        </w:rPr>
        <w:t>xposed facilities will be eligible for preferential access to the $600 million Safeguard Transformation Stream—a component of the Powering the Regions Fund</w:t>
      </w:r>
      <w:r w:rsidR="00B35BEB">
        <w:rPr>
          <w:sz w:val="22"/>
          <w:szCs w:val="22"/>
        </w:rPr>
        <w:t xml:space="preserve"> (</w:t>
      </w:r>
      <w:proofErr w:type="spellStart"/>
      <w:r w:rsidR="00B35BEB">
        <w:rPr>
          <w:sz w:val="22"/>
          <w:szCs w:val="22"/>
        </w:rPr>
        <w:t>PRF</w:t>
      </w:r>
      <w:proofErr w:type="spellEnd"/>
      <w:r w:rsidR="00B35BEB">
        <w:rPr>
          <w:sz w:val="22"/>
          <w:szCs w:val="22"/>
        </w:rPr>
        <w:t>)</w:t>
      </w:r>
      <w:r w:rsidR="00506DE1" w:rsidRPr="00293FEF">
        <w:rPr>
          <w:sz w:val="22"/>
          <w:szCs w:val="22"/>
        </w:rPr>
        <w:t>.</w:t>
      </w:r>
    </w:p>
    <w:p w14:paraId="52104365" w14:textId="0B57A02D" w:rsidR="00B35BEB" w:rsidRPr="00293FEF" w:rsidRDefault="00B35BEB" w:rsidP="00B35BEB">
      <w:pPr>
        <w:pStyle w:val="ListParagraph"/>
        <w:numPr>
          <w:ilvl w:val="0"/>
          <w:numId w:val="76"/>
        </w:numPr>
        <w:spacing w:after="160" w:line="259" w:lineRule="auto"/>
        <w:contextualSpacing w:val="0"/>
        <w:rPr>
          <w:sz w:val="22"/>
          <w:szCs w:val="22"/>
        </w:rPr>
      </w:pPr>
      <w:r w:rsidRPr="00B35BEB">
        <w:rPr>
          <w:sz w:val="22"/>
          <w:szCs w:val="22"/>
        </w:rPr>
        <w:t xml:space="preserve">An additional $400 million stream of the </w:t>
      </w:r>
      <w:proofErr w:type="spellStart"/>
      <w:r w:rsidRPr="00B35BEB">
        <w:rPr>
          <w:sz w:val="22"/>
          <w:szCs w:val="22"/>
        </w:rPr>
        <w:t>PRF</w:t>
      </w:r>
      <w:proofErr w:type="spellEnd"/>
      <w:r w:rsidRPr="00B35BEB">
        <w:rPr>
          <w:sz w:val="22"/>
          <w:szCs w:val="22"/>
        </w:rPr>
        <w:t xml:space="preserve"> will be set aside to support the sovereign manufacturing capability of critical inputs to the energy transition</w:t>
      </w:r>
      <w:r>
        <w:rPr>
          <w:sz w:val="22"/>
          <w:szCs w:val="22"/>
        </w:rPr>
        <w:t>.</w:t>
      </w:r>
    </w:p>
    <w:p w14:paraId="665C7ABE" w14:textId="77777777" w:rsidR="0015225A" w:rsidRDefault="0015225A" w:rsidP="00506DE1">
      <w:pPr>
        <w:pStyle w:val="ListParagraph"/>
        <w:numPr>
          <w:ilvl w:val="0"/>
          <w:numId w:val="76"/>
        </w:numPr>
        <w:spacing w:after="160" w:line="259" w:lineRule="auto"/>
        <w:contextualSpacing w:val="0"/>
        <w:rPr>
          <w:sz w:val="22"/>
          <w:szCs w:val="22"/>
        </w:rPr>
      </w:pPr>
      <w:r>
        <w:rPr>
          <w:sz w:val="22"/>
          <w:szCs w:val="22"/>
        </w:rPr>
        <w:t>T</w:t>
      </w:r>
      <w:r w:rsidR="0047068D">
        <w:rPr>
          <w:sz w:val="22"/>
          <w:szCs w:val="22"/>
        </w:rPr>
        <w:t>rade-exposed baseline-adjusted</w:t>
      </w:r>
      <w:r w:rsidR="00506DE1" w:rsidRPr="006A4E60">
        <w:rPr>
          <w:sz w:val="22"/>
          <w:szCs w:val="22"/>
        </w:rPr>
        <w:t xml:space="preserve"> facilities</w:t>
      </w:r>
      <w:r w:rsidR="00506DE1" w:rsidRPr="00293FEF" w:rsidDel="00123A8C">
        <w:rPr>
          <w:sz w:val="22"/>
          <w:szCs w:val="22"/>
        </w:rPr>
        <w:t xml:space="preserve"> </w:t>
      </w:r>
      <w:r w:rsidR="00506DE1" w:rsidRPr="00293FEF">
        <w:rPr>
          <w:sz w:val="22"/>
          <w:szCs w:val="22"/>
        </w:rPr>
        <w:t>will be eligible to apply to the Clean Energy Regulator for a discounted decline rate set based on a scheme impact metric</w:t>
      </w:r>
      <w:r>
        <w:rPr>
          <w:sz w:val="22"/>
          <w:szCs w:val="22"/>
        </w:rPr>
        <w:t>.</w:t>
      </w:r>
    </w:p>
    <w:p w14:paraId="04DDAD1C" w14:textId="77777777" w:rsidR="00506DE1" w:rsidRPr="00DA1B55" w:rsidRDefault="00506DE1" w:rsidP="00506DE1">
      <w:pPr>
        <w:pStyle w:val="ListParagraph"/>
        <w:numPr>
          <w:ilvl w:val="0"/>
          <w:numId w:val="76"/>
        </w:numPr>
        <w:spacing w:after="160" w:line="259" w:lineRule="auto"/>
        <w:contextualSpacing w:val="0"/>
        <w:rPr>
          <w:sz w:val="22"/>
          <w:szCs w:val="22"/>
        </w:rPr>
      </w:pPr>
      <w:r w:rsidRPr="00293FEF">
        <w:rPr>
          <w:sz w:val="22"/>
          <w:szCs w:val="22"/>
        </w:rPr>
        <w:t xml:space="preserve">The minimum decline rate will </w:t>
      </w:r>
      <w:r w:rsidRPr="00C05380">
        <w:rPr>
          <w:sz w:val="22"/>
          <w:szCs w:val="22"/>
        </w:rPr>
        <w:t xml:space="preserve">be </w:t>
      </w:r>
      <w:r w:rsidR="00040C5C">
        <w:rPr>
          <w:sz w:val="22"/>
          <w:szCs w:val="22"/>
        </w:rPr>
        <w:t xml:space="preserve">one per cent each year for manufacturing facilities and </w:t>
      </w:r>
      <w:r w:rsidRPr="00DA1B55">
        <w:rPr>
          <w:sz w:val="22"/>
          <w:szCs w:val="22"/>
        </w:rPr>
        <w:t>two per cent each year</w:t>
      </w:r>
      <w:r w:rsidR="00040C5C">
        <w:rPr>
          <w:sz w:val="22"/>
          <w:szCs w:val="22"/>
        </w:rPr>
        <w:t xml:space="preserve"> for non-manufacturing facilities</w:t>
      </w:r>
      <w:r w:rsidRPr="00DA1B55">
        <w:rPr>
          <w:sz w:val="22"/>
          <w:szCs w:val="22"/>
        </w:rPr>
        <w:t>.</w:t>
      </w:r>
    </w:p>
    <w:p w14:paraId="4746B5BB" w14:textId="77777777" w:rsidR="00506DE1" w:rsidRDefault="0015225A" w:rsidP="00506DE1">
      <w:pPr>
        <w:pStyle w:val="ListParagraph"/>
        <w:numPr>
          <w:ilvl w:val="0"/>
          <w:numId w:val="76"/>
        </w:numPr>
        <w:spacing w:after="160" w:line="259" w:lineRule="auto"/>
        <w:contextualSpacing w:val="0"/>
        <w:rPr>
          <w:sz w:val="22"/>
          <w:szCs w:val="22"/>
        </w:rPr>
      </w:pPr>
      <w:r>
        <w:rPr>
          <w:sz w:val="22"/>
          <w:szCs w:val="22"/>
        </w:rPr>
        <w:t>C</w:t>
      </w:r>
      <w:r w:rsidR="00506DE1" w:rsidRPr="00DA1B55">
        <w:rPr>
          <w:sz w:val="22"/>
          <w:szCs w:val="22"/>
        </w:rPr>
        <w:t>osts will be determined by reference to the default certificate price that will be published in June each year.</w:t>
      </w:r>
    </w:p>
    <w:p w14:paraId="7EB6A75D" w14:textId="77777777" w:rsidR="00293FEF" w:rsidRDefault="001339D9" w:rsidP="00293FEF">
      <w:pPr>
        <w:pStyle w:val="Heading4"/>
      </w:pPr>
      <w:r>
        <w:t xml:space="preserve">Preventing carbon leakage </w:t>
      </w:r>
    </w:p>
    <w:p w14:paraId="403F9239" w14:textId="3A459A53" w:rsidR="00293FEF" w:rsidRPr="001327DD" w:rsidRDefault="001327DD" w:rsidP="00DA1B55">
      <w:pPr>
        <w:spacing w:after="160" w:line="259" w:lineRule="auto"/>
        <w:rPr>
          <w:sz w:val="22"/>
          <w:szCs w:val="22"/>
        </w:rPr>
      </w:pPr>
      <w:r w:rsidRPr="001327DD">
        <w:rPr>
          <w:sz w:val="22"/>
          <w:szCs w:val="22"/>
        </w:rPr>
        <w:t xml:space="preserve">The Government sees the potential merits of </w:t>
      </w:r>
      <w:r w:rsidR="006D0974">
        <w:rPr>
          <w:sz w:val="22"/>
          <w:szCs w:val="22"/>
        </w:rPr>
        <w:t>exploring options to reduce carbon leakage from Australia</w:t>
      </w:r>
      <w:r w:rsidRPr="001327DD">
        <w:rPr>
          <w:sz w:val="22"/>
          <w:szCs w:val="22"/>
        </w:rPr>
        <w:t xml:space="preserve"> and will undertake a review</w:t>
      </w:r>
      <w:r w:rsidR="00FA51B0">
        <w:rPr>
          <w:sz w:val="22"/>
          <w:szCs w:val="22"/>
        </w:rPr>
        <w:t xml:space="preserve"> to commence</w:t>
      </w:r>
      <w:r w:rsidRPr="001327DD">
        <w:rPr>
          <w:sz w:val="22"/>
          <w:szCs w:val="22"/>
        </w:rPr>
        <w:t xml:space="preserve"> in 2023 to explore </w:t>
      </w:r>
      <w:r w:rsidR="006D0974">
        <w:rPr>
          <w:sz w:val="22"/>
          <w:szCs w:val="22"/>
        </w:rPr>
        <w:t>options</w:t>
      </w:r>
      <w:r>
        <w:rPr>
          <w:sz w:val="22"/>
          <w:szCs w:val="22"/>
        </w:rPr>
        <w:t>.</w:t>
      </w:r>
    </w:p>
    <w:p w14:paraId="61D95CDC" w14:textId="77777777" w:rsidR="00293FEF" w:rsidRPr="00526826" w:rsidRDefault="00293FEF" w:rsidP="00DA1B55">
      <w:pPr>
        <w:pStyle w:val="Heading3"/>
        <w:rPr>
          <w:rFonts w:eastAsiaTheme="minorHAnsi" w:cstheme="minorBidi"/>
          <w:sz w:val="24"/>
          <w:szCs w:val="24"/>
        </w:rPr>
      </w:pPr>
      <w:bookmarkStart w:id="274" w:name="_Toc119327166"/>
      <w:bookmarkStart w:id="275" w:name="_Toc119360670"/>
      <w:bookmarkStart w:id="276" w:name="_Toc132807566"/>
      <w:r w:rsidRPr="00526826">
        <w:rPr>
          <w:rFonts w:eastAsiaTheme="minorHAnsi" w:cstheme="minorBidi"/>
          <w:sz w:val="24"/>
          <w:szCs w:val="24"/>
        </w:rPr>
        <w:t>Baseline decline rates</w:t>
      </w:r>
      <w:bookmarkEnd w:id="274"/>
      <w:bookmarkEnd w:id="275"/>
      <w:bookmarkEnd w:id="276"/>
      <w:r w:rsidRPr="00526826">
        <w:rPr>
          <w:rFonts w:eastAsiaTheme="minorHAnsi" w:cstheme="minorBidi"/>
          <w:sz w:val="24"/>
          <w:szCs w:val="24"/>
        </w:rPr>
        <w:t xml:space="preserve"> </w:t>
      </w:r>
    </w:p>
    <w:p w14:paraId="6ACC610D" w14:textId="77777777" w:rsidR="00293FEF" w:rsidRPr="00DA1B55" w:rsidRDefault="00293FEF" w:rsidP="00DA1B55">
      <w:pPr>
        <w:keepLines/>
        <w:spacing w:after="100" w:line="259" w:lineRule="auto"/>
        <w:rPr>
          <w:sz w:val="22"/>
          <w:szCs w:val="22"/>
        </w:rPr>
      </w:pPr>
      <w:r w:rsidRPr="00DA1B55">
        <w:rPr>
          <w:sz w:val="22"/>
          <w:szCs w:val="22"/>
        </w:rPr>
        <w:t>In general, a uniform 4.9 per cent decline rate will apply to Safeguard Mechanism baselines each year to 2029-30. This will ensure the Safeguard emissions budget of 1,23</w:t>
      </w:r>
      <w:r w:rsidR="00DD24E4">
        <w:rPr>
          <w:sz w:val="22"/>
          <w:szCs w:val="22"/>
        </w:rPr>
        <w:t>3</w:t>
      </w:r>
      <w:r w:rsidRPr="00DA1B55">
        <w:rPr>
          <w:sz w:val="22"/>
          <w:szCs w:val="22"/>
        </w:rPr>
        <w:t xml:space="preserve"> million tonnes CO</w:t>
      </w:r>
      <w:r w:rsidRPr="00DA1B55">
        <w:rPr>
          <w:sz w:val="22"/>
          <w:szCs w:val="22"/>
          <w:vertAlign w:val="subscript"/>
        </w:rPr>
        <w:t>2</w:t>
      </w:r>
      <w:r w:rsidRPr="00DA1B55">
        <w:rPr>
          <w:sz w:val="22"/>
          <w:szCs w:val="22"/>
        </w:rPr>
        <w:noBreakHyphen/>
        <w:t>e and 2030 target of 100 million tonnes CO</w:t>
      </w:r>
      <w:r w:rsidRPr="00DA1B55">
        <w:rPr>
          <w:sz w:val="22"/>
          <w:szCs w:val="22"/>
          <w:vertAlign w:val="subscript"/>
        </w:rPr>
        <w:t>2</w:t>
      </w:r>
      <w:r w:rsidRPr="00DA1B55">
        <w:rPr>
          <w:sz w:val="22"/>
          <w:szCs w:val="22"/>
        </w:rPr>
        <w:noBreakHyphen/>
        <w:t>e will be met.</w:t>
      </w:r>
    </w:p>
    <w:p w14:paraId="3DB4169A" w14:textId="77777777" w:rsidR="00293FEF" w:rsidRPr="00DA1B55" w:rsidRDefault="00293FEF" w:rsidP="00202E2F">
      <w:pPr>
        <w:pStyle w:val="ListParagraph"/>
        <w:keepLines/>
        <w:numPr>
          <w:ilvl w:val="0"/>
          <w:numId w:val="77"/>
        </w:numPr>
        <w:spacing w:after="100" w:line="259" w:lineRule="auto"/>
        <w:contextualSpacing w:val="0"/>
        <w:rPr>
          <w:sz w:val="22"/>
          <w:szCs w:val="22"/>
        </w:rPr>
      </w:pPr>
      <w:r w:rsidRPr="00DA1B55">
        <w:rPr>
          <w:sz w:val="22"/>
          <w:szCs w:val="22"/>
        </w:rPr>
        <w:t xml:space="preserve">Decline rates for 2030-31 to 2034-35 will be the subject of consultation in </w:t>
      </w:r>
      <w:r w:rsidR="003326DF">
        <w:rPr>
          <w:sz w:val="22"/>
          <w:szCs w:val="22"/>
        </w:rPr>
        <w:t>2026-27</w:t>
      </w:r>
      <w:r w:rsidRPr="00DA1B55">
        <w:rPr>
          <w:sz w:val="22"/>
          <w:szCs w:val="22"/>
        </w:rPr>
        <w:t xml:space="preserve"> following Australia’s </w:t>
      </w:r>
      <w:proofErr w:type="spellStart"/>
      <w:r w:rsidRPr="00DA1B55">
        <w:rPr>
          <w:sz w:val="22"/>
          <w:szCs w:val="22"/>
        </w:rPr>
        <w:t>NDC</w:t>
      </w:r>
      <w:proofErr w:type="spellEnd"/>
      <w:r w:rsidRPr="00DA1B55">
        <w:rPr>
          <w:sz w:val="22"/>
          <w:szCs w:val="22"/>
        </w:rPr>
        <w:t xml:space="preserve"> update in 2025, and made by 1 July 2027. </w:t>
      </w:r>
    </w:p>
    <w:p w14:paraId="40D3D48F" w14:textId="77777777" w:rsidR="000D56B4" w:rsidRPr="00DA1B55" w:rsidRDefault="00293FEF" w:rsidP="00202E2F">
      <w:pPr>
        <w:pStyle w:val="ListParagraph"/>
        <w:keepLines/>
        <w:numPr>
          <w:ilvl w:val="0"/>
          <w:numId w:val="77"/>
        </w:numPr>
        <w:spacing w:after="100" w:line="259" w:lineRule="auto"/>
        <w:contextualSpacing w:val="0"/>
        <w:rPr>
          <w:sz w:val="22"/>
          <w:szCs w:val="22"/>
        </w:rPr>
      </w:pPr>
      <w:r w:rsidRPr="00DA1B55">
        <w:rPr>
          <w:sz w:val="22"/>
          <w:szCs w:val="22"/>
        </w:rPr>
        <w:t>To maintain progress to net zero by 2050, indicative annual decline rates will be set for 2030-31 to 2049-50, noting that the actual rate will be set through the periodic baseline setting process.</w:t>
      </w:r>
    </w:p>
    <w:p w14:paraId="7FFED895" w14:textId="77777777" w:rsidR="00A11B04" w:rsidRDefault="00A11B04" w:rsidP="00526826">
      <w:pPr>
        <w:pStyle w:val="Heading4"/>
      </w:pPr>
      <w:r w:rsidRPr="00526826">
        <w:t>Landfills</w:t>
      </w:r>
    </w:p>
    <w:p w14:paraId="6EC7BFAA" w14:textId="77777777" w:rsidR="00A11B04" w:rsidRDefault="00A11B04" w:rsidP="00A11B04">
      <w:pPr>
        <w:pStyle w:val="BodyText"/>
        <w:rPr>
          <w:sz w:val="22"/>
          <w:szCs w:val="22"/>
        </w:rPr>
      </w:pPr>
      <w:r w:rsidRPr="00526826">
        <w:rPr>
          <w:sz w:val="22"/>
          <w:szCs w:val="22"/>
        </w:rPr>
        <w:t xml:space="preserve">As described in the Position Paper, landfills are covered by the Safeguard Mechanism, but they have different coverage and baseline setting arrangements to other facilities. </w:t>
      </w:r>
      <w:r>
        <w:rPr>
          <w:sz w:val="22"/>
          <w:szCs w:val="22"/>
        </w:rPr>
        <w:t xml:space="preserve">Long term arrangements for landfills covered by the Safeguard Mechanism will be considered prior to the 2026-27 Safeguard Mechanism review. This process is to </w:t>
      </w:r>
      <w:r>
        <w:rPr>
          <w:sz w:val="22"/>
          <w:szCs w:val="22"/>
        </w:rPr>
        <w:lastRenderedPageBreak/>
        <w:t>provide time to consult with the sector and take account of any lessons learned as more landfill facilities are covered by the Safeguard Mechanism.</w:t>
      </w:r>
    </w:p>
    <w:p w14:paraId="0010E090" w14:textId="0B8A896E" w:rsidR="005F5DA8" w:rsidRPr="00CF219C" w:rsidRDefault="00A811DA">
      <w:pPr>
        <w:pStyle w:val="Caption"/>
      </w:pPr>
      <w:bookmarkStart w:id="277" w:name="_Ref132709084"/>
      <w:bookmarkStart w:id="278" w:name="_Ref128167983"/>
      <w:r>
        <w:t xml:space="preserve">Table </w:t>
      </w:r>
      <w:fldSimple w:instr=" SEQ Table \* ARABIC ">
        <w:r w:rsidR="00F30595">
          <w:rPr>
            <w:noProof/>
          </w:rPr>
          <w:t>8</w:t>
        </w:r>
      </w:fldSimple>
      <w:bookmarkEnd w:id="277"/>
      <w:r>
        <w:t xml:space="preserve"> </w:t>
      </w:r>
      <w:bookmarkEnd w:id="278"/>
      <w:r w:rsidR="005F5DA8">
        <w:t>Implementation timeframe</w:t>
      </w:r>
    </w:p>
    <w:tbl>
      <w:tblPr>
        <w:tblStyle w:val="TableGrid1"/>
        <w:tblW w:w="10120" w:type="dxa"/>
        <w:tblInd w:w="0" w:type="dxa"/>
        <w:tblLayout w:type="fixed"/>
        <w:tblLook w:val="04A0" w:firstRow="1" w:lastRow="0" w:firstColumn="1" w:lastColumn="0" w:noHBand="0" w:noVBand="1"/>
      </w:tblPr>
      <w:tblGrid>
        <w:gridCol w:w="3475"/>
        <w:gridCol w:w="1583"/>
        <w:gridCol w:w="815"/>
        <w:gridCol w:w="817"/>
        <w:gridCol w:w="1634"/>
        <w:gridCol w:w="1796"/>
      </w:tblGrid>
      <w:tr w:rsidR="005F5DA8" w:rsidRPr="00776035" w14:paraId="6959CB7E" w14:textId="77777777" w:rsidTr="00A249B0">
        <w:trPr>
          <w:trHeight w:val="341"/>
        </w:trPr>
        <w:tc>
          <w:tcPr>
            <w:tcW w:w="3475" w:type="dxa"/>
            <w:tcBorders>
              <w:top w:val="single" w:sz="4" w:space="0" w:color="auto"/>
              <w:left w:val="single" w:sz="4" w:space="0" w:color="auto"/>
              <w:bottom w:val="single" w:sz="4" w:space="0" w:color="auto"/>
              <w:right w:val="single" w:sz="4" w:space="0" w:color="auto"/>
            </w:tcBorders>
            <w:hideMark/>
          </w:tcPr>
          <w:p w14:paraId="228394E9" w14:textId="77777777" w:rsidR="005F5DA8" w:rsidRPr="00776035" w:rsidRDefault="005F5DA8" w:rsidP="00A249B0">
            <w:pPr>
              <w:spacing w:after="120"/>
              <w:rPr>
                <w:rFonts w:ascii="Calibri" w:hAnsi="Calibri" w:cs="Calibri"/>
                <w:bCs/>
                <w:iCs/>
                <w:sz w:val="22"/>
                <w:szCs w:val="22"/>
              </w:rPr>
            </w:pPr>
            <w:r>
              <w:rPr>
                <w:rFonts w:ascii="Calibri" w:hAnsi="Calibri" w:cs="Calibri"/>
                <w:bCs/>
                <w:iCs/>
                <w:sz w:val="22"/>
                <w:szCs w:val="22"/>
              </w:rPr>
              <w:t>Item</w:t>
            </w:r>
          </w:p>
        </w:tc>
        <w:tc>
          <w:tcPr>
            <w:tcW w:w="1583" w:type="dxa"/>
            <w:tcBorders>
              <w:top w:val="single" w:sz="4" w:space="0" w:color="auto"/>
              <w:left w:val="single" w:sz="4" w:space="0" w:color="auto"/>
              <w:bottom w:val="single" w:sz="4" w:space="0" w:color="auto"/>
              <w:right w:val="single" w:sz="4" w:space="0" w:color="auto"/>
            </w:tcBorders>
            <w:hideMark/>
          </w:tcPr>
          <w:p w14:paraId="2CF462A6" w14:textId="77777777" w:rsidR="005F5DA8" w:rsidRPr="00776035" w:rsidRDefault="005F5DA8" w:rsidP="00A249B0">
            <w:pPr>
              <w:spacing w:after="120"/>
              <w:rPr>
                <w:rFonts w:ascii="Calibri" w:hAnsi="Calibri" w:cs="Calibri"/>
                <w:bCs/>
                <w:iCs/>
                <w:sz w:val="22"/>
                <w:szCs w:val="22"/>
              </w:rPr>
            </w:pPr>
            <w:r w:rsidRPr="00776035">
              <w:rPr>
                <w:rFonts w:ascii="Calibri" w:hAnsi="Calibri" w:cs="Calibri"/>
                <w:bCs/>
                <w:iCs/>
                <w:sz w:val="22"/>
                <w:szCs w:val="22"/>
              </w:rPr>
              <w:t>2023 – 2024</w:t>
            </w:r>
          </w:p>
        </w:tc>
        <w:tc>
          <w:tcPr>
            <w:tcW w:w="1632" w:type="dxa"/>
            <w:gridSpan w:val="2"/>
            <w:tcBorders>
              <w:top w:val="single" w:sz="4" w:space="0" w:color="auto"/>
              <w:left w:val="single" w:sz="4" w:space="0" w:color="auto"/>
              <w:bottom w:val="single" w:sz="4" w:space="0" w:color="auto"/>
              <w:right w:val="single" w:sz="4" w:space="0" w:color="auto"/>
            </w:tcBorders>
            <w:hideMark/>
          </w:tcPr>
          <w:p w14:paraId="36793DAB" w14:textId="77777777" w:rsidR="005F5DA8" w:rsidRPr="00776035" w:rsidRDefault="005F5DA8" w:rsidP="00A249B0">
            <w:pPr>
              <w:spacing w:after="120"/>
              <w:rPr>
                <w:rFonts w:ascii="Calibri" w:hAnsi="Calibri" w:cs="Calibri"/>
                <w:bCs/>
                <w:iCs/>
                <w:sz w:val="22"/>
                <w:szCs w:val="22"/>
              </w:rPr>
            </w:pPr>
            <w:r w:rsidRPr="00776035">
              <w:rPr>
                <w:rFonts w:ascii="Calibri" w:hAnsi="Calibri" w:cs="Calibri"/>
                <w:bCs/>
                <w:iCs/>
                <w:sz w:val="22"/>
                <w:szCs w:val="22"/>
              </w:rPr>
              <w:t>2024 – 2025</w:t>
            </w:r>
          </w:p>
        </w:tc>
        <w:tc>
          <w:tcPr>
            <w:tcW w:w="1634" w:type="dxa"/>
            <w:tcBorders>
              <w:top w:val="single" w:sz="4" w:space="0" w:color="auto"/>
              <w:left w:val="single" w:sz="4" w:space="0" w:color="auto"/>
              <w:bottom w:val="single" w:sz="4" w:space="0" w:color="auto"/>
              <w:right w:val="single" w:sz="4" w:space="0" w:color="auto"/>
            </w:tcBorders>
            <w:hideMark/>
          </w:tcPr>
          <w:p w14:paraId="643F87E9" w14:textId="77777777" w:rsidR="005F5DA8" w:rsidRPr="00776035" w:rsidRDefault="005F5DA8" w:rsidP="00A249B0">
            <w:pPr>
              <w:spacing w:after="120"/>
              <w:rPr>
                <w:rFonts w:ascii="Calibri" w:hAnsi="Calibri" w:cs="Calibri"/>
                <w:bCs/>
                <w:iCs/>
                <w:sz w:val="22"/>
                <w:szCs w:val="22"/>
              </w:rPr>
            </w:pPr>
            <w:r w:rsidRPr="00776035">
              <w:rPr>
                <w:rFonts w:ascii="Calibri" w:hAnsi="Calibri" w:cs="Calibri"/>
                <w:bCs/>
                <w:iCs/>
                <w:sz w:val="22"/>
                <w:szCs w:val="22"/>
              </w:rPr>
              <w:t>2025 – 2026</w:t>
            </w:r>
          </w:p>
        </w:tc>
        <w:tc>
          <w:tcPr>
            <w:tcW w:w="1796" w:type="dxa"/>
            <w:tcBorders>
              <w:top w:val="single" w:sz="4" w:space="0" w:color="auto"/>
              <w:left w:val="single" w:sz="4" w:space="0" w:color="auto"/>
              <w:bottom w:val="single" w:sz="4" w:space="0" w:color="auto"/>
              <w:right w:val="single" w:sz="4" w:space="0" w:color="auto"/>
            </w:tcBorders>
            <w:hideMark/>
          </w:tcPr>
          <w:p w14:paraId="744DD7B9" w14:textId="77777777" w:rsidR="005F5DA8" w:rsidRPr="00776035" w:rsidRDefault="005F5DA8" w:rsidP="00A249B0">
            <w:pPr>
              <w:spacing w:after="120"/>
              <w:rPr>
                <w:rFonts w:ascii="Calibri" w:hAnsi="Calibri" w:cs="Calibri"/>
                <w:bCs/>
                <w:iCs/>
                <w:sz w:val="22"/>
                <w:szCs w:val="22"/>
              </w:rPr>
            </w:pPr>
            <w:r w:rsidRPr="00776035">
              <w:rPr>
                <w:rFonts w:ascii="Calibri" w:hAnsi="Calibri" w:cs="Calibri"/>
                <w:bCs/>
                <w:iCs/>
                <w:sz w:val="22"/>
                <w:szCs w:val="22"/>
              </w:rPr>
              <w:t>2026 – 2027</w:t>
            </w:r>
          </w:p>
        </w:tc>
      </w:tr>
      <w:tr w:rsidR="005F5DA8" w:rsidRPr="00776035" w14:paraId="4215C41F" w14:textId="77777777" w:rsidTr="00A249B0">
        <w:trPr>
          <w:trHeight w:val="341"/>
        </w:trPr>
        <w:tc>
          <w:tcPr>
            <w:tcW w:w="3475" w:type="dxa"/>
            <w:tcBorders>
              <w:top w:val="single" w:sz="4" w:space="0" w:color="auto"/>
              <w:left w:val="single" w:sz="4" w:space="0" w:color="auto"/>
              <w:bottom w:val="single" w:sz="4" w:space="0" w:color="auto"/>
              <w:right w:val="single" w:sz="4" w:space="0" w:color="auto"/>
            </w:tcBorders>
            <w:hideMark/>
          </w:tcPr>
          <w:p w14:paraId="34E08135" w14:textId="77777777" w:rsidR="005F5DA8" w:rsidRPr="00776035" w:rsidRDefault="005F5DA8" w:rsidP="00A249B0">
            <w:pPr>
              <w:spacing w:after="120"/>
              <w:contextualSpacing/>
              <w:rPr>
                <w:rFonts w:ascii="Calibri" w:eastAsia="Calibri" w:hAnsi="Calibri" w:cs="Calibri"/>
                <w:bCs/>
                <w:iCs/>
                <w:color w:val="262626"/>
                <w:sz w:val="22"/>
                <w:szCs w:val="22"/>
              </w:rPr>
            </w:pPr>
            <w:r>
              <w:rPr>
                <w:rFonts w:ascii="Calibri" w:eastAsia="Calibri" w:hAnsi="Calibri" w:cs="Calibri"/>
                <w:color w:val="262626"/>
                <w:sz w:val="22"/>
                <w:szCs w:val="22"/>
              </w:rPr>
              <w:t>Baseline setting</w:t>
            </w:r>
          </w:p>
        </w:tc>
        <w:tc>
          <w:tcPr>
            <w:tcW w:w="1583" w:type="dxa"/>
            <w:tcBorders>
              <w:top w:val="single" w:sz="4" w:space="0" w:color="auto"/>
              <w:left w:val="single" w:sz="4" w:space="0" w:color="auto"/>
              <w:bottom w:val="single" w:sz="4" w:space="0" w:color="auto"/>
              <w:right w:val="single" w:sz="4" w:space="0" w:color="auto"/>
            </w:tcBorders>
            <w:shd w:val="clear" w:color="auto" w:fill="A8D08D"/>
          </w:tcPr>
          <w:p w14:paraId="23C99F54" w14:textId="77777777" w:rsidR="005F5DA8" w:rsidRPr="00776035" w:rsidRDefault="005F5DA8" w:rsidP="00A249B0">
            <w:pPr>
              <w:spacing w:after="120"/>
              <w:rPr>
                <w:rFonts w:ascii="Calibri" w:hAnsi="Calibri" w:cs="Calibri"/>
                <w:bCs/>
                <w:iCs/>
                <w:sz w:val="22"/>
                <w:szCs w:val="22"/>
              </w:rPr>
            </w:pPr>
          </w:p>
        </w:tc>
        <w:tc>
          <w:tcPr>
            <w:tcW w:w="1632" w:type="dxa"/>
            <w:gridSpan w:val="2"/>
            <w:tcBorders>
              <w:top w:val="single" w:sz="4" w:space="0" w:color="auto"/>
              <w:left w:val="single" w:sz="4" w:space="0" w:color="auto"/>
              <w:bottom w:val="single" w:sz="4" w:space="0" w:color="auto"/>
              <w:right w:val="single" w:sz="4" w:space="0" w:color="auto"/>
            </w:tcBorders>
          </w:tcPr>
          <w:p w14:paraId="08F22187" w14:textId="77777777" w:rsidR="005F5DA8" w:rsidRPr="00776035" w:rsidRDefault="005F5DA8" w:rsidP="00A249B0">
            <w:pPr>
              <w:spacing w:after="120"/>
              <w:rPr>
                <w:rFonts w:ascii="Calibri" w:hAnsi="Calibri" w:cs="Calibri"/>
                <w:bCs/>
                <w:iCs/>
                <w:sz w:val="22"/>
                <w:szCs w:val="22"/>
              </w:rPr>
            </w:pPr>
          </w:p>
        </w:tc>
        <w:tc>
          <w:tcPr>
            <w:tcW w:w="1634" w:type="dxa"/>
            <w:tcBorders>
              <w:top w:val="single" w:sz="4" w:space="0" w:color="auto"/>
              <w:left w:val="single" w:sz="4" w:space="0" w:color="auto"/>
              <w:bottom w:val="single" w:sz="4" w:space="0" w:color="auto"/>
              <w:right w:val="single" w:sz="4" w:space="0" w:color="auto"/>
            </w:tcBorders>
          </w:tcPr>
          <w:p w14:paraId="4BFCDA82" w14:textId="77777777" w:rsidR="005F5DA8" w:rsidRPr="00776035" w:rsidRDefault="005F5DA8" w:rsidP="00A249B0">
            <w:pPr>
              <w:spacing w:after="120"/>
              <w:rPr>
                <w:rFonts w:ascii="Calibri" w:hAnsi="Calibri" w:cs="Calibri"/>
                <w:bCs/>
                <w:iCs/>
                <w:sz w:val="22"/>
                <w:szCs w:val="22"/>
              </w:rPr>
            </w:pPr>
          </w:p>
        </w:tc>
        <w:tc>
          <w:tcPr>
            <w:tcW w:w="17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E579C58" w14:textId="77777777" w:rsidR="005F5DA8" w:rsidRPr="00776035" w:rsidRDefault="005F5DA8" w:rsidP="00A249B0">
            <w:pPr>
              <w:spacing w:after="120"/>
              <w:jc w:val="center"/>
              <w:rPr>
                <w:rFonts w:ascii="Calibri" w:hAnsi="Calibri" w:cs="Calibri"/>
                <w:bCs/>
                <w:i/>
                <w:iCs/>
                <w:sz w:val="22"/>
                <w:szCs w:val="22"/>
              </w:rPr>
            </w:pPr>
            <w:r w:rsidRPr="00776035">
              <w:rPr>
                <w:rFonts w:ascii="Calibri" w:hAnsi="Calibri" w:cs="Calibri"/>
                <w:bCs/>
                <w:i/>
                <w:iCs/>
                <w:sz w:val="22"/>
                <w:szCs w:val="22"/>
              </w:rPr>
              <w:t>(will be reviewed as part of Safeguard Mechanism review)</w:t>
            </w:r>
          </w:p>
        </w:tc>
      </w:tr>
      <w:tr w:rsidR="005F5DA8" w:rsidRPr="00776035" w14:paraId="0804FCB4" w14:textId="77777777" w:rsidTr="00A249B0">
        <w:trPr>
          <w:trHeight w:val="331"/>
        </w:trPr>
        <w:tc>
          <w:tcPr>
            <w:tcW w:w="3475" w:type="dxa"/>
            <w:tcBorders>
              <w:top w:val="single" w:sz="4" w:space="0" w:color="auto"/>
              <w:left w:val="single" w:sz="4" w:space="0" w:color="auto"/>
              <w:bottom w:val="single" w:sz="4" w:space="0" w:color="auto"/>
              <w:right w:val="single" w:sz="4" w:space="0" w:color="auto"/>
            </w:tcBorders>
            <w:hideMark/>
          </w:tcPr>
          <w:p w14:paraId="58119F2B" w14:textId="77777777" w:rsidR="005F5DA8" w:rsidRPr="00776035" w:rsidRDefault="005F5DA8" w:rsidP="00A249B0">
            <w:pPr>
              <w:spacing w:after="120"/>
              <w:contextualSpacing/>
              <w:rPr>
                <w:rFonts w:ascii="Calibri" w:eastAsia="Calibri" w:hAnsi="Calibri" w:cs="Calibri"/>
                <w:bCs/>
                <w:iCs/>
                <w:color w:val="262626"/>
                <w:sz w:val="22"/>
                <w:szCs w:val="22"/>
              </w:rPr>
            </w:pPr>
            <w:r w:rsidRPr="00776035">
              <w:rPr>
                <w:rFonts w:ascii="Calibri" w:eastAsia="Calibri" w:hAnsi="Calibri" w:cs="Calibri"/>
                <w:bCs/>
                <w:iCs/>
                <w:color w:val="262626"/>
                <w:sz w:val="22"/>
                <w:szCs w:val="22"/>
              </w:rPr>
              <w:t xml:space="preserve">International </w:t>
            </w:r>
            <w:r>
              <w:rPr>
                <w:rFonts w:ascii="Calibri" w:eastAsia="Calibri" w:hAnsi="Calibri" w:cs="Calibri"/>
                <w:bCs/>
                <w:iCs/>
                <w:color w:val="262626"/>
                <w:sz w:val="22"/>
                <w:szCs w:val="22"/>
              </w:rPr>
              <w:t>b</w:t>
            </w:r>
            <w:r w:rsidRPr="00776035">
              <w:rPr>
                <w:rFonts w:ascii="Calibri" w:eastAsia="Calibri" w:hAnsi="Calibri" w:cs="Calibri"/>
                <w:bCs/>
                <w:iCs/>
                <w:color w:val="262626"/>
                <w:sz w:val="22"/>
                <w:szCs w:val="22"/>
              </w:rPr>
              <w:t xml:space="preserve">est </w:t>
            </w:r>
            <w:r>
              <w:rPr>
                <w:rFonts w:ascii="Calibri" w:eastAsia="Calibri" w:hAnsi="Calibri" w:cs="Calibri"/>
                <w:bCs/>
                <w:iCs/>
                <w:color w:val="262626"/>
                <w:sz w:val="22"/>
                <w:szCs w:val="22"/>
              </w:rPr>
              <w:t>p</w:t>
            </w:r>
            <w:r w:rsidRPr="00776035">
              <w:rPr>
                <w:rFonts w:ascii="Calibri" w:eastAsia="Calibri" w:hAnsi="Calibri" w:cs="Calibri"/>
                <w:bCs/>
                <w:iCs/>
                <w:color w:val="262626"/>
                <w:sz w:val="22"/>
                <w:szCs w:val="22"/>
              </w:rPr>
              <w:t>ractice</w:t>
            </w:r>
            <w:r>
              <w:rPr>
                <w:rFonts w:ascii="Calibri" w:eastAsia="Calibri" w:hAnsi="Calibri" w:cs="Calibri"/>
                <w:bCs/>
                <w:iCs/>
                <w:color w:val="262626"/>
                <w:sz w:val="22"/>
                <w:szCs w:val="22"/>
              </w:rPr>
              <w:t xml:space="preserve"> benchmarks</w:t>
            </w:r>
          </w:p>
        </w:tc>
        <w:tc>
          <w:tcPr>
            <w:tcW w:w="1583" w:type="dxa"/>
            <w:tcBorders>
              <w:top w:val="single" w:sz="4" w:space="0" w:color="auto"/>
              <w:left w:val="single" w:sz="4" w:space="0" w:color="auto"/>
              <w:bottom w:val="single" w:sz="4" w:space="0" w:color="auto"/>
              <w:right w:val="single" w:sz="4" w:space="0" w:color="auto"/>
            </w:tcBorders>
            <w:shd w:val="clear" w:color="auto" w:fill="A8D08D"/>
          </w:tcPr>
          <w:p w14:paraId="37142085" w14:textId="77777777" w:rsidR="005F5DA8" w:rsidRPr="00776035" w:rsidRDefault="005F5DA8" w:rsidP="00A249B0">
            <w:pPr>
              <w:spacing w:after="120"/>
              <w:rPr>
                <w:rFonts w:ascii="Calibri" w:hAnsi="Calibri" w:cs="Calibri"/>
                <w:bCs/>
                <w:iCs/>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8D08D"/>
          </w:tcPr>
          <w:p w14:paraId="1A305760" w14:textId="77777777" w:rsidR="005F5DA8" w:rsidRPr="00776035" w:rsidRDefault="005F5DA8" w:rsidP="00A249B0">
            <w:pPr>
              <w:spacing w:after="120"/>
              <w:rPr>
                <w:rFonts w:ascii="Calibri" w:hAnsi="Calibri" w:cs="Calibri"/>
                <w:bCs/>
                <w:iCs/>
                <w:sz w:val="22"/>
                <w:szCs w:val="22"/>
              </w:rPr>
            </w:pPr>
          </w:p>
        </w:tc>
        <w:tc>
          <w:tcPr>
            <w:tcW w:w="817" w:type="dxa"/>
            <w:tcBorders>
              <w:top w:val="single" w:sz="4" w:space="0" w:color="auto"/>
              <w:left w:val="single" w:sz="4" w:space="0" w:color="auto"/>
              <w:bottom w:val="single" w:sz="4" w:space="0" w:color="auto"/>
              <w:right w:val="single" w:sz="4" w:space="0" w:color="auto"/>
            </w:tcBorders>
          </w:tcPr>
          <w:p w14:paraId="4B94B52C" w14:textId="77777777" w:rsidR="005F5DA8" w:rsidRPr="00776035" w:rsidRDefault="005F5DA8" w:rsidP="00A249B0">
            <w:pPr>
              <w:spacing w:after="120"/>
              <w:rPr>
                <w:rFonts w:ascii="Calibri" w:hAnsi="Calibri" w:cs="Calibri"/>
                <w:bCs/>
                <w:iCs/>
                <w:sz w:val="22"/>
                <w:szCs w:val="22"/>
              </w:rPr>
            </w:pPr>
          </w:p>
        </w:tc>
        <w:tc>
          <w:tcPr>
            <w:tcW w:w="1634" w:type="dxa"/>
            <w:tcBorders>
              <w:top w:val="single" w:sz="4" w:space="0" w:color="auto"/>
              <w:left w:val="single" w:sz="4" w:space="0" w:color="auto"/>
              <w:bottom w:val="single" w:sz="4" w:space="0" w:color="auto"/>
              <w:right w:val="single" w:sz="4" w:space="0" w:color="auto"/>
            </w:tcBorders>
          </w:tcPr>
          <w:p w14:paraId="22F734C6" w14:textId="77777777" w:rsidR="005F5DA8" w:rsidRPr="00776035" w:rsidRDefault="005F5DA8" w:rsidP="00A249B0">
            <w:pPr>
              <w:spacing w:after="120"/>
              <w:rPr>
                <w:rFonts w:ascii="Calibri" w:hAnsi="Calibri" w:cs="Calibri"/>
                <w:bCs/>
                <w:iCs/>
                <w:sz w:val="22"/>
                <w:szCs w:val="22"/>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14:paraId="00B056F7" w14:textId="77777777" w:rsidR="005F5DA8" w:rsidRPr="00776035" w:rsidRDefault="005F5DA8" w:rsidP="00A249B0">
            <w:pPr>
              <w:rPr>
                <w:rFonts w:ascii="Calibri" w:hAnsi="Calibri" w:cs="Calibri"/>
                <w:bCs/>
                <w:i/>
                <w:iCs/>
                <w:sz w:val="22"/>
                <w:szCs w:val="22"/>
              </w:rPr>
            </w:pPr>
          </w:p>
        </w:tc>
      </w:tr>
      <w:tr w:rsidR="005F5DA8" w:rsidRPr="00776035" w14:paraId="6B45651B" w14:textId="77777777" w:rsidTr="00A249B0">
        <w:trPr>
          <w:trHeight w:val="341"/>
        </w:trPr>
        <w:tc>
          <w:tcPr>
            <w:tcW w:w="3475" w:type="dxa"/>
            <w:tcBorders>
              <w:top w:val="single" w:sz="4" w:space="0" w:color="auto"/>
              <w:left w:val="single" w:sz="4" w:space="0" w:color="auto"/>
              <w:bottom w:val="single" w:sz="4" w:space="0" w:color="auto"/>
              <w:right w:val="single" w:sz="4" w:space="0" w:color="auto"/>
            </w:tcBorders>
            <w:hideMark/>
          </w:tcPr>
          <w:p w14:paraId="425F36FF" w14:textId="77777777" w:rsidR="005F5DA8" w:rsidRPr="00776035" w:rsidRDefault="005F5DA8" w:rsidP="00A249B0">
            <w:pPr>
              <w:spacing w:after="120"/>
              <w:contextualSpacing/>
              <w:rPr>
                <w:rFonts w:ascii="Calibri" w:eastAsia="Calibri" w:hAnsi="Calibri" w:cs="Calibri"/>
                <w:bCs/>
                <w:iCs/>
                <w:color w:val="262626"/>
                <w:sz w:val="22"/>
                <w:szCs w:val="22"/>
              </w:rPr>
            </w:pPr>
            <w:proofErr w:type="spellStart"/>
            <w:r w:rsidRPr="00776035">
              <w:rPr>
                <w:rFonts w:ascii="Calibri" w:eastAsia="Calibri" w:hAnsi="Calibri" w:cs="Calibri"/>
                <w:bCs/>
                <w:iCs/>
                <w:color w:val="262626"/>
                <w:sz w:val="22"/>
                <w:szCs w:val="22"/>
              </w:rPr>
              <w:t>EITE</w:t>
            </w:r>
            <w:proofErr w:type="spellEnd"/>
            <w:r>
              <w:rPr>
                <w:rFonts w:ascii="Calibri" w:eastAsia="Calibri" w:hAnsi="Calibri" w:cs="Calibri"/>
                <w:bCs/>
                <w:iCs/>
                <w:color w:val="262626"/>
                <w:sz w:val="22"/>
                <w:szCs w:val="22"/>
              </w:rPr>
              <w:t xml:space="preserve"> monitoring and applications</w:t>
            </w:r>
          </w:p>
        </w:tc>
        <w:tc>
          <w:tcPr>
            <w:tcW w:w="1583" w:type="dxa"/>
            <w:tcBorders>
              <w:top w:val="single" w:sz="4" w:space="0" w:color="auto"/>
              <w:left w:val="single" w:sz="4" w:space="0" w:color="auto"/>
              <w:bottom w:val="single" w:sz="4" w:space="0" w:color="auto"/>
              <w:right w:val="single" w:sz="4" w:space="0" w:color="auto"/>
            </w:tcBorders>
            <w:shd w:val="clear" w:color="auto" w:fill="A8D08D"/>
          </w:tcPr>
          <w:p w14:paraId="59CD9D0E" w14:textId="77777777" w:rsidR="005F5DA8" w:rsidRPr="00776035" w:rsidRDefault="005F5DA8" w:rsidP="00A249B0">
            <w:pPr>
              <w:spacing w:after="120"/>
              <w:rPr>
                <w:rFonts w:ascii="Calibri" w:hAnsi="Calibri" w:cs="Calibri"/>
                <w:bCs/>
                <w:iCs/>
                <w:sz w:val="22"/>
                <w:szCs w:val="22"/>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8D08D"/>
          </w:tcPr>
          <w:p w14:paraId="400EFE19" w14:textId="77777777" w:rsidR="005F5DA8" w:rsidRPr="00776035" w:rsidRDefault="005F5DA8" w:rsidP="00A249B0">
            <w:pPr>
              <w:spacing w:after="120"/>
              <w:rPr>
                <w:rFonts w:ascii="Calibri" w:hAnsi="Calibri" w:cs="Calibri"/>
                <w:bCs/>
                <w:iCs/>
                <w:sz w:val="22"/>
                <w:szCs w:val="22"/>
              </w:rPr>
            </w:pPr>
          </w:p>
        </w:tc>
        <w:tc>
          <w:tcPr>
            <w:tcW w:w="1634" w:type="dxa"/>
            <w:tcBorders>
              <w:top w:val="single" w:sz="4" w:space="0" w:color="auto"/>
              <w:left w:val="single" w:sz="4" w:space="0" w:color="auto"/>
              <w:bottom w:val="single" w:sz="4" w:space="0" w:color="auto"/>
              <w:right w:val="single" w:sz="4" w:space="0" w:color="auto"/>
            </w:tcBorders>
            <w:shd w:val="clear" w:color="auto" w:fill="A8D08D"/>
          </w:tcPr>
          <w:p w14:paraId="1A36E106" w14:textId="77777777" w:rsidR="005F5DA8" w:rsidRPr="00776035" w:rsidRDefault="005F5DA8" w:rsidP="00A249B0">
            <w:pPr>
              <w:spacing w:after="120"/>
              <w:rPr>
                <w:rFonts w:ascii="Calibri" w:hAnsi="Calibri" w:cs="Calibri"/>
                <w:bCs/>
                <w:iCs/>
                <w:sz w:val="22"/>
                <w:szCs w:val="22"/>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14:paraId="466351C9" w14:textId="77777777" w:rsidR="005F5DA8" w:rsidRPr="00776035" w:rsidRDefault="005F5DA8" w:rsidP="00A249B0">
            <w:pPr>
              <w:rPr>
                <w:rFonts w:ascii="Calibri" w:hAnsi="Calibri" w:cs="Calibri"/>
                <w:bCs/>
                <w:i/>
                <w:iCs/>
                <w:sz w:val="22"/>
                <w:szCs w:val="22"/>
              </w:rPr>
            </w:pPr>
          </w:p>
        </w:tc>
      </w:tr>
      <w:tr w:rsidR="005F5DA8" w:rsidRPr="00776035" w14:paraId="74D9392F" w14:textId="77777777" w:rsidTr="00A249B0">
        <w:trPr>
          <w:trHeight w:val="473"/>
        </w:trPr>
        <w:tc>
          <w:tcPr>
            <w:tcW w:w="3475" w:type="dxa"/>
            <w:tcBorders>
              <w:top w:val="single" w:sz="4" w:space="0" w:color="auto"/>
              <w:left w:val="single" w:sz="4" w:space="0" w:color="auto"/>
              <w:bottom w:val="single" w:sz="4" w:space="0" w:color="auto"/>
              <w:right w:val="single" w:sz="4" w:space="0" w:color="auto"/>
            </w:tcBorders>
            <w:hideMark/>
          </w:tcPr>
          <w:p w14:paraId="6044BBE3" w14:textId="77777777" w:rsidR="005F5DA8" w:rsidRPr="00776035" w:rsidRDefault="005F5DA8" w:rsidP="00A249B0">
            <w:pPr>
              <w:spacing w:after="120"/>
              <w:contextualSpacing/>
              <w:rPr>
                <w:rFonts w:ascii="Calibri" w:eastAsia="Calibri" w:hAnsi="Calibri" w:cs="Calibri"/>
                <w:bCs/>
                <w:iCs/>
                <w:color w:val="262626"/>
                <w:sz w:val="22"/>
                <w:szCs w:val="22"/>
              </w:rPr>
            </w:pPr>
            <w:r w:rsidRPr="00776035">
              <w:rPr>
                <w:rFonts w:ascii="Calibri" w:eastAsia="Calibri" w:hAnsi="Calibri" w:cs="Calibri"/>
                <w:bCs/>
                <w:iCs/>
                <w:color w:val="262626"/>
                <w:sz w:val="22"/>
                <w:szCs w:val="22"/>
              </w:rPr>
              <w:t xml:space="preserve">Landfill gas arrangements </w:t>
            </w:r>
          </w:p>
        </w:tc>
        <w:tc>
          <w:tcPr>
            <w:tcW w:w="1583" w:type="dxa"/>
            <w:tcBorders>
              <w:top w:val="single" w:sz="4" w:space="0" w:color="auto"/>
              <w:left w:val="single" w:sz="4" w:space="0" w:color="auto"/>
              <w:bottom w:val="single" w:sz="4" w:space="0" w:color="auto"/>
              <w:right w:val="single" w:sz="4" w:space="0" w:color="auto"/>
            </w:tcBorders>
          </w:tcPr>
          <w:p w14:paraId="47E8CFB4" w14:textId="77777777" w:rsidR="005F5DA8" w:rsidRPr="00776035" w:rsidRDefault="005F5DA8" w:rsidP="00A249B0">
            <w:pPr>
              <w:spacing w:after="120"/>
              <w:rPr>
                <w:rFonts w:ascii="Calibri" w:hAnsi="Calibri" w:cs="Calibri"/>
                <w:bCs/>
                <w:iCs/>
                <w:sz w:val="22"/>
                <w:szCs w:val="22"/>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8D08D"/>
          </w:tcPr>
          <w:p w14:paraId="4974F6DE" w14:textId="77777777" w:rsidR="005F5DA8" w:rsidRPr="00776035" w:rsidRDefault="005F5DA8" w:rsidP="00A249B0">
            <w:pPr>
              <w:spacing w:after="120"/>
              <w:rPr>
                <w:rFonts w:ascii="Calibri" w:hAnsi="Calibri" w:cs="Calibri"/>
                <w:bCs/>
                <w:iCs/>
                <w:sz w:val="22"/>
                <w:szCs w:val="22"/>
              </w:rPr>
            </w:pPr>
          </w:p>
        </w:tc>
        <w:tc>
          <w:tcPr>
            <w:tcW w:w="1634" w:type="dxa"/>
            <w:tcBorders>
              <w:top w:val="single" w:sz="4" w:space="0" w:color="auto"/>
              <w:left w:val="single" w:sz="4" w:space="0" w:color="auto"/>
              <w:bottom w:val="single" w:sz="4" w:space="0" w:color="auto"/>
              <w:right w:val="single" w:sz="4" w:space="0" w:color="auto"/>
            </w:tcBorders>
            <w:shd w:val="clear" w:color="auto" w:fill="A8D08D"/>
          </w:tcPr>
          <w:p w14:paraId="272F919E" w14:textId="77777777" w:rsidR="005F5DA8" w:rsidRPr="00776035" w:rsidRDefault="005F5DA8" w:rsidP="00A249B0">
            <w:pPr>
              <w:spacing w:after="120"/>
              <w:rPr>
                <w:rFonts w:ascii="Calibri" w:hAnsi="Calibri" w:cs="Calibri"/>
                <w:bCs/>
                <w:iCs/>
                <w:sz w:val="22"/>
                <w:szCs w:val="22"/>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14:paraId="66F2349C" w14:textId="77777777" w:rsidR="005F5DA8" w:rsidRPr="00776035" w:rsidRDefault="005F5DA8" w:rsidP="00A249B0">
            <w:pPr>
              <w:rPr>
                <w:rFonts w:ascii="Calibri" w:hAnsi="Calibri" w:cs="Calibri"/>
                <w:bCs/>
                <w:i/>
                <w:iCs/>
                <w:sz w:val="22"/>
                <w:szCs w:val="22"/>
              </w:rPr>
            </w:pPr>
          </w:p>
        </w:tc>
      </w:tr>
      <w:tr w:rsidR="005F5DA8" w:rsidRPr="00776035" w14:paraId="71FD58C3" w14:textId="77777777" w:rsidTr="00A249B0">
        <w:trPr>
          <w:trHeight w:val="473"/>
        </w:trPr>
        <w:tc>
          <w:tcPr>
            <w:tcW w:w="3475" w:type="dxa"/>
            <w:tcBorders>
              <w:top w:val="single" w:sz="4" w:space="0" w:color="auto"/>
              <w:left w:val="single" w:sz="4" w:space="0" w:color="auto"/>
              <w:bottom w:val="single" w:sz="4" w:space="0" w:color="auto"/>
              <w:right w:val="single" w:sz="4" w:space="0" w:color="auto"/>
            </w:tcBorders>
            <w:hideMark/>
          </w:tcPr>
          <w:p w14:paraId="4C73AB39" w14:textId="77777777" w:rsidR="005F5DA8" w:rsidRPr="00776035" w:rsidRDefault="005F5DA8" w:rsidP="00A249B0">
            <w:pPr>
              <w:spacing w:after="120"/>
              <w:contextualSpacing/>
              <w:rPr>
                <w:rFonts w:ascii="Calibri" w:eastAsia="Calibri" w:hAnsi="Calibri" w:cs="Calibri"/>
                <w:bCs/>
                <w:iCs/>
                <w:color w:val="262626"/>
                <w:sz w:val="22"/>
                <w:szCs w:val="22"/>
              </w:rPr>
            </w:pPr>
            <w:r w:rsidRPr="00776035">
              <w:rPr>
                <w:rFonts w:ascii="Calibri" w:eastAsia="Calibri" w:hAnsi="Calibri" w:cs="Calibri"/>
                <w:bCs/>
                <w:iCs/>
                <w:color w:val="262626"/>
                <w:sz w:val="22"/>
                <w:szCs w:val="22"/>
              </w:rPr>
              <w:t>Review of Safeguard Mechanism</w:t>
            </w:r>
          </w:p>
        </w:tc>
        <w:tc>
          <w:tcPr>
            <w:tcW w:w="1583" w:type="dxa"/>
            <w:tcBorders>
              <w:top w:val="single" w:sz="4" w:space="0" w:color="auto"/>
              <w:left w:val="single" w:sz="4" w:space="0" w:color="auto"/>
              <w:bottom w:val="single" w:sz="4" w:space="0" w:color="auto"/>
              <w:right w:val="single" w:sz="4" w:space="0" w:color="auto"/>
            </w:tcBorders>
          </w:tcPr>
          <w:p w14:paraId="0C7C79F5" w14:textId="77777777" w:rsidR="005F5DA8" w:rsidRPr="00776035" w:rsidRDefault="005F5DA8" w:rsidP="00A249B0">
            <w:pPr>
              <w:spacing w:after="120"/>
              <w:rPr>
                <w:rFonts w:ascii="Calibri" w:hAnsi="Calibri" w:cs="Calibri"/>
                <w:bCs/>
                <w:iCs/>
                <w:sz w:val="22"/>
                <w:szCs w:val="22"/>
              </w:rPr>
            </w:pPr>
          </w:p>
        </w:tc>
        <w:tc>
          <w:tcPr>
            <w:tcW w:w="1632" w:type="dxa"/>
            <w:gridSpan w:val="2"/>
            <w:tcBorders>
              <w:top w:val="single" w:sz="4" w:space="0" w:color="auto"/>
              <w:left w:val="single" w:sz="4" w:space="0" w:color="auto"/>
              <w:bottom w:val="single" w:sz="4" w:space="0" w:color="auto"/>
              <w:right w:val="single" w:sz="4" w:space="0" w:color="auto"/>
            </w:tcBorders>
          </w:tcPr>
          <w:p w14:paraId="1E5F7416" w14:textId="77777777" w:rsidR="005F5DA8" w:rsidRPr="00776035" w:rsidRDefault="005F5DA8" w:rsidP="00A249B0">
            <w:pPr>
              <w:spacing w:after="120"/>
              <w:rPr>
                <w:rFonts w:ascii="Calibri" w:hAnsi="Calibri" w:cs="Calibri"/>
                <w:bCs/>
                <w:iCs/>
                <w:sz w:val="22"/>
                <w:szCs w:val="22"/>
              </w:rPr>
            </w:pPr>
          </w:p>
        </w:tc>
        <w:tc>
          <w:tcPr>
            <w:tcW w:w="1634" w:type="dxa"/>
            <w:tcBorders>
              <w:top w:val="single" w:sz="4" w:space="0" w:color="auto"/>
              <w:left w:val="single" w:sz="4" w:space="0" w:color="auto"/>
              <w:bottom w:val="single" w:sz="4" w:space="0" w:color="auto"/>
              <w:right w:val="single" w:sz="4" w:space="0" w:color="auto"/>
            </w:tcBorders>
          </w:tcPr>
          <w:p w14:paraId="4EF53FCA" w14:textId="77777777" w:rsidR="005F5DA8" w:rsidRPr="00776035" w:rsidRDefault="005F5DA8" w:rsidP="00A249B0">
            <w:pPr>
              <w:spacing w:after="120"/>
              <w:rPr>
                <w:rFonts w:ascii="Calibri" w:hAnsi="Calibri" w:cs="Calibri"/>
                <w:bCs/>
                <w:iCs/>
                <w:sz w:val="22"/>
                <w:szCs w:val="22"/>
              </w:rPr>
            </w:pPr>
          </w:p>
        </w:tc>
        <w:tc>
          <w:tcPr>
            <w:tcW w:w="1796" w:type="dxa"/>
            <w:tcBorders>
              <w:top w:val="single" w:sz="4" w:space="0" w:color="auto"/>
              <w:left w:val="single" w:sz="4" w:space="0" w:color="auto"/>
              <w:bottom w:val="single" w:sz="4" w:space="0" w:color="auto"/>
              <w:right w:val="single" w:sz="4" w:space="0" w:color="auto"/>
            </w:tcBorders>
            <w:shd w:val="clear" w:color="auto" w:fill="A8D08D"/>
          </w:tcPr>
          <w:p w14:paraId="319D1362" w14:textId="77777777" w:rsidR="005F5DA8" w:rsidRPr="00776035" w:rsidRDefault="005F5DA8" w:rsidP="00A249B0">
            <w:pPr>
              <w:spacing w:after="120"/>
              <w:rPr>
                <w:rFonts w:ascii="Calibri" w:hAnsi="Calibri" w:cs="Calibri"/>
                <w:bCs/>
                <w:iCs/>
                <w:sz w:val="22"/>
                <w:szCs w:val="22"/>
              </w:rPr>
            </w:pPr>
          </w:p>
        </w:tc>
      </w:tr>
    </w:tbl>
    <w:p w14:paraId="1F431998" w14:textId="77777777" w:rsidR="002B0F2A" w:rsidRPr="002B0F2A" w:rsidRDefault="002B0F2A" w:rsidP="00DA1B55">
      <w:pPr>
        <w:pStyle w:val="Heading2"/>
      </w:pPr>
      <w:bookmarkStart w:id="279" w:name="_Toc118750390"/>
      <w:bookmarkStart w:id="280" w:name="_Toc118754666"/>
      <w:bookmarkStart w:id="281" w:name="_Toc118813957"/>
      <w:bookmarkStart w:id="282" w:name="_Toc119327167"/>
      <w:bookmarkStart w:id="283" w:name="_Toc119360671"/>
      <w:bookmarkStart w:id="284" w:name="_Toc132807567"/>
      <w:r w:rsidRPr="002B0F2A">
        <w:t>Reviews and evaluation</w:t>
      </w:r>
      <w:bookmarkEnd w:id="279"/>
      <w:bookmarkEnd w:id="280"/>
      <w:bookmarkEnd w:id="281"/>
      <w:bookmarkEnd w:id="282"/>
      <w:bookmarkEnd w:id="283"/>
      <w:bookmarkEnd w:id="284"/>
    </w:p>
    <w:p w14:paraId="52E78CD3" w14:textId="0A86BE92" w:rsidR="0024139D" w:rsidRDefault="0024139D" w:rsidP="00DA1B55">
      <w:pPr>
        <w:pStyle w:val="Heading3"/>
      </w:pPr>
      <w:bookmarkStart w:id="285" w:name="_Toc132807568"/>
      <w:bookmarkStart w:id="286" w:name="_Toc118750391"/>
      <w:bookmarkStart w:id="287" w:name="_Toc118754667"/>
      <w:bookmarkStart w:id="288" w:name="_Toc118813958"/>
      <w:bookmarkStart w:id="289" w:name="_Toc119327168"/>
      <w:bookmarkStart w:id="290" w:name="_Toc119360672"/>
      <w:r>
        <w:t>Reporting, transparency and accountability</w:t>
      </w:r>
      <w:bookmarkEnd w:id="285"/>
    </w:p>
    <w:p w14:paraId="0ADC3AF8" w14:textId="556654FF" w:rsidR="0024139D" w:rsidRPr="00C537F6" w:rsidRDefault="0024139D" w:rsidP="0024139D">
      <w:pPr>
        <w:pStyle w:val="BodyText"/>
        <w:rPr>
          <w:sz w:val="22"/>
          <w:szCs w:val="22"/>
        </w:rPr>
      </w:pPr>
      <w:r w:rsidRPr="00C537F6">
        <w:rPr>
          <w:sz w:val="22"/>
          <w:szCs w:val="22"/>
        </w:rPr>
        <w:t xml:space="preserve">Changes to the </w:t>
      </w:r>
      <w:proofErr w:type="spellStart"/>
      <w:r w:rsidRPr="00C537F6">
        <w:rPr>
          <w:sz w:val="22"/>
          <w:szCs w:val="22"/>
        </w:rPr>
        <w:t>NGER</w:t>
      </w:r>
      <w:proofErr w:type="spellEnd"/>
      <w:r w:rsidRPr="00C537F6">
        <w:rPr>
          <w:sz w:val="22"/>
          <w:szCs w:val="22"/>
        </w:rPr>
        <w:t xml:space="preserve"> Act (</w:t>
      </w:r>
      <w:r w:rsidR="00A811DA" w:rsidRPr="00C537F6">
        <w:rPr>
          <w:sz w:val="22"/>
          <w:szCs w:val="22"/>
        </w:rPr>
        <w:fldChar w:fldCharType="begin"/>
      </w:r>
      <w:r w:rsidR="00A811DA" w:rsidRPr="00C537F6">
        <w:rPr>
          <w:sz w:val="22"/>
          <w:szCs w:val="22"/>
        </w:rPr>
        <w:instrText xml:space="preserve"> REF _Ref132107789 </w:instrText>
      </w:r>
      <w:r w:rsidR="00B81D0B">
        <w:rPr>
          <w:sz w:val="22"/>
          <w:szCs w:val="22"/>
        </w:rPr>
        <w:instrText xml:space="preserve"> \* MERGEFORMAT </w:instrText>
      </w:r>
      <w:r w:rsidR="00A811DA" w:rsidRPr="00C537F6">
        <w:rPr>
          <w:sz w:val="22"/>
          <w:szCs w:val="22"/>
        </w:rPr>
        <w:fldChar w:fldCharType="end"/>
      </w:r>
      <w:r w:rsidR="00CC0208" w:rsidRPr="00C537F6">
        <w:rPr>
          <w:sz w:val="22"/>
          <w:szCs w:val="22"/>
        </w:rPr>
        <w:fldChar w:fldCharType="begin"/>
      </w:r>
      <w:r w:rsidR="00CC0208" w:rsidRPr="00C537F6">
        <w:rPr>
          <w:sz w:val="22"/>
          <w:szCs w:val="22"/>
        </w:rPr>
        <w:instrText xml:space="preserve"> REF _Ref132107881 </w:instrText>
      </w:r>
      <w:r w:rsidR="00B81D0B">
        <w:rPr>
          <w:sz w:val="22"/>
          <w:szCs w:val="22"/>
        </w:rPr>
        <w:instrText xml:space="preserve"> \* MERGEFORMAT </w:instrText>
      </w:r>
      <w:r w:rsidR="00CC0208" w:rsidRPr="00C537F6">
        <w:rPr>
          <w:sz w:val="22"/>
          <w:szCs w:val="22"/>
        </w:rPr>
        <w:fldChar w:fldCharType="separate"/>
      </w:r>
      <w:r w:rsidR="00A811DA" w:rsidRPr="00C537F6">
        <w:rPr>
          <w:sz w:val="22"/>
          <w:szCs w:val="22"/>
        </w:rPr>
        <w:t xml:space="preserve">Figure </w:t>
      </w:r>
      <w:r w:rsidR="00A811DA" w:rsidRPr="00C537F6">
        <w:rPr>
          <w:noProof/>
          <w:sz w:val="22"/>
          <w:szCs w:val="22"/>
        </w:rPr>
        <w:t>4</w:t>
      </w:r>
      <w:r w:rsidR="00CC0208" w:rsidRPr="00C537F6">
        <w:rPr>
          <w:noProof/>
          <w:sz w:val="22"/>
          <w:szCs w:val="22"/>
        </w:rPr>
        <w:fldChar w:fldCharType="end"/>
      </w:r>
      <w:r w:rsidRPr="00C537F6">
        <w:rPr>
          <w:sz w:val="22"/>
          <w:szCs w:val="22"/>
        </w:rPr>
        <w:t>) will improve integrity and provide greater certainty that the scheme will deliver on its emissions reduction targets by enhancing its transparency and accountability mechanisms. These changes introduce further specific reporting on progress against the scheme’s emissions targets and a requirement for the Minister to take action, if necessary, in response:</w:t>
      </w:r>
    </w:p>
    <w:p w14:paraId="3DCEF02B" w14:textId="621C4365" w:rsidR="0024139D" w:rsidRPr="00C537F6" w:rsidRDefault="0024139D" w:rsidP="00144FFB">
      <w:pPr>
        <w:pStyle w:val="BodyText"/>
        <w:numPr>
          <w:ilvl w:val="0"/>
          <w:numId w:val="104"/>
        </w:numPr>
        <w:rPr>
          <w:sz w:val="22"/>
          <w:szCs w:val="22"/>
        </w:rPr>
      </w:pPr>
      <w:r w:rsidRPr="00C537F6">
        <w:rPr>
          <w:sz w:val="22"/>
          <w:szCs w:val="22"/>
        </w:rPr>
        <w:t>As part of the Annual Climate Change Statement, the Climate Change Authority (</w:t>
      </w:r>
      <w:proofErr w:type="spellStart"/>
      <w:r w:rsidRPr="00C537F6">
        <w:rPr>
          <w:sz w:val="22"/>
          <w:szCs w:val="22"/>
        </w:rPr>
        <w:t>CCA</w:t>
      </w:r>
      <w:proofErr w:type="spellEnd"/>
      <w:r w:rsidRPr="00C537F6">
        <w:rPr>
          <w:sz w:val="22"/>
          <w:szCs w:val="22"/>
        </w:rPr>
        <w:t>) will report on progress against the scheme’s objectives as set out in the Act, with specific reference to new entrants and expansions.</w:t>
      </w:r>
    </w:p>
    <w:p w14:paraId="46E084AD" w14:textId="2A32A381" w:rsidR="0024139D" w:rsidRPr="00C537F6" w:rsidRDefault="0024139D" w:rsidP="00144FFB">
      <w:pPr>
        <w:pStyle w:val="BodyText"/>
        <w:numPr>
          <w:ilvl w:val="0"/>
          <w:numId w:val="104"/>
        </w:numPr>
        <w:rPr>
          <w:sz w:val="22"/>
          <w:szCs w:val="22"/>
        </w:rPr>
      </w:pPr>
      <w:r w:rsidRPr="00C537F6">
        <w:rPr>
          <w:sz w:val="22"/>
          <w:szCs w:val="22"/>
        </w:rPr>
        <w:t xml:space="preserve">Information relating to the scope 1 emissions from approvals of new projects under the Environment Protection and Biodiversity Conservation Act 1999 that are expected to enter the Safeguard Mechanism or increase the emissions of an existing Safeguard facility will be provided to the </w:t>
      </w:r>
      <w:proofErr w:type="spellStart"/>
      <w:r w:rsidRPr="00C537F6">
        <w:rPr>
          <w:sz w:val="22"/>
          <w:szCs w:val="22"/>
        </w:rPr>
        <w:t>CCA</w:t>
      </w:r>
      <w:proofErr w:type="spellEnd"/>
      <w:r w:rsidRPr="00C537F6">
        <w:rPr>
          <w:sz w:val="22"/>
          <w:szCs w:val="22"/>
        </w:rPr>
        <w:t>, the Minister for Climate Change and Secretary of the relevant Department.</w:t>
      </w:r>
    </w:p>
    <w:p w14:paraId="2E4EBFA2" w14:textId="3FE0DBCF" w:rsidR="0024139D" w:rsidRPr="00C537F6" w:rsidRDefault="0024139D" w:rsidP="00144FFB">
      <w:pPr>
        <w:pStyle w:val="BodyText"/>
        <w:numPr>
          <w:ilvl w:val="0"/>
          <w:numId w:val="104"/>
        </w:numPr>
        <w:rPr>
          <w:sz w:val="22"/>
          <w:szCs w:val="22"/>
        </w:rPr>
      </w:pPr>
      <w:r w:rsidRPr="00C537F6">
        <w:rPr>
          <w:sz w:val="22"/>
          <w:szCs w:val="22"/>
        </w:rPr>
        <w:t>The Minister will need to act where the Secretary of the Department, based upon this information or other information relating to direct emissions from a Safeguard facility from Commonwealth agencies or State and Territory governments, considers changes to the Rules may be needed.</w:t>
      </w:r>
    </w:p>
    <w:p w14:paraId="76136485" w14:textId="5E4615BA" w:rsidR="0024139D" w:rsidRPr="00C537F6" w:rsidRDefault="0024139D" w:rsidP="00144FFB">
      <w:pPr>
        <w:pStyle w:val="BodyText"/>
        <w:numPr>
          <w:ilvl w:val="0"/>
          <w:numId w:val="104"/>
        </w:numPr>
        <w:rPr>
          <w:sz w:val="22"/>
          <w:szCs w:val="22"/>
        </w:rPr>
      </w:pPr>
      <w:r w:rsidRPr="00C537F6">
        <w:rPr>
          <w:sz w:val="22"/>
          <w:szCs w:val="22"/>
        </w:rPr>
        <w:t>If any of these tests find that Safeguard emissions have or will breach the Objects, and that this is not due to temporary factors, the Minister is required to consult and amend the Rules, or take other policy actions to ensure the Objects are met.</w:t>
      </w:r>
    </w:p>
    <w:p w14:paraId="312972FC" w14:textId="77777777" w:rsidR="0024139D" w:rsidRPr="00C537F6" w:rsidRDefault="0024139D" w:rsidP="00144FFB">
      <w:pPr>
        <w:spacing w:line="240" w:lineRule="auto"/>
        <w:rPr>
          <w:sz w:val="22"/>
          <w:szCs w:val="22"/>
        </w:rPr>
      </w:pPr>
      <w:r w:rsidRPr="00C537F6">
        <w:rPr>
          <w:sz w:val="22"/>
          <w:szCs w:val="22"/>
        </w:rPr>
        <w:t>To provide increased transparency and accountability, the Clean Energy Regulatory (</w:t>
      </w:r>
      <w:proofErr w:type="spellStart"/>
      <w:r w:rsidRPr="00C537F6">
        <w:rPr>
          <w:sz w:val="22"/>
          <w:szCs w:val="22"/>
        </w:rPr>
        <w:t>CER</w:t>
      </w:r>
      <w:proofErr w:type="spellEnd"/>
      <w:r w:rsidRPr="00C537F6">
        <w:rPr>
          <w:sz w:val="22"/>
          <w:szCs w:val="22"/>
        </w:rPr>
        <w:t>) will publish a range of information on facilities’ emissions and compliance activities. In each compliance year, this will include:</w:t>
      </w:r>
    </w:p>
    <w:p w14:paraId="1E2CF8B4" w14:textId="77777777" w:rsidR="0024139D" w:rsidRPr="00C537F6" w:rsidRDefault="0024139D" w:rsidP="00144FFB">
      <w:pPr>
        <w:pStyle w:val="BodyText"/>
        <w:numPr>
          <w:ilvl w:val="0"/>
          <w:numId w:val="104"/>
        </w:numPr>
        <w:rPr>
          <w:sz w:val="22"/>
          <w:szCs w:val="22"/>
        </w:rPr>
      </w:pPr>
      <w:r w:rsidRPr="00C537F6">
        <w:rPr>
          <w:sz w:val="22"/>
          <w:szCs w:val="22"/>
        </w:rPr>
        <w:t>each facilities’ emissions, Safeguard baseline, and net emissions after compliance</w:t>
      </w:r>
    </w:p>
    <w:p w14:paraId="3E4DCBFC" w14:textId="77777777" w:rsidR="0024139D" w:rsidRPr="00C537F6" w:rsidRDefault="0024139D" w:rsidP="00144FFB">
      <w:pPr>
        <w:pStyle w:val="BodyText"/>
        <w:numPr>
          <w:ilvl w:val="0"/>
          <w:numId w:val="104"/>
        </w:numPr>
        <w:rPr>
          <w:sz w:val="22"/>
          <w:szCs w:val="22"/>
        </w:rPr>
      </w:pPr>
      <w:r w:rsidRPr="00C537F6">
        <w:rPr>
          <w:sz w:val="22"/>
          <w:szCs w:val="22"/>
        </w:rPr>
        <w:t>the proportion of their emissions from the major greenhouse gases, namely carbon dioxide, methane and nitrous oxide</w:t>
      </w:r>
    </w:p>
    <w:p w14:paraId="49975E09" w14:textId="77777777" w:rsidR="0024139D" w:rsidRPr="00C537F6" w:rsidRDefault="0024139D" w:rsidP="00144FFB">
      <w:pPr>
        <w:pStyle w:val="BodyText"/>
        <w:numPr>
          <w:ilvl w:val="0"/>
          <w:numId w:val="104"/>
        </w:numPr>
        <w:rPr>
          <w:sz w:val="22"/>
          <w:szCs w:val="22"/>
        </w:rPr>
      </w:pPr>
      <w:r w:rsidRPr="00C537F6">
        <w:rPr>
          <w:sz w:val="22"/>
          <w:szCs w:val="22"/>
        </w:rPr>
        <w:t xml:space="preserve">the amount of Safeguard Mechanism Credits (SMCs) earned by the facility </w:t>
      </w:r>
    </w:p>
    <w:p w14:paraId="4EFF50CA" w14:textId="5FAED56A" w:rsidR="0024139D" w:rsidRPr="00C537F6" w:rsidRDefault="0024139D" w:rsidP="00144FFB">
      <w:pPr>
        <w:pStyle w:val="BodyText"/>
        <w:numPr>
          <w:ilvl w:val="0"/>
          <w:numId w:val="104"/>
        </w:numPr>
        <w:rPr>
          <w:sz w:val="22"/>
          <w:szCs w:val="22"/>
        </w:rPr>
      </w:pPr>
      <w:r w:rsidRPr="00C537F6">
        <w:rPr>
          <w:sz w:val="22"/>
          <w:szCs w:val="22"/>
        </w:rPr>
        <w:lastRenderedPageBreak/>
        <w:t xml:space="preserve">the number and type of any </w:t>
      </w:r>
      <w:proofErr w:type="spellStart"/>
      <w:r w:rsidRPr="00C537F6">
        <w:rPr>
          <w:sz w:val="22"/>
          <w:szCs w:val="22"/>
        </w:rPr>
        <w:t>ACCUs</w:t>
      </w:r>
      <w:proofErr w:type="spellEnd"/>
      <w:r w:rsidRPr="00C537F6">
        <w:rPr>
          <w:sz w:val="22"/>
          <w:szCs w:val="22"/>
        </w:rPr>
        <w:t xml:space="preserve"> surrendered for compliance, including the method under which these </w:t>
      </w:r>
      <w:proofErr w:type="spellStart"/>
      <w:r w:rsidRPr="00C537F6">
        <w:rPr>
          <w:sz w:val="22"/>
          <w:szCs w:val="22"/>
        </w:rPr>
        <w:t>ACCUs</w:t>
      </w:r>
      <w:proofErr w:type="spellEnd"/>
      <w:r w:rsidRPr="00C537F6">
        <w:rPr>
          <w:sz w:val="22"/>
          <w:szCs w:val="22"/>
        </w:rPr>
        <w:t xml:space="preserve"> were created.</w:t>
      </w:r>
    </w:p>
    <w:p w14:paraId="41BC7BC1" w14:textId="16503B1A" w:rsidR="0024139D" w:rsidRPr="00C537F6" w:rsidRDefault="0024139D" w:rsidP="00144FFB">
      <w:pPr>
        <w:pStyle w:val="BodyText"/>
        <w:numPr>
          <w:ilvl w:val="1"/>
          <w:numId w:val="104"/>
        </w:numPr>
        <w:rPr>
          <w:sz w:val="22"/>
          <w:szCs w:val="22"/>
        </w:rPr>
      </w:pPr>
      <w:r w:rsidRPr="00C537F6">
        <w:rPr>
          <w:sz w:val="22"/>
          <w:szCs w:val="22"/>
        </w:rPr>
        <w:t xml:space="preserve">Facilities that surrender </w:t>
      </w:r>
      <w:proofErr w:type="spellStart"/>
      <w:r w:rsidRPr="00C537F6">
        <w:rPr>
          <w:sz w:val="22"/>
          <w:szCs w:val="22"/>
        </w:rPr>
        <w:t>ACCUs</w:t>
      </w:r>
      <w:proofErr w:type="spellEnd"/>
      <w:r w:rsidRPr="00C537F6">
        <w:rPr>
          <w:sz w:val="22"/>
          <w:szCs w:val="22"/>
        </w:rPr>
        <w:t xml:space="preserve"> equivalent to 30% of their baselines will need to submit a statement to explain why they haven’t undertaken more on-site abatement. Aspects of this will be published to allow scrutiny from investors and the public.</w:t>
      </w:r>
    </w:p>
    <w:p w14:paraId="6C398D4B" w14:textId="1463C775" w:rsidR="00BF50A8" w:rsidRPr="00BF50A8" w:rsidRDefault="00BF50A8" w:rsidP="00DA1B55">
      <w:pPr>
        <w:pStyle w:val="Heading3"/>
      </w:pPr>
      <w:bookmarkStart w:id="291" w:name="_Toc132807569"/>
      <w:r w:rsidRPr="00BF50A8">
        <w:t>Safeguard Mechanism reviews</w:t>
      </w:r>
      <w:bookmarkEnd w:id="286"/>
      <w:bookmarkEnd w:id="287"/>
      <w:bookmarkEnd w:id="288"/>
      <w:bookmarkEnd w:id="289"/>
      <w:bookmarkEnd w:id="290"/>
      <w:bookmarkEnd w:id="291"/>
    </w:p>
    <w:p w14:paraId="2D5E8017" w14:textId="77777777" w:rsidR="006C2243" w:rsidRDefault="002424F9" w:rsidP="002424F9">
      <w:pPr>
        <w:rPr>
          <w:sz w:val="22"/>
          <w:szCs w:val="22"/>
        </w:rPr>
      </w:pPr>
      <w:r w:rsidRPr="00DA1B55">
        <w:rPr>
          <w:sz w:val="22"/>
          <w:szCs w:val="22"/>
        </w:rPr>
        <w:t xml:space="preserve">As indicated in the </w:t>
      </w:r>
      <w:r w:rsidRPr="00DA1B55">
        <w:rPr>
          <w:i/>
          <w:sz w:val="22"/>
          <w:szCs w:val="22"/>
        </w:rPr>
        <w:t xml:space="preserve">Safeguard Mechanism Reforms Position Paper </w:t>
      </w:r>
      <w:r w:rsidR="00345A5D">
        <w:rPr>
          <w:i/>
          <w:sz w:val="22"/>
          <w:szCs w:val="22"/>
        </w:rPr>
        <w:t>January</w:t>
      </w:r>
      <w:r w:rsidR="00345A5D" w:rsidRPr="00DA1B55">
        <w:rPr>
          <w:i/>
          <w:sz w:val="22"/>
          <w:szCs w:val="22"/>
        </w:rPr>
        <w:t xml:space="preserve"> </w:t>
      </w:r>
      <w:r w:rsidRPr="00DA1B55">
        <w:rPr>
          <w:i/>
          <w:sz w:val="22"/>
          <w:szCs w:val="22"/>
        </w:rPr>
        <w:t>202</w:t>
      </w:r>
      <w:r w:rsidR="00345A5D">
        <w:rPr>
          <w:i/>
          <w:sz w:val="22"/>
          <w:szCs w:val="22"/>
        </w:rPr>
        <w:t>3</w:t>
      </w:r>
      <w:r w:rsidRPr="00DA1B55">
        <w:rPr>
          <w:sz w:val="22"/>
          <w:szCs w:val="22"/>
        </w:rPr>
        <w:t xml:space="preserve">, </w:t>
      </w:r>
      <w:r w:rsidR="00B81D0B">
        <w:rPr>
          <w:sz w:val="22"/>
          <w:szCs w:val="22"/>
        </w:rPr>
        <w:t>there will be a review of</w:t>
      </w:r>
      <w:r w:rsidRPr="00DA1B55">
        <w:rPr>
          <w:sz w:val="22"/>
          <w:szCs w:val="22"/>
        </w:rPr>
        <w:t xml:space="preserve"> policy settings </w:t>
      </w:r>
      <w:r w:rsidR="00B81D0B">
        <w:rPr>
          <w:sz w:val="22"/>
          <w:szCs w:val="22"/>
        </w:rPr>
        <w:t xml:space="preserve">in </w:t>
      </w:r>
      <w:r w:rsidRPr="00DA1B55">
        <w:rPr>
          <w:sz w:val="22"/>
          <w:szCs w:val="22"/>
        </w:rPr>
        <w:t>2026</w:t>
      </w:r>
      <w:r w:rsidR="00331C38">
        <w:rPr>
          <w:sz w:val="22"/>
          <w:szCs w:val="22"/>
        </w:rPr>
        <w:t>-27</w:t>
      </w:r>
      <w:r w:rsidRPr="00DA1B55">
        <w:rPr>
          <w:sz w:val="22"/>
          <w:szCs w:val="22"/>
        </w:rPr>
        <w:t xml:space="preserve">. This review </w:t>
      </w:r>
      <w:r w:rsidR="00B81D0B">
        <w:rPr>
          <w:sz w:val="22"/>
          <w:szCs w:val="22"/>
        </w:rPr>
        <w:t>will</w:t>
      </w:r>
      <w:r w:rsidRPr="00DA1B55">
        <w:rPr>
          <w:sz w:val="22"/>
          <w:szCs w:val="22"/>
        </w:rPr>
        <w:t xml:space="preserve"> ensure policy settings are appropriately calibrated</w:t>
      </w:r>
      <w:r w:rsidR="00CF2C91">
        <w:rPr>
          <w:sz w:val="22"/>
          <w:szCs w:val="22"/>
        </w:rPr>
        <w:t xml:space="preserve"> after monitoring and evaluating the initial years of the reforms</w:t>
      </w:r>
      <w:r w:rsidRPr="00CF2C91">
        <w:rPr>
          <w:sz w:val="22"/>
          <w:szCs w:val="22"/>
        </w:rPr>
        <w:t>.</w:t>
      </w:r>
      <w:r w:rsidR="00CF2C91" w:rsidRPr="00CF2C91">
        <w:rPr>
          <w:sz w:val="22"/>
          <w:szCs w:val="22"/>
        </w:rPr>
        <w:t xml:space="preserve"> </w:t>
      </w:r>
      <w:r w:rsidR="00CF2C91" w:rsidRPr="00526826">
        <w:rPr>
          <w:rFonts w:cstheme="minorHAnsi"/>
          <w:sz w:val="22"/>
          <w:szCs w:val="22"/>
        </w:rPr>
        <w:t>The review will provide business and the community assurance that the scheme’s settings are operating as intended, whilst providing an opportunity to build on and refine its policy architecture</w:t>
      </w:r>
      <w:r w:rsidR="00CF2C91" w:rsidRPr="00526826">
        <w:rPr>
          <w:sz w:val="22"/>
          <w:szCs w:val="22"/>
        </w:rPr>
        <w:t>.</w:t>
      </w:r>
      <w:r w:rsidRPr="00CF2C91">
        <w:rPr>
          <w:sz w:val="22"/>
          <w:szCs w:val="22"/>
        </w:rPr>
        <w:t xml:space="preserve"> </w:t>
      </w:r>
      <w:r w:rsidR="00CD041E" w:rsidRPr="00CF2C91">
        <w:rPr>
          <w:sz w:val="22"/>
          <w:szCs w:val="22"/>
        </w:rPr>
        <w:t>The review will consider, among</w:t>
      </w:r>
      <w:r w:rsidR="00CD041E" w:rsidRPr="00CD041E">
        <w:rPr>
          <w:sz w:val="22"/>
          <w:szCs w:val="22"/>
        </w:rPr>
        <w:t xml:space="preserve"> other things, the initial impacts of resetting and declining baselines, including the costs and availability of domestic offsets; the appropriate treatment of international units; the suitability of arrangements for emissions-intensive, trade-exposed activities; whether the cost containment measure is sufficient; and treatment of flexibility mechanisms beyond 2030, such as banking and borrowing an</w:t>
      </w:r>
      <w:r w:rsidR="00CD041E">
        <w:rPr>
          <w:sz w:val="22"/>
          <w:szCs w:val="22"/>
        </w:rPr>
        <w:t>d multi-year monitoring periods</w:t>
      </w:r>
      <w:r w:rsidR="00C67C9E">
        <w:rPr>
          <w:sz w:val="22"/>
          <w:szCs w:val="22"/>
        </w:rPr>
        <w:t>.</w:t>
      </w:r>
      <w:r w:rsidR="00CE7B24">
        <w:rPr>
          <w:sz w:val="22"/>
          <w:szCs w:val="22"/>
        </w:rPr>
        <w:t xml:space="preserve"> </w:t>
      </w:r>
    </w:p>
    <w:p w14:paraId="76EE7579" w14:textId="569E6E83" w:rsidR="002424F9" w:rsidRPr="00526826" w:rsidRDefault="00CE7B24" w:rsidP="002424F9">
      <w:r>
        <w:rPr>
          <w:sz w:val="22"/>
          <w:szCs w:val="22"/>
        </w:rPr>
        <w:t xml:space="preserve">The review will access information and views from a range of sources, including the enhanced reporting and publication requirements outlined immediately above. </w:t>
      </w:r>
      <w:r w:rsidR="00005871">
        <w:rPr>
          <w:sz w:val="22"/>
          <w:szCs w:val="22"/>
        </w:rPr>
        <w:t xml:space="preserve">An important </w:t>
      </w:r>
      <w:r w:rsidR="00546097">
        <w:rPr>
          <w:sz w:val="22"/>
          <w:szCs w:val="22"/>
        </w:rPr>
        <w:t>i</w:t>
      </w:r>
      <w:r w:rsidR="00005871">
        <w:rPr>
          <w:sz w:val="22"/>
          <w:szCs w:val="22"/>
        </w:rPr>
        <w:t xml:space="preserve">nput will be feedback from Safeguard facilities which is captured </w:t>
      </w:r>
      <w:r w:rsidR="006C2243">
        <w:rPr>
          <w:sz w:val="22"/>
          <w:szCs w:val="22"/>
        </w:rPr>
        <w:t xml:space="preserve">by the Department and Clean Energy Regulatory </w:t>
      </w:r>
      <w:r w:rsidR="00005871">
        <w:rPr>
          <w:sz w:val="22"/>
          <w:szCs w:val="22"/>
        </w:rPr>
        <w:t>on an ongoing basis, as well as during formal consultation processes through submissions and meeting feedback.</w:t>
      </w:r>
      <w:r w:rsidR="006C2243">
        <w:rPr>
          <w:sz w:val="22"/>
          <w:szCs w:val="22"/>
        </w:rPr>
        <w:t xml:space="preserve"> Feedback from S</w:t>
      </w:r>
      <w:r w:rsidR="00005871">
        <w:rPr>
          <w:sz w:val="22"/>
          <w:szCs w:val="22"/>
        </w:rPr>
        <w:t xml:space="preserve">afeguard </w:t>
      </w:r>
      <w:r w:rsidR="006C2243">
        <w:rPr>
          <w:sz w:val="22"/>
          <w:szCs w:val="22"/>
        </w:rPr>
        <w:t xml:space="preserve">facilities and </w:t>
      </w:r>
      <w:r w:rsidR="000822BA">
        <w:rPr>
          <w:sz w:val="22"/>
          <w:szCs w:val="22"/>
        </w:rPr>
        <w:t xml:space="preserve">other stakeholders (for example </w:t>
      </w:r>
      <w:r w:rsidR="000006B8">
        <w:rPr>
          <w:sz w:val="22"/>
          <w:szCs w:val="22"/>
        </w:rPr>
        <w:t xml:space="preserve">non-government organisations, </w:t>
      </w:r>
      <w:r w:rsidR="000822BA">
        <w:rPr>
          <w:sz w:val="22"/>
          <w:szCs w:val="22"/>
        </w:rPr>
        <w:t xml:space="preserve">investors, </w:t>
      </w:r>
      <w:proofErr w:type="spellStart"/>
      <w:r w:rsidR="000822BA">
        <w:rPr>
          <w:sz w:val="22"/>
          <w:szCs w:val="22"/>
        </w:rPr>
        <w:t>ACCU</w:t>
      </w:r>
      <w:proofErr w:type="spellEnd"/>
      <w:r w:rsidR="000822BA">
        <w:rPr>
          <w:sz w:val="22"/>
          <w:szCs w:val="22"/>
        </w:rPr>
        <w:t xml:space="preserve"> project participants</w:t>
      </w:r>
      <w:r w:rsidR="000006B8">
        <w:rPr>
          <w:sz w:val="22"/>
          <w:szCs w:val="22"/>
        </w:rPr>
        <w:t xml:space="preserve"> and</w:t>
      </w:r>
      <w:r w:rsidR="000822BA">
        <w:rPr>
          <w:sz w:val="22"/>
          <w:szCs w:val="22"/>
        </w:rPr>
        <w:t xml:space="preserve"> think-tanks) </w:t>
      </w:r>
      <w:r w:rsidR="00005871">
        <w:rPr>
          <w:sz w:val="22"/>
          <w:szCs w:val="22"/>
        </w:rPr>
        <w:t xml:space="preserve">is expected to provide insights into </w:t>
      </w:r>
      <w:r w:rsidR="006C2243">
        <w:rPr>
          <w:sz w:val="22"/>
          <w:szCs w:val="22"/>
        </w:rPr>
        <w:t>i</w:t>
      </w:r>
      <w:r w:rsidR="00005871">
        <w:rPr>
          <w:sz w:val="22"/>
          <w:szCs w:val="22"/>
        </w:rPr>
        <w:t>mpacts noted in Question 4 as being difficult to quantify</w:t>
      </w:r>
      <w:r w:rsidR="006C2243">
        <w:rPr>
          <w:sz w:val="22"/>
          <w:szCs w:val="22"/>
        </w:rPr>
        <w:t xml:space="preserve">. These include the impact of policy certainty, reduction in capital risk premiums or import tariffs, green premiums and domestic carbon market benefits. </w:t>
      </w:r>
      <w:r w:rsidR="000822BA">
        <w:rPr>
          <w:sz w:val="22"/>
          <w:szCs w:val="22"/>
        </w:rPr>
        <w:t>This feedback will inform evaluation of the Safeguard in 2026-27,</w:t>
      </w:r>
      <w:r w:rsidR="00005871">
        <w:rPr>
          <w:sz w:val="22"/>
          <w:szCs w:val="22"/>
        </w:rPr>
        <w:t xml:space="preserve"> noting that </w:t>
      </w:r>
      <w:r w:rsidR="000822BA">
        <w:rPr>
          <w:sz w:val="22"/>
          <w:szCs w:val="22"/>
        </w:rPr>
        <w:t>review will have three years of operating experience under the reforms and two years of Safeguard data to draw from</w:t>
      </w:r>
      <w:r w:rsidR="00005871">
        <w:rPr>
          <w:sz w:val="22"/>
          <w:szCs w:val="22"/>
        </w:rPr>
        <w:t>.</w:t>
      </w:r>
      <w:r w:rsidR="00BF0BDA">
        <w:rPr>
          <w:sz w:val="22"/>
          <w:szCs w:val="22"/>
        </w:rPr>
        <w:t xml:space="preserve"> </w:t>
      </w:r>
    </w:p>
    <w:p w14:paraId="351D8D48" w14:textId="343983FE" w:rsidR="00BF50A8" w:rsidRDefault="00BF50A8" w:rsidP="00E6567D">
      <w:r w:rsidRPr="00DA1B55">
        <w:rPr>
          <w:sz w:val="22"/>
          <w:szCs w:val="22"/>
        </w:rPr>
        <w:t xml:space="preserve">Baseline decline rates are </w:t>
      </w:r>
      <w:r w:rsidR="00331C38">
        <w:rPr>
          <w:sz w:val="22"/>
          <w:szCs w:val="22"/>
        </w:rPr>
        <w:t xml:space="preserve">also </w:t>
      </w:r>
      <w:r w:rsidRPr="00777998">
        <w:rPr>
          <w:sz w:val="22"/>
          <w:szCs w:val="22"/>
        </w:rPr>
        <w:t xml:space="preserve">proposed to be reviewed during 2026-27. This would include consideration of progress </w:t>
      </w:r>
      <w:r w:rsidRPr="00BA1E51">
        <w:rPr>
          <w:sz w:val="22"/>
          <w:szCs w:val="22"/>
        </w:rPr>
        <w:t>within the current target period (2021 – 2030).</w:t>
      </w:r>
      <w:r w:rsidRPr="00BA1E51" w:rsidDel="00E83B3C">
        <w:rPr>
          <w:sz w:val="22"/>
          <w:szCs w:val="22"/>
        </w:rPr>
        <w:t xml:space="preserve"> </w:t>
      </w:r>
      <w:r w:rsidRPr="00BA1E51">
        <w:rPr>
          <w:sz w:val="22"/>
          <w:szCs w:val="22"/>
        </w:rPr>
        <w:t xml:space="preserve">Post-2030, baselines are proposed to be predictably set in </w:t>
      </w:r>
      <w:r w:rsidR="00B81D0B" w:rsidRPr="00BA1E51">
        <w:rPr>
          <w:sz w:val="22"/>
          <w:szCs w:val="22"/>
        </w:rPr>
        <w:t>5-year</w:t>
      </w:r>
      <w:r w:rsidRPr="00BA1E51">
        <w:rPr>
          <w:sz w:val="22"/>
          <w:szCs w:val="22"/>
        </w:rPr>
        <w:t xml:space="preserve"> blocks, after updates to Australia’s Nationally Determined Contribution (</w:t>
      </w:r>
      <w:proofErr w:type="spellStart"/>
      <w:r w:rsidRPr="00BA1E51">
        <w:rPr>
          <w:sz w:val="22"/>
          <w:szCs w:val="22"/>
        </w:rPr>
        <w:t>NDC</w:t>
      </w:r>
      <w:proofErr w:type="spellEnd"/>
      <w:r w:rsidRPr="00BA1E51">
        <w:rPr>
          <w:sz w:val="22"/>
          <w:szCs w:val="22"/>
        </w:rPr>
        <w:t>) under the Paris Agreement. Decline rates for 2030-31 to 2034-35 would be set by 1 July 2027. Periodic baseline setting would involve consultation and take advice from the Climate Change Authority and the latest</w:t>
      </w:r>
      <w:r>
        <w:t xml:space="preserve"> </w:t>
      </w:r>
      <w:r w:rsidRPr="00DA1B55">
        <w:rPr>
          <w:sz w:val="22"/>
          <w:szCs w:val="22"/>
        </w:rPr>
        <w:t>Annual Climate Change Statements to Parliament.</w:t>
      </w:r>
    </w:p>
    <w:p w14:paraId="49C1D367" w14:textId="77777777" w:rsidR="00E23D9C" w:rsidRDefault="00E06E38" w:rsidP="00DA1B55">
      <w:pPr>
        <w:keepNext/>
      </w:pPr>
      <w:r w:rsidRPr="00933603">
        <w:rPr>
          <w:noProof/>
          <w:lang w:eastAsia="en-AU"/>
        </w:rPr>
        <w:lastRenderedPageBreak/>
        <w:drawing>
          <wp:inline distT="0" distB="0" distL="0" distR="0" wp14:anchorId="2EC69F81" wp14:editId="5BE39F71">
            <wp:extent cx="5731510" cy="1825625"/>
            <wp:effectExtent l="0" t="0" r="2540" b="0"/>
            <wp:docPr id="3" name="Picture 1" descr="Indicative baseline setting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ndicative baseline setting timeline"/>
                    <pic:cNvPicPr>
                      <a:picLocks noChangeAspect="1"/>
                    </pic:cNvPicPr>
                  </pic:nvPicPr>
                  <pic:blipFill>
                    <a:blip r:embed="rId30"/>
                    <a:stretch>
                      <a:fillRect/>
                    </a:stretch>
                  </pic:blipFill>
                  <pic:spPr>
                    <a:xfrm>
                      <a:off x="0" y="0"/>
                      <a:ext cx="5731510" cy="1825625"/>
                    </a:xfrm>
                    <a:prstGeom prst="rect">
                      <a:avLst/>
                    </a:prstGeom>
                  </pic:spPr>
                </pic:pic>
              </a:graphicData>
            </a:graphic>
          </wp:inline>
        </w:drawing>
      </w:r>
    </w:p>
    <w:p w14:paraId="2BD804DD" w14:textId="04276607" w:rsidR="00BF50A8" w:rsidRDefault="00E23D9C" w:rsidP="00777998">
      <w:pPr>
        <w:pStyle w:val="Caption"/>
      </w:pPr>
      <w:r>
        <w:t xml:space="preserve">Figure </w:t>
      </w:r>
      <w:r w:rsidR="00DA1B55">
        <w:rPr>
          <w:noProof/>
        </w:rPr>
        <w:fldChar w:fldCharType="begin"/>
      </w:r>
      <w:r w:rsidR="00DA1B55">
        <w:rPr>
          <w:noProof/>
        </w:rPr>
        <w:instrText xml:space="preserve"> SEQ Figure \* ARABIC </w:instrText>
      </w:r>
      <w:r w:rsidR="00DA1B55">
        <w:rPr>
          <w:noProof/>
        </w:rPr>
        <w:fldChar w:fldCharType="separate"/>
      </w:r>
      <w:r w:rsidR="00A811DA">
        <w:rPr>
          <w:noProof/>
        </w:rPr>
        <w:t>3</w:t>
      </w:r>
      <w:r w:rsidR="00DA1B55">
        <w:rPr>
          <w:noProof/>
        </w:rPr>
        <w:fldChar w:fldCharType="end"/>
      </w:r>
      <w:r>
        <w:t xml:space="preserve"> </w:t>
      </w:r>
      <w:r w:rsidRPr="009C450F">
        <w:t>Indicative baseline setting timeline</w:t>
      </w:r>
    </w:p>
    <w:p w14:paraId="2FA2AAA1" w14:textId="77777777" w:rsidR="001A716D" w:rsidRDefault="00286D4F" w:rsidP="001A716D">
      <w:pPr>
        <w:pStyle w:val="Heading3"/>
      </w:pPr>
      <w:bookmarkStart w:id="292" w:name="_Toc132807570"/>
      <w:r>
        <w:t>Evaluation</w:t>
      </w:r>
      <w:bookmarkEnd w:id="292"/>
    </w:p>
    <w:p w14:paraId="0E78A4A7" w14:textId="77777777" w:rsidR="000D2AD1" w:rsidRDefault="00805E45" w:rsidP="000D2AD1">
      <w:pPr>
        <w:pStyle w:val="CABNETParagraph"/>
        <w:rPr>
          <w:rFonts w:asciiTheme="minorHAnsi" w:hAnsiTheme="minorHAnsi"/>
          <w:bCs/>
          <w:iCs/>
          <w:sz w:val="22"/>
          <w:szCs w:val="22"/>
        </w:rPr>
      </w:pPr>
      <w:r w:rsidRPr="00526826">
        <w:rPr>
          <w:rFonts w:asciiTheme="minorHAnsi" w:hAnsiTheme="minorHAnsi"/>
          <w:sz w:val="22"/>
          <w:szCs w:val="22"/>
        </w:rPr>
        <w:t>The 2026-27 review, including the first of the periodic baseline setting reviews, represents a major evaluation point in the implementation of the reforms. To effectively feed into the review, and ensure the smooth implementation of the reforms, regulator monitoring</w:t>
      </w:r>
      <w:r w:rsidR="00155ABA" w:rsidRPr="00526826">
        <w:rPr>
          <w:rFonts w:asciiTheme="minorHAnsi" w:hAnsiTheme="minorHAnsi"/>
          <w:sz w:val="22"/>
          <w:szCs w:val="22"/>
        </w:rPr>
        <w:t xml:space="preserve"> is essential and embedded into the </w:t>
      </w:r>
      <w:r w:rsidR="000D2AD1" w:rsidRPr="00526826">
        <w:rPr>
          <w:rFonts w:asciiTheme="minorHAnsi" w:hAnsiTheme="minorHAnsi"/>
          <w:sz w:val="22"/>
          <w:szCs w:val="22"/>
        </w:rPr>
        <w:t>information requirements covered Safeguard facilities are required to provide to the Clean Energy Regulator</w:t>
      </w:r>
      <w:r w:rsidR="000D2AD1" w:rsidRPr="00526826">
        <w:rPr>
          <w:rStyle w:val="FootnoteReference"/>
          <w:rFonts w:asciiTheme="minorHAnsi" w:hAnsiTheme="minorHAnsi"/>
          <w:sz w:val="22"/>
          <w:szCs w:val="22"/>
        </w:rPr>
        <w:footnoteReference w:id="33"/>
      </w:r>
      <w:r w:rsidRPr="00526826">
        <w:rPr>
          <w:rFonts w:asciiTheme="minorHAnsi" w:hAnsiTheme="minorHAnsi"/>
          <w:sz w:val="22"/>
          <w:szCs w:val="22"/>
        </w:rPr>
        <w:t>.</w:t>
      </w:r>
      <w:r w:rsidR="000D2AD1" w:rsidRPr="00526826">
        <w:rPr>
          <w:rFonts w:asciiTheme="minorHAnsi" w:hAnsiTheme="minorHAnsi"/>
          <w:sz w:val="22"/>
          <w:szCs w:val="22"/>
        </w:rPr>
        <w:t xml:space="preserve"> The Clean Energy Regulator in turn has information publication requirements and works closely with </w:t>
      </w:r>
      <w:proofErr w:type="spellStart"/>
      <w:r w:rsidR="000D2AD1" w:rsidRPr="00526826">
        <w:rPr>
          <w:rFonts w:asciiTheme="minorHAnsi" w:hAnsiTheme="minorHAnsi"/>
          <w:sz w:val="22"/>
          <w:szCs w:val="22"/>
        </w:rPr>
        <w:t>DCCEEW</w:t>
      </w:r>
      <w:proofErr w:type="spellEnd"/>
      <w:r w:rsidR="000D2AD1" w:rsidRPr="00526826">
        <w:rPr>
          <w:rFonts w:asciiTheme="minorHAnsi" w:hAnsiTheme="minorHAnsi"/>
          <w:sz w:val="22"/>
          <w:szCs w:val="22"/>
        </w:rPr>
        <w:t xml:space="preserve"> to use these and other data to seek to ensure the scheme is effectively and efficiently administered. </w:t>
      </w:r>
      <w:r w:rsidR="000D2AD1" w:rsidRPr="00526826">
        <w:rPr>
          <w:rFonts w:asciiTheme="minorHAnsi" w:hAnsiTheme="minorHAnsi"/>
          <w:bCs/>
          <w:iCs/>
          <w:sz w:val="22"/>
          <w:szCs w:val="22"/>
        </w:rPr>
        <w:t xml:space="preserve">Over time, it is critical that the reformed scheme operates effectively and efficiently so it delivers the targeted abatement while avoiding unintended consequences and adverse impacts to industrial facilities. </w:t>
      </w:r>
    </w:p>
    <w:p w14:paraId="7FBCE44E" w14:textId="1CABB449" w:rsidR="00C07C48" w:rsidRDefault="00C07C48" w:rsidP="000D2AD1">
      <w:pPr>
        <w:pStyle w:val="CABNETParagraph"/>
        <w:rPr>
          <w:rFonts w:asciiTheme="minorHAnsi" w:hAnsiTheme="minorHAnsi"/>
          <w:bCs/>
          <w:iCs/>
          <w:sz w:val="22"/>
          <w:szCs w:val="22"/>
        </w:rPr>
      </w:pPr>
      <w:r>
        <w:rPr>
          <w:rFonts w:asciiTheme="minorHAnsi" w:hAnsiTheme="minorHAnsi"/>
          <w:bCs/>
          <w:iCs/>
          <w:sz w:val="22"/>
          <w:szCs w:val="22"/>
        </w:rPr>
        <w:t xml:space="preserve">The Safeguard Mechanism </w:t>
      </w:r>
      <w:r w:rsidR="00F51D81">
        <w:rPr>
          <w:rFonts w:asciiTheme="minorHAnsi" w:hAnsiTheme="minorHAnsi"/>
          <w:bCs/>
          <w:iCs/>
          <w:sz w:val="22"/>
          <w:szCs w:val="22"/>
        </w:rPr>
        <w:t xml:space="preserve">also falls within scope of the Climate Change Authority’s </w:t>
      </w:r>
      <w:r>
        <w:rPr>
          <w:rFonts w:asciiTheme="minorHAnsi" w:hAnsiTheme="minorHAnsi"/>
          <w:bCs/>
          <w:iCs/>
          <w:sz w:val="22"/>
          <w:szCs w:val="22"/>
        </w:rPr>
        <w:t>five</w:t>
      </w:r>
      <w:r w:rsidR="00F51D81">
        <w:rPr>
          <w:rFonts w:asciiTheme="minorHAnsi" w:hAnsiTheme="minorHAnsi"/>
          <w:bCs/>
          <w:iCs/>
          <w:sz w:val="22"/>
          <w:szCs w:val="22"/>
        </w:rPr>
        <w:t xml:space="preserve">-yearly reviews of the </w:t>
      </w:r>
      <w:proofErr w:type="spellStart"/>
      <w:r w:rsidR="00F51D81">
        <w:rPr>
          <w:rFonts w:asciiTheme="minorHAnsi" w:hAnsiTheme="minorHAnsi"/>
          <w:bCs/>
          <w:iCs/>
          <w:sz w:val="22"/>
          <w:szCs w:val="22"/>
        </w:rPr>
        <w:t>NGER</w:t>
      </w:r>
      <w:proofErr w:type="spellEnd"/>
      <w:r w:rsidR="00F51D81">
        <w:rPr>
          <w:rFonts w:asciiTheme="minorHAnsi" w:hAnsiTheme="minorHAnsi"/>
          <w:bCs/>
          <w:iCs/>
          <w:sz w:val="22"/>
          <w:szCs w:val="22"/>
        </w:rPr>
        <w:t xml:space="preserve"> Act. The Climate Change Authority’s next review of the </w:t>
      </w:r>
      <w:proofErr w:type="spellStart"/>
      <w:r w:rsidR="00F51D81">
        <w:rPr>
          <w:rFonts w:asciiTheme="minorHAnsi" w:hAnsiTheme="minorHAnsi"/>
          <w:bCs/>
          <w:iCs/>
          <w:sz w:val="22"/>
          <w:szCs w:val="22"/>
        </w:rPr>
        <w:t>NGER</w:t>
      </w:r>
      <w:proofErr w:type="spellEnd"/>
      <w:r w:rsidR="00F51D81">
        <w:rPr>
          <w:rFonts w:asciiTheme="minorHAnsi" w:hAnsiTheme="minorHAnsi"/>
          <w:bCs/>
          <w:iCs/>
          <w:sz w:val="22"/>
          <w:szCs w:val="22"/>
        </w:rPr>
        <w:t xml:space="preserve"> Act is due by the end of 2023.</w:t>
      </w:r>
      <w:r>
        <w:rPr>
          <w:rFonts w:asciiTheme="minorHAnsi" w:hAnsiTheme="minorHAnsi"/>
          <w:bCs/>
          <w:iCs/>
          <w:sz w:val="22"/>
          <w:szCs w:val="22"/>
        </w:rPr>
        <w:t xml:space="preserve"> </w:t>
      </w:r>
    </w:p>
    <w:p w14:paraId="45515D0E" w14:textId="27944F8F" w:rsidR="000D2AD1" w:rsidRPr="00526826" w:rsidRDefault="000D2AD1" w:rsidP="000D2AD1">
      <w:pPr>
        <w:pStyle w:val="CABNETParagraph"/>
        <w:rPr>
          <w:rFonts w:asciiTheme="minorHAnsi" w:hAnsiTheme="minorHAnsi"/>
          <w:bCs/>
          <w:iCs/>
          <w:sz w:val="22"/>
          <w:szCs w:val="22"/>
        </w:rPr>
      </w:pPr>
      <w:r>
        <w:rPr>
          <w:rFonts w:asciiTheme="minorHAnsi" w:hAnsiTheme="minorHAnsi"/>
          <w:bCs/>
          <w:iCs/>
          <w:sz w:val="22"/>
          <w:szCs w:val="22"/>
        </w:rPr>
        <w:t xml:space="preserve">A simplified program logic is </w:t>
      </w:r>
      <w:r w:rsidRPr="001F242B">
        <w:rPr>
          <w:rFonts w:asciiTheme="minorHAnsi" w:hAnsiTheme="minorHAnsi"/>
          <w:bCs/>
          <w:iCs/>
          <w:sz w:val="22"/>
          <w:szCs w:val="22"/>
        </w:rPr>
        <w:t xml:space="preserve">given </w:t>
      </w:r>
      <w:r w:rsidRPr="00366E5A">
        <w:rPr>
          <w:rStyle w:val="BodyTextChar"/>
        </w:rPr>
        <w:t xml:space="preserve">at </w:t>
      </w:r>
      <w:r w:rsidR="00CF4B25" w:rsidRPr="00366E5A">
        <w:rPr>
          <w:rStyle w:val="BodyTextChar"/>
        </w:rPr>
        <w:fldChar w:fldCharType="begin"/>
      </w:r>
      <w:r w:rsidR="00CF4B25" w:rsidRPr="00366E5A">
        <w:rPr>
          <w:rStyle w:val="BodyTextChar"/>
        </w:rPr>
        <w:instrText xml:space="preserve"> REF _Ref128171352 \h </w:instrText>
      </w:r>
      <w:r w:rsidR="001F242B" w:rsidRPr="00366E5A">
        <w:rPr>
          <w:rStyle w:val="BodyTextChar"/>
          <w:rFonts w:asciiTheme="minorHAnsi" w:hAnsiTheme="minorHAnsi"/>
          <w:sz w:val="22"/>
          <w:szCs w:val="22"/>
        </w:rPr>
        <w:instrText xml:space="preserve"> \* MERGEFORMAT </w:instrText>
      </w:r>
      <w:r w:rsidR="00CF4B25" w:rsidRPr="00366E5A">
        <w:rPr>
          <w:rStyle w:val="BodyTextChar"/>
        </w:rPr>
      </w:r>
      <w:r w:rsidR="00CF4B25" w:rsidRPr="00366E5A">
        <w:rPr>
          <w:rStyle w:val="BodyTextChar"/>
        </w:rPr>
        <w:fldChar w:fldCharType="end"/>
      </w:r>
      <w:r w:rsidR="00CF4B25" w:rsidRPr="00366E5A">
        <w:rPr>
          <w:rStyle w:val="BodyTextChar"/>
        </w:rPr>
        <w:fldChar w:fldCharType="begin"/>
      </w:r>
      <w:r w:rsidR="00CF4B25" w:rsidRPr="00366E5A">
        <w:rPr>
          <w:rStyle w:val="BodyTextChar"/>
        </w:rPr>
        <w:instrText xml:space="preserve"> REF _Ref128171357 \h </w:instrText>
      </w:r>
      <w:r w:rsidR="001F242B" w:rsidRPr="00366E5A">
        <w:rPr>
          <w:rStyle w:val="BodyTextChar"/>
          <w:rFonts w:asciiTheme="minorHAnsi" w:hAnsiTheme="minorHAnsi"/>
          <w:sz w:val="22"/>
          <w:szCs w:val="22"/>
        </w:rPr>
        <w:instrText xml:space="preserve"> \* MERGEFORMAT </w:instrText>
      </w:r>
      <w:r w:rsidR="00CF4B25" w:rsidRPr="00366E5A">
        <w:rPr>
          <w:rStyle w:val="BodyTextChar"/>
        </w:rPr>
      </w:r>
      <w:r w:rsidR="00CF4B25" w:rsidRPr="00366E5A">
        <w:rPr>
          <w:rStyle w:val="BodyTextChar"/>
        </w:rPr>
        <w:fldChar w:fldCharType="separate"/>
      </w:r>
      <w:r w:rsidR="00A811DA" w:rsidRPr="00CF219C">
        <w:rPr>
          <w:rStyle w:val="BodyTextChar"/>
          <w:rFonts w:asciiTheme="minorHAnsi" w:hAnsiTheme="minorHAnsi"/>
          <w:sz w:val="22"/>
          <w:szCs w:val="22"/>
        </w:rPr>
        <w:t>Figure 4</w:t>
      </w:r>
      <w:r w:rsidR="00CF4B25" w:rsidRPr="00366E5A">
        <w:rPr>
          <w:rStyle w:val="BodyTextChar"/>
        </w:rPr>
        <w:fldChar w:fldCharType="end"/>
      </w:r>
      <w:r w:rsidR="00CF4B25" w:rsidRPr="00366E5A">
        <w:rPr>
          <w:rStyle w:val="BodyTextChar"/>
        </w:rPr>
        <w:t xml:space="preserve"> </w:t>
      </w:r>
      <w:r w:rsidRPr="00366E5A">
        <w:rPr>
          <w:rStyle w:val="BodyTextChar"/>
        </w:rPr>
        <w:t>to</w:t>
      </w:r>
      <w:r w:rsidRPr="001F242B">
        <w:rPr>
          <w:rFonts w:asciiTheme="minorHAnsi" w:hAnsiTheme="minorHAnsi"/>
          <w:bCs/>
          <w:iCs/>
          <w:sz w:val="22"/>
          <w:szCs w:val="22"/>
        </w:rPr>
        <w:t xml:space="preserve"> show</w:t>
      </w:r>
      <w:r>
        <w:rPr>
          <w:rFonts w:asciiTheme="minorHAnsi" w:hAnsiTheme="minorHAnsi"/>
          <w:bCs/>
          <w:iCs/>
          <w:sz w:val="22"/>
          <w:szCs w:val="22"/>
        </w:rPr>
        <w:t xml:space="preserve"> the relationship between activities, outputs and medium</w:t>
      </w:r>
      <w:r w:rsidR="009E10FF">
        <w:rPr>
          <w:rFonts w:asciiTheme="minorHAnsi" w:hAnsiTheme="minorHAnsi"/>
          <w:bCs/>
          <w:iCs/>
          <w:sz w:val="22"/>
          <w:szCs w:val="22"/>
        </w:rPr>
        <w:t>-term</w:t>
      </w:r>
      <w:r>
        <w:rPr>
          <w:rFonts w:asciiTheme="minorHAnsi" w:hAnsiTheme="minorHAnsi"/>
          <w:bCs/>
          <w:iCs/>
          <w:sz w:val="22"/>
          <w:szCs w:val="22"/>
        </w:rPr>
        <w:t xml:space="preserve"> (to 2030) and long-term (post 2030) outcomes intended from the reforms. These are framed by the overall objectives taken from the </w:t>
      </w:r>
      <w:proofErr w:type="spellStart"/>
      <w:r>
        <w:rPr>
          <w:rFonts w:asciiTheme="minorHAnsi" w:hAnsiTheme="minorHAnsi"/>
          <w:bCs/>
          <w:iCs/>
          <w:sz w:val="22"/>
          <w:szCs w:val="22"/>
        </w:rPr>
        <w:t>NGER</w:t>
      </w:r>
      <w:proofErr w:type="spellEnd"/>
      <w:r>
        <w:rPr>
          <w:rFonts w:asciiTheme="minorHAnsi" w:hAnsiTheme="minorHAnsi"/>
          <w:bCs/>
          <w:iCs/>
          <w:sz w:val="22"/>
          <w:szCs w:val="22"/>
        </w:rPr>
        <w:t xml:space="preserve"> Act.</w:t>
      </w:r>
      <w:r w:rsidR="00CE7B24">
        <w:rPr>
          <w:rFonts w:asciiTheme="minorHAnsi" w:hAnsiTheme="minorHAnsi"/>
          <w:bCs/>
          <w:iCs/>
          <w:sz w:val="22"/>
          <w:szCs w:val="22"/>
        </w:rPr>
        <w:t xml:space="preserve"> </w:t>
      </w:r>
      <w:r w:rsidR="002E7A41">
        <w:rPr>
          <w:rFonts w:asciiTheme="minorHAnsi" w:hAnsiTheme="minorHAnsi"/>
          <w:bCs/>
          <w:iCs/>
          <w:sz w:val="22"/>
          <w:szCs w:val="22"/>
        </w:rPr>
        <w:t>Ongoing</w:t>
      </w:r>
      <w:r w:rsidR="00CE7B24">
        <w:rPr>
          <w:rFonts w:asciiTheme="minorHAnsi" w:hAnsiTheme="minorHAnsi"/>
          <w:bCs/>
          <w:iCs/>
          <w:sz w:val="22"/>
          <w:szCs w:val="22"/>
        </w:rPr>
        <w:t xml:space="preserve"> evaluation will </w:t>
      </w:r>
      <w:r w:rsidR="002E7A41">
        <w:rPr>
          <w:rFonts w:asciiTheme="minorHAnsi" w:hAnsiTheme="minorHAnsi"/>
          <w:bCs/>
          <w:iCs/>
          <w:sz w:val="22"/>
          <w:szCs w:val="22"/>
        </w:rPr>
        <w:t xml:space="preserve">feed into the 2026-27 review, which provides an opportunity to monitor and adjust as necessary the policy settings to ensure the intended outputs and medium-term outcomes will be met. </w:t>
      </w:r>
    </w:p>
    <w:p w14:paraId="2AF339FF" w14:textId="77777777" w:rsidR="00CF219C" w:rsidRDefault="00CF219C" w:rsidP="00286D4F">
      <w:pPr>
        <w:pStyle w:val="BodyText"/>
        <w:rPr>
          <w:sz w:val="22"/>
          <w:szCs w:val="22"/>
        </w:rPr>
      </w:pPr>
    </w:p>
    <w:tbl>
      <w:tblPr>
        <w:tblStyle w:val="GridTable4-Accent2"/>
        <w:tblW w:w="10632" w:type="dxa"/>
        <w:tblLook w:val="04A0" w:firstRow="1" w:lastRow="0" w:firstColumn="1" w:lastColumn="0" w:noHBand="0" w:noVBand="1"/>
      </w:tblPr>
      <w:tblGrid>
        <w:gridCol w:w="2772"/>
        <w:gridCol w:w="2476"/>
        <w:gridCol w:w="2500"/>
        <w:gridCol w:w="2884"/>
      </w:tblGrid>
      <w:tr w:rsidR="007846D6" w14:paraId="6AA202AC" w14:textId="77777777" w:rsidTr="0091770F">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0632" w:type="dxa"/>
            <w:gridSpan w:val="4"/>
          </w:tcPr>
          <w:p w14:paraId="08B3892C" w14:textId="77777777" w:rsidR="007846D6" w:rsidRDefault="007846D6" w:rsidP="00286D4F">
            <w:pPr>
              <w:pStyle w:val="BodyText"/>
              <w:rPr>
                <w:sz w:val="22"/>
                <w:szCs w:val="22"/>
              </w:rPr>
            </w:pPr>
            <w:r>
              <w:rPr>
                <w:sz w:val="22"/>
                <w:szCs w:val="22"/>
              </w:rPr>
              <w:t>Objective</w:t>
            </w:r>
          </w:p>
        </w:tc>
      </w:tr>
      <w:tr w:rsidR="007846D6" w14:paraId="16B0A9D8" w14:textId="77777777" w:rsidTr="007740E1">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0632" w:type="dxa"/>
            <w:gridSpan w:val="4"/>
          </w:tcPr>
          <w:p w14:paraId="644D6855" w14:textId="3D5F8288" w:rsidR="00CF4B25" w:rsidRPr="00CF219C" w:rsidRDefault="006A1AD2" w:rsidP="00144FFB">
            <w:pPr>
              <w:pStyle w:val="subsection"/>
              <w:ind w:left="0" w:firstLine="0"/>
              <w:rPr>
                <w:b w:val="0"/>
              </w:rPr>
            </w:pPr>
            <w:r w:rsidRPr="00CF219C">
              <w:rPr>
                <w:b w:val="0"/>
              </w:rPr>
              <w:t>T</w:t>
            </w:r>
            <w:r w:rsidR="00CF4B25" w:rsidRPr="00CF219C">
              <w:rPr>
                <w:b w:val="0"/>
              </w:rPr>
              <w:t>o contribute to the achievement of Australia’s greenhouse gas emissions reduction targets by ensuring that</w:t>
            </w:r>
            <w:r w:rsidR="00C2005A" w:rsidRPr="00CF219C">
              <w:rPr>
                <w:b w:val="0"/>
              </w:rPr>
              <w:t xml:space="preserve"> each of the following outcomes (the </w:t>
            </w:r>
            <w:r w:rsidR="00C2005A" w:rsidRPr="00CF219C">
              <w:rPr>
                <w:b w:val="0"/>
                <w:i/>
              </w:rPr>
              <w:t>safeguard outcomes</w:t>
            </w:r>
            <w:r w:rsidR="00C2005A" w:rsidRPr="00CF219C">
              <w:rPr>
                <w:b w:val="0"/>
              </w:rPr>
              <w:t>) are achieved</w:t>
            </w:r>
            <w:r w:rsidR="00CF4B25" w:rsidRPr="00CF219C">
              <w:rPr>
                <w:b w:val="0"/>
              </w:rPr>
              <w:t>:</w:t>
            </w:r>
          </w:p>
          <w:p w14:paraId="380E0A18" w14:textId="06194E66" w:rsidR="00581D74" w:rsidRPr="00CF219C" w:rsidRDefault="009B3CDE" w:rsidP="00366E5A">
            <w:pPr>
              <w:pStyle w:val="paragraph"/>
              <w:numPr>
                <w:ilvl w:val="0"/>
                <w:numId w:val="103"/>
              </w:numPr>
              <w:rPr>
                <w:b w:val="0"/>
              </w:rPr>
            </w:pPr>
            <w:r w:rsidRPr="00CF219C">
              <w:rPr>
                <w:b w:val="0"/>
              </w:rPr>
              <w:t xml:space="preserve">net covered emissions from the operation of </w:t>
            </w:r>
            <w:r w:rsidR="00581D74" w:rsidRPr="00CF219C">
              <w:rPr>
                <w:b w:val="0"/>
              </w:rPr>
              <w:t xml:space="preserve">a </w:t>
            </w:r>
            <w:r w:rsidRPr="00CF219C">
              <w:rPr>
                <w:b w:val="0"/>
              </w:rPr>
              <w:t>designated large facilit</w:t>
            </w:r>
            <w:r w:rsidR="00581D74" w:rsidRPr="00CF219C">
              <w:rPr>
                <w:b w:val="0"/>
              </w:rPr>
              <w:t>y do not exceed the baseline applicable to the facility;</w:t>
            </w:r>
            <w:r w:rsidRPr="00CF219C">
              <w:rPr>
                <w:b w:val="0"/>
              </w:rPr>
              <w:t xml:space="preserve"> </w:t>
            </w:r>
          </w:p>
          <w:p w14:paraId="08A87BA5" w14:textId="6C172F81" w:rsidR="009B3CDE" w:rsidRPr="00CF219C" w:rsidRDefault="00C2005A" w:rsidP="00366E5A">
            <w:pPr>
              <w:pStyle w:val="paragraph"/>
              <w:numPr>
                <w:ilvl w:val="0"/>
                <w:numId w:val="103"/>
              </w:numPr>
              <w:rPr>
                <w:b w:val="0"/>
              </w:rPr>
            </w:pPr>
            <w:r w:rsidRPr="00CF219C">
              <w:rPr>
                <w:b w:val="0"/>
              </w:rPr>
              <w:t>t</w:t>
            </w:r>
            <w:r w:rsidR="00581D74" w:rsidRPr="00CF219C">
              <w:rPr>
                <w:b w:val="0"/>
              </w:rPr>
              <w:t xml:space="preserve">otal net Safeguard emissions for all the financial years </w:t>
            </w:r>
            <w:r w:rsidR="009B3CDE" w:rsidRPr="00CF219C">
              <w:rPr>
                <w:b w:val="0"/>
              </w:rPr>
              <w:t>between 1 July 2020 and 30 June 2030 do not exceed 1,233 million tonnes of carbon dioxide equivalence; and</w:t>
            </w:r>
          </w:p>
          <w:p w14:paraId="429C1899" w14:textId="090B9DF5" w:rsidR="009B3CDE" w:rsidRPr="00CF219C" w:rsidRDefault="009B3CDE" w:rsidP="0082719C">
            <w:pPr>
              <w:pStyle w:val="paragraph"/>
              <w:ind w:left="0" w:firstLine="0"/>
              <w:rPr>
                <w:b w:val="0"/>
              </w:rPr>
            </w:pPr>
            <w:r w:rsidRPr="00CF219C">
              <w:rPr>
                <w:b w:val="0"/>
              </w:rPr>
              <w:tab/>
              <w:t>(</w:t>
            </w:r>
            <w:r w:rsidR="00581D74" w:rsidRPr="00CF219C">
              <w:rPr>
                <w:b w:val="0"/>
              </w:rPr>
              <w:t>c</w:t>
            </w:r>
            <w:r w:rsidRPr="00CF219C">
              <w:rPr>
                <w:b w:val="0"/>
              </w:rPr>
              <w:t xml:space="preserve">) </w:t>
            </w:r>
            <w:r w:rsidR="00581D74" w:rsidRPr="00CF219C">
              <w:rPr>
                <w:b w:val="0"/>
              </w:rPr>
              <w:t xml:space="preserve"> </w:t>
            </w:r>
            <w:r w:rsidRPr="00CF219C">
              <w:rPr>
                <w:b w:val="0"/>
              </w:rPr>
              <w:t xml:space="preserve">net </w:t>
            </w:r>
            <w:r w:rsidR="00581D74" w:rsidRPr="00CF219C">
              <w:rPr>
                <w:b w:val="0"/>
              </w:rPr>
              <w:t xml:space="preserve">Safeguard </w:t>
            </w:r>
            <w:r w:rsidRPr="00CF219C">
              <w:rPr>
                <w:b w:val="0"/>
              </w:rPr>
              <w:t>emissions decline to:</w:t>
            </w:r>
          </w:p>
          <w:p w14:paraId="79686D23" w14:textId="77777777" w:rsidR="009B3CDE" w:rsidRPr="00CF219C" w:rsidRDefault="009B3CDE" w:rsidP="0082719C">
            <w:pPr>
              <w:pStyle w:val="paragraph"/>
              <w:ind w:left="1440" w:hanging="720"/>
              <w:rPr>
                <w:b w:val="0"/>
              </w:rPr>
            </w:pPr>
            <w:r w:rsidRPr="00CF219C">
              <w:rPr>
                <w:b w:val="0"/>
              </w:rPr>
              <w:tab/>
              <w:t>(</w:t>
            </w:r>
            <w:proofErr w:type="spellStart"/>
            <w:r w:rsidRPr="00CF219C">
              <w:rPr>
                <w:b w:val="0"/>
              </w:rPr>
              <w:t>i</w:t>
            </w:r>
            <w:proofErr w:type="spellEnd"/>
            <w:r w:rsidRPr="00CF219C">
              <w:rPr>
                <w:b w:val="0"/>
              </w:rPr>
              <w:t>) no more than 100 million tonnes of carbon dioxide equivalence in the financial year beginning on 1 July 2029; and</w:t>
            </w:r>
          </w:p>
          <w:p w14:paraId="362FC376" w14:textId="20BF33E7" w:rsidR="009B3CDE" w:rsidRPr="00CF219C" w:rsidRDefault="009B3CDE" w:rsidP="0082719C">
            <w:pPr>
              <w:pStyle w:val="paragraph"/>
              <w:ind w:left="720" w:firstLine="0"/>
              <w:rPr>
                <w:b w:val="0"/>
                <w:bCs w:val="0"/>
              </w:rPr>
            </w:pPr>
            <w:r w:rsidRPr="00CF219C">
              <w:rPr>
                <w:b w:val="0"/>
              </w:rPr>
              <w:tab/>
              <w:t>(ii) zero</w:t>
            </w:r>
            <w:r w:rsidR="00581D74" w:rsidRPr="00CF219C">
              <w:rPr>
                <w:b w:val="0"/>
              </w:rPr>
              <w:t xml:space="preserve"> for any financial year to begin after 30 June 2049</w:t>
            </w:r>
            <w:r w:rsidRPr="00CF219C">
              <w:rPr>
                <w:b w:val="0"/>
              </w:rPr>
              <w:t xml:space="preserve">; </w:t>
            </w:r>
          </w:p>
          <w:p w14:paraId="4A1166FA" w14:textId="00A13005" w:rsidR="00D64EB9" w:rsidRPr="00CF219C" w:rsidRDefault="00D64EB9" w:rsidP="0082719C">
            <w:pPr>
              <w:pStyle w:val="paragraph"/>
              <w:ind w:left="720" w:firstLine="0"/>
              <w:rPr>
                <w:b w:val="0"/>
              </w:rPr>
            </w:pPr>
            <w:r w:rsidRPr="00CF219C">
              <w:rPr>
                <w:b w:val="0"/>
              </w:rPr>
              <w:t>(</w:t>
            </w:r>
            <w:r w:rsidR="00581D74" w:rsidRPr="00CF219C">
              <w:rPr>
                <w:b w:val="0"/>
              </w:rPr>
              <w:t>d</w:t>
            </w:r>
            <w:r w:rsidRPr="00CF219C">
              <w:rPr>
                <w:b w:val="0"/>
              </w:rPr>
              <w:t>) the</w:t>
            </w:r>
            <w:r w:rsidR="00581D74" w:rsidRPr="00CF219C">
              <w:rPr>
                <w:b w:val="0"/>
              </w:rPr>
              <w:t xml:space="preserve"> 5-year</w:t>
            </w:r>
            <w:r w:rsidRPr="00CF219C">
              <w:rPr>
                <w:b w:val="0"/>
              </w:rPr>
              <w:t xml:space="preserve"> rolling average</w:t>
            </w:r>
            <w:r w:rsidR="00581D74" w:rsidRPr="00CF219C">
              <w:rPr>
                <w:b w:val="0"/>
              </w:rPr>
              <w:t xml:space="preserve"> Safeguard</w:t>
            </w:r>
            <w:r w:rsidRPr="00CF219C">
              <w:rPr>
                <w:b w:val="0"/>
              </w:rPr>
              <w:t xml:space="preserve"> emissions for each financial year that begins after 30 June 2024 are lower than the past </w:t>
            </w:r>
            <w:r w:rsidR="00581D74" w:rsidRPr="00CF219C">
              <w:rPr>
                <w:b w:val="0"/>
              </w:rPr>
              <w:t xml:space="preserve">5-year </w:t>
            </w:r>
            <w:r w:rsidRPr="00CF219C">
              <w:rPr>
                <w:b w:val="0"/>
              </w:rPr>
              <w:t xml:space="preserve">rolling average </w:t>
            </w:r>
            <w:r w:rsidR="00581D74" w:rsidRPr="00CF219C">
              <w:rPr>
                <w:b w:val="0"/>
              </w:rPr>
              <w:t xml:space="preserve">Safeguard </w:t>
            </w:r>
            <w:r w:rsidRPr="00CF219C">
              <w:rPr>
                <w:b w:val="0"/>
              </w:rPr>
              <w:t>emissions for that financial year; and</w:t>
            </w:r>
          </w:p>
          <w:p w14:paraId="18A8579E" w14:textId="77777777" w:rsidR="009B3CDE" w:rsidRPr="00CF219C" w:rsidRDefault="009B3CDE" w:rsidP="0082719C">
            <w:pPr>
              <w:pStyle w:val="paragraph"/>
              <w:ind w:left="720" w:firstLine="0"/>
              <w:rPr>
                <w:b w:val="0"/>
                <w:bCs w:val="0"/>
              </w:rPr>
            </w:pPr>
            <w:r w:rsidRPr="00CF219C">
              <w:rPr>
                <w:b w:val="0"/>
              </w:rPr>
              <w:t>(</w:t>
            </w:r>
            <w:r w:rsidR="00D64EB9" w:rsidRPr="00CF219C">
              <w:rPr>
                <w:b w:val="0"/>
              </w:rPr>
              <w:t>e</w:t>
            </w:r>
            <w:r w:rsidRPr="00CF219C">
              <w:rPr>
                <w:b w:val="0"/>
              </w:rPr>
              <w:t>) the responsible emitter for each designated large facility has a material incentive to invest in reducing covered emissions from the operation of the facility</w:t>
            </w:r>
            <w:r w:rsidR="00D64EB9" w:rsidRPr="00CF219C">
              <w:rPr>
                <w:b w:val="0"/>
              </w:rPr>
              <w:t>; and</w:t>
            </w:r>
          </w:p>
          <w:p w14:paraId="6F25C2D7" w14:textId="17027B9F" w:rsidR="007846D6" w:rsidRDefault="00D64EB9" w:rsidP="007740E1">
            <w:pPr>
              <w:pStyle w:val="paragraph"/>
              <w:ind w:left="720" w:firstLine="0"/>
              <w:rPr>
                <w:sz w:val="22"/>
                <w:szCs w:val="22"/>
              </w:rPr>
            </w:pPr>
            <w:r w:rsidRPr="00CF219C">
              <w:rPr>
                <w:b w:val="0"/>
              </w:rPr>
              <w:lastRenderedPageBreak/>
              <w:t>(f) the competitiveness of trade-exposed industries is appropriately supported as Australia and its regions seize the opportunities of the move to a global net zero economy.</w:t>
            </w:r>
          </w:p>
        </w:tc>
      </w:tr>
      <w:tr w:rsidR="00526826" w14:paraId="7AB33DEA" w14:textId="77777777" w:rsidTr="0091770F">
        <w:trPr>
          <w:trHeight w:val="369"/>
        </w:trPr>
        <w:tc>
          <w:tcPr>
            <w:cnfStyle w:val="001000000000" w:firstRow="0" w:lastRow="0" w:firstColumn="1" w:lastColumn="0" w:oddVBand="0" w:evenVBand="0" w:oddHBand="0" w:evenHBand="0" w:firstRowFirstColumn="0" w:firstRowLastColumn="0" w:lastRowFirstColumn="0" w:lastRowLastColumn="0"/>
            <w:tcW w:w="2772" w:type="dxa"/>
          </w:tcPr>
          <w:p w14:paraId="12708123" w14:textId="77777777" w:rsidR="007846D6" w:rsidRDefault="007846D6" w:rsidP="007846D6">
            <w:pPr>
              <w:pStyle w:val="BodyText"/>
              <w:rPr>
                <w:sz w:val="22"/>
                <w:szCs w:val="22"/>
              </w:rPr>
            </w:pPr>
            <w:r>
              <w:rPr>
                <w:sz w:val="22"/>
                <w:szCs w:val="22"/>
              </w:rPr>
              <w:lastRenderedPageBreak/>
              <w:t>Activities</w:t>
            </w:r>
          </w:p>
        </w:tc>
        <w:tc>
          <w:tcPr>
            <w:tcW w:w="2476" w:type="dxa"/>
          </w:tcPr>
          <w:p w14:paraId="0116E200" w14:textId="77777777" w:rsidR="007846D6" w:rsidRPr="00526826" w:rsidRDefault="007846D6" w:rsidP="007846D6">
            <w:pPr>
              <w:pStyle w:val="BodyText"/>
              <w:cnfStyle w:val="000000000000" w:firstRow="0" w:lastRow="0" w:firstColumn="0" w:lastColumn="0" w:oddVBand="0" w:evenVBand="0" w:oddHBand="0" w:evenHBand="0" w:firstRowFirstColumn="0" w:firstRowLastColumn="0" w:lastRowFirstColumn="0" w:lastRowLastColumn="0"/>
              <w:rPr>
                <w:b/>
                <w:bCs/>
                <w:color w:val="auto"/>
                <w:sz w:val="22"/>
                <w:szCs w:val="22"/>
              </w:rPr>
            </w:pPr>
            <w:r w:rsidRPr="00526826">
              <w:rPr>
                <w:b/>
                <w:bCs/>
                <w:color w:val="auto"/>
                <w:sz w:val="22"/>
                <w:szCs w:val="22"/>
              </w:rPr>
              <w:t>Outputs</w:t>
            </w:r>
          </w:p>
        </w:tc>
        <w:tc>
          <w:tcPr>
            <w:tcW w:w="2500" w:type="dxa"/>
          </w:tcPr>
          <w:p w14:paraId="65E8DC03" w14:textId="77777777" w:rsidR="007846D6" w:rsidRPr="00526826" w:rsidRDefault="007846D6" w:rsidP="007846D6">
            <w:pPr>
              <w:pStyle w:val="BodyText"/>
              <w:cnfStyle w:val="000000000000" w:firstRow="0" w:lastRow="0" w:firstColumn="0" w:lastColumn="0" w:oddVBand="0" w:evenVBand="0" w:oddHBand="0" w:evenHBand="0" w:firstRowFirstColumn="0" w:firstRowLastColumn="0" w:lastRowFirstColumn="0" w:lastRowLastColumn="0"/>
              <w:rPr>
                <w:b/>
                <w:bCs/>
                <w:color w:val="auto"/>
                <w:sz w:val="22"/>
                <w:szCs w:val="22"/>
              </w:rPr>
            </w:pPr>
            <w:r w:rsidRPr="00526826">
              <w:rPr>
                <w:b/>
                <w:bCs/>
                <w:color w:val="auto"/>
                <w:sz w:val="22"/>
                <w:szCs w:val="22"/>
              </w:rPr>
              <w:t>Medium-term outcomes</w:t>
            </w:r>
          </w:p>
        </w:tc>
        <w:tc>
          <w:tcPr>
            <w:tcW w:w="2882" w:type="dxa"/>
          </w:tcPr>
          <w:p w14:paraId="314D39E8" w14:textId="77777777" w:rsidR="007846D6" w:rsidRPr="00526826" w:rsidRDefault="007846D6" w:rsidP="007846D6">
            <w:pPr>
              <w:pStyle w:val="BodyText"/>
              <w:cnfStyle w:val="000000000000" w:firstRow="0" w:lastRow="0" w:firstColumn="0" w:lastColumn="0" w:oddVBand="0" w:evenVBand="0" w:oddHBand="0" w:evenHBand="0" w:firstRowFirstColumn="0" w:firstRowLastColumn="0" w:lastRowFirstColumn="0" w:lastRowLastColumn="0"/>
              <w:rPr>
                <w:b/>
                <w:bCs/>
                <w:color w:val="auto"/>
                <w:sz w:val="22"/>
                <w:szCs w:val="22"/>
              </w:rPr>
            </w:pPr>
            <w:r w:rsidRPr="00526826">
              <w:rPr>
                <w:b/>
                <w:bCs/>
                <w:color w:val="auto"/>
                <w:sz w:val="22"/>
                <w:szCs w:val="22"/>
              </w:rPr>
              <w:t>Long-term outcomes</w:t>
            </w:r>
          </w:p>
        </w:tc>
      </w:tr>
      <w:tr w:rsidR="00526826" w14:paraId="0E61F2EC" w14:textId="77777777" w:rsidTr="00CF219C">
        <w:trPr>
          <w:cnfStyle w:val="000000100000" w:firstRow="0" w:lastRow="0" w:firstColumn="0" w:lastColumn="0" w:oddVBand="0" w:evenVBand="0" w:oddHBand="1" w:evenHBand="0" w:firstRowFirstColumn="0" w:firstRowLastColumn="0" w:lastRowFirstColumn="0" w:lastRowLastColumn="0"/>
          <w:trHeight w:val="6792"/>
        </w:trPr>
        <w:tc>
          <w:tcPr>
            <w:cnfStyle w:val="001000000000" w:firstRow="0" w:lastRow="0" w:firstColumn="1" w:lastColumn="0" w:oddVBand="0" w:evenVBand="0" w:oddHBand="0" w:evenHBand="0" w:firstRowFirstColumn="0" w:firstRowLastColumn="0" w:lastRowFirstColumn="0" w:lastRowLastColumn="0"/>
            <w:tcW w:w="0" w:type="dxa"/>
          </w:tcPr>
          <w:p w14:paraId="495B2288" w14:textId="77777777" w:rsidR="007846D6" w:rsidRPr="00CF219C" w:rsidRDefault="00E72536" w:rsidP="007846D6">
            <w:pPr>
              <w:pStyle w:val="BodyText"/>
              <w:numPr>
                <w:ilvl w:val="0"/>
                <w:numId w:val="82"/>
              </w:numPr>
              <w:ind w:left="414" w:hanging="357"/>
              <w:rPr>
                <w:b w:val="0"/>
                <w:bCs w:val="0"/>
              </w:rPr>
            </w:pPr>
            <w:r w:rsidRPr="00CF219C">
              <w:rPr>
                <w:b w:val="0"/>
                <w:bCs w:val="0"/>
              </w:rPr>
              <w:t>l</w:t>
            </w:r>
            <w:r w:rsidR="006A1AD2" w:rsidRPr="00CF219C">
              <w:rPr>
                <w:b w:val="0"/>
                <w:bCs w:val="0"/>
              </w:rPr>
              <w:t xml:space="preserve">egislative changes to Safeguard Mechanism Rule to reduce baselines, enable flexibility mechanisms, </w:t>
            </w:r>
            <w:proofErr w:type="spellStart"/>
            <w:r w:rsidR="006A1AD2" w:rsidRPr="00CF219C">
              <w:rPr>
                <w:b w:val="0"/>
                <w:bCs w:val="0"/>
              </w:rPr>
              <w:t>EITE</w:t>
            </w:r>
            <w:proofErr w:type="spellEnd"/>
            <w:r w:rsidR="006A1AD2" w:rsidRPr="00CF219C">
              <w:rPr>
                <w:b w:val="0"/>
                <w:bCs w:val="0"/>
              </w:rPr>
              <w:t xml:space="preserve"> assistance</w:t>
            </w:r>
          </w:p>
          <w:p w14:paraId="4848A43B" w14:textId="77777777" w:rsidR="006A1AD2" w:rsidRPr="00CF219C" w:rsidRDefault="00E72536" w:rsidP="007846D6">
            <w:pPr>
              <w:pStyle w:val="BodyText"/>
              <w:numPr>
                <w:ilvl w:val="0"/>
                <w:numId w:val="82"/>
              </w:numPr>
              <w:ind w:left="414" w:hanging="357"/>
              <w:rPr>
                <w:b w:val="0"/>
                <w:bCs w:val="0"/>
              </w:rPr>
            </w:pPr>
            <w:r w:rsidRPr="00CF219C">
              <w:rPr>
                <w:b w:val="0"/>
                <w:bCs w:val="0"/>
              </w:rPr>
              <w:t>l</w:t>
            </w:r>
            <w:r w:rsidR="006A1AD2" w:rsidRPr="00CF219C">
              <w:rPr>
                <w:b w:val="0"/>
                <w:bCs w:val="0"/>
              </w:rPr>
              <w:t>egislative changes to supporting legislation to give effect to reforms, including creation of Safeguard Mechanism Credits</w:t>
            </w:r>
          </w:p>
          <w:p w14:paraId="25D149B2" w14:textId="77777777" w:rsidR="006A1AD2" w:rsidRPr="00CF219C" w:rsidRDefault="006A1AD2" w:rsidP="00526826">
            <w:pPr>
              <w:pStyle w:val="BodyText"/>
              <w:numPr>
                <w:ilvl w:val="0"/>
                <w:numId w:val="82"/>
              </w:numPr>
              <w:ind w:left="414" w:hanging="357"/>
              <w:rPr>
                <w:b w:val="0"/>
                <w:bCs w:val="0"/>
              </w:rPr>
            </w:pPr>
            <w:r w:rsidRPr="00CF219C">
              <w:rPr>
                <w:b w:val="0"/>
                <w:bCs w:val="0"/>
              </w:rPr>
              <w:t>Powering the Regions funding, including $</w:t>
            </w:r>
            <w:r w:rsidRPr="00CF219C">
              <w:rPr>
                <w:b w:val="0"/>
              </w:rPr>
              <w:t>600</w:t>
            </w:r>
            <w:r w:rsidRPr="00CF219C">
              <w:rPr>
                <w:b w:val="0"/>
                <w:bCs w:val="0"/>
              </w:rPr>
              <w:t xml:space="preserve"> million Safeguard Transformation Stream</w:t>
            </w:r>
            <w:r w:rsidR="009250F4" w:rsidRPr="00CF219C">
              <w:rPr>
                <w:b w:val="0"/>
                <w:bCs w:val="0"/>
              </w:rPr>
              <w:t xml:space="preserve"> and </w:t>
            </w:r>
            <w:r w:rsidR="00AD2018" w:rsidRPr="00CF219C">
              <w:rPr>
                <w:b w:val="0"/>
                <w:bCs w:val="0"/>
              </w:rPr>
              <w:t xml:space="preserve">a </w:t>
            </w:r>
            <w:r w:rsidR="00390491" w:rsidRPr="00CF219C">
              <w:rPr>
                <w:b w:val="0"/>
                <w:bCs w:val="0"/>
              </w:rPr>
              <w:t xml:space="preserve">further targeted </w:t>
            </w:r>
            <w:r w:rsidR="009250F4" w:rsidRPr="00CF219C">
              <w:rPr>
                <w:b w:val="0"/>
                <w:bCs w:val="0"/>
              </w:rPr>
              <w:t>$400 million to support sovereign manufacturing capability</w:t>
            </w:r>
            <w:r w:rsidR="00390491" w:rsidRPr="00CF219C">
              <w:rPr>
                <w:b w:val="0"/>
                <w:bCs w:val="0"/>
              </w:rPr>
              <w:t>.</w:t>
            </w:r>
          </w:p>
        </w:tc>
        <w:tc>
          <w:tcPr>
            <w:tcW w:w="0" w:type="dxa"/>
          </w:tcPr>
          <w:p w14:paraId="6904F878" w14:textId="77777777" w:rsidR="00E72536" w:rsidRPr="00CF219C" w:rsidRDefault="00E72536" w:rsidP="00E72536">
            <w:pPr>
              <w:pStyle w:val="BodyText"/>
              <w:numPr>
                <w:ilvl w:val="0"/>
                <w:numId w:val="82"/>
              </w:numPr>
              <w:ind w:left="414" w:hanging="357"/>
              <w:cnfStyle w:val="000000100000" w:firstRow="0" w:lastRow="0" w:firstColumn="0" w:lastColumn="0" w:oddVBand="0" w:evenVBand="0" w:oddHBand="1" w:evenHBand="0" w:firstRowFirstColumn="0" w:firstRowLastColumn="0" w:lastRowFirstColumn="0" w:lastRowLastColumn="0"/>
            </w:pPr>
            <w:r w:rsidRPr="00CF219C">
              <w:t>final industry average emissions intensity values made and published in Safeguard Mechanism Rule</w:t>
            </w:r>
          </w:p>
          <w:p w14:paraId="7EBD0661" w14:textId="77777777" w:rsidR="00E72536" w:rsidRPr="00CF219C" w:rsidRDefault="00E72536" w:rsidP="00E72536">
            <w:pPr>
              <w:pStyle w:val="BodyText"/>
              <w:numPr>
                <w:ilvl w:val="0"/>
                <w:numId w:val="82"/>
              </w:numPr>
              <w:ind w:left="414" w:hanging="357"/>
              <w:cnfStyle w:val="000000100000" w:firstRow="0" w:lastRow="0" w:firstColumn="0" w:lastColumn="0" w:oddVBand="0" w:evenVBand="0" w:oddHBand="1" w:evenHBand="0" w:firstRowFirstColumn="0" w:firstRowLastColumn="0" w:lastRowFirstColumn="0" w:lastRowLastColumn="0"/>
            </w:pPr>
            <w:r w:rsidRPr="00CF219C">
              <w:t>best practice benchmarks made and published in Safeguard Mechanism Rule</w:t>
            </w:r>
          </w:p>
          <w:p w14:paraId="34AAC1EE" w14:textId="554D490B" w:rsidR="00E72536" w:rsidRPr="00CF219C" w:rsidRDefault="00E72536" w:rsidP="00E72536">
            <w:pPr>
              <w:pStyle w:val="BodyText"/>
              <w:numPr>
                <w:ilvl w:val="0"/>
                <w:numId w:val="82"/>
              </w:numPr>
              <w:ind w:left="414" w:hanging="357"/>
              <w:cnfStyle w:val="000000100000" w:firstRow="0" w:lastRow="0" w:firstColumn="0" w:lastColumn="0" w:oddVBand="0" w:evenVBand="0" w:oddHBand="1" w:evenHBand="0" w:firstRowFirstColumn="0" w:firstRowLastColumn="0" w:lastRowFirstColumn="0" w:lastRowLastColumn="0"/>
            </w:pPr>
            <w:r w:rsidRPr="00CF219C">
              <w:t>regular</w:t>
            </w:r>
            <w:r w:rsidR="006601F6">
              <w:t>, enhanced</w:t>
            </w:r>
            <w:r w:rsidRPr="00CF219C">
              <w:t xml:space="preserve"> data publications from </w:t>
            </w:r>
            <w:proofErr w:type="spellStart"/>
            <w:r w:rsidRPr="00CF219C">
              <w:t>CER</w:t>
            </w:r>
            <w:proofErr w:type="spellEnd"/>
            <w:r w:rsidRPr="00CF219C">
              <w:t xml:space="preserve"> on Safeguard facilities, </w:t>
            </w:r>
            <w:r w:rsidR="006601F6">
              <w:t xml:space="preserve">including generation of SMCs and </w:t>
            </w:r>
            <w:proofErr w:type="spellStart"/>
            <w:r w:rsidR="006601F6">
              <w:t>ACCUs</w:t>
            </w:r>
            <w:proofErr w:type="spellEnd"/>
            <w:r w:rsidR="006601F6">
              <w:t xml:space="preserve"> surrendered</w:t>
            </w:r>
          </w:p>
          <w:p w14:paraId="1A20CA2A" w14:textId="10F81360" w:rsidR="007846D6" w:rsidRPr="00CF219C" w:rsidRDefault="006601F6" w:rsidP="00CF219C">
            <w:pPr>
              <w:pStyle w:val="BodyText"/>
              <w:numPr>
                <w:ilvl w:val="0"/>
                <w:numId w:val="82"/>
              </w:numPr>
              <w:ind w:left="414" w:hanging="357"/>
              <w:cnfStyle w:val="000000100000" w:firstRow="0" w:lastRow="0" w:firstColumn="0" w:lastColumn="0" w:oddVBand="0" w:evenVBand="0" w:oddHBand="1" w:evenHBand="0" w:firstRowFirstColumn="0" w:firstRowLastColumn="0" w:lastRowFirstColumn="0" w:lastRowLastColumn="0"/>
            </w:pPr>
            <w:proofErr w:type="spellStart"/>
            <w:r>
              <w:t>CCA</w:t>
            </w:r>
            <w:proofErr w:type="spellEnd"/>
            <w:r>
              <w:t xml:space="preserve"> reporting on progress against the </w:t>
            </w:r>
            <w:r w:rsidR="006874B5">
              <w:t xml:space="preserve">scheme’s objectives in the </w:t>
            </w:r>
            <w:proofErr w:type="spellStart"/>
            <w:r w:rsidR="006874B5">
              <w:t>NGER</w:t>
            </w:r>
            <w:proofErr w:type="spellEnd"/>
            <w:r w:rsidR="006874B5">
              <w:t xml:space="preserve"> Act to the</w:t>
            </w:r>
            <w:r w:rsidR="00E72536" w:rsidRPr="00CF219C">
              <w:t xml:space="preserve"> Annual Climate Change Statement to Parliament</w:t>
            </w:r>
          </w:p>
        </w:tc>
        <w:tc>
          <w:tcPr>
            <w:tcW w:w="0" w:type="dxa"/>
          </w:tcPr>
          <w:p w14:paraId="76F85F15" w14:textId="77777777" w:rsidR="007846D6" w:rsidRPr="00CF219C" w:rsidRDefault="006A1AD2" w:rsidP="00526826">
            <w:pPr>
              <w:pStyle w:val="BodyText"/>
              <w:numPr>
                <w:ilvl w:val="0"/>
                <w:numId w:val="82"/>
              </w:numPr>
              <w:ind w:left="414" w:hanging="357"/>
              <w:cnfStyle w:val="000000100000" w:firstRow="0" w:lastRow="0" w:firstColumn="0" w:lastColumn="0" w:oddVBand="0" w:evenVBand="0" w:oddHBand="1" w:evenHBand="0" w:firstRowFirstColumn="0" w:firstRowLastColumn="0" w:lastRowFirstColumn="0" w:lastRowLastColumn="0"/>
            </w:pPr>
            <w:r w:rsidRPr="00CF219C">
              <w:t>net covered emissions from Safeguard facilities do not exceed baselines</w:t>
            </w:r>
          </w:p>
          <w:p w14:paraId="3164A0D1" w14:textId="77777777" w:rsidR="006A1AD2" w:rsidRPr="00CF219C" w:rsidRDefault="006A1AD2" w:rsidP="00526826">
            <w:pPr>
              <w:pStyle w:val="BodyText"/>
              <w:numPr>
                <w:ilvl w:val="0"/>
                <w:numId w:val="82"/>
              </w:numPr>
              <w:ind w:left="414" w:hanging="357"/>
              <w:cnfStyle w:val="000000100000" w:firstRow="0" w:lastRow="0" w:firstColumn="0" w:lastColumn="0" w:oddVBand="0" w:evenVBand="0" w:oddHBand="1" w:evenHBand="0" w:firstRowFirstColumn="0" w:firstRowLastColumn="0" w:lastRowFirstColumn="0" w:lastRowLastColumn="0"/>
            </w:pPr>
            <w:r w:rsidRPr="00CF219C">
              <w:t>net covered emissions from Safeguard facilities reduce each year</w:t>
            </w:r>
          </w:p>
          <w:p w14:paraId="7C7A32E3" w14:textId="77777777" w:rsidR="006A1AD2" w:rsidRPr="00CF219C" w:rsidRDefault="00E72536" w:rsidP="00526826">
            <w:pPr>
              <w:pStyle w:val="BodyText"/>
              <w:numPr>
                <w:ilvl w:val="0"/>
                <w:numId w:val="82"/>
              </w:numPr>
              <w:ind w:left="414" w:hanging="357"/>
              <w:cnfStyle w:val="000000100000" w:firstRow="0" w:lastRow="0" w:firstColumn="0" w:lastColumn="0" w:oddVBand="0" w:evenVBand="0" w:oddHBand="1" w:evenHBand="0" w:firstRowFirstColumn="0" w:firstRowLastColumn="0" w:lastRowFirstColumn="0" w:lastRowLastColumn="0"/>
            </w:pPr>
            <w:r w:rsidRPr="00CF219C">
              <w:t>f</w:t>
            </w:r>
            <w:r w:rsidR="006A1AD2" w:rsidRPr="00CF219C">
              <w:t>lexibility mechanisms accessed by facilities to lower compliance costs</w:t>
            </w:r>
          </w:p>
          <w:p w14:paraId="76FF1ACF" w14:textId="77777777" w:rsidR="006A1AD2" w:rsidRPr="00CF219C" w:rsidRDefault="006A1AD2" w:rsidP="006A1AD2">
            <w:pPr>
              <w:pStyle w:val="BodyText"/>
              <w:numPr>
                <w:ilvl w:val="0"/>
                <w:numId w:val="82"/>
              </w:numPr>
              <w:ind w:left="414" w:hanging="357"/>
              <w:cnfStyle w:val="000000100000" w:firstRow="0" w:lastRow="0" w:firstColumn="0" w:lastColumn="0" w:oddVBand="0" w:evenVBand="0" w:oddHBand="1" w:evenHBand="0" w:firstRowFirstColumn="0" w:firstRowLastColumn="0" w:lastRowFirstColumn="0" w:lastRowLastColumn="0"/>
            </w:pPr>
            <w:r w:rsidRPr="00CF219C">
              <w:t>Safeguard facilities invest in on-site emissions reductions</w:t>
            </w:r>
          </w:p>
          <w:p w14:paraId="33B46A37" w14:textId="77777777" w:rsidR="006A1AD2" w:rsidRPr="00CF219C" w:rsidRDefault="006A1AD2" w:rsidP="00526826">
            <w:pPr>
              <w:pStyle w:val="BodyText"/>
              <w:numPr>
                <w:ilvl w:val="0"/>
                <w:numId w:val="82"/>
              </w:numPr>
              <w:ind w:left="414" w:hanging="357"/>
              <w:cnfStyle w:val="000000100000" w:firstRow="0" w:lastRow="0" w:firstColumn="0" w:lastColumn="0" w:oddVBand="0" w:evenVBand="0" w:oddHBand="1" w:evenHBand="0" w:firstRowFirstColumn="0" w:firstRowLastColumn="0" w:lastRowFirstColumn="0" w:lastRowLastColumn="0"/>
            </w:pPr>
            <w:r w:rsidRPr="00CF219C">
              <w:t>SMCs generated and traded</w:t>
            </w:r>
          </w:p>
          <w:p w14:paraId="2B5B92ED" w14:textId="77777777" w:rsidR="006A1AD2" w:rsidRPr="00CF219C" w:rsidRDefault="00E72536" w:rsidP="006A1AD2">
            <w:pPr>
              <w:pStyle w:val="BodyText"/>
              <w:numPr>
                <w:ilvl w:val="0"/>
                <w:numId w:val="82"/>
              </w:numPr>
              <w:ind w:left="414" w:hanging="357"/>
              <w:cnfStyle w:val="000000100000" w:firstRow="0" w:lastRow="0" w:firstColumn="0" w:lastColumn="0" w:oddVBand="0" w:evenVBand="0" w:oddHBand="1" w:evenHBand="0" w:firstRowFirstColumn="0" w:firstRowLastColumn="0" w:lastRowFirstColumn="0" w:lastRowLastColumn="0"/>
            </w:pPr>
            <w:r w:rsidRPr="00CF219C">
              <w:t>m</w:t>
            </w:r>
            <w:r w:rsidR="006A1AD2" w:rsidRPr="00CF219C">
              <w:t xml:space="preserve">arket transparency enhanced by development of Australian Carbon Market Exchange </w:t>
            </w:r>
          </w:p>
          <w:p w14:paraId="73206ADB" w14:textId="77777777" w:rsidR="006A1AD2" w:rsidRPr="00CF219C" w:rsidRDefault="006A1AD2" w:rsidP="00526826">
            <w:pPr>
              <w:pStyle w:val="BodyText"/>
              <w:numPr>
                <w:ilvl w:val="0"/>
                <w:numId w:val="82"/>
              </w:numPr>
              <w:ind w:left="414" w:hanging="357"/>
              <w:cnfStyle w:val="000000100000" w:firstRow="0" w:lastRow="0" w:firstColumn="0" w:lastColumn="0" w:oddVBand="0" w:evenVBand="0" w:oddHBand="1" w:evenHBand="0" w:firstRowFirstColumn="0" w:firstRowLastColumn="0" w:lastRowFirstColumn="0" w:lastRowLastColumn="0"/>
            </w:pPr>
            <w:proofErr w:type="spellStart"/>
            <w:r w:rsidRPr="00CF219C">
              <w:t>ACCU</w:t>
            </w:r>
            <w:proofErr w:type="spellEnd"/>
            <w:r w:rsidRPr="00CF219C">
              <w:t xml:space="preserve"> market sufficiently liquid and deep – cost containment not accessed</w:t>
            </w:r>
          </w:p>
        </w:tc>
        <w:tc>
          <w:tcPr>
            <w:tcW w:w="0" w:type="dxa"/>
          </w:tcPr>
          <w:p w14:paraId="3DB04ED1" w14:textId="77777777" w:rsidR="007846D6" w:rsidRPr="00CF219C" w:rsidRDefault="00E72536" w:rsidP="007846D6">
            <w:pPr>
              <w:pStyle w:val="BodyText"/>
              <w:numPr>
                <w:ilvl w:val="0"/>
                <w:numId w:val="82"/>
              </w:numPr>
              <w:ind w:left="414" w:hanging="357"/>
              <w:cnfStyle w:val="000000100000" w:firstRow="0" w:lastRow="0" w:firstColumn="0" w:lastColumn="0" w:oddVBand="0" w:evenVBand="0" w:oddHBand="1" w:evenHBand="0" w:firstRowFirstColumn="0" w:firstRowLastColumn="0" w:lastRowFirstColumn="0" w:lastRowLastColumn="0"/>
            </w:pPr>
            <w:r w:rsidRPr="00CF219C">
              <w:t>net covered emissions from Safeguard facilities decline on a pathway to zero by 2050</w:t>
            </w:r>
          </w:p>
          <w:p w14:paraId="2FCC7A20" w14:textId="77777777" w:rsidR="00E72536" w:rsidRPr="00CF219C" w:rsidRDefault="00E72536" w:rsidP="007846D6">
            <w:pPr>
              <w:pStyle w:val="BodyText"/>
              <w:numPr>
                <w:ilvl w:val="0"/>
                <w:numId w:val="82"/>
              </w:numPr>
              <w:ind w:left="414" w:hanging="357"/>
              <w:cnfStyle w:val="000000100000" w:firstRow="0" w:lastRow="0" w:firstColumn="0" w:lastColumn="0" w:oddVBand="0" w:evenVBand="0" w:oddHBand="1" w:evenHBand="0" w:firstRowFirstColumn="0" w:firstRowLastColumn="0" w:lastRowFirstColumn="0" w:lastRowLastColumn="0"/>
            </w:pPr>
            <w:r w:rsidRPr="00CF219C">
              <w:t>global competitiveness of Australian industry maintained or enhanced based on decarbonisation to net zero</w:t>
            </w:r>
          </w:p>
          <w:p w14:paraId="5275DB11" w14:textId="77777777" w:rsidR="00E72536" w:rsidRPr="00CF219C" w:rsidRDefault="009E10FF" w:rsidP="00526826">
            <w:pPr>
              <w:pStyle w:val="BodyText"/>
              <w:numPr>
                <w:ilvl w:val="0"/>
                <w:numId w:val="82"/>
              </w:numPr>
              <w:ind w:left="414" w:hanging="357"/>
              <w:cnfStyle w:val="000000100000" w:firstRow="0" w:lastRow="0" w:firstColumn="0" w:lastColumn="0" w:oddVBand="0" w:evenVBand="0" w:oddHBand="1" w:evenHBand="0" w:firstRowFirstColumn="0" w:firstRowLastColumn="0" w:lastRowFirstColumn="0" w:lastRowLastColumn="0"/>
            </w:pPr>
            <w:r w:rsidRPr="00CF219C">
              <w:t>Safeguard facilities</w:t>
            </w:r>
            <w:r w:rsidR="00047A98" w:rsidRPr="00CF219C">
              <w:t>’</w:t>
            </w:r>
            <w:r w:rsidRPr="00CF219C">
              <w:t xml:space="preserve"> investments in on-site emissions reductions transform their emissions intensity of production</w:t>
            </w:r>
          </w:p>
        </w:tc>
      </w:tr>
    </w:tbl>
    <w:p w14:paraId="44EA4C13" w14:textId="52EF8AA8" w:rsidR="00CF4B25" w:rsidRDefault="00A811DA" w:rsidP="00CF219C">
      <w:pPr>
        <w:pStyle w:val="Caption"/>
        <w:ind w:left="0" w:firstLine="0"/>
        <w:rPr>
          <w:sz w:val="22"/>
          <w:szCs w:val="22"/>
        </w:rPr>
      </w:pPr>
      <w:bookmarkStart w:id="293" w:name="_Ref132107881"/>
      <w:bookmarkStart w:id="294" w:name="_Ref128171357"/>
      <w:bookmarkStart w:id="295" w:name="_Ref132107789"/>
      <w:r>
        <w:t xml:space="preserve">Figure </w:t>
      </w:r>
      <w:fldSimple w:instr=" SEQ Figure \* ARABIC ">
        <w:r>
          <w:rPr>
            <w:noProof/>
          </w:rPr>
          <w:t>4</w:t>
        </w:r>
      </w:fldSimple>
      <w:bookmarkEnd w:id="293"/>
      <w:bookmarkEnd w:id="294"/>
      <w:r w:rsidR="00CF4B25">
        <w:t xml:space="preserve"> Simplified program logic</w:t>
      </w:r>
      <w:bookmarkEnd w:id="295"/>
    </w:p>
    <w:p w14:paraId="6B755F00" w14:textId="77777777" w:rsidR="001A716D" w:rsidRPr="00BF50A8" w:rsidRDefault="00B94037" w:rsidP="001A716D">
      <w:pPr>
        <w:pStyle w:val="Heading3"/>
      </w:pPr>
      <w:bookmarkStart w:id="296" w:name="_Toc132807571"/>
      <w:r>
        <w:t xml:space="preserve">Challenges and </w:t>
      </w:r>
      <w:r w:rsidR="001A716D">
        <w:t>risks</w:t>
      </w:r>
      <w:r w:rsidR="00BB6CC4">
        <w:t xml:space="preserve"> </w:t>
      </w:r>
      <w:r>
        <w:t>to implementation</w:t>
      </w:r>
      <w:bookmarkEnd w:id="296"/>
    </w:p>
    <w:p w14:paraId="10CA64A3" w14:textId="1F2895B0" w:rsidR="00625F3C" w:rsidRPr="00366E5A" w:rsidRDefault="00625F3C">
      <w:pPr>
        <w:pStyle w:val="BodyText"/>
        <w:rPr>
          <w:sz w:val="22"/>
          <w:szCs w:val="22"/>
        </w:rPr>
      </w:pPr>
      <w:r w:rsidRPr="00366E5A">
        <w:rPr>
          <w:sz w:val="22"/>
          <w:szCs w:val="22"/>
        </w:rPr>
        <w:t>There are challenges and risks which could impede the Department’s</w:t>
      </w:r>
      <w:r w:rsidR="0024139D">
        <w:rPr>
          <w:sz w:val="22"/>
          <w:szCs w:val="22"/>
        </w:rPr>
        <w:t xml:space="preserve"> and the Clean Energy Regulator’s</w:t>
      </w:r>
      <w:r w:rsidRPr="00366E5A">
        <w:rPr>
          <w:sz w:val="22"/>
          <w:szCs w:val="22"/>
        </w:rPr>
        <w:t xml:space="preserve"> successful implementation of the Safeguard Mechanism reforms. These challenges and risks are identified in </w:t>
      </w:r>
      <w:r w:rsidR="005E089C" w:rsidRPr="005E089C">
        <w:rPr>
          <w:sz w:val="22"/>
          <w:szCs w:val="22"/>
        </w:rPr>
        <w:fldChar w:fldCharType="begin"/>
      </w:r>
      <w:r w:rsidR="005E089C" w:rsidRPr="005E089C">
        <w:rPr>
          <w:sz w:val="22"/>
          <w:szCs w:val="22"/>
        </w:rPr>
        <w:instrText xml:space="preserve"> REF _Ref132107937 \h </w:instrText>
      </w:r>
      <w:r w:rsidR="005E089C">
        <w:rPr>
          <w:sz w:val="22"/>
          <w:szCs w:val="22"/>
        </w:rPr>
        <w:instrText xml:space="preserve"> \* MERGEFORMAT </w:instrText>
      </w:r>
      <w:r w:rsidR="005E089C" w:rsidRPr="005E089C">
        <w:rPr>
          <w:sz w:val="22"/>
          <w:szCs w:val="22"/>
        </w:rPr>
      </w:r>
      <w:r w:rsidR="005E089C" w:rsidRPr="005E089C">
        <w:rPr>
          <w:sz w:val="22"/>
          <w:szCs w:val="22"/>
        </w:rPr>
        <w:fldChar w:fldCharType="separate"/>
      </w:r>
      <w:r w:rsidR="005E089C" w:rsidRPr="005E089C">
        <w:rPr>
          <w:sz w:val="22"/>
          <w:szCs w:val="22"/>
        </w:rPr>
        <w:t xml:space="preserve">Table </w:t>
      </w:r>
      <w:r w:rsidR="005E089C" w:rsidRPr="005E089C">
        <w:rPr>
          <w:noProof/>
          <w:sz w:val="22"/>
          <w:szCs w:val="22"/>
        </w:rPr>
        <w:t>10</w:t>
      </w:r>
      <w:r w:rsidR="005E089C" w:rsidRPr="005E089C">
        <w:rPr>
          <w:sz w:val="22"/>
          <w:szCs w:val="22"/>
        </w:rPr>
        <w:fldChar w:fldCharType="end"/>
      </w:r>
      <w:r w:rsidR="005E089C">
        <w:rPr>
          <w:sz w:val="22"/>
          <w:szCs w:val="22"/>
        </w:rPr>
        <w:t xml:space="preserve"> </w:t>
      </w:r>
      <w:r w:rsidRPr="00366E5A">
        <w:rPr>
          <w:sz w:val="22"/>
          <w:szCs w:val="22"/>
        </w:rPr>
        <w:t>below, and rated in terms of their likelihood and consequence, in accordance with</w:t>
      </w:r>
      <w:r w:rsidRPr="00A846AD">
        <w:rPr>
          <w:sz w:val="22"/>
          <w:szCs w:val="22"/>
        </w:rPr>
        <w:t xml:space="preserve"> </w:t>
      </w:r>
      <w:r w:rsidR="005E089C" w:rsidRPr="005E089C">
        <w:rPr>
          <w:sz w:val="22"/>
          <w:szCs w:val="22"/>
        </w:rPr>
        <w:fldChar w:fldCharType="begin"/>
      </w:r>
      <w:r w:rsidR="005E089C" w:rsidRPr="005E089C">
        <w:rPr>
          <w:sz w:val="22"/>
          <w:szCs w:val="22"/>
        </w:rPr>
        <w:instrText xml:space="preserve"> REF _Ref132373703 \h </w:instrText>
      </w:r>
      <w:r w:rsidR="005E089C">
        <w:rPr>
          <w:sz w:val="22"/>
          <w:szCs w:val="22"/>
        </w:rPr>
        <w:instrText xml:space="preserve"> \* MERGEFORMAT </w:instrText>
      </w:r>
      <w:r w:rsidR="005E089C" w:rsidRPr="005E089C">
        <w:rPr>
          <w:sz w:val="22"/>
          <w:szCs w:val="22"/>
        </w:rPr>
      </w:r>
      <w:r w:rsidR="005E089C" w:rsidRPr="005E089C">
        <w:rPr>
          <w:sz w:val="22"/>
          <w:szCs w:val="22"/>
        </w:rPr>
        <w:fldChar w:fldCharType="separate"/>
      </w:r>
      <w:r w:rsidR="005E089C" w:rsidRPr="005E089C">
        <w:rPr>
          <w:sz w:val="22"/>
          <w:szCs w:val="22"/>
        </w:rPr>
        <w:t xml:space="preserve">Table </w:t>
      </w:r>
      <w:r w:rsidR="005E089C" w:rsidRPr="005E089C">
        <w:rPr>
          <w:noProof/>
          <w:sz w:val="22"/>
          <w:szCs w:val="22"/>
        </w:rPr>
        <w:t>9</w:t>
      </w:r>
      <w:r w:rsidR="005E089C" w:rsidRPr="005E089C">
        <w:rPr>
          <w:sz w:val="22"/>
          <w:szCs w:val="22"/>
        </w:rPr>
        <w:fldChar w:fldCharType="end"/>
      </w:r>
      <w:r w:rsidRPr="00366E5A">
        <w:rPr>
          <w:sz w:val="22"/>
          <w:szCs w:val="22"/>
        </w:rPr>
        <w:t xml:space="preserve">. </w:t>
      </w:r>
    </w:p>
    <w:p w14:paraId="0BB6632C" w14:textId="73034B1D" w:rsidR="00A846AD" w:rsidRDefault="00A846AD" w:rsidP="005E089C">
      <w:pPr>
        <w:pStyle w:val="Caption"/>
      </w:pPr>
      <w:bookmarkStart w:id="297" w:name="_Ref132373703"/>
      <w:r>
        <w:t xml:space="preserve">Table </w:t>
      </w:r>
      <w:fldSimple w:instr=" SEQ Table \* ARABIC ">
        <w:r w:rsidR="00F30595">
          <w:rPr>
            <w:noProof/>
          </w:rPr>
          <w:t>9</w:t>
        </w:r>
      </w:fldSimple>
      <w:bookmarkEnd w:id="297"/>
      <w:r>
        <w:t xml:space="preserve"> </w:t>
      </w:r>
      <w:r w:rsidRPr="00E0216C">
        <w:t>Likelihood and consequence ratings</w:t>
      </w:r>
    </w:p>
    <w:tbl>
      <w:tblPr>
        <w:tblStyle w:val="TableGrid6"/>
        <w:tblW w:w="5000" w:type="pct"/>
        <w:tblInd w:w="0"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188"/>
        <w:gridCol w:w="2712"/>
        <w:gridCol w:w="1055"/>
        <w:gridCol w:w="5249"/>
      </w:tblGrid>
      <w:tr w:rsidR="00625F3C" w14:paraId="23E869CE" w14:textId="77777777" w:rsidTr="005E089C">
        <w:tc>
          <w:tcPr>
            <w:tcW w:w="1911" w:type="pct"/>
            <w:gridSpan w:val="2"/>
            <w:tcBorders>
              <w:top w:val="nil"/>
              <w:left w:val="nil"/>
              <w:bottom w:val="single" w:sz="4" w:space="0" w:color="BFBFBF" w:themeColor="background1" w:themeShade="BF"/>
              <w:right w:val="nil"/>
            </w:tcBorders>
            <w:shd w:val="clear" w:color="auto" w:fill="25303B" w:themeFill="accent1"/>
            <w:hideMark/>
          </w:tcPr>
          <w:p w14:paraId="2F49112F" w14:textId="77777777" w:rsidR="00625F3C" w:rsidRDefault="00625F3C">
            <w:pPr>
              <w:pStyle w:val="TableHeading"/>
              <w:rPr>
                <w:sz w:val="20"/>
              </w:rPr>
            </w:pPr>
            <w:r>
              <w:rPr>
                <w:sz w:val="20"/>
              </w:rPr>
              <w:t>Likelihood</w:t>
            </w:r>
          </w:p>
        </w:tc>
        <w:tc>
          <w:tcPr>
            <w:tcW w:w="3089" w:type="pct"/>
            <w:gridSpan w:val="2"/>
            <w:tcBorders>
              <w:top w:val="nil"/>
              <w:left w:val="nil"/>
              <w:bottom w:val="single" w:sz="4" w:space="0" w:color="BFBFBF" w:themeColor="background1" w:themeShade="BF"/>
              <w:right w:val="nil"/>
            </w:tcBorders>
            <w:shd w:val="clear" w:color="auto" w:fill="25303B" w:themeFill="accent1"/>
            <w:hideMark/>
          </w:tcPr>
          <w:p w14:paraId="212502C8" w14:textId="77777777" w:rsidR="00625F3C" w:rsidRDefault="00625F3C">
            <w:pPr>
              <w:pStyle w:val="TableHeading"/>
              <w:rPr>
                <w:sz w:val="20"/>
              </w:rPr>
            </w:pPr>
            <w:r>
              <w:rPr>
                <w:sz w:val="20"/>
              </w:rPr>
              <w:t>Consequence</w:t>
            </w:r>
          </w:p>
        </w:tc>
      </w:tr>
      <w:tr w:rsidR="00625F3C" w14:paraId="2F3248E6" w14:textId="77777777" w:rsidTr="005E089C">
        <w:tc>
          <w:tcPr>
            <w:tcW w:w="582" w:type="pct"/>
            <w:tcBorders>
              <w:top w:val="single" w:sz="4" w:space="0" w:color="BFBFBF" w:themeColor="background1" w:themeShade="BF"/>
              <w:left w:val="nil"/>
              <w:bottom w:val="single" w:sz="4" w:space="0" w:color="BFBFBF" w:themeColor="background1" w:themeShade="BF"/>
              <w:right w:val="nil"/>
            </w:tcBorders>
            <w:shd w:val="clear" w:color="auto" w:fill="B4C6E7"/>
            <w:vAlign w:val="center"/>
            <w:hideMark/>
          </w:tcPr>
          <w:p w14:paraId="262FD1B0" w14:textId="77777777" w:rsidR="00625F3C" w:rsidRDefault="00625F3C">
            <w:pPr>
              <w:pStyle w:val="TableBody"/>
              <w:jc w:val="center"/>
              <w:rPr>
                <w:b/>
                <w:bCs/>
                <w:sz w:val="20"/>
              </w:rPr>
            </w:pPr>
            <w:r>
              <w:rPr>
                <w:b/>
                <w:bCs/>
                <w:sz w:val="20"/>
              </w:rPr>
              <w:t>Low</w:t>
            </w:r>
          </w:p>
        </w:tc>
        <w:tc>
          <w:tcPr>
            <w:tcW w:w="1329" w:type="pct"/>
            <w:tcBorders>
              <w:top w:val="single" w:sz="4" w:space="0" w:color="BFBFBF" w:themeColor="background1" w:themeShade="BF"/>
              <w:left w:val="nil"/>
              <w:bottom w:val="single" w:sz="4" w:space="0" w:color="BFBFBF" w:themeColor="background1" w:themeShade="BF"/>
              <w:right w:val="nil"/>
            </w:tcBorders>
            <w:vAlign w:val="center"/>
            <w:hideMark/>
          </w:tcPr>
          <w:p w14:paraId="138C1C37" w14:textId="77777777" w:rsidR="00625F3C" w:rsidRDefault="00625F3C">
            <w:pPr>
              <w:pStyle w:val="TableBody"/>
              <w:rPr>
                <w:sz w:val="20"/>
              </w:rPr>
            </w:pPr>
            <w:r>
              <w:rPr>
                <w:sz w:val="20"/>
              </w:rPr>
              <w:t xml:space="preserve">The identified risk or challenge would be unlikely to eventuate. </w:t>
            </w:r>
          </w:p>
        </w:tc>
        <w:tc>
          <w:tcPr>
            <w:tcW w:w="517" w:type="pct"/>
            <w:tcBorders>
              <w:top w:val="single" w:sz="4" w:space="0" w:color="BFBFBF" w:themeColor="background1" w:themeShade="BF"/>
              <w:left w:val="nil"/>
              <w:bottom w:val="single" w:sz="4" w:space="0" w:color="BFBFBF" w:themeColor="background1" w:themeShade="BF"/>
              <w:right w:val="nil"/>
            </w:tcBorders>
            <w:shd w:val="clear" w:color="auto" w:fill="C5E0B3"/>
            <w:vAlign w:val="center"/>
            <w:hideMark/>
          </w:tcPr>
          <w:p w14:paraId="01232434" w14:textId="77777777" w:rsidR="00625F3C" w:rsidRDefault="00625F3C">
            <w:pPr>
              <w:pStyle w:val="TableBody"/>
              <w:jc w:val="center"/>
              <w:rPr>
                <w:b/>
                <w:bCs/>
                <w:sz w:val="20"/>
              </w:rPr>
            </w:pPr>
            <w:r>
              <w:rPr>
                <w:b/>
                <w:bCs/>
                <w:sz w:val="20"/>
              </w:rPr>
              <w:t>Minimal</w:t>
            </w:r>
          </w:p>
        </w:tc>
        <w:tc>
          <w:tcPr>
            <w:tcW w:w="2572" w:type="pct"/>
            <w:tcBorders>
              <w:top w:val="single" w:sz="4" w:space="0" w:color="BFBFBF" w:themeColor="background1" w:themeShade="BF"/>
              <w:left w:val="nil"/>
              <w:bottom w:val="single" w:sz="4" w:space="0" w:color="BFBFBF" w:themeColor="background1" w:themeShade="BF"/>
              <w:right w:val="nil"/>
            </w:tcBorders>
            <w:vAlign w:val="center"/>
            <w:hideMark/>
          </w:tcPr>
          <w:p w14:paraId="3C309789" w14:textId="77777777" w:rsidR="00625F3C" w:rsidRDefault="00625F3C">
            <w:pPr>
              <w:pStyle w:val="TableBody"/>
              <w:rPr>
                <w:sz w:val="20"/>
              </w:rPr>
            </w:pPr>
            <w:r>
              <w:rPr>
                <w:sz w:val="20"/>
              </w:rPr>
              <w:t>If the identified risk or challenge does eventuate, it would have a limited effect on the Department’s ability to implement the Safeguard Mechanism</w:t>
            </w:r>
            <w:r w:rsidR="001975EA">
              <w:rPr>
                <w:sz w:val="20"/>
              </w:rPr>
              <w:t xml:space="preserve"> reforms</w:t>
            </w:r>
            <w:r>
              <w:rPr>
                <w:sz w:val="20"/>
              </w:rPr>
              <w:t>.</w:t>
            </w:r>
          </w:p>
        </w:tc>
      </w:tr>
      <w:tr w:rsidR="00625F3C" w14:paraId="190C358B" w14:textId="77777777" w:rsidTr="005E089C">
        <w:tc>
          <w:tcPr>
            <w:tcW w:w="582" w:type="pct"/>
            <w:tcBorders>
              <w:top w:val="single" w:sz="4" w:space="0" w:color="BFBFBF" w:themeColor="background1" w:themeShade="BF"/>
              <w:left w:val="nil"/>
              <w:bottom w:val="single" w:sz="4" w:space="0" w:color="BFBFBF" w:themeColor="background1" w:themeShade="BF"/>
              <w:right w:val="nil"/>
            </w:tcBorders>
            <w:shd w:val="clear" w:color="auto" w:fill="8EAADB"/>
            <w:vAlign w:val="center"/>
            <w:hideMark/>
          </w:tcPr>
          <w:p w14:paraId="37237499" w14:textId="77777777" w:rsidR="00625F3C" w:rsidRDefault="00625F3C">
            <w:pPr>
              <w:pStyle w:val="TableBody"/>
              <w:jc w:val="center"/>
              <w:rPr>
                <w:b/>
                <w:bCs/>
                <w:sz w:val="20"/>
              </w:rPr>
            </w:pPr>
            <w:r>
              <w:rPr>
                <w:b/>
                <w:bCs/>
                <w:sz w:val="20"/>
              </w:rPr>
              <w:t>Medium</w:t>
            </w:r>
          </w:p>
        </w:tc>
        <w:tc>
          <w:tcPr>
            <w:tcW w:w="1329" w:type="pct"/>
            <w:tcBorders>
              <w:top w:val="single" w:sz="4" w:space="0" w:color="BFBFBF" w:themeColor="background1" w:themeShade="BF"/>
              <w:left w:val="nil"/>
              <w:bottom w:val="single" w:sz="4" w:space="0" w:color="BFBFBF" w:themeColor="background1" w:themeShade="BF"/>
              <w:right w:val="nil"/>
            </w:tcBorders>
            <w:vAlign w:val="center"/>
            <w:hideMark/>
          </w:tcPr>
          <w:p w14:paraId="663CF1A3" w14:textId="77777777" w:rsidR="00625F3C" w:rsidRDefault="00625F3C">
            <w:pPr>
              <w:pStyle w:val="TableBody"/>
              <w:rPr>
                <w:sz w:val="20"/>
              </w:rPr>
            </w:pPr>
            <w:r>
              <w:rPr>
                <w:sz w:val="20"/>
              </w:rPr>
              <w:t xml:space="preserve">It is reasonably possible that the identified risk or challenge would eventuate. </w:t>
            </w:r>
          </w:p>
        </w:tc>
        <w:tc>
          <w:tcPr>
            <w:tcW w:w="517" w:type="pct"/>
            <w:tcBorders>
              <w:top w:val="single" w:sz="4" w:space="0" w:color="BFBFBF" w:themeColor="background1" w:themeShade="BF"/>
              <w:left w:val="nil"/>
              <w:bottom w:val="single" w:sz="4" w:space="0" w:color="BFBFBF" w:themeColor="background1" w:themeShade="BF"/>
              <w:right w:val="nil"/>
            </w:tcBorders>
            <w:shd w:val="clear" w:color="auto" w:fill="FFE599"/>
            <w:vAlign w:val="center"/>
            <w:hideMark/>
          </w:tcPr>
          <w:p w14:paraId="4B0EF52C" w14:textId="77777777" w:rsidR="00625F3C" w:rsidRDefault="00625F3C">
            <w:pPr>
              <w:pStyle w:val="TableBody"/>
              <w:jc w:val="center"/>
              <w:rPr>
                <w:b/>
                <w:bCs/>
                <w:sz w:val="20"/>
              </w:rPr>
            </w:pPr>
            <w:r>
              <w:rPr>
                <w:b/>
                <w:bCs/>
                <w:sz w:val="20"/>
              </w:rPr>
              <w:t>Moderate</w:t>
            </w:r>
          </w:p>
        </w:tc>
        <w:tc>
          <w:tcPr>
            <w:tcW w:w="2572" w:type="pct"/>
            <w:tcBorders>
              <w:top w:val="single" w:sz="4" w:space="0" w:color="BFBFBF" w:themeColor="background1" w:themeShade="BF"/>
              <w:left w:val="nil"/>
              <w:bottom w:val="single" w:sz="4" w:space="0" w:color="BFBFBF" w:themeColor="background1" w:themeShade="BF"/>
              <w:right w:val="nil"/>
            </w:tcBorders>
            <w:vAlign w:val="center"/>
            <w:hideMark/>
          </w:tcPr>
          <w:p w14:paraId="17E07599" w14:textId="77777777" w:rsidR="00625F3C" w:rsidRDefault="00625F3C">
            <w:pPr>
              <w:pStyle w:val="TableBody"/>
              <w:rPr>
                <w:sz w:val="20"/>
              </w:rPr>
            </w:pPr>
            <w:r>
              <w:rPr>
                <w:sz w:val="20"/>
              </w:rPr>
              <w:t xml:space="preserve">If the identified risk or challenge does eventuate, it would have a substantial effect on the Department’s ability to implement </w:t>
            </w:r>
            <w:r w:rsidR="001975EA">
              <w:rPr>
                <w:sz w:val="20"/>
              </w:rPr>
              <w:t>the Safeguard Mechanism reforms.</w:t>
            </w:r>
          </w:p>
        </w:tc>
      </w:tr>
      <w:tr w:rsidR="00625F3C" w14:paraId="73A874A3" w14:textId="77777777" w:rsidTr="005E089C">
        <w:tc>
          <w:tcPr>
            <w:tcW w:w="582" w:type="pct"/>
            <w:tcBorders>
              <w:top w:val="single" w:sz="4" w:space="0" w:color="BFBFBF" w:themeColor="background1" w:themeShade="BF"/>
              <w:left w:val="nil"/>
              <w:bottom w:val="single" w:sz="4" w:space="0" w:color="BFBFBF" w:themeColor="background1" w:themeShade="BF"/>
              <w:right w:val="nil"/>
            </w:tcBorders>
            <w:shd w:val="clear" w:color="auto" w:fill="8496B0"/>
            <w:vAlign w:val="center"/>
            <w:hideMark/>
          </w:tcPr>
          <w:p w14:paraId="046EC980" w14:textId="77777777" w:rsidR="00625F3C" w:rsidRDefault="00625F3C">
            <w:pPr>
              <w:pStyle w:val="TableBody"/>
              <w:jc w:val="center"/>
              <w:rPr>
                <w:b/>
                <w:bCs/>
                <w:sz w:val="20"/>
              </w:rPr>
            </w:pPr>
            <w:r>
              <w:rPr>
                <w:b/>
                <w:bCs/>
                <w:sz w:val="20"/>
              </w:rPr>
              <w:t>High</w:t>
            </w:r>
          </w:p>
        </w:tc>
        <w:tc>
          <w:tcPr>
            <w:tcW w:w="1329" w:type="pct"/>
            <w:tcBorders>
              <w:top w:val="single" w:sz="4" w:space="0" w:color="BFBFBF" w:themeColor="background1" w:themeShade="BF"/>
              <w:left w:val="nil"/>
              <w:bottom w:val="single" w:sz="4" w:space="0" w:color="BFBFBF" w:themeColor="background1" w:themeShade="BF"/>
              <w:right w:val="nil"/>
            </w:tcBorders>
            <w:vAlign w:val="center"/>
            <w:hideMark/>
          </w:tcPr>
          <w:p w14:paraId="2934E93A" w14:textId="77777777" w:rsidR="00625F3C" w:rsidRDefault="00625F3C">
            <w:pPr>
              <w:pStyle w:val="TableBody"/>
              <w:rPr>
                <w:sz w:val="20"/>
              </w:rPr>
            </w:pPr>
            <w:r>
              <w:rPr>
                <w:sz w:val="20"/>
              </w:rPr>
              <w:t xml:space="preserve">It is likely that the identified risk or challenge would evaluate. </w:t>
            </w:r>
          </w:p>
        </w:tc>
        <w:tc>
          <w:tcPr>
            <w:tcW w:w="517" w:type="pct"/>
            <w:tcBorders>
              <w:top w:val="single" w:sz="4" w:space="0" w:color="BFBFBF" w:themeColor="background1" w:themeShade="BF"/>
              <w:left w:val="nil"/>
              <w:bottom w:val="single" w:sz="4" w:space="0" w:color="BFBFBF" w:themeColor="background1" w:themeShade="BF"/>
              <w:right w:val="nil"/>
            </w:tcBorders>
            <w:shd w:val="clear" w:color="auto" w:fill="F4B083"/>
            <w:vAlign w:val="center"/>
            <w:hideMark/>
          </w:tcPr>
          <w:p w14:paraId="6DE4129C" w14:textId="77777777" w:rsidR="00625F3C" w:rsidRDefault="00625F3C">
            <w:pPr>
              <w:pStyle w:val="TableBody"/>
              <w:jc w:val="center"/>
              <w:rPr>
                <w:b/>
                <w:bCs/>
                <w:sz w:val="20"/>
              </w:rPr>
            </w:pPr>
            <w:r>
              <w:rPr>
                <w:b/>
                <w:bCs/>
                <w:sz w:val="20"/>
              </w:rPr>
              <w:t>Severe</w:t>
            </w:r>
          </w:p>
        </w:tc>
        <w:tc>
          <w:tcPr>
            <w:tcW w:w="2572" w:type="pct"/>
            <w:tcBorders>
              <w:top w:val="single" w:sz="4" w:space="0" w:color="BFBFBF" w:themeColor="background1" w:themeShade="BF"/>
              <w:left w:val="nil"/>
              <w:bottom w:val="single" w:sz="4" w:space="0" w:color="BFBFBF" w:themeColor="background1" w:themeShade="BF"/>
              <w:right w:val="nil"/>
            </w:tcBorders>
            <w:vAlign w:val="center"/>
            <w:hideMark/>
          </w:tcPr>
          <w:p w14:paraId="61AAE1E2" w14:textId="77777777" w:rsidR="00625F3C" w:rsidRDefault="00625F3C">
            <w:pPr>
              <w:pStyle w:val="TableBody"/>
              <w:rPr>
                <w:sz w:val="20"/>
              </w:rPr>
            </w:pPr>
            <w:r>
              <w:rPr>
                <w:sz w:val="20"/>
              </w:rPr>
              <w:t xml:space="preserve">If the identified risk or challenge does eventuate, it would have a significant effect on the Department’s ability to implement </w:t>
            </w:r>
            <w:r w:rsidR="001975EA">
              <w:rPr>
                <w:sz w:val="20"/>
              </w:rPr>
              <w:t>the Safeguard Mechanism reforms.</w:t>
            </w:r>
          </w:p>
        </w:tc>
      </w:tr>
    </w:tbl>
    <w:p w14:paraId="208F93BE" w14:textId="77777777" w:rsidR="00625F3C" w:rsidRDefault="00625F3C" w:rsidP="002424F9">
      <w:pPr>
        <w:jc w:val="both"/>
      </w:pPr>
    </w:p>
    <w:p w14:paraId="3F23A3AF" w14:textId="6455D53F" w:rsidR="00625F3C" w:rsidRDefault="00A811DA" w:rsidP="00625F3C">
      <w:pPr>
        <w:pStyle w:val="Caption"/>
      </w:pPr>
      <w:bookmarkStart w:id="298" w:name="_Ref132107937"/>
      <w:bookmarkStart w:id="299" w:name="_Ref78525225"/>
      <w:bookmarkStart w:id="300" w:name="_Toc78878034"/>
      <w:bookmarkStart w:id="301" w:name="_Toc79156710"/>
      <w:bookmarkStart w:id="302" w:name="_Toc120115111"/>
      <w:bookmarkStart w:id="303" w:name="_Ref132107933"/>
      <w:r>
        <w:lastRenderedPageBreak/>
        <w:t xml:space="preserve">Table </w:t>
      </w:r>
      <w:fldSimple w:instr=" SEQ Table \* ARABIC ">
        <w:r w:rsidR="00F30595">
          <w:rPr>
            <w:noProof/>
          </w:rPr>
          <w:t>10</w:t>
        </w:r>
      </w:fldSimple>
      <w:bookmarkEnd w:id="298"/>
      <w:bookmarkEnd w:id="299"/>
      <w:r w:rsidR="00B94037">
        <w:t xml:space="preserve"> </w:t>
      </w:r>
      <w:r w:rsidR="00625F3C">
        <w:t>Challenges and risks to implementation</w:t>
      </w:r>
      <w:bookmarkEnd w:id="300"/>
      <w:bookmarkEnd w:id="301"/>
      <w:bookmarkEnd w:id="302"/>
      <w:bookmarkEnd w:id="303"/>
    </w:p>
    <w:tbl>
      <w:tblPr>
        <w:tblStyle w:val="TableGrid34"/>
        <w:tblW w:w="5000" w:type="pct"/>
        <w:tblInd w:w="0"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670"/>
        <w:gridCol w:w="1180"/>
        <w:gridCol w:w="1609"/>
        <w:gridCol w:w="4745"/>
      </w:tblGrid>
      <w:tr w:rsidR="005B3E09" w14:paraId="48E5F64C" w14:textId="77777777" w:rsidTr="001975EA">
        <w:trPr>
          <w:trHeight w:val="231"/>
          <w:tblHeader/>
        </w:trPr>
        <w:tc>
          <w:tcPr>
            <w:tcW w:w="1308" w:type="pct"/>
            <w:tcBorders>
              <w:top w:val="nil"/>
              <w:left w:val="nil"/>
              <w:bottom w:val="single" w:sz="4" w:space="0" w:color="BFBFBF" w:themeColor="background1" w:themeShade="BF"/>
              <w:right w:val="nil"/>
            </w:tcBorders>
            <w:shd w:val="clear" w:color="auto" w:fill="25303B" w:themeFill="accent1"/>
            <w:hideMark/>
          </w:tcPr>
          <w:p w14:paraId="554B4B3D" w14:textId="77777777" w:rsidR="00625F3C" w:rsidRDefault="00625F3C">
            <w:pPr>
              <w:pStyle w:val="TableHeading"/>
              <w:rPr>
                <w:sz w:val="20"/>
              </w:rPr>
            </w:pPr>
            <w:r>
              <w:rPr>
                <w:sz w:val="20"/>
              </w:rPr>
              <w:t>Challenge or risk</w:t>
            </w:r>
          </w:p>
        </w:tc>
        <w:tc>
          <w:tcPr>
            <w:tcW w:w="578" w:type="pct"/>
            <w:tcBorders>
              <w:top w:val="nil"/>
              <w:left w:val="nil"/>
              <w:bottom w:val="single" w:sz="4" w:space="0" w:color="BFBFBF" w:themeColor="background1" w:themeShade="BF"/>
              <w:right w:val="nil"/>
            </w:tcBorders>
            <w:shd w:val="clear" w:color="auto" w:fill="25303B" w:themeFill="accent1"/>
            <w:hideMark/>
          </w:tcPr>
          <w:p w14:paraId="449234C2" w14:textId="77777777" w:rsidR="00625F3C" w:rsidRDefault="00625F3C">
            <w:pPr>
              <w:pStyle w:val="TableHeading"/>
              <w:jc w:val="center"/>
              <w:rPr>
                <w:sz w:val="20"/>
              </w:rPr>
            </w:pPr>
            <w:r>
              <w:rPr>
                <w:sz w:val="20"/>
              </w:rPr>
              <w:t>Likelihood</w:t>
            </w:r>
          </w:p>
        </w:tc>
        <w:tc>
          <w:tcPr>
            <w:tcW w:w="788" w:type="pct"/>
            <w:tcBorders>
              <w:top w:val="nil"/>
              <w:left w:val="nil"/>
              <w:bottom w:val="single" w:sz="4" w:space="0" w:color="BFBFBF" w:themeColor="background1" w:themeShade="BF"/>
              <w:right w:val="nil"/>
            </w:tcBorders>
            <w:shd w:val="clear" w:color="auto" w:fill="25303B" w:themeFill="accent1"/>
            <w:hideMark/>
          </w:tcPr>
          <w:p w14:paraId="37FEC8E6" w14:textId="77777777" w:rsidR="00625F3C" w:rsidRDefault="00625F3C">
            <w:pPr>
              <w:pStyle w:val="TableHeading"/>
              <w:jc w:val="center"/>
              <w:rPr>
                <w:sz w:val="20"/>
              </w:rPr>
            </w:pPr>
            <w:r>
              <w:rPr>
                <w:sz w:val="20"/>
              </w:rPr>
              <w:t>Consequence</w:t>
            </w:r>
          </w:p>
        </w:tc>
        <w:tc>
          <w:tcPr>
            <w:tcW w:w="2325" w:type="pct"/>
            <w:tcBorders>
              <w:top w:val="nil"/>
              <w:left w:val="nil"/>
              <w:bottom w:val="single" w:sz="4" w:space="0" w:color="BFBFBF" w:themeColor="background1" w:themeShade="BF"/>
              <w:right w:val="nil"/>
            </w:tcBorders>
            <w:shd w:val="clear" w:color="auto" w:fill="25303B" w:themeFill="accent1"/>
            <w:hideMark/>
          </w:tcPr>
          <w:p w14:paraId="446DF1E7" w14:textId="77777777" w:rsidR="00625F3C" w:rsidRDefault="00625F3C">
            <w:pPr>
              <w:pStyle w:val="TableHeading"/>
              <w:rPr>
                <w:sz w:val="20"/>
              </w:rPr>
            </w:pPr>
            <w:r>
              <w:rPr>
                <w:sz w:val="20"/>
              </w:rPr>
              <w:t>Management</w:t>
            </w:r>
          </w:p>
        </w:tc>
      </w:tr>
      <w:tr w:rsidR="005B3E09" w14:paraId="7452011E" w14:textId="77777777" w:rsidTr="00144FFB">
        <w:trPr>
          <w:trHeight w:val="3245"/>
        </w:trPr>
        <w:tc>
          <w:tcPr>
            <w:tcW w:w="1308" w:type="pct"/>
            <w:tcBorders>
              <w:top w:val="single" w:sz="4" w:space="0" w:color="BFBFBF" w:themeColor="background1" w:themeShade="BF"/>
              <w:left w:val="nil"/>
              <w:bottom w:val="single" w:sz="4" w:space="0" w:color="BFBFBF" w:themeColor="background1" w:themeShade="BF"/>
              <w:right w:val="nil"/>
            </w:tcBorders>
            <w:shd w:val="clear" w:color="auto" w:fill="D1D1D1" w:themeFill="background2"/>
            <w:hideMark/>
          </w:tcPr>
          <w:p w14:paraId="3926911C" w14:textId="77777777" w:rsidR="00625F3C" w:rsidRPr="0082719C" w:rsidRDefault="00625F3C">
            <w:pPr>
              <w:pStyle w:val="TableBody"/>
              <w:rPr>
                <w:color w:val="FFFFFF"/>
                <w:sz w:val="20"/>
              </w:rPr>
            </w:pPr>
            <w:r w:rsidRPr="00004FCD">
              <w:rPr>
                <w:rFonts w:eastAsia="Calibri" w:cstheme="minorHAnsi"/>
                <w:b/>
                <w:sz w:val="20"/>
                <w:szCs w:val="20"/>
              </w:rPr>
              <w:t xml:space="preserve">Lack of awareness </w:t>
            </w:r>
            <w:r w:rsidR="001975EA" w:rsidRPr="00004FCD">
              <w:rPr>
                <w:rFonts w:eastAsia="Calibri" w:cstheme="minorHAnsi"/>
                <w:b/>
                <w:sz w:val="20"/>
                <w:szCs w:val="20"/>
              </w:rPr>
              <w:t>or understanding</w:t>
            </w:r>
            <w:r w:rsidR="001975EA" w:rsidRPr="00004FCD">
              <w:rPr>
                <w:rFonts w:eastAsia="Calibri" w:cstheme="minorHAnsi"/>
                <w:sz w:val="20"/>
                <w:szCs w:val="20"/>
              </w:rPr>
              <w:t xml:space="preserve"> </w:t>
            </w:r>
            <w:r w:rsidR="001975EA" w:rsidRPr="00004FCD">
              <w:rPr>
                <w:rFonts w:eastAsia="Calibri" w:cstheme="minorHAnsi"/>
                <w:b/>
                <w:sz w:val="20"/>
                <w:szCs w:val="20"/>
              </w:rPr>
              <w:t>by Safeguard Mechanism- covered companies</w:t>
            </w:r>
            <w:r w:rsidR="001975EA" w:rsidRPr="00004FCD">
              <w:rPr>
                <w:rFonts w:eastAsia="Calibri" w:cstheme="minorHAnsi"/>
                <w:sz w:val="20"/>
                <w:szCs w:val="20"/>
              </w:rPr>
              <w:t xml:space="preserve"> of their responsibilities under the reformed scheme</w:t>
            </w:r>
            <w:r w:rsidRPr="001975EA">
              <w:rPr>
                <w:sz w:val="20"/>
              </w:rPr>
              <w:t xml:space="preserve"> </w:t>
            </w:r>
          </w:p>
        </w:tc>
        <w:tc>
          <w:tcPr>
            <w:tcW w:w="578" w:type="pct"/>
            <w:tcBorders>
              <w:top w:val="single" w:sz="4" w:space="0" w:color="BFBFBF" w:themeColor="background1" w:themeShade="BF"/>
              <w:left w:val="nil"/>
              <w:bottom w:val="single" w:sz="4" w:space="0" w:color="BFBFBF" w:themeColor="background1" w:themeShade="BF"/>
              <w:right w:val="nil"/>
            </w:tcBorders>
            <w:shd w:val="clear" w:color="auto" w:fill="B4C6E7"/>
            <w:hideMark/>
          </w:tcPr>
          <w:p w14:paraId="1799AE4D" w14:textId="77777777" w:rsidR="00625F3C" w:rsidRPr="00004FCD" w:rsidRDefault="00625F3C">
            <w:pPr>
              <w:jc w:val="center"/>
              <w:rPr>
                <w:rFonts w:eastAsia="Calibri" w:cstheme="minorHAnsi"/>
                <w:b/>
                <w:color w:val="FFFFFF"/>
                <w:sz w:val="20"/>
                <w:szCs w:val="20"/>
              </w:rPr>
            </w:pPr>
            <w:r w:rsidRPr="00004FCD">
              <w:rPr>
                <w:rFonts w:eastAsia="Calibri" w:cstheme="minorHAnsi"/>
                <w:b/>
                <w:sz w:val="20"/>
                <w:szCs w:val="20"/>
              </w:rPr>
              <w:t>Low</w:t>
            </w:r>
          </w:p>
        </w:tc>
        <w:tc>
          <w:tcPr>
            <w:tcW w:w="788" w:type="pct"/>
            <w:tcBorders>
              <w:top w:val="single" w:sz="4" w:space="0" w:color="BFBFBF" w:themeColor="background1" w:themeShade="BF"/>
              <w:left w:val="nil"/>
              <w:bottom w:val="single" w:sz="4" w:space="0" w:color="BFBFBF" w:themeColor="background1" w:themeShade="BF"/>
              <w:right w:val="nil"/>
            </w:tcBorders>
            <w:shd w:val="clear" w:color="auto" w:fill="FFE599"/>
            <w:hideMark/>
          </w:tcPr>
          <w:p w14:paraId="7DC06C40" w14:textId="1C11412F" w:rsidR="00625F3C" w:rsidRPr="00004FCD" w:rsidRDefault="0024139D">
            <w:pPr>
              <w:jc w:val="center"/>
              <w:rPr>
                <w:rFonts w:eastAsia="Calibri" w:cstheme="minorHAnsi"/>
                <w:b/>
                <w:color w:val="FFFFFF"/>
                <w:sz w:val="20"/>
                <w:szCs w:val="20"/>
              </w:rPr>
            </w:pPr>
            <w:r>
              <w:rPr>
                <w:rFonts w:eastAsia="Calibri" w:cstheme="minorHAnsi"/>
                <w:b/>
                <w:sz w:val="20"/>
                <w:szCs w:val="20"/>
              </w:rPr>
              <w:t>Moderate</w:t>
            </w:r>
          </w:p>
        </w:tc>
        <w:tc>
          <w:tcPr>
            <w:tcW w:w="2325" w:type="pct"/>
            <w:tcBorders>
              <w:top w:val="single" w:sz="4" w:space="0" w:color="BFBFBF" w:themeColor="background1" w:themeShade="BF"/>
              <w:left w:val="nil"/>
              <w:bottom w:val="single" w:sz="4" w:space="0" w:color="BFBFBF" w:themeColor="background1" w:themeShade="BF"/>
              <w:right w:val="nil"/>
            </w:tcBorders>
            <w:shd w:val="clear" w:color="auto" w:fill="D1D1D1" w:themeFill="background2"/>
            <w:hideMark/>
          </w:tcPr>
          <w:p w14:paraId="5A05E0DD" w14:textId="77777777" w:rsidR="001E08EE" w:rsidRPr="00004FCD" w:rsidRDefault="00625F3C">
            <w:pPr>
              <w:pStyle w:val="TableBody"/>
              <w:rPr>
                <w:rFonts w:cstheme="minorHAnsi"/>
                <w:sz w:val="20"/>
                <w:szCs w:val="20"/>
              </w:rPr>
            </w:pPr>
            <w:r w:rsidRPr="00004FCD">
              <w:rPr>
                <w:rFonts w:cstheme="minorHAnsi"/>
                <w:sz w:val="20"/>
                <w:szCs w:val="20"/>
              </w:rPr>
              <w:t xml:space="preserve">The Department has </w:t>
            </w:r>
            <w:r w:rsidR="001E08EE" w:rsidRPr="00004FCD">
              <w:rPr>
                <w:rFonts w:cstheme="minorHAnsi"/>
                <w:sz w:val="20"/>
                <w:szCs w:val="20"/>
              </w:rPr>
              <w:t>hel</w:t>
            </w:r>
            <w:r w:rsidRPr="00004FCD">
              <w:rPr>
                <w:rFonts w:cstheme="minorHAnsi"/>
                <w:sz w:val="20"/>
                <w:szCs w:val="20"/>
              </w:rPr>
              <w:t xml:space="preserve">d </w:t>
            </w:r>
            <w:r w:rsidR="001E08EE" w:rsidRPr="00004FCD">
              <w:rPr>
                <w:rFonts w:cstheme="minorHAnsi"/>
                <w:sz w:val="20"/>
                <w:szCs w:val="20"/>
              </w:rPr>
              <w:t xml:space="preserve">three rounds of </w:t>
            </w:r>
            <w:r w:rsidRPr="00004FCD">
              <w:rPr>
                <w:rFonts w:cstheme="minorHAnsi"/>
                <w:sz w:val="20"/>
                <w:szCs w:val="20"/>
              </w:rPr>
              <w:t xml:space="preserve">consultation </w:t>
            </w:r>
            <w:r w:rsidR="001E08EE" w:rsidRPr="00004FCD">
              <w:rPr>
                <w:rFonts w:cstheme="minorHAnsi"/>
                <w:sz w:val="20"/>
                <w:szCs w:val="20"/>
              </w:rPr>
              <w:t>for the reforms</w:t>
            </w:r>
            <w:r w:rsidRPr="00004FCD">
              <w:rPr>
                <w:rFonts w:cstheme="minorHAnsi"/>
                <w:sz w:val="20"/>
                <w:szCs w:val="20"/>
              </w:rPr>
              <w:t>,</w:t>
            </w:r>
            <w:r w:rsidR="001E08EE" w:rsidRPr="00004FCD">
              <w:rPr>
                <w:rFonts w:cstheme="minorHAnsi"/>
                <w:sz w:val="20"/>
                <w:szCs w:val="20"/>
              </w:rPr>
              <w:t xml:space="preserve"> including roundtables with Safeguard facilities, industry peak bodies, environmental interest groups; a public webinar; and many in-person meetings between the Department and stakeholders; and a large number of submissions have been received</w:t>
            </w:r>
            <w:r w:rsidRPr="00004FCD">
              <w:rPr>
                <w:rFonts w:cstheme="minorHAnsi"/>
                <w:sz w:val="20"/>
                <w:szCs w:val="20"/>
              </w:rPr>
              <w:t xml:space="preserve">. </w:t>
            </w:r>
            <w:r w:rsidR="001E08EE" w:rsidRPr="00004FCD">
              <w:rPr>
                <w:rFonts w:cstheme="minorHAnsi"/>
                <w:sz w:val="20"/>
                <w:szCs w:val="20"/>
              </w:rPr>
              <w:t xml:space="preserve">The reforms have also received extensive media coverage. </w:t>
            </w:r>
            <w:r w:rsidRPr="00004FCD">
              <w:rPr>
                <w:rFonts w:cstheme="minorHAnsi"/>
                <w:sz w:val="20"/>
                <w:szCs w:val="20"/>
              </w:rPr>
              <w:t xml:space="preserve">Consequently, it </w:t>
            </w:r>
            <w:r w:rsidR="001E08EE" w:rsidRPr="00004FCD">
              <w:rPr>
                <w:rFonts w:cstheme="minorHAnsi"/>
                <w:sz w:val="20"/>
                <w:szCs w:val="20"/>
              </w:rPr>
              <w:t>is</w:t>
            </w:r>
            <w:r w:rsidRPr="00004FCD">
              <w:rPr>
                <w:rFonts w:cstheme="minorHAnsi"/>
                <w:sz w:val="20"/>
                <w:szCs w:val="20"/>
              </w:rPr>
              <w:t xml:space="preserve"> unlikely that any affected organisations would be unaware of the </w:t>
            </w:r>
            <w:r w:rsidR="001E08EE" w:rsidRPr="00004FCD">
              <w:rPr>
                <w:rFonts w:cstheme="minorHAnsi"/>
                <w:sz w:val="20"/>
                <w:szCs w:val="20"/>
              </w:rPr>
              <w:t>reforms</w:t>
            </w:r>
            <w:r w:rsidRPr="00004FCD">
              <w:rPr>
                <w:rFonts w:cstheme="minorHAnsi"/>
                <w:sz w:val="20"/>
                <w:szCs w:val="20"/>
              </w:rPr>
              <w:t>.</w:t>
            </w:r>
          </w:p>
          <w:p w14:paraId="2E9063D0" w14:textId="77777777" w:rsidR="00625F3C" w:rsidRPr="00004FCD" w:rsidRDefault="001E08EE">
            <w:pPr>
              <w:pStyle w:val="TableBody"/>
              <w:rPr>
                <w:rFonts w:eastAsia="MS Mincho" w:cstheme="minorHAnsi"/>
                <w:b/>
                <w:color w:val="FFFFFF"/>
                <w:sz w:val="20"/>
                <w:szCs w:val="20"/>
              </w:rPr>
            </w:pPr>
            <w:proofErr w:type="spellStart"/>
            <w:r w:rsidRPr="00004FCD">
              <w:rPr>
                <w:rFonts w:cstheme="minorHAnsi"/>
                <w:sz w:val="20"/>
                <w:szCs w:val="20"/>
              </w:rPr>
              <w:t>DCCEEW</w:t>
            </w:r>
            <w:proofErr w:type="spellEnd"/>
            <w:r w:rsidRPr="00004FCD">
              <w:rPr>
                <w:rFonts w:cstheme="minorHAnsi"/>
                <w:sz w:val="20"/>
                <w:szCs w:val="20"/>
              </w:rPr>
              <w:t xml:space="preserve"> and </w:t>
            </w:r>
            <w:proofErr w:type="spellStart"/>
            <w:r w:rsidRPr="00004FCD">
              <w:rPr>
                <w:rFonts w:cstheme="minorHAnsi"/>
                <w:sz w:val="20"/>
                <w:szCs w:val="20"/>
              </w:rPr>
              <w:t>CER</w:t>
            </w:r>
            <w:proofErr w:type="spellEnd"/>
            <w:r w:rsidRPr="00004FCD">
              <w:rPr>
                <w:rFonts w:cstheme="minorHAnsi"/>
                <w:sz w:val="20"/>
                <w:szCs w:val="20"/>
              </w:rPr>
              <w:t xml:space="preserve"> will continue to engage closely with stakeholders on an ongoing basis to </w:t>
            </w:r>
            <w:r w:rsidR="006C64E5" w:rsidRPr="00004FCD">
              <w:rPr>
                <w:rFonts w:cstheme="minorHAnsi"/>
                <w:sz w:val="20"/>
                <w:szCs w:val="20"/>
              </w:rPr>
              <w:t xml:space="preserve">try to </w:t>
            </w:r>
            <w:r w:rsidRPr="00004FCD">
              <w:rPr>
                <w:rFonts w:cstheme="minorHAnsi"/>
                <w:sz w:val="20"/>
                <w:szCs w:val="20"/>
              </w:rPr>
              <w:t xml:space="preserve">ensure </w:t>
            </w:r>
            <w:r w:rsidR="006C64E5" w:rsidRPr="00004FCD">
              <w:rPr>
                <w:rFonts w:cstheme="minorHAnsi"/>
                <w:sz w:val="20"/>
                <w:szCs w:val="20"/>
              </w:rPr>
              <w:t xml:space="preserve">impacted businesses have a </w:t>
            </w:r>
            <w:r w:rsidRPr="00004FCD">
              <w:rPr>
                <w:rFonts w:cstheme="minorHAnsi"/>
                <w:sz w:val="20"/>
                <w:szCs w:val="20"/>
              </w:rPr>
              <w:t>thorough understanding of scheme requirements.</w:t>
            </w:r>
          </w:p>
        </w:tc>
      </w:tr>
      <w:tr w:rsidR="005B3E09" w14:paraId="4C170BAB" w14:textId="77777777" w:rsidTr="001975EA">
        <w:trPr>
          <w:trHeight w:val="50"/>
        </w:trPr>
        <w:tc>
          <w:tcPr>
            <w:tcW w:w="1308" w:type="pct"/>
            <w:tcBorders>
              <w:top w:val="single" w:sz="4" w:space="0" w:color="BFBFBF" w:themeColor="background1" w:themeShade="BF"/>
              <w:left w:val="nil"/>
              <w:bottom w:val="single" w:sz="4" w:space="0" w:color="BFBFBF" w:themeColor="background1" w:themeShade="BF"/>
              <w:right w:val="nil"/>
            </w:tcBorders>
            <w:shd w:val="clear" w:color="auto" w:fill="D1D1D1" w:themeFill="background2"/>
            <w:hideMark/>
          </w:tcPr>
          <w:p w14:paraId="0901E4F2" w14:textId="744B1B11" w:rsidR="001975EA" w:rsidRDefault="001975EA" w:rsidP="000006B8">
            <w:pPr>
              <w:pStyle w:val="TableBody"/>
              <w:rPr>
                <w:b/>
                <w:bCs/>
                <w:sz w:val="20"/>
              </w:rPr>
            </w:pPr>
            <w:r w:rsidRPr="00004FCD">
              <w:rPr>
                <w:rFonts w:eastAsia="Calibri" w:cstheme="minorHAnsi"/>
                <w:b/>
                <w:sz w:val="20"/>
                <w:szCs w:val="20"/>
              </w:rPr>
              <w:t xml:space="preserve">Lack of </w:t>
            </w:r>
            <w:r w:rsidR="001E08EE" w:rsidRPr="00004FCD">
              <w:rPr>
                <w:rFonts w:eastAsia="Calibri" w:cstheme="minorHAnsi"/>
                <w:b/>
                <w:sz w:val="20"/>
                <w:szCs w:val="20"/>
              </w:rPr>
              <w:t>capacity of</w:t>
            </w:r>
            <w:r w:rsidRPr="00004FCD">
              <w:rPr>
                <w:rFonts w:eastAsia="Calibri" w:cstheme="minorHAnsi"/>
                <w:b/>
                <w:sz w:val="20"/>
                <w:szCs w:val="20"/>
              </w:rPr>
              <w:t xml:space="preserve"> Safeguard Mechanism- covered companies</w:t>
            </w:r>
            <w:r w:rsidR="001E08EE" w:rsidRPr="00004FCD">
              <w:rPr>
                <w:rFonts w:eastAsia="Calibri" w:cstheme="minorHAnsi"/>
                <w:sz w:val="20"/>
                <w:szCs w:val="20"/>
              </w:rPr>
              <w:t xml:space="preserve"> to meet</w:t>
            </w:r>
            <w:r w:rsidRPr="00004FCD">
              <w:rPr>
                <w:rFonts w:eastAsia="Calibri" w:cstheme="minorHAnsi"/>
                <w:sz w:val="20"/>
                <w:szCs w:val="20"/>
              </w:rPr>
              <w:t xml:space="preserve"> their responsibilities under the reformed scheme</w:t>
            </w:r>
          </w:p>
        </w:tc>
        <w:tc>
          <w:tcPr>
            <w:tcW w:w="578" w:type="pct"/>
            <w:tcBorders>
              <w:top w:val="single" w:sz="4" w:space="0" w:color="BFBFBF" w:themeColor="background1" w:themeShade="BF"/>
              <w:left w:val="nil"/>
              <w:bottom w:val="single" w:sz="4" w:space="0" w:color="BFBFBF" w:themeColor="background1" w:themeShade="BF"/>
              <w:right w:val="nil"/>
            </w:tcBorders>
            <w:shd w:val="clear" w:color="auto" w:fill="8EAADB"/>
            <w:hideMark/>
          </w:tcPr>
          <w:p w14:paraId="28B8D3EF" w14:textId="77777777" w:rsidR="001975EA" w:rsidRPr="00004FCD" w:rsidRDefault="001975EA" w:rsidP="001975EA">
            <w:pPr>
              <w:jc w:val="center"/>
              <w:rPr>
                <w:rFonts w:eastAsia="Calibri" w:cstheme="minorHAnsi"/>
                <w:b/>
                <w:sz w:val="20"/>
                <w:szCs w:val="20"/>
              </w:rPr>
            </w:pPr>
            <w:r w:rsidRPr="00004FCD">
              <w:rPr>
                <w:rFonts w:eastAsia="Calibri" w:cstheme="minorHAnsi"/>
                <w:b/>
                <w:sz w:val="20"/>
                <w:szCs w:val="20"/>
              </w:rPr>
              <w:t>Medium</w:t>
            </w:r>
          </w:p>
        </w:tc>
        <w:tc>
          <w:tcPr>
            <w:tcW w:w="788" w:type="pct"/>
            <w:tcBorders>
              <w:top w:val="single" w:sz="4" w:space="0" w:color="BFBFBF" w:themeColor="background1" w:themeShade="BF"/>
              <w:left w:val="nil"/>
              <w:bottom w:val="single" w:sz="4" w:space="0" w:color="BFBFBF" w:themeColor="background1" w:themeShade="BF"/>
              <w:right w:val="nil"/>
            </w:tcBorders>
            <w:shd w:val="clear" w:color="auto" w:fill="FFE599"/>
            <w:hideMark/>
          </w:tcPr>
          <w:p w14:paraId="55A73E41" w14:textId="77777777" w:rsidR="001975EA" w:rsidRPr="00004FCD" w:rsidRDefault="001975EA" w:rsidP="001975EA">
            <w:pPr>
              <w:jc w:val="center"/>
              <w:rPr>
                <w:rFonts w:eastAsia="Calibri" w:cstheme="minorHAnsi"/>
                <w:b/>
                <w:sz w:val="20"/>
                <w:szCs w:val="20"/>
              </w:rPr>
            </w:pPr>
            <w:r w:rsidRPr="00004FCD">
              <w:rPr>
                <w:rFonts w:eastAsia="Calibri" w:cstheme="minorHAnsi"/>
                <w:b/>
                <w:sz w:val="20"/>
                <w:szCs w:val="20"/>
              </w:rPr>
              <w:t>Moderate</w:t>
            </w:r>
          </w:p>
        </w:tc>
        <w:tc>
          <w:tcPr>
            <w:tcW w:w="2325" w:type="pct"/>
            <w:tcBorders>
              <w:top w:val="single" w:sz="4" w:space="0" w:color="BFBFBF" w:themeColor="background1" w:themeShade="BF"/>
              <w:left w:val="nil"/>
              <w:bottom w:val="single" w:sz="4" w:space="0" w:color="BFBFBF" w:themeColor="background1" w:themeShade="BF"/>
              <w:right w:val="nil"/>
            </w:tcBorders>
            <w:shd w:val="clear" w:color="auto" w:fill="D1D1D1" w:themeFill="background2"/>
            <w:hideMark/>
          </w:tcPr>
          <w:p w14:paraId="0C0C39EE" w14:textId="005A4B93" w:rsidR="001975EA" w:rsidRPr="00004FCD" w:rsidRDefault="006C64E5" w:rsidP="000006B8">
            <w:pPr>
              <w:pStyle w:val="TableBullet"/>
              <w:numPr>
                <w:ilvl w:val="0"/>
                <w:numId w:val="0"/>
              </w:numPr>
              <w:spacing w:before="60" w:after="60"/>
              <w:rPr>
                <w:rFonts w:eastAsia="Calibri" w:cstheme="minorHAnsi"/>
                <w:sz w:val="20"/>
                <w:szCs w:val="20"/>
              </w:rPr>
            </w:pPr>
            <w:r w:rsidRPr="00004FCD">
              <w:rPr>
                <w:rFonts w:eastAsia="Calibri" w:cstheme="minorHAnsi"/>
                <w:sz w:val="20"/>
                <w:szCs w:val="20"/>
              </w:rPr>
              <w:t xml:space="preserve">To avoid Safeguard-covered companies failing to meet their responsibilities, </w:t>
            </w:r>
            <w:proofErr w:type="spellStart"/>
            <w:r w:rsidRPr="00004FCD">
              <w:rPr>
                <w:rFonts w:cstheme="minorHAnsi"/>
                <w:sz w:val="20"/>
                <w:szCs w:val="20"/>
              </w:rPr>
              <w:t>DCCEEW</w:t>
            </w:r>
            <w:proofErr w:type="spellEnd"/>
            <w:r w:rsidRPr="00004FCD">
              <w:rPr>
                <w:rFonts w:cstheme="minorHAnsi"/>
                <w:sz w:val="20"/>
                <w:szCs w:val="20"/>
              </w:rPr>
              <w:t xml:space="preserve"> and </w:t>
            </w:r>
            <w:proofErr w:type="spellStart"/>
            <w:r w:rsidRPr="00004FCD">
              <w:rPr>
                <w:rFonts w:cstheme="minorHAnsi"/>
                <w:sz w:val="20"/>
                <w:szCs w:val="20"/>
              </w:rPr>
              <w:t>CER</w:t>
            </w:r>
            <w:proofErr w:type="spellEnd"/>
            <w:r w:rsidRPr="00004FCD">
              <w:rPr>
                <w:rFonts w:cstheme="minorHAnsi"/>
                <w:sz w:val="20"/>
                <w:szCs w:val="20"/>
              </w:rPr>
              <w:t xml:space="preserve"> will continue engaging closely to ensure impacted businesses have a thorough understanding of reformed scheme, and the potential consequences of </w:t>
            </w:r>
            <w:r w:rsidR="00645731" w:rsidRPr="00004FCD">
              <w:rPr>
                <w:rFonts w:cstheme="minorHAnsi"/>
                <w:sz w:val="20"/>
                <w:szCs w:val="20"/>
              </w:rPr>
              <w:t>a failure to comply</w:t>
            </w:r>
            <w:r w:rsidRPr="00004FCD">
              <w:rPr>
                <w:rFonts w:cstheme="minorHAnsi"/>
                <w:sz w:val="20"/>
                <w:szCs w:val="20"/>
              </w:rPr>
              <w:t xml:space="preserve">. </w:t>
            </w:r>
            <w:r w:rsidR="00645731" w:rsidRPr="00004FCD">
              <w:rPr>
                <w:rFonts w:cstheme="minorHAnsi"/>
                <w:sz w:val="20"/>
                <w:szCs w:val="20"/>
              </w:rPr>
              <w:t>K</w:t>
            </w:r>
            <w:r w:rsidRPr="00004FCD">
              <w:rPr>
                <w:rFonts w:cstheme="minorHAnsi"/>
                <w:sz w:val="20"/>
                <w:szCs w:val="20"/>
              </w:rPr>
              <w:t>eeping stakeholders well-informed</w:t>
            </w:r>
            <w:r w:rsidR="00645731" w:rsidRPr="00004FCD">
              <w:rPr>
                <w:rFonts w:cstheme="minorHAnsi"/>
                <w:sz w:val="20"/>
                <w:szCs w:val="20"/>
              </w:rPr>
              <w:t xml:space="preserve"> will enable</w:t>
            </w:r>
            <w:r w:rsidRPr="00004FCD">
              <w:rPr>
                <w:rFonts w:cstheme="minorHAnsi"/>
                <w:sz w:val="20"/>
                <w:szCs w:val="20"/>
              </w:rPr>
              <w:t xml:space="preserve"> businesses to forward plan and make the necessary investments be</w:t>
            </w:r>
            <w:r w:rsidR="00645731" w:rsidRPr="00004FCD">
              <w:rPr>
                <w:rFonts w:cstheme="minorHAnsi"/>
                <w:sz w:val="20"/>
                <w:szCs w:val="20"/>
              </w:rPr>
              <w:t>s</w:t>
            </w:r>
            <w:r w:rsidRPr="00004FCD">
              <w:rPr>
                <w:rFonts w:cstheme="minorHAnsi"/>
                <w:sz w:val="20"/>
                <w:szCs w:val="20"/>
              </w:rPr>
              <w:t>t suited to their circumstances.</w:t>
            </w:r>
            <w:r w:rsidR="0025727C">
              <w:rPr>
                <w:rFonts w:cstheme="minorHAnsi"/>
                <w:sz w:val="20"/>
                <w:szCs w:val="20"/>
              </w:rPr>
              <w:t xml:space="preserve"> </w:t>
            </w:r>
            <w:r w:rsidR="00040257">
              <w:rPr>
                <w:rFonts w:cstheme="minorHAnsi"/>
                <w:sz w:val="20"/>
                <w:szCs w:val="20"/>
              </w:rPr>
              <w:t>Tailored funding will be available including for t</w:t>
            </w:r>
            <w:r w:rsidR="0025727C" w:rsidRPr="00B2759C">
              <w:rPr>
                <w:rFonts w:cstheme="minorHAnsi"/>
                <w:sz w:val="20"/>
                <w:szCs w:val="20"/>
              </w:rPr>
              <w:t xml:space="preserve">rade-exposed facilities </w:t>
            </w:r>
            <w:r w:rsidR="00040257">
              <w:rPr>
                <w:rFonts w:cstheme="minorHAnsi"/>
                <w:sz w:val="20"/>
                <w:szCs w:val="20"/>
              </w:rPr>
              <w:t xml:space="preserve">who </w:t>
            </w:r>
            <w:r w:rsidR="0025727C" w:rsidRPr="00B2759C">
              <w:rPr>
                <w:rFonts w:cstheme="minorHAnsi"/>
                <w:sz w:val="20"/>
                <w:szCs w:val="20"/>
              </w:rPr>
              <w:t xml:space="preserve">will be eligible to access the $600 million STS within the </w:t>
            </w:r>
            <w:proofErr w:type="spellStart"/>
            <w:r w:rsidR="0025727C" w:rsidRPr="00B2759C">
              <w:rPr>
                <w:rFonts w:cstheme="minorHAnsi"/>
                <w:sz w:val="20"/>
                <w:szCs w:val="20"/>
              </w:rPr>
              <w:t>PRF</w:t>
            </w:r>
            <w:proofErr w:type="spellEnd"/>
            <w:r w:rsidR="0025727C" w:rsidRPr="00B2759C">
              <w:rPr>
                <w:rFonts w:cstheme="minorHAnsi"/>
                <w:sz w:val="20"/>
                <w:szCs w:val="20"/>
              </w:rPr>
              <w:t xml:space="preserve"> for financial support for investments to reduce scope 1 emissions. An additional $400 million stream of the </w:t>
            </w:r>
            <w:proofErr w:type="spellStart"/>
            <w:r w:rsidR="0025727C" w:rsidRPr="00B2759C">
              <w:rPr>
                <w:rFonts w:cstheme="minorHAnsi"/>
                <w:sz w:val="20"/>
                <w:szCs w:val="20"/>
              </w:rPr>
              <w:t>PRF</w:t>
            </w:r>
            <w:proofErr w:type="spellEnd"/>
            <w:r w:rsidR="0025727C" w:rsidRPr="00B2759C">
              <w:rPr>
                <w:rFonts w:cstheme="minorHAnsi"/>
                <w:sz w:val="20"/>
                <w:szCs w:val="20"/>
              </w:rPr>
              <w:t xml:space="preserve"> will be set aside to support the sovereign manufacturing capability of critical inputs to the energy transition.</w:t>
            </w:r>
            <w:r w:rsidR="00040257">
              <w:rPr>
                <w:rFonts w:cstheme="minorHAnsi"/>
                <w:sz w:val="20"/>
                <w:szCs w:val="20"/>
              </w:rPr>
              <w:t xml:space="preserve"> Lastly, the development of an Australian Carbon Exchange will support Australian industry by increasing market transparency including pricing, lowering transaction costs and reducing red tape.</w:t>
            </w:r>
            <w:r w:rsidR="00A15312">
              <w:rPr>
                <w:rFonts w:cstheme="minorHAnsi"/>
                <w:sz w:val="20"/>
                <w:szCs w:val="20"/>
              </w:rPr>
              <w:t xml:space="preserve"> A cost containment mechanism will also be available to mitigate risks of extreme price outcomes.</w:t>
            </w:r>
          </w:p>
        </w:tc>
      </w:tr>
      <w:tr w:rsidR="005B3E09" w14:paraId="0A491956" w14:textId="77777777" w:rsidTr="001975EA">
        <w:trPr>
          <w:trHeight w:val="3245"/>
        </w:trPr>
        <w:tc>
          <w:tcPr>
            <w:tcW w:w="1308" w:type="pct"/>
            <w:tcBorders>
              <w:top w:val="single" w:sz="4" w:space="0" w:color="BFBFBF" w:themeColor="background1" w:themeShade="BF"/>
              <w:left w:val="nil"/>
              <w:bottom w:val="single" w:sz="4" w:space="0" w:color="BFBFBF" w:themeColor="background1" w:themeShade="BF"/>
              <w:right w:val="nil"/>
            </w:tcBorders>
            <w:shd w:val="clear" w:color="auto" w:fill="D1D1D1" w:themeFill="background2"/>
            <w:hideMark/>
          </w:tcPr>
          <w:p w14:paraId="2B277F68" w14:textId="6D24C734" w:rsidR="00625F3C" w:rsidRPr="00004FCD" w:rsidRDefault="00625F3C" w:rsidP="000006B8">
            <w:pPr>
              <w:pStyle w:val="TableBody"/>
              <w:rPr>
                <w:rFonts w:cstheme="minorHAnsi"/>
                <w:b/>
                <w:color w:val="C00000"/>
                <w:sz w:val="20"/>
                <w:szCs w:val="20"/>
              </w:rPr>
            </w:pPr>
            <w:r w:rsidRPr="00004FCD">
              <w:rPr>
                <w:rFonts w:cstheme="minorHAnsi"/>
                <w:b/>
                <w:sz w:val="20"/>
                <w:szCs w:val="20"/>
              </w:rPr>
              <w:t xml:space="preserve">Government capability: </w:t>
            </w:r>
            <w:proofErr w:type="spellStart"/>
            <w:r w:rsidR="00832413" w:rsidRPr="00004FCD">
              <w:rPr>
                <w:rFonts w:cstheme="minorHAnsi"/>
                <w:sz w:val="20"/>
                <w:szCs w:val="20"/>
              </w:rPr>
              <w:t>DCCEEW</w:t>
            </w:r>
            <w:proofErr w:type="spellEnd"/>
            <w:r w:rsidR="00832413" w:rsidRPr="00004FCD">
              <w:rPr>
                <w:rFonts w:cstheme="minorHAnsi"/>
                <w:sz w:val="20"/>
                <w:szCs w:val="20"/>
              </w:rPr>
              <w:t xml:space="preserve"> and </w:t>
            </w:r>
            <w:proofErr w:type="spellStart"/>
            <w:r w:rsidR="00832413" w:rsidRPr="00004FCD">
              <w:rPr>
                <w:rFonts w:cstheme="minorHAnsi"/>
                <w:sz w:val="20"/>
                <w:szCs w:val="20"/>
              </w:rPr>
              <w:t>CER</w:t>
            </w:r>
            <w:proofErr w:type="spellEnd"/>
            <w:r w:rsidR="00832413" w:rsidRPr="00004FCD">
              <w:rPr>
                <w:rFonts w:cstheme="minorHAnsi"/>
                <w:b/>
                <w:sz w:val="20"/>
                <w:szCs w:val="20"/>
              </w:rPr>
              <w:t xml:space="preserve"> </w:t>
            </w:r>
            <w:r w:rsidRPr="00004FCD">
              <w:rPr>
                <w:rFonts w:cstheme="minorHAnsi"/>
                <w:sz w:val="20"/>
                <w:szCs w:val="20"/>
              </w:rPr>
              <w:t>requir</w:t>
            </w:r>
            <w:r w:rsidR="00832413" w:rsidRPr="00004FCD">
              <w:rPr>
                <w:rFonts w:cstheme="minorHAnsi"/>
                <w:sz w:val="20"/>
                <w:szCs w:val="20"/>
              </w:rPr>
              <w:t>e</w:t>
            </w:r>
            <w:r w:rsidRPr="00004FCD">
              <w:rPr>
                <w:rFonts w:cstheme="minorHAnsi"/>
                <w:sz w:val="20"/>
                <w:szCs w:val="20"/>
              </w:rPr>
              <w:t xml:space="preserve"> sufficient funding and staffing resources in order to efficiently implement the </w:t>
            </w:r>
            <w:r w:rsidR="00832413" w:rsidRPr="00004FCD">
              <w:rPr>
                <w:rFonts w:cstheme="minorHAnsi"/>
                <w:sz w:val="20"/>
                <w:szCs w:val="20"/>
              </w:rPr>
              <w:t>reforms to the Safeguard Mechanism</w:t>
            </w:r>
            <w:r w:rsidR="000006B8">
              <w:rPr>
                <w:rFonts w:cstheme="minorHAnsi"/>
                <w:sz w:val="20"/>
                <w:szCs w:val="20"/>
              </w:rPr>
              <w:t>,</w:t>
            </w:r>
            <w:r w:rsidRPr="00004FCD">
              <w:rPr>
                <w:rFonts w:cstheme="minorHAnsi"/>
                <w:sz w:val="20"/>
                <w:szCs w:val="20"/>
              </w:rPr>
              <w:t xml:space="preserve"> operate effectively as the regulator</w:t>
            </w:r>
            <w:r w:rsidR="000006B8">
              <w:rPr>
                <w:rFonts w:cstheme="minorHAnsi"/>
                <w:sz w:val="20"/>
                <w:szCs w:val="20"/>
              </w:rPr>
              <w:t xml:space="preserve"> and monitor and measure the outcomes of the reforms</w:t>
            </w:r>
            <w:r w:rsidRPr="00004FCD">
              <w:rPr>
                <w:rFonts w:cstheme="minorHAnsi"/>
                <w:sz w:val="20"/>
                <w:szCs w:val="20"/>
              </w:rPr>
              <w:t>. Insufficient funding or understaffing could impact on the effectiveness of the proposed reforms</w:t>
            </w:r>
            <w:r w:rsidR="001E0002">
              <w:rPr>
                <w:rFonts w:cstheme="minorHAnsi"/>
                <w:sz w:val="20"/>
                <w:szCs w:val="20"/>
              </w:rPr>
              <w:t xml:space="preserve">.  </w:t>
            </w:r>
            <w:r w:rsidR="000006B8">
              <w:rPr>
                <w:rFonts w:cstheme="minorHAnsi"/>
                <w:sz w:val="20"/>
                <w:szCs w:val="20"/>
              </w:rPr>
              <w:t>capacity</w:t>
            </w:r>
            <w:r w:rsidRPr="00004FCD">
              <w:rPr>
                <w:rFonts w:cstheme="minorHAnsi"/>
                <w:sz w:val="20"/>
                <w:szCs w:val="20"/>
              </w:rPr>
              <w:t>.</w:t>
            </w:r>
          </w:p>
        </w:tc>
        <w:tc>
          <w:tcPr>
            <w:tcW w:w="578" w:type="pct"/>
            <w:tcBorders>
              <w:top w:val="single" w:sz="4" w:space="0" w:color="BFBFBF" w:themeColor="background1" w:themeShade="BF"/>
              <w:left w:val="nil"/>
              <w:bottom w:val="single" w:sz="4" w:space="0" w:color="BFBFBF" w:themeColor="background1" w:themeShade="BF"/>
              <w:right w:val="nil"/>
            </w:tcBorders>
            <w:shd w:val="clear" w:color="auto" w:fill="8EAADB"/>
            <w:hideMark/>
          </w:tcPr>
          <w:p w14:paraId="254F7BEB" w14:textId="77777777" w:rsidR="00625F3C" w:rsidRPr="00004FCD" w:rsidRDefault="00625F3C">
            <w:pPr>
              <w:jc w:val="center"/>
              <w:rPr>
                <w:rFonts w:eastAsia="Calibri" w:cstheme="minorHAnsi"/>
                <w:b/>
                <w:color w:val="FFFFFF"/>
                <w:sz w:val="20"/>
                <w:szCs w:val="20"/>
              </w:rPr>
            </w:pPr>
            <w:r w:rsidRPr="00004FCD">
              <w:rPr>
                <w:rFonts w:eastAsia="Calibri" w:cstheme="minorHAnsi"/>
                <w:b/>
                <w:sz w:val="20"/>
                <w:szCs w:val="20"/>
              </w:rPr>
              <w:t>Medium</w:t>
            </w:r>
          </w:p>
        </w:tc>
        <w:tc>
          <w:tcPr>
            <w:tcW w:w="788" w:type="pct"/>
            <w:tcBorders>
              <w:top w:val="single" w:sz="4" w:space="0" w:color="BFBFBF" w:themeColor="background1" w:themeShade="BF"/>
              <w:left w:val="nil"/>
              <w:bottom w:val="single" w:sz="4" w:space="0" w:color="BFBFBF" w:themeColor="background1" w:themeShade="BF"/>
              <w:right w:val="nil"/>
            </w:tcBorders>
            <w:shd w:val="clear" w:color="auto" w:fill="F4B083"/>
            <w:hideMark/>
          </w:tcPr>
          <w:p w14:paraId="7551B69E" w14:textId="77777777" w:rsidR="00625F3C" w:rsidRPr="00004FCD" w:rsidRDefault="00625F3C">
            <w:pPr>
              <w:jc w:val="center"/>
              <w:rPr>
                <w:rFonts w:eastAsia="Calibri" w:cstheme="minorHAnsi"/>
                <w:b/>
                <w:color w:val="FFFFFF"/>
                <w:sz w:val="20"/>
                <w:szCs w:val="20"/>
              </w:rPr>
            </w:pPr>
            <w:r w:rsidRPr="00004FCD">
              <w:rPr>
                <w:rFonts w:eastAsia="Calibri" w:cstheme="minorHAnsi"/>
                <w:b/>
                <w:sz w:val="20"/>
                <w:szCs w:val="20"/>
              </w:rPr>
              <w:t>Severe</w:t>
            </w:r>
          </w:p>
        </w:tc>
        <w:tc>
          <w:tcPr>
            <w:tcW w:w="2325" w:type="pct"/>
            <w:tcBorders>
              <w:top w:val="single" w:sz="4" w:space="0" w:color="BFBFBF" w:themeColor="background1" w:themeShade="BF"/>
              <w:left w:val="nil"/>
              <w:bottom w:val="single" w:sz="4" w:space="0" w:color="BFBFBF" w:themeColor="background1" w:themeShade="BF"/>
              <w:right w:val="nil"/>
            </w:tcBorders>
            <w:shd w:val="clear" w:color="auto" w:fill="D1D1D1" w:themeFill="background2"/>
            <w:hideMark/>
          </w:tcPr>
          <w:p w14:paraId="5001C88F" w14:textId="1323CE53" w:rsidR="00DC56E5" w:rsidRDefault="007D330C" w:rsidP="00DC56E5">
            <w:pPr>
              <w:pStyle w:val="TableBody"/>
              <w:rPr>
                <w:rFonts w:cstheme="minorHAnsi"/>
                <w:sz w:val="20"/>
                <w:szCs w:val="20"/>
              </w:rPr>
            </w:pPr>
            <w:proofErr w:type="spellStart"/>
            <w:r w:rsidRPr="00004FCD">
              <w:rPr>
                <w:rFonts w:cstheme="minorHAnsi"/>
                <w:sz w:val="20"/>
                <w:szCs w:val="20"/>
              </w:rPr>
              <w:t>DCCEEW</w:t>
            </w:r>
            <w:proofErr w:type="spellEnd"/>
            <w:r w:rsidRPr="00004FCD">
              <w:rPr>
                <w:rFonts w:cstheme="minorHAnsi"/>
                <w:sz w:val="20"/>
                <w:szCs w:val="20"/>
              </w:rPr>
              <w:t xml:space="preserve"> and </w:t>
            </w:r>
            <w:proofErr w:type="spellStart"/>
            <w:r w:rsidRPr="00004FCD">
              <w:rPr>
                <w:rFonts w:cstheme="minorHAnsi"/>
                <w:sz w:val="20"/>
                <w:szCs w:val="20"/>
              </w:rPr>
              <w:t>CER</w:t>
            </w:r>
            <w:proofErr w:type="spellEnd"/>
            <w:r w:rsidRPr="00004FCD">
              <w:rPr>
                <w:rFonts w:cstheme="minorHAnsi"/>
                <w:sz w:val="20"/>
                <w:szCs w:val="20"/>
              </w:rPr>
              <w:t xml:space="preserve"> will continue appropriate human resources planning</w:t>
            </w:r>
            <w:r w:rsidR="00436723" w:rsidRPr="00004FCD">
              <w:rPr>
                <w:rFonts w:cstheme="minorHAnsi"/>
                <w:sz w:val="20"/>
                <w:szCs w:val="20"/>
              </w:rPr>
              <w:t>,</w:t>
            </w:r>
            <w:r w:rsidRPr="00004FCD">
              <w:rPr>
                <w:rFonts w:cstheme="minorHAnsi"/>
                <w:sz w:val="20"/>
                <w:szCs w:val="20"/>
              </w:rPr>
              <w:t xml:space="preserve"> recruitment and training</w:t>
            </w:r>
            <w:r w:rsidR="00436723" w:rsidRPr="00004FCD">
              <w:rPr>
                <w:rFonts w:cstheme="minorHAnsi"/>
                <w:sz w:val="20"/>
                <w:szCs w:val="20"/>
              </w:rPr>
              <w:t>,</w:t>
            </w:r>
            <w:r w:rsidR="00625F3C" w:rsidRPr="00004FCD">
              <w:rPr>
                <w:rFonts w:cstheme="minorHAnsi"/>
                <w:sz w:val="20"/>
                <w:szCs w:val="20"/>
              </w:rPr>
              <w:t xml:space="preserve"> to ensure officials engaging with industry are knowledgeable</w:t>
            </w:r>
            <w:r w:rsidRPr="00004FCD">
              <w:rPr>
                <w:rFonts w:cstheme="minorHAnsi"/>
                <w:sz w:val="20"/>
                <w:szCs w:val="20"/>
              </w:rPr>
              <w:t xml:space="preserve"> and</w:t>
            </w:r>
            <w:r w:rsidR="00625F3C" w:rsidRPr="00004FCD">
              <w:rPr>
                <w:rFonts w:cstheme="minorHAnsi"/>
                <w:sz w:val="20"/>
                <w:szCs w:val="20"/>
              </w:rPr>
              <w:t xml:space="preserve"> highly skilled </w:t>
            </w:r>
            <w:r w:rsidRPr="00004FCD">
              <w:rPr>
                <w:rFonts w:cstheme="minorHAnsi"/>
                <w:sz w:val="20"/>
                <w:szCs w:val="20"/>
              </w:rPr>
              <w:t>professionals</w:t>
            </w:r>
            <w:r w:rsidR="00DC56E5">
              <w:rPr>
                <w:rFonts w:cstheme="minorHAnsi"/>
                <w:sz w:val="20"/>
                <w:szCs w:val="20"/>
              </w:rPr>
              <w:t xml:space="preserve"> who</w:t>
            </w:r>
            <w:r w:rsidR="00625F3C" w:rsidRPr="00004FCD">
              <w:rPr>
                <w:rFonts w:cstheme="minorHAnsi"/>
                <w:sz w:val="20"/>
                <w:szCs w:val="20"/>
              </w:rPr>
              <w:t xml:space="preserve"> are able to </w:t>
            </w:r>
            <w:r w:rsidR="00DC56E5">
              <w:rPr>
                <w:rFonts w:cstheme="minorHAnsi"/>
                <w:sz w:val="20"/>
                <w:szCs w:val="20"/>
              </w:rPr>
              <w:t>undertake</w:t>
            </w:r>
            <w:r w:rsidR="00625F3C" w:rsidRPr="00004FCD">
              <w:rPr>
                <w:rFonts w:cstheme="minorHAnsi"/>
                <w:sz w:val="20"/>
                <w:szCs w:val="20"/>
              </w:rPr>
              <w:t xml:space="preserve"> the </w:t>
            </w:r>
            <w:r w:rsidR="00674DA7" w:rsidRPr="00004FCD">
              <w:rPr>
                <w:rFonts w:cstheme="minorHAnsi"/>
                <w:sz w:val="20"/>
                <w:szCs w:val="20"/>
              </w:rPr>
              <w:t xml:space="preserve">policy and </w:t>
            </w:r>
            <w:r w:rsidR="00625F3C" w:rsidRPr="00004FCD">
              <w:rPr>
                <w:rFonts w:cstheme="minorHAnsi"/>
                <w:sz w:val="20"/>
                <w:szCs w:val="20"/>
              </w:rPr>
              <w:t>regulatory role</w:t>
            </w:r>
            <w:r w:rsidR="00674DA7" w:rsidRPr="00004FCD">
              <w:rPr>
                <w:rFonts w:cstheme="minorHAnsi"/>
                <w:sz w:val="20"/>
                <w:szCs w:val="20"/>
              </w:rPr>
              <w:t>s</w:t>
            </w:r>
            <w:r w:rsidR="00DC56E5">
              <w:rPr>
                <w:rFonts w:cstheme="minorHAnsi"/>
                <w:sz w:val="20"/>
                <w:szCs w:val="20"/>
              </w:rPr>
              <w:t>, including developing and implementing:</w:t>
            </w:r>
            <w:r w:rsidR="00DC56E5" w:rsidRPr="00004FCD">
              <w:rPr>
                <w:rFonts w:cstheme="minorHAnsi"/>
                <w:sz w:val="20"/>
                <w:szCs w:val="20"/>
              </w:rPr>
              <w:t xml:space="preserve"> </w:t>
            </w:r>
          </w:p>
          <w:p w14:paraId="6F780810" w14:textId="77777777" w:rsidR="00DC56E5" w:rsidRPr="007740E1" w:rsidRDefault="00DC56E5" w:rsidP="00DC56E5">
            <w:pPr>
              <w:pStyle w:val="TableBody"/>
              <w:rPr>
                <w:rFonts w:cstheme="minorHAnsi"/>
                <w:color w:val="auto"/>
                <w:sz w:val="20"/>
                <w:szCs w:val="20"/>
              </w:rPr>
            </w:pPr>
            <w:r w:rsidRPr="007740E1">
              <w:rPr>
                <w:rFonts w:cstheme="minorHAnsi"/>
                <w:color w:val="auto"/>
                <w:sz w:val="20"/>
              </w:rPr>
              <w:t>- site-specific emissions intensity values for all facilities,</w:t>
            </w:r>
          </w:p>
          <w:p w14:paraId="6ADA4027" w14:textId="77777777" w:rsidR="00DC56E5" w:rsidRPr="007740E1" w:rsidRDefault="00DC56E5" w:rsidP="00DC56E5">
            <w:pPr>
              <w:pStyle w:val="TableBody"/>
              <w:rPr>
                <w:rFonts w:cstheme="minorHAnsi"/>
                <w:color w:val="auto"/>
                <w:sz w:val="20"/>
                <w:szCs w:val="20"/>
              </w:rPr>
            </w:pPr>
            <w:r w:rsidRPr="007740E1">
              <w:rPr>
                <w:rFonts w:cstheme="minorHAnsi"/>
                <w:color w:val="auto"/>
                <w:sz w:val="20"/>
              </w:rPr>
              <w:t xml:space="preserve">- international best-practice benchmarks, </w:t>
            </w:r>
          </w:p>
          <w:p w14:paraId="51DBF933" w14:textId="77777777" w:rsidR="00DC56E5" w:rsidRPr="007740E1" w:rsidRDefault="00DC56E5" w:rsidP="00DC56E5">
            <w:pPr>
              <w:pStyle w:val="TableBody"/>
              <w:rPr>
                <w:rFonts w:cstheme="minorHAnsi"/>
                <w:color w:val="auto"/>
                <w:sz w:val="20"/>
                <w:szCs w:val="20"/>
              </w:rPr>
            </w:pPr>
            <w:r w:rsidRPr="007740E1">
              <w:rPr>
                <w:rFonts w:cstheme="minorHAnsi"/>
                <w:color w:val="auto"/>
                <w:sz w:val="20"/>
              </w:rPr>
              <w:t>- the SMC market,</w:t>
            </w:r>
          </w:p>
          <w:p w14:paraId="7EF3FC0E" w14:textId="77777777" w:rsidR="00DC56E5" w:rsidRPr="007740E1" w:rsidRDefault="00DC56E5" w:rsidP="00DC56E5">
            <w:pPr>
              <w:pStyle w:val="TableBody"/>
              <w:rPr>
                <w:rFonts w:cstheme="minorHAnsi"/>
                <w:color w:val="auto"/>
                <w:sz w:val="20"/>
                <w:szCs w:val="20"/>
              </w:rPr>
            </w:pPr>
            <w:r w:rsidRPr="007740E1">
              <w:rPr>
                <w:rFonts w:cstheme="minorHAnsi"/>
                <w:color w:val="auto"/>
                <w:sz w:val="20"/>
              </w:rPr>
              <w:t>- banking and borrowing arrangements, along with:</w:t>
            </w:r>
          </w:p>
          <w:p w14:paraId="71199FD1" w14:textId="77777777" w:rsidR="00DC56E5" w:rsidRPr="007740E1" w:rsidRDefault="00DC56E5" w:rsidP="00DC56E5">
            <w:pPr>
              <w:pStyle w:val="TableBody"/>
              <w:rPr>
                <w:rFonts w:cstheme="minorHAnsi"/>
                <w:color w:val="auto"/>
                <w:sz w:val="20"/>
                <w:szCs w:val="20"/>
              </w:rPr>
            </w:pPr>
            <w:r w:rsidRPr="007740E1">
              <w:rPr>
                <w:rFonts w:cstheme="minorHAnsi"/>
                <w:color w:val="auto"/>
                <w:sz w:val="20"/>
              </w:rPr>
              <w:t>- ongoing auditing, monitoring, and consultation, and</w:t>
            </w:r>
          </w:p>
          <w:p w14:paraId="7F150324" w14:textId="77777777" w:rsidR="00DC56E5" w:rsidRPr="007740E1" w:rsidRDefault="00DC56E5" w:rsidP="00DC56E5">
            <w:pPr>
              <w:pStyle w:val="TableBody"/>
              <w:rPr>
                <w:rFonts w:cstheme="minorHAnsi"/>
                <w:color w:val="auto"/>
                <w:sz w:val="20"/>
                <w:szCs w:val="20"/>
              </w:rPr>
            </w:pPr>
            <w:r w:rsidRPr="007740E1">
              <w:rPr>
                <w:rFonts w:cstheme="minorHAnsi"/>
                <w:color w:val="auto"/>
                <w:sz w:val="20"/>
              </w:rPr>
              <w:t xml:space="preserve">- facility level assessments of </w:t>
            </w:r>
            <w:proofErr w:type="spellStart"/>
            <w:r w:rsidRPr="007740E1">
              <w:rPr>
                <w:rFonts w:cstheme="minorHAnsi"/>
                <w:color w:val="auto"/>
                <w:sz w:val="20"/>
              </w:rPr>
              <w:t>EITE</w:t>
            </w:r>
            <w:proofErr w:type="spellEnd"/>
            <w:r w:rsidRPr="007740E1">
              <w:rPr>
                <w:rFonts w:cstheme="minorHAnsi"/>
                <w:color w:val="auto"/>
                <w:sz w:val="20"/>
              </w:rPr>
              <w:t xml:space="preserve"> designation applications.</w:t>
            </w:r>
          </w:p>
          <w:p w14:paraId="2101636B" w14:textId="24613E22" w:rsidR="00625F3C" w:rsidRDefault="00625F3C">
            <w:pPr>
              <w:pStyle w:val="TableBody"/>
              <w:rPr>
                <w:rFonts w:cstheme="minorHAnsi"/>
                <w:sz w:val="20"/>
                <w:szCs w:val="20"/>
              </w:rPr>
            </w:pPr>
            <w:r w:rsidRPr="00004FCD">
              <w:rPr>
                <w:rFonts w:cstheme="minorHAnsi"/>
                <w:sz w:val="20"/>
                <w:szCs w:val="20"/>
              </w:rPr>
              <w:t xml:space="preserve">The staffing and funding requirements </w:t>
            </w:r>
            <w:r w:rsidR="00674DA7" w:rsidRPr="00004FCD">
              <w:rPr>
                <w:rFonts w:cstheme="minorHAnsi"/>
                <w:sz w:val="20"/>
                <w:szCs w:val="20"/>
              </w:rPr>
              <w:t>will be sought from</w:t>
            </w:r>
            <w:r w:rsidRPr="00004FCD">
              <w:rPr>
                <w:rFonts w:cstheme="minorHAnsi"/>
                <w:sz w:val="20"/>
                <w:szCs w:val="20"/>
              </w:rPr>
              <w:t xml:space="preserve"> Government </w:t>
            </w:r>
            <w:r w:rsidR="00674DA7" w:rsidRPr="00004FCD">
              <w:rPr>
                <w:rFonts w:cstheme="minorHAnsi"/>
                <w:sz w:val="20"/>
                <w:szCs w:val="20"/>
              </w:rPr>
              <w:t>in the relevant budget process</w:t>
            </w:r>
            <w:r w:rsidRPr="00004FCD">
              <w:rPr>
                <w:rFonts w:cstheme="minorHAnsi"/>
                <w:sz w:val="20"/>
                <w:szCs w:val="20"/>
              </w:rPr>
              <w:t xml:space="preserve">. </w:t>
            </w:r>
          </w:p>
          <w:p w14:paraId="41995679" w14:textId="021D73DE" w:rsidR="00CA41B8" w:rsidRPr="00004FCD" w:rsidRDefault="00CA41B8">
            <w:pPr>
              <w:pStyle w:val="TableBody"/>
              <w:rPr>
                <w:rFonts w:cstheme="minorHAnsi"/>
                <w:sz w:val="20"/>
                <w:szCs w:val="20"/>
              </w:rPr>
            </w:pPr>
            <w:r>
              <w:rPr>
                <w:rFonts w:cstheme="minorHAnsi"/>
                <w:sz w:val="20"/>
                <w:szCs w:val="20"/>
              </w:rPr>
              <w:t xml:space="preserve">Sufficient resources will be required to effectively monitor the </w:t>
            </w:r>
            <w:r w:rsidR="000006B8">
              <w:rPr>
                <w:rFonts w:cstheme="minorHAnsi"/>
                <w:sz w:val="20"/>
                <w:szCs w:val="20"/>
              </w:rPr>
              <w:t>outcomes</w:t>
            </w:r>
            <w:r>
              <w:rPr>
                <w:rFonts w:cstheme="minorHAnsi"/>
                <w:sz w:val="20"/>
                <w:szCs w:val="20"/>
              </w:rPr>
              <w:t xml:space="preserve"> of the reforms.</w:t>
            </w:r>
          </w:p>
          <w:p w14:paraId="4D4FD271" w14:textId="77777777" w:rsidR="00436723" w:rsidRPr="00004FCD" w:rsidRDefault="00436723" w:rsidP="00E131BD">
            <w:pPr>
              <w:pStyle w:val="TableBody"/>
              <w:rPr>
                <w:rFonts w:eastAsia="MS Mincho" w:cstheme="minorHAnsi"/>
                <w:b/>
                <w:color w:val="FFFFFF"/>
                <w:sz w:val="20"/>
                <w:szCs w:val="20"/>
              </w:rPr>
            </w:pPr>
          </w:p>
        </w:tc>
      </w:tr>
      <w:tr w:rsidR="005B3E09" w14:paraId="7AF7375E" w14:textId="77777777" w:rsidTr="00004FCD">
        <w:trPr>
          <w:trHeight w:val="2722"/>
        </w:trPr>
        <w:tc>
          <w:tcPr>
            <w:tcW w:w="1308" w:type="pct"/>
            <w:tcBorders>
              <w:top w:val="single" w:sz="4" w:space="0" w:color="BFBFBF" w:themeColor="background1" w:themeShade="BF"/>
              <w:left w:val="nil"/>
              <w:bottom w:val="single" w:sz="4" w:space="0" w:color="BFBFBF" w:themeColor="background1" w:themeShade="BF"/>
              <w:right w:val="nil"/>
            </w:tcBorders>
            <w:shd w:val="clear" w:color="auto" w:fill="D1D1D1" w:themeFill="background2"/>
          </w:tcPr>
          <w:p w14:paraId="315DBB61" w14:textId="2ACBC3BF" w:rsidR="00DA64D9" w:rsidRPr="00004FCD" w:rsidRDefault="00645731" w:rsidP="004C4608">
            <w:pPr>
              <w:pStyle w:val="TableBody"/>
              <w:rPr>
                <w:rFonts w:cstheme="minorHAnsi"/>
                <w:sz w:val="20"/>
                <w:szCs w:val="20"/>
              </w:rPr>
            </w:pPr>
            <w:r w:rsidRPr="00004FCD">
              <w:rPr>
                <w:rFonts w:cstheme="minorHAnsi"/>
                <w:b/>
                <w:sz w:val="20"/>
                <w:szCs w:val="20"/>
              </w:rPr>
              <w:lastRenderedPageBreak/>
              <w:t>Industry capa</w:t>
            </w:r>
            <w:r w:rsidR="00494DCD" w:rsidRPr="00004FCD">
              <w:rPr>
                <w:rFonts w:cstheme="minorHAnsi"/>
                <w:b/>
                <w:sz w:val="20"/>
                <w:szCs w:val="20"/>
              </w:rPr>
              <w:t xml:space="preserve">city </w:t>
            </w:r>
            <w:r w:rsidR="00494DCD" w:rsidRPr="00004FCD">
              <w:rPr>
                <w:rFonts w:cstheme="minorHAnsi"/>
                <w:sz w:val="20"/>
                <w:szCs w:val="20"/>
              </w:rPr>
              <w:t>r</w:t>
            </w:r>
            <w:r w:rsidR="00DA64D9" w:rsidRPr="00004FCD">
              <w:rPr>
                <w:rFonts w:cstheme="minorHAnsi"/>
                <w:sz w:val="20"/>
                <w:szCs w:val="20"/>
              </w:rPr>
              <w:t xml:space="preserve">isks </w:t>
            </w:r>
            <w:r w:rsidR="00494DCD" w:rsidRPr="00004FCD">
              <w:rPr>
                <w:rFonts w:cstheme="minorHAnsi"/>
                <w:sz w:val="20"/>
                <w:szCs w:val="20"/>
              </w:rPr>
              <w:t>to successfu</w:t>
            </w:r>
            <w:r w:rsidR="00C9793C">
              <w:rPr>
                <w:rFonts w:cstheme="minorHAnsi"/>
                <w:sz w:val="20"/>
                <w:szCs w:val="20"/>
              </w:rPr>
              <w:t>l</w:t>
            </w:r>
            <w:r w:rsidR="00494DCD" w:rsidRPr="00004FCD">
              <w:rPr>
                <w:rFonts w:cstheme="minorHAnsi"/>
                <w:sz w:val="20"/>
                <w:szCs w:val="20"/>
              </w:rPr>
              <w:t>l</w:t>
            </w:r>
            <w:r w:rsidR="00C9793C">
              <w:rPr>
                <w:rFonts w:cstheme="minorHAnsi"/>
                <w:sz w:val="20"/>
                <w:szCs w:val="20"/>
              </w:rPr>
              <w:t>y</w:t>
            </w:r>
            <w:r w:rsidR="00494DCD" w:rsidRPr="00004FCD">
              <w:rPr>
                <w:rFonts w:cstheme="minorHAnsi"/>
                <w:sz w:val="20"/>
                <w:szCs w:val="20"/>
              </w:rPr>
              <w:t xml:space="preserve"> implement the reforms </w:t>
            </w:r>
            <w:r w:rsidR="00DA64D9" w:rsidRPr="00004FCD">
              <w:rPr>
                <w:rFonts w:cstheme="minorHAnsi"/>
                <w:sz w:val="20"/>
                <w:szCs w:val="20"/>
              </w:rPr>
              <w:t>includ</w:t>
            </w:r>
            <w:r w:rsidR="00494DCD" w:rsidRPr="00004FCD">
              <w:rPr>
                <w:rFonts w:cstheme="minorHAnsi"/>
                <w:sz w:val="20"/>
                <w:szCs w:val="20"/>
              </w:rPr>
              <w:t>e, for example,</w:t>
            </w:r>
            <w:r w:rsidRPr="00004FCD">
              <w:rPr>
                <w:rFonts w:cstheme="minorHAnsi"/>
                <w:sz w:val="20"/>
                <w:szCs w:val="20"/>
              </w:rPr>
              <w:t xml:space="preserve"> insufficient availability of auditors to provide the </w:t>
            </w:r>
            <w:r w:rsidR="00DA64D9" w:rsidRPr="00004FCD">
              <w:rPr>
                <w:rFonts w:cstheme="minorHAnsi"/>
                <w:sz w:val="20"/>
                <w:szCs w:val="20"/>
              </w:rPr>
              <w:t xml:space="preserve">necessary </w:t>
            </w:r>
            <w:r w:rsidRPr="00004FCD">
              <w:rPr>
                <w:rFonts w:cstheme="minorHAnsi"/>
                <w:sz w:val="20"/>
                <w:szCs w:val="20"/>
              </w:rPr>
              <w:t xml:space="preserve">services </w:t>
            </w:r>
            <w:r w:rsidR="00DA64D9" w:rsidRPr="00004FCD">
              <w:rPr>
                <w:rFonts w:cstheme="minorHAnsi"/>
                <w:sz w:val="20"/>
                <w:szCs w:val="20"/>
              </w:rPr>
              <w:t>for site specific emissions intensity determinations</w:t>
            </w:r>
            <w:r w:rsidR="0067584C" w:rsidRPr="00004FCD">
              <w:rPr>
                <w:rFonts w:cstheme="minorHAnsi"/>
                <w:sz w:val="20"/>
                <w:szCs w:val="20"/>
              </w:rPr>
              <w:t>.</w:t>
            </w:r>
            <w:r w:rsidR="0067584C" w:rsidRPr="00004FCD">
              <w:rPr>
                <w:rFonts w:cstheme="minorHAnsi"/>
                <w:color w:val="262626" w:themeColor="text1" w:themeTint="D9"/>
                <w:sz w:val="20"/>
                <w:szCs w:val="20"/>
              </w:rPr>
              <w:t xml:space="preserve"> </w:t>
            </w:r>
          </w:p>
        </w:tc>
        <w:tc>
          <w:tcPr>
            <w:tcW w:w="578" w:type="pct"/>
            <w:tcBorders>
              <w:top w:val="single" w:sz="4" w:space="0" w:color="BFBFBF" w:themeColor="background1" w:themeShade="BF"/>
              <w:left w:val="nil"/>
              <w:bottom w:val="single" w:sz="4" w:space="0" w:color="BFBFBF" w:themeColor="background1" w:themeShade="BF"/>
              <w:right w:val="nil"/>
            </w:tcBorders>
            <w:shd w:val="clear" w:color="auto" w:fill="8EAADB"/>
          </w:tcPr>
          <w:p w14:paraId="73EA487C" w14:textId="77777777" w:rsidR="00645731" w:rsidRPr="00004FCD" w:rsidRDefault="00645731">
            <w:pPr>
              <w:jc w:val="center"/>
              <w:rPr>
                <w:rFonts w:eastAsia="Calibri" w:cstheme="minorHAnsi"/>
                <w:b/>
                <w:sz w:val="20"/>
                <w:szCs w:val="20"/>
              </w:rPr>
            </w:pPr>
            <w:r w:rsidRPr="00004FCD">
              <w:rPr>
                <w:rFonts w:eastAsia="Calibri" w:cstheme="minorHAnsi"/>
                <w:b/>
                <w:sz w:val="20"/>
                <w:szCs w:val="20"/>
              </w:rPr>
              <w:t>Medium</w:t>
            </w:r>
          </w:p>
        </w:tc>
        <w:tc>
          <w:tcPr>
            <w:tcW w:w="788" w:type="pct"/>
            <w:tcBorders>
              <w:top w:val="single" w:sz="4" w:space="0" w:color="BFBFBF" w:themeColor="background1" w:themeShade="BF"/>
              <w:left w:val="nil"/>
              <w:bottom w:val="single" w:sz="4" w:space="0" w:color="BFBFBF" w:themeColor="background1" w:themeShade="BF"/>
              <w:right w:val="nil"/>
            </w:tcBorders>
            <w:shd w:val="clear" w:color="auto" w:fill="FFDC95" w:themeFill="accent5" w:themeFillTint="66"/>
          </w:tcPr>
          <w:p w14:paraId="7DEBAB7D" w14:textId="77777777" w:rsidR="00645731" w:rsidRPr="00004FCD" w:rsidRDefault="00645731">
            <w:pPr>
              <w:jc w:val="center"/>
              <w:rPr>
                <w:rFonts w:eastAsia="Calibri" w:cstheme="minorHAnsi"/>
                <w:b/>
                <w:sz w:val="20"/>
                <w:szCs w:val="20"/>
              </w:rPr>
            </w:pPr>
            <w:r w:rsidRPr="00004FCD">
              <w:rPr>
                <w:rFonts w:eastAsia="Calibri" w:cstheme="minorHAnsi"/>
                <w:b/>
                <w:sz w:val="20"/>
                <w:szCs w:val="20"/>
              </w:rPr>
              <w:t>Moderate</w:t>
            </w:r>
          </w:p>
          <w:p w14:paraId="551ED0B9" w14:textId="77777777" w:rsidR="007B1C2F" w:rsidRPr="00004FCD" w:rsidRDefault="007B1C2F" w:rsidP="0082719C">
            <w:pPr>
              <w:rPr>
                <w:rFonts w:eastAsia="Calibri" w:cstheme="minorHAnsi"/>
                <w:sz w:val="20"/>
                <w:szCs w:val="20"/>
              </w:rPr>
            </w:pPr>
          </w:p>
        </w:tc>
        <w:tc>
          <w:tcPr>
            <w:tcW w:w="2325" w:type="pct"/>
            <w:tcBorders>
              <w:top w:val="single" w:sz="4" w:space="0" w:color="BFBFBF" w:themeColor="background1" w:themeShade="BF"/>
              <w:left w:val="nil"/>
              <w:bottom w:val="single" w:sz="4" w:space="0" w:color="BFBFBF" w:themeColor="background1" w:themeShade="BF"/>
              <w:right w:val="nil"/>
            </w:tcBorders>
            <w:shd w:val="clear" w:color="auto" w:fill="D1D1D1" w:themeFill="background2"/>
          </w:tcPr>
          <w:p w14:paraId="1A3A1BDB" w14:textId="77777777" w:rsidR="00DF5458" w:rsidRPr="00004FCD" w:rsidRDefault="00494DCD" w:rsidP="0082719C">
            <w:pPr>
              <w:rPr>
                <w:rFonts w:cstheme="minorHAnsi"/>
                <w:color w:val="262626" w:themeColor="text1" w:themeTint="D9"/>
                <w:sz w:val="20"/>
                <w:szCs w:val="20"/>
              </w:rPr>
            </w:pPr>
            <w:bookmarkStart w:id="304" w:name="_Hlk129768740"/>
            <w:r w:rsidRPr="00004FCD">
              <w:rPr>
                <w:rFonts w:cstheme="minorHAnsi"/>
                <w:color w:val="262626" w:themeColor="text1" w:themeTint="D9"/>
                <w:sz w:val="20"/>
                <w:szCs w:val="20"/>
              </w:rPr>
              <w:t xml:space="preserve">The Safeguard Mechanism Rule </w:t>
            </w:r>
            <w:r w:rsidR="00AB7F77" w:rsidRPr="00004FCD">
              <w:rPr>
                <w:rFonts w:cstheme="minorHAnsi"/>
                <w:color w:val="262626" w:themeColor="text1" w:themeTint="D9"/>
                <w:sz w:val="20"/>
                <w:szCs w:val="20"/>
              </w:rPr>
              <w:t xml:space="preserve">will be amended to avoid administrative duplication by clarifying that auditing of site-specific emissions-intensity values is not required for components of applications that have already been audited for the purposes of an </w:t>
            </w:r>
            <w:proofErr w:type="spellStart"/>
            <w:r w:rsidR="00AB7F77" w:rsidRPr="00004FCD">
              <w:rPr>
                <w:rFonts w:cstheme="minorHAnsi"/>
                <w:color w:val="262626" w:themeColor="text1" w:themeTint="D9"/>
                <w:sz w:val="20"/>
                <w:szCs w:val="20"/>
              </w:rPr>
              <w:t>NGERS</w:t>
            </w:r>
            <w:proofErr w:type="spellEnd"/>
            <w:r w:rsidR="00AB7F77" w:rsidRPr="00004FCD">
              <w:rPr>
                <w:rFonts w:cstheme="minorHAnsi"/>
                <w:color w:val="262626" w:themeColor="text1" w:themeTint="D9"/>
                <w:sz w:val="20"/>
                <w:szCs w:val="20"/>
              </w:rPr>
              <w:t xml:space="preserve"> report</w:t>
            </w:r>
            <w:r w:rsidRPr="00004FCD">
              <w:rPr>
                <w:rFonts w:cstheme="minorHAnsi"/>
                <w:color w:val="262626" w:themeColor="text1" w:themeTint="D9"/>
                <w:sz w:val="20"/>
                <w:szCs w:val="20"/>
              </w:rPr>
              <w:t>.</w:t>
            </w:r>
          </w:p>
          <w:p w14:paraId="424B6172" w14:textId="77777777" w:rsidR="00DF5458" w:rsidRPr="00004FCD" w:rsidRDefault="00DF5458" w:rsidP="0082719C">
            <w:pPr>
              <w:rPr>
                <w:rFonts w:cstheme="minorHAnsi"/>
                <w:color w:val="262626" w:themeColor="text1" w:themeTint="D9"/>
                <w:sz w:val="20"/>
                <w:szCs w:val="20"/>
              </w:rPr>
            </w:pPr>
          </w:p>
          <w:bookmarkEnd w:id="304"/>
          <w:p w14:paraId="60E637CA" w14:textId="77777777" w:rsidR="00645731" w:rsidRPr="00004FCD" w:rsidRDefault="00494DCD" w:rsidP="0082719C">
            <w:pPr>
              <w:rPr>
                <w:rFonts w:cstheme="minorHAnsi"/>
                <w:sz w:val="20"/>
                <w:szCs w:val="20"/>
              </w:rPr>
            </w:pPr>
            <w:r w:rsidRPr="00004FCD">
              <w:rPr>
                <w:rFonts w:cstheme="minorHAnsi"/>
                <w:color w:val="262626" w:themeColor="text1" w:themeTint="D9"/>
                <w:sz w:val="20"/>
                <w:szCs w:val="20"/>
              </w:rPr>
              <w:t xml:space="preserve"> </w:t>
            </w:r>
          </w:p>
        </w:tc>
      </w:tr>
    </w:tbl>
    <w:p w14:paraId="12DA7E57" w14:textId="77777777" w:rsidR="00DA7DAC" w:rsidRDefault="00DA7DAC" w:rsidP="00DA1B55">
      <w:pPr>
        <w:pStyle w:val="Heading1"/>
      </w:pPr>
      <w:bookmarkStart w:id="305" w:name="_Toc119327169"/>
      <w:bookmarkStart w:id="306" w:name="_Toc119360673"/>
      <w:bookmarkStart w:id="307" w:name="_Toc118750393"/>
      <w:bookmarkStart w:id="308" w:name="_Toc118754669"/>
      <w:bookmarkStart w:id="309" w:name="_Toc118813960"/>
      <w:r>
        <w:br w:type="page"/>
      </w:r>
    </w:p>
    <w:p w14:paraId="7913FC11" w14:textId="69A5A5E7" w:rsidR="00E01B77" w:rsidRPr="00E01B77" w:rsidRDefault="003C67D1" w:rsidP="00DA1B55">
      <w:pPr>
        <w:pStyle w:val="Heading1"/>
        <w:rPr>
          <w:sz w:val="28"/>
        </w:rPr>
      </w:pPr>
      <w:bookmarkStart w:id="310" w:name="_Toc132807572"/>
      <w:r>
        <w:lastRenderedPageBreak/>
        <w:t>Glossary</w:t>
      </w:r>
      <w:bookmarkEnd w:id="305"/>
      <w:bookmarkEnd w:id="306"/>
      <w:bookmarkEnd w:id="310"/>
      <w:r>
        <w:t xml:space="preserve"> </w:t>
      </w:r>
      <w:bookmarkEnd w:id="307"/>
      <w:bookmarkEnd w:id="308"/>
      <w:bookmarkEnd w:id="309"/>
    </w:p>
    <w:p w14:paraId="0EBA202D" w14:textId="77777777" w:rsidR="00BC7A5C" w:rsidRPr="00BC7A5C" w:rsidRDefault="00BC7A5C" w:rsidP="00BC7A5C">
      <w:pPr>
        <w:pStyle w:val="BodyText"/>
      </w:pPr>
      <w:r w:rsidRPr="00BC7A5C">
        <w:rPr>
          <w:b/>
        </w:rPr>
        <w:t>Australian carbon credit unit (</w:t>
      </w:r>
      <w:proofErr w:type="spellStart"/>
      <w:r w:rsidRPr="00BC7A5C">
        <w:rPr>
          <w:b/>
        </w:rPr>
        <w:t>ACCU</w:t>
      </w:r>
      <w:proofErr w:type="spellEnd"/>
      <w:r w:rsidRPr="00BC7A5C">
        <w:rPr>
          <w:b/>
        </w:rPr>
        <w:t>)</w:t>
      </w:r>
      <w:r w:rsidRPr="00BC7A5C">
        <w:t xml:space="preserve"> - A unit that represents one tonne of carbon dioxide equivalent (t CO</w:t>
      </w:r>
      <w:r w:rsidRPr="00BC7A5C">
        <w:rPr>
          <w:vertAlign w:val="subscript"/>
        </w:rPr>
        <w:t>2</w:t>
      </w:r>
      <w:r w:rsidRPr="00BC7A5C">
        <w:t xml:space="preserve">-e) stored or avoided by a project established under the </w:t>
      </w:r>
      <w:r w:rsidRPr="00BC7A5C">
        <w:rPr>
          <w:i/>
        </w:rPr>
        <w:t xml:space="preserve">Carbon Credits (Carbon Farming Initiative) Act </w:t>
      </w:r>
      <w:r w:rsidRPr="00BC7A5C">
        <w:t xml:space="preserve">2011. </w:t>
      </w:r>
    </w:p>
    <w:p w14:paraId="1571058A" w14:textId="77777777" w:rsidR="00BC7A5C" w:rsidRPr="00BC7A5C" w:rsidRDefault="00BC7A5C" w:rsidP="00BC7A5C">
      <w:pPr>
        <w:pStyle w:val="BodyText"/>
        <w:rPr>
          <w:b/>
        </w:rPr>
      </w:pPr>
      <w:r w:rsidRPr="00BC7A5C">
        <w:rPr>
          <w:b/>
        </w:rPr>
        <w:t xml:space="preserve">ARENA </w:t>
      </w:r>
      <w:r w:rsidRPr="00BC7A5C">
        <w:t>-</w:t>
      </w:r>
      <w:r w:rsidRPr="00BC7A5C">
        <w:rPr>
          <w:b/>
        </w:rPr>
        <w:t xml:space="preserve"> </w:t>
      </w:r>
      <w:r w:rsidRPr="00BC7A5C">
        <w:t>The Australian Renewable Energy Agency</w:t>
      </w:r>
      <w:r w:rsidR="001E03EB">
        <w:t>.</w:t>
      </w:r>
    </w:p>
    <w:p w14:paraId="2BEE3289" w14:textId="77777777" w:rsidR="00BC7A5C" w:rsidRPr="00BC7A5C" w:rsidRDefault="00BC7A5C" w:rsidP="00BC7A5C">
      <w:pPr>
        <w:pStyle w:val="BodyText"/>
      </w:pPr>
      <w:r w:rsidRPr="00BC7A5C">
        <w:rPr>
          <w:b/>
        </w:rPr>
        <w:t xml:space="preserve">Calculated baseline </w:t>
      </w:r>
      <w:r w:rsidRPr="00BC7A5C">
        <w:t>- A type of fixed Safeguard baseline that is calculated by the sum of ‘production’ multiplied by the ‘emissions-intensity of production’ for each relevant production variable nominated by the facility.  It can be calculated using either prescribed production variables and default emissions intensities or facility-specific production variables and estimated emissions intensity values, or a combination.</w:t>
      </w:r>
    </w:p>
    <w:p w14:paraId="6C157C78" w14:textId="77777777" w:rsidR="00BC7A5C" w:rsidRPr="00BC7A5C" w:rsidRDefault="00BC7A5C" w:rsidP="00BC7A5C">
      <w:pPr>
        <w:pStyle w:val="BodyText"/>
        <w:rPr>
          <w:b/>
        </w:rPr>
      </w:pPr>
      <w:r w:rsidRPr="00BC7A5C">
        <w:rPr>
          <w:b/>
        </w:rPr>
        <w:t>Carbon dioxide equivalent (CO</w:t>
      </w:r>
      <w:r w:rsidRPr="00BC7A5C">
        <w:rPr>
          <w:b/>
          <w:vertAlign w:val="subscript"/>
        </w:rPr>
        <w:t>2</w:t>
      </w:r>
      <w:r w:rsidRPr="00BC7A5C">
        <w:rPr>
          <w:b/>
        </w:rPr>
        <w:t>-e)</w:t>
      </w:r>
      <w:r w:rsidRPr="00BC7A5C">
        <w:t xml:space="preserve"> - A standard unit of emissions used to compare the emissions from different greenhouse gases on the basis of their global warming potential. </w:t>
      </w:r>
    </w:p>
    <w:p w14:paraId="0F550B79" w14:textId="77777777" w:rsidR="00BC7A5C" w:rsidRDefault="00BC7A5C" w:rsidP="00BC7A5C">
      <w:pPr>
        <w:pStyle w:val="BodyText"/>
      </w:pPr>
      <w:r w:rsidRPr="00BC7A5C">
        <w:rPr>
          <w:b/>
        </w:rPr>
        <w:t xml:space="preserve">CEFC </w:t>
      </w:r>
      <w:r w:rsidRPr="00BC7A5C">
        <w:t>- Clean Energy Finance Corporation</w:t>
      </w:r>
    </w:p>
    <w:p w14:paraId="4CA5C872" w14:textId="77777777" w:rsidR="009D0F00" w:rsidRPr="00BC7A5C" w:rsidRDefault="009D0F00" w:rsidP="00BC7A5C">
      <w:pPr>
        <w:pStyle w:val="BodyText"/>
      </w:pPr>
      <w:r w:rsidRPr="00777998">
        <w:rPr>
          <w:b/>
        </w:rPr>
        <w:t>Decline rate</w:t>
      </w:r>
      <w:r>
        <w:t xml:space="preserve"> – Rate of emissions decline</w:t>
      </w:r>
      <w:r w:rsidR="00B823D2">
        <w:t xml:space="preserve"> for a facility’s baseline</w:t>
      </w:r>
    </w:p>
    <w:p w14:paraId="0F078CB1" w14:textId="77777777" w:rsidR="00BC7A5C" w:rsidRPr="00BC7A5C" w:rsidRDefault="00BC7A5C" w:rsidP="00BC7A5C">
      <w:pPr>
        <w:pStyle w:val="BodyText"/>
        <w:rPr>
          <w:b/>
        </w:rPr>
      </w:pPr>
      <w:r w:rsidRPr="00BC7A5C">
        <w:rPr>
          <w:b/>
        </w:rPr>
        <w:t>Domestic offset</w:t>
      </w:r>
      <w:r w:rsidRPr="00BC7A5C">
        <w:t xml:space="preserve"> – Refers to an Australian carbon credit unit.</w:t>
      </w:r>
    </w:p>
    <w:p w14:paraId="2FAD1C85" w14:textId="2F94F4B4" w:rsidR="00BC7A5C" w:rsidRDefault="00BC7A5C" w:rsidP="00BC7A5C">
      <w:pPr>
        <w:pStyle w:val="BodyText"/>
      </w:pPr>
      <w:proofErr w:type="spellStart"/>
      <w:r w:rsidRPr="00BC7A5C">
        <w:rPr>
          <w:b/>
        </w:rPr>
        <w:t>EITE</w:t>
      </w:r>
      <w:proofErr w:type="spellEnd"/>
      <w:r w:rsidRPr="00BC7A5C">
        <w:t xml:space="preserve"> – </w:t>
      </w:r>
      <w:r w:rsidR="009C60CA">
        <w:t xml:space="preserve">Emissions intensive, trade exposed. </w:t>
      </w:r>
      <w:r w:rsidR="0038463E" w:rsidRPr="0038463E">
        <w:t>Safeguard facility designation based on passing trade-exposure and cost-intensity tests</w:t>
      </w:r>
      <w:r w:rsidR="001E03EB">
        <w:t>.</w:t>
      </w:r>
    </w:p>
    <w:p w14:paraId="1F2BF954" w14:textId="77777777" w:rsidR="009D0F00" w:rsidRPr="00BC7A5C" w:rsidRDefault="009D0F00" w:rsidP="00BC7A5C">
      <w:pPr>
        <w:pStyle w:val="BodyText"/>
      </w:pPr>
      <w:r w:rsidRPr="00777998">
        <w:rPr>
          <w:b/>
        </w:rPr>
        <w:t>Grandfathering</w:t>
      </w:r>
      <w:r>
        <w:t xml:space="preserve"> – </w:t>
      </w:r>
      <w:r w:rsidR="005B370B">
        <w:t>Preserving and continuing existing arrangements for facilities</w:t>
      </w:r>
      <w:r w:rsidR="001E03EB">
        <w:t>.</w:t>
      </w:r>
    </w:p>
    <w:p w14:paraId="7508CB47" w14:textId="77777777" w:rsidR="00BC7A5C" w:rsidRPr="00BC7A5C" w:rsidRDefault="00BC7A5C" w:rsidP="00BC7A5C">
      <w:pPr>
        <w:pStyle w:val="BodyText"/>
        <w:rPr>
          <w:b/>
        </w:rPr>
      </w:pPr>
      <w:r w:rsidRPr="00BC7A5C">
        <w:rPr>
          <w:b/>
        </w:rPr>
        <w:t xml:space="preserve">Headroom </w:t>
      </w:r>
      <w:r w:rsidRPr="00BC7A5C">
        <w:t>- The gap between baseline values and lower reported emissions. The term can be used both at a facility level and at an aggregated level.</w:t>
      </w:r>
    </w:p>
    <w:p w14:paraId="6D6B52BC" w14:textId="77777777" w:rsidR="00BC7A5C" w:rsidRPr="00BC7A5C" w:rsidRDefault="00BC7A5C" w:rsidP="00BC7A5C">
      <w:pPr>
        <w:pStyle w:val="BodyText"/>
      </w:pPr>
      <w:r w:rsidRPr="00BC7A5C">
        <w:rPr>
          <w:b/>
        </w:rPr>
        <w:t>Multi-year monitoring period</w:t>
      </w:r>
      <w:r w:rsidRPr="00BC7A5C">
        <w:t xml:space="preserve"> - Safeguard facilities that exceed their baseline can apply for a multi-year monitoring period. Under a multi-year monitoring period, a facility can exceed its baseline in one year, so long as average net-emissions over a 2 or 3 year period remain below the facility’s average baseline over that period.</w:t>
      </w:r>
    </w:p>
    <w:p w14:paraId="4951DE86" w14:textId="77777777" w:rsidR="00BC7A5C" w:rsidRPr="00BC7A5C" w:rsidRDefault="00BC7A5C" w:rsidP="00BC7A5C">
      <w:pPr>
        <w:pStyle w:val="BodyText"/>
        <w:rPr>
          <w:b/>
        </w:rPr>
      </w:pPr>
      <w:r w:rsidRPr="00BC7A5C">
        <w:rPr>
          <w:b/>
        </w:rPr>
        <w:t>National Reconstruction Fund (</w:t>
      </w:r>
      <w:proofErr w:type="spellStart"/>
      <w:r w:rsidRPr="00BC7A5C">
        <w:rPr>
          <w:b/>
        </w:rPr>
        <w:t>NRF</w:t>
      </w:r>
      <w:proofErr w:type="spellEnd"/>
      <w:r w:rsidRPr="00BC7A5C">
        <w:rPr>
          <w:b/>
        </w:rPr>
        <w:t xml:space="preserve">) </w:t>
      </w:r>
      <w:r w:rsidRPr="00BC7A5C">
        <w:t>- Policy announced in June 2022 to provide up to $3 billion investment to support renewables manufacturing and low emissions technologies.</w:t>
      </w:r>
    </w:p>
    <w:p w14:paraId="64D287A1" w14:textId="77777777" w:rsidR="00BC7A5C" w:rsidRPr="00BC7A5C" w:rsidRDefault="00BC7A5C" w:rsidP="00BC7A5C">
      <w:pPr>
        <w:pStyle w:val="BodyText"/>
        <w:rPr>
          <w:b/>
        </w:rPr>
      </w:pPr>
      <w:r w:rsidRPr="00BC7A5C">
        <w:rPr>
          <w:b/>
        </w:rPr>
        <w:t>Nationally Determined Contribution (</w:t>
      </w:r>
      <w:proofErr w:type="spellStart"/>
      <w:r w:rsidRPr="00BC7A5C">
        <w:rPr>
          <w:b/>
        </w:rPr>
        <w:t>NDC</w:t>
      </w:r>
      <w:proofErr w:type="spellEnd"/>
      <w:r w:rsidRPr="00BC7A5C">
        <w:rPr>
          <w:b/>
        </w:rPr>
        <w:t xml:space="preserve">) </w:t>
      </w:r>
      <w:r w:rsidRPr="00BC7A5C">
        <w:t>- Emissions reduction commitments required to be submitted under the Paris Agreement, a legally binding international treaty on climate change.</w:t>
      </w:r>
    </w:p>
    <w:p w14:paraId="7BAA1A3B" w14:textId="77777777" w:rsidR="00BC7A5C" w:rsidRPr="00BC7A5C" w:rsidRDefault="00BC7A5C" w:rsidP="00BC7A5C">
      <w:pPr>
        <w:pStyle w:val="BodyText"/>
      </w:pPr>
      <w:r w:rsidRPr="00BC7A5C">
        <w:rPr>
          <w:b/>
        </w:rPr>
        <w:t>Net emissions number</w:t>
      </w:r>
      <w:r w:rsidRPr="00BC7A5C">
        <w:t xml:space="preserve"> - The number of tonnes of carbon dioxide equivalence of the total amount of covered emissions of greenhouse gases from the operation of the facility during a specified period.</w:t>
      </w:r>
    </w:p>
    <w:p w14:paraId="47BD351B" w14:textId="77777777" w:rsidR="00BC7A5C" w:rsidRPr="00BC7A5C" w:rsidRDefault="00BC7A5C" w:rsidP="00BC7A5C">
      <w:pPr>
        <w:pStyle w:val="BodyText"/>
        <w:rPr>
          <w:b/>
        </w:rPr>
      </w:pPr>
      <w:r w:rsidRPr="00BC7A5C">
        <w:rPr>
          <w:b/>
        </w:rPr>
        <w:t xml:space="preserve">Net zero </w:t>
      </w:r>
      <w:r w:rsidRPr="00BC7A5C">
        <w:t xml:space="preserve">– Where emissions are close to zero, with any remaining emissions re-absorbed from the atmosphere through additional actions. </w:t>
      </w:r>
    </w:p>
    <w:p w14:paraId="40AB2766" w14:textId="77777777" w:rsidR="00BC7A5C" w:rsidRPr="00BC7A5C" w:rsidRDefault="00BC7A5C" w:rsidP="00BC7A5C">
      <w:pPr>
        <w:pStyle w:val="BodyText"/>
      </w:pPr>
      <w:proofErr w:type="spellStart"/>
      <w:r w:rsidRPr="00BC7A5C">
        <w:rPr>
          <w:b/>
        </w:rPr>
        <w:t>NGER</w:t>
      </w:r>
      <w:proofErr w:type="spellEnd"/>
      <w:r w:rsidRPr="00BC7A5C">
        <w:rPr>
          <w:b/>
        </w:rPr>
        <w:t xml:space="preserve"> scheme</w:t>
      </w:r>
      <w:r w:rsidRPr="00BC7A5C">
        <w:t xml:space="preserve"> - The </w:t>
      </w:r>
      <w:r w:rsidRPr="00BC7A5C">
        <w:rPr>
          <w:i/>
          <w:iCs/>
        </w:rPr>
        <w:t xml:space="preserve">National Greenhouse and Energy Reporting </w:t>
      </w:r>
      <w:r w:rsidRPr="00BC7A5C">
        <w:rPr>
          <w:i/>
        </w:rPr>
        <w:t xml:space="preserve">Scheme </w:t>
      </w:r>
      <w:r w:rsidRPr="00BC7A5C">
        <w:t xml:space="preserve">is a single national framework for reporting and disseminating company information about greenhouse gas emissions, energy production, energy consumption and other information specified under the </w:t>
      </w:r>
      <w:proofErr w:type="spellStart"/>
      <w:r w:rsidRPr="00BC7A5C">
        <w:t>NGER</w:t>
      </w:r>
      <w:proofErr w:type="spellEnd"/>
      <w:r w:rsidRPr="00BC7A5C">
        <w:t xml:space="preserve"> legislation.</w:t>
      </w:r>
    </w:p>
    <w:p w14:paraId="01133EB0" w14:textId="77777777" w:rsidR="00BC7A5C" w:rsidRPr="00BC7A5C" w:rsidRDefault="00BC7A5C" w:rsidP="00BC7A5C">
      <w:pPr>
        <w:pStyle w:val="BodyText"/>
        <w:rPr>
          <w:b/>
        </w:rPr>
      </w:pPr>
      <w:r w:rsidRPr="00BC7A5C">
        <w:rPr>
          <w:b/>
        </w:rPr>
        <w:t>Powering the Regions Fund (</w:t>
      </w:r>
      <w:proofErr w:type="spellStart"/>
      <w:r w:rsidRPr="00BC7A5C">
        <w:rPr>
          <w:b/>
        </w:rPr>
        <w:t>PRF</w:t>
      </w:r>
      <w:proofErr w:type="spellEnd"/>
      <w:r w:rsidRPr="00BC7A5C">
        <w:rPr>
          <w:b/>
        </w:rPr>
        <w:t xml:space="preserve">) </w:t>
      </w:r>
      <w:r w:rsidRPr="00BC7A5C">
        <w:t>- Policy announced in June 2022 to support the development of new clean energy industries and the decarbonisation priorities of existing industry.</w:t>
      </w:r>
    </w:p>
    <w:p w14:paraId="5A58961D" w14:textId="77777777" w:rsidR="00BC7A5C" w:rsidRPr="00BC7A5C" w:rsidRDefault="00BC7A5C" w:rsidP="00BC7A5C">
      <w:pPr>
        <w:pStyle w:val="BodyText"/>
        <w:rPr>
          <w:b/>
        </w:rPr>
      </w:pPr>
      <w:r w:rsidRPr="00BC7A5C">
        <w:rPr>
          <w:b/>
        </w:rPr>
        <w:t xml:space="preserve">Production-adjusted baseline </w:t>
      </w:r>
      <w:r w:rsidRPr="00BC7A5C">
        <w:t>- A type of Safeguard baseline that is determined based on actual production levels. A production adjusted baseline can either be a fixed baseline based on the highest year of production during the calculated or benchmark baseline period, or annually adjusting based on actual production for each year.</w:t>
      </w:r>
    </w:p>
    <w:p w14:paraId="1383CEE0" w14:textId="77777777" w:rsidR="00BC7A5C" w:rsidRPr="00BC7A5C" w:rsidRDefault="00BC7A5C" w:rsidP="00BC7A5C">
      <w:pPr>
        <w:pStyle w:val="BodyText"/>
      </w:pPr>
      <w:r w:rsidRPr="00BC7A5C">
        <w:rPr>
          <w:b/>
        </w:rPr>
        <w:lastRenderedPageBreak/>
        <w:t>Responsible Emitter</w:t>
      </w:r>
      <w:r w:rsidRPr="00BC7A5C">
        <w:t xml:space="preserve"> - The person who has operational control of a Safeguard facility and is responsible for compliance under the Safeguard Mechanism.</w:t>
      </w:r>
    </w:p>
    <w:p w14:paraId="42A41B60" w14:textId="77777777" w:rsidR="00BC7A5C" w:rsidRPr="00BC7A5C" w:rsidRDefault="00BC7A5C" w:rsidP="00BC7A5C">
      <w:pPr>
        <w:pStyle w:val="BodyText"/>
      </w:pPr>
      <w:r w:rsidRPr="00BC7A5C">
        <w:rPr>
          <w:b/>
        </w:rPr>
        <w:t xml:space="preserve">Safeguard Mechanism Credit (SMC) </w:t>
      </w:r>
      <w:r w:rsidRPr="00BC7A5C">
        <w:t>-</w:t>
      </w:r>
      <w:r w:rsidRPr="00BC7A5C">
        <w:rPr>
          <w:b/>
        </w:rPr>
        <w:t xml:space="preserve"> </w:t>
      </w:r>
      <w:r w:rsidRPr="00BC7A5C">
        <w:t>Credits proposed to be given to Safeguard facilities where that facility’s emissions are below its baseline. These credits would be used to meet Safeguard obligations or be purchased by the Government or private entities.</w:t>
      </w:r>
    </w:p>
    <w:p w14:paraId="2CBB0DF7" w14:textId="77777777" w:rsidR="00BC7A5C" w:rsidRPr="00BC7A5C" w:rsidRDefault="00BC7A5C" w:rsidP="00BC7A5C">
      <w:pPr>
        <w:pStyle w:val="BodyText"/>
      </w:pPr>
      <w:r w:rsidRPr="00BC7A5C">
        <w:rPr>
          <w:b/>
        </w:rPr>
        <w:t>Safeguard Mechanism Rule</w:t>
      </w:r>
      <w:r w:rsidRPr="00BC7A5C">
        <w:t xml:space="preserve"> - The </w:t>
      </w:r>
      <w:r w:rsidRPr="00BC7A5C">
        <w:rPr>
          <w:i/>
        </w:rPr>
        <w:t>National Greenhouse and Energy Reporting (Safeguard Mechanism) Rule 2015</w:t>
      </w:r>
      <w:r w:rsidRPr="00BC7A5C">
        <w:t>.</w:t>
      </w:r>
    </w:p>
    <w:p w14:paraId="1F137946" w14:textId="77777777" w:rsidR="00BC7A5C" w:rsidRPr="00BC7A5C" w:rsidRDefault="00BC7A5C" w:rsidP="00BC7A5C">
      <w:pPr>
        <w:pStyle w:val="BodyText"/>
      </w:pPr>
      <w:r w:rsidRPr="00BC7A5C">
        <w:rPr>
          <w:b/>
        </w:rPr>
        <w:t>Scope 1 emissions</w:t>
      </w:r>
      <w:r w:rsidRPr="00BC7A5C">
        <w:t xml:space="preserve"> - The emissions released to the atmosphere as a direct result of an activity, or series of activities at a </w:t>
      </w:r>
      <w:r w:rsidRPr="00FE5715">
        <w:t>facility level</w:t>
      </w:r>
      <w:r w:rsidRPr="00BC7A5C">
        <w:t>, sometimes called direct emissions.</w:t>
      </w:r>
    </w:p>
    <w:p w14:paraId="49204347" w14:textId="77777777" w:rsidR="00BC7A5C" w:rsidRPr="00BC7A5C" w:rsidRDefault="00BC7A5C" w:rsidP="00BC7A5C">
      <w:pPr>
        <w:pStyle w:val="BodyText"/>
      </w:pPr>
      <w:r w:rsidRPr="00BC7A5C">
        <w:rPr>
          <w:b/>
        </w:rPr>
        <w:t>Scope 2 emissions</w:t>
      </w:r>
      <w:r w:rsidRPr="00BC7A5C">
        <w:t xml:space="preserve"> - The emissions released to the atmosphere from the indirect consumption of an energy commodity, such as from the use of electricity produced by the burning of a fossil fuel in another facility, sometimes called indirect emission.</w:t>
      </w:r>
    </w:p>
    <w:p w14:paraId="75C1D441" w14:textId="77777777" w:rsidR="00B75AF0" w:rsidRDefault="00B75AF0" w:rsidP="00E52935">
      <w:pPr>
        <w:pStyle w:val="BodyText"/>
      </w:pPr>
    </w:p>
    <w:p w14:paraId="27F8BD2C" w14:textId="77777777" w:rsidR="00E01B77" w:rsidRDefault="00E01B77">
      <w:pPr>
        <w:rPr>
          <w:rFonts w:asciiTheme="majorHAnsi" w:hAnsiTheme="majorHAnsi"/>
          <w:b/>
          <w:color w:val="014463" w:themeColor="text2"/>
          <w:sz w:val="60"/>
          <w:szCs w:val="60"/>
        </w:rPr>
      </w:pPr>
      <w:r>
        <w:br w:type="page"/>
      </w:r>
    </w:p>
    <w:p w14:paraId="0C7E08B2" w14:textId="77777777" w:rsidR="00DF2185" w:rsidRDefault="00E01B77" w:rsidP="00777998">
      <w:pPr>
        <w:pStyle w:val="Heading1"/>
      </w:pPr>
      <w:bookmarkStart w:id="311" w:name="_Toc119327170"/>
      <w:bookmarkStart w:id="312" w:name="_Toc119360674"/>
      <w:bookmarkStart w:id="313" w:name="_Toc132807573"/>
      <w:r>
        <w:lastRenderedPageBreak/>
        <w:t xml:space="preserve">Appendix </w:t>
      </w:r>
      <w:r w:rsidR="00E02756">
        <w:t>A</w:t>
      </w:r>
      <w:bookmarkEnd w:id="311"/>
      <w:bookmarkEnd w:id="312"/>
      <w:bookmarkEnd w:id="313"/>
    </w:p>
    <w:p w14:paraId="5A20419F" w14:textId="77777777" w:rsidR="00DF2185" w:rsidRPr="00FE09D3" w:rsidRDefault="00297ADC">
      <w:pPr>
        <w:pStyle w:val="Heading2"/>
      </w:pPr>
      <w:bookmarkStart w:id="314" w:name="_Toc118750397"/>
      <w:bookmarkStart w:id="315" w:name="_Toc118754673"/>
      <w:bookmarkStart w:id="316" w:name="_Toc118813964"/>
      <w:bookmarkStart w:id="317" w:name="_Toc119327171"/>
      <w:bookmarkStart w:id="318" w:name="_Toc119360675"/>
      <w:bookmarkStart w:id="319" w:name="_Toc132807574"/>
      <w:r>
        <w:t>Non</w:t>
      </w:r>
      <w:r w:rsidR="00B95C46">
        <w:t>-</w:t>
      </w:r>
      <w:r>
        <w:t>confidential submissions received on Consultation Paper</w:t>
      </w:r>
      <w:bookmarkEnd w:id="314"/>
      <w:bookmarkEnd w:id="315"/>
      <w:bookmarkEnd w:id="316"/>
      <w:bookmarkEnd w:id="317"/>
      <w:bookmarkEnd w:id="318"/>
      <w:r w:rsidR="006F24D7">
        <w:rPr>
          <w:rStyle w:val="FootnoteReference"/>
        </w:rPr>
        <w:footnoteReference w:id="34"/>
      </w:r>
      <w:bookmarkEnd w:id="319"/>
    </w:p>
    <w:p w14:paraId="22824A01" w14:textId="77777777" w:rsidR="00297ADC" w:rsidRDefault="00297ADC" w:rsidP="00297ADC">
      <w:pPr>
        <w:pStyle w:val="ListParagraph"/>
        <w:numPr>
          <w:ilvl w:val="0"/>
          <w:numId w:val="41"/>
        </w:numPr>
        <w:spacing w:after="160" w:line="259" w:lineRule="auto"/>
        <w:sectPr w:rsidR="00297ADC" w:rsidSect="00753174">
          <w:pgSz w:w="11906" w:h="16838"/>
          <w:pgMar w:top="1559" w:right="851" w:bottom="1701" w:left="851" w:header="567" w:footer="57" w:gutter="0"/>
          <w:cols w:space="708"/>
          <w:docGrid w:linePitch="360"/>
        </w:sectPr>
      </w:pPr>
    </w:p>
    <w:p w14:paraId="7B5DC8A6" w14:textId="77777777" w:rsidR="00297ADC" w:rsidRDefault="00297ADC" w:rsidP="00297ADC">
      <w:pPr>
        <w:pStyle w:val="ListParagraph"/>
        <w:numPr>
          <w:ilvl w:val="0"/>
          <w:numId w:val="41"/>
        </w:numPr>
        <w:spacing w:after="160" w:line="259" w:lineRule="auto"/>
      </w:pPr>
      <w:proofErr w:type="spellStart"/>
      <w:r>
        <w:t>AGL</w:t>
      </w:r>
      <w:proofErr w:type="spellEnd"/>
      <w:r>
        <w:t xml:space="preserve"> Energy</w:t>
      </w:r>
    </w:p>
    <w:p w14:paraId="57E782A9" w14:textId="77777777" w:rsidR="00297ADC" w:rsidRDefault="00297ADC" w:rsidP="00297ADC">
      <w:pPr>
        <w:pStyle w:val="ListParagraph"/>
        <w:numPr>
          <w:ilvl w:val="0"/>
          <w:numId w:val="41"/>
        </w:numPr>
        <w:spacing w:after="160" w:line="259" w:lineRule="auto"/>
      </w:pPr>
      <w:r>
        <w:t>Ai Group</w:t>
      </w:r>
    </w:p>
    <w:p w14:paraId="678C7F0F" w14:textId="77777777" w:rsidR="00297ADC" w:rsidRDefault="00297ADC" w:rsidP="00297ADC">
      <w:pPr>
        <w:pStyle w:val="ListParagraph"/>
        <w:numPr>
          <w:ilvl w:val="0"/>
          <w:numId w:val="41"/>
        </w:numPr>
        <w:spacing w:after="160" w:line="259" w:lineRule="auto"/>
      </w:pPr>
      <w:proofErr w:type="spellStart"/>
      <w:r>
        <w:t>AIGN</w:t>
      </w:r>
      <w:proofErr w:type="spellEnd"/>
    </w:p>
    <w:p w14:paraId="13F35159" w14:textId="77777777" w:rsidR="00297ADC" w:rsidRDefault="00297ADC" w:rsidP="00297ADC">
      <w:pPr>
        <w:pStyle w:val="ListParagraph"/>
        <w:numPr>
          <w:ilvl w:val="0"/>
          <w:numId w:val="41"/>
        </w:numPr>
        <w:spacing w:after="160" w:line="259" w:lineRule="auto"/>
      </w:pPr>
      <w:r>
        <w:t>Airlines for Australia &amp; New Zealand</w:t>
      </w:r>
    </w:p>
    <w:p w14:paraId="78847036" w14:textId="77777777" w:rsidR="00297ADC" w:rsidRDefault="00297ADC" w:rsidP="00297ADC">
      <w:pPr>
        <w:pStyle w:val="ListParagraph"/>
        <w:numPr>
          <w:ilvl w:val="0"/>
          <w:numId w:val="41"/>
        </w:numPr>
        <w:spacing w:after="160" w:line="259" w:lineRule="auto"/>
      </w:pPr>
      <w:r>
        <w:t>Alcoa of Australia Limited</w:t>
      </w:r>
    </w:p>
    <w:p w14:paraId="0BD1C041" w14:textId="77777777" w:rsidR="00297ADC" w:rsidRDefault="00297ADC" w:rsidP="00297ADC">
      <w:pPr>
        <w:pStyle w:val="ListParagraph"/>
        <w:numPr>
          <w:ilvl w:val="0"/>
          <w:numId w:val="41"/>
        </w:numPr>
        <w:spacing w:after="160" w:line="259" w:lineRule="auto"/>
      </w:pPr>
      <w:r>
        <w:t>Alex Gardner</w:t>
      </w:r>
    </w:p>
    <w:p w14:paraId="08C9422D" w14:textId="77777777" w:rsidR="00297ADC" w:rsidRDefault="00297ADC" w:rsidP="00297ADC">
      <w:pPr>
        <w:pStyle w:val="ListParagraph"/>
        <w:numPr>
          <w:ilvl w:val="0"/>
          <w:numId w:val="41"/>
        </w:numPr>
        <w:spacing w:after="160" w:line="259" w:lineRule="auto"/>
      </w:pPr>
      <w:r>
        <w:t>Alinta Energy</w:t>
      </w:r>
    </w:p>
    <w:p w14:paraId="2BFC738B" w14:textId="77777777" w:rsidR="00297ADC" w:rsidRDefault="00297ADC" w:rsidP="00297ADC">
      <w:pPr>
        <w:pStyle w:val="ListParagraph"/>
        <w:numPr>
          <w:ilvl w:val="0"/>
          <w:numId w:val="41"/>
        </w:numPr>
        <w:spacing w:after="160" w:line="259" w:lineRule="auto"/>
      </w:pPr>
      <w:proofErr w:type="spellStart"/>
      <w:r>
        <w:t>Ampol</w:t>
      </w:r>
      <w:proofErr w:type="spellEnd"/>
    </w:p>
    <w:p w14:paraId="0EE96202" w14:textId="77777777" w:rsidR="00297ADC" w:rsidRDefault="00297ADC" w:rsidP="00297ADC">
      <w:pPr>
        <w:pStyle w:val="ListParagraph"/>
        <w:numPr>
          <w:ilvl w:val="0"/>
          <w:numId w:val="41"/>
        </w:numPr>
        <w:spacing w:after="160" w:line="259" w:lineRule="auto"/>
      </w:pPr>
      <w:r>
        <w:t xml:space="preserve">Andrew </w:t>
      </w:r>
      <w:proofErr w:type="spellStart"/>
      <w:r>
        <w:t>Lenart</w:t>
      </w:r>
      <w:proofErr w:type="spellEnd"/>
    </w:p>
    <w:p w14:paraId="2A619748" w14:textId="77777777" w:rsidR="00297ADC" w:rsidRDefault="00297ADC" w:rsidP="00297ADC">
      <w:pPr>
        <w:pStyle w:val="ListParagraph"/>
        <w:numPr>
          <w:ilvl w:val="0"/>
          <w:numId w:val="41"/>
        </w:numPr>
        <w:spacing w:after="160" w:line="259" w:lineRule="auto"/>
      </w:pPr>
      <w:proofErr w:type="spellStart"/>
      <w:r>
        <w:t>AngloAmerican</w:t>
      </w:r>
      <w:proofErr w:type="spellEnd"/>
    </w:p>
    <w:p w14:paraId="7CF5739A" w14:textId="77777777" w:rsidR="00297ADC" w:rsidRDefault="00297ADC" w:rsidP="00297ADC">
      <w:pPr>
        <w:pStyle w:val="ListParagraph"/>
        <w:numPr>
          <w:ilvl w:val="0"/>
          <w:numId w:val="41"/>
        </w:numPr>
        <w:spacing w:after="160" w:line="259" w:lineRule="auto"/>
      </w:pPr>
      <w:r>
        <w:t xml:space="preserve">ANU </w:t>
      </w:r>
      <w:proofErr w:type="spellStart"/>
      <w:r>
        <w:t>ICEDS</w:t>
      </w:r>
      <w:proofErr w:type="spellEnd"/>
    </w:p>
    <w:p w14:paraId="6F60E1F7" w14:textId="77777777" w:rsidR="00297ADC" w:rsidRDefault="00297ADC" w:rsidP="00297ADC">
      <w:pPr>
        <w:pStyle w:val="ListParagraph"/>
        <w:numPr>
          <w:ilvl w:val="0"/>
          <w:numId w:val="41"/>
        </w:numPr>
        <w:spacing w:after="160" w:line="259" w:lineRule="auto"/>
      </w:pPr>
      <w:r>
        <w:t>APA Group</w:t>
      </w:r>
    </w:p>
    <w:p w14:paraId="72C9A6DB" w14:textId="77777777" w:rsidR="00297ADC" w:rsidRDefault="00297ADC" w:rsidP="00297ADC">
      <w:pPr>
        <w:pStyle w:val="ListParagraph"/>
        <w:numPr>
          <w:ilvl w:val="0"/>
          <w:numId w:val="41"/>
        </w:numPr>
        <w:spacing w:after="160" w:line="259" w:lineRule="auto"/>
      </w:pPr>
      <w:proofErr w:type="spellStart"/>
      <w:r>
        <w:t>APPEA</w:t>
      </w:r>
      <w:proofErr w:type="spellEnd"/>
    </w:p>
    <w:p w14:paraId="3D130F94" w14:textId="77777777" w:rsidR="00297ADC" w:rsidRDefault="00297ADC" w:rsidP="00297ADC">
      <w:pPr>
        <w:pStyle w:val="ListParagraph"/>
        <w:numPr>
          <w:ilvl w:val="0"/>
          <w:numId w:val="41"/>
        </w:numPr>
        <w:spacing w:after="160" w:line="259" w:lineRule="auto"/>
      </w:pPr>
      <w:r>
        <w:t>Association of Mining and Exploration Companies</w:t>
      </w:r>
    </w:p>
    <w:p w14:paraId="1F496986" w14:textId="77777777" w:rsidR="00297ADC" w:rsidRDefault="00297ADC" w:rsidP="00297ADC">
      <w:pPr>
        <w:pStyle w:val="ListParagraph"/>
        <w:numPr>
          <w:ilvl w:val="0"/>
          <w:numId w:val="41"/>
        </w:numPr>
        <w:spacing w:after="160" w:line="259" w:lineRule="auto"/>
      </w:pPr>
      <w:r>
        <w:t>ATCO</w:t>
      </w:r>
    </w:p>
    <w:p w14:paraId="5E61FB77" w14:textId="77777777" w:rsidR="00297ADC" w:rsidRDefault="00297ADC" w:rsidP="00297ADC">
      <w:pPr>
        <w:pStyle w:val="ListParagraph"/>
        <w:numPr>
          <w:ilvl w:val="0"/>
          <w:numId w:val="41"/>
        </w:numPr>
        <w:spacing w:after="160" w:line="259" w:lineRule="auto"/>
      </w:pPr>
      <w:r>
        <w:t>AusNet</w:t>
      </w:r>
    </w:p>
    <w:p w14:paraId="6FF8F080" w14:textId="77777777" w:rsidR="00297ADC" w:rsidRDefault="00297ADC" w:rsidP="00297ADC">
      <w:pPr>
        <w:pStyle w:val="ListParagraph"/>
        <w:numPr>
          <w:ilvl w:val="0"/>
          <w:numId w:val="41"/>
        </w:numPr>
        <w:spacing w:after="160" w:line="259" w:lineRule="auto"/>
      </w:pPr>
      <w:r>
        <w:t>Australasian Centre for Corporate Responsibility</w:t>
      </w:r>
    </w:p>
    <w:p w14:paraId="3C2F4A66" w14:textId="77777777" w:rsidR="00297ADC" w:rsidRDefault="00297ADC" w:rsidP="00297ADC">
      <w:pPr>
        <w:pStyle w:val="ListParagraph"/>
        <w:numPr>
          <w:ilvl w:val="0"/>
          <w:numId w:val="41"/>
        </w:numPr>
        <w:spacing w:after="160" w:line="259" w:lineRule="auto"/>
      </w:pPr>
      <w:r>
        <w:t>The Australia Institute</w:t>
      </w:r>
    </w:p>
    <w:p w14:paraId="7D45F41B" w14:textId="77777777" w:rsidR="00297ADC" w:rsidRDefault="00297ADC" w:rsidP="00297ADC">
      <w:pPr>
        <w:pStyle w:val="ListParagraph"/>
        <w:numPr>
          <w:ilvl w:val="0"/>
          <w:numId w:val="41"/>
        </w:numPr>
        <w:spacing w:after="160" w:line="259" w:lineRule="auto"/>
      </w:pPr>
      <w:r>
        <w:t>Australian Academy of Technological Services and Engineering</w:t>
      </w:r>
    </w:p>
    <w:p w14:paraId="7FB2B3D4" w14:textId="77777777" w:rsidR="00297ADC" w:rsidRDefault="00297ADC" w:rsidP="00297ADC">
      <w:pPr>
        <w:pStyle w:val="ListParagraph"/>
        <w:numPr>
          <w:ilvl w:val="0"/>
          <w:numId w:val="41"/>
        </w:numPr>
        <w:spacing w:after="160" w:line="259" w:lineRule="auto"/>
      </w:pPr>
      <w:r>
        <w:t>Australian Aluminium Council</w:t>
      </w:r>
    </w:p>
    <w:p w14:paraId="05A9CE52" w14:textId="77777777" w:rsidR="00297ADC" w:rsidRDefault="00297ADC" w:rsidP="00297ADC">
      <w:pPr>
        <w:pStyle w:val="ListParagraph"/>
        <w:numPr>
          <w:ilvl w:val="0"/>
          <w:numId w:val="41"/>
        </w:numPr>
        <w:spacing w:after="160" w:line="259" w:lineRule="auto"/>
      </w:pPr>
      <w:r>
        <w:t>Australian Banking Association</w:t>
      </w:r>
    </w:p>
    <w:p w14:paraId="5E5CCE78" w14:textId="77777777" w:rsidR="00297ADC" w:rsidRDefault="00297ADC" w:rsidP="00297ADC">
      <w:pPr>
        <w:pStyle w:val="ListParagraph"/>
        <w:numPr>
          <w:ilvl w:val="0"/>
          <w:numId w:val="41"/>
        </w:numPr>
        <w:spacing w:after="160" w:line="259" w:lineRule="auto"/>
      </w:pPr>
      <w:r>
        <w:t>Australian Chamber of Commerce and Industry</w:t>
      </w:r>
    </w:p>
    <w:p w14:paraId="2969B1A7" w14:textId="77777777" w:rsidR="00297ADC" w:rsidRDefault="00297ADC" w:rsidP="00297ADC">
      <w:pPr>
        <w:pStyle w:val="ListParagraph"/>
        <w:numPr>
          <w:ilvl w:val="0"/>
          <w:numId w:val="41"/>
        </w:numPr>
        <w:spacing w:after="160" w:line="259" w:lineRule="auto"/>
      </w:pPr>
      <w:r>
        <w:t>Australian Climate and Biodiversity Foundation</w:t>
      </w:r>
    </w:p>
    <w:p w14:paraId="56D12843" w14:textId="77777777" w:rsidR="00297ADC" w:rsidRDefault="00297ADC" w:rsidP="00297ADC">
      <w:pPr>
        <w:pStyle w:val="ListParagraph"/>
        <w:numPr>
          <w:ilvl w:val="0"/>
          <w:numId w:val="41"/>
        </w:numPr>
        <w:spacing w:after="160" w:line="259" w:lineRule="auto"/>
      </w:pPr>
      <w:r>
        <w:t>Australian Council of Superannuation Investors</w:t>
      </w:r>
    </w:p>
    <w:p w14:paraId="31026EF4" w14:textId="77777777" w:rsidR="00297ADC" w:rsidRDefault="00297ADC" w:rsidP="00297ADC">
      <w:pPr>
        <w:pStyle w:val="ListParagraph"/>
        <w:numPr>
          <w:ilvl w:val="0"/>
          <w:numId w:val="41"/>
        </w:numPr>
        <w:spacing w:after="160" w:line="259" w:lineRule="auto"/>
      </w:pPr>
      <w:r>
        <w:t>Australian Council of Trade Unions</w:t>
      </w:r>
    </w:p>
    <w:p w14:paraId="45674D99" w14:textId="77777777" w:rsidR="00297ADC" w:rsidRDefault="00297ADC" w:rsidP="00297ADC">
      <w:pPr>
        <w:pStyle w:val="ListParagraph"/>
        <w:numPr>
          <w:ilvl w:val="0"/>
          <w:numId w:val="41"/>
        </w:numPr>
        <w:spacing w:after="160" w:line="259" w:lineRule="auto"/>
      </w:pPr>
      <w:r>
        <w:t>Australian Energy Council</w:t>
      </w:r>
    </w:p>
    <w:p w14:paraId="2718C0F3" w14:textId="77777777" w:rsidR="00297ADC" w:rsidRDefault="00297ADC" w:rsidP="00297ADC">
      <w:pPr>
        <w:pStyle w:val="ListParagraph"/>
        <w:numPr>
          <w:ilvl w:val="0"/>
          <w:numId w:val="41"/>
        </w:numPr>
        <w:spacing w:after="160" w:line="259" w:lineRule="auto"/>
      </w:pPr>
      <w:r>
        <w:t>Australian Financial Market Association</w:t>
      </w:r>
    </w:p>
    <w:p w14:paraId="7BAEDFFF" w14:textId="77777777" w:rsidR="00297ADC" w:rsidRDefault="00297ADC" w:rsidP="00297ADC">
      <w:pPr>
        <w:pStyle w:val="ListParagraph"/>
        <w:numPr>
          <w:ilvl w:val="0"/>
          <w:numId w:val="41"/>
        </w:numPr>
        <w:spacing w:after="160" w:line="259" w:lineRule="auto"/>
      </w:pPr>
      <w:r>
        <w:t>Australian Forest Products Association</w:t>
      </w:r>
    </w:p>
    <w:p w14:paraId="7ED442E7" w14:textId="77777777" w:rsidR="00297ADC" w:rsidRDefault="00297ADC" w:rsidP="00297ADC">
      <w:pPr>
        <w:pStyle w:val="ListParagraph"/>
        <w:numPr>
          <w:ilvl w:val="0"/>
          <w:numId w:val="41"/>
        </w:numPr>
        <w:spacing w:after="160" w:line="259" w:lineRule="auto"/>
      </w:pPr>
      <w:r>
        <w:t>Australian Gas Infrastructure Group</w:t>
      </w:r>
    </w:p>
    <w:p w14:paraId="30178F21" w14:textId="77777777" w:rsidR="00297ADC" w:rsidRDefault="00297ADC" w:rsidP="00297ADC">
      <w:pPr>
        <w:pStyle w:val="ListParagraph"/>
        <w:numPr>
          <w:ilvl w:val="0"/>
          <w:numId w:val="41"/>
        </w:numPr>
        <w:spacing w:after="160" w:line="259" w:lineRule="auto"/>
      </w:pPr>
      <w:r>
        <w:t>Australian Hydrogen Council</w:t>
      </w:r>
    </w:p>
    <w:p w14:paraId="12DABE88" w14:textId="77777777" w:rsidR="00297ADC" w:rsidRDefault="00297ADC" w:rsidP="00297ADC">
      <w:pPr>
        <w:pStyle w:val="ListParagraph"/>
        <w:numPr>
          <w:ilvl w:val="0"/>
          <w:numId w:val="41"/>
        </w:numPr>
        <w:spacing w:after="160" w:line="259" w:lineRule="auto"/>
      </w:pPr>
      <w:r>
        <w:t>Australian Institute of Petroleum</w:t>
      </w:r>
    </w:p>
    <w:p w14:paraId="6CCC1D34" w14:textId="77777777" w:rsidR="00297ADC" w:rsidRDefault="00297ADC" w:rsidP="00297ADC">
      <w:pPr>
        <w:pStyle w:val="ListParagraph"/>
        <w:numPr>
          <w:ilvl w:val="0"/>
          <w:numId w:val="41"/>
        </w:numPr>
        <w:spacing w:after="160" w:line="259" w:lineRule="auto"/>
      </w:pPr>
      <w:r>
        <w:t>Australian Landfill Owners Association</w:t>
      </w:r>
    </w:p>
    <w:p w14:paraId="6D893DC3" w14:textId="77777777" w:rsidR="00297ADC" w:rsidRDefault="00297ADC" w:rsidP="00297ADC">
      <w:pPr>
        <w:pStyle w:val="ListParagraph"/>
        <w:numPr>
          <w:ilvl w:val="0"/>
          <w:numId w:val="41"/>
        </w:numPr>
        <w:spacing w:after="160" w:line="259" w:lineRule="auto"/>
      </w:pPr>
      <w:r>
        <w:t>Australian Parents for Climate Action</w:t>
      </w:r>
    </w:p>
    <w:p w14:paraId="45135501" w14:textId="77777777" w:rsidR="00297ADC" w:rsidRDefault="00297ADC" w:rsidP="00297ADC">
      <w:pPr>
        <w:pStyle w:val="ListParagraph"/>
        <w:numPr>
          <w:ilvl w:val="0"/>
          <w:numId w:val="41"/>
        </w:numPr>
        <w:spacing w:after="160" w:line="259" w:lineRule="auto"/>
      </w:pPr>
      <w:r>
        <w:t>Australian Pipelines and Gas Association</w:t>
      </w:r>
    </w:p>
    <w:p w14:paraId="11B0E840" w14:textId="77777777" w:rsidR="00297ADC" w:rsidRDefault="00297ADC" w:rsidP="00297ADC">
      <w:pPr>
        <w:pStyle w:val="ListParagraph"/>
        <w:numPr>
          <w:ilvl w:val="0"/>
          <w:numId w:val="41"/>
        </w:numPr>
        <w:spacing w:after="160" w:line="259" w:lineRule="auto"/>
      </w:pPr>
      <w:r>
        <w:t xml:space="preserve">Australian Projections </w:t>
      </w:r>
    </w:p>
    <w:p w14:paraId="4ACA8D68" w14:textId="77777777" w:rsidR="00297ADC" w:rsidRDefault="00297ADC" w:rsidP="00297ADC">
      <w:pPr>
        <w:pStyle w:val="ListParagraph"/>
        <w:numPr>
          <w:ilvl w:val="0"/>
          <w:numId w:val="41"/>
        </w:numPr>
        <w:spacing w:after="160" w:line="259" w:lineRule="auto"/>
      </w:pPr>
      <w:r>
        <w:t>Australian Steel Institute</w:t>
      </w:r>
    </w:p>
    <w:p w14:paraId="579FA46C" w14:textId="77777777" w:rsidR="00297ADC" w:rsidRDefault="00297ADC" w:rsidP="00297ADC">
      <w:pPr>
        <w:pStyle w:val="ListParagraph"/>
        <w:numPr>
          <w:ilvl w:val="0"/>
          <w:numId w:val="41"/>
        </w:numPr>
        <w:spacing w:after="160" w:line="259" w:lineRule="auto"/>
      </w:pPr>
      <w:r>
        <w:t>Australian Workers Union</w:t>
      </w:r>
    </w:p>
    <w:p w14:paraId="2273B4AE" w14:textId="77777777" w:rsidR="00297ADC" w:rsidRDefault="00297ADC" w:rsidP="00297ADC">
      <w:pPr>
        <w:pStyle w:val="ListParagraph"/>
        <w:numPr>
          <w:ilvl w:val="0"/>
          <w:numId w:val="41"/>
        </w:numPr>
        <w:spacing w:after="160" w:line="259" w:lineRule="auto"/>
      </w:pPr>
      <w:r>
        <w:t>Ben Ewald</w:t>
      </w:r>
    </w:p>
    <w:p w14:paraId="4BE72AD6" w14:textId="77777777" w:rsidR="00297ADC" w:rsidRDefault="00297ADC" w:rsidP="00297ADC">
      <w:pPr>
        <w:pStyle w:val="ListParagraph"/>
        <w:numPr>
          <w:ilvl w:val="0"/>
          <w:numId w:val="41"/>
        </w:numPr>
        <w:spacing w:after="160" w:line="259" w:lineRule="auto"/>
      </w:pPr>
      <w:r>
        <w:t>Beyond Gas Network</w:t>
      </w:r>
    </w:p>
    <w:p w14:paraId="7E633359" w14:textId="77777777" w:rsidR="00297ADC" w:rsidRDefault="00297ADC" w:rsidP="00297ADC">
      <w:pPr>
        <w:pStyle w:val="ListParagraph"/>
        <w:numPr>
          <w:ilvl w:val="0"/>
          <w:numId w:val="41"/>
        </w:numPr>
        <w:spacing w:after="160" w:line="259" w:lineRule="auto"/>
      </w:pPr>
      <w:proofErr w:type="spellStart"/>
      <w:r>
        <w:t>BG&amp;E</w:t>
      </w:r>
      <w:proofErr w:type="spellEnd"/>
      <w:r>
        <w:t xml:space="preserve"> Resources</w:t>
      </w:r>
    </w:p>
    <w:p w14:paraId="3EB5D4D8" w14:textId="77777777" w:rsidR="00297ADC" w:rsidRDefault="00297ADC" w:rsidP="00297ADC">
      <w:pPr>
        <w:pStyle w:val="ListParagraph"/>
        <w:numPr>
          <w:ilvl w:val="0"/>
          <w:numId w:val="41"/>
        </w:numPr>
        <w:spacing w:after="160" w:line="259" w:lineRule="auto"/>
      </w:pPr>
      <w:r>
        <w:t>BHP</w:t>
      </w:r>
    </w:p>
    <w:p w14:paraId="60B33184" w14:textId="77777777" w:rsidR="00297ADC" w:rsidRDefault="00297ADC" w:rsidP="00297ADC">
      <w:pPr>
        <w:pStyle w:val="ListParagraph"/>
        <w:numPr>
          <w:ilvl w:val="0"/>
          <w:numId w:val="41"/>
        </w:numPr>
        <w:spacing w:after="160" w:line="259" w:lineRule="auto"/>
      </w:pPr>
      <w:r>
        <w:t>Bioenergy Australia</w:t>
      </w:r>
    </w:p>
    <w:p w14:paraId="557F86FE" w14:textId="77777777" w:rsidR="00297ADC" w:rsidRDefault="00297ADC" w:rsidP="00297ADC">
      <w:pPr>
        <w:pStyle w:val="ListParagraph"/>
        <w:numPr>
          <w:ilvl w:val="0"/>
          <w:numId w:val="41"/>
        </w:numPr>
        <w:spacing w:after="160" w:line="259" w:lineRule="auto"/>
      </w:pPr>
      <w:r>
        <w:t>BlueScope Steel Limited</w:t>
      </w:r>
    </w:p>
    <w:p w14:paraId="186AA9A6" w14:textId="77777777" w:rsidR="00297ADC" w:rsidRDefault="00297ADC" w:rsidP="00297ADC">
      <w:pPr>
        <w:pStyle w:val="ListParagraph"/>
        <w:numPr>
          <w:ilvl w:val="0"/>
          <w:numId w:val="41"/>
        </w:numPr>
        <w:spacing w:after="160" w:line="259" w:lineRule="auto"/>
      </w:pPr>
      <w:r>
        <w:t>bp Australia</w:t>
      </w:r>
    </w:p>
    <w:p w14:paraId="4EFB03F2" w14:textId="77777777" w:rsidR="00297ADC" w:rsidRDefault="00297ADC" w:rsidP="00297ADC">
      <w:pPr>
        <w:pStyle w:val="ListParagraph"/>
        <w:numPr>
          <w:ilvl w:val="0"/>
          <w:numId w:val="41"/>
        </w:numPr>
        <w:spacing w:after="160" w:line="259" w:lineRule="auto"/>
      </w:pPr>
      <w:r>
        <w:t xml:space="preserve">Brian </w:t>
      </w:r>
      <w:proofErr w:type="spellStart"/>
      <w:r>
        <w:t>Bycroft</w:t>
      </w:r>
      <w:proofErr w:type="spellEnd"/>
    </w:p>
    <w:p w14:paraId="0ED32F10" w14:textId="77777777" w:rsidR="00297ADC" w:rsidRDefault="00297ADC" w:rsidP="00297ADC">
      <w:pPr>
        <w:pStyle w:val="ListParagraph"/>
        <w:numPr>
          <w:ilvl w:val="0"/>
          <w:numId w:val="41"/>
        </w:numPr>
        <w:spacing w:after="160" w:line="259" w:lineRule="auto"/>
      </w:pPr>
      <w:r>
        <w:t>Bureau of Steel Manufacturers of Australia</w:t>
      </w:r>
    </w:p>
    <w:p w14:paraId="56C12B9D" w14:textId="77777777" w:rsidR="00297ADC" w:rsidRDefault="00297ADC" w:rsidP="00297ADC">
      <w:pPr>
        <w:pStyle w:val="ListParagraph"/>
        <w:numPr>
          <w:ilvl w:val="0"/>
          <w:numId w:val="41"/>
        </w:numPr>
        <w:spacing w:after="160" w:line="259" w:lineRule="auto"/>
      </w:pPr>
      <w:r>
        <w:t>Business Council for Sustainable Development Australia</w:t>
      </w:r>
    </w:p>
    <w:p w14:paraId="4BB305B8" w14:textId="77777777" w:rsidR="00297ADC" w:rsidRDefault="00297ADC" w:rsidP="00297ADC">
      <w:pPr>
        <w:pStyle w:val="ListParagraph"/>
        <w:numPr>
          <w:ilvl w:val="0"/>
          <w:numId w:val="41"/>
        </w:numPr>
        <w:spacing w:after="160" w:line="259" w:lineRule="auto"/>
      </w:pPr>
      <w:r>
        <w:t>Business Council of Australia</w:t>
      </w:r>
    </w:p>
    <w:p w14:paraId="2DEF3BF6" w14:textId="77777777" w:rsidR="00297ADC" w:rsidRDefault="00297ADC" w:rsidP="00297ADC">
      <w:pPr>
        <w:pStyle w:val="ListParagraph"/>
        <w:numPr>
          <w:ilvl w:val="0"/>
          <w:numId w:val="41"/>
        </w:numPr>
        <w:spacing w:after="160" w:line="259" w:lineRule="auto"/>
      </w:pPr>
      <w:r>
        <w:t>C2Zero</w:t>
      </w:r>
    </w:p>
    <w:p w14:paraId="4DDC1738" w14:textId="77777777" w:rsidR="00297ADC" w:rsidRDefault="00297ADC" w:rsidP="00297ADC">
      <w:pPr>
        <w:pStyle w:val="ListParagraph"/>
        <w:numPr>
          <w:ilvl w:val="0"/>
          <w:numId w:val="41"/>
        </w:numPr>
        <w:spacing w:after="160" w:line="259" w:lineRule="auto"/>
      </w:pPr>
      <w:r>
        <w:t xml:space="preserve">CA </w:t>
      </w:r>
      <w:proofErr w:type="spellStart"/>
      <w:r>
        <w:t>ANZ</w:t>
      </w:r>
      <w:proofErr w:type="spellEnd"/>
      <w:r>
        <w:t xml:space="preserve"> / CPA Australia</w:t>
      </w:r>
    </w:p>
    <w:p w14:paraId="0F73AACB" w14:textId="77777777" w:rsidR="00297ADC" w:rsidRDefault="00297ADC" w:rsidP="00297ADC">
      <w:pPr>
        <w:pStyle w:val="ListParagraph"/>
        <w:numPr>
          <w:ilvl w:val="0"/>
          <w:numId w:val="41"/>
        </w:numPr>
        <w:spacing w:after="160" w:line="259" w:lineRule="auto"/>
      </w:pPr>
      <w:r>
        <w:t>Carbon &amp; Clean Energy Solutions</w:t>
      </w:r>
    </w:p>
    <w:p w14:paraId="636BF35A" w14:textId="77777777" w:rsidR="00297ADC" w:rsidRDefault="00297ADC" w:rsidP="00297ADC">
      <w:pPr>
        <w:pStyle w:val="ListParagraph"/>
        <w:numPr>
          <w:ilvl w:val="0"/>
          <w:numId w:val="41"/>
        </w:numPr>
        <w:spacing w:after="160" w:line="259" w:lineRule="auto"/>
      </w:pPr>
      <w:r>
        <w:t>Carbon Engineering</w:t>
      </w:r>
    </w:p>
    <w:p w14:paraId="3F63BA15" w14:textId="77777777" w:rsidR="00297ADC" w:rsidRDefault="00297ADC" w:rsidP="00297ADC">
      <w:pPr>
        <w:pStyle w:val="ListParagraph"/>
        <w:numPr>
          <w:ilvl w:val="0"/>
          <w:numId w:val="41"/>
        </w:numPr>
        <w:spacing w:after="160" w:line="259" w:lineRule="auto"/>
      </w:pPr>
      <w:r>
        <w:t>Carbon Market Institute</w:t>
      </w:r>
    </w:p>
    <w:p w14:paraId="6FE6912A" w14:textId="77777777" w:rsidR="00297ADC" w:rsidRDefault="00297ADC" w:rsidP="00297ADC">
      <w:pPr>
        <w:pStyle w:val="ListParagraph"/>
        <w:numPr>
          <w:ilvl w:val="0"/>
          <w:numId w:val="41"/>
        </w:numPr>
        <w:spacing w:after="160" w:line="259" w:lineRule="auto"/>
      </w:pPr>
      <w:r>
        <w:t>Cement Industry Foundation</w:t>
      </w:r>
    </w:p>
    <w:p w14:paraId="7B5BFAC8" w14:textId="77777777" w:rsidR="00297ADC" w:rsidRDefault="00297ADC" w:rsidP="00297ADC">
      <w:pPr>
        <w:pStyle w:val="ListParagraph"/>
        <w:numPr>
          <w:ilvl w:val="0"/>
          <w:numId w:val="41"/>
        </w:numPr>
        <w:spacing w:after="160" w:line="259" w:lineRule="auto"/>
      </w:pPr>
      <w:r>
        <w:t>Centre of Policy Studies, Victoria University</w:t>
      </w:r>
    </w:p>
    <w:p w14:paraId="12B0B4AF" w14:textId="77777777" w:rsidR="00297ADC" w:rsidRDefault="00297ADC" w:rsidP="00297ADC">
      <w:pPr>
        <w:pStyle w:val="ListParagraph"/>
        <w:numPr>
          <w:ilvl w:val="0"/>
          <w:numId w:val="41"/>
        </w:numPr>
        <w:spacing w:after="160" w:line="259" w:lineRule="auto"/>
      </w:pPr>
      <w:r>
        <w:t>Centurion Transport Co</w:t>
      </w:r>
    </w:p>
    <w:p w14:paraId="201051F4" w14:textId="77777777" w:rsidR="00297ADC" w:rsidRDefault="00297ADC" w:rsidP="00297ADC">
      <w:pPr>
        <w:pStyle w:val="ListParagraph"/>
        <w:numPr>
          <w:ilvl w:val="0"/>
          <w:numId w:val="41"/>
        </w:numPr>
        <w:spacing w:after="160" w:line="259" w:lineRule="auto"/>
      </w:pPr>
      <w:r>
        <w:t>Chamber of Commerce and Industry WA</w:t>
      </w:r>
    </w:p>
    <w:p w14:paraId="2D24AFD8" w14:textId="77777777" w:rsidR="00297ADC" w:rsidRDefault="00297ADC" w:rsidP="00297ADC">
      <w:pPr>
        <w:pStyle w:val="ListParagraph"/>
        <w:numPr>
          <w:ilvl w:val="0"/>
          <w:numId w:val="41"/>
        </w:numPr>
        <w:spacing w:after="160" w:line="259" w:lineRule="auto"/>
      </w:pPr>
      <w:r>
        <w:t>Chamber of Minerals and Energy of WA</w:t>
      </w:r>
    </w:p>
    <w:p w14:paraId="737ABFC4" w14:textId="77777777" w:rsidR="00297ADC" w:rsidRDefault="00297ADC" w:rsidP="00297ADC">
      <w:pPr>
        <w:pStyle w:val="ListParagraph"/>
        <w:numPr>
          <w:ilvl w:val="0"/>
          <w:numId w:val="41"/>
        </w:numPr>
        <w:spacing w:after="160" w:line="259" w:lineRule="auto"/>
      </w:pPr>
      <w:r>
        <w:t>Chemistry Australia</w:t>
      </w:r>
    </w:p>
    <w:p w14:paraId="471BBB4A" w14:textId="77777777" w:rsidR="00297ADC" w:rsidRDefault="00297ADC" w:rsidP="00297ADC">
      <w:pPr>
        <w:pStyle w:val="ListParagraph"/>
        <w:numPr>
          <w:ilvl w:val="0"/>
          <w:numId w:val="41"/>
        </w:numPr>
        <w:spacing w:after="160" w:line="259" w:lineRule="auto"/>
      </w:pPr>
      <w:r>
        <w:t>Citizens' Climate Lobby</w:t>
      </w:r>
    </w:p>
    <w:p w14:paraId="0DECCDBE" w14:textId="77777777" w:rsidR="00297ADC" w:rsidRDefault="00297ADC" w:rsidP="00297ADC">
      <w:pPr>
        <w:pStyle w:val="ListParagraph"/>
        <w:numPr>
          <w:ilvl w:val="0"/>
          <w:numId w:val="41"/>
        </w:numPr>
        <w:spacing w:after="160" w:line="259" w:lineRule="auto"/>
      </w:pPr>
      <w:r>
        <w:t>City of Sydney</w:t>
      </w:r>
    </w:p>
    <w:p w14:paraId="509DACEB" w14:textId="77777777" w:rsidR="00297ADC" w:rsidRDefault="00297ADC" w:rsidP="00297ADC">
      <w:pPr>
        <w:pStyle w:val="ListParagraph"/>
        <w:numPr>
          <w:ilvl w:val="0"/>
          <w:numId w:val="41"/>
        </w:numPr>
        <w:spacing w:after="160" w:line="259" w:lineRule="auto"/>
      </w:pPr>
      <w:r>
        <w:t>Clean Energy Council</w:t>
      </w:r>
    </w:p>
    <w:p w14:paraId="4BFF845E" w14:textId="77777777" w:rsidR="00297ADC" w:rsidRDefault="00297ADC" w:rsidP="00297ADC">
      <w:pPr>
        <w:pStyle w:val="ListParagraph"/>
        <w:numPr>
          <w:ilvl w:val="0"/>
          <w:numId w:val="41"/>
        </w:numPr>
        <w:spacing w:after="160" w:line="259" w:lineRule="auto"/>
      </w:pPr>
      <w:r>
        <w:t>Clean Energy Investor Group</w:t>
      </w:r>
    </w:p>
    <w:p w14:paraId="2485F18D" w14:textId="77777777" w:rsidR="00297ADC" w:rsidRDefault="00297ADC" w:rsidP="00297ADC">
      <w:pPr>
        <w:pStyle w:val="ListParagraph"/>
        <w:numPr>
          <w:ilvl w:val="0"/>
          <w:numId w:val="41"/>
        </w:numPr>
        <w:spacing w:after="160" w:line="259" w:lineRule="auto"/>
      </w:pPr>
      <w:r>
        <w:t>Climate Action Network Australia</w:t>
      </w:r>
    </w:p>
    <w:p w14:paraId="41907B2D" w14:textId="77777777" w:rsidR="00297ADC" w:rsidRDefault="00297ADC" w:rsidP="00297ADC">
      <w:pPr>
        <w:pStyle w:val="ListParagraph"/>
        <w:numPr>
          <w:ilvl w:val="0"/>
          <w:numId w:val="41"/>
        </w:numPr>
        <w:spacing w:after="160" w:line="259" w:lineRule="auto"/>
      </w:pPr>
      <w:r>
        <w:t>Climate Analytics</w:t>
      </w:r>
    </w:p>
    <w:p w14:paraId="5ED235BA" w14:textId="77777777" w:rsidR="00297ADC" w:rsidRDefault="00297ADC" w:rsidP="00297ADC">
      <w:pPr>
        <w:pStyle w:val="ListParagraph"/>
        <w:numPr>
          <w:ilvl w:val="0"/>
          <w:numId w:val="41"/>
        </w:numPr>
        <w:spacing w:after="160" w:line="259" w:lineRule="auto"/>
      </w:pPr>
      <w:r>
        <w:t>Climate and Health Alliance</w:t>
      </w:r>
    </w:p>
    <w:p w14:paraId="41640C3E" w14:textId="77777777" w:rsidR="00297ADC" w:rsidRDefault="00297ADC" w:rsidP="00297ADC">
      <w:pPr>
        <w:pStyle w:val="ListParagraph"/>
        <w:numPr>
          <w:ilvl w:val="0"/>
          <w:numId w:val="41"/>
        </w:numPr>
        <w:spacing w:after="160" w:line="259" w:lineRule="auto"/>
      </w:pPr>
      <w:r>
        <w:t>Climate Change Authority</w:t>
      </w:r>
    </w:p>
    <w:p w14:paraId="3636810A" w14:textId="77777777" w:rsidR="00297ADC" w:rsidRDefault="00297ADC" w:rsidP="00297ADC">
      <w:pPr>
        <w:pStyle w:val="ListParagraph"/>
        <w:numPr>
          <w:ilvl w:val="0"/>
          <w:numId w:val="41"/>
        </w:numPr>
        <w:spacing w:after="160" w:line="259" w:lineRule="auto"/>
      </w:pPr>
      <w:r>
        <w:t>Climate Council</w:t>
      </w:r>
    </w:p>
    <w:p w14:paraId="6401204B" w14:textId="77777777" w:rsidR="00297ADC" w:rsidRDefault="00297ADC" w:rsidP="00297ADC">
      <w:pPr>
        <w:pStyle w:val="ListParagraph"/>
        <w:numPr>
          <w:ilvl w:val="0"/>
          <w:numId w:val="41"/>
        </w:numPr>
        <w:spacing w:after="160" w:line="259" w:lineRule="auto"/>
      </w:pPr>
      <w:r>
        <w:t>Corporate Carbon</w:t>
      </w:r>
    </w:p>
    <w:p w14:paraId="1A40B7E9" w14:textId="77777777" w:rsidR="00297ADC" w:rsidRDefault="00297ADC" w:rsidP="00297ADC">
      <w:pPr>
        <w:pStyle w:val="ListParagraph"/>
        <w:numPr>
          <w:ilvl w:val="0"/>
          <w:numId w:val="41"/>
        </w:numPr>
        <w:spacing w:after="160" w:line="259" w:lineRule="auto"/>
      </w:pPr>
      <w:r>
        <w:t>Culture Amp</w:t>
      </w:r>
    </w:p>
    <w:p w14:paraId="3FDC373E" w14:textId="77777777" w:rsidR="00297ADC" w:rsidRDefault="00297ADC" w:rsidP="00297ADC">
      <w:pPr>
        <w:pStyle w:val="ListParagraph"/>
        <w:numPr>
          <w:ilvl w:val="0"/>
          <w:numId w:val="41"/>
        </w:numPr>
        <w:spacing w:after="160" w:line="259" w:lineRule="auto"/>
      </w:pPr>
      <w:r>
        <w:t>Curtin University Sustainability Policy Initiative</w:t>
      </w:r>
    </w:p>
    <w:p w14:paraId="7E4017F1" w14:textId="77777777" w:rsidR="00297ADC" w:rsidRDefault="00297ADC" w:rsidP="00297ADC">
      <w:pPr>
        <w:pStyle w:val="ListParagraph"/>
        <w:numPr>
          <w:ilvl w:val="0"/>
          <w:numId w:val="41"/>
        </w:numPr>
        <w:spacing w:after="160" w:line="259" w:lineRule="auto"/>
      </w:pPr>
      <w:r>
        <w:t>Darcy Allan</w:t>
      </w:r>
    </w:p>
    <w:p w14:paraId="7BE37142" w14:textId="77777777" w:rsidR="00297ADC" w:rsidRDefault="00297ADC" w:rsidP="00297ADC">
      <w:pPr>
        <w:pStyle w:val="ListParagraph"/>
        <w:numPr>
          <w:ilvl w:val="0"/>
          <w:numId w:val="41"/>
        </w:numPr>
        <w:spacing w:after="160" w:line="259" w:lineRule="auto"/>
      </w:pPr>
      <w:r>
        <w:lastRenderedPageBreak/>
        <w:t>David Shearman</w:t>
      </w:r>
    </w:p>
    <w:p w14:paraId="5F7CE2CB" w14:textId="77777777" w:rsidR="00297ADC" w:rsidRDefault="00297ADC" w:rsidP="00297ADC">
      <w:pPr>
        <w:pStyle w:val="ListParagraph"/>
        <w:numPr>
          <w:ilvl w:val="0"/>
          <w:numId w:val="41"/>
        </w:numPr>
        <w:spacing w:after="160" w:line="259" w:lineRule="auto"/>
      </w:pPr>
      <w:proofErr w:type="spellStart"/>
      <w:r>
        <w:t>deepC</w:t>
      </w:r>
      <w:proofErr w:type="spellEnd"/>
      <w:r>
        <w:t xml:space="preserve"> Store Limited</w:t>
      </w:r>
    </w:p>
    <w:p w14:paraId="55155C4A" w14:textId="77777777" w:rsidR="00297ADC" w:rsidRDefault="00297ADC" w:rsidP="00297ADC">
      <w:pPr>
        <w:pStyle w:val="ListParagraph"/>
        <w:numPr>
          <w:ilvl w:val="0"/>
          <w:numId w:val="41"/>
        </w:numPr>
        <w:spacing w:after="160" w:line="259" w:lineRule="auto"/>
      </w:pPr>
      <w:r>
        <w:t>Dr Monique Ryan, MP</w:t>
      </w:r>
    </w:p>
    <w:p w14:paraId="2F8254DB" w14:textId="77777777" w:rsidR="00297ADC" w:rsidRDefault="00297ADC" w:rsidP="00297ADC">
      <w:pPr>
        <w:pStyle w:val="ListParagraph"/>
        <w:numPr>
          <w:ilvl w:val="0"/>
          <w:numId w:val="41"/>
        </w:numPr>
        <w:spacing w:after="160" w:line="259" w:lineRule="auto"/>
      </w:pPr>
      <w:proofErr w:type="spellStart"/>
      <w:r>
        <w:t>EDL</w:t>
      </w:r>
      <w:proofErr w:type="spellEnd"/>
    </w:p>
    <w:p w14:paraId="35FE2476" w14:textId="77777777" w:rsidR="00297ADC" w:rsidRDefault="00297ADC" w:rsidP="00297ADC">
      <w:pPr>
        <w:pStyle w:val="ListParagraph"/>
        <w:numPr>
          <w:ilvl w:val="0"/>
          <w:numId w:val="41"/>
        </w:numPr>
        <w:spacing w:after="160" w:line="259" w:lineRule="auto"/>
      </w:pPr>
      <w:r>
        <w:t>Energetics</w:t>
      </w:r>
    </w:p>
    <w:p w14:paraId="71C9809B" w14:textId="77777777" w:rsidR="00297ADC" w:rsidRDefault="00297ADC" w:rsidP="00297ADC">
      <w:pPr>
        <w:pStyle w:val="ListParagraph"/>
        <w:numPr>
          <w:ilvl w:val="0"/>
          <w:numId w:val="41"/>
        </w:numPr>
        <w:spacing w:after="160" w:line="259" w:lineRule="auto"/>
      </w:pPr>
      <w:r>
        <w:t>Energy Efficiency Council</w:t>
      </w:r>
    </w:p>
    <w:p w14:paraId="5A57ADEC" w14:textId="77777777" w:rsidR="00297ADC" w:rsidRDefault="00297ADC" w:rsidP="00297ADC">
      <w:pPr>
        <w:pStyle w:val="ListParagraph"/>
        <w:numPr>
          <w:ilvl w:val="0"/>
          <w:numId w:val="41"/>
        </w:numPr>
        <w:spacing w:after="160" w:line="259" w:lineRule="auto"/>
      </w:pPr>
      <w:r>
        <w:t>Energy Networks Australia</w:t>
      </w:r>
    </w:p>
    <w:p w14:paraId="70B81B10" w14:textId="77777777" w:rsidR="00297ADC" w:rsidRDefault="00297ADC" w:rsidP="00297ADC">
      <w:pPr>
        <w:pStyle w:val="ListParagraph"/>
        <w:numPr>
          <w:ilvl w:val="0"/>
          <w:numId w:val="41"/>
        </w:numPr>
        <w:spacing w:after="160" w:line="259" w:lineRule="auto"/>
      </w:pPr>
      <w:r>
        <w:t>Energy Users’ Association of Australia</w:t>
      </w:r>
    </w:p>
    <w:p w14:paraId="61F316F8" w14:textId="77777777" w:rsidR="00297ADC" w:rsidRDefault="00297ADC" w:rsidP="00297ADC">
      <w:pPr>
        <w:pStyle w:val="ListParagraph"/>
        <w:numPr>
          <w:ilvl w:val="0"/>
          <w:numId w:val="41"/>
        </w:numPr>
        <w:spacing w:after="160" w:line="259" w:lineRule="auto"/>
      </w:pPr>
      <w:r>
        <w:t>Engineers Australia</w:t>
      </w:r>
    </w:p>
    <w:p w14:paraId="45C50022" w14:textId="77777777" w:rsidR="00297ADC" w:rsidRDefault="00297ADC" w:rsidP="00297ADC">
      <w:pPr>
        <w:pStyle w:val="ListParagraph"/>
        <w:numPr>
          <w:ilvl w:val="0"/>
          <w:numId w:val="41"/>
        </w:numPr>
        <w:spacing w:after="160" w:line="259" w:lineRule="auto"/>
      </w:pPr>
      <w:r>
        <w:t>Environment Institute of Australia &amp; New Zealand</w:t>
      </w:r>
    </w:p>
    <w:p w14:paraId="31A3029A" w14:textId="77777777" w:rsidR="00297ADC" w:rsidRDefault="00297ADC" w:rsidP="00297ADC">
      <w:pPr>
        <w:pStyle w:val="ListParagraph"/>
        <w:numPr>
          <w:ilvl w:val="0"/>
          <w:numId w:val="41"/>
        </w:numPr>
        <w:spacing w:after="160" w:line="259" w:lineRule="auto"/>
      </w:pPr>
      <w:r>
        <w:t xml:space="preserve">Environmental Defenders Office </w:t>
      </w:r>
    </w:p>
    <w:p w14:paraId="55A79726" w14:textId="77777777" w:rsidR="00297ADC" w:rsidRDefault="00297ADC" w:rsidP="00297ADC">
      <w:pPr>
        <w:pStyle w:val="ListParagraph"/>
        <w:numPr>
          <w:ilvl w:val="0"/>
          <w:numId w:val="41"/>
        </w:numPr>
        <w:spacing w:after="160" w:line="259" w:lineRule="auto"/>
      </w:pPr>
      <w:r>
        <w:t>Farmers for Climate Action</w:t>
      </w:r>
    </w:p>
    <w:p w14:paraId="195E7868" w14:textId="77777777" w:rsidR="00297ADC" w:rsidRDefault="00297ADC" w:rsidP="00297ADC">
      <w:pPr>
        <w:pStyle w:val="ListParagraph"/>
        <w:numPr>
          <w:ilvl w:val="0"/>
          <w:numId w:val="41"/>
        </w:numPr>
        <w:spacing w:after="160" w:line="259" w:lineRule="auto"/>
      </w:pPr>
      <w:r>
        <w:t>Fortescue Metals</w:t>
      </w:r>
    </w:p>
    <w:p w14:paraId="583DDAF6" w14:textId="77777777" w:rsidR="00297ADC" w:rsidRDefault="00297ADC" w:rsidP="00297ADC">
      <w:pPr>
        <w:pStyle w:val="ListParagraph"/>
        <w:numPr>
          <w:ilvl w:val="0"/>
          <w:numId w:val="41"/>
        </w:numPr>
        <w:spacing w:after="160" w:line="259" w:lineRule="auto"/>
      </w:pPr>
      <w:r>
        <w:t>Freight on Rail Group</w:t>
      </w:r>
    </w:p>
    <w:p w14:paraId="5805FD83" w14:textId="77777777" w:rsidR="00297ADC" w:rsidRDefault="00297ADC" w:rsidP="00297ADC">
      <w:pPr>
        <w:pStyle w:val="ListParagraph"/>
        <w:numPr>
          <w:ilvl w:val="0"/>
          <w:numId w:val="41"/>
        </w:numPr>
        <w:spacing w:after="160" w:line="259" w:lineRule="auto"/>
      </w:pPr>
      <w:r>
        <w:t xml:space="preserve">Frontier Economics </w:t>
      </w:r>
    </w:p>
    <w:p w14:paraId="78DB64E0" w14:textId="77777777" w:rsidR="00297ADC" w:rsidRDefault="00297ADC" w:rsidP="00297ADC">
      <w:pPr>
        <w:pStyle w:val="ListParagraph"/>
        <w:numPr>
          <w:ilvl w:val="0"/>
          <w:numId w:val="41"/>
        </w:numPr>
        <w:spacing w:after="160" w:line="259" w:lineRule="auto"/>
      </w:pPr>
      <w:r>
        <w:t>Gas Energy Australia</w:t>
      </w:r>
    </w:p>
    <w:p w14:paraId="13B9E0DC" w14:textId="77777777" w:rsidR="00297ADC" w:rsidRDefault="00297ADC" w:rsidP="00297ADC">
      <w:pPr>
        <w:pStyle w:val="ListParagraph"/>
        <w:numPr>
          <w:ilvl w:val="0"/>
          <w:numId w:val="41"/>
        </w:numPr>
        <w:spacing w:after="160" w:line="259" w:lineRule="auto"/>
      </w:pPr>
      <w:r>
        <w:t>Gerald Jensen</w:t>
      </w:r>
    </w:p>
    <w:p w14:paraId="5CF41895" w14:textId="77777777" w:rsidR="00297ADC" w:rsidRDefault="00297ADC" w:rsidP="00297ADC">
      <w:pPr>
        <w:pStyle w:val="ListParagraph"/>
        <w:numPr>
          <w:ilvl w:val="0"/>
          <w:numId w:val="41"/>
        </w:numPr>
        <w:spacing w:after="160" w:line="259" w:lineRule="auto"/>
      </w:pPr>
      <w:r>
        <w:t>GetUp</w:t>
      </w:r>
    </w:p>
    <w:p w14:paraId="1B6002F8" w14:textId="77777777" w:rsidR="00297ADC" w:rsidRDefault="00297ADC" w:rsidP="00297ADC">
      <w:pPr>
        <w:pStyle w:val="ListParagraph"/>
        <w:numPr>
          <w:ilvl w:val="0"/>
          <w:numId w:val="41"/>
        </w:numPr>
        <w:spacing w:after="160" w:line="259" w:lineRule="auto"/>
      </w:pPr>
      <w:r>
        <w:t>Glen Michel</w:t>
      </w:r>
    </w:p>
    <w:p w14:paraId="4D5E9AB7" w14:textId="77777777" w:rsidR="00297ADC" w:rsidRDefault="00297ADC" w:rsidP="00297ADC">
      <w:pPr>
        <w:pStyle w:val="ListParagraph"/>
        <w:numPr>
          <w:ilvl w:val="0"/>
          <w:numId w:val="41"/>
        </w:numPr>
        <w:spacing w:after="160" w:line="259" w:lineRule="auto"/>
      </w:pPr>
      <w:r>
        <w:t>Glencore</w:t>
      </w:r>
    </w:p>
    <w:p w14:paraId="41624848" w14:textId="77777777" w:rsidR="00297ADC" w:rsidRDefault="00297ADC" w:rsidP="00297ADC">
      <w:pPr>
        <w:pStyle w:val="ListParagraph"/>
        <w:numPr>
          <w:ilvl w:val="0"/>
          <w:numId w:val="41"/>
        </w:numPr>
        <w:spacing w:after="160" w:line="259" w:lineRule="auto"/>
      </w:pPr>
      <w:r>
        <w:t>Gordon Kennard</w:t>
      </w:r>
    </w:p>
    <w:p w14:paraId="727BB7E9" w14:textId="77777777" w:rsidR="00297ADC" w:rsidRDefault="00297ADC" w:rsidP="00297ADC">
      <w:pPr>
        <w:pStyle w:val="ListParagraph"/>
        <w:numPr>
          <w:ilvl w:val="0"/>
          <w:numId w:val="41"/>
        </w:numPr>
        <w:spacing w:after="160" w:line="259" w:lineRule="auto"/>
      </w:pPr>
      <w:r>
        <w:t>Grattan Institute</w:t>
      </w:r>
    </w:p>
    <w:p w14:paraId="0F4B69F9" w14:textId="77777777" w:rsidR="00297ADC" w:rsidRDefault="00297ADC" w:rsidP="00297ADC">
      <w:pPr>
        <w:pStyle w:val="ListParagraph"/>
        <w:numPr>
          <w:ilvl w:val="0"/>
          <w:numId w:val="41"/>
        </w:numPr>
        <w:spacing w:after="160" w:line="259" w:lineRule="auto"/>
      </w:pPr>
      <w:r>
        <w:t>Greening Australia</w:t>
      </w:r>
    </w:p>
    <w:p w14:paraId="5B2D208A" w14:textId="77777777" w:rsidR="00297ADC" w:rsidRDefault="00297ADC" w:rsidP="00297ADC">
      <w:pPr>
        <w:pStyle w:val="ListParagraph"/>
        <w:numPr>
          <w:ilvl w:val="0"/>
          <w:numId w:val="41"/>
        </w:numPr>
        <w:spacing w:after="160" w:line="259" w:lineRule="auto"/>
      </w:pPr>
      <w:r>
        <w:t>Greenpeace Australia Pacific</w:t>
      </w:r>
    </w:p>
    <w:p w14:paraId="6D4638FA" w14:textId="77777777" w:rsidR="00297ADC" w:rsidRDefault="00297ADC" w:rsidP="00297ADC">
      <w:pPr>
        <w:pStyle w:val="ListParagraph"/>
        <w:numPr>
          <w:ilvl w:val="0"/>
          <w:numId w:val="41"/>
        </w:numPr>
        <w:spacing w:after="160" w:line="259" w:lineRule="auto"/>
      </w:pPr>
      <w:r>
        <w:t>Hesta</w:t>
      </w:r>
    </w:p>
    <w:p w14:paraId="3A04CFC6" w14:textId="77777777" w:rsidR="00297ADC" w:rsidRDefault="00297ADC" w:rsidP="00297ADC">
      <w:pPr>
        <w:pStyle w:val="ListParagraph"/>
        <w:numPr>
          <w:ilvl w:val="0"/>
          <w:numId w:val="41"/>
        </w:numPr>
        <w:spacing w:after="160" w:line="259" w:lineRule="auto"/>
      </w:pPr>
      <w:r>
        <w:t>Hydro Tasmania</w:t>
      </w:r>
    </w:p>
    <w:p w14:paraId="65A3A9A2" w14:textId="77777777" w:rsidR="00297ADC" w:rsidRDefault="00297ADC" w:rsidP="00297ADC">
      <w:pPr>
        <w:pStyle w:val="ListParagraph"/>
        <w:numPr>
          <w:ilvl w:val="0"/>
          <w:numId w:val="41"/>
        </w:numPr>
        <w:spacing w:after="160" w:line="259" w:lineRule="auto"/>
      </w:pPr>
      <w:r>
        <w:t>Iberdrola Australia</w:t>
      </w:r>
    </w:p>
    <w:p w14:paraId="52AF895C" w14:textId="77777777" w:rsidR="00297ADC" w:rsidRDefault="00297ADC" w:rsidP="00297ADC">
      <w:pPr>
        <w:pStyle w:val="ListParagraph"/>
        <w:numPr>
          <w:ilvl w:val="0"/>
          <w:numId w:val="41"/>
        </w:numPr>
        <w:spacing w:after="160" w:line="259" w:lineRule="auto"/>
      </w:pPr>
      <w:proofErr w:type="spellStart"/>
      <w:r>
        <w:t>Idemitsu</w:t>
      </w:r>
      <w:proofErr w:type="spellEnd"/>
      <w:r>
        <w:t xml:space="preserve"> Australia </w:t>
      </w:r>
    </w:p>
    <w:p w14:paraId="333582A3" w14:textId="77777777" w:rsidR="00297ADC" w:rsidRDefault="00297ADC" w:rsidP="00297ADC">
      <w:pPr>
        <w:pStyle w:val="ListParagraph"/>
        <w:numPr>
          <w:ilvl w:val="0"/>
          <w:numId w:val="41"/>
        </w:numPr>
        <w:spacing w:after="160" w:line="259" w:lineRule="auto"/>
      </w:pPr>
      <w:proofErr w:type="spellStart"/>
      <w:r>
        <w:t>Incitec</w:t>
      </w:r>
      <w:proofErr w:type="spellEnd"/>
      <w:r>
        <w:t xml:space="preserve"> Pivot</w:t>
      </w:r>
    </w:p>
    <w:p w14:paraId="26E1767E" w14:textId="77777777" w:rsidR="00297ADC" w:rsidRDefault="00297ADC" w:rsidP="00297ADC">
      <w:pPr>
        <w:pStyle w:val="ListParagraph"/>
        <w:numPr>
          <w:ilvl w:val="0"/>
          <w:numId w:val="41"/>
        </w:numPr>
        <w:spacing w:after="160" w:line="259" w:lineRule="auto"/>
      </w:pPr>
      <w:proofErr w:type="spellStart"/>
      <w:r>
        <w:t>Inpex</w:t>
      </w:r>
      <w:proofErr w:type="spellEnd"/>
    </w:p>
    <w:p w14:paraId="328B79FE" w14:textId="77777777" w:rsidR="00297ADC" w:rsidRDefault="00297ADC" w:rsidP="00297ADC">
      <w:pPr>
        <w:pStyle w:val="ListParagraph"/>
        <w:numPr>
          <w:ilvl w:val="0"/>
          <w:numId w:val="41"/>
        </w:numPr>
        <w:spacing w:after="160" w:line="259" w:lineRule="auto"/>
      </w:pPr>
      <w:r>
        <w:t>Institute of Public Accountants</w:t>
      </w:r>
    </w:p>
    <w:p w14:paraId="2BD3E449" w14:textId="77777777" w:rsidR="00297ADC" w:rsidRDefault="00297ADC" w:rsidP="00297ADC">
      <w:pPr>
        <w:pStyle w:val="ListParagraph"/>
        <w:numPr>
          <w:ilvl w:val="0"/>
          <w:numId w:val="41"/>
        </w:numPr>
        <w:spacing w:after="160" w:line="259" w:lineRule="auto"/>
      </w:pPr>
      <w:r>
        <w:t>Investor Group on Climate Change</w:t>
      </w:r>
    </w:p>
    <w:p w14:paraId="7AE98448" w14:textId="77777777" w:rsidR="00297ADC" w:rsidRDefault="00297ADC" w:rsidP="00297ADC">
      <w:pPr>
        <w:pStyle w:val="ListParagraph"/>
        <w:numPr>
          <w:ilvl w:val="0"/>
          <w:numId w:val="41"/>
        </w:numPr>
        <w:spacing w:after="160" w:line="259" w:lineRule="auto"/>
      </w:pPr>
      <w:proofErr w:type="spellStart"/>
      <w:r>
        <w:t>Janaline</w:t>
      </w:r>
      <w:proofErr w:type="spellEnd"/>
      <w:r>
        <w:t xml:space="preserve"> Oh and Nick Withers</w:t>
      </w:r>
    </w:p>
    <w:p w14:paraId="6B84AE19" w14:textId="77777777" w:rsidR="00297ADC" w:rsidRDefault="00297ADC" w:rsidP="00297ADC">
      <w:pPr>
        <w:pStyle w:val="ListParagraph"/>
        <w:numPr>
          <w:ilvl w:val="0"/>
          <w:numId w:val="41"/>
        </w:numPr>
        <w:spacing w:after="160" w:line="259" w:lineRule="auto"/>
      </w:pPr>
      <w:r>
        <w:t>Jason Wilk</w:t>
      </w:r>
    </w:p>
    <w:p w14:paraId="5C17DD4E" w14:textId="77777777" w:rsidR="00297ADC" w:rsidRDefault="00297ADC" w:rsidP="00297ADC">
      <w:pPr>
        <w:pStyle w:val="ListParagraph"/>
        <w:numPr>
          <w:ilvl w:val="0"/>
          <w:numId w:val="41"/>
        </w:numPr>
        <w:spacing w:after="160" w:line="259" w:lineRule="auto"/>
      </w:pPr>
      <w:r>
        <w:t>Jeff Wilson</w:t>
      </w:r>
    </w:p>
    <w:p w14:paraId="1A91ECA7" w14:textId="77777777" w:rsidR="00297ADC" w:rsidRDefault="00297ADC" w:rsidP="00297ADC">
      <w:pPr>
        <w:pStyle w:val="ListParagraph"/>
        <w:numPr>
          <w:ilvl w:val="0"/>
          <w:numId w:val="41"/>
        </w:numPr>
        <w:spacing w:after="160" w:line="259" w:lineRule="auto"/>
      </w:pPr>
      <w:r>
        <w:t>John Lane</w:t>
      </w:r>
    </w:p>
    <w:p w14:paraId="6B308B0C" w14:textId="77777777" w:rsidR="00297ADC" w:rsidRDefault="00297ADC" w:rsidP="00297ADC">
      <w:pPr>
        <w:pStyle w:val="ListParagraph"/>
        <w:numPr>
          <w:ilvl w:val="0"/>
          <w:numId w:val="41"/>
        </w:numPr>
        <w:spacing w:after="160" w:line="259" w:lineRule="auto"/>
      </w:pPr>
      <w:r>
        <w:t>John Robert</w:t>
      </w:r>
    </w:p>
    <w:p w14:paraId="40533708" w14:textId="77777777" w:rsidR="00297ADC" w:rsidRDefault="00297ADC" w:rsidP="00297ADC">
      <w:pPr>
        <w:pStyle w:val="ListParagraph"/>
        <w:numPr>
          <w:ilvl w:val="0"/>
          <w:numId w:val="41"/>
        </w:numPr>
        <w:spacing w:after="160" w:line="259" w:lineRule="auto"/>
      </w:pPr>
      <w:r>
        <w:t>Kate Chaney MP</w:t>
      </w:r>
    </w:p>
    <w:p w14:paraId="5373087E" w14:textId="77777777" w:rsidR="00297ADC" w:rsidRDefault="00297ADC" w:rsidP="00297ADC">
      <w:pPr>
        <w:pStyle w:val="ListParagraph"/>
        <w:numPr>
          <w:ilvl w:val="0"/>
          <w:numId w:val="41"/>
        </w:numPr>
        <w:spacing w:after="160" w:line="259" w:lineRule="auto"/>
      </w:pPr>
      <w:r>
        <w:t>Kawasaki Heavy Industries</w:t>
      </w:r>
    </w:p>
    <w:p w14:paraId="7F19BAC3" w14:textId="77777777" w:rsidR="00297ADC" w:rsidRDefault="00297ADC" w:rsidP="00297ADC">
      <w:pPr>
        <w:pStyle w:val="ListParagraph"/>
        <w:numPr>
          <w:ilvl w:val="0"/>
          <w:numId w:val="41"/>
        </w:numPr>
        <w:spacing w:after="160" w:line="259" w:lineRule="auto"/>
      </w:pPr>
      <w:r>
        <w:t>Kevin Cox</w:t>
      </w:r>
    </w:p>
    <w:p w14:paraId="191EC7BF" w14:textId="77777777" w:rsidR="00297ADC" w:rsidRDefault="00297ADC" w:rsidP="00297ADC">
      <w:pPr>
        <w:pStyle w:val="ListParagraph"/>
        <w:numPr>
          <w:ilvl w:val="0"/>
          <w:numId w:val="41"/>
        </w:numPr>
        <w:spacing w:after="160" w:line="259" w:lineRule="auto"/>
      </w:pPr>
      <w:r>
        <w:t xml:space="preserve">Lana Friesen, Andrea La </w:t>
      </w:r>
      <w:proofErr w:type="spellStart"/>
      <w:r>
        <w:t>Nauze</w:t>
      </w:r>
      <w:proofErr w:type="spellEnd"/>
      <w:r>
        <w:t xml:space="preserve"> and Ian </w:t>
      </w:r>
      <w:proofErr w:type="spellStart"/>
      <w:r>
        <w:t>MacKenzie</w:t>
      </w:r>
      <w:proofErr w:type="spellEnd"/>
    </w:p>
    <w:p w14:paraId="4CE1BC6F" w14:textId="77777777" w:rsidR="00297ADC" w:rsidRDefault="00297ADC" w:rsidP="00297ADC">
      <w:pPr>
        <w:pStyle w:val="ListParagraph"/>
        <w:numPr>
          <w:ilvl w:val="0"/>
          <w:numId w:val="41"/>
        </w:numPr>
        <w:spacing w:after="160" w:line="259" w:lineRule="auto"/>
      </w:pPr>
      <w:r>
        <w:t>Law Society of NSW</w:t>
      </w:r>
    </w:p>
    <w:p w14:paraId="0B06C432" w14:textId="77777777" w:rsidR="00297ADC" w:rsidRDefault="00297ADC" w:rsidP="00297ADC">
      <w:pPr>
        <w:pStyle w:val="ListParagraph"/>
        <w:numPr>
          <w:ilvl w:val="0"/>
          <w:numId w:val="41"/>
        </w:numPr>
        <w:spacing w:after="160" w:line="259" w:lineRule="auto"/>
      </w:pPr>
      <w:r>
        <w:t>Lighter Footprints Inc</w:t>
      </w:r>
    </w:p>
    <w:p w14:paraId="1DA16BC9" w14:textId="77777777" w:rsidR="00297ADC" w:rsidRDefault="00297ADC" w:rsidP="00297ADC">
      <w:pPr>
        <w:pStyle w:val="ListParagraph"/>
        <w:numPr>
          <w:ilvl w:val="0"/>
          <w:numId w:val="41"/>
        </w:numPr>
        <w:spacing w:after="160" w:line="259" w:lineRule="auto"/>
      </w:pPr>
      <w:r>
        <w:t>Lock the Gate Alliance</w:t>
      </w:r>
    </w:p>
    <w:p w14:paraId="54B0CBA5" w14:textId="77777777" w:rsidR="00297ADC" w:rsidRDefault="00297ADC" w:rsidP="00297ADC">
      <w:pPr>
        <w:pStyle w:val="ListParagraph"/>
        <w:numPr>
          <w:ilvl w:val="0"/>
          <w:numId w:val="41"/>
        </w:numPr>
        <w:spacing w:after="160" w:line="259" w:lineRule="auto"/>
      </w:pPr>
      <w:r>
        <w:t>Low Emission Technology Australia</w:t>
      </w:r>
    </w:p>
    <w:p w14:paraId="1D8159AD" w14:textId="77777777" w:rsidR="00297ADC" w:rsidRDefault="00297ADC" w:rsidP="00297ADC">
      <w:pPr>
        <w:pStyle w:val="ListParagraph"/>
        <w:numPr>
          <w:ilvl w:val="0"/>
          <w:numId w:val="41"/>
        </w:numPr>
        <w:spacing w:after="160" w:line="259" w:lineRule="auto"/>
      </w:pPr>
      <w:r>
        <w:t>Lyn Taylor</w:t>
      </w:r>
    </w:p>
    <w:p w14:paraId="065A086F" w14:textId="77777777" w:rsidR="00297ADC" w:rsidRDefault="00297ADC" w:rsidP="00297ADC">
      <w:pPr>
        <w:pStyle w:val="ListParagraph"/>
        <w:numPr>
          <w:ilvl w:val="0"/>
          <w:numId w:val="41"/>
        </w:numPr>
        <w:spacing w:after="160" w:line="259" w:lineRule="auto"/>
      </w:pPr>
      <w:r>
        <w:t>Manufacturing Australia</w:t>
      </w:r>
    </w:p>
    <w:p w14:paraId="470241D9" w14:textId="77777777" w:rsidR="00297ADC" w:rsidRDefault="00297ADC" w:rsidP="00297ADC">
      <w:pPr>
        <w:pStyle w:val="ListParagraph"/>
        <w:numPr>
          <w:ilvl w:val="0"/>
          <w:numId w:val="41"/>
        </w:numPr>
        <w:spacing w:after="160" w:line="259" w:lineRule="auto"/>
      </w:pPr>
      <w:r>
        <w:t>Mark Carter</w:t>
      </w:r>
    </w:p>
    <w:p w14:paraId="3CA4EC29" w14:textId="77777777" w:rsidR="00297ADC" w:rsidRDefault="00297ADC" w:rsidP="00297ADC">
      <w:pPr>
        <w:pStyle w:val="ListParagraph"/>
        <w:numPr>
          <w:ilvl w:val="0"/>
          <w:numId w:val="41"/>
        </w:numPr>
        <w:spacing w:after="160" w:line="259" w:lineRule="auto"/>
      </w:pPr>
      <w:r>
        <w:t>Matt Sullivan</w:t>
      </w:r>
    </w:p>
    <w:p w14:paraId="1E04C1EE" w14:textId="77777777" w:rsidR="00297ADC" w:rsidRDefault="00297ADC" w:rsidP="00297ADC">
      <w:pPr>
        <w:pStyle w:val="ListParagraph"/>
        <w:numPr>
          <w:ilvl w:val="0"/>
          <w:numId w:val="41"/>
        </w:numPr>
        <w:spacing w:after="160" w:line="259" w:lineRule="auto"/>
      </w:pPr>
      <w:r>
        <w:t>Merlon Capital Partners</w:t>
      </w:r>
    </w:p>
    <w:p w14:paraId="3790838E" w14:textId="77777777" w:rsidR="00297ADC" w:rsidRDefault="00297ADC" w:rsidP="00297ADC">
      <w:pPr>
        <w:pStyle w:val="ListParagraph"/>
        <w:numPr>
          <w:ilvl w:val="0"/>
          <w:numId w:val="41"/>
        </w:numPr>
        <w:spacing w:after="160" w:line="259" w:lineRule="auto"/>
      </w:pPr>
      <w:r>
        <w:t>Mike Buckley</w:t>
      </w:r>
    </w:p>
    <w:p w14:paraId="3E13ABFD" w14:textId="77777777" w:rsidR="00297ADC" w:rsidRDefault="00297ADC" w:rsidP="00297ADC">
      <w:pPr>
        <w:pStyle w:val="ListParagraph"/>
        <w:numPr>
          <w:ilvl w:val="0"/>
          <w:numId w:val="41"/>
        </w:numPr>
        <w:spacing w:after="160" w:line="259" w:lineRule="auto"/>
      </w:pPr>
      <w:r>
        <w:t>Minerals Council of Australia</w:t>
      </w:r>
    </w:p>
    <w:p w14:paraId="13B9D4BE" w14:textId="77777777" w:rsidR="00297ADC" w:rsidRDefault="00297ADC" w:rsidP="00297ADC">
      <w:pPr>
        <w:pStyle w:val="ListParagraph"/>
        <w:numPr>
          <w:ilvl w:val="0"/>
          <w:numId w:val="41"/>
        </w:numPr>
        <w:spacing w:after="160" w:line="259" w:lineRule="auto"/>
      </w:pPr>
      <w:r>
        <w:t>National Environmental Law Association</w:t>
      </w:r>
    </w:p>
    <w:p w14:paraId="5B23299B" w14:textId="77777777" w:rsidR="00297ADC" w:rsidRDefault="00297ADC" w:rsidP="00297ADC">
      <w:pPr>
        <w:pStyle w:val="ListParagraph"/>
        <w:numPr>
          <w:ilvl w:val="0"/>
          <w:numId w:val="41"/>
        </w:numPr>
        <w:spacing w:after="160" w:line="259" w:lineRule="auto"/>
      </w:pPr>
      <w:r>
        <w:t>National Farmers Federation</w:t>
      </w:r>
    </w:p>
    <w:p w14:paraId="6EFFFC11" w14:textId="77777777" w:rsidR="00297ADC" w:rsidRDefault="00297ADC" w:rsidP="00297ADC">
      <w:pPr>
        <w:pStyle w:val="ListParagraph"/>
        <w:numPr>
          <w:ilvl w:val="0"/>
          <w:numId w:val="41"/>
        </w:numPr>
        <w:spacing w:after="160" w:line="259" w:lineRule="auto"/>
      </w:pPr>
      <w:r>
        <w:t>National Waste Recycling Industry Association</w:t>
      </w:r>
    </w:p>
    <w:p w14:paraId="6D76136E" w14:textId="77777777" w:rsidR="00297ADC" w:rsidRDefault="00297ADC" w:rsidP="00297ADC">
      <w:pPr>
        <w:pStyle w:val="ListParagraph"/>
        <w:numPr>
          <w:ilvl w:val="0"/>
          <w:numId w:val="41"/>
        </w:numPr>
        <w:spacing w:after="160" w:line="259" w:lineRule="auto"/>
      </w:pPr>
      <w:r>
        <w:t>Neil Longmore</w:t>
      </w:r>
    </w:p>
    <w:p w14:paraId="65D45B85" w14:textId="77777777" w:rsidR="00297ADC" w:rsidRDefault="00297ADC" w:rsidP="00297ADC">
      <w:pPr>
        <w:pStyle w:val="ListParagraph"/>
        <w:numPr>
          <w:ilvl w:val="0"/>
          <w:numId w:val="41"/>
        </w:numPr>
        <w:spacing w:after="160" w:line="259" w:lineRule="auto"/>
      </w:pPr>
      <w:r>
        <w:t>Nick Abel</w:t>
      </w:r>
    </w:p>
    <w:p w14:paraId="1EC7E133" w14:textId="77777777" w:rsidR="00297ADC" w:rsidRDefault="00297ADC" w:rsidP="00297ADC">
      <w:pPr>
        <w:pStyle w:val="ListParagraph"/>
        <w:numPr>
          <w:ilvl w:val="0"/>
          <w:numId w:val="41"/>
        </w:numPr>
        <w:spacing w:after="160" w:line="259" w:lineRule="auto"/>
      </w:pPr>
      <w:proofErr w:type="spellStart"/>
      <w:r>
        <w:t>Northmore</w:t>
      </w:r>
      <w:proofErr w:type="spellEnd"/>
      <w:r>
        <w:t xml:space="preserve"> Gordon</w:t>
      </w:r>
    </w:p>
    <w:p w14:paraId="751719DF" w14:textId="77777777" w:rsidR="00297ADC" w:rsidRDefault="00297ADC" w:rsidP="00297ADC">
      <w:pPr>
        <w:pStyle w:val="ListParagraph"/>
        <w:numPr>
          <w:ilvl w:val="0"/>
          <w:numId w:val="41"/>
        </w:numPr>
        <w:spacing w:after="160" w:line="259" w:lineRule="auto"/>
      </w:pPr>
      <w:proofErr w:type="spellStart"/>
      <w:r>
        <w:t>NRM</w:t>
      </w:r>
      <w:proofErr w:type="spellEnd"/>
      <w:r>
        <w:t xml:space="preserve"> Regions Australia</w:t>
      </w:r>
    </w:p>
    <w:p w14:paraId="124870A2" w14:textId="77777777" w:rsidR="00297ADC" w:rsidRDefault="00297ADC" w:rsidP="00297ADC">
      <w:pPr>
        <w:pStyle w:val="ListParagraph"/>
        <w:numPr>
          <w:ilvl w:val="0"/>
          <w:numId w:val="41"/>
        </w:numPr>
        <w:spacing w:after="160" w:line="259" w:lineRule="auto"/>
      </w:pPr>
      <w:r>
        <w:t>NSW Government</w:t>
      </w:r>
    </w:p>
    <w:p w14:paraId="0015AAA2" w14:textId="77777777" w:rsidR="00297ADC" w:rsidRDefault="00297ADC" w:rsidP="00297ADC">
      <w:pPr>
        <w:pStyle w:val="ListParagraph"/>
        <w:numPr>
          <w:ilvl w:val="0"/>
          <w:numId w:val="41"/>
        </w:numPr>
        <w:spacing w:after="160" w:line="259" w:lineRule="auto"/>
      </w:pPr>
      <w:r>
        <w:t>NSW Minerals Council</w:t>
      </w:r>
    </w:p>
    <w:p w14:paraId="5A3FA9AB" w14:textId="77777777" w:rsidR="00297ADC" w:rsidRDefault="00297ADC" w:rsidP="00297ADC">
      <w:pPr>
        <w:pStyle w:val="ListParagraph"/>
        <w:numPr>
          <w:ilvl w:val="0"/>
          <w:numId w:val="41"/>
        </w:numPr>
        <w:spacing w:after="160" w:line="259" w:lineRule="auto"/>
      </w:pPr>
      <w:r>
        <w:t>Opal</w:t>
      </w:r>
    </w:p>
    <w:p w14:paraId="575CF464" w14:textId="77777777" w:rsidR="00297ADC" w:rsidRDefault="00297ADC" w:rsidP="00297ADC">
      <w:pPr>
        <w:pStyle w:val="ListParagraph"/>
        <w:numPr>
          <w:ilvl w:val="0"/>
          <w:numId w:val="41"/>
        </w:numPr>
        <w:spacing w:after="160" w:line="259" w:lineRule="auto"/>
      </w:pPr>
      <w:r>
        <w:t>Origin Energy</w:t>
      </w:r>
    </w:p>
    <w:p w14:paraId="24187DB1" w14:textId="77777777" w:rsidR="00297ADC" w:rsidRDefault="00297ADC" w:rsidP="00297ADC">
      <w:pPr>
        <w:pStyle w:val="ListParagraph"/>
        <w:numPr>
          <w:ilvl w:val="0"/>
          <w:numId w:val="41"/>
        </w:numPr>
        <w:spacing w:after="160" w:line="259" w:lineRule="auto"/>
      </w:pPr>
      <w:r>
        <w:t>Peoples Climate Assembly</w:t>
      </w:r>
    </w:p>
    <w:p w14:paraId="5A9AAF37" w14:textId="77777777" w:rsidR="00297ADC" w:rsidRDefault="00297ADC" w:rsidP="00297ADC">
      <w:pPr>
        <w:pStyle w:val="ListParagraph"/>
        <w:numPr>
          <w:ilvl w:val="0"/>
          <w:numId w:val="41"/>
        </w:numPr>
        <w:spacing w:after="160" w:line="259" w:lineRule="auto"/>
      </w:pPr>
      <w:r>
        <w:t>Perth Hills Climate Change Interest Group Inc</w:t>
      </w:r>
    </w:p>
    <w:p w14:paraId="7B40A87E" w14:textId="77777777" w:rsidR="00297ADC" w:rsidRDefault="00297ADC" w:rsidP="00297ADC">
      <w:pPr>
        <w:pStyle w:val="ListParagraph"/>
        <w:numPr>
          <w:ilvl w:val="0"/>
          <w:numId w:val="41"/>
        </w:numPr>
        <w:spacing w:after="160" w:line="259" w:lineRule="auto"/>
      </w:pPr>
      <w:r>
        <w:t>Peter Todd</w:t>
      </w:r>
    </w:p>
    <w:p w14:paraId="7A8CEFF7" w14:textId="77777777" w:rsidR="00297ADC" w:rsidRDefault="00297ADC" w:rsidP="00297ADC">
      <w:pPr>
        <w:pStyle w:val="ListParagraph"/>
        <w:numPr>
          <w:ilvl w:val="0"/>
          <w:numId w:val="41"/>
        </w:numPr>
        <w:spacing w:after="160" w:line="259" w:lineRule="auto"/>
      </w:pPr>
      <w:r>
        <w:t>Pollination</w:t>
      </w:r>
    </w:p>
    <w:p w14:paraId="0BDEE339" w14:textId="77777777" w:rsidR="00297ADC" w:rsidRDefault="00297ADC" w:rsidP="00297ADC">
      <w:pPr>
        <w:pStyle w:val="ListParagraph"/>
        <w:numPr>
          <w:ilvl w:val="0"/>
          <w:numId w:val="41"/>
        </w:numPr>
        <w:spacing w:after="160" w:line="259" w:lineRule="auto"/>
      </w:pPr>
      <w:r>
        <w:t>Property Council of Australia</w:t>
      </w:r>
    </w:p>
    <w:p w14:paraId="00BFCB5E" w14:textId="77777777" w:rsidR="00297ADC" w:rsidRDefault="00297ADC" w:rsidP="00297ADC">
      <w:pPr>
        <w:pStyle w:val="ListParagraph"/>
        <w:numPr>
          <w:ilvl w:val="0"/>
          <w:numId w:val="41"/>
        </w:numPr>
        <w:spacing w:after="160" w:line="259" w:lineRule="auto"/>
      </w:pPr>
      <w:r>
        <w:t>PwC</w:t>
      </w:r>
    </w:p>
    <w:p w14:paraId="58E97777" w14:textId="77777777" w:rsidR="00297ADC" w:rsidRDefault="00297ADC" w:rsidP="00297ADC">
      <w:pPr>
        <w:pStyle w:val="ListParagraph"/>
        <w:numPr>
          <w:ilvl w:val="0"/>
          <w:numId w:val="41"/>
        </w:numPr>
        <w:spacing w:after="160" w:line="259" w:lineRule="auto"/>
      </w:pPr>
      <w:r>
        <w:t xml:space="preserve">Queensland Pacific Metals </w:t>
      </w:r>
    </w:p>
    <w:p w14:paraId="0F98F16B" w14:textId="77777777" w:rsidR="00297ADC" w:rsidRDefault="00297ADC" w:rsidP="00297ADC">
      <w:pPr>
        <w:pStyle w:val="ListParagraph"/>
        <w:numPr>
          <w:ilvl w:val="0"/>
          <w:numId w:val="41"/>
        </w:numPr>
        <w:spacing w:after="160" w:line="259" w:lineRule="auto"/>
      </w:pPr>
      <w:proofErr w:type="spellStart"/>
      <w:r>
        <w:t>Reputex</w:t>
      </w:r>
      <w:proofErr w:type="spellEnd"/>
    </w:p>
    <w:p w14:paraId="797244FF" w14:textId="77777777" w:rsidR="00297ADC" w:rsidRDefault="00297ADC" w:rsidP="00297ADC">
      <w:pPr>
        <w:pStyle w:val="ListParagraph"/>
        <w:numPr>
          <w:ilvl w:val="0"/>
          <w:numId w:val="41"/>
        </w:numPr>
        <w:spacing w:after="160" w:line="259" w:lineRule="auto"/>
      </w:pPr>
      <w:r>
        <w:t>Rio Tinto</w:t>
      </w:r>
    </w:p>
    <w:p w14:paraId="2FCDF482" w14:textId="77777777" w:rsidR="00297ADC" w:rsidRDefault="00297ADC" w:rsidP="00297ADC">
      <w:pPr>
        <w:pStyle w:val="ListParagraph"/>
        <w:numPr>
          <w:ilvl w:val="0"/>
          <w:numId w:val="41"/>
        </w:numPr>
        <w:spacing w:after="160" w:line="259" w:lineRule="auto"/>
      </w:pPr>
      <w:proofErr w:type="spellStart"/>
      <w:r>
        <w:t>Sacome</w:t>
      </w:r>
      <w:proofErr w:type="spellEnd"/>
    </w:p>
    <w:p w14:paraId="0B29DB19" w14:textId="77777777" w:rsidR="00297ADC" w:rsidRDefault="00297ADC" w:rsidP="00297ADC">
      <w:pPr>
        <w:pStyle w:val="ListParagraph"/>
        <w:numPr>
          <w:ilvl w:val="0"/>
          <w:numId w:val="41"/>
        </w:numPr>
        <w:spacing w:after="160" w:line="259" w:lineRule="auto"/>
      </w:pPr>
      <w:r>
        <w:t>Sophie Scamps MP</w:t>
      </w:r>
    </w:p>
    <w:p w14:paraId="5FC70694" w14:textId="77777777" w:rsidR="00297ADC" w:rsidRDefault="00297ADC" w:rsidP="00297ADC">
      <w:pPr>
        <w:pStyle w:val="ListParagraph"/>
        <w:numPr>
          <w:ilvl w:val="0"/>
          <w:numId w:val="41"/>
        </w:numPr>
        <w:spacing w:after="160" w:line="259" w:lineRule="auto"/>
      </w:pPr>
      <w:r>
        <w:t>South32</w:t>
      </w:r>
    </w:p>
    <w:p w14:paraId="715433F4" w14:textId="77777777" w:rsidR="00297ADC" w:rsidRDefault="00297ADC" w:rsidP="00297ADC">
      <w:pPr>
        <w:pStyle w:val="ListParagraph"/>
        <w:numPr>
          <w:ilvl w:val="0"/>
          <w:numId w:val="41"/>
        </w:numPr>
        <w:spacing w:after="160" w:line="259" w:lineRule="auto"/>
      </w:pPr>
      <w:r>
        <w:t>Student Environment and Animal Law Society</w:t>
      </w:r>
    </w:p>
    <w:p w14:paraId="465A0FD3" w14:textId="77777777" w:rsidR="00297ADC" w:rsidRDefault="00297ADC" w:rsidP="00297ADC">
      <w:pPr>
        <w:pStyle w:val="ListParagraph"/>
        <w:numPr>
          <w:ilvl w:val="0"/>
          <w:numId w:val="41"/>
        </w:numPr>
        <w:spacing w:after="160" w:line="259" w:lineRule="auto"/>
      </w:pPr>
      <w:proofErr w:type="spellStart"/>
      <w:r>
        <w:t>Tamboran</w:t>
      </w:r>
      <w:proofErr w:type="spellEnd"/>
      <w:r>
        <w:t xml:space="preserve"> Resources</w:t>
      </w:r>
    </w:p>
    <w:p w14:paraId="081DF8FB" w14:textId="77777777" w:rsidR="00297ADC" w:rsidRDefault="00297ADC" w:rsidP="00297ADC">
      <w:pPr>
        <w:pStyle w:val="ListParagraph"/>
        <w:numPr>
          <w:ilvl w:val="0"/>
          <w:numId w:val="41"/>
        </w:numPr>
        <w:spacing w:after="160" w:line="259" w:lineRule="auto"/>
      </w:pPr>
      <w:r>
        <w:t>Tasman Environmental Markets</w:t>
      </w:r>
    </w:p>
    <w:p w14:paraId="00E57B2C" w14:textId="77777777" w:rsidR="00297ADC" w:rsidRDefault="0029533D" w:rsidP="00297ADC">
      <w:pPr>
        <w:pStyle w:val="ListParagraph"/>
        <w:numPr>
          <w:ilvl w:val="0"/>
          <w:numId w:val="41"/>
        </w:numPr>
        <w:spacing w:after="160" w:line="259" w:lineRule="auto"/>
      </w:pPr>
      <w:r>
        <w:t xml:space="preserve">Team Global Express </w:t>
      </w:r>
    </w:p>
    <w:p w14:paraId="7EB2ED1F" w14:textId="77777777" w:rsidR="00297ADC" w:rsidRDefault="00297ADC" w:rsidP="00297ADC">
      <w:pPr>
        <w:pStyle w:val="ListParagraph"/>
        <w:numPr>
          <w:ilvl w:val="0"/>
          <w:numId w:val="41"/>
        </w:numPr>
        <w:spacing w:after="160" w:line="259" w:lineRule="auto"/>
      </w:pPr>
      <w:r>
        <w:t>The Bloomfield Group</w:t>
      </w:r>
    </w:p>
    <w:p w14:paraId="313FA990" w14:textId="77777777" w:rsidR="00297ADC" w:rsidRDefault="00297ADC" w:rsidP="00297ADC">
      <w:pPr>
        <w:pStyle w:val="ListParagraph"/>
        <w:numPr>
          <w:ilvl w:val="0"/>
          <w:numId w:val="41"/>
        </w:numPr>
        <w:spacing w:after="160" w:line="259" w:lineRule="auto"/>
      </w:pPr>
      <w:r>
        <w:t>Tilt Renewables</w:t>
      </w:r>
    </w:p>
    <w:p w14:paraId="7258BC85" w14:textId="77777777" w:rsidR="00297ADC" w:rsidRDefault="00297ADC" w:rsidP="00297ADC">
      <w:pPr>
        <w:pStyle w:val="ListParagraph"/>
        <w:numPr>
          <w:ilvl w:val="0"/>
          <w:numId w:val="41"/>
        </w:numPr>
        <w:spacing w:after="160" w:line="259" w:lineRule="auto"/>
      </w:pPr>
      <w:r>
        <w:t>Tim Bateman</w:t>
      </w:r>
    </w:p>
    <w:p w14:paraId="514537E5" w14:textId="77777777" w:rsidR="00297ADC" w:rsidRDefault="00297ADC" w:rsidP="00297ADC">
      <w:pPr>
        <w:pStyle w:val="ListParagraph"/>
        <w:numPr>
          <w:ilvl w:val="0"/>
          <w:numId w:val="41"/>
        </w:numPr>
        <w:spacing w:after="160" w:line="259" w:lineRule="auto"/>
      </w:pPr>
      <w:r>
        <w:t>Tim Kelly</w:t>
      </w:r>
    </w:p>
    <w:p w14:paraId="677E3683" w14:textId="77777777" w:rsidR="00297ADC" w:rsidRDefault="00297ADC" w:rsidP="00297ADC">
      <w:pPr>
        <w:pStyle w:val="ListParagraph"/>
        <w:numPr>
          <w:ilvl w:val="0"/>
          <w:numId w:val="41"/>
        </w:numPr>
        <w:spacing w:after="160" w:line="259" w:lineRule="auto"/>
      </w:pPr>
      <w:proofErr w:type="spellStart"/>
      <w:r>
        <w:t>Transborders</w:t>
      </w:r>
      <w:proofErr w:type="spellEnd"/>
      <w:r>
        <w:t xml:space="preserve"> Energy </w:t>
      </w:r>
    </w:p>
    <w:p w14:paraId="6FFE3620" w14:textId="77777777" w:rsidR="00297ADC" w:rsidRDefault="00297ADC" w:rsidP="00297ADC">
      <w:pPr>
        <w:pStyle w:val="ListParagraph"/>
        <w:numPr>
          <w:ilvl w:val="0"/>
          <w:numId w:val="41"/>
        </w:numPr>
        <w:spacing w:after="160" w:line="259" w:lineRule="auto"/>
      </w:pPr>
      <w:r>
        <w:t>Uniting Church (Vic &amp; Tas)</w:t>
      </w:r>
    </w:p>
    <w:p w14:paraId="066F511B" w14:textId="77777777" w:rsidR="00297ADC" w:rsidRDefault="00297ADC" w:rsidP="00297ADC">
      <w:pPr>
        <w:pStyle w:val="ListParagraph"/>
        <w:numPr>
          <w:ilvl w:val="0"/>
          <w:numId w:val="41"/>
        </w:numPr>
        <w:spacing w:after="160" w:line="259" w:lineRule="auto"/>
      </w:pPr>
      <w:proofErr w:type="spellStart"/>
      <w:r>
        <w:t>Veoila</w:t>
      </w:r>
      <w:proofErr w:type="spellEnd"/>
      <w:r>
        <w:t xml:space="preserve"> Environmental Services Australia</w:t>
      </w:r>
    </w:p>
    <w:p w14:paraId="77872670" w14:textId="77777777" w:rsidR="00297ADC" w:rsidRDefault="00297ADC" w:rsidP="00297ADC">
      <w:pPr>
        <w:pStyle w:val="ListParagraph"/>
        <w:numPr>
          <w:ilvl w:val="0"/>
          <w:numId w:val="41"/>
        </w:numPr>
        <w:spacing w:after="160" w:line="259" w:lineRule="auto"/>
      </w:pPr>
      <w:r>
        <w:t>Virgin Australia</w:t>
      </w:r>
    </w:p>
    <w:p w14:paraId="16DA8848" w14:textId="77777777" w:rsidR="00297ADC" w:rsidRDefault="00297ADC" w:rsidP="00297ADC">
      <w:pPr>
        <w:pStyle w:val="ListParagraph"/>
        <w:numPr>
          <w:ilvl w:val="0"/>
          <w:numId w:val="41"/>
        </w:numPr>
        <w:spacing w:after="160" w:line="259" w:lineRule="auto"/>
      </w:pPr>
      <w:r>
        <w:t>Voluntary Carbon Markets Association</w:t>
      </w:r>
    </w:p>
    <w:p w14:paraId="58AAF3B8" w14:textId="77777777" w:rsidR="00297ADC" w:rsidRDefault="00297ADC" w:rsidP="00297ADC">
      <w:pPr>
        <w:pStyle w:val="ListParagraph"/>
        <w:numPr>
          <w:ilvl w:val="0"/>
          <w:numId w:val="41"/>
        </w:numPr>
        <w:spacing w:after="160" w:line="259" w:lineRule="auto"/>
      </w:pPr>
      <w:r>
        <w:t>WA EPA</w:t>
      </w:r>
    </w:p>
    <w:p w14:paraId="3154B136" w14:textId="77777777" w:rsidR="00297ADC" w:rsidRDefault="00297ADC" w:rsidP="00297ADC">
      <w:pPr>
        <w:pStyle w:val="ListParagraph"/>
        <w:numPr>
          <w:ilvl w:val="0"/>
          <w:numId w:val="41"/>
        </w:numPr>
        <w:spacing w:after="160" w:line="259" w:lineRule="auto"/>
      </w:pPr>
      <w:r>
        <w:t>Waste Management and Resource Recovery Association of Australia</w:t>
      </w:r>
    </w:p>
    <w:p w14:paraId="191F3684" w14:textId="77777777" w:rsidR="00297ADC" w:rsidRDefault="00297ADC" w:rsidP="00297ADC">
      <w:pPr>
        <w:pStyle w:val="ListParagraph"/>
        <w:numPr>
          <w:ilvl w:val="0"/>
          <w:numId w:val="41"/>
        </w:numPr>
        <w:spacing w:after="160" w:line="259" w:lineRule="auto"/>
      </w:pPr>
      <w:r>
        <w:t>Whitehaven</w:t>
      </w:r>
    </w:p>
    <w:p w14:paraId="5D7B2DE2" w14:textId="77777777" w:rsidR="00297ADC" w:rsidRDefault="00297ADC" w:rsidP="00297ADC">
      <w:pPr>
        <w:pStyle w:val="ListParagraph"/>
        <w:numPr>
          <w:ilvl w:val="0"/>
          <w:numId w:val="41"/>
        </w:numPr>
        <w:spacing w:after="160" w:line="259" w:lineRule="auto"/>
      </w:pPr>
      <w:r>
        <w:t>Wilderness Australia</w:t>
      </w:r>
    </w:p>
    <w:p w14:paraId="599C1F53" w14:textId="77777777" w:rsidR="00297ADC" w:rsidRDefault="00297ADC" w:rsidP="00297ADC">
      <w:pPr>
        <w:pStyle w:val="ListParagraph"/>
        <w:numPr>
          <w:ilvl w:val="0"/>
          <w:numId w:val="41"/>
        </w:numPr>
        <w:spacing w:after="160" w:line="259" w:lineRule="auto"/>
      </w:pPr>
      <w:r>
        <w:t>Woodside Energy</w:t>
      </w:r>
    </w:p>
    <w:p w14:paraId="556AA664" w14:textId="77777777" w:rsidR="00297ADC" w:rsidRDefault="00297ADC" w:rsidP="00297ADC">
      <w:pPr>
        <w:pStyle w:val="ListParagraph"/>
        <w:numPr>
          <w:ilvl w:val="0"/>
          <w:numId w:val="41"/>
        </w:numPr>
        <w:spacing w:after="160" w:line="259" w:lineRule="auto"/>
      </w:pPr>
      <w:r>
        <w:t>WWF</w:t>
      </w:r>
    </w:p>
    <w:p w14:paraId="777E321A" w14:textId="77777777" w:rsidR="00297ADC" w:rsidRDefault="00297ADC" w:rsidP="00297ADC">
      <w:pPr>
        <w:pStyle w:val="ListParagraph"/>
        <w:numPr>
          <w:ilvl w:val="0"/>
          <w:numId w:val="41"/>
        </w:numPr>
        <w:spacing w:after="160" w:line="259" w:lineRule="auto"/>
      </w:pPr>
      <w:proofErr w:type="spellStart"/>
      <w:r>
        <w:t>Zali</w:t>
      </w:r>
      <w:proofErr w:type="spellEnd"/>
      <w:r>
        <w:t xml:space="preserve"> </w:t>
      </w:r>
      <w:proofErr w:type="spellStart"/>
      <w:r>
        <w:t>Steggall</w:t>
      </w:r>
      <w:proofErr w:type="spellEnd"/>
      <w:r>
        <w:t xml:space="preserve"> MP</w:t>
      </w:r>
    </w:p>
    <w:p w14:paraId="3F54FF3D" w14:textId="77777777" w:rsidR="00297ADC" w:rsidRDefault="00297ADC" w:rsidP="00297ADC">
      <w:pPr>
        <w:pStyle w:val="Subtitle"/>
        <w:sectPr w:rsidR="00297ADC" w:rsidSect="00297ADC">
          <w:type w:val="continuous"/>
          <w:pgSz w:w="11906" w:h="16838"/>
          <w:pgMar w:top="1559" w:right="851" w:bottom="1701" w:left="851" w:header="567" w:footer="57" w:gutter="0"/>
          <w:cols w:num="2" w:space="708"/>
          <w:docGrid w:linePitch="360"/>
        </w:sectPr>
      </w:pPr>
    </w:p>
    <w:p w14:paraId="3AD0A14D" w14:textId="77777777" w:rsidR="003E161B" w:rsidRDefault="003E161B">
      <w:pPr>
        <w:pStyle w:val="Heading2"/>
        <w:sectPr w:rsidR="003E161B" w:rsidSect="00297ADC">
          <w:type w:val="continuous"/>
          <w:pgSz w:w="11906" w:h="16838"/>
          <w:pgMar w:top="1559" w:right="851" w:bottom="1701" w:left="851" w:header="567" w:footer="57" w:gutter="0"/>
          <w:cols w:space="708"/>
          <w:docGrid w:linePitch="360"/>
        </w:sectPr>
      </w:pPr>
      <w:bookmarkStart w:id="320" w:name="_Toc118750398"/>
      <w:bookmarkStart w:id="321" w:name="_Toc118754674"/>
      <w:bookmarkStart w:id="322" w:name="_Toc118813965"/>
    </w:p>
    <w:p w14:paraId="70C8CE27" w14:textId="77777777" w:rsidR="00297ADC" w:rsidRDefault="00297ADC" w:rsidP="00DA1B55">
      <w:pPr>
        <w:pStyle w:val="Heading2"/>
      </w:pPr>
      <w:bookmarkStart w:id="323" w:name="_Toc119327172"/>
      <w:bookmarkStart w:id="324" w:name="_Toc119360676"/>
      <w:bookmarkStart w:id="325" w:name="_Toc132807575"/>
      <w:r>
        <w:lastRenderedPageBreak/>
        <w:t>Non</w:t>
      </w:r>
      <w:r w:rsidR="00B95C46">
        <w:t>-</w:t>
      </w:r>
      <w:r>
        <w:t>confidential submissions received on Draft Bill</w:t>
      </w:r>
      <w:bookmarkEnd w:id="320"/>
      <w:bookmarkEnd w:id="321"/>
      <w:bookmarkEnd w:id="322"/>
      <w:bookmarkEnd w:id="323"/>
      <w:bookmarkEnd w:id="324"/>
      <w:r w:rsidR="006F24D7">
        <w:rPr>
          <w:rStyle w:val="FootnoteReference"/>
        </w:rPr>
        <w:footnoteReference w:id="35"/>
      </w:r>
      <w:bookmarkEnd w:id="325"/>
    </w:p>
    <w:p w14:paraId="62999D6F" w14:textId="77777777" w:rsidR="00297ADC" w:rsidRDefault="00297ADC" w:rsidP="00297ADC">
      <w:pPr>
        <w:pStyle w:val="ListParagraph"/>
        <w:numPr>
          <w:ilvl w:val="0"/>
          <w:numId w:val="42"/>
        </w:numPr>
        <w:spacing w:after="160" w:line="259" w:lineRule="auto"/>
        <w:sectPr w:rsidR="00297ADC" w:rsidSect="003E161B">
          <w:pgSz w:w="11906" w:h="16838"/>
          <w:pgMar w:top="1559" w:right="851" w:bottom="1701" w:left="851" w:header="567" w:footer="57" w:gutter="0"/>
          <w:cols w:space="708"/>
          <w:docGrid w:linePitch="360"/>
        </w:sectPr>
      </w:pPr>
    </w:p>
    <w:p w14:paraId="3A39A17D" w14:textId="77777777" w:rsidR="00297ADC" w:rsidRPr="004451A5" w:rsidRDefault="00297ADC" w:rsidP="00297ADC">
      <w:pPr>
        <w:pStyle w:val="ListParagraph"/>
        <w:numPr>
          <w:ilvl w:val="0"/>
          <w:numId w:val="42"/>
        </w:numPr>
        <w:spacing w:after="160" w:line="259" w:lineRule="auto"/>
      </w:pPr>
      <w:r w:rsidRPr="004451A5">
        <w:t>Alinta Energy</w:t>
      </w:r>
    </w:p>
    <w:p w14:paraId="4FF4FD0B" w14:textId="77777777" w:rsidR="00297ADC" w:rsidRPr="004451A5" w:rsidRDefault="00297ADC" w:rsidP="00297ADC">
      <w:pPr>
        <w:pStyle w:val="ListParagraph"/>
        <w:numPr>
          <w:ilvl w:val="0"/>
          <w:numId w:val="42"/>
        </w:numPr>
        <w:spacing w:after="160" w:line="259" w:lineRule="auto"/>
      </w:pPr>
      <w:r w:rsidRPr="004451A5">
        <w:t>AMEC</w:t>
      </w:r>
    </w:p>
    <w:p w14:paraId="049C7786" w14:textId="77777777" w:rsidR="00297ADC" w:rsidRPr="004451A5" w:rsidRDefault="00297ADC" w:rsidP="00297ADC">
      <w:pPr>
        <w:pStyle w:val="ListParagraph"/>
        <w:numPr>
          <w:ilvl w:val="0"/>
          <w:numId w:val="42"/>
        </w:numPr>
        <w:spacing w:after="160" w:line="259" w:lineRule="auto"/>
      </w:pPr>
      <w:proofErr w:type="spellStart"/>
      <w:r w:rsidRPr="004451A5">
        <w:t>APPEA</w:t>
      </w:r>
      <w:proofErr w:type="spellEnd"/>
    </w:p>
    <w:p w14:paraId="01A21212" w14:textId="77777777" w:rsidR="00297ADC" w:rsidRPr="004451A5" w:rsidRDefault="00297ADC" w:rsidP="00297ADC">
      <w:pPr>
        <w:pStyle w:val="ListParagraph"/>
        <w:numPr>
          <w:ilvl w:val="0"/>
          <w:numId w:val="42"/>
        </w:numPr>
        <w:spacing w:after="160" w:line="259" w:lineRule="auto"/>
      </w:pPr>
      <w:r w:rsidRPr="004451A5">
        <w:t xml:space="preserve">Australasian Centre for Corporate Responsibility </w:t>
      </w:r>
    </w:p>
    <w:p w14:paraId="419BED78" w14:textId="77777777" w:rsidR="00297ADC" w:rsidRPr="00297ADC" w:rsidRDefault="00297ADC" w:rsidP="00297ADC">
      <w:pPr>
        <w:pStyle w:val="ListParagraph"/>
        <w:numPr>
          <w:ilvl w:val="0"/>
          <w:numId w:val="42"/>
        </w:numPr>
      </w:pPr>
      <w:r w:rsidRPr="00297ADC">
        <w:t>The Australia Institute</w:t>
      </w:r>
    </w:p>
    <w:p w14:paraId="15F1DF87" w14:textId="77777777" w:rsidR="00297ADC" w:rsidRPr="004451A5" w:rsidRDefault="00297ADC" w:rsidP="00297ADC">
      <w:pPr>
        <w:pStyle w:val="ListParagraph"/>
        <w:numPr>
          <w:ilvl w:val="0"/>
          <w:numId w:val="42"/>
        </w:numPr>
        <w:spacing w:after="160" w:line="259" w:lineRule="auto"/>
      </w:pPr>
      <w:r w:rsidRPr="004451A5">
        <w:t>Australian Aluminium Council</w:t>
      </w:r>
    </w:p>
    <w:p w14:paraId="7B18EF31" w14:textId="77777777" w:rsidR="00297ADC" w:rsidRPr="004451A5" w:rsidRDefault="00297ADC" w:rsidP="00297ADC">
      <w:pPr>
        <w:pStyle w:val="ListParagraph"/>
        <w:numPr>
          <w:ilvl w:val="0"/>
          <w:numId w:val="42"/>
        </w:numPr>
        <w:spacing w:after="160" w:line="259" w:lineRule="auto"/>
      </w:pPr>
      <w:r w:rsidRPr="004451A5">
        <w:t>Australian Conservation Foundation</w:t>
      </w:r>
    </w:p>
    <w:p w14:paraId="069D3100" w14:textId="77777777" w:rsidR="00297ADC" w:rsidRPr="004451A5" w:rsidRDefault="00297ADC" w:rsidP="00297ADC">
      <w:pPr>
        <w:pStyle w:val="ListParagraph"/>
        <w:numPr>
          <w:ilvl w:val="0"/>
          <w:numId w:val="42"/>
        </w:numPr>
        <w:spacing w:after="160" w:line="259" w:lineRule="auto"/>
      </w:pPr>
      <w:r w:rsidRPr="004451A5">
        <w:t>Australian Financial Markets Association</w:t>
      </w:r>
    </w:p>
    <w:p w14:paraId="576D8CC3" w14:textId="77777777" w:rsidR="00297ADC" w:rsidRPr="004451A5" w:rsidRDefault="00297ADC" w:rsidP="00297ADC">
      <w:pPr>
        <w:pStyle w:val="ListParagraph"/>
        <w:numPr>
          <w:ilvl w:val="0"/>
          <w:numId w:val="42"/>
        </w:numPr>
        <w:spacing w:after="160" w:line="259" w:lineRule="auto"/>
      </w:pPr>
      <w:r w:rsidRPr="004451A5">
        <w:t>Australian Pipelines and Gas Association</w:t>
      </w:r>
    </w:p>
    <w:p w14:paraId="20BE04C9" w14:textId="77777777" w:rsidR="00297ADC" w:rsidRPr="004451A5" w:rsidRDefault="00297ADC" w:rsidP="00297ADC">
      <w:pPr>
        <w:pStyle w:val="ListParagraph"/>
        <w:numPr>
          <w:ilvl w:val="0"/>
          <w:numId w:val="42"/>
        </w:numPr>
        <w:spacing w:after="160" w:line="259" w:lineRule="auto"/>
      </w:pPr>
      <w:r w:rsidRPr="004451A5">
        <w:t>Australian Projections</w:t>
      </w:r>
    </w:p>
    <w:p w14:paraId="34CA54BC" w14:textId="77777777" w:rsidR="00297ADC" w:rsidRPr="004451A5" w:rsidRDefault="00297ADC" w:rsidP="00297ADC">
      <w:pPr>
        <w:pStyle w:val="ListParagraph"/>
        <w:numPr>
          <w:ilvl w:val="0"/>
          <w:numId w:val="42"/>
        </w:numPr>
        <w:spacing w:after="160" w:line="259" w:lineRule="auto"/>
      </w:pPr>
      <w:r w:rsidRPr="004451A5">
        <w:t>Australian Workers Union</w:t>
      </w:r>
    </w:p>
    <w:p w14:paraId="51216F3C" w14:textId="77777777" w:rsidR="00297ADC" w:rsidRPr="004451A5" w:rsidRDefault="00297ADC" w:rsidP="00297ADC">
      <w:pPr>
        <w:pStyle w:val="ListParagraph"/>
        <w:numPr>
          <w:ilvl w:val="0"/>
          <w:numId w:val="42"/>
        </w:numPr>
        <w:spacing w:after="160" w:line="259" w:lineRule="auto"/>
      </w:pPr>
      <w:r w:rsidRPr="004451A5">
        <w:t>Bioenergy Australia</w:t>
      </w:r>
    </w:p>
    <w:p w14:paraId="0AB540D1" w14:textId="77777777" w:rsidR="00AF6AFB" w:rsidRPr="004451A5" w:rsidRDefault="00AF6AFB" w:rsidP="00297ADC">
      <w:pPr>
        <w:pStyle w:val="ListParagraph"/>
        <w:numPr>
          <w:ilvl w:val="0"/>
          <w:numId w:val="42"/>
        </w:numPr>
        <w:spacing w:after="160" w:line="259" w:lineRule="auto"/>
      </w:pPr>
      <w:r>
        <w:t>BP</w:t>
      </w:r>
    </w:p>
    <w:p w14:paraId="66845A9B" w14:textId="77777777" w:rsidR="00297ADC" w:rsidRPr="004451A5" w:rsidRDefault="00297ADC" w:rsidP="00297ADC">
      <w:pPr>
        <w:pStyle w:val="ListParagraph"/>
        <w:numPr>
          <w:ilvl w:val="0"/>
          <w:numId w:val="42"/>
        </w:numPr>
        <w:spacing w:after="160" w:line="259" w:lineRule="auto"/>
      </w:pPr>
      <w:r w:rsidRPr="004451A5">
        <w:t>Business Council for Sustainable Development Australia</w:t>
      </w:r>
    </w:p>
    <w:p w14:paraId="7E94CD7D" w14:textId="77777777" w:rsidR="00297ADC" w:rsidRPr="004451A5" w:rsidRDefault="00297ADC" w:rsidP="00297ADC">
      <w:pPr>
        <w:pStyle w:val="ListParagraph"/>
        <w:numPr>
          <w:ilvl w:val="0"/>
          <w:numId w:val="42"/>
        </w:numPr>
        <w:spacing w:after="160" w:line="259" w:lineRule="auto"/>
      </w:pPr>
      <w:r w:rsidRPr="004451A5">
        <w:t>Business Council of Australia</w:t>
      </w:r>
    </w:p>
    <w:p w14:paraId="2D9C24CE" w14:textId="77777777" w:rsidR="00AF6AFB" w:rsidRPr="004451A5" w:rsidRDefault="00AF6AFB" w:rsidP="00297ADC">
      <w:pPr>
        <w:pStyle w:val="ListParagraph"/>
        <w:numPr>
          <w:ilvl w:val="0"/>
          <w:numId w:val="42"/>
        </w:numPr>
        <w:spacing w:after="160" w:line="259" w:lineRule="auto"/>
      </w:pPr>
      <w:r>
        <w:t xml:space="preserve">Carbon Market Institute </w:t>
      </w:r>
    </w:p>
    <w:p w14:paraId="5A3CB7FE" w14:textId="77777777" w:rsidR="00297ADC" w:rsidRPr="004451A5" w:rsidRDefault="00297ADC" w:rsidP="00297ADC">
      <w:pPr>
        <w:pStyle w:val="ListParagraph"/>
        <w:numPr>
          <w:ilvl w:val="0"/>
          <w:numId w:val="42"/>
        </w:numPr>
        <w:spacing w:after="160" w:line="259" w:lineRule="auto"/>
      </w:pPr>
      <w:r w:rsidRPr="004451A5">
        <w:t>Cement Industry Foundation</w:t>
      </w:r>
    </w:p>
    <w:p w14:paraId="666B7E36" w14:textId="77777777" w:rsidR="00297ADC" w:rsidRPr="004451A5" w:rsidRDefault="00297ADC" w:rsidP="00297ADC">
      <w:pPr>
        <w:pStyle w:val="ListParagraph"/>
        <w:numPr>
          <w:ilvl w:val="0"/>
          <w:numId w:val="42"/>
        </w:numPr>
        <w:spacing w:after="160" w:line="259" w:lineRule="auto"/>
      </w:pPr>
      <w:r w:rsidRPr="004451A5">
        <w:t>Chemistry Australia</w:t>
      </w:r>
    </w:p>
    <w:p w14:paraId="44D5CFE2" w14:textId="77777777" w:rsidR="00297ADC" w:rsidRPr="004451A5" w:rsidRDefault="00297ADC" w:rsidP="00297ADC">
      <w:pPr>
        <w:pStyle w:val="ListParagraph"/>
        <w:numPr>
          <w:ilvl w:val="0"/>
          <w:numId w:val="42"/>
        </w:numPr>
        <w:spacing w:after="160" w:line="259" w:lineRule="auto"/>
      </w:pPr>
      <w:r w:rsidRPr="004451A5">
        <w:t xml:space="preserve">Claudia </w:t>
      </w:r>
      <w:proofErr w:type="spellStart"/>
      <w:r w:rsidRPr="004451A5">
        <w:t>Tegoning</w:t>
      </w:r>
      <w:proofErr w:type="spellEnd"/>
    </w:p>
    <w:p w14:paraId="5994EB04" w14:textId="77777777" w:rsidR="00297ADC" w:rsidRPr="004451A5" w:rsidRDefault="00297ADC" w:rsidP="00297ADC">
      <w:pPr>
        <w:pStyle w:val="ListParagraph"/>
        <w:numPr>
          <w:ilvl w:val="0"/>
          <w:numId w:val="42"/>
        </w:numPr>
        <w:spacing w:after="160" w:line="259" w:lineRule="auto"/>
      </w:pPr>
      <w:r w:rsidRPr="004451A5">
        <w:t>Clean Renewable Energy Designs</w:t>
      </w:r>
    </w:p>
    <w:p w14:paraId="4108D118" w14:textId="77777777" w:rsidR="00297ADC" w:rsidRPr="004451A5" w:rsidRDefault="00297ADC" w:rsidP="00297ADC">
      <w:pPr>
        <w:pStyle w:val="ListParagraph"/>
        <w:numPr>
          <w:ilvl w:val="0"/>
          <w:numId w:val="42"/>
        </w:numPr>
        <w:spacing w:after="160" w:line="259" w:lineRule="auto"/>
      </w:pPr>
      <w:r w:rsidRPr="004451A5">
        <w:t>Climate Action Burwood Canada Bay</w:t>
      </w:r>
    </w:p>
    <w:p w14:paraId="0A4A5AFE" w14:textId="77777777" w:rsidR="00297ADC" w:rsidRPr="004451A5" w:rsidRDefault="00297ADC" w:rsidP="00297ADC">
      <w:pPr>
        <w:pStyle w:val="ListParagraph"/>
        <w:numPr>
          <w:ilvl w:val="0"/>
          <w:numId w:val="42"/>
        </w:numPr>
        <w:spacing w:after="160" w:line="259" w:lineRule="auto"/>
      </w:pPr>
      <w:proofErr w:type="spellStart"/>
      <w:r w:rsidRPr="004451A5">
        <w:t>deepC</w:t>
      </w:r>
      <w:proofErr w:type="spellEnd"/>
      <w:r w:rsidRPr="004451A5">
        <w:t xml:space="preserve"> Store</w:t>
      </w:r>
    </w:p>
    <w:p w14:paraId="61916A82" w14:textId="77777777" w:rsidR="00297ADC" w:rsidRPr="004451A5" w:rsidRDefault="00297ADC" w:rsidP="00297ADC">
      <w:pPr>
        <w:pStyle w:val="ListParagraph"/>
        <w:numPr>
          <w:ilvl w:val="0"/>
          <w:numId w:val="42"/>
        </w:numPr>
        <w:spacing w:after="160" w:line="259" w:lineRule="auto"/>
      </w:pPr>
      <w:r w:rsidRPr="004451A5">
        <w:t>Energy Users' Association of Australia</w:t>
      </w:r>
    </w:p>
    <w:p w14:paraId="22AFEBD3" w14:textId="77777777" w:rsidR="00297ADC" w:rsidRPr="004451A5" w:rsidRDefault="00297ADC" w:rsidP="00297ADC">
      <w:pPr>
        <w:pStyle w:val="ListParagraph"/>
        <w:numPr>
          <w:ilvl w:val="0"/>
          <w:numId w:val="42"/>
        </w:numPr>
        <w:spacing w:after="160" w:line="259" w:lineRule="auto"/>
      </w:pPr>
      <w:r w:rsidRPr="004451A5">
        <w:t>Environmental Defenders Office</w:t>
      </w:r>
    </w:p>
    <w:p w14:paraId="51F6B506" w14:textId="77777777" w:rsidR="00297ADC" w:rsidRPr="004451A5" w:rsidRDefault="00297ADC" w:rsidP="00297ADC">
      <w:pPr>
        <w:pStyle w:val="ListParagraph"/>
        <w:numPr>
          <w:ilvl w:val="0"/>
          <w:numId w:val="42"/>
        </w:numPr>
        <w:spacing w:after="160" w:line="259" w:lineRule="auto"/>
      </w:pPr>
      <w:r w:rsidRPr="004451A5">
        <w:t>Fortescue Metals</w:t>
      </w:r>
    </w:p>
    <w:p w14:paraId="008B89F0" w14:textId="77777777" w:rsidR="00297ADC" w:rsidRPr="004451A5" w:rsidRDefault="00297ADC" w:rsidP="00297ADC">
      <w:pPr>
        <w:pStyle w:val="ListParagraph"/>
        <w:numPr>
          <w:ilvl w:val="0"/>
          <w:numId w:val="42"/>
        </w:numPr>
        <w:spacing w:after="160" w:line="259" w:lineRule="auto"/>
      </w:pPr>
      <w:r w:rsidRPr="004451A5">
        <w:t>Glencore</w:t>
      </w:r>
    </w:p>
    <w:p w14:paraId="04377F1A" w14:textId="77777777" w:rsidR="00AF6AFB" w:rsidRPr="004451A5" w:rsidRDefault="00AF6AFB" w:rsidP="00297ADC">
      <w:pPr>
        <w:pStyle w:val="ListParagraph"/>
        <w:numPr>
          <w:ilvl w:val="0"/>
          <w:numId w:val="42"/>
        </w:numPr>
        <w:spacing w:after="160" w:line="259" w:lineRule="auto"/>
      </w:pPr>
      <w:r>
        <w:t>Greening Australia</w:t>
      </w:r>
    </w:p>
    <w:p w14:paraId="6013C3CA" w14:textId="77777777" w:rsidR="00297ADC" w:rsidRPr="004451A5" w:rsidRDefault="00297ADC" w:rsidP="00297ADC">
      <w:pPr>
        <w:pStyle w:val="ListParagraph"/>
        <w:numPr>
          <w:ilvl w:val="0"/>
          <w:numId w:val="42"/>
        </w:numPr>
        <w:spacing w:after="160" w:line="259" w:lineRule="auto"/>
      </w:pPr>
      <w:proofErr w:type="spellStart"/>
      <w:r w:rsidRPr="004451A5">
        <w:t>Idemitsu</w:t>
      </w:r>
      <w:proofErr w:type="spellEnd"/>
      <w:r w:rsidRPr="004451A5">
        <w:t xml:space="preserve"> Australia</w:t>
      </w:r>
    </w:p>
    <w:p w14:paraId="714AFC52" w14:textId="77777777" w:rsidR="00297ADC" w:rsidRPr="004451A5" w:rsidRDefault="00297ADC" w:rsidP="00297ADC">
      <w:pPr>
        <w:pStyle w:val="ListParagraph"/>
        <w:numPr>
          <w:ilvl w:val="0"/>
          <w:numId w:val="42"/>
        </w:numPr>
        <w:spacing w:after="160" w:line="259" w:lineRule="auto"/>
      </w:pPr>
      <w:r w:rsidRPr="004451A5">
        <w:t>INPEX</w:t>
      </w:r>
    </w:p>
    <w:p w14:paraId="64BED1DE" w14:textId="77777777" w:rsidR="00297ADC" w:rsidRPr="004451A5" w:rsidRDefault="00297ADC" w:rsidP="00297ADC">
      <w:pPr>
        <w:pStyle w:val="ListParagraph"/>
        <w:numPr>
          <w:ilvl w:val="0"/>
          <w:numId w:val="42"/>
        </w:numPr>
        <w:spacing w:after="160" w:line="259" w:lineRule="auto"/>
      </w:pPr>
      <w:r w:rsidRPr="004451A5">
        <w:t>Minerals Council of Australia</w:t>
      </w:r>
    </w:p>
    <w:p w14:paraId="07862A10" w14:textId="77777777" w:rsidR="00AF6AFB" w:rsidRPr="004451A5" w:rsidRDefault="00AF6AFB" w:rsidP="00297ADC">
      <w:pPr>
        <w:pStyle w:val="ListParagraph"/>
        <w:numPr>
          <w:ilvl w:val="0"/>
          <w:numId w:val="42"/>
        </w:numPr>
        <w:spacing w:after="160" w:line="259" w:lineRule="auto"/>
      </w:pPr>
      <w:r>
        <w:t>Origin</w:t>
      </w:r>
    </w:p>
    <w:p w14:paraId="41085751" w14:textId="77777777" w:rsidR="00297ADC" w:rsidRPr="004451A5" w:rsidRDefault="00297ADC" w:rsidP="00297ADC">
      <w:pPr>
        <w:pStyle w:val="ListParagraph"/>
        <w:numPr>
          <w:ilvl w:val="0"/>
          <w:numId w:val="42"/>
        </w:numPr>
        <w:spacing w:after="160" w:line="259" w:lineRule="auto"/>
      </w:pPr>
      <w:r w:rsidRPr="004451A5">
        <w:t>Queensland Conservation Council</w:t>
      </w:r>
    </w:p>
    <w:p w14:paraId="780A9E68" w14:textId="77777777" w:rsidR="00297ADC" w:rsidRPr="004451A5" w:rsidRDefault="00297ADC" w:rsidP="00297ADC">
      <w:pPr>
        <w:pStyle w:val="ListParagraph"/>
        <w:numPr>
          <w:ilvl w:val="0"/>
          <w:numId w:val="42"/>
        </w:numPr>
        <w:spacing w:after="160" w:line="259" w:lineRule="auto"/>
      </w:pPr>
      <w:proofErr w:type="spellStart"/>
      <w:r w:rsidRPr="004451A5">
        <w:t>SACOME</w:t>
      </w:r>
      <w:proofErr w:type="spellEnd"/>
    </w:p>
    <w:p w14:paraId="4A6BEFC5" w14:textId="77777777" w:rsidR="00297ADC" w:rsidRPr="004451A5" w:rsidRDefault="00297ADC" w:rsidP="00297ADC">
      <w:pPr>
        <w:pStyle w:val="ListParagraph"/>
        <w:numPr>
          <w:ilvl w:val="0"/>
          <w:numId w:val="42"/>
        </w:numPr>
        <w:spacing w:after="160" w:line="259" w:lineRule="auto"/>
      </w:pPr>
      <w:r w:rsidRPr="004451A5">
        <w:t>Tim Kelly</w:t>
      </w:r>
    </w:p>
    <w:p w14:paraId="29DA394D" w14:textId="77777777" w:rsidR="00297ADC" w:rsidRPr="004451A5" w:rsidRDefault="00297ADC" w:rsidP="00297ADC">
      <w:pPr>
        <w:pStyle w:val="ListParagraph"/>
        <w:numPr>
          <w:ilvl w:val="0"/>
          <w:numId w:val="42"/>
        </w:numPr>
        <w:spacing w:after="160" w:line="259" w:lineRule="auto"/>
      </w:pPr>
      <w:proofErr w:type="spellStart"/>
      <w:r w:rsidRPr="004451A5">
        <w:t>Transborders</w:t>
      </w:r>
      <w:proofErr w:type="spellEnd"/>
      <w:r w:rsidRPr="004451A5">
        <w:t xml:space="preserve"> Energy</w:t>
      </w:r>
    </w:p>
    <w:p w14:paraId="33D5058E" w14:textId="77777777" w:rsidR="00297ADC" w:rsidRPr="004451A5" w:rsidRDefault="00297ADC" w:rsidP="00297ADC">
      <w:pPr>
        <w:pStyle w:val="ListParagraph"/>
        <w:numPr>
          <w:ilvl w:val="0"/>
          <w:numId w:val="42"/>
        </w:numPr>
        <w:spacing w:after="160" w:line="259" w:lineRule="auto"/>
      </w:pPr>
      <w:r w:rsidRPr="004451A5">
        <w:t>Whitehaven</w:t>
      </w:r>
    </w:p>
    <w:p w14:paraId="0E42F679" w14:textId="77777777" w:rsidR="0062522B" w:rsidRDefault="0062522B">
      <w:r>
        <w:br w:type="page"/>
      </w:r>
    </w:p>
    <w:p w14:paraId="39F64A49" w14:textId="2EF68A8F" w:rsidR="0062522B" w:rsidRDefault="0062522B" w:rsidP="0062522B">
      <w:pPr>
        <w:pStyle w:val="Heading2"/>
      </w:pPr>
      <w:bookmarkStart w:id="326" w:name="_Toc132807576"/>
      <w:r>
        <w:lastRenderedPageBreak/>
        <w:t>Non</w:t>
      </w:r>
      <w:r w:rsidR="004E032B">
        <w:t>-</w:t>
      </w:r>
      <w:r>
        <w:t>confidential submissions received on Proposed Design</w:t>
      </w:r>
      <w:bookmarkEnd w:id="326"/>
      <w:r w:rsidR="00887C98">
        <w:rPr>
          <w:rStyle w:val="FootnoteReference"/>
        </w:rPr>
        <w:footnoteReference w:id="36"/>
      </w:r>
    </w:p>
    <w:p w14:paraId="388CB38D" w14:textId="77777777" w:rsidR="0062522B" w:rsidRDefault="0062522B" w:rsidP="0062522B">
      <w:pPr>
        <w:pStyle w:val="ListParagraph"/>
        <w:numPr>
          <w:ilvl w:val="0"/>
          <w:numId w:val="42"/>
        </w:numPr>
        <w:spacing w:after="160" w:line="259" w:lineRule="auto"/>
        <w:sectPr w:rsidR="0062522B" w:rsidSect="0062522B">
          <w:type w:val="continuous"/>
          <w:pgSz w:w="11906" w:h="16838"/>
          <w:pgMar w:top="1559" w:right="851" w:bottom="1701" w:left="851" w:header="567" w:footer="57" w:gutter="0"/>
          <w:cols w:space="708"/>
          <w:docGrid w:linePitch="360"/>
        </w:sectPr>
      </w:pPr>
    </w:p>
    <w:p w14:paraId="08D10AAF" w14:textId="77777777" w:rsidR="0062522B" w:rsidRDefault="0062522B" w:rsidP="00B00BDD">
      <w:pPr>
        <w:pStyle w:val="ListParagraph"/>
        <w:numPr>
          <w:ilvl w:val="0"/>
          <w:numId w:val="42"/>
        </w:numPr>
      </w:pPr>
      <w:proofErr w:type="spellStart"/>
      <w:r>
        <w:t>ACF</w:t>
      </w:r>
      <w:proofErr w:type="spellEnd"/>
      <w:r>
        <w:t xml:space="preserve"> Community Members</w:t>
      </w:r>
    </w:p>
    <w:p w14:paraId="5693829C" w14:textId="77777777" w:rsidR="0062522B" w:rsidRDefault="0062522B" w:rsidP="00B00BDD">
      <w:pPr>
        <w:pStyle w:val="ListParagraph"/>
        <w:numPr>
          <w:ilvl w:val="0"/>
          <w:numId w:val="42"/>
        </w:numPr>
      </w:pPr>
      <w:proofErr w:type="spellStart"/>
      <w:r>
        <w:t>ACF</w:t>
      </w:r>
      <w:proofErr w:type="spellEnd"/>
      <w:r>
        <w:t xml:space="preserve"> Community Chisolm</w:t>
      </w:r>
    </w:p>
    <w:p w14:paraId="74068CDC" w14:textId="77777777" w:rsidR="0062522B" w:rsidRDefault="0062522B" w:rsidP="00B00BDD">
      <w:pPr>
        <w:pStyle w:val="ListParagraph"/>
        <w:numPr>
          <w:ilvl w:val="0"/>
          <w:numId w:val="42"/>
        </w:numPr>
      </w:pPr>
      <w:proofErr w:type="spellStart"/>
      <w:r>
        <w:t>AGL</w:t>
      </w:r>
      <w:proofErr w:type="spellEnd"/>
      <w:r>
        <w:t xml:space="preserve"> Energy</w:t>
      </w:r>
    </w:p>
    <w:p w14:paraId="3A56CD3B" w14:textId="77777777" w:rsidR="0062522B" w:rsidRDefault="0062522B" w:rsidP="00B00BDD">
      <w:pPr>
        <w:pStyle w:val="ListParagraph"/>
        <w:numPr>
          <w:ilvl w:val="0"/>
          <w:numId w:val="42"/>
        </w:numPr>
      </w:pPr>
      <w:r>
        <w:t xml:space="preserve">Aimee </w:t>
      </w:r>
      <w:proofErr w:type="spellStart"/>
      <w:r>
        <w:t>Poznik</w:t>
      </w:r>
      <w:proofErr w:type="spellEnd"/>
    </w:p>
    <w:p w14:paraId="2F0C2D45" w14:textId="77777777" w:rsidR="0062522B" w:rsidRDefault="0062522B" w:rsidP="00B00BDD">
      <w:pPr>
        <w:pStyle w:val="ListParagraph"/>
        <w:numPr>
          <w:ilvl w:val="0"/>
          <w:numId w:val="42"/>
        </w:numPr>
      </w:pPr>
      <w:r>
        <w:t>Airlines for Australia and New Zealand</w:t>
      </w:r>
    </w:p>
    <w:p w14:paraId="01318BEF" w14:textId="77777777" w:rsidR="0062522B" w:rsidRDefault="0062522B" w:rsidP="00B00BDD">
      <w:pPr>
        <w:pStyle w:val="ListParagraph"/>
        <w:numPr>
          <w:ilvl w:val="0"/>
          <w:numId w:val="42"/>
        </w:numPr>
      </w:pPr>
      <w:r>
        <w:t xml:space="preserve">Alexander </w:t>
      </w:r>
      <w:proofErr w:type="spellStart"/>
      <w:r>
        <w:t>Chiew</w:t>
      </w:r>
      <w:proofErr w:type="spellEnd"/>
    </w:p>
    <w:p w14:paraId="64D1F776" w14:textId="77777777" w:rsidR="0062522B" w:rsidRDefault="0062522B" w:rsidP="00B00BDD">
      <w:pPr>
        <w:pStyle w:val="ListParagraph"/>
        <w:numPr>
          <w:ilvl w:val="0"/>
          <w:numId w:val="42"/>
        </w:numPr>
      </w:pPr>
      <w:r>
        <w:t>Alinta Energy</w:t>
      </w:r>
    </w:p>
    <w:p w14:paraId="660F4714" w14:textId="77777777" w:rsidR="0062522B" w:rsidRDefault="0062522B" w:rsidP="00B00BDD">
      <w:pPr>
        <w:pStyle w:val="ListParagraph"/>
        <w:numPr>
          <w:ilvl w:val="0"/>
          <w:numId w:val="42"/>
        </w:numPr>
      </w:pPr>
      <w:r>
        <w:t>Allegra Spender MP</w:t>
      </w:r>
    </w:p>
    <w:p w14:paraId="7326AE11" w14:textId="77777777" w:rsidR="0062522B" w:rsidRDefault="0062522B" w:rsidP="00B00BDD">
      <w:pPr>
        <w:pStyle w:val="ListParagraph"/>
        <w:numPr>
          <w:ilvl w:val="0"/>
          <w:numId w:val="42"/>
        </w:numPr>
      </w:pPr>
      <w:r>
        <w:t>AM Wylie</w:t>
      </w:r>
    </w:p>
    <w:p w14:paraId="2DF0C048" w14:textId="77777777" w:rsidR="0062522B" w:rsidRDefault="0062522B" w:rsidP="00B00BDD">
      <w:pPr>
        <w:pStyle w:val="ListParagraph"/>
        <w:numPr>
          <w:ilvl w:val="0"/>
          <w:numId w:val="42"/>
        </w:numPr>
      </w:pPr>
      <w:r>
        <w:t>AMEC</w:t>
      </w:r>
    </w:p>
    <w:p w14:paraId="080D589C" w14:textId="77777777" w:rsidR="0062522B" w:rsidRDefault="0062522B" w:rsidP="00B00BDD">
      <w:pPr>
        <w:pStyle w:val="ListParagraph"/>
        <w:numPr>
          <w:ilvl w:val="0"/>
          <w:numId w:val="42"/>
        </w:numPr>
      </w:pPr>
      <w:r>
        <w:t>Amy Blain</w:t>
      </w:r>
    </w:p>
    <w:p w14:paraId="030D12F8" w14:textId="77777777" w:rsidR="0062522B" w:rsidRDefault="0062522B" w:rsidP="00B00BDD">
      <w:pPr>
        <w:pStyle w:val="ListParagraph"/>
        <w:numPr>
          <w:ilvl w:val="0"/>
          <w:numId w:val="42"/>
        </w:numPr>
      </w:pPr>
      <w:proofErr w:type="spellStart"/>
      <w:r>
        <w:t>AngloAmerican</w:t>
      </w:r>
      <w:proofErr w:type="spellEnd"/>
    </w:p>
    <w:p w14:paraId="279D73B6" w14:textId="77777777" w:rsidR="0062522B" w:rsidRDefault="0062522B" w:rsidP="00B00BDD">
      <w:pPr>
        <w:pStyle w:val="ListParagraph"/>
        <w:numPr>
          <w:ilvl w:val="0"/>
          <w:numId w:val="42"/>
        </w:numPr>
      </w:pPr>
      <w:r>
        <w:t>Anna Markey</w:t>
      </w:r>
    </w:p>
    <w:p w14:paraId="5E6CC8C3" w14:textId="77777777" w:rsidR="0062522B" w:rsidRDefault="0062522B" w:rsidP="00B00BDD">
      <w:pPr>
        <w:pStyle w:val="ListParagraph"/>
        <w:numPr>
          <w:ilvl w:val="0"/>
          <w:numId w:val="42"/>
        </w:numPr>
      </w:pPr>
      <w:r>
        <w:t xml:space="preserve">Anna </w:t>
      </w:r>
      <w:proofErr w:type="spellStart"/>
      <w:r>
        <w:t>Molan</w:t>
      </w:r>
      <w:proofErr w:type="spellEnd"/>
    </w:p>
    <w:p w14:paraId="0E5EC1CD" w14:textId="77777777" w:rsidR="0062522B" w:rsidRDefault="0062522B" w:rsidP="00B00BDD">
      <w:pPr>
        <w:pStyle w:val="ListParagraph"/>
        <w:numPr>
          <w:ilvl w:val="0"/>
          <w:numId w:val="42"/>
        </w:numPr>
      </w:pPr>
      <w:r>
        <w:t xml:space="preserve">Anne </w:t>
      </w:r>
      <w:proofErr w:type="spellStart"/>
      <w:r>
        <w:t>Highfield</w:t>
      </w:r>
      <w:proofErr w:type="spellEnd"/>
    </w:p>
    <w:p w14:paraId="643D8A98" w14:textId="77777777" w:rsidR="0062522B" w:rsidRDefault="0062522B" w:rsidP="00B00BDD">
      <w:pPr>
        <w:pStyle w:val="ListParagraph"/>
        <w:numPr>
          <w:ilvl w:val="0"/>
          <w:numId w:val="42"/>
        </w:numPr>
      </w:pPr>
      <w:r>
        <w:t>Annie Close</w:t>
      </w:r>
    </w:p>
    <w:p w14:paraId="27FAE11B" w14:textId="77777777" w:rsidR="0062522B" w:rsidRDefault="0062522B" w:rsidP="00B00BDD">
      <w:pPr>
        <w:pStyle w:val="ListParagraph"/>
        <w:numPr>
          <w:ilvl w:val="0"/>
          <w:numId w:val="42"/>
        </w:numPr>
      </w:pPr>
      <w:r>
        <w:t>APA Group</w:t>
      </w:r>
    </w:p>
    <w:p w14:paraId="5E9A9443" w14:textId="77777777" w:rsidR="0062522B" w:rsidRDefault="0062522B" w:rsidP="00B00BDD">
      <w:pPr>
        <w:pStyle w:val="ListParagraph"/>
        <w:numPr>
          <w:ilvl w:val="0"/>
          <w:numId w:val="42"/>
        </w:numPr>
      </w:pPr>
      <w:proofErr w:type="spellStart"/>
      <w:r>
        <w:t>APPEA</w:t>
      </w:r>
      <w:proofErr w:type="spellEnd"/>
    </w:p>
    <w:p w14:paraId="6B36A4CE" w14:textId="77777777" w:rsidR="0062522B" w:rsidRDefault="0062522B" w:rsidP="00B00BDD">
      <w:pPr>
        <w:pStyle w:val="ListParagraph"/>
        <w:numPr>
          <w:ilvl w:val="0"/>
          <w:numId w:val="42"/>
        </w:numPr>
      </w:pPr>
      <w:r>
        <w:t>ATCO</w:t>
      </w:r>
    </w:p>
    <w:p w14:paraId="2A5D6434" w14:textId="77777777" w:rsidR="0062522B" w:rsidRDefault="0062522B" w:rsidP="00B00BDD">
      <w:pPr>
        <w:pStyle w:val="ListParagraph"/>
        <w:numPr>
          <w:ilvl w:val="0"/>
          <w:numId w:val="42"/>
        </w:numPr>
      </w:pPr>
      <w:r>
        <w:t>Aurecon</w:t>
      </w:r>
    </w:p>
    <w:p w14:paraId="5BD9F1FC" w14:textId="77777777" w:rsidR="0062522B" w:rsidRDefault="0062522B" w:rsidP="00B00BDD">
      <w:pPr>
        <w:pStyle w:val="ListParagraph"/>
        <w:numPr>
          <w:ilvl w:val="0"/>
          <w:numId w:val="42"/>
        </w:numPr>
      </w:pPr>
      <w:r>
        <w:t>Australia Institute</w:t>
      </w:r>
    </w:p>
    <w:p w14:paraId="53253B3E" w14:textId="77777777" w:rsidR="0062522B" w:rsidRDefault="0062522B" w:rsidP="00B00BDD">
      <w:pPr>
        <w:pStyle w:val="ListParagraph"/>
        <w:numPr>
          <w:ilvl w:val="0"/>
          <w:numId w:val="42"/>
        </w:numPr>
      </w:pPr>
      <w:r>
        <w:t>Australian Academy of Technological Sciences and Engineering</w:t>
      </w:r>
    </w:p>
    <w:p w14:paraId="565EAC8A" w14:textId="77777777" w:rsidR="0062522B" w:rsidRDefault="0062522B" w:rsidP="00B00BDD">
      <w:pPr>
        <w:pStyle w:val="ListParagraph"/>
        <w:numPr>
          <w:ilvl w:val="0"/>
          <w:numId w:val="42"/>
        </w:numPr>
      </w:pPr>
      <w:r>
        <w:t>Australian Aluminium Council</w:t>
      </w:r>
    </w:p>
    <w:p w14:paraId="090DFD02" w14:textId="77777777" w:rsidR="0062522B" w:rsidRDefault="0062522B" w:rsidP="00B00BDD">
      <w:pPr>
        <w:pStyle w:val="ListParagraph"/>
        <w:numPr>
          <w:ilvl w:val="0"/>
          <w:numId w:val="42"/>
        </w:numPr>
      </w:pPr>
      <w:r>
        <w:t>Australian Climate and Biodiversity Foundation</w:t>
      </w:r>
    </w:p>
    <w:p w14:paraId="78AFE527" w14:textId="77777777" w:rsidR="0062522B" w:rsidRDefault="0062522B" w:rsidP="00B00BDD">
      <w:pPr>
        <w:pStyle w:val="ListParagraph"/>
        <w:numPr>
          <w:ilvl w:val="0"/>
          <w:numId w:val="42"/>
        </w:numPr>
      </w:pPr>
      <w:r>
        <w:t>Australian Conservation Foundation</w:t>
      </w:r>
    </w:p>
    <w:p w14:paraId="0EF7088D" w14:textId="77777777" w:rsidR="0062522B" w:rsidRDefault="0062522B" w:rsidP="00B00BDD">
      <w:pPr>
        <w:pStyle w:val="ListParagraph"/>
        <w:numPr>
          <w:ilvl w:val="0"/>
          <w:numId w:val="42"/>
        </w:numPr>
      </w:pPr>
      <w:r>
        <w:t xml:space="preserve">Australian Council of Superannuation Investors </w:t>
      </w:r>
    </w:p>
    <w:p w14:paraId="360FB49B" w14:textId="77777777" w:rsidR="0062522B" w:rsidRDefault="0062522B" w:rsidP="00B00BDD">
      <w:pPr>
        <w:pStyle w:val="ListParagraph"/>
        <w:numPr>
          <w:ilvl w:val="0"/>
          <w:numId w:val="42"/>
        </w:numPr>
      </w:pPr>
      <w:r>
        <w:t>Australian Energy Council</w:t>
      </w:r>
    </w:p>
    <w:p w14:paraId="13907EAB" w14:textId="77777777" w:rsidR="0062522B" w:rsidRDefault="0062522B" w:rsidP="00B00BDD">
      <w:pPr>
        <w:pStyle w:val="ListParagraph"/>
        <w:numPr>
          <w:ilvl w:val="0"/>
          <w:numId w:val="42"/>
        </w:numPr>
      </w:pPr>
      <w:r>
        <w:t>Australian Financial Markets Association</w:t>
      </w:r>
    </w:p>
    <w:p w14:paraId="2958303A" w14:textId="77777777" w:rsidR="0062522B" w:rsidRDefault="0062522B" w:rsidP="00B00BDD">
      <w:pPr>
        <w:pStyle w:val="ListParagraph"/>
        <w:numPr>
          <w:ilvl w:val="0"/>
          <w:numId w:val="42"/>
        </w:numPr>
      </w:pPr>
      <w:r>
        <w:t>Australian Forest Products Association</w:t>
      </w:r>
    </w:p>
    <w:p w14:paraId="373EED33" w14:textId="77777777" w:rsidR="0062522B" w:rsidRDefault="0062522B" w:rsidP="00B00BDD">
      <w:pPr>
        <w:pStyle w:val="ListParagraph"/>
        <w:numPr>
          <w:ilvl w:val="0"/>
          <w:numId w:val="42"/>
        </w:numPr>
      </w:pPr>
      <w:r>
        <w:t>Australian Industry Greenhouse Network</w:t>
      </w:r>
    </w:p>
    <w:p w14:paraId="041E85FD" w14:textId="77777777" w:rsidR="0062522B" w:rsidRDefault="0062522B" w:rsidP="0062522B">
      <w:pPr>
        <w:pStyle w:val="ListParagraph"/>
        <w:numPr>
          <w:ilvl w:val="0"/>
          <w:numId w:val="42"/>
        </w:numPr>
      </w:pPr>
      <w:r>
        <w:t>Australian Institute of Company Directors</w:t>
      </w:r>
    </w:p>
    <w:p w14:paraId="2206E0D3" w14:textId="77777777" w:rsidR="0062522B" w:rsidRDefault="0062522B" w:rsidP="00B00BDD">
      <w:pPr>
        <w:pStyle w:val="ListParagraph"/>
        <w:numPr>
          <w:ilvl w:val="0"/>
          <w:numId w:val="42"/>
        </w:numPr>
      </w:pPr>
      <w:r>
        <w:t>Australian Institute of Landscape Architects</w:t>
      </w:r>
    </w:p>
    <w:p w14:paraId="7CEBD50B" w14:textId="77777777" w:rsidR="0062522B" w:rsidRDefault="0062522B" w:rsidP="00B00BDD">
      <w:pPr>
        <w:pStyle w:val="ListParagraph"/>
        <w:numPr>
          <w:ilvl w:val="0"/>
          <w:numId w:val="42"/>
        </w:numPr>
      </w:pPr>
      <w:r>
        <w:t>Australian Manufacturing Workers’ Union</w:t>
      </w:r>
    </w:p>
    <w:p w14:paraId="7E58F164" w14:textId="77777777" w:rsidR="0062522B" w:rsidRDefault="0062522B" w:rsidP="00B00BDD">
      <w:pPr>
        <w:pStyle w:val="ListParagraph"/>
        <w:numPr>
          <w:ilvl w:val="0"/>
          <w:numId w:val="42"/>
        </w:numPr>
      </w:pPr>
      <w:r>
        <w:t>Australian Parents for Climate Action</w:t>
      </w:r>
    </w:p>
    <w:p w14:paraId="353186D6" w14:textId="77777777" w:rsidR="0062522B" w:rsidRDefault="0062522B" w:rsidP="00B00BDD">
      <w:pPr>
        <w:pStyle w:val="ListParagraph"/>
        <w:numPr>
          <w:ilvl w:val="0"/>
          <w:numId w:val="42"/>
        </w:numPr>
      </w:pPr>
      <w:r>
        <w:t>Australian Pipelines and Gas Association</w:t>
      </w:r>
    </w:p>
    <w:p w14:paraId="480E7CCF" w14:textId="77777777" w:rsidR="0062522B" w:rsidRDefault="0062522B" w:rsidP="00B00BDD">
      <w:pPr>
        <w:pStyle w:val="ListParagraph"/>
        <w:numPr>
          <w:ilvl w:val="0"/>
          <w:numId w:val="42"/>
        </w:numPr>
      </w:pPr>
      <w:r>
        <w:t>Australian Projections Pty Ltd</w:t>
      </w:r>
    </w:p>
    <w:p w14:paraId="6ED6EC76" w14:textId="77777777" w:rsidR="0062522B" w:rsidRDefault="0062522B" w:rsidP="00B00BDD">
      <w:pPr>
        <w:pStyle w:val="ListParagraph"/>
        <w:numPr>
          <w:ilvl w:val="0"/>
          <w:numId w:val="42"/>
        </w:numPr>
      </w:pPr>
      <w:r>
        <w:t>Australian Rainforest Conservation Society</w:t>
      </w:r>
    </w:p>
    <w:p w14:paraId="463A4DD9" w14:textId="77777777" w:rsidR="0062522B" w:rsidRDefault="0062522B" w:rsidP="00B00BDD">
      <w:pPr>
        <w:pStyle w:val="ListParagraph"/>
        <w:numPr>
          <w:ilvl w:val="0"/>
          <w:numId w:val="42"/>
        </w:numPr>
      </w:pPr>
      <w:r>
        <w:t>Australian Sustainable Finance Institute</w:t>
      </w:r>
    </w:p>
    <w:p w14:paraId="45C955B9" w14:textId="77777777" w:rsidR="0062522B" w:rsidRDefault="0062522B" w:rsidP="00B00BDD">
      <w:pPr>
        <w:pStyle w:val="ListParagraph"/>
        <w:numPr>
          <w:ilvl w:val="0"/>
          <w:numId w:val="42"/>
        </w:numPr>
      </w:pPr>
      <w:proofErr w:type="spellStart"/>
      <w:r>
        <w:t>AWU</w:t>
      </w:r>
      <w:proofErr w:type="spellEnd"/>
      <w:r>
        <w:t xml:space="preserve"> &amp; MEU</w:t>
      </w:r>
    </w:p>
    <w:p w14:paraId="57EA7684" w14:textId="77777777" w:rsidR="0062522B" w:rsidRDefault="0062522B" w:rsidP="00B00BDD">
      <w:pPr>
        <w:pStyle w:val="ListParagraph"/>
        <w:numPr>
          <w:ilvl w:val="0"/>
          <w:numId w:val="42"/>
        </w:numPr>
      </w:pPr>
      <w:r>
        <w:t xml:space="preserve">Azalea </w:t>
      </w:r>
      <w:proofErr w:type="spellStart"/>
      <w:r>
        <w:t>Azarae</w:t>
      </w:r>
      <w:proofErr w:type="spellEnd"/>
    </w:p>
    <w:p w14:paraId="58D19DC3" w14:textId="77777777" w:rsidR="0062522B" w:rsidRDefault="0062522B" w:rsidP="00B00BDD">
      <w:pPr>
        <w:pStyle w:val="ListParagraph"/>
        <w:numPr>
          <w:ilvl w:val="0"/>
          <w:numId w:val="42"/>
        </w:numPr>
      </w:pPr>
      <w:r>
        <w:t>Bayside Climate Crisis Action Group</w:t>
      </w:r>
    </w:p>
    <w:p w14:paraId="7C9E2CAF" w14:textId="77777777" w:rsidR="0062522B" w:rsidRDefault="0062522B" w:rsidP="00B00BDD">
      <w:pPr>
        <w:pStyle w:val="ListParagraph"/>
        <w:numPr>
          <w:ilvl w:val="0"/>
          <w:numId w:val="42"/>
        </w:numPr>
      </w:pPr>
      <w:r>
        <w:t>Ben Connor</w:t>
      </w:r>
    </w:p>
    <w:p w14:paraId="5B253686" w14:textId="77777777" w:rsidR="0062522B" w:rsidRDefault="0062522B" w:rsidP="00B00BDD">
      <w:pPr>
        <w:pStyle w:val="ListParagraph"/>
        <w:numPr>
          <w:ilvl w:val="0"/>
          <w:numId w:val="42"/>
        </w:numPr>
      </w:pPr>
      <w:r>
        <w:t>Ben Hall</w:t>
      </w:r>
    </w:p>
    <w:p w14:paraId="3DA9A3BF" w14:textId="77777777" w:rsidR="0062522B" w:rsidRDefault="0062522B" w:rsidP="00B00BDD">
      <w:pPr>
        <w:pStyle w:val="ListParagraph"/>
        <w:numPr>
          <w:ilvl w:val="0"/>
          <w:numId w:val="42"/>
        </w:numPr>
      </w:pPr>
      <w:r>
        <w:t>Better Futures Australia</w:t>
      </w:r>
    </w:p>
    <w:p w14:paraId="2FFBB3E6" w14:textId="77777777" w:rsidR="0062522B" w:rsidRDefault="0062522B" w:rsidP="00B00BDD">
      <w:pPr>
        <w:pStyle w:val="ListParagraph"/>
        <w:numPr>
          <w:ilvl w:val="0"/>
          <w:numId w:val="42"/>
        </w:numPr>
      </w:pPr>
      <w:r>
        <w:t>Beyond Gas Network</w:t>
      </w:r>
    </w:p>
    <w:p w14:paraId="66314C67" w14:textId="77777777" w:rsidR="0062522B" w:rsidRDefault="0062522B" w:rsidP="00B00BDD">
      <w:pPr>
        <w:pStyle w:val="ListParagraph"/>
        <w:numPr>
          <w:ilvl w:val="0"/>
          <w:numId w:val="42"/>
        </w:numPr>
      </w:pPr>
      <w:r>
        <w:t>BHP</w:t>
      </w:r>
    </w:p>
    <w:p w14:paraId="0C4D010F" w14:textId="77777777" w:rsidR="0062522B" w:rsidRDefault="0062522B" w:rsidP="00B00BDD">
      <w:pPr>
        <w:pStyle w:val="ListParagraph"/>
        <w:numPr>
          <w:ilvl w:val="0"/>
          <w:numId w:val="42"/>
        </w:numPr>
      </w:pPr>
      <w:r>
        <w:t>Bianca Sands</w:t>
      </w:r>
    </w:p>
    <w:p w14:paraId="012E56AC" w14:textId="77777777" w:rsidR="0062522B" w:rsidRDefault="0062522B" w:rsidP="00B00BDD">
      <w:pPr>
        <w:pStyle w:val="ListParagraph"/>
        <w:numPr>
          <w:ilvl w:val="0"/>
          <w:numId w:val="42"/>
        </w:numPr>
      </w:pPr>
      <w:r>
        <w:t>Bingo Industries</w:t>
      </w:r>
    </w:p>
    <w:p w14:paraId="69BFBD21" w14:textId="77777777" w:rsidR="0062522B" w:rsidRDefault="0062522B" w:rsidP="00B00BDD">
      <w:pPr>
        <w:pStyle w:val="ListParagraph"/>
        <w:numPr>
          <w:ilvl w:val="0"/>
          <w:numId w:val="42"/>
        </w:numPr>
      </w:pPr>
      <w:r>
        <w:t>Blue Derby Wild</w:t>
      </w:r>
    </w:p>
    <w:p w14:paraId="7BC7811D" w14:textId="77777777" w:rsidR="0062522B" w:rsidRDefault="0062522B" w:rsidP="00B00BDD">
      <w:pPr>
        <w:pStyle w:val="ListParagraph"/>
        <w:numPr>
          <w:ilvl w:val="0"/>
          <w:numId w:val="42"/>
        </w:numPr>
      </w:pPr>
      <w:r>
        <w:t>BlueScope</w:t>
      </w:r>
    </w:p>
    <w:p w14:paraId="2FB130F2" w14:textId="77777777" w:rsidR="0062522B" w:rsidRDefault="0062522B" w:rsidP="00B00BDD">
      <w:pPr>
        <w:pStyle w:val="ListParagraph"/>
        <w:numPr>
          <w:ilvl w:val="0"/>
          <w:numId w:val="42"/>
        </w:numPr>
      </w:pPr>
      <w:r>
        <w:t>BMO Radicle</w:t>
      </w:r>
    </w:p>
    <w:p w14:paraId="3BAF6DAF" w14:textId="77777777" w:rsidR="0062522B" w:rsidRDefault="0062522B" w:rsidP="00B00BDD">
      <w:pPr>
        <w:pStyle w:val="ListParagraph"/>
        <w:numPr>
          <w:ilvl w:val="0"/>
          <w:numId w:val="42"/>
        </w:numPr>
      </w:pPr>
      <w:r>
        <w:t>BP</w:t>
      </w:r>
    </w:p>
    <w:p w14:paraId="540FAE23" w14:textId="77777777" w:rsidR="0062522B" w:rsidRDefault="0062522B" w:rsidP="00B00BDD">
      <w:pPr>
        <w:pStyle w:val="ListParagraph"/>
        <w:numPr>
          <w:ilvl w:val="0"/>
          <w:numId w:val="42"/>
        </w:numPr>
      </w:pPr>
      <w:r>
        <w:t>Brenda Gerrie</w:t>
      </w:r>
    </w:p>
    <w:p w14:paraId="78984D34" w14:textId="77777777" w:rsidR="0062522B" w:rsidRDefault="0062522B" w:rsidP="00B00BDD">
      <w:pPr>
        <w:pStyle w:val="ListParagraph"/>
        <w:numPr>
          <w:ilvl w:val="0"/>
          <w:numId w:val="42"/>
        </w:numPr>
      </w:pPr>
      <w:r>
        <w:t xml:space="preserve">Bureau of Steel Manufacturers of Australia </w:t>
      </w:r>
    </w:p>
    <w:p w14:paraId="05D6B197" w14:textId="77777777" w:rsidR="0062522B" w:rsidRDefault="0062522B" w:rsidP="00B00BDD">
      <w:pPr>
        <w:pStyle w:val="ListParagraph"/>
        <w:numPr>
          <w:ilvl w:val="0"/>
          <w:numId w:val="42"/>
        </w:numPr>
      </w:pPr>
      <w:r>
        <w:t xml:space="preserve">CA </w:t>
      </w:r>
      <w:proofErr w:type="spellStart"/>
      <w:r>
        <w:t>ANZ</w:t>
      </w:r>
      <w:proofErr w:type="spellEnd"/>
      <w:r>
        <w:t xml:space="preserve"> / CPA Australia</w:t>
      </w:r>
    </w:p>
    <w:p w14:paraId="18679E56" w14:textId="77777777" w:rsidR="0062522B" w:rsidRDefault="0062522B" w:rsidP="00B00BDD">
      <w:pPr>
        <w:pStyle w:val="ListParagraph"/>
        <w:numPr>
          <w:ilvl w:val="0"/>
          <w:numId w:val="42"/>
        </w:numPr>
      </w:pPr>
      <w:r>
        <w:t>Calix</w:t>
      </w:r>
    </w:p>
    <w:p w14:paraId="5A3210B9" w14:textId="77777777" w:rsidR="0062522B" w:rsidRDefault="0062522B" w:rsidP="00B00BDD">
      <w:pPr>
        <w:pStyle w:val="ListParagraph"/>
        <w:numPr>
          <w:ilvl w:val="0"/>
          <w:numId w:val="42"/>
        </w:numPr>
      </w:pPr>
      <w:r>
        <w:t xml:space="preserve">Canberra Move Beyond Coal and 350.org </w:t>
      </w:r>
    </w:p>
    <w:p w14:paraId="4DB86DFC" w14:textId="77777777" w:rsidR="0062522B" w:rsidRDefault="0062522B" w:rsidP="00B00BDD">
      <w:pPr>
        <w:pStyle w:val="ListParagraph"/>
        <w:numPr>
          <w:ilvl w:val="0"/>
          <w:numId w:val="42"/>
        </w:numPr>
      </w:pPr>
      <w:r>
        <w:t>Carbon Market Institute</w:t>
      </w:r>
    </w:p>
    <w:p w14:paraId="37604227" w14:textId="77777777" w:rsidR="0062522B" w:rsidRDefault="0062522B" w:rsidP="00B00BDD">
      <w:pPr>
        <w:pStyle w:val="ListParagraph"/>
        <w:numPr>
          <w:ilvl w:val="0"/>
          <w:numId w:val="42"/>
        </w:numPr>
      </w:pPr>
      <w:r>
        <w:t>Carbon Pump</w:t>
      </w:r>
    </w:p>
    <w:p w14:paraId="02D69156" w14:textId="77777777" w:rsidR="0062522B" w:rsidRDefault="0062522B" w:rsidP="00B00BDD">
      <w:pPr>
        <w:pStyle w:val="ListParagraph"/>
        <w:numPr>
          <w:ilvl w:val="0"/>
          <w:numId w:val="42"/>
        </w:numPr>
      </w:pPr>
      <w:r>
        <w:t>Carly Robertson</w:t>
      </w:r>
    </w:p>
    <w:p w14:paraId="7C92486F" w14:textId="77777777" w:rsidR="0062522B" w:rsidRDefault="0062522B" w:rsidP="00B00BDD">
      <w:pPr>
        <w:pStyle w:val="ListParagraph"/>
        <w:numPr>
          <w:ilvl w:val="0"/>
          <w:numId w:val="42"/>
        </w:numPr>
      </w:pPr>
      <w:r>
        <w:t xml:space="preserve">Caroline Le </w:t>
      </w:r>
      <w:proofErr w:type="spellStart"/>
      <w:r>
        <w:t>Couteur</w:t>
      </w:r>
      <w:proofErr w:type="spellEnd"/>
    </w:p>
    <w:p w14:paraId="12F1D360" w14:textId="77777777" w:rsidR="0062522B" w:rsidRDefault="0062522B" w:rsidP="00B00BDD">
      <w:pPr>
        <w:pStyle w:val="ListParagraph"/>
        <w:numPr>
          <w:ilvl w:val="0"/>
          <w:numId w:val="42"/>
        </w:numPr>
      </w:pPr>
      <w:r>
        <w:t>Cement Industry Federation</w:t>
      </w:r>
    </w:p>
    <w:p w14:paraId="6246B675" w14:textId="77777777" w:rsidR="0062522B" w:rsidRDefault="0062522B" w:rsidP="00B00BDD">
      <w:pPr>
        <w:pStyle w:val="ListParagraph"/>
        <w:numPr>
          <w:ilvl w:val="0"/>
          <w:numId w:val="42"/>
        </w:numPr>
      </w:pPr>
      <w:r>
        <w:t>Centurion Transport</w:t>
      </w:r>
    </w:p>
    <w:p w14:paraId="4DD28344" w14:textId="77777777" w:rsidR="0062522B" w:rsidRDefault="0062522B" w:rsidP="00B00BDD">
      <w:pPr>
        <w:pStyle w:val="ListParagraph"/>
        <w:numPr>
          <w:ilvl w:val="0"/>
          <w:numId w:val="42"/>
        </w:numPr>
      </w:pPr>
      <w:r>
        <w:t>Chamber of Minerals &amp; Energy of Western Australia</w:t>
      </w:r>
    </w:p>
    <w:p w14:paraId="20029C99" w14:textId="77777777" w:rsidR="0062522B" w:rsidRDefault="0062522B" w:rsidP="00B00BDD">
      <w:pPr>
        <w:pStyle w:val="ListParagraph"/>
        <w:numPr>
          <w:ilvl w:val="0"/>
          <w:numId w:val="42"/>
        </w:numPr>
      </w:pPr>
      <w:r>
        <w:t>Chemistry Australia</w:t>
      </w:r>
    </w:p>
    <w:p w14:paraId="1F3E6BB5" w14:textId="77777777" w:rsidR="0062522B" w:rsidRDefault="0062522B" w:rsidP="00B00BDD">
      <w:pPr>
        <w:pStyle w:val="ListParagraph"/>
        <w:numPr>
          <w:ilvl w:val="0"/>
          <w:numId w:val="42"/>
        </w:numPr>
      </w:pPr>
      <w:r>
        <w:t>Chevron Australia</w:t>
      </w:r>
    </w:p>
    <w:p w14:paraId="38B6B53A" w14:textId="77777777" w:rsidR="0062522B" w:rsidRDefault="0062522B" w:rsidP="00B00BDD">
      <w:pPr>
        <w:pStyle w:val="ListParagraph"/>
        <w:numPr>
          <w:ilvl w:val="0"/>
          <w:numId w:val="42"/>
        </w:numPr>
      </w:pPr>
      <w:r>
        <w:t>Chris Cook</w:t>
      </w:r>
    </w:p>
    <w:p w14:paraId="54534DEE" w14:textId="77777777" w:rsidR="0062522B" w:rsidRDefault="0062522B" w:rsidP="00B00BDD">
      <w:pPr>
        <w:pStyle w:val="ListParagraph"/>
        <w:numPr>
          <w:ilvl w:val="0"/>
          <w:numId w:val="42"/>
        </w:numPr>
      </w:pPr>
      <w:r>
        <w:t>Chris Johansen</w:t>
      </w:r>
    </w:p>
    <w:p w14:paraId="1AE197D4" w14:textId="77777777" w:rsidR="0062522B" w:rsidRDefault="0062522B" w:rsidP="00B00BDD">
      <w:pPr>
        <w:pStyle w:val="ListParagraph"/>
        <w:numPr>
          <w:ilvl w:val="0"/>
          <w:numId w:val="42"/>
        </w:numPr>
      </w:pPr>
      <w:r>
        <w:t>Climate Action Network Australia</w:t>
      </w:r>
    </w:p>
    <w:p w14:paraId="5B8A56DD" w14:textId="77777777" w:rsidR="0062522B" w:rsidRDefault="0062522B" w:rsidP="00B00BDD">
      <w:pPr>
        <w:pStyle w:val="ListParagraph"/>
        <w:numPr>
          <w:ilvl w:val="0"/>
          <w:numId w:val="42"/>
        </w:numPr>
      </w:pPr>
      <w:r>
        <w:t>Climate Analytics</w:t>
      </w:r>
    </w:p>
    <w:p w14:paraId="653334A0" w14:textId="77777777" w:rsidR="0062522B" w:rsidRDefault="0062522B" w:rsidP="00B00BDD">
      <w:pPr>
        <w:pStyle w:val="ListParagraph"/>
        <w:numPr>
          <w:ilvl w:val="0"/>
          <w:numId w:val="42"/>
        </w:numPr>
      </w:pPr>
      <w:r>
        <w:t>Climate Change Balmain Rozelle</w:t>
      </w:r>
    </w:p>
    <w:p w14:paraId="7876BDE1" w14:textId="77777777" w:rsidR="0062522B" w:rsidRDefault="0062522B" w:rsidP="00B00BDD">
      <w:pPr>
        <w:pStyle w:val="ListParagraph"/>
        <w:numPr>
          <w:ilvl w:val="0"/>
          <w:numId w:val="42"/>
        </w:numPr>
      </w:pPr>
      <w:r>
        <w:t>Climate Council</w:t>
      </w:r>
    </w:p>
    <w:p w14:paraId="7E5F662F" w14:textId="77777777" w:rsidR="0062522B" w:rsidRDefault="0062522B" w:rsidP="00B00BDD">
      <w:pPr>
        <w:pStyle w:val="ListParagraph"/>
        <w:numPr>
          <w:ilvl w:val="0"/>
          <w:numId w:val="42"/>
        </w:numPr>
      </w:pPr>
      <w:r>
        <w:t>Climate Energy Finance</w:t>
      </w:r>
    </w:p>
    <w:p w14:paraId="2CE0063F" w14:textId="77777777" w:rsidR="0062522B" w:rsidRDefault="0062522B" w:rsidP="00B00BDD">
      <w:pPr>
        <w:pStyle w:val="ListParagraph"/>
        <w:numPr>
          <w:ilvl w:val="0"/>
          <w:numId w:val="42"/>
        </w:numPr>
      </w:pPr>
      <w:r>
        <w:t>Climate Friendly</w:t>
      </w:r>
    </w:p>
    <w:p w14:paraId="295C6B64" w14:textId="77777777" w:rsidR="0062522B" w:rsidRDefault="0062522B" w:rsidP="00B00BDD">
      <w:pPr>
        <w:pStyle w:val="ListParagraph"/>
        <w:numPr>
          <w:ilvl w:val="0"/>
          <w:numId w:val="42"/>
        </w:numPr>
      </w:pPr>
      <w:r>
        <w:t>Climate Resource</w:t>
      </w:r>
    </w:p>
    <w:p w14:paraId="5990A043" w14:textId="77777777" w:rsidR="0062522B" w:rsidRDefault="0062522B" w:rsidP="00B00BDD">
      <w:pPr>
        <w:pStyle w:val="ListParagraph"/>
        <w:numPr>
          <w:ilvl w:val="0"/>
          <w:numId w:val="42"/>
        </w:numPr>
      </w:pPr>
      <w:proofErr w:type="spellStart"/>
      <w:r>
        <w:t>Climateworks</w:t>
      </w:r>
      <w:proofErr w:type="spellEnd"/>
      <w:r>
        <w:t xml:space="preserve"> Centre</w:t>
      </w:r>
    </w:p>
    <w:p w14:paraId="1C610861" w14:textId="77777777" w:rsidR="0062522B" w:rsidRDefault="0062522B" w:rsidP="00B00BDD">
      <w:pPr>
        <w:pStyle w:val="ListParagraph"/>
        <w:numPr>
          <w:ilvl w:val="0"/>
          <w:numId w:val="42"/>
        </w:numPr>
      </w:pPr>
      <w:r>
        <w:t>Community Energy for Goulburn</w:t>
      </w:r>
    </w:p>
    <w:p w14:paraId="518B2324" w14:textId="77777777" w:rsidR="0062522B" w:rsidRDefault="0062522B" w:rsidP="00B00BDD">
      <w:pPr>
        <w:pStyle w:val="ListParagraph"/>
        <w:numPr>
          <w:ilvl w:val="0"/>
          <w:numId w:val="42"/>
        </w:numPr>
      </w:pPr>
      <w:r>
        <w:t>Conservation Council ACT Region</w:t>
      </w:r>
    </w:p>
    <w:p w14:paraId="61CFF4DE" w14:textId="77777777" w:rsidR="0062522B" w:rsidRDefault="0062522B" w:rsidP="00B00BDD">
      <w:pPr>
        <w:pStyle w:val="ListParagraph"/>
        <w:numPr>
          <w:ilvl w:val="0"/>
          <w:numId w:val="42"/>
        </w:numPr>
      </w:pPr>
      <w:r>
        <w:t xml:space="preserve">Darius </w:t>
      </w:r>
      <w:proofErr w:type="spellStart"/>
      <w:r>
        <w:t>Kedros</w:t>
      </w:r>
      <w:proofErr w:type="spellEnd"/>
    </w:p>
    <w:p w14:paraId="01F1CBDC" w14:textId="77777777" w:rsidR="0062522B" w:rsidRDefault="0062522B" w:rsidP="00B00BDD">
      <w:pPr>
        <w:pStyle w:val="ListParagraph"/>
        <w:numPr>
          <w:ilvl w:val="0"/>
          <w:numId w:val="42"/>
        </w:numPr>
      </w:pPr>
      <w:r>
        <w:t>David Booth</w:t>
      </w:r>
    </w:p>
    <w:p w14:paraId="342656EB" w14:textId="77777777" w:rsidR="0062522B" w:rsidRDefault="0062522B" w:rsidP="00B00BDD">
      <w:pPr>
        <w:pStyle w:val="ListParagraph"/>
        <w:numPr>
          <w:ilvl w:val="0"/>
          <w:numId w:val="42"/>
        </w:numPr>
      </w:pPr>
      <w:r>
        <w:t>David Pepper</w:t>
      </w:r>
    </w:p>
    <w:p w14:paraId="3DE13E5B" w14:textId="77777777" w:rsidR="0062522B" w:rsidRDefault="0062522B" w:rsidP="00B00BDD">
      <w:pPr>
        <w:pStyle w:val="ListParagraph"/>
        <w:numPr>
          <w:ilvl w:val="0"/>
          <w:numId w:val="42"/>
        </w:numPr>
      </w:pPr>
      <w:r>
        <w:t>David Williams</w:t>
      </w:r>
    </w:p>
    <w:p w14:paraId="0521F065" w14:textId="77777777" w:rsidR="0062522B" w:rsidRDefault="0062522B" w:rsidP="00B00BDD">
      <w:pPr>
        <w:pStyle w:val="ListParagraph"/>
        <w:numPr>
          <w:ilvl w:val="0"/>
          <w:numId w:val="42"/>
        </w:numPr>
      </w:pPr>
      <w:r>
        <w:lastRenderedPageBreak/>
        <w:t xml:space="preserve">Deborah </w:t>
      </w:r>
      <w:proofErr w:type="spellStart"/>
      <w:r>
        <w:t>Punton</w:t>
      </w:r>
      <w:proofErr w:type="spellEnd"/>
    </w:p>
    <w:p w14:paraId="0210032D" w14:textId="77777777" w:rsidR="0062522B" w:rsidRDefault="0062522B" w:rsidP="00B00BDD">
      <w:pPr>
        <w:pStyle w:val="ListParagraph"/>
        <w:numPr>
          <w:ilvl w:val="0"/>
          <w:numId w:val="42"/>
        </w:numPr>
      </w:pPr>
      <w:proofErr w:type="spellStart"/>
      <w:r>
        <w:t>deepC</w:t>
      </w:r>
      <w:proofErr w:type="spellEnd"/>
      <w:r>
        <w:t xml:space="preserve"> Store</w:t>
      </w:r>
    </w:p>
    <w:p w14:paraId="3B567677" w14:textId="77777777" w:rsidR="0062522B" w:rsidRDefault="0062522B" w:rsidP="00B00BDD">
      <w:pPr>
        <w:pStyle w:val="ListParagraph"/>
        <w:numPr>
          <w:ilvl w:val="0"/>
          <w:numId w:val="42"/>
        </w:numPr>
      </w:pPr>
      <w:r>
        <w:t>Delta Electricity</w:t>
      </w:r>
    </w:p>
    <w:p w14:paraId="7F0B9802" w14:textId="77777777" w:rsidR="0062522B" w:rsidRDefault="0062522B" w:rsidP="00B00BDD">
      <w:pPr>
        <w:pStyle w:val="ListParagraph"/>
        <w:numPr>
          <w:ilvl w:val="0"/>
          <w:numId w:val="42"/>
        </w:numPr>
      </w:pPr>
      <w:r>
        <w:t>Denise Martin</w:t>
      </w:r>
    </w:p>
    <w:p w14:paraId="7AD38154" w14:textId="77777777" w:rsidR="0062522B" w:rsidRDefault="0062522B" w:rsidP="00B00BDD">
      <w:pPr>
        <w:pStyle w:val="ListParagraph"/>
        <w:numPr>
          <w:ilvl w:val="0"/>
          <w:numId w:val="42"/>
        </w:numPr>
      </w:pPr>
      <w:r>
        <w:t>Derek Bolton</w:t>
      </w:r>
    </w:p>
    <w:p w14:paraId="1F15766B" w14:textId="77777777" w:rsidR="0062522B" w:rsidRDefault="0062522B" w:rsidP="00B00BDD">
      <w:pPr>
        <w:pStyle w:val="ListParagraph"/>
        <w:numPr>
          <w:ilvl w:val="0"/>
          <w:numId w:val="42"/>
        </w:numPr>
      </w:pPr>
      <w:r>
        <w:t>Doctors for the Environment Australia</w:t>
      </w:r>
    </w:p>
    <w:p w14:paraId="156CA6F0" w14:textId="77777777" w:rsidR="0062522B" w:rsidRDefault="0062522B" w:rsidP="00B00BDD">
      <w:pPr>
        <w:pStyle w:val="ListParagraph"/>
        <w:numPr>
          <w:ilvl w:val="0"/>
          <w:numId w:val="42"/>
        </w:numPr>
      </w:pPr>
      <w:r>
        <w:t>Electrical Trades Union</w:t>
      </w:r>
    </w:p>
    <w:p w14:paraId="044D0448" w14:textId="77777777" w:rsidR="0062522B" w:rsidRDefault="0062522B" w:rsidP="00B00BDD">
      <w:pPr>
        <w:pStyle w:val="ListParagraph"/>
        <w:numPr>
          <w:ilvl w:val="0"/>
          <w:numId w:val="42"/>
        </w:numPr>
      </w:pPr>
      <w:r>
        <w:t>Energy Efficiency Council</w:t>
      </w:r>
    </w:p>
    <w:p w14:paraId="19A9EF63" w14:textId="77777777" w:rsidR="0062522B" w:rsidRDefault="0062522B" w:rsidP="00B00BDD">
      <w:pPr>
        <w:pStyle w:val="ListParagraph"/>
        <w:numPr>
          <w:ilvl w:val="0"/>
          <w:numId w:val="42"/>
        </w:numPr>
      </w:pPr>
      <w:r>
        <w:t>Energy Networks Australia</w:t>
      </w:r>
    </w:p>
    <w:p w14:paraId="27516968" w14:textId="77777777" w:rsidR="0062522B" w:rsidRDefault="0062522B" w:rsidP="00B00BDD">
      <w:pPr>
        <w:pStyle w:val="ListParagraph"/>
        <w:numPr>
          <w:ilvl w:val="0"/>
          <w:numId w:val="42"/>
        </w:numPr>
      </w:pPr>
      <w:r>
        <w:t>Energy Users Association Australia</w:t>
      </w:r>
    </w:p>
    <w:p w14:paraId="79457659" w14:textId="77777777" w:rsidR="0062522B" w:rsidRDefault="0062522B" w:rsidP="00B00BDD">
      <w:pPr>
        <w:pStyle w:val="ListParagraph"/>
        <w:numPr>
          <w:ilvl w:val="0"/>
          <w:numId w:val="42"/>
        </w:numPr>
      </w:pPr>
      <w:r>
        <w:t>Engineers Australia</w:t>
      </w:r>
    </w:p>
    <w:p w14:paraId="78DA1DAE" w14:textId="77777777" w:rsidR="0062522B" w:rsidRDefault="0062522B" w:rsidP="00B00BDD">
      <w:pPr>
        <w:pStyle w:val="ListParagraph"/>
        <w:numPr>
          <w:ilvl w:val="0"/>
          <w:numId w:val="42"/>
        </w:numPr>
      </w:pPr>
      <w:r>
        <w:t>Environmental Advocacy in Central Queensland</w:t>
      </w:r>
    </w:p>
    <w:p w14:paraId="62B18509" w14:textId="77777777" w:rsidR="0062522B" w:rsidRDefault="0062522B" w:rsidP="00B00BDD">
      <w:pPr>
        <w:pStyle w:val="ListParagraph"/>
        <w:numPr>
          <w:ilvl w:val="0"/>
          <w:numId w:val="42"/>
        </w:numPr>
      </w:pPr>
      <w:r>
        <w:t>Environmental Defenders Office</w:t>
      </w:r>
    </w:p>
    <w:p w14:paraId="4F49889B" w14:textId="77777777" w:rsidR="0062522B" w:rsidRDefault="0062522B" w:rsidP="00B00BDD">
      <w:pPr>
        <w:pStyle w:val="ListParagraph"/>
        <w:numPr>
          <w:ilvl w:val="0"/>
          <w:numId w:val="42"/>
        </w:numPr>
      </w:pPr>
      <w:r>
        <w:t xml:space="preserve">First </w:t>
      </w:r>
      <w:proofErr w:type="spellStart"/>
      <w:r>
        <w:t>Sentier</w:t>
      </w:r>
      <w:proofErr w:type="spellEnd"/>
      <w:r>
        <w:t xml:space="preserve"> Investors</w:t>
      </w:r>
    </w:p>
    <w:p w14:paraId="530A7015" w14:textId="77777777" w:rsidR="0062522B" w:rsidRDefault="0062522B" w:rsidP="00B00BDD">
      <w:pPr>
        <w:pStyle w:val="ListParagraph"/>
        <w:numPr>
          <w:ilvl w:val="0"/>
          <w:numId w:val="42"/>
        </w:numPr>
      </w:pPr>
      <w:r>
        <w:t>Flight Free Australia</w:t>
      </w:r>
    </w:p>
    <w:p w14:paraId="527AC44C" w14:textId="77777777" w:rsidR="0062522B" w:rsidRDefault="0062522B" w:rsidP="00B00BDD">
      <w:pPr>
        <w:pStyle w:val="ListParagraph"/>
        <w:numPr>
          <w:ilvl w:val="0"/>
          <w:numId w:val="42"/>
        </w:numPr>
      </w:pPr>
      <w:r>
        <w:t>Fortescue Metals</w:t>
      </w:r>
    </w:p>
    <w:p w14:paraId="4AC97C50" w14:textId="77777777" w:rsidR="0062522B" w:rsidRDefault="0062522B" w:rsidP="00B00BDD">
      <w:pPr>
        <w:pStyle w:val="ListParagraph"/>
        <w:numPr>
          <w:ilvl w:val="0"/>
          <w:numId w:val="42"/>
        </w:numPr>
      </w:pPr>
      <w:r>
        <w:t>Fusion Party</w:t>
      </w:r>
    </w:p>
    <w:p w14:paraId="2EB2E7B3" w14:textId="77777777" w:rsidR="0062522B" w:rsidRDefault="0062522B" w:rsidP="00B00BDD">
      <w:pPr>
        <w:pStyle w:val="ListParagraph"/>
        <w:numPr>
          <w:ilvl w:val="0"/>
          <w:numId w:val="42"/>
        </w:numPr>
      </w:pPr>
      <w:r>
        <w:t>Geelong Sustainability</w:t>
      </w:r>
    </w:p>
    <w:p w14:paraId="206F8151" w14:textId="77777777" w:rsidR="0062522B" w:rsidRDefault="0062522B" w:rsidP="00B00BDD">
      <w:pPr>
        <w:pStyle w:val="ListParagraph"/>
        <w:numPr>
          <w:ilvl w:val="0"/>
          <w:numId w:val="42"/>
        </w:numPr>
      </w:pPr>
      <w:r>
        <w:t>Gerard De Ruyter</w:t>
      </w:r>
    </w:p>
    <w:p w14:paraId="70C0B83F" w14:textId="77777777" w:rsidR="0062522B" w:rsidRDefault="0062522B" w:rsidP="00B00BDD">
      <w:pPr>
        <w:pStyle w:val="ListParagraph"/>
        <w:numPr>
          <w:ilvl w:val="0"/>
          <w:numId w:val="42"/>
        </w:numPr>
      </w:pPr>
      <w:r>
        <w:t>GetUp</w:t>
      </w:r>
    </w:p>
    <w:p w14:paraId="2C692F17" w14:textId="77777777" w:rsidR="0062522B" w:rsidRDefault="0062522B" w:rsidP="00B00BDD">
      <w:pPr>
        <w:pStyle w:val="ListParagraph"/>
        <w:numPr>
          <w:ilvl w:val="0"/>
          <w:numId w:val="42"/>
        </w:numPr>
      </w:pPr>
      <w:r>
        <w:t xml:space="preserve">Glen </w:t>
      </w:r>
      <w:proofErr w:type="spellStart"/>
      <w:r>
        <w:t>Eira</w:t>
      </w:r>
      <w:proofErr w:type="spellEnd"/>
      <w:r>
        <w:t xml:space="preserve"> Emergency Climate Action Network</w:t>
      </w:r>
    </w:p>
    <w:p w14:paraId="5A4055E7" w14:textId="77777777" w:rsidR="0062522B" w:rsidRDefault="0062522B" w:rsidP="00B00BDD">
      <w:pPr>
        <w:pStyle w:val="ListParagraph"/>
        <w:numPr>
          <w:ilvl w:val="0"/>
          <w:numId w:val="42"/>
        </w:numPr>
      </w:pPr>
      <w:r>
        <w:t>Glencore</w:t>
      </w:r>
    </w:p>
    <w:p w14:paraId="712C62DF" w14:textId="77777777" w:rsidR="0062522B" w:rsidRDefault="0062522B" w:rsidP="00B00BDD">
      <w:pPr>
        <w:pStyle w:val="ListParagraph"/>
        <w:numPr>
          <w:ilvl w:val="0"/>
          <w:numId w:val="42"/>
        </w:numPr>
      </w:pPr>
      <w:r>
        <w:t>Grange Resources</w:t>
      </w:r>
    </w:p>
    <w:p w14:paraId="4ED9EAB0" w14:textId="77777777" w:rsidR="0062522B" w:rsidRDefault="0062522B" w:rsidP="00B00BDD">
      <w:pPr>
        <w:pStyle w:val="ListParagraph"/>
        <w:numPr>
          <w:ilvl w:val="0"/>
          <w:numId w:val="42"/>
        </w:numPr>
      </w:pPr>
      <w:r>
        <w:t>Grattan Institute</w:t>
      </w:r>
    </w:p>
    <w:p w14:paraId="190D4E83" w14:textId="77777777" w:rsidR="0062522B" w:rsidRDefault="0062522B" w:rsidP="00B00BDD">
      <w:pPr>
        <w:pStyle w:val="ListParagraph"/>
        <w:numPr>
          <w:ilvl w:val="0"/>
          <w:numId w:val="42"/>
        </w:numPr>
      </w:pPr>
      <w:r>
        <w:t>Green Building Council of Australia</w:t>
      </w:r>
    </w:p>
    <w:p w14:paraId="2E89B2A2" w14:textId="77777777" w:rsidR="0062522B" w:rsidRDefault="0062522B" w:rsidP="00B00BDD">
      <w:pPr>
        <w:pStyle w:val="ListParagraph"/>
        <w:numPr>
          <w:ilvl w:val="0"/>
          <w:numId w:val="42"/>
        </w:numPr>
      </w:pPr>
      <w:r>
        <w:t>Greening Australia</w:t>
      </w:r>
    </w:p>
    <w:p w14:paraId="7396CFC8" w14:textId="77777777" w:rsidR="0062522B" w:rsidRDefault="0062522B" w:rsidP="00B00BDD">
      <w:pPr>
        <w:pStyle w:val="ListParagraph"/>
        <w:numPr>
          <w:ilvl w:val="0"/>
          <w:numId w:val="42"/>
        </w:numPr>
      </w:pPr>
      <w:r>
        <w:t>Greenpeace Australia Pacific</w:t>
      </w:r>
    </w:p>
    <w:p w14:paraId="7BAE312D" w14:textId="77777777" w:rsidR="0062522B" w:rsidRDefault="0062522B" w:rsidP="00B00BDD">
      <w:pPr>
        <w:pStyle w:val="ListParagraph"/>
        <w:numPr>
          <w:ilvl w:val="0"/>
          <w:numId w:val="42"/>
        </w:numPr>
      </w:pPr>
      <w:r>
        <w:t xml:space="preserve">Howard </w:t>
      </w:r>
      <w:proofErr w:type="spellStart"/>
      <w:r>
        <w:t>Brownscombe</w:t>
      </w:r>
      <w:proofErr w:type="spellEnd"/>
    </w:p>
    <w:p w14:paraId="64A17F8F" w14:textId="77777777" w:rsidR="0062522B" w:rsidRDefault="0062522B" w:rsidP="00B00BDD">
      <w:pPr>
        <w:pStyle w:val="ListParagraph"/>
        <w:numPr>
          <w:ilvl w:val="0"/>
          <w:numId w:val="42"/>
        </w:numPr>
      </w:pPr>
      <w:r>
        <w:t xml:space="preserve">Howard </w:t>
      </w:r>
      <w:proofErr w:type="spellStart"/>
      <w:r>
        <w:t>Doddrell</w:t>
      </w:r>
      <w:proofErr w:type="spellEnd"/>
    </w:p>
    <w:p w14:paraId="22A786AA" w14:textId="77777777" w:rsidR="0062522B" w:rsidRDefault="0062522B" w:rsidP="00B00BDD">
      <w:pPr>
        <w:pStyle w:val="ListParagraph"/>
        <w:numPr>
          <w:ilvl w:val="0"/>
          <w:numId w:val="42"/>
        </w:numPr>
      </w:pPr>
      <w:r>
        <w:t>Hydro Tasmania</w:t>
      </w:r>
    </w:p>
    <w:p w14:paraId="0FE5E8F3" w14:textId="77777777" w:rsidR="0062522B" w:rsidRDefault="0062522B" w:rsidP="00B00BDD">
      <w:pPr>
        <w:pStyle w:val="ListParagraph"/>
        <w:numPr>
          <w:ilvl w:val="0"/>
          <w:numId w:val="42"/>
        </w:numPr>
      </w:pPr>
      <w:r>
        <w:t>Ian Dunlop</w:t>
      </w:r>
    </w:p>
    <w:p w14:paraId="022666CE" w14:textId="77777777" w:rsidR="0062522B" w:rsidRDefault="0062522B" w:rsidP="00B00BDD">
      <w:pPr>
        <w:pStyle w:val="ListParagraph"/>
        <w:numPr>
          <w:ilvl w:val="0"/>
          <w:numId w:val="42"/>
        </w:numPr>
      </w:pPr>
      <w:proofErr w:type="spellStart"/>
      <w:r>
        <w:t>Inpex</w:t>
      </w:r>
      <w:proofErr w:type="spellEnd"/>
    </w:p>
    <w:p w14:paraId="1642ACFA" w14:textId="77777777" w:rsidR="0062522B" w:rsidRDefault="0062522B" w:rsidP="00B00BDD">
      <w:pPr>
        <w:pStyle w:val="ListParagraph"/>
        <w:numPr>
          <w:ilvl w:val="0"/>
          <w:numId w:val="42"/>
        </w:numPr>
      </w:pPr>
      <w:r>
        <w:t>Investor Group on Climate Change</w:t>
      </w:r>
    </w:p>
    <w:p w14:paraId="16F2B8E2" w14:textId="77777777" w:rsidR="0062522B" w:rsidRDefault="0062522B" w:rsidP="00B00BDD">
      <w:pPr>
        <w:pStyle w:val="ListParagraph"/>
        <w:numPr>
          <w:ilvl w:val="0"/>
          <w:numId w:val="42"/>
        </w:numPr>
      </w:pPr>
      <w:r>
        <w:t xml:space="preserve">Jane </w:t>
      </w:r>
      <w:proofErr w:type="spellStart"/>
      <w:r>
        <w:t>Stabb</w:t>
      </w:r>
      <w:proofErr w:type="spellEnd"/>
    </w:p>
    <w:p w14:paraId="78AB7A35" w14:textId="77777777" w:rsidR="0062522B" w:rsidRDefault="0062522B" w:rsidP="00B00BDD">
      <w:pPr>
        <w:pStyle w:val="ListParagraph"/>
        <w:numPr>
          <w:ilvl w:val="0"/>
          <w:numId w:val="42"/>
        </w:numPr>
      </w:pPr>
      <w:r>
        <w:t xml:space="preserve">Janet </w:t>
      </w:r>
      <w:proofErr w:type="spellStart"/>
      <w:r>
        <w:t>Burstall</w:t>
      </w:r>
      <w:proofErr w:type="spellEnd"/>
    </w:p>
    <w:p w14:paraId="657C47BA" w14:textId="77777777" w:rsidR="0062522B" w:rsidRDefault="0062522B" w:rsidP="00B00BDD">
      <w:pPr>
        <w:pStyle w:val="ListParagraph"/>
        <w:numPr>
          <w:ilvl w:val="0"/>
          <w:numId w:val="42"/>
        </w:numPr>
      </w:pPr>
      <w:r>
        <w:t>Janette Allison</w:t>
      </w:r>
    </w:p>
    <w:p w14:paraId="6BD889CD" w14:textId="77777777" w:rsidR="0062522B" w:rsidRDefault="0062522B" w:rsidP="00B00BDD">
      <w:pPr>
        <w:pStyle w:val="ListParagraph"/>
        <w:numPr>
          <w:ilvl w:val="0"/>
          <w:numId w:val="42"/>
        </w:numPr>
      </w:pPr>
      <w:r>
        <w:t xml:space="preserve">Jenna </w:t>
      </w:r>
      <w:proofErr w:type="spellStart"/>
      <w:r>
        <w:t>Condie</w:t>
      </w:r>
      <w:proofErr w:type="spellEnd"/>
    </w:p>
    <w:p w14:paraId="6D2B7881" w14:textId="77777777" w:rsidR="0062522B" w:rsidRDefault="0062522B" w:rsidP="00B00BDD">
      <w:pPr>
        <w:pStyle w:val="ListParagraph"/>
        <w:numPr>
          <w:ilvl w:val="0"/>
          <w:numId w:val="42"/>
        </w:numPr>
      </w:pPr>
      <w:r>
        <w:t>Jessie Wells</w:t>
      </w:r>
    </w:p>
    <w:p w14:paraId="37BAD098" w14:textId="77777777" w:rsidR="0062522B" w:rsidRDefault="0062522B" w:rsidP="00B00BDD">
      <w:pPr>
        <w:pStyle w:val="ListParagraph"/>
        <w:numPr>
          <w:ilvl w:val="0"/>
          <w:numId w:val="42"/>
        </w:numPr>
      </w:pPr>
      <w:r>
        <w:t>John Hughes</w:t>
      </w:r>
    </w:p>
    <w:p w14:paraId="14E12812" w14:textId="77777777" w:rsidR="0062522B" w:rsidRDefault="0062522B" w:rsidP="00B00BDD">
      <w:pPr>
        <w:pStyle w:val="ListParagraph"/>
        <w:numPr>
          <w:ilvl w:val="0"/>
          <w:numId w:val="42"/>
        </w:numPr>
      </w:pPr>
      <w:r>
        <w:t>J-Power Latrobe Valley</w:t>
      </w:r>
    </w:p>
    <w:p w14:paraId="1CCAEDA5" w14:textId="77777777" w:rsidR="0062522B" w:rsidRDefault="0062522B" w:rsidP="00B00BDD">
      <w:pPr>
        <w:pStyle w:val="ListParagraph"/>
        <w:numPr>
          <w:ilvl w:val="0"/>
          <w:numId w:val="42"/>
        </w:numPr>
      </w:pPr>
      <w:r>
        <w:t>Judith Bourne</w:t>
      </w:r>
    </w:p>
    <w:p w14:paraId="300B81C6" w14:textId="77777777" w:rsidR="0062522B" w:rsidRDefault="0062522B" w:rsidP="00B00BDD">
      <w:pPr>
        <w:pStyle w:val="ListParagraph"/>
        <w:numPr>
          <w:ilvl w:val="0"/>
          <w:numId w:val="42"/>
        </w:numPr>
      </w:pPr>
      <w:r>
        <w:t>Kate Ashdown</w:t>
      </w:r>
    </w:p>
    <w:p w14:paraId="447E5090" w14:textId="77777777" w:rsidR="0062522B" w:rsidRDefault="0062522B" w:rsidP="00B00BDD">
      <w:pPr>
        <w:pStyle w:val="ListParagraph"/>
        <w:numPr>
          <w:ilvl w:val="0"/>
          <w:numId w:val="42"/>
        </w:numPr>
      </w:pPr>
      <w:r>
        <w:t>Kate Chaney MP</w:t>
      </w:r>
    </w:p>
    <w:p w14:paraId="3CE570AA" w14:textId="77777777" w:rsidR="0062522B" w:rsidRDefault="0062522B" w:rsidP="00B00BDD">
      <w:pPr>
        <w:pStyle w:val="ListParagraph"/>
        <w:numPr>
          <w:ilvl w:val="0"/>
          <w:numId w:val="42"/>
        </w:numPr>
      </w:pPr>
      <w:r>
        <w:t>Kathleen Davies</w:t>
      </w:r>
    </w:p>
    <w:p w14:paraId="4920071E" w14:textId="77777777" w:rsidR="0062522B" w:rsidRDefault="0062522B" w:rsidP="00B00BDD">
      <w:pPr>
        <w:pStyle w:val="ListParagraph"/>
        <w:numPr>
          <w:ilvl w:val="0"/>
          <w:numId w:val="42"/>
        </w:numPr>
      </w:pPr>
      <w:r>
        <w:t xml:space="preserve">Kathryn </w:t>
      </w:r>
      <w:proofErr w:type="spellStart"/>
      <w:r>
        <w:t>Boin</w:t>
      </w:r>
      <w:proofErr w:type="spellEnd"/>
    </w:p>
    <w:p w14:paraId="6CBDF02C" w14:textId="77777777" w:rsidR="0062522B" w:rsidRDefault="0062522B" w:rsidP="00B00BDD">
      <w:pPr>
        <w:pStyle w:val="ListParagraph"/>
        <w:numPr>
          <w:ilvl w:val="0"/>
          <w:numId w:val="42"/>
        </w:numPr>
      </w:pPr>
      <w:r>
        <w:t xml:space="preserve">Kerry </w:t>
      </w:r>
      <w:proofErr w:type="spellStart"/>
      <w:r>
        <w:t>Flattley</w:t>
      </w:r>
      <w:proofErr w:type="spellEnd"/>
    </w:p>
    <w:p w14:paraId="4DB3C5DD" w14:textId="77777777" w:rsidR="0062522B" w:rsidRDefault="0062522B" w:rsidP="00B00BDD">
      <w:pPr>
        <w:pStyle w:val="ListParagraph"/>
        <w:numPr>
          <w:ilvl w:val="0"/>
          <w:numId w:val="42"/>
        </w:numPr>
      </w:pPr>
      <w:proofErr w:type="spellStart"/>
      <w:r>
        <w:t>Labor</w:t>
      </w:r>
      <w:proofErr w:type="spellEnd"/>
      <w:r>
        <w:t xml:space="preserve"> Environment Action Network</w:t>
      </w:r>
    </w:p>
    <w:p w14:paraId="04BA8F1F" w14:textId="77777777" w:rsidR="0062522B" w:rsidRDefault="0062522B" w:rsidP="00B00BDD">
      <w:pPr>
        <w:pStyle w:val="ListParagraph"/>
        <w:numPr>
          <w:ilvl w:val="0"/>
          <w:numId w:val="42"/>
        </w:numPr>
      </w:pPr>
      <w:r>
        <w:t>Leslie Thornton</w:t>
      </w:r>
    </w:p>
    <w:p w14:paraId="041157F4" w14:textId="77777777" w:rsidR="0062522B" w:rsidRDefault="0062522B" w:rsidP="00B00BDD">
      <w:pPr>
        <w:pStyle w:val="ListParagraph"/>
        <w:numPr>
          <w:ilvl w:val="0"/>
          <w:numId w:val="42"/>
        </w:numPr>
      </w:pPr>
      <w:r>
        <w:t>Lighter Footprints</w:t>
      </w:r>
    </w:p>
    <w:p w14:paraId="2867EE41" w14:textId="77777777" w:rsidR="0062522B" w:rsidRDefault="0062522B" w:rsidP="00B00BDD">
      <w:pPr>
        <w:pStyle w:val="ListParagraph"/>
        <w:numPr>
          <w:ilvl w:val="0"/>
          <w:numId w:val="42"/>
        </w:numPr>
      </w:pPr>
      <w:r>
        <w:t>Limestone Association of Australia</w:t>
      </w:r>
    </w:p>
    <w:p w14:paraId="362BF973" w14:textId="77777777" w:rsidR="0062522B" w:rsidRDefault="0062522B" w:rsidP="00B00BDD">
      <w:pPr>
        <w:pStyle w:val="ListParagraph"/>
        <w:numPr>
          <w:ilvl w:val="0"/>
          <w:numId w:val="42"/>
        </w:numPr>
      </w:pPr>
      <w:r>
        <w:t>Lock the Gate Alliance</w:t>
      </w:r>
    </w:p>
    <w:p w14:paraId="500D6F58" w14:textId="77777777" w:rsidR="0062522B" w:rsidRDefault="0062522B" w:rsidP="00B00BDD">
      <w:pPr>
        <w:pStyle w:val="ListParagraph"/>
        <w:numPr>
          <w:ilvl w:val="0"/>
          <w:numId w:val="42"/>
        </w:numPr>
      </w:pPr>
      <w:r>
        <w:t xml:space="preserve">Madeleine </w:t>
      </w:r>
      <w:proofErr w:type="spellStart"/>
      <w:r>
        <w:t>Serong</w:t>
      </w:r>
      <w:proofErr w:type="spellEnd"/>
    </w:p>
    <w:p w14:paraId="2E755025" w14:textId="77777777" w:rsidR="0062522B" w:rsidRDefault="0062522B" w:rsidP="00B00BDD">
      <w:pPr>
        <w:pStyle w:val="ListParagraph"/>
        <w:numPr>
          <w:ilvl w:val="0"/>
          <w:numId w:val="42"/>
        </w:numPr>
      </w:pPr>
      <w:r>
        <w:t>Manufacturing Australia</w:t>
      </w:r>
    </w:p>
    <w:p w14:paraId="659078BA" w14:textId="77777777" w:rsidR="0062522B" w:rsidRDefault="0062522B" w:rsidP="00B00BDD">
      <w:pPr>
        <w:pStyle w:val="ListParagraph"/>
        <w:numPr>
          <w:ilvl w:val="0"/>
          <w:numId w:val="42"/>
        </w:numPr>
      </w:pPr>
      <w:r>
        <w:t>Marg Taylor</w:t>
      </w:r>
    </w:p>
    <w:p w14:paraId="727456E0" w14:textId="77777777" w:rsidR="0062522B" w:rsidRDefault="0062522B" w:rsidP="00B00BDD">
      <w:pPr>
        <w:pStyle w:val="ListParagraph"/>
        <w:numPr>
          <w:ilvl w:val="0"/>
          <w:numId w:val="42"/>
        </w:numPr>
      </w:pPr>
      <w:r>
        <w:t>Maritime Union of Australia</w:t>
      </w:r>
    </w:p>
    <w:p w14:paraId="7435D15F" w14:textId="77777777" w:rsidR="0062522B" w:rsidRDefault="0062522B" w:rsidP="00B00BDD">
      <w:pPr>
        <w:pStyle w:val="ListParagraph"/>
        <w:numPr>
          <w:ilvl w:val="0"/>
          <w:numId w:val="42"/>
        </w:numPr>
      </w:pPr>
      <w:r>
        <w:t>Mark Sims</w:t>
      </w:r>
    </w:p>
    <w:p w14:paraId="4FAE2F68" w14:textId="77777777" w:rsidR="0062522B" w:rsidRDefault="0062522B" w:rsidP="00B00BDD">
      <w:pPr>
        <w:pStyle w:val="ListParagraph"/>
        <w:numPr>
          <w:ilvl w:val="0"/>
          <w:numId w:val="42"/>
        </w:numPr>
      </w:pPr>
      <w:r>
        <w:t>Maryvale Energy from Waste</w:t>
      </w:r>
    </w:p>
    <w:p w14:paraId="685D9965" w14:textId="77777777" w:rsidR="0062522B" w:rsidRDefault="0062522B" w:rsidP="00B00BDD">
      <w:pPr>
        <w:pStyle w:val="ListParagraph"/>
        <w:numPr>
          <w:ilvl w:val="0"/>
          <w:numId w:val="42"/>
        </w:numPr>
      </w:pPr>
      <w:r>
        <w:t>Minerals Council of Australia</w:t>
      </w:r>
    </w:p>
    <w:p w14:paraId="69D2B81E" w14:textId="77777777" w:rsidR="0062522B" w:rsidRDefault="0062522B" w:rsidP="00B00BDD">
      <w:pPr>
        <w:pStyle w:val="ListParagraph"/>
        <w:numPr>
          <w:ilvl w:val="0"/>
          <w:numId w:val="42"/>
        </w:numPr>
      </w:pPr>
      <w:r>
        <w:t xml:space="preserve">Mornington Peninsula </w:t>
      </w:r>
      <w:proofErr w:type="spellStart"/>
      <w:r>
        <w:t>Labor</w:t>
      </w:r>
      <w:proofErr w:type="spellEnd"/>
      <w:r>
        <w:t xml:space="preserve"> Environmental Action Network</w:t>
      </w:r>
    </w:p>
    <w:p w14:paraId="53EE3D79" w14:textId="77777777" w:rsidR="0062522B" w:rsidRDefault="0062522B" w:rsidP="00B00BDD">
      <w:pPr>
        <w:pStyle w:val="ListParagraph"/>
        <w:numPr>
          <w:ilvl w:val="0"/>
          <w:numId w:val="42"/>
        </w:numPr>
      </w:pPr>
      <w:r>
        <w:t xml:space="preserve">Natasha </w:t>
      </w:r>
      <w:proofErr w:type="spellStart"/>
      <w:r>
        <w:t>Prewett</w:t>
      </w:r>
      <w:proofErr w:type="spellEnd"/>
    </w:p>
    <w:p w14:paraId="75B93E58" w14:textId="77777777" w:rsidR="0062522B" w:rsidRDefault="0062522B" w:rsidP="00B00BDD">
      <w:pPr>
        <w:pStyle w:val="ListParagraph"/>
        <w:numPr>
          <w:ilvl w:val="0"/>
          <w:numId w:val="42"/>
        </w:numPr>
      </w:pPr>
      <w:r>
        <w:t>National Environmental Law Association</w:t>
      </w:r>
    </w:p>
    <w:p w14:paraId="5E99ABAE" w14:textId="77777777" w:rsidR="0062522B" w:rsidRDefault="0062522B" w:rsidP="00B00BDD">
      <w:pPr>
        <w:pStyle w:val="ListParagraph"/>
        <w:numPr>
          <w:ilvl w:val="0"/>
          <w:numId w:val="42"/>
        </w:numPr>
      </w:pPr>
      <w:r>
        <w:t>Nick Abel</w:t>
      </w:r>
    </w:p>
    <w:p w14:paraId="485C19D6" w14:textId="77777777" w:rsidR="0062522B" w:rsidRDefault="0062522B" w:rsidP="00B00BDD">
      <w:pPr>
        <w:pStyle w:val="ListParagraph"/>
        <w:numPr>
          <w:ilvl w:val="0"/>
          <w:numId w:val="42"/>
        </w:numPr>
      </w:pPr>
      <w:r>
        <w:t xml:space="preserve">Noel </w:t>
      </w:r>
      <w:proofErr w:type="spellStart"/>
      <w:r>
        <w:t>Skrzypczak</w:t>
      </w:r>
      <w:proofErr w:type="spellEnd"/>
    </w:p>
    <w:p w14:paraId="1058089A" w14:textId="77777777" w:rsidR="0062522B" w:rsidRDefault="0062522B" w:rsidP="00B00BDD">
      <w:pPr>
        <w:pStyle w:val="ListParagraph"/>
        <w:numPr>
          <w:ilvl w:val="0"/>
          <w:numId w:val="42"/>
        </w:numPr>
      </w:pPr>
      <w:proofErr w:type="spellStart"/>
      <w:r>
        <w:t>Northmore</w:t>
      </w:r>
      <w:proofErr w:type="spellEnd"/>
      <w:r>
        <w:t xml:space="preserve"> Gordon</w:t>
      </w:r>
    </w:p>
    <w:p w14:paraId="1C4EB7F7" w14:textId="77777777" w:rsidR="0062522B" w:rsidRDefault="0062522B" w:rsidP="00B00BDD">
      <w:pPr>
        <w:pStyle w:val="ListParagraph"/>
        <w:numPr>
          <w:ilvl w:val="0"/>
          <w:numId w:val="42"/>
        </w:numPr>
      </w:pPr>
      <w:r>
        <w:t>NSW Minerals Council</w:t>
      </w:r>
    </w:p>
    <w:p w14:paraId="12F4452B" w14:textId="77777777" w:rsidR="0062522B" w:rsidRDefault="0062522B" w:rsidP="00B00BDD">
      <w:pPr>
        <w:pStyle w:val="ListParagraph"/>
        <w:numPr>
          <w:ilvl w:val="0"/>
          <w:numId w:val="42"/>
        </w:numPr>
      </w:pPr>
      <w:r>
        <w:t>Opal Group</w:t>
      </w:r>
    </w:p>
    <w:p w14:paraId="400E2C35" w14:textId="77777777" w:rsidR="0062522B" w:rsidRDefault="0062522B" w:rsidP="00B00BDD">
      <w:pPr>
        <w:pStyle w:val="ListParagraph"/>
        <w:numPr>
          <w:ilvl w:val="0"/>
          <w:numId w:val="42"/>
        </w:numPr>
      </w:pPr>
      <w:r>
        <w:t>Orica</w:t>
      </w:r>
    </w:p>
    <w:p w14:paraId="7AC2BFD2" w14:textId="77777777" w:rsidR="0062522B" w:rsidRDefault="0062522B" w:rsidP="00B00BDD">
      <w:pPr>
        <w:pStyle w:val="ListParagraph"/>
        <w:numPr>
          <w:ilvl w:val="0"/>
          <w:numId w:val="42"/>
        </w:numPr>
      </w:pPr>
      <w:r>
        <w:t>Origin Energy</w:t>
      </w:r>
    </w:p>
    <w:p w14:paraId="1C45E1F0" w14:textId="77777777" w:rsidR="0062522B" w:rsidRDefault="0062522B" w:rsidP="00B00BDD">
      <w:pPr>
        <w:pStyle w:val="ListParagraph"/>
        <w:numPr>
          <w:ilvl w:val="0"/>
          <w:numId w:val="42"/>
        </w:numPr>
      </w:pPr>
      <w:r>
        <w:t>Patricia Saunders</w:t>
      </w:r>
    </w:p>
    <w:p w14:paraId="3FF97766" w14:textId="77777777" w:rsidR="0062522B" w:rsidRDefault="0062522B" w:rsidP="00B00BDD">
      <w:pPr>
        <w:pStyle w:val="ListParagraph"/>
        <w:numPr>
          <w:ilvl w:val="0"/>
          <w:numId w:val="42"/>
        </w:numPr>
      </w:pPr>
      <w:r>
        <w:t>Peoples Climate Assembly</w:t>
      </w:r>
    </w:p>
    <w:p w14:paraId="60665B45" w14:textId="77777777" w:rsidR="0062522B" w:rsidRDefault="0062522B" w:rsidP="00B00BDD">
      <w:pPr>
        <w:pStyle w:val="ListParagraph"/>
        <w:numPr>
          <w:ilvl w:val="0"/>
          <w:numId w:val="42"/>
        </w:numPr>
      </w:pPr>
      <w:r>
        <w:t>Peter Cook</w:t>
      </w:r>
    </w:p>
    <w:p w14:paraId="51C85064" w14:textId="77777777" w:rsidR="0062522B" w:rsidRDefault="0062522B" w:rsidP="00B00BDD">
      <w:pPr>
        <w:pStyle w:val="ListParagraph"/>
        <w:numPr>
          <w:ilvl w:val="0"/>
          <w:numId w:val="42"/>
        </w:numPr>
      </w:pPr>
      <w:r>
        <w:t xml:space="preserve">Pieter van der </w:t>
      </w:r>
      <w:proofErr w:type="spellStart"/>
      <w:r>
        <w:t>Vegte</w:t>
      </w:r>
      <w:proofErr w:type="spellEnd"/>
    </w:p>
    <w:p w14:paraId="0CC0DC81" w14:textId="77777777" w:rsidR="0062522B" w:rsidRDefault="0062522B" w:rsidP="00B00BDD">
      <w:pPr>
        <w:pStyle w:val="ListParagraph"/>
        <w:numPr>
          <w:ilvl w:val="0"/>
          <w:numId w:val="42"/>
        </w:numPr>
      </w:pPr>
      <w:r>
        <w:t>Planet Zero Waste</w:t>
      </w:r>
    </w:p>
    <w:p w14:paraId="5DD801F9" w14:textId="77777777" w:rsidR="0062522B" w:rsidRDefault="0062522B" w:rsidP="00B00BDD">
      <w:pPr>
        <w:pStyle w:val="ListParagraph"/>
        <w:numPr>
          <w:ilvl w:val="0"/>
          <w:numId w:val="42"/>
        </w:numPr>
      </w:pPr>
      <w:proofErr w:type="spellStart"/>
      <w:r>
        <w:t>PNGnuiti</w:t>
      </w:r>
      <w:proofErr w:type="spellEnd"/>
      <w:r>
        <w:t xml:space="preserve"> Management</w:t>
      </w:r>
    </w:p>
    <w:p w14:paraId="42D0A7BD" w14:textId="77777777" w:rsidR="0062522B" w:rsidRDefault="0062522B" w:rsidP="00B00BDD">
      <w:pPr>
        <w:pStyle w:val="ListParagraph"/>
        <w:numPr>
          <w:ilvl w:val="0"/>
          <w:numId w:val="42"/>
        </w:numPr>
      </w:pPr>
      <w:r>
        <w:t>Pottinger</w:t>
      </w:r>
    </w:p>
    <w:p w14:paraId="59BFE848" w14:textId="77777777" w:rsidR="0062522B" w:rsidRDefault="0062522B" w:rsidP="00B00BDD">
      <w:pPr>
        <w:pStyle w:val="ListParagraph"/>
        <w:numPr>
          <w:ilvl w:val="0"/>
          <w:numId w:val="42"/>
        </w:numPr>
      </w:pPr>
      <w:r>
        <w:t>PwC</w:t>
      </w:r>
    </w:p>
    <w:p w14:paraId="323EFE34" w14:textId="77777777" w:rsidR="0062522B" w:rsidRDefault="0062522B" w:rsidP="00B00BDD">
      <w:pPr>
        <w:pStyle w:val="ListParagraph"/>
        <w:numPr>
          <w:ilvl w:val="0"/>
          <w:numId w:val="42"/>
        </w:numPr>
      </w:pPr>
      <w:r>
        <w:t>Queensland Conservation Council</w:t>
      </w:r>
    </w:p>
    <w:p w14:paraId="35AAE7E2" w14:textId="77777777" w:rsidR="0062522B" w:rsidRDefault="0062522B" w:rsidP="00B00BDD">
      <w:pPr>
        <w:pStyle w:val="ListParagraph"/>
        <w:numPr>
          <w:ilvl w:val="0"/>
          <w:numId w:val="42"/>
        </w:numPr>
      </w:pPr>
      <w:r>
        <w:t>Ray Stephens</w:t>
      </w:r>
    </w:p>
    <w:p w14:paraId="788E9E84" w14:textId="77777777" w:rsidR="0062522B" w:rsidRDefault="0062522B" w:rsidP="00B00BDD">
      <w:pPr>
        <w:pStyle w:val="ListParagraph"/>
        <w:numPr>
          <w:ilvl w:val="0"/>
          <w:numId w:val="42"/>
        </w:numPr>
      </w:pPr>
      <w:r>
        <w:t>Rio Tinto</w:t>
      </w:r>
    </w:p>
    <w:p w14:paraId="126430DB" w14:textId="77777777" w:rsidR="0062522B" w:rsidRDefault="0062522B" w:rsidP="00B00BDD">
      <w:pPr>
        <w:pStyle w:val="ListParagraph"/>
        <w:numPr>
          <w:ilvl w:val="0"/>
          <w:numId w:val="42"/>
        </w:numPr>
      </w:pPr>
      <w:r>
        <w:t>Rob B</w:t>
      </w:r>
    </w:p>
    <w:p w14:paraId="28B301A0" w14:textId="77777777" w:rsidR="0062522B" w:rsidRDefault="0062522B" w:rsidP="00B00BDD">
      <w:pPr>
        <w:pStyle w:val="ListParagraph"/>
        <w:numPr>
          <w:ilvl w:val="0"/>
          <w:numId w:val="42"/>
        </w:numPr>
      </w:pPr>
      <w:r>
        <w:t>Robert Davis</w:t>
      </w:r>
    </w:p>
    <w:p w14:paraId="76521636" w14:textId="77777777" w:rsidR="0062522B" w:rsidRDefault="0062522B" w:rsidP="00B00BDD">
      <w:pPr>
        <w:pStyle w:val="ListParagraph"/>
        <w:numPr>
          <w:ilvl w:val="0"/>
          <w:numId w:val="42"/>
        </w:numPr>
      </w:pPr>
      <w:r>
        <w:t>Robin Gardner</w:t>
      </w:r>
    </w:p>
    <w:p w14:paraId="462B1392" w14:textId="77777777" w:rsidR="0062522B" w:rsidRDefault="0062522B" w:rsidP="00B00BDD">
      <w:pPr>
        <w:pStyle w:val="ListParagraph"/>
        <w:numPr>
          <w:ilvl w:val="0"/>
          <w:numId w:val="42"/>
        </w:numPr>
      </w:pPr>
      <w:r>
        <w:t>Roy Hill</w:t>
      </w:r>
    </w:p>
    <w:p w14:paraId="7D9AAEEA" w14:textId="77777777" w:rsidR="0062522B" w:rsidRDefault="0062522B" w:rsidP="00B00BDD">
      <w:pPr>
        <w:pStyle w:val="ListParagraph"/>
        <w:numPr>
          <w:ilvl w:val="0"/>
          <w:numId w:val="42"/>
        </w:numPr>
      </w:pPr>
      <w:proofErr w:type="spellStart"/>
      <w:r>
        <w:t>SACOME</w:t>
      </w:r>
      <w:proofErr w:type="spellEnd"/>
    </w:p>
    <w:p w14:paraId="32352FE9" w14:textId="77777777" w:rsidR="0062522B" w:rsidRDefault="0062522B" w:rsidP="00B00BDD">
      <w:pPr>
        <w:pStyle w:val="ListParagraph"/>
        <w:numPr>
          <w:ilvl w:val="0"/>
          <w:numId w:val="42"/>
        </w:numPr>
      </w:pPr>
      <w:r>
        <w:t>Sarah King</w:t>
      </w:r>
    </w:p>
    <w:p w14:paraId="3D7BBC83" w14:textId="77777777" w:rsidR="0062522B" w:rsidRDefault="0062522B" w:rsidP="00B00BDD">
      <w:pPr>
        <w:pStyle w:val="ListParagraph"/>
        <w:numPr>
          <w:ilvl w:val="0"/>
          <w:numId w:val="42"/>
        </w:numPr>
      </w:pPr>
      <w:r>
        <w:t>Sharee McCammon</w:t>
      </w:r>
    </w:p>
    <w:p w14:paraId="4EFBB047" w14:textId="77777777" w:rsidR="0062522B" w:rsidRDefault="0062522B" w:rsidP="00B00BDD">
      <w:pPr>
        <w:pStyle w:val="ListParagraph"/>
        <w:numPr>
          <w:ilvl w:val="0"/>
          <w:numId w:val="42"/>
        </w:numPr>
      </w:pPr>
      <w:r>
        <w:t>Simon Campbell</w:t>
      </w:r>
    </w:p>
    <w:p w14:paraId="28A66099" w14:textId="77777777" w:rsidR="0062522B" w:rsidRDefault="0062522B" w:rsidP="00B00BDD">
      <w:pPr>
        <w:pStyle w:val="ListParagraph"/>
        <w:numPr>
          <w:ilvl w:val="0"/>
          <w:numId w:val="42"/>
        </w:numPr>
      </w:pPr>
      <w:proofErr w:type="spellStart"/>
      <w:r>
        <w:t>Siobhain</w:t>
      </w:r>
      <w:proofErr w:type="spellEnd"/>
      <w:r>
        <w:t xml:space="preserve"> O'Leary</w:t>
      </w:r>
    </w:p>
    <w:p w14:paraId="11D48807" w14:textId="77777777" w:rsidR="0062522B" w:rsidRDefault="0062522B" w:rsidP="00B00BDD">
      <w:pPr>
        <w:pStyle w:val="ListParagraph"/>
        <w:numPr>
          <w:ilvl w:val="0"/>
          <w:numId w:val="42"/>
        </w:numPr>
      </w:pPr>
      <w:r>
        <w:t>Smart Energy Council</w:t>
      </w:r>
    </w:p>
    <w:p w14:paraId="21734219" w14:textId="77777777" w:rsidR="0062522B" w:rsidRDefault="0062522B" w:rsidP="00B00BDD">
      <w:pPr>
        <w:pStyle w:val="ListParagraph"/>
        <w:numPr>
          <w:ilvl w:val="0"/>
          <w:numId w:val="42"/>
        </w:numPr>
      </w:pPr>
      <w:r>
        <w:t>South32</w:t>
      </w:r>
    </w:p>
    <w:p w14:paraId="5DBB6C7B" w14:textId="77777777" w:rsidR="0062522B" w:rsidRDefault="0062522B" w:rsidP="00B00BDD">
      <w:pPr>
        <w:pStyle w:val="ListParagraph"/>
        <w:numPr>
          <w:ilvl w:val="0"/>
          <w:numId w:val="42"/>
        </w:numPr>
      </w:pPr>
      <w:r>
        <w:t>Stephen Pfeiffer</w:t>
      </w:r>
    </w:p>
    <w:p w14:paraId="7A3D9BBF" w14:textId="77777777" w:rsidR="0062522B" w:rsidRDefault="0062522B" w:rsidP="00B00BDD">
      <w:pPr>
        <w:pStyle w:val="ListParagraph"/>
        <w:numPr>
          <w:ilvl w:val="0"/>
          <w:numId w:val="42"/>
        </w:numPr>
      </w:pPr>
      <w:r>
        <w:t>Steve Gates</w:t>
      </w:r>
    </w:p>
    <w:p w14:paraId="288CF243" w14:textId="2E2415D5" w:rsidR="0062522B" w:rsidRDefault="00887C98" w:rsidP="00B00BDD">
      <w:pPr>
        <w:pStyle w:val="ListParagraph"/>
        <w:numPr>
          <w:ilvl w:val="0"/>
          <w:numId w:val="42"/>
        </w:numPr>
      </w:pPr>
      <w:r>
        <w:t>The Community</w:t>
      </w:r>
    </w:p>
    <w:p w14:paraId="4236C231" w14:textId="77777777" w:rsidR="0062522B" w:rsidRDefault="0062522B" w:rsidP="00B00BDD">
      <w:pPr>
        <w:pStyle w:val="ListParagraph"/>
        <w:numPr>
          <w:ilvl w:val="0"/>
          <w:numId w:val="42"/>
        </w:numPr>
      </w:pPr>
      <w:r>
        <w:t>Tim Kelly</w:t>
      </w:r>
    </w:p>
    <w:p w14:paraId="49C4A113" w14:textId="77777777" w:rsidR="0062522B" w:rsidRDefault="0062522B" w:rsidP="00B00BDD">
      <w:pPr>
        <w:pStyle w:val="ListParagraph"/>
        <w:numPr>
          <w:ilvl w:val="0"/>
          <w:numId w:val="42"/>
        </w:numPr>
      </w:pPr>
      <w:r>
        <w:t>Tom Fisher</w:t>
      </w:r>
    </w:p>
    <w:p w14:paraId="1764367D" w14:textId="77777777" w:rsidR="0062522B" w:rsidRDefault="0062522B" w:rsidP="00B00BDD">
      <w:pPr>
        <w:pStyle w:val="ListParagraph"/>
        <w:numPr>
          <w:ilvl w:val="0"/>
          <w:numId w:val="42"/>
        </w:numPr>
      </w:pPr>
      <w:r>
        <w:lastRenderedPageBreak/>
        <w:t>Tom Knowles</w:t>
      </w:r>
    </w:p>
    <w:p w14:paraId="7A8B120D" w14:textId="77777777" w:rsidR="0062522B" w:rsidRDefault="0062522B" w:rsidP="00B00BDD">
      <w:pPr>
        <w:pStyle w:val="ListParagraph"/>
        <w:numPr>
          <w:ilvl w:val="0"/>
          <w:numId w:val="42"/>
        </w:numPr>
      </w:pPr>
      <w:r>
        <w:t>Tomago Aluminium</w:t>
      </w:r>
    </w:p>
    <w:p w14:paraId="44408937" w14:textId="77777777" w:rsidR="0062522B" w:rsidRDefault="0062522B" w:rsidP="00B00BDD">
      <w:pPr>
        <w:pStyle w:val="ListParagraph"/>
        <w:numPr>
          <w:ilvl w:val="0"/>
          <w:numId w:val="42"/>
        </w:numPr>
      </w:pPr>
      <w:proofErr w:type="spellStart"/>
      <w:r>
        <w:t>Transborders</w:t>
      </w:r>
      <w:proofErr w:type="spellEnd"/>
      <w:r>
        <w:t xml:space="preserve"> Energy</w:t>
      </w:r>
    </w:p>
    <w:p w14:paraId="7ADCCCA2" w14:textId="77777777" w:rsidR="0062522B" w:rsidRDefault="0062522B" w:rsidP="00B00BDD">
      <w:pPr>
        <w:pStyle w:val="ListParagraph"/>
        <w:numPr>
          <w:ilvl w:val="0"/>
          <w:numId w:val="42"/>
        </w:numPr>
      </w:pPr>
      <w:r>
        <w:t>United Workers Union</w:t>
      </w:r>
    </w:p>
    <w:p w14:paraId="03A351E6" w14:textId="77777777" w:rsidR="0062522B" w:rsidRDefault="0062522B" w:rsidP="00B00BDD">
      <w:pPr>
        <w:pStyle w:val="ListParagraph"/>
        <w:numPr>
          <w:ilvl w:val="0"/>
          <w:numId w:val="42"/>
        </w:numPr>
      </w:pPr>
      <w:r>
        <w:t>Uniting Church Vic and Tas</w:t>
      </w:r>
    </w:p>
    <w:p w14:paraId="2B899F86" w14:textId="77777777" w:rsidR="0062522B" w:rsidRDefault="0062522B" w:rsidP="00B00BDD">
      <w:pPr>
        <w:pStyle w:val="ListParagraph"/>
        <w:numPr>
          <w:ilvl w:val="0"/>
          <w:numId w:val="42"/>
        </w:numPr>
      </w:pPr>
      <w:r>
        <w:t>University of Melbourne</w:t>
      </w:r>
    </w:p>
    <w:p w14:paraId="59B9AFA5" w14:textId="77777777" w:rsidR="0062522B" w:rsidRDefault="0062522B" w:rsidP="00B00BDD">
      <w:pPr>
        <w:pStyle w:val="ListParagraph"/>
        <w:numPr>
          <w:ilvl w:val="0"/>
          <w:numId w:val="42"/>
        </w:numPr>
      </w:pPr>
      <w:r>
        <w:t xml:space="preserve">Vanessa </w:t>
      </w:r>
      <w:proofErr w:type="spellStart"/>
      <w:r>
        <w:t>Shambrook</w:t>
      </w:r>
      <w:proofErr w:type="spellEnd"/>
    </w:p>
    <w:p w14:paraId="43943039" w14:textId="77777777" w:rsidR="0062522B" w:rsidRDefault="0062522B" w:rsidP="00B00BDD">
      <w:pPr>
        <w:pStyle w:val="ListParagraph"/>
        <w:numPr>
          <w:ilvl w:val="0"/>
          <w:numId w:val="42"/>
        </w:numPr>
      </w:pPr>
      <w:r>
        <w:t>Vets for Climate Action</w:t>
      </w:r>
    </w:p>
    <w:p w14:paraId="270AC809" w14:textId="77777777" w:rsidR="0062522B" w:rsidRDefault="0062522B" w:rsidP="00B00BDD">
      <w:pPr>
        <w:pStyle w:val="ListParagraph"/>
        <w:numPr>
          <w:ilvl w:val="0"/>
          <w:numId w:val="42"/>
        </w:numPr>
      </w:pPr>
      <w:r>
        <w:t>Victorian Greenhouse Alliances</w:t>
      </w:r>
    </w:p>
    <w:p w14:paraId="63A8C620" w14:textId="77777777" w:rsidR="0062522B" w:rsidRDefault="0062522B" w:rsidP="00B00BDD">
      <w:pPr>
        <w:pStyle w:val="ListParagraph"/>
        <w:numPr>
          <w:ilvl w:val="0"/>
          <w:numId w:val="42"/>
        </w:numPr>
      </w:pPr>
      <w:r>
        <w:t>Whitehaven</w:t>
      </w:r>
    </w:p>
    <w:p w14:paraId="5CC5B70E" w14:textId="77777777" w:rsidR="00297ADC" w:rsidRDefault="0062522B" w:rsidP="00B00BDD">
      <w:pPr>
        <w:pStyle w:val="ListParagraph"/>
        <w:numPr>
          <w:ilvl w:val="0"/>
          <w:numId w:val="42"/>
        </w:numPr>
        <w:sectPr w:rsidR="00297ADC" w:rsidSect="00297ADC">
          <w:type w:val="continuous"/>
          <w:pgSz w:w="11906" w:h="16838"/>
          <w:pgMar w:top="1559" w:right="851" w:bottom="1701" w:left="851" w:header="567" w:footer="57" w:gutter="0"/>
          <w:cols w:num="2" w:space="708"/>
          <w:docGrid w:linePitch="360"/>
        </w:sectPr>
      </w:pPr>
      <w:r>
        <w:t>Yarra Climate Action Now</w:t>
      </w:r>
    </w:p>
    <w:p w14:paraId="6EFB4847" w14:textId="2B8731EC" w:rsidR="00E01B77" w:rsidRDefault="00E01B77" w:rsidP="008E636C"/>
    <w:sectPr w:rsidR="00E01B77" w:rsidSect="00202E2F">
      <w:pgSz w:w="11907" w:h="16839" w:code="9"/>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2E266" w14:textId="77777777" w:rsidR="00E457F4" w:rsidRDefault="00E457F4" w:rsidP="00B95533">
      <w:pPr>
        <w:spacing w:after="0" w:line="240" w:lineRule="auto"/>
      </w:pPr>
      <w:r>
        <w:separator/>
      </w:r>
    </w:p>
  </w:endnote>
  <w:endnote w:type="continuationSeparator" w:id="0">
    <w:p w14:paraId="4139FA4D" w14:textId="77777777" w:rsidR="00E457F4" w:rsidRDefault="00E457F4" w:rsidP="00B95533">
      <w:pPr>
        <w:spacing w:after="0" w:line="240" w:lineRule="auto"/>
      </w:pPr>
      <w:r>
        <w:continuationSeparator/>
      </w:r>
    </w:p>
  </w:endnote>
  <w:endnote w:type="continuationNotice" w:id="1">
    <w:p w14:paraId="1B4A2451" w14:textId="77777777" w:rsidR="00E457F4" w:rsidRDefault="00E45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auto"/>
    <w:pitch w:val="variable"/>
    <w:sig w:usb0="60000287" w:usb1="00000001" w:usb2="00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lassification"/>
      <w:tag w:val="Classification"/>
      <w:id w:val="-706402449"/>
      <w:dataBinding w:xpath="/root[1]/Classification[1]" w:storeItemID="{F533AE62-A212-4B26-92DA-A3B336E8AE06}"/>
      <w:text/>
    </w:sdtPr>
    <w:sdtEndPr/>
    <w:sdtContent>
      <w:p w14:paraId="656BC2C0" w14:textId="77777777" w:rsidR="00E457F4" w:rsidRPr="00B87E45" w:rsidRDefault="00E457F4" w:rsidP="001007B9">
        <w:pPr>
          <w:pStyle w:val="ProtectiveMarking"/>
        </w:pPr>
        <w:r>
          <w:t>PROTECTED CABINET</w:t>
        </w:r>
      </w:p>
    </w:sdtContent>
  </w:sdt>
  <w:p w14:paraId="721B250D" w14:textId="77777777" w:rsidR="00E457F4" w:rsidRPr="00073D52" w:rsidRDefault="00E457F4" w:rsidP="001007B9">
    <w:pPr>
      <w:pStyle w:val="Footerline"/>
    </w:pPr>
    <w:r>
      <w:rPr>
        <w:lang w:eastAsia="en-AU"/>
      </w:rPr>
      <mc:AlternateContent>
        <mc:Choice Requires="wps">
          <w:drawing>
            <wp:anchor distT="45720" distB="45720" distL="114300" distR="114300" simplePos="0" relativeHeight="251657728" behindDoc="0" locked="1" layoutInCell="1" allowOverlap="1" wp14:anchorId="48B32021" wp14:editId="1AE47B31">
              <wp:simplePos x="0" y="0"/>
              <wp:positionH relativeFrom="margin">
                <wp:posOffset>6142355</wp:posOffset>
              </wp:positionH>
              <wp:positionV relativeFrom="page">
                <wp:posOffset>9950450</wp:posOffset>
              </wp:positionV>
              <wp:extent cx="332105" cy="726440"/>
              <wp:effectExtent l="0" t="0" r="1079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06F47AFA" w14:textId="77777777" w:rsidR="00E457F4" w:rsidRPr="00073D52" w:rsidRDefault="00E457F4"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13</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8B32021" id="_x0000_t202" coordsize="21600,21600" o:spt="202" path="m,l,21600r21600,l21600,xe">
              <v:stroke joinstyle="miter"/>
              <v:path gradientshapeok="t" o:connecttype="rect"/>
            </v:shapetype>
            <v:shape id="_x0000_s1030" type="#_x0000_t202" style="position:absolute;margin-left:483.65pt;margin-top:783.5pt;width:26.15pt;height:57.2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" filled="f" stroked="f">
              <v:textbox inset="0,0,0,0">
                <w:txbxContent>
                  <w:p w14:paraId="06F47AFA" w14:textId="77777777" w:rsidR="00E457F4" w:rsidRPr="00073D52" w:rsidRDefault="00E457F4"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13</w:t>
                    </w:r>
                    <w:r w:rsidRPr="00073D52">
                      <w:rPr>
                        <w:b w:val="0"/>
                        <w:bCs/>
                        <w:noProof/>
                        <w:sz w:val="16"/>
                        <w:szCs w:val="16"/>
                      </w:rPr>
                      <w:fldChar w:fldCharType="end"/>
                    </w:r>
                  </w:p>
                </w:txbxContent>
              </v:textbox>
              <w10:wrap anchorx="margin" anchory="page"/>
              <w10:anchorlock/>
            </v:shape>
          </w:pict>
        </mc:Fallback>
      </mc:AlternateContent>
    </w:r>
  </w:p>
  <w:p w14:paraId="166953BE" w14:textId="77777777" w:rsidR="00E457F4" w:rsidRPr="001007B9" w:rsidRDefault="00E457F4" w:rsidP="009B4379">
    <w:pPr>
      <w:pStyle w:val="Footer"/>
      <w:spacing w:after="500"/>
      <w:contextualSpacing/>
      <w:jc w:val="left"/>
      <w:rPr>
        <w:color w:val="25303B" w:themeColor="accent1"/>
      </w:rPr>
    </w:pPr>
    <w:proofErr w:type="spellStart"/>
    <w:r w:rsidRPr="00073D52">
      <w:rPr>
        <w:color w:val="25303B" w:themeColor="accent1"/>
      </w:rPr>
      <w:t>PM</w:t>
    </w:r>
    <w:r>
      <w:rPr>
        <w:color w:val="25303B" w:themeColor="accent1"/>
      </w:rPr>
      <w:t>&amp;</w:t>
    </w:r>
    <w:r w:rsidRPr="00073D52">
      <w:rPr>
        <w:color w:val="25303B" w:themeColor="accent1"/>
      </w:rPr>
      <w:t>C</w:t>
    </w:r>
    <w:proofErr w:type="spellEnd"/>
    <w:r w:rsidRPr="00073D52">
      <w:rPr>
        <w:color w:val="25303B" w:themeColor="accent1"/>
      </w:rPr>
      <w:t xml:space="preserve">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lassification"/>
      <w:tag w:val="Classification"/>
      <w:id w:val="-1686131668"/>
      <w:dataBinding w:xpath="/root[1]/Classification[1]" w:storeItemID="{F533AE62-A212-4B26-92DA-A3B336E8AE06}"/>
      <w:text/>
    </w:sdtPr>
    <w:sdtEndPr/>
    <w:sdtContent>
      <w:p w14:paraId="32537C03" w14:textId="77777777" w:rsidR="00E457F4" w:rsidRPr="00B87E45" w:rsidRDefault="00E457F4" w:rsidP="00917F95">
        <w:pPr>
          <w:pStyle w:val="ProtectiveMarking"/>
        </w:pPr>
        <w:r>
          <w:t>PROTECTED CABINET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95B42" w14:textId="77777777" w:rsidR="00E457F4" w:rsidRPr="00B87E45" w:rsidRDefault="00E457F4" w:rsidP="001007B9">
    <w:pPr>
      <w:pStyle w:val="ProtectiveMarking"/>
    </w:pPr>
  </w:p>
  <w:p w14:paraId="2F8EDA9B" w14:textId="77777777" w:rsidR="00E457F4" w:rsidRPr="00073D52" w:rsidRDefault="00E457F4" w:rsidP="001007B9">
    <w:pPr>
      <w:pStyle w:val="Footerline"/>
    </w:pPr>
    <w:r>
      <w:rPr>
        <w:lang w:eastAsia="en-AU"/>
      </w:rPr>
      <mc:AlternateContent>
        <mc:Choice Requires="wps">
          <w:drawing>
            <wp:anchor distT="45720" distB="45720" distL="114300" distR="114300" simplePos="0" relativeHeight="251656704" behindDoc="0" locked="1" layoutInCell="1" allowOverlap="1" wp14:anchorId="7C5785E9" wp14:editId="44B9304F">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6ACF478B" w14:textId="4BC3AD7A" w:rsidR="00E457F4" w:rsidRPr="00825B23" w:rsidRDefault="00E457F4"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DD4913">
                            <w:rPr>
                              <w:b w:val="0"/>
                              <w:bCs/>
                              <w:noProof/>
                              <w:sz w:val="16"/>
                              <w:szCs w:val="16"/>
                            </w:rPr>
                            <w:t>44</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C5785E9" id="_x0000_t202" coordsize="21600,21600" o:spt="202" path="m,l,21600r21600,l21600,xe">
              <v:stroke joinstyle="miter"/>
              <v:path gradientshapeok="t" o:connecttype="rect"/>
            </v:shapetype>
            <v:shape id="_x0000_s1031" type="#_x0000_t202" style="position:absolute;margin-left:483.65pt;margin-top:783.5pt;width:26.15pt;height:57.2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" filled="f" stroked="f">
              <v:textbox inset="0,0,0,0">
                <w:txbxContent>
                  <w:p w14:paraId="6ACF478B" w14:textId="4BC3AD7A" w:rsidR="00E457F4" w:rsidRPr="00825B23" w:rsidRDefault="00E457F4"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DD4913">
                      <w:rPr>
                        <w:b w:val="0"/>
                        <w:bCs/>
                        <w:noProof/>
                        <w:sz w:val="16"/>
                        <w:szCs w:val="16"/>
                      </w:rPr>
                      <w:t>44</w:t>
                    </w:r>
                    <w:r w:rsidRPr="00825B23">
                      <w:rPr>
                        <w:b w:val="0"/>
                        <w:bCs/>
                        <w:noProof/>
                        <w:sz w:val="16"/>
                        <w:szCs w:val="16"/>
                      </w:rPr>
                      <w:fldChar w:fldCharType="end"/>
                    </w:r>
                  </w:p>
                </w:txbxContent>
              </v:textbox>
              <w10:wrap anchorx="margin" anchory="page"/>
              <w10:anchorlock/>
            </v:shape>
          </w:pict>
        </mc:Fallback>
      </mc:AlternateContent>
    </w:r>
  </w:p>
  <w:p w14:paraId="166527E1" w14:textId="77777777" w:rsidR="00E457F4" w:rsidRPr="00825B23" w:rsidRDefault="00E457F4" w:rsidP="009B4379">
    <w:pPr>
      <w:pStyle w:val="Footer"/>
      <w:spacing w:after="500"/>
      <w:contextualSpacing/>
      <w:jc w:val="left"/>
      <w:rPr>
        <w:b w:val="0"/>
        <w:bCs/>
        <w:sz w:val="16"/>
        <w:szCs w:val="16"/>
      </w:rPr>
    </w:pPr>
    <w:proofErr w:type="spellStart"/>
    <w:r>
      <w:rPr>
        <w:b w:val="0"/>
        <w:bCs/>
        <w:sz w:val="16"/>
        <w:szCs w:val="16"/>
      </w:rPr>
      <w:t>DCCEEW</w:t>
    </w:r>
    <w:proofErr w:type="spellEnd"/>
    <w:r w:rsidRPr="00825B23">
      <w:rPr>
        <w:b w:val="0"/>
        <w:bCs/>
        <w:sz w:val="16"/>
        <w:szCs w:val="16"/>
      </w:rPr>
      <w:t xml:space="preserve">| </w:t>
    </w:r>
    <w:sdt>
      <w:sdtPr>
        <w:rPr>
          <w:b w:val="0"/>
          <w:bCs/>
          <w:caps w:val="0"/>
          <w:sz w:val="16"/>
          <w:szCs w:val="16"/>
        </w:rPr>
        <w:alias w:val="Document Heading"/>
        <w:tag w:val="DH"/>
        <w:id w:val="1302429817"/>
        <w:placeholder>
          <w:docPart w:val="2DC82021785B443F856F0214C8FC0714"/>
        </w:placeholder>
        <w:dataBinding w:xpath="/root[1]/DH[1]" w:storeItemID="{F533AE62-A212-4B26-92DA-A3B336E8AE06}"/>
        <w:text/>
      </w:sdtPr>
      <w:sdtEndPr/>
      <w:sdtContent>
        <w:r>
          <w:rPr>
            <w:b w:val="0"/>
            <w:bCs/>
            <w:caps w:val="0"/>
            <w:sz w:val="16"/>
            <w:szCs w:val="16"/>
          </w:rPr>
          <w:t>Reforms to the Safeguard Mechanism</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lassification"/>
      <w:tag w:val="Classification"/>
      <w:id w:val="624817226"/>
      <w:dataBinding w:xpath="/root[1]/Classification[1]" w:storeItemID="{F533AE62-A212-4B26-92DA-A3B336E8AE06}"/>
      <w:text/>
    </w:sdtPr>
    <w:sdtEndPr/>
    <w:sdtContent>
      <w:p w14:paraId="21B4838F" w14:textId="77777777" w:rsidR="00E457F4" w:rsidRPr="00B87E45" w:rsidRDefault="00E457F4" w:rsidP="00917F95">
        <w:pPr>
          <w:pStyle w:val="ProtectiveMarking"/>
        </w:pPr>
        <w:r>
          <w:t>PROTECTED CABINET</w:t>
        </w:r>
      </w:p>
    </w:sdtContent>
  </w:sdt>
  <w:p w14:paraId="2527C397" w14:textId="77777777" w:rsidR="00E457F4" w:rsidRPr="00073D52" w:rsidRDefault="00E457F4" w:rsidP="00917F95">
    <w:pPr>
      <w:pStyle w:val="Footerline"/>
    </w:pPr>
  </w:p>
  <w:p w14:paraId="01874C01" w14:textId="77777777" w:rsidR="00E457F4" w:rsidRPr="00195BA8" w:rsidRDefault="00E457F4" w:rsidP="00195BA8">
    <w:pPr>
      <w:pStyle w:val="Footer"/>
      <w:spacing w:after="500"/>
      <w:contextualSpacing/>
      <w:jc w:val="left"/>
      <w:rPr>
        <w:color w:val="25303B" w:themeColor="accent1"/>
        <w:sz w:val="16"/>
        <w:szCs w:val="16"/>
      </w:rPr>
    </w:pPr>
    <w:proofErr w:type="spellStart"/>
    <w:r w:rsidRPr="005A0DE7">
      <w:rPr>
        <w:color w:val="25303B" w:themeColor="accent1"/>
        <w:sz w:val="16"/>
        <w:szCs w:val="16"/>
      </w:rPr>
      <w:t>PM&amp;C</w:t>
    </w:r>
    <w:proofErr w:type="spellEnd"/>
    <w:r w:rsidRPr="005A0DE7">
      <w:rPr>
        <w:color w:val="25303B" w:themeColor="accent1"/>
        <w:sz w:val="16"/>
        <w:szCs w:val="16"/>
      </w:rPr>
      <w:t xml:space="preserve"> | </w:t>
    </w:r>
    <w:sdt>
      <w:sdtPr>
        <w:rPr>
          <w:caps w:val="0"/>
          <w:color w:val="25303B" w:themeColor="accent1"/>
          <w:sz w:val="16"/>
          <w:szCs w:val="16"/>
        </w:rPr>
        <w:alias w:val="Section Name"/>
        <w:tag w:val="SectionName"/>
        <w:id w:val="-414706023"/>
        <w:placeholder>
          <w:docPart w:val="B6704B99D5EF434E8345FBB22868DB11"/>
        </w:placeholder>
        <w:showingPlcHdr/>
        <w:dataBinding w:xpath="/root[1]/SectionName[1]" w:storeItemID="{F533AE62-A212-4B26-92DA-A3B336E8AE06}"/>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317419879"/>
        <w:placeholder>
          <w:docPart w:val="09083C1CD8EE450F8A71AAAFE2B04E5A"/>
        </w:placeholder>
        <w:dataBinding w:xpath="/root[1]/DH[1]" w:storeItemID="{F533AE62-A212-4B26-92DA-A3B336E8AE06}"/>
        <w:text/>
      </w:sdtPr>
      <w:sdtEndPr/>
      <w:sdtContent>
        <w:r>
          <w:rPr>
            <w:b w:val="0"/>
            <w:bCs/>
            <w:caps w:val="0"/>
            <w:color w:val="25303B" w:themeColor="accent1"/>
            <w:sz w:val="16"/>
            <w:szCs w:val="16"/>
          </w:rPr>
          <w:t>Reforms to the Safeguard Mechanism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344B5" w14:textId="77777777" w:rsidR="00E457F4" w:rsidRPr="003A7E73" w:rsidRDefault="00E457F4" w:rsidP="00B95533">
      <w:pPr>
        <w:spacing w:after="0" w:line="240" w:lineRule="auto"/>
        <w:rPr>
          <w:color w:val="014463" w:themeColor="accent2"/>
        </w:rPr>
      </w:pPr>
      <w:r w:rsidRPr="003A7E73">
        <w:rPr>
          <w:color w:val="014463" w:themeColor="accent2"/>
        </w:rPr>
        <w:separator/>
      </w:r>
    </w:p>
  </w:footnote>
  <w:footnote w:type="continuationSeparator" w:id="0">
    <w:p w14:paraId="29DF01EE" w14:textId="77777777" w:rsidR="00E457F4" w:rsidRPr="003A7E73" w:rsidRDefault="00E457F4" w:rsidP="00B95533">
      <w:pPr>
        <w:spacing w:after="0" w:line="240" w:lineRule="auto"/>
        <w:rPr>
          <w:color w:val="014463" w:themeColor="accent2"/>
        </w:rPr>
      </w:pPr>
      <w:r w:rsidRPr="003A7E73">
        <w:rPr>
          <w:color w:val="014463" w:themeColor="accent2"/>
        </w:rPr>
        <w:continuationSeparator/>
      </w:r>
    </w:p>
  </w:footnote>
  <w:footnote w:type="continuationNotice" w:id="1">
    <w:p w14:paraId="6E2B866C" w14:textId="77777777" w:rsidR="00E457F4" w:rsidRDefault="00E457F4">
      <w:pPr>
        <w:spacing w:after="0" w:line="240" w:lineRule="auto"/>
      </w:pPr>
    </w:p>
  </w:footnote>
  <w:footnote w:id="2">
    <w:p w14:paraId="0F7F1980" w14:textId="77777777" w:rsidR="00E457F4" w:rsidRPr="00005893" w:rsidRDefault="00E457F4" w:rsidP="006D5EB1">
      <w:pPr>
        <w:pStyle w:val="FootnoteText"/>
      </w:pPr>
      <w:r w:rsidRPr="006D5EB1">
        <w:rPr>
          <w:rStyle w:val="FootnoteReference"/>
        </w:rPr>
        <w:footnoteRef/>
      </w:r>
      <w:r w:rsidRPr="00005893">
        <w:t xml:space="preserve"> 28 </w:t>
      </w:r>
      <w:r>
        <w:t>per cent</w:t>
      </w:r>
      <w:r w:rsidRPr="00005893">
        <w:t xml:space="preserve"> share </w:t>
      </w:r>
      <w:r>
        <w:t>of national emissions in 2020-21</w:t>
      </w:r>
    </w:p>
  </w:footnote>
  <w:footnote w:id="3">
    <w:p w14:paraId="1A01EBF7" w14:textId="77777777" w:rsidR="00E457F4" w:rsidRPr="00DA1B55" w:rsidRDefault="00E457F4">
      <w:pPr>
        <w:pStyle w:val="FootnoteText"/>
      </w:pPr>
      <w:r w:rsidRPr="00005893">
        <w:rPr>
          <w:rStyle w:val="FootnoteReference"/>
        </w:rPr>
        <w:footnoteRef/>
      </w:r>
      <w:r w:rsidRPr="00DA1B55">
        <w:rPr>
          <w:vertAlign w:val="superscript"/>
        </w:rPr>
        <w:t xml:space="preserve"> </w:t>
      </w:r>
      <w:hyperlink r:id="rId1" w:history="1">
        <w:r w:rsidRPr="00DA1B55">
          <w:rPr>
            <w:rStyle w:val="Hyperlink"/>
            <w:color w:val="262626" w:themeColor="text1" w:themeTint="D9"/>
            <w:u w:val="none"/>
          </w:rPr>
          <w:t>Australia’s Nationally Determined Contribution 2022</w:t>
        </w:r>
      </w:hyperlink>
      <w:r w:rsidRPr="00DA1B55" w:rsidDel="005C4CFB">
        <w:t xml:space="preserve"> </w:t>
      </w:r>
      <w:r w:rsidRPr="00DA1B55">
        <w:t>(</w:t>
      </w:r>
      <w:hyperlink r:id="rId2" w:history="1">
        <w:r w:rsidRPr="00DA1B55">
          <w:rPr>
            <w:rStyle w:val="Hyperlink"/>
          </w:rPr>
          <w:t>https://unfccc.int/sites/default/files/NDC/2022-06/Australias%20NDC%20June%202022%20Update%20%283%29.pdf</w:t>
        </w:r>
      </w:hyperlink>
      <w:r w:rsidRPr="00DA1B55">
        <w:t>)</w:t>
      </w:r>
    </w:p>
  </w:footnote>
  <w:footnote w:id="4">
    <w:p w14:paraId="56C61981" w14:textId="77777777" w:rsidR="00E457F4" w:rsidRDefault="00E457F4" w:rsidP="00CA42BC">
      <w:pPr>
        <w:pStyle w:val="FootnoteText"/>
      </w:pPr>
      <w:r w:rsidRPr="00005893">
        <w:rPr>
          <w:rStyle w:val="FootnoteReference"/>
        </w:rPr>
        <w:footnoteRef/>
      </w:r>
      <w:r w:rsidRPr="00DA1B55">
        <w:rPr>
          <w:vertAlign w:val="superscript"/>
        </w:rPr>
        <w:t xml:space="preserve"> </w:t>
      </w:r>
      <w:r w:rsidRPr="00005893">
        <w:t xml:space="preserve">Min. Bowen speech at </w:t>
      </w:r>
      <w:proofErr w:type="spellStart"/>
      <w:r w:rsidRPr="00005893">
        <w:t>AFR</w:t>
      </w:r>
      <w:proofErr w:type="spellEnd"/>
      <w:r w:rsidRPr="00005893">
        <w:t xml:space="preserve"> Energy &amp; Climate Summit - </w:t>
      </w:r>
      <w:hyperlink r:id="rId3" w:history="1">
        <w:r w:rsidRPr="00EA3891">
          <w:rPr>
            <w:rStyle w:val="Hyperlink"/>
            <w:color w:val="262626" w:themeColor="text1" w:themeTint="D9"/>
            <w:u w:val="none"/>
          </w:rPr>
          <w:t>Climate change – a shared economic plan, a shared challenge</w:t>
        </w:r>
      </w:hyperlink>
    </w:p>
  </w:footnote>
  <w:footnote w:id="5">
    <w:p w14:paraId="08CD3B3D" w14:textId="77777777" w:rsidR="00E457F4" w:rsidRDefault="00E457F4">
      <w:pPr>
        <w:pStyle w:val="FootnoteText"/>
      </w:pPr>
      <w:r>
        <w:rPr>
          <w:rStyle w:val="FootnoteReference"/>
        </w:rPr>
        <w:footnoteRef/>
      </w:r>
      <w:r>
        <w:t xml:space="preserve"> Source: </w:t>
      </w:r>
      <w:hyperlink r:id="rId4" w:history="1">
        <w:r w:rsidRPr="00771785">
          <w:rPr>
            <w:rStyle w:val="Hyperlink"/>
          </w:rPr>
          <w:t>2020-2021 Safeguard facility data</w:t>
        </w:r>
      </w:hyperlink>
    </w:p>
  </w:footnote>
  <w:footnote w:id="6">
    <w:p w14:paraId="446650AD" w14:textId="77777777" w:rsidR="00E457F4" w:rsidRPr="00D85BBD" w:rsidRDefault="00E457F4">
      <w:pPr>
        <w:pStyle w:val="FootnoteText"/>
      </w:pPr>
      <w:r w:rsidRPr="00920D98">
        <w:rPr>
          <w:rStyle w:val="FootnoteReference"/>
        </w:rPr>
        <w:footnoteRef/>
      </w:r>
      <w:r w:rsidRPr="00DA1B55">
        <w:rPr>
          <w:vertAlign w:val="superscript"/>
        </w:rPr>
        <w:t xml:space="preserve"> </w:t>
      </w:r>
      <w:r w:rsidRPr="00D85BBD">
        <w:t>Individual grid-connected electricity generators are not covered as long as total emissions from grid-connected electricity generators do not exceed the sectoral baseline that applies to all electricity generators connected to one of Australia’s main electricity grids. The Safeguard Mechanism does cover electricity generators that produces more than 100,000 tonnes CO</w:t>
      </w:r>
      <w:r w:rsidRPr="00070C40">
        <w:rPr>
          <w:vertAlign w:val="subscript"/>
        </w:rPr>
        <w:t>2</w:t>
      </w:r>
      <w:r w:rsidRPr="00D85BBD">
        <w:t xml:space="preserve">-e in a year and are </w:t>
      </w:r>
      <w:r w:rsidRPr="00DA1B55">
        <w:t>not</w:t>
      </w:r>
      <w:r w:rsidRPr="00D85BBD">
        <w:t xml:space="preserve"> connected to one of Australia’s main electricity grids.</w:t>
      </w:r>
    </w:p>
  </w:footnote>
  <w:footnote w:id="7">
    <w:p w14:paraId="2431DB8F" w14:textId="77777777" w:rsidR="00E457F4" w:rsidRPr="00D85BBD" w:rsidRDefault="00E457F4">
      <w:pPr>
        <w:pStyle w:val="FootnoteText"/>
      </w:pPr>
      <w:r w:rsidRPr="00DA1B55">
        <w:footnoteRef/>
      </w:r>
      <w:r w:rsidRPr="00D85BBD">
        <w:t xml:space="preserve"> </w:t>
      </w:r>
      <w:r w:rsidRPr="00DA1B55">
        <w:t xml:space="preserve">Based on reported </w:t>
      </w:r>
      <w:proofErr w:type="spellStart"/>
      <w:r w:rsidRPr="00DA1B55">
        <w:t>NGER</w:t>
      </w:r>
      <w:proofErr w:type="spellEnd"/>
      <w:r w:rsidRPr="00DA1B55">
        <w:t xml:space="preserve"> 2020-2021 data, excluding grid-connected electricity generators and all waste treatment, disposal and remediation services, and National Greenhouse Gas Inventory, December Quarterly FY 21 data</w:t>
      </w:r>
    </w:p>
  </w:footnote>
  <w:footnote w:id="8">
    <w:p w14:paraId="27C0C734" w14:textId="77777777" w:rsidR="00E457F4" w:rsidRPr="00EE4357" w:rsidRDefault="00E457F4" w:rsidP="00D9504F">
      <w:pPr>
        <w:pStyle w:val="FootnoteText"/>
        <w:rPr>
          <w:rFonts w:eastAsia="Calibri"/>
          <w:color w:val="auto"/>
        </w:rPr>
      </w:pPr>
      <w:r w:rsidRPr="00D9504F">
        <w:footnoteRef/>
      </w:r>
      <w:r w:rsidRPr="00DA1B55">
        <w:rPr>
          <w:vertAlign w:val="superscript"/>
        </w:rPr>
        <w:t xml:space="preserve"> </w:t>
      </w:r>
      <w:r w:rsidRPr="00DA1B55">
        <w:t>The Safeguard Mechanism was established through amendments to the National Greenhouse and Energy Reporting Act 2007. The detailed design is set out in the National Greenhouse and Energy Reporting (Safeguard Mechanism) Rule 2015. The design and operation of the Safeguard Mechanism was developed through extensive consultation with affected businesses. Its operation was outlined in the Emissions Reduction Fund White Paper released in April 2014 and refined through a consultation paper released in March 2015. It was legislated in November 2014, with the Rule released in September 2015. The Safeguard Mechanism commenced on 1 July 2016.</w:t>
      </w:r>
    </w:p>
  </w:footnote>
  <w:footnote w:id="9">
    <w:p w14:paraId="04504A39" w14:textId="77777777" w:rsidR="00E457F4" w:rsidRDefault="00E457F4" w:rsidP="00DA1B55">
      <w:pPr>
        <w:pStyle w:val="FootnoteText"/>
      </w:pPr>
      <w:r w:rsidRPr="00184C7A">
        <w:rPr>
          <w:rStyle w:val="FootnoteReference"/>
        </w:rPr>
        <w:footnoteRef/>
      </w:r>
      <w:r w:rsidRPr="00184C7A">
        <w:t xml:space="preserve"> Many different gases contribute to climate change. The phrase carbon dioxide equivalent (CO</w:t>
      </w:r>
      <w:r w:rsidRPr="00184C7A">
        <w:rPr>
          <w:vertAlign w:val="subscript"/>
        </w:rPr>
        <w:t>2</w:t>
      </w:r>
      <w:r w:rsidRPr="00184C7A">
        <w:t>-e) is a standard unit of emissions used to compare the emissions from different greenhouse gases on the basis of their impact on global warming.</w:t>
      </w:r>
    </w:p>
  </w:footnote>
  <w:footnote w:id="10">
    <w:p w14:paraId="173C135F" w14:textId="77777777" w:rsidR="00E457F4" w:rsidRDefault="00E457F4">
      <w:pPr>
        <w:pStyle w:val="FootnoteText"/>
      </w:pPr>
      <w:r>
        <w:rPr>
          <w:rStyle w:val="FootnoteReference"/>
        </w:rPr>
        <w:footnoteRef/>
      </w:r>
      <w:r>
        <w:t xml:space="preserve"> In July 2022, the Government commissioned the Independent Review of </w:t>
      </w:r>
      <w:proofErr w:type="spellStart"/>
      <w:r>
        <w:t>ACCUs</w:t>
      </w:r>
      <w:proofErr w:type="spellEnd"/>
      <w:r>
        <w:t xml:space="preserve"> (the Review) to ensure that </w:t>
      </w:r>
      <w:proofErr w:type="spellStart"/>
      <w:r>
        <w:t>ACCUs</w:t>
      </w:r>
      <w:proofErr w:type="spellEnd"/>
      <w:r>
        <w:t xml:space="preserve"> and the carbon crediting framework have integrity and maintain a strong and credible reputation. The Review concluded that the </w:t>
      </w:r>
      <w:proofErr w:type="spellStart"/>
      <w:r>
        <w:t>ACCU</w:t>
      </w:r>
      <w:proofErr w:type="spellEnd"/>
      <w:r>
        <w:t xml:space="preserve"> scheme arrangements are sound. The Government agreed in principle to the recommendations of the Review and will implement them alongside the Safeguard Mechanism reforms.</w:t>
      </w:r>
    </w:p>
  </w:footnote>
  <w:footnote w:id="11">
    <w:p w14:paraId="27B38FFE" w14:textId="24979A9B" w:rsidR="00E457F4" w:rsidRDefault="00E457F4" w:rsidP="00C77CA4">
      <w:r>
        <w:rPr>
          <w:rStyle w:val="FootnoteReference"/>
        </w:rPr>
        <w:footnoteRef/>
      </w:r>
      <w:r>
        <w:t xml:space="preserve"> </w:t>
      </w:r>
      <w:hyperlink r:id="rId5" w:history="1">
        <w:r>
          <w:rPr>
            <w:rStyle w:val="Hyperlink"/>
          </w:rPr>
          <w:t>Australia’s emissions projections 2022 (dcceew.gov.au)</w:t>
        </w:r>
      </w:hyperlink>
      <w:r>
        <w:t xml:space="preserve"> provides details of national and sectoral emission trends under current policies, the potential impact of the Safeguard reforms, methods and assumptions. </w:t>
      </w:r>
    </w:p>
    <w:p w14:paraId="61008DF9" w14:textId="382871D4" w:rsidR="00E457F4" w:rsidRDefault="00E457F4">
      <w:pPr>
        <w:pStyle w:val="FootnoteText"/>
      </w:pPr>
    </w:p>
  </w:footnote>
  <w:footnote w:id="12">
    <w:p w14:paraId="060C7E85" w14:textId="77777777" w:rsidR="00E457F4" w:rsidRDefault="00E457F4" w:rsidP="00C77CA4">
      <w:r>
        <w:rPr>
          <w:rStyle w:val="FootnoteReference"/>
        </w:rPr>
        <w:footnoteRef/>
      </w:r>
      <w:r>
        <w:t xml:space="preserve"> Safeguard facility emissions are published by the Clean Energy Regulator at: </w:t>
      </w:r>
      <w:hyperlink r:id="rId6" w:history="1">
        <w:r>
          <w:rPr>
            <w:rStyle w:val="Hyperlink"/>
          </w:rPr>
          <w:t>Safeguard facility reported emissions (cleanenergyregulator.gov.au)</w:t>
        </w:r>
      </w:hyperlink>
    </w:p>
    <w:p w14:paraId="5FF894C7" w14:textId="1FB641E2" w:rsidR="00E457F4" w:rsidRDefault="00E457F4">
      <w:pPr>
        <w:pStyle w:val="FootnoteText"/>
      </w:pPr>
    </w:p>
  </w:footnote>
  <w:footnote w:id="13">
    <w:p w14:paraId="49512682" w14:textId="239E84CB" w:rsidR="00E457F4" w:rsidRDefault="00E457F4">
      <w:pPr>
        <w:pStyle w:val="FootnoteText"/>
      </w:pPr>
      <w:r>
        <w:rPr>
          <w:rStyle w:val="FootnoteReference"/>
        </w:rPr>
        <w:footnoteRef/>
      </w:r>
      <w:r>
        <w:t xml:space="preserve"> </w:t>
      </w:r>
      <w:hyperlink r:id="rId7" w:history="1">
        <w:r>
          <w:rPr>
            <w:rStyle w:val="Hyperlink"/>
          </w:rPr>
          <w:t>Australia’s emissions projections 2022 (dcceew.gov.au)</w:t>
        </w:r>
      </w:hyperlink>
    </w:p>
  </w:footnote>
  <w:footnote w:id="14">
    <w:p w14:paraId="4694C13B" w14:textId="5B14907F" w:rsidR="00E457F4" w:rsidRDefault="00E457F4">
      <w:pPr>
        <w:pStyle w:val="FootnoteText"/>
      </w:pPr>
      <w:r>
        <w:rPr>
          <w:rStyle w:val="FootnoteReference"/>
        </w:rPr>
        <w:footnoteRef/>
      </w:r>
      <w:r>
        <w:t xml:space="preserve"> </w:t>
      </w:r>
      <w:hyperlink r:id="rId8" w:history="1">
        <w:r>
          <w:rPr>
            <w:rStyle w:val="Hyperlink"/>
          </w:rPr>
          <w:t>Australia’s emissions projections 2022 (dcceew.gov.au)</w:t>
        </w:r>
      </w:hyperlink>
    </w:p>
  </w:footnote>
  <w:footnote w:id="15">
    <w:p w14:paraId="76BFF2DC" w14:textId="77777777" w:rsidR="00E457F4" w:rsidRDefault="00E457F4">
      <w:pPr>
        <w:pStyle w:val="FootnoteText"/>
      </w:pPr>
      <w:r>
        <w:rPr>
          <w:rStyle w:val="FootnoteReference"/>
        </w:rPr>
        <w:footnoteRef/>
      </w:r>
      <w:r>
        <w:t xml:space="preserve"> </w:t>
      </w:r>
      <w:hyperlink r:id="rId9" w:history="1">
        <w:r w:rsidRPr="00D27342">
          <w:rPr>
            <w:rStyle w:val="Hyperlink"/>
          </w:rPr>
          <w:t>Safeguard Mechanism Reforms Consultation paper, page 7</w:t>
        </w:r>
      </w:hyperlink>
    </w:p>
  </w:footnote>
  <w:footnote w:id="16">
    <w:p w14:paraId="3CD4C979" w14:textId="77777777" w:rsidR="00E457F4" w:rsidRDefault="001304B5">
      <w:pPr>
        <w:pStyle w:val="FootnoteText"/>
      </w:pPr>
      <w:hyperlink r:id="rId10" w:history="1">
        <w:r w:rsidR="00E457F4" w:rsidRPr="000D3BF7">
          <w:rPr>
            <w:rStyle w:val="Hyperlink"/>
            <w:vertAlign w:val="superscript"/>
          </w:rPr>
          <w:footnoteRef/>
        </w:r>
        <w:r w:rsidR="00E457F4" w:rsidRPr="000D3BF7">
          <w:rPr>
            <w:rStyle w:val="Hyperlink"/>
          </w:rPr>
          <w:t xml:space="preserve"> Safeguard </w:t>
        </w:r>
        <w:r w:rsidR="00E457F4">
          <w:rPr>
            <w:rStyle w:val="Hyperlink"/>
          </w:rPr>
          <w:t>M</w:t>
        </w:r>
        <w:r w:rsidR="00E457F4" w:rsidRPr="000D3BF7">
          <w:rPr>
            <w:rStyle w:val="Hyperlink"/>
          </w:rPr>
          <w:t xml:space="preserve">echanism reforms – Consultation </w:t>
        </w:r>
        <w:r w:rsidR="00E457F4">
          <w:rPr>
            <w:rStyle w:val="Hyperlink"/>
          </w:rPr>
          <w:t>P</w:t>
        </w:r>
        <w:r w:rsidR="00E457F4" w:rsidRPr="000D3BF7">
          <w:rPr>
            <w:rStyle w:val="Hyperlink"/>
          </w:rPr>
          <w:t>aper – Aug 2022</w:t>
        </w:r>
      </w:hyperlink>
    </w:p>
  </w:footnote>
  <w:footnote w:id="17">
    <w:p w14:paraId="4A4201FF" w14:textId="77777777" w:rsidR="00E457F4" w:rsidRDefault="00E457F4">
      <w:pPr>
        <w:pStyle w:val="FootnoteText"/>
      </w:pPr>
      <w:r w:rsidRPr="00DA1B55">
        <w:rPr>
          <w:rStyle w:val="FootnoteReference"/>
        </w:rPr>
        <w:footnoteRef/>
      </w:r>
      <w:r w:rsidRPr="00DA1B55">
        <w:t xml:space="preserve"> </w:t>
      </w:r>
      <w:hyperlink r:id="rId11" w:history="1">
        <w:r w:rsidRPr="008B6118">
          <w:rPr>
            <w:rStyle w:val="Hyperlink"/>
          </w:rPr>
          <w:t>Safeguard Mechanism reforms – Position Paper – January 2023</w:t>
        </w:r>
      </w:hyperlink>
    </w:p>
  </w:footnote>
  <w:footnote w:id="18">
    <w:p w14:paraId="615361B6" w14:textId="77777777" w:rsidR="00E457F4" w:rsidRDefault="00E457F4">
      <w:pPr>
        <w:pStyle w:val="FootnoteText"/>
      </w:pPr>
      <w:r>
        <w:rPr>
          <w:rStyle w:val="FootnoteReference"/>
        </w:rPr>
        <w:footnoteRef/>
      </w:r>
      <w:r>
        <w:t xml:space="preserve"> </w:t>
      </w:r>
      <w:hyperlink r:id="rId12" w:history="1">
        <w:r w:rsidRPr="00D0655B">
          <w:rPr>
            <w:rStyle w:val="Hyperlink"/>
          </w:rPr>
          <w:t>Powering Australia Plan</w:t>
        </w:r>
      </w:hyperlink>
    </w:p>
  </w:footnote>
  <w:footnote w:id="19">
    <w:p w14:paraId="56D8674C" w14:textId="77777777" w:rsidR="00E457F4" w:rsidRDefault="00E457F4" w:rsidP="00DC1C4C">
      <w:pPr>
        <w:pStyle w:val="FootnoteText"/>
      </w:pPr>
      <w:r>
        <w:rPr>
          <w:rStyle w:val="FootnoteReference"/>
        </w:rPr>
        <w:footnoteRef/>
      </w:r>
      <w:r>
        <w:t xml:space="preserve"> This does not include grid-connected electricity generation which is subject to a sectoral baseline.</w:t>
      </w:r>
    </w:p>
  </w:footnote>
  <w:footnote w:id="20">
    <w:p w14:paraId="46FFA2D4" w14:textId="6712E57A" w:rsidR="00E457F4" w:rsidRDefault="00E457F4" w:rsidP="00DC1C4C">
      <w:pPr>
        <w:pStyle w:val="FootnoteText"/>
      </w:pPr>
      <w:r>
        <w:rPr>
          <w:rStyle w:val="FootnoteReference"/>
        </w:rPr>
        <w:footnoteRef/>
      </w:r>
      <w:r>
        <w:t xml:space="preserve"> At the time of the January 2023 Position Paper, national emissions were 621.1 million tonnes CO</w:t>
      </w:r>
      <w:r w:rsidRPr="00FB128F">
        <w:rPr>
          <w:vertAlign w:val="subscript"/>
        </w:rPr>
        <w:t>2</w:t>
      </w:r>
      <w:r>
        <w:t>-e in 2005 and must fall to 354 million tonnes CO</w:t>
      </w:r>
      <w:r w:rsidRPr="00FB128F">
        <w:rPr>
          <w:vertAlign w:val="subscript"/>
        </w:rPr>
        <w:t>2</w:t>
      </w:r>
      <w:r>
        <w:t>-e by 2030 if Australia is to meet its international target. In 2020-21 (the most recent year that data was available at the time of the analysis), Safeguard Mechanism facilities contributed 28.14 per cent of national emissions. The corresponding share in 2030 is 100 million tonnes CO</w:t>
      </w:r>
      <w:r w:rsidRPr="00FB128F">
        <w:rPr>
          <w:vertAlign w:val="subscript"/>
        </w:rPr>
        <w:t>2</w:t>
      </w:r>
      <w:r>
        <w:t>-e (28.14 per cent of 354 million tonnes CO</w:t>
      </w:r>
      <w:r w:rsidRPr="00FB128F">
        <w:rPr>
          <w:vertAlign w:val="subscript"/>
        </w:rPr>
        <w:t>2</w:t>
      </w:r>
      <w:r>
        <w:t xml:space="preserve">-e). </w:t>
      </w:r>
    </w:p>
  </w:footnote>
  <w:footnote w:id="21">
    <w:p w14:paraId="58167F26" w14:textId="1815CDCD" w:rsidR="00E457F4" w:rsidRDefault="00E457F4" w:rsidP="00DC1C4C">
      <w:pPr>
        <w:pStyle w:val="FootnoteText"/>
      </w:pPr>
      <w:r>
        <w:rPr>
          <w:rStyle w:val="FootnoteReference"/>
        </w:rPr>
        <w:footnoteRef/>
      </w:r>
      <w:r>
        <w:t xml:space="preserve"> The indicative value of the emissions budget is 4,381 million tonnes </w:t>
      </w:r>
      <w:r w:rsidRPr="00B83BF6">
        <w:t>CO</w:t>
      </w:r>
      <w:r w:rsidRPr="00B83BF6">
        <w:rPr>
          <w:vertAlign w:val="subscript"/>
        </w:rPr>
        <w:t>2</w:t>
      </w:r>
      <w:r w:rsidRPr="00B83BF6">
        <w:noBreakHyphen/>
        <w:t>e</w:t>
      </w:r>
      <w:r>
        <w:t xml:space="preserve"> corresponding to the 2030 target. The Safeguard Mechanism’s proportional share is 1,233 million tonnes CO</w:t>
      </w:r>
      <w:r w:rsidRPr="00C64F20">
        <w:rPr>
          <w:vertAlign w:val="subscript"/>
        </w:rPr>
        <w:t>2</w:t>
      </w:r>
      <w:r>
        <w:t>-e (28.14 per cent of 4,381).</w:t>
      </w:r>
    </w:p>
  </w:footnote>
  <w:footnote w:id="22">
    <w:p w14:paraId="7218B05D" w14:textId="5AFA69DC" w:rsidR="00E457F4" w:rsidRDefault="00E457F4">
      <w:pPr>
        <w:pStyle w:val="FootnoteText"/>
      </w:pPr>
      <w:r>
        <w:rPr>
          <w:rStyle w:val="FootnoteReference"/>
        </w:rPr>
        <w:footnoteRef/>
      </w:r>
      <w:r>
        <w:t xml:space="preserve"> </w:t>
      </w:r>
      <w:r w:rsidRPr="009B6246">
        <w:t xml:space="preserve">Aggregate headroom is the gap between aggregate baselines and aggregate emissions. Removing this delivers scarcity </w:t>
      </w:r>
      <w:r>
        <w:t>(so aggregate baselines equal aggregate emissions) and ensures that declining baselines will result in genuine emission reductions.</w:t>
      </w:r>
      <w:r w:rsidRPr="009B6246">
        <w:t xml:space="preserve"> </w:t>
      </w:r>
    </w:p>
  </w:footnote>
  <w:footnote w:id="23">
    <w:p w14:paraId="3832DEA4" w14:textId="77777777" w:rsidR="00E457F4" w:rsidRDefault="00E457F4" w:rsidP="00016707">
      <w:pPr>
        <w:pStyle w:val="FootnoteText"/>
      </w:pPr>
      <w:r>
        <w:rPr>
          <w:rStyle w:val="FootnoteReference"/>
        </w:rPr>
        <w:footnoteRef/>
      </w:r>
      <w:r>
        <w:t xml:space="preserve"> Under current arrangements, a new entrant is defined as a facility that first triggers the Safeguard Mechanism threshold of 100,000 tonnes CO</w:t>
      </w:r>
      <w:r w:rsidRPr="005D12E4">
        <w:rPr>
          <w:vertAlign w:val="subscript"/>
        </w:rPr>
        <w:t>2</w:t>
      </w:r>
      <w:r>
        <w:t xml:space="preserve">-e after 1 July 2021 and was not required to report its emissions under </w:t>
      </w:r>
      <w:proofErr w:type="spellStart"/>
      <w:r>
        <w:t>NGERS</w:t>
      </w:r>
      <w:proofErr w:type="spellEnd"/>
      <w:r>
        <w:t xml:space="preserve"> for any 5 or more years before the year it became covered by the Safeguard. </w:t>
      </w:r>
    </w:p>
  </w:footnote>
  <w:footnote w:id="24">
    <w:p w14:paraId="23480510" w14:textId="77777777" w:rsidR="00E457F4" w:rsidRDefault="00E457F4" w:rsidP="00690053">
      <w:pPr>
        <w:pStyle w:val="FootnoteText"/>
      </w:pPr>
      <w:r>
        <w:rPr>
          <w:rStyle w:val="FootnoteReference"/>
        </w:rPr>
        <w:footnoteRef/>
      </w:r>
      <w:r>
        <w:t xml:space="preserve"> Research from the Brookings Institution explored the performance of ‘green’ and ‘brown’ stocks looking for evidence of a capital risk premium affecting the performance of brown stocks. Green stocks were found to outperform brown in the US and most G7 nations since 2012. Available at: </w:t>
      </w:r>
      <w:r w:rsidRPr="00CA2ADF">
        <w:t>https://www.brookings.edu/wp-content/uploads/2023/01/WP83-Bauer-et-al_1.12.23.pdf</w:t>
      </w:r>
      <w:r>
        <w:t xml:space="preserve"> </w:t>
      </w:r>
    </w:p>
  </w:footnote>
  <w:footnote w:id="25">
    <w:p w14:paraId="1CF6F05C" w14:textId="77777777" w:rsidR="00E457F4" w:rsidRDefault="00E457F4" w:rsidP="00690053">
      <w:pPr>
        <w:pStyle w:val="FootnoteText"/>
      </w:pPr>
      <w:r>
        <w:rPr>
          <w:rStyle w:val="FootnoteReference"/>
        </w:rPr>
        <w:footnoteRef/>
      </w:r>
      <w:r>
        <w:t xml:space="preserve"> </w:t>
      </w:r>
      <w:r w:rsidRPr="00CA2ADF">
        <w:t>https://www.spglobal.com/commodityinsights/en/market-insights/latest-news/metals/080522-lcap-climbs-higher-on-growing-popularity-for-low-carbon-aluminum</w:t>
      </w:r>
    </w:p>
  </w:footnote>
  <w:footnote w:id="26">
    <w:p w14:paraId="486FC014" w14:textId="77777777" w:rsidR="00E457F4" w:rsidRDefault="00E457F4" w:rsidP="00690053">
      <w:pPr>
        <w:pStyle w:val="FootnoteText"/>
      </w:pPr>
      <w:r>
        <w:rPr>
          <w:rStyle w:val="FootnoteReference"/>
        </w:rPr>
        <w:footnoteRef/>
      </w:r>
      <w:r>
        <w:t xml:space="preserve"> </w:t>
      </w:r>
      <w:r w:rsidRPr="00CA2ADF">
        <w:t>https://www.afr.com/policy/energy-and-climate/commodities-turn-to-net-zero-for-green-premium-20220927-p5bl7z#:~:text=Gold%20miner%20Bellevue%20Gold%20is,pay%20a%20%E2%80%9Cgreen%20premium%E2%80%9D.</w:t>
      </w:r>
    </w:p>
  </w:footnote>
  <w:footnote w:id="27">
    <w:p w14:paraId="0228A420" w14:textId="77777777" w:rsidR="00E457F4" w:rsidRDefault="00E457F4" w:rsidP="00690053">
      <w:pPr>
        <w:pStyle w:val="FootnoteText"/>
      </w:pPr>
      <w:r>
        <w:rPr>
          <w:rStyle w:val="FootnoteReference"/>
        </w:rPr>
        <w:footnoteRef/>
      </w:r>
      <w:r>
        <w:t xml:space="preserve"> Final Report of the Independent Review of Australian Carbon Credit Units, December 2022, accessed at: </w:t>
      </w:r>
      <w:r w:rsidRPr="00E57E10">
        <w:t>https://www.dcceew.gov.au/sites/default/files/documents/independent-review-accu-final-report.pdf</w:t>
      </w:r>
    </w:p>
  </w:footnote>
  <w:footnote w:id="28">
    <w:p w14:paraId="6C2CFF78" w14:textId="77777777" w:rsidR="00E457F4" w:rsidRDefault="00E457F4" w:rsidP="00690053">
      <w:pPr>
        <w:pStyle w:val="FootnoteText"/>
      </w:pPr>
      <w:r>
        <w:rPr>
          <w:rStyle w:val="FootnoteReference"/>
        </w:rPr>
        <w:footnoteRef/>
      </w:r>
      <w:r>
        <w:t xml:space="preserve"> To achieve the Safeguard Mechanism’s share of the national emissions budget to 2030, the baseline trajectory must reduce to 95 Mt in 2030. This fulfils the Safeguard Mechanism’s share of the national point target in 2030 of 100 Mt CO</w:t>
      </w:r>
      <w:r>
        <w:rPr>
          <w:vertAlign w:val="subscript"/>
        </w:rPr>
        <w:t>2</w:t>
      </w:r>
      <w:r>
        <w:t>-e.</w:t>
      </w:r>
    </w:p>
  </w:footnote>
  <w:footnote w:id="29">
    <w:p w14:paraId="72A87602" w14:textId="62CFF126" w:rsidR="00E457F4" w:rsidRDefault="00E457F4" w:rsidP="00690053">
      <w:pPr>
        <w:pStyle w:val="FootnoteText"/>
      </w:pPr>
      <w:r>
        <w:rPr>
          <w:rStyle w:val="FootnoteReference"/>
        </w:rPr>
        <w:footnoteRef/>
      </w:r>
      <w:r>
        <w:t xml:space="preserve"> The US EPA published the SCC value of $51 in 2020$ USD in February 2021 with a 3 per cent discount rate, refer Table ES-1 </w:t>
      </w:r>
      <w:r w:rsidRPr="00B32F07">
        <w:t>https://www.whitehouse.gov/wp-content/uploads/2021/02/TechnicalSupportDocument_SocialCostofCarbonMethaneNitrousOxide.pdf</w:t>
      </w:r>
      <w:r>
        <w:t xml:space="preserve">. The US EPA is currently consulting on updated SCC values, with their proposed central value being revised upwards to $190 in 2020$ in September 2022 using a 2 per cent discount rate, see </w:t>
      </w:r>
      <w:fldSimple w:instr=" REF _Ref132107397 ">
        <w:r>
          <w:t xml:space="preserve">Table </w:t>
        </w:r>
        <w:r>
          <w:rPr>
            <w:noProof/>
          </w:rPr>
          <w:t>4</w:t>
        </w:r>
      </w:fldSimple>
      <w:r>
        <w:t xml:space="preserve">. </w:t>
      </w:r>
      <w:hyperlink r:id="rId13" w:history="1">
        <w:r w:rsidRPr="00677E8A">
          <w:rPr>
            <w:rStyle w:val="Hyperlink"/>
          </w:rPr>
          <w:t>https://www.epa.gov/system/files/documents/2022-11/epa_scghg_report_draft_0.pdf</w:t>
        </w:r>
      </w:hyperlink>
      <w:r>
        <w:t>.</w:t>
      </w:r>
    </w:p>
  </w:footnote>
  <w:footnote w:id="30">
    <w:p w14:paraId="455A2230" w14:textId="77777777" w:rsidR="00E457F4" w:rsidRDefault="00E457F4" w:rsidP="002F5F50">
      <w:pPr>
        <w:pStyle w:val="FootnoteText"/>
      </w:pPr>
      <w:r>
        <w:rPr>
          <w:rStyle w:val="FootnoteReference"/>
        </w:rPr>
        <w:footnoteRef/>
      </w:r>
      <w:r>
        <w:t xml:space="preserve"> ABS (2022) </w:t>
      </w:r>
      <w:r w:rsidRPr="0093285A">
        <w:t>5206.0 Australian National Accounts: National Income, Expenditure and Product, Table 6</w:t>
      </w:r>
      <w:r>
        <w:t xml:space="preserve">, </w:t>
      </w:r>
      <w:proofErr w:type="spellStart"/>
      <w:r>
        <w:t>AGEIS</w:t>
      </w:r>
      <w:proofErr w:type="spellEnd"/>
      <w:r>
        <w:t xml:space="preserve"> (2022) National Greenhouse Gas Inventory Quarterly updates</w:t>
      </w:r>
    </w:p>
  </w:footnote>
  <w:footnote w:id="31">
    <w:p w14:paraId="2DDE540B" w14:textId="77777777" w:rsidR="00E457F4" w:rsidRDefault="00E457F4" w:rsidP="002F5F50">
      <w:pPr>
        <w:pStyle w:val="FootnoteText"/>
      </w:pPr>
      <w:r>
        <w:rPr>
          <w:rStyle w:val="FootnoteReference"/>
        </w:rPr>
        <w:footnoteRef/>
      </w:r>
      <w:r>
        <w:t xml:space="preserve"> </w:t>
      </w:r>
      <w:r w:rsidRPr="001B1B97">
        <w:t>CEFC (2018)</w:t>
      </w:r>
      <w:r>
        <w:t>,</w:t>
      </w:r>
      <w:r w:rsidRPr="001B1B97">
        <w:t xml:space="preserve"> </w:t>
      </w:r>
      <w:r w:rsidRPr="001B1B97">
        <w:rPr>
          <w:i/>
          <w:iCs/>
        </w:rPr>
        <w:t>Australian manufacturing gas efficiency guide</w:t>
      </w:r>
      <w:r>
        <w:t xml:space="preserve">, available at: </w:t>
      </w:r>
      <w:r w:rsidRPr="001B1B97">
        <w:t>https://www.cefc.com.au/media/401962/australian-manufacturing-gas-efficiency-guide.pdf</w:t>
      </w:r>
    </w:p>
  </w:footnote>
  <w:footnote w:id="32">
    <w:p w14:paraId="454B0436" w14:textId="77777777" w:rsidR="00E457F4" w:rsidRDefault="00E457F4" w:rsidP="002F5F50">
      <w:pPr>
        <w:pStyle w:val="FootnoteText"/>
      </w:pPr>
      <w:r>
        <w:rPr>
          <w:rStyle w:val="FootnoteReference"/>
        </w:rPr>
        <w:footnoteRef/>
      </w:r>
      <w:r>
        <w:t xml:space="preserve"> </w:t>
      </w:r>
      <w:r w:rsidRPr="005E1424">
        <w:t>IEA (2022), </w:t>
      </w:r>
      <w:r w:rsidRPr="005E1424">
        <w:rPr>
          <w:i/>
          <w:iCs/>
        </w:rPr>
        <w:t>World Energy Outlook 2022</w:t>
      </w:r>
      <w:r w:rsidRPr="005E1424">
        <w:t xml:space="preserve">, </w:t>
      </w:r>
      <w:r>
        <w:t xml:space="preserve">available at: </w:t>
      </w:r>
      <w:r w:rsidRPr="005E1424">
        <w:t>https://www.iea.org/reports/world-energy-outlook-2022</w:t>
      </w:r>
    </w:p>
  </w:footnote>
  <w:footnote w:id="33">
    <w:p w14:paraId="129400FD" w14:textId="77777777" w:rsidR="00E457F4" w:rsidRDefault="00E457F4">
      <w:pPr>
        <w:pStyle w:val="FootnoteText"/>
      </w:pPr>
      <w:r>
        <w:rPr>
          <w:rStyle w:val="FootnoteReference"/>
        </w:rPr>
        <w:footnoteRef/>
      </w:r>
      <w:r>
        <w:t xml:space="preserve"> Through the </w:t>
      </w:r>
      <w:proofErr w:type="spellStart"/>
      <w:r>
        <w:t>NGER</w:t>
      </w:r>
      <w:proofErr w:type="spellEnd"/>
      <w:r>
        <w:t xml:space="preserve"> legislative framework, which includes the Safeguard Mechanism Rule</w:t>
      </w:r>
    </w:p>
  </w:footnote>
  <w:footnote w:id="34">
    <w:p w14:paraId="52F6A15B" w14:textId="184980C0" w:rsidR="00E457F4" w:rsidRDefault="00E457F4">
      <w:pPr>
        <w:pStyle w:val="FootnoteText"/>
      </w:pPr>
      <w:r>
        <w:rPr>
          <w:rStyle w:val="FootnoteReference"/>
        </w:rPr>
        <w:footnoteRef/>
      </w:r>
      <w:r>
        <w:t xml:space="preserve"> Published submissions can be accessed at: </w:t>
      </w:r>
      <w:hyperlink r:id="rId14" w:history="1">
        <w:r w:rsidR="00887C98" w:rsidRPr="00003BBA">
          <w:rPr>
            <w:rStyle w:val="Hyperlink"/>
          </w:rPr>
          <w:t>https://consult.dcceew.gov.au/safeguard-mechanism-reform-consultation-paper</w:t>
        </w:r>
      </w:hyperlink>
      <w:r w:rsidR="00887C98">
        <w:t xml:space="preserve"> </w:t>
      </w:r>
      <w:r>
        <w:t xml:space="preserve"> </w:t>
      </w:r>
    </w:p>
  </w:footnote>
  <w:footnote w:id="35">
    <w:p w14:paraId="5A9909C8" w14:textId="77777777" w:rsidR="00E457F4" w:rsidRDefault="00E457F4">
      <w:pPr>
        <w:pStyle w:val="FootnoteText"/>
      </w:pPr>
      <w:r>
        <w:rPr>
          <w:rStyle w:val="FootnoteReference"/>
        </w:rPr>
        <w:footnoteRef/>
      </w:r>
      <w:r>
        <w:t xml:space="preserve"> Published submissions can be accessed at: </w:t>
      </w:r>
      <w:hyperlink r:id="rId15" w:history="1">
        <w:r w:rsidRPr="000341FD">
          <w:rPr>
            <w:rStyle w:val="Hyperlink"/>
          </w:rPr>
          <w:t>https://consult.dcceew.gov.au/safeguard-mechanism-reform-consultation</w:t>
        </w:r>
      </w:hyperlink>
      <w:r>
        <w:t xml:space="preserve"> </w:t>
      </w:r>
    </w:p>
  </w:footnote>
  <w:footnote w:id="36">
    <w:p w14:paraId="432E5303" w14:textId="221B1010" w:rsidR="00887C98" w:rsidRDefault="00887C98">
      <w:pPr>
        <w:pStyle w:val="FootnoteText"/>
      </w:pPr>
      <w:r>
        <w:rPr>
          <w:rStyle w:val="FootnoteReference"/>
        </w:rPr>
        <w:footnoteRef/>
      </w:r>
      <w:r>
        <w:t xml:space="preserve"> Published submissions can be accessed at: </w:t>
      </w:r>
      <w:hyperlink r:id="rId16" w:history="1">
        <w:r w:rsidRPr="00003BBA">
          <w:rPr>
            <w:rStyle w:val="Hyperlink"/>
          </w:rPr>
          <w:t>https://consult.dcceew.gov.au/safeguard-mechanism-reform-consult-on-design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lassification"/>
      <w:tag w:val="Classification"/>
      <w:id w:val="2090721454"/>
      <w:dataBinding w:xpath="/root[1]/Classification[1]" w:storeItemID="{F533AE62-A212-4B26-92DA-A3B336E8AE06}"/>
      <w:text/>
    </w:sdtPr>
    <w:sdtEndPr/>
    <w:sdtContent>
      <w:p w14:paraId="50078416" w14:textId="77777777" w:rsidR="00E457F4" w:rsidRPr="00B87E45" w:rsidRDefault="00E457F4" w:rsidP="001007B9">
        <w:pPr>
          <w:pStyle w:val="ProtectiveMarking"/>
        </w:pPr>
        <w:r>
          <w:t>PROTECTED CABINET</w:t>
        </w:r>
      </w:p>
    </w:sdtContent>
  </w:sdt>
  <w:p w14:paraId="4B631F00" w14:textId="77777777" w:rsidR="00E457F4" w:rsidRPr="00073D52" w:rsidRDefault="00E457F4" w:rsidP="001007B9">
    <w:pPr>
      <w:pStyle w:val="Footerline"/>
    </w:pPr>
  </w:p>
  <w:p w14:paraId="34A92921" w14:textId="77777777" w:rsidR="00E457F4" w:rsidRDefault="00E45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1553" w14:textId="77777777" w:rsidR="00E457F4" w:rsidRPr="00073D52" w:rsidRDefault="00E457F4" w:rsidP="00663EAD">
    <w:pPr>
      <w:pStyle w:val="Footerline"/>
    </w:pPr>
  </w:p>
  <w:p w14:paraId="6B49D6AF" w14:textId="77777777" w:rsidR="00E457F4" w:rsidRDefault="00E45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C6F6" w14:textId="16E25BFE" w:rsidR="00E457F4" w:rsidRPr="00EA3891" w:rsidRDefault="00E457F4" w:rsidP="00EA3891">
    <w:pPr>
      <w:pStyle w:val="Header"/>
      <w:jc w:val="center"/>
      <w:rPr>
        <w:rFonts w:asciiTheme="minorHAnsi" w:hAnsiTheme="minorHAnsi" w:cstheme="minorHAnsi"/>
        <w:b w:val="0"/>
        <w:color w:val="000000" w:themeColor="text1"/>
      </w:rPr>
    </w:pPr>
  </w:p>
  <w:p w14:paraId="0F0C86B7" w14:textId="77777777" w:rsidR="00E457F4" w:rsidRPr="00753174" w:rsidRDefault="00E457F4" w:rsidP="00753174">
    <w:pPr>
      <w:pStyle w:val="Header"/>
    </w:pPr>
  </w:p>
  <w:p w14:paraId="6E98C88F" w14:textId="77777777" w:rsidR="00E457F4" w:rsidRPr="00753174" w:rsidRDefault="00E457F4"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lassification"/>
      <w:tag w:val="Classification"/>
      <w:id w:val="-84993280"/>
      <w:dataBinding w:xpath="/root[1]/Classification[1]" w:storeItemID="{F533AE62-A212-4B26-92DA-A3B336E8AE06}"/>
      <w:text/>
    </w:sdtPr>
    <w:sdtEndPr/>
    <w:sdtContent>
      <w:p w14:paraId="3D5D92E2" w14:textId="77777777" w:rsidR="00E457F4" w:rsidRPr="00B87E45" w:rsidRDefault="00E457F4" w:rsidP="00663EAD">
        <w:pPr>
          <w:pStyle w:val="ProtectiveMarking"/>
        </w:pPr>
        <w:r>
          <w:t>PROTECTED CABINET</w:t>
        </w:r>
      </w:p>
    </w:sdtContent>
  </w:sdt>
  <w:p w14:paraId="49D8B86D" w14:textId="77777777" w:rsidR="00E457F4" w:rsidRPr="00073D52" w:rsidRDefault="00E457F4" w:rsidP="00663EAD">
    <w:pPr>
      <w:pStyle w:val="Footerline"/>
    </w:pPr>
  </w:p>
  <w:p w14:paraId="1A27FCA6" w14:textId="77777777" w:rsidR="00E457F4" w:rsidRDefault="00E45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437"/>
    <w:multiLevelType w:val="hybridMultilevel"/>
    <w:tmpl w:val="A392CB0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D07C4"/>
    <w:multiLevelType w:val="hybridMultilevel"/>
    <w:tmpl w:val="BBE0353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AE55F8"/>
    <w:multiLevelType w:val="hybridMultilevel"/>
    <w:tmpl w:val="A0BE1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D699C"/>
    <w:multiLevelType w:val="hybridMultilevel"/>
    <w:tmpl w:val="8CDAE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15338D"/>
    <w:multiLevelType w:val="hybridMultilevel"/>
    <w:tmpl w:val="A9AA5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D148AF"/>
    <w:multiLevelType w:val="hybridMultilevel"/>
    <w:tmpl w:val="6A34C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7A7D56"/>
    <w:multiLevelType w:val="hybridMultilevel"/>
    <w:tmpl w:val="470E5C86"/>
    <w:lvl w:ilvl="0" w:tplc="F60023D0">
      <w:numFmt w:val="bullet"/>
      <w:lvlText w:val="-"/>
      <w:lvlJc w:val="left"/>
      <w:pPr>
        <w:ind w:left="720" w:hanging="360"/>
      </w:pPr>
      <w:rPr>
        <w:rFonts w:ascii="Calibri" w:eastAsiaTheme="minorHAnsi" w:hAnsi="Calibri" w:cs="Calibr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880AA3"/>
    <w:multiLevelType w:val="hybridMultilevel"/>
    <w:tmpl w:val="60728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2810F2"/>
    <w:multiLevelType w:val="hybridMultilevel"/>
    <w:tmpl w:val="044AF2A4"/>
    <w:lvl w:ilvl="0" w:tplc="2634F79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8D457C5"/>
    <w:multiLevelType w:val="multilevel"/>
    <w:tmpl w:val="624681D2"/>
    <w:numStyleLink w:val="ListTableBullet"/>
  </w:abstractNum>
  <w:abstractNum w:abstractNumId="10" w15:restartNumberingAfterBreak="0">
    <w:nsid w:val="08E27683"/>
    <w:multiLevelType w:val="hybridMultilevel"/>
    <w:tmpl w:val="66764AB2"/>
    <w:lvl w:ilvl="0" w:tplc="0C090001">
      <w:start w:val="1"/>
      <w:numFmt w:val="bullet"/>
      <w:lvlText w:val=""/>
      <w:lvlJc w:val="left"/>
      <w:pPr>
        <w:ind w:left="774" w:hanging="360"/>
      </w:pPr>
      <w:rPr>
        <w:rFonts w:ascii="Symbol" w:hAnsi="Symbol" w:hint="default"/>
      </w:rPr>
    </w:lvl>
    <w:lvl w:ilvl="1" w:tplc="F1F4B682">
      <w:numFmt w:val="bullet"/>
      <w:lvlText w:val="-"/>
      <w:lvlJc w:val="left"/>
      <w:pPr>
        <w:ind w:left="1494" w:hanging="360"/>
      </w:pPr>
      <w:rPr>
        <w:rFonts w:ascii="Arial" w:eastAsiaTheme="minorHAnsi" w:hAnsi="Arial" w:cs="Arial"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09EB349E"/>
    <w:multiLevelType w:val="hybridMultilevel"/>
    <w:tmpl w:val="79D43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13" w15:restartNumberingAfterBreak="0">
    <w:nsid w:val="0E1A23E7"/>
    <w:multiLevelType w:val="hybridMultilevel"/>
    <w:tmpl w:val="11FEBFC4"/>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E1D1707"/>
    <w:multiLevelType w:val="hybridMultilevel"/>
    <w:tmpl w:val="077802B6"/>
    <w:lvl w:ilvl="0" w:tplc="E36889C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900487"/>
    <w:multiLevelType w:val="hybridMultilevel"/>
    <w:tmpl w:val="403EF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DD0381"/>
    <w:multiLevelType w:val="hybridMultilevel"/>
    <w:tmpl w:val="3176D2E4"/>
    <w:lvl w:ilvl="0" w:tplc="F60023D0">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23C480F"/>
    <w:multiLevelType w:val="hybridMultilevel"/>
    <w:tmpl w:val="66122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7658CC"/>
    <w:multiLevelType w:val="hybridMultilevel"/>
    <w:tmpl w:val="99FCD280"/>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A069B9"/>
    <w:multiLevelType w:val="hybridMultilevel"/>
    <w:tmpl w:val="72187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C90CD7"/>
    <w:multiLevelType w:val="hybridMultilevel"/>
    <w:tmpl w:val="A2E00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CA431E"/>
    <w:multiLevelType w:val="hybridMultilevel"/>
    <w:tmpl w:val="1E9CB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AB7146"/>
    <w:multiLevelType w:val="hybridMultilevel"/>
    <w:tmpl w:val="9808FABE"/>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1B5960C4"/>
    <w:multiLevelType w:val="hybridMultilevel"/>
    <w:tmpl w:val="FDDC7D8E"/>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792B2A"/>
    <w:multiLevelType w:val="hybridMultilevel"/>
    <w:tmpl w:val="EF308B7E"/>
    <w:lvl w:ilvl="0" w:tplc="A6267E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EC358CF"/>
    <w:multiLevelType w:val="hybridMultilevel"/>
    <w:tmpl w:val="6BC24FFE"/>
    <w:lvl w:ilvl="0" w:tplc="FFFFFFFF">
      <w:start w:val="1"/>
      <w:numFmt w:val="bullet"/>
      <w:lvlText w:val=""/>
      <w:lvlJc w:val="left"/>
      <w:pPr>
        <w:ind w:left="360" w:hanging="360"/>
      </w:pPr>
      <w:rPr>
        <w:rFonts w:ascii="Symbol" w:hAnsi="Symbol" w:hint="default"/>
      </w:rPr>
    </w:lvl>
    <w:lvl w:ilvl="1" w:tplc="EF92768C">
      <w:start w:val="1"/>
      <w:numFmt w:val="bullet"/>
      <w:lvlText w:val="-"/>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216F5ED0"/>
    <w:multiLevelType w:val="hybridMultilevel"/>
    <w:tmpl w:val="15A6C464"/>
    <w:lvl w:ilvl="0" w:tplc="78B8B626">
      <w:start w:val="1"/>
      <w:numFmt w:val="bullet"/>
      <w:lvlText w:val=""/>
      <w:lvlJc w:val="left"/>
      <w:pPr>
        <w:ind w:left="720" w:hanging="360"/>
      </w:pPr>
      <w:rPr>
        <w:rFonts w:ascii="Symbol" w:hAnsi="Symbol" w:hint="default"/>
        <w:color w:val="44546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23273C92"/>
    <w:multiLevelType w:val="hybridMultilevel"/>
    <w:tmpl w:val="E96A4DCA"/>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B6747FC"/>
    <w:multiLevelType w:val="hybridMultilevel"/>
    <w:tmpl w:val="84A4ECC0"/>
    <w:lvl w:ilvl="0" w:tplc="53DC79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2B730CB4"/>
    <w:multiLevelType w:val="hybridMultilevel"/>
    <w:tmpl w:val="24A88CF8"/>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B784733"/>
    <w:multiLevelType w:val="hybridMultilevel"/>
    <w:tmpl w:val="6852A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A12369"/>
    <w:multiLevelType w:val="hybridMultilevel"/>
    <w:tmpl w:val="67B02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F23048B"/>
    <w:multiLevelType w:val="hybridMultilevel"/>
    <w:tmpl w:val="FD2AF19A"/>
    <w:lvl w:ilvl="0" w:tplc="2A0C5ACA">
      <w:start w:val="1"/>
      <w:numFmt w:val="bullet"/>
      <w:lvlText w:val="•"/>
      <w:lvlJc w:val="left"/>
      <w:pPr>
        <w:tabs>
          <w:tab w:val="num" w:pos="720"/>
        </w:tabs>
        <w:ind w:left="720" w:hanging="360"/>
      </w:pPr>
      <w:rPr>
        <w:rFonts w:ascii="Times New Roman" w:hAnsi="Times New Roman" w:hint="default"/>
      </w:rPr>
    </w:lvl>
    <w:lvl w:ilvl="1" w:tplc="717E9336" w:tentative="1">
      <w:start w:val="1"/>
      <w:numFmt w:val="bullet"/>
      <w:lvlText w:val="•"/>
      <w:lvlJc w:val="left"/>
      <w:pPr>
        <w:tabs>
          <w:tab w:val="num" w:pos="1440"/>
        </w:tabs>
        <w:ind w:left="1440" w:hanging="360"/>
      </w:pPr>
      <w:rPr>
        <w:rFonts w:ascii="Times New Roman" w:hAnsi="Times New Roman" w:hint="default"/>
      </w:rPr>
    </w:lvl>
    <w:lvl w:ilvl="2" w:tplc="120CA20E" w:tentative="1">
      <w:start w:val="1"/>
      <w:numFmt w:val="bullet"/>
      <w:lvlText w:val="•"/>
      <w:lvlJc w:val="left"/>
      <w:pPr>
        <w:tabs>
          <w:tab w:val="num" w:pos="2160"/>
        </w:tabs>
        <w:ind w:left="2160" w:hanging="360"/>
      </w:pPr>
      <w:rPr>
        <w:rFonts w:ascii="Times New Roman" w:hAnsi="Times New Roman" w:hint="default"/>
      </w:rPr>
    </w:lvl>
    <w:lvl w:ilvl="3" w:tplc="76D2D672" w:tentative="1">
      <w:start w:val="1"/>
      <w:numFmt w:val="bullet"/>
      <w:lvlText w:val="•"/>
      <w:lvlJc w:val="left"/>
      <w:pPr>
        <w:tabs>
          <w:tab w:val="num" w:pos="2880"/>
        </w:tabs>
        <w:ind w:left="2880" w:hanging="360"/>
      </w:pPr>
      <w:rPr>
        <w:rFonts w:ascii="Times New Roman" w:hAnsi="Times New Roman" w:hint="default"/>
      </w:rPr>
    </w:lvl>
    <w:lvl w:ilvl="4" w:tplc="5E66CB08" w:tentative="1">
      <w:start w:val="1"/>
      <w:numFmt w:val="bullet"/>
      <w:lvlText w:val="•"/>
      <w:lvlJc w:val="left"/>
      <w:pPr>
        <w:tabs>
          <w:tab w:val="num" w:pos="3600"/>
        </w:tabs>
        <w:ind w:left="3600" w:hanging="360"/>
      </w:pPr>
      <w:rPr>
        <w:rFonts w:ascii="Times New Roman" w:hAnsi="Times New Roman" w:hint="default"/>
      </w:rPr>
    </w:lvl>
    <w:lvl w:ilvl="5" w:tplc="70AC1460" w:tentative="1">
      <w:start w:val="1"/>
      <w:numFmt w:val="bullet"/>
      <w:lvlText w:val="•"/>
      <w:lvlJc w:val="left"/>
      <w:pPr>
        <w:tabs>
          <w:tab w:val="num" w:pos="4320"/>
        </w:tabs>
        <w:ind w:left="4320" w:hanging="360"/>
      </w:pPr>
      <w:rPr>
        <w:rFonts w:ascii="Times New Roman" w:hAnsi="Times New Roman" w:hint="default"/>
      </w:rPr>
    </w:lvl>
    <w:lvl w:ilvl="6" w:tplc="FD3CA62A" w:tentative="1">
      <w:start w:val="1"/>
      <w:numFmt w:val="bullet"/>
      <w:lvlText w:val="•"/>
      <w:lvlJc w:val="left"/>
      <w:pPr>
        <w:tabs>
          <w:tab w:val="num" w:pos="5040"/>
        </w:tabs>
        <w:ind w:left="5040" w:hanging="360"/>
      </w:pPr>
      <w:rPr>
        <w:rFonts w:ascii="Times New Roman" w:hAnsi="Times New Roman" w:hint="default"/>
      </w:rPr>
    </w:lvl>
    <w:lvl w:ilvl="7" w:tplc="306E30C6" w:tentative="1">
      <w:start w:val="1"/>
      <w:numFmt w:val="bullet"/>
      <w:lvlText w:val="•"/>
      <w:lvlJc w:val="left"/>
      <w:pPr>
        <w:tabs>
          <w:tab w:val="num" w:pos="5760"/>
        </w:tabs>
        <w:ind w:left="5760" w:hanging="360"/>
      </w:pPr>
      <w:rPr>
        <w:rFonts w:ascii="Times New Roman" w:hAnsi="Times New Roman" w:hint="default"/>
      </w:rPr>
    </w:lvl>
    <w:lvl w:ilvl="8" w:tplc="8EA49EF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0474BDD"/>
    <w:multiLevelType w:val="hybridMultilevel"/>
    <w:tmpl w:val="C0BC912E"/>
    <w:lvl w:ilvl="0" w:tplc="67C0BD82">
      <w:start w:val="1"/>
      <w:numFmt w:val="decimal"/>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05E4B1B"/>
    <w:multiLevelType w:val="hybridMultilevel"/>
    <w:tmpl w:val="283266D2"/>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50E42"/>
    <w:multiLevelType w:val="hybridMultilevel"/>
    <w:tmpl w:val="5456E1C0"/>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2D02274"/>
    <w:multiLevelType w:val="hybridMultilevel"/>
    <w:tmpl w:val="E11A2514"/>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4696CF6"/>
    <w:multiLevelType w:val="hybridMultilevel"/>
    <w:tmpl w:val="1EE0EF1E"/>
    <w:lvl w:ilvl="0" w:tplc="F60023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4880B19"/>
    <w:multiLevelType w:val="multilevel"/>
    <w:tmpl w:val="0960EFCE"/>
    <w:styleLink w:val="BulletsEnergetics"/>
    <w:lvl w:ilvl="0">
      <w:start w:val="1"/>
      <w:numFmt w:val="bullet"/>
      <w:pStyle w:val="ListBullet"/>
      <w:lvlText w:val="●"/>
      <w:lvlJc w:val="left"/>
      <w:pPr>
        <w:ind w:left="227" w:hanging="227"/>
      </w:pPr>
      <w:rPr>
        <w:rFonts w:ascii="Arial" w:hAnsi="Arial" w:cs="Times New Roman" w:hint="default"/>
        <w:b w:val="0"/>
        <w:i w:val="0"/>
        <w:color w:val="auto"/>
        <w:sz w:val="16"/>
      </w:rPr>
    </w:lvl>
    <w:lvl w:ilvl="1">
      <w:start w:val="1"/>
      <w:numFmt w:val="bullet"/>
      <w:pStyle w:val="ListBullet2"/>
      <w:lvlText w:val="○"/>
      <w:lvlJc w:val="left"/>
      <w:pPr>
        <w:ind w:left="454" w:hanging="227"/>
      </w:pPr>
      <w:rPr>
        <w:rFonts w:ascii="Arial" w:hAnsi="Arial" w:cs="Times New Roman" w:hint="default"/>
        <w:b w:val="0"/>
        <w:i w:val="0"/>
        <w:sz w:val="16"/>
      </w:rPr>
    </w:lvl>
    <w:lvl w:ilvl="2">
      <w:start w:val="1"/>
      <w:numFmt w:val="bullet"/>
      <w:pStyle w:val="ListBullet3"/>
      <w:lvlText w:val="–"/>
      <w:lvlJc w:val="left"/>
      <w:pPr>
        <w:ind w:left="681" w:hanging="227"/>
      </w:pPr>
      <w:rPr>
        <w:rFonts w:ascii="Arial" w:hAnsi="Arial" w:cs="Times New Roman" w:hint="default"/>
        <w:b w:val="0"/>
        <w:i w:val="0"/>
        <w:sz w:val="16"/>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41" w15:restartNumberingAfterBreak="0">
    <w:nsid w:val="34C10F19"/>
    <w:multiLevelType w:val="hybridMultilevel"/>
    <w:tmpl w:val="CCFC9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7062DB4"/>
    <w:multiLevelType w:val="hybridMultilevel"/>
    <w:tmpl w:val="0456A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4" w15:restartNumberingAfterBreak="0">
    <w:nsid w:val="380D02A8"/>
    <w:multiLevelType w:val="hybridMultilevel"/>
    <w:tmpl w:val="FCA6FE42"/>
    <w:lvl w:ilvl="0" w:tplc="46662B72">
      <w:start w:val="1"/>
      <w:numFmt w:val="decimal"/>
      <w:lvlText w:val="2.%1"/>
      <w:lvlJc w:val="left"/>
      <w:pPr>
        <w:ind w:left="360" w:hanging="360"/>
      </w:pPr>
      <w:rPr>
        <w:rFonts w:hint="default"/>
      </w:rPr>
    </w:lvl>
    <w:lvl w:ilvl="1" w:tplc="F8D6BA5C">
      <w:start w:val="1"/>
      <w:numFmt w:val="lowerLetter"/>
      <w:lvlText w:val="%2."/>
      <w:lvlJc w:val="left"/>
      <w:pPr>
        <w:ind w:left="1080" w:hanging="360"/>
      </w:pPr>
    </w:lvl>
    <w:lvl w:ilvl="2" w:tplc="141CC2CE">
      <w:start w:val="1"/>
      <w:numFmt w:val="lowerRoman"/>
      <w:lvlText w:val="%3."/>
      <w:lvlJc w:val="right"/>
      <w:pPr>
        <w:ind w:left="1800" w:hanging="180"/>
      </w:pPr>
    </w:lvl>
    <w:lvl w:ilvl="3" w:tplc="093ED632" w:tentative="1">
      <w:start w:val="1"/>
      <w:numFmt w:val="decimal"/>
      <w:lvlText w:val="%4."/>
      <w:lvlJc w:val="left"/>
      <w:pPr>
        <w:ind w:left="2520" w:hanging="360"/>
      </w:pPr>
    </w:lvl>
    <w:lvl w:ilvl="4" w:tplc="C18A43DC" w:tentative="1">
      <w:start w:val="1"/>
      <w:numFmt w:val="lowerLetter"/>
      <w:lvlText w:val="%5."/>
      <w:lvlJc w:val="left"/>
      <w:pPr>
        <w:ind w:left="3240" w:hanging="360"/>
      </w:pPr>
    </w:lvl>
    <w:lvl w:ilvl="5" w:tplc="A6C43510" w:tentative="1">
      <w:start w:val="1"/>
      <w:numFmt w:val="lowerRoman"/>
      <w:lvlText w:val="%6."/>
      <w:lvlJc w:val="right"/>
      <w:pPr>
        <w:ind w:left="3960" w:hanging="180"/>
      </w:pPr>
    </w:lvl>
    <w:lvl w:ilvl="6" w:tplc="F5D4833C" w:tentative="1">
      <w:start w:val="1"/>
      <w:numFmt w:val="decimal"/>
      <w:lvlText w:val="%7."/>
      <w:lvlJc w:val="left"/>
      <w:pPr>
        <w:ind w:left="4680" w:hanging="360"/>
      </w:pPr>
    </w:lvl>
    <w:lvl w:ilvl="7" w:tplc="2ABCC0A4" w:tentative="1">
      <w:start w:val="1"/>
      <w:numFmt w:val="lowerLetter"/>
      <w:lvlText w:val="%8."/>
      <w:lvlJc w:val="left"/>
      <w:pPr>
        <w:ind w:left="5400" w:hanging="360"/>
      </w:pPr>
    </w:lvl>
    <w:lvl w:ilvl="8" w:tplc="0B8E9702" w:tentative="1">
      <w:start w:val="1"/>
      <w:numFmt w:val="lowerRoman"/>
      <w:lvlText w:val="%9."/>
      <w:lvlJc w:val="right"/>
      <w:pPr>
        <w:ind w:left="6120" w:hanging="180"/>
      </w:pPr>
    </w:lvl>
  </w:abstractNum>
  <w:abstractNum w:abstractNumId="45" w15:restartNumberingAfterBreak="0">
    <w:nsid w:val="3A4B0127"/>
    <w:multiLevelType w:val="hybridMultilevel"/>
    <w:tmpl w:val="B45E2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AF10125"/>
    <w:multiLevelType w:val="hybridMultilevel"/>
    <w:tmpl w:val="087CE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CD87BD6"/>
    <w:multiLevelType w:val="hybridMultilevel"/>
    <w:tmpl w:val="0AD4B23E"/>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08E5042"/>
    <w:multiLevelType w:val="hybridMultilevel"/>
    <w:tmpl w:val="6FAEE980"/>
    <w:lvl w:ilvl="0" w:tplc="27A444C2">
      <w:start w:val="4"/>
      <w:numFmt w:val="bullet"/>
      <w:lvlText w:val="-"/>
      <w:lvlJc w:val="left"/>
      <w:pPr>
        <w:ind w:left="1800" w:hanging="360"/>
      </w:pPr>
      <w:rPr>
        <w:rFonts w:ascii="Arial" w:eastAsia="Calibri" w:hAnsi="Arial" w:cs="Arial" w:hint="default"/>
      </w:rPr>
    </w:lvl>
    <w:lvl w:ilvl="1" w:tplc="3D80B026" w:tentative="1">
      <w:start w:val="1"/>
      <w:numFmt w:val="bullet"/>
      <w:lvlText w:val="o"/>
      <w:lvlJc w:val="left"/>
      <w:pPr>
        <w:ind w:left="2520" w:hanging="360"/>
      </w:pPr>
      <w:rPr>
        <w:rFonts w:ascii="Courier New" w:hAnsi="Courier New" w:cs="Courier New" w:hint="default"/>
      </w:rPr>
    </w:lvl>
    <w:lvl w:ilvl="2" w:tplc="332A3EB8" w:tentative="1">
      <w:start w:val="1"/>
      <w:numFmt w:val="bullet"/>
      <w:lvlText w:val=""/>
      <w:lvlJc w:val="left"/>
      <w:pPr>
        <w:ind w:left="3240" w:hanging="360"/>
      </w:pPr>
      <w:rPr>
        <w:rFonts w:ascii="Wingdings" w:hAnsi="Wingdings" w:hint="default"/>
      </w:rPr>
    </w:lvl>
    <w:lvl w:ilvl="3" w:tplc="A836BF88" w:tentative="1">
      <w:start w:val="1"/>
      <w:numFmt w:val="bullet"/>
      <w:lvlText w:val=""/>
      <w:lvlJc w:val="left"/>
      <w:pPr>
        <w:ind w:left="3960" w:hanging="360"/>
      </w:pPr>
      <w:rPr>
        <w:rFonts w:ascii="Symbol" w:hAnsi="Symbol" w:hint="default"/>
      </w:rPr>
    </w:lvl>
    <w:lvl w:ilvl="4" w:tplc="3E666198" w:tentative="1">
      <w:start w:val="1"/>
      <w:numFmt w:val="bullet"/>
      <w:lvlText w:val="o"/>
      <w:lvlJc w:val="left"/>
      <w:pPr>
        <w:ind w:left="4680" w:hanging="360"/>
      </w:pPr>
      <w:rPr>
        <w:rFonts w:ascii="Courier New" w:hAnsi="Courier New" w:cs="Courier New" w:hint="default"/>
      </w:rPr>
    </w:lvl>
    <w:lvl w:ilvl="5" w:tplc="9AE8497A" w:tentative="1">
      <w:start w:val="1"/>
      <w:numFmt w:val="bullet"/>
      <w:lvlText w:val=""/>
      <w:lvlJc w:val="left"/>
      <w:pPr>
        <w:ind w:left="5400" w:hanging="360"/>
      </w:pPr>
      <w:rPr>
        <w:rFonts w:ascii="Wingdings" w:hAnsi="Wingdings" w:hint="default"/>
      </w:rPr>
    </w:lvl>
    <w:lvl w:ilvl="6" w:tplc="2326C092" w:tentative="1">
      <w:start w:val="1"/>
      <w:numFmt w:val="bullet"/>
      <w:lvlText w:val=""/>
      <w:lvlJc w:val="left"/>
      <w:pPr>
        <w:ind w:left="6120" w:hanging="360"/>
      </w:pPr>
      <w:rPr>
        <w:rFonts w:ascii="Symbol" w:hAnsi="Symbol" w:hint="default"/>
      </w:rPr>
    </w:lvl>
    <w:lvl w:ilvl="7" w:tplc="5A98DCBA" w:tentative="1">
      <w:start w:val="1"/>
      <w:numFmt w:val="bullet"/>
      <w:lvlText w:val="o"/>
      <w:lvlJc w:val="left"/>
      <w:pPr>
        <w:ind w:left="6840" w:hanging="360"/>
      </w:pPr>
      <w:rPr>
        <w:rFonts w:ascii="Courier New" w:hAnsi="Courier New" w:cs="Courier New" w:hint="default"/>
      </w:rPr>
    </w:lvl>
    <w:lvl w:ilvl="8" w:tplc="445A96FA" w:tentative="1">
      <w:start w:val="1"/>
      <w:numFmt w:val="bullet"/>
      <w:lvlText w:val=""/>
      <w:lvlJc w:val="left"/>
      <w:pPr>
        <w:ind w:left="7560" w:hanging="360"/>
      </w:pPr>
      <w:rPr>
        <w:rFonts w:ascii="Wingdings" w:hAnsi="Wingdings" w:hint="default"/>
      </w:rPr>
    </w:lvl>
  </w:abstractNum>
  <w:abstractNum w:abstractNumId="49" w15:restartNumberingAfterBreak="0">
    <w:nsid w:val="410B01DF"/>
    <w:multiLevelType w:val="hybridMultilevel"/>
    <w:tmpl w:val="E9867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17D1459"/>
    <w:multiLevelType w:val="hybridMultilevel"/>
    <w:tmpl w:val="7B7A5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2074BB1"/>
    <w:multiLevelType w:val="hybridMultilevel"/>
    <w:tmpl w:val="2E2C9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3D46BC7"/>
    <w:multiLevelType w:val="hybridMultilevel"/>
    <w:tmpl w:val="F2FE7D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3" w15:restartNumberingAfterBreak="0">
    <w:nsid w:val="443029E6"/>
    <w:multiLevelType w:val="hybridMultilevel"/>
    <w:tmpl w:val="0880877C"/>
    <w:lvl w:ilvl="0" w:tplc="F60023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4541DE0"/>
    <w:multiLevelType w:val="hybridMultilevel"/>
    <w:tmpl w:val="C2E42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7E13F51"/>
    <w:multiLevelType w:val="hybridMultilevel"/>
    <w:tmpl w:val="700A9620"/>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A3222A6"/>
    <w:multiLevelType w:val="hybridMultilevel"/>
    <w:tmpl w:val="4840373C"/>
    <w:lvl w:ilvl="0" w:tplc="F60023D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B7A4D95"/>
    <w:multiLevelType w:val="hybridMultilevel"/>
    <w:tmpl w:val="C7303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B94388D"/>
    <w:multiLevelType w:val="hybridMultilevel"/>
    <w:tmpl w:val="4A982D06"/>
    <w:lvl w:ilvl="0" w:tplc="0C090001">
      <w:start w:val="1"/>
      <w:numFmt w:val="bullet"/>
      <w:lvlText w:val=""/>
      <w:lvlJc w:val="left"/>
      <w:pPr>
        <w:ind w:left="720" w:hanging="360"/>
      </w:pPr>
      <w:rPr>
        <w:rFonts w:ascii="Symbol" w:hAnsi="Symbol"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CC56964"/>
    <w:multiLevelType w:val="hybridMultilevel"/>
    <w:tmpl w:val="E1D65C5A"/>
    <w:lvl w:ilvl="0" w:tplc="F1F4B68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D7950EA"/>
    <w:multiLevelType w:val="hybridMultilevel"/>
    <w:tmpl w:val="D30C097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61" w15:restartNumberingAfterBreak="0">
    <w:nsid w:val="4E001531"/>
    <w:multiLevelType w:val="hybridMultilevel"/>
    <w:tmpl w:val="403EF2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E914946"/>
    <w:multiLevelType w:val="hybridMultilevel"/>
    <w:tmpl w:val="6F2EB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2F42A55"/>
    <w:multiLevelType w:val="hybridMultilevel"/>
    <w:tmpl w:val="708ADFCA"/>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48837C0"/>
    <w:multiLevelType w:val="hybridMultilevel"/>
    <w:tmpl w:val="F3B4D9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5" w15:restartNumberingAfterBreak="0">
    <w:nsid w:val="569A1EBE"/>
    <w:multiLevelType w:val="hybridMultilevel"/>
    <w:tmpl w:val="F5E269FC"/>
    <w:lvl w:ilvl="0" w:tplc="E36889C0">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A5F3C5D"/>
    <w:multiLevelType w:val="hybridMultilevel"/>
    <w:tmpl w:val="DB083CEC"/>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67" w15:restartNumberingAfterBreak="0">
    <w:nsid w:val="5D4E381C"/>
    <w:multiLevelType w:val="hybridMultilevel"/>
    <w:tmpl w:val="83944F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8" w15:restartNumberingAfterBreak="0">
    <w:nsid w:val="5DB93B97"/>
    <w:multiLevelType w:val="multilevel"/>
    <w:tmpl w:val="624681D2"/>
    <w:styleLink w:val="ListTableBullet"/>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ind w:left="-32767" w:firstLine="0"/>
      </w:pPr>
      <w:rPr>
        <w:color w:val="000000"/>
      </w:rPr>
    </w:lvl>
    <w:lvl w:ilvl="3">
      <w:start w:val="1"/>
      <w:numFmt w:val="none"/>
      <w:lvlText w:val="%4"/>
      <w:lvlJc w:val="left"/>
      <w:pPr>
        <w:ind w:left="-32767" w:firstLine="0"/>
      </w:pPr>
    </w:lvl>
    <w:lvl w:ilvl="4">
      <w:start w:val="1"/>
      <w:numFmt w:val="none"/>
      <w:lvlText w:val=""/>
      <w:lvlJc w:val="left"/>
      <w:pPr>
        <w:ind w:left="-32767" w:firstLine="0"/>
      </w:pPr>
      <w:rPr>
        <w:color w:val="000000"/>
      </w:rPr>
    </w:lvl>
    <w:lvl w:ilvl="5">
      <w:start w:val="1"/>
      <w:numFmt w:val="none"/>
      <w:lvlText w:val=""/>
      <w:lvlJc w:val="left"/>
      <w:pPr>
        <w:ind w:left="-32767" w:firstLine="0"/>
      </w:pPr>
    </w:lvl>
    <w:lvl w:ilvl="6">
      <w:start w:val="1"/>
      <w:numFmt w:val="none"/>
      <w:lvlText w:val=""/>
      <w:lvlJc w:val="left"/>
      <w:pPr>
        <w:ind w:left="-32767" w:firstLine="0"/>
      </w:pPr>
      <w:rPr>
        <w:color w:val="000000"/>
      </w:rPr>
    </w:lvl>
    <w:lvl w:ilvl="7">
      <w:start w:val="1"/>
      <w:numFmt w:val="none"/>
      <w:lvlText w:val="%8"/>
      <w:lvlJc w:val="left"/>
      <w:pPr>
        <w:ind w:left="-32767" w:firstLine="0"/>
      </w:pPr>
    </w:lvl>
    <w:lvl w:ilvl="8">
      <w:start w:val="1"/>
      <w:numFmt w:val="none"/>
      <w:lvlText w:val=""/>
      <w:lvlJc w:val="left"/>
      <w:pPr>
        <w:ind w:left="-32767" w:firstLine="0"/>
      </w:pPr>
      <w:rPr>
        <w:color w:val="000000"/>
      </w:rPr>
    </w:lvl>
  </w:abstractNum>
  <w:abstractNum w:abstractNumId="69" w15:restartNumberingAfterBreak="0">
    <w:nsid w:val="5F150643"/>
    <w:multiLevelType w:val="hybridMultilevel"/>
    <w:tmpl w:val="CBE83AD6"/>
    <w:lvl w:ilvl="0" w:tplc="58845506">
      <w:start w:val="42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1" w15:restartNumberingAfterBreak="0">
    <w:nsid w:val="5FB01F8D"/>
    <w:multiLevelType w:val="hybridMultilevel"/>
    <w:tmpl w:val="52841C38"/>
    <w:lvl w:ilvl="0" w:tplc="F60023D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FD23BE4"/>
    <w:multiLevelType w:val="hybridMultilevel"/>
    <w:tmpl w:val="C072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3E6A24"/>
    <w:multiLevelType w:val="hybridMultilevel"/>
    <w:tmpl w:val="464C2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5" w15:restartNumberingAfterBreak="0">
    <w:nsid w:val="613E58DC"/>
    <w:multiLevelType w:val="hybridMultilevel"/>
    <w:tmpl w:val="80441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1AB21D2"/>
    <w:multiLevelType w:val="hybridMultilevel"/>
    <w:tmpl w:val="64883A18"/>
    <w:lvl w:ilvl="0" w:tplc="E36889C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2B48DC"/>
    <w:multiLevelType w:val="hybridMultilevel"/>
    <w:tmpl w:val="B7189F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28149E1"/>
    <w:multiLevelType w:val="hybridMultilevel"/>
    <w:tmpl w:val="17BAB19E"/>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63626FA6"/>
    <w:multiLevelType w:val="hybridMultilevel"/>
    <w:tmpl w:val="F2C882B6"/>
    <w:lvl w:ilvl="0" w:tplc="FD5C72D6">
      <w:start w:val="203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65AD5D9A"/>
    <w:multiLevelType w:val="hybridMultilevel"/>
    <w:tmpl w:val="678AACF2"/>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5AF3C75"/>
    <w:multiLevelType w:val="hybridMultilevel"/>
    <w:tmpl w:val="122A2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69D592F"/>
    <w:multiLevelType w:val="hybridMultilevel"/>
    <w:tmpl w:val="3B6C0322"/>
    <w:lvl w:ilvl="0" w:tplc="F60023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6CE2E7B"/>
    <w:multiLevelType w:val="hybridMultilevel"/>
    <w:tmpl w:val="E116922E"/>
    <w:lvl w:ilvl="0" w:tplc="F60023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71442EC"/>
    <w:multiLevelType w:val="hybridMultilevel"/>
    <w:tmpl w:val="93F0F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7270145"/>
    <w:multiLevelType w:val="hybridMultilevel"/>
    <w:tmpl w:val="C922B686"/>
    <w:lvl w:ilvl="0" w:tplc="C268C316">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9DF6A3F"/>
    <w:multiLevelType w:val="hybridMultilevel"/>
    <w:tmpl w:val="8F960FCE"/>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6B4D45E8"/>
    <w:multiLevelType w:val="hybridMultilevel"/>
    <w:tmpl w:val="1A2E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C181079"/>
    <w:multiLevelType w:val="multilevel"/>
    <w:tmpl w:val="42F8A376"/>
    <w:lvl w:ilvl="0">
      <w:start w:val="1"/>
      <w:numFmt w:val="bullet"/>
      <w:pStyle w:val="Bullet"/>
      <w:lvlText w:val="•"/>
      <w:lvlJc w:val="left"/>
      <w:pPr>
        <w:ind w:left="284" w:hanging="284"/>
      </w:pPr>
      <w:rPr>
        <w:rFonts w:ascii="Calibri Light" w:hAnsi="Calibri Light" w:cs="Calibri Light" w:hint="default"/>
        <w:vertAlign w:val="baseline"/>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9" w15:restartNumberingAfterBreak="0">
    <w:nsid w:val="6CE13C83"/>
    <w:multiLevelType w:val="hybridMultilevel"/>
    <w:tmpl w:val="7E8424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1161695"/>
    <w:multiLevelType w:val="hybridMultilevel"/>
    <w:tmpl w:val="18B41DF8"/>
    <w:lvl w:ilvl="0" w:tplc="F60023D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92"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93" w15:restartNumberingAfterBreak="0">
    <w:nsid w:val="73DA4EFC"/>
    <w:multiLevelType w:val="hybridMultilevel"/>
    <w:tmpl w:val="A0D0DF9A"/>
    <w:lvl w:ilvl="0" w:tplc="9452B67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4384884"/>
    <w:multiLevelType w:val="hybridMultilevel"/>
    <w:tmpl w:val="18C47D4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7489798A"/>
    <w:multiLevelType w:val="hybridMultilevel"/>
    <w:tmpl w:val="D44ADBFE"/>
    <w:lvl w:ilvl="0" w:tplc="F60023D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56A29D1"/>
    <w:multiLevelType w:val="hybridMultilevel"/>
    <w:tmpl w:val="D00E6184"/>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7" w15:restartNumberingAfterBreak="0">
    <w:nsid w:val="75934816"/>
    <w:multiLevelType w:val="hybridMultilevel"/>
    <w:tmpl w:val="84509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7C7713B"/>
    <w:multiLevelType w:val="hybridMultilevel"/>
    <w:tmpl w:val="7F58CC78"/>
    <w:lvl w:ilvl="0" w:tplc="E36889C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90226C8"/>
    <w:multiLevelType w:val="hybridMultilevel"/>
    <w:tmpl w:val="3CD07CD4"/>
    <w:lvl w:ilvl="0" w:tplc="F60023D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9435D90"/>
    <w:multiLevelType w:val="hybridMultilevel"/>
    <w:tmpl w:val="4E9E6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94C1811"/>
    <w:multiLevelType w:val="hybridMultilevel"/>
    <w:tmpl w:val="CEC63940"/>
    <w:lvl w:ilvl="0" w:tplc="0C090001">
      <w:start w:val="1"/>
      <w:numFmt w:val="bullet"/>
      <w:lvlText w:val=""/>
      <w:lvlJc w:val="left"/>
      <w:pPr>
        <w:ind w:left="770" w:hanging="360"/>
      </w:pPr>
      <w:rPr>
        <w:rFonts w:ascii="Symbol" w:hAnsi="Symbol" w:hint="default"/>
      </w:rPr>
    </w:lvl>
    <w:lvl w:ilvl="1" w:tplc="F1F4B682">
      <w:numFmt w:val="bullet"/>
      <w:lvlText w:val="-"/>
      <w:lvlJc w:val="left"/>
      <w:pPr>
        <w:ind w:left="1490" w:hanging="360"/>
      </w:pPr>
      <w:rPr>
        <w:rFonts w:ascii="Arial" w:eastAsiaTheme="minorHAnsi" w:hAnsi="Arial" w:cs="Arial"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2" w15:restartNumberingAfterBreak="0">
    <w:nsid w:val="795E6724"/>
    <w:multiLevelType w:val="hybridMultilevel"/>
    <w:tmpl w:val="2EB06EB0"/>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BD03704"/>
    <w:multiLevelType w:val="hybridMultilevel"/>
    <w:tmpl w:val="A52E544E"/>
    <w:lvl w:ilvl="0" w:tplc="58845506">
      <w:start w:val="42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7CC42CC5"/>
    <w:multiLevelType w:val="hybridMultilevel"/>
    <w:tmpl w:val="6DE6909A"/>
    <w:lvl w:ilvl="0" w:tplc="085ADDF4">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F221FAC"/>
    <w:multiLevelType w:val="hybridMultilevel"/>
    <w:tmpl w:val="6F1AC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F5D7362"/>
    <w:multiLevelType w:val="hybridMultilevel"/>
    <w:tmpl w:val="E396B88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7" w15:restartNumberingAfterBreak="0">
    <w:nsid w:val="7F7169AC"/>
    <w:multiLevelType w:val="hybridMultilevel"/>
    <w:tmpl w:val="881E81A0"/>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0"/>
  </w:num>
  <w:num w:numId="2">
    <w:abstractNumId w:val="74"/>
  </w:num>
  <w:num w:numId="3">
    <w:abstractNumId w:val="7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43"/>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12"/>
  </w:num>
  <w:num w:numId="6">
    <w:abstractNumId w:val="92"/>
  </w:num>
  <w:num w:numId="7">
    <w:abstractNumId w:val="91"/>
  </w:num>
  <w:num w:numId="8">
    <w:abstractNumId w:val="4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9">
    <w:abstractNumId w:val="56"/>
  </w:num>
  <w:num w:numId="10">
    <w:abstractNumId w:val="72"/>
  </w:num>
  <w:num w:numId="11">
    <w:abstractNumId w:val="57"/>
  </w:num>
  <w:num w:numId="12">
    <w:abstractNumId w:val="15"/>
  </w:num>
  <w:num w:numId="13">
    <w:abstractNumId w:val="5"/>
  </w:num>
  <w:num w:numId="14">
    <w:abstractNumId w:val="61"/>
  </w:num>
  <w:num w:numId="15">
    <w:abstractNumId w:val="4"/>
  </w:num>
  <w:num w:numId="16">
    <w:abstractNumId w:val="97"/>
  </w:num>
  <w:num w:numId="17">
    <w:abstractNumId w:val="3"/>
  </w:num>
  <w:num w:numId="18">
    <w:abstractNumId w:val="51"/>
  </w:num>
  <w:num w:numId="19">
    <w:abstractNumId w:val="11"/>
  </w:num>
  <w:num w:numId="20">
    <w:abstractNumId w:val="73"/>
  </w:num>
  <w:num w:numId="21">
    <w:abstractNumId w:val="16"/>
  </w:num>
  <w:num w:numId="22">
    <w:abstractNumId w:val="75"/>
  </w:num>
  <w:num w:numId="23">
    <w:abstractNumId w:val="20"/>
  </w:num>
  <w:num w:numId="24">
    <w:abstractNumId w:val="58"/>
  </w:num>
  <w:num w:numId="25">
    <w:abstractNumId w:val="52"/>
  </w:num>
  <w:num w:numId="26">
    <w:abstractNumId w:val="89"/>
  </w:num>
  <w:num w:numId="27">
    <w:abstractNumId w:val="7"/>
  </w:num>
  <w:num w:numId="28">
    <w:abstractNumId w:val="82"/>
  </w:num>
  <w:num w:numId="29">
    <w:abstractNumId w:val="99"/>
  </w:num>
  <w:num w:numId="30">
    <w:abstractNumId w:val="77"/>
  </w:num>
  <w:num w:numId="31">
    <w:abstractNumId w:val="101"/>
  </w:num>
  <w:num w:numId="32">
    <w:abstractNumId w:val="94"/>
  </w:num>
  <w:num w:numId="33">
    <w:abstractNumId w:val="69"/>
  </w:num>
  <w:num w:numId="34">
    <w:abstractNumId w:val="103"/>
  </w:num>
  <w:num w:numId="35">
    <w:abstractNumId w:val="30"/>
  </w:num>
  <w:num w:numId="36">
    <w:abstractNumId w:val="102"/>
  </w:num>
  <w:num w:numId="37">
    <w:abstractNumId w:val="63"/>
  </w:num>
  <w:num w:numId="38">
    <w:abstractNumId w:val="18"/>
  </w:num>
  <w:num w:numId="39">
    <w:abstractNumId w:val="38"/>
  </w:num>
  <w:num w:numId="40">
    <w:abstractNumId w:val="65"/>
  </w:num>
  <w:num w:numId="41">
    <w:abstractNumId w:val="62"/>
  </w:num>
  <w:num w:numId="42">
    <w:abstractNumId w:val="42"/>
  </w:num>
  <w:num w:numId="43">
    <w:abstractNumId w:val="41"/>
  </w:num>
  <w:num w:numId="44">
    <w:abstractNumId w:val="28"/>
  </w:num>
  <w:num w:numId="45">
    <w:abstractNumId w:val="37"/>
  </w:num>
  <w:num w:numId="46">
    <w:abstractNumId w:val="47"/>
  </w:num>
  <w:num w:numId="47">
    <w:abstractNumId w:val="59"/>
  </w:num>
  <w:num w:numId="48">
    <w:abstractNumId w:val="81"/>
  </w:num>
  <w:num w:numId="49">
    <w:abstractNumId w:val="49"/>
  </w:num>
  <w:num w:numId="50">
    <w:abstractNumId w:val="14"/>
  </w:num>
  <w:num w:numId="51">
    <w:abstractNumId w:val="105"/>
  </w:num>
  <w:num w:numId="52">
    <w:abstractNumId w:val="44"/>
  </w:num>
  <w:num w:numId="53">
    <w:abstractNumId w:val="35"/>
  </w:num>
  <w:num w:numId="54">
    <w:abstractNumId w:val="95"/>
  </w:num>
  <w:num w:numId="55">
    <w:abstractNumId w:val="39"/>
  </w:num>
  <w:num w:numId="56">
    <w:abstractNumId w:val="71"/>
  </w:num>
  <w:num w:numId="57">
    <w:abstractNumId w:val="83"/>
  </w:num>
  <w:num w:numId="58">
    <w:abstractNumId w:val="53"/>
  </w:num>
  <w:num w:numId="59">
    <w:abstractNumId w:val="33"/>
  </w:num>
  <w:num w:numId="60">
    <w:abstractNumId w:val="32"/>
  </w:num>
  <w:num w:numId="61">
    <w:abstractNumId w:val="54"/>
  </w:num>
  <w:num w:numId="62">
    <w:abstractNumId w:val="2"/>
  </w:num>
  <w:num w:numId="63">
    <w:abstractNumId w:val="100"/>
  </w:num>
  <w:num w:numId="64">
    <w:abstractNumId w:val="13"/>
  </w:num>
  <w:num w:numId="65">
    <w:abstractNumId w:val="107"/>
  </w:num>
  <w:num w:numId="66">
    <w:abstractNumId w:val="96"/>
  </w:num>
  <w:num w:numId="67">
    <w:abstractNumId w:val="86"/>
  </w:num>
  <w:num w:numId="68">
    <w:abstractNumId w:val="23"/>
  </w:num>
  <w:num w:numId="69">
    <w:abstractNumId w:val="76"/>
  </w:num>
  <w:num w:numId="70">
    <w:abstractNumId w:val="98"/>
  </w:num>
  <w:num w:numId="71">
    <w:abstractNumId w:val="24"/>
  </w:num>
  <w:num w:numId="72">
    <w:abstractNumId w:val="80"/>
  </w:num>
  <w:num w:numId="73">
    <w:abstractNumId w:val="55"/>
  </w:num>
  <w:num w:numId="74">
    <w:abstractNumId w:val="78"/>
  </w:num>
  <w:num w:numId="75">
    <w:abstractNumId w:val="25"/>
  </w:num>
  <w:num w:numId="76">
    <w:abstractNumId w:val="6"/>
  </w:num>
  <w:num w:numId="77">
    <w:abstractNumId w:val="90"/>
  </w:num>
  <w:num w:numId="78">
    <w:abstractNumId w:val="10"/>
  </w:num>
  <w:num w:numId="79">
    <w:abstractNumId w:val="31"/>
  </w:num>
  <w:num w:numId="80">
    <w:abstractNumId w:val="85"/>
  </w:num>
  <w:num w:numId="8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num>
  <w:num w:numId="83">
    <w:abstractNumId w:val="79"/>
  </w:num>
  <w:num w:numId="84">
    <w:abstractNumId w:val="40"/>
  </w:num>
  <w:num w:numId="85">
    <w:abstractNumId w:val="19"/>
  </w:num>
  <w:num w:numId="86">
    <w:abstractNumId w:val="8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27"/>
  </w:num>
  <w:num w:numId="89">
    <w:abstractNumId w:val="66"/>
  </w:num>
  <w:num w:numId="90">
    <w:abstractNumId w:val="26"/>
  </w:num>
  <w:num w:numId="91">
    <w:abstractNumId w:val="64"/>
  </w:num>
  <w:num w:numId="92">
    <w:abstractNumId w:val="104"/>
  </w:num>
  <w:num w:numId="93">
    <w:abstractNumId w:val="50"/>
  </w:num>
  <w:num w:numId="94">
    <w:abstractNumId w:val="17"/>
  </w:num>
  <w:num w:numId="95">
    <w:abstractNumId w:val="9"/>
    <w:lvlOverride w:ilvl="0">
      <w:lvl w:ilvl="0">
        <w:start w:val="1"/>
        <w:numFmt w:val="decimal"/>
        <w:lvlText w:val=""/>
        <w:lvlJc w:val="left"/>
        <w:pPr>
          <w:tabs>
            <w:tab w:val="num" w:pos="284"/>
          </w:tabs>
          <w:ind w:left="170" w:hanging="170"/>
        </w:pPr>
        <w:rPr>
          <w:rFonts w:ascii="Symbol" w:hAnsi="Symbol" w:hint="default"/>
          <w:color w:val="auto"/>
          <w:sz w:val="20"/>
        </w:rPr>
      </w:lvl>
    </w:lvlOverride>
    <w:lvlOverride w:ilvl="1">
      <w:lvl w:ilvl="1">
        <w:start w:val="1"/>
        <w:numFmt w:val="decimal"/>
        <w:lvlText w:val="–"/>
        <w:lvlJc w:val="left"/>
        <w:pPr>
          <w:tabs>
            <w:tab w:val="num" w:pos="454"/>
          </w:tabs>
          <w:ind w:left="340" w:hanging="170"/>
        </w:pPr>
        <w:rPr>
          <w:rFonts w:ascii="Arial" w:hAnsi="Arial" w:cs="Times New Roman" w:hint="default"/>
          <w:color w:val="auto"/>
          <w:sz w:val="20"/>
        </w:rPr>
      </w:lvl>
    </w:lvlOverride>
    <w:lvlOverride w:ilvl="2">
      <w:lvl w:ilvl="2">
        <w:start w:val="1"/>
        <w:numFmt w:val="decimal"/>
        <w:lvlText w:val=""/>
        <w:lvlJc w:val="left"/>
        <w:pPr>
          <w:tabs>
            <w:tab w:val="num" w:pos="624"/>
          </w:tabs>
          <w:ind w:left="510" w:hanging="170"/>
        </w:pPr>
        <w:rPr>
          <w:color w:val="000000"/>
        </w:rPr>
      </w:lvl>
    </w:lvlOverride>
    <w:lvlOverride w:ilvl="3">
      <w:lvl w:ilvl="3">
        <w:start w:val="1"/>
        <w:numFmt w:val="decimal"/>
        <w:lvlText w:val="%4"/>
        <w:lvlJc w:val="left"/>
        <w:pPr>
          <w:tabs>
            <w:tab w:val="num" w:pos="794"/>
          </w:tabs>
          <w:ind w:left="680" w:hanging="170"/>
        </w:pPr>
      </w:lvl>
    </w:lvlOverride>
    <w:lvlOverride w:ilvl="4">
      <w:lvl w:ilvl="4">
        <w:start w:val="1"/>
        <w:numFmt w:val="decimal"/>
        <w:lvlText w:val=""/>
        <w:lvlJc w:val="left"/>
        <w:pPr>
          <w:tabs>
            <w:tab w:val="num" w:pos="964"/>
          </w:tabs>
          <w:ind w:left="850" w:hanging="170"/>
        </w:pPr>
        <w:rPr>
          <w:color w:val="000000"/>
        </w:rPr>
      </w:lvl>
    </w:lvlOverride>
    <w:lvlOverride w:ilvl="5">
      <w:lvl w:ilvl="5">
        <w:start w:val="1"/>
        <w:numFmt w:val="decimal"/>
        <w:lvlText w:val=""/>
        <w:lvlJc w:val="left"/>
        <w:pPr>
          <w:tabs>
            <w:tab w:val="num" w:pos="1134"/>
          </w:tabs>
          <w:ind w:left="1020" w:hanging="170"/>
        </w:pPr>
      </w:lvl>
    </w:lvlOverride>
    <w:lvlOverride w:ilvl="6">
      <w:lvl w:ilvl="6">
        <w:start w:val="1"/>
        <w:numFmt w:val="decimal"/>
        <w:lvlText w:val=""/>
        <w:lvlJc w:val="left"/>
        <w:pPr>
          <w:tabs>
            <w:tab w:val="num" w:pos="1304"/>
          </w:tabs>
          <w:ind w:left="1190" w:hanging="170"/>
        </w:pPr>
        <w:rPr>
          <w:color w:val="000000"/>
        </w:rPr>
      </w:lvl>
    </w:lvlOverride>
    <w:lvlOverride w:ilvl="7">
      <w:lvl w:ilvl="7">
        <w:start w:val="1"/>
        <w:numFmt w:val="decimal"/>
        <w:lvlText w:val="%8"/>
        <w:lvlJc w:val="left"/>
        <w:pPr>
          <w:tabs>
            <w:tab w:val="num" w:pos="1474"/>
          </w:tabs>
          <w:ind w:left="1360" w:hanging="170"/>
        </w:pPr>
      </w:lvl>
    </w:lvlOverride>
    <w:lvlOverride w:ilvl="8">
      <w:lvl w:ilvl="8">
        <w:start w:val="1"/>
        <w:numFmt w:val="decimal"/>
        <w:lvlText w:val=""/>
        <w:lvlJc w:val="left"/>
        <w:pPr>
          <w:tabs>
            <w:tab w:val="num" w:pos="1644"/>
          </w:tabs>
          <w:ind w:left="1530" w:hanging="170"/>
        </w:pPr>
        <w:rPr>
          <w:color w:val="000000"/>
        </w:rPr>
      </w:lvl>
    </w:lvlOverride>
  </w:num>
  <w:num w:numId="96">
    <w:abstractNumId w:val="68"/>
  </w:num>
  <w:num w:numId="97">
    <w:abstractNumId w:val="1"/>
  </w:num>
  <w:num w:numId="98">
    <w:abstractNumId w:val="0"/>
  </w:num>
  <w:num w:numId="99">
    <w:abstractNumId w:val="87"/>
  </w:num>
  <w:num w:numId="100">
    <w:abstractNumId w:val="60"/>
  </w:num>
  <w:num w:numId="101">
    <w:abstractNumId w:val="45"/>
  </w:num>
  <w:num w:numId="102">
    <w:abstractNumId w:val="46"/>
  </w:num>
  <w:num w:numId="103">
    <w:abstractNumId w:val="29"/>
  </w:num>
  <w:num w:numId="104">
    <w:abstractNumId w:val="22"/>
  </w:num>
  <w:num w:numId="105">
    <w:abstractNumId w:val="67"/>
  </w:num>
  <w:num w:numId="106">
    <w:abstractNumId w:val="8"/>
  </w:num>
  <w:num w:numId="107">
    <w:abstractNumId w:val="84"/>
  </w:num>
  <w:num w:numId="108">
    <w:abstractNumId w:val="36"/>
  </w:num>
  <w:num w:numId="109">
    <w:abstractNumId w:val="48"/>
  </w:num>
  <w:num w:numId="110">
    <w:abstractNumId w:val="9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85"/>
    <w:rsid w:val="000006B8"/>
    <w:rsid w:val="000023A9"/>
    <w:rsid w:val="00002F73"/>
    <w:rsid w:val="000034B8"/>
    <w:rsid w:val="000034C8"/>
    <w:rsid w:val="00003AE5"/>
    <w:rsid w:val="00003BF4"/>
    <w:rsid w:val="000044A5"/>
    <w:rsid w:val="00004FCD"/>
    <w:rsid w:val="00005871"/>
    <w:rsid w:val="00005893"/>
    <w:rsid w:val="00007585"/>
    <w:rsid w:val="00010707"/>
    <w:rsid w:val="00015E85"/>
    <w:rsid w:val="00016707"/>
    <w:rsid w:val="00017264"/>
    <w:rsid w:val="00020281"/>
    <w:rsid w:val="000205F5"/>
    <w:rsid w:val="0002068D"/>
    <w:rsid w:val="000209F5"/>
    <w:rsid w:val="000219C7"/>
    <w:rsid w:val="0002347D"/>
    <w:rsid w:val="00023AC4"/>
    <w:rsid w:val="00024ADD"/>
    <w:rsid w:val="00024F1A"/>
    <w:rsid w:val="00025D95"/>
    <w:rsid w:val="00026DD3"/>
    <w:rsid w:val="000273E4"/>
    <w:rsid w:val="000304B2"/>
    <w:rsid w:val="00031116"/>
    <w:rsid w:val="000313E3"/>
    <w:rsid w:val="00031B5C"/>
    <w:rsid w:val="00032589"/>
    <w:rsid w:val="00033067"/>
    <w:rsid w:val="000336FD"/>
    <w:rsid w:val="000340F8"/>
    <w:rsid w:val="0003415D"/>
    <w:rsid w:val="000344A5"/>
    <w:rsid w:val="00034EFC"/>
    <w:rsid w:val="00034FEC"/>
    <w:rsid w:val="000354D2"/>
    <w:rsid w:val="000373C5"/>
    <w:rsid w:val="00037600"/>
    <w:rsid w:val="00040257"/>
    <w:rsid w:val="000405EB"/>
    <w:rsid w:val="00040C5C"/>
    <w:rsid w:val="00040C6D"/>
    <w:rsid w:val="00041624"/>
    <w:rsid w:val="00041C35"/>
    <w:rsid w:val="00042E89"/>
    <w:rsid w:val="0004342A"/>
    <w:rsid w:val="000441DB"/>
    <w:rsid w:val="0004446E"/>
    <w:rsid w:val="000448AE"/>
    <w:rsid w:val="00044BF9"/>
    <w:rsid w:val="000465B8"/>
    <w:rsid w:val="0004725E"/>
    <w:rsid w:val="00047A98"/>
    <w:rsid w:val="000503A6"/>
    <w:rsid w:val="00051069"/>
    <w:rsid w:val="00051920"/>
    <w:rsid w:val="00051D30"/>
    <w:rsid w:val="00051D78"/>
    <w:rsid w:val="00051F12"/>
    <w:rsid w:val="00053CD9"/>
    <w:rsid w:val="000542E2"/>
    <w:rsid w:val="000552D7"/>
    <w:rsid w:val="00055658"/>
    <w:rsid w:val="00055D22"/>
    <w:rsid w:val="00056A5B"/>
    <w:rsid w:val="00056C21"/>
    <w:rsid w:val="000570A9"/>
    <w:rsid w:val="00060319"/>
    <w:rsid w:val="00060B07"/>
    <w:rsid w:val="00060B9B"/>
    <w:rsid w:val="00060F08"/>
    <w:rsid w:val="00063034"/>
    <w:rsid w:val="0006455F"/>
    <w:rsid w:val="000645E4"/>
    <w:rsid w:val="00065060"/>
    <w:rsid w:val="000659BD"/>
    <w:rsid w:val="000665A6"/>
    <w:rsid w:val="0007054F"/>
    <w:rsid w:val="000706F4"/>
    <w:rsid w:val="00070C40"/>
    <w:rsid w:val="00073129"/>
    <w:rsid w:val="00073AA1"/>
    <w:rsid w:val="00073C00"/>
    <w:rsid w:val="00073D52"/>
    <w:rsid w:val="000744D6"/>
    <w:rsid w:val="000748E7"/>
    <w:rsid w:val="00074A14"/>
    <w:rsid w:val="0007570C"/>
    <w:rsid w:val="00076AD1"/>
    <w:rsid w:val="00077160"/>
    <w:rsid w:val="00077208"/>
    <w:rsid w:val="00077225"/>
    <w:rsid w:val="000803CA"/>
    <w:rsid w:val="00080558"/>
    <w:rsid w:val="00080F8C"/>
    <w:rsid w:val="000822BA"/>
    <w:rsid w:val="000836E1"/>
    <w:rsid w:val="00083B77"/>
    <w:rsid w:val="00083E2C"/>
    <w:rsid w:val="00084881"/>
    <w:rsid w:val="00084D02"/>
    <w:rsid w:val="00085732"/>
    <w:rsid w:val="00090064"/>
    <w:rsid w:val="00091381"/>
    <w:rsid w:val="000913CB"/>
    <w:rsid w:val="00091BCD"/>
    <w:rsid w:val="00091E8E"/>
    <w:rsid w:val="000920C6"/>
    <w:rsid w:val="0009265A"/>
    <w:rsid w:val="000943BC"/>
    <w:rsid w:val="00094544"/>
    <w:rsid w:val="00095BF3"/>
    <w:rsid w:val="00095EA7"/>
    <w:rsid w:val="00096253"/>
    <w:rsid w:val="00097995"/>
    <w:rsid w:val="000A00B6"/>
    <w:rsid w:val="000A08CA"/>
    <w:rsid w:val="000A09A3"/>
    <w:rsid w:val="000A0B66"/>
    <w:rsid w:val="000A0E4C"/>
    <w:rsid w:val="000A0FCD"/>
    <w:rsid w:val="000A17BF"/>
    <w:rsid w:val="000A1820"/>
    <w:rsid w:val="000A2502"/>
    <w:rsid w:val="000A2864"/>
    <w:rsid w:val="000A413E"/>
    <w:rsid w:val="000A424B"/>
    <w:rsid w:val="000A75C4"/>
    <w:rsid w:val="000A7F9E"/>
    <w:rsid w:val="000B06B0"/>
    <w:rsid w:val="000B149F"/>
    <w:rsid w:val="000B14B6"/>
    <w:rsid w:val="000B1C92"/>
    <w:rsid w:val="000B1D1F"/>
    <w:rsid w:val="000B44D2"/>
    <w:rsid w:val="000B53C4"/>
    <w:rsid w:val="000B63C7"/>
    <w:rsid w:val="000B7108"/>
    <w:rsid w:val="000B755E"/>
    <w:rsid w:val="000C14E9"/>
    <w:rsid w:val="000C2F96"/>
    <w:rsid w:val="000C365D"/>
    <w:rsid w:val="000C49EE"/>
    <w:rsid w:val="000C4C0A"/>
    <w:rsid w:val="000C6040"/>
    <w:rsid w:val="000C6225"/>
    <w:rsid w:val="000C7664"/>
    <w:rsid w:val="000D00F1"/>
    <w:rsid w:val="000D044B"/>
    <w:rsid w:val="000D05DC"/>
    <w:rsid w:val="000D12C0"/>
    <w:rsid w:val="000D1B94"/>
    <w:rsid w:val="000D2AD1"/>
    <w:rsid w:val="000D31F4"/>
    <w:rsid w:val="000D3BF7"/>
    <w:rsid w:val="000D4DE5"/>
    <w:rsid w:val="000D56B4"/>
    <w:rsid w:val="000D7816"/>
    <w:rsid w:val="000E08EF"/>
    <w:rsid w:val="000E2686"/>
    <w:rsid w:val="000E2B4F"/>
    <w:rsid w:val="000E4556"/>
    <w:rsid w:val="000E699D"/>
    <w:rsid w:val="000E78D9"/>
    <w:rsid w:val="000F0D6F"/>
    <w:rsid w:val="000F23B0"/>
    <w:rsid w:val="000F286F"/>
    <w:rsid w:val="000F2873"/>
    <w:rsid w:val="000F3B0D"/>
    <w:rsid w:val="000F5DFC"/>
    <w:rsid w:val="00100558"/>
    <w:rsid w:val="001007B9"/>
    <w:rsid w:val="00101218"/>
    <w:rsid w:val="0010141F"/>
    <w:rsid w:val="0010197D"/>
    <w:rsid w:val="001024D6"/>
    <w:rsid w:val="0010255F"/>
    <w:rsid w:val="0010498A"/>
    <w:rsid w:val="00105048"/>
    <w:rsid w:val="0010595F"/>
    <w:rsid w:val="00105A30"/>
    <w:rsid w:val="00105ECB"/>
    <w:rsid w:val="00110DEA"/>
    <w:rsid w:val="0011200A"/>
    <w:rsid w:val="00112281"/>
    <w:rsid w:val="0011241A"/>
    <w:rsid w:val="00112489"/>
    <w:rsid w:val="00112EC9"/>
    <w:rsid w:val="0011322E"/>
    <w:rsid w:val="00114411"/>
    <w:rsid w:val="00115E0C"/>
    <w:rsid w:val="00117BA5"/>
    <w:rsid w:val="00117DCC"/>
    <w:rsid w:val="00120A1E"/>
    <w:rsid w:val="00121D94"/>
    <w:rsid w:val="00121EEA"/>
    <w:rsid w:val="00122063"/>
    <w:rsid w:val="00124202"/>
    <w:rsid w:val="00125580"/>
    <w:rsid w:val="001261D2"/>
    <w:rsid w:val="00126BBC"/>
    <w:rsid w:val="00127177"/>
    <w:rsid w:val="001304B5"/>
    <w:rsid w:val="00130B37"/>
    <w:rsid w:val="00131315"/>
    <w:rsid w:val="00132268"/>
    <w:rsid w:val="001327DD"/>
    <w:rsid w:val="001339D9"/>
    <w:rsid w:val="00133E56"/>
    <w:rsid w:val="00134E25"/>
    <w:rsid w:val="00136634"/>
    <w:rsid w:val="00136A38"/>
    <w:rsid w:val="001425A9"/>
    <w:rsid w:val="00142BF1"/>
    <w:rsid w:val="00143221"/>
    <w:rsid w:val="00143A91"/>
    <w:rsid w:val="00143BD2"/>
    <w:rsid w:val="00144568"/>
    <w:rsid w:val="00144665"/>
    <w:rsid w:val="00144FFB"/>
    <w:rsid w:val="001458E9"/>
    <w:rsid w:val="00145E3E"/>
    <w:rsid w:val="00145EFA"/>
    <w:rsid w:val="00147A17"/>
    <w:rsid w:val="001518DD"/>
    <w:rsid w:val="00151AB8"/>
    <w:rsid w:val="0015225A"/>
    <w:rsid w:val="001522C7"/>
    <w:rsid w:val="00152D97"/>
    <w:rsid w:val="0015537B"/>
    <w:rsid w:val="00155ABA"/>
    <w:rsid w:val="00155D15"/>
    <w:rsid w:val="00160444"/>
    <w:rsid w:val="001607B9"/>
    <w:rsid w:val="00160C1A"/>
    <w:rsid w:val="00161802"/>
    <w:rsid w:val="00161A1C"/>
    <w:rsid w:val="001621ED"/>
    <w:rsid w:val="00162CD3"/>
    <w:rsid w:val="00164474"/>
    <w:rsid w:val="0016491C"/>
    <w:rsid w:val="00165967"/>
    <w:rsid w:val="00165C39"/>
    <w:rsid w:val="001668A3"/>
    <w:rsid w:val="00166D91"/>
    <w:rsid w:val="00170F06"/>
    <w:rsid w:val="00171459"/>
    <w:rsid w:val="001722D0"/>
    <w:rsid w:val="001727AF"/>
    <w:rsid w:val="001734DE"/>
    <w:rsid w:val="00173AFB"/>
    <w:rsid w:val="00173F42"/>
    <w:rsid w:val="00176EA5"/>
    <w:rsid w:val="00177611"/>
    <w:rsid w:val="001776AD"/>
    <w:rsid w:val="0017798C"/>
    <w:rsid w:val="001779D1"/>
    <w:rsid w:val="001809C6"/>
    <w:rsid w:val="00180F43"/>
    <w:rsid w:val="001814F7"/>
    <w:rsid w:val="001846F5"/>
    <w:rsid w:val="001850CB"/>
    <w:rsid w:val="00185AD3"/>
    <w:rsid w:val="001868D9"/>
    <w:rsid w:val="00186BE3"/>
    <w:rsid w:val="00187884"/>
    <w:rsid w:val="00187FC2"/>
    <w:rsid w:val="001909D1"/>
    <w:rsid w:val="00190FAD"/>
    <w:rsid w:val="00191021"/>
    <w:rsid w:val="00191100"/>
    <w:rsid w:val="00191C68"/>
    <w:rsid w:val="001928A8"/>
    <w:rsid w:val="00192AD0"/>
    <w:rsid w:val="00192BB9"/>
    <w:rsid w:val="001941F5"/>
    <w:rsid w:val="001944A2"/>
    <w:rsid w:val="00194D69"/>
    <w:rsid w:val="00194D6B"/>
    <w:rsid w:val="00195A0E"/>
    <w:rsid w:val="00195BA8"/>
    <w:rsid w:val="00196535"/>
    <w:rsid w:val="001966D9"/>
    <w:rsid w:val="001975EA"/>
    <w:rsid w:val="001A0784"/>
    <w:rsid w:val="001A23CE"/>
    <w:rsid w:val="001A2F86"/>
    <w:rsid w:val="001A4920"/>
    <w:rsid w:val="001A4F6C"/>
    <w:rsid w:val="001A52FF"/>
    <w:rsid w:val="001A5524"/>
    <w:rsid w:val="001A5F16"/>
    <w:rsid w:val="001A66AD"/>
    <w:rsid w:val="001A6D8E"/>
    <w:rsid w:val="001A716D"/>
    <w:rsid w:val="001B0144"/>
    <w:rsid w:val="001B0A86"/>
    <w:rsid w:val="001B0E5D"/>
    <w:rsid w:val="001B10ED"/>
    <w:rsid w:val="001B11A5"/>
    <w:rsid w:val="001B259E"/>
    <w:rsid w:val="001B2F7B"/>
    <w:rsid w:val="001B4B7B"/>
    <w:rsid w:val="001B4C69"/>
    <w:rsid w:val="001B6019"/>
    <w:rsid w:val="001B6A88"/>
    <w:rsid w:val="001B749A"/>
    <w:rsid w:val="001C041E"/>
    <w:rsid w:val="001C097E"/>
    <w:rsid w:val="001C0AB7"/>
    <w:rsid w:val="001C1B17"/>
    <w:rsid w:val="001C3D4D"/>
    <w:rsid w:val="001C4E39"/>
    <w:rsid w:val="001C6D87"/>
    <w:rsid w:val="001C7C15"/>
    <w:rsid w:val="001D15A5"/>
    <w:rsid w:val="001D1845"/>
    <w:rsid w:val="001D20D6"/>
    <w:rsid w:val="001D246F"/>
    <w:rsid w:val="001D283B"/>
    <w:rsid w:val="001D3D5D"/>
    <w:rsid w:val="001D507E"/>
    <w:rsid w:val="001D57F6"/>
    <w:rsid w:val="001D5C3C"/>
    <w:rsid w:val="001D73FC"/>
    <w:rsid w:val="001D7C02"/>
    <w:rsid w:val="001E0002"/>
    <w:rsid w:val="001E03EB"/>
    <w:rsid w:val="001E04E6"/>
    <w:rsid w:val="001E05AA"/>
    <w:rsid w:val="001E08EE"/>
    <w:rsid w:val="001E09BD"/>
    <w:rsid w:val="001E0B4F"/>
    <w:rsid w:val="001E1ACF"/>
    <w:rsid w:val="001E28E8"/>
    <w:rsid w:val="001E290E"/>
    <w:rsid w:val="001E2F40"/>
    <w:rsid w:val="001E355B"/>
    <w:rsid w:val="001E6D8D"/>
    <w:rsid w:val="001F013F"/>
    <w:rsid w:val="001F0177"/>
    <w:rsid w:val="001F0BFE"/>
    <w:rsid w:val="001F143A"/>
    <w:rsid w:val="001F2151"/>
    <w:rsid w:val="001F242B"/>
    <w:rsid w:val="001F308B"/>
    <w:rsid w:val="001F36A6"/>
    <w:rsid w:val="001F3722"/>
    <w:rsid w:val="001F6D9A"/>
    <w:rsid w:val="001F6FF8"/>
    <w:rsid w:val="001F738E"/>
    <w:rsid w:val="001F78F1"/>
    <w:rsid w:val="0020076A"/>
    <w:rsid w:val="00200A19"/>
    <w:rsid w:val="002021AD"/>
    <w:rsid w:val="00202203"/>
    <w:rsid w:val="00202723"/>
    <w:rsid w:val="002029B6"/>
    <w:rsid w:val="00202E2F"/>
    <w:rsid w:val="002030D1"/>
    <w:rsid w:val="002036A5"/>
    <w:rsid w:val="00203A97"/>
    <w:rsid w:val="00203B54"/>
    <w:rsid w:val="002042AF"/>
    <w:rsid w:val="00204513"/>
    <w:rsid w:val="002047A5"/>
    <w:rsid w:val="00204991"/>
    <w:rsid w:val="00204E56"/>
    <w:rsid w:val="00204F16"/>
    <w:rsid w:val="002054F6"/>
    <w:rsid w:val="00206154"/>
    <w:rsid w:val="0020677B"/>
    <w:rsid w:val="00210AA8"/>
    <w:rsid w:val="002118A7"/>
    <w:rsid w:val="00211C51"/>
    <w:rsid w:val="0021239D"/>
    <w:rsid w:val="0021247A"/>
    <w:rsid w:val="00212623"/>
    <w:rsid w:val="0021281D"/>
    <w:rsid w:val="002151F1"/>
    <w:rsid w:val="0021585A"/>
    <w:rsid w:val="0021618F"/>
    <w:rsid w:val="00216E2D"/>
    <w:rsid w:val="00216FAA"/>
    <w:rsid w:val="002171B6"/>
    <w:rsid w:val="00217617"/>
    <w:rsid w:val="00217BB0"/>
    <w:rsid w:val="00220F42"/>
    <w:rsid w:val="00221BC8"/>
    <w:rsid w:val="00223225"/>
    <w:rsid w:val="00223CAB"/>
    <w:rsid w:val="002241DF"/>
    <w:rsid w:val="00225A6F"/>
    <w:rsid w:val="00226514"/>
    <w:rsid w:val="0022656D"/>
    <w:rsid w:val="00227321"/>
    <w:rsid w:val="00227332"/>
    <w:rsid w:val="00227A05"/>
    <w:rsid w:val="00230B7D"/>
    <w:rsid w:val="00231478"/>
    <w:rsid w:val="00231899"/>
    <w:rsid w:val="00231B22"/>
    <w:rsid w:val="0023286E"/>
    <w:rsid w:val="0023294E"/>
    <w:rsid w:val="0023297D"/>
    <w:rsid w:val="00233954"/>
    <w:rsid w:val="0023420D"/>
    <w:rsid w:val="00234C51"/>
    <w:rsid w:val="00235DBC"/>
    <w:rsid w:val="00237366"/>
    <w:rsid w:val="002373D2"/>
    <w:rsid w:val="00237916"/>
    <w:rsid w:val="00237D43"/>
    <w:rsid w:val="0024139D"/>
    <w:rsid w:val="0024191E"/>
    <w:rsid w:val="00241B2B"/>
    <w:rsid w:val="002424F9"/>
    <w:rsid w:val="00242573"/>
    <w:rsid w:val="00243E79"/>
    <w:rsid w:val="00244AD8"/>
    <w:rsid w:val="00245203"/>
    <w:rsid w:val="00245565"/>
    <w:rsid w:val="0024655D"/>
    <w:rsid w:val="0024730D"/>
    <w:rsid w:val="0025077A"/>
    <w:rsid w:val="00252F38"/>
    <w:rsid w:val="0025527C"/>
    <w:rsid w:val="002556E0"/>
    <w:rsid w:val="00256ACB"/>
    <w:rsid w:val="0025727C"/>
    <w:rsid w:val="002572E1"/>
    <w:rsid w:val="00257522"/>
    <w:rsid w:val="00257A5A"/>
    <w:rsid w:val="00257C95"/>
    <w:rsid w:val="00260958"/>
    <w:rsid w:val="00261497"/>
    <w:rsid w:val="00261564"/>
    <w:rsid w:val="002615C7"/>
    <w:rsid w:val="00262BF8"/>
    <w:rsid w:val="00262C82"/>
    <w:rsid w:val="002659BD"/>
    <w:rsid w:val="0026710A"/>
    <w:rsid w:val="00267494"/>
    <w:rsid w:val="00270891"/>
    <w:rsid w:val="00270A38"/>
    <w:rsid w:val="00270C71"/>
    <w:rsid w:val="00271CF9"/>
    <w:rsid w:val="00271E67"/>
    <w:rsid w:val="0027352B"/>
    <w:rsid w:val="00275171"/>
    <w:rsid w:val="00275FEC"/>
    <w:rsid w:val="00275FED"/>
    <w:rsid w:val="00276222"/>
    <w:rsid w:val="00276638"/>
    <w:rsid w:val="00276FED"/>
    <w:rsid w:val="00277507"/>
    <w:rsid w:val="0027769C"/>
    <w:rsid w:val="00277710"/>
    <w:rsid w:val="00277DA0"/>
    <w:rsid w:val="0028057A"/>
    <w:rsid w:val="0028064F"/>
    <w:rsid w:val="0028139D"/>
    <w:rsid w:val="00281EE5"/>
    <w:rsid w:val="0028218B"/>
    <w:rsid w:val="00283981"/>
    <w:rsid w:val="00284710"/>
    <w:rsid w:val="00284948"/>
    <w:rsid w:val="002851EF"/>
    <w:rsid w:val="002854B1"/>
    <w:rsid w:val="002861A8"/>
    <w:rsid w:val="00286386"/>
    <w:rsid w:val="00286D4F"/>
    <w:rsid w:val="002876D1"/>
    <w:rsid w:val="002917B2"/>
    <w:rsid w:val="00291A6B"/>
    <w:rsid w:val="0029201C"/>
    <w:rsid w:val="00292578"/>
    <w:rsid w:val="00292E49"/>
    <w:rsid w:val="00292EDC"/>
    <w:rsid w:val="00293FEF"/>
    <w:rsid w:val="00294D1D"/>
    <w:rsid w:val="00294D7C"/>
    <w:rsid w:val="0029517D"/>
    <w:rsid w:val="0029533D"/>
    <w:rsid w:val="002955DD"/>
    <w:rsid w:val="00295961"/>
    <w:rsid w:val="00295D8E"/>
    <w:rsid w:val="00296615"/>
    <w:rsid w:val="00296F62"/>
    <w:rsid w:val="00297ADC"/>
    <w:rsid w:val="002A0289"/>
    <w:rsid w:val="002A09D5"/>
    <w:rsid w:val="002A0B13"/>
    <w:rsid w:val="002A2CCE"/>
    <w:rsid w:val="002A3505"/>
    <w:rsid w:val="002A353A"/>
    <w:rsid w:val="002A371E"/>
    <w:rsid w:val="002A5046"/>
    <w:rsid w:val="002A61E0"/>
    <w:rsid w:val="002A7377"/>
    <w:rsid w:val="002A784F"/>
    <w:rsid w:val="002B0F2A"/>
    <w:rsid w:val="002B180B"/>
    <w:rsid w:val="002B1F30"/>
    <w:rsid w:val="002B21E9"/>
    <w:rsid w:val="002B2E21"/>
    <w:rsid w:val="002B3E86"/>
    <w:rsid w:val="002B46A4"/>
    <w:rsid w:val="002B4B0A"/>
    <w:rsid w:val="002B59F3"/>
    <w:rsid w:val="002B62BE"/>
    <w:rsid w:val="002B703F"/>
    <w:rsid w:val="002B7D58"/>
    <w:rsid w:val="002C1A0C"/>
    <w:rsid w:val="002C35A1"/>
    <w:rsid w:val="002C416C"/>
    <w:rsid w:val="002C5F5B"/>
    <w:rsid w:val="002C6259"/>
    <w:rsid w:val="002C6BAF"/>
    <w:rsid w:val="002C6C66"/>
    <w:rsid w:val="002C6D4B"/>
    <w:rsid w:val="002C777D"/>
    <w:rsid w:val="002C77A5"/>
    <w:rsid w:val="002D0C5B"/>
    <w:rsid w:val="002D272D"/>
    <w:rsid w:val="002D363F"/>
    <w:rsid w:val="002D40B1"/>
    <w:rsid w:val="002D45CD"/>
    <w:rsid w:val="002D5411"/>
    <w:rsid w:val="002D6AC1"/>
    <w:rsid w:val="002D72B6"/>
    <w:rsid w:val="002D75F9"/>
    <w:rsid w:val="002E07AC"/>
    <w:rsid w:val="002E3069"/>
    <w:rsid w:val="002E3502"/>
    <w:rsid w:val="002E37A2"/>
    <w:rsid w:val="002E3ADB"/>
    <w:rsid w:val="002E48B7"/>
    <w:rsid w:val="002E53C5"/>
    <w:rsid w:val="002E6AA1"/>
    <w:rsid w:val="002E6CD3"/>
    <w:rsid w:val="002E7695"/>
    <w:rsid w:val="002E7A41"/>
    <w:rsid w:val="002E7BB3"/>
    <w:rsid w:val="002F018F"/>
    <w:rsid w:val="002F1D47"/>
    <w:rsid w:val="002F20F1"/>
    <w:rsid w:val="002F242C"/>
    <w:rsid w:val="002F276C"/>
    <w:rsid w:val="002F297A"/>
    <w:rsid w:val="002F2EAE"/>
    <w:rsid w:val="002F3798"/>
    <w:rsid w:val="002F3BC2"/>
    <w:rsid w:val="002F4F33"/>
    <w:rsid w:val="002F5219"/>
    <w:rsid w:val="002F5303"/>
    <w:rsid w:val="002F57C6"/>
    <w:rsid w:val="002F5F50"/>
    <w:rsid w:val="002F652F"/>
    <w:rsid w:val="002F745E"/>
    <w:rsid w:val="003010B3"/>
    <w:rsid w:val="00301491"/>
    <w:rsid w:val="003014BA"/>
    <w:rsid w:val="0030305A"/>
    <w:rsid w:val="003036DC"/>
    <w:rsid w:val="0030413B"/>
    <w:rsid w:val="00305D41"/>
    <w:rsid w:val="003065F6"/>
    <w:rsid w:val="00307A69"/>
    <w:rsid w:val="0031006A"/>
    <w:rsid w:val="0031096B"/>
    <w:rsid w:val="00310D11"/>
    <w:rsid w:val="00311022"/>
    <w:rsid w:val="003127F0"/>
    <w:rsid w:val="00312E4A"/>
    <w:rsid w:val="00314BA9"/>
    <w:rsid w:val="0031546F"/>
    <w:rsid w:val="00315588"/>
    <w:rsid w:val="00316B0D"/>
    <w:rsid w:val="0031783A"/>
    <w:rsid w:val="00317E48"/>
    <w:rsid w:val="00317F46"/>
    <w:rsid w:val="00321F24"/>
    <w:rsid w:val="003226B1"/>
    <w:rsid w:val="0032296D"/>
    <w:rsid w:val="003233ED"/>
    <w:rsid w:val="00324397"/>
    <w:rsid w:val="00325185"/>
    <w:rsid w:val="0032590E"/>
    <w:rsid w:val="00325FD7"/>
    <w:rsid w:val="003263F0"/>
    <w:rsid w:val="0032725B"/>
    <w:rsid w:val="003274B3"/>
    <w:rsid w:val="00327605"/>
    <w:rsid w:val="00327637"/>
    <w:rsid w:val="0032768A"/>
    <w:rsid w:val="003279E5"/>
    <w:rsid w:val="003300DB"/>
    <w:rsid w:val="0033088D"/>
    <w:rsid w:val="00331C38"/>
    <w:rsid w:val="003326DF"/>
    <w:rsid w:val="0033305C"/>
    <w:rsid w:val="003338B7"/>
    <w:rsid w:val="00333C98"/>
    <w:rsid w:val="0033466E"/>
    <w:rsid w:val="00335425"/>
    <w:rsid w:val="00335E27"/>
    <w:rsid w:val="00341816"/>
    <w:rsid w:val="003429D8"/>
    <w:rsid w:val="00342D95"/>
    <w:rsid w:val="0034319B"/>
    <w:rsid w:val="003437B2"/>
    <w:rsid w:val="00343D35"/>
    <w:rsid w:val="003455A0"/>
    <w:rsid w:val="00345698"/>
    <w:rsid w:val="00345A5D"/>
    <w:rsid w:val="0034609D"/>
    <w:rsid w:val="0034695B"/>
    <w:rsid w:val="003500C6"/>
    <w:rsid w:val="00351B64"/>
    <w:rsid w:val="00353454"/>
    <w:rsid w:val="0035454E"/>
    <w:rsid w:val="00354950"/>
    <w:rsid w:val="00355069"/>
    <w:rsid w:val="00356148"/>
    <w:rsid w:val="0035781D"/>
    <w:rsid w:val="00357922"/>
    <w:rsid w:val="00357B98"/>
    <w:rsid w:val="0036049E"/>
    <w:rsid w:val="003604D6"/>
    <w:rsid w:val="00360DC5"/>
    <w:rsid w:val="003610C7"/>
    <w:rsid w:val="0036182B"/>
    <w:rsid w:val="0036261D"/>
    <w:rsid w:val="00363181"/>
    <w:rsid w:val="00363538"/>
    <w:rsid w:val="003636DD"/>
    <w:rsid w:val="00363AE5"/>
    <w:rsid w:val="00365FFC"/>
    <w:rsid w:val="00366210"/>
    <w:rsid w:val="0036634E"/>
    <w:rsid w:val="00366C0A"/>
    <w:rsid w:val="00366E5A"/>
    <w:rsid w:val="00366FA6"/>
    <w:rsid w:val="00370149"/>
    <w:rsid w:val="003708F3"/>
    <w:rsid w:val="00371920"/>
    <w:rsid w:val="00372124"/>
    <w:rsid w:val="003722FA"/>
    <w:rsid w:val="0037257E"/>
    <w:rsid w:val="00372B08"/>
    <w:rsid w:val="00372EE3"/>
    <w:rsid w:val="00373DE1"/>
    <w:rsid w:val="00374E81"/>
    <w:rsid w:val="00375133"/>
    <w:rsid w:val="00375B67"/>
    <w:rsid w:val="0037644B"/>
    <w:rsid w:val="00380DCE"/>
    <w:rsid w:val="003817E6"/>
    <w:rsid w:val="0038463E"/>
    <w:rsid w:val="003848EF"/>
    <w:rsid w:val="00384BA3"/>
    <w:rsid w:val="00385B65"/>
    <w:rsid w:val="003863C0"/>
    <w:rsid w:val="003865D8"/>
    <w:rsid w:val="00390491"/>
    <w:rsid w:val="00390801"/>
    <w:rsid w:val="00391517"/>
    <w:rsid w:val="00391929"/>
    <w:rsid w:val="00391A67"/>
    <w:rsid w:val="00391F2F"/>
    <w:rsid w:val="00392B17"/>
    <w:rsid w:val="0039315D"/>
    <w:rsid w:val="003938E0"/>
    <w:rsid w:val="00393C44"/>
    <w:rsid w:val="00393FBE"/>
    <w:rsid w:val="003944BA"/>
    <w:rsid w:val="003953D4"/>
    <w:rsid w:val="003965D6"/>
    <w:rsid w:val="00396A28"/>
    <w:rsid w:val="00397B72"/>
    <w:rsid w:val="003A001A"/>
    <w:rsid w:val="003A11A3"/>
    <w:rsid w:val="003A1429"/>
    <w:rsid w:val="003A1A93"/>
    <w:rsid w:val="003A3559"/>
    <w:rsid w:val="003A3DA4"/>
    <w:rsid w:val="003A3E57"/>
    <w:rsid w:val="003A4232"/>
    <w:rsid w:val="003A6CF8"/>
    <w:rsid w:val="003A7E73"/>
    <w:rsid w:val="003B0B8A"/>
    <w:rsid w:val="003B0FD5"/>
    <w:rsid w:val="003B10E6"/>
    <w:rsid w:val="003B15C0"/>
    <w:rsid w:val="003B18A5"/>
    <w:rsid w:val="003B1A6F"/>
    <w:rsid w:val="003B2708"/>
    <w:rsid w:val="003B4FBC"/>
    <w:rsid w:val="003B577E"/>
    <w:rsid w:val="003B6E77"/>
    <w:rsid w:val="003B7C69"/>
    <w:rsid w:val="003C005D"/>
    <w:rsid w:val="003C127D"/>
    <w:rsid w:val="003C39F7"/>
    <w:rsid w:val="003C5467"/>
    <w:rsid w:val="003C672A"/>
    <w:rsid w:val="003C67D1"/>
    <w:rsid w:val="003C6961"/>
    <w:rsid w:val="003C7148"/>
    <w:rsid w:val="003C73F3"/>
    <w:rsid w:val="003C7683"/>
    <w:rsid w:val="003C7CEC"/>
    <w:rsid w:val="003D1124"/>
    <w:rsid w:val="003D21A3"/>
    <w:rsid w:val="003D3110"/>
    <w:rsid w:val="003D4754"/>
    <w:rsid w:val="003D5473"/>
    <w:rsid w:val="003D5D1D"/>
    <w:rsid w:val="003E021E"/>
    <w:rsid w:val="003E02A2"/>
    <w:rsid w:val="003E04CA"/>
    <w:rsid w:val="003E074F"/>
    <w:rsid w:val="003E11CE"/>
    <w:rsid w:val="003E161B"/>
    <w:rsid w:val="003E3E09"/>
    <w:rsid w:val="003E4961"/>
    <w:rsid w:val="003E52CB"/>
    <w:rsid w:val="003E5C9B"/>
    <w:rsid w:val="003E5D64"/>
    <w:rsid w:val="003E6166"/>
    <w:rsid w:val="003E67F0"/>
    <w:rsid w:val="003E68B0"/>
    <w:rsid w:val="003E6A42"/>
    <w:rsid w:val="003E6B8B"/>
    <w:rsid w:val="003E72EA"/>
    <w:rsid w:val="003E79D6"/>
    <w:rsid w:val="003F017E"/>
    <w:rsid w:val="003F0372"/>
    <w:rsid w:val="003F1118"/>
    <w:rsid w:val="003F17BC"/>
    <w:rsid w:val="003F1A1E"/>
    <w:rsid w:val="003F20C4"/>
    <w:rsid w:val="003F2A02"/>
    <w:rsid w:val="003F3B5B"/>
    <w:rsid w:val="003F3B7E"/>
    <w:rsid w:val="003F4FE7"/>
    <w:rsid w:val="003F513E"/>
    <w:rsid w:val="003F53C1"/>
    <w:rsid w:val="003F5B9A"/>
    <w:rsid w:val="003F7E70"/>
    <w:rsid w:val="004004C9"/>
    <w:rsid w:val="00400543"/>
    <w:rsid w:val="00400597"/>
    <w:rsid w:val="00401923"/>
    <w:rsid w:val="00401EFF"/>
    <w:rsid w:val="00401FD4"/>
    <w:rsid w:val="00402190"/>
    <w:rsid w:val="0040252A"/>
    <w:rsid w:val="00402C44"/>
    <w:rsid w:val="00404437"/>
    <w:rsid w:val="00404AEA"/>
    <w:rsid w:val="00404B3B"/>
    <w:rsid w:val="00406F7F"/>
    <w:rsid w:val="004071FA"/>
    <w:rsid w:val="00407982"/>
    <w:rsid w:val="0041065C"/>
    <w:rsid w:val="0041164B"/>
    <w:rsid w:val="0041275E"/>
    <w:rsid w:val="00412CD5"/>
    <w:rsid w:val="004130F9"/>
    <w:rsid w:val="00414B0B"/>
    <w:rsid w:val="00415CF1"/>
    <w:rsid w:val="004169BA"/>
    <w:rsid w:val="0042184C"/>
    <w:rsid w:val="00421FAF"/>
    <w:rsid w:val="004221EB"/>
    <w:rsid w:val="00423E92"/>
    <w:rsid w:val="00426BD9"/>
    <w:rsid w:val="00427320"/>
    <w:rsid w:val="0043024C"/>
    <w:rsid w:val="00430ADD"/>
    <w:rsid w:val="004315F4"/>
    <w:rsid w:val="00432B41"/>
    <w:rsid w:val="00432CFE"/>
    <w:rsid w:val="0043421A"/>
    <w:rsid w:val="004349E1"/>
    <w:rsid w:val="00434D2B"/>
    <w:rsid w:val="004353B6"/>
    <w:rsid w:val="004354C1"/>
    <w:rsid w:val="00435A69"/>
    <w:rsid w:val="004366AE"/>
    <w:rsid w:val="00436723"/>
    <w:rsid w:val="004409A8"/>
    <w:rsid w:val="0044113B"/>
    <w:rsid w:val="00441A0C"/>
    <w:rsid w:val="0044371A"/>
    <w:rsid w:val="00443927"/>
    <w:rsid w:val="0044576C"/>
    <w:rsid w:val="00445E9B"/>
    <w:rsid w:val="0045360E"/>
    <w:rsid w:val="00453C2A"/>
    <w:rsid w:val="00454393"/>
    <w:rsid w:val="00454696"/>
    <w:rsid w:val="00454C85"/>
    <w:rsid w:val="00455AF9"/>
    <w:rsid w:val="004566CB"/>
    <w:rsid w:val="0045763D"/>
    <w:rsid w:val="00460300"/>
    <w:rsid w:val="00460B3A"/>
    <w:rsid w:val="004616FF"/>
    <w:rsid w:val="0046315F"/>
    <w:rsid w:val="00464244"/>
    <w:rsid w:val="00464F85"/>
    <w:rsid w:val="004656E2"/>
    <w:rsid w:val="0047068D"/>
    <w:rsid w:val="004706DE"/>
    <w:rsid w:val="004736A2"/>
    <w:rsid w:val="00475285"/>
    <w:rsid w:val="004759ED"/>
    <w:rsid w:val="004761F6"/>
    <w:rsid w:val="0047690F"/>
    <w:rsid w:val="00476D8F"/>
    <w:rsid w:val="00477D66"/>
    <w:rsid w:val="0048094A"/>
    <w:rsid w:val="004849D9"/>
    <w:rsid w:val="00485C43"/>
    <w:rsid w:val="00487BC9"/>
    <w:rsid w:val="004901E0"/>
    <w:rsid w:val="00491328"/>
    <w:rsid w:val="004932D2"/>
    <w:rsid w:val="00494DCD"/>
    <w:rsid w:val="0049529F"/>
    <w:rsid w:val="004957BB"/>
    <w:rsid w:val="004957C1"/>
    <w:rsid w:val="004961AB"/>
    <w:rsid w:val="0049674D"/>
    <w:rsid w:val="00496981"/>
    <w:rsid w:val="00497D9B"/>
    <w:rsid w:val="004A108C"/>
    <w:rsid w:val="004A1419"/>
    <w:rsid w:val="004A17C8"/>
    <w:rsid w:val="004A269D"/>
    <w:rsid w:val="004A421F"/>
    <w:rsid w:val="004A4775"/>
    <w:rsid w:val="004A5CAB"/>
    <w:rsid w:val="004A685B"/>
    <w:rsid w:val="004A7D13"/>
    <w:rsid w:val="004B1C0F"/>
    <w:rsid w:val="004B2CB0"/>
    <w:rsid w:val="004B2D79"/>
    <w:rsid w:val="004B4F82"/>
    <w:rsid w:val="004B6C72"/>
    <w:rsid w:val="004B78ED"/>
    <w:rsid w:val="004B7B8B"/>
    <w:rsid w:val="004C112D"/>
    <w:rsid w:val="004C2D79"/>
    <w:rsid w:val="004C4608"/>
    <w:rsid w:val="004C549A"/>
    <w:rsid w:val="004C5B2F"/>
    <w:rsid w:val="004C5BE7"/>
    <w:rsid w:val="004C604A"/>
    <w:rsid w:val="004C634F"/>
    <w:rsid w:val="004C6518"/>
    <w:rsid w:val="004C704F"/>
    <w:rsid w:val="004C75EE"/>
    <w:rsid w:val="004D0ACD"/>
    <w:rsid w:val="004D24EB"/>
    <w:rsid w:val="004D283F"/>
    <w:rsid w:val="004D2E59"/>
    <w:rsid w:val="004D3983"/>
    <w:rsid w:val="004D3A28"/>
    <w:rsid w:val="004D3DE9"/>
    <w:rsid w:val="004D4FAA"/>
    <w:rsid w:val="004D601E"/>
    <w:rsid w:val="004D6C45"/>
    <w:rsid w:val="004D7D3C"/>
    <w:rsid w:val="004D7D8B"/>
    <w:rsid w:val="004E032B"/>
    <w:rsid w:val="004E1B99"/>
    <w:rsid w:val="004E2AD0"/>
    <w:rsid w:val="004E342D"/>
    <w:rsid w:val="004E3EB6"/>
    <w:rsid w:val="004E461E"/>
    <w:rsid w:val="004E4F84"/>
    <w:rsid w:val="004E5E11"/>
    <w:rsid w:val="004E67BE"/>
    <w:rsid w:val="004E67CF"/>
    <w:rsid w:val="004F0D1C"/>
    <w:rsid w:val="004F1937"/>
    <w:rsid w:val="004F2B47"/>
    <w:rsid w:val="004F2E9E"/>
    <w:rsid w:val="004F352B"/>
    <w:rsid w:val="004F3796"/>
    <w:rsid w:val="004F3CD7"/>
    <w:rsid w:val="004F403C"/>
    <w:rsid w:val="004F461F"/>
    <w:rsid w:val="004F477E"/>
    <w:rsid w:val="004F5966"/>
    <w:rsid w:val="004F73E8"/>
    <w:rsid w:val="00500D86"/>
    <w:rsid w:val="00501E21"/>
    <w:rsid w:val="00502116"/>
    <w:rsid w:val="00504595"/>
    <w:rsid w:val="00504FF1"/>
    <w:rsid w:val="00506DE1"/>
    <w:rsid w:val="005070D4"/>
    <w:rsid w:val="005105D3"/>
    <w:rsid w:val="005109D1"/>
    <w:rsid w:val="00511EB3"/>
    <w:rsid w:val="00512E6D"/>
    <w:rsid w:val="005144FC"/>
    <w:rsid w:val="0051460F"/>
    <w:rsid w:val="00514E3E"/>
    <w:rsid w:val="00514FB3"/>
    <w:rsid w:val="005150F9"/>
    <w:rsid w:val="00516CBF"/>
    <w:rsid w:val="005175A6"/>
    <w:rsid w:val="00517B95"/>
    <w:rsid w:val="005201BC"/>
    <w:rsid w:val="00520A9C"/>
    <w:rsid w:val="005214D0"/>
    <w:rsid w:val="00522286"/>
    <w:rsid w:val="00522A25"/>
    <w:rsid w:val="005235C8"/>
    <w:rsid w:val="005236B8"/>
    <w:rsid w:val="00523958"/>
    <w:rsid w:val="0052568C"/>
    <w:rsid w:val="00526000"/>
    <w:rsid w:val="00526826"/>
    <w:rsid w:val="00526985"/>
    <w:rsid w:val="005269B9"/>
    <w:rsid w:val="00527301"/>
    <w:rsid w:val="0052784F"/>
    <w:rsid w:val="00531359"/>
    <w:rsid w:val="005314D0"/>
    <w:rsid w:val="0053264D"/>
    <w:rsid w:val="00533BFB"/>
    <w:rsid w:val="00534D03"/>
    <w:rsid w:val="00534D0D"/>
    <w:rsid w:val="005400C8"/>
    <w:rsid w:val="00540C09"/>
    <w:rsid w:val="005420CE"/>
    <w:rsid w:val="0054212A"/>
    <w:rsid w:val="00543E44"/>
    <w:rsid w:val="00543FDE"/>
    <w:rsid w:val="00544CF9"/>
    <w:rsid w:val="00545647"/>
    <w:rsid w:val="00546097"/>
    <w:rsid w:val="00546762"/>
    <w:rsid w:val="00546B85"/>
    <w:rsid w:val="005516F7"/>
    <w:rsid w:val="005518B0"/>
    <w:rsid w:val="00551EA2"/>
    <w:rsid w:val="00552CEA"/>
    <w:rsid w:val="00553D63"/>
    <w:rsid w:val="005540CF"/>
    <w:rsid w:val="005547C0"/>
    <w:rsid w:val="00557836"/>
    <w:rsid w:val="00560CC5"/>
    <w:rsid w:val="00561516"/>
    <w:rsid w:val="00561768"/>
    <w:rsid w:val="00561D00"/>
    <w:rsid w:val="005634A0"/>
    <w:rsid w:val="0056391F"/>
    <w:rsid w:val="00563D28"/>
    <w:rsid w:val="00565555"/>
    <w:rsid w:val="00566669"/>
    <w:rsid w:val="005672D0"/>
    <w:rsid w:val="005677C8"/>
    <w:rsid w:val="00567955"/>
    <w:rsid w:val="00567F44"/>
    <w:rsid w:val="00570844"/>
    <w:rsid w:val="005721EC"/>
    <w:rsid w:val="00573120"/>
    <w:rsid w:val="005736CE"/>
    <w:rsid w:val="005743E2"/>
    <w:rsid w:val="0057476A"/>
    <w:rsid w:val="00574F28"/>
    <w:rsid w:val="00575ACE"/>
    <w:rsid w:val="00577164"/>
    <w:rsid w:val="00580E44"/>
    <w:rsid w:val="0058135F"/>
    <w:rsid w:val="00581D74"/>
    <w:rsid w:val="005833D8"/>
    <w:rsid w:val="00584E61"/>
    <w:rsid w:val="005855A8"/>
    <w:rsid w:val="005864E8"/>
    <w:rsid w:val="005869CF"/>
    <w:rsid w:val="00587149"/>
    <w:rsid w:val="0058793B"/>
    <w:rsid w:val="005911F5"/>
    <w:rsid w:val="00592B72"/>
    <w:rsid w:val="00592D37"/>
    <w:rsid w:val="00595A0E"/>
    <w:rsid w:val="00595E11"/>
    <w:rsid w:val="005960B9"/>
    <w:rsid w:val="00597610"/>
    <w:rsid w:val="005976A7"/>
    <w:rsid w:val="005A037E"/>
    <w:rsid w:val="005A0DE7"/>
    <w:rsid w:val="005A155B"/>
    <w:rsid w:val="005A18D7"/>
    <w:rsid w:val="005A1A3E"/>
    <w:rsid w:val="005A220B"/>
    <w:rsid w:val="005A2568"/>
    <w:rsid w:val="005A2DD3"/>
    <w:rsid w:val="005A3338"/>
    <w:rsid w:val="005A3519"/>
    <w:rsid w:val="005A5254"/>
    <w:rsid w:val="005A682F"/>
    <w:rsid w:val="005A6A7B"/>
    <w:rsid w:val="005A71A5"/>
    <w:rsid w:val="005A78EA"/>
    <w:rsid w:val="005A7B5E"/>
    <w:rsid w:val="005B1A2F"/>
    <w:rsid w:val="005B20F3"/>
    <w:rsid w:val="005B241C"/>
    <w:rsid w:val="005B27D0"/>
    <w:rsid w:val="005B31B7"/>
    <w:rsid w:val="005B370B"/>
    <w:rsid w:val="005B3E09"/>
    <w:rsid w:val="005B55E9"/>
    <w:rsid w:val="005B5A12"/>
    <w:rsid w:val="005B7526"/>
    <w:rsid w:val="005B77A1"/>
    <w:rsid w:val="005B78B4"/>
    <w:rsid w:val="005C13A2"/>
    <w:rsid w:val="005C158D"/>
    <w:rsid w:val="005C1DAB"/>
    <w:rsid w:val="005C2E40"/>
    <w:rsid w:val="005C4CFB"/>
    <w:rsid w:val="005C57E9"/>
    <w:rsid w:val="005C5B9E"/>
    <w:rsid w:val="005C6292"/>
    <w:rsid w:val="005C6339"/>
    <w:rsid w:val="005C68FE"/>
    <w:rsid w:val="005C73A3"/>
    <w:rsid w:val="005C7655"/>
    <w:rsid w:val="005C788F"/>
    <w:rsid w:val="005C7B15"/>
    <w:rsid w:val="005C7C79"/>
    <w:rsid w:val="005D15F7"/>
    <w:rsid w:val="005D2D7A"/>
    <w:rsid w:val="005D3269"/>
    <w:rsid w:val="005D3CB2"/>
    <w:rsid w:val="005D57A4"/>
    <w:rsid w:val="005D668A"/>
    <w:rsid w:val="005D7841"/>
    <w:rsid w:val="005D78E4"/>
    <w:rsid w:val="005E089C"/>
    <w:rsid w:val="005E0E96"/>
    <w:rsid w:val="005E0F84"/>
    <w:rsid w:val="005E1ABC"/>
    <w:rsid w:val="005E210B"/>
    <w:rsid w:val="005E2A4C"/>
    <w:rsid w:val="005E2FF0"/>
    <w:rsid w:val="005E386E"/>
    <w:rsid w:val="005E423F"/>
    <w:rsid w:val="005E526A"/>
    <w:rsid w:val="005E6A90"/>
    <w:rsid w:val="005E6EB6"/>
    <w:rsid w:val="005E77F0"/>
    <w:rsid w:val="005F03B7"/>
    <w:rsid w:val="005F1B3D"/>
    <w:rsid w:val="005F2772"/>
    <w:rsid w:val="005F2B17"/>
    <w:rsid w:val="005F2CE7"/>
    <w:rsid w:val="005F3912"/>
    <w:rsid w:val="005F3D48"/>
    <w:rsid w:val="005F5148"/>
    <w:rsid w:val="005F5168"/>
    <w:rsid w:val="005F5DA8"/>
    <w:rsid w:val="005F64DE"/>
    <w:rsid w:val="005F6C25"/>
    <w:rsid w:val="005F79CC"/>
    <w:rsid w:val="005F7A39"/>
    <w:rsid w:val="006010FD"/>
    <w:rsid w:val="006016F5"/>
    <w:rsid w:val="00603603"/>
    <w:rsid w:val="00603AD5"/>
    <w:rsid w:val="00603FC1"/>
    <w:rsid w:val="006045B6"/>
    <w:rsid w:val="0060560C"/>
    <w:rsid w:val="006056F9"/>
    <w:rsid w:val="00605DE6"/>
    <w:rsid w:val="006074DF"/>
    <w:rsid w:val="0061046B"/>
    <w:rsid w:val="00611AB5"/>
    <w:rsid w:val="0061381E"/>
    <w:rsid w:val="00613930"/>
    <w:rsid w:val="006140B8"/>
    <w:rsid w:val="00614722"/>
    <w:rsid w:val="0061530F"/>
    <w:rsid w:val="006159CC"/>
    <w:rsid w:val="006161E8"/>
    <w:rsid w:val="00616510"/>
    <w:rsid w:val="006166ED"/>
    <w:rsid w:val="006173D0"/>
    <w:rsid w:val="00620079"/>
    <w:rsid w:val="006201D7"/>
    <w:rsid w:val="00620D71"/>
    <w:rsid w:val="0062194F"/>
    <w:rsid w:val="00621AF8"/>
    <w:rsid w:val="00622245"/>
    <w:rsid w:val="00622A23"/>
    <w:rsid w:val="00622F91"/>
    <w:rsid w:val="00623223"/>
    <w:rsid w:val="00624BB4"/>
    <w:rsid w:val="0062522B"/>
    <w:rsid w:val="00625C3B"/>
    <w:rsid w:val="00625F3C"/>
    <w:rsid w:val="00626CA4"/>
    <w:rsid w:val="006272FB"/>
    <w:rsid w:val="00630ACC"/>
    <w:rsid w:val="00631FC2"/>
    <w:rsid w:val="00632156"/>
    <w:rsid w:val="00632C55"/>
    <w:rsid w:val="00633A7E"/>
    <w:rsid w:val="006353EE"/>
    <w:rsid w:val="00635747"/>
    <w:rsid w:val="00635B4E"/>
    <w:rsid w:val="00635CD8"/>
    <w:rsid w:val="00636740"/>
    <w:rsid w:val="0063690D"/>
    <w:rsid w:val="00637241"/>
    <w:rsid w:val="00637C08"/>
    <w:rsid w:val="00637D72"/>
    <w:rsid w:val="006404FD"/>
    <w:rsid w:val="00642530"/>
    <w:rsid w:val="0064266E"/>
    <w:rsid w:val="00642695"/>
    <w:rsid w:val="006427AA"/>
    <w:rsid w:val="006429D7"/>
    <w:rsid w:val="00642CB1"/>
    <w:rsid w:val="00643E95"/>
    <w:rsid w:val="00645731"/>
    <w:rsid w:val="006458C2"/>
    <w:rsid w:val="0064590E"/>
    <w:rsid w:val="00646302"/>
    <w:rsid w:val="00647240"/>
    <w:rsid w:val="00647647"/>
    <w:rsid w:val="00647693"/>
    <w:rsid w:val="00647C98"/>
    <w:rsid w:val="00650F3E"/>
    <w:rsid w:val="00651B35"/>
    <w:rsid w:val="00651F89"/>
    <w:rsid w:val="00652684"/>
    <w:rsid w:val="00652C47"/>
    <w:rsid w:val="0065430F"/>
    <w:rsid w:val="0065446D"/>
    <w:rsid w:val="0065493F"/>
    <w:rsid w:val="00654BA4"/>
    <w:rsid w:val="006564E9"/>
    <w:rsid w:val="0065750B"/>
    <w:rsid w:val="00657D2D"/>
    <w:rsid w:val="00657FA1"/>
    <w:rsid w:val="006601F6"/>
    <w:rsid w:val="006606B6"/>
    <w:rsid w:val="00661153"/>
    <w:rsid w:val="00661B2F"/>
    <w:rsid w:val="006627E3"/>
    <w:rsid w:val="00662A66"/>
    <w:rsid w:val="00662DD6"/>
    <w:rsid w:val="00663398"/>
    <w:rsid w:val="006635FA"/>
    <w:rsid w:val="00663EAD"/>
    <w:rsid w:val="00664D3D"/>
    <w:rsid w:val="00664D8E"/>
    <w:rsid w:val="00664FC7"/>
    <w:rsid w:val="006651F4"/>
    <w:rsid w:val="0066750F"/>
    <w:rsid w:val="00667F24"/>
    <w:rsid w:val="00670324"/>
    <w:rsid w:val="006719C9"/>
    <w:rsid w:val="00671B56"/>
    <w:rsid w:val="006739FD"/>
    <w:rsid w:val="006742FB"/>
    <w:rsid w:val="00674DA7"/>
    <w:rsid w:val="00674DF5"/>
    <w:rsid w:val="0067584C"/>
    <w:rsid w:val="006759AD"/>
    <w:rsid w:val="00675B34"/>
    <w:rsid w:val="00675C48"/>
    <w:rsid w:val="00676630"/>
    <w:rsid w:val="006774FF"/>
    <w:rsid w:val="006775CD"/>
    <w:rsid w:val="006800CF"/>
    <w:rsid w:val="00682914"/>
    <w:rsid w:val="006831C4"/>
    <w:rsid w:val="006855F0"/>
    <w:rsid w:val="00685A7F"/>
    <w:rsid w:val="00685A91"/>
    <w:rsid w:val="00685BF1"/>
    <w:rsid w:val="00687030"/>
    <w:rsid w:val="006874B5"/>
    <w:rsid w:val="00687D9E"/>
    <w:rsid w:val="00690053"/>
    <w:rsid w:val="00690237"/>
    <w:rsid w:val="00691AD6"/>
    <w:rsid w:val="0069286C"/>
    <w:rsid w:val="006929A3"/>
    <w:rsid w:val="00692C46"/>
    <w:rsid w:val="00695BBA"/>
    <w:rsid w:val="00696C4D"/>
    <w:rsid w:val="00696DB1"/>
    <w:rsid w:val="00697CD9"/>
    <w:rsid w:val="006A0F1D"/>
    <w:rsid w:val="006A0FFC"/>
    <w:rsid w:val="006A131D"/>
    <w:rsid w:val="006A1AD2"/>
    <w:rsid w:val="006A2795"/>
    <w:rsid w:val="006A2FBD"/>
    <w:rsid w:val="006A52B6"/>
    <w:rsid w:val="006A5A2C"/>
    <w:rsid w:val="006A6A0B"/>
    <w:rsid w:val="006A6D19"/>
    <w:rsid w:val="006A7304"/>
    <w:rsid w:val="006B089B"/>
    <w:rsid w:val="006B0BA3"/>
    <w:rsid w:val="006B1BEA"/>
    <w:rsid w:val="006B1DEA"/>
    <w:rsid w:val="006B2D03"/>
    <w:rsid w:val="006B3301"/>
    <w:rsid w:val="006B3355"/>
    <w:rsid w:val="006B367A"/>
    <w:rsid w:val="006B47AF"/>
    <w:rsid w:val="006B4812"/>
    <w:rsid w:val="006B4A18"/>
    <w:rsid w:val="006B56FC"/>
    <w:rsid w:val="006B67EC"/>
    <w:rsid w:val="006B6CF0"/>
    <w:rsid w:val="006B7A5B"/>
    <w:rsid w:val="006C0869"/>
    <w:rsid w:val="006C10C8"/>
    <w:rsid w:val="006C110F"/>
    <w:rsid w:val="006C2243"/>
    <w:rsid w:val="006C29A1"/>
    <w:rsid w:val="006C3242"/>
    <w:rsid w:val="006C3600"/>
    <w:rsid w:val="006C59B8"/>
    <w:rsid w:val="006C6111"/>
    <w:rsid w:val="006C61BD"/>
    <w:rsid w:val="006C64E5"/>
    <w:rsid w:val="006C7B63"/>
    <w:rsid w:val="006C7E89"/>
    <w:rsid w:val="006C7FC3"/>
    <w:rsid w:val="006D0974"/>
    <w:rsid w:val="006D0B57"/>
    <w:rsid w:val="006D0E8A"/>
    <w:rsid w:val="006D1800"/>
    <w:rsid w:val="006D35CF"/>
    <w:rsid w:val="006D37D4"/>
    <w:rsid w:val="006D5585"/>
    <w:rsid w:val="006D5EB1"/>
    <w:rsid w:val="006D627C"/>
    <w:rsid w:val="006D675A"/>
    <w:rsid w:val="006D73EF"/>
    <w:rsid w:val="006D7912"/>
    <w:rsid w:val="006D7EA4"/>
    <w:rsid w:val="006E086B"/>
    <w:rsid w:val="006E1945"/>
    <w:rsid w:val="006E1B83"/>
    <w:rsid w:val="006E350F"/>
    <w:rsid w:val="006E35AA"/>
    <w:rsid w:val="006E3D52"/>
    <w:rsid w:val="006E4E28"/>
    <w:rsid w:val="006E5934"/>
    <w:rsid w:val="006E5B85"/>
    <w:rsid w:val="006E60D9"/>
    <w:rsid w:val="006E69B2"/>
    <w:rsid w:val="006E6C14"/>
    <w:rsid w:val="006E73BE"/>
    <w:rsid w:val="006F13DB"/>
    <w:rsid w:val="006F1ACD"/>
    <w:rsid w:val="006F1EB5"/>
    <w:rsid w:val="006F24D7"/>
    <w:rsid w:val="006F2774"/>
    <w:rsid w:val="006F32D2"/>
    <w:rsid w:val="006F34B0"/>
    <w:rsid w:val="006F3686"/>
    <w:rsid w:val="006F3BDA"/>
    <w:rsid w:val="006F4BEA"/>
    <w:rsid w:val="006F4E0C"/>
    <w:rsid w:val="006F4EC7"/>
    <w:rsid w:val="006F5105"/>
    <w:rsid w:val="006F5287"/>
    <w:rsid w:val="006F5796"/>
    <w:rsid w:val="006F6D1D"/>
    <w:rsid w:val="00700B93"/>
    <w:rsid w:val="0070136C"/>
    <w:rsid w:val="0070165C"/>
    <w:rsid w:val="0070299D"/>
    <w:rsid w:val="00702A69"/>
    <w:rsid w:val="0070441A"/>
    <w:rsid w:val="00704903"/>
    <w:rsid w:val="00706058"/>
    <w:rsid w:val="0070605B"/>
    <w:rsid w:val="00707665"/>
    <w:rsid w:val="007117F5"/>
    <w:rsid w:val="00711CCA"/>
    <w:rsid w:val="00713021"/>
    <w:rsid w:val="00713B08"/>
    <w:rsid w:val="00714156"/>
    <w:rsid w:val="0071422E"/>
    <w:rsid w:val="00714E79"/>
    <w:rsid w:val="007152FA"/>
    <w:rsid w:val="00715E84"/>
    <w:rsid w:val="00716A5F"/>
    <w:rsid w:val="0071766A"/>
    <w:rsid w:val="00717924"/>
    <w:rsid w:val="00717B16"/>
    <w:rsid w:val="00717B6F"/>
    <w:rsid w:val="00721386"/>
    <w:rsid w:val="00721A09"/>
    <w:rsid w:val="00723427"/>
    <w:rsid w:val="007239F8"/>
    <w:rsid w:val="00724367"/>
    <w:rsid w:val="00724B86"/>
    <w:rsid w:val="00725A42"/>
    <w:rsid w:val="00726DEF"/>
    <w:rsid w:val="007304AE"/>
    <w:rsid w:val="00730E8B"/>
    <w:rsid w:val="00731BC2"/>
    <w:rsid w:val="007320E9"/>
    <w:rsid w:val="00732133"/>
    <w:rsid w:val="0073276E"/>
    <w:rsid w:val="00733EA2"/>
    <w:rsid w:val="007347B6"/>
    <w:rsid w:val="00734C28"/>
    <w:rsid w:val="00734E60"/>
    <w:rsid w:val="00734EDF"/>
    <w:rsid w:val="00734F78"/>
    <w:rsid w:val="00736756"/>
    <w:rsid w:val="00736AB6"/>
    <w:rsid w:val="00737AE6"/>
    <w:rsid w:val="00737BDA"/>
    <w:rsid w:val="007408D7"/>
    <w:rsid w:val="007408F1"/>
    <w:rsid w:val="00740DC7"/>
    <w:rsid w:val="007432BE"/>
    <w:rsid w:val="00743AEC"/>
    <w:rsid w:val="00744A4B"/>
    <w:rsid w:val="007459A0"/>
    <w:rsid w:val="0074681D"/>
    <w:rsid w:val="007510F7"/>
    <w:rsid w:val="00752F02"/>
    <w:rsid w:val="00753174"/>
    <w:rsid w:val="007535DD"/>
    <w:rsid w:val="007538E9"/>
    <w:rsid w:val="00753B4D"/>
    <w:rsid w:val="00754949"/>
    <w:rsid w:val="00755D5D"/>
    <w:rsid w:val="0075638D"/>
    <w:rsid w:val="007578C1"/>
    <w:rsid w:val="00757C5D"/>
    <w:rsid w:val="00757CF7"/>
    <w:rsid w:val="00760657"/>
    <w:rsid w:val="007613FD"/>
    <w:rsid w:val="00762520"/>
    <w:rsid w:val="00762BAF"/>
    <w:rsid w:val="0076305C"/>
    <w:rsid w:val="007657C1"/>
    <w:rsid w:val="00765AC1"/>
    <w:rsid w:val="0076605C"/>
    <w:rsid w:val="007660B9"/>
    <w:rsid w:val="00766649"/>
    <w:rsid w:val="00766F5D"/>
    <w:rsid w:val="007678F8"/>
    <w:rsid w:val="00767F53"/>
    <w:rsid w:val="00771785"/>
    <w:rsid w:val="00771C84"/>
    <w:rsid w:val="00772112"/>
    <w:rsid w:val="00772658"/>
    <w:rsid w:val="00772711"/>
    <w:rsid w:val="00773AC7"/>
    <w:rsid w:val="007740E1"/>
    <w:rsid w:val="00774691"/>
    <w:rsid w:val="00774BA9"/>
    <w:rsid w:val="00776035"/>
    <w:rsid w:val="00776A9C"/>
    <w:rsid w:val="00777998"/>
    <w:rsid w:val="00780AC4"/>
    <w:rsid w:val="007812F5"/>
    <w:rsid w:val="0078152D"/>
    <w:rsid w:val="0078171E"/>
    <w:rsid w:val="0078172B"/>
    <w:rsid w:val="00781797"/>
    <w:rsid w:val="00781DA0"/>
    <w:rsid w:val="0078217E"/>
    <w:rsid w:val="007825B1"/>
    <w:rsid w:val="00782723"/>
    <w:rsid w:val="007846D6"/>
    <w:rsid w:val="00785A3A"/>
    <w:rsid w:val="00786D74"/>
    <w:rsid w:val="007876AA"/>
    <w:rsid w:val="007876FE"/>
    <w:rsid w:val="0079011B"/>
    <w:rsid w:val="00790FF0"/>
    <w:rsid w:val="0079137E"/>
    <w:rsid w:val="0079165B"/>
    <w:rsid w:val="007919D4"/>
    <w:rsid w:val="00793653"/>
    <w:rsid w:val="007939E7"/>
    <w:rsid w:val="0079403D"/>
    <w:rsid w:val="007956C4"/>
    <w:rsid w:val="00795CEB"/>
    <w:rsid w:val="0079611E"/>
    <w:rsid w:val="007966F9"/>
    <w:rsid w:val="00796E4F"/>
    <w:rsid w:val="007A23F8"/>
    <w:rsid w:val="007A27C5"/>
    <w:rsid w:val="007A345E"/>
    <w:rsid w:val="007A398A"/>
    <w:rsid w:val="007A51D4"/>
    <w:rsid w:val="007A52E1"/>
    <w:rsid w:val="007A5D24"/>
    <w:rsid w:val="007A66FA"/>
    <w:rsid w:val="007A731D"/>
    <w:rsid w:val="007B06B2"/>
    <w:rsid w:val="007B1C2F"/>
    <w:rsid w:val="007B3745"/>
    <w:rsid w:val="007B383E"/>
    <w:rsid w:val="007B425D"/>
    <w:rsid w:val="007B5CDE"/>
    <w:rsid w:val="007B64BC"/>
    <w:rsid w:val="007B7030"/>
    <w:rsid w:val="007B7504"/>
    <w:rsid w:val="007C1C0E"/>
    <w:rsid w:val="007C1F01"/>
    <w:rsid w:val="007C240A"/>
    <w:rsid w:val="007C29F1"/>
    <w:rsid w:val="007C3F60"/>
    <w:rsid w:val="007C5FA7"/>
    <w:rsid w:val="007C6154"/>
    <w:rsid w:val="007D0318"/>
    <w:rsid w:val="007D040E"/>
    <w:rsid w:val="007D1D6C"/>
    <w:rsid w:val="007D28A9"/>
    <w:rsid w:val="007D2B05"/>
    <w:rsid w:val="007D330C"/>
    <w:rsid w:val="007D4215"/>
    <w:rsid w:val="007D680C"/>
    <w:rsid w:val="007D6C60"/>
    <w:rsid w:val="007D755A"/>
    <w:rsid w:val="007E159B"/>
    <w:rsid w:val="007E1E3E"/>
    <w:rsid w:val="007E1EF8"/>
    <w:rsid w:val="007E2B22"/>
    <w:rsid w:val="007E30EF"/>
    <w:rsid w:val="007E3431"/>
    <w:rsid w:val="007E486B"/>
    <w:rsid w:val="007E6C26"/>
    <w:rsid w:val="007E7606"/>
    <w:rsid w:val="007E78B2"/>
    <w:rsid w:val="007F004C"/>
    <w:rsid w:val="007F10EC"/>
    <w:rsid w:val="007F1E81"/>
    <w:rsid w:val="007F1FA4"/>
    <w:rsid w:val="007F2558"/>
    <w:rsid w:val="007F38BF"/>
    <w:rsid w:val="007F3B2B"/>
    <w:rsid w:val="007F3D51"/>
    <w:rsid w:val="007F5D33"/>
    <w:rsid w:val="007F7833"/>
    <w:rsid w:val="007F799B"/>
    <w:rsid w:val="007F7FED"/>
    <w:rsid w:val="0080118B"/>
    <w:rsid w:val="008013CB"/>
    <w:rsid w:val="00801CC2"/>
    <w:rsid w:val="00802C61"/>
    <w:rsid w:val="008051C4"/>
    <w:rsid w:val="00805B42"/>
    <w:rsid w:val="00805E45"/>
    <w:rsid w:val="00806393"/>
    <w:rsid w:val="008072BA"/>
    <w:rsid w:val="00810061"/>
    <w:rsid w:val="0081024B"/>
    <w:rsid w:val="0081026E"/>
    <w:rsid w:val="008103B1"/>
    <w:rsid w:val="008106D4"/>
    <w:rsid w:val="0081093E"/>
    <w:rsid w:val="0081161B"/>
    <w:rsid w:val="00813619"/>
    <w:rsid w:val="0081512D"/>
    <w:rsid w:val="008156E7"/>
    <w:rsid w:val="00815DF7"/>
    <w:rsid w:val="00816BEB"/>
    <w:rsid w:val="00820199"/>
    <w:rsid w:val="008203AF"/>
    <w:rsid w:val="0082071B"/>
    <w:rsid w:val="00820E0F"/>
    <w:rsid w:val="00821DBD"/>
    <w:rsid w:val="008240D0"/>
    <w:rsid w:val="008240DA"/>
    <w:rsid w:val="0082472F"/>
    <w:rsid w:val="00825B23"/>
    <w:rsid w:val="00825D18"/>
    <w:rsid w:val="0082719C"/>
    <w:rsid w:val="008275B9"/>
    <w:rsid w:val="008275FB"/>
    <w:rsid w:val="0083119B"/>
    <w:rsid w:val="00831485"/>
    <w:rsid w:val="0083170C"/>
    <w:rsid w:val="00831800"/>
    <w:rsid w:val="00832413"/>
    <w:rsid w:val="0083261D"/>
    <w:rsid w:val="00832D89"/>
    <w:rsid w:val="00833501"/>
    <w:rsid w:val="00834D9C"/>
    <w:rsid w:val="008369DE"/>
    <w:rsid w:val="00837FE7"/>
    <w:rsid w:val="00840865"/>
    <w:rsid w:val="00840E01"/>
    <w:rsid w:val="0084143F"/>
    <w:rsid w:val="00841D41"/>
    <w:rsid w:val="008427AD"/>
    <w:rsid w:val="008436AB"/>
    <w:rsid w:val="00843761"/>
    <w:rsid w:val="00843C5E"/>
    <w:rsid w:val="0084443C"/>
    <w:rsid w:val="00844739"/>
    <w:rsid w:val="0084486B"/>
    <w:rsid w:val="00844B6B"/>
    <w:rsid w:val="00844E89"/>
    <w:rsid w:val="008450D9"/>
    <w:rsid w:val="00845E1E"/>
    <w:rsid w:val="008465AD"/>
    <w:rsid w:val="00847342"/>
    <w:rsid w:val="008475D6"/>
    <w:rsid w:val="00851EFB"/>
    <w:rsid w:val="00854E26"/>
    <w:rsid w:val="00854EFE"/>
    <w:rsid w:val="00855716"/>
    <w:rsid w:val="00855BFF"/>
    <w:rsid w:val="00855C33"/>
    <w:rsid w:val="00855C44"/>
    <w:rsid w:val="008571BA"/>
    <w:rsid w:val="0086084B"/>
    <w:rsid w:val="0086151D"/>
    <w:rsid w:val="0086276B"/>
    <w:rsid w:val="0086787B"/>
    <w:rsid w:val="008678C1"/>
    <w:rsid w:val="00867EC6"/>
    <w:rsid w:val="00867FD3"/>
    <w:rsid w:val="008725A9"/>
    <w:rsid w:val="00873097"/>
    <w:rsid w:val="008736BD"/>
    <w:rsid w:val="008739DE"/>
    <w:rsid w:val="00873DED"/>
    <w:rsid w:val="00874265"/>
    <w:rsid w:val="00874817"/>
    <w:rsid w:val="00876488"/>
    <w:rsid w:val="00876AF6"/>
    <w:rsid w:val="00877425"/>
    <w:rsid w:val="008777F4"/>
    <w:rsid w:val="00877A09"/>
    <w:rsid w:val="00880431"/>
    <w:rsid w:val="00880699"/>
    <w:rsid w:val="00880786"/>
    <w:rsid w:val="00881BDA"/>
    <w:rsid w:val="00882009"/>
    <w:rsid w:val="00883954"/>
    <w:rsid w:val="00883C43"/>
    <w:rsid w:val="00884BD5"/>
    <w:rsid w:val="008862D1"/>
    <w:rsid w:val="00887C98"/>
    <w:rsid w:val="00890064"/>
    <w:rsid w:val="00891170"/>
    <w:rsid w:val="00891E90"/>
    <w:rsid w:val="0089208F"/>
    <w:rsid w:val="008933A3"/>
    <w:rsid w:val="00893E10"/>
    <w:rsid w:val="008946C6"/>
    <w:rsid w:val="008956E1"/>
    <w:rsid w:val="008A15C0"/>
    <w:rsid w:val="008A2010"/>
    <w:rsid w:val="008A488D"/>
    <w:rsid w:val="008B0415"/>
    <w:rsid w:val="008B05F0"/>
    <w:rsid w:val="008B2C26"/>
    <w:rsid w:val="008B3669"/>
    <w:rsid w:val="008B37A5"/>
    <w:rsid w:val="008B493F"/>
    <w:rsid w:val="008B6118"/>
    <w:rsid w:val="008B62F8"/>
    <w:rsid w:val="008B71B0"/>
    <w:rsid w:val="008B7759"/>
    <w:rsid w:val="008C0083"/>
    <w:rsid w:val="008C115E"/>
    <w:rsid w:val="008C2285"/>
    <w:rsid w:val="008C2696"/>
    <w:rsid w:val="008C49EA"/>
    <w:rsid w:val="008C4DC1"/>
    <w:rsid w:val="008C7778"/>
    <w:rsid w:val="008D0504"/>
    <w:rsid w:val="008D0DB8"/>
    <w:rsid w:val="008D1256"/>
    <w:rsid w:val="008D183C"/>
    <w:rsid w:val="008D275A"/>
    <w:rsid w:val="008D2EE3"/>
    <w:rsid w:val="008D31D1"/>
    <w:rsid w:val="008D3C16"/>
    <w:rsid w:val="008D4F4D"/>
    <w:rsid w:val="008D5E0C"/>
    <w:rsid w:val="008D5F29"/>
    <w:rsid w:val="008D612D"/>
    <w:rsid w:val="008D6651"/>
    <w:rsid w:val="008D6C37"/>
    <w:rsid w:val="008D7D55"/>
    <w:rsid w:val="008E0771"/>
    <w:rsid w:val="008E0FA9"/>
    <w:rsid w:val="008E207E"/>
    <w:rsid w:val="008E209B"/>
    <w:rsid w:val="008E3695"/>
    <w:rsid w:val="008E4EE8"/>
    <w:rsid w:val="008E5764"/>
    <w:rsid w:val="008E5C64"/>
    <w:rsid w:val="008E6330"/>
    <w:rsid w:val="008E636C"/>
    <w:rsid w:val="008E65D2"/>
    <w:rsid w:val="008F28FE"/>
    <w:rsid w:val="008F60AE"/>
    <w:rsid w:val="008F6125"/>
    <w:rsid w:val="008F72CF"/>
    <w:rsid w:val="00900263"/>
    <w:rsid w:val="00901D5C"/>
    <w:rsid w:val="00902A46"/>
    <w:rsid w:val="00902CAC"/>
    <w:rsid w:val="009030E1"/>
    <w:rsid w:val="009036CA"/>
    <w:rsid w:val="0090384E"/>
    <w:rsid w:val="00903963"/>
    <w:rsid w:val="00905068"/>
    <w:rsid w:val="00905F28"/>
    <w:rsid w:val="00906D87"/>
    <w:rsid w:val="0091076C"/>
    <w:rsid w:val="0091127C"/>
    <w:rsid w:val="0091200B"/>
    <w:rsid w:val="00912696"/>
    <w:rsid w:val="0091283F"/>
    <w:rsid w:val="0091291A"/>
    <w:rsid w:val="00912E01"/>
    <w:rsid w:val="00913E03"/>
    <w:rsid w:val="0091422D"/>
    <w:rsid w:val="0091445E"/>
    <w:rsid w:val="00915B43"/>
    <w:rsid w:val="009163EA"/>
    <w:rsid w:val="009169CF"/>
    <w:rsid w:val="0091770F"/>
    <w:rsid w:val="009179C8"/>
    <w:rsid w:val="00917B3F"/>
    <w:rsid w:val="00917D2B"/>
    <w:rsid w:val="00917F95"/>
    <w:rsid w:val="00920D98"/>
    <w:rsid w:val="00921573"/>
    <w:rsid w:val="00921F8E"/>
    <w:rsid w:val="009227CF"/>
    <w:rsid w:val="009231AC"/>
    <w:rsid w:val="00923430"/>
    <w:rsid w:val="00923EDF"/>
    <w:rsid w:val="00923FFF"/>
    <w:rsid w:val="009244FC"/>
    <w:rsid w:val="00924EB8"/>
    <w:rsid w:val="009250F4"/>
    <w:rsid w:val="00930039"/>
    <w:rsid w:val="00930C04"/>
    <w:rsid w:val="00930C12"/>
    <w:rsid w:val="00931175"/>
    <w:rsid w:val="009312F6"/>
    <w:rsid w:val="0093285A"/>
    <w:rsid w:val="00932B69"/>
    <w:rsid w:val="00933906"/>
    <w:rsid w:val="0093798B"/>
    <w:rsid w:val="00940411"/>
    <w:rsid w:val="009433C9"/>
    <w:rsid w:val="009454A9"/>
    <w:rsid w:val="00946496"/>
    <w:rsid w:val="00946703"/>
    <w:rsid w:val="0094688C"/>
    <w:rsid w:val="00946D99"/>
    <w:rsid w:val="00947471"/>
    <w:rsid w:val="009477D7"/>
    <w:rsid w:val="00947E62"/>
    <w:rsid w:val="00950323"/>
    <w:rsid w:val="00950F10"/>
    <w:rsid w:val="00951561"/>
    <w:rsid w:val="009543A9"/>
    <w:rsid w:val="009547AE"/>
    <w:rsid w:val="00954DC3"/>
    <w:rsid w:val="0095531B"/>
    <w:rsid w:val="009559BF"/>
    <w:rsid w:val="0095665C"/>
    <w:rsid w:val="0095771D"/>
    <w:rsid w:val="00957A75"/>
    <w:rsid w:val="00960A8A"/>
    <w:rsid w:val="00960F92"/>
    <w:rsid w:val="00962849"/>
    <w:rsid w:val="00963FB3"/>
    <w:rsid w:val="0096443E"/>
    <w:rsid w:val="00965400"/>
    <w:rsid w:val="00965FEE"/>
    <w:rsid w:val="00966609"/>
    <w:rsid w:val="00967489"/>
    <w:rsid w:val="00973B21"/>
    <w:rsid w:val="009741C3"/>
    <w:rsid w:val="00974A7B"/>
    <w:rsid w:val="00975131"/>
    <w:rsid w:val="00975EBC"/>
    <w:rsid w:val="00976090"/>
    <w:rsid w:val="009777A2"/>
    <w:rsid w:val="00981A0F"/>
    <w:rsid w:val="00981E08"/>
    <w:rsid w:val="009825DB"/>
    <w:rsid w:val="00983082"/>
    <w:rsid w:val="0098323E"/>
    <w:rsid w:val="009837DF"/>
    <w:rsid w:val="00984966"/>
    <w:rsid w:val="00984B71"/>
    <w:rsid w:val="009855D9"/>
    <w:rsid w:val="0098609E"/>
    <w:rsid w:val="00987806"/>
    <w:rsid w:val="00990110"/>
    <w:rsid w:val="0099038C"/>
    <w:rsid w:val="009907D1"/>
    <w:rsid w:val="009909D9"/>
    <w:rsid w:val="00990CA4"/>
    <w:rsid w:val="00991A5C"/>
    <w:rsid w:val="00991E4D"/>
    <w:rsid w:val="00992F9B"/>
    <w:rsid w:val="009935FF"/>
    <w:rsid w:val="0099395E"/>
    <w:rsid w:val="00993B67"/>
    <w:rsid w:val="009942BA"/>
    <w:rsid w:val="00994847"/>
    <w:rsid w:val="00995530"/>
    <w:rsid w:val="009958A0"/>
    <w:rsid w:val="009959E0"/>
    <w:rsid w:val="0099677D"/>
    <w:rsid w:val="00996919"/>
    <w:rsid w:val="00996A87"/>
    <w:rsid w:val="00996BEA"/>
    <w:rsid w:val="009A13B6"/>
    <w:rsid w:val="009A2948"/>
    <w:rsid w:val="009A33FB"/>
    <w:rsid w:val="009A3935"/>
    <w:rsid w:val="009A771D"/>
    <w:rsid w:val="009A7945"/>
    <w:rsid w:val="009B0525"/>
    <w:rsid w:val="009B163C"/>
    <w:rsid w:val="009B19FB"/>
    <w:rsid w:val="009B1A44"/>
    <w:rsid w:val="009B1B26"/>
    <w:rsid w:val="009B30D9"/>
    <w:rsid w:val="009B3911"/>
    <w:rsid w:val="009B3CDE"/>
    <w:rsid w:val="009B3DFD"/>
    <w:rsid w:val="009B3E11"/>
    <w:rsid w:val="009B4379"/>
    <w:rsid w:val="009B4EB5"/>
    <w:rsid w:val="009B5305"/>
    <w:rsid w:val="009B6246"/>
    <w:rsid w:val="009B6565"/>
    <w:rsid w:val="009B67C8"/>
    <w:rsid w:val="009B6B18"/>
    <w:rsid w:val="009C05F8"/>
    <w:rsid w:val="009C0A30"/>
    <w:rsid w:val="009C0EC2"/>
    <w:rsid w:val="009C118F"/>
    <w:rsid w:val="009C3B15"/>
    <w:rsid w:val="009C3F32"/>
    <w:rsid w:val="009C4BB3"/>
    <w:rsid w:val="009C60CA"/>
    <w:rsid w:val="009C614B"/>
    <w:rsid w:val="009C67EE"/>
    <w:rsid w:val="009C728F"/>
    <w:rsid w:val="009C7346"/>
    <w:rsid w:val="009C7F09"/>
    <w:rsid w:val="009D006D"/>
    <w:rsid w:val="009D0881"/>
    <w:rsid w:val="009D0F00"/>
    <w:rsid w:val="009D11C9"/>
    <w:rsid w:val="009D12A7"/>
    <w:rsid w:val="009D1526"/>
    <w:rsid w:val="009D1F81"/>
    <w:rsid w:val="009D4189"/>
    <w:rsid w:val="009D4225"/>
    <w:rsid w:val="009D4702"/>
    <w:rsid w:val="009D5511"/>
    <w:rsid w:val="009D651E"/>
    <w:rsid w:val="009D67F4"/>
    <w:rsid w:val="009D6B85"/>
    <w:rsid w:val="009D750B"/>
    <w:rsid w:val="009D7DD4"/>
    <w:rsid w:val="009E00A4"/>
    <w:rsid w:val="009E10FF"/>
    <w:rsid w:val="009E1A1B"/>
    <w:rsid w:val="009E3DE5"/>
    <w:rsid w:val="009E4B87"/>
    <w:rsid w:val="009E50A1"/>
    <w:rsid w:val="009E51D3"/>
    <w:rsid w:val="009E5236"/>
    <w:rsid w:val="009E5B2E"/>
    <w:rsid w:val="009E69AB"/>
    <w:rsid w:val="009E6A00"/>
    <w:rsid w:val="009E76AF"/>
    <w:rsid w:val="009E7A6B"/>
    <w:rsid w:val="009E7E4B"/>
    <w:rsid w:val="009F1D0D"/>
    <w:rsid w:val="009F3DE7"/>
    <w:rsid w:val="009F40F0"/>
    <w:rsid w:val="009F5EFC"/>
    <w:rsid w:val="009F6454"/>
    <w:rsid w:val="009F6D6C"/>
    <w:rsid w:val="009F6FD0"/>
    <w:rsid w:val="009F7436"/>
    <w:rsid w:val="009F751D"/>
    <w:rsid w:val="00A008C0"/>
    <w:rsid w:val="00A00914"/>
    <w:rsid w:val="00A00C55"/>
    <w:rsid w:val="00A00EF2"/>
    <w:rsid w:val="00A00F19"/>
    <w:rsid w:val="00A01EB7"/>
    <w:rsid w:val="00A02447"/>
    <w:rsid w:val="00A02D57"/>
    <w:rsid w:val="00A039B3"/>
    <w:rsid w:val="00A04876"/>
    <w:rsid w:val="00A06087"/>
    <w:rsid w:val="00A064D8"/>
    <w:rsid w:val="00A069F9"/>
    <w:rsid w:val="00A07BF4"/>
    <w:rsid w:val="00A10104"/>
    <w:rsid w:val="00A10271"/>
    <w:rsid w:val="00A114DC"/>
    <w:rsid w:val="00A11B04"/>
    <w:rsid w:val="00A12CE2"/>
    <w:rsid w:val="00A13381"/>
    <w:rsid w:val="00A14050"/>
    <w:rsid w:val="00A14AC9"/>
    <w:rsid w:val="00A14FBC"/>
    <w:rsid w:val="00A15312"/>
    <w:rsid w:val="00A173EC"/>
    <w:rsid w:val="00A177C5"/>
    <w:rsid w:val="00A17FCF"/>
    <w:rsid w:val="00A20407"/>
    <w:rsid w:val="00A205EF"/>
    <w:rsid w:val="00A225A3"/>
    <w:rsid w:val="00A23772"/>
    <w:rsid w:val="00A249B0"/>
    <w:rsid w:val="00A24BF5"/>
    <w:rsid w:val="00A25D21"/>
    <w:rsid w:val="00A27643"/>
    <w:rsid w:val="00A277C7"/>
    <w:rsid w:val="00A27FDC"/>
    <w:rsid w:val="00A30A78"/>
    <w:rsid w:val="00A32095"/>
    <w:rsid w:val="00A320D1"/>
    <w:rsid w:val="00A33F48"/>
    <w:rsid w:val="00A34520"/>
    <w:rsid w:val="00A34AD4"/>
    <w:rsid w:val="00A34FAD"/>
    <w:rsid w:val="00A35730"/>
    <w:rsid w:val="00A35C52"/>
    <w:rsid w:val="00A35F6D"/>
    <w:rsid w:val="00A3604A"/>
    <w:rsid w:val="00A37225"/>
    <w:rsid w:val="00A37C86"/>
    <w:rsid w:val="00A403FF"/>
    <w:rsid w:val="00A406D1"/>
    <w:rsid w:val="00A41345"/>
    <w:rsid w:val="00A4239E"/>
    <w:rsid w:val="00A42C4A"/>
    <w:rsid w:val="00A4514D"/>
    <w:rsid w:val="00A4582A"/>
    <w:rsid w:val="00A460BC"/>
    <w:rsid w:val="00A47C07"/>
    <w:rsid w:val="00A5148A"/>
    <w:rsid w:val="00A54100"/>
    <w:rsid w:val="00A54264"/>
    <w:rsid w:val="00A557DA"/>
    <w:rsid w:val="00A563F3"/>
    <w:rsid w:val="00A56681"/>
    <w:rsid w:val="00A567E0"/>
    <w:rsid w:val="00A60314"/>
    <w:rsid w:val="00A61653"/>
    <w:rsid w:val="00A61711"/>
    <w:rsid w:val="00A627E3"/>
    <w:rsid w:val="00A62DBD"/>
    <w:rsid w:val="00A62F19"/>
    <w:rsid w:val="00A63AFE"/>
    <w:rsid w:val="00A65679"/>
    <w:rsid w:val="00A67A2F"/>
    <w:rsid w:val="00A73E19"/>
    <w:rsid w:val="00A74D80"/>
    <w:rsid w:val="00A752DC"/>
    <w:rsid w:val="00A752FB"/>
    <w:rsid w:val="00A75503"/>
    <w:rsid w:val="00A75906"/>
    <w:rsid w:val="00A75AC5"/>
    <w:rsid w:val="00A77316"/>
    <w:rsid w:val="00A774B4"/>
    <w:rsid w:val="00A778FA"/>
    <w:rsid w:val="00A807B0"/>
    <w:rsid w:val="00A80863"/>
    <w:rsid w:val="00A811DA"/>
    <w:rsid w:val="00A81616"/>
    <w:rsid w:val="00A81F69"/>
    <w:rsid w:val="00A8365E"/>
    <w:rsid w:val="00A83D98"/>
    <w:rsid w:val="00A846AD"/>
    <w:rsid w:val="00A848B1"/>
    <w:rsid w:val="00A87F88"/>
    <w:rsid w:val="00A90E07"/>
    <w:rsid w:val="00A91203"/>
    <w:rsid w:val="00A93B6A"/>
    <w:rsid w:val="00A93C39"/>
    <w:rsid w:val="00A9488D"/>
    <w:rsid w:val="00A94955"/>
    <w:rsid w:val="00A97114"/>
    <w:rsid w:val="00AA1D0C"/>
    <w:rsid w:val="00AA2664"/>
    <w:rsid w:val="00AA2724"/>
    <w:rsid w:val="00AA2C11"/>
    <w:rsid w:val="00AA4486"/>
    <w:rsid w:val="00AA5802"/>
    <w:rsid w:val="00AA6165"/>
    <w:rsid w:val="00AB187F"/>
    <w:rsid w:val="00AB27B5"/>
    <w:rsid w:val="00AB350C"/>
    <w:rsid w:val="00AB3C4B"/>
    <w:rsid w:val="00AB3C78"/>
    <w:rsid w:val="00AB4127"/>
    <w:rsid w:val="00AB560F"/>
    <w:rsid w:val="00AB7F77"/>
    <w:rsid w:val="00AC0425"/>
    <w:rsid w:val="00AC065A"/>
    <w:rsid w:val="00AC1AA3"/>
    <w:rsid w:val="00AC2336"/>
    <w:rsid w:val="00AC234A"/>
    <w:rsid w:val="00AC34BB"/>
    <w:rsid w:val="00AC47D2"/>
    <w:rsid w:val="00AC4B86"/>
    <w:rsid w:val="00AC6533"/>
    <w:rsid w:val="00AD1E8B"/>
    <w:rsid w:val="00AD1EED"/>
    <w:rsid w:val="00AD2018"/>
    <w:rsid w:val="00AD2401"/>
    <w:rsid w:val="00AD4177"/>
    <w:rsid w:val="00AD49B3"/>
    <w:rsid w:val="00AD4DF5"/>
    <w:rsid w:val="00AD4F80"/>
    <w:rsid w:val="00AD5ACA"/>
    <w:rsid w:val="00AD74B6"/>
    <w:rsid w:val="00AE0E38"/>
    <w:rsid w:val="00AE2124"/>
    <w:rsid w:val="00AE297B"/>
    <w:rsid w:val="00AE30E3"/>
    <w:rsid w:val="00AE39CC"/>
    <w:rsid w:val="00AE4B00"/>
    <w:rsid w:val="00AE5699"/>
    <w:rsid w:val="00AE5778"/>
    <w:rsid w:val="00AE58D5"/>
    <w:rsid w:val="00AE6686"/>
    <w:rsid w:val="00AE7243"/>
    <w:rsid w:val="00AF05A5"/>
    <w:rsid w:val="00AF24E4"/>
    <w:rsid w:val="00AF422E"/>
    <w:rsid w:val="00AF495F"/>
    <w:rsid w:val="00AF49E5"/>
    <w:rsid w:val="00AF64FC"/>
    <w:rsid w:val="00AF6661"/>
    <w:rsid w:val="00AF6AFB"/>
    <w:rsid w:val="00AF7250"/>
    <w:rsid w:val="00B00BDD"/>
    <w:rsid w:val="00B0437A"/>
    <w:rsid w:val="00B06546"/>
    <w:rsid w:val="00B10F4F"/>
    <w:rsid w:val="00B11930"/>
    <w:rsid w:val="00B1223E"/>
    <w:rsid w:val="00B133EE"/>
    <w:rsid w:val="00B13F70"/>
    <w:rsid w:val="00B151E5"/>
    <w:rsid w:val="00B1569C"/>
    <w:rsid w:val="00B16DC9"/>
    <w:rsid w:val="00B16F54"/>
    <w:rsid w:val="00B17975"/>
    <w:rsid w:val="00B20470"/>
    <w:rsid w:val="00B20799"/>
    <w:rsid w:val="00B2204F"/>
    <w:rsid w:val="00B2266C"/>
    <w:rsid w:val="00B22DE7"/>
    <w:rsid w:val="00B23C93"/>
    <w:rsid w:val="00B23E66"/>
    <w:rsid w:val="00B24D0A"/>
    <w:rsid w:val="00B2790E"/>
    <w:rsid w:val="00B27DDB"/>
    <w:rsid w:val="00B32F07"/>
    <w:rsid w:val="00B3317D"/>
    <w:rsid w:val="00B33329"/>
    <w:rsid w:val="00B33668"/>
    <w:rsid w:val="00B3505A"/>
    <w:rsid w:val="00B35977"/>
    <w:rsid w:val="00B35BEB"/>
    <w:rsid w:val="00B363FE"/>
    <w:rsid w:val="00B36583"/>
    <w:rsid w:val="00B36C5C"/>
    <w:rsid w:val="00B376A1"/>
    <w:rsid w:val="00B37C88"/>
    <w:rsid w:val="00B37E9C"/>
    <w:rsid w:val="00B41684"/>
    <w:rsid w:val="00B416EC"/>
    <w:rsid w:val="00B41941"/>
    <w:rsid w:val="00B43651"/>
    <w:rsid w:val="00B43B35"/>
    <w:rsid w:val="00B455C1"/>
    <w:rsid w:val="00B460AA"/>
    <w:rsid w:val="00B46305"/>
    <w:rsid w:val="00B479D2"/>
    <w:rsid w:val="00B52F18"/>
    <w:rsid w:val="00B53058"/>
    <w:rsid w:val="00B530C1"/>
    <w:rsid w:val="00B535C2"/>
    <w:rsid w:val="00B5486E"/>
    <w:rsid w:val="00B54905"/>
    <w:rsid w:val="00B54D8A"/>
    <w:rsid w:val="00B55BF0"/>
    <w:rsid w:val="00B55E5C"/>
    <w:rsid w:val="00B5608C"/>
    <w:rsid w:val="00B61164"/>
    <w:rsid w:val="00B61180"/>
    <w:rsid w:val="00B6122A"/>
    <w:rsid w:val="00B613EC"/>
    <w:rsid w:val="00B61FAD"/>
    <w:rsid w:val="00B6596A"/>
    <w:rsid w:val="00B6656F"/>
    <w:rsid w:val="00B66AD7"/>
    <w:rsid w:val="00B67E87"/>
    <w:rsid w:val="00B7010D"/>
    <w:rsid w:val="00B701ED"/>
    <w:rsid w:val="00B71BEE"/>
    <w:rsid w:val="00B72727"/>
    <w:rsid w:val="00B72E00"/>
    <w:rsid w:val="00B735D2"/>
    <w:rsid w:val="00B73830"/>
    <w:rsid w:val="00B73B85"/>
    <w:rsid w:val="00B748D0"/>
    <w:rsid w:val="00B75AF0"/>
    <w:rsid w:val="00B75BFE"/>
    <w:rsid w:val="00B76068"/>
    <w:rsid w:val="00B76BC6"/>
    <w:rsid w:val="00B76C60"/>
    <w:rsid w:val="00B80E73"/>
    <w:rsid w:val="00B81D0B"/>
    <w:rsid w:val="00B823D2"/>
    <w:rsid w:val="00B827B6"/>
    <w:rsid w:val="00B8443C"/>
    <w:rsid w:val="00B87B36"/>
    <w:rsid w:val="00B87E45"/>
    <w:rsid w:val="00B91FDA"/>
    <w:rsid w:val="00B92069"/>
    <w:rsid w:val="00B92808"/>
    <w:rsid w:val="00B9315A"/>
    <w:rsid w:val="00B935BB"/>
    <w:rsid w:val="00B94037"/>
    <w:rsid w:val="00B94C9C"/>
    <w:rsid w:val="00B94DE1"/>
    <w:rsid w:val="00B94F4A"/>
    <w:rsid w:val="00B954B8"/>
    <w:rsid w:val="00B95533"/>
    <w:rsid w:val="00B95C46"/>
    <w:rsid w:val="00B95D61"/>
    <w:rsid w:val="00B96557"/>
    <w:rsid w:val="00B97C4E"/>
    <w:rsid w:val="00BA0018"/>
    <w:rsid w:val="00BA0481"/>
    <w:rsid w:val="00BA09FB"/>
    <w:rsid w:val="00BA0EFC"/>
    <w:rsid w:val="00BA13B5"/>
    <w:rsid w:val="00BA1E51"/>
    <w:rsid w:val="00BA23EB"/>
    <w:rsid w:val="00BA347E"/>
    <w:rsid w:val="00BA6ABB"/>
    <w:rsid w:val="00BA7996"/>
    <w:rsid w:val="00BB00F1"/>
    <w:rsid w:val="00BB0356"/>
    <w:rsid w:val="00BB1C33"/>
    <w:rsid w:val="00BB1FFF"/>
    <w:rsid w:val="00BB2F85"/>
    <w:rsid w:val="00BB3482"/>
    <w:rsid w:val="00BB411A"/>
    <w:rsid w:val="00BB5AD6"/>
    <w:rsid w:val="00BB5D55"/>
    <w:rsid w:val="00BB6CC4"/>
    <w:rsid w:val="00BC0A2C"/>
    <w:rsid w:val="00BC0FC4"/>
    <w:rsid w:val="00BC1972"/>
    <w:rsid w:val="00BC1DCB"/>
    <w:rsid w:val="00BC24CA"/>
    <w:rsid w:val="00BC2BF9"/>
    <w:rsid w:val="00BC3C1F"/>
    <w:rsid w:val="00BC4660"/>
    <w:rsid w:val="00BC5279"/>
    <w:rsid w:val="00BC6991"/>
    <w:rsid w:val="00BC699F"/>
    <w:rsid w:val="00BC75BE"/>
    <w:rsid w:val="00BC7A5C"/>
    <w:rsid w:val="00BD050B"/>
    <w:rsid w:val="00BD0871"/>
    <w:rsid w:val="00BD0D03"/>
    <w:rsid w:val="00BD0FAD"/>
    <w:rsid w:val="00BD113A"/>
    <w:rsid w:val="00BD1575"/>
    <w:rsid w:val="00BD1EF1"/>
    <w:rsid w:val="00BD213E"/>
    <w:rsid w:val="00BD3DA8"/>
    <w:rsid w:val="00BD45D5"/>
    <w:rsid w:val="00BE010A"/>
    <w:rsid w:val="00BE1146"/>
    <w:rsid w:val="00BE294F"/>
    <w:rsid w:val="00BE360E"/>
    <w:rsid w:val="00BE366B"/>
    <w:rsid w:val="00BE3E6E"/>
    <w:rsid w:val="00BE446C"/>
    <w:rsid w:val="00BE6F58"/>
    <w:rsid w:val="00BE7413"/>
    <w:rsid w:val="00BE76CE"/>
    <w:rsid w:val="00BE7FD4"/>
    <w:rsid w:val="00BF07B6"/>
    <w:rsid w:val="00BF0BDA"/>
    <w:rsid w:val="00BF3BE8"/>
    <w:rsid w:val="00BF405E"/>
    <w:rsid w:val="00BF50A8"/>
    <w:rsid w:val="00BF55A0"/>
    <w:rsid w:val="00BF709F"/>
    <w:rsid w:val="00BF7BE2"/>
    <w:rsid w:val="00C00697"/>
    <w:rsid w:val="00C006AA"/>
    <w:rsid w:val="00C0086F"/>
    <w:rsid w:val="00C0095A"/>
    <w:rsid w:val="00C00BEC"/>
    <w:rsid w:val="00C01F23"/>
    <w:rsid w:val="00C02938"/>
    <w:rsid w:val="00C02BA5"/>
    <w:rsid w:val="00C04433"/>
    <w:rsid w:val="00C048AC"/>
    <w:rsid w:val="00C05380"/>
    <w:rsid w:val="00C067BF"/>
    <w:rsid w:val="00C06C4D"/>
    <w:rsid w:val="00C06FEC"/>
    <w:rsid w:val="00C0770B"/>
    <w:rsid w:val="00C07C48"/>
    <w:rsid w:val="00C07E70"/>
    <w:rsid w:val="00C12FCC"/>
    <w:rsid w:val="00C138C5"/>
    <w:rsid w:val="00C15003"/>
    <w:rsid w:val="00C151BA"/>
    <w:rsid w:val="00C1545A"/>
    <w:rsid w:val="00C15A6C"/>
    <w:rsid w:val="00C15BFB"/>
    <w:rsid w:val="00C2005A"/>
    <w:rsid w:val="00C21D29"/>
    <w:rsid w:val="00C21E97"/>
    <w:rsid w:val="00C22110"/>
    <w:rsid w:val="00C22973"/>
    <w:rsid w:val="00C2329D"/>
    <w:rsid w:val="00C25BCC"/>
    <w:rsid w:val="00C26E99"/>
    <w:rsid w:val="00C271B5"/>
    <w:rsid w:val="00C33CC6"/>
    <w:rsid w:val="00C34C12"/>
    <w:rsid w:val="00C35CCF"/>
    <w:rsid w:val="00C36289"/>
    <w:rsid w:val="00C4032F"/>
    <w:rsid w:val="00C4062B"/>
    <w:rsid w:val="00C412B4"/>
    <w:rsid w:val="00C41BD3"/>
    <w:rsid w:val="00C42569"/>
    <w:rsid w:val="00C4284F"/>
    <w:rsid w:val="00C43108"/>
    <w:rsid w:val="00C435A9"/>
    <w:rsid w:val="00C447D1"/>
    <w:rsid w:val="00C45F1B"/>
    <w:rsid w:val="00C47D97"/>
    <w:rsid w:val="00C50ED3"/>
    <w:rsid w:val="00C51551"/>
    <w:rsid w:val="00C51C42"/>
    <w:rsid w:val="00C51E11"/>
    <w:rsid w:val="00C537F6"/>
    <w:rsid w:val="00C54C63"/>
    <w:rsid w:val="00C54E64"/>
    <w:rsid w:val="00C55077"/>
    <w:rsid w:val="00C56EF2"/>
    <w:rsid w:val="00C57133"/>
    <w:rsid w:val="00C57612"/>
    <w:rsid w:val="00C57A94"/>
    <w:rsid w:val="00C600DE"/>
    <w:rsid w:val="00C60CC4"/>
    <w:rsid w:val="00C6160D"/>
    <w:rsid w:val="00C61925"/>
    <w:rsid w:val="00C6435F"/>
    <w:rsid w:val="00C65364"/>
    <w:rsid w:val="00C66090"/>
    <w:rsid w:val="00C66A73"/>
    <w:rsid w:val="00C67AA6"/>
    <w:rsid w:val="00C67C9E"/>
    <w:rsid w:val="00C70DBC"/>
    <w:rsid w:val="00C71121"/>
    <w:rsid w:val="00C71F88"/>
    <w:rsid w:val="00C74439"/>
    <w:rsid w:val="00C74A12"/>
    <w:rsid w:val="00C74F16"/>
    <w:rsid w:val="00C75B44"/>
    <w:rsid w:val="00C75ECD"/>
    <w:rsid w:val="00C7628B"/>
    <w:rsid w:val="00C77259"/>
    <w:rsid w:val="00C77AD6"/>
    <w:rsid w:val="00C77B10"/>
    <w:rsid w:val="00C77CA4"/>
    <w:rsid w:val="00C80CAE"/>
    <w:rsid w:val="00C829E4"/>
    <w:rsid w:val="00C82FE2"/>
    <w:rsid w:val="00C83BF4"/>
    <w:rsid w:val="00C85C40"/>
    <w:rsid w:val="00C86898"/>
    <w:rsid w:val="00C86F22"/>
    <w:rsid w:val="00C90CE5"/>
    <w:rsid w:val="00C91B0E"/>
    <w:rsid w:val="00C92790"/>
    <w:rsid w:val="00C92961"/>
    <w:rsid w:val="00C92C01"/>
    <w:rsid w:val="00C933C9"/>
    <w:rsid w:val="00C943E7"/>
    <w:rsid w:val="00C94B04"/>
    <w:rsid w:val="00C95F15"/>
    <w:rsid w:val="00C9647E"/>
    <w:rsid w:val="00C9650F"/>
    <w:rsid w:val="00C9741E"/>
    <w:rsid w:val="00C9793C"/>
    <w:rsid w:val="00C97CE1"/>
    <w:rsid w:val="00CA04CD"/>
    <w:rsid w:val="00CA062A"/>
    <w:rsid w:val="00CA2ADF"/>
    <w:rsid w:val="00CA33C7"/>
    <w:rsid w:val="00CA357D"/>
    <w:rsid w:val="00CA41B8"/>
    <w:rsid w:val="00CA42BC"/>
    <w:rsid w:val="00CA45DE"/>
    <w:rsid w:val="00CA477A"/>
    <w:rsid w:val="00CA5152"/>
    <w:rsid w:val="00CA5A5C"/>
    <w:rsid w:val="00CA5D7C"/>
    <w:rsid w:val="00CA63B6"/>
    <w:rsid w:val="00CA7AAA"/>
    <w:rsid w:val="00CA7C3E"/>
    <w:rsid w:val="00CB054D"/>
    <w:rsid w:val="00CB2378"/>
    <w:rsid w:val="00CB2523"/>
    <w:rsid w:val="00CB2C58"/>
    <w:rsid w:val="00CB2DC3"/>
    <w:rsid w:val="00CB2F61"/>
    <w:rsid w:val="00CB38A3"/>
    <w:rsid w:val="00CB4B02"/>
    <w:rsid w:val="00CB54A3"/>
    <w:rsid w:val="00CB70AB"/>
    <w:rsid w:val="00CB7174"/>
    <w:rsid w:val="00CC0208"/>
    <w:rsid w:val="00CC02D9"/>
    <w:rsid w:val="00CC038D"/>
    <w:rsid w:val="00CC24BD"/>
    <w:rsid w:val="00CC3D3B"/>
    <w:rsid w:val="00CC4AAB"/>
    <w:rsid w:val="00CC4CDD"/>
    <w:rsid w:val="00CC4FC7"/>
    <w:rsid w:val="00CC5359"/>
    <w:rsid w:val="00CC53A2"/>
    <w:rsid w:val="00CC55D7"/>
    <w:rsid w:val="00CC6319"/>
    <w:rsid w:val="00CC66A3"/>
    <w:rsid w:val="00CC6A88"/>
    <w:rsid w:val="00CC7DBA"/>
    <w:rsid w:val="00CD041E"/>
    <w:rsid w:val="00CD59A7"/>
    <w:rsid w:val="00CD6355"/>
    <w:rsid w:val="00CD730D"/>
    <w:rsid w:val="00CD7585"/>
    <w:rsid w:val="00CD7E0B"/>
    <w:rsid w:val="00CE1635"/>
    <w:rsid w:val="00CE2F33"/>
    <w:rsid w:val="00CE3E66"/>
    <w:rsid w:val="00CE6964"/>
    <w:rsid w:val="00CE6E41"/>
    <w:rsid w:val="00CE7B24"/>
    <w:rsid w:val="00CF03D1"/>
    <w:rsid w:val="00CF08AB"/>
    <w:rsid w:val="00CF0D33"/>
    <w:rsid w:val="00CF10CE"/>
    <w:rsid w:val="00CF20CA"/>
    <w:rsid w:val="00CF219C"/>
    <w:rsid w:val="00CF2C91"/>
    <w:rsid w:val="00CF3139"/>
    <w:rsid w:val="00CF477B"/>
    <w:rsid w:val="00CF4B25"/>
    <w:rsid w:val="00CF4BC8"/>
    <w:rsid w:val="00CF60CA"/>
    <w:rsid w:val="00CF68FA"/>
    <w:rsid w:val="00CF7819"/>
    <w:rsid w:val="00D00EF5"/>
    <w:rsid w:val="00D024A2"/>
    <w:rsid w:val="00D03C17"/>
    <w:rsid w:val="00D04055"/>
    <w:rsid w:val="00D04145"/>
    <w:rsid w:val="00D0541D"/>
    <w:rsid w:val="00D0655B"/>
    <w:rsid w:val="00D06C67"/>
    <w:rsid w:val="00D06D5D"/>
    <w:rsid w:val="00D1033B"/>
    <w:rsid w:val="00D106DE"/>
    <w:rsid w:val="00D10786"/>
    <w:rsid w:val="00D10D4E"/>
    <w:rsid w:val="00D11037"/>
    <w:rsid w:val="00D110E1"/>
    <w:rsid w:val="00D11D21"/>
    <w:rsid w:val="00D12282"/>
    <w:rsid w:val="00D125AE"/>
    <w:rsid w:val="00D12720"/>
    <w:rsid w:val="00D127CF"/>
    <w:rsid w:val="00D12C13"/>
    <w:rsid w:val="00D13430"/>
    <w:rsid w:val="00D134F2"/>
    <w:rsid w:val="00D13B8D"/>
    <w:rsid w:val="00D14B44"/>
    <w:rsid w:val="00D168F4"/>
    <w:rsid w:val="00D16FBC"/>
    <w:rsid w:val="00D1726E"/>
    <w:rsid w:val="00D17686"/>
    <w:rsid w:val="00D17A8D"/>
    <w:rsid w:val="00D2001B"/>
    <w:rsid w:val="00D21370"/>
    <w:rsid w:val="00D215D1"/>
    <w:rsid w:val="00D2180C"/>
    <w:rsid w:val="00D21F8C"/>
    <w:rsid w:val="00D224CC"/>
    <w:rsid w:val="00D229CA"/>
    <w:rsid w:val="00D237FD"/>
    <w:rsid w:val="00D2476F"/>
    <w:rsid w:val="00D24990"/>
    <w:rsid w:val="00D27192"/>
    <w:rsid w:val="00D27342"/>
    <w:rsid w:val="00D3037C"/>
    <w:rsid w:val="00D30B8B"/>
    <w:rsid w:val="00D30C8D"/>
    <w:rsid w:val="00D3236E"/>
    <w:rsid w:val="00D32492"/>
    <w:rsid w:val="00D3327C"/>
    <w:rsid w:val="00D33925"/>
    <w:rsid w:val="00D4027E"/>
    <w:rsid w:val="00D40328"/>
    <w:rsid w:val="00D408EC"/>
    <w:rsid w:val="00D417F5"/>
    <w:rsid w:val="00D41DDB"/>
    <w:rsid w:val="00D41F02"/>
    <w:rsid w:val="00D42B7B"/>
    <w:rsid w:val="00D43D1B"/>
    <w:rsid w:val="00D448C2"/>
    <w:rsid w:val="00D45C54"/>
    <w:rsid w:val="00D4602A"/>
    <w:rsid w:val="00D4643A"/>
    <w:rsid w:val="00D46FFE"/>
    <w:rsid w:val="00D478B2"/>
    <w:rsid w:val="00D47D72"/>
    <w:rsid w:val="00D51AD4"/>
    <w:rsid w:val="00D52159"/>
    <w:rsid w:val="00D53FCF"/>
    <w:rsid w:val="00D54641"/>
    <w:rsid w:val="00D5464B"/>
    <w:rsid w:val="00D54CE5"/>
    <w:rsid w:val="00D54E7B"/>
    <w:rsid w:val="00D5580A"/>
    <w:rsid w:val="00D559F8"/>
    <w:rsid w:val="00D55EDC"/>
    <w:rsid w:val="00D568A6"/>
    <w:rsid w:val="00D568C5"/>
    <w:rsid w:val="00D60CDD"/>
    <w:rsid w:val="00D611A9"/>
    <w:rsid w:val="00D621F3"/>
    <w:rsid w:val="00D622AC"/>
    <w:rsid w:val="00D62E10"/>
    <w:rsid w:val="00D6437E"/>
    <w:rsid w:val="00D64EB9"/>
    <w:rsid w:val="00D656E7"/>
    <w:rsid w:val="00D66128"/>
    <w:rsid w:val="00D66B40"/>
    <w:rsid w:val="00D70D78"/>
    <w:rsid w:val="00D70DED"/>
    <w:rsid w:val="00D71CD5"/>
    <w:rsid w:val="00D72849"/>
    <w:rsid w:val="00D72DA3"/>
    <w:rsid w:val="00D73209"/>
    <w:rsid w:val="00D73C61"/>
    <w:rsid w:val="00D748CC"/>
    <w:rsid w:val="00D74D72"/>
    <w:rsid w:val="00D7574E"/>
    <w:rsid w:val="00D75DA0"/>
    <w:rsid w:val="00D76060"/>
    <w:rsid w:val="00D76CEB"/>
    <w:rsid w:val="00D7709D"/>
    <w:rsid w:val="00D771ED"/>
    <w:rsid w:val="00D7756B"/>
    <w:rsid w:val="00D81A53"/>
    <w:rsid w:val="00D842A0"/>
    <w:rsid w:val="00D848D2"/>
    <w:rsid w:val="00D84FC4"/>
    <w:rsid w:val="00D85BBD"/>
    <w:rsid w:val="00D85BF8"/>
    <w:rsid w:val="00D85C10"/>
    <w:rsid w:val="00D85FBC"/>
    <w:rsid w:val="00D864D1"/>
    <w:rsid w:val="00D86CEC"/>
    <w:rsid w:val="00D87DC8"/>
    <w:rsid w:val="00D87E7F"/>
    <w:rsid w:val="00D87FBE"/>
    <w:rsid w:val="00D9012E"/>
    <w:rsid w:val="00D90897"/>
    <w:rsid w:val="00D914FF"/>
    <w:rsid w:val="00D916E3"/>
    <w:rsid w:val="00D91AA9"/>
    <w:rsid w:val="00D91D1C"/>
    <w:rsid w:val="00D92580"/>
    <w:rsid w:val="00D92CC6"/>
    <w:rsid w:val="00D92E3D"/>
    <w:rsid w:val="00D92F8D"/>
    <w:rsid w:val="00D947E1"/>
    <w:rsid w:val="00D94DFF"/>
    <w:rsid w:val="00D9504F"/>
    <w:rsid w:val="00D955A0"/>
    <w:rsid w:val="00DA093A"/>
    <w:rsid w:val="00DA0CB3"/>
    <w:rsid w:val="00DA1B55"/>
    <w:rsid w:val="00DA1E0F"/>
    <w:rsid w:val="00DA3036"/>
    <w:rsid w:val="00DA338A"/>
    <w:rsid w:val="00DA546F"/>
    <w:rsid w:val="00DA54B3"/>
    <w:rsid w:val="00DA61A8"/>
    <w:rsid w:val="00DA6494"/>
    <w:rsid w:val="00DA64D9"/>
    <w:rsid w:val="00DA66DA"/>
    <w:rsid w:val="00DA7DAC"/>
    <w:rsid w:val="00DB015B"/>
    <w:rsid w:val="00DB0F5C"/>
    <w:rsid w:val="00DB1211"/>
    <w:rsid w:val="00DB1A84"/>
    <w:rsid w:val="00DB24C3"/>
    <w:rsid w:val="00DB282D"/>
    <w:rsid w:val="00DB5E67"/>
    <w:rsid w:val="00DB6460"/>
    <w:rsid w:val="00DB6F16"/>
    <w:rsid w:val="00DB7A2E"/>
    <w:rsid w:val="00DC009A"/>
    <w:rsid w:val="00DC015C"/>
    <w:rsid w:val="00DC111D"/>
    <w:rsid w:val="00DC1C4C"/>
    <w:rsid w:val="00DC237C"/>
    <w:rsid w:val="00DC2426"/>
    <w:rsid w:val="00DC39B3"/>
    <w:rsid w:val="00DC3D40"/>
    <w:rsid w:val="00DC3D94"/>
    <w:rsid w:val="00DC4572"/>
    <w:rsid w:val="00DC4911"/>
    <w:rsid w:val="00DC4D56"/>
    <w:rsid w:val="00DC56E5"/>
    <w:rsid w:val="00DC6BB8"/>
    <w:rsid w:val="00DD0257"/>
    <w:rsid w:val="00DD0F26"/>
    <w:rsid w:val="00DD24E4"/>
    <w:rsid w:val="00DD2AC5"/>
    <w:rsid w:val="00DD2EB8"/>
    <w:rsid w:val="00DD3027"/>
    <w:rsid w:val="00DD40A8"/>
    <w:rsid w:val="00DD4913"/>
    <w:rsid w:val="00DD4A74"/>
    <w:rsid w:val="00DD527E"/>
    <w:rsid w:val="00DD6AB7"/>
    <w:rsid w:val="00DD6FCD"/>
    <w:rsid w:val="00DD799A"/>
    <w:rsid w:val="00DE0C8F"/>
    <w:rsid w:val="00DE193D"/>
    <w:rsid w:val="00DE2E80"/>
    <w:rsid w:val="00DE4416"/>
    <w:rsid w:val="00DE5AF3"/>
    <w:rsid w:val="00DE6171"/>
    <w:rsid w:val="00DE619B"/>
    <w:rsid w:val="00DE6BEE"/>
    <w:rsid w:val="00DE710F"/>
    <w:rsid w:val="00DE7AC9"/>
    <w:rsid w:val="00DE7EED"/>
    <w:rsid w:val="00DF01C4"/>
    <w:rsid w:val="00DF10D3"/>
    <w:rsid w:val="00DF135F"/>
    <w:rsid w:val="00DF187F"/>
    <w:rsid w:val="00DF2185"/>
    <w:rsid w:val="00DF2B4C"/>
    <w:rsid w:val="00DF5209"/>
    <w:rsid w:val="00DF5444"/>
    <w:rsid w:val="00DF5458"/>
    <w:rsid w:val="00DF631D"/>
    <w:rsid w:val="00DF7A6D"/>
    <w:rsid w:val="00DF7CBD"/>
    <w:rsid w:val="00E00228"/>
    <w:rsid w:val="00E01B77"/>
    <w:rsid w:val="00E02756"/>
    <w:rsid w:val="00E028E6"/>
    <w:rsid w:val="00E02E5D"/>
    <w:rsid w:val="00E03266"/>
    <w:rsid w:val="00E0580A"/>
    <w:rsid w:val="00E05D63"/>
    <w:rsid w:val="00E06810"/>
    <w:rsid w:val="00E06E38"/>
    <w:rsid w:val="00E07BC5"/>
    <w:rsid w:val="00E107B2"/>
    <w:rsid w:val="00E114D0"/>
    <w:rsid w:val="00E12915"/>
    <w:rsid w:val="00E131BD"/>
    <w:rsid w:val="00E13C9A"/>
    <w:rsid w:val="00E14B90"/>
    <w:rsid w:val="00E17B91"/>
    <w:rsid w:val="00E21128"/>
    <w:rsid w:val="00E23B18"/>
    <w:rsid w:val="00E23D9C"/>
    <w:rsid w:val="00E252EA"/>
    <w:rsid w:val="00E2555F"/>
    <w:rsid w:val="00E26313"/>
    <w:rsid w:val="00E271B9"/>
    <w:rsid w:val="00E27F80"/>
    <w:rsid w:val="00E311BE"/>
    <w:rsid w:val="00E319DA"/>
    <w:rsid w:val="00E31EF0"/>
    <w:rsid w:val="00E32202"/>
    <w:rsid w:val="00E323C3"/>
    <w:rsid w:val="00E33175"/>
    <w:rsid w:val="00E335D4"/>
    <w:rsid w:val="00E336D1"/>
    <w:rsid w:val="00E33A6F"/>
    <w:rsid w:val="00E34175"/>
    <w:rsid w:val="00E35093"/>
    <w:rsid w:val="00E35263"/>
    <w:rsid w:val="00E35EC6"/>
    <w:rsid w:val="00E37705"/>
    <w:rsid w:val="00E401B3"/>
    <w:rsid w:val="00E4167A"/>
    <w:rsid w:val="00E43787"/>
    <w:rsid w:val="00E44D3D"/>
    <w:rsid w:val="00E44FBC"/>
    <w:rsid w:val="00E457F4"/>
    <w:rsid w:val="00E45CA8"/>
    <w:rsid w:val="00E4691F"/>
    <w:rsid w:val="00E50F07"/>
    <w:rsid w:val="00E519D8"/>
    <w:rsid w:val="00E52935"/>
    <w:rsid w:val="00E53C29"/>
    <w:rsid w:val="00E53E1C"/>
    <w:rsid w:val="00E54692"/>
    <w:rsid w:val="00E55257"/>
    <w:rsid w:val="00E578B7"/>
    <w:rsid w:val="00E579E9"/>
    <w:rsid w:val="00E57E10"/>
    <w:rsid w:val="00E60FD2"/>
    <w:rsid w:val="00E63494"/>
    <w:rsid w:val="00E640A3"/>
    <w:rsid w:val="00E6452D"/>
    <w:rsid w:val="00E646DE"/>
    <w:rsid w:val="00E65190"/>
    <w:rsid w:val="00E653FC"/>
    <w:rsid w:val="00E6567D"/>
    <w:rsid w:val="00E669E9"/>
    <w:rsid w:val="00E66EC0"/>
    <w:rsid w:val="00E70070"/>
    <w:rsid w:val="00E702FE"/>
    <w:rsid w:val="00E71F53"/>
    <w:rsid w:val="00E72536"/>
    <w:rsid w:val="00E7329A"/>
    <w:rsid w:val="00E741F2"/>
    <w:rsid w:val="00E75593"/>
    <w:rsid w:val="00E75A0C"/>
    <w:rsid w:val="00E76451"/>
    <w:rsid w:val="00E76ACE"/>
    <w:rsid w:val="00E77414"/>
    <w:rsid w:val="00E8016F"/>
    <w:rsid w:val="00E8039D"/>
    <w:rsid w:val="00E809AB"/>
    <w:rsid w:val="00E80E52"/>
    <w:rsid w:val="00E816CE"/>
    <w:rsid w:val="00E818F0"/>
    <w:rsid w:val="00E829F4"/>
    <w:rsid w:val="00E833AE"/>
    <w:rsid w:val="00E83B3C"/>
    <w:rsid w:val="00E840D3"/>
    <w:rsid w:val="00E84386"/>
    <w:rsid w:val="00E85D71"/>
    <w:rsid w:val="00E86D38"/>
    <w:rsid w:val="00E90FB5"/>
    <w:rsid w:val="00E913CE"/>
    <w:rsid w:val="00E916CD"/>
    <w:rsid w:val="00E938FE"/>
    <w:rsid w:val="00E93F6E"/>
    <w:rsid w:val="00E961A7"/>
    <w:rsid w:val="00E96FAB"/>
    <w:rsid w:val="00E97BB0"/>
    <w:rsid w:val="00EA0688"/>
    <w:rsid w:val="00EA1251"/>
    <w:rsid w:val="00EA2178"/>
    <w:rsid w:val="00EA3891"/>
    <w:rsid w:val="00EA4080"/>
    <w:rsid w:val="00EA44CA"/>
    <w:rsid w:val="00EA48D3"/>
    <w:rsid w:val="00EA4B72"/>
    <w:rsid w:val="00EA558E"/>
    <w:rsid w:val="00EA5706"/>
    <w:rsid w:val="00EA5787"/>
    <w:rsid w:val="00EA72FC"/>
    <w:rsid w:val="00EA741A"/>
    <w:rsid w:val="00EA7EA5"/>
    <w:rsid w:val="00EB02C0"/>
    <w:rsid w:val="00EB0B07"/>
    <w:rsid w:val="00EB1580"/>
    <w:rsid w:val="00EB16B2"/>
    <w:rsid w:val="00EB2049"/>
    <w:rsid w:val="00EB2C46"/>
    <w:rsid w:val="00EB5C4D"/>
    <w:rsid w:val="00EB619F"/>
    <w:rsid w:val="00EB637A"/>
    <w:rsid w:val="00EB7290"/>
    <w:rsid w:val="00EC0059"/>
    <w:rsid w:val="00EC04B5"/>
    <w:rsid w:val="00EC3D25"/>
    <w:rsid w:val="00EC3DBE"/>
    <w:rsid w:val="00EC606B"/>
    <w:rsid w:val="00EC631E"/>
    <w:rsid w:val="00EC668A"/>
    <w:rsid w:val="00EC7E53"/>
    <w:rsid w:val="00ED05BE"/>
    <w:rsid w:val="00ED084B"/>
    <w:rsid w:val="00ED0C81"/>
    <w:rsid w:val="00ED0CB2"/>
    <w:rsid w:val="00ED1318"/>
    <w:rsid w:val="00ED170C"/>
    <w:rsid w:val="00ED1A36"/>
    <w:rsid w:val="00ED269E"/>
    <w:rsid w:val="00ED2C21"/>
    <w:rsid w:val="00ED334F"/>
    <w:rsid w:val="00ED4042"/>
    <w:rsid w:val="00ED5ED7"/>
    <w:rsid w:val="00ED6EE1"/>
    <w:rsid w:val="00ED763A"/>
    <w:rsid w:val="00ED793E"/>
    <w:rsid w:val="00EE01B8"/>
    <w:rsid w:val="00EE1BD1"/>
    <w:rsid w:val="00EE1C9A"/>
    <w:rsid w:val="00EE1DD7"/>
    <w:rsid w:val="00EE1DEE"/>
    <w:rsid w:val="00EE201F"/>
    <w:rsid w:val="00EE3FA8"/>
    <w:rsid w:val="00EE42DA"/>
    <w:rsid w:val="00EE4C50"/>
    <w:rsid w:val="00EE5436"/>
    <w:rsid w:val="00EE5F42"/>
    <w:rsid w:val="00EE5F90"/>
    <w:rsid w:val="00EE6151"/>
    <w:rsid w:val="00EE631D"/>
    <w:rsid w:val="00EF09A4"/>
    <w:rsid w:val="00EF0CDC"/>
    <w:rsid w:val="00EF125F"/>
    <w:rsid w:val="00EF12F0"/>
    <w:rsid w:val="00EF28BC"/>
    <w:rsid w:val="00EF358F"/>
    <w:rsid w:val="00EF3A10"/>
    <w:rsid w:val="00EF63EF"/>
    <w:rsid w:val="00EF7548"/>
    <w:rsid w:val="00EF7A4A"/>
    <w:rsid w:val="00F011AB"/>
    <w:rsid w:val="00F017E0"/>
    <w:rsid w:val="00F01BAD"/>
    <w:rsid w:val="00F03B20"/>
    <w:rsid w:val="00F03DA2"/>
    <w:rsid w:val="00F042F6"/>
    <w:rsid w:val="00F0621A"/>
    <w:rsid w:val="00F06588"/>
    <w:rsid w:val="00F065A0"/>
    <w:rsid w:val="00F0671F"/>
    <w:rsid w:val="00F0689B"/>
    <w:rsid w:val="00F07D52"/>
    <w:rsid w:val="00F10729"/>
    <w:rsid w:val="00F10C6C"/>
    <w:rsid w:val="00F10D3E"/>
    <w:rsid w:val="00F1192F"/>
    <w:rsid w:val="00F11AF0"/>
    <w:rsid w:val="00F120F1"/>
    <w:rsid w:val="00F12F0D"/>
    <w:rsid w:val="00F15160"/>
    <w:rsid w:val="00F16278"/>
    <w:rsid w:val="00F178C5"/>
    <w:rsid w:val="00F2024E"/>
    <w:rsid w:val="00F20C1C"/>
    <w:rsid w:val="00F210BD"/>
    <w:rsid w:val="00F21C70"/>
    <w:rsid w:val="00F228BE"/>
    <w:rsid w:val="00F231D5"/>
    <w:rsid w:val="00F23700"/>
    <w:rsid w:val="00F251A6"/>
    <w:rsid w:val="00F25758"/>
    <w:rsid w:val="00F269DE"/>
    <w:rsid w:val="00F27CBE"/>
    <w:rsid w:val="00F30595"/>
    <w:rsid w:val="00F30F26"/>
    <w:rsid w:val="00F313E5"/>
    <w:rsid w:val="00F323BE"/>
    <w:rsid w:val="00F33F88"/>
    <w:rsid w:val="00F34A64"/>
    <w:rsid w:val="00F34F2E"/>
    <w:rsid w:val="00F353D8"/>
    <w:rsid w:val="00F3556C"/>
    <w:rsid w:val="00F35802"/>
    <w:rsid w:val="00F360C4"/>
    <w:rsid w:val="00F36FD0"/>
    <w:rsid w:val="00F371C6"/>
    <w:rsid w:val="00F37C51"/>
    <w:rsid w:val="00F40033"/>
    <w:rsid w:val="00F40824"/>
    <w:rsid w:val="00F40F78"/>
    <w:rsid w:val="00F4121E"/>
    <w:rsid w:val="00F413FF"/>
    <w:rsid w:val="00F45F22"/>
    <w:rsid w:val="00F461F6"/>
    <w:rsid w:val="00F4689A"/>
    <w:rsid w:val="00F46D66"/>
    <w:rsid w:val="00F4704F"/>
    <w:rsid w:val="00F47E2B"/>
    <w:rsid w:val="00F50CF9"/>
    <w:rsid w:val="00F515CE"/>
    <w:rsid w:val="00F51B15"/>
    <w:rsid w:val="00F51D81"/>
    <w:rsid w:val="00F51EF7"/>
    <w:rsid w:val="00F5276A"/>
    <w:rsid w:val="00F534E9"/>
    <w:rsid w:val="00F54DDF"/>
    <w:rsid w:val="00F56A27"/>
    <w:rsid w:val="00F56D27"/>
    <w:rsid w:val="00F57EC9"/>
    <w:rsid w:val="00F62C9A"/>
    <w:rsid w:val="00F647F3"/>
    <w:rsid w:val="00F6517A"/>
    <w:rsid w:val="00F66F61"/>
    <w:rsid w:val="00F6752C"/>
    <w:rsid w:val="00F71184"/>
    <w:rsid w:val="00F7432A"/>
    <w:rsid w:val="00F746FE"/>
    <w:rsid w:val="00F749B6"/>
    <w:rsid w:val="00F74C54"/>
    <w:rsid w:val="00F7682E"/>
    <w:rsid w:val="00F77BE4"/>
    <w:rsid w:val="00F77C46"/>
    <w:rsid w:val="00F80D35"/>
    <w:rsid w:val="00F80DE5"/>
    <w:rsid w:val="00F80E4C"/>
    <w:rsid w:val="00F81AD1"/>
    <w:rsid w:val="00F83244"/>
    <w:rsid w:val="00F842AF"/>
    <w:rsid w:val="00F84431"/>
    <w:rsid w:val="00F847D2"/>
    <w:rsid w:val="00F859C3"/>
    <w:rsid w:val="00F85FE3"/>
    <w:rsid w:val="00F86FB3"/>
    <w:rsid w:val="00F875FE"/>
    <w:rsid w:val="00F87E1C"/>
    <w:rsid w:val="00F87E88"/>
    <w:rsid w:val="00F90EBA"/>
    <w:rsid w:val="00F923DB"/>
    <w:rsid w:val="00F9344F"/>
    <w:rsid w:val="00F94AC3"/>
    <w:rsid w:val="00F95088"/>
    <w:rsid w:val="00F95826"/>
    <w:rsid w:val="00F96438"/>
    <w:rsid w:val="00F975AE"/>
    <w:rsid w:val="00FA28E4"/>
    <w:rsid w:val="00FA51B0"/>
    <w:rsid w:val="00FA52AD"/>
    <w:rsid w:val="00FA5E2A"/>
    <w:rsid w:val="00FA6137"/>
    <w:rsid w:val="00FA68D0"/>
    <w:rsid w:val="00FA6DF5"/>
    <w:rsid w:val="00FA7186"/>
    <w:rsid w:val="00FA7842"/>
    <w:rsid w:val="00FA7CFF"/>
    <w:rsid w:val="00FA7E86"/>
    <w:rsid w:val="00FB10D6"/>
    <w:rsid w:val="00FB14CA"/>
    <w:rsid w:val="00FB1691"/>
    <w:rsid w:val="00FB18EB"/>
    <w:rsid w:val="00FB1D0C"/>
    <w:rsid w:val="00FB21ED"/>
    <w:rsid w:val="00FB3C96"/>
    <w:rsid w:val="00FB4CBA"/>
    <w:rsid w:val="00FB4E03"/>
    <w:rsid w:val="00FB53E1"/>
    <w:rsid w:val="00FB6ED7"/>
    <w:rsid w:val="00FB7DE8"/>
    <w:rsid w:val="00FB7E1C"/>
    <w:rsid w:val="00FB7EEB"/>
    <w:rsid w:val="00FC0014"/>
    <w:rsid w:val="00FC18B2"/>
    <w:rsid w:val="00FC1F71"/>
    <w:rsid w:val="00FC214E"/>
    <w:rsid w:val="00FC26BA"/>
    <w:rsid w:val="00FC3E72"/>
    <w:rsid w:val="00FC52BA"/>
    <w:rsid w:val="00FC5756"/>
    <w:rsid w:val="00FC6197"/>
    <w:rsid w:val="00FC7C40"/>
    <w:rsid w:val="00FD15D1"/>
    <w:rsid w:val="00FD20C7"/>
    <w:rsid w:val="00FD22CB"/>
    <w:rsid w:val="00FD2343"/>
    <w:rsid w:val="00FD2575"/>
    <w:rsid w:val="00FD3648"/>
    <w:rsid w:val="00FD4573"/>
    <w:rsid w:val="00FD4804"/>
    <w:rsid w:val="00FD58CF"/>
    <w:rsid w:val="00FD5E9E"/>
    <w:rsid w:val="00FD6B6E"/>
    <w:rsid w:val="00FE03E8"/>
    <w:rsid w:val="00FE09D3"/>
    <w:rsid w:val="00FE27EE"/>
    <w:rsid w:val="00FE4C7D"/>
    <w:rsid w:val="00FE5715"/>
    <w:rsid w:val="00FE5912"/>
    <w:rsid w:val="00FE6639"/>
    <w:rsid w:val="00FE673D"/>
    <w:rsid w:val="00FE6A0D"/>
    <w:rsid w:val="00FE6C5A"/>
    <w:rsid w:val="00FE7253"/>
    <w:rsid w:val="00FF20AE"/>
    <w:rsid w:val="00FF2C19"/>
    <w:rsid w:val="00FF3EF7"/>
    <w:rsid w:val="00FF45A3"/>
    <w:rsid w:val="00FF5267"/>
    <w:rsid w:val="00FF58D3"/>
    <w:rsid w:val="00FF6000"/>
    <w:rsid w:val="00FF6161"/>
    <w:rsid w:val="00FF6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4110FF"/>
  <w14:discardImageEditingData/>
  <w15:chartTrackingRefBased/>
  <w15:docId w15:val="{4E553F48-398B-49E3-8AED-9CEB66E6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5">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D106DE"/>
  </w:style>
  <w:style w:type="paragraph" w:styleId="Heading1">
    <w:name w:val="heading 1"/>
    <w:basedOn w:val="Normal"/>
    <w:next w:val="BodyText"/>
    <w:link w:val="Heading1Char"/>
    <w:uiPriority w:val="9"/>
    <w:qFormat/>
    <w:rsid w:val="004A4775"/>
    <w:pPr>
      <w:keepNext/>
      <w:keepLines/>
      <w:spacing w:after="460"/>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825B23"/>
    <w:pPr>
      <w:spacing w:before="240"/>
      <w:outlineLvl w:val="3"/>
    </w:pPr>
    <w:rPr>
      <w:rFonts w:asciiTheme="majorHAnsi" w:hAnsiTheme="majorHAnsi"/>
      <w:color w:val="014463" w:themeColor="text2"/>
      <w:sz w:val="24"/>
      <w:szCs w:val="24"/>
    </w:rPr>
  </w:style>
  <w:style w:type="paragraph" w:styleId="Heading5">
    <w:name w:val="heading 5"/>
    <w:basedOn w:val="Normal"/>
    <w:next w:val="Normal"/>
    <w:link w:val="Heading5Char"/>
    <w:uiPriority w:val="9"/>
    <w:semiHidden/>
    <w:qFormat/>
    <w:rsid w:val="00983082"/>
    <w:pPr>
      <w:keepNext/>
      <w:keepLines/>
      <w:spacing w:before="40" w:after="0"/>
      <w:outlineLvl w:val="4"/>
    </w:pPr>
    <w:rPr>
      <w:rFonts w:asciiTheme="majorHAnsi" w:eastAsiaTheme="majorEastAsia" w:hAnsiTheme="majorHAnsi" w:cstheme="majorBidi"/>
      <w:color w:val="1B232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4A4775"/>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820E0F"/>
    <w:pPr>
      <w:ind w:left="720"/>
      <w:contextualSpacing/>
    </w:pPr>
  </w:style>
  <w:style w:type="paragraph" w:customStyle="1" w:styleId="TableBullet">
    <w:name w:val="Table Bullet"/>
    <w:basedOn w:val="ListParagraph"/>
    <w:uiPriority w:val="4"/>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B23"/>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6"/>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qFormat/>
    <w:rsid w:val="003A7E73"/>
    <w:pPr>
      <w:spacing w:after="0" w:line="240" w:lineRule="auto"/>
    </w:pPr>
  </w:style>
  <w:style w:type="character" w:customStyle="1" w:styleId="FootnoteTextChar">
    <w:name w:val="Footnote Text Char"/>
    <w:basedOn w:val="DefaultParagraphFont"/>
    <w:link w:val="FootnoteText"/>
    <w:uiPriority w:val="99"/>
    <w:rsid w:val="003A7E73"/>
  </w:style>
  <w:style w:type="character" w:styleId="FootnoteReference">
    <w:name w:val="footnote reference"/>
    <w:aliases w:val="(NECG) Footnote Reference,(NECG) Footnote Reference1,(NECG) Footnote Reference2,Footnote Reference 1,o,-E Fußnotenzeichen,JFR-Fußnotenzeichen,(Diplomarbeit FZ),(Diplomarbeit FZ)1,(Diplomarbeit FZ)2,(Diplomarbeit FZ)3"/>
    <w:basedOn w:val="DefaultParagraphFont"/>
    <w:uiPriority w:val="99"/>
    <w:rsid w:val="003A7E73"/>
    <w:rPr>
      <w:vertAlign w:val="superscript"/>
    </w:rPr>
  </w:style>
  <w:style w:type="paragraph" w:styleId="Title">
    <w:name w:val="Title"/>
    <w:basedOn w:val="Heading1"/>
    <w:next w:val="Normal"/>
    <w:link w:val="TitleChar"/>
    <w:qFormat/>
    <w:rsid w:val="00FE09D3"/>
    <w:pPr>
      <w:spacing w:after="120"/>
    </w:pPr>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basedOn w:val="DefaultParagraphFont"/>
    <w:link w:val="Subtitle"/>
    <w:uiPriority w:val="1"/>
    <w:rsid w:val="00FE09D3"/>
    <w:rPr>
      <w:rFonts w:asciiTheme="majorHAnsi" w:hAnsiTheme="majorHAnsi"/>
      <w:color w:val="014463" w:themeColor="text2"/>
      <w:sz w:val="24"/>
      <w:szCs w:val="24"/>
    </w:rPr>
  </w:style>
  <w:style w:type="character" w:styleId="Hyperlink">
    <w:name w:val="Hyperlink"/>
    <w:aliases w:val="Hyperlink Cab"/>
    <w:basedOn w:val="DefaultParagraphFont"/>
    <w:uiPriority w:val="99"/>
    <w:unhideWhenUsed/>
    <w:qFormat/>
    <w:rsid w:val="00561516"/>
    <w:rPr>
      <w:color w:val="015F8B" w:themeColor="hyperlink"/>
      <w:u w:val="single"/>
    </w:rPr>
  </w:style>
  <w:style w:type="paragraph" w:styleId="CommentText">
    <w:name w:val="annotation text"/>
    <w:basedOn w:val="Normal"/>
    <w:link w:val="CommentTextChar"/>
    <w:uiPriority w:val="99"/>
    <w:unhideWhenUsed/>
    <w:rsid w:val="00B92808"/>
    <w:pPr>
      <w:spacing w:after="160" w:line="240" w:lineRule="auto"/>
    </w:pPr>
    <w:rPr>
      <w:color w:val="auto"/>
    </w:rPr>
  </w:style>
  <w:style w:type="character" w:customStyle="1" w:styleId="CommentTextChar">
    <w:name w:val="Comment Text Char"/>
    <w:basedOn w:val="DefaultParagraphFont"/>
    <w:link w:val="CommentText"/>
    <w:uiPriority w:val="99"/>
    <w:rsid w:val="00B92808"/>
    <w:rPr>
      <w:color w:val="auto"/>
    </w:rPr>
  </w:style>
  <w:style w:type="character" w:styleId="CommentReference">
    <w:name w:val="annotation reference"/>
    <w:basedOn w:val="DefaultParagraphFont"/>
    <w:uiPriority w:val="99"/>
    <w:unhideWhenUsed/>
    <w:rsid w:val="00B92808"/>
    <w:rPr>
      <w:sz w:val="16"/>
      <w:szCs w:val="16"/>
    </w:rPr>
  </w:style>
  <w:style w:type="paragraph" w:styleId="CommentSubject">
    <w:name w:val="annotation subject"/>
    <w:basedOn w:val="CommentText"/>
    <w:next w:val="CommentText"/>
    <w:link w:val="CommentSubjectChar"/>
    <w:uiPriority w:val="99"/>
    <w:semiHidden/>
    <w:unhideWhenUsed/>
    <w:rsid w:val="00B92808"/>
    <w:pPr>
      <w:spacing w:after="120"/>
    </w:pPr>
    <w:rPr>
      <w:b/>
      <w:bCs/>
      <w:color w:val="262626" w:themeColor="text1" w:themeTint="D9"/>
    </w:rPr>
  </w:style>
  <w:style w:type="character" w:customStyle="1" w:styleId="CommentSubjectChar">
    <w:name w:val="Comment Subject Char"/>
    <w:basedOn w:val="CommentTextChar"/>
    <w:link w:val="CommentSubject"/>
    <w:uiPriority w:val="99"/>
    <w:semiHidden/>
    <w:rsid w:val="00B92808"/>
    <w:rPr>
      <w:b/>
      <w:bCs/>
      <w:color w:val="auto"/>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36182B"/>
  </w:style>
  <w:style w:type="paragraph" w:styleId="EndnoteText">
    <w:name w:val="endnote text"/>
    <w:basedOn w:val="Normal"/>
    <w:link w:val="EndnoteTextChar"/>
    <w:uiPriority w:val="99"/>
    <w:semiHidden/>
    <w:unhideWhenUsed/>
    <w:rsid w:val="00FE673D"/>
    <w:pPr>
      <w:spacing w:after="0" w:line="240" w:lineRule="auto"/>
    </w:pPr>
  </w:style>
  <w:style w:type="character" w:customStyle="1" w:styleId="EndnoteTextChar">
    <w:name w:val="Endnote Text Char"/>
    <w:basedOn w:val="DefaultParagraphFont"/>
    <w:link w:val="EndnoteText"/>
    <w:uiPriority w:val="99"/>
    <w:semiHidden/>
    <w:rsid w:val="00FE673D"/>
  </w:style>
  <w:style w:type="character" w:styleId="EndnoteReference">
    <w:name w:val="endnote reference"/>
    <w:basedOn w:val="DefaultParagraphFont"/>
    <w:uiPriority w:val="99"/>
    <w:semiHidden/>
    <w:unhideWhenUsed/>
    <w:rsid w:val="00FE673D"/>
    <w:rPr>
      <w:vertAlign w:val="superscript"/>
    </w:rPr>
  </w:style>
  <w:style w:type="character" w:styleId="IntenseEmphasis">
    <w:name w:val="Intense Emphasis"/>
    <w:basedOn w:val="DefaultParagraphFont"/>
    <w:uiPriority w:val="21"/>
    <w:qFormat/>
    <w:rsid w:val="00BF50A8"/>
    <w:rPr>
      <w:b w:val="0"/>
      <w:i/>
      <w:color w:val="192F49"/>
    </w:rPr>
  </w:style>
  <w:style w:type="paragraph" w:customStyle="1" w:styleId="BodyTextNEW">
    <w:name w:val="Body Text NEW"/>
    <w:uiPriority w:val="1"/>
    <w:qFormat/>
    <w:rsid w:val="00F66F61"/>
    <w:pPr>
      <w:spacing w:before="176" w:after="0" w:line="281" w:lineRule="auto"/>
    </w:pPr>
    <w:rPr>
      <w:rFonts w:ascii="Arial" w:eastAsia="Adobe Garamond Pro" w:hAnsi="Arial" w:cs="Times New Roman"/>
      <w:color w:val="231F20"/>
      <w:sz w:val="22"/>
      <w:lang w:val="en-US"/>
    </w:rPr>
  </w:style>
  <w:style w:type="table" w:styleId="ListTable4-Accent2">
    <w:name w:val="List Table 4 Accent 2"/>
    <w:basedOn w:val="TableNormal"/>
    <w:uiPriority w:val="49"/>
    <w:rsid w:val="00855C44"/>
    <w:pPr>
      <w:spacing w:after="0" w:line="240" w:lineRule="auto"/>
    </w:pPr>
    <w:tblPr>
      <w:tblStyleRowBandSize w:val="1"/>
      <w:tblStyleColBandSize w:val="1"/>
      <w:tblBorders>
        <w:top w:val="single" w:sz="4" w:space="0" w:color="0BB0FC" w:themeColor="accent2" w:themeTint="99"/>
        <w:left w:val="single" w:sz="4" w:space="0" w:color="0BB0FC" w:themeColor="accent2" w:themeTint="99"/>
        <w:bottom w:val="single" w:sz="4" w:space="0" w:color="0BB0FC" w:themeColor="accent2" w:themeTint="99"/>
        <w:right w:val="single" w:sz="4" w:space="0" w:color="0BB0FC" w:themeColor="accent2" w:themeTint="99"/>
        <w:insideH w:val="single" w:sz="4" w:space="0" w:color="0BB0FC" w:themeColor="accent2" w:themeTint="99"/>
      </w:tblBorders>
    </w:tblPr>
    <w:tblStylePr w:type="firstRow">
      <w:rPr>
        <w:b/>
        <w:bCs/>
        <w:color w:val="FFFFFF" w:themeColor="background1"/>
      </w:rPr>
      <w:tblPr/>
      <w:tcPr>
        <w:tcBorders>
          <w:top w:val="single" w:sz="4" w:space="0" w:color="014463" w:themeColor="accent2"/>
          <w:left w:val="single" w:sz="4" w:space="0" w:color="014463" w:themeColor="accent2"/>
          <w:bottom w:val="single" w:sz="4" w:space="0" w:color="014463" w:themeColor="accent2"/>
          <w:right w:val="single" w:sz="4" w:space="0" w:color="014463" w:themeColor="accent2"/>
          <w:insideH w:val="nil"/>
        </w:tcBorders>
        <w:shd w:val="clear" w:color="auto" w:fill="014463" w:themeFill="accent2"/>
      </w:tcPr>
    </w:tblStylePr>
    <w:tblStylePr w:type="lastRow">
      <w:rPr>
        <w:b/>
        <w:bCs/>
      </w:rPr>
      <w:tblPr/>
      <w:tcPr>
        <w:tcBorders>
          <w:top w:val="double" w:sz="4" w:space="0" w:color="0BB0FC" w:themeColor="accent2" w:themeTint="99"/>
        </w:tcBorders>
      </w:tcPr>
    </w:tblStylePr>
    <w:tblStylePr w:type="firstCol">
      <w:rPr>
        <w:b/>
        <w:bCs/>
      </w:rPr>
    </w:tblStylePr>
    <w:tblStylePr w:type="lastCol">
      <w:rPr>
        <w:b/>
        <w:bCs/>
      </w:rPr>
    </w:tblStylePr>
    <w:tblStylePr w:type="band1Vert">
      <w:tblPr/>
      <w:tcPr>
        <w:shd w:val="clear" w:color="auto" w:fill="ADE4FE" w:themeFill="accent2" w:themeFillTint="33"/>
      </w:tcPr>
    </w:tblStylePr>
    <w:tblStylePr w:type="band1Horz">
      <w:tblPr/>
      <w:tcPr>
        <w:shd w:val="clear" w:color="auto" w:fill="ADE4FE" w:themeFill="accent2" w:themeFillTint="33"/>
      </w:tcPr>
    </w:tblStylePr>
  </w:style>
  <w:style w:type="paragraph" w:customStyle="1" w:styleId="Calloutbox">
    <w:name w:val="Call out box"/>
    <w:basedOn w:val="Normal"/>
    <w:qFormat/>
    <w:rsid w:val="00E83B3C"/>
    <w:pPr>
      <w:pBdr>
        <w:top w:val="single" w:sz="4" w:space="6" w:color="B8DCD7"/>
        <w:left w:val="single" w:sz="4" w:space="4" w:color="B8DCD7"/>
        <w:bottom w:val="single" w:sz="4" w:space="6" w:color="B8DCD7"/>
        <w:right w:val="single" w:sz="4" w:space="4" w:color="B8DCD7"/>
      </w:pBdr>
      <w:shd w:val="clear" w:color="auto" w:fill="F9C3C5" w:themeFill="accent6" w:themeFillTint="33"/>
      <w:spacing w:after="160" w:line="259" w:lineRule="auto"/>
    </w:pPr>
    <w:rPr>
      <w:color w:val="auto"/>
      <w:sz w:val="22"/>
      <w:szCs w:val="22"/>
    </w:rPr>
  </w:style>
  <w:style w:type="paragraph" w:styleId="Revision">
    <w:name w:val="Revision"/>
    <w:hidden/>
    <w:uiPriority w:val="99"/>
    <w:semiHidden/>
    <w:rsid w:val="00FD20C7"/>
    <w:pPr>
      <w:spacing w:after="0" w:line="240" w:lineRule="auto"/>
    </w:pPr>
  </w:style>
  <w:style w:type="paragraph" w:styleId="TOCHeading">
    <w:name w:val="TOC Heading"/>
    <w:basedOn w:val="Heading1"/>
    <w:next w:val="Normal"/>
    <w:uiPriority w:val="39"/>
    <w:unhideWhenUsed/>
    <w:qFormat/>
    <w:rsid w:val="00E23D9C"/>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E23D9C"/>
    <w:pPr>
      <w:tabs>
        <w:tab w:val="right" w:leader="dot" w:pos="10194"/>
      </w:tabs>
      <w:spacing w:after="100"/>
    </w:pPr>
  </w:style>
  <w:style w:type="paragraph" w:styleId="TOC3">
    <w:name w:val="toc 3"/>
    <w:basedOn w:val="Normal"/>
    <w:next w:val="Normal"/>
    <w:autoRedefine/>
    <w:uiPriority w:val="39"/>
    <w:unhideWhenUsed/>
    <w:rsid w:val="0047068D"/>
    <w:pPr>
      <w:tabs>
        <w:tab w:val="right" w:leader="dot" w:pos="10194"/>
      </w:tabs>
      <w:spacing w:after="100"/>
      <w:ind w:left="400"/>
    </w:pPr>
  </w:style>
  <w:style w:type="paragraph" w:styleId="TOC2">
    <w:name w:val="toc 2"/>
    <w:basedOn w:val="Normal"/>
    <w:next w:val="Normal"/>
    <w:autoRedefine/>
    <w:uiPriority w:val="39"/>
    <w:unhideWhenUsed/>
    <w:rsid w:val="00E23D9C"/>
    <w:pPr>
      <w:spacing w:after="100"/>
      <w:ind w:left="200"/>
    </w:pPr>
  </w:style>
  <w:style w:type="character" w:styleId="FollowedHyperlink">
    <w:name w:val="FollowedHyperlink"/>
    <w:basedOn w:val="DefaultParagraphFont"/>
    <w:uiPriority w:val="99"/>
    <w:semiHidden/>
    <w:unhideWhenUsed/>
    <w:rsid w:val="00C35CCF"/>
    <w:rPr>
      <w:color w:val="015F8B" w:themeColor="followedHyperlink"/>
      <w:u w:val="single"/>
    </w:rPr>
  </w:style>
  <w:style w:type="paragraph" w:styleId="NormalWeb">
    <w:name w:val="Normal (Web)"/>
    <w:basedOn w:val="Normal"/>
    <w:uiPriority w:val="99"/>
    <w:semiHidden/>
    <w:unhideWhenUsed/>
    <w:rsid w:val="008E0FA9"/>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7D2B05"/>
    <w:rPr>
      <w:b/>
      <w:bCs/>
    </w:rPr>
  </w:style>
  <w:style w:type="character" w:customStyle="1" w:styleId="Heading5Char">
    <w:name w:val="Heading 5 Char"/>
    <w:basedOn w:val="DefaultParagraphFont"/>
    <w:link w:val="Heading5"/>
    <w:uiPriority w:val="9"/>
    <w:semiHidden/>
    <w:rsid w:val="00983082"/>
    <w:rPr>
      <w:rFonts w:asciiTheme="majorHAnsi" w:eastAsiaTheme="majorEastAsia" w:hAnsiTheme="majorHAnsi" w:cstheme="majorBidi"/>
      <w:color w:val="1B232C" w:themeColor="accent1" w:themeShade="BF"/>
    </w:rPr>
  </w:style>
  <w:style w:type="character" w:styleId="Emphasis">
    <w:name w:val="Emphasis"/>
    <w:basedOn w:val="DefaultParagraphFont"/>
    <w:uiPriority w:val="20"/>
    <w:qFormat/>
    <w:rsid w:val="009231AC"/>
    <w:rPr>
      <w:i/>
      <w:iCs/>
    </w:rPr>
  </w:style>
  <w:style w:type="table" w:styleId="ListTable3-Accent1">
    <w:name w:val="List Table 3 Accent 1"/>
    <w:basedOn w:val="TableNormal"/>
    <w:uiPriority w:val="48"/>
    <w:rsid w:val="00BC1DCB"/>
    <w:pPr>
      <w:spacing w:after="0" w:line="240" w:lineRule="auto"/>
    </w:pPr>
    <w:rPr>
      <w:color w:val="auto"/>
      <w:sz w:val="22"/>
      <w:szCs w:val="22"/>
    </w:rPr>
    <w:tblPr>
      <w:tblStyleRowBandSize w:val="1"/>
      <w:tblStyleColBandSize w:val="1"/>
      <w:tblBorders>
        <w:top w:val="single" w:sz="4" w:space="0" w:color="25303B" w:themeColor="accent1"/>
        <w:left w:val="single" w:sz="4" w:space="0" w:color="25303B" w:themeColor="accent1"/>
        <w:bottom w:val="single" w:sz="4" w:space="0" w:color="25303B" w:themeColor="accent1"/>
        <w:right w:val="single" w:sz="4" w:space="0" w:color="25303B" w:themeColor="accent1"/>
      </w:tblBorders>
    </w:tblPr>
    <w:tblStylePr w:type="firstRow">
      <w:rPr>
        <w:b/>
        <w:bCs/>
        <w:color w:val="FFFFFF" w:themeColor="background1"/>
      </w:rPr>
      <w:tblPr/>
      <w:tcPr>
        <w:shd w:val="clear" w:color="auto" w:fill="25303B" w:themeFill="accent1"/>
      </w:tcPr>
    </w:tblStylePr>
    <w:tblStylePr w:type="lastRow">
      <w:rPr>
        <w:b/>
        <w:bCs/>
      </w:rPr>
      <w:tblPr/>
      <w:tcPr>
        <w:tcBorders>
          <w:top w:val="double" w:sz="4" w:space="0" w:color="25303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303B" w:themeColor="accent1"/>
          <w:right w:val="single" w:sz="4" w:space="0" w:color="25303B" w:themeColor="accent1"/>
        </w:tcBorders>
      </w:tcPr>
    </w:tblStylePr>
    <w:tblStylePr w:type="band1Horz">
      <w:tblPr/>
      <w:tcPr>
        <w:tcBorders>
          <w:top w:val="single" w:sz="4" w:space="0" w:color="25303B" w:themeColor="accent1"/>
          <w:bottom w:val="single" w:sz="4" w:space="0" w:color="25303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303B" w:themeColor="accent1"/>
          <w:left w:val="nil"/>
        </w:tcBorders>
      </w:tcPr>
    </w:tblStylePr>
    <w:tblStylePr w:type="swCell">
      <w:tblPr/>
      <w:tcPr>
        <w:tcBorders>
          <w:top w:val="double" w:sz="4" w:space="0" w:color="25303B" w:themeColor="accent1"/>
          <w:right w:val="nil"/>
        </w:tcBorders>
      </w:tcPr>
    </w:tblStylePr>
  </w:style>
  <w:style w:type="character" w:customStyle="1" w:styleId="CABNETParagraphChar">
    <w:name w:val="CABNET Paragraph. Char"/>
    <w:basedOn w:val="DefaultParagraphFont"/>
    <w:link w:val="CABNETParagraph"/>
    <w:uiPriority w:val="98"/>
    <w:locked/>
    <w:rsid w:val="00776035"/>
    <w:rPr>
      <w:rFonts w:ascii="Arial" w:hAnsi="Arial" w:cstheme="minorHAnsi"/>
    </w:rPr>
  </w:style>
  <w:style w:type="paragraph" w:customStyle="1" w:styleId="CABNETParagraph">
    <w:name w:val="CABNET Paragraph."/>
    <w:basedOn w:val="Normal"/>
    <w:link w:val="CABNETParagraphChar"/>
    <w:uiPriority w:val="98"/>
    <w:qFormat/>
    <w:rsid w:val="00776035"/>
    <w:pPr>
      <w:spacing w:before="120" w:line="240" w:lineRule="auto"/>
    </w:pPr>
    <w:rPr>
      <w:rFonts w:ascii="Arial" w:hAnsi="Arial" w:cstheme="minorHAnsi"/>
    </w:rPr>
  </w:style>
  <w:style w:type="table" w:customStyle="1" w:styleId="TableGrid1">
    <w:name w:val="Table Grid1"/>
    <w:basedOn w:val="TableNormal"/>
    <w:next w:val="TableGrid"/>
    <w:uiPriority w:val="39"/>
    <w:rsid w:val="00776035"/>
    <w:pPr>
      <w:spacing w:after="0" w:line="240" w:lineRule="auto"/>
    </w:pPr>
    <w:rPr>
      <w:rFonts w:ascii="Times New Roman" w:eastAsia="Times New Roman" w:hAnsi="Times New Roman" w:cs="Times New Roman"/>
      <w:color w:val="auto"/>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Char">
    <w:name w:val="subsection Char"/>
    <w:aliases w:val="ss Char"/>
    <w:basedOn w:val="DefaultParagraphFont"/>
    <w:link w:val="subsection"/>
    <w:locked/>
    <w:rsid w:val="00155ABA"/>
  </w:style>
  <w:style w:type="paragraph" w:customStyle="1" w:styleId="subsection">
    <w:name w:val="subsection"/>
    <w:aliases w:val="ss"/>
    <w:basedOn w:val="Normal"/>
    <w:link w:val="subsectionChar"/>
    <w:rsid w:val="00155ABA"/>
    <w:pPr>
      <w:spacing w:before="180" w:after="0" w:line="240" w:lineRule="auto"/>
      <w:ind w:left="1134" w:hanging="1134"/>
    </w:pPr>
  </w:style>
  <w:style w:type="character" w:customStyle="1" w:styleId="paragraphChar">
    <w:name w:val="paragraph Char"/>
    <w:aliases w:val="a Char"/>
    <w:basedOn w:val="DefaultParagraphFont"/>
    <w:link w:val="paragraph"/>
    <w:locked/>
    <w:rsid w:val="00155ABA"/>
  </w:style>
  <w:style w:type="paragraph" w:customStyle="1" w:styleId="paragraph">
    <w:name w:val="paragraph"/>
    <w:aliases w:val="a"/>
    <w:basedOn w:val="Normal"/>
    <w:link w:val="paragraphChar"/>
    <w:rsid w:val="00155ABA"/>
    <w:pPr>
      <w:spacing w:before="40" w:after="0" w:line="240" w:lineRule="auto"/>
      <w:ind w:left="1644" w:hanging="1644"/>
    </w:pPr>
  </w:style>
  <w:style w:type="table" w:styleId="GridTable4-Accent2">
    <w:name w:val="Grid Table 4 Accent 2"/>
    <w:basedOn w:val="TableNormal"/>
    <w:uiPriority w:val="49"/>
    <w:rsid w:val="006A1AD2"/>
    <w:pPr>
      <w:spacing w:after="0" w:line="240" w:lineRule="auto"/>
    </w:pPr>
    <w:tblPr>
      <w:tblStyleRowBandSize w:val="1"/>
      <w:tblStyleColBandSize w:val="1"/>
      <w:tblBorders>
        <w:top w:val="single" w:sz="4" w:space="0" w:color="0BB0FC" w:themeColor="accent2" w:themeTint="99"/>
        <w:left w:val="single" w:sz="4" w:space="0" w:color="0BB0FC" w:themeColor="accent2" w:themeTint="99"/>
        <w:bottom w:val="single" w:sz="4" w:space="0" w:color="0BB0FC" w:themeColor="accent2" w:themeTint="99"/>
        <w:right w:val="single" w:sz="4" w:space="0" w:color="0BB0FC" w:themeColor="accent2" w:themeTint="99"/>
        <w:insideH w:val="single" w:sz="4" w:space="0" w:color="0BB0FC" w:themeColor="accent2" w:themeTint="99"/>
        <w:insideV w:val="single" w:sz="4" w:space="0" w:color="0BB0FC" w:themeColor="accent2" w:themeTint="99"/>
      </w:tblBorders>
    </w:tblPr>
    <w:tblStylePr w:type="firstRow">
      <w:rPr>
        <w:b/>
        <w:bCs/>
        <w:color w:val="FFFFFF" w:themeColor="background1"/>
      </w:rPr>
      <w:tblPr/>
      <w:tcPr>
        <w:tcBorders>
          <w:top w:val="single" w:sz="4" w:space="0" w:color="014463" w:themeColor="accent2"/>
          <w:left w:val="single" w:sz="4" w:space="0" w:color="014463" w:themeColor="accent2"/>
          <w:bottom w:val="single" w:sz="4" w:space="0" w:color="014463" w:themeColor="accent2"/>
          <w:right w:val="single" w:sz="4" w:space="0" w:color="014463" w:themeColor="accent2"/>
          <w:insideH w:val="nil"/>
          <w:insideV w:val="nil"/>
        </w:tcBorders>
        <w:shd w:val="clear" w:color="auto" w:fill="014463" w:themeFill="accent2"/>
      </w:tcPr>
    </w:tblStylePr>
    <w:tblStylePr w:type="lastRow">
      <w:rPr>
        <w:b/>
        <w:bCs/>
      </w:rPr>
      <w:tblPr/>
      <w:tcPr>
        <w:tcBorders>
          <w:top w:val="double" w:sz="4" w:space="0" w:color="014463" w:themeColor="accent2"/>
        </w:tcBorders>
      </w:tcPr>
    </w:tblStylePr>
    <w:tblStylePr w:type="firstCol">
      <w:rPr>
        <w:b/>
        <w:bCs/>
      </w:rPr>
    </w:tblStylePr>
    <w:tblStylePr w:type="lastCol">
      <w:rPr>
        <w:b/>
        <w:bCs/>
      </w:rPr>
    </w:tblStylePr>
    <w:tblStylePr w:type="band1Vert">
      <w:tblPr/>
      <w:tcPr>
        <w:shd w:val="clear" w:color="auto" w:fill="ADE4FE" w:themeFill="accent2" w:themeFillTint="33"/>
      </w:tcPr>
    </w:tblStylePr>
    <w:tblStylePr w:type="band1Horz">
      <w:tblPr/>
      <w:tcPr>
        <w:shd w:val="clear" w:color="auto" w:fill="ADE4FE" w:themeFill="accent2" w:themeFillTint="33"/>
      </w:tcPr>
    </w:tblStylePr>
  </w:style>
  <w:style w:type="paragraph" w:customStyle="1" w:styleId="BoxHeading">
    <w:name w:val="Box Heading"/>
    <w:basedOn w:val="Normal"/>
    <w:next w:val="Normal"/>
    <w:rsid w:val="00737AE6"/>
    <w:pPr>
      <w:keepNext/>
      <w:spacing w:before="240" w:line="240" w:lineRule="auto"/>
    </w:pPr>
    <w:rPr>
      <w:rFonts w:ascii="Calibri Light" w:eastAsia="Times New Roman" w:hAnsi="Calibri Light" w:cs="Times New Roman"/>
      <w:b/>
      <w:color w:val="25303B" w:themeColor="accent1"/>
      <w:sz w:val="26"/>
      <w:szCs w:val="26"/>
      <w:lang w:eastAsia="en-AU"/>
    </w:rPr>
  </w:style>
  <w:style w:type="paragraph" w:customStyle="1" w:styleId="BoxText">
    <w:name w:val="Box Text"/>
    <w:basedOn w:val="Normal"/>
    <w:link w:val="BoxTextChar"/>
    <w:rsid w:val="00737AE6"/>
    <w:pPr>
      <w:spacing w:before="120" w:line="240" w:lineRule="auto"/>
    </w:pPr>
    <w:rPr>
      <w:rFonts w:ascii="Calibri Light" w:eastAsia="Times New Roman" w:hAnsi="Calibri Light" w:cs="Times New Roman"/>
      <w:color w:val="auto"/>
      <w:sz w:val="22"/>
      <w:lang w:eastAsia="en-AU"/>
    </w:rPr>
  </w:style>
  <w:style w:type="character" w:customStyle="1" w:styleId="BoxTextChar">
    <w:name w:val="Box Text Char"/>
    <w:basedOn w:val="DefaultParagraphFont"/>
    <w:link w:val="BoxText"/>
    <w:locked/>
    <w:rsid w:val="00737AE6"/>
    <w:rPr>
      <w:rFonts w:ascii="Calibri Light" w:eastAsia="Times New Roman" w:hAnsi="Calibri Light" w:cs="Times New Roman"/>
      <w:color w:val="auto"/>
      <w:sz w:val="22"/>
      <w:lang w:eastAsia="en-AU"/>
    </w:rPr>
  </w:style>
  <w:style w:type="paragraph" w:styleId="ListBullet">
    <w:name w:val="List Bullet"/>
    <w:basedOn w:val="Normal"/>
    <w:uiPriority w:val="2"/>
    <w:semiHidden/>
    <w:unhideWhenUsed/>
    <w:rsid w:val="00737AE6"/>
    <w:pPr>
      <w:numPr>
        <w:numId w:val="84"/>
      </w:numPr>
      <w:snapToGrid w:val="0"/>
      <w:spacing w:after="170" w:line="240" w:lineRule="atLeast"/>
    </w:pPr>
    <w:rPr>
      <w:rFonts w:ascii="Calibri" w:hAnsi="Calibri" w:cs="Calibri"/>
      <w:color w:val="000000"/>
    </w:rPr>
  </w:style>
  <w:style w:type="paragraph" w:styleId="ListBullet2">
    <w:name w:val="List Bullet 2"/>
    <w:basedOn w:val="Normal"/>
    <w:uiPriority w:val="2"/>
    <w:semiHidden/>
    <w:unhideWhenUsed/>
    <w:rsid w:val="00737AE6"/>
    <w:pPr>
      <w:numPr>
        <w:ilvl w:val="1"/>
        <w:numId w:val="84"/>
      </w:numPr>
      <w:snapToGrid w:val="0"/>
      <w:spacing w:after="170" w:line="240" w:lineRule="atLeast"/>
    </w:pPr>
    <w:rPr>
      <w:rFonts w:ascii="Calibri" w:hAnsi="Calibri" w:cs="Calibri"/>
      <w:color w:val="000000"/>
    </w:rPr>
  </w:style>
  <w:style w:type="paragraph" w:styleId="ListBullet3">
    <w:name w:val="List Bullet 3"/>
    <w:basedOn w:val="Normal"/>
    <w:uiPriority w:val="2"/>
    <w:semiHidden/>
    <w:unhideWhenUsed/>
    <w:rsid w:val="00737AE6"/>
    <w:pPr>
      <w:numPr>
        <w:ilvl w:val="2"/>
        <w:numId w:val="84"/>
      </w:numPr>
      <w:snapToGrid w:val="0"/>
      <w:spacing w:after="170" w:line="240" w:lineRule="atLeast"/>
    </w:pPr>
    <w:rPr>
      <w:rFonts w:ascii="Calibri" w:hAnsi="Calibri" w:cs="Calibri"/>
      <w:color w:val="000000"/>
    </w:rPr>
  </w:style>
  <w:style w:type="numbering" w:customStyle="1" w:styleId="BulletsEnergetics">
    <w:name w:val="Bullets_Energetics"/>
    <w:uiPriority w:val="99"/>
    <w:rsid w:val="00737AE6"/>
    <w:pPr>
      <w:numPr>
        <w:numId w:val="84"/>
      </w:numPr>
    </w:pPr>
  </w:style>
  <w:style w:type="paragraph" w:customStyle="1" w:styleId="Default">
    <w:name w:val="Default"/>
    <w:rsid w:val="003D4754"/>
    <w:pPr>
      <w:autoSpaceDE w:val="0"/>
      <w:autoSpaceDN w:val="0"/>
      <w:adjustRightInd w:val="0"/>
      <w:spacing w:after="0" w:line="240" w:lineRule="auto"/>
    </w:pPr>
    <w:rPr>
      <w:rFonts w:ascii="Calibri" w:hAnsi="Calibri" w:cs="Calibri"/>
      <w:color w:val="000000"/>
      <w:sz w:val="24"/>
      <w:szCs w:val="24"/>
    </w:rPr>
  </w:style>
  <w:style w:type="character" w:customStyle="1" w:styleId="BulletChar">
    <w:name w:val="Bullet Char"/>
    <w:basedOn w:val="DefaultParagraphFont"/>
    <w:link w:val="Bullet"/>
    <w:locked/>
    <w:rsid w:val="00DC4572"/>
    <w:rPr>
      <w:rFonts w:ascii="Calibri Light" w:eastAsia="Times New Roman" w:hAnsi="Calibri Light" w:cs="Times New Roman"/>
      <w:lang w:eastAsia="en-AU"/>
    </w:rPr>
  </w:style>
  <w:style w:type="paragraph" w:customStyle="1" w:styleId="Bullet">
    <w:name w:val="Bullet"/>
    <w:basedOn w:val="Normal"/>
    <w:link w:val="BulletChar"/>
    <w:qFormat/>
    <w:rsid w:val="00DC4572"/>
    <w:pPr>
      <w:numPr>
        <w:numId w:val="86"/>
      </w:numPr>
      <w:tabs>
        <w:tab w:val="left" w:pos="720"/>
      </w:tabs>
      <w:spacing w:line="276" w:lineRule="auto"/>
    </w:pPr>
    <w:rPr>
      <w:rFonts w:ascii="Calibri Light" w:eastAsia="Times New Roman" w:hAnsi="Calibri Light" w:cs="Times New Roman"/>
      <w:lang w:eastAsia="en-AU"/>
    </w:rPr>
  </w:style>
  <w:style w:type="paragraph" w:customStyle="1" w:styleId="Dash">
    <w:name w:val="Dash"/>
    <w:basedOn w:val="Normal"/>
    <w:qFormat/>
    <w:rsid w:val="00DC4572"/>
    <w:pPr>
      <w:numPr>
        <w:ilvl w:val="1"/>
        <w:numId w:val="86"/>
      </w:numPr>
      <w:spacing w:line="240" w:lineRule="auto"/>
    </w:pPr>
    <w:rPr>
      <w:rFonts w:ascii="Calibri Light" w:eastAsia="Times New Roman" w:hAnsi="Calibri Light" w:cs="Times New Roman"/>
      <w:color w:val="auto"/>
      <w:sz w:val="22"/>
      <w:lang w:eastAsia="en-AU"/>
    </w:rPr>
  </w:style>
  <w:style w:type="paragraph" w:customStyle="1" w:styleId="DoubleDot">
    <w:name w:val="Double Dot"/>
    <w:basedOn w:val="Normal"/>
    <w:qFormat/>
    <w:rsid w:val="00DC4572"/>
    <w:pPr>
      <w:numPr>
        <w:ilvl w:val="2"/>
        <w:numId w:val="86"/>
      </w:numPr>
      <w:spacing w:line="240" w:lineRule="auto"/>
    </w:pPr>
    <w:rPr>
      <w:rFonts w:ascii="Calibri Light" w:eastAsia="Times New Roman" w:hAnsi="Calibri Light" w:cs="Times New Roman"/>
      <w:color w:val="auto"/>
      <w:sz w:val="22"/>
      <w:lang w:eastAsia="en-AU"/>
    </w:rPr>
  </w:style>
  <w:style w:type="paragraph" w:customStyle="1" w:styleId="Heading1Numbered">
    <w:name w:val="Heading 1 Numbered"/>
    <w:basedOn w:val="Heading1"/>
    <w:next w:val="Normal"/>
    <w:rsid w:val="00DC4572"/>
    <w:pPr>
      <w:keepLines w:val="0"/>
      <w:numPr>
        <w:numId w:val="85"/>
      </w:numPr>
      <w:spacing w:before="600" w:after="120" w:line="460" w:lineRule="exact"/>
    </w:pPr>
    <w:rPr>
      <w:rFonts w:ascii="Calibri" w:eastAsia="Times New Roman" w:hAnsi="Calibri" w:cs="Arial"/>
      <w:color w:val="0A6446" w:themeColor="accent3"/>
      <w:kern w:val="32"/>
      <w:sz w:val="44"/>
      <w:szCs w:val="36"/>
      <w:lang w:eastAsia="en-AU"/>
    </w:rPr>
  </w:style>
  <w:style w:type="paragraph" w:customStyle="1" w:styleId="Heading2Numbered">
    <w:name w:val="Heading 2 Numbered"/>
    <w:basedOn w:val="Heading2"/>
    <w:next w:val="Normal"/>
    <w:rsid w:val="00DC4572"/>
    <w:pPr>
      <w:keepLines w:val="0"/>
      <w:numPr>
        <w:ilvl w:val="1"/>
        <w:numId w:val="85"/>
      </w:numPr>
      <w:spacing w:before="360" w:after="120" w:line="460" w:lineRule="exact"/>
    </w:pPr>
    <w:rPr>
      <w:rFonts w:ascii="Calibri" w:eastAsia="Times New Roman" w:hAnsi="Calibri" w:cs="Arial"/>
      <w:b w:val="0"/>
      <w:iCs/>
      <w:color w:val="25303B" w:themeColor="accent1"/>
      <w:kern w:val="32"/>
      <w:sz w:val="36"/>
      <w:szCs w:val="28"/>
      <w:lang w:eastAsia="en-AU"/>
    </w:rPr>
  </w:style>
  <w:style w:type="paragraph" w:customStyle="1" w:styleId="Heading3Numbered">
    <w:name w:val="Heading 3 Numbered"/>
    <w:basedOn w:val="Heading3"/>
    <w:rsid w:val="00DC4572"/>
    <w:pPr>
      <w:keepLines w:val="0"/>
      <w:numPr>
        <w:ilvl w:val="2"/>
        <w:numId w:val="85"/>
      </w:numPr>
      <w:spacing w:before="320" w:after="0" w:line="276" w:lineRule="auto"/>
    </w:pPr>
    <w:rPr>
      <w:rFonts w:ascii="Calibri" w:eastAsia="Times New Roman" w:hAnsi="Calibri" w:cs="Arial"/>
      <w:b/>
      <w:color w:val="014463" w:themeColor="accent2"/>
      <w:kern w:val="32"/>
      <w:sz w:val="28"/>
      <w:szCs w:val="26"/>
      <w:lang w:eastAsia="en-AU"/>
    </w:rPr>
  </w:style>
  <w:style w:type="character" w:customStyle="1" w:styleId="UnresolvedMention1">
    <w:name w:val="Unresolved Mention1"/>
    <w:basedOn w:val="DefaultParagraphFont"/>
    <w:uiPriority w:val="99"/>
    <w:semiHidden/>
    <w:unhideWhenUsed/>
    <w:rsid w:val="008B6118"/>
    <w:rPr>
      <w:color w:val="605E5C"/>
      <w:shd w:val="clear" w:color="auto" w:fill="E1DFDD"/>
    </w:rPr>
  </w:style>
  <w:style w:type="character" w:customStyle="1" w:styleId="UnresolvedMention2">
    <w:name w:val="Unresolved Mention2"/>
    <w:basedOn w:val="DefaultParagraphFont"/>
    <w:uiPriority w:val="99"/>
    <w:semiHidden/>
    <w:unhideWhenUsed/>
    <w:rsid w:val="009B163C"/>
    <w:rPr>
      <w:color w:val="605E5C"/>
      <w:shd w:val="clear" w:color="auto" w:fill="E1DFDD"/>
    </w:rPr>
  </w:style>
  <w:style w:type="character" w:customStyle="1" w:styleId="UnresolvedMention3">
    <w:name w:val="Unresolved Mention3"/>
    <w:basedOn w:val="DefaultParagraphFont"/>
    <w:uiPriority w:val="99"/>
    <w:semiHidden/>
    <w:unhideWhenUsed/>
    <w:rsid w:val="004F461F"/>
    <w:rPr>
      <w:color w:val="605E5C"/>
      <w:shd w:val="clear" w:color="auto" w:fill="E1DFDD"/>
    </w:rPr>
  </w:style>
  <w:style w:type="table" w:styleId="GridTable4-Accent1">
    <w:name w:val="Grid Table 4 Accent 1"/>
    <w:basedOn w:val="TableNormal"/>
    <w:uiPriority w:val="49"/>
    <w:rsid w:val="004F461F"/>
    <w:pPr>
      <w:spacing w:after="0" w:line="240" w:lineRule="auto"/>
    </w:pPr>
    <w:tblPr>
      <w:tblStyleRowBandSize w:val="1"/>
      <w:tblStyleColBandSize w:val="1"/>
      <w:tblBorders>
        <w:top w:val="single" w:sz="4" w:space="0" w:color="66829F" w:themeColor="accent1" w:themeTint="99"/>
        <w:left w:val="single" w:sz="4" w:space="0" w:color="66829F" w:themeColor="accent1" w:themeTint="99"/>
        <w:bottom w:val="single" w:sz="4" w:space="0" w:color="66829F" w:themeColor="accent1" w:themeTint="99"/>
        <w:right w:val="single" w:sz="4" w:space="0" w:color="66829F" w:themeColor="accent1" w:themeTint="99"/>
        <w:insideH w:val="single" w:sz="4" w:space="0" w:color="66829F" w:themeColor="accent1" w:themeTint="99"/>
        <w:insideV w:val="single" w:sz="4" w:space="0" w:color="66829F" w:themeColor="accent1" w:themeTint="99"/>
      </w:tblBorders>
    </w:tblPr>
    <w:tblStylePr w:type="firstRow">
      <w:rPr>
        <w:b/>
        <w:bCs/>
        <w:color w:val="FFFFFF" w:themeColor="background1"/>
      </w:rPr>
      <w:tblPr/>
      <w:tcPr>
        <w:tcBorders>
          <w:top w:val="single" w:sz="4" w:space="0" w:color="25303B" w:themeColor="accent1"/>
          <w:left w:val="single" w:sz="4" w:space="0" w:color="25303B" w:themeColor="accent1"/>
          <w:bottom w:val="single" w:sz="4" w:space="0" w:color="25303B" w:themeColor="accent1"/>
          <w:right w:val="single" w:sz="4" w:space="0" w:color="25303B" w:themeColor="accent1"/>
          <w:insideH w:val="nil"/>
          <w:insideV w:val="nil"/>
        </w:tcBorders>
        <w:shd w:val="clear" w:color="auto" w:fill="25303B" w:themeFill="accent1"/>
      </w:tcPr>
    </w:tblStylePr>
    <w:tblStylePr w:type="lastRow">
      <w:rPr>
        <w:b/>
        <w:bCs/>
      </w:rPr>
      <w:tblPr/>
      <w:tcPr>
        <w:tcBorders>
          <w:top w:val="double" w:sz="4" w:space="0" w:color="25303B" w:themeColor="accent1"/>
        </w:tcBorders>
      </w:tcPr>
    </w:tblStylePr>
    <w:tblStylePr w:type="firstCol">
      <w:rPr>
        <w:b/>
        <w:bCs/>
      </w:rPr>
    </w:tblStylePr>
    <w:tblStylePr w:type="lastCol">
      <w:rPr>
        <w:b/>
        <w:bCs/>
      </w:rPr>
    </w:tblStylePr>
    <w:tblStylePr w:type="band1Vert">
      <w:tblPr/>
      <w:tcPr>
        <w:shd w:val="clear" w:color="auto" w:fill="CCD5DF" w:themeFill="accent1" w:themeFillTint="33"/>
      </w:tcPr>
    </w:tblStylePr>
    <w:tblStylePr w:type="band1Horz">
      <w:tblPr/>
      <w:tcPr>
        <w:shd w:val="clear" w:color="auto" w:fill="CCD5DF" w:themeFill="accent1" w:themeFillTint="33"/>
      </w:tcPr>
    </w:tblStylePr>
  </w:style>
  <w:style w:type="paragraph" w:customStyle="1" w:styleId="paragraphsub">
    <w:name w:val="paragraph(sub)"/>
    <w:aliases w:val="aa"/>
    <w:basedOn w:val="Normal"/>
    <w:rsid w:val="009B3CDE"/>
    <w:pPr>
      <w:tabs>
        <w:tab w:val="right" w:pos="1985"/>
      </w:tabs>
      <w:spacing w:before="40" w:after="0" w:line="240" w:lineRule="auto"/>
      <w:ind w:left="2098" w:hanging="2098"/>
    </w:pPr>
    <w:rPr>
      <w:rFonts w:ascii="Times New Roman" w:eastAsia="Times New Roman" w:hAnsi="Times New Roman" w:cs="Times New Roman"/>
      <w:color w:val="auto"/>
      <w:sz w:val="22"/>
      <w:lang w:eastAsia="en-AU"/>
    </w:rPr>
  </w:style>
  <w:style w:type="table" w:customStyle="1" w:styleId="TableGrid6">
    <w:name w:val="Table Grid6"/>
    <w:basedOn w:val="TableNormal"/>
    <w:uiPriority w:val="39"/>
    <w:rsid w:val="00187FC2"/>
    <w:pPr>
      <w:spacing w:after="0" w:line="240" w:lineRule="auto"/>
    </w:pPr>
    <w:rPr>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 Bullet 2"/>
    <w:basedOn w:val="TableBullet"/>
    <w:uiPriority w:val="4"/>
    <w:rsid w:val="00187FC2"/>
    <w:pPr>
      <w:numPr>
        <w:numId w:val="0"/>
      </w:numPr>
      <w:tabs>
        <w:tab w:val="num" w:pos="454"/>
      </w:tabs>
      <w:spacing w:before="60" w:after="60"/>
      <w:ind w:left="340" w:hanging="170"/>
    </w:pPr>
    <w:rPr>
      <w:rFonts w:eastAsia="Times New Roman" w:cs="Times New Roman"/>
      <w:color w:val="auto"/>
      <w:sz w:val="20"/>
      <w:szCs w:val="24"/>
      <w:lang w:eastAsia="en-AU"/>
    </w:rPr>
  </w:style>
  <w:style w:type="table" w:customStyle="1" w:styleId="TableGrid34">
    <w:name w:val="Table Grid34"/>
    <w:basedOn w:val="TableNormal"/>
    <w:uiPriority w:val="39"/>
    <w:rsid w:val="00187FC2"/>
    <w:pPr>
      <w:spacing w:after="0" w:line="240" w:lineRule="auto"/>
    </w:pPr>
    <w:rPr>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Bullet">
    <w:name w:val="List_TableBullet"/>
    <w:uiPriority w:val="99"/>
    <w:rsid w:val="00187FC2"/>
    <w:pPr>
      <w:numPr>
        <w:numId w:val="96"/>
      </w:numPr>
    </w:pPr>
  </w:style>
  <w:style w:type="paragraph" w:customStyle="1" w:styleId="TableText">
    <w:name w:val="TableText"/>
    <w:basedOn w:val="Normal"/>
    <w:rsid w:val="00F042F6"/>
    <w:pPr>
      <w:spacing w:before="120" w:line="240" w:lineRule="auto"/>
    </w:pPr>
    <w:rPr>
      <w:rFonts w:ascii="Century Gothic" w:hAnsi="Century Gothic" w:cs="Times New Roman"/>
      <w:color w:val="auto"/>
    </w:rPr>
  </w:style>
  <w:style w:type="character" w:customStyle="1" w:styleId="normaltextrun">
    <w:name w:val="normaltextrun"/>
    <w:basedOn w:val="DefaultParagraphFont"/>
    <w:rsid w:val="007B383E"/>
  </w:style>
  <w:style w:type="character" w:customStyle="1" w:styleId="eop">
    <w:name w:val="eop"/>
    <w:basedOn w:val="DefaultParagraphFont"/>
    <w:rsid w:val="007B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0279">
      <w:bodyDiv w:val="1"/>
      <w:marLeft w:val="0"/>
      <w:marRight w:val="0"/>
      <w:marTop w:val="0"/>
      <w:marBottom w:val="0"/>
      <w:divBdr>
        <w:top w:val="none" w:sz="0" w:space="0" w:color="auto"/>
        <w:left w:val="none" w:sz="0" w:space="0" w:color="auto"/>
        <w:bottom w:val="none" w:sz="0" w:space="0" w:color="auto"/>
        <w:right w:val="none" w:sz="0" w:space="0" w:color="auto"/>
      </w:divBdr>
    </w:div>
    <w:div w:id="231619322">
      <w:bodyDiv w:val="1"/>
      <w:marLeft w:val="0"/>
      <w:marRight w:val="0"/>
      <w:marTop w:val="0"/>
      <w:marBottom w:val="0"/>
      <w:divBdr>
        <w:top w:val="none" w:sz="0" w:space="0" w:color="auto"/>
        <w:left w:val="none" w:sz="0" w:space="0" w:color="auto"/>
        <w:bottom w:val="none" w:sz="0" w:space="0" w:color="auto"/>
        <w:right w:val="none" w:sz="0" w:space="0" w:color="auto"/>
      </w:divBdr>
    </w:div>
    <w:div w:id="315493951">
      <w:bodyDiv w:val="1"/>
      <w:marLeft w:val="0"/>
      <w:marRight w:val="0"/>
      <w:marTop w:val="0"/>
      <w:marBottom w:val="0"/>
      <w:divBdr>
        <w:top w:val="none" w:sz="0" w:space="0" w:color="auto"/>
        <w:left w:val="none" w:sz="0" w:space="0" w:color="auto"/>
        <w:bottom w:val="none" w:sz="0" w:space="0" w:color="auto"/>
        <w:right w:val="none" w:sz="0" w:space="0" w:color="auto"/>
      </w:divBdr>
    </w:div>
    <w:div w:id="327026678">
      <w:bodyDiv w:val="1"/>
      <w:marLeft w:val="0"/>
      <w:marRight w:val="0"/>
      <w:marTop w:val="0"/>
      <w:marBottom w:val="0"/>
      <w:divBdr>
        <w:top w:val="none" w:sz="0" w:space="0" w:color="auto"/>
        <w:left w:val="none" w:sz="0" w:space="0" w:color="auto"/>
        <w:bottom w:val="none" w:sz="0" w:space="0" w:color="auto"/>
        <w:right w:val="none" w:sz="0" w:space="0" w:color="auto"/>
      </w:divBdr>
      <w:divsChild>
        <w:div w:id="427582345">
          <w:marLeft w:val="547"/>
          <w:marRight w:val="0"/>
          <w:marTop w:val="0"/>
          <w:marBottom w:val="0"/>
          <w:divBdr>
            <w:top w:val="none" w:sz="0" w:space="0" w:color="auto"/>
            <w:left w:val="none" w:sz="0" w:space="0" w:color="auto"/>
            <w:bottom w:val="none" w:sz="0" w:space="0" w:color="auto"/>
            <w:right w:val="none" w:sz="0" w:space="0" w:color="auto"/>
          </w:divBdr>
        </w:div>
      </w:divsChild>
    </w:div>
    <w:div w:id="328993832">
      <w:bodyDiv w:val="1"/>
      <w:marLeft w:val="0"/>
      <w:marRight w:val="0"/>
      <w:marTop w:val="0"/>
      <w:marBottom w:val="0"/>
      <w:divBdr>
        <w:top w:val="none" w:sz="0" w:space="0" w:color="auto"/>
        <w:left w:val="none" w:sz="0" w:space="0" w:color="auto"/>
        <w:bottom w:val="none" w:sz="0" w:space="0" w:color="auto"/>
        <w:right w:val="none" w:sz="0" w:space="0" w:color="auto"/>
      </w:divBdr>
    </w:div>
    <w:div w:id="340279826">
      <w:bodyDiv w:val="1"/>
      <w:marLeft w:val="0"/>
      <w:marRight w:val="0"/>
      <w:marTop w:val="0"/>
      <w:marBottom w:val="0"/>
      <w:divBdr>
        <w:top w:val="none" w:sz="0" w:space="0" w:color="auto"/>
        <w:left w:val="none" w:sz="0" w:space="0" w:color="auto"/>
        <w:bottom w:val="none" w:sz="0" w:space="0" w:color="auto"/>
        <w:right w:val="none" w:sz="0" w:space="0" w:color="auto"/>
      </w:divBdr>
    </w:div>
    <w:div w:id="370106427">
      <w:bodyDiv w:val="1"/>
      <w:marLeft w:val="0"/>
      <w:marRight w:val="0"/>
      <w:marTop w:val="0"/>
      <w:marBottom w:val="0"/>
      <w:divBdr>
        <w:top w:val="none" w:sz="0" w:space="0" w:color="auto"/>
        <w:left w:val="none" w:sz="0" w:space="0" w:color="auto"/>
        <w:bottom w:val="none" w:sz="0" w:space="0" w:color="auto"/>
        <w:right w:val="none" w:sz="0" w:space="0" w:color="auto"/>
      </w:divBdr>
    </w:div>
    <w:div w:id="400372629">
      <w:bodyDiv w:val="1"/>
      <w:marLeft w:val="0"/>
      <w:marRight w:val="0"/>
      <w:marTop w:val="0"/>
      <w:marBottom w:val="0"/>
      <w:divBdr>
        <w:top w:val="none" w:sz="0" w:space="0" w:color="auto"/>
        <w:left w:val="none" w:sz="0" w:space="0" w:color="auto"/>
        <w:bottom w:val="none" w:sz="0" w:space="0" w:color="auto"/>
        <w:right w:val="none" w:sz="0" w:space="0" w:color="auto"/>
      </w:divBdr>
    </w:div>
    <w:div w:id="434600790">
      <w:bodyDiv w:val="1"/>
      <w:marLeft w:val="0"/>
      <w:marRight w:val="0"/>
      <w:marTop w:val="0"/>
      <w:marBottom w:val="0"/>
      <w:divBdr>
        <w:top w:val="none" w:sz="0" w:space="0" w:color="auto"/>
        <w:left w:val="none" w:sz="0" w:space="0" w:color="auto"/>
        <w:bottom w:val="none" w:sz="0" w:space="0" w:color="auto"/>
        <w:right w:val="none" w:sz="0" w:space="0" w:color="auto"/>
      </w:divBdr>
    </w:div>
    <w:div w:id="462357458">
      <w:bodyDiv w:val="1"/>
      <w:marLeft w:val="0"/>
      <w:marRight w:val="0"/>
      <w:marTop w:val="0"/>
      <w:marBottom w:val="0"/>
      <w:divBdr>
        <w:top w:val="none" w:sz="0" w:space="0" w:color="auto"/>
        <w:left w:val="none" w:sz="0" w:space="0" w:color="auto"/>
        <w:bottom w:val="none" w:sz="0" w:space="0" w:color="auto"/>
        <w:right w:val="none" w:sz="0" w:space="0" w:color="auto"/>
      </w:divBdr>
    </w:div>
    <w:div w:id="582301253">
      <w:bodyDiv w:val="1"/>
      <w:marLeft w:val="0"/>
      <w:marRight w:val="0"/>
      <w:marTop w:val="0"/>
      <w:marBottom w:val="0"/>
      <w:divBdr>
        <w:top w:val="none" w:sz="0" w:space="0" w:color="auto"/>
        <w:left w:val="none" w:sz="0" w:space="0" w:color="auto"/>
        <w:bottom w:val="none" w:sz="0" w:space="0" w:color="auto"/>
        <w:right w:val="none" w:sz="0" w:space="0" w:color="auto"/>
      </w:divBdr>
    </w:div>
    <w:div w:id="641732981">
      <w:bodyDiv w:val="1"/>
      <w:marLeft w:val="0"/>
      <w:marRight w:val="0"/>
      <w:marTop w:val="0"/>
      <w:marBottom w:val="0"/>
      <w:divBdr>
        <w:top w:val="none" w:sz="0" w:space="0" w:color="auto"/>
        <w:left w:val="none" w:sz="0" w:space="0" w:color="auto"/>
        <w:bottom w:val="none" w:sz="0" w:space="0" w:color="auto"/>
        <w:right w:val="none" w:sz="0" w:space="0" w:color="auto"/>
      </w:divBdr>
    </w:div>
    <w:div w:id="798113763">
      <w:bodyDiv w:val="1"/>
      <w:marLeft w:val="0"/>
      <w:marRight w:val="0"/>
      <w:marTop w:val="0"/>
      <w:marBottom w:val="0"/>
      <w:divBdr>
        <w:top w:val="none" w:sz="0" w:space="0" w:color="auto"/>
        <w:left w:val="none" w:sz="0" w:space="0" w:color="auto"/>
        <w:bottom w:val="none" w:sz="0" w:space="0" w:color="auto"/>
        <w:right w:val="none" w:sz="0" w:space="0" w:color="auto"/>
      </w:divBdr>
    </w:div>
    <w:div w:id="844827460">
      <w:bodyDiv w:val="1"/>
      <w:marLeft w:val="0"/>
      <w:marRight w:val="0"/>
      <w:marTop w:val="0"/>
      <w:marBottom w:val="0"/>
      <w:divBdr>
        <w:top w:val="none" w:sz="0" w:space="0" w:color="auto"/>
        <w:left w:val="none" w:sz="0" w:space="0" w:color="auto"/>
        <w:bottom w:val="none" w:sz="0" w:space="0" w:color="auto"/>
        <w:right w:val="none" w:sz="0" w:space="0" w:color="auto"/>
      </w:divBdr>
    </w:div>
    <w:div w:id="950815582">
      <w:bodyDiv w:val="1"/>
      <w:marLeft w:val="0"/>
      <w:marRight w:val="0"/>
      <w:marTop w:val="0"/>
      <w:marBottom w:val="0"/>
      <w:divBdr>
        <w:top w:val="none" w:sz="0" w:space="0" w:color="auto"/>
        <w:left w:val="none" w:sz="0" w:space="0" w:color="auto"/>
        <w:bottom w:val="none" w:sz="0" w:space="0" w:color="auto"/>
        <w:right w:val="none" w:sz="0" w:space="0" w:color="auto"/>
      </w:divBdr>
    </w:div>
    <w:div w:id="1049106272">
      <w:bodyDiv w:val="1"/>
      <w:marLeft w:val="0"/>
      <w:marRight w:val="0"/>
      <w:marTop w:val="0"/>
      <w:marBottom w:val="0"/>
      <w:divBdr>
        <w:top w:val="none" w:sz="0" w:space="0" w:color="auto"/>
        <w:left w:val="none" w:sz="0" w:space="0" w:color="auto"/>
        <w:bottom w:val="none" w:sz="0" w:space="0" w:color="auto"/>
        <w:right w:val="none" w:sz="0" w:space="0" w:color="auto"/>
      </w:divBdr>
      <w:divsChild>
        <w:div w:id="405153292">
          <w:marLeft w:val="547"/>
          <w:marRight w:val="0"/>
          <w:marTop w:val="0"/>
          <w:marBottom w:val="0"/>
          <w:divBdr>
            <w:top w:val="none" w:sz="0" w:space="0" w:color="auto"/>
            <w:left w:val="none" w:sz="0" w:space="0" w:color="auto"/>
            <w:bottom w:val="none" w:sz="0" w:space="0" w:color="auto"/>
            <w:right w:val="none" w:sz="0" w:space="0" w:color="auto"/>
          </w:divBdr>
        </w:div>
      </w:divsChild>
    </w:div>
    <w:div w:id="1052734997">
      <w:bodyDiv w:val="1"/>
      <w:marLeft w:val="0"/>
      <w:marRight w:val="0"/>
      <w:marTop w:val="0"/>
      <w:marBottom w:val="0"/>
      <w:divBdr>
        <w:top w:val="none" w:sz="0" w:space="0" w:color="auto"/>
        <w:left w:val="none" w:sz="0" w:space="0" w:color="auto"/>
        <w:bottom w:val="none" w:sz="0" w:space="0" w:color="auto"/>
        <w:right w:val="none" w:sz="0" w:space="0" w:color="auto"/>
      </w:divBdr>
    </w:div>
    <w:div w:id="1190948439">
      <w:bodyDiv w:val="1"/>
      <w:marLeft w:val="0"/>
      <w:marRight w:val="0"/>
      <w:marTop w:val="0"/>
      <w:marBottom w:val="0"/>
      <w:divBdr>
        <w:top w:val="none" w:sz="0" w:space="0" w:color="auto"/>
        <w:left w:val="none" w:sz="0" w:space="0" w:color="auto"/>
        <w:bottom w:val="none" w:sz="0" w:space="0" w:color="auto"/>
        <w:right w:val="none" w:sz="0" w:space="0" w:color="auto"/>
      </w:divBdr>
      <w:divsChild>
        <w:div w:id="912157248">
          <w:marLeft w:val="547"/>
          <w:marRight w:val="0"/>
          <w:marTop w:val="0"/>
          <w:marBottom w:val="0"/>
          <w:divBdr>
            <w:top w:val="none" w:sz="0" w:space="0" w:color="auto"/>
            <w:left w:val="none" w:sz="0" w:space="0" w:color="auto"/>
            <w:bottom w:val="none" w:sz="0" w:space="0" w:color="auto"/>
            <w:right w:val="none" w:sz="0" w:space="0" w:color="auto"/>
          </w:divBdr>
        </w:div>
      </w:divsChild>
    </w:div>
    <w:div w:id="1273054280">
      <w:bodyDiv w:val="1"/>
      <w:marLeft w:val="0"/>
      <w:marRight w:val="0"/>
      <w:marTop w:val="0"/>
      <w:marBottom w:val="0"/>
      <w:divBdr>
        <w:top w:val="none" w:sz="0" w:space="0" w:color="auto"/>
        <w:left w:val="none" w:sz="0" w:space="0" w:color="auto"/>
        <w:bottom w:val="none" w:sz="0" w:space="0" w:color="auto"/>
        <w:right w:val="none" w:sz="0" w:space="0" w:color="auto"/>
      </w:divBdr>
    </w:div>
    <w:div w:id="1276714855">
      <w:bodyDiv w:val="1"/>
      <w:marLeft w:val="0"/>
      <w:marRight w:val="0"/>
      <w:marTop w:val="0"/>
      <w:marBottom w:val="0"/>
      <w:divBdr>
        <w:top w:val="none" w:sz="0" w:space="0" w:color="auto"/>
        <w:left w:val="none" w:sz="0" w:space="0" w:color="auto"/>
        <w:bottom w:val="none" w:sz="0" w:space="0" w:color="auto"/>
        <w:right w:val="none" w:sz="0" w:space="0" w:color="auto"/>
      </w:divBdr>
    </w:div>
    <w:div w:id="1430546682">
      <w:bodyDiv w:val="1"/>
      <w:marLeft w:val="0"/>
      <w:marRight w:val="0"/>
      <w:marTop w:val="0"/>
      <w:marBottom w:val="0"/>
      <w:divBdr>
        <w:top w:val="none" w:sz="0" w:space="0" w:color="auto"/>
        <w:left w:val="none" w:sz="0" w:space="0" w:color="auto"/>
        <w:bottom w:val="none" w:sz="0" w:space="0" w:color="auto"/>
        <w:right w:val="none" w:sz="0" w:space="0" w:color="auto"/>
      </w:divBdr>
    </w:div>
    <w:div w:id="1436630297">
      <w:bodyDiv w:val="1"/>
      <w:marLeft w:val="0"/>
      <w:marRight w:val="0"/>
      <w:marTop w:val="0"/>
      <w:marBottom w:val="0"/>
      <w:divBdr>
        <w:top w:val="none" w:sz="0" w:space="0" w:color="auto"/>
        <w:left w:val="none" w:sz="0" w:space="0" w:color="auto"/>
        <w:bottom w:val="none" w:sz="0" w:space="0" w:color="auto"/>
        <w:right w:val="none" w:sz="0" w:space="0" w:color="auto"/>
      </w:divBdr>
    </w:div>
    <w:div w:id="1612475197">
      <w:bodyDiv w:val="1"/>
      <w:marLeft w:val="0"/>
      <w:marRight w:val="0"/>
      <w:marTop w:val="0"/>
      <w:marBottom w:val="0"/>
      <w:divBdr>
        <w:top w:val="none" w:sz="0" w:space="0" w:color="auto"/>
        <w:left w:val="none" w:sz="0" w:space="0" w:color="auto"/>
        <w:bottom w:val="none" w:sz="0" w:space="0" w:color="auto"/>
        <w:right w:val="none" w:sz="0" w:space="0" w:color="auto"/>
      </w:divBdr>
    </w:div>
    <w:div w:id="1622833235">
      <w:bodyDiv w:val="1"/>
      <w:marLeft w:val="0"/>
      <w:marRight w:val="0"/>
      <w:marTop w:val="0"/>
      <w:marBottom w:val="0"/>
      <w:divBdr>
        <w:top w:val="none" w:sz="0" w:space="0" w:color="auto"/>
        <w:left w:val="none" w:sz="0" w:space="0" w:color="auto"/>
        <w:bottom w:val="none" w:sz="0" w:space="0" w:color="auto"/>
        <w:right w:val="none" w:sz="0" w:space="0" w:color="auto"/>
      </w:divBdr>
    </w:div>
    <w:div w:id="1695765247">
      <w:bodyDiv w:val="1"/>
      <w:marLeft w:val="0"/>
      <w:marRight w:val="0"/>
      <w:marTop w:val="0"/>
      <w:marBottom w:val="0"/>
      <w:divBdr>
        <w:top w:val="none" w:sz="0" w:space="0" w:color="auto"/>
        <w:left w:val="none" w:sz="0" w:space="0" w:color="auto"/>
        <w:bottom w:val="none" w:sz="0" w:space="0" w:color="auto"/>
        <w:right w:val="none" w:sz="0" w:space="0" w:color="auto"/>
      </w:divBdr>
    </w:div>
    <w:div w:id="1767574687">
      <w:bodyDiv w:val="1"/>
      <w:marLeft w:val="0"/>
      <w:marRight w:val="0"/>
      <w:marTop w:val="0"/>
      <w:marBottom w:val="0"/>
      <w:divBdr>
        <w:top w:val="none" w:sz="0" w:space="0" w:color="auto"/>
        <w:left w:val="none" w:sz="0" w:space="0" w:color="auto"/>
        <w:bottom w:val="none" w:sz="0" w:space="0" w:color="auto"/>
        <w:right w:val="none" w:sz="0" w:space="0" w:color="auto"/>
      </w:divBdr>
    </w:div>
    <w:div w:id="1935551793">
      <w:bodyDiv w:val="1"/>
      <w:marLeft w:val="0"/>
      <w:marRight w:val="0"/>
      <w:marTop w:val="0"/>
      <w:marBottom w:val="0"/>
      <w:divBdr>
        <w:top w:val="none" w:sz="0" w:space="0" w:color="auto"/>
        <w:left w:val="none" w:sz="0" w:space="0" w:color="auto"/>
        <w:bottom w:val="none" w:sz="0" w:space="0" w:color="auto"/>
        <w:right w:val="none" w:sz="0" w:space="0" w:color="auto"/>
      </w:divBdr>
    </w:div>
    <w:div w:id="2049647303">
      <w:bodyDiv w:val="1"/>
      <w:marLeft w:val="0"/>
      <w:marRight w:val="0"/>
      <w:marTop w:val="0"/>
      <w:marBottom w:val="0"/>
      <w:divBdr>
        <w:top w:val="none" w:sz="0" w:space="0" w:color="auto"/>
        <w:left w:val="none" w:sz="0" w:space="0" w:color="auto"/>
        <w:bottom w:val="none" w:sz="0" w:space="0" w:color="auto"/>
        <w:right w:val="none" w:sz="0" w:space="0" w:color="auto"/>
      </w:divBdr>
    </w:div>
    <w:div w:id="2049913213">
      <w:bodyDiv w:val="1"/>
      <w:marLeft w:val="0"/>
      <w:marRight w:val="0"/>
      <w:marTop w:val="0"/>
      <w:marBottom w:val="0"/>
      <w:divBdr>
        <w:top w:val="none" w:sz="0" w:space="0" w:color="auto"/>
        <w:left w:val="none" w:sz="0" w:space="0" w:color="auto"/>
        <w:bottom w:val="none" w:sz="0" w:space="0" w:color="auto"/>
        <w:right w:val="none" w:sz="0" w:space="0" w:color="auto"/>
      </w:divBdr>
    </w:div>
    <w:div w:id="2056465639">
      <w:bodyDiv w:val="1"/>
      <w:marLeft w:val="0"/>
      <w:marRight w:val="0"/>
      <w:marTop w:val="0"/>
      <w:marBottom w:val="0"/>
      <w:divBdr>
        <w:top w:val="none" w:sz="0" w:space="0" w:color="auto"/>
        <w:left w:val="none" w:sz="0" w:space="0" w:color="auto"/>
        <w:bottom w:val="none" w:sz="0" w:space="0" w:color="auto"/>
        <w:right w:val="none" w:sz="0" w:space="0" w:color="auto"/>
      </w:divBdr>
    </w:div>
    <w:div w:id="2091805201">
      <w:bodyDiv w:val="1"/>
      <w:marLeft w:val="0"/>
      <w:marRight w:val="0"/>
      <w:marTop w:val="0"/>
      <w:marBottom w:val="0"/>
      <w:divBdr>
        <w:top w:val="none" w:sz="0" w:space="0" w:color="auto"/>
        <w:left w:val="none" w:sz="0" w:space="0" w:color="auto"/>
        <w:bottom w:val="none" w:sz="0" w:space="0" w:color="auto"/>
        <w:right w:val="none" w:sz="0" w:space="0" w:color="auto"/>
      </w:divBdr>
    </w:div>
    <w:div w:id="2092387094">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diagramLayout" Target="diagrams/layout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consult.dcceew.gov.au/safeguard-mechanism-reform-consult-on-desig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diagramData" Target="diagrams/data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microsoft.com/office/2007/relationships/diagramDrawing" Target="diagrams/drawing1.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diagramColors" Target="diagrams/colors1.xml"/><Relationship Id="rId30"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dcceew.gov.au/sites/default/files/documents/australias-emissions-projections-2022.pdf" TargetMode="External"/><Relationship Id="rId13" Type="http://schemas.openxmlformats.org/officeDocument/2006/relationships/hyperlink" Target="https://www.epa.gov/system/files/documents/2022-11/epa_scghg_report_draft_0.pdf" TargetMode="External"/><Relationship Id="rId3" Type="http://schemas.openxmlformats.org/officeDocument/2006/relationships/hyperlink" Target="https://minister.dcceew.gov.au/bowen/speeches/climate-change-shared-economic-plan-shared-challenge" TargetMode="External"/><Relationship Id="rId7" Type="http://schemas.openxmlformats.org/officeDocument/2006/relationships/hyperlink" Target="https://www.dcceew.gov.au/sites/default/files/documents/australias-emissions-projections-2022.pdf" TargetMode="External"/><Relationship Id="rId12" Type="http://schemas.openxmlformats.org/officeDocument/2006/relationships/hyperlink" Target="https://keystone-alp.s3-ap-southeast-2.amazonaws.com/prod/61a9693a3f3c53001f975017-PoweringAustralia.pdf" TargetMode="External"/><Relationship Id="rId2" Type="http://schemas.openxmlformats.org/officeDocument/2006/relationships/hyperlink" Target="https://unfccc.int/sites/default/files/NDC/2022-06/Australias%20NDC%20June%202022%20Update%20%283%29.pdf" TargetMode="External"/><Relationship Id="rId16" Type="http://schemas.openxmlformats.org/officeDocument/2006/relationships/hyperlink" Target="https://consult.dcceew.gov.au/safeguard-mechanism-reform-consult-on-design" TargetMode="External"/><Relationship Id="rId1" Type="http://schemas.openxmlformats.org/officeDocument/2006/relationships/hyperlink" Target="https://unfccc.int/sites/default/files/NDC/2022-06/Australias%20NDC%20June%202022%20Update%20%283%29.pdf" TargetMode="External"/><Relationship Id="rId6" Type="http://schemas.openxmlformats.org/officeDocument/2006/relationships/hyperlink" Target="https://www.cleanenergyregulator.gov.au/NGER/The-safeguard-mechanism/safeguard-data/safeguard-facility-reported-emissions" TargetMode="External"/><Relationship Id="rId11" Type="http://schemas.openxmlformats.org/officeDocument/2006/relationships/hyperlink" Target="https://storage.googleapis.com/files-au-climate/climate-au/p/prj23cd662ff4387d8c254ae/public_assets/Safeguard%20Mechanism%20Reforms%20Position%20Paper.pdf" TargetMode="External"/><Relationship Id="rId5" Type="http://schemas.openxmlformats.org/officeDocument/2006/relationships/hyperlink" Target="https://www.dcceew.gov.au/sites/default/files/documents/australias-emissions-projections-2022.pdf" TargetMode="External"/><Relationship Id="rId15" Type="http://schemas.openxmlformats.org/officeDocument/2006/relationships/hyperlink" Target="https://consult.dcceew.gov.au/safeguard-mechanism-reform-consultation" TargetMode="External"/><Relationship Id="rId10" Type="http://schemas.openxmlformats.org/officeDocument/2006/relationships/hyperlink" Target="https://storage.googleapis.com/converlens-au-industry/industry/p/prj2135e8da0cf17d76c70fc/public_assets/Safeguard-Mechanism-consultation-paper.PDF" TargetMode="External"/><Relationship Id="rId4" Type="http://schemas.openxmlformats.org/officeDocument/2006/relationships/hyperlink" Target="https://www.cleanenergyregulator.gov.au/DocumentAssets/Pages/2020-21-Safeguard-facility-data.aspx" TargetMode="External"/><Relationship Id="rId9" Type="http://schemas.openxmlformats.org/officeDocument/2006/relationships/hyperlink" Target="https://storage.googleapis.com/converlens-au-industry/industry/p/prj2135e8da0cf17d76c70fc/public_assets/Safeguard-Mechanism-consultation-paper.PDF" TargetMode="External"/><Relationship Id="rId14" Type="http://schemas.openxmlformats.org/officeDocument/2006/relationships/hyperlink" Target="https://consult.dcceew.gov.au/safeguard-mechanism-reform-consultation-paper" TargetMode="Externa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9F4BAF-F83E-4F20-BEE2-60CFC63F0B4D}" type="doc">
      <dgm:prSet loTypeId="urn:microsoft.com/office/officeart/2005/8/layout/hList1" loCatId="list" qsTypeId="urn:microsoft.com/office/officeart/2005/8/quickstyle/simple1" qsCatId="simple" csTypeId="urn:microsoft.com/office/officeart/2005/8/colors/accent2_5" csCatId="accent2" phldr="1"/>
      <dgm:spPr/>
      <dgm:t>
        <a:bodyPr/>
        <a:lstStyle/>
        <a:p>
          <a:endParaRPr lang="en-AU"/>
        </a:p>
      </dgm:t>
    </dgm:pt>
    <dgm:pt modelId="{0F52C4E1-2B3B-4485-9D83-E70520AFD405}">
      <dgm:prSet phldrT="[Text]" custT="1"/>
      <dgm:spPr/>
      <dgm:t>
        <a:bodyPr/>
        <a:lstStyle/>
        <a:p>
          <a:r>
            <a:rPr lang="en-AU" sz="1100" b="1"/>
            <a:t>Effective</a:t>
          </a:r>
        </a:p>
      </dgm:t>
    </dgm:pt>
    <dgm:pt modelId="{3F147688-4AB3-4E4D-A901-E9C29B1B9543}" type="parTrans" cxnId="{2716A028-FD05-44F3-8ADD-27FEBE1873FB}">
      <dgm:prSet/>
      <dgm:spPr/>
      <dgm:t>
        <a:bodyPr/>
        <a:lstStyle/>
        <a:p>
          <a:endParaRPr lang="en-AU" sz="1100"/>
        </a:p>
      </dgm:t>
    </dgm:pt>
    <dgm:pt modelId="{3E108096-5F89-40AA-97B1-49896B683AF5}" type="sibTrans" cxnId="{2716A028-FD05-44F3-8ADD-27FEBE1873FB}">
      <dgm:prSet/>
      <dgm:spPr/>
      <dgm:t>
        <a:bodyPr/>
        <a:lstStyle/>
        <a:p>
          <a:endParaRPr lang="en-AU" sz="1100"/>
        </a:p>
      </dgm:t>
    </dgm:pt>
    <dgm:pt modelId="{D3EE0E60-E92F-4D00-8E61-5C15884CDF14}">
      <dgm:prSet phldrT="[Text]" custT="1"/>
      <dgm:spPr/>
      <dgm:t>
        <a:bodyPr/>
        <a:lstStyle/>
        <a:p>
          <a:r>
            <a:rPr lang="en-AU" sz="1100" b="1"/>
            <a:t>Efficient</a:t>
          </a:r>
        </a:p>
      </dgm:t>
    </dgm:pt>
    <dgm:pt modelId="{3CD1BAD5-740D-45D1-A0E4-5530E05C1728}" type="parTrans" cxnId="{36C189F7-E0FB-4D2A-8E1C-C08DCE15D789}">
      <dgm:prSet/>
      <dgm:spPr/>
      <dgm:t>
        <a:bodyPr/>
        <a:lstStyle/>
        <a:p>
          <a:endParaRPr lang="en-AU" sz="1100"/>
        </a:p>
      </dgm:t>
    </dgm:pt>
    <dgm:pt modelId="{BA006977-8860-4EF7-B112-311309045F24}" type="sibTrans" cxnId="{36C189F7-E0FB-4D2A-8E1C-C08DCE15D789}">
      <dgm:prSet/>
      <dgm:spPr/>
      <dgm:t>
        <a:bodyPr/>
        <a:lstStyle/>
        <a:p>
          <a:endParaRPr lang="en-AU" sz="1100"/>
        </a:p>
      </dgm:t>
    </dgm:pt>
    <dgm:pt modelId="{7914E1BE-ED73-4846-AAEB-14B1FBD470FE}">
      <dgm:prSet phldrT="[Text]" custT="1"/>
      <dgm:spPr/>
      <dgm:t>
        <a:bodyPr/>
        <a:lstStyle/>
        <a:p>
          <a:r>
            <a:rPr lang="en-AU" sz="1100"/>
            <a:t> Allows the market to find the lowest cost abatement wherever it occurs and encourages production where it is least emissions-intensive</a:t>
          </a:r>
        </a:p>
      </dgm:t>
    </dgm:pt>
    <dgm:pt modelId="{27C9DC31-5276-4132-9C2D-EA84601BCDF1}" type="parTrans" cxnId="{C5CD3F6F-5D12-4943-AA15-C00C044CF441}">
      <dgm:prSet/>
      <dgm:spPr/>
      <dgm:t>
        <a:bodyPr/>
        <a:lstStyle/>
        <a:p>
          <a:endParaRPr lang="en-AU" sz="1100"/>
        </a:p>
      </dgm:t>
    </dgm:pt>
    <dgm:pt modelId="{D372E979-CCD4-40B0-8205-19C343542375}" type="sibTrans" cxnId="{C5CD3F6F-5D12-4943-AA15-C00C044CF441}">
      <dgm:prSet/>
      <dgm:spPr/>
      <dgm:t>
        <a:bodyPr/>
        <a:lstStyle/>
        <a:p>
          <a:endParaRPr lang="en-AU" sz="1100"/>
        </a:p>
      </dgm:t>
    </dgm:pt>
    <dgm:pt modelId="{0A83374C-E6DC-43E1-8324-13CB9E36C377}">
      <dgm:prSet phldrT="[Text]" custT="1"/>
      <dgm:spPr/>
      <dgm:t>
        <a:bodyPr/>
        <a:lstStyle/>
        <a:p>
          <a:r>
            <a:rPr lang="en-AU" sz="1100"/>
            <a:t> Baselines are set on a consistent and transparent basis and achieve an equitable distribution of the costs and benefits</a:t>
          </a:r>
        </a:p>
      </dgm:t>
    </dgm:pt>
    <dgm:pt modelId="{A5542271-7B5E-4D3D-9E3B-80506813C305}">
      <dgm:prSet phldrT="[Text]" custT="1"/>
      <dgm:spPr/>
      <dgm:t>
        <a:bodyPr/>
        <a:lstStyle/>
        <a:p>
          <a:r>
            <a:rPr lang="en-AU" sz="1100" b="1"/>
            <a:t>Equitable</a:t>
          </a:r>
        </a:p>
      </dgm:t>
    </dgm:pt>
    <dgm:pt modelId="{3D46DB84-DDA9-4CD6-803F-5FD29C1627CC}" type="sibTrans" cxnId="{27D1E534-0D96-412C-8F43-1882998BA4A4}">
      <dgm:prSet/>
      <dgm:spPr/>
      <dgm:t>
        <a:bodyPr/>
        <a:lstStyle/>
        <a:p>
          <a:endParaRPr lang="en-AU" sz="1100"/>
        </a:p>
      </dgm:t>
    </dgm:pt>
    <dgm:pt modelId="{DC57B4C9-286C-4C4E-BC0D-A969F93989AB}" type="parTrans" cxnId="{27D1E534-0D96-412C-8F43-1882998BA4A4}">
      <dgm:prSet/>
      <dgm:spPr/>
      <dgm:t>
        <a:bodyPr/>
        <a:lstStyle/>
        <a:p>
          <a:endParaRPr lang="en-AU" sz="1100"/>
        </a:p>
      </dgm:t>
    </dgm:pt>
    <dgm:pt modelId="{BAED9E6D-FB32-4556-83C4-9E51D18821CB}" type="sibTrans" cxnId="{5DAC7191-595E-46E9-A209-FD9BAAD939E1}">
      <dgm:prSet/>
      <dgm:spPr/>
      <dgm:t>
        <a:bodyPr/>
        <a:lstStyle/>
        <a:p>
          <a:endParaRPr lang="en-AU" sz="1100"/>
        </a:p>
      </dgm:t>
    </dgm:pt>
    <dgm:pt modelId="{33195CC5-3950-4820-8EC1-A039255B9978}" type="parTrans" cxnId="{5DAC7191-595E-46E9-A209-FD9BAAD939E1}">
      <dgm:prSet/>
      <dgm:spPr/>
      <dgm:t>
        <a:bodyPr/>
        <a:lstStyle/>
        <a:p>
          <a:endParaRPr lang="en-AU" sz="1100"/>
        </a:p>
      </dgm:t>
    </dgm:pt>
    <dgm:pt modelId="{8CFE0062-ADFF-4917-8337-DE7101D5B933}">
      <dgm:prSet phldrT="[Text]" custT="1"/>
      <dgm:spPr/>
      <dgm:t>
        <a:bodyPr/>
        <a:lstStyle/>
        <a:p>
          <a:r>
            <a:rPr lang="en-AU" sz="1100"/>
            <a:t> Reduces emissions consistent with Australia's greenhouse gas emissions reduction targets</a:t>
          </a:r>
        </a:p>
      </dgm:t>
    </dgm:pt>
    <dgm:pt modelId="{C4AB4348-6EBF-41B5-9C78-143E516389A1}" type="sibTrans" cxnId="{235FE4AF-A391-455D-BDA7-D0D313E4ECDB}">
      <dgm:prSet/>
      <dgm:spPr/>
      <dgm:t>
        <a:bodyPr/>
        <a:lstStyle/>
        <a:p>
          <a:endParaRPr lang="en-AU" sz="1100"/>
        </a:p>
      </dgm:t>
    </dgm:pt>
    <dgm:pt modelId="{4AA5FFB0-140A-4CF7-A87B-5F52F84F2EE8}" type="parTrans" cxnId="{235FE4AF-A391-455D-BDA7-D0D313E4ECDB}">
      <dgm:prSet/>
      <dgm:spPr/>
      <dgm:t>
        <a:bodyPr/>
        <a:lstStyle/>
        <a:p>
          <a:endParaRPr lang="en-AU" sz="1100"/>
        </a:p>
      </dgm:t>
    </dgm:pt>
    <dgm:pt modelId="{9A8E8330-2ED0-4506-911F-AFDD35408B2A}">
      <dgm:prSet phldrT="[Text]" custT="1"/>
      <dgm:spPr/>
      <dgm:t>
        <a:bodyPr/>
        <a:lstStyle/>
        <a:p>
          <a:r>
            <a:rPr lang="en-AU" sz="1100" b="1"/>
            <a:t>Simple</a:t>
          </a:r>
        </a:p>
      </dgm:t>
    </dgm:pt>
    <dgm:pt modelId="{2E8DB688-4F9C-4025-910E-BA10BA5A6A93}" type="parTrans" cxnId="{C4E7FC19-DE18-4D71-A1D7-157B6ACD0CBC}">
      <dgm:prSet/>
      <dgm:spPr/>
      <dgm:t>
        <a:bodyPr/>
        <a:lstStyle/>
        <a:p>
          <a:endParaRPr lang="en-AU" sz="1100"/>
        </a:p>
      </dgm:t>
    </dgm:pt>
    <dgm:pt modelId="{1FD28217-AB1B-443D-A698-20B31FD1D2E8}" type="sibTrans" cxnId="{C4E7FC19-DE18-4D71-A1D7-157B6ACD0CBC}">
      <dgm:prSet/>
      <dgm:spPr/>
      <dgm:t>
        <a:bodyPr/>
        <a:lstStyle/>
        <a:p>
          <a:endParaRPr lang="en-AU" sz="1100"/>
        </a:p>
      </dgm:t>
    </dgm:pt>
    <dgm:pt modelId="{89706E32-A0AB-4B9B-9375-1E946EA932B8}">
      <dgm:prSet phldrT="[Text]" custT="1"/>
      <dgm:spPr/>
      <dgm:t>
        <a:bodyPr/>
        <a:lstStyle/>
        <a:p>
          <a:r>
            <a:rPr lang="en-AU" sz="1100"/>
            <a:t> Makes baseline setting arrangements and administrative, and reporting arrangements, as simple and low cost as possible</a:t>
          </a:r>
        </a:p>
      </dgm:t>
    </dgm:pt>
    <dgm:pt modelId="{2271041D-986D-4495-82E7-31773DE17239}" type="parTrans" cxnId="{72BF8B1B-A5B1-4ED4-9FF8-9685E633410C}">
      <dgm:prSet/>
      <dgm:spPr/>
      <dgm:t>
        <a:bodyPr/>
        <a:lstStyle/>
        <a:p>
          <a:endParaRPr lang="en-AU" sz="1100"/>
        </a:p>
      </dgm:t>
    </dgm:pt>
    <dgm:pt modelId="{26F29A1C-9834-40D7-8AAD-4F00F5A18F13}" type="sibTrans" cxnId="{72BF8B1B-A5B1-4ED4-9FF8-9685E633410C}">
      <dgm:prSet/>
      <dgm:spPr/>
      <dgm:t>
        <a:bodyPr/>
        <a:lstStyle/>
        <a:p>
          <a:endParaRPr lang="en-AU" sz="1100"/>
        </a:p>
      </dgm:t>
    </dgm:pt>
    <dgm:pt modelId="{8D465291-5987-4C73-ACF3-226D0E3E0E54}" type="pres">
      <dgm:prSet presAssocID="{359F4BAF-F83E-4F20-BEE2-60CFC63F0B4D}" presName="Name0" presStyleCnt="0">
        <dgm:presLayoutVars>
          <dgm:dir/>
          <dgm:animLvl val="lvl"/>
          <dgm:resizeHandles val="exact"/>
        </dgm:presLayoutVars>
      </dgm:prSet>
      <dgm:spPr/>
    </dgm:pt>
    <dgm:pt modelId="{57F92929-A0D7-41C7-B358-CD1516F37E80}" type="pres">
      <dgm:prSet presAssocID="{0F52C4E1-2B3B-4485-9D83-E70520AFD405}" presName="composite" presStyleCnt="0"/>
      <dgm:spPr/>
    </dgm:pt>
    <dgm:pt modelId="{128C2661-7115-4EF5-9151-8DA6B56BD25D}" type="pres">
      <dgm:prSet presAssocID="{0F52C4E1-2B3B-4485-9D83-E70520AFD405}" presName="parTx" presStyleLbl="alignNode1" presStyleIdx="0" presStyleCnt="4">
        <dgm:presLayoutVars>
          <dgm:chMax val="0"/>
          <dgm:chPref val="0"/>
          <dgm:bulletEnabled val="1"/>
        </dgm:presLayoutVars>
      </dgm:prSet>
      <dgm:spPr/>
    </dgm:pt>
    <dgm:pt modelId="{0E6D6315-6F21-4FBB-BD27-BAA87F81C0D0}" type="pres">
      <dgm:prSet presAssocID="{0F52C4E1-2B3B-4485-9D83-E70520AFD405}" presName="desTx" presStyleLbl="alignAccFollowNode1" presStyleIdx="0" presStyleCnt="4">
        <dgm:presLayoutVars>
          <dgm:bulletEnabled val="1"/>
        </dgm:presLayoutVars>
      </dgm:prSet>
      <dgm:spPr/>
    </dgm:pt>
    <dgm:pt modelId="{55816816-23D0-4B34-9A41-D0C1501B1D3D}" type="pres">
      <dgm:prSet presAssocID="{3E108096-5F89-40AA-97B1-49896B683AF5}" presName="space" presStyleCnt="0"/>
      <dgm:spPr/>
    </dgm:pt>
    <dgm:pt modelId="{E09888C5-D43C-41C6-A241-37E43A0EDCCA}" type="pres">
      <dgm:prSet presAssocID="{A5542271-7B5E-4D3D-9E3B-80506813C305}" presName="composite" presStyleCnt="0"/>
      <dgm:spPr/>
    </dgm:pt>
    <dgm:pt modelId="{C6804A89-7D19-455D-82BE-B085E3EA41E5}" type="pres">
      <dgm:prSet presAssocID="{A5542271-7B5E-4D3D-9E3B-80506813C305}" presName="parTx" presStyleLbl="alignNode1" presStyleIdx="1" presStyleCnt="4">
        <dgm:presLayoutVars>
          <dgm:chMax val="0"/>
          <dgm:chPref val="0"/>
          <dgm:bulletEnabled val="1"/>
        </dgm:presLayoutVars>
      </dgm:prSet>
      <dgm:spPr/>
    </dgm:pt>
    <dgm:pt modelId="{1448A210-DC0F-4BD4-9B35-2B25FF85226D}" type="pres">
      <dgm:prSet presAssocID="{A5542271-7B5E-4D3D-9E3B-80506813C305}" presName="desTx" presStyleLbl="alignAccFollowNode1" presStyleIdx="1" presStyleCnt="4">
        <dgm:presLayoutVars>
          <dgm:bulletEnabled val="1"/>
        </dgm:presLayoutVars>
      </dgm:prSet>
      <dgm:spPr/>
    </dgm:pt>
    <dgm:pt modelId="{F7F5339F-D751-44F3-985C-48A0274E58EF}" type="pres">
      <dgm:prSet presAssocID="{3D46DB84-DDA9-4CD6-803F-5FD29C1627CC}" presName="space" presStyleCnt="0"/>
      <dgm:spPr/>
    </dgm:pt>
    <dgm:pt modelId="{E2835747-C6EE-49D4-86DB-A51B5CE6468C}" type="pres">
      <dgm:prSet presAssocID="{D3EE0E60-E92F-4D00-8E61-5C15884CDF14}" presName="composite" presStyleCnt="0"/>
      <dgm:spPr/>
    </dgm:pt>
    <dgm:pt modelId="{8E4A4C5F-CB17-4552-AF3B-781DE0F7D583}" type="pres">
      <dgm:prSet presAssocID="{D3EE0E60-E92F-4D00-8E61-5C15884CDF14}" presName="parTx" presStyleLbl="alignNode1" presStyleIdx="2" presStyleCnt="4">
        <dgm:presLayoutVars>
          <dgm:chMax val="0"/>
          <dgm:chPref val="0"/>
          <dgm:bulletEnabled val="1"/>
        </dgm:presLayoutVars>
      </dgm:prSet>
      <dgm:spPr/>
    </dgm:pt>
    <dgm:pt modelId="{7C0DCC5E-9277-4B5E-A5AD-552540861AF4}" type="pres">
      <dgm:prSet presAssocID="{D3EE0E60-E92F-4D00-8E61-5C15884CDF14}" presName="desTx" presStyleLbl="alignAccFollowNode1" presStyleIdx="2" presStyleCnt="4">
        <dgm:presLayoutVars>
          <dgm:bulletEnabled val="1"/>
        </dgm:presLayoutVars>
      </dgm:prSet>
      <dgm:spPr/>
    </dgm:pt>
    <dgm:pt modelId="{C2797130-58EC-41EE-984E-94E23B3ACE4B}" type="pres">
      <dgm:prSet presAssocID="{BA006977-8860-4EF7-B112-311309045F24}" presName="space" presStyleCnt="0"/>
      <dgm:spPr/>
    </dgm:pt>
    <dgm:pt modelId="{C6CF72FC-D0E7-4F73-8DB6-219152F7EEB4}" type="pres">
      <dgm:prSet presAssocID="{9A8E8330-2ED0-4506-911F-AFDD35408B2A}" presName="composite" presStyleCnt="0"/>
      <dgm:spPr/>
    </dgm:pt>
    <dgm:pt modelId="{D75DE00D-51E8-4C1A-925A-BEE8696C4D1D}" type="pres">
      <dgm:prSet presAssocID="{9A8E8330-2ED0-4506-911F-AFDD35408B2A}" presName="parTx" presStyleLbl="alignNode1" presStyleIdx="3" presStyleCnt="4">
        <dgm:presLayoutVars>
          <dgm:chMax val="0"/>
          <dgm:chPref val="0"/>
          <dgm:bulletEnabled val="1"/>
        </dgm:presLayoutVars>
      </dgm:prSet>
      <dgm:spPr/>
    </dgm:pt>
    <dgm:pt modelId="{4654220A-29AA-4168-A4FF-01431DE06D55}" type="pres">
      <dgm:prSet presAssocID="{9A8E8330-2ED0-4506-911F-AFDD35408B2A}" presName="desTx" presStyleLbl="alignAccFollowNode1" presStyleIdx="3" presStyleCnt="4">
        <dgm:presLayoutVars>
          <dgm:bulletEnabled val="1"/>
        </dgm:presLayoutVars>
      </dgm:prSet>
      <dgm:spPr/>
    </dgm:pt>
  </dgm:ptLst>
  <dgm:cxnLst>
    <dgm:cxn modelId="{6EFF8803-CB2C-49E8-97D9-8F724196127A}" type="presOf" srcId="{7914E1BE-ED73-4846-AAEB-14B1FBD470FE}" destId="{7C0DCC5E-9277-4B5E-A5AD-552540861AF4}" srcOrd="0" destOrd="0" presId="urn:microsoft.com/office/officeart/2005/8/layout/hList1"/>
    <dgm:cxn modelId="{E0F6DB08-9ED1-4178-804F-EB3074D2739C}" type="presOf" srcId="{0A83374C-E6DC-43E1-8324-13CB9E36C377}" destId="{1448A210-DC0F-4BD4-9B35-2B25FF85226D}" srcOrd="0" destOrd="0" presId="urn:microsoft.com/office/officeart/2005/8/layout/hList1"/>
    <dgm:cxn modelId="{C4E7FC19-DE18-4D71-A1D7-157B6ACD0CBC}" srcId="{359F4BAF-F83E-4F20-BEE2-60CFC63F0B4D}" destId="{9A8E8330-2ED0-4506-911F-AFDD35408B2A}" srcOrd="3" destOrd="0" parTransId="{2E8DB688-4F9C-4025-910E-BA10BA5A6A93}" sibTransId="{1FD28217-AB1B-443D-A698-20B31FD1D2E8}"/>
    <dgm:cxn modelId="{72BF8B1B-A5B1-4ED4-9FF8-9685E633410C}" srcId="{9A8E8330-2ED0-4506-911F-AFDD35408B2A}" destId="{89706E32-A0AB-4B9B-9375-1E946EA932B8}" srcOrd="0" destOrd="0" parTransId="{2271041D-986D-4495-82E7-31773DE17239}" sibTransId="{26F29A1C-9834-40D7-8AAD-4F00F5A18F13}"/>
    <dgm:cxn modelId="{2716A028-FD05-44F3-8ADD-27FEBE1873FB}" srcId="{359F4BAF-F83E-4F20-BEE2-60CFC63F0B4D}" destId="{0F52C4E1-2B3B-4485-9D83-E70520AFD405}" srcOrd="0" destOrd="0" parTransId="{3F147688-4AB3-4E4D-A901-E9C29B1B9543}" sibTransId="{3E108096-5F89-40AA-97B1-49896B683AF5}"/>
    <dgm:cxn modelId="{27D1E534-0D96-412C-8F43-1882998BA4A4}" srcId="{359F4BAF-F83E-4F20-BEE2-60CFC63F0B4D}" destId="{A5542271-7B5E-4D3D-9E3B-80506813C305}" srcOrd="1" destOrd="0" parTransId="{DC57B4C9-286C-4C4E-BC0D-A969F93989AB}" sibTransId="{3D46DB84-DDA9-4CD6-803F-5FD29C1627CC}"/>
    <dgm:cxn modelId="{07E6885F-50B1-4C57-90C2-EB323ADF59D6}" type="presOf" srcId="{8CFE0062-ADFF-4917-8337-DE7101D5B933}" destId="{0E6D6315-6F21-4FBB-BD27-BAA87F81C0D0}" srcOrd="0" destOrd="0" presId="urn:microsoft.com/office/officeart/2005/8/layout/hList1"/>
    <dgm:cxn modelId="{C5CD3F6F-5D12-4943-AA15-C00C044CF441}" srcId="{D3EE0E60-E92F-4D00-8E61-5C15884CDF14}" destId="{7914E1BE-ED73-4846-AAEB-14B1FBD470FE}" srcOrd="0" destOrd="0" parTransId="{27C9DC31-5276-4132-9C2D-EA84601BCDF1}" sibTransId="{D372E979-CCD4-40B0-8205-19C343542375}"/>
    <dgm:cxn modelId="{99DDB685-F01A-4C64-B79C-58AA03E07309}" type="presOf" srcId="{D3EE0E60-E92F-4D00-8E61-5C15884CDF14}" destId="{8E4A4C5F-CB17-4552-AF3B-781DE0F7D583}" srcOrd="0" destOrd="0" presId="urn:microsoft.com/office/officeart/2005/8/layout/hList1"/>
    <dgm:cxn modelId="{5DAC7191-595E-46E9-A209-FD9BAAD939E1}" srcId="{A5542271-7B5E-4D3D-9E3B-80506813C305}" destId="{0A83374C-E6DC-43E1-8324-13CB9E36C377}" srcOrd="0" destOrd="0" parTransId="{33195CC5-3950-4820-8EC1-A039255B9978}" sibTransId="{BAED9E6D-FB32-4556-83C4-9E51D18821CB}"/>
    <dgm:cxn modelId="{39598C9D-D2CE-4A82-9872-243B4B62E2F9}" type="presOf" srcId="{359F4BAF-F83E-4F20-BEE2-60CFC63F0B4D}" destId="{8D465291-5987-4C73-ACF3-226D0E3E0E54}" srcOrd="0" destOrd="0" presId="urn:microsoft.com/office/officeart/2005/8/layout/hList1"/>
    <dgm:cxn modelId="{2E19D3AC-56D8-43C2-B6A8-7C4E24C94C1B}" type="presOf" srcId="{0F52C4E1-2B3B-4485-9D83-E70520AFD405}" destId="{128C2661-7115-4EF5-9151-8DA6B56BD25D}" srcOrd="0" destOrd="0" presId="urn:microsoft.com/office/officeart/2005/8/layout/hList1"/>
    <dgm:cxn modelId="{235FE4AF-A391-455D-BDA7-D0D313E4ECDB}" srcId="{0F52C4E1-2B3B-4485-9D83-E70520AFD405}" destId="{8CFE0062-ADFF-4917-8337-DE7101D5B933}" srcOrd="0" destOrd="0" parTransId="{4AA5FFB0-140A-4CF7-A87B-5F52F84F2EE8}" sibTransId="{C4AB4348-6EBF-41B5-9C78-143E516389A1}"/>
    <dgm:cxn modelId="{C03A58C0-38BE-4015-9B14-6FF8DFD80262}" type="presOf" srcId="{9A8E8330-2ED0-4506-911F-AFDD35408B2A}" destId="{D75DE00D-51E8-4C1A-925A-BEE8696C4D1D}" srcOrd="0" destOrd="0" presId="urn:microsoft.com/office/officeart/2005/8/layout/hList1"/>
    <dgm:cxn modelId="{239CA3C5-6EEF-44CE-ACC9-D63AE74412B9}" type="presOf" srcId="{A5542271-7B5E-4D3D-9E3B-80506813C305}" destId="{C6804A89-7D19-455D-82BE-B085E3EA41E5}" srcOrd="0" destOrd="0" presId="urn:microsoft.com/office/officeart/2005/8/layout/hList1"/>
    <dgm:cxn modelId="{042423D5-7C73-4038-A3BE-F0EE5F14C4F2}" type="presOf" srcId="{89706E32-A0AB-4B9B-9375-1E946EA932B8}" destId="{4654220A-29AA-4168-A4FF-01431DE06D55}" srcOrd="0" destOrd="0" presId="urn:microsoft.com/office/officeart/2005/8/layout/hList1"/>
    <dgm:cxn modelId="{36C189F7-E0FB-4D2A-8E1C-C08DCE15D789}" srcId="{359F4BAF-F83E-4F20-BEE2-60CFC63F0B4D}" destId="{D3EE0E60-E92F-4D00-8E61-5C15884CDF14}" srcOrd="2" destOrd="0" parTransId="{3CD1BAD5-740D-45D1-A0E4-5530E05C1728}" sibTransId="{BA006977-8860-4EF7-B112-311309045F24}"/>
    <dgm:cxn modelId="{7ED549DB-2763-4758-85BA-12411181C11C}" type="presParOf" srcId="{8D465291-5987-4C73-ACF3-226D0E3E0E54}" destId="{57F92929-A0D7-41C7-B358-CD1516F37E80}" srcOrd="0" destOrd="0" presId="urn:microsoft.com/office/officeart/2005/8/layout/hList1"/>
    <dgm:cxn modelId="{2EE7D1A7-25CC-4258-B0C9-CCC97C038BCD}" type="presParOf" srcId="{57F92929-A0D7-41C7-B358-CD1516F37E80}" destId="{128C2661-7115-4EF5-9151-8DA6B56BD25D}" srcOrd="0" destOrd="0" presId="urn:microsoft.com/office/officeart/2005/8/layout/hList1"/>
    <dgm:cxn modelId="{F5AD7462-F5A7-4950-8D2B-AA73D4B12190}" type="presParOf" srcId="{57F92929-A0D7-41C7-B358-CD1516F37E80}" destId="{0E6D6315-6F21-4FBB-BD27-BAA87F81C0D0}" srcOrd="1" destOrd="0" presId="urn:microsoft.com/office/officeart/2005/8/layout/hList1"/>
    <dgm:cxn modelId="{6ED64406-800C-4DB8-A357-765C3B8FC607}" type="presParOf" srcId="{8D465291-5987-4C73-ACF3-226D0E3E0E54}" destId="{55816816-23D0-4B34-9A41-D0C1501B1D3D}" srcOrd="1" destOrd="0" presId="urn:microsoft.com/office/officeart/2005/8/layout/hList1"/>
    <dgm:cxn modelId="{FAAC2A94-6FAE-4916-A496-D67A1C2719D9}" type="presParOf" srcId="{8D465291-5987-4C73-ACF3-226D0E3E0E54}" destId="{E09888C5-D43C-41C6-A241-37E43A0EDCCA}" srcOrd="2" destOrd="0" presId="urn:microsoft.com/office/officeart/2005/8/layout/hList1"/>
    <dgm:cxn modelId="{537E366D-5EBD-4417-8B91-B9B26C19CBA5}" type="presParOf" srcId="{E09888C5-D43C-41C6-A241-37E43A0EDCCA}" destId="{C6804A89-7D19-455D-82BE-B085E3EA41E5}" srcOrd="0" destOrd="0" presId="urn:microsoft.com/office/officeart/2005/8/layout/hList1"/>
    <dgm:cxn modelId="{DC0B714C-9634-4A1A-B37B-7951AD12199D}" type="presParOf" srcId="{E09888C5-D43C-41C6-A241-37E43A0EDCCA}" destId="{1448A210-DC0F-4BD4-9B35-2B25FF85226D}" srcOrd="1" destOrd="0" presId="urn:microsoft.com/office/officeart/2005/8/layout/hList1"/>
    <dgm:cxn modelId="{DB30B97A-640C-46F8-AF95-DDA46F80768F}" type="presParOf" srcId="{8D465291-5987-4C73-ACF3-226D0E3E0E54}" destId="{F7F5339F-D751-44F3-985C-48A0274E58EF}" srcOrd="3" destOrd="0" presId="urn:microsoft.com/office/officeart/2005/8/layout/hList1"/>
    <dgm:cxn modelId="{390CA3EA-2AA4-4AB9-AE50-B4E406B8D738}" type="presParOf" srcId="{8D465291-5987-4C73-ACF3-226D0E3E0E54}" destId="{E2835747-C6EE-49D4-86DB-A51B5CE6468C}" srcOrd="4" destOrd="0" presId="urn:microsoft.com/office/officeart/2005/8/layout/hList1"/>
    <dgm:cxn modelId="{77F755D5-A07D-4779-9E7D-379A52D675CF}" type="presParOf" srcId="{E2835747-C6EE-49D4-86DB-A51B5CE6468C}" destId="{8E4A4C5F-CB17-4552-AF3B-781DE0F7D583}" srcOrd="0" destOrd="0" presId="urn:microsoft.com/office/officeart/2005/8/layout/hList1"/>
    <dgm:cxn modelId="{66540520-E333-4BA2-8ABD-91D076E29AE2}" type="presParOf" srcId="{E2835747-C6EE-49D4-86DB-A51B5CE6468C}" destId="{7C0DCC5E-9277-4B5E-A5AD-552540861AF4}" srcOrd="1" destOrd="0" presId="urn:microsoft.com/office/officeart/2005/8/layout/hList1"/>
    <dgm:cxn modelId="{E8B6E183-69DC-499F-81D1-12A3866942C0}" type="presParOf" srcId="{8D465291-5987-4C73-ACF3-226D0E3E0E54}" destId="{C2797130-58EC-41EE-984E-94E23B3ACE4B}" srcOrd="5" destOrd="0" presId="urn:microsoft.com/office/officeart/2005/8/layout/hList1"/>
    <dgm:cxn modelId="{F4C6F4B9-E3DF-440C-8F46-C11B1D70A000}" type="presParOf" srcId="{8D465291-5987-4C73-ACF3-226D0E3E0E54}" destId="{C6CF72FC-D0E7-4F73-8DB6-219152F7EEB4}" srcOrd="6" destOrd="0" presId="urn:microsoft.com/office/officeart/2005/8/layout/hList1"/>
    <dgm:cxn modelId="{84AB2AA8-7158-4515-8072-C9262E822CB5}" type="presParOf" srcId="{C6CF72FC-D0E7-4F73-8DB6-219152F7EEB4}" destId="{D75DE00D-51E8-4C1A-925A-BEE8696C4D1D}" srcOrd="0" destOrd="0" presId="urn:microsoft.com/office/officeart/2005/8/layout/hList1"/>
    <dgm:cxn modelId="{C9863B8F-4479-4225-9E8C-3D41A973BB1B}" type="presParOf" srcId="{C6CF72FC-D0E7-4F73-8DB6-219152F7EEB4}" destId="{4654220A-29AA-4168-A4FF-01431DE06D55}" srcOrd="1" destOrd="0" presId="urn:microsoft.com/office/officeart/2005/8/layout/hList1"/>
  </dgm:cxn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8C2661-7115-4EF5-9151-8DA6B56BD25D}">
      <dsp:nvSpPr>
        <dsp:cNvPr id="0" name=""/>
        <dsp:cNvSpPr/>
      </dsp:nvSpPr>
      <dsp:spPr>
        <a:xfrm>
          <a:off x="2349" y="2628"/>
          <a:ext cx="1412889" cy="565155"/>
        </a:xfrm>
        <a:prstGeom prst="rect">
          <a:avLst/>
        </a:prstGeom>
        <a:solidFill>
          <a:schemeClr val="accent2">
            <a:alpha val="9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b="1" kern="1200"/>
            <a:t>Effective</a:t>
          </a:r>
        </a:p>
      </dsp:txBody>
      <dsp:txXfrm>
        <a:off x="2349" y="2628"/>
        <a:ext cx="1412889" cy="565155"/>
      </dsp:txXfrm>
    </dsp:sp>
    <dsp:sp modelId="{0E6D6315-6F21-4FBB-BD27-BAA87F81C0D0}">
      <dsp:nvSpPr>
        <dsp:cNvPr id="0" name=""/>
        <dsp:cNvSpPr/>
      </dsp:nvSpPr>
      <dsp:spPr>
        <a:xfrm>
          <a:off x="2349" y="567783"/>
          <a:ext cx="1412889" cy="1493279"/>
        </a:xfrm>
        <a:prstGeom prst="rect">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 Reduces emissions consistent with Australia's greenhouse gas emissions reduction targets</a:t>
          </a:r>
        </a:p>
      </dsp:txBody>
      <dsp:txXfrm>
        <a:off x="2349" y="567783"/>
        <a:ext cx="1412889" cy="1493279"/>
      </dsp:txXfrm>
    </dsp:sp>
    <dsp:sp modelId="{C6804A89-7D19-455D-82BE-B085E3EA41E5}">
      <dsp:nvSpPr>
        <dsp:cNvPr id="0" name=""/>
        <dsp:cNvSpPr/>
      </dsp:nvSpPr>
      <dsp:spPr>
        <a:xfrm>
          <a:off x="1613043" y="2628"/>
          <a:ext cx="1412889" cy="565155"/>
        </a:xfrm>
        <a:prstGeom prst="rect">
          <a:avLst/>
        </a:prstGeom>
        <a:solidFill>
          <a:schemeClr val="accent2">
            <a:alpha val="90000"/>
            <a:hueOff val="0"/>
            <a:satOff val="0"/>
            <a:lumOff val="0"/>
            <a:alphaOff val="-13333"/>
          </a:schemeClr>
        </a:solidFill>
        <a:ln w="12700" cap="flat" cmpd="sng" algn="ctr">
          <a:solidFill>
            <a:schemeClr val="accent2">
              <a:alpha val="90000"/>
              <a:hueOff val="0"/>
              <a:satOff val="0"/>
              <a:lumOff val="0"/>
              <a:alphaOff val="-13333"/>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b="1" kern="1200"/>
            <a:t>Equitable</a:t>
          </a:r>
        </a:p>
      </dsp:txBody>
      <dsp:txXfrm>
        <a:off x="1613043" y="2628"/>
        <a:ext cx="1412889" cy="565155"/>
      </dsp:txXfrm>
    </dsp:sp>
    <dsp:sp modelId="{1448A210-DC0F-4BD4-9B35-2B25FF85226D}">
      <dsp:nvSpPr>
        <dsp:cNvPr id="0" name=""/>
        <dsp:cNvSpPr/>
      </dsp:nvSpPr>
      <dsp:spPr>
        <a:xfrm>
          <a:off x="1613043" y="567783"/>
          <a:ext cx="1412889" cy="1493279"/>
        </a:xfrm>
        <a:prstGeom prst="rect">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 Baselines are set on a consistent and transparent basis and achieve an equitable distribution of the costs and benefits</a:t>
          </a:r>
        </a:p>
      </dsp:txBody>
      <dsp:txXfrm>
        <a:off x="1613043" y="567783"/>
        <a:ext cx="1412889" cy="1493279"/>
      </dsp:txXfrm>
    </dsp:sp>
    <dsp:sp modelId="{8E4A4C5F-CB17-4552-AF3B-781DE0F7D583}">
      <dsp:nvSpPr>
        <dsp:cNvPr id="0" name=""/>
        <dsp:cNvSpPr/>
      </dsp:nvSpPr>
      <dsp:spPr>
        <a:xfrm>
          <a:off x="3223737" y="2628"/>
          <a:ext cx="1412889" cy="565155"/>
        </a:xfrm>
        <a:prstGeom prst="rect">
          <a:avLst/>
        </a:prstGeom>
        <a:solidFill>
          <a:schemeClr val="accent2">
            <a:alpha val="90000"/>
            <a:hueOff val="0"/>
            <a:satOff val="0"/>
            <a:lumOff val="0"/>
            <a:alphaOff val="-26667"/>
          </a:schemeClr>
        </a:solidFill>
        <a:ln w="12700" cap="flat" cmpd="sng" algn="ctr">
          <a:solidFill>
            <a:schemeClr val="accent2">
              <a:alpha val="90000"/>
              <a:hueOff val="0"/>
              <a:satOff val="0"/>
              <a:lumOff val="0"/>
              <a:alphaOff val="-26667"/>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b="1" kern="1200"/>
            <a:t>Efficient</a:t>
          </a:r>
        </a:p>
      </dsp:txBody>
      <dsp:txXfrm>
        <a:off x="3223737" y="2628"/>
        <a:ext cx="1412889" cy="565155"/>
      </dsp:txXfrm>
    </dsp:sp>
    <dsp:sp modelId="{7C0DCC5E-9277-4B5E-A5AD-552540861AF4}">
      <dsp:nvSpPr>
        <dsp:cNvPr id="0" name=""/>
        <dsp:cNvSpPr/>
      </dsp:nvSpPr>
      <dsp:spPr>
        <a:xfrm>
          <a:off x="3223737" y="567783"/>
          <a:ext cx="1412889" cy="1493279"/>
        </a:xfrm>
        <a:prstGeom prst="rect">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 Allows the market to find the lowest cost abatement wherever it occurs and encourages production where it is least emissions-intensive</a:t>
          </a:r>
        </a:p>
      </dsp:txBody>
      <dsp:txXfrm>
        <a:off x="3223737" y="567783"/>
        <a:ext cx="1412889" cy="1493279"/>
      </dsp:txXfrm>
    </dsp:sp>
    <dsp:sp modelId="{D75DE00D-51E8-4C1A-925A-BEE8696C4D1D}">
      <dsp:nvSpPr>
        <dsp:cNvPr id="0" name=""/>
        <dsp:cNvSpPr/>
      </dsp:nvSpPr>
      <dsp:spPr>
        <a:xfrm>
          <a:off x="4834431" y="2628"/>
          <a:ext cx="1412889" cy="565155"/>
        </a:xfrm>
        <a:prstGeom prst="rect">
          <a:avLst/>
        </a:prstGeom>
        <a:solidFill>
          <a:schemeClr val="accent2">
            <a:alpha val="90000"/>
            <a:hueOff val="0"/>
            <a:satOff val="0"/>
            <a:lumOff val="0"/>
            <a:alphaOff val="-40000"/>
          </a:schemeClr>
        </a:solidFill>
        <a:ln w="12700" cap="flat" cmpd="sng" algn="ctr">
          <a:solidFill>
            <a:schemeClr val="accent2">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b="1" kern="1200"/>
            <a:t>Simple</a:t>
          </a:r>
        </a:p>
      </dsp:txBody>
      <dsp:txXfrm>
        <a:off x="4834431" y="2628"/>
        <a:ext cx="1412889" cy="565155"/>
      </dsp:txXfrm>
    </dsp:sp>
    <dsp:sp modelId="{4654220A-29AA-4168-A4FF-01431DE06D55}">
      <dsp:nvSpPr>
        <dsp:cNvPr id="0" name=""/>
        <dsp:cNvSpPr/>
      </dsp:nvSpPr>
      <dsp:spPr>
        <a:xfrm>
          <a:off x="4834431" y="567783"/>
          <a:ext cx="1412889" cy="1493279"/>
        </a:xfrm>
        <a:prstGeom prst="rect">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 Makes baseline setting arrangements and administrative, and reporting arrangements, as simple and low cost as possible</a:t>
          </a:r>
        </a:p>
      </dsp:txBody>
      <dsp:txXfrm>
        <a:off x="4834431" y="567783"/>
        <a:ext cx="1412889" cy="149327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4472C4"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4472C4" w:themeColor="accent1"/>
              <w:sz w:val="16"/>
              <w:szCs w:val="16"/>
            </w:rPr>
            <w:t>[Section Name]</w:t>
          </w:r>
        </w:p>
      </w:docPartBody>
    </w:docPart>
    <w:docPart>
      <w:docPartPr>
        <w:name w:val="2DC82021785B443F856F0214C8FC0714"/>
        <w:category>
          <w:name w:val="General"/>
          <w:gallery w:val="placeholder"/>
        </w:category>
        <w:types>
          <w:type w:val="bbPlcHdr"/>
        </w:types>
        <w:behaviors>
          <w:behavior w:val="content"/>
        </w:behaviors>
        <w:guid w:val="{E9B11AC1-B9F0-48FE-9F47-9FB120F49D87}"/>
      </w:docPartPr>
      <w:docPartBody>
        <w:p w:rsidR="00FE3399" w:rsidRDefault="00811F5B">
          <w:pPr>
            <w:pStyle w:val="2DC82021785B443F856F0214C8FC0714"/>
          </w:pPr>
          <w:r w:rsidRPr="007F2558">
            <w:rPr>
              <w:bCs/>
              <w:color w:val="4472C4" w:themeColor="accent1"/>
              <w:sz w:val="16"/>
              <w:szCs w:val="16"/>
            </w:rPr>
            <w:t>[Document Heading]</w:t>
          </w:r>
        </w:p>
      </w:docPartBody>
    </w:docPart>
    <w:docPart>
      <w:docPartPr>
        <w:name w:val="B6704B99D5EF434E8345FBB22868DB11"/>
        <w:category>
          <w:name w:val="General"/>
          <w:gallery w:val="placeholder"/>
        </w:category>
        <w:types>
          <w:type w:val="bbPlcHdr"/>
        </w:types>
        <w:behaviors>
          <w:behavior w:val="content"/>
        </w:behaviors>
        <w:guid w:val="{D0F789A0-AEA2-4EE5-81EB-DBEEE46C9722}"/>
      </w:docPartPr>
      <w:docPartBody>
        <w:p w:rsidR="00FE3399" w:rsidRDefault="00811F5B">
          <w:pPr>
            <w:pStyle w:val="B6704B99D5EF434E8345FBB22868DB11"/>
          </w:pPr>
          <w:r w:rsidRPr="005A0DE7">
            <w:rPr>
              <w:color w:val="4472C4" w:themeColor="accent1"/>
              <w:sz w:val="16"/>
              <w:szCs w:val="16"/>
            </w:rPr>
            <w:t>[Section Name]</w:t>
          </w:r>
        </w:p>
      </w:docPartBody>
    </w:docPart>
    <w:docPart>
      <w:docPartPr>
        <w:name w:val="09083C1CD8EE450F8A71AAAFE2B04E5A"/>
        <w:category>
          <w:name w:val="General"/>
          <w:gallery w:val="placeholder"/>
        </w:category>
        <w:types>
          <w:type w:val="bbPlcHdr"/>
        </w:types>
        <w:behaviors>
          <w:behavior w:val="content"/>
        </w:behaviors>
        <w:guid w:val="{18179D94-4DCF-4ED6-A3EE-E38FE4B0A155}"/>
      </w:docPartPr>
      <w:docPartBody>
        <w:p w:rsidR="00FE3399" w:rsidRDefault="00811F5B">
          <w:pPr>
            <w:pStyle w:val="09083C1CD8EE450F8A71AAAFE2B04E5A"/>
          </w:pPr>
          <w:r w:rsidRPr="005A0DE7">
            <w:rPr>
              <w:bCs/>
              <w:color w:val="4472C4"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auto"/>
    <w:pitch w:val="variable"/>
    <w:sig w:usb0="60000287" w:usb1="00000001" w:usb2="00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5B"/>
    <w:rsid w:val="00005AC2"/>
    <w:rsid w:val="00012432"/>
    <w:rsid w:val="0002427E"/>
    <w:rsid w:val="00067FD9"/>
    <w:rsid w:val="00084969"/>
    <w:rsid w:val="000B668B"/>
    <w:rsid w:val="000E117A"/>
    <w:rsid w:val="000E590F"/>
    <w:rsid w:val="001208DA"/>
    <w:rsid w:val="0017013F"/>
    <w:rsid w:val="001973D6"/>
    <w:rsid w:val="001D3975"/>
    <w:rsid w:val="001E234E"/>
    <w:rsid w:val="001E6E03"/>
    <w:rsid w:val="001F459F"/>
    <w:rsid w:val="0024101B"/>
    <w:rsid w:val="00254C06"/>
    <w:rsid w:val="00343BE7"/>
    <w:rsid w:val="003611E8"/>
    <w:rsid w:val="00393A12"/>
    <w:rsid w:val="003A184A"/>
    <w:rsid w:val="003B55DE"/>
    <w:rsid w:val="00424055"/>
    <w:rsid w:val="00444621"/>
    <w:rsid w:val="00460F60"/>
    <w:rsid w:val="00486C02"/>
    <w:rsid w:val="004C476B"/>
    <w:rsid w:val="00551E8C"/>
    <w:rsid w:val="00584EA0"/>
    <w:rsid w:val="0058630C"/>
    <w:rsid w:val="005930C2"/>
    <w:rsid w:val="00593250"/>
    <w:rsid w:val="005B3C69"/>
    <w:rsid w:val="005E343B"/>
    <w:rsid w:val="005F052F"/>
    <w:rsid w:val="006749B5"/>
    <w:rsid w:val="00680AA4"/>
    <w:rsid w:val="006937C8"/>
    <w:rsid w:val="006D4702"/>
    <w:rsid w:val="0070593A"/>
    <w:rsid w:val="007451E3"/>
    <w:rsid w:val="00775CD6"/>
    <w:rsid w:val="00790747"/>
    <w:rsid w:val="007E57AD"/>
    <w:rsid w:val="0080361E"/>
    <w:rsid w:val="00811F5B"/>
    <w:rsid w:val="00831742"/>
    <w:rsid w:val="008321D4"/>
    <w:rsid w:val="00843E31"/>
    <w:rsid w:val="00870A2B"/>
    <w:rsid w:val="0088124A"/>
    <w:rsid w:val="008A382F"/>
    <w:rsid w:val="008D28D2"/>
    <w:rsid w:val="008E24B0"/>
    <w:rsid w:val="00922951"/>
    <w:rsid w:val="00931B3D"/>
    <w:rsid w:val="00996D89"/>
    <w:rsid w:val="009A01FD"/>
    <w:rsid w:val="009C35D2"/>
    <w:rsid w:val="009E55C6"/>
    <w:rsid w:val="00A57A84"/>
    <w:rsid w:val="00AA100F"/>
    <w:rsid w:val="00AB4ADD"/>
    <w:rsid w:val="00AD605D"/>
    <w:rsid w:val="00AD73C2"/>
    <w:rsid w:val="00AE65B0"/>
    <w:rsid w:val="00B56E54"/>
    <w:rsid w:val="00B73339"/>
    <w:rsid w:val="00B93857"/>
    <w:rsid w:val="00BA5A64"/>
    <w:rsid w:val="00BC008C"/>
    <w:rsid w:val="00BC7135"/>
    <w:rsid w:val="00BC7DCC"/>
    <w:rsid w:val="00C0629C"/>
    <w:rsid w:val="00C10275"/>
    <w:rsid w:val="00C1444B"/>
    <w:rsid w:val="00CA0AB7"/>
    <w:rsid w:val="00CC4343"/>
    <w:rsid w:val="00CE1800"/>
    <w:rsid w:val="00D367BF"/>
    <w:rsid w:val="00D53825"/>
    <w:rsid w:val="00D62CC5"/>
    <w:rsid w:val="00D66EC7"/>
    <w:rsid w:val="00D92568"/>
    <w:rsid w:val="00D93E88"/>
    <w:rsid w:val="00DC1FD9"/>
    <w:rsid w:val="00DD1387"/>
    <w:rsid w:val="00DD1B66"/>
    <w:rsid w:val="00DE626C"/>
    <w:rsid w:val="00E028DD"/>
    <w:rsid w:val="00E041EC"/>
    <w:rsid w:val="00E12C04"/>
    <w:rsid w:val="00E673B3"/>
    <w:rsid w:val="00E920D8"/>
    <w:rsid w:val="00EF74F6"/>
    <w:rsid w:val="00F01D40"/>
    <w:rsid w:val="00F161DF"/>
    <w:rsid w:val="00F722D9"/>
    <w:rsid w:val="00F77B69"/>
    <w:rsid w:val="00FB1243"/>
    <w:rsid w:val="00FC5C61"/>
    <w:rsid w:val="00FE3399"/>
    <w:rsid w:val="00FE7F5B"/>
    <w:rsid w:val="00FF2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2DC82021785B443F856F0214C8FC0714">
    <w:name w:val="2DC82021785B443F856F0214C8FC0714"/>
  </w:style>
  <w:style w:type="paragraph" w:customStyle="1" w:styleId="B6704B99D5EF434E8345FBB22868DB11">
    <w:name w:val="B6704B99D5EF434E8345FBB22868DB11"/>
  </w:style>
  <w:style w:type="paragraph" w:customStyle="1" w:styleId="09083C1CD8EE450F8A71AAAFE2B04E5A">
    <w:name w:val="09083C1CD8EE450F8A71AAAFE2B04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4" ma:contentTypeDescription="Create a new document." ma:contentTypeScope="" ma:versionID="a46e09c48f7945f41ee133596882299b">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0d3c4dd9d86e7f128ab314783951ef27"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1390</Value>
      <Value>234</Value>
      <Value>10</Value>
      <Value>1</Value>
      <Value>658</Value>
    </TaxCatchAll>
    <adb9bed2e36e4a93af574aeb444da63e xmlns="a36bd50b-1532-4c22-b385-5c082c960938">
      <Terms xmlns="http://schemas.microsoft.com/office/infopath/2007/PartnerControls">
        <TermInfo xmlns="http://schemas.microsoft.com/office/infopath/2007/PartnerControls">
          <TermName>Safeguard Mechanism</TermName>
          <TermId>462066da-c297-4969-b9e8-878ecfcc0dda</TermId>
        </TermInfo>
      </Terms>
    </adb9bed2e36e4a93af574aeb444da63e>
    <n99e4c9942c6404eb103464a00e6097b xmlns="a36bd50b-1532-4c22-b385-5c082c960938">
      <Terms xmlns="http://schemas.microsoft.com/office/infopath/2007/PartnerControls">
        <TermInfo xmlns="http://schemas.microsoft.com/office/infopath/2007/PartnerControls">
          <TermName>2022</TermName>
          <TermId>4a777a70-2aa9-481e-a746-cca47d761c8e</TermId>
        </TermInfo>
      </Terms>
    </n99e4c9942c6404eb103464a00e6097b>
    <pe2555c81638466f9eb614edb9ecde52 xmlns="a36bd50b-1532-4c22-b385-5c082c960938">
      <Terms xmlns="http://schemas.microsoft.com/office/infopath/2007/PartnerControls">
        <TermInfo xmlns="http://schemas.microsoft.com/office/infopath/2007/PartnerControls">
          <TermName>Regulatory Impact Statement</TermName>
          <TermId>b67cf5e3-3946-4a1a-b234-9cb1fda6ff32</TermId>
        </TermInfo>
      </Terms>
    </pe2555c81638466f9eb614edb9ecde52>
    <aa25a1a23adf4c92a153145de6afe324 xmlns="a36bd50b-1532-4c22-b385-5c082c960938">
      <Terms xmlns="http://schemas.microsoft.com/office/infopath/2007/PartnerControls">
        <TermInfo xmlns="http://schemas.microsoft.com/office/infopath/2007/PartnerControls">
          <TermName>Cabinet</TermName>
          <TermId>8f5a38e0-0fb9-4e7f-a5c4-ce00bdbe5b86</TermId>
        </TermInfo>
      </Terms>
    </aa25a1a23adf4c92a153145de6afe324>
    <g7bcb40ba23249a78edca7d43a67c1c9 xmlns="a36bd50b-1532-4c22-b385-5c082c960938">
      <Terms xmlns="http://schemas.microsoft.com/office/infopath/2007/PartnerControls">
        <TermInfo xmlns="http://schemas.microsoft.com/office/infopath/2007/PartnerControls">
          <TermName>Policy Development</TermName>
          <TermId>a935a4a9-2ceb-46c7-85bb-0ace72ac3f60</TermId>
        </TermInfo>
      </Terms>
    </g7bcb40ba23249a78edca7d43a67c1c9>
    <Comments xmlns="http://schemas.microsoft.com/sharepoint/v3">Working version, experiencing issues with word and previous versions of the same document</Comments>
    <IconOverlay xmlns="http://schemas.microsoft.com/sharepoint/v4" xsi:nil="true"/>
    <SharedWithUsers xmlns="8c4c6479-bb6a-4263-8159-fbb0afc5d491">
      <UserInfo>
        <DisplayName/>
        <AccountId xsi:nil="true"/>
        <AccountType/>
      </UserInfo>
    </SharedWithUsers>
  </documentManagement>
</p:properties>
</file>

<file path=customXml/item5.xml><?xml version="1.0" encoding="utf-8"?>
<root>
  <Name/>
  <Classification>PROTECTED CABINET</Classification>
  <DLM/>
  <SectionName/>
  <DH>Reforms to the Safeguard Mechanism</DH>
  <Byline/>
</root>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C41187F3-D74B-47A1-A59B-A72FB25837B8}">
  <ds:schemaRefs>
    <ds:schemaRef ds:uri="http://schemas.microsoft.com/sharepoint/v3/contenttype/forms"/>
  </ds:schemaRefs>
</ds:datastoreItem>
</file>

<file path=customXml/itemProps2.xml><?xml version="1.0" encoding="utf-8"?>
<ds:datastoreItem xmlns:ds="http://schemas.openxmlformats.org/officeDocument/2006/customXml" ds:itemID="{5AE128EF-F4D7-4021-8D36-CF30BDE6CA09}">
  <ds:schemaRefs>
    <ds:schemaRef ds:uri="http://schemas.microsoft.com/sharepoint/events"/>
  </ds:schemaRefs>
</ds:datastoreItem>
</file>

<file path=customXml/itemProps3.xml><?xml version="1.0" encoding="utf-8"?>
<ds:datastoreItem xmlns:ds="http://schemas.openxmlformats.org/officeDocument/2006/customXml" ds:itemID="{7C3490A7-D234-4CC7-B7AD-3E381F533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547EC-6463-4F89-A707-5A2FD7C340D4}">
  <ds:schemaRef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8c4c6479-bb6a-4263-8159-fbb0afc5d491"/>
    <ds:schemaRef ds:uri="http://purl.org/dc/terms/"/>
    <ds:schemaRef ds:uri="a36bd50b-1532-4c22-b385-5c082c960938"/>
    <ds:schemaRef ds:uri="http://www.w3.org/XML/1998/namespace"/>
    <ds:schemaRef ds:uri="http://purl.org/dc/dcmitype/"/>
  </ds:schemaRefs>
</ds:datastoreItem>
</file>

<file path=customXml/itemProps5.xml><?xml version="1.0" encoding="utf-8"?>
<ds:datastoreItem xmlns:ds="http://schemas.openxmlformats.org/officeDocument/2006/customXml" ds:itemID="{F533AE62-A212-4B26-92DA-A3B336E8AE06}">
  <ds:schemaRefs/>
</ds:datastoreItem>
</file>

<file path=customXml/itemProps6.xml><?xml version="1.0" encoding="utf-8"?>
<ds:datastoreItem xmlns:ds="http://schemas.openxmlformats.org/officeDocument/2006/customXml" ds:itemID="{2784F20E-2717-42DA-B908-E688A89A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23436</Words>
  <Characters>134527</Characters>
  <Application>Microsoft Office Word</Application>
  <DocSecurity>4</DocSecurity>
  <Lines>2538</Lines>
  <Paragraphs>1595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Philalay</dc:creator>
  <cp:keywords>[SEC=OFFICIAL]</cp:keywords>
  <dc:description/>
  <cp:lastModifiedBy>Leriche, Marsy</cp:lastModifiedBy>
  <cp:revision>2</cp:revision>
  <dcterms:created xsi:type="dcterms:W3CDTF">2023-05-05T05:16:00Z</dcterms:created>
  <dcterms:modified xsi:type="dcterms:W3CDTF">2023-05-05T05:16:00Z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0x0101005BC986DFDE75994F940B8C539C91BA04</vt:lpwstr>
  </property>
  <property fmtid="{D5CDD505-2E9C-101B-9397-08002B2CF9AE}" pid="3" name="HPRMSecurityLevel">
    <vt:lpwstr>57;#OFFICIAL|11463c70-78df-4e3b-b0ff-f66cd3cb26ec</vt:lpwstr>
  </property>
  <property fmtid="{D5CDD505-2E9C-101B-9397-08002B2CF9AE}" pid="4" name="DocHub_Year">
    <vt:lpwstr>1390;#2022|4a777a70-2aa9-481e-a746-cca47d761c8e</vt:lpwstr>
  </property>
  <property fmtid="{D5CDD505-2E9C-101B-9397-08002B2CF9AE}" pid="5" name="DocHub_DocumentType">
    <vt:lpwstr>658;#Regulatory Impact Statement|b67cf5e3-3946-4a1a-b234-9cb1fda6ff32</vt:lpwstr>
  </property>
  <property fmtid="{D5CDD505-2E9C-101B-9397-08002B2CF9AE}" pid="6" name="DocHub_SecurityClassification">
    <vt:lpwstr>1;#Cabinet|8f5a38e0-0fb9-4e7f-a5c4-ce00bdbe5b86</vt:lpwstr>
  </property>
  <property fmtid="{D5CDD505-2E9C-101B-9397-08002B2CF9AE}" pid="7" name="DocHub_Keywords">
    <vt:lpwstr>234;#Safeguard Mechanism|462066da-c297-4969-b9e8-878ecfcc0dda</vt:lpwstr>
  </property>
  <property fmtid="{D5CDD505-2E9C-101B-9397-08002B2CF9AE}" pid="8" name="DocHub_WorkActivity">
    <vt:lpwstr>10;#Policy Development|a935a4a9-2ceb-46c7-85bb-0ace72ac3f60</vt:lpwstr>
  </property>
  <property fmtid="{D5CDD505-2E9C-101B-9397-08002B2CF9AE}" pid="9" name="PM_ProtectiveMarkingValue_Footer">
    <vt:lpwstr>OFFICIAL</vt:lpwstr>
  </property>
  <property fmtid="{D5CDD505-2E9C-101B-9397-08002B2CF9AE}" pid="10" name="PM_Caveats_Count">
    <vt:lpwstr>0</vt:lpwstr>
  </property>
  <property fmtid="{D5CDD505-2E9C-101B-9397-08002B2CF9AE}" pid="11" name="PM_Originator_Hash_SHA1">
    <vt:lpwstr>908BFD1DD747F6176B2B9B4D31B4B3FC5EB0FAA2</vt:lpwstr>
  </property>
  <property fmtid="{D5CDD505-2E9C-101B-9397-08002B2CF9AE}" pid="12" name="PM_SecurityClassification">
    <vt:lpwstr>OFFICIAL</vt:lpwstr>
  </property>
  <property fmtid="{D5CDD505-2E9C-101B-9397-08002B2CF9AE}" pid="13" name="PM_DisplayValueSecClassificationWithQualifier">
    <vt:lpwstr>OFFICIAL:</vt:lpwstr>
  </property>
  <property fmtid="{D5CDD505-2E9C-101B-9397-08002B2CF9AE}" pid="14" name="PM_Qualifier">
    <vt:lpwstr/>
  </property>
  <property fmtid="{D5CDD505-2E9C-101B-9397-08002B2CF9AE}" pid="15" name="PM_Hash_SHA1">
    <vt:lpwstr>0221A4B4649ED02B98C2C8D91E638252DC216245</vt:lpwstr>
  </property>
  <property fmtid="{D5CDD505-2E9C-101B-9397-08002B2CF9AE}" pid="16" name="PM_ProtectiveMarkingImage_Header">
    <vt:lpwstr>C:\Program Files (x86)\Common Files\janusNET Shared\janusSEAL\Images\DocumentSlashBlue.png</vt:lpwstr>
  </property>
  <property fmtid="{D5CDD505-2E9C-101B-9397-08002B2CF9AE}" pid="17" name="PM_InsertionValue">
    <vt:lpwstr>OFFICIAL</vt:lpwstr>
  </property>
  <property fmtid="{D5CDD505-2E9C-101B-9397-08002B2CF9AE}" pid="18" name="PM_ProtectiveMarkingValue_Header">
    <vt:lpwstr>OFFICIAL</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2018.1</vt:lpwstr>
  </property>
  <property fmtid="{D5CDD505-2E9C-101B-9397-08002B2CF9AE}" pid="22" name="PM_Originating_FileId">
    <vt:lpwstr>F47373025C234FE0973819482B339D9B</vt:lpwstr>
  </property>
  <property fmtid="{D5CDD505-2E9C-101B-9397-08002B2CF9AE}" pid="23" name="PM_Note">
    <vt:lpwstr/>
  </property>
  <property fmtid="{D5CDD505-2E9C-101B-9397-08002B2CF9AE}" pid="24" name="PM_Markers">
    <vt:lpwstr/>
  </property>
  <property fmtid="{D5CDD505-2E9C-101B-9397-08002B2CF9AE}" pid="25" name="PM_OriginationTimeStamp">
    <vt:lpwstr>2023-05-04T01:41:06Z</vt:lpwstr>
  </property>
  <property fmtid="{D5CDD505-2E9C-101B-9397-08002B2CF9AE}" pid="26" name="PM_Hash_Version">
    <vt:lpwstr>2018.0</vt:lpwstr>
  </property>
  <property fmtid="{D5CDD505-2E9C-101B-9397-08002B2CF9AE}" pid="27" name="PM_Hash_Salt_Prev">
    <vt:lpwstr>CDF7B98FD838CF0968129891CEE70994</vt:lpwstr>
  </property>
  <property fmtid="{D5CDD505-2E9C-101B-9397-08002B2CF9AE}" pid="28" name="PM_Hash_Salt">
    <vt:lpwstr>739A15F6475CBB47C59C7F05A76904CC</vt:lpwstr>
  </property>
  <property fmtid="{D5CDD505-2E9C-101B-9397-08002B2CF9AE}" pid="29" name="PM_SecurityClassification_Prev">
    <vt:lpwstr>OFFICIAL</vt:lpwstr>
  </property>
  <property fmtid="{D5CDD505-2E9C-101B-9397-08002B2CF9AE}" pid="30" name="PM_Qualifier_Prev">
    <vt:lpwstr/>
  </property>
</Properties>
</file>