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7F7B1" w14:textId="77777777" w:rsidR="00715914" w:rsidRPr="00FF5E89" w:rsidRDefault="00DA186E" w:rsidP="00715914">
      <w:pPr>
        <w:rPr>
          <w:sz w:val="28"/>
        </w:rPr>
      </w:pPr>
      <w:r w:rsidRPr="00FF5E89">
        <w:rPr>
          <w:noProof/>
          <w:lang w:eastAsia="en-AU"/>
        </w:rPr>
        <w:drawing>
          <wp:inline distT="0" distB="0" distL="0" distR="0" wp14:anchorId="737BE123" wp14:editId="7278F91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BF603B0" w14:textId="77777777" w:rsidR="00715914" w:rsidRPr="00FF5E89" w:rsidRDefault="00715914" w:rsidP="00715914">
      <w:pPr>
        <w:rPr>
          <w:sz w:val="19"/>
        </w:rPr>
      </w:pPr>
    </w:p>
    <w:p w14:paraId="67F84E3A" w14:textId="77777777" w:rsidR="00554826" w:rsidRPr="00FF5E89" w:rsidRDefault="00E908FB" w:rsidP="00554826">
      <w:pPr>
        <w:pStyle w:val="ShortT"/>
      </w:pPr>
      <w:r w:rsidRPr="00FF5E89">
        <w:t>Clean Energy Regulator</w:t>
      </w:r>
      <w:r w:rsidR="00554826" w:rsidRPr="00FF5E89">
        <w:t xml:space="preserve"> (</w:t>
      </w:r>
      <w:r w:rsidRPr="00FF5E89">
        <w:t>Human-Induced Regeneration Projects</w:t>
      </w:r>
      <w:r w:rsidR="00554826" w:rsidRPr="00FF5E89">
        <w:t xml:space="preserve">) </w:t>
      </w:r>
      <w:r w:rsidRPr="00FF5E89">
        <w:t>Direction 2023</w:t>
      </w:r>
    </w:p>
    <w:p w14:paraId="3BDDF85D" w14:textId="77777777" w:rsidR="00554826" w:rsidRPr="00FF5E89" w:rsidRDefault="00554826" w:rsidP="00554826">
      <w:pPr>
        <w:pStyle w:val="SignCoverPageStart"/>
        <w:spacing w:before="240"/>
        <w:ind w:right="91"/>
        <w:rPr>
          <w:szCs w:val="22"/>
        </w:rPr>
      </w:pPr>
      <w:r w:rsidRPr="00FF5E89">
        <w:rPr>
          <w:szCs w:val="22"/>
        </w:rPr>
        <w:t xml:space="preserve">I, </w:t>
      </w:r>
      <w:r w:rsidR="00E908FB" w:rsidRPr="00FF5E89">
        <w:rPr>
          <w:szCs w:val="22"/>
        </w:rPr>
        <w:t>Chris Bowen</w:t>
      </w:r>
      <w:r w:rsidRPr="00FF5E89">
        <w:rPr>
          <w:szCs w:val="22"/>
        </w:rPr>
        <w:t xml:space="preserve">, </w:t>
      </w:r>
      <w:r w:rsidR="00E908FB" w:rsidRPr="00FF5E89">
        <w:rPr>
          <w:szCs w:val="22"/>
        </w:rPr>
        <w:t>Minister for Climate Change and Energy,</w:t>
      </w:r>
      <w:r w:rsidRPr="00FF5E89">
        <w:rPr>
          <w:szCs w:val="22"/>
        </w:rPr>
        <w:t xml:space="preserve"> make the following </w:t>
      </w:r>
      <w:r w:rsidR="00E908FB" w:rsidRPr="00FF5E89">
        <w:rPr>
          <w:szCs w:val="22"/>
        </w:rPr>
        <w:t>direction</w:t>
      </w:r>
      <w:r w:rsidRPr="00FF5E89">
        <w:rPr>
          <w:szCs w:val="22"/>
        </w:rPr>
        <w:t>.</w:t>
      </w:r>
    </w:p>
    <w:p w14:paraId="4D8DD3D6" w14:textId="60490ADC" w:rsidR="00554826" w:rsidRPr="00FF5E89" w:rsidRDefault="00554826" w:rsidP="00554826">
      <w:pPr>
        <w:keepNext/>
        <w:spacing w:before="300" w:line="240" w:lineRule="atLeast"/>
        <w:ind w:right="397"/>
        <w:jc w:val="both"/>
        <w:rPr>
          <w:szCs w:val="22"/>
        </w:rPr>
      </w:pPr>
      <w:r w:rsidRPr="00FF5E89">
        <w:rPr>
          <w:szCs w:val="22"/>
        </w:rPr>
        <w:t>Dated</w:t>
      </w:r>
      <w:r w:rsidRPr="00FF5E89">
        <w:rPr>
          <w:szCs w:val="22"/>
        </w:rPr>
        <w:tab/>
      </w:r>
      <w:r w:rsidRPr="00FF5E89">
        <w:rPr>
          <w:szCs w:val="22"/>
        </w:rPr>
        <w:tab/>
      </w:r>
      <w:r w:rsidR="00A4335E" w:rsidRPr="00FF5E89">
        <w:rPr>
          <w:szCs w:val="22"/>
        </w:rPr>
        <w:t>3 May 2023</w:t>
      </w:r>
      <w:r w:rsidRPr="00FF5E89">
        <w:rPr>
          <w:szCs w:val="22"/>
        </w:rPr>
        <w:tab/>
      </w:r>
      <w:r w:rsidRPr="00FF5E89">
        <w:rPr>
          <w:szCs w:val="22"/>
        </w:rPr>
        <w:tab/>
      </w:r>
    </w:p>
    <w:p w14:paraId="5504A098" w14:textId="77777777" w:rsidR="00554826" w:rsidRPr="00FF5E89" w:rsidRDefault="00E908FB" w:rsidP="00554826">
      <w:pPr>
        <w:keepNext/>
        <w:tabs>
          <w:tab w:val="left" w:pos="3402"/>
        </w:tabs>
        <w:spacing w:before="1440" w:line="300" w:lineRule="atLeast"/>
        <w:ind w:right="397"/>
        <w:rPr>
          <w:b/>
          <w:szCs w:val="22"/>
        </w:rPr>
      </w:pPr>
      <w:r w:rsidRPr="00FF5E89">
        <w:rPr>
          <w:szCs w:val="22"/>
        </w:rPr>
        <w:t>Chris Bowen</w:t>
      </w:r>
      <w:r w:rsidR="00554826" w:rsidRPr="00FF5E89">
        <w:rPr>
          <w:szCs w:val="22"/>
        </w:rPr>
        <w:t xml:space="preserve"> </w:t>
      </w:r>
    </w:p>
    <w:p w14:paraId="2D91B79E" w14:textId="77777777" w:rsidR="00554826" w:rsidRPr="00FF5E89" w:rsidRDefault="00E908FB" w:rsidP="00554826">
      <w:pPr>
        <w:pStyle w:val="SignCoverPageEnd"/>
        <w:ind w:right="91"/>
        <w:rPr>
          <w:sz w:val="22"/>
        </w:rPr>
      </w:pPr>
      <w:r w:rsidRPr="00FF5E89">
        <w:rPr>
          <w:sz w:val="22"/>
        </w:rPr>
        <w:t>Minister for Climate Change and Energy</w:t>
      </w:r>
    </w:p>
    <w:p w14:paraId="4A3DFE6A" w14:textId="77777777" w:rsidR="00554826" w:rsidRPr="00FF5E89" w:rsidRDefault="00554826" w:rsidP="00554826"/>
    <w:p w14:paraId="4756166D" w14:textId="77777777" w:rsidR="00554826" w:rsidRPr="00FF5E89" w:rsidRDefault="00554826" w:rsidP="00554826"/>
    <w:p w14:paraId="4CA73F58" w14:textId="77777777" w:rsidR="00F6696E" w:rsidRPr="00FF5E89" w:rsidRDefault="00F6696E" w:rsidP="00F6696E"/>
    <w:p w14:paraId="7534C84A" w14:textId="77777777" w:rsidR="00F6696E" w:rsidRPr="00FF5E89" w:rsidRDefault="00F6696E" w:rsidP="00F6696E">
      <w:pPr>
        <w:sectPr w:rsidR="00F6696E" w:rsidRPr="00FF5E89" w:rsidSect="00F6696E">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2234" w:right="1797" w:bottom="1440" w:left="1797" w:header="720" w:footer="989" w:gutter="0"/>
          <w:pgNumType w:start="1"/>
          <w:cols w:space="708"/>
          <w:titlePg/>
          <w:docGrid w:linePitch="360"/>
        </w:sectPr>
      </w:pPr>
    </w:p>
    <w:p w14:paraId="04F4AEFB" w14:textId="77777777" w:rsidR="007500C8" w:rsidRPr="00FF5E89" w:rsidRDefault="00715914" w:rsidP="00715914">
      <w:pPr>
        <w:outlineLvl w:val="0"/>
        <w:rPr>
          <w:sz w:val="36"/>
        </w:rPr>
      </w:pPr>
      <w:r w:rsidRPr="00FF5E89">
        <w:rPr>
          <w:sz w:val="36"/>
        </w:rPr>
        <w:lastRenderedPageBreak/>
        <w:t>Contents</w:t>
      </w:r>
    </w:p>
    <w:p w14:paraId="39E97C78" w14:textId="77777777" w:rsidR="00073F26" w:rsidRPr="00FF5E89" w:rsidRDefault="00B418CB">
      <w:pPr>
        <w:pStyle w:val="TOC2"/>
        <w:rPr>
          <w:rFonts w:asciiTheme="minorHAnsi" w:eastAsiaTheme="minorEastAsia" w:hAnsiTheme="minorHAnsi" w:cstheme="minorBidi"/>
          <w:b w:val="0"/>
          <w:noProof/>
          <w:kern w:val="0"/>
          <w:sz w:val="22"/>
          <w:szCs w:val="22"/>
        </w:rPr>
      </w:pPr>
      <w:r w:rsidRPr="00FF5E89">
        <w:rPr>
          <w:sz w:val="18"/>
        </w:rPr>
        <w:fldChar w:fldCharType="begin"/>
      </w:r>
      <w:r w:rsidRPr="00FF5E89">
        <w:instrText xml:space="preserve"> TOC \o "1-9" </w:instrText>
      </w:r>
      <w:r w:rsidRPr="00FF5E89">
        <w:rPr>
          <w:sz w:val="18"/>
        </w:rPr>
        <w:fldChar w:fldCharType="separate"/>
      </w:r>
      <w:r w:rsidR="00073F26" w:rsidRPr="00FF5E89">
        <w:rPr>
          <w:noProof/>
        </w:rPr>
        <w:t>Part 1—Preliminary</w:t>
      </w:r>
      <w:r w:rsidR="00073F26" w:rsidRPr="00FF5E89">
        <w:rPr>
          <w:noProof/>
        </w:rPr>
        <w:tab/>
      </w:r>
      <w:r w:rsidR="00073F26" w:rsidRPr="00FF5E89">
        <w:rPr>
          <w:noProof/>
        </w:rPr>
        <w:fldChar w:fldCharType="begin"/>
      </w:r>
      <w:r w:rsidR="00073F26" w:rsidRPr="00FF5E89">
        <w:rPr>
          <w:noProof/>
        </w:rPr>
        <w:instrText xml:space="preserve"> PAGEREF _Toc131177090 \h </w:instrText>
      </w:r>
      <w:r w:rsidR="00073F26" w:rsidRPr="00FF5E89">
        <w:rPr>
          <w:noProof/>
        </w:rPr>
      </w:r>
      <w:r w:rsidR="00073F26" w:rsidRPr="00FF5E89">
        <w:rPr>
          <w:noProof/>
        </w:rPr>
        <w:fldChar w:fldCharType="separate"/>
      </w:r>
      <w:r w:rsidR="006375EF" w:rsidRPr="00FF5E89">
        <w:rPr>
          <w:noProof/>
        </w:rPr>
        <w:t>1</w:t>
      </w:r>
      <w:r w:rsidR="00073F26" w:rsidRPr="00FF5E89">
        <w:rPr>
          <w:noProof/>
        </w:rPr>
        <w:fldChar w:fldCharType="end"/>
      </w:r>
    </w:p>
    <w:p w14:paraId="4D58E4A7" w14:textId="77777777" w:rsidR="00073F26" w:rsidRPr="00FF5E89" w:rsidRDefault="00073F26">
      <w:pPr>
        <w:pStyle w:val="TOC5"/>
        <w:rPr>
          <w:rFonts w:asciiTheme="minorHAnsi" w:eastAsiaTheme="minorEastAsia" w:hAnsiTheme="minorHAnsi" w:cstheme="minorBidi"/>
          <w:noProof/>
          <w:kern w:val="0"/>
          <w:sz w:val="22"/>
          <w:szCs w:val="22"/>
        </w:rPr>
      </w:pPr>
      <w:r w:rsidRPr="00FF5E89">
        <w:rPr>
          <w:noProof/>
        </w:rPr>
        <w:t>1  Name</w:t>
      </w:r>
      <w:r w:rsidRPr="00FF5E89">
        <w:rPr>
          <w:noProof/>
        </w:rPr>
        <w:tab/>
      </w:r>
      <w:r w:rsidRPr="00FF5E89">
        <w:rPr>
          <w:noProof/>
        </w:rPr>
        <w:fldChar w:fldCharType="begin"/>
      </w:r>
      <w:r w:rsidRPr="00FF5E89">
        <w:rPr>
          <w:noProof/>
        </w:rPr>
        <w:instrText xml:space="preserve"> PAGEREF _Toc131177091 \h </w:instrText>
      </w:r>
      <w:r w:rsidRPr="00FF5E89">
        <w:rPr>
          <w:noProof/>
        </w:rPr>
      </w:r>
      <w:r w:rsidRPr="00FF5E89">
        <w:rPr>
          <w:noProof/>
        </w:rPr>
        <w:fldChar w:fldCharType="separate"/>
      </w:r>
      <w:r w:rsidR="006375EF" w:rsidRPr="00FF5E89">
        <w:rPr>
          <w:noProof/>
        </w:rPr>
        <w:t>1</w:t>
      </w:r>
      <w:r w:rsidRPr="00FF5E89">
        <w:rPr>
          <w:noProof/>
        </w:rPr>
        <w:fldChar w:fldCharType="end"/>
      </w:r>
    </w:p>
    <w:p w14:paraId="6648CB6F" w14:textId="77777777" w:rsidR="00073F26" w:rsidRPr="00FF5E89" w:rsidRDefault="00073F26">
      <w:pPr>
        <w:pStyle w:val="TOC5"/>
        <w:rPr>
          <w:rFonts w:asciiTheme="minorHAnsi" w:eastAsiaTheme="minorEastAsia" w:hAnsiTheme="minorHAnsi" w:cstheme="minorBidi"/>
          <w:noProof/>
          <w:kern w:val="0"/>
          <w:sz w:val="22"/>
          <w:szCs w:val="22"/>
        </w:rPr>
      </w:pPr>
      <w:r w:rsidRPr="00FF5E89">
        <w:rPr>
          <w:noProof/>
        </w:rPr>
        <w:t>2  Commencement</w:t>
      </w:r>
      <w:r w:rsidRPr="00FF5E89">
        <w:rPr>
          <w:noProof/>
        </w:rPr>
        <w:tab/>
      </w:r>
      <w:r w:rsidRPr="00FF5E89">
        <w:rPr>
          <w:noProof/>
        </w:rPr>
        <w:fldChar w:fldCharType="begin"/>
      </w:r>
      <w:r w:rsidRPr="00FF5E89">
        <w:rPr>
          <w:noProof/>
        </w:rPr>
        <w:instrText xml:space="preserve"> PAGEREF _Toc131177092 \h </w:instrText>
      </w:r>
      <w:r w:rsidRPr="00FF5E89">
        <w:rPr>
          <w:noProof/>
        </w:rPr>
      </w:r>
      <w:r w:rsidRPr="00FF5E89">
        <w:rPr>
          <w:noProof/>
        </w:rPr>
        <w:fldChar w:fldCharType="separate"/>
      </w:r>
      <w:r w:rsidR="006375EF" w:rsidRPr="00FF5E89">
        <w:rPr>
          <w:noProof/>
        </w:rPr>
        <w:t>1</w:t>
      </w:r>
      <w:r w:rsidRPr="00FF5E89">
        <w:rPr>
          <w:noProof/>
        </w:rPr>
        <w:fldChar w:fldCharType="end"/>
      </w:r>
    </w:p>
    <w:p w14:paraId="11B14954" w14:textId="77777777" w:rsidR="00073F26" w:rsidRPr="00FF5E89" w:rsidRDefault="00073F26">
      <w:pPr>
        <w:pStyle w:val="TOC5"/>
        <w:rPr>
          <w:rFonts w:asciiTheme="minorHAnsi" w:eastAsiaTheme="minorEastAsia" w:hAnsiTheme="minorHAnsi" w:cstheme="minorBidi"/>
          <w:noProof/>
          <w:kern w:val="0"/>
          <w:sz w:val="22"/>
          <w:szCs w:val="22"/>
        </w:rPr>
      </w:pPr>
      <w:r w:rsidRPr="00FF5E89">
        <w:rPr>
          <w:noProof/>
        </w:rPr>
        <w:t>3  Authority</w:t>
      </w:r>
      <w:r w:rsidRPr="00FF5E89">
        <w:rPr>
          <w:noProof/>
        </w:rPr>
        <w:tab/>
      </w:r>
      <w:r w:rsidRPr="00FF5E89">
        <w:rPr>
          <w:noProof/>
        </w:rPr>
        <w:fldChar w:fldCharType="begin"/>
      </w:r>
      <w:r w:rsidRPr="00FF5E89">
        <w:rPr>
          <w:noProof/>
        </w:rPr>
        <w:instrText xml:space="preserve"> PAGEREF _Toc131177093 \h </w:instrText>
      </w:r>
      <w:r w:rsidRPr="00FF5E89">
        <w:rPr>
          <w:noProof/>
        </w:rPr>
      </w:r>
      <w:r w:rsidRPr="00FF5E89">
        <w:rPr>
          <w:noProof/>
        </w:rPr>
        <w:fldChar w:fldCharType="separate"/>
      </w:r>
      <w:r w:rsidR="006375EF" w:rsidRPr="00FF5E89">
        <w:rPr>
          <w:noProof/>
        </w:rPr>
        <w:t>1</w:t>
      </w:r>
      <w:r w:rsidRPr="00FF5E89">
        <w:rPr>
          <w:noProof/>
        </w:rPr>
        <w:fldChar w:fldCharType="end"/>
      </w:r>
    </w:p>
    <w:p w14:paraId="5956D37C" w14:textId="77777777" w:rsidR="00073F26" w:rsidRPr="00FF5E89" w:rsidRDefault="00073F26">
      <w:pPr>
        <w:pStyle w:val="TOC5"/>
        <w:rPr>
          <w:rFonts w:asciiTheme="minorHAnsi" w:eastAsiaTheme="minorEastAsia" w:hAnsiTheme="minorHAnsi" w:cstheme="minorBidi"/>
          <w:noProof/>
          <w:kern w:val="0"/>
          <w:sz w:val="22"/>
          <w:szCs w:val="22"/>
        </w:rPr>
      </w:pPr>
      <w:r w:rsidRPr="00FF5E89">
        <w:rPr>
          <w:noProof/>
        </w:rPr>
        <w:t>4  Definitions</w:t>
      </w:r>
      <w:r w:rsidRPr="00FF5E89">
        <w:rPr>
          <w:noProof/>
        </w:rPr>
        <w:tab/>
      </w:r>
      <w:r w:rsidRPr="00FF5E89">
        <w:rPr>
          <w:noProof/>
        </w:rPr>
        <w:fldChar w:fldCharType="begin"/>
      </w:r>
      <w:r w:rsidRPr="00FF5E89">
        <w:rPr>
          <w:noProof/>
        </w:rPr>
        <w:instrText xml:space="preserve"> PAGEREF _Toc131177094 \h </w:instrText>
      </w:r>
      <w:r w:rsidRPr="00FF5E89">
        <w:rPr>
          <w:noProof/>
        </w:rPr>
      </w:r>
      <w:r w:rsidRPr="00FF5E89">
        <w:rPr>
          <w:noProof/>
        </w:rPr>
        <w:fldChar w:fldCharType="separate"/>
      </w:r>
      <w:r w:rsidR="006375EF" w:rsidRPr="00FF5E89">
        <w:rPr>
          <w:noProof/>
        </w:rPr>
        <w:t>1</w:t>
      </w:r>
      <w:r w:rsidRPr="00FF5E89">
        <w:rPr>
          <w:noProof/>
        </w:rPr>
        <w:fldChar w:fldCharType="end"/>
      </w:r>
    </w:p>
    <w:p w14:paraId="72FC302F" w14:textId="77777777" w:rsidR="00073F26" w:rsidRPr="00FF5E89" w:rsidRDefault="00073F26">
      <w:pPr>
        <w:pStyle w:val="TOC5"/>
        <w:rPr>
          <w:rFonts w:asciiTheme="minorHAnsi" w:eastAsiaTheme="minorEastAsia" w:hAnsiTheme="minorHAnsi" w:cstheme="minorBidi"/>
          <w:noProof/>
          <w:kern w:val="0"/>
          <w:sz w:val="22"/>
          <w:szCs w:val="22"/>
        </w:rPr>
      </w:pPr>
      <w:r w:rsidRPr="00FF5E89">
        <w:rPr>
          <w:noProof/>
        </w:rPr>
        <w:t>5  Object</w:t>
      </w:r>
      <w:r w:rsidRPr="00FF5E89">
        <w:rPr>
          <w:noProof/>
        </w:rPr>
        <w:tab/>
      </w:r>
      <w:r w:rsidRPr="00FF5E89">
        <w:rPr>
          <w:noProof/>
        </w:rPr>
        <w:fldChar w:fldCharType="begin"/>
      </w:r>
      <w:r w:rsidRPr="00FF5E89">
        <w:rPr>
          <w:noProof/>
        </w:rPr>
        <w:instrText xml:space="preserve"> PAGEREF _Toc131177095 \h </w:instrText>
      </w:r>
      <w:r w:rsidRPr="00FF5E89">
        <w:rPr>
          <w:noProof/>
        </w:rPr>
      </w:r>
      <w:r w:rsidRPr="00FF5E89">
        <w:rPr>
          <w:noProof/>
        </w:rPr>
        <w:fldChar w:fldCharType="separate"/>
      </w:r>
      <w:r w:rsidR="006375EF" w:rsidRPr="00FF5E89">
        <w:rPr>
          <w:noProof/>
        </w:rPr>
        <w:t>2</w:t>
      </w:r>
      <w:r w:rsidRPr="00FF5E89">
        <w:rPr>
          <w:noProof/>
        </w:rPr>
        <w:fldChar w:fldCharType="end"/>
      </w:r>
    </w:p>
    <w:p w14:paraId="4FD169BE" w14:textId="77777777" w:rsidR="00073F26" w:rsidRPr="00FF5E89" w:rsidRDefault="00073F26">
      <w:pPr>
        <w:pStyle w:val="TOC2"/>
        <w:rPr>
          <w:rFonts w:asciiTheme="minorHAnsi" w:eastAsiaTheme="minorEastAsia" w:hAnsiTheme="minorHAnsi" w:cstheme="minorBidi"/>
          <w:b w:val="0"/>
          <w:noProof/>
          <w:kern w:val="0"/>
          <w:sz w:val="22"/>
          <w:szCs w:val="22"/>
        </w:rPr>
      </w:pPr>
      <w:r w:rsidRPr="00FF5E89">
        <w:rPr>
          <w:noProof/>
        </w:rPr>
        <w:t>Part 2—Direction to the Regulator</w:t>
      </w:r>
      <w:r w:rsidRPr="00FF5E89">
        <w:rPr>
          <w:noProof/>
        </w:rPr>
        <w:tab/>
      </w:r>
      <w:r w:rsidRPr="00FF5E89">
        <w:rPr>
          <w:noProof/>
        </w:rPr>
        <w:fldChar w:fldCharType="begin"/>
      </w:r>
      <w:r w:rsidRPr="00FF5E89">
        <w:rPr>
          <w:noProof/>
        </w:rPr>
        <w:instrText xml:space="preserve"> PAGEREF _Toc131177096 \h </w:instrText>
      </w:r>
      <w:r w:rsidRPr="00FF5E89">
        <w:rPr>
          <w:noProof/>
        </w:rPr>
      </w:r>
      <w:r w:rsidRPr="00FF5E89">
        <w:rPr>
          <w:noProof/>
        </w:rPr>
        <w:fldChar w:fldCharType="separate"/>
      </w:r>
      <w:r w:rsidR="006375EF" w:rsidRPr="00FF5E89">
        <w:rPr>
          <w:noProof/>
        </w:rPr>
        <w:t>3</w:t>
      </w:r>
      <w:r w:rsidRPr="00FF5E89">
        <w:rPr>
          <w:noProof/>
        </w:rPr>
        <w:fldChar w:fldCharType="end"/>
      </w:r>
    </w:p>
    <w:p w14:paraId="2FD282CE" w14:textId="77777777" w:rsidR="00073F26" w:rsidRPr="00FF5E89" w:rsidRDefault="00073F26">
      <w:pPr>
        <w:pStyle w:val="TOC5"/>
        <w:rPr>
          <w:rFonts w:asciiTheme="minorHAnsi" w:eastAsiaTheme="minorEastAsia" w:hAnsiTheme="minorHAnsi" w:cstheme="minorBidi"/>
          <w:noProof/>
          <w:kern w:val="0"/>
          <w:sz w:val="22"/>
          <w:szCs w:val="22"/>
        </w:rPr>
      </w:pPr>
      <w:r w:rsidRPr="00FF5E89">
        <w:rPr>
          <w:noProof/>
        </w:rPr>
        <w:t>6  Direction on administering the HIR methodology</w:t>
      </w:r>
      <w:r w:rsidRPr="00FF5E89">
        <w:rPr>
          <w:noProof/>
        </w:rPr>
        <w:tab/>
      </w:r>
      <w:r w:rsidRPr="00FF5E89">
        <w:rPr>
          <w:noProof/>
        </w:rPr>
        <w:fldChar w:fldCharType="begin"/>
      </w:r>
      <w:r w:rsidRPr="00FF5E89">
        <w:rPr>
          <w:noProof/>
        </w:rPr>
        <w:instrText xml:space="preserve"> PAGEREF _Toc131177097 \h </w:instrText>
      </w:r>
      <w:r w:rsidRPr="00FF5E89">
        <w:rPr>
          <w:noProof/>
        </w:rPr>
      </w:r>
      <w:r w:rsidRPr="00FF5E89">
        <w:rPr>
          <w:noProof/>
        </w:rPr>
        <w:fldChar w:fldCharType="separate"/>
      </w:r>
      <w:r w:rsidR="006375EF" w:rsidRPr="00FF5E89">
        <w:rPr>
          <w:noProof/>
        </w:rPr>
        <w:t>3</w:t>
      </w:r>
      <w:r w:rsidRPr="00FF5E89">
        <w:rPr>
          <w:noProof/>
        </w:rPr>
        <w:fldChar w:fldCharType="end"/>
      </w:r>
    </w:p>
    <w:p w14:paraId="39F0D813" w14:textId="77777777" w:rsidR="00073F26" w:rsidRPr="00FF5E89" w:rsidRDefault="00073F26">
      <w:pPr>
        <w:pStyle w:val="TOC5"/>
        <w:rPr>
          <w:rFonts w:asciiTheme="minorHAnsi" w:eastAsiaTheme="minorEastAsia" w:hAnsiTheme="minorHAnsi" w:cstheme="minorBidi"/>
          <w:noProof/>
          <w:kern w:val="0"/>
          <w:sz w:val="22"/>
          <w:szCs w:val="22"/>
        </w:rPr>
      </w:pPr>
      <w:r w:rsidRPr="00FF5E89">
        <w:rPr>
          <w:noProof/>
        </w:rPr>
        <w:t>7  Direction to publish HIR project information</w:t>
      </w:r>
      <w:r w:rsidRPr="00FF5E89">
        <w:rPr>
          <w:noProof/>
        </w:rPr>
        <w:tab/>
      </w:r>
      <w:r w:rsidRPr="00FF5E89">
        <w:rPr>
          <w:noProof/>
        </w:rPr>
        <w:fldChar w:fldCharType="begin"/>
      </w:r>
      <w:r w:rsidRPr="00FF5E89">
        <w:rPr>
          <w:noProof/>
        </w:rPr>
        <w:instrText xml:space="preserve"> PAGEREF _Toc131177098 \h </w:instrText>
      </w:r>
      <w:r w:rsidRPr="00FF5E89">
        <w:rPr>
          <w:noProof/>
        </w:rPr>
      </w:r>
      <w:r w:rsidRPr="00FF5E89">
        <w:rPr>
          <w:noProof/>
        </w:rPr>
        <w:fldChar w:fldCharType="separate"/>
      </w:r>
      <w:r w:rsidR="006375EF" w:rsidRPr="00FF5E89">
        <w:rPr>
          <w:noProof/>
        </w:rPr>
        <w:t>3</w:t>
      </w:r>
      <w:r w:rsidRPr="00FF5E89">
        <w:rPr>
          <w:noProof/>
        </w:rPr>
        <w:fldChar w:fldCharType="end"/>
      </w:r>
    </w:p>
    <w:p w14:paraId="679E366E" w14:textId="77777777" w:rsidR="00073F26" w:rsidRPr="00FF5E89" w:rsidRDefault="00073F26">
      <w:pPr>
        <w:pStyle w:val="TOC5"/>
        <w:rPr>
          <w:rFonts w:asciiTheme="minorHAnsi" w:eastAsiaTheme="minorEastAsia" w:hAnsiTheme="minorHAnsi" w:cstheme="minorBidi"/>
          <w:noProof/>
          <w:kern w:val="0"/>
          <w:sz w:val="22"/>
          <w:szCs w:val="22"/>
        </w:rPr>
      </w:pPr>
      <w:r w:rsidRPr="00FF5E89">
        <w:rPr>
          <w:noProof/>
        </w:rPr>
        <w:t>8  Direction to prioritise compliance audits of HIR project proponents</w:t>
      </w:r>
      <w:r w:rsidRPr="00FF5E89">
        <w:rPr>
          <w:noProof/>
        </w:rPr>
        <w:tab/>
      </w:r>
      <w:r w:rsidRPr="00FF5E89">
        <w:rPr>
          <w:noProof/>
        </w:rPr>
        <w:fldChar w:fldCharType="begin"/>
      </w:r>
      <w:r w:rsidRPr="00FF5E89">
        <w:rPr>
          <w:noProof/>
        </w:rPr>
        <w:instrText xml:space="preserve"> PAGEREF _Toc131177099 \h </w:instrText>
      </w:r>
      <w:r w:rsidRPr="00FF5E89">
        <w:rPr>
          <w:noProof/>
        </w:rPr>
      </w:r>
      <w:r w:rsidRPr="00FF5E89">
        <w:rPr>
          <w:noProof/>
        </w:rPr>
        <w:fldChar w:fldCharType="separate"/>
      </w:r>
      <w:r w:rsidR="006375EF" w:rsidRPr="00FF5E89">
        <w:rPr>
          <w:noProof/>
        </w:rPr>
        <w:t>3</w:t>
      </w:r>
      <w:r w:rsidRPr="00FF5E89">
        <w:rPr>
          <w:noProof/>
        </w:rPr>
        <w:fldChar w:fldCharType="end"/>
      </w:r>
    </w:p>
    <w:p w14:paraId="3B9AF885" w14:textId="77777777" w:rsidR="00073F26" w:rsidRPr="00FF5E89" w:rsidRDefault="00073F26">
      <w:pPr>
        <w:pStyle w:val="TOC5"/>
        <w:rPr>
          <w:rFonts w:asciiTheme="minorHAnsi" w:eastAsiaTheme="minorEastAsia" w:hAnsiTheme="minorHAnsi" w:cstheme="minorBidi"/>
          <w:noProof/>
          <w:kern w:val="0"/>
          <w:sz w:val="22"/>
          <w:szCs w:val="22"/>
        </w:rPr>
      </w:pPr>
      <w:r w:rsidRPr="00FF5E89">
        <w:rPr>
          <w:noProof/>
        </w:rPr>
        <w:t>9  Direction on appointing auditors for audits of HIR project proponents</w:t>
      </w:r>
      <w:r w:rsidRPr="00FF5E89">
        <w:rPr>
          <w:noProof/>
        </w:rPr>
        <w:tab/>
      </w:r>
      <w:r w:rsidRPr="00FF5E89">
        <w:rPr>
          <w:noProof/>
        </w:rPr>
        <w:fldChar w:fldCharType="begin"/>
      </w:r>
      <w:r w:rsidRPr="00FF5E89">
        <w:rPr>
          <w:noProof/>
        </w:rPr>
        <w:instrText xml:space="preserve"> PAGEREF _Toc131177100 \h </w:instrText>
      </w:r>
      <w:r w:rsidRPr="00FF5E89">
        <w:rPr>
          <w:noProof/>
        </w:rPr>
      </w:r>
      <w:r w:rsidRPr="00FF5E89">
        <w:rPr>
          <w:noProof/>
        </w:rPr>
        <w:fldChar w:fldCharType="separate"/>
      </w:r>
      <w:r w:rsidR="006375EF" w:rsidRPr="00FF5E89">
        <w:rPr>
          <w:noProof/>
        </w:rPr>
        <w:t>3</w:t>
      </w:r>
      <w:r w:rsidRPr="00FF5E89">
        <w:rPr>
          <w:noProof/>
        </w:rPr>
        <w:fldChar w:fldCharType="end"/>
      </w:r>
    </w:p>
    <w:p w14:paraId="433CE8FF" w14:textId="77777777" w:rsidR="00073F26" w:rsidRPr="00FF5E89" w:rsidRDefault="00073F26">
      <w:pPr>
        <w:pStyle w:val="TOC5"/>
        <w:rPr>
          <w:rFonts w:asciiTheme="minorHAnsi" w:eastAsiaTheme="minorEastAsia" w:hAnsiTheme="minorHAnsi" w:cstheme="minorBidi"/>
          <w:noProof/>
          <w:kern w:val="0"/>
          <w:sz w:val="22"/>
          <w:szCs w:val="22"/>
        </w:rPr>
      </w:pPr>
      <w:r w:rsidRPr="00FF5E89">
        <w:rPr>
          <w:noProof/>
        </w:rPr>
        <w:t>10  Application of this direction</w:t>
      </w:r>
      <w:r w:rsidRPr="00FF5E89">
        <w:rPr>
          <w:noProof/>
        </w:rPr>
        <w:tab/>
      </w:r>
      <w:r w:rsidRPr="00FF5E89">
        <w:rPr>
          <w:noProof/>
        </w:rPr>
        <w:fldChar w:fldCharType="begin"/>
      </w:r>
      <w:r w:rsidRPr="00FF5E89">
        <w:rPr>
          <w:noProof/>
        </w:rPr>
        <w:instrText xml:space="preserve"> PAGEREF _Toc131177101 \h </w:instrText>
      </w:r>
      <w:r w:rsidRPr="00FF5E89">
        <w:rPr>
          <w:noProof/>
        </w:rPr>
      </w:r>
      <w:r w:rsidRPr="00FF5E89">
        <w:rPr>
          <w:noProof/>
        </w:rPr>
        <w:fldChar w:fldCharType="separate"/>
      </w:r>
      <w:r w:rsidR="006375EF" w:rsidRPr="00FF5E89">
        <w:rPr>
          <w:noProof/>
        </w:rPr>
        <w:t>4</w:t>
      </w:r>
      <w:r w:rsidRPr="00FF5E89">
        <w:rPr>
          <w:noProof/>
        </w:rPr>
        <w:fldChar w:fldCharType="end"/>
      </w:r>
    </w:p>
    <w:p w14:paraId="12C360F2" w14:textId="77777777" w:rsidR="00F6696E" w:rsidRPr="00FF5E89" w:rsidRDefault="00B418CB" w:rsidP="00F6696E">
      <w:pPr>
        <w:outlineLvl w:val="0"/>
      </w:pPr>
      <w:r w:rsidRPr="00FF5E89">
        <w:fldChar w:fldCharType="end"/>
      </w:r>
    </w:p>
    <w:p w14:paraId="6C6AE360" w14:textId="77777777" w:rsidR="00F6696E" w:rsidRPr="00FF5E89" w:rsidRDefault="00F6696E" w:rsidP="00F6696E">
      <w:pPr>
        <w:outlineLvl w:val="0"/>
        <w:rPr>
          <w:sz w:val="20"/>
        </w:rPr>
      </w:pPr>
    </w:p>
    <w:p w14:paraId="7694E5F2" w14:textId="77777777" w:rsidR="00F6696E" w:rsidRPr="00FF5E89" w:rsidRDefault="00F6696E" w:rsidP="00F6696E">
      <w:pPr>
        <w:sectPr w:rsidR="00F6696E" w:rsidRPr="00FF5E89" w:rsidSect="00F71F19">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14:paraId="49467A36" w14:textId="77777777" w:rsidR="00E908FB" w:rsidRPr="00FF5E89" w:rsidRDefault="00E908FB" w:rsidP="00E908FB">
      <w:pPr>
        <w:pStyle w:val="ActHead2"/>
      </w:pPr>
      <w:bookmarkStart w:id="0" w:name="_Toc418165038"/>
      <w:bookmarkStart w:id="1" w:name="_Toc131177090"/>
      <w:r w:rsidRPr="00FF5E89">
        <w:rPr>
          <w:rStyle w:val="CharPartNo"/>
        </w:rPr>
        <w:lastRenderedPageBreak/>
        <w:t>Part 1</w:t>
      </w:r>
      <w:r w:rsidRPr="00FF5E89">
        <w:t>—</w:t>
      </w:r>
      <w:bookmarkEnd w:id="0"/>
      <w:r w:rsidRPr="00FF5E89">
        <w:rPr>
          <w:rStyle w:val="CharPartText"/>
        </w:rPr>
        <w:t>Preliminary</w:t>
      </w:r>
      <w:bookmarkEnd w:id="1"/>
    </w:p>
    <w:p w14:paraId="2FCB48DA" w14:textId="77777777" w:rsidR="00554826" w:rsidRPr="00FF5E89" w:rsidRDefault="00554826" w:rsidP="00554826">
      <w:pPr>
        <w:pStyle w:val="ActHead5"/>
      </w:pPr>
      <w:bookmarkStart w:id="2" w:name="_Toc131177091"/>
      <w:r w:rsidRPr="00FF5E89">
        <w:t>1  Name</w:t>
      </w:r>
      <w:bookmarkEnd w:id="2"/>
    </w:p>
    <w:p w14:paraId="24B6A7DE" w14:textId="77777777" w:rsidR="00554826" w:rsidRPr="00FF5E89" w:rsidRDefault="00554826" w:rsidP="00554826">
      <w:pPr>
        <w:pStyle w:val="subsection"/>
      </w:pPr>
      <w:r w:rsidRPr="00FF5E89">
        <w:tab/>
      </w:r>
      <w:r w:rsidRPr="00FF5E89">
        <w:tab/>
        <w:t xml:space="preserve">This instrument is the </w:t>
      </w:r>
      <w:bookmarkStart w:id="3" w:name="BKCheck15B_3"/>
      <w:bookmarkEnd w:id="3"/>
      <w:r w:rsidR="00E908FB" w:rsidRPr="00FF5E89">
        <w:rPr>
          <w:i/>
        </w:rPr>
        <w:t>Clean Energy Regulator (Human-Induced Regeneration Projects) Direction 2023</w:t>
      </w:r>
      <w:r w:rsidRPr="00FF5E89">
        <w:t>.</w:t>
      </w:r>
    </w:p>
    <w:p w14:paraId="0E52ACDE" w14:textId="77777777" w:rsidR="00554826" w:rsidRPr="00FF5E89" w:rsidRDefault="00554826" w:rsidP="00554826">
      <w:pPr>
        <w:pStyle w:val="ActHead5"/>
      </w:pPr>
      <w:bookmarkStart w:id="4" w:name="_Toc131177092"/>
      <w:r w:rsidRPr="00FF5E89">
        <w:t>2  Commencement</w:t>
      </w:r>
      <w:bookmarkEnd w:id="4"/>
    </w:p>
    <w:p w14:paraId="14BE837D" w14:textId="77777777" w:rsidR="00554826" w:rsidRPr="00FF5E89" w:rsidRDefault="00554826" w:rsidP="00554826">
      <w:pPr>
        <w:pStyle w:val="subsection"/>
      </w:pPr>
      <w:r w:rsidRPr="00FF5E89">
        <w:tab/>
      </w:r>
      <w:r w:rsidRPr="00FF5E89">
        <w:tab/>
        <w:t>This instrument commences</w:t>
      </w:r>
      <w:r w:rsidR="00E908FB" w:rsidRPr="00FF5E89">
        <w:t xml:space="preserve"> on the day after it is registered on the Federal Register of Legislation.</w:t>
      </w:r>
    </w:p>
    <w:p w14:paraId="6BC706C8" w14:textId="77777777" w:rsidR="00E908FB" w:rsidRPr="00FF5E89" w:rsidRDefault="00E908FB" w:rsidP="00E908FB">
      <w:pPr>
        <w:pStyle w:val="notetext"/>
      </w:pPr>
      <w:r w:rsidRPr="00FF5E89">
        <w:t>Note:</w:t>
      </w:r>
      <w:r w:rsidRPr="00FF5E89">
        <w:tab/>
        <w:t xml:space="preserve">Section 42 (disallowance) and Part 4 of Chapter 3 (sunsetting) of the </w:t>
      </w:r>
      <w:r w:rsidRPr="00FF5E89">
        <w:rPr>
          <w:i/>
        </w:rPr>
        <w:t>Legislation Act 2003</w:t>
      </w:r>
      <w:r w:rsidRPr="00FF5E89">
        <w:t xml:space="preserve"> do not apply to this instrument: see regulations made for the purposes of paragraphs 44(2)(b) and 54(2)(b) of that Act. </w:t>
      </w:r>
    </w:p>
    <w:p w14:paraId="4D5C2596" w14:textId="77777777" w:rsidR="00554826" w:rsidRPr="00FF5E89" w:rsidRDefault="00554826" w:rsidP="00554826">
      <w:pPr>
        <w:pStyle w:val="ActHead5"/>
      </w:pPr>
      <w:bookmarkStart w:id="5" w:name="_Toc131177093"/>
      <w:r w:rsidRPr="00FF5E89">
        <w:t>3  Authority</w:t>
      </w:r>
      <w:bookmarkEnd w:id="5"/>
    </w:p>
    <w:p w14:paraId="631AB9F1" w14:textId="77777777" w:rsidR="00554826" w:rsidRPr="00FF5E89" w:rsidRDefault="00554826" w:rsidP="00554826">
      <w:pPr>
        <w:pStyle w:val="subsection"/>
      </w:pPr>
      <w:r w:rsidRPr="00FF5E89">
        <w:tab/>
      </w:r>
      <w:r w:rsidRPr="00FF5E89">
        <w:tab/>
        <w:t>This instrument is made under</w:t>
      </w:r>
      <w:r w:rsidR="00E908FB" w:rsidRPr="00FF5E89">
        <w:t xml:space="preserve"> subsection 41(1) of the </w:t>
      </w:r>
      <w:r w:rsidR="00EC74A6" w:rsidRPr="00FF5E89">
        <w:rPr>
          <w:i/>
        </w:rPr>
        <w:t>Clean Energy Regulator Act 2011</w:t>
      </w:r>
      <w:r w:rsidRPr="00FF5E89">
        <w:t>.</w:t>
      </w:r>
    </w:p>
    <w:p w14:paraId="135C3336" w14:textId="77777777" w:rsidR="00554826" w:rsidRPr="00FF5E89" w:rsidRDefault="00554826" w:rsidP="00554826">
      <w:pPr>
        <w:pStyle w:val="ActHead5"/>
      </w:pPr>
      <w:bookmarkStart w:id="6" w:name="_Toc131177094"/>
      <w:r w:rsidRPr="00FF5E89">
        <w:t>4  Definitions</w:t>
      </w:r>
      <w:bookmarkEnd w:id="6"/>
    </w:p>
    <w:p w14:paraId="53255E3B" w14:textId="77777777" w:rsidR="00554826" w:rsidRPr="00FF5E89" w:rsidRDefault="00554826" w:rsidP="00554826">
      <w:pPr>
        <w:pStyle w:val="notetext"/>
      </w:pPr>
      <w:r w:rsidRPr="00FF5E89">
        <w:t>Note:</w:t>
      </w:r>
      <w:r w:rsidRPr="00FF5E89">
        <w:tab/>
      </w:r>
      <w:r w:rsidR="004E5732" w:rsidRPr="00FF5E89">
        <w:t>Some</w:t>
      </w:r>
      <w:r w:rsidRPr="00FF5E89">
        <w:t xml:space="preserve"> expressions used in this instrument are defined in</w:t>
      </w:r>
      <w:r w:rsidR="00E908FB" w:rsidRPr="00FF5E89">
        <w:t xml:space="preserve"> section 4</w:t>
      </w:r>
      <w:r w:rsidRPr="00FF5E89">
        <w:t xml:space="preserve"> of the Act, including the following:</w:t>
      </w:r>
    </w:p>
    <w:p w14:paraId="5B9CDF70" w14:textId="77777777" w:rsidR="00554826" w:rsidRPr="00FF5E89" w:rsidRDefault="00554826" w:rsidP="00554826">
      <w:pPr>
        <w:pStyle w:val="notepara"/>
      </w:pPr>
      <w:r w:rsidRPr="00FF5E89">
        <w:t>(a)</w:t>
      </w:r>
      <w:r w:rsidRPr="00FF5E89">
        <w:tab/>
      </w:r>
      <w:r w:rsidR="00E908FB" w:rsidRPr="00FF5E89">
        <w:t>offsets project</w:t>
      </w:r>
      <w:r w:rsidRPr="00FF5E89">
        <w:t>;</w:t>
      </w:r>
    </w:p>
    <w:p w14:paraId="2C34BC02" w14:textId="77777777" w:rsidR="00554826" w:rsidRPr="00FF5E89" w:rsidRDefault="00554826" w:rsidP="00554826">
      <w:pPr>
        <w:pStyle w:val="notepara"/>
      </w:pPr>
      <w:r w:rsidRPr="00FF5E89">
        <w:t>(b)</w:t>
      </w:r>
      <w:r w:rsidRPr="00FF5E89">
        <w:tab/>
      </w:r>
      <w:r w:rsidR="00E908FB" w:rsidRPr="00FF5E89">
        <w:t>Regulator</w:t>
      </w:r>
      <w:r w:rsidRPr="00FF5E89">
        <w:t>.</w:t>
      </w:r>
    </w:p>
    <w:p w14:paraId="7E1D56EA" w14:textId="77777777" w:rsidR="00554826" w:rsidRPr="00FF5E89" w:rsidRDefault="00554826" w:rsidP="00554826">
      <w:pPr>
        <w:pStyle w:val="subsection"/>
      </w:pPr>
      <w:r w:rsidRPr="00FF5E89">
        <w:tab/>
      </w:r>
      <w:r w:rsidRPr="00FF5E89">
        <w:tab/>
        <w:t>In this instrument:</w:t>
      </w:r>
    </w:p>
    <w:p w14:paraId="469C4612" w14:textId="77777777" w:rsidR="00554826" w:rsidRPr="00FF5E89" w:rsidRDefault="00554826" w:rsidP="00554826">
      <w:pPr>
        <w:pStyle w:val="Definition"/>
      </w:pPr>
      <w:r w:rsidRPr="00FF5E89">
        <w:rPr>
          <w:b/>
          <w:i/>
        </w:rPr>
        <w:t>Act</w:t>
      </w:r>
      <w:r w:rsidRPr="00FF5E89">
        <w:t xml:space="preserve"> means the</w:t>
      </w:r>
      <w:r w:rsidR="00E908FB" w:rsidRPr="00FF5E89">
        <w:t xml:space="preserve"> </w:t>
      </w:r>
      <w:r w:rsidR="00E908FB" w:rsidRPr="00FF5E89">
        <w:rPr>
          <w:i/>
        </w:rPr>
        <w:t>Clean Energy Regulator Act 2011</w:t>
      </w:r>
      <w:r w:rsidRPr="00FF5E89">
        <w:t>.</w:t>
      </w:r>
    </w:p>
    <w:p w14:paraId="7438EC24" w14:textId="77777777" w:rsidR="00BE2132" w:rsidRPr="00FF5E89" w:rsidRDefault="00BE2132" w:rsidP="00554826">
      <w:pPr>
        <w:pStyle w:val="Definition"/>
      </w:pPr>
      <w:r w:rsidRPr="00FF5E89">
        <w:rPr>
          <w:b/>
          <w:i/>
        </w:rPr>
        <w:t xml:space="preserve">Audit Determination </w:t>
      </w:r>
      <w:r w:rsidRPr="00FF5E89">
        <w:t xml:space="preserve">means the </w:t>
      </w:r>
      <w:r w:rsidRPr="00FF5E89">
        <w:rPr>
          <w:i/>
        </w:rPr>
        <w:t>National Greenhouse and Energy Reporting (Audit) Determination 2009</w:t>
      </w:r>
      <w:r w:rsidRPr="00FF5E89">
        <w:t xml:space="preserve">. </w:t>
      </w:r>
    </w:p>
    <w:p w14:paraId="46C8057B" w14:textId="77777777" w:rsidR="00554826" w:rsidRPr="00FF5E89" w:rsidRDefault="00E908FB" w:rsidP="00554826">
      <w:pPr>
        <w:pStyle w:val="Definition"/>
      </w:pPr>
      <w:r w:rsidRPr="00FF5E89">
        <w:rPr>
          <w:b/>
          <w:i/>
        </w:rPr>
        <w:t>CFI Act</w:t>
      </w:r>
      <w:r w:rsidR="00554826" w:rsidRPr="00FF5E89">
        <w:rPr>
          <w:b/>
          <w:i/>
        </w:rPr>
        <w:t xml:space="preserve"> </w:t>
      </w:r>
      <w:r w:rsidR="00554826" w:rsidRPr="00FF5E89">
        <w:t>means</w:t>
      </w:r>
      <w:r w:rsidRPr="00FF5E89">
        <w:t xml:space="preserve"> the </w:t>
      </w:r>
      <w:r w:rsidRPr="00FF5E89">
        <w:rPr>
          <w:i/>
        </w:rPr>
        <w:t>Carbon Credits (Carbon Farming Initiative) Act 2011</w:t>
      </w:r>
      <w:r w:rsidR="00554826" w:rsidRPr="00FF5E89">
        <w:t>.</w:t>
      </w:r>
    </w:p>
    <w:p w14:paraId="028728D0" w14:textId="77777777" w:rsidR="004E2E4B" w:rsidRPr="00FF5E89" w:rsidRDefault="004E2E4B" w:rsidP="00554826">
      <w:pPr>
        <w:pStyle w:val="Definition"/>
      </w:pPr>
      <w:r w:rsidRPr="00FF5E89">
        <w:rPr>
          <w:b/>
          <w:i/>
        </w:rPr>
        <w:t xml:space="preserve">CFI Rule </w:t>
      </w:r>
      <w:r w:rsidRPr="00FF5E89">
        <w:t xml:space="preserve">means the </w:t>
      </w:r>
      <w:r w:rsidRPr="00FF5E89">
        <w:rPr>
          <w:i/>
        </w:rPr>
        <w:t>Carbon Credits (Carbon Farming Initiative) Rule 2015</w:t>
      </w:r>
      <w:r w:rsidRPr="00FF5E89">
        <w:t>.</w:t>
      </w:r>
    </w:p>
    <w:p w14:paraId="163560F9" w14:textId="77777777" w:rsidR="00B57BCC" w:rsidRPr="00FF5E89" w:rsidRDefault="00B57BCC" w:rsidP="00554826">
      <w:pPr>
        <w:pStyle w:val="Definition"/>
      </w:pPr>
      <w:r w:rsidRPr="00FF5E89">
        <w:rPr>
          <w:b/>
          <w:i/>
        </w:rPr>
        <w:t xml:space="preserve">eligible offsets project </w:t>
      </w:r>
      <w:r w:rsidRPr="00FF5E89">
        <w:t xml:space="preserve">has the same meaning as in the CFI Act. </w:t>
      </w:r>
    </w:p>
    <w:p w14:paraId="18D5E6C9" w14:textId="77777777" w:rsidR="00E908FB" w:rsidRPr="00FF5E89" w:rsidRDefault="00E908FB" w:rsidP="00554826">
      <w:pPr>
        <w:pStyle w:val="Definition"/>
        <w:rPr>
          <w:b/>
          <w:i/>
        </w:rPr>
      </w:pPr>
      <w:r w:rsidRPr="00FF5E89">
        <w:rPr>
          <w:b/>
          <w:i/>
        </w:rPr>
        <w:t xml:space="preserve">Final Report of the Independent Review of ACCUs </w:t>
      </w:r>
      <w:r w:rsidRPr="00FF5E89">
        <w:t xml:space="preserve">means </w:t>
      </w:r>
      <w:r w:rsidR="00D4527D" w:rsidRPr="00FF5E89">
        <w:t xml:space="preserve">the Final Report of the Independent Review of ACCUs by Professor Ian </w:t>
      </w:r>
      <w:r w:rsidRPr="00FF5E89">
        <w:t xml:space="preserve">Chubb, </w:t>
      </w:r>
      <w:r w:rsidR="00D4527D" w:rsidRPr="00FF5E89">
        <w:t>the Hon Dr Annabelle</w:t>
      </w:r>
      <w:r w:rsidRPr="00FF5E89">
        <w:t xml:space="preserve"> Bennett, A</w:t>
      </w:r>
      <w:r w:rsidR="00D4527D" w:rsidRPr="00FF5E89">
        <w:t>riadne</w:t>
      </w:r>
      <w:r w:rsidRPr="00FF5E89">
        <w:t xml:space="preserve"> Gorring</w:t>
      </w:r>
      <w:r w:rsidR="00D4527D" w:rsidRPr="00FF5E89">
        <w:t xml:space="preserve"> and Dr Steve </w:t>
      </w:r>
      <w:r w:rsidRPr="00FF5E89">
        <w:t>Hatfield-Dodds</w:t>
      </w:r>
      <w:r w:rsidR="00D4527D" w:rsidRPr="00FF5E89">
        <w:t>,</w:t>
      </w:r>
      <w:r w:rsidRPr="00FF5E89">
        <w:t xml:space="preserve"> </w:t>
      </w:r>
      <w:r w:rsidR="00D4527D" w:rsidRPr="00FF5E89">
        <w:t xml:space="preserve">dated </w:t>
      </w:r>
      <w:r w:rsidRPr="00FF5E89">
        <w:t>December</w:t>
      </w:r>
      <w:r w:rsidR="00D4527D" w:rsidRPr="00FF5E89">
        <w:t xml:space="preserve"> 2022</w:t>
      </w:r>
      <w:r w:rsidRPr="00FF5E89">
        <w:t>.</w:t>
      </w:r>
      <w:r w:rsidRPr="00FF5E89">
        <w:rPr>
          <w:b/>
          <w:i/>
        </w:rPr>
        <w:t xml:space="preserve"> </w:t>
      </w:r>
    </w:p>
    <w:p w14:paraId="61036B95" w14:textId="77777777" w:rsidR="00E908FB" w:rsidRPr="00FF5E89" w:rsidRDefault="00E908FB" w:rsidP="00E908FB">
      <w:pPr>
        <w:pStyle w:val="notetext"/>
        <w:rPr>
          <w:b/>
          <w:i/>
        </w:rPr>
      </w:pPr>
      <w:r w:rsidRPr="00FF5E89">
        <w:t>Note:</w:t>
      </w:r>
      <w:r w:rsidRPr="00FF5E89">
        <w:tab/>
        <w:t>At the commencement of this instrument, the Final Report of the Independent Review of ACCUs could be viewed on the Department’s website (https://www.dcceew.gov.au/climate-change/emissions-reduction/independent-review-accus).</w:t>
      </w:r>
    </w:p>
    <w:p w14:paraId="5B4326AB" w14:textId="77777777" w:rsidR="004E5732" w:rsidRPr="00FF5E89" w:rsidRDefault="00E908FB" w:rsidP="00554826">
      <w:pPr>
        <w:pStyle w:val="Definition"/>
      </w:pPr>
      <w:r w:rsidRPr="00FF5E89">
        <w:rPr>
          <w:b/>
          <w:i/>
        </w:rPr>
        <w:t xml:space="preserve">HIR methodology </w:t>
      </w:r>
      <w:r w:rsidRPr="00FF5E89">
        <w:t xml:space="preserve">means the </w:t>
      </w:r>
      <w:r w:rsidRPr="00FF5E89">
        <w:rPr>
          <w:i/>
        </w:rPr>
        <w:t>Carbon Credits (Carbon Farming Initiative) (Human-Induced Regeneration of a Permanent Even-Aged Native Forest—1.1) Methodology Determination 2013</w:t>
      </w:r>
      <w:r w:rsidR="00397CE3" w:rsidRPr="00FF5E89">
        <w:rPr>
          <w:i/>
        </w:rPr>
        <w:t xml:space="preserve"> </w:t>
      </w:r>
      <w:r w:rsidR="005E4D1A" w:rsidRPr="00FF5E89">
        <w:t xml:space="preserve">and any </w:t>
      </w:r>
      <w:r w:rsidR="00397CE3" w:rsidRPr="00FF5E89">
        <w:rPr>
          <w:color w:val="000000"/>
          <w:szCs w:val="22"/>
          <w:shd w:val="clear" w:color="auto" w:fill="FFFFFF"/>
        </w:rPr>
        <w:t xml:space="preserve">earlier version of that determination </w:t>
      </w:r>
      <w:r w:rsidR="00397CE3" w:rsidRPr="00FF5E89">
        <w:rPr>
          <w:color w:val="000000"/>
          <w:szCs w:val="22"/>
          <w:shd w:val="clear" w:color="auto" w:fill="FFFFFF"/>
        </w:rPr>
        <w:lastRenderedPageBreak/>
        <w:t>applicable to a project for a reporting period in accordance with section 125, 126, 127 or 130 of the</w:t>
      </w:r>
      <w:r w:rsidR="00696D8E" w:rsidRPr="00FF5E89">
        <w:rPr>
          <w:color w:val="000000"/>
          <w:szCs w:val="22"/>
          <w:shd w:val="clear" w:color="auto" w:fill="FFFFFF"/>
        </w:rPr>
        <w:t xml:space="preserve"> CFI </w:t>
      </w:r>
      <w:r w:rsidR="00397CE3" w:rsidRPr="00FF5E89">
        <w:rPr>
          <w:color w:val="000000"/>
          <w:szCs w:val="22"/>
          <w:shd w:val="clear" w:color="auto" w:fill="FFFFFF"/>
        </w:rPr>
        <w:t>Act</w:t>
      </w:r>
      <w:r w:rsidR="004E5732" w:rsidRPr="00FF5E89">
        <w:t>.</w:t>
      </w:r>
    </w:p>
    <w:p w14:paraId="3A2F4B68" w14:textId="77777777" w:rsidR="007B3659" w:rsidRPr="00FF5E89" w:rsidRDefault="007B3659" w:rsidP="00554826">
      <w:pPr>
        <w:pStyle w:val="Definition"/>
      </w:pPr>
      <w:r w:rsidRPr="00FF5E89">
        <w:rPr>
          <w:b/>
          <w:i/>
        </w:rPr>
        <w:t xml:space="preserve">HIR project </w:t>
      </w:r>
      <w:r w:rsidR="00397CE3" w:rsidRPr="00FF5E89">
        <w:t>means</w:t>
      </w:r>
      <w:r w:rsidR="00397CE3" w:rsidRPr="00FF5E89">
        <w:rPr>
          <w:b/>
        </w:rPr>
        <w:t xml:space="preserve"> </w:t>
      </w:r>
      <w:r w:rsidR="00397CE3" w:rsidRPr="00FF5E89">
        <w:t xml:space="preserve">a project for which </w:t>
      </w:r>
      <w:r w:rsidRPr="00FF5E89">
        <w:t>the HIR methodology</w:t>
      </w:r>
      <w:r w:rsidR="00397CE3" w:rsidRPr="00FF5E89">
        <w:t xml:space="preserve"> is the applicable methodology determination</w:t>
      </w:r>
      <w:r w:rsidRPr="00FF5E89">
        <w:t>.</w:t>
      </w:r>
    </w:p>
    <w:p w14:paraId="436CB417" w14:textId="77777777" w:rsidR="00D60E5A" w:rsidRPr="00FF5E89" w:rsidRDefault="00D60E5A" w:rsidP="00554826">
      <w:pPr>
        <w:pStyle w:val="Definition"/>
      </w:pPr>
      <w:r w:rsidRPr="00FF5E89">
        <w:rPr>
          <w:b/>
          <w:i/>
        </w:rPr>
        <w:t xml:space="preserve">HIR project proponent </w:t>
      </w:r>
      <w:r w:rsidRPr="00FF5E89">
        <w:t xml:space="preserve">means a project proponent of an eligible offsets project that is an HIR project. </w:t>
      </w:r>
    </w:p>
    <w:p w14:paraId="3C45B1FE" w14:textId="77777777" w:rsidR="00D81E78" w:rsidRPr="00FF5E89" w:rsidRDefault="00D81E78" w:rsidP="00554826">
      <w:pPr>
        <w:pStyle w:val="Definition"/>
      </w:pPr>
      <w:r w:rsidRPr="00FF5E89">
        <w:rPr>
          <w:b/>
          <w:i/>
        </w:rPr>
        <w:t xml:space="preserve">NGER Regulations </w:t>
      </w:r>
      <w:r w:rsidRPr="00FF5E89">
        <w:t xml:space="preserve">means the </w:t>
      </w:r>
      <w:r w:rsidRPr="00FF5E89">
        <w:rPr>
          <w:i/>
        </w:rPr>
        <w:t>National Greenhouse and Energy Reporting Regulations 2008</w:t>
      </w:r>
      <w:r w:rsidRPr="00FF5E89">
        <w:t xml:space="preserve">. </w:t>
      </w:r>
    </w:p>
    <w:p w14:paraId="58CA3CBB" w14:textId="77777777" w:rsidR="004E2E4B" w:rsidRPr="00FF5E89" w:rsidRDefault="004E2E4B" w:rsidP="004E2E4B">
      <w:pPr>
        <w:pStyle w:val="ActHead5"/>
      </w:pPr>
      <w:bookmarkStart w:id="7" w:name="_Toc131177095"/>
      <w:r w:rsidRPr="00FF5E89">
        <w:t>5  Object</w:t>
      </w:r>
      <w:bookmarkEnd w:id="7"/>
      <w:r w:rsidRPr="00FF5E89">
        <w:t xml:space="preserve"> </w:t>
      </w:r>
    </w:p>
    <w:p w14:paraId="6188BB81" w14:textId="77777777" w:rsidR="004E2E4B" w:rsidRPr="00FF5E89" w:rsidRDefault="004E2E4B" w:rsidP="004E2E4B">
      <w:pPr>
        <w:pStyle w:val="subsection"/>
      </w:pPr>
      <w:r w:rsidRPr="00FF5E89">
        <w:tab/>
      </w:r>
      <w:r w:rsidRPr="00FF5E89">
        <w:tab/>
        <w:t>The object of this direction is to ensure that, to the extent legally practicable</w:t>
      </w:r>
      <w:r w:rsidR="00BE5A9F" w:rsidRPr="00FF5E89">
        <w:t>,</w:t>
      </w:r>
      <w:r w:rsidR="009E5A77" w:rsidRPr="00FF5E89">
        <w:t xml:space="preserve"> and recognising the priority given to ensuring the integrity of carbon abatement</w:t>
      </w:r>
      <w:r w:rsidRPr="00FF5E89">
        <w:t xml:space="preserve">, the Regulator implements recommendation 8 of the Final Report of the Independent Review of ACCUs. </w:t>
      </w:r>
    </w:p>
    <w:p w14:paraId="558E4171" w14:textId="77777777" w:rsidR="004E2E4B" w:rsidRPr="00FF5E89" w:rsidRDefault="004E2E4B" w:rsidP="004E2E4B">
      <w:pPr>
        <w:pStyle w:val="notetext"/>
      </w:pPr>
      <w:r w:rsidRPr="00FF5E89">
        <w:t>Note:</w:t>
      </w:r>
      <w:r w:rsidRPr="00FF5E89">
        <w:tab/>
        <w:t xml:space="preserve">Recommendation 8 concerns project administration for the HIR methodology. </w:t>
      </w:r>
    </w:p>
    <w:p w14:paraId="4D717660" w14:textId="77777777" w:rsidR="004E5732" w:rsidRPr="00FF5E89" w:rsidRDefault="004E5732" w:rsidP="00554826">
      <w:pPr>
        <w:pStyle w:val="Definition"/>
      </w:pPr>
    </w:p>
    <w:p w14:paraId="14D7110D" w14:textId="77777777" w:rsidR="00E908FB" w:rsidRPr="00FF5E89" w:rsidRDefault="00E908FB" w:rsidP="00554826">
      <w:pPr>
        <w:pStyle w:val="Definition"/>
      </w:pPr>
    </w:p>
    <w:p w14:paraId="19B5E0D7" w14:textId="77777777" w:rsidR="00E908FB" w:rsidRPr="00FF5E89" w:rsidRDefault="00E908FB" w:rsidP="00722009">
      <w:pPr>
        <w:pStyle w:val="ActHead2"/>
        <w:pageBreakBefore/>
        <w:rPr>
          <w:rStyle w:val="CharPartText"/>
          <w:b w:val="0"/>
          <w:kern w:val="0"/>
          <w:sz w:val="22"/>
        </w:rPr>
      </w:pPr>
      <w:bookmarkStart w:id="8" w:name="_Toc131177096"/>
      <w:bookmarkStart w:id="9" w:name="_Toc454781205"/>
      <w:r w:rsidRPr="00FF5E89">
        <w:rPr>
          <w:rStyle w:val="CharPartNo"/>
        </w:rPr>
        <w:lastRenderedPageBreak/>
        <w:t>Part 2</w:t>
      </w:r>
      <w:r w:rsidRPr="00FF5E89">
        <w:t>—</w:t>
      </w:r>
      <w:r w:rsidRPr="00FF5E89">
        <w:rPr>
          <w:rStyle w:val="CharPartText"/>
        </w:rPr>
        <w:t>Direction to the Regulator</w:t>
      </w:r>
      <w:bookmarkEnd w:id="8"/>
    </w:p>
    <w:p w14:paraId="717F45A9" w14:textId="77777777" w:rsidR="00554826" w:rsidRPr="00FF5E89" w:rsidRDefault="00427491" w:rsidP="00554826">
      <w:pPr>
        <w:pStyle w:val="ActHead5"/>
      </w:pPr>
      <w:bookmarkStart w:id="10" w:name="_Toc131177097"/>
      <w:r w:rsidRPr="00FF5E89">
        <w:t>6</w:t>
      </w:r>
      <w:r w:rsidR="00554826" w:rsidRPr="00FF5E89">
        <w:t xml:space="preserve">  </w:t>
      </w:r>
      <w:r w:rsidR="00E908FB" w:rsidRPr="00FF5E89">
        <w:t xml:space="preserve">Direction on administering </w:t>
      </w:r>
      <w:r w:rsidR="00B57BCC" w:rsidRPr="00FF5E89">
        <w:t>the HIR methodology</w:t>
      </w:r>
      <w:bookmarkEnd w:id="10"/>
      <w:r w:rsidR="00B57BCC" w:rsidRPr="00FF5E89">
        <w:t xml:space="preserve"> </w:t>
      </w:r>
      <w:bookmarkEnd w:id="9"/>
    </w:p>
    <w:p w14:paraId="3AA04F05" w14:textId="77777777" w:rsidR="00E908FB" w:rsidRPr="00FF5E89" w:rsidRDefault="00554826" w:rsidP="00554826">
      <w:pPr>
        <w:pStyle w:val="subsection"/>
      </w:pPr>
      <w:r w:rsidRPr="00FF5E89">
        <w:tab/>
      </w:r>
      <w:r w:rsidRPr="00FF5E89">
        <w:tab/>
      </w:r>
      <w:r w:rsidR="00EC74A6" w:rsidRPr="00FF5E89">
        <w:t>The Regulator must</w:t>
      </w:r>
      <w:r w:rsidR="00CF199A" w:rsidRPr="00FF5E89">
        <w:t>, to the extent permitted by law,</w:t>
      </w:r>
      <w:r w:rsidR="00EC74A6" w:rsidRPr="00FF5E89">
        <w:t xml:space="preserve"> </w:t>
      </w:r>
      <w:r w:rsidR="00E908FB" w:rsidRPr="00FF5E89">
        <w:t xml:space="preserve">administer </w:t>
      </w:r>
      <w:r w:rsidR="00B57BCC" w:rsidRPr="00FF5E89">
        <w:t>the HIR methodology</w:t>
      </w:r>
      <w:r w:rsidR="00E908FB" w:rsidRPr="00FF5E89">
        <w:t xml:space="preserve"> consistently with recommendations 8.1 and 8.2 of the Final Report of the Independent Review of ACCUs. </w:t>
      </w:r>
    </w:p>
    <w:p w14:paraId="33043893" w14:textId="77777777" w:rsidR="00B57BCC" w:rsidRPr="00FF5E89" w:rsidRDefault="00B57BCC" w:rsidP="00B57BCC">
      <w:pPr>
        <w:pStyle w:val="notetext"/>
      </w:pPr>
      <w:r w:rsidRPr="00FF5E89">
        <w:t>Note:</w:t>
      </w:r>
      <w:r w:rsidRPr="00FF5E89">
        <w:tab/>
        <w:t xml:space="preserve">The HIR methodology applies to an HIR project (short for human induced regeneration project) and sets out requirements that must be met for an HIR project to be an eligible offsets project. </w:t>
      </w:r>
    </w:p>
    <w:p w14:paraId="43FB3D5D" w14:textId="77777777" w:rsidR="00554826" w:rsidRPr="00FF5E89" w:rsidRDefault="00427491" w:rsidP="00554826">
      <w:pPr>
        <w:pStyle w:val="ActHead5"/>
      </w:pPr>
      <w:bookmarkStart w:id="11" w:name="_Toc131177098"/>
      <w:r w:rsidRPr="00FF5E89">
        <w:t>7</w:t>
      </w:r>
      <w:r w:rsidR="00554826" w:rsidRPr="00FF5E89">
        <w:t xml:space="preserve">  </w:t>
      </w:r>
      <w:r w:rsidR="00E908FB" w:rsidRPr="00FF5E89">
        <w:t xml:space="preserve">Direction </w:t>
      </w:r>
      <w:r w:rsidR="009363B5" w:rsidRPr="00FF5E89">
        <w:t>to publish</w:t>
      </w:r>
      <w:r w:rsidR="00E908FB" w:rsidRPr="00FF5E89">
        <w:t xml:space="preserve"> HIR project information</w:t>
      </w:r>
      <w:bookmarkEnd w:id="11"/>
    </w:p>
    <w:p w14:paraId="186DEA16" w14:textId="77777777" w:rsidR="00E908FB" w:rsidRPr="00FF5E89" w:rsidRDefault="00E908FB" w:rsidP="00E908FB">
      <w:pPr>
        <w:pStyle w:val="subsection"/>
      </w:pPr>
      <w:r w:rsidRPr="00FF5E89">
        <w:tab/>
      </w:r>
      <w:r w:rsidRPr="00FF5E89">
        <w:tab/>
      </w:r>
      <w:r w:rsidR="00EC74A6" w:rsidRPr="00FF5E89">
        <w:t>The Regulator must</w:t>
      </w:r>
      <w:r w:rsidRPr="00FF5E89">
        <w:t xml:space="preserve">, </w:t>
      </w:r>
      <w:r w:rsidR="008C2CF8" w:rsidRPr="00FF5E89">
        <w:t>to the extent permitted by law, publish</w:t>
      </w:r>
      <w:r w:rsidRPr="00FF5E89">
        <w:t xml:space="preserve"> the information recommended to be published by recommendation 8.3 of the Final Report of the Independent Review of ACCUs.</w:t>
      </w:r>
    </w:p>
    <w:p w14:paraId="4BBA048A" w14:textId="77777777" w:rsidR="00AC0EB3" w:rsidRPr="00FF5E89" w:rsidRDefault="00427491" w:rsidP="00AC0EB3">
      <w:pPr>
        <w:pStyle w:val="ActHead5"/>
      </w:pPr>
      <w:bookmarkStart w:id="12" w:name="_Toc131177099"/>
      <w:bookmarkStart w:id="13" w:name="_Hlk130993145"/>
      <w:bookmarkStart w:id="14" w:name="_Hlk130305953"/>
      <w:r w:rsidRPr="00FF5E89">
        <w:t>8</w:t>
      </w:r>
      <w:r w:rsidR="00AC0EB3" w:rsidRPr="00FF5E89">
        <w:t xml:space="preserve">  Direction </w:t>
      </w:r>
      <w:r w:rsidR="007405EA" w:rsidRPr="00FF5E89">
        <w:t xml:space="preserve">to prioritise compliance audits of </w:t>
      </w:r>
      <w:r w:rsidR="00AC0EB3" w:rsidRPr="00FF5E89">
        <w:t>HIR project</w:t>
      </w:r>
      <w:r w:rsidR="007405EA" w:rsidRPr="00FF5E89">
        <w:t xml:space="preserve"> proponents</w:t>
      </w:r>
      <w:bookmarkEnd w:id="12"/>
    </w:p>
    <w:p w14:paraId="3A4D04F7" w14:textId="77777777" w:rsidR="00AC0EB3" w:rsidRPr="00FF5E89" w:rsidRDefault="00B37A75" w:rsidP="00AC0EB3">
      <w:pPr>
        <w:pStyle w:val="subsection"/>
      </w:pPr>
      <w:r w:rsidRPr="00FF5E89">
        <w:tab/>
      </w:r>
      <w:r w:rsidRPr="00FF5E89">
        <w:tab/>
      </w:r>
      <w:r w:rsidR="00AC0EB3" w:rsidRPr="00FF5E89">
        <w:t xml:space="preserve">In its approach to </w:t>
      </w:r>
      <w:r w:rsidR="00D60E5A" w:rsidRPr="00FF5E89">
        <w:t xml:space="preserve">initiating </w:t>
      </w:r>
      <w:r w:rsidR="00AC0EB3" w:rsidRPr="00FF5E89">
        <w:t xml:space="preserve">compliance audits under subsection 215(1) of the CFI Act, the Regulator </w:t>
      </w:r>
      <w:r w:rsidR="007405EA" w:rsidRPr="00FF5E89">
        <w:t>must</w:t>
      </w:r>
      <w:r w:rsidR="00AC0EB3" w:rsidRPr="00FF5E89">
        <w:t xml:space="preserve"> </w:t>
      </w:r>
      <w:r w:rsidR="000C7503" w:rsidRPr="00FF5E89">
        <w:t>give priority to</w:t>
      </w:r>
      <w:r w:rsidR="00AC0EB3" w:rsidRPr="00FF5E89">
        <w:t xml:space="preserve"> audits of the compliance of </w:t>
      </w:r>
      <w:r w:rsidR="00D60E5A" w:rsidRPr="00FF5E89">
        <w:t xml:space="preserve">HIR </w:t>
      </w:r>
      <w:r w:rsidR="00AC0EB3" w:rsidRPr="00FF5E89">
        <w:t>project proponents with their obligations under the CFI Rule</w:t>
      </w:r>
      <w:r w:rsidR="00D60E5A" w:rsidRPr="00FF5E89">
        <w:t>, particularly the eligibility requirements under section 9AA of the CFI Rule</w:t>
      </w:r>
      <w:r w:rsidR="000C7503" w:rsidRPr="00FF5E89">
        <w:t>, taking into account project risk</w:t>
      </w:r>
      <w:r w:rsidR="00AC0EB3" w:rsidRPr="00FF5E89">
        <w:t>.</w:t>
      </w:r>
    </w:p>
    <w:p w14:paraId="37C4419C" w14:textId="77777777" w:rsidR="00AC0EB3" w:rsidRPr="00FF5E89" w:rsidRDefault="00AC0EB3" w:rsidP="00AC0EB3">
      <w:pPr>
        <w:pStyle w:val="notetext"/>
      </w:pPr>
      <w:r w:rsidRPr="00FF5E89">
        <w:t>Note:</w:t>
      </w:r>
      <w:r w:rsidRPr="00FF5E89">
        <w:tab/>
        <w:t xml:space="preserve">The Regulator has a power under section 215 of the CFI Act to appoint a registered greenhouse and energy auditor as an audit team leader to carry out an audit of a person’s compliance with one or more aspects of the Act, the CFI Rule, and relevant sections of the Criminal Code. </w:t>
      </w:r>
    </w:p>
    <w:p w14:paraId="7F15DB41" w14:textId="77777777" w:rsidR="007405EA" w:rsidRPr="00FF5E89" w:rsidRDefault="00427491" w:rsidP="007405EA">
      <w:pPr>
        <w:pStyle w:val="ActHead5"/>
      </w:pPr>
      <w:bookmarkStart w:id="15" w:name="_Toc131177100"/>
      <w:bookmarkEnd w:id="13"/>
      <w:r w:rsidRPr="00FF5E89">
        <w:t>9</w:t>
      </w:r>
      <w:r w:rsidR="007405EA" w:rsidRPr="00FF5E89">
        <w:t xml:space="preserve">  Direction on appointing auditors for audits of HIR project</w:t>
      </w:r>
      <w:r w:rsidR="001D1001" w:rsidRPr="00FF5E89">
        <w:t xml:space="preserve"> proponents</w:t>
      </w:r>
      <w:bookmarkEnd w:id="15"/>
    </w:p>
    <w:p w14:paraId="048947CD" w14:textId="77777777" w:rsidR="007405EA" w:rsidRPr="00FF5E89" w:rsidRDefault="007405EA" w:rsidP="007405EA">
      <w:pPr>
        <w:pStyle w:val="subsection"/>
      </w:pPr>
      <w:r w:rsidRPr="00FF5E89">
        <w:tab/>
        <w:t>(1)</w:t>
      </w:r>
      <w:r w:rsidRPr="00FF5E89">
        <w:tab/>
        <w:t xml:space="preserve">This section applies in relation to an audit </w:t>
      </w:r>
      <w:r w:rsidR="00627875" w:rsidRPr="00FF5E89">
        <w:t xml:space="preserve">initiated by the Regulator </w:t>
      </w:r>
      <w:r w:rsidRPr="00FF5E89">
        <w:t xml:space="preserve">under </w:t>
      </w:r>
      <w:r w:rsidR="00627875" w:rsidRPr="00FF5E89">
        <w:t>sub</w:t>
      </w:r>
      <w:r w:rsidRPr="00FF5E89">
        <w:t>section 215</w:t>
      </w:r>
      <w:r w:rsidR="00627875" w:rsidRPr="00FF5E89">
        <w:t>(1)</w:t>
      </w:r>
      <w:r w:rsidRPr="00FF5E89">
        <w:t xml:space="preserve"> of the CFI Act, where the person whose compliance with the Act or associated provisions is to be audited is </w:t>
      </w:r>
      <w:r w:rsidR="00627875" w:rsidRPr="00FF5E89">
        <w:t xml:space="preserve">an HIR project </w:t>
      </w:r>
      <w:r w:rsidRPr="00FF5E89">
        <w:t>proponent.</w:t>
      </w:r>
    </w:p>
    <w:p w14:paraId="21942844" w14:textId="77777777" w:rsidR="007405EA" w:rsidRPr="00FF5E89" w:rsidRDefault="007405EA" w:rsidP="007405EA">
      <w:pPr>
        <w:pStyle w:val="subsection"/>
      </w:pPr>
      <w:r w:rsidRPr="00FF5E89">
        <w:tab/>
        <w:t>(2)</w:t>
      </w:r>
      <w:r w:rsidRPr="00FF5E89">
        <w:tab/>
        <w:t>Before appoint</w:t>
      </w:r>
      <w:r w:rsidR="00427491" w:rsidRPr="00FF5E89">
        <w:t>ing</w:t>
      </w:r>
      <w:r w:rsidRPr="00FF5E89">
        <w:t xml:space="preserve"> a registered greenhouse and energy auditor as an audit team leader to carry out the audit, the Regulator must be satisfied that:</w:t>
      </w:r>
    </w:p>
    <w:p w14:paraId="4BD9734C" w14:textId="77777777" w:rsidR="007405EA" w:rsidRPr="00FF5E89" w:rsidRDefault="007405EA" w:rsidP="007405EA">
      <w:pPr>
        <w:pStyle w:val="paragraph"/>
      </w:pPr>
      <w:r w:rsidRPr="00FF5E89">
        <w:tab/>
        <w:t>(a)</w:t>
      </w:r>
      <w:r w:rsidRPr="00FF5E89">
        <w:tab/>
        <w:t>the auditor has appropriate skills and experience as necessary to carry out the audit;</w:t>
      </w:r>
      <w:r w:rsidR="00B37A75" w:rsidRPr="00FF5E89">
        <w:t xml:space="preserve"> and</w:t>
      </w:r>
    </w:p>
    <w:p w14:paraId="70290618" w14:textId="77777777" w:rsidR="007405EA" w:rsidRPr="00FF5E89" w:rsidRDefault="007405EA" w:rsidP="007405EA">
      <w:pPr>
        <w:pStyle w:val="paragraph"/>
      </w:pPr>
      <w:r w:rsidRPr="00FF5E89">
        <w:tab/>
        <w:t>(b)</w:t>
      </w:r>
      <w:r w:rsidRPr="00FF5E89">
        <w:tab/>
        <w:t>either:</w:t>
      </w:r>
    </w:p>
    <w:p w14:paraId="70DBBE9A" w14:textId="77777777" w:rsidR="007405EA" w:rsidRPr="00FF5E89" w:rsidRDefault="007405EA" w:rsidP="007405EA">
      <w:pPr>
        <w:pStyle w:val="paragraphsub"/>
      </w:pPr>
      <w:r w:rsidRPr="00FF5E89">
        <w:tab/>
        <w:t>(i)</w:t>
      </w:r>
      <w:r w:rsidRPr="00FF5E89">
        <w:tab/>
        <w:t>the auditor has skills and experience in relation to ecological assessment; or</w:t>
      </w:r>
    </w:p>
    <w:p w14:paraId="392C0BC3" w14:textId="77777777" w:rsidR="007405EA" w:rsidRPr="00FF5E89" w:rsidRDefault="007405EA" w:rsidP="007405EA">
      <w:pPr>
        <w:pStyle w:val="paragraphsub"/>
      </w:pPr>
      <w:r w:rsidRPr="00FF5E89">
        <w:tab/>
        <w:t>(ii)</w:t>
      </w:r>
      <w:r w:rsidRPr="00FF5E89">
        <w:tab/>
        <w:t>the auditor will select one or more audit team members with skills and experience in relation to ecological assessment to assist in carrying out the audit; and</w:t>
      </w:r>
    </w:p>
    <w:p w14:paraId="69CC0E61" w14:textId="77777777" w:rsidR="007405EA" w:rsidRPr="00FF5E89" w:rsidRDefault="007405EA" w:rsidP="007405EA">
      <w:pPr>
        <w:pStyle w:val="paragraph"/>
      </w:pPr>
      <w:r w:rsidRPr="00FF5E89">
        <w:tab/>
        <w:t>(c)</w:t>
      </w:r>
      <w:r w:rsidRPr="00FF5E89">
        <w:tab/>
        <w:t>in carrying out the audit, the auditor will comply with the requirements of Subdivisions 6.6.2 to 6.6.4 of the NGER Regulations and the requirements of the Audit Determination.</w:t>
      </w:r>
    </w:p>
    <w:p w14:paraId="54509792" w14:textId="77777777" w:rsidR="007405EA" w:rsidRPr="00FF5E89" w:rsidRDefault="007405EA" w:rsidP="007405EA">
      <w:pPr>
        <w:pStyle w:val="notetext"/>
      </w:pPr>
      <w:r w:rsidRPr="00FF5E89">
        <w:lastRenderedPageBreak/>
        <w:t xml:space="preserve"> Note:</w:t>
      </w:r>
      <w:r w:rsidRPr="00FF5E89">
        <w:tab/>
        <w:t xml:space="preserve">Subdivisions 6.6.2 to 6.6.4 of the NGER Regulations deal respectively with the Code of Conduct for registered greenhouse and energy auditors, </w:t>
      </w:r>
      <w:r w:rsidR="00CF3EFA" w:rsidRPr="00FF5E89">
        <w:t>g</w:t>
      </w:r>
      <w:r w:rsidRPr="00FF5E89">
        <w:t xml:space="preserve">eneral independence requirements and </w:t>
      </w:r>
      <w:r w:rsidR="00CF3EFA" w:rsidRPr="00FF5E89">
        <w:t>o</w:t>
      </w:r>
      <w:r w:rsidRPr="00FF5E89">
        <w:t xml:space="preserve">ther independence requirements. </w:t>
      </w:r>
    </w:p>
    <w:p w14:paraId="32D3B14E" w14:textId="77777777" w:rsidR="00E908FB" w:rsidRPr="00FF5E89" w:rsidRDefault="00427491" w:rsidP="00E908FB">
      <w:pPr>
        <w:pStyle w:val="ActHead5"/>
      </w:pPr>
      <w:bookmarkStart w:id="16" w:name="_Toc131177101"/>
      <w:r w:rsidRPr="00FF5E89">
        <w:t>10</w:t>
      </w:r>
      <w:r w:rsidR="00E908FB" w:rsidRPr="00FF5E89">
        <w:t xml:space="preserve">  Application of this direction</w:t>
      </w:r>
      <w:bookmarkEnd w:id="16"/>
      <w:r w:rsidR="00E908FB" w:rsidRPr="00FF5E89">
        <w:t xml:space="preserve"> </w:t>
      </w:r>
    </w:p>
    <w:p w14:paraId="7E45BB13" w14:textId="77777777" w:rsidR="00E908FB" w:rsidRPr="00E908FB" w:rsidRDefault="00E908FB" w:rsidP="00E908FB">
      <w:pPr>
        <w:pStyle w:val="subsection"/>
      </w:pPr>
      <w:r w:rsidRPr="00FF5E89">
        <w:tab/>
      </w:r>
      <w:r w:rsidRPr="00FF5E89">
        <w:tab/>
      </w:r>
      <w:bookmarkStart w:id="17" w:name="_Hlk130305931"/>
      <w:r w:rsidRPr="00FF5E89">
        <w:t>This direction applies subject to the Act, the CFI Act</w:t>
      </w:r>
      <w:r w:rsidR="004E2E4B" w:rsidRPr="00FF5E89">
        <w:t>, the CFI Rule</w:t>
      </w:r>
      <w:r w:rsidR="00BE2132" w:rsidRPr="00FF5E89">
        <w:t>, the NGER Regulations, the Audit Determination</w:t>
      </w:r>
      <w:r w:rsidRPr="00FF5E89">
        <w:t xml:space="preserve"> and the HIR methodology.</w:t>
      </w:r>
      <w:bookmarkEnd w:id="17"/>
    </w:p>
    <w:bookmarkEnd w:id="14"/>
    <w:p w14:paraId="5426BB84" w14:textId="77777777" w:rsidR="00E908FB" w:rsidRDefault="00E908FB" w:rsidP="00E908FB">
      <w:pPr>
        <w:pStyle w:val="subsection"/>
      </w:pPr>
    </w:p>
    <w:p w14:paraId="6CF49B48" w14:textId="77777777" w:rsidR="00554826" w:rsidRDefault="00554826" w:rsidP="00554826">
      <w:pPr>
        <w:spacing w:line="240" w:lineRule="auto"/>
        <w:rPr>
          <w:rFonts w:eastAsia="Times New Roman" w:cs="Times New Roman"/>
          <w:lang w:eastAsia="en-AU"/>
        </w:rPr>
      </w:pPr>
    </w:p>
    <w:sectPr w:rsidR="00554826" w:rsidSect="008C2EAC">
      <w:headerReference w:type="even" r:id="rId21"/>
      <w:headerReference w:type="default" r:id="rId22"/>
      <w:footerReference w:type="even" r:id="rId23"/>
      <w:footerReference w:type="default" r:id="rId24"/>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BE30" w14:textId="77777777" w:rsidR="003049B9" w:rsidRDefault="003049B9" w:rsidP="00715914">
      <w:pPr>
        <w:spacing w:line="240" w:lineRule="auto"/>
      </w:pPr>
      <w:r>
        <w:separator/>
      </w:r>
    </w:p>
  </w:endnote>
  <w:endnote w:type="continuationSeparator" w:id="0">
    <w:p w14:paraId="316FEB5D" w14:textId="77777777" w:rsidR="003049B9" w:rsidRDefault="003049B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46FE" w14:textId="77777777" w:rsidR="00CF199A" w:rsidRPr="00E33C1C" w:rsidRDefault="00CF199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F199A" w14:paraId="5A51D292" w14:textId="77777777" w:rsidTr="00B33709">
      <w:tc>
        <w:tcPr>
          <w:tcW w:w="709" w:type="dxa"/>
          <w:tcBorders>
            <w:top w:val="nil"/>
            <w:left w:val="nil"/>
            <w:bottom w:val="nil"/>
            <w:right w:val="nil"/>
          </w:tcBorders>
        </w:tcPr>
        <w:p w14:paraId="799B386B" w14:textId="77777777" w:rsidR="00CF199A" w:rsidRDefault="00CF199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2D04FEA" w14:textId="77777777" w:rsidR="00CF199A" w:rsidRPr="004E1307" w:rsidRDefault="00CF199A"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1C96A558" w14:textId="77777777" w:rsidR="00CF199A" w:rsidRDefault="00CF199A" w:rsidP="00A369E3">
          <w:pPr>
            <w:spacing w:line="0" w:lineRule="atLeast"/>
            <w:jc w:val="right"/>
            <w:rPr>
              <w:sz w:val="18"/>
            </w:rPr>
          </w:pPr>
        </w:p>
      </w:tc>
    </w:tr>
    <w:tr w:rsidR="00CF199A" w14:paraId="201A2D1E"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0080E53" w14:textId="77777777" w:rsidR="00CF199A" w:rsidRDefault="00CF199A" w:rsidP="00A369E3">
          <w:pPr>
            <w:jc w:val="right"/>
            <w:rPr>
              <w:sz w:val="18"/>
            </w:rPr>
          </w:pPr>
        </w:p>
      </w:tc>
    </w:tr>
  </w:tbl>
  <w:p w14:paraId="27419CC2" w14:textId="77777777" w:rsidR="00CF199A" w:rsidRPr="00ED79B6" w:rsidRDefault="00CF199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D1E2" w14:textId="77777777" w:rsidR="00CF199A" w:rsidRPr="00E33C1C" w:rsidRDefault="00CF199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CF199A" w14:paraId="3625C875" w14:textId="77777777" w:rsidTr="00A369E3">
      <w:tc>
        <w:tcPr>
          <w:tcW w:w="1384" w:type="dxa"/>
          <w:tcBorders>
            <w:top w:val="nil"/>
            <w:left w:val="nil"/>
            <w:bottom w:val="nil"/>
            <w:right w:val="nil"/>
          </w:tcBorders>
        </w:tcPr>
        <w:p w14:paraId="2CA0A385" w14:textId="77777777" w:rsidR="00CF199A" w:rsidRDefault="00CF199A" w:rsidP="00A369E3">
          <w:pPr>
            <w:spacing w:line="0" w:lineRule="atLeast"/>
            <w:rPr>
              <w:sz w:val="18"/>
            </w:rPr>
          </w:pPr>
        </w:p>
      </w:tc>
      <w:tc>
        <w:tcPr>
          <w:tcW w:w="6379" w:type="dxa"/>
          <w:tcBorders>
            <w:top w:val="nil"/>
            <w:left w:val="nil"/>
            <w:bottom w:val="nil"/>
            <w:right w:val="nil"/>
          </w:tcBorders>
        </w:tcPr>
        <w:p w14:paraId="29ADE5AE" w14:textId="77777777" w:rsidR="00CF199A" w:rsidRDefault="00CF199A"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0F511F2D" w14:textId="77777777" w:rsidR="00CF199A" w:rsidRDefault="00CF199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F199A" w14:paraId="146CACE6"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287F270" w14:textId="77777777" w:rsidR="00CF199A" w:rsidRDefault="00CF199A" w:rsidP="00A369E3">
          <w:pPr>
            <w:rPr>
              <w:sz w:val="18"/>
            </w:rPr>
          </w:pPr>
        </w:p>
      </w:tc>
    </w:tr>
  </w:tbl>
  <w:p w14:paraId="2831B0D9" w14:textId="77777777" w:rsidR="00CF199A" w:rsidRPr="00ED79B6" w:rsidRDefault="00CF199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1991" w14:textId="77777777" w:rsidR="00CF199A" w:rsidRPr="00E33C1C" w:rsidRDefault="00CF199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CF199A" w14:paraId="09CB91DE" w14:textId="77777777" w:rsidTr="00B33709">
      <w:tc>
        <w:tcPr>
          <w:tcW w:w="1384" w:type="dxa"/>
          <w:tcBorders>
            <w:top w:val="nil"/>
            <w:left w:val="nil"/>
            <w:bottom w:val="nil"/>
            <w:right w:val="nil"/>
          </w:tcBorders>
        </w:tcPr>
        <w:p w14:paraId="25C1B428" w14:textId="77777777" w:rsidR="00CF199A" w:rsidRDefault="00CF199A" w:rsidP="00A369E3">
          <w:pPr>
            <w:spacing w:line="0" w:lineRule="atLeast"/>
            <w:rPr>
              <w:sz w:val="18"/>
            </w:rPr>
          </w:pPr>
        </w:p>
      </w:tc>
      <w:tc>
        <w:tcPr>
          <w:tcW w:w="6379" w:type="dxa"/>
          <w:tcBorders>
            <w:top w:val="nil"/>
            <w:left w:val="nil"/>
            <w:bottom w:val="nil"/>
            <w:right w:val="nil"/>
          </w:tcBorders>
        </w:tcPr>
        <w:p w14:paraId="13292C57" w14:textId="77777777" w:rsidR="00CF199A" w:rsidRDefault="00CF199A" w:rsidP="00A369E3">
          <w:pPr>
            <w:spacing w:line="0" w:lineRule="atLeast"/>
            <w:jc w:val="center"/>
            <w:rPr>
              <w:sz w:val="18"/>
            </w:rPr>
          </w:pPr>
        </w:p>
      </w:tc>
      <w:tc>
        <w:tcPr>
          <w:tcW w:w="709" w:type="dxa"/>
          <w:tcBorders>
            <w:top w:val="nil"/>
            <w:left w:val="nil"/>
            <w:bottom w:val="nil"/>
            <w:right w:val="nil"/>
          </w:tcBorders>
        </w:tcPr>
        <w:p w14:paraId="2D96B5DC" w14:textId="77777777" w:rsidR="00CF199A" w:rsidRDefault="00CF199A" w:rsidP="00A369E3">
          <w:pPr>
            <w:spacing w:line="0" w:lineRule="atLeast"/>
            <w:jc w:val="right"/>
            <w:rPr>
              <w:sz w:val="18"/>
            </w:rPr>
          </w:pPr>
        </w:p>
      </w:tc>
    </w:tr>
  </w:tbl>
  <w:p w14:paraId="61A79610" w14:textId="77777777" w:rsidR="00CF199A" w:rsidRPr="00ED79B6" w:rsidRDefault="00CF199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1877" w14:textId="77777777" w:rsidR="00CF199A" w:rsidRPr="002B0EA5" w:rsidRDefault="00CF199A" w:rsidP="00F71F1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CF199A" w14:paraId="4F1AFB6E" w14:textId="77777777" w:rsidTr="00F71F19">
      <w:tc>
        <w:tcPr>
          <w:tcW w:w="365" w:type="pct"/>
        </w:tcPr>
        <w:p w14:paraId="67C44E1E" w14:textId="77777777" w:rsidR="00CF199A" w:rsidRDefault="00CF199A" w:rsidP="00F71F1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0F5BA46" w14:textId="77777777" w:rsidR="00CF199A" w:rsidRDefault="00CF199A" w:rsidP="00F71F1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1DF8066B" w14:textId="77777777" w:rsidR="00CF199A" w:rsidRDefault="00CF199A" w:rsidP="00F71F19">
          <w:pPr>
            <w:spacing w:line="0" w:lineRule="atLeast"/>
            <w:jc w:val="right"/>
            <w:rPr>
              <w:sz w:val="18"/>
            </w:rPr>
          </w:pPr>
        </w:p>
      </w:tc>
    </w:tr>
    <w:tr w:rsidR="00CF199A" w14:paraId="1D1790D4" w14:textId="77777777" w:rsidTr="00F71F19">
      <w:tc>
        <w:tcPr>
          <w:tcW w:w="5000" w:type="pct"/>
          <w:gridSpan w:val="3"/>
        </w:tcPr>
        <w:p w14:paraId="592C8C84" w14:textId="77777777" w:rsidR="00CF199A" w:rsidRDefault="00CF199A" w:rsidP="00F71F19">
          <w:pPr>
            <w:jc w:val="right"/>
            <w:rPr>
              <w:sz w:val="18"/>
            </w:rPr>
          </w:pPr>
        </w:p>
      </w:tc>
    </w:tr>
  </w:tbl>
  <w:p w14:paraId="2C1BC592" w14:textId="77777777" w:rsidR="00CF199A" w:rsidRPr="00ED79B6" w:rsidRDefault="00CF199A" w:rsidP="00F71F1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DC11" w14:textId="77777777" w:rsidR="00CF199A" w:rsidRPr="002B0EA5" w:rsidRDefault="00CF199A" w:rsidP="00F71F1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F199A" w14:paraId="5EBCB69A" w14:textId="77777777" w:rsidTr="00F71F19">
      <w:tc>
        <w:tcPr>
          <w:tcW w:w="947" w:type="pct"/>
        </w:tcPr>
        <w:p w14:paraId="0E945E28" w14:textId="77777777" w:rsidR="00CF199A" w:rsidRDefault="00CF199A" w:rsidP="00F71F19">
          <w:pPr>
            <w:spacing w:line="0" w:lineRule="atLeast"/>
            <w:rPr>
              <w:sz w:val="18"/>
            </w:rPr>
          </w:pPr>
        </w:p>
      </w:tc>
      <w:tc>
        <w:tcPr>
          <w:tcW w:w="3688" w:type="pct"/>
        </w:tcPr>
        <w:p w14:paraId="6CECE02C" w14:textId="1FFFDBB6" w:rsidR="00CF199A" w:rsidRDefault="00CF199A" w:rsidP="00F71F1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F5E89">
            <w:rPr>
              <w:i/>
              <w:noProof/>
              <w:sz w:val="18"/>
            </w:rPr>
            <w:t>Clean Energy Regulator (Human-Induced Regeneration Projects) Direction 2023</w:t>
          </w:r>
          <w:r w:rsidRPr="004E1307">
            <w:rPr>
              <w:i/>
              <w:sz w:val="18"/>
            </w:rPr>
            <w:fldChar w:fldCharType="end"/>
          </w:r>
        </w:p>
      </w:tc>
      <w:tc>
        <w:tcPr>
          <w:tcW w:w="365" w:type="pct"/>
        </w:tcPr>
        <w:p w14:paraId="5660E84D" w14:textId="77777777" w:rsidR="00CF199A" w:rsidRDefault="00CF199A" w:rsidP="00F71F1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CF199A" w14:paraId="4A9B9371" w14:textId="77777777" w:rsidTr="00F71F19">
      <w:tc>
        <w:tcPr>
          <w:tcW w:w="5000" w:type="pct"/>
          <w:gridSpan w:val="3"/>
        </w:tcPr>
        <w:p w14:paraId="08B6099D" w14:textId="77777777" w:rsidR="00CF199A" w:rsidRDefault="00CF199A" w:rsidP="00F71F19">
          <w:pPr>
            <w:rPr>
              <w:sz w:val="18"/>
            </w:rPr>
          </w:pPr>
        </w:p>
      </w:tc>
    </w:tr>
  </w:tbl>
  <w:p w14:paraId="4D7433DC" w14:textId="77777777" w:rsidR="00CF199A" w:rsidRPr="00ED79B6" w:rsidRDefault="00CF199A" w:rsidP="00F71F1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DFA6" w14:textId="77777777" w:rsidR="00CF199A" w:rsidRPr="002B0EA5" w:rsidRDefault="00CF199A" w:rsidP="00F71F1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CF199A" w14:paraId="1076CED6" w14:textId="77777777" w:rsidTr="00F71F19">
      <w:tc>
        <w:tcPr>
          <w:tcW w:w="365" w:type="pct"/>
        </w:tcPr>
        <w:p w14:paraId="361CBABF" w14:textId="77777777" w:rsidR="00CF199A" w:rsidRDefault="00CF199A" w:rsidP="00F71F1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07350A41" w14:textId="4FFB92FA" w:rsidR="00CF199A" w:rsidRDefault="00CF199A" w:rsidP="00F71F1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F5E89">
            <w:rPr>
              <w:i/>
              <w:noProof/>
              <w:sz w:val="18"/>
            </w:rPr>
            <w:t>Clean Energy Regulator (Human-Induced Regeneration Projects) Direction 2023</w:t>
          </w:r>
          <w:r w:rsidRPr="004E1307">
            <w:rPr>
              <w:i/>
              <w:sz w:val="18"/>
            </w:rPr>
            <w:fldChar w:fldCharType="end"/>
          </w:r>
        </w:p>
      </w:tc>
      <w:tc>
        <w:tcPr>
          <w:tcW w:w="947" w:type="pct"/>
        </w:tcPr>
        <w:p w14:paraId="18D7236D" w14:textId="77777777" w:rsidR="00CF199A" w:rsidRDefault="00CF199A" w:rsidP="00F71F19">
          <w:pPr>
            <w:spacing w:line="0" w:lineRule="atLeast"/>
            <w:jc w:val="right"/>
            <w:rPr>
              <w:sz w:val="18"/>
            </w:rPr>
          </w:pPr>
        </w:p>
      </w:tc>
    </w:tr>
    <w:tr w:rsidR="00CF199A" w14:paraId="783BDF40" w14:textId="77777777" w:rsidTr="00F71F19">
      <w:tc>
        <w:tcPr>
          <w:tcW w:w="5000" w:type="pct"/>
          <w:gridSpan w:val="3"/>
        </w:tcPr>
        <w:p w14:paraId="38E9B119" w14:textId="77777777" w:rsidR="00CF199A" w:rsidRDefault="00CF199A" w:rsidP="00F71F19">
          <w:pPr>
            <w:jc w:val="right"/>
            <w:rPr>
              <w:sz w:val="18"/>
            </w:rPr>
          </w:pPr>
        </w:p>
      </w:tc>
    </w:tr>
  </w:tbl>
  <w:p w14:paraId="2BF08BEB" w14:textId="77777777" w:rsidR="00CF199A" w:rsidRPr="00ED79B6" w:rsidRDefault="00CF199A" w:rsidP="00F71F1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1708" w14:textId="77777777" w:rsidR="00CF199A" w:rsidRPr="002B0EA5" w:rsidRDefault="00CF199A" w:rsidP="00F71F1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F199A" w14:paraId="24C10284" w14:textId="77777777" w:rsidTr="00F71F19">
      <w:tc>
        <w:tcPr>
          <w:tcW w:w="947" w:type="pct"/>
        </w:tcPr>
        <w:p w14:paraId="5698826B" w14:textId="77777777" w:rsidR="00CF199A" w:rsidRDefault="00CF199A" w:rsidP="00F71F19">
          <w:pPr>
            <w:spacing w:line="0" w:lineRule="atLeast"/>
            <w:rPr>
              <w:sz w:val="18"/>
            </w:rPr>
          </w:pPr>
        </w:p>
      </w:tc>
      <w:tc>
        <w:tcPr>
          <w:tcW w:w="3688" w:type="pct"/>
        </w:tcPr>
        <w:p w14:paraId="33D02E05" w14:textId="5A4D3C98" w:rsidR="00CF199A" w:rsidRDefault="00CF199A" w:rsidP="00F71F1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F5E89">
            <w:rPr>
              <w:i/>
              <w:noProof/>
              <w:sz w:val="18"/>
            </w:rPr>
            <w:t>Clean Energy Regulator (Human-Induced Regeneration Projects) Direction 2023</w:t>
          </w:r>
          <w:r w:rsidRPr="004E1307">
            <w:rPr>
              <w:i/>
              <w:sz w:val="18"/>
            </w:rPr>
            <w:fldChar w:fldCharType="end"/>
          </w:r>
        </w:p>
      </w:tc>
      <w:tc>
        <w:tcPr>
          <w:tcW w:w="365" w:type="pct"/>
        </w:tcPr>
        <w:p w14:paraId="548245EA" w14:textId="77777777" w:rsidR="00CF199A" w:rsidRDefault="00CF199A" w:rsidP="00F71F1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F199A" w14:paraId="25AB4F86" w14:textId="77777777" w:rsidTr="00F71F19">
      <w:tc>
        <w:tcPr>
          <w:tcW w:w="5000" w:type="pct"/>
          <w:gridSpan w:val="3"/>
        </w:tcPr>
        <w:p w14:paraId="1B8A59FF" w14:textId="77777777" w:rsidR="00CF199A" w:rsidRDefault="00CF199A" w:rsidP="00F71F19">
          <w:pPr>
            <w:rPr>
              <w:sz w:val="18"/>
            </w:rPr>
          </w:pPr>
        </w:p>
      </w:tc>
    </w:tr>
  </w:tbl>
  <w:p w14:paraId="381690E3" w14:textId="77777777" w:rsidR="00CF199A" w:rsidRPr="00ED79B6" w:rsidRDefault="00CF199A" w:rsidP="00F71F1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19B3" w14:textId="77777777" w:rsidR="003049B9" w:rsidRDefault="003049B9" w:rsidP="00715914">
      <w:pPr>
        <w:spacing w:line="240" w:lineRule="auto"/>
      </w:pPr>
      <w:r>
        <w:separator/>
      </w:r>
    </w:p>
  </w:footnote>
  <w:footnote w:type="continuationSeparator" w:id="0">
    <w:p w14:paraId="0F03BB93" w14:textId="77777777" w:rsidR="003049B9" w:rsidRDefault="003049B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C5AD" w14:textId="77777777" w:rsidR="00CF199A" w:rsidRPr="005F1388" w:rsidRDefault="00CF199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8867" w14:textId="77777777" w:rsidR="00CF199A" w:rsidRPr="005F1388" w:rsidRDefault="00CF199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C9D5" w14:textId="77777777" w:rsidR="00CF199A" w:rsidRDefault="00CF19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AD0B" w14:textId="77777777" w:rsidR="00CF199A" w:rsidRPr="00ED79B6" w:rsidRDefault="00CF199A" w:rsidP="00F71F1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D229" w14:textId="77777777" w:rsidR="00CF199A" w:rsidRPr="00ED79B6" w:rsidRDefault="00CF199A" w:rsidP="00F71F19">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6718" w14:textId="77777777" w:rsidR="00CF199A" w:rsidRPr="00ED79B6" w:rsidRDefault="00CF199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041B" w14:textId="77777777" w:rsidR="00CF199A" w:rsidRDefault="00CF199A" w:rsidP="00715914">
    <w:pPr>
      <w:rPr>
        <w:sz w:val="20"/>
      </w:rPr>
    </w:pPr>
  </w:p>
  <w:p w14:paraId="312543C5" w14:textId="77777777" w:rsidR="00CF199A" w:rsidRDefault="00CF199A" w:rsidP="00715914">
    <w:pPr>
      <w:rPr>
        <w:sz w:val="20"/>
      </w:rPr>
    </w:pPr>
  </w:p>
  <w:p w14:paraId="7DA5ACBC" w14:textId="77777777" w:rsidR="00CF199A" w:rsidRPr="007A1328" w:rsidRDefault="00CF199A" w:rsidP="00715914">
    <w:pPr>
      <w:rPr>
        <w:sz w:val="20"/>
      </w:rPr>
    </w:pPr>
  </w:p>
  <w:p w14:paraId="57E0B623" w14:textId="77777777" w:rsidR="00CF199A" w:rsidRPr="007A1328" w:rsidRDefault="00CF199A" w:rsidP="00715914">
    <w:pPr>
      <w:rPr>
        <w:b/>
        <w:sz w:val="24"/>
      </w:rPr>
    </w:pPr>
  </w:p>
  <w:p w14:paraId="62B830B5" w14:textId="77777777" w:rsidR="00CF199A" w:rsidRPr="007A1328" w:rsidRDefault="00CF199A"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F4E5" w14:textId="77777777" w:rsidR="00CF199A" w:rsidRPr="007A1328" w:rsidRDefault="00CF199A" w:rsidP="00715914">
    <w:pPr>
      <w:jc w:val="right"/>
      <w:rPr>
        <w:sz w:val="20"/>
      </w:rPr>
    </w:pPr>
  </w:p>
  <w:p w14:paraId="4C2ECC8F" w14:textId="77777777" w:rsidR="00CF199A" w:rsidRPr="007A1328" w:rsidRDefault="00CF199A" w:rsidP="00715914">
    <w:pPr>
      <w:jc w:val="right"/>
      <w:rPr>
        <w:sz w:val="20"/>
      </w:rPr>
    </w:pPr>
  </w:p>
  <w:p w14:paraId="3A6A5BD9" w14:textId="77777777" w:rsidR="00CF199A" w:rsidRPr="007A1328" w:rsidRDefault="00CF199A" w:rsidP="00715914">
    <w:pPr>
      <w:jc w:val="right"/>
      <w:rPr>
        <w:sz w:val="20"/>
      </w:rPr>
    </w:pPr>
  </w:p>
  <w:p w14:paraId="1D525BC4" w14:textId="77777777" w:rsidR="00CF199A" w:rsidRPr="007A1328" w:rsidRDefault="00CF199A" w:rsidP="00715914">
    <w:pPr>
      <w:jc w:val="right"/>
      <w:rPr>
        <w:b/>
        <w:sz w:val="24"/>
      </w:rPr>
    </w:pPr>
  </w:p>
  <w:p w14:paraId="7B973010" w14:textId="77777777" w:rsidR="00CF199A" w:rsidRPr="007A1328" w:rsidRDefault="00CF199A"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242452144">
    <w:abstractNumId w:val="9"/>
  </w:num>
  <w:num w:numId="2" w16cid:durableId="1023675005">
    <w:abstractNumId w:val="7"/>
  </w:num>
  <w:num w:numId="3" w16cid:durableId="1048458544">
    <w:abstractNumId w:val="6"/>
  </w:num>
  <w:num w:numId="4" w16cid:durableId="159977214">
    <w:abstractNumId w:val="5"/>
  </w:num>
  <w:num w:numId="5" w16cid:durableId="903836280">
    <w:abstractNumId w:val="4"/>
  </w:num>
  <w:num w:numId="6" w16cid:durableId="2050761785">
    <w:abstractNumId w:val="8"/>
  </w:num>
  <w:num w:numId="7" w16cid:durableId="1521579806">
    <w:abstractNumId w:val="3"/>
  </w:num>
  <w:num w:numId="8" w16cid:durableId="1463575358">
    <w:abstractNumId w:val="2"/>
  </w:num>
  <w:num w:numId="9" w16cid:durableId="2058700331">
    <w:abstractNumId w:val="1"/>
  </w:num>
  <w:num w:numId="10" w16cid:durableId="2067751939">
    <w:abstractNumId w:val="0"/>
  </w:num>
  <w:num w:numId="11" w16cid:durableId="1958754470">
    <w:abstractNumId w:val="12"/>
  </w:num>
  <w:num w:numId="12" w16cid:durableId="1897665726">
    <w:abstractNumId w:val="10"/>
  </w:num>
  <w:num w:numId="13" w16cid:durableId="6991654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FB"/>
    <w:rsid w:val="00004174"/>
    <w:rsid w:val="00004470"/>
    <w:rsid w:val="000136AF"/>
    <w:rsid w:val="000258B1"/>
    <w:rsid w:val="00040A89"/>
    <w:rsid w:val="000437C1"/>
    <w:rsid w:val="0004455A"/>
    <w:rsid w:val="0005365D"/>
    <w:rsid w:val="000614BF"/>
    <w:rsid w:val="0006709C"/>
    <w:rsid w:val="00073F26"/>
    <w:rsid w:val="00074376"/>
    <w:rsid w:val="00083C0E"/>
    <w:rsid w:val="000978F5"/>
    <w:rsid w:val="000B15CD"/>
    <w:rsid w:val="000B35EB"/>
    <w:rsid w:val="000B6E51"/>
    <w:rsid w:val="000C6C68"/>
    <w:rsid w:val="000C7503"/>
    <w:rsid w:val="000D05EF"/>
    <w:rsid w:val="000E2261"/>
    <w:rsid w:val="000E78B7"/>
    <w:rsid w:val="000F21C1"/>
    <w:rsid w:val="0010745C"/>
    <w:rsid w:val="001147CB"/>
    <w:rsid w:val="00121536"/>
    <w:rsid w:val="00132CEB"/>
    <w:rsid w:val="001339B0"/>
    <w:rsid w:val="00142B62"/>
    <w:rsid w:val="001441B7"/>
    <w:rsid w:val="001516CB"/>
    <w:rsid w:val="00152336"/>
    <w:rsid w:val="00157B8B"/>
    <w:rsid w:val="00162E3F"/>
    <w:rsid w:val="00166C2F"/>
    <w:rsid w:val="001809D7"/>
    <w:rsid w:val="00190605"/>
    <w:rsid w:val="001939E1"/>
    <w:rsid w:val="00194C3E"/>
    <w:rsid w:val="00195382"/>
    <w:rsid w:val="001B2CB6"/>
    <w:rsid w:val="001C61C5"/>
    <w:rsid w:val="001C69C4"/>
    <w:rsid w:val="001D1001"/>
    <w:rsid w:val="001D37EF"/>
    <w:rsid w:val="001E009B"/>
    <w:rsid w:val="001E3590"/>
    <w:rsid w:val="001E7407"/>
    <w:rsid w:val="001F5D5E"/>
    <w:rsid w:val="001F6219"/>
    <w:rsid w:val="001F6CD4"/>
    <w:rsid w:val="00206C4D"/>
    <w:rsid w:val="00215AF1"/>
    <w:rsid w:val="0021778E"/>
    <w:rsid w:val="002321E8"/>
    <w:rsid w:val="00232984"/>
    <w:rsid w:val="0024010F"/>
    <w:rsid w:val="00240749"/>
    <w:rsid w:val="00243018"/>
    <w:rsid w:val="002564A4"/>
    <w:rsid w:val="002659BB"/>
    <w:rsid w:val="0026736C"/>
    <w:rsid w:val="00281308"/>
    <w:rsid w:val="00284719"/>
    <w:rsid w:val="00297ECB"/>
    <w:rsid w:val="002A0ED1"/>
    <w:rsid w:val="002A7BCF"/>
    <w:rsid w:val="002B5334"/>
    <w:rsid w:val="002C3FD1"/>
    <w:rsid w:val="002D043A"/>
    <w:rsid w:val="002D266B"/>
    <w:rsid w:val="002D6224"/>
    <w:rsid w:val="00300A51"/>
    <w:rsid w:val="003049B9"/>
    <w:rsid w:val="00304F8B"/>
    <w:rsid w:val="00335BC6"/>
    <w:rsid w:val="003415D3"/>
    <w:rsid w:val="00344338"/>
    <w:rsid w:val="00344701"/>
    <w:rsid w:val="00352B0F"/>
    <w:rsid w:val="00360459"/>
    <w:rsid w:val="00364FC5"/>
    <w:rsid w:val="0038049F"/>
    <w:rsid w:val="00397CE3"/>
    <w:rsid w:val="003C6231"/>
    <w:rsid w:val="003D0BFE"/>
    <w:rsid w:val="003D5700"/>
    <w:rsid w:val="003E341B"/>
    <w:rsid w:val="003E4D00"/>
    <w:rsid w:val="0040567B"/>
    <w:rsid w:val="004116CD"/>
    <w:rsid w:val="00417EB9"/>
    <w:rsid w:val="00424CA9"/>
    <w:rsid w:val="00427491"/>
    <w:rsid w:val="004276DF"/>
    <w:rsid w:val="00431E9B"/>
    <w:rsid w:val="004379E3"/>
    <w:rsid w:val="0044015E"/>
    <w:rsid w:val="0044291A"/>
    <w:rsid w:val="00467661"/>
    <w:rsid w:val="00472DBE"/>
    <w:rsid w:val="00474A19"/>
    <w:rsid w:val="00477830"/>
    <w:rsid w:val="00482960"/>
    <w:rsid w:val="00487764"/>
    <w:rsid w:val="00496F97"/>
    <w:rsid w:val="004B6C48"/>
    <w:rsid w:val="004C4E59"/>
    <w:rsid w:val="004C6809"/>
    <w:rsid w:val="004E063A"/>
    <w:rsid w:val="004E1307"/>
    <w:rsid w:val="004E2E4B"/>
    <w:rsid w:val="004E52B8"/>
    <w:rsid w:val="004E5732"/>
    <w:rsid w:val="004E7BEC"/>
    <w:rsid w:val="00505D3D"/>
    <w:rsid w:val="00506AF6"/>
    <w:rsid w:val="00516B8D"/>
    <w:rsid w:val="00524A5A"/>
    <w:rsid w:val="005303C8"/>
    <w:rsid w:val="00537FBC"/>
    <w:rsid w:val="00554826"/>
    <w:rsid w:val="00557683"/>
    <w:rsid w:val="00562877"/>
    <w:rsid w:val="0058180F"/>
    <w:rsid w:val="00584811"/>
    <w:rsid w:val="00585784"/>
    <w:rsid w:val="00593AA6"/>
    <w:rsid w:val="00594161"/>
    <w:rsid w:val="00594749"/>
    <w:rsid w:val="005A65D5"/>
    <w:rsid w:val="005B4067"/>
    <w:rsid w:val="005C3F41"/>
    <w:rsid w:val="005D1D92"/>
    <w:rsid w:val="005D2D09"/>
    <w:rsid w:val="005E4D1A"/>
    <w:rsid w:val="00600219"/>
    <w:rsid w:val="00604F2A"/>
    <w:rsid w:val="00620076"/>
    <w:rsid w:val="00627875"/>
    <w:rsid w:val="00627E0A"/>
    <w:rsid w:val="006375EF"/>
    <w:rsid w:val="00650D7C"/>
    <w:rsid w:val="00653734"/>
    <w:rsid w:val="0065488B"/>
    <w:rsid w:val="00670E86"/>
    <w:rsid w:val="00670EA1"/>
    <w:rsid w:val="00677CC2"/>
    <w:rsid w:val="0068744B"/>
    <w:rsid w:val="006905DE"/>
    <w:rsid w:val="0069207B"/>
    <w:rsid w:val="00696D8E"/>
    <w:rsid w:val="006A154F"/>
    <w:rsid w:val="006A437B"/>
    <w:rsid w:val="006B014F"/>
    <w:rsid w:val="006B5789"/>
    <w:rsid w:val="006B6141"/>
    <w:rsid w:val="006C30C5"/>
    <w:rsid w:val="006C7F8C"/>
    <w:rsid w:val="006E2E1C"/>
    <w:rsid w:val="006E6246"/>
    <w:rsid w:val="006E69C2"/>
    <w:rsid w:val="006E6DCC"/>
    <w:rsid w:val="006F318F"/>
    <w:rsid w:val="006F3423"/>
    <w:rsid w:val="006F57A2"/>
    <w:rsid w:val="0070017E"/>
    <w:rsid w:val="00700B2C"/>
    <w:rsid w:val="007050A2"/>
    <w:rsid w:val="00713084"/>
    <w:rsid w:val="00714F20"/>
    <w:rsid w:val="0071590F"/>
    <w:rsid w:val="00715914"/>
    <w:rsid w:val="0072147A"/>
    <w:rsid w:val="00722009"/>
    <w:rsid w:val="00723791"/>
    <w:rsid w:val="00731E00"/>
    <w:rsid w:val="007405EA"/>
    <w:rsid w:val="007440B7"/>
    <w:rsid w:val="007500C8"/>
    <w:rsid w:val="00756272"/>
    <w:rsid w:val="00762D38"/>
    <w:rsid w:val="007715C9"/>
    <w:rsid w:val="00771613"/>
    <w:rsid w:val="00774EDD"/>
    <w:rsid w:val="007757EC"/>
    <w:rsid w:val="0077725F"/>
    <w:rsid w:val="00783E89"/>
    <w:rsid w:val="00793915"/>
    <w:rsid w:val="00796E41"/>
    <w:rsid w:val="007A0E55"/>
    <w:rsid w:val="007B3659"/>
    <w:rsid w:val="007C2253"/>
    <w:rsid w:val="007D7911"/>
    <w:rsid w:val="007E09A0"/>
    <w:rsid w:val="007E163D"/>
    <w:rsid w:val="007E667A"/>
    <w:rsid w:val="007F28C9"/>
    <w:rsid w:val="007F51B2"/>
    <w:rsid w:val="008040DD"/>
    <w:rsid w:val="008117E9"/>
    <w:rsid w:val="008158E0"/>
    <w:rsid w:val="00824498"/>
    <w:rsid w:val="00826BD1"/>
    <w:rsid w:val="00832F9B"/>
    <w:rsid w:val="00854D0B"/>
    <w:rsid w:val="00856A31"/>
    <w:rsid w:val="00860B4E"/>
    <w:rsid w:val="00867B37"/>
    <w:rsid w:val="008754D0"/>
    <w:rsid w:val="00875D13"/>
    <w:rsid w:val="008855C9"/>
    <w:rsid w:val="00886456"/>
    <w:rsid w:val="00896176"/>
    <w:rsid w:val="008A46E1"/>
    <w:rsid w:val="008A4F43"/>
    <w:rsid w:val="008B2706"/>
    <w:rsid w:val="008C2CF8"/>
    <w:rsid w:val="008C2EAC"/>
    <w:rsid w:val="008D0EE0"/>
    <w:rsid w:val="008E0027"/>
    <w:rsid w:val="008E6067"/>
    <w:rsid w:val="008F54E7"/>
    <w:rsid w:val="00903422"/>
    <w:rsid w:val="00903B98"/>
    <w:rsid w:val="00923C46"/>
    <w:rsid w:val="009254C3"/>
    <w:rsid w:val="00932377"/>
    <w:rsid w:val="009363B5"/>
    <w:rsid w:val="00941236"/>
    <w:rsid w:val="00943FD5"/>
    <w:rsid w:val="00947D5A"/>
    <w:rsid w:val="009532A5"/>
    <w:rsid w:val="00953BCD"/>
    <w:rsid w:val="009545BD"/>
    <w:rsid w:val="00964CF0"/>
    <w:rsid w:val="00977806"/>
    <w:rsid w:val="00982242"/>
    <w:rsid w:val="00982D07"/>
    <w:rsid w:val="009868E9"/>
    <w:rsid w:val="009900A3"/>
    <w:rsid w:val="009943A4"/>
    <w:rsid w:val="009C3413"/>
    <w:rsid w:val="009D20C5"/>
    <w:rsid w:val="009E5A77"/>
    <w:rsid w:val="00A0441E"/>
    <w:rsid w:val="00A12128"/>
    <w:rsid w:val="00A22C98"/>
    <w:rsid w:val="00A231E2"/>
    <w:rsid w:val="00A369E3"/>
    <w:rsid w:val="00A4335E"/>
    <w:rsid w:val="00A54FBC"/>
    <w:rsid w:val="00A57600"/>
    <w:rsid w:val="00A64912"/>
    <w:rsid w:val="00A65D21"/>
    <w:rsid w:val="00A70A74"/>
    <w:rsid w:val="00A75FE9"/>
    <w:rsid w:val="00AC0EB3"/>
    <w:rsid w:val="00AC43FE"/>
    <w:rsid w:val="00AC509B"/>
    <w:rsid w:val="00AC719D"/>
    <w:rsid w:val="00AD53CC"/>
    <w:rsid w:val="00AD5641"/>
    <w:rsid w:val="00AF06CF"/>
    <w:rsid w:val="00B045CB"/>
    <w:rsid w:val="00B07CDB"/>
    <w:rsid w:val="00B11C30"/>
    <w:rsid w:val="00B16A31"/>
    <w:rsid w:val="00B17DFD"/>
    <w:rsid w:val="00B25306"/>
    <w:rsid w:val="00B27831"/>
    <w:rsid w:val="00B308FE"/>
    <w:rsid w:val="00B33709"/>
    <w:rsid w:val="00B33B3C"/>
    <w:rsid w:val="00B36392"/>
    <w:rsid w:val="00B37A75"/>
    <w:rsid w:val="00B418CB"/>
    <w:rsid w:val="00B47444"/>
    <w:rsid w:val="00B50ADC"/>
    <w:rsid w:val="00B54BF2"/>
    <w:rsid w:val="00B566B1"/>
    <w:rsid w:val="00B57BCC"/>
    <w:rsid w:val="00B63834"/>
    <w:rsid w:val="00B80199"/>
    <w:rsid w:val="00B83204"/>
    <w:rsid w:val="00B856E7"/>
    <w:rsid w:val="00BA220B"/>
    <w:rsid w:val="00BA3A57"/>
    <w:rsid w:val="00BB1533"/>
    <w:rsid w:val="00BB4E1A"/>
    <w:rsid w:val="00BC015E"/>
    <w:rsid w:val="00BC09AC"/>
    <w:rsid w:val="00BC76AC"/>
    <w:rsid w:val="00BD0A10"/>
    <w:rsid w:val="00BD0ECB"/>
    <w:rsid w:val="00BE2132"/>
    <w:rsid w:val="00BE2155"/>
    <w:rsid w:val="00BE5A9F"/>
    <w:rsid w:val="00BE719A"/>
    <w:rsid w:val="00BE720A"/>
    <w:rsid w:val="00BF0D73"/>
    <w:rsid w:val="00BF2465"/>
    <w:rsid w:val="00C16619"/>
    <w:rsid w:val="00C17E36"/>
    <w:rsid w:val="00C25E7F"/>
    <w:rsid w:val="00C2746F"/>
    <w:rsid w:val="00C323D6"/>
    <w:rsid w:val="00C324A0"/>
    <w:rsid w:val="00C42B9B"/>
    <w:rsid w:val="00C42BF8"/>
    <w:rsid w:val="00C42D4F"/>
    <w:rsid w:val="00C50043"/>
    <w:rsid w:val="00C74325"/>
    <w:rsid w:val="00C7573B"/>
    <w:rsid w:val="00C769F2"/>
    <w:rsid w:val="00C80062"/>
    <w:rsid w:val="00C95BCA"/>
    <w:rsid w:val="00C97A54"/>
    <w:rsid w:val="00CA122F"/>
    <w:rsid w:val="00CA5B23"/>
    <w:rsid w:val="00CB26CC"/>
    <w:rsid w:val="00CB602E"/>
    <w:rsid w:val="00CB797E"/>
    <w:rsid w:val="00CB7E90"/>
    <w:rsid w:val="00CC5D91"/>
    <w:rsid w:val="00CE051D"/>
    <w:rsid w:val="00CE1335"/>
    <w:rsid w:val="00CE493D"/>
    <w:rsid w:val="00CF07FA"/>
    <w:rsid w:val="00CF0BB2"/>
    <w:rsid w:val="00CF199A"/>
    <w:rsid w:val="00CF3EE8"/>
    <w:rsid w:val="00CF3EFA"/>
    <w:rsid w:val="00D13441"/>
    <w:rsid w:val="00D150E7"/>
    <w:rsid w:val="00D4527D"/>
    <w:rsid w:val="00D52DC2"/>
    <w:rsid w:val="00D53BCC"/>
    <w:rsid w:val="00D54C9E"/>
    <w:rsid w:val="00D60E5A"/>
    <w:rsid w:val="00D6537E"/>
    <w:rsid w:val="00D70DFB"/>
    <w:rsid w:val="00D71C6E"/>
    <w:rsid w:val="00D740A5"/>
    <w:rsid w:val="00D75C9F"/>
    <w:rsid w:val="00D766DF"/>
    <w:rsid w:val="00D81E78"/>
    <w:rsid w:val="00D8206C"/>
    <w:rsid w:val="00D83C07"/>
    <w:rsid w:val="00D91F10"/>
    <w:rsid w:val="00DA186E"/>
    <w:rsid w:val="00DA4116"/>
    <w:rsid w:val="00DB0E7A"/>
    <w:rsid w:val="00DB251C"/>
    <w:rsid w:val="00DB4630"/>
    <w:rsid w:val="00DB63E8"/>
    <w:rsid w:val="00DC4F88"/>
    <w:rsid w:val="00DE107C"/>
    <w:rsid w:val="00DE19C4"/>
    <w:rsid w:val="00DF2388"/>
    <w:rsid w:val="00E05704"/>
    <w:rsid w:val="00E06E5E"/>
    <w:rsid w:val="00E21980"/>
    <w:rsid w:val="00E246A7"/>
    <w:rsid w:val="00E338EF"/>
    <w:rsid w:val="00E50F7B"/>
    <w:rsid w:val="00E544BB"/>
    <w:rsid w:val="00E66460"/>
    <w:rsid w:val="00E74DC7"/>
    <w:rsid w:val="00E8075A"/>
    <w:rsid w:val="00E8414F"/>
    <w:rsid w:val="00E86074"/>
    <w:rsid w:val="00E908FB"/>
    <w:rsid w:val="00E940D8"/>
    <w:rsid w:val="00E94D5E"/>
    <w:rsid w:val="00EA7100"/>
    <w:rsid w:val="00EA7F9F"/>
    <w:rsid w:val="00EB1274"/>
    <w:rsid w:val="00EC70E6"/>
    <w:rsid w:val="00EC74A6"/>
    <w:rsid w:val="00ED2BB6"/>
    <w:rsid w:val="00ED34E1"/>
    <w:rsid w:val="00ED3B8D"/>
    <w:rsid w:val="00EE5E36"/>
    <w:rsid w:val="00EF2E3A"/>
    <w:rsid w:val="00F02C7C"/>
    <w:rsid w:val="00F055F3"/>
    <w:rsid w:val="00F072A7"/>
    <w:rsid w:val="00F078DC"/>
    <w:rsid w:val="00F25955"/>
    <w:rsid w:val="00F32BA8"/>
    <w:rsid w:val="00F32EE0"/>
    <w:rsid w:val="00F349F1"/>
    <w:rsid w:val="00F351FC"/>
    <w:rsid w:val="00F4350D"/>
    <w:rsid w:val="00F479C4"/>
    <w:rsid w:val="00F567F7"/>
    <w:rsid w:val="00F569FA"/>
    <w:rsid w:val="00F6696E"/>
    <w:rsid w:val="00F71F19"/>
    <w:rsid w:val="00F73BD6"/>
    <w:rsid w:val="00F83989"/>
    <w:rsid w:val="00F84358"/>
    <w:rsid w:val="00F85099"/>
    <w:rsid w:val="00F9379C"/>
    <w:rsid w:val="00F9632C"/>
    <w:rsid w:val="00F97B28"/>
    <w:rsid w:val="00FA1E52"/>
    <w:rsid w:val="00FA5DA4"/>
    <w:rsid w:val="00FB31EC"/>
    <w:rsid w:val="00FB4573"/>
    <w:rsid w:val="00FB5A08"/>
    <w:rsid w:val="00FC6A80"/>
    <w:rsid w:val="00FE4688"/>
    <w:rsid w:val="00FF2C77"/>
    <w:rsid w:val="00FF47FB"/>
    <w:rsid w:val="00FF5704"/>
    <w:rsid w:val="00FF5E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47745D"/>
  <w15:docId w15:val="{CB2E178C-706F-4D81-8F81-75D899FB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C42D4F"/>
    <w:rPr>
      <w:sz w:val="16"/>
      <w:szCs w:val="16"/>
    </w:rPr>
  </w:style>
  <w:style w:type="paragraph" w:styleId="CommentText">
    <w:name w:val="annotation text"/>
    <w:basedOn w:val="Normal"/>
    <w:link w:val="CommentTextChar"/>
    <w:uiPriority w:val="99"/>
    <w:semiHidden/>
    <w:unhideWhenUsed/>
    <w:rsid w:val="00C42D4F"/>
    <w:pPr>
      <w:spacing w:line="240" w:lineRule="auto"/>
    </w:pPr>
    <w:rPr>
      <w:sz w:val="20"/>
    </w:rPr>
  </w:style>
  <w:style w:type="character" w:customStyle="1" w:styleId="CommentTextChar">
    <w:name w:val="Comment Text Char"/>
    <w:basedOn w:val="DefaultParagraphFont"/>
    <w:link w:val="CommentText"/>
    <w:uiPriority w:val="99"/>
    <w:semiHidden/>
    <w:rsid w:val="00C42D4F"/>
  </w:style>
  <w:style w:type="paragraph" w:styleId="CommentSubject">
    <w:name w:val="annotation subject"/>
    <w:basedOn w:val="CommentText"/>
    <w:next w:val="CommentText"/>
    <w:link w:val="CommentSubjectChar"/>
    <w:uiPriority w:val="99"/>
    <w:semiHidden/>
    <w:unhideWhenUsed/>
    <w:rsid w:val="00C42D4F"/>
    <w:rPr>
      <w:b/>
      <w:bCs/>
    </w:rPr>
  </w:style>
  <w:style w:type="character" w:customStyle="1" w:styleId="CommentSubjectChar">
    <w:name w:val="Comment Subject Char"/>
    <w:basedOn w:val="CommentTextChar"/>
    <w:link w:val="CommentSubject"/>
    <w:uiPriority w:val="99"/>
    <w:semiHidden/>
    <w:rsid w:val="00C42D4F"/>
    <w:rPr>
      <w:b/>
      <w:bCs/>
    </w:rPr>
  </w:style>
  <w:style w:type="character" w:styleId="Hyperlink">
    <w:name w:val="Hyperlink"/>
    <w:basedOn w:val="DefaultParagraphFont"/>
    <w:uiPriority w:val="99"/>
    <w:unhideWhenUsed/>
    <w:rsid w:val="00121536"/>
    <w:rPr>
      <w:color w:val="0000FF" w:themeColor="hyperlink"/>
      <w:u w:val="single"/>
    </w:rPr>
  </w:style>
  <w:style w:type="character" w:styleId="UnresolvedMention">
    <w:name w:val="Unresolved Mention"/>
    <w:basedOn w:val="DefaultParagraphFont"/>
    <w:uiPriority w:val="99"/>
    <w:semiHidden/>
    <w:unhideWhenUsed/>
    <w:rsid w:val="00121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sim\Work%20Folders\Downloads\template_-_principal_instrument%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 D O C U M E N T S ! 4 7 6 7 9 4 6 9 . 3 < / d o c u m e n t i d >  
     < s e n d e r i d > B U S S I M < / s e n d e r i d >  
     < s e n d e r e m a i l > M I C H A E L . B U S S I N G @ A G S . G O V . A U < / s e n d e r e m a i l >  
     < l a s t m o d i f i e d > 2 0 2 3 - 0 4 - 2 8 T 1 8 : 5 4 : 0 0 . 0 0 0 0 0 0 0 + 1 0 : 0 0 < / l a s t m o d i f i e d >  
     < d a t a b a s e > D O C U M E N T S < / d a t a b a s e >  
 < / p r o p e r t i e s > 
</file>

<file path=customXml/itemProps1.xml><?xml version="1.0" encoding="utf-8"?>
<ds:datastoreItem xmlns:ds="http://schemas.openxmlformats.org/officeDocument/2006/customXml" ds:itemID="{C47F49F2-7A53-4120-AB4C-792FD325B4C2}">
  <ds:schemaRefs>
    <ds:schemaRef ds:uri="http://schemas.openxmlformats.org/officeDocument/2006/bibliography"/>
  </ds:schemaRefs>
</ds:datastoreItem>
</file>

<file path=customXml/itemProps2.xml><?xml version="1.0" encoding="utf-8"?>
<ds:datastoreItem xmlns:ds="http://schemas.openxmlformats.org/officeDocument/2006/customXml" ds:itemID="{017E5018-DCEC-4442-A290-31FE0B44E64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template_-_principal_instrument (6).dotx</Template>
  <TotalTime>2</TotalTime>
  <Pages>8</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Bussing, Michael</dc:creator>
  <cp:lastModifiedBy>Kwan, Kelvin</cp:lastModifiedBy>
  <cp:revision>7</cp:revision>
  <dcterms:created xsi:type="dcterms:W3CDTF">2023-04-28T08:52:00Z</dcterms:created>
  <dcterms:modified xsi:type="dcterms:W3CDTF">2023-05-05T05:30:00Z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ies>
</file>