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21" w14:textId="5A91CE9E" w:rsidR="00FA6784" w:rsidRPr="00A105D0" w:rsidRDefault="00FA6784" w:rsidP="00A105D0">
      <w:pPr>
        <w:pStyle w:val="H3"/>
        <w:jc w:val="center"/>
        <w:rPr>
          <w:sz w:val="24"/>
          <w:szCs w:val="24"/>
        </w:rPr>
      </w:pPr>
      <w:r w:rsidRPr="00A105D0">
        <w:rPr>
          <w:sz w:val="24"/>
          <w:szCs w:val="24"/>
        </w:rPr>
        <w:t>EXPLANATORY STATEMENT</w:t>
      </w:r>
    </w:p>
    <w:p w14:paraId="2412D122" w14:textId="77777777" w:rsidR="00FA6784" w:rsidRPr="00A105D0" w:rsidRDefault="00FA6784" w:rsidP="00A105D0">
      <w:pPr>
        <w:rPr>
          <w:i/>
          <w:iCs/>
          <w:sz w:val="20"/>
        </w:rPr>
      </w:pPr>
    </w:p>
    <w:p w14:paraId="2412D123" w14:textId="77777777" w:rsidR="00FA6784" w:rsidRPr="00A105D0" w:rsidRDefault="00FA6784" w:rsidP="00A105D0">
      <w:pPr>
        <w:jc w:val="center"/>
        <w:rPr>
          <w:i/>
          <w:iCs/>
        </w:rPr>
      </w:pPr>
      <w:r w:rsidRPr="00A105D0">
        <w:rPr>
          <w:i/>
          <w:iCs/>
        </w:rPr>
        <w:t>Health Insurance Act 1973</w:t>
      </w:r>
    </w:p>
    <w:p w14:paraId="6505B394" w14:textId="77777777" w:rsidR="00C64961" w:rsidRPr="00A105D0" w:rsidRDefault="00C64961" w:rsidP="00A105D0">
      <w:pPr>
        <w:ind w:right="84"/>
        <w:rPr>
          <w:i/>
          <w:iCs/>
          <w:szCs w:val="24"/>
          <w:u w:val="single"/>
        </w:rPr>
      </w:pPr>
      <w:bookmarkStart w:id="0" w:name="_Hlk129682362"/>
    </w:p>
    <w:p w14:paraId="2838A7B4" w14:textId="560D7FB3" w:rsidR="00FD602D" w:rsidRPr="00A105D0" w:rsidRDefault="00E024A7" w:rsidP="00A105D0">
      <w:pPr>
        <w:ind w:right="84"/>
        <w:jc w:val="center"/>
        <w:rPr>
          <w:i/>
          <w:iCs/>
          <w:szCs w:val="24"/>
        </w:rPr>
      </w:pPr>
      <w:bookmarkStart w:id="1" w:name="_Hlk129254981"/>
      <w:r w:rsidRPr="00A105D0">
        <w:rPr>
          <w:i/>
          <w:iCs/>
          <w:szCs w:val="24"/>
        </w:rPr>
        <w:t>Health Insurance Legislation Amendment (2023 Measures No. 1) Determination 2023</w:t>
      </w:r>
    </w:p>
    <w:bookmarkEnd w:id="0"/>
    <w:bookmarkEnd w:id="1"/>
    <w:p w14:paraId="052E97C1" w14:textId="77777777" w:rsidR="00164A69" w:rsidRPr="00A105D0" w:rsidRDefault="00164A69"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30CCE728" w14:textId="2F7BD863" w:rsidR="00164A69" w:rsidRPr="00A105D0" w:rsidRDefault="00164A69"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shd w:val="clear" w:color="auto" w:fill="FFFFFF"/>
        </w:rPr>
      </w:pPr>
      <w:r w:rsidRPr="00A105D0">
        <w:rPr>
          <w:color w:val="000000"/>
          <w:shd w:val="clear" w:color="auto" w:fill="FFFFFF"/>
        </w:rPr>
        <w:t>Subsection 3</w:t>
      </w:r>
      <w:proofErr w:type="gramStart"/>
      <w:r w:rsidRPr="00A105D0">
        <w:rPr>
          <w:color w:val="000000"/>
          <w:shd w:val="clear" w:color="auto" w:fill="FFFFFF"/>
        </w:rPr>
        <w:t>C(</w:t>
      </w:r>
      <w:proofErr w:type="gramEnd"/>
      <w:r w:rsidRPr="00A105D0">
        <w:rPr>
          <w:color w:val="000000"/>
          <w:shd w:val="clear" w:color="auto" w:fill="FFFFFF"/>
        </w:rPr>
        <w:t xml:space="preserve">1) of the </w:t>
      </w:r>
      <w:r w:rsidRPr="00A105D0">
        <w:rPr>
          <w:i/>
          <w:color w:val="000000"/>
          <w:shd w:val="clear" w:color="auto" w:fill="FFFFFF"/>
        </w:rPr>
        <w:t>Health Insurance Act 1973</w:t>
      </w:r>
      <w:r w:rsidRPr="00A105D0">
        <w:rPr>
          <w:color w:val="000000"/>
          <w:shd w:val="clear" w:color="auto" w:fill="FFFFFF"/>
        </w:rPr>
        <w:t xml:space="preserve"> (the Act) </w:t>
      </w:r>
      <w:r w:rsidR="00477C74" w:rsidRPr="00A105D0">
        <w:rPr>
          <w:color w:val="000000"/>
          <w:shd w:val="clear" w:color="auto" w:fill="FFFFFF"/>
        </w:rPr>
        <w:t>provide</w:t>
      </w:r>
      <w:r w:rsidR="002E5708" w:rsidRPr="00A105D0">
        <w:rPr>
          <w:color w:val="000000"/>
          <w:shd w:val="clear" w:color="auto" w:fill="FFFFFF"/>
        </w:rPr>
        <w:t>s</w:t>
      </w:r>
      <w:r w:rsidR="00477C74" w:rsidRPr="00A105D0">
        <w:rPr>
          <w:color w:val="000000"/>
          <w:shd w:val="clear" w:color="auto" w:fill="FFFFFF"/>
        </w:rPr>
        <w:t xml:space="preserve"> that</w:t>
      </w:r>
      <w:r w:rsidRPr="00A105D0">
        <w:rPr>
          <w:color w:val="000000"/>
          <w:shd w:val="clear" w:color="auto" w:fill="FFFFFF"/>
        </w:rPr>
        <w:t xml:space="preserve"> the Minister </w:t>
      </w:r>
      <w:r w:rsidR="00477C74" w:rsidRPr="00A105D0">
        <w:rPr>
          <w:color w:val="000000"/>
          <w:shd w:val="clear" w:color="auto" w:fill="FFFFFF"/>
        </w:rPr>
        <w:t>may</w:t>
      </w:r>
      <w:r w:rsidRPr="00A105D0">
        <w:rPr>
          <w:color w:val="000000"/>
          <w:shd w:val="clear" w:color="auto" w:fill="FFFFFF"/>
        </w:rPr>
        <w:t>, by legislative instrument, determine that a health service not specified in an item in the</w:t>
      </w:r>
      <w:r w:rsidR="00C64961" w:rsidRPr="00A105D0">
        <w:rPr>
          <w:color w:val="000000"/>
          <w:shd w:val="clear" w:color="auto" w:fill="FFFFFF"/>
        </w:rPr>
        <w:t xml:space="preserve"> general medical services table </w:t>
      </w:r>
      <w:r w:rsidR="00D01D5A" w:rsidRPr="00A105D0">
        <w:rPr>
          <w:color w:val="000000"/>
          <w:shd w:val="clear" w:color="auto" w:fill="FFFFFF"/>
        </w:rPr>
        <w:t xml:space="preserve">(the Table) </w:t>
      </w:r>
      <w:r w:rsidRPr="00A105D0">
        <w:rPr>
          <w:color w:val="000000"/>
          <w:shd w:val="clear" w:color="auto" w:fill="FFFFFF"/>
        </w:rPr>
        <w:t xml:space="preserve">shall, in specified circumstances and for specified statutory provisions, be treated as if it were specified in the </w:t>
      </w:r>
      <w:r w:rsidR="00D01D5A" w:rsidRPr="00A105D0">
        <w:rPr>
          <w:color w:val="000000"/>
          <w:shd w:val="clear" w:color="auto" w:fill="FFFFFF"/>
        </w:rPr>
        <w:t xml:space="preserve">Table. </w:t>
      </w:r>
      <w:r w:rsidRPr="00A105D0">
        <w:rPr>
          <w:color w:val="FF0000"/>
          <w:shd w:val="clear" w:color="auto" w:fill="FFFFFF"/>
        </w:rPr>
        <w:t xml:space="preserve">  </w:t>
      </w:r>
    </w:p>
    <w:p w14:paraId="7DB18649" w14:textId="77777777" w:rsidR="00841EDA" w:rsidRPr="00A105D0" w:rsidRDefault="00841EDA"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0CD04EE8" w14:textId="56F1CB28" w:rsidR="00050623" w:rsidRPr="00A105D0" w:rsidRDefault="00050623"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rPr>
      </w:pPr>
      <w:r w:rsidRPr="00A105D0">
        <w:t xml:space="preserve">The </w:t>
      </w:r>
      <w:r w:rsidR="00D01D5A" w:rsidRPr="00A105D0">
        <w:t>Table</w:t>
      </w:r>
      <w:r w:rsidRPr="00A105D0">
        <w:t xml:space="preserve"> is set out in the regulations made under subsection 4</w:t>
      </w:r>
      <w:r w:rsidR="00C64961" w:rsidRPr="00A105D0">
        <w:t>(1)</w:t>
      </w:r>
      <w:r w:rsidRPr="00A105D0">
        <w:t xml:space="preserve"> of the Act. The most recent version of the regulations is the </w:t>
      </w:r>
      <w:bookmarkStart w:id="2" w:name="_Hlk130200364"/>
      <w:r w:rsidR="00C64961" w:rsidRPr="00A105D0">
        <w:rPr>
          <w:i/>
          <w:iCs/>
        </w:rPr>
        <w:t>Health Insurance (General Medical Services Table) Regulations 2021</w:t>
      </w:r>
      <w:bookmarkEnd w:id="2"/>
      <w:r w:rsidR="006C0B0F" w:rsidRPr="00A105D0">
        <w:t xml:space="preserve"> (GMST)</w:t>
      </w:r>
      <w:r w:rsidR="00C64961" w:rsidRPr="00A105D0">
        <w:t>.</w:t>
      </w:r>
    </w:p>
    <w:p w14:paraId="2E6FE463" w14:textId="77777777" w:rsidR="00050623" w:rsidRPr="00A105D0" w:rsidRDefault="00050623"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15997618" w14:textId="77777777" w:rsidR="00050623" w:rsidRPr="00A105D0" w:rsidRDefault="00050623" w:rsidP="00A105D0">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A105D0">
        <w:t xml:space="preserve">This instrument relies on subsection 33(3) of the </w:t>
      </w:r>
      <w:r w:rsidRPr="00A105D0">
        <w:rPr>
          <w:i/>
        </w:rPr>
        <w:t>Acts Interpretation Act 1901</w:t>
      </w:r>
      <w:r w:rsidRPr="00A105D0">
        <w:t xml:space="preserve"> (AIA).  Subsection 33(3) of the AIA</w:t>
      </w:r>
      <w:r w:rsidRPr="00A105D0">
        <w:rPr>
          <w:i/>
        </w:rPr>
        <w:t xml:space="preserve"> </w:t>
      </w:r>
      <w:r w:rsidRPr="00A105D0">
        <w:t xml:space="preserve">provides that where an Act confers a power to make, grant or issue any instrument of a legislative or administrative character (including rules, </w:t>
      </w:r>
      <w:proofErr w:type="gramStart"/>
      <w:r w:rsidRPr="00A105D0">
        <w:t>regulations</w:t>
      </w:r>
      <w:proofErr w:type="gramEnd"/>
      <w:r w:rsidRPr="00A105D0">
        <w:t xml:space="preserve"> or by-laws), the power shall be construed as including a power exercisable in the like manner and subject to the like conditions (if any) to repeal, rescind, revoke, amend, or vary any such instrument.</w:t>
      </w:r>
    </w:p>
    <w:p w14:paraId="2412D129" w14:textId="2D4AC742" w:rsidR="008C5F1C" w:rsidRPr="00A105D0" w:rsidRDefault="008C5F1C" w:rsidP="00A105D0">
      <w:pPr>
        <w:autoSpaceDE w:val="0"/>
        <w:autoSpaceDN w:val="0"/>
        <w:adjustRightInd w:val="0"/>
        <w:ind w:right="-483"/>
        <w:rPr>
          <w:szCs w:val="24"/>
        </w:rPr>
      </w:pPr>
    </w:p>
    <w:p w14:paraId="2412D12A" w14:textId="77777777" w:rsidR="00BB00BA" w:rsidRPr="00A105D0" w:rsidRDefault="00A1739A" w:rsidP="00A105D0">
      <w:pPr>
        <w:rPr>
          <w:b/>
          <w:szCs w:val="24"/>
          <w:lang w:val="en-US" w:eastAsia="en-US"/>
        </w:rPr>
      </w:pPr>
      <w:r w:rsidRPr="00A105D0">
        <w:rPr>
          <w:b/>
          <w:szCs w:val="24"/>
          <w:lang w:val="en-US" w:eastAsia="en-US"/>
        </w:rPr>
        <w:t>Purpose</w:t>
      </w:r>
    </w:p>
    <w:p w14:paraId="19E6E4D3" w14:textId="150BA276" w:rsidR="00A5636A" w:rsidRPr="00A105D0" w:rsidRDefault="00C64961" w:rsidP="00A105D0">
      <w:pPr>
        <w:ind w:right="-483"/>
        <w:rPr>
          <w:szCs w:val="24"/>
        </w:rPr>
      </w:pPr>
      <w:bookmarkStart w:id="3" w:name="_Hlk131501145"/>
      <w:r w:rsidRPr="00A105D0">
        <w:rPr>
          <w:szCs w:val="24"/>
        </w:rPr>
        <w:t>The p</w:t>
      </w:r>
      <w:r w:rsidR="00A11FB6" w:rsidRPr="00A105D0">
        <w:rPr>
          <w:szCs w:val="24"/>
        </w:rPr>
        <w:t xml:space="preserve">urpose of the </w:t>
      </w:r>
      <w:r w:rsidR="00A11FB6" w:rsidRPr="00A105D0">
        <w:rPr>
          <w:i/>
          <w:iCs/>
          <w:szCs w:val="24"/>
        </w:rPr>
        <w:t>Health Insurance Legislation Amendment (2023 Measures No. 1) Determination 2023</w:t>
      </w:r>
      <w:r w:rsidR="00A11FB6" w:rsidRPr="00A105D0">
        <w:rPr>
          <w:szCs w:val="24"/>
        </w:rPr>
        <w:t xml:space="preserve"> </w:t>
      </w:r>
      <w:r w:rsidR="0086282E" w:rsidRPr="00A105D0">
        <w:rPr>
          <w:szCs w:val="24"/>
        </w:rPr>
        <w:t xml:space="preserve">(the Amendment Determination) </w:t>
      </w:r>
      <w:r w:rsidR="00A11FB6" w:rsidRPr="00A105D0">
        <w:rPr>
          <w:szCs w:val="24"/>
        </w:rPr>
        <w:t>is to</w:t>
      </w:r>
      <w:r w:rsidR="005D7544" w:rsidRPr="00A105D0">
        <w:rPr>
          <w:szCs w:val="24"/>
        </w:rPr>
        <w:t xml:space="preserve"> make administrative and machinery amendments from 1 July 2023 to</w:t>
      </w:r>
      <w:r w:rsidR="00A11FB6" w:rsidRPr="00A105D0">
        <w:rPr>
          <w:szCs w:val="24"/>
        </w:rPr>
        <w:t>:</w:t>
      </w:r>
    </w:p>
    <w:p w14:paraId="656F91D1" w14:textId="7F8D0F34" w:rsidR="005D7544" w:rsidRPr="00A105D0" w:rsidRDefault="005D7544" w:rsidP="00A105D0">
      <w:pPr>
        <w:pStyle w:val="ListParagraph"/>
        <w:numPr>
          <w:ilvl w:val="0"/>
          <w:numId w:val="33"/>
        </w:numPr>
        <w:ind w:right="-483"/>
        <w:rPr>
          <w:szCs w:val="24"/>
        </w:rPr>
      </w:pPr>
      <w:bookmarkStart w:id="4" w:name="_Hlk129765857"/>
      <w:r w:rsidRPr="00A105D0">
        <w:rPr>
          <w:szCs w:val="24"/>
        </w:rPr>
        <w:t xml:space="preserve">the </w:t>
      </w:r>
      <w:r w:rsidRPr="00A105D0">
        <w:rPr>
          <w:i/>
          <w:iCs/>
          <w:szCs w:val="24"/>
        </w:rPr>
        <w:t>Health Insurance (Section 3C General Medical Services – Telehealth and Telephone Attendances) Determination 2021</w:t>
      </w:r>
      <w:r w:rsidRPr="00A105D0">
        <w:rPr>
          <w:szCs w:val="24"/>
        </w:rPr>
        <w:t xml:space="preserve"> (Telehealth Determination</w:t>
      </w:r>
      <w:proofErr w:type="gramStart"/>
      <w:r w:rsidRPr="00A105D0">
        <w:rPr>
          <w:szCs w:val="24"/>
        </w:rPr>
        <w:t>);</w:t>
      </w:r>
      <w:proofErr w:type="gramEnd"/>
    </w:p>
    <w:p w14:paraId="45021629" w14:textId="47757B6F" w:rsidR="005D7544" w:rsidRPr="00A105D0" w:rsidRDefault="005D7544" w:rsidP="00A105D0">
      <w:pPr>
        <w:pStyle w:val="ListParagraph"/>
        <w:numPr>
          <w:ilvl w:val="0"/>
          <w:numId w:val="33"/>
        </w:numPr>
        <w:ind w:right="-483"/>
        <w:rPr>
          <w:szCs w:val="24"/>
        </w:rPr>
      </w:pPr>
      <w:r w:rsidRPr="00A105D0">
        <w:rPr>
          <w:szCs w:val="24"/>
        </w:rPr>
        <w:t xml:space="preserve">the </w:t>
      </w:r>
      <w:r w:rsidRPr="00A105D0">
        <w:rPr>
          <w:i/>
          <w:iCs/>
          <w:szCs w:val="24"/>
        </w:rPr>
        <w:t>Health Insurance (Section 3C General Medical Services – Other Medical Practitioner) Determination 2018</w:t>
      </w:r>
      <w:r w:rsidRPr="00A105D0">
        <w:rPr>
          <w:szCs w:val="24"/>
        </w:rPr>
        <w:t xml:space="preserve"> (Other Medical Practitioner Determination); and</w:t>
      </w:r>
    </w:p>
    <w:p w14:paraId="69A86EA8" w14:textId="010D3775" w:rsidR="005D7544" w:rsidRPr="00A105D0" w:rsidRDefault="005D7544" w:rsidP="00A105D0">
      <w:pPr>
        <w:pStyle w:val="ListParagraph"/>
        <w:numPr>
          <w:ilvl w:val="0"/>
          <w:numId w:val="33"/>
        </w:numPr>
        <w:ind w:right="-483"/>
        <w:rPr>
          <w:szCs w:val="24"/>
        </w:rPr>
      </w:pPr>
      <w:r w:rsidRPr="00A105D0">
        <w:rPr>
          <w:i/>
          <w:iCs/>
          <w:szCs w:val="24"/>
        </w:rPr>
        <w:t>Health Insurance (Section 3C General Medical Services ‑ Optometric Services) Determination 2020</w:t>
      </w:r>
      <w:r w:rsidRPr="00A105D0">
        <w:rPr>
          <w:szCs w:val="24"/>
        </w:rPr>
        <w:t xml:space="preserve"> (Optometric Services Determination).</w:t>
      </w:r>
    </w:p>
    <w:p w14:paraId="0D7B48EC" w14:textId="5FA6F8FF" w:rsidR="005D7544" w:rsidRPr="00A105D0" w:rsidRDefault="005D7544" w:rsidP="00A105D0">
      <w:pPr>
        <w:ind w:right="-483"/>
        <w:rPr>
          <w:szCs w:val="24"/>
        </w:rPr>
      </w:pPr>
    </w:p>
    <w:p w14:paraId="7B30D91C" w14:textId="7853BAD2" w:rsidR="00CF5672" w:rsidRPr="00A105D0" w:rsidRDefault="005D7544" w:rsidP="00A105D0">
      <w:pPr>
        <w:ind w:right="-483"/>
        <w:rPr>
          <w:szCs w:val="24"/>
        </w:rPr>
      </w:pPr>
      <w:r w:rsidRPr="00A105D0">
        <w:rPr>
          <w:szCs w:val="24"/>
        </w:rPr>
        <w:t>The changes to the Telehealth Determination include amending the name of subgroup 16 of</w:t>
      </w:r>
      <w:r w:rsidR="008944EE" w:rsidRPr="00A105D0">
        <w:rPr>
          <w:szCs w:val="24"/>
        </w:rPr>
        <w:t xml:space="preserve"> Group M18 </w:t>
      </w:r>
      <w:r w:rsidRPr="00A105D0">
        <w:rPr>
          <w:szCs w:val="24"/>
        </w:rPr>
        <w:t>to align with changes introduced on 1 March 2023</w:t>
      </w:r>
      <w:r w:rsidR="00CF5672" w:rsidRPr="00A105D0">
        <w:rPr>
          <w:szCs w:val="24"/>
        </w:rPr>
        <w:t xml:space="preserve"> by</w:t>
      </w:r>
      <w:r w:rsidR="00CF163A" w:rsidRPr="00A105D0">
        <w:rPr>
          <w:szCs w:val="24"/>
        </w:rPr>
        <w:t xml:space="preserve"> the </w:t>
      </w:r>
      <w:r w:rsidR="0088144D" w:rsidRPr="00A105D0">
        <w:rPr>
          <w:i/>
          <w:iCs/>
          <w:szCs w:val="24"/>
        </w:rPr>
        <w:t>Health Insurance Legislation Amendment (2022 Measures No. 4) Regulations 2022</w:t>
      </w:r>
      <w:r w:rsidR="0088144D" w:rsidRPr="00A105D0">
        <w:rPr>
          <w:szCs w:val="24"/>
        </w:rPr>
        <w:t>.</w:t>
      </w:r>
      <w:r w:rsidR="00CF5672" w:rsidRPr="00A105D0">
        <w:rPr>
          <w:szCs w:val="24"/>
        </w:rPr>
        <w:t xml:space="preserve"> The Amendment Determination will also repeal Schedules 6 to 8 of the Telehealth Determination, which ceased on 30 June 2022.</w:t>
      </w:r>
    </w:p>
    <w:p w14:paraId="2A8D0B48" w14:textId="77777777" w:rsidR="00CF5672" w:rsidRPr="00A105D0" w:rsidRDefault="00CF5672" w:rsidP="00A105D0">
      <w:pPr>
        <w:ind w:right="-483"/>
        <w:rPr>
          <w:szCs w:val="24"/>
        </w:rPr>
      </w:pPr>
    </w:p>
    <w:p w14:paraId="23AB2D0C" w14:textId="5F9FEFE5" w:rsidR="005D7544" w:rsidRPr="00A105D0" w:rsidRDefault="00CF5672" w:rsidP="00A105D0">
      <w:pPr>
        <w:ind w:right="-483"/>
        <w:rPr>
          <w:szCs w:val="24"/>
        </w:rPr>
      </w:pPr>
      <w:r w:rsidRPr="00A105D0">
        <w:rPr>
          <w:szCs w:val="24"/>
        </w:rPr>
        <w:t xml:space="preserve">The Amendment Determination will amend clause 1.1.05 of the Telehealth Determination and clause 1.6.2 of the Other Medical Practitioner Determination </w:t>
      </w:r>
      <w:bookmarkStart w:id="5" w:name="_Hlk131152111"/>
      <w:bookmarkStart w:id="6" w:name="_Hlk131085040"/>
      <w:r w:rsidRPr="00A105D0">
        <w:rPr>
          <w:szCs w:val="24"/>
        </w:rPr>
        <w:t>to ensure items listed in these clauses align with clause 2.16.11</w:t>
      </w:r>
      <w:r w:rsidR="0039405E" w:rsidRPr="00A105D0">
        <w:rPr>
          <w:szCs w:val="24"/>
        </w:rPr>
        <w:t xml:space="preserve"> of</w:t>
      </w:r>
      <w:r w:rsidRPr="00A105D0">
        <w:rPr>
          <w:szCs w:val="24"/>
        </w:rPr>
        <w:t xml:space="preserve"> the GMST</w:t>
      </w:r>
      <w:bookmarkEnd w:id="5"/>
      <w:r w:rsidRPr="00A105D0">
        <w:rPr>
          <w:szCs w:val="24"/>
        </w:rPr>
        <w:t xml:space="preserve">, which was amended on </w:t>
      </w:r>
      <w:r w:rsidR="00E7258D" w:rsidRPr="00A105D0">
        <w:rPr>
          <w:szCs w:val="24"/>
        </w:rPr>
        <w:br/>
      </w:r>
      <w:r w:rsidRPr="00A105D0">
        <w:rPr>
          <w:szCs w:val="24"/>
        </w:rPr>
        <w:t xml:space="preserve">1 March 2023 by </w:t>
      </w:r>
      <w:r w:rsidR="008944EE" w:rsidRPr="00A105D0">
        <w:rPr>
          <w:szCs w:val="24"/>
        </w:rPr>
        <w:t xml:space="preserve">the </w:t>
      </w:r>
      <w:bookmarkStart w:id="7" w:name="_Hlk131086006"/>
      <w:r w:rsidR="008944EE" w:rsidRPr="00A105D0">
        <w:rPr>
          <w:i/>
          <w:iCs/>
          <w:szCs w:val="24"/>
        </w:rPr>
        <w:t xml:space="preserve">Health Insurance Legislation Amendment (2022 Measures No. 4) Regulations </w:t>
      </w:r>
      <w:r w:rsidR="00CF163A" w:rsidRPr="00A105D0">
        <w:rPr>
          <w:i/>
          <w:iCs/>
          <w:szCs w:val="24"/>
        </w:rPr>
        <w:t>2022</w:t>
      </w:r>
      <w:bookmarkEnd w:id="7"/>
      <w:r w:rsidR="00CF163A" w:rsidRPr="00A105D0" w:rsidDel="008944EE">
        <w:rPr>
          <w:szCs w:val="24"/>
        </w:rPr>
        <w:t>.</w:t>
      </w:r>
    </w:p>
    <w:bookmarkEnd w:id="6"/>
    <w:p w14:paraId="373E1719" w14:textId="126C3554" w:rsidR="00CF5672" w:rsidRPr="00A105D0" w:rsidRDefault="00CF5672" w:rsidP="00A105D0">
      <w:pPr>
        <w:ind w:right="-483"/>
        <w:rPr>
          <w:szCs w:val="24"/>
        </w:rPr>
      </w:pPr>
    </w:p>
    <w:p w14:paraId="5C4693AF" w14:textId="5998D0E4" w:rsidR="00CF163A" w:rsidRPr="00A105D0" w:rsidRDefault="00CF163A" w:rsidP="00A105D0">
      <w:pPr>
        <w:ind w:right="-483"/>
        <w:rPr>
          <w:szCs w:val="24"/>
        </w:rPr>
      </w:pPr>
    </w:p>
    <w:p w14:paraId="5692AE5E" w14:textId="77777777" w:rsidR="0088144D" w:rsidRPr="00A105D0" w:rsidRDefault="0088144D" w:rsidP="00A105D0">
      <w:pPr>
        <w:ind w:right="-483"/>
        <w:rPr>
          <w:szCs w:val="24"/>
        </w:rPr>
      </w:pPr>
    </w:p>
    <w:p w14:paraId="7F2773AE" w14:textId="77777777" w:rsidR="00AC0693" w:rsidRPr="00A105D0" w:rsidRDefault="00AC0693" w:rsidP="00A105D0">
      <w:pPr>
        <w:ind w:right="-483"/>
        <w:rPr>
          <w:szCs w:val="24"/>
        </w:rPr>
      </w:pPr>
      <w:r w:rsidRPr="00A105D0">
        <w:rPr>
          <w:szCs w:val="24"/>
        </w:rPr>
        <w:lastRenderedPageBreak/>
        <w:t>The Amendment Determination will also make the following minor administrative amendments:</w:t>
      </w:r>
    </w:p>
    <w:p w14:paraId="278DC73C" w14:textId="77777777" w:rsidR="00AC0693" w:rsidRPr="00A105D0" w:rsidRDefault="00AC0693" w:rsidP="00A105D0">
      <w:pPr>
        <w:numPr>
          <w:ilvl w:val="0"/>
          <w:numId w:val="33"/>
        </w:numPr>
        <w:ind w:right="-483"/>
        <w:contextualSpacing/>
        <w:rPr>
          <w:color w:val="FF0000"/>
          <w:szCs w:val="24"/>
        </w:rPr>
      </w:pPr>
      <w:r w:rsidRPr="00A105D0">
        <w:rPr>
          <w:szCs w:val="24"/>
        </w:rPr>
        <w:t xml:space="preserve">repeal the definitions of </w:t>
      </w:r>
      <w:r w:rsidRPr="00A105D0">
        <w:rPr>
          <w:b/>
          <w:bCs/>
          <w:i/>
          <w:iCs/>
          <w:szCs w:val="24"/>
        </w:rPr>
        <w:t>admitting dental practitioner</w:t>
      </w:r>
      <w:r w:rsidRPr="00A105D0">
        <w:rPr>
          <w:szCs w:val="24"/>
        </w:rPr>
        <w:t xml:space="preserve"> and </w:t>
      </w:r>
      <w:r w:rsidRPr="00A105D0">
        <w:rPr>
          <w:b/>
          <w:bCs/>
          <w:i/>
          <w:iCs/>
          <w:szCs w:val="24"/>
        </w:rPr>
        <w:t>admitting medical practitioner</w:t>
      </w:r>
      <w:r w:rsidRPr="00A105D0">
        <w:rPr>
          <w:szCs w:val="24"/>
        </w:rPr>
        <w:t xml:space="preserve"> from the Telehealth Determination as these terms are only relevant to Schedule 6, which ceased on 30 June </w:t>
      </w:r>
      <w:proofErr w:type="gramStart"/>
      <w:r w:rsidRPr="00A105D0">
        <w:rPr>
          <w:szCs w:val="24"/>
        </w:rPr>
        <w:t>2022;</w:t>
      </w:r>
      <w:proofErr w:type="gramEnd"/>
      <w:r w:rsidRPr="00A105D0">
        <w:rPr>
          <w:szCs w:val="24"/>
        </w:rPr>
        <w:t xml:space="preserve"> </w:t>
      </w:r>
    </w:p>
    <w:p w14:paraId="0521075E" w14:textId="77777777" w:rsidR="00AC0693" w:rsidRPr="00A105D0" w:rsidRDefault="00AC0693" w:rsidP="00A105D0">
      <w:pPr>
        <w:numPr>
          <w:ilvl w:val="0"/>
          <w:numId w:val="33"/>
        </w:numPr>
        <w:ind w:right="-483"/>
        <w:contextualSpacing/>
        <w:rPr>
          <w:color w:val="FF0000"/>
          <w:szCs w:val="24"/>
        </w:rPr>
      </w:pPr>
      <w:r w:rsidRPr="00A105D0">
        <w:rPr>
          <w:szCs w:val="24"/>
        </w:rPr>
        <w:t xml:space="preserve">update the definition of </w:t>
      </w:r>
      <w:r w:rsidRPr="00A105D0">
        <w:rPr>
          <w:b/>
          <w:bCs/>
          <w:i/>
          <w:iCs/>
          <w:szCs w:val="24"/>
        </w:rPr>
        <w:t>COVID-19 Determination</w:t>
      </w:r>
      <w:r w:rsidRPr="00A105D0">
        <w:rPr>
          <w:szCs w:val="24"/>
        </w:rPr>
        <w:t xml:space="preserve"> in the Other Medical Practitioner Determination to refer to the revised determination name; and</w:t>
      </w:r>
    </w:p>
    <w:p w14:paraId="3BF74AFE" w14:textId="1DA8589A" w:rsidR="000869CC" w:rsidRPr="00A105D0" w:rsidRDefault="008F48F7" w:rsidP="00A105D0">
      <w:pPr>
        <w:pStyle w:val="ListParagraph"/>
        <w:numPr>
          <w:ilvl w:val="0"/>
          <w:numId w:val="33"/>
        </w:numPr>
        <w:ind w:right="-483"/>
        <w:rPr>
          <w:color w:val="FF0000"/>
          <w:szCs w:val="24"/>
        </w:rPr>
      </w:pPr>
      <w:r w:rsidRPr="00A105D0">
        <w:rPr>
          <w:szCs w:val="24"/>
        </w:rPr>
        <w:t xml:space="preserve">repeal the definition of </w:t>
      </w:r>
      <w:r w:rsidRPr="00A105D0">
        <w:rPr>
          <w:b/>
          <w:bCs/>
          <w:i/>
          <w:iCs/>
          <w:szCs w:val="24"/>
        </w:rPr>
        <w:t>institution</w:t>
      </w:r>
      <w:r w:rsidRPr="00A105D0">
        <w:rPr>
          <w:szCs w:val="24"/>
        </w:rPr>
        <w:t xml:space="preserve"> in the </w:t>
      </w:r>
      <w:bookmarkStart w:id="8" w:name="_Hlk129331661"/>
      <w:bookmarkStart w:id="9" w:name="_Hlk129681521"/>
      <w:r w:rsidRPr="00A105D0">
        <w:rPr>
          <w:szCs w:val="24"/>
        </w:rPr>
        <w:t>Optometric</w:t>
      </w:r>
      <w:bookmarkEnd w:id="8"/>
      <w:r w:rsidRPr="00A105D0">
        <w:rPr>
          <w:szCs w:val="24"/>
        </w:rPr>
        <w:t xml:space="preserve"> Services Determination</w:t>
      </w:r>
      <w:bookmarkEnd w:id="9"/>
      <w:r w:rsidRPr="00A105D0">
        <w:rPr>
          <w:szCs w:val="24"/>
        </w:rPr>
        <w:t xml:space="preserve"> as the definition refers to the meaning of institution in the GMST, which does not define this term.</w:t>
      </w:r>
      <w:bookmarkEnd w:id="4"/>
    </w:p>
    <w:bookmarkEnd w:id="3"/>
    <w:p w14:paraId="2412D131" w14:textId="27EF2D7D" w:rsidR="001865F8" w:rsidRPr="00A105D0" w:rsidRDefault="00A1739A" w:rsidP="00A105D0">
      <w:pPr>
        <w:spacing w:before="100" w:beforeAutospacing="1"/>
        <w:rPr>
          <w:rFonts w:ascii="Helvetica Neue" w:hAnsi="Helvetica Neue"/>
          <w:szCs w:val="24"/>
          <w:lang w:val="en-US"/>
        </w:rPr>
      </w:pPr>
      <w:r w:rsidRPr="00A105D0">
        <w:rPr>
          <w:b/>
        </w:rPr>
        <w:t>Consultation</w:t>
      </w:r>
    </w:p>
    <w:p w14:paraId="6183ED96" w14:textId="7DB99394" w:rsidR="001643F9" w:rsidRPr="00A105D0" w:rsidRDefault="001643F9" w:rsidP="00A105D0">
      <w:pPr>
        <w:rPr>
          <w:color w:val="FF0000"/>
          <w:szCs w:val="24"/>
        </w:rPr>
      </w:pPr>
      <w:r w:rsidRPr="00A105D0">
        <w:rPr>
          <w:szCs w:val="24"/>
        </w:rPr>
        <w:t>No consultation was undertaken for the changes in the Amendment Determination as they are administrative in nature.</w:t>
      </w:r>
    </w:p>
    <w:p w14:paraId="7CF5AF51" w14:textId="77777777" w:rsidR="0088144D" w:rsidRPr="00A105D0" w:rsidRDefault="0088144D" w:rsidP="00A105D0">
      <w:pPr>
        <w:rPr>
          <w:szCs w:val="24"/>
        </w:rPr>
      </w:pPr>
    </w:p>
    <w:p w14:paraId="5BCAB754" w14:textId="6042C7BE" w:rsidR="0086282E" w:rsidRPr="00A105D0" w:rsidRDefault="00A1739A" w:rsidP="00A105D0">
      <w:pPr>
        <w:rPr>
          <w:szCs w:val="24"/>
        </w:rPr>
      </w:pPr>
      <w:r w:rsidRPr="00A105D0">
        <w:rPr>
          <w:szCs w:val="24"/>
        </w:rPr>
        <w:t>Details of the</w:t>
      </w:r>
      <w:r w:rsidR="001643F9" w:rsidRPr="00A105D0">
        <w:rPr>
          <w:szCs w:val="24"/>
        </w:rPr>
        <w:t xml:space="preserve"> Amendment</w:t>
      </w:r>
      <w:r w:rsidRPr="00A105D0">
        <w:rPr>
          <w:szCs w:val="24"/>
        </w:rPr>
        <w:t xml:space="preserve"> </w:t>
      </w:r>
      <w:r w:rsidR="00574E71" w:rsidRPr="00A105D0">
        <w:rPr>
          <w:szCs w:val="24"/>
        </w:rPr>
        <w:t>Determination</w:t>
      </w:r>
      <w:r w:rsidRPr="00A105D0">
        <w:rPr>
          <w:szCs w:val="24"/>
        </w:rPr>
        <w:t xml:space="preserve"> are set out in the </w:t>
      </w:r>
      <w:r w:rsidRPr="00A105D0">
        <w:rPr>
          <w:szCs w:val="24"/>
          <w:u w:val="single"/>
        </w:rPr>
        <w:t>Attachment</w:t>
      </w:r>
      <w:r w:rsidRPr="00A105D0">
        <w:rPr>
          <w:szCs w:val="24"/>
        </w:rPr>
        <w:t>.</w:t>
      </w:r>
    </w:p>
    <w:p w14:paraId="6CBACDE9" w14:textId="77777777" w:rsidR="0086282E" w:rsidRPr="00A105D0" w:rsidRDefault="0086282E" w:rsidP="00A105D0">
      <w:pPr>
        <w:rPr>
          <w:szCs w:val="24"/>
        </w:rPr>
      </w:pPr>
    </w:p>
    <w:p w14:paraId="7D81FC22" w14:textId="1A2C2C7A" w:rsidR="0086282E" w:rsidRPr="00A105D0" w:rsidRDefault="00297AD0" w:rsidP="00A105D0">
      <w:pPr>
        <w:rPr>
          <w:szCs w:val="24"/>
        </w:rPr>
      </w:pPr>
      <w:r w:rsidRPr="00A105D0">
        <w:rPr>
          <w:szCs w:val="24"/>
        </w:rPr>
        <w:t>The</w:t>
      </w:r>
      <w:r w:rsidR="001643F9" w:rsidRPr="00A105D0">
        <w:rPr>
          <w:szCs w:val="24"/>
        </w:rPr>
        <w:t xml:space="preserve"> Amendment</w:t>
      </w:r>
      <w:r w:rsidRPr="00A105D0">
        <w:rPr>
          <w:szCs w:val="24"/>
        </w:rPr>
        <w:t xml:space="preserve"> </w:t>
      </w:r>
      <w:r w:rsidR="00967E51" w:rsidRPr="00A105D0">
        <w:rPr>
          <w:szCs w:val="24"/>
        </w:rPr>
        <w:t>Determination</w:t>
      </w:r>
      <w:r w:rsidRPr="00A105D0">
        <w:rPr>
          <w:szCs w:val="24"/>
        </w:rPr>
        <w:t xml:space="preserve"> </w:t>
      </w:r>
      <w:r w:rsidR="007524B0" w:rsidRPr="00A105D0">
        <w:rPr>
          <w:szCs w:val="24"/>
        </w:rPr>
        <w:t xml:space="preserve">commences </w:t>
      </w:r>
      <w:r w:rsidR="00C63FDC" w:rsidRPr="00A105D0">
        <w:rPr>
          <w:szCs w:val="24"/>
        </w:rPr>
        <w:t xml:space="preserve">on </w:t>
      </w:r>
      <w:r w:rsidR="001643F9" w:rsidRPr="00A105D0">
        <w:rPr>
          <w:szCs w:val="24"/>
        </w:rPr>
        <w:t>1 July 2023.</w:t>
      </w:r>
    </w:p>
    <w:p w14:paraId="4F44BC65" w14:textId="77777777" w:rsidR="0086282E" w:rsidRPr="00A105D0" w:rsidRDefault="0086282E" w:rsidP="00A105D0">
      <w:pPr>
        <w:rPr>
          <w:szCs w:val="24"/>
        </w:rPr>
      </w:pPr>
    </w:p>
    <w:p w14:paraId="2412D138" w14:textId="5A0C451A" w:rsidR="00574E71" w:rsidRPr="00A105D0" w:rsidRDefault="0002728B" w:rsidP="00A105D0">
      <w:pPr>
        <w:rPr>
          <w:szCs w:val="24"/>
        </w:rPr>
      </w:pPr>
      <w:r w:rsidRPr="00A105D0">
        <w:rPr>
          <w:szCs w:val="24"/>
        </w:rPr>
        <w:t>T</w:t>
      </w:r>
      <w:r w:rsidR="00574E71" w:rsidRPr="00A105D0">
        <w:rPr>
          <w:szCs w:val="24"/>
        </w:rPr>
        <w:t xml:space="preserve">he </w:t>
      </w:r>
      <w:r w:rsidR="00E7258D" w:rsidRPr="00A105D0">
        <w:rPr>
          <w:szCs w:val="24"/>
        </w:rPr>
        <w:t xml:space="preserve">Amendment </w:t>
      </w:r>
      <w:r w:rsidR="00574E71" w:rsidRPr="00A105D0">
        <w:rPr>
          <w:szCs w:val="24"/>
        </w:rPr>
        <w:t xml:space="preserve">Determination is </w:t>
      </w:r>
      <w:r w:rsidR="004417A2" w:rsidRPr="00A105D0">
        <w:rPr>
          <w:szCs w:val="24"/>
        </w:rPr>
        <w:t xml:space="preserve">a </w:t>
      </w:r>
      <w:r w:rsidR="00574E71" w:rsidRPr="00A105D0">
        <w:rPr>
          <w:szCs w:val="24"/>
        </w:rPr>
        <w:t xml:space="preserve">legislative instrument for the purposes of the </w:t>
      </w:r>
      <w:r w:rsidR="00574E71" w:rsidRPr="00A105D0">
        <w:rPr>
          <w:i/>
        </w:rPr>
        <w:t>Legislation Act 2003</w:t>
      </w:r>
      <w:r w:rsidR="00574E71" w:rsidRPr="00A105D0">
        <w:rPr>
          <w:szCs w:val="24"/>
        </w:rPr>
        <w:t>.</w:t>
      </w:r>
    </w:p>
    <w:p w14:paraId="627F3848" w14:textId="77777777" w:rsidR="0039405E" w:rsidRPr="00A105D0" w:rsidRDefault="0039405E" w:rsidP="00A105D0">
      <w:pPr>
        <w:ind w:left="6663" w:hanging="3119"/>
        <w:rPr>
          <w:szCs w:val="24"/>
        </w:rPr>
      </w:pPr>
    </w:p>
    <w:p w14:paraId="2412D139" w14:textId="4F93570C" w:rsidR="00A1739A" w:rsidRPr="00A105D0" w:rsidRDefault="00A1739A" w:rsidP="00A105D0">
      <w:pPr>
        <w:ind w:left="6663" w:hanging="3119"/>
        <w:rPr>
          <w:szCs w:val="24"/>
        </w:rPr>
      </w:pPr>
      <w:r w:rsidRPr="00A105D0">
        <w:rPr>
          <w:szCs w:val="24"/>
        </w:rPr>
        <w:t xml:space="preserve">           </w:t>
      </w:r>
    </w:p>
    <w:p w14:paraId="2412D13A" w14:textId="77777777" w:rsidR="00A1739A" w:rsidRPr="00A105D0" w:rsidRDefault="00A1739A" w:rsidP="00A105D0">
      <w:pPr>
        <w:ind w:left="6663" w:hanging="3119"/>
        <w:rPr>
          <w:szCs w:val="24"/>
        </w:rPr>
      </w:pPr>
      <w:r w:rsidRPr="00A105D0">
        <w:rPr>
          <w:szCs w:val="24"/>
          <w:u w:val="single"/>
        </w:rPr>
        <w:t>Authority</w:t>
      </w:r>
      <w:r w:rsidR="00967E51" w:rsidRPr="00A105D0">
        <w:rPr>
          <w:szCs w:val="24"/>
        </w:rPr>
        <w:t xml:space="preserve">:     Subsection </w:t>
      </w:r>
      <w:r w:rsidRPr="00A105D0">
        <w:rPr>
          <w:szCs w:val="24"/>
        </w:rPr>
        <w:t>3</w:t>
      </w:r>
      <w:proofErr w:type="gramStart"/>
      <w:r w:rsidR="00967E51" w:rsidRPr="00A105D0">
        <w:rPr>
          <w:szCs w:val="24"/>
        </w:rPr>
        <w:t>C</w:t>
      </w:r>
      <w:r w:rsidRPr="00A105D0">
        <w:rPr>
          <w:szCs w:val="24"/>
        </w:rPr>
        <w:t>(</w:t>
      </w:r>
      <w:proofErr w:type="gramEnd"/>
      <w:r w:rsidRPr="00A105D0">
        <w:rPr>
          <w:szCs w:val="24"/>
        </w:rPr>
        <w:t xml:space="preserve">1) of the </w:t>
      </w:r>
    </w:p>
    <w:p w14:paraId="2412D13B" w14:textId="0596CD30" w:rsidR="00A1739A" w:rsidRPr="00A105D0" w:rsidRDefault="00A1739A" w:rsidP="00A105D0">
      <w:pPr>
        <w:tabs>
          <w:tab w:val="left" w:pos="4820"/>
        </w:tabs>
        <w:rPr>
          <w:szCs w:val="24"/>
        </w:rPr>
        <w:sectPr w:rsidR="00A1739A" w:rsidRPr="00A105D0" w:rsidSect="00235B6C">
          <w:headerReference w:type="default" r:id="rId11"/>
          <w:pgSz w:w="11906" w:h="16838"/>
          <w:pgMar w:top="1440" w:right="1800" w:bottom="1135" w:left="1800" w:header="708" w:footer="708" w:gutter="0"/>
          <w:pgNumType w:start="1"/>
          <w:cols w:space="708"/>
          <w:docGrid w:linePitch="360"/>
        </w:sectPr>
      </w:pPr>
      <w:r w:rsidRPr="00A105D0">
        <w:rPr>
          <w:i/>
          <w:szCs w:val="24"/>
        </w:rPr>
        <w:tab/>
        <w:t>Health Insurance Act 1973</w:t>
      </w:r>
    </w:p>
    <w:p w14:paraId="2412D13D" w14:textId="77777777" w:rsidR="006D5816" w:rsidRPr="00A105D0" w:rsidRDefault="006D5816" w:rsidP="00A105D0">
      <w:pPr>
        <w:pStyle w:val="BodyText"/>
        <w:jc w:val="right"/>
        <w:rPr>
          <w:szCs w:val="24"/>
        </w:rPr>
      </w:pPr>
      <w:r w:rsidRPr="00A105D0">
        <w:rPr>
          <w:szCs w:val="24"/>
        </w:rPr>
        <w:lastRenderedPageBreak/>
        <w:t>ATTACHMENT</w:t>
      </w:r>
    </w:p>
    <w:p w14:paraId="2412D13E" w14:textId="77777777" w:rsidR="006D5816" w:rsidRPr="00A105D0" w:rsidRDefault="006D5816" w:rsidP="00A105D0">
      <w:pPr>
        <w:pStyle w:val="BodyText"/>
        <w:rPr>
          <w:szCs w:val="24"/>
          <w:u w:val="single"/>
        </w:rPr>
      </w:pPr>
    </w:p>
    <w:p w14:paraId="5B0C808A" w14:textId="7B9BAE98" w:rsidR="00215191" w:rsidRPr="00A105D0" w:rsidRDefault="00A41364" w:rsidP="00A105D0">
      <w:pPr>
        <w:pStyle w:val="BodyText"/>
        <w:rPr>
          <w:szCs w:val="24"/>
        </w:rPr>
      </w:pPr>
      <w:r w:rsidRPr="00A105D0">
        <w:rPr>
          <w:szCs w:val="24"/>
        </w:rPr>
        <w:t xml:space="preserve">Details of the </w:t>
      </w:r>
      <w:bookmarkStart w:id="10" w:name="_Hlk129682428"/>
      <w:r w:rsidR="001643F9" w:rsidRPr="00A105D0">
        <w:rPr>
          <w:i/>
          <w:iCs/>
          <w:szCs w:val="24"/>
        </w:rPr>
        <w:t>Health Insurance Legislation Amendment (2023 Measures No. 1) Determination</w:t>
      </w:r>
      <w:r w:rsidR="001643F9" w:rsidRPr="00A105D0">
        <w:rPr>
          <w:szCs w:val="24"/>
        </w:rPr>
        <w:t xml:space="preserve"> </w:t>
      </w:r>
      <w:r w:rsidR="001643F9" w:rsidRPr="00A105D0">
        <w:rPr>
          <w:i/>
          <w:iCs/>
          <w:szCs w:val="24"/>
        </w:rPr>
        <w:t>2023</w:t>
      </w:r>
    </w:p>
    <w:bookmarkEnd w:id="10"/>
    <w:p w14:paraId="7BBEB147" w14:textId="720F9678" w:rsidR="00E70355" w:rsidRPr="00A105D0" w:rsidRDefault="00E70355" w:rsidP="00A105D0">
      <w:pPr>
        <w:pStyle w:val="BodyText"/>
        <w:rPr>
          <w:b w:val="0"/>
          <w:i/>
          <w:szCs w:val="24"/>
        </w:rPr>
      </w:pPr>
    </w:p>
    <w:p w14:paraId="2412D141" w14:textId="7C34D5F4" w:rsidR="00FE02C2" w:rsidRPr="00A105D0" w:rsidRDefault="001B0111" w:rsidP="00A105D0">
      <w:pPr>
        <w:pStyle w:val="BodyText"/>
        <w:rPr>
          <w:b w:val="0"/>
          <w:szCs w:val="24"/>
          <w:u w:val="single"/>
        </w:rPr>
      </w:pPr>
      <w:r w:rsidRPr="00A105D0">
        <w:rPr>
          <w:b w:val="0"/>
          <w:szCs w:val="24"/>
          <w:u w:val="single"/>
        </w:rPr>
        <w:t>Section 1 – Name</w:t>
      </w:r>
    </w:p>
    <w:p w14:paraId="2412D142" w14:textId="77777777" w:rsidR="00FE02C2" w:rsidRPr="00A105D0" w:rsidRDefault="00FE02C2" w:rsidP="00A105D0">
      <w:pPr>
        <w:pStyle w:val="BodyText"/>
        <w:rPr>
          <w:b w:val="0"/>
          <w:szCs w:val="24"/>
          <w:u w:val="single"/>
        </w:rPr>
      </w:pPr>
    </w:p>
    <w:p w14:paraId="2412D144" w14:textId="358563DC" w:rsidR="00F83B6F" w:rsidRPr="00A105D0" w:rsidRDefault="00BC7397" w:rsidP="00A105D0">
      <w:pPr>
        <w:pStyle w:val="BodyText"/>
        <w:rPr>
          <w:b w:val="0"/>
          <w:color w:val="FF0000"/>
        </w:rPr>
      </w:pPr>
      <w:r w:rsidRPr="00A105D0">
        <w:rPr>
          <w:b w:val="0"/>
          <w:szCs w:val="24"/>
        </w:rPr>
        <w:t>S</w:t>
      </w:r>
      <w:r w:rsidR="00FE02C2" w:rsidRPr="00A105D0">
        <w:rPr>
          <w:b w:val="0"/>
          <w:szCs w:val="24"/>
        </w:rPr>
        <w:t xml:space="preserve">ection </w:t>
      </w:r>
      <w:r w:rsidRPr="00A105D0">
        <w:rPr>
          <w:b w:val="0"/>
          <w:szCs w:val="24"/>
        </w:rPr>
        <w:t xml:space="preserve">1 </w:t>
      </w:r>
      <w:r w:rsidR="00FE02C2" w:rsidRPr="00A105D0">
        <w:rPr>
          <w:b w:val="0"/>
          <w:szCs w:val="24"/>
        </w:rPr>
        <w:t>provides</w:t>
      </w:r>
      <w:r w:rsidR="008B683E" w:rsidRPr="00A105D0">
        <w:rPr>
          <w:b w:val="0"/>
          <w:szCs w:val="24"/>
        </w:rPr>
        <w:t xml:space="preserve"> for the</w:t>
      </w:r>
      <w:r w:rsidR="001643F9" w:rsidRPr="00A105D0">
        <w:rPr>
          <w:b w:val="0"/>
          <w:szCs w:val="24"/>
        </w:rPr>
        <w:t xml:space="preserve"> Amendment</w:t>
      </w:r>
      <w:r w:rsidR="008B683E" w:rsidRPr="00A105D0">
        <w:rPr>
          <w:b w:val="0"/>
          <w:szCs w:val="24"/>
        </w:rPr>
        <w:t xml:space="preserve"> </w:t>
      </w:r>
      <w:r w:rsidR="008B2094" w:rsidRPr="00A105D0">
        <w:rPr>
          <w:b w:val="0"/>
          <w:szCs w:val="24"/>
        </w:rPr>
        <w:t>Determination</w:t>
      </w:r>
      <w:r w:rsidR="00FE02C2" w:rsidRPr="00A105D0">
        <w:rPr>
          <w:b w:val="0"/>
          <w:szCs w:val="24"/>
        </w:rPr>
        <w:t xml:space="preserve"> to be referred to as the </w:t>
      </w:r>
      <w:r w:rsidR="001643F9" w:rsidRPr="00A105D0">
        <w:rPr>
          <w:b w:val="0"/>
          <w:i/>
          <w:iCs/>
          <w:szCs w:val="24"/>
        </w:rPr>
        <w:t>Health Insurance Legislation Amendment (2023 Measures No. 1) Determination 2023</w:t>
      </w:r>
      <w:r w:rsidR="001643F9" w:rsidRPr="00A105D0">
        <w:rPr>
          <w:b w:val="0"/>
          <w:szCs w:val="24"/>
        </w:rPr>
        <w:t>.</w:t>
      </w:r>
    </w:p>
    <w:p w14:paraId="68DAA207" w14:textId="77777777" w:rsidR="00FD602D" w:rsidRPr="00A105D0" w:rsidRDefault="00FD602D" w:rsidP="00A105D0"/>
    <w:p w14:paraId="49D1E050" w14:textId="77777777" w:rsidR="007A4089" w:rsidRPr="00A105D0" w:rsidRDefault="00FE02C2" w:rsidP="00A105D0">
      <w:pPr>
        <w:pStyle w:val="BodyText"/>
        <w:rPr>
          <w:b w:val="0"/>
          <w:szCs w:val="24"/>
          <w:u w:val="single"/>
        </w:rPr>
      </w:pPr>
      <w:r w:rsidRPr="00A105D0">
        <w:rPr>
          <w:b w:val="0"/>
          <w:szCs w:val="24"/>
          <w:u w:val="single"/>
        </w:rPr>
        <w:t xml:space="preserve">Section 2 – Commencement </w:t>
      </w:r>
    </w:p>
    <w:p w14:paraId="2DCE2ED0" w14:textId="77777777" w:rsidR="007A4089" w:rsidRPr="00A105D0" w:rsidRDefault="007A4089" w:rsidP="00A105D0">
      <w:pPr>
        <w:pStyle w:val="BodyText"/>
        <w:rPr>
          <w:b w:val="0"/>
          <w:szCs w:val="24"/>
          <w:u w:val="single"/>
        </w:rPr>
      </w:pPr>
    </w:p>
    <w:p w14:paraId="2412D148" w14:textId="47BB7438" w:rsidR="00510A4F" w:rsidRPr="00A105D0" w:rsidRDefault="00510A4F" w:rsidP="00A105D0">
      <w:pPr>
        <w:pStyle w:val="BodyText"/>
        <w:rPr>
          <w:b w:val="0"/>
          <w:szCs w:val="24"/>
        </w:rPr>
      </w:pPr>
      <w:r w:rsidRPr="00A105D0">
        <w:rPr>
          <w:b w:val="0"/>
          <w:szCs w:val="24"/>
        </w:rPr>
        <w:t xml:space="preserve">Section 2 </w:t>
      </w:r>
      <w:r w:rsidR="00404F11" w:rsidRPr="00A105D0">
        <w:rPr>
          <w:b w:val="0"/>
          <w:szCs w:val="24"/>
        </w:rPr>
        <w:t>provides that the</w:t>
      </w:r>
      <w:r w:rsidR="001643F9" w:rsidRPr="00A105D0">
        <w:rPr>
          <w:b w:val="0"/>
          <w:szCs w:val="24"/>
        </w:rPr>
        <w:t xml:space="preserve"> Amendment</w:t>
      </w:r>
      <w:r w:rsidR="00404F11" w:rsidRPr="00A105D0">
        <w:rPr>
          <w:b w:val="0"/>
          <w:szCs w:val="24"/>
        </w:rPr>
        <w:t xml:space="preserve"> </w:t>
      </w:r>
      <w:r w:rsidR="008B2094" w:rsidRPr="00A105D0">
        <w:rPr>
          <w:b w:val="0"/>
          <w:szCs w:val="24"/>
        </w:rPr>
        <w:t xml:space="preserve">Determination </w:t>
      </w:r>
      <w:r w:rsidR="00404F11" w:rsidRPr="00A105D0">
        <w:rPr>
          <w:b w:val="0"/>
          <w:szCs w:val="24"/>
        </w:rPr>
        <w:t xml:space="preserve">commences </w:t>
      </w:r>
      <w:r w:rsidR="001643F9" w:rsidRPr="00A105D0">
        <w:rPr>
          <w:b w:val="0"/>
          <w:szCs w:val="24"/>
        </w:rPr>
        <w:t>1 July 2023.</w:t>
      </w:r>
    </w:p>
    <w:p w14:paraId="16C03200" w14:textId="77777777" w:rsidR="007E0017" w:rsidRPr="00A105D0" w:rsidRDefault="007E0017" w:rsidP="00A105D0">
      <w:pPr>
        <w:pStyle w:val="BodyText"/>
        <w:rPr>
          <w:b w:val="0"/>
          <w:szCs w:val="24"/>
        </w:rPr>
      </w:pPr>
    </w:p>
    <w:p w14:paraId="005D5660" w14:textId="77777777" w:rsidR="007A4089" w:rsidRPr="00A105D0" w:rsidRDefault="00FE02C2" w:rsidP="00A105D0">
      <w:pPr>
        <w:pStyle w:val="BodyText"/>
        <w:rPr>
          <w:b w:val="0"/>
          <w:szCs w:val="24"/>
          <w:u w:val="single"/>
        </w:rPr>
      </w:pPr>
      <w:r w:rsidRPr="00A105D0">
        <w:rPr>
          <w:b w:val="0"/>
          <w:szCs w:val="24"/>
          <w:u w:val="single"/>
        </w:rPr>
        <w:t xml:space="preserve">Section 3 – </w:t>
      </w:r>
      <w:r w:rsidR="00E5798A" w:rsidRPr="00A105D0">
        <w:rPr>
          <w:b w:val="0"/>
          <w:szCs w:val="24"/>
          <w:u w:val="single"/>
        </w:rPr>
        <w:t>Authority</w:t>
      </w:r>
    </w:p>
    <w:p w14:paraId="53BFA098" w14:textId="77777777" w:rsidR="007A4089" w:rsidRPr="00A105D0" w:rsidRDefault="007A4089" w:rsidP="00A105D0">
      <w:pPr>
        <w:pStyle w:val="BodyText"/>
        <w:rPr>
          <w:b w:val="0"/>
          <w:szCs w:val="24"/>
          <w:u w:val="single"/>
        </w:rPr>
      </w:pPr>
    </w:p>
    <w:p w14:paraId="2412D14B" w14:textId="4FA0D328" w:rsidR="00FE02C2" w:rsidRPr="00A105D0" w:rsidRDefault="00F83B6F" w:rsidP="00A105D0">
      <w:pPr>
        <w:pStyle w:val="BodyText"/>
        <w:rPr>
          <w:b w:val="0"/>
        </w:rPr>
      </w:pPr>
      <w:r w:rsidRPr="00A105D0">
        <w:rPr>
          <w:b w:val="0"/>
        </w:rPr>
        <w:t>Section 3 provides that the</w:t>
      </w:r>
      <w:r w:rsidR="001643F9" w:rsidRPr="00A105D0">
        <w:rPr>
          <w:b w:val="0"/>
        </w:rPr>
        <w:t xml:space="preserve"> Amendment</w:t>
      </w:r>
      <w:r w:rsidRPr="00A105D0">
        <w:rPr>
          <w:b w:val="0"/>
        </w:rPr>
        <w:t xml:space="preserve"> </w:t>
      </w:r>
      <w:r w:rsidR="008B2094" w:rsidRPr="00A105D0">
        <w:rPr>
          <w:b w:val="0"/>
          <w:szCs w:val="24"/>
        </w:rPr>
        <w:t xml:space="preserve">Determination </w:t>
      </w:r>
      <w:r w:rsidR="00E5798A" w:rsidRPr="00A105D0">
        <w:rPr>
          <w:b w:val="0"/>
        </w:rPr>
        <w:t xml:space="preserve">is made under </w:t>
      </w:r>
      <w:r w:rsidR="00367440" w:rsidRPr="00A105D0">
        <w:rPr>
          <w:b w:val="0"/>
        </w:rPr>
        <w:t xml:space="preserve">subsection </w:t>
      </w:r>
      <w:r w:rsidR="00E5798A" w:rsidRPr="00A105D0">
        <w:rPr>
          <w:b w:val="0"/>
        </w:rPr>
        <w:t>3</w:t>
      </w:r>
      <w:proofErr w:type="gramStart"/>
      <w:r w:rsidR="00E5798A" w:rsidRPr="00A105D0">
        <w:rPr>
          <w:b w:val="0"/>
        </w:rPr>
        <w:t>C(</w:t>
      </w:r>
      <w:proofErr w:type="gramEnd"/>
      <w:r w:rsidR="00E5798A" w:rsidRPr="00A105D0">
        <w:rPr>
          <w:b w:val="0"/>
        </w:rPr>
        <w:t xml:space="preserve">1) of the </w:t>
      </w:r>
      <w:r w:rsidR="00E5798A" w:rsidRPr="00A105D0">
        <w:rPr>
          <w:b w:val="0"/>
          <w:i/>
        </w:rPr>
        <w:t>Health Insurance Act 1973</w:t>
      </w:r>
      <w:r w:rsidR="00E5798A" w:rsidRPr="00A105D0">
        <w:rPr>
          <w:b w:val="0"/>
        </w:rPr>
        <w:t>.</w:t>
      </w:r>
    </w:p>
    <w:p w14:paraId="0DBF1241" w14:textId="77777777" w:rsidR="00E70355" w:rsidRPr="00A105D0" w:rsidRDefault="00E70355" w:rsidP="00A105D0">
      <w:pPr>
        <w:pStyle w:val="BodyText"/>
        <w:rPr>
          <w:b w:val="0"/>
        </w:rPr>
      </w:pPr>
    </w:p>
    <w:p w14:paraId="20CBF84A" w14:textId="77777777" w:rsidR="00C63FDC" w:rsidRPr="00A105D0" w:rsidRDefault="00C63FDC" w:rsidP="00A105D0">
      <w:pPr>
        <w:pStyle w:val="BodyText"/>
        <w:rPr>
          <w:b w:val="0"/>
          <w:szCs w:val="24"/>
          <w:u w:val="single"/>
        </w:rPr>
      </w:pPr>
      <w:r w:rsidRPr="00A105D0">
        <w:rPr>
          <w:b w:val="0"/>
          <w:szCs w:val="24"/>
          <w:u w:val="single"/>
        </w:rPr>
        <w:t>Section 4 – Schedules</w:t>
      </w:r>
    </w:p>
    <w:p w14:paraId="4C010161" w14:textId="77777777" w:rsidR="00C63FDC" w:rsidRPr="00A105D0" w:rsidRDefault="00C63FDC" w:rsidP="00A105D0">
      <w:pPr>
        <w:pStyle w:val="BodyText"/>
        <w:rPr>
          <w:b w:val="0"/>
          <w:szCs w:val="24"/>
          <w:u w:val="single"/>
        </w:rPr>
      </w:pPr>
    </w:p>
    <w:p w14:paraId="5D9EBF8D" w14:textId="64AD6B9F" w:rsidR="00C63FDC" w:rsidRPr="00A105D0" w:rsidRDefault="00C63FDC" w:rsidP="00A105D0">
      <w:pPr>
        <w:pStyle w:val="BodyText"/>
        <w:rPr>
          <w:b w:val="0"/>
          <w:szCs w:val="24"/>
        </w:rPr>
      </w:pPr>
      <w:r w:rsidRPr="00A105D0">
        <w:rPr>
          <w:b w:val="0"/>
          <w:szCs w:val="24"/>
        </w:rPr>
        <w:t>Section 4 provides that each instrument that is specified in a Schedule to this</w:t>
      </w:r>
      <w:r w:rsidR="001643F9" w:rsidRPr="00A105D0">
        <w:rPr>
          <w:b w:val="0"/>
          <w:szCs w:val="24"/>
        </w:rPr>
        <w:t xml:space="preserve"> Amendment</w:t>
      </w:r>
      <w:r w:rsidRPr="00A105D0">
        <w:rPr>
          <w:b w:val="0"/>
          <w:szCs w:val="24"/>
        </w:rPr>
        <w:t xml:space="preserve"> Determination is amended or repealed as set out in the applicable items in the Schedule concerned, and any other item in a Schedule to this</w:t>
      </w:r>
      <w:r w:rsidR="001643F9" w:rsidRPr="00A105D0">
        <w:rPr>
          <w:b w:val="0"/>
          <w:szCs w:val="24"/>
        </w:rPr>
        <w:t xml:space="preserve"> Amendment</w:t>
      </w:r>
      <w:r w:rsidRPr="00A105D0">
        <w:rPr>
          <w:b w:val="0"/>
          <w:szCs w:val="24"/>
        </w:rPr>
        <w:t xml:space="preserve"> Determination has effect according to its terms.</w:t>
      </w:r>
    </w:p>
    <w:p w14:paraId="17D2CF69" w14:textId="77777777" w:rsidR="007E0017" w:rsidRPr="00A105D0" w:rsidRDefault="007E0017" w:rsidP="00A105D0">
      <w:pPr>
        <w:pStyle w:val="BodyText"/>
        <w:rPr>
          <w:b w:val="0"/>
          <w:szCs w:val="24"/>
        </w:rPr>
      </w:pPr>
    </w:p>
    <w:p w14:paraId="768D340E" w14:textId="173B93EB" w:rsidR="00C63FDC" w:rsidRPr="00A105D0" w:rsidRDefault="00C63FDC" w:rsidP="00A105D0">
      <w:pPr>
        <w:pStyle w:val="Header"/>
        <w:tabs>
          <w:tab w:val="num" w:pos="1080"/>
        </w:tabs>
        <w:rPr>
          <w:szCs w:val="24"/>
          <w:u w:val="single"/>
        </w:rPr>
      </w:pPr>
      <w:r w:rsidRPr="00A105D0">
        <w:rPr>
          <w:szCs w:val="24"/>
          <w:u w:val="single"/>
        </w:rPr>
        <w:t>Schedule 1 –</w:t>
      </w:r>
      <w:r w:rsidR="00E024A7" w:rsidRPr="00A105D0">
        <w:rPr>
          <w:szCs w:val="24"/>
          <w:u w:val="single"/>
        </w:rPr>
        <w:t xml:space="preserve"> </w:t>
      </w:r>
      <w:r w:rsidRPr="00A105D0">
        <w:rPr>
          <w:szCs w:val="24"/>
          <w:u w:val="single"/>
        </w:rPr>
        <w:t>Amendments</w:t>
      </w:r>
    </w:p>
    <w:p w14:paraId="57D87BB4" w14:textId="77777777" w:rsidR="00E024A7" w:rsidRPr="00A105D0" w:rsidRDefault="00E024A7" w:rsidP="00A105D0">
      <w:pPr>
        <w:pStyle w:val="Header"/>
        <w:tabs>
          <w:tab w:val="num" w:pos="1080"/>
        </w:tabs>
        <w:rPr>
          <w:szCs w:val="24"/>
        </w:rPr>
      </w:pPr>
    </w:p>
    <w:p w14:paraId="2212E577" w14:textId="7ECCC16E" w:rsidR="00C63FDC" w:rsidRPr="00A105D0" w:rsidRDefault="00742EAC" w:rsidP="00A105D0">
      <w:pPr>
        <w:pStyle w:val="Header"/>
        <w:tabs>
          <w:tab w:val="num" w:pos="1080"/>
        </w:tabs>
        <w:rPr>
          <w:szCs w:val="24"/>
        </w:rPr>
      </w:pPr>
      <w:r w:rsidRPr="00A105D0">
        <w:rPr>
          <w:i/>
          <w:iCs/>
          <w:szCs w:val="24"/>
        </w:rPr>
        <w:t>Health Insurance (Section 3C General Medical Services – Telehealth and Telephone Attendances) Determination 2021</w:t>
      </w:r>
      <w:r w:rsidR="00E024A7" w:rsidRPr="00A105D0">
        <w:rPr>
          <w:szCs w:val="24"/>
        </w:rPr>
        <w:t xml:space="preserve"> (Telehealth Determination)</w:t>
      </w:r>
    </w:p>
    <w:p w14:paraId="3F742D40" w14:textId="7CFEFABA" w:rsidR="00742EAC" w:rsidRPr="00A105D0" w:rsidRDefault="00742EAC" w:rsidP="00A105D0">
      <w:pPr>
        <w:pStyle w:val="Header"/>
        <w:tabs>
          <w:tab w:val="num" w:pos="1080"/>
        </w:tabs>
        <w:rPr>
          <w:b/>
          <w:bCs/>
          <w:szCs w:val="24"/>
        </w:rPr>
      </w:pPr>
    </w:p>
    <w:p w14:paraId="5CE5BCC9" w14:textId="315F8D3B" w:rsidR="003F033C" w:rsidRPr="00A105D0" w:rsidRDefault="003F033C" w:rsidP="00A105D0">
      <w:pPr>
        <w:pStyle w:val="Header"/>
        <w:tabs>
          <w:tab w:val="num" w:pos="1080"/>
        </w:tabs>
        <w:rPr>
          <w:b/>
          <w:bCs/>
          <w:szCs w:val="24"/>
        </w:rPr>
      </w:pPr>
      <w:r w:rsidRPr="00A105D0">
        <w:rPr>
          <w:b/>
          <w:bCs/>
          <w:iCs/>
        </w:rPr>
        <w:t>Amendment item 1</w:t>
      </w:r>
      <w:r w:rsidR="007661D3" w:rsidRPr="00A105D0">
        <w:rPr>
          <w:b/>
          <w:bCs/>
          <w:iCs/>
        </w:rPr>
        <w:t xml:space="preserve"> </w:t>
      </w:r>
      <w:r w:rsidR="007661D3" w:rsidRPr="00A105D0">
        <w:rPr>
          <w:iCs/>
        </w:rPr>
        <w:t>amends</w:t>
      </w:r>
      <w:r w:rsidRPr="00A105D0">
        <w:rPr>
          <w:b/>
          <w:bCs/>
          <w:iCs/>
        </w:rPr>
        <w:t xml:space="preserve"> </w:t>
      </w:r>
      <w:r w:rsidR="00E024A7" w:rsidRPr="00A105D0">
        <w:rPr>
          <w:iCs/>
        </w:rPr>
        <w:t xml:space="preserve">subsection 5(1) of the Telehealth Determination to </w:t>
      </w:r>
      <w:r w:rsidRPr="00A105D0">
        <w:rPr>
          <w:iCs/>
        </w:rPr>
        <w:t>repeal the definition</w:t>
      </w:r>
      <w:r w:rsidR="00E024A7" w:rsidRPr="00A105D0">
        <w:rPr>
          <w:iCs/>
        </w:rPr>
        <w:t>s</w:t>
      </w:r>
      <w:r w:rsidRPr="00A105D0">
        <w:rPr>
          <w:iCs/>
        </w:rPr>
        <w:t xml:space="preserve"> of </w:t>
      </w:r>
      <w:r w:rsidRPr="00A105D0">
        <w:rPr>
          <w:b/>
          <w:bCs/>
          <w:i/>
        </w:rPr>
        <w:t>admitting dental practitioner</w:t>
      </w:r>
      <w:r w:rsidRPr="00A105D0">
        <w:rPr>
          <w:iCs/>
        </w:rPr>
        <w:t xml:space="preserve"> and </w:t>
      </w:r>
      <w:r w:rsidRPr="00A105D0">
        <w:rPr>
          <w:b/>
          <w:bCs/>
          <w:i/>
        </w:rPr>
        <w:t>admitting medical practitioner</w:t>
      </w:r>
      <w:r w:rsidR="002C4EFC" w:rsidRPr="00A105D0">
        <w:rPr>
          <w:iCs/>
        </w:rPr>
        <w:t>.</w:t>
      </w:r>
      <w:r w:rsidR="00337484" w:rsidRPr="00A105D0">
        <w:rPr>
          <w:iCs/>
        </w:rPr>
        <w:t xml:space="preserve"> </w:t>
      </w:r>
      <w:r w:rsidR="00820A58" w:rsidRPr="00A105D0">
        <w:rPr>
          <w:szCs w:val="24"/>
        </w:rPr>
        <w:t xml:space="preserve">These terms were </w:t>
      </w:r>
      <w:bookmarkStart w:id="11" w:name="_Hlk133487932"/>
      <w:r w:rsidR="00820A58" w:rsidRPr="00A105D0">
        <w:rPr>
          <w:szCs w:val="24"/>
        </w:rPr>
        <w:t>only relevant to Schedule 6, which ceased on 30 June 2022</w:t>
      </w:r>
      <w:bookmarkEnd w:id="11"/>
      <w:r w:rsidR="00820A58" w:rsidRPr="00A105D0">
        <w:rPr>
          <w:szCs w:val="24"/>
        </w:rPr>
        <w:t xml:space="preserve"> and will be repealed b</w:t>
      </w:r>
      <w:r w:rsidR="007661D3" w:rsidRPr="00A105D0">
        <w:rPr>
          <w:szCs w:val="24"/>
        </w:rPr>
        <w:t>y</w:t>
      </w:r>
      <w:r w:rsidR="007C5B64" w:rsidRPr="00A105D0">
        <w:rPr>
          <w:szCs w:val="24"/>
        </w:rPr>
        <w:t xml:space="preserve"> </w:t>
      </w:r>
      <w:r w:rsidR="00820A58" w:rsidRPr="00A105D0">
        <w:rPr>
          <w:b/>
          <w:bCs/>
          <w:szCs w:val="24"/>
        </w:rPr>
        <w:t>amendment</w:t>
      </w:r>
      <w:r w:rsidR="007661D3" w:rsidRPr="00A105D0">
        <w:rPr>
          <w:b/>
          <w:bCs/>
          <w:szCs w:val="24"/>
        </w:rPr>
        <w:t xml:space="preserve"> item</w:t>
      </w:r>
      <w:r w:rsidR="00820A58" w:rsidRPr="00A105D0">
        <w:rPr>
          <w:b/>
          <w:bCs/>
          <w:szCs w:val="24"/>
        </w:rPr>
        <w:t xml:space="preserve"> 4</w:t>
      </w:r>
      <w:r w:rsidR="00820A58" w:rsidRPr="00A105D0">
        <w:rPr>
          <w:szCs w:val="24"/>
        </w:rPr>
        <w:t xml:space="preserve"> of the Amendment Determination</w:t>
      </w:r>
      <w:r w:rsidR="00337484" w:rsidRPr="00A105D0">
        <w:rPr>
          <w:iCs/>
        </w:rPr>
        <w:t>.</w:t>
      </w:r>
    </w:p>
    <w:p w14:paraId="61FE89F2" w14:textId="77777777" w:rsidR="003F033C" w:rsidRPr="00A105D0" w:rsidRDefault="003F033C" w:rsidP="00A105D0">
      <w:pPr>
        <w:pStyle w:val="Header"/>
        <w:tabs>
          <w:tab w:val="num" w:pos="1080"/>
        </w:tabs>
        <w:rPr>
          <w:b/>
          <w:bCs/>
          <w:szCs w:val="24"/>
        </w:rPr>
      </w:pPr>
    </w:p>
    <w:p w14:paraId="716DA606" w14:textId="007F54EF" w:rsidR="00742EAC" w:rsidRPr="00A105D0" w:rsidRDefault="00742EAC" w:rsidP="00A105D0">
      <w:pPr>
        <w:pStyle w:val="Header"/>
        <w:tabs>
          <w:tab w:val="num" w:pos="1080"/>
        </w:tabs>
        <w:rPr>
          <w:szCs w:val="24"/>
        </w:rPr>
      </w:pPr>
      <w:r w:rsidRPr="00A105D0">
        <w:rPr>
          <w:b/>
          <w:bCs/>
          <w:szCs w:val="24"/>
        </w:rPr>
        <w:t>Amendment item</w:t>
      </w:r>
      <w:r w:rsidR="0045468F" w:rsidRPr="00A105D0">
        <w:rPr>
          <w:b/>
          <w:bCs/>
          <w:szCs w:val="24"/>
        </w:rPr>
        <w:t xml:space="preserve"> </w:t>
      </w:r>
      <w:r w:rsidR="003F033C" w:rsidRPr="00A105D0">
        <w:rPr>
          <w:b/>
          <w:bCs/>
          <w:szCs w:val="24"/>
        </w:rPr>
        <w:t>2</w:t>
      </w:r>
      <w:r w:rsidRPr="00A105D0">
        <w:rPr>
          <w:szCs w:val="24"/>
        </w:rPr>
        <w:t xml:space="preserve"> amends </w:t>
      </w:r>
      <w:r w:rsidR="00674820" w:rsidRPr="00A105D0">
        <w:rPr>
          <w:szCs w:val="24"/>
        </w:rPr>
        <w:t>sub</w:t>
      </w:r>
      <w:r w:rsidRPr="00A105D0">
        <w:rPr>
          <w:szCs w:val="24"/>
        </w:rPr>
        <w:t>clause 1.1.05</w:t>
      </w:r>
      <w:r w:rsidR="00674820" w:rsidRPr="00A105D0">
        <w:rPr>
          <w:szCs w:val="24"/>
        </w:rPr>
        <w:t>(1)</w:t>
      </w:r>
      <w:r w:rsidR="00E024A7" w:rsidRPr="00A105D0">
        <w:rPr>
          <w:szCs w:val="24"/>
        </w:rPr>
        <w:t xml:space="preserve"> of the </w:t>
      </w:r>
      <w:r w:rsidR="00CF5672" w:rsidRPr="00A105D0">
        <w:rPr>
          <w:szCs w:val="24"/>
        </w:rPr>
        <w:t>T</w:t>
      </w:r>
      <w:r w:rsidR="00E024A7" w:rsidRPr="00A105D0">
        <w:rPr>
          <w:szCs w:val="24"/>
        </w:rPr>
        <w:t>elehealth Determination,</w:t>
      </w:r>
      <w:r w:rsidRPr="00A105D0">
        <w:rPr>
          <w:szCs w:val="24"/>
        </w:rPr>
        <w:t xml:space="preserve"> </w:t>
      </w:r>
      <w:r w:rsidR="003F033C" w:rsidRPr="00A105D0">
        <w:rPr>
          <w:szCs w:val="24"/>
        </w:rPr>
        <w:t>which provides the same day co-claiming restrictions for items 92024, 92025 and 92028</w:t>
      </w:r>
      <w:r w:rsidR="00E7258D" w:rsidRPr="00A105D0">
        <w:rPr>
          <w:szCs w:val="24"/>
        </w:rPr>
        <w:t>,</w:t>
      </w:r>
      <w:r w:rsidR="008B3284" w:rsidRPr="00A105D0">
        <w:rPr>
          <w:szCs w:val="24"/>
        </w:rPr>
        <w:t xml:space="preserve"> to ensure items listed in these clauses align with clause 2.16.11 of the </w:t>
      </w:r>
      <w:r w:rsidR="00CF1D56" w:rsidRPr="00A105D0">
        <w:rPr>
          <w:i/>
          <w:iCs/>
        </w:rPr>
        <w:t>Health Insurance (General Medical Services Table) Regulations 2021</w:t>
      </w:r>
      <w:r w:rsidR="00CF1D56" w:rsidRPr="00A105D0">
        <w:t xml:space="preserve"> (GMST)</w:t>
      </w:r>
      <w:r w:rsidR="008B3284" w:rsidRPr="00A105D0">
        <w:rPr>
          <w:szCs w:val="24"/>
        </w:rPr>
        <w:t xml:space="preserve"> as amended on 1 March 2023</w:t>
      </w:r>
      <w:r w:rsidR="003F033C" w:rsidRPr="00A105D0">
        <w:rPr>
          <w:szCs w:val="24"/>
        </w:rPr>
        <w:t>.</w:t>
      </w:r>
      <w:r w:rsidR="00156D5D" w:rsidRPr="00A105D0">
        <w:rPr>
          <w:szCs w:val="24"/>
        </w:rPr>
        <w:t xml:space="preserve"> It is intended that th</w:t>
      </w:r>
      <w:r w:rsidR="00E7258D" w:rsidRPr="00A105D0">
        <w:rPr>
          <w:szCs w:val="24"/>
        </w:rPr>
        <w:t>is</w:t>
      </w:r>
      <w:r w:rsidR="00156D5D" w:rsidRPr="00A105D0">
        <w:rPr>
          <w:szCs w:val="24"/>
        </w:rPr>
        <w:t xml:space="preserve"> </w:t>
      </w:r>
      <w:r w:rsidR="007C5B64" w:rsidRPr="00A105D0">
        <w:rPr>
          <w:szCs w:val="24"/>
        </w:rPr>
        <w:t>a</w:t>
      </w:r>
      <w:r w:rsidR="00156D5D" w:rsidRPr="00A105D0">
        <w:rPr>
          <w:szCs w:val="24"/>
        </w:rPr>
        <w:t>mendment will ensure consistent co-claiming restrictions for</w:t>
      </w:r>
      <w:r w:rsidR="00E7258D" w:rsidRPr="00A105D0">
        <w:rPr>
          <w:szCs w:val="24"/>
        </w:rPr>
        <w:t xml:space="preserve"> equivalent</w:t>
      </w:r>
      <w:r w:rsidR="00156D5D" w:rsidRPr="00A105D0">
        <w:rPr>
          <w:szCs w:val="24"/>
        </w:rPr>
        <w:t xml:space="preserve"> face-to-face and remote service options.</w:t>
      </w:r>
    </w:p>
    <w:p w14:paraId="523B8264" w14:textId="77777777" w:rsidR="001643F9" w:rsidRPr="00A105D0" w:rsidRDefault="001643F9" w:rsidP="00A105D0">
      <w:pPr>
        <w:pStyle w:val="Header"/>
        <w:tabs>
          <w:tab w:val="num" w:pos="1080"/>
        </w:tabs>
        <w:rPr>
          <w:iCs/>
          <w:color w:val="FF0000"/>
        </w:rPr>
      </w:pPr>
    </w:p>
    <w:p w14:paraId="174A6965" w14:textId="0EF015A3" w:rsidR="001643F9" w:rsidRPr="00A105D0" w:rsidRDefault="00742EAC" w:rsidP="00A105D0">
      <w:pPr>
        <w:pStyle w:val="Header"/>
        <w:tabs>
          <w:tab w:val="num" w:pos="1080"/>
        </w:tabs>
        <w:rPr>
          <w:iCs/>
        </w:rPr>
      </w:pPr>
      <w:r w:rsidRPr="00A105D0">
        <w:rPr>
          <w:b/>
          <w:bCs/>
          <w:iCs/>
        </w:rPr>
        <w:t xml:space="preserve">Amendment item </w:t>
      </w:r>
      <w:r w:rsidR="003F033C" w:rsidRPr="00A105D0">
        <w:rPr>
          <w:b/>
          <w:bCs/>
          <w:iCs/>
        </w:rPr>
        <w:t>3</w:t>
      </w:r>
      <w:r w:rsidRPr="00A105D0">
        <w:rPr>
          <w:b/>
          <w:bCs/>
          <w:iCs/>
        </w:rPr>
        <w:t xml:space="preserve"> </w:t>
      </w:r>
      <w:r w:rsidR="00337484" w:rsidRPr="00A105D0">
        <w:rPr>
          <w:iCs/>
        </w:rPr>
        <w:t>amends</w:t>
      </w:r>
      <w:r w:rsidRPr="00A105D0">
        <w:rPr>
          <w:iCs/>
        </w:rPr>
        <w:t xml:space="preserve"> the heading of subgroup 16 of Group M18</w:t>
      </w:r>
      <w:r w:rsidR="00337484" w:rsidRPr="00A105D0">
        <w:rPr>
          <w:iCs/>
        </w:rPr>
        <w:t xml:space="preserve"> in the Telehealth Determination, replacing the existing heading</w:t>
      </w:r>
      <w:r w:rsidRPr="00A105D0">
        <w:rPr>
          <w:iCs/>
        </w:rPr>
        <w:t xml:space="preserve"> with</w:t>
      </w:r>
      <w:r w:rsidR="00337484" w:rsidRPr="00A105D0">
        <w:rPr>
          <w:iCs/>
        </w:rPr>
        <w:t xml:space="preserve"> </w:t>
      </w:r>
      <w:r w:rsidRPr="00A105D0">
        <w:rPr>
          <w:iCs/>
        </w:rPr>
        <w:t>“Complex neurodevelopmental disorder and disability phone services”.</w:t>
      </w:r>
      <w:r w:rsidR="00337484" w:rsidRPr="00A105D0">
        <w:rPr>
          <w:iCs/>
        </w:rPr>
        <w:t xml:space="preserve"> This</w:t>
      </w:r>
      <w:r w:rsidR="00FF1336" w:rsidRPr="00A105D0">
        <w:rPr>
          <w:iCs/>
        </w:rPr>
        <w:t xml:space="preserve"> amendment</w:t>
      </w:r>
      <w:r w:rsidR="00337484" w:rsidRPr="00A105D0">
        <w:rPr>
          <w:iCs/>
        </w:rPr>
        <w:t xml:space="preserve"> aligns with changes made to complex neurodevelopmental disorder services </w:t>
      </w:r>
      <w:r w:rsidR="005D7544" w:rsidRPr="00A105D0">
        <w:rPr>
          <w:iCs/>
        </w:rPr>
        <w:t>introduced</w:t>
      </w:r>
      <w:r w:rsidR="00337484" w:rsidRPr="00A105D0">
        <w:rPr>
          <w:iCs/>
        </w:rPr>
        <w:t xml:space="preserve"> on 1 March 2023.</w:t>
      </w:r>
      <w:r w:rsidR="00156D5D" w:rsidRPr="00A105D0">
        <w:rPr>
          <w:iCs/>
        </w:rPr>
        <w:t xml:space="preserve"> This amendment will ensure that the terminology used in the Telehealth Determination is in accordance with current diagnostic terminology and reflects current clinical practice. The shift in language will also provide additional clarity to providers using these items.</w:t>
      </w:r>
    </w:p>
    <w:p w14:paraId="1028C89A" w14:textId="07A463F6" w:rsidR="003F033C" w:rsidRPr="00A105D0" w:rsidRDefault="003F033C" w:rsidP="00A105D0">
      <w:pPr>
        <w:pStyle w:val="Header"/>
        <w:tabs>
          <w:tab w:val="num" w:pos="1080"/>
        </w:tabs>
        <w:rPr>
          <w:iCs/>
        </w:rPr>
      </w:pPr>
    </w:p>
    <w:p w14:paraId="489B87B1" w14:textId="7A7D5106" w:rsidR="003F033C" w:rsidRPr="00A105D0" w:rsidRDefault="003F033C" w:rsidP="00A105D0">
      <w:pPr>
        <w:pStyle w:val="Header"/>
        <w:tabs>
          <w:tab w:val="num" w:pos="1080"/>
        </w:tabs>
        <w:rPr>
          <w:iCs/>
        </w:rPr>
      </w:pPr>
      <w:r w:rsidRPr="00A105D0">
        <w:rPr>
          <w:b/>
          <w:bCs/>
          <w:iCs/>
        </w:rPr>
        <w:t>Amendment item 4</w:t>
      </w:r>
      <w:r w:rsidR="002D0462" w:rsidRPr="00A105D0">
        <w:rPr>
          <w:iCs/>
        </w:rPr>
        <w:t xml:space="preserve"> repeals Schedules 6 to 8</w:t>
      </w:r>
      <w:r w:rsidR="00E024A7" w:rsidRPr="00A105D0">
        <w:rPr>
          <w:iCs/>
        </w:rPr>
        <w:t xml:space="preserve"> of the Telehealth Determination, which ceased on 30 June 2022</w:t>
      </w:r>
      <w:r w:rsidR="002D0462" w:rsidRPr="00A105D0">
        <w:rPr>
          <w:iCs/>
        </w:rPr>
        <w:t>.</w:t>
      </w:r>
      <w:r w:rsidR="00156D5D" w:rsidRPr="00A105D0">
        <w:rPr>
          <w:iCs/>
        </w:rPr>
        <w:t xml:space="preserve"> This is an administrative change to remove these schedules from the Principal Determination to avoid confusion for stakeholders.</w:t>
      </w:r>
    </w:p>
    <w:p w14:paraId="26F3A623" w14:textId="77777777" w:rsidR="001643F9" w:rsidRPr="00A105D0" w:rsidRDefault="001643F9" w:rsidP="00A105D0">
      <w:pPr>
        <w:pStyle w:val="Header"/>
        <w:tabs>
          <w:tab w:val="num" w:pos="1080"/>
        </w:tabs>
        <w:rPr>
          <w:iCs/>
          <w:color w:val="FF0000"/>
        </w:rPr>
      </w:pPr>
    </w:p>
    <w:p w14:paraId="7A41A3E9" w14:textId="48875D4F" w:rsidR="00C257A9" w:rsidRPr="00A105D0" w:rsidRDefault="00C257A9" w:rsidP="00A105D0">
      <w:pPr>
        <w:pStyle w:val="Header"/>
        <w:tabs>
          <w:tab w:val="num" w:pos="1080"/>
        </w:tabs>
        <w:rPr>
          <w:iCs/>
        </w:rPr>
      </w:pPr>
      <w:r w:rsidRPr="00A105D0">
        <w:rPr>
          <w:i/>
        </w:rPr>
        <w:t>Health Insurance (Section 3C General Medical Services – Other Medical Practitioner) Determination 2018</w:t>
      </w:r>
      <w:r w:rsidR="00E024A7" w:rsidRPr="00A105D0">
        <w:rPr>
          <w:iCs/>
        </w:rPr>
        <w:t xml:space="preserve"> (O</w:t>
      </w:r>
      <w:r w:rsidR="0088144D" w:rsidRPr="00A105D0">
        <w:rPr>
          <w:iCs/>
        </w:rPr>
        <w:t>ther Medical Practitioner</w:t>
      </w:r>
      <w:r w:rsidR="00E024A7" w:rsidRPr="00A105D0">
        <w:rPr>
          <w:iCs/>
        </w:rPr>
        <w:t xml:space="preserve"> Determination)</w:t>
      </w:r>
      <w:r w:rsidR="005159B3" w:rsidRPr="00A105D0">
        <w:rPr>
          <w:iCs/>
        </w:rPr>
        <w:t xml:space="preserve"> </w:t>
      </w:r>
    </w:p>
    <w:p w14:paraId="05CCE4D3" w14:textId="77777777" w:rsidR="0045468F" w:rsidRPr="00A105D0" w:rsidRDefault="0045468F" w:rsidP="00A105D0">
      <w:pPr>
        <w:pStyle w:val="Header"/>
        <w:tabs>
          <w:tab w:val="num" w:pos="1080"/>
        </w:tabs>
        <w:rPr>
          <w:b/>
          <w:bCs/>
          <w:iCs/>
        </w:rPr>
      </w:pPr>
    </w:p>
    <w:p w14:paraId="3D65548E" w14:textId="59281B30" w:rsidR="00C257A9" w:rsidRPr="00A105D0" w:rsidRDefault="00C257A9" w:rsidP="00A105D0">
      <w:pPr>
        <w:pStyle w:val="Header"/>
        <w:tabs>
          <w:tab w:val="num" w:pos="1080"/>
        </w:tabs>
        <w:rPr>
          <w:b/>
          <w:bCs/>
          <w:iCs/>
        </w:rPr>
      </w:pPr>
      <w:r w:rsidRPr="00A105D0">
        <w:rPr>
          <w:b/>
          <w:bCs/>
          <w:iCs/>
        </w:rPr>
        <w:t xml:space="preserve">Amendment item </w:t>
      </w:r>
      <w:r w:rsidR="002C4EFC" w:rsidRPr="00A105D0">
        <w:rPr>
          <w:b/>
          <w:bCs/>
          <w:iCs/>
        </w:rPr>
        <w:t>5</w:t>
      </w:r>
      <w:r w:rsidRPr="00A105D0">
        <w:rPr>
          <w:b/>
          <w:bCs/>
          <w:iCs/>
        </w:rPr>
        <w:t xml:space="preserve"> </w:t>
      </w:r>
      <w:r w:rsidRPr="00A105D0">
        <w:rPr>
          <w:szCs w:val="24"/>
        </w:rPr>
        <w:t xml:space="preserve">amends </w:t>
      </w:r>
      <w:r w:rsidR="005159B3" w:rsidRPr="00A105D0">
        <w:rPr>
          <w:szCs w:val="24"/>
        </w:rPr>
        <w:t>sub</w:t>
      </w:r>
      <w:r w:rsidRPr="00A105D0">
        <w:rPr>
          <w:szCs w:val="24"/>
        </w:rPr>
        <w:t>clause 1.6.2(4)</w:t>
      </w:r>
      <w:r w:rsidR="00E024A7" w:rsidRPr="00A105D0">
        <w:rPr>
          <w:szCs w:val="24"/>
        </w:rPr>
        <w:t xml:space="preserve"> of the O</w:t>
      </w:r>
      <w:r w:rsidR="0088144D" w:rsidRPr="00A105D0">
        <w:rPr>
          <w:szCs w:val="24"/>
        </w:rPr>
        <w:t>ther Medical Practitioner</w:t>
      </w:r>
      <w:r w:rsidR="00E024A7" w:rsidRPr="00A105D0">
        <w:rPr>
          <w:szCs w:val="24"/>
        </w:rPr>
        <w:t xml:space="preserve"> Determination,</w:t>
      </w:r>
      <w:r w:rsidRPr="00A105D0">
        <w:rPr>
          <w:szCs w:val="24"/>
        </w:rPr>
        <w:t xml:space="preserve"> </w:t>
      </w:r>
      <w:r w:rsidR="002C4EFC" w:rsidRPr="00A105D0">
        <w:rPr>
          <w:szCs w:val="24"/>
        </w:rPr>
        <w:t>which provides the same day co-claiming restrictions for items 229, 230 and 233</w:t>
      </w:r>
      <w:r w:rsidR="00E7258D" w:rsidRPr="00A105D0">
        <w:rPr>
          <w:szCs w:val="24"/>
        </w:rPr>
        <w:t>,</w:t>
      </w:r>
      <w:r w:rsidR="005159B3" w:rsidRPr="00A105D0">
        <w:t xml:space="preserve"> </w:t>
      </w:r>
      <w:bookmarkStart w:id="12" w:name="_Hlk131152998"/>
      <w:r w:rsidR="005159B3" w:rsidRPr="00A105D0">
        <w:rPr>
          <w:szCs w:val="24"/>
        </w:rPr>
        <w:t xml:space="preserve">to ensure items listed in these clauses align with clause 2.16.11 of the GMST as amended on </w:t>
      </w:r>
      <w:r w:rsidR="00E7258D" w:rsidRPr="00A105D0">
        <w:rPr>
          <w:szCs w:val="24"/>
        </w:rPr>
        <w:br/>
      </w:r>
      <w:r w:rsidR="005159B3" w:rsidRPr="00A105D0">
        <w:rPr>
          <w:szCs w:val="24"/>
        </w:rPr>
        <w:t>1 March 2023</w:t>
      </w:r>
      <w:bookmarkEnd w:id="12"/>
      <w:r w:rsidR="00636225" w:rsidRPr="00A105D0">
        <w:rPr>
          <w:szCs w:val="24"/>
        </w:rPr>
        <w:t>.</w:t>
      </w:r>
      <w:r w:rsidR="00156D5D" w:rsidRPr="00A105D0">
        <w:rPr>
          <w:szCs w:val="24"/>
        </w:rPr>
        <w:t xml:space="preserve"> It is intended that the amendments will ensure consistent co-claiming restrictions for </w:t>
      </w:r>
      <w:r w:rsidR="00E7258D" w:rsidRPr="00A105D0">
        <w:rPr>
          <w:szCs w:val="24"/>
        </w:rPr>
        <w:t xml:space="preserve">equivalent </w:t>
      </w:r>
      <w:r w:rsidR="00156D5D" w:rsidRPr="00A105D0">
        <w:rPr>
          <w:szCs w:val="24"/>
        </w:rPr>
        <w:t>face-to-face and remote service options.</w:t>
      </w:r>
    </w:p>
    <w:p w14:paraId="3857E89F" w14:textId="77777777" w:rsidR="00C257A9" w:rsidRPr="00A105D0" w:rsidRDefault="00C257A9" w:rsidP="00A105D0">
      <w:pPr>
        <w:pStyle w:val="Header"/>
        <w:tabs>
          <w:tab w:val="num" w:pos="1080"/>
        </w:tabs>
        <w:rPr>
          <w:iCs/>
          <w:color w:val="FF0000"/>
        </w:rPr>
      </w:pPr>
    </w:p>
    <w:p w14:paraId="0D3CFAAA" w14:textId="1BC7D92B" w:rsidR="007370C9" w:rsidRPr="00A105D0" w:rsidRDefault="00C257A9" w:rsidP="00A105D0">
      <w:pPr>
        <w:pStyle w:val="Header"/>
        <w:tabs>
          <w:tab w:val="num" w:pos="1080"/>
        </w:tabs>
        <w:rPr>
          <w:iCs/>
        </w:rPr>
      </w:pPr>
      <w:r w:rsidRPr="00A105D0">
        <w:rPr>
          <w:b/>
          <w:bCs/>
          <w:iCs/>
        </w:rPr>
        <w:t xml:space="preserve">Amendment item </w:t>
      </w:r>
      <w:r w:rsidR="00636225" w:rsidRPr="00A105D0">
        <w:rPr>
          <w:b/>
          <w:bCs/>
          <w:iCs/>
        </w:rPr>
        <w:t>6</w:t>
      </w:r>
      <w:r w:rsidR="002A67AB" w:rsidRPr="00A105D0">
        <w:rPr>
          <w:iCs/>
        </w:rPr>
        <w:t xml:space="preserve"> amends the definition of </w:t>
      </w:r>
      <w:r w:rsidR="002A67AB" w:rsidRPr="00A105D0">
        <w:rPr>
          <w:b/>
          <w:bCs/>
          <w:i/>
        </w:rPr>
        <w:t>COVID-19 Determination</w:t>
      </w:r>
      <w:r w:rsidR="000702C5" w:rsidRPr="00A105D0">
        <w:rPr>
          <w:iCs/>
        </w:rPr>
        <w:t xml:space="preserve"> at subsection 4(1)</w:t>
      </w:r>
      <w:r w:rsidR="00E024A7" w:rsidRPr="00A105D0">
        <w:rPr>
          <w:iCs/>
        </w:rPr>
        <w:t xml:space="preserve"> of the</w:t>
      </w:r>
      <w:r w:rsidR="000702C5" w:rsidRPr="00A105D0">
        <w:rPr>
          <w:iCs/>
        </w:rPr>
        <w:t xml:space="preserve"> </w:t>
      </w:r>
      <w:r w:rsidR="00337484" w:rsidRPr="00A105D0">
        <w:rPr>
          <w:iCs/>
        </w:rPr>
        <w:t>O</w:t>
      </w:r>
      <w:r w:rsidR="0088144D" w:rsidRPr="00A105D0">
        <w:rPr>
          <w:iCs/>
        </w:rPr>
        <w:t>ther Medical Practitioner</w:t>
      </w:r>
      <w:r w:rsidR="00337484" w:rsidRPr="00A105D0">
        <w:rPr>
          <w:iCs/>
        </w:rPr>
        <w:t xml:space="preserve"> Determination </w:t>
      </w:r>
      <w:r w:rsidR="000702C5" w:rsidRPr="00A105D0">
        <w:rPr>
          <w:iCs/>
        </w:rPr>
        <w:t xml:space="preserve">to replace a reference to </w:t>
      </w:r>
      <w:r w:rsidR="00337484" w:rsidRPr="00A105D0">
        <w:rPr>
          <w:iCs/>
        </w:rPr>
        <w:t>the “</w:t>
      </w:r>
      <w:r w:rsidR="003F63A5" w:rsidRPr="00A105D0">
        <w:rPr>
          <w:i/>
        </w:rPr>
        <w:t>Health Insurance (Section 3C General Medical Services - COVID-19 Telehealth and Telephone Attendances) Determination 2020</w:t>
      </w:r>
      <w:r w:rsidR="00337484" w:rsidRPr="00A105D0">
        <w:rPr>
          <w:iCs/>
        </w:rPr>
        <w:t>”</w:t>
      </w:r>
      <w:r w:rsidR="003F63A5" w:rsidRPr="00A105D0">
        <w:rPr>
          <w:iCs/>
        </w:rPr>
        <w:t xml:space="preserve"> with</w:t>
      </w:r>
      <w:r w:rsidR="007370C9" w:rsidRPr="00A105D0">
        <w:rPr>
          <w:iCs/>
        </w:rPr>
        <w:t xml:space="preserve"> the</w:t>
      </w:r>
      <w:r w:rsidR="003F63A5" w:rsidRPr="00A105D0">
        <w:rPr>
          <w:iCs/>
        </w:rPr>
        <w:t xml:space="preserve"> </w:t>
      </w:r>
      <w:r w:rsidR="00337484" w:rsidRPr="00A105D0">
        <w:rPr>
          <w:iCs/>
        </w:rPr>
        <w:t>“</w:t>
      </w:r>
      <w:r w:rsidR="00CF16DE" w:rsidRPr="00A105D0">
        <w:rPr>
          <w:i/>
        </w:rPr>
        <w:t>Health Insurance (Section 3C General Medical Services – Telehealth and Telephone Attendances) Determination 2021</w:t>
      </w:r>
      <w:r w:rsidR="00337484" w:rsidRPr="00A105D0">
        <w:rPr>
          <w:iCs/>
        </w:rPr>
        <w:t>”</w:t>
      </w:r>
      <w:r w:rsidR="00CF16DE" w:rsidRPr="00A105D0">
        <w:rPr>
          <w:iCs/>
        </w:rPr>
        <w:t>.</w:t>
      </w:r>
      <w:r w:rsidR="00156D5D" w:rsidRPr="00A105D0">
        <w:rPr>
          <w:iCs/>
        </w:rPr>
        <w:t xml:space="preserve"> This is an administrative amendment to refer to the</w:t>
      </w:r>
      <w:r w:rsidR="00E7258D" w:rsidRPr="00A105D0">
        <w:rPr>
          <w:iCs/>
        </w:rPr>
        <w:t xml:space="preserve"> updated</w:t>
      </w:r>
      <w:r w:rsidR="00156D5D" w:rsidRPr="00A105D0">
        <w:rPr>
          <w:iCs/>
        </w:rPr>
        <w:t xml:space="preserve"> determination</w:t>
      </w:r>
      <w:r w:rsidR="00E7258D" w:rsidRPr="00A105D0">
        <w:rPr>
          <w:iCs/>
        </w:rPr>
        <w:t xml:space="preserve"> name</w:t>
      </w:r>
      <w:r w:rsidR="00156D5D" w:rsidRPr="00A105D0">
        <w:rPr>
          <w:iCs/>
        </w:rPr>
        <w:t>.</w:t>
      </w:r>
    </w:p>
    <w:p w14:paraId="1099038B" w14:textId="5929A590" w:rsidR="007370C9" w:rsidRPr="00A105D0" w:rsidRDefault="007370C9" w:rsidP="00A105D0">
      <w:pPr>
        <w:pStyle w:val="Header"/>
        <w:tabs>
          <w:tab w:val="num" w:pos="1080"/>
        </w:tabs>
        <w:rPr>
          <w:iCs/>
        </w:rPr>
      </w:pPr>
    </w:p>
    <w:p w14:paraId="0D5FD587" w14:textId="0951A86B" w:rsidR="002A0EF1" w:rsidRPr="00A105D0" w:rsidRDefault="002A0EF1" w:rsidP="00A105D0">
      <w:pPr>
        <w:pStyle w:val="Header"/>
        <w:tabs>
          <w:tab w:val="num" w:pos="1080"/>
        </w:tabs>
        <w:rPr>
          <w:iCs/>
        </w:rPr>
      </w:pPr>
      <w:r w:rsidRPr="00A105D0">
        <w:rPr>
          <w:i/>
        </w:rPr>
        <w:t>Health Insurance (Section 3C General Medical Services ‑ Optometric Services) Determination 2020</w:t>
      </w:r>
      <w:r w:rsidR="00337484" w:rsidRPr="00A105D0">
        <w:rPr>
          <w:iCs/>
        </w:rPr>
        <w:t xml:space="preserve"> (Optometric Services Determination)</w:t>
      </w:r>
    </w:p>
    <w:p w14:paraId="066E9889" w14:textId="77777777" w:rsidR="002A0EF1" w:rsidRPr="00A105D0" w:rsidRDefault="002A0EF1" w:rsidP="00A105D0">
      <w:pPr>
        <w:pStyle w:val="Header"/>
        <w:tabs>
          <w:tab w:val="num" w:pos="1080"/>
        </w:tabs>
        <w:rPr>
          <w:b/>
          <w:bCs/>
          <w:iCs/>
        </w:rPr>
      </w:pPr>
    </w:p>
    <w:p w14:paraId="451DF789" w14:textId="5B168141" w:rsidR="00156D5D" w:rsidRPr="00A105D0" w:rsidRDefault="007370C9" w:rsidP="00A105D0">
      <w:pPr>
        <w:pStyle w:val="Header"/>
        <w:tabs>
          <w:tab w:val="num" w:pos="1080"/>
        </w:tabs>
        <w:rPr>
          <w:iCs/>
        </w:rPr>
      </w:pPr>
      <w:r w:rsidRPr="00A105D0">
        <w:rPr>
          <w:b/>
          <w:bCs/>
          <w:iCs/>
        </w:rPr>
        <w:t xml:space="preserve">Amendment item </w:t>
      </w:r>
      <w:r w:rsidR="00636225" w:rsidRPr="00A105D0">
        <w:rPr>
          <w:b/>
          <w:bCs/>
          <w:iCs/>
        </w:rPr>
        <w:t>7</w:t>
      </w:r>
      <w:r w:rsidRPr="00A105D0">
        <w:rPr>
          <w:b/>
          <w:bCs/>
          <w:iCs/>
        </w:rPr>
        <w:t xml:space="preserve"> </w:t>
      </w:r>
      <w:r w:rsidRPr="00A105D0">
        <w:rPr>
          <w:iCs/>
        </w:rPr>
        <w:t xml:space="preserve">repeals the definition of </w:t>
      </w:r>
      <w:r w:rsidRPr="00A105D0">
        <w:rPr>
          <w:b/>
          <w:bCs/>
          <w:i/>
        </w:rPr>
        <w:t>institution</w:t>
      </w:r>
      <w:r w:rsidR="00337484" w:rsidRPr="00A105D0">
        <w:rPr>
          <w:b/>
          <w:bCs/>
          <w:iCs/>
        </w:rPr>
        <w:t xml:space="preserve"> </w:t>
      </w:r>
      <w:r w:rsidR="00337484" w:rsidRPr="00A105D0">
        <w:rPr>
          <w:iCs/>
        </w:rPr>
        <w:t>from subsection 5(1) of the Optometric Services Determination.</w:t>
      </w:r>
      <w:r w:rsidR="00156D5D" w:rsidRPr="00A105D0">
        <w:rPr>
          <w:iCs/>
        </w:rPr>
        <w:t xml:space="preserve"> Subsection 5(1) of the Optometric Services Determination defines the term </w:t>
      </w:r>
      <w:r w:rsidR="00732898" w:rsidRPr="00A105D0">
        <w:rPr>
          <w:iCs/>
        </w:rPr>
        <w:t>“</w:t>
      </w:r>
      <w:r w:rsidR="00156D5D" w:rsidRPr="00A105D0">
        <w:rPr>
          <w:iCs/>
        </w:rPr>
        <w:t>institution</w:t>
      </w:r>
      <w:r w:rsidR="00732898" w:rsidRPr="00A105D0">
        <w:rPr>
          <w:iCs/>
        </w:rPr>
        <w:t>”</w:t>
      </w:r>
      <w:r w:rsidR="00156D5D" w:rsidRPr="00A105D0">
        <w:rPr>
          <w:iCs/>
        </w:rPr>
        <w:t xml:space="preserve"> as having the same meaning as provided in the </w:t>
      </w:r>
      <w:r w:rsidR="00E7258D" w:rsidRPr="00A105D0">
        <w:t>GMST</w:t>
      </w:r>
      <w:r w:rsidR="00156D5D" w:rsidRPr="00A105D0">
        <w:rPr>
          <w:iCs/>
        </w:rPr>
        <w:t xml:space="preserve">. However, the word </w:t>
      </w:r>
      <w:r w:rsidR="00732898" w:rsidRPr="00A105D0">
        <w:rPr>
          <w:iCs/>
        </w:rPr>
        <w:t>“</w:t>
      </w:r>
      <w:r w:rsidR="00156D5D" w:rsidRPr="00A105D0">
        <w:rPr>
          <w:iCs/>
        </w:rPr>
        <w:t>institution</w:t>
      </w:r>
      <w:r w:rsidR="00732898" w:rsidRPr="00A105D0">
        <w:rPr>
          <w:iCs/>
        </w:rPr>
        <w:t>”</w:t>
      </w:r>
      <w:r w:rsidR="00156D5D" w:rsidRPr="00A105D0">
        <w:rPr>
          <w:iCs/>
        </w:rPr>
        <w:t xml:space="preserve"> </w:t>
      </w:r>
      <w:r w:rsidR="00E7258D" w:rsidRPr="00A105D0">
        <w:rPr>
          <w:iCs/>
        </w:rPr>
        <w:t xml:space="preserve">is </w:t>
      </w:r>
      <w:r w:rsidR="00156D5D" w:rsidRPr="00A105D0">
        <w:rPr>
          <w:iCs/>
        </w:rPr>
        <w:t xml:space="preserve">not </w:t>
      </w:r>
      <w:r w:rsidR="00E7258D" w:rsidRPr="00A105D0">
        <w:rPr>
          <w:iCs/>
        </w:rPr>
        <w:t>defined</w:t>
      </w:r>
      <w:r w:rsidR="00156D5D" w:rsidRPr="00A105D0">
        <w:rPr>
          <w:iCs/>
        </w:rPr>
        <w:t xml:space="preserve"> in the GMST.</w:t>
      </w:r>
      <w:r w:rsidR="00E7258D" w:rsidRPr="00A105D0">
        <w:rPr>
          <w:iCs/>
        </w:rPr>
        <w:t xml:space="preserve"> </w:t>
      </w:r>
      <w:bookmarkStart w:id="13" w:name="_Hlk133488006"/>
      <w:r w:rsidR="00E7258D" w:rsidRPr="00A105D0">
        <w:rPr>
          <w:iCs/>
        </w:rPr>
        <w:t>A definition of the term institution is unnecessary as it could restrict usage of items</w:t>
      </w:r>
      <w:bookmarkEnd w:id="13"/>
      <w:r w:rsidR="00E7258D" w:rsidRPr="00A105D0">
        <w:rPr>
          <w:iCs/>
        </w:rPr>
        <w:t xml:space="preserve"> in the Optometric Services Determination</w:t>
      </w:r>
      <w:r w:rsidR="00B4357C" w:rsidRPr="00A105D0">
        <w:rPr>
          <w:iCs/>
        </w:rPr>
        <w:t xml:space="preserve">. Therefore, this definition will be removed. </w:t>
      </w:r>
    </w:p>
    <w:p w14:paraId="59F660F3" w14:textId="77777777" w:rsidR="00C257A9" w:rsidRPr="00A105D0" w:rsidRDefault="00C257A9" w:rsidP="00A105D0">
      <w:pPr>
        <w:pStyle w:val="Header"/>
        <w:tabs>
          <w:tab w:val="num" w:pos="1080"/>
        </w:tabs>
        <w:rPr>
          <w:iCs/>
          <w:color w:val="FF0000"/>
        </w:rPr>
      </w:pPr>
    </w:p>
    <w:p w14:paraId="734F2558" w14:textId="77777777" w:rsidR="00C257A9" w:rsidRPr="00A105D0" w:rsidRDefault="00C257A9" w:rsidP="00A105D0">
      <w:pPr>
        <w:pStyle w:val="Header"/>
        <w:tabs>
          <w:tab w:val="num" w:pos="1080"/>
        </w:tabs>
        <w:rPr>
          <w:iCs/>
          <w:color w:val="FF0000"/>
        </w:rPr>
      </w:pPr>
    </w:p>
    <w:p w14:paraId="670F7F0B" w14:textId="77777777" w:rsidR="00C257A9" w:rsidRPr="00A105D0" w:rsidRDefault="00C257A9" w:rsidP="00A105D0">
      <w:pPr>
        <w:pStyle w:val="Header"/>
        <w:tabs>
          <w:tab w:val="num" w:pos="1080"/>
        </w:tabs>
        <w:rPr>
          <w:iCs/>
          <w:color w:val="FF0000"/>
        </w:rPr>
      </w:pPr>
    </w:p>
    <w:p w14:paraId="3552453B" w14:textId="77777777" w:rsidR="00C257A9" w:rsidRPr="00A105D0" w:rsidRDefault="00C257A9" w:rsidP="00A105D0">
      <w:pPr>
        <w:pStyle w:val="Header"/>
        <w:tabs>
          <w:tab w:val="num" w:pos="1080"/>
        </w:tabs>
        <w:rPr>
          <w:iCs/>
          <w:color w:val="FF0000"/>
        </w:rPr>
      </w:pPr>
    </w:p>
    <w:p w14:paraId="3F352FB3" w14:textId="77777777" w:rsidR="00C257A9" w:rsidRPr="00A105D0" w:rsidRDefault="00C257A9" w:rsidP="00A105D0">
      <w:pPr>
        <w:pStyle w:val="Header"/>
        <w:tabs>
          <w:tab w:val="num" w:pos="1080"/>
        </w:tabs>
        <w:rPr>
          <w:iCs/>
          <w:color w:val="FF0000"/>
        </w:rPr>
      </w:pPr>
    </w:p>
    <w:p w14:paraId="4E83BCA0" w14:textId="77777777" w:rsidR="00C257A9" w:rsidRPr="00A105D0" w:rsidRDefault="00C257A9" w:rsidP="00A105D0">
      <w:pPr>
        <w:pStyle w:val="Header"/>
        <w:tabs>
          <w:tab w:val="num" w:pos="1080"/>
        </w:tabs>
        <w:rPr>
          <w:iCs/>
          <w:color w:val="FF0000"/>
        </w:rPr>
      </w:pPr>
    </w:p>
    <w:p w14:paraId="371F01D6" w14:textId="77777777" w:rsidR="007708B3" w:rsidRPr="00A105D0" w:rsidRDefault="007708B3" w:rsidP="00A105D0">
      <w:pPr>
        <w:pStyle w:val="Header"/>
        <w:tabs>
          <w:tab w:val="num" w:pos="1080"/>
        </w:tabs>
        <w:rPr>
          <w:b/>
          <w:szCs w:val="24"/>
        </w:rPr>
      </w:pPr>
    </w:p>
    <w:p w14:paraId="21DF9DDC" w14:textId="1767E1F1" w:rsidR="00331752" w:rsidRPr="00A105D0" w:rsidRDefault="00331752" w:rsidP="00A105D0">
      <w:pPr>
        <w:spacing w:after="200" w:line="276" w:lineRule="auto"/>
        <w:rPr>
          <w:szCs w:val="24"/>
          <w:u w:val="single"/>
        </w:rPr>
      </w:pPr>
      <w:r w:rsidRPr="00A105D0">
        <w:rPr>
          <w:szCs w:val="24"/>
          <w:u w:val="single"/>
        </w:rPr>
        <w:br w:type="page"/>
      </w:r>
    </w:p>
    <w:p w14:paraId="2412D14E" w14:textId="632B4BE9" w:rsidR="00A17F2C" w:rsidRPr="00A105D0" w:rsidRDefault="00A17F2C" w:rsidP="00A105D0">
      <w:pPr>
        <w:pStyle w:val="Header"/>
        <w:tabs>
          <w:tab w:val="num" w:pos="1080"/>
        </w:tabs>
        <w:jc w:val="center"/>
        <w:rPr>
          <w:b/>
          <w:sz w:val="28"/>
          <w:szCs w:val="28"/>
        </w:rPr>
      </w:pPr>
      <w:r w:rsidRPr="00A105D0">
        <w:rPr>
          <w:b/>
          <w:sz w:val="28"/>
          <w:szCs w:val="28"/>
        </w:rPr>
        <w:lastRenderedPageBreak/>
        <w:t>Statement of Compatibility with Human Rights</w:t>
      </w:r>
    </w:p>
    <w:p w14:paraId="2412D14F" w14:textId="77777777" w:rsidR="00A17F2C" w:rsidRPr="00A105D0" w:rsidRDefault="00A17F2C" w:rsidP="00A105D0">
      <w:pPr>
        <w:spacing w:before="120" w:after="120"/>
        <w:jc w:val="center"/>
        <w:rPr>
          <w:szCs w:val="24"/>
        </w:rPr>
      </w:pPr>
      <w:r w:rsidRPr="00A105D0">
        <w:rPr>
          <w:i/>
          <w:szCs w:val="24"/>
        </w:rPr>
        <w:t>Prepared in accordance with Part 3 of the Human Rights (Parliamentary Scrutiny) Act 2011</w:t>
      </w:r>
    </w:p>
    <w:p w14:paraId="6D75B18F" w14:textId="77777777" w:rsidR="007370C9" w:rsidRPr="00A105D0" w:rsidRDefault="007370C9" w:rsidP="00A105D0">
      <w:pPr>
        <w:tabs>
          <w:tab w:val="left" w:pos="1418"/>
        </w:tabs>
        <w:rPr>
          <w:i/>
        </w:rPr>
      </w:pPr>
    </w:p>
    <w:p w14:paraId="3A52A4B2" w14:textId="6A15F9AD" w:rsidR="00C6094D" w:rsidRPr="00A105D0" w:rsidRDefault="00E024A7" w:rsidP="00A105D0">
      <w:pPr>
        <w:tabs>
          <w:tab w:val="left" w:pos="1418"/>
        </w:tabs>
        <w:jc w:val="center"/>
        <w:rPr>
          <w:i/>
        </w:rPr>
      </w:pPr>
      <w:bookmarkStart w:id="14" w:name="_Hlk129765265"/>
      <w:r w:rsidRPr="00A105D0">
        <w:rPr>
          <w:i/>
        </w:rPr>
        <w:t>Health Insurance Legislation Amendment (2023 Measures No. 1) Determination 2023</w:t>
      </w:r>
    </w:p>
    <w:bookmarkEnd w:id="14"/>
    <w:p w14:paraId="1BF56C38" w14:textId="77777777" w:rsidR="007708B3" w:rsidRPr="00A105D0" w:rsidRDefault="007708B3" w:rsidP="00A105D0">
      <w:pPr>
        <w:tabs>
          <w:tab w:val="left" w:pos="1418"/>
        </w:tabs>
        <w:ind w:left="851"/>
        <w:jc w:val="center"/>
        <w:rPr>
          <w:b/>
          <w:i/>
          <w:szCs w:val="24"/>
        </w:rPr>
      </w:pPr>
    </w:p>
    <w:p w14:paraId="2412D153" w14:textId="7AFD921D" w:rsidR="00A17F2C" w:rsidRPr="00A105D0" w:rsidRDefault="00A17F2C" w:rsidP="00A105D0">
      <w:pPr>
        <w:jc w:val="center"/>
        <w:rPr>
          <w:szCs w:val="24"/>
        </w:rPr>
      </w:pPr>
      <w:r w:rsidRPr="00A105D0">
        <w:rPr>
          <w:szCs w:val="24"/>
        </w:rPr>
        <w:t xml:space="preserve">This </w:t>
      </w:r>
      <w:r w:rsidR="0046022A" w:rsidRPr="00A105D0">
        <w:rPr>
          <w:szCs w:val="24"/>
        </w:rPr>
        <w:t>instrument</w:t>
      </w:r>
      <w:r w:rsidRPr="00A105D0">
        <w:rPr>
          <w:szCs w:val="24"/>
        </w:rPr>
        <w:t xml:space="preserve"> is compatible with the human rights and freedoms recognised or declared in the international instruments listed in section 3 of the </w:t>
      </w:r>
      <w:r w:rsidRPr="00A105D0">
        <w:rPr>
          <w:i/>
          <w:szCs w:val="24"/>
        </w:rPr>
        <w:t>Human Rights (Parliamentary Scrutiny) Act 2011</w:t>
      </w:r>
      <w:r w:rsidRPr="00A105D0">
        <w:rPr>
          <w:szCs w:val="24"/>
        </w:rPr>
        <w:t>.</w:t>
      </w:r>
    </w:p>
    <w:p w14:paraId="7EDA9098" w14:textId="73EBB13F" w:rsidR="006E6BBF" w:rsidRPr="00A105D0" w:rsidRDefault="006E6BBF" w:rsidP="00A105D0">
      <w:pPr>
        <w:spacing w:before="120" w:after="120"/>
        <w:rPr>
          <w:b/>
          <w:szCs w:val="24"/>
        </w:rPr>
      </w:pPr>
      <w:r w:rsidRPr="00A105D0">
        <w:rPr>
          <w:b/>
          <w:szCs w:val="24"/>
        </w:rPr>
        <w:t xml:space="preserve">Overview of the </w:t>
      </w:r>
      <w:r w:rsidR="001340F3" w:rsidRPr="00A105D0">
        <w:rPr>
          <w:b/>
          <w:szCs w:val="24"/>
        </w:rPr>
        <w:t>Amendment</w:t>
      </w:r>
    </w:p>
    <w:p w14:paraId="3CEDC3F1" w14:textId="77777777" w:rsidR="00CF1D56" w:rsidRPr="00A105D0" w:rsidRDefault="00CF1D56" w:rsidP="00A105D0">
      <w:pPr>
        <w:ind w:right="-483"/>
        <w:rPr>
          <w:szCs w:val="24"/>
        </w:rPr>
      </w:pPr>
      <w:r w:rsidRPr="00A105D0">
        <w:rPr>
          <w:szCs w:val="24"/>
        </w:rPr>
        <w:t xml:space="preserve">The purpose of the </w:t>
      </w:r>
      <w:r w:rsidRPr="00A105D0">
        <w:rPr>
          <w:i/>
          <w:iCs/>
          <w:szCs w:val="24"/>
        </w:rPr>
        <w:t>Health Insurance Legislation Amendment (2023 Measures No. 1) Determination 2023</w:t>
      </w:r>
      <w:r w:rsidRPr="00A105D0">
        <w:rPr>
          <w:szCs w:val="24"/>
        </w:rPr>
        <w:t xml:space="preserve"> (the Amendment Determination) is to make administrative and machinery amendments from 1 July 2023 to:</w:t>
      </w:r>
    </w:p>
    <w:p w14:paraId="0882C387" w14:textId="77777777" w:rsidR="00CF1D56" w:rsidRPr="00A105D0" w:rsidRDefault="00CF1D56" w:rsidP="00A105D0">
      <w:pPr>
        <w:pStyle w:val="ListParagraph"/>
        <w:numPr>
          <w:ilvl w:val="0"/>
          <w:numId w:val="33"/>
        </w:numPr>
        <w:ind w:right="-483"/>
        <w:rPr>
          <w:szCs w:val="24"/>
        </w:rPr>
      </w:pPr>
      <w:r w:rsidRPr="00A105D0">
        <w:rPr>
          <w:szCs w:val="24"/>
        </w:rPr>
        <w:t xml:space="preserve">the </w:t>
      </w:r>
      <w:r w:rsidRPr="00A105D0">
        <w:rPr>
          <w:i/>
          <w:iCs/>
          <w:szCs w:val="24"/>
        </w:rPr>
        <w:t>Health Insurance (Section 3C General Medical Services – Telehealth and Telephone Attendances) Determination 2021</w:t>
      </w:r>
      <w:r w:rsidRPr="00A105D0">
        <w:rPr>
          <w:szCs w:val="24"/>
        </w:rPr>
        <w:t xml:space="preserve"> (Telehealth Determination</w:t>
      </w:r>
      <w:proofErr w:type="gramStart"/>
      <w:r w:rsidRPr="00A105D0">
        <w:rPr>
          <w:szCs w:val="24"/>
        </w:rPr>
        <w:t>);</w:t>
      </w:r>
      <w:proofErr w:type="gramEnd"/>
    </w:p>
    <w:p w14:paraId="1B93D6C1" w14:textId="77777777" w:rsidR="00CF1D56" w:rsidRPr="00A105D0" w:rsidRDefault="00CF1D56" w:rsidP="00A105D0">
      <w:pPr>
        <w:pStyle w:val="ListParagraph"/>
        <w:numPr>
          <w:ilvl w:val="0"/>
          <w:numId w:val="33"/>
        </w:numPr>
        <w:ind w:right="-483"/>
        <w:rPr>
          <w:szCs w:val="24"/>
        </w:rPr>
      </w:pPr>
      <w:r w:rsidRPr="00A105D0">
        <w:rPr>
          <w:szCs w:val="24"/>
        </w:rPr>
        <w:t xml:space="preserve">the </w:t>
      </w:r>
      <w:r w:rsidRPr="00A105D0">
        <w:rPr>
          <w:i/>
          <w:iCs/>
          <w:szCs w:val="24"/>
        </w:rPr>
        <w:t>Health Insurance (Section 3C General Medical Services – Other Medical Practitioner) Determination 2018</w:t>
      </w:r>
      <w:r w:rsidRPr="00A105D0">
        <w:rPr>
          <w:szCs w:val="24"/>
        </w:rPr>
        <w:t xml:space="preserve"> (Other Medical Practitioner Determination); and</w:t>
      </w:r>
    </w:p>
    <w:p w14:paraId="11A2733F" w14:textId="77777777" w:rsidR="00CF1D56" w:rsidRPr="00A105D0" w:rsidRDefault="00CF1D56" w:rsidP="00A105D0">
      <w:pPr>
        <w:pStyle w:val="ListParagraph"/>
        <w:numPr>
          <w:ilvl w:val="0"/>
          <w:numId w:val="33"/>
        </w:numPr>
        <w:ind w:right="-483"/>
        <w:rPr>
          <w:szCs w:val="24"/>
        </w:rPr>
      </w:pPr>
      <w:r w:rsidRPr="00A105D0">
        <w:rPr>
          <w:i/>
          <w:iCs/>
          <w:szCs w:val="24"/>
        </w:rPr>
        <w:t>Health Insurance (Section 3C General Medical Services ‑ Optometric Services) Determination 2020</w:t>
      </w:r>
      <w:r w:rsidRPr="00A105D0">
        <w:rPr>
          <w:szCs w:val="24"/>
        </w:rPr>
        <w:t xml:space="preserve"> (Optometric Services Determination).</w:t>
      </w:r>
    </w:p>
    <w:p w14:paraId="202BF628" w14:textId="77777777" w:rsidR="00CF1D56" w:rsidRPr="00A105D0" w:rsidRDefault="00CF1D56" w:rsidP="00A105D0">
      <w:pPr>
        <w:ind w:right="-483"/>
        <w:rPr>
          <w:szCs w:val="24"/>
        </w:rPr>
      </w:pPr>
    </w:p>
    <w:p w14:paraId="518F0DD5" w14:textId="77777777" w:rsidR="00CF1D56" w:rsidRPr="00A105D0" w:rsidRDefault="00CF1D56" w:rsidP="00A105D0">
      <w:pPr>
        <w:ind w:right="-483"/>
        <w:rPr>
          <w:szCs w:val="24"/>
        </w:rPr>
      </w:pPr>
      <w:r w:rsidRPr="00A105D0">
        <w:rPr>
          <w:szCs w:val="24"/>
        </w:rPr>
        <w:t xml:space="preserve">The changes to the Telehealth Determination include amending the name of subgroup 16 of Group M18 to align with changes introduced on 1 March 2023 by the </w:t>
      </w:r>
      <w:r w:rsidRPr="00A105D0">
        <w:rPr>
          <w:i/>
          <w:iCs/>
          <w:szCs w:val="24"/>
        </w:rPr>
        <w:t>Health Insurance Legislation Amendment (2022 Measures No. 4) Regulations 2022</w:t>
      </w:r>
      <w:r w:rsidRPr="00A105D0">
        <w:rPr>
          <w:szCs w:val="24"/>
        </w:rPr>
        <w:t>. The Amendment Determination will also repeal Schedules 6 to 8 of the Telehealth Determination, which ceased on 30 June 2022.</w:t>
      </w:r>
    </w:p>
    <w:p w14:paraId="78129225" w14:textId="77777777" w:rsidR="00CF1D56" w:rsidRPr="00A105D0" w:rsidRDefault="00CF1D56" w:rsidP="00A105D0">
      <w:pPr>
        <w:ind w:right="-483"/>
        <w:rPr>
          <w:szCs w:val="24"/>
        </w:rPr>
      </w:pPr>
    </w:p>
    <w:p w14:paraId="1C7B05C3" w14:textId="5FCD2465" w:rsidR="00CF1D56" w:rsidRPr="00A105D0" w:rsidRDefault="00CF1D56" w:rsidP="00A105D0">
      <w:pPr>
        <w:ind w:right="-483"/>
        <w:rPr>
          <w:szCs w:val="24"/>
        </w:rPr>
      </w:pPr>
      <w:r w:rsidRPr="00A105D0">
        <w:rPr>
          <w:szCs w:val="24"/>
        </w:rPr>
        <w:t xml:space="preserve">The Amendment Determination will amend clause 1.1.05 of the Telehealth Determination and clause 1.6.2 of the Other Medical Practitioner Determination to ensure items listed in these clauses align with clause 2.16.11 of the GMST, which was amended on 1 March 2023 by the </w:t>
      </w:r>
      <w:r w:rsidRPr="00A105D0">
        <w:rPr>
          <w:i/>
          <w:iCs/>
          <w:szCs w:val="24"/>
        </w:rPr>
        <w:t>Health Insurance Legislation Amendment (2022 Measures No. 4) Regulations 2022</w:t>
      </w:r>
      <w:r w:rsidRPr="00A105D0" w:rsidDel="008944EE">
        <w:rPr>
          <w:szCs w:val="24"/>
        </w:rPr>
        <w:t>.</w:t>
      </w:r>
    </w:p>
    <w:p w14:paraId="1E588A71" w14:textId="77777777" w:rsidR="00CF1D56" w:rsidRPr="00A105D0" w:rsidRDefault="00CF1D56" w:rsidP="00A105D0">
      <w:pPr>
        <w:ind w:right="-483"/>
        <w:rPr>
          <w:szCs w:val="24"/>
        </w:rPr>
      </w:pPr>
    </w:p>
    <w:p w14:paraId="6D135CA4" w14:textId="77777777" w:rsidR="00AC0693" w:rsidRPr="00A105D0" w:rsidRDefault="00AC0693" w:rsidP="00A105D0">
      <w:pPr>
        <w:ind w:right="-483"/>
        <w:rPr>
          <w:szCs w:val="24"/>
        </w:rPr>
      </w:pPr>
      <w:r w:rsidRPr="00A105D0">
        <w:rPr>
          <w:szCs w:val="24"/>
        </w:rPr>
        <w:t>The Amendment Determination will also make the following minor administrative amendments:</w:t>
      </w:r>
    </w:p>
    <w:p w14:paraId="1AD602B5" w14:textId="77777777" w:rsidR="00AC0693" w:rsidRPr="00A105D0" w:rsidRDefault="00AC0693" w:rsidP="00A105D0">
      <w:pPr>
        <w:numPr>
          <w:ilvl w:val="0"/>
          <w:numId w:val="33"/>
        </w:numPr>
        <w:ind w:right="-483"/>
        <w:contextualSpacing/>
        <w:rPr>
          <w:color w:val="FF0000"/>
          <w:szCs w:val="24"/>
        </w:rPr>
      </w:pPr>
      <w:r w:rsidRPr="00A105D0">
        <w:rPr>
          <w:szCs w:val="24"/>
        </w:rPr>
        <w:t xml:space="preserve">repeal the definitions of </w:t>
      </w:r>
      <w:r w:rsidRPr="00A105D0">
        <w:rPr>
          <w:b/>
          <w:bCs/>
          <w:i/>
          <w:iCs/>
          <w:szCs w:val="24"/>
        </w:rPr>
        <w:t>admitting dental practitioner</w:t>
      </w:r>
      <w:r w:rsidRPr="00A105D0">
        <w:rPr>
          <w:szCs w:val="24"/>
        </w:rPr>
        <w:t xml:space="preserve"> and </w:t>
      </w:r>
      <w:r w:rsidRPr="00A105D0">
        <w:rPr>
          <w:b/>
          <w:bCs/>
          <w:i/>
          <w:iCs/>
          <w:szCs w:val="24"/>
        </w:rPr>
        <w:t>admitting medical practitioner</w:t>
      </w:r>
      <w:r w:rsidRPr="00A105D0">
        <w:rPr>
          <w:szCs w:val="24"/>
        </w:rPr>
        <w:t xml:space="preserve"> from the Telehealth Determination as these terms are only relevant to Schedule 6, which ceased on 30 June </w:t>
      </w:r>
      <w:proofErr w:type="gramStart"/>
      <w:r w:rsidRPr="00A105D0">
        <w:rPr>
          <w:szCs w:val="24"/>
        </w:rPr>
        <w:t>2022;</w:t>
      </w:r>
      <w:proofErr w:type="gramEnd"/>
      <w:r w:rsidRPr="00A105D0">
        <w:rPr>
          <w:szCs w:val="24"/>
        </w:rPr>
        <w:t xml:space="preserve"> </w:t>
      </w:r>
      <w:bookmarkStart w:id="15" w:name="_Hlk129766143"/>
      <w:bookmarkStart w:id="16" w:name="_Hlk129765615"/>
    </w:p>
    <w:bookmarkEnd w:id="15"/>
    <w:bookmarkEnd w:id="16"/>
    <w:p w14:paraId="1F328870" w14:textId="77777777" w:rsidR="00AC0693" w:rsidRPr="00A105D0" w:rsidRDefault="00AC0693" w:rsidP="00A105D0">
      <w:pPr>
        <w:numPr>
          <w:ilvl w:val="0"/>
          <w:numId w:val="33"/>
        </w:numPr>
        <w:ind w:right="-483"/>
        <w:contextualSpacing/>
        <w:rPr>
          <w:color w:val="FF0000"/>
          <w:szCs w:val="24"/>
        </w:rPr>
      </w:pPr>
      <w:r w:rsidRPr="00A105D0">
        <w:rPr>
          <w:szCs w:val="24"/>
        </w:rPr>
        <w:t xml:space="preserve">update the definition of </w:t>
      </w:r>
      <w:r w:rsidRPr="00A105D0">
        <w:rPr>
          <w:b/>
          <w:bCs/>
          <w:i/>
          <w:iCs/>
          <w:szCs w:val="24"/>
        </w:rPr>
        <w:t>COVID-19 Determination</w:t>
      </w:r>
      <w:r w:rsidRPr="00A105D0">
        <w:rPr>
          <w:szCs w:val="24"/>
        </w:rPr>
        <w:t xml:space="preserve"> in the Other Medical Practitioner Determination to refer to the revised determination name; and</w:t>
      </w:r>
    </w:p>
    <w:p w14:paraId="5F104528" w14:textId="3AD0DBB7" w:rsidR="00C67BC7" w:rsidRPr="00A105D0" w:rsidRDefault="008F48F7" w:rsidP="00A105D0">
      <w:pPr>
        <w:pStyle w:val="ListParagraph"/>
        <w:numPr>
          <w:ilvl w:val="0"/>
          <w:numId w:val="33"/>
        </w:numPr>
        <w:ind w:right="-483"/>
        <w:rPr>
          <w:iCs/>
        </w:rPr>
      </w:pPr>
      <w:bookmarkStart w:id="17" w:name="_Hlk129766377"/>
      <w:r w:rsidRPr="00A105D0">
        <w:rPr>
          <w:szCs w:val="24"/>
        </w:rPr>
        <w:t xml:space="preserve">repeal the definition of </w:t>
      </w:r>
      <w:r w:rsidRPr="00A105D0">
        <w:rPr>
          <w:b/>
          <w:bCs/>
          <w:i/>
          <w:iCs/>
          <w:szCs w:val="24"/>
        </w:rPr>
        <w:t>institution</w:t>
      </w:r>
      <w:r w:rsidRPr="00A105D0">
        <w:rPr>
          <w:szCs w:val="24"/>
        </w:rPr>
        <w:t xml:space="preserve"> in the Optometric Services Determination as the definition refers to the meaning of institution in the GMST, which does not define this term</w:t>
      </w:r>
      <w:bookmarkStart w:id="18" w:name="_Hlk129765746"/>
      <w:r w:rsidR="00AC0693" w:rsidRPr="00A105D0">
        <w:rPr>
          <w:szCs w:val="24"/>
        </w:rPr>
        <w:t>.</w:t>
      </w:r>
      <w:bookmarkEnd w:id="17"/>
      <w:bookmarkEnd w:id="18"/>
    </w:p>
    <w:p w14:paraId="678454DE" w14:textId="77777777" w:rsidR="00DD7A00" w:rsidRPr="00A105D0" w:rsidRDefault="00DD7A00" w:rsidP="00A105D0">
      <w:pPr>
        <w:ind w:right="-482"/>
        <w:rPr>
          <w:iCs/>
        </w:rPr>
      </w:pPr>
    </w:p>
    <w:p w14:paraId="2412D15C" w14:textId="50D38E8B" w:rsidR="00A17F2C" w:rsidRPr="00A105D0" w:rsidRDefault="00A17F2C" w:rsidP="00A105D0">
      <w:pPr>
        <w:ind w:right="-482"/>
        <w:rPr>
          <w:b/>
          <w:szCs w:val="24"/>
        </w:rPr>
      </w:pPr>
      <w:r w:rsidRPr="00A105D0">
        <w:rPr>
          <w:b/>
          <w:szCs w:val="24"/>
        </w:rPr>
        <w:t>Human rights implications</w:t>
      </w:r>
    </w:p>
    <w:p w14:paraId="449665F0" w14:textId="2ED3F54B" w:rsidR="00806020" w:rsidRPr="00A105D0" w:rsidRDefault="00806020" w:rsidP="00A105D0">
      <w:pPr>
        <w:spacing w:before="120" w:after="120"/>
        <w:rPr>
          <w:szCs w:val="24"/>
        </w:rPr>
      </w:pPr>
      <w:r w:rsidRPr="00A105D0">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A105D0" w:rsidRDefault="00A17F2C" w:rsidP="00A105D0">
      <w:pPr>
        <w:spacing w:before="120" w:after="120"/>
        <w:rPr>
          <w:i/>
          <w:szCs w:val="24"/>
        </w:rPr>
      </w:pPr>
      <w:r w:rsidRPr="00A105D0">
        <w:rPr>
          <w:i/>
          <w:szCs w:val="24"/>
        </w:rPr>
        <w:t>The Right to Health</w:t>
      </w:r>
    </w:p>
    <w:p w14:paraId="2412D15F" w14:textId="77777777" w:rsidR="00A17F2C" w:rsidRPr="00A105D0" w:rsidRDefault="00A17F2C" w:rsidP="00A105D0">
      <w:pPr>
        <w:spacing w:before="120" w:after="120"/>
        <w:rPr>
          <w:szCs w:val="24"/>
        </w:rPr>
      </w:pPr>
      <w:r w:rsidRPr="00A105D0">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A105D0">
        <w:rPr>
          <w:szCs w:val="24"/>
        </w:rPr>
        <w:lastRenderedPageBreak/>
        <w:t>healthy, but</w:t>
      </w:r>
      <w:proofErr w:type="gramEnd"/>
      <w:r w:rsidRPr="00A105D0">
        <w:rPr>
          <w:szCs w:val="24"/>
        </w:rPr>
        <w:t xml:space="preserve"> is a right to a system of health protection which provides equality of opportunity for people to enjoy the highest attainable level of health. </w:t>
      </w:r>
    </w:p>
    <w:p w14:paraId="2412D160" w14:textId="77777777" w:rsidR="00A17F2C" w:rsidRPr="00A105D0" w:rsidRDefault="00A17F2C" w:rsidP="00A105D0">
      <w:pPr>
        <w:spacing w:before="120" w:after="120"/>
        <w:rPr>
          <w:szCs w:val="24"/>
        </w:rPr>
      </w:pPr>
      <w:r w:rsidRPr="00A105D0">
        <w:rPr>
          <w:szCs w:val="24"/>
        </w:rPr>
        <w:t xml:space="preserve">The Committee reports that the </w:t>
      </w:r>
      <w:r w:rsidRPr="00A105D0">
        <w:rPr>
          <w:i/>
          <w:szCs w:val="24"/>
        </w:rPr>
        <w:t>‘highest attainable standard of health’</w:t>
      </w:r>
      <w:r w:rsidRPr="00A105D0">
        <w:rPr>
          <w:szCs w:val="24"/>
        </w:rPr>
        <w:t xml:space="preserve"> </w:t>
      </w:r>
      <w:proofErr w:type="gramStart"/>
      <w:r w:rsidRPr="00A105D0">
        <w:rPr>
          <w:szCs w:val="24"/>
        </w:rPr>
        <w:t>takes into account</w:t>
      </w:r>
      <w:proofErr w:type="gramEnd"/>
      <w:r w:rsidRPr="00A105D0">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A105D0" w:rsidRDefault="00A17F2C" w:rsidP="00A105D0">
      <w:pPr>
        <w:spacing w:before="120" w:after="120"/>
        <w:rPr>
          <w:i/>
          <w:szCs w:val="24"/>
        </w:rPr>
      </w:pPr>
      <w:r w:rsidRPr="00A105D0">
        <w:rPr>
          <w:i/>
          <w:szCs w:val="24"/>
        </w:rPr>
        <w:t xml:space="preserve">The Right to Social Security </w:t>
      </w:r>
    </w:p>
    <w:p w14:paraId="2412D162" w14:textId="77777777" w:rsidR="00A17F2C" w:rsidRPr="00A105D0" w:rsidRDefault="00A17F2C" w:rsidP="00A105D0">
      <w:pPr>
        <w:spacing w:before="120" w:after="120"/>
        <w:rPr>
          <w:szCs w:val="24"/>
        </w:rPr>
      </w:pPr>
      <w:r w:rsidRPr="00A105D0">
        <w:rPr>
          <w:szCs w:val="24"/>
        </w:rPr>
        <w:t>The right to social security is contained in Article 9 of the ICESCR. It requires that a country must, within its maximum available resources, ensure access to a social security scheme that</w:t>
      </w:r>
      <w:r w:rsidR="00BA69CB" w:rsidRPr="00A105D0">
        <w:rPr>
          <w:szCs w:val="24"/>
        </w:rPr>
        <w:t xml:space="preserve"> </w:t>
      </w:r>
      <w:r w:rsidRPr="00A105D0">
        <w:rPr>
          <w:szCs w:val="24"/>
        </w:rPr>
        <w:t xml:space="preserve">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A105D0">
        <w:rPr>
          <w:szCs w:val="24"/>
        </w:rPr>
        <w:t>in an effort to</w:t>
      </w:r>
      <w:proofErr w:type="gramEnd"/>
      <w:r w:rsidRPr="00A105D0">
        <w:rPr>
          <w:szCs w:val="24"/>
        </w:rPr>
        <w:t xml:space="preserve"> satisfy, as a matter of priority, this minimum obligation.</w:t>
      </w:r>
    </w:p>
    <w:p w14:paraId="64F938D6" w14:textId="300FFB6B" w:rsidR="00636225" w:rsidRPr="00A105D0" w:rsidRDefault="00A17F2C" w:rsidP="00A105D0">
      <w:pPr>
        <w:spacing w:before="120" w:after="120"/>
        <w:rPr>
          <w:i/>
          <w:iCs/>
          <w:szCs w:val="24"/>
        </w:rPr>
      </w:pPr>
      <w:r w:rsidRPr="00A105D0">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A105D0">
        <w:rPr>
          <w:szCs w:val="24"/>
        </w:rPr>
        <w:t>Government</w:t>
      </w:r>
      <w:proofErr w:type="gramEnd"/>
      <w:r w:rsidRPr="00A105D0">
        <w:rPr>
          <w:szCs w:val="24"/>
        </w:rPr>
        <w:t xml:space="preserve"> to re-direct its limited resources in ways that it considers to be more effective at meeting the general health needs of all society, particularly the needs of the more disadvantaged members of society.</w:t>
      </w:r>
    </w:p>
    <w:p w14:paraId="31D17BE7" w14:textId="38CB2939" w:rsidR="00B612B5" w:rsidRPr="00A105D0" w:rsidRDefault="00B612B5" w:rsidP="00A105D0">
      <w:pPr>
        <w:spacing w:before="120" w:after="120"/>
        <w:rPr>
          <w:szCs w:val="24"/>
        </w:rPr>
      </w:pPr>
      <w:r w:rsidRPr="00A105D0">
        <w:rPr>
          <w:i/>
          <w:iCs/>
          <w:szCs w:val="24"/>
        </w:rPr>
        <w:t>The right of equality and non-discrimination</w:t>
      </w:r>
    </w:p>
    <w:p w14:paraId="01405BA5" w14:textId="6B9DB180" w:rsidR="00B612B5" w:rsidRPr="00A105D0" w:rsidRDefault="00B612B5" w:rsidP="00A105D0">
      <w:pPr>
        <w:spacing w:before="120" w:after="120"/>
        <w:rPr>
          <w:szCs w:val="24"/>
        </w:rPr>
      </w:pPr>
      <w:r w:rsidRPr="00A105D0">
        <w:rPr>
          <w:szCs w:val="24"/>
        </w:rPr>
        <w:t xml:space="preserve">The rights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w:t>
      </w:r>
      <w:proofErr w:type="gramStart"/>
      <w:r w:rsidRPr="00A105D0">
        <w:rPr>
          <w:szCs w:val="24"/>
        </w:rPr>
        <w:t>birth</w:t>
      </w:r>
      <w:proofErr w:type="gramEnd"/>
      <w:r w:rsidRPr="00A105D0">
        <w:rPr>
          <w:szCs w:val="24"/>
        </w:rPr>
        <w:t xml:space="preserve"> or other status.</w:t>
      </w:r>
    </w:p>
    <w:p w14:paraId="2412D164" w14:textId="1BF78036" w:rsidR="00A17F2C" w:rsidRPr="00A105D0" w:rsidRDefault="00A17F2C" w:rsidP="00A105D0">
      <w:pPr>
        <w:spacing w:before="120" w:after="120"/>
        <w:rPr>
          <w:szCs w:val="24"/>
          <w:u w:val="single"/>
        </w:rPr>
      </w:pPr>
      <w:r w:rsidRPr="00A105D0">
        <w:rPr>
          <w:szCs w:val="24"/>
          <w:u w:val="single"/>
        </w:rPr>
        <w:t xml:space="preserve">Analysis </w:t>
      </w:r>
    </w:p>
    <w:p w14:paraId="049EFB09" w14:textId="33FBA810" w:rsidR="00B2301D" w:rsidRPr="00A105D0" w:rsidRDefault="00B2301D" w:rsidP="00A105D0">
      <w:pPr>
        <w:rPr>
          <w:color w:val="FF0000"/>
          <w:szCs w:val="24"/>
        </w:rPr>
      </w:pPr>
      <w:r w:rsidRPr="00A105D0">
        <w:rPr>
          <w:szCs w:val="24"/>
        </w:rPr>
        <w:t>This instrument maintains the right</w:t>
      </w:r>
      <w:r w:rsidR="00D0276F" w:rsidRPr="00A105D0">
        <w:rPr>
          <w:szCs w:val="24"/>
        </w:rPr>
        <w:t>s</w:t>
      </w:r>
      <w:r w:rsidRPr="00A105D0">
        <w:rPr>
          <w:szCs w:val="24"/>
        </w:rPr>
        <w:t xml:space="preserve"> to health and social security and the right of equality and non-discrimination by ensuring access to publicly subsidised medical services are clinically and cost-effective as intended.</w:t>
      </w:r>
    </w:p>
    <w:p w14:paraId="27285983" w14:textId="77777777" w:rsidR="00E024A7" w:rsidRPr="00A105D0" w:rsidRDefault="00E024A7" w:rsidP="00A105D0">
      <w:pPr>
        <w:ind w:right="-482"/>
        <w:rPr>
          <w:b/>
          <w:szCs w:val="24"/>
        </w:rPr>
      </w:pPr>
    </w:p>
    <w:p w14:paraId="2412D166" w14:textId="3B723357" w:rsidR="00A17F2C" w:rsidRPr="00A105D0" w:rsidRDefault="00A17F2C" w:rsidP="00A105D0">
      <w:pPr>
        <w:ind w:right="-482"/>
        <w:rPr>
          <w:rFonts w:eastAsia="Calibri"/>
          <w:b/>
          <w:szCs w:val="24"/>
          <w:lang w:eastAsia="en-US"/>
        </w:rPr>
      </w:pPr>
      <w:r w:rsidRPr="00A105D0">
        <w:rPr>
          <w:b/>
          <w:szCs w:val="24"/>
        </w:rPr>
        <w:t>Conclusion</w:t>
      </w:r>
      <w:r w:rsidRPr="00A105D0">
        <w:rPr>
          <w:rFonts w:eastAsia="Calibri"/>
          <w:b/>
          <w:szCs w:val="24"/>
          <w:lang w:eastAsia="en-US"/>
        </w:rPr>
        <w:t xml:space="preserve"> </w:t>
      </w:r>
    </w:p>
    <w:p w14:paraId="2412D168" w14:textId="23220BF3" w:rsidR="00F15284" w:rsidRPr="00A105D0" w:rsidRDefault="006E6BBF" w:rsidP="00A105D0">
      <w:pPr>
        <w:rPr>
          <w:rFonts w:eastAsia="Calibri"/>
          <w:szCs w:val="24"/>
          <w:lang w:eastAsia="en-US"/>
        </w:rPr>
      </w:pPr>
      <w:r w:rsidRPr="00A105D0">
        <w:rPr>
          <w:szCs w:val="24"/>
        </w:rPr>
        <w:t xml:space="preserve">This </w:t>
      </w:r>
      <w:r w:rsidR="0046022A" w:rsidRPr="00A105D0">
        <w:rPr>
          <w:szCs w:val="24"/>
        </w:rPr>
        <w:t>instrument</w:t>
      </w:r>
      <w:r w:rsidRPr="00A105D0">
        <w:rPr>
          <w:szCs w:val="24"/>
        </w:rPr>
        <w:t xml:space="preserve"> </w:t>
      </w:r>
      <w:r w:rsidR="00F15284" w:rsidRPr="00A105D0">
        <w:rPr>
          <w:szCs w:val="24"/>
        </w:rPr>
        <w:t xml:space="preserve">is compatible with human rights as it </w:t>
      </w:r>
      <w:r w:rsidR="007C7403" w:rsidRPr="00A105D0">
        <w:rPr>
          <w:szCs w:val="24"/>
        </w:rPr>
        <w:t xml:space="preserve">maintains the </w:t>
      </w:r>
      <w:r w:rsidR="00910EF6" w:rsidRPr="00A105D0">
        <w:rPr>
          <w:szCs w:val="24"/>
        </w:rPr>
        <w:t>right to health</w:t>
      </w:r>
      <w:r w:rsidR="00E024A7" w:rsidRPr="00A105D0">
        <w:rPr>
          <w:szCs w:val="24"/>
        </w:rPr>
        <w:t>,</w:t>
      </w:r>
      <w:r w:rsidR="00910EF6" w:rsidRPr="00A105D0">
        <w:rPr>
          <w:szCs w:val="24"/>
        </w:rPr>
        <w:t xml:space="preserve"> the right to social security</w:t>
      </w:r>
      <w:r w:rsidR="00E024A7" w:rsidRPr="00A105D0">
        <w:rPr>
          <w:szCs w:val="24"/>
        </w:rPr>
        <w:t xml:space="preserve"> and the right of equality and non-discrimination</w:t>
      </w:r>
      <w:r w:rsidR="00910EF6" w:rsidRPr="00A105D0">
        <w:rPr>
          <w:szCs w:val="24"/>
        </w:rPr>
        <w:t xml:space="preserve">. </w:t>
      </w:r>
    </w:p>
    <w:p w14:paraId="75A46380" w14:textId="77777777" w:rsidR="00C67BC7" w:rsidRPr="00A105D0" w:rsidRDefault="00C67BC7" w:rsidP="00A105D0">
      <w:pPr>
        <w:jc w:val="center"/>
        <w:rPr>
          <w:b/>
          <w:bCs/>
        </w:rPr>
      </w:pPr>
    </w:p>
    <w:p w14:paraId="1A4FB0F3" w14:textId="37F02BC0" w:rsidR="001B6095" w:rsidRPr="00A105D0" w:rsidRDefault="00B81AA6" w:rsidP="00A105D0">
      <w:pPr>
        <w:spacing w:line="240" w:lineRule="atLeast"/>
        <w:ind w:right="-23"/>
        <w:jc w:val="center"/>
        <w:rPr>
          <w:b/>
          <w:bCs/>
          <w:szCs w:val="22"/>
        </w:rPr>
      </w:pPr>
      <w:r w:rsidRPr="00A105D0">
        <w:rPr>
          <w:b/>
          <w:bCs/>
          <w:szCs w:val="22"/>
        </w:rPr>
        <w:t>Daniel McCabe</w:t>
      </w:r>
    </w:p>
    <w:p w14:paraId="7E442A4C" w14:textId="0863D61B" w:rsidR="001B6095" w:rsidRPr="00A105D0" w:rsidRDefault="00B81AA6" w:rsidP="00A105D0">
      <w:pPr>
        <w:spacing w:line="240" w:lineRule="atLeast"/>
        <w:ind w:right="-23"/>
        <w:jc w:val="center"/>
        <w:rPr>
          <w:b/>
          <w:bCs/>
          <w:szCs w:val="22"/>
        </w:rPr>
      </w:pPr>
      <w:r w:rsidRPr="00A105D0">
        <w:rPr>
          <w:b/>
          <w:bCs/>
          <w:szCs w:val="22"/>
        </w:rPr>
        <w:t>First Assistant Secretary</w:t>
      </w:r>
    </w:p>
    <w:p w14:paraId="1817A584" w14:textId="6C313853" w:rsidR="001B6095" w:rsidRPr="00A105D0" w:rsidRDefault="00B81AA6" w:rsidP="00A105D0">
      <w:pPr>
        <w:spacing w:line="240" w:lineRule="atLeast"/>
        <w:ind w:right="-23"/>
        <w:jc w:val="center"/>
        <w:rPr>
          <w:b/>
          <w:bCs/>
          <w:szCs w:val="22"/>
        </w:rPr>
      </w:pPr>
      <w:r w:rsidRPr="00A105D0">
        <w:rPr>
          <w:b/>
          <w:bCs/>
          <w:szCs w:val="22"/>
        </w:rPr>
        <w:t>Medica</w:t>
      </w:r>
      <w:r w:rsidR="00E024A7" w:rsidRPr="00A105D0">
        <w:rPr>
          <w:b/>
          <w:bCs/>
          <w:szCs w:val="22"/>
        </w:rPr>
        <w:t>re</w:t>
      </w:r>
      <w:r w:rsidRPr="00A105D0">
        <w:rPr>
          <w:b/>
          <w:bCs/>
          <w:szCs w:val="22"/>
        </w:rPr>
        <w:t xml:space="preserve"> Benefits </w:t>
      </w:r>
      <w:r w:rsidR="00E024A7" w:rsidRPr="00A105D0">
        <w:rPr>
          <w:b/>
          <w:bCs/>
          <w:szCs w:val="22"/>
        </w:rPr>
        <w:t xml:space="preserve">and Digital Health </w:t>
      </w:r>
      <w:r w:rsidRPr="00A105D0">
        <w:rPr>
          <w:b/>
          <w:bCs/>
          <w:szCs w:val="22"/>
        </w:rPr>
        <w:t>Division</w:t>
      </w:r>
    </w:p>
    <w:p w14:paraId="42E9857F" w14:textId="5DC9239F" w:rsidR="001B6095" w:rsidRPr="00A105D0" w:rsidRDefault="00B81AA6" w:rsidP="00A105D0">
      <w:pPr>
        <w:spacing w:line="240" w:lineRule="atLeast"/>
        <w:ind w:right="-23"/>
        <w:jc w:val="center"/>
        <w:rPr>
          <w:b/>
          <w:bCs/>
          <w:szCs w:val="22"/>
        </w:rPr>
      </w:pPr>
      <w:r w:rsidRPr="00A105D0">
        <w:rPr>
          <w:b/>
          <w:bCs/>
          <w:szCs w:val="22"/>
        </w:rPr>
        <w:t>Health Resourcing Group</w:t>
      </w:r>
    </w:p>
    <w:p w14:paraId="2412D16E" w14:textId="7F74790A" w:rsidR="00636C51" w:rsidRPr="00B81AA6" w:rsidRDefault="000F2948" w:rsidP="00A105D0">
      <w:pPr>
        <w:jc w:val="center"/>
        <w:rPr>
          <w:rFonts w:eastAsia="Calibri"/>
          <w:b/>
          <w:bCs/>
          <w:szCs w:val="24"/>
          <w:lang w:eastAsia="en-US"/>
        </w:rPr>
      </w:pPr>
      <w:r w:rsidRPr="00A105D0">
        <w:rPr>
          <w:b/>
          <w:bCs/>
        </w:rPr>
        <w:t>Department of Health</w:t>
      </w:r>
      <w:r w:rsidR="00346E4E" w:rsidRPr="00A105D0">
        <w:rPr>
          <w:b/>
          <w:bCs/>
        </w:rPr>
        <w:t xml:space="preserve"> and Aged Care</w:t>
      </w:r>
    </w:p>
    <w:sectPr w:rsidR="00636C51" w:rsidRPr="00B81AA6"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B2A5" w14:textId="77777777" w:rsidR="00E83C0B" w:rsidRDefault="00E83C0B">
      <w:r>
        <w:separator/>
      </w:r>
    </w:p>
  </w:endnote>
  <w:endnote w:type="continuationSeparator" w:id="0">
    <w:p w14:paraId="09EF6B92" w14:textId="77777777" w:rsidR="00E83C0B" w:rsidRDefault="00E8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3C36" w14:textId="77777777" w:rsidR="00E83C0B" w:rsidRDefault="00E83C0B">
      <w:r>
        <w:separator/>
      </w:r>
    </w:p>
  </w:footnote>
  <w:footnote w:type="continuationSeparator" w:id="0">
    <w:p w14:paraId="3BD7446A" w14:textId="77777777" w:rsidR="00E83C0B" w:rsidRDefault="00E8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10FCF571" w:rsidR="00A1739A" w:rsidRDefault="00A1739A" w:rsidP="00BD6F5F">
    <w:pPr>
      <w:pStyle w:val="Header"/>
      <w:jc w:val="center"/>
    </w:pPr>
    <w:r>
      <w:fldChar w:fldCharType="begin"/>
    </w:r>
    <w:r>
      <w:instrText xml:space="preserve"> PAGE  \* Arabic  \* MERGEFORMAT </w:instrText>
    </w:r>
    <w:r>
      <w:fldChar w:fldCharType="separate"/>
    </w:r>
    <w:r w:rsidR="00B612B5">
      <w:rPr>
        <w:noProof/>
      </w:rPr>
      <w:t>2</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63BCDCE8" w:rsidR="00E23B6B" w:rsidRDefault="00E23B6B">
        <w:pPr>
          <w:pStyle w:val="Header"/>
          <w:jc w:val="center"/>
        </w:pPr>
        <w:r>
          <w:fldChar w:fldCharType="begin"/>
        </w:r>
        <w:r>
          <w:instrText xml:space="preserve"> PAGE   \* MERGEFORMAT </w:instrText>
        </w:r>
        <w:r>
          <w:fldChar w:fldCharType="separate"/>
        </w:r>
        <w:r w:rsidR="00B612B5">
          <w:rPr>
            <w:noProof/>
          </w:rPr>
          <w:t>5</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2E06606D" w:rsidR="00E23B6B" w:rsidRDefault="00E23B6B">
        <w:pPr>
          <w:pStyle w:val="Header"/>
          <w:jc w:val="center"/>
        </w:pPr>
        <w:r>
          <w:fldChar w:fldCharType="begin"/>
        </w:r>
        <w:r>
          <w:instrText xml:space="preserve"> PAGE   \* MERGEFORMAT </w:instrText>
        </w:r>
        <w:r>
          <w:fldChar w:fldCharType="separate"/>
        </w:r>
        <w:r w:rsidR="00B612B5">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F24199"/>
    <w:multiLevelType w:val="hybridMultilevel"/>
    <w:tmpl w:val="ABA0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C3109"/>
    <w:multiLevelType w:val="hybridMultilevel"/>
    <w:tmpl w:val="22DA6F3E"/>
    <w:lvl w:ilvl="0" w:tplc="05A844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1"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8"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
  </w:num>
  <w:num w:numId="4">
    <w:abstractNumId w:val="12"/>
  </w:num>
  <w:num w:numId="5">
    <w:abstractNumId w:val="19"/>
  </w:num>
  <w:num w:numId="6">
    <w:abstractNumId w:val="10"/>
  </w:num>
  <w:num w:numId="7">
    <w:abstractNumId w:val="30"/>
  </w:num>
  <w:num w:numId="8">
    <w:abstractNumId w:val="7"/>
  </w:num>
  <w:num w:numId="9">
    <w:abstractNumId w:val="6"/>
  </w:num>
  <w:num w:numId="10">
    <w:abstractNumId w:val="32"/>
  </w:num>
  <w:num w:numId="11">
    <w:abstractNumId w:val="29"/>
  </w:num>
  <w:num w:numId="12">
    <w:abstractNumId w:val="13"/>
  </w:num>
  <w:num w:numId="13">
    <w:abstractNumId w:val="16"/>
  </w:num>
  <w:num w:numId="14">
    <w:abstractNumId w:val="27"/>
  </w:num>
  <w:num w:numId="15">
    <w:abstractNumId w:val="8"/>
  </w:num>
  <w:num w:numId="16">
    <w:abstractNumId w:val="21"/>
  </w:num>
  <w:num w:numId="17">
    <w:abstractNumId w:val="24"/>
  </w:num>
  <w:num w:numId="18">
    <w:abstractNumId w:val="22"/>
  </w:num>
  <w:num w:numId="19">
    <w:abstractNumId w:val="4"/>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9"/>
  </w:num>
  <w:num w:numId="26">
    <w:abstractNumId w:val="5"/>
  </w:num>
  <w:num w:numId="27">
    <w:abstractNumId w:val="17"/>
  </w:num>
  <w:num w:numId="28">
    <w:abstractNumId w:val="31"/>
  </w:num>
  <w:num w:numId="29">
    <w:abstractNumId w:val="18"/>
  </w:num>
  <w:num w:numId="30">
    <w:abstractNumId w:val="28"/>
  </w:num>
  <w:num w:numId="31">
    <w:abstractNumId w:val="14"/>
  </w:num>
  <w:num w:numId="32">
    <w:abstractNumId w:val="26"/>
  </w:num>
  <w:num w:numId="33">
    <w:abstractNumId w:val="15"/>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B38"/>
    <w:rsid w:val="00014E40"/>
    <w:rsid w:val="00016250"/>
    <w:rsid w:val="00016774"/>
    <w:rsid w:val="000203B4"/>
    <w:rsid w:val="00021EFA"/>
    <w:rsid w:val="00024158"/>
    <w:rsid w:val="00024A1D"/>
    <w:rsid w:val="00025F64"/>
    <w:rsid w:val="0002704E"/>
    <w:rsid w:val="0002728B"/>
    <w:rsid w:val="00027830"/>
    <w:rsid w:val="000319EF"/>
    <w:rsid w:val="00033034"/>
    <w:rsid w:val="000337CB"/>
    <w:rsid w:val="0003520D"/>
    <w:rsid w:val="0003591F"/>
    <w:rsid w:val="00041849"/>
    <w:rsid w:val="0004426E"/>
    <w:rsid w:val="00044A2A"/>
    <w:rsid w:val="00047C9C"/>
    <w:rsid w:val="00050623"/>
    <w:rsid w:val="000509BA"/>
    <w:rsid w:val="0005224B"/>
    <w:rsid w:val="00054F46"/>
    <w:rsid w:val="0005533C"/>
    <w:rsid w:val="00063242"/>
    <w:rsid w:val="000640CF"/>
    <w:rsid w:val="00064BA4"/>
    <w:rsid w:val="00067F59"/>
    <w:rsid w:val="000702C5"/>
    <w:rsid w:val="000710DD"/>
    <w:rsid w:val="0007187A"/>
    <w:rsid w:val="0007236F"/>
    <w:rsid w:val="000727E0"/>
    <w:rsid w:val="00073983"/>
    <w:rsid w:val="00073BC9"/>
    <w:rsid w:val="00076C34"/>
    <w:rsid w:val="00076FE3"/>
    <w:rsid w:val="00080116"/>
    <w:rsid w:val="00081188"/>
    <w:rsid w:val="00081C37"/>
    <w:rsid w:val="00082D12"/>
    <w:rsid w:val="000869CC"/>
    <w:rsid w:val="0009514A"/>
    <w:rsid w:val="000969EF"/>
    <w:rsid w:val="000A199B"/>
    <w:rsid w:val="000A31F2"/>
    <w:rsid w:val="000A45BE"/>
    <w:rsid w:val="000A467F"/>
    <w:rsid w:val="000A6FB3"/>
    <w:rsid w:val="000A7B9B"/>
    <w:rsid w:val="000B208E"/>
    <w:rsid w:val="000B3452"/>
    <w:rsid w:val="000C1226"/>
    <w:rsid w:val="000C12EE"/>
    <w:rsid w:val="000C3BA7"/>
    <w:rsid w:val="000C3D8A"/>
    <w:rsid w:val="000C46E6"/>
    <w:rsid w:val="000C4B3D"/>
    <w:rsid w:val="000C5BA2"/>
    <w:rsid w:val="000C6797"/>
    <w:rsid w:val="000C6FF8"/>
    <w:rsid w:val="000C736F"/>
    <w:rsid w:val="000C7FE1"/>
    <w:rsid w:val="000D1325"/>
    <w:rsid w:val="000D1A87"/>
    <w:rsid w:val="000D2300"/>
    <w:rsid w:val="000D3B79"/>
    <w:rsid w:val="000D7803"/>
    <w:rsid w:val="000E0C87"/>
    <w:rsid w:val="000E1ACD"/>
    <w:rsid w:val="000E1EB3"/>
    <w:rsid w:val="000E31D7"/>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2503"/>
    <w:rsid w:val="00104751"/>
    <w:rsid w:val="0010617D"/>
    <w:rsid w:val="00106763"/>
    <w:rsid w:val="00107F36"/>
    <w:rsid w:val="0011066E"/>
    <w:rsid w:val="00110D12"/>
    <w:rsid w:val="00113B2E"/>
    <w:rsid w:val="00120766"/>
    <w:rsid w:val="00121189"/>
    <w:rsid w:val="00121A66"/>
    <w:rsid w:val="00132087"/>
    <w:rsid w:val="001340F3"/>
    <w:rsid w:val="00134B27"/>
    <w:rsid w:val="00135D0D"/>
    <w:rsid w:val="001400C4"/>
    <w:rsid w:val="00141323"/>
    <w:rsid w:val="00141E8C"/>
    <w:rsid w:val="00142628"/>
    <w:rsid w:val="00143685"/>
    <w:rsid w:val="00143943"/>
    <w:rsid w:val="001448F2"/>
    <w:rsid w:val="00145918"/>
    <w:rsid w:val="00145D25"/>
    <w:rsid w:val="00145DED"/>
    <w:rsid w:val="001519E4"/>
    <w:rsid w:val="00154FC4"/>
    <w:rsid w:val="001551FE"/>
    <w:rsid w:val="0015521F"/>
    <w:rsid w:val="001557D6"/>
    <w:rsid w:val="001566EB"/>
    <w:rsid w:val="00156D5D"/>
    <w:rsid w:val="001603DB"/>
    <w:rsid w:val="001641C0"/>
    <w:rsid w:val="001643F9"/>
    <w:rsid w:val="00164A69"/>
    <w:rsid w:val="0016584E"/>
    <w:rsid w:val="0016646C"/>
    <w:rsid w:val="00167DA1"/>
    <w:rsid w:val="0017187F"/>
    <w:rsid w:val="00174E96"/>
    <w:rsid w:val="00176024"/>
    <w:rsid w:val="001770D9"/>
    <w:rsid w:val="0017759F"/>
    <w:rsid w:val="0018012F"/>
    <w:rsid w:val="00180206"/>
    <w:rsid w:val="00180742"/>
    <w:rsid w:val="00181B3E"/>
    <w:rsid w:val="00181F74"/>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43A5"/>
    <w:rsid w:val="001A4A5F"/>
    <w:rsid w:val="001A4BE2"/>
    <w:rsid w:val="001A5BC0"/>
    <w:rsid w:val="001A7249"/>
    <w:rsid w:val="001A7EF8"/>
    <w:rsid w:val="001B0111"/>
    <w:rsid w:val="001B2B65"/>
    <w:rsid w:val="001B3714"/>
    <w:rsid w:val="001B5ED9"/>
    <w:rsid w:val="001B6095"/>
    <w:rsid w:val="001B66AF"/>
    <w:rsid w:val="001B7092"/>
    <w:rsid w:val="001C1B86"/>
    <w:rsid w:val="001C35BC"/>
    <w:rsid w:val="001C51D8"/>
    <w:rsid w:val="001C5FC1"/>
    <w:rsid w:val="001C6713"/>
    <w:rsid w:val="001D0C04"/>
    <w:rsid w:val="001D6B46"/>
    <w:rsid w:val="001D778A"/>
    <w:rsid w:val="001D7D62"/>
    <w:rsid w:val="001E014D"/>
    <w:rsid w:val="001E2D6D"/>
    <w:rsid w:val="001E3B02"/>
    <w:rsid w:val="001E5391"/>
    <w:rsid w:val="001E5787"/>
    <w:rsid w:val="001E57BC"/>
    <w:rsid w:val="001E5DE7"/>
    <w:rsid w:val="001E63F3"/>
    <w:rsid w:val="001E7C25"/>
    <w:rsid w:val="001F004A"/>
    <w:rsid w:val="001F0923"/>
    <w:rsid w:val="001F1F27"/>
    <w:rsid w:val="00200145"/>
    <w:rsid w:val="002003CA"/>
    <w:rsid w:val="002003F7"/>
    <w:rsid w:val="00200971"/>
    <w:rsid w:val="002017E9"/>
    <w:rsid w:val="0020245D"/>
    <w:rsid w:val="00203952"/>
    <w:rsid w:val="00203F23"/>
    <w:rsid w:val="00204413"/>
    <w:rsid w:val="00210EE7"/>
    <w:rsid w:val="00213177"/>
    <w:rsid w:val="00215191"/>
    <w:rsid w:val="00216C44"/>
    <w:rsid w:val="00217EBF"/>
    <w:rsid w:val="00220EE3"/>
    <w:rsid w:val="00221C4B"/>
    <w:rsid w:val="002227DF"/>
    <w:rsid w:val="0022342C"/>
    <w:rsid w:val="0022384B"/>
    <w:rsid w:val="00225B50"/>
    <w:rsid w:val="00225D8E"/>
    <w:rsid w:val="002264F4"/>
    <w:rsid w:val="002322A8"/>
    <w:rsid w:val="0023311C"/>
    <w:rsid w:val="00233BEB"/>
    <w:rsid w:val="00235421"/>
    <w:rsid w:val="00235B6C"/>
    <w:rsid w:val="00236DF2"/>
    <w:rsid w:val="0024152E"/>
    <w:rsid w:val="002427DC"/>
    <w:rsid w:val="00242974"/>
    <w:rsid w:val="00244D84"/>
    <w:rsid w:val="00250061"/>
    <w:rsid w:val="00250642"/>
    <w:rsid w:val="00251E4A"/>
    <w:rsid w:val="00251F50"/>
    <w:rsid w:val="002538F6"/>
    <w:rsid w:val="00253E30"/>
    <w:rsid w:val="0025493F"/>
    <w:rsid w:val="00257459"/>
    <w:rsid w:val="00257E4D"/>
    <w:rsid w:val="00262865"/>
    <w:rsid w:val="00263279"/>
    <w:rsid w:val="002643FC"/>
    <w:rsid w:val="00274073"/>
    <w:rsid w:val="0027545F"/>
    <w:rsid w:val="0027610D"/>
    <w:rsid w:val="002806A1"/>
    <w:rsid w:val="00281918"/>
    <w:rsid w:val="00284483"/>
    <w:rsid w:val="00284749"/>
    <w:rsid w:val="00285256"/>
    <w:rsid w:val="00285FB2"/>
    <w:rsid w:val="00287AEF"/>
    <w:rsid w:val="00287B08"/>
    <w:rsid w:val="00290B98"/>
    <w:rsid w:val="002944D4"/>
    <w:rsid w:val="00296763"/>
    <w:rsid w:val="0029737E"/>
    <w:rsid w:val="00297AD0"/>
    <w:rsid w:val="002A0CC8"/>
    <w:rsid w:val="002A0EF1"/>
    <w:rsid w:val="002A1E2C"/>
    <w:rsid w:val="002A3243"/>
    <w:rsid w:val="002A4B07"/>
    <w:rsid w:val="002A5CDF"/>
    <w:rsid w:val="002A67AB"/>
    <w:rsid w:val="002A68B3"/>
    <w:rsid w:val="002A6C77"/>
    <w:rsid w:val="002B2AC5"/>
    <w:rsid w:val="002B2E78"/>
    <w:rsid w:val="002B49DE"/>
    <w:rsid w:val="002B4E4D"/>
    <w:rsid w:val="002B53D3"/>
    <w:rsid w:val="002B7177"/>
    <w:rsid w:val="002C1BFE"/>
    <w:rsid w:val="002C4EFC"/>
    <w:rsid w:val="002C4F5B"/>
    <w:rsid w:val="002C54A1"/>
    <w:rsid w:val="002C5DCD"/>
    <w:rsid w:val="002D03AB"/>
    <w:rsid w:val="002D0462"/>
    <w:rsid w:val="002D2A4E"/>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707"/>
    <w:rsid w:val="002F2F33"/>
    <w:rsid w:val="002F3A26"/>
    <w:rsid w:val="002F449C"/>
    <w:rsid w:val="002F4CD2"/>
    <w:rsid w:val="002F6069"/>
    <w:rsid w:val="002F70B1"/>
    <w:rsid w:val="002F7549"/>
    <w:rsid w:val="00301D49"/>
    <w:rsid w:val="003025C7"/>
    <w:rsid w:val="00302F5C"/>
    <w:rsid w:val="00304080"/>
    <w:rsid w:val="0031124D"/>
    <w:rsid w:val="00312ED1"/>
    <w:rsid w:val="00313554"/>
    <w:rsid w:val="00317B55"/>
    <w:rsid w:val="0032155B"/>
    <w:rsid w:val="003239D0"/>
    <w:rsid w:val="00324908"/>
    <w:rsid w:val="00331752"/>
    <w:rsid w:val="00332AF9"/>
    <w:rsid w:val="003332C9"/>
    <w:rsid w:val="0033493D"/>
    <w:rsid w:val="00337484"/>
    <w:rsid w:val="00337DE1"/>
    <w:rsid w:val="00340BDB"/>
    <w:rsid w:val="00340E39"/>
    <w:rsid w:val="00341145"/>
    <w:rsid w:val="003412CB"/>
    <w:rsid w:val="00346E4E"/>
    <w:rsid w:val="0035214B"/>
    <w:rsid w:val="003527D6"/>
    <w:rsid w:val="00353351"/>
    <w:rsid w:val="00353622"/>
    <w:rsid w:val="0035389C"/>
    <w:rsid w:val="00357CD8"/>
    <w:rsid w:val="0036001E"/>
    <w:rsid w:val="0036105C"/>
    <w:rsid w:val="00361ADE"/>
    <w:rsid w:val="00363306"/>
    <w:rsid w:val="0036495A"/>
    <w:rsid w:val="00366990"/>
    <w:rsid w:val="00366C2C"/>
    <w:rsid w:val="00367440"/>
    <w:rsid w:val="00370BE6"/>
    <w:rsid w:val="00371BF1"/>
    <w:rsid w:val="00371F67"/>
    <w:rsid w:val="00375E39"/>
    <w:rsid w:val="00376051"/>
    <w:rsid w:val="003760ED"/>
    <w:rsid w:val="003764AE"/>
    <w:rsid w:val="003775D7"/>
    <w:rsid w:val="00380CBA"/>
    <w:rsid w:val="00381278"/>
    <w:rsid w:val="0038127E"/>
    <w:rsid w:val="00384080"/>
    <w:rsid w:val="00386C22"/>
    <w:rsid w:val="003876E6"/>
    <w:rsid w:val="0039170C"/>
    <w:rsid w:val="00391AFA"/>
    <w:rsid w:val="003937EF"/>
    <w:rsid w:val="00393E9B"/>
    <w:rsid w:val="0039405E"/>
    <w:rsid w:val="00397A97"/>
    <w:rsid w:val="003A0299"/>
    <w:rsid w:val="003A280D"/>
    <w:rsid w:val="003A5A70"/>
    <w:rsid w:val="003A6230"/>
    <w:rsid w:val="003A6299"/>
    <w:rsid w:val="003B1976"/>
    <w:rsid w:val="003B1D46"/>
    <w:rsid w:val="003B27BA"/>
    <w:rsid w:val="003B366C"/>
    <w:rsid w:val="003B38C1"/>
    <w:rsid w:val="003B59A9"/>
    <w:rsid w:val="003B6B63"/>
    <w:rsid w:val="003B7C31"/>
    <w:rsid w:val="003C02D4"/>
    <w:rsid w:val="003C37E3"/>
    <w:rsid w:val="003C4CBD"/>
    <w:rsid w:val="003C546B"/>
    <w:rsid w:val="003C7719"/>
    <w:rsid w:val="003D0FBD"/>
    <w:rsid w:val="003D2A6D"/>
    <w:rsid w:val="003D7622"/>
    <w:rsid w:val="003D76B4"/>
    <w:rsid w:val="003E005B"/>
    <w:rsid w:val="003E04DA"/>
    <w:rsid w:val="003E1249"/>
    <w:rsid w:val="003E3544"/>
    <w:rsid w:val="003E35A8"/>
    <w:rsid w:val="003E4F2D"/>
    <w:rsid w:val="003E57BE"/>
    <w:rsid w:val="003E77CB"/>
    <w:rsid w:val="003F033C"/>
    <w:rsid w:val="003F47FD"/>
    <w:rsid w:val="003F4B52"/>
    <w:rsid w:val="003F63A5"/>
    <w:rsid w:val="003F73BA"/>
    <w:rsid w:val="003F73F0"/>
    <w:rsid w:val="003F776A"/>
    <w:rsid w:val="00400C66"/>
    <w:rsid w:val="00401423"/>
    <w:rsid w:val="00403105"/>
    <w:rsid w:val="00404476"/>
    <w:rsid w:val="00404F11"/>
    <w:rsid w:val="00405890"/>
    <w:rsid w:val="00405EF4"/>
    <w:rsid w:val="00406D7A"/>
    <w:rsid w:val="00411365"/>
    <w:rsid w:val="0041237F"/>
    <w:rsid w:val="00412B6C"/>
    <w:rsid w:val="00414613"/>
    <w:rsid w:val="00415B19"/>
    <w:rsid w:val="0041767B"/>
    <w:rsid w:val="00420205"/>
    <w:rsid w:val="00421D5F"/>
    <w:rsid w:val="004225D8"/>
    <w:rsid w:val="00422831"/>
    <w:rsid w:val="00424197"/>
    <w:rsid w:val="00425F40"/>
    <w:rsid w:val="004265AA"/>
    <w:rsid w:val="00426A8D"/>
    <w:rsid w:val="00430794"/>
    <w:rsid w:val="00430861"/>
    <w:rsid w:val="00432D4D"/>
    <w:rsid w:val="00433DCE"/>
    <w:rsid w:val="00437B1B"/>
    <w:rsid w:val="004405B8"/>
    <w:rsid w:val="004417A2"/>
    <w:rsid w:val="00442F9D"/>
    <w:rsid w:val="00444782"/>
    <w:rsid w:val="00444EDF"/>
    <w:rsid w:val="004456A4"/>
    <w:rsid w:val="00445A6D"/>
    <w:rsid w:val="00446A6B"/>
    <w:rsid w:val="0045189C"/>
    <w:rsid w:val="00451A88"/>
    <w:rsid w:val="004524A0"/>
    <w:rsid w:val="0045468F"/>
    <w:rsid w:val="00456B1D"/>
    <w:rsid w:val="0046022A"/>
    <w:rsid w:val="004636B4"/>
    <w:rsid w:val="004641DC"/>
    <w:rsid w:val="00464AC7"/>
    <w:rsid w:val="004669A4"/>
    <w:rsid w:val="00466A5B"/>
    <w:rsid w:val="0046799A"/>
    <w:rsid w:val="0047494B"/>
    <w:rsid w:val="00475A85"/>
    <w:rsid w:val="00476510"/>
    <w:rsid w:val="00476F13"/>
    <w:rsid w:val="00477C74"/>
    <w:rsid w:val="00480561"/>
    <w:rsid w:val="004806B3"/>
    <w:rsid w:val="00481E5E"/>
    <w:rsid w:val="004828A9"/>
    <w:rsid w:val="004849DE"/>
    <w:rsid w:val="00484A65"/>
    <w:rsid w:val="00484E4F"/>
    <w:rsid w:val="004876DF"/>
    <w:rsid w:val="00492341"/>
    <w:rsid w:val="00492DBE"/>
    <w:rsid w:val="004962CC"/>
    <w:rsid w:val="00497EC1"/>
    <w:rsid w:val="004A0313"/>
    <w:rsid w:val="004A0A89"/>
    <w:rsid w:val="004A0BE6"/>
    <w:rsid w:val="004A2249"/>
    <w:rsid w:val="004A26E0"/>
    <w:rsid w:val="004A524A"/>
    <w:rsid w:val="004A56D3"/>
    <w:rsid w:val="004A6B0F"/>
    <w:rsid w:val="004B1ECE"/>
    <w:rsid w:val="004B38C8"/>
    <w:rsid w:val="004B5C2E"/>
    <w:rsid w:val="004B70CE"/>
    <w:rsid w:val="004B7CB9"/>
    <w:rsid w:val="004C10BA"/>
    <w:rsid w:val="004C27EB"/>
    <w:rsid w:val="004C33D9"/>
    <w:rsid w:val="004C357A"/>
    <w:rsid w:val="004C405B"/>
    <w:rsid w:val="004C5B35"/>
    <w:rsid w:val="004C68D1"/>
    <w:rsid w:val="004C6AE7"/>
    <w:rsid w:val="004C72E8"/>
    <w:rsid w:val="004D04DF"/>
    <w:rsid w:val="004D1BF4"/>
    <w:rsid w:val="004D480B"/>
    <w:rsid w:val="004D7821"/>
    <w:rsid w:val="004E10C5"/>
    <w:rsid w:val="004E22A7"/>
    <w:rsid w:val="004E31B9"/>
    <w:rsid w:val="004E39E6"/>
    <w:rsid w:val="004E71DC"/>
    <w:rsid w:val="004E7F97"/>
    <w:rsid w:val="004F1563"/>
    <w:rsid w:val="004F20B0"/>
    <w:rsid w:val="004F4BAD"/>
    <w:rsid w:val="004F7682"/>
    <w:rsid w:val="005012BC"/>
    <w:rsid w:val="00502156"/>
    <w:rsid w:val="00502277"/>
    <w:rsid w:val="005042B5"/>
    <w:rsid w:val="00505C67"/>
    <w:rsid w:val="00505F9A"/>
    <w:rsid w:val="00510A4F"/>
    <w:rsid w:val="005119E9"/>
    <w:rsid w:val="00512A65"/>
    <w:rsid w:val="005130BE"/>
    <w:rsid w:val="005140F2"/>
    <w:rsid w:val="005159B3"/>
    <w:rsid w:val="00515D36"/>
    <w:rsid w:val="0051709B"/>
    <w:rsid w:val="0052165A"/>
    <w:rsid w:val="00521802"/>
    <w:rsid w:val="0052430B"/>
    <w:rsid w:val="00525D51"/>
    <w:rsid w:val="00532CD3"/>
    <w:rsid w:val="005345A9"/>
    <w:rsid w:val="00534D8A"/>
    <w:rsid w:val="0053586F"/>
    <w:rsid w:val="005378EB"/>
    <w:rsid w:val="0054004F"/>
    <w:rsid w:val="00540C67"/>
    <w:rsid w:val="00542913"/>
    <w:rsid w:val="005440E4"/>
    <w:rsid w:val="005452CD"/>
    <w:rsid w:val="0054588E"/>
    <w:rsid w:val="00546DB4"/>
    <w:rsid w:val="005474A5"/>
    <w:rsid w:val="00547D82"/>
    <w:rsid w:val="005504B4"/>
    <w:rsid w:val="00550DAB"/>
    <w:rsid w:val="00552105"/>
    <w:rsid w:val="0055354D"/>
    <w:rsid w:val="00554543"/>
    <w:rsid w:val="005555B8"/>
    <w:rsid w:val="005567CF"/>
    <w:rsid w:val="005642D9"/>
    <w:rsid w:val="00564C2B"/>
    <w:rsid w:val="00564C37"/>
    <w:rsid w:val="00564D84"/>
    <w:rsid w:val="00570F2B"/>
    <w:rsid w:val="0057258C"/>
    <w:rsid w:val="00573651"/>
    <w:rsid w:val="00574E71"/>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3EEC"/>
    <w:rsid w:val="005A445D"/>
    <w:rsid w:val="005B0EA3"/>
    <w:rsid w:val="005B1B0A"/>
    <w:rsid w:val="005B5062"/>
    <w:rsid w:val="005B6234"/>
    <w:rsid w:val="005B7596"/>
    <w:rsid w:val="005C4A91"/>
    <w:rsid w:val="005C5824"/>
    <w:rsid w:val="005C6118"/>
    <w:rsid w:val="005D3575"/>
    <w:rsid w:val="005D3CED"/>
    <w:rsid w:val="005D538F"/>
    <w:rsid w:val="005D63D9"/>
    <w:rsid w:val="005D68D1"/>
    <w:rsid w:val="005D7544"/>
    <w:rsid w:val="005E293A"/>
    <w:rsid w:val="005E44A6"/>
    <w:rsid w:val="005E49E7"/>
    <w:rsid w:val="005E56FE"/>
    <w:rsid w:val="005E62D6"/>
    <w:rsid w:val="005E6A82"/>
    <w:rsid w:val="005E7398"/>
    <w:rsid w:val="005F04DC"/>
    <w:rsid w:val="005F0F6C"/>
    <w:rsid w:val="005F1A7F"/>
    <w:rsid w:val="005F5848"/>
    <w:rsid w:val="00601165"/>
    <w:rsid w:val="00607971"/>
    <w:rsid w:val="00611A4E"/>
    <w:rsid w:val="006122C0"/>
    <w:rsid w:val="0061281D"/>
    <w:rsid w:val="00613C46"/>
    <w:rsid w:val="00614085"/>
    <w:rsid w:val="00616889"/>
    <w:rsid w:val="00617F77"/>
    <w:rsid w:val="00623004"/>
    <w:rsid w:val="006237CC"/>
    <w:rsid w:val="00627C91"/>
    <w:rsid w:val="00635031"/>
    <w:rsid w:val="00636225"/>
    <w:rsid w:val="006369D4"/>
    <w:rsid w:val="00636C51"/>
    <w:rsid w:val="006407FA"/>
    <w:rsid w:val="00642537"/>
    <w:rsid w:val="006427B2"/>
    <w:rsid w:val="00642BEB"/>
    <w:rsid w:val="00647426"/>
    <w:rsid w:val="00647590"/>
    <w:rsid w:val="006526F5"/>
    <w:rsid w:val="00656275"/>
    <w:rsid w:val="00657702"/>
    <w:rsid w:val="006619F5"/>
    <w:rsid w:val="006629F9"/>
    <w:rsid w:val="006639F0"/>
    <w:rsid w:val="0066562D"/>
    <w:rsid w:val="0066727B"/>
    <w:rsid w:val="00670998"/>
    <w:rsid w:val="00672050"/>
    <w:rsid w:val="00673872"/>
    <w:rsid w:val="00674820"/>
    <w:rsid w:val="00674A34"/>
    <w:rsid w:val="00685515"/>
    <w:rsid w:val="0068642A"/>
    <w:rsid w:val="00694C76"/>
    <w:rsid w:val="00694F4A"/>
    <w:rsid w:val="006A029B"/>
    <w:rsid w:val="006A17A1"/>
    <w:rsid w:val="006A5D45"/>
    <w:rsid w:val="006A61C5"/>
    <w:rsid w:val="006B0F31"/>
    <w:rsid w:val="006B13BC"/>
    <w:rsid w:val="006B32FE"/>
    <w:rsid w:val="006B3959"/>
    <w:rsid w:val="006B4B58"/>
    <w:rsid w:val="006B6925"/>
    <w:rsid w:val="006C026A"/>
    <w:rsid w:val="006C0B0F"/>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E791A"/>
    <w:rsid w:val="006F2E4F"/>
    <w:rsid w:val="006F35DC"/>
    <w:rsid w:val="006F5CDC"/>
    <w:rsid w:val="006F6EC2"/>
    <w:rsid w:val="0070058D"/>
    <w:rsid w:val="00702854"/>
    <w:rsid w:val="00704585"/>
    <w:rsid w:val="00704A1A"/>
    <w:rsid w:val="00705833"/>
    <w:rsid w:val="00705924"/>
    <w:rsid w:val="00707B77"/>
    <w:rsid w:val="00707CC4"/>
    <w:rsid w:val="00707CE9"/>
    <w:rsid w:val="00710055"/>
    <w:rsid w:val="007103BC"/>
    <w:rsid w:val="0071184F"/>
    <w:rsid w:val="00712189"/>
    <w:rsid w:val="007134A2"/>
    <w:rsid w:val="00713FB2"/>
    <w:rsid w:val="00717B45"/>
    <w:rsid w:val="007202C4"/>
    <w:rsid w:val="0072331C"/>
    <w:rsid w:val="007260CC"/>
    <w:rsid w:val="00726CFA"/>
    <w:rsid w:val="0072758A"/>
    <w:rsid w:val="007304D5"/>
    <w:rsid w:val="00730965"/>
    <w:rsid w:val="00732898"/>
    <w:rsid w:val="00733599"/>
    <w:rsid w:val="00733F09"/>
    <w:rsid w:val="00735753"/>
    <w:rsid w:val="00735CCC"/>
    <w:rsid w:val="007368DC"/>
    <w:rsid w:val="00736AC9"/>
    <w:rsid w:val="007370C9"/>
    <w:rsid w:val="00741A4E"/>
    <w:rsid w:val="00742E97"/>
    <w:rsid w:val="00742EAC"/>
    <w:rsid w:val="007452E0"/>
    <w:rsid w:val="00745BD4"/>
    <w:rsid w:val="00750378"/>
    <w:rsid w:val="007505FB"/>
    <w:rsid w:val="007524B0"/>
    <w:rsid w:val="00752997"/>
    <w:rsid w:val="007533EC"/>
    <w:rsid w:val="00756FEA"/>
    <w:rsid w:val="00757618"/>
    <w:rsid w:val="007614DB"/>
    <w:rsid w:val="00762606"/>
    <w:rsid w:val="00762B45"/>
    <w:rsid w:val="0076435A"/>
    <w:rsid w:val="0076544A"/>
    <w:rsid w:val="007661D3"/>
    <w:rsid w:val="00767402"/>
    <w:rsid w:val="0077044D"/>
    <w:rsid w:val="007708B3"/>
    <w:rsid w:val="007710A8"/>
    <w:rsid w:val="007721B6"/>
    <w:rsid w:val="00774454"/>
    <w:rsid w:val="00774ABF"/>
    <w:rsid w:val="00776E17"/>
    <w:rsid w:val="00782D07"/>
    <w:rsid w:val="007859F8"/>
    <w:rsid w:val="00791384"/>
    <w:rsid w:val="0079191B"/>
    <w:rsid w:val="00791C27"/>
    <w:rsid w:val="0079239C"/>
    <w:rsid w:val="007934F3"/>
    <w:rsid w:val="00795A80"/>
    <w:rsid w:val="00796464"/>
    <w:rsid w:val="00796F15"/>
    <w:rsid w:val="007A0403"/>
    <w:rsid w:val="007A12F5"/>
    <w:rsid w:val="007A1414"/>
    <w:rsid w:val="007A4089"/>
    <w:rsid w:val="007A5936"/>
    <w:rsid w:val="007A5B55"/>
    <w:rsid w:val="007A5F41"/>
    <w:rsid w:val="007A5FEC"/>
    <w:rsid w:val="007B08D1"/>
    <w:rsid w:val="007B161A"/>
    <w:rsid w:val="007B29C6"/>
    <w:rsid w:val="007B37E0"/>
    <w:rsid w:val="007B4EAA"/>
    <w:rsid w:val="007B790F"/>
    <w:rsid w:val="007C20FA"/>
    <w:rsid w:val="007C27D3"/>
    <w:rsid w:val="007C2C95"/>
    <w:rsid w:val="007C5B64"/>
    <w:rsid w:val="007C6927"/>
    <w:rsid w:val="007C7403"/>
    <w:rsid w:val="007C767F"/>
    <w:rsid w:val="007C7875"/>
    <w:rsid w:val="007C79FB"/>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1F28"/>
    <w:rsid w:val="008129B1"/>
    <w:rsid w:val="00817A12"/>
    <w:rsid w:val="00820A58"/>
    <w:rsid w:val="0082437E"/>
    <w:rsid w:val="008259FD"/>
    <w:rsid w:val="00825B2C"/>
    <w:rsid w:val="00825D67"/>
    <w:rsid w:val="00826C1C"/>
    <w:rsid w:val="00832E86"/>
    <w:rsid w:val="00833A07"/>
    <w:rsid w:val="00833BAB"/>
    <w:rsid w:val="00833FCC"/>
    <w:rsid w:val="008356E6"/>
    <w:rsid w:val="008360AA"/>
    <w:rsid w:val="00837412"/>
    <w:rsid w:val="00840877"/>
    <w:rsid w:val="00840DB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282E"/>
    <w:rsid w:val="008645C4"/>
    <w:rsid w:val="00867884"/>
    <w:rsid w:val="008734F5"/>
    <w:rsid w:val="00874DE6"/>
    <w:rsid w:val="00875104"/>
    <w:rsid w:val="008774D2"/>
    <w:rsid w:val="00880E40"/>
    <w:rsid w:val="0088144D"/>
    <w:rsid w:val="00883771"/>
    <w:rsid w:val="00883C9D"/>
    <w:rsid w:val="00883EFE"/>
    <w:rsid w:val="008869CA"/>
    <w:rsid w:val="008870CD"/>
    <w:rsid w:val="008905BA"/>
    <w:rsid w:val="0089375C"/>
    <w:rsid w:val="008944EE"/>
    <w:rsid w:val="0089513F"/>
    <w:rsid w:val="00895699"/>
    <w:rsid w:val="008969D6"/>
    <w:rsid w:val="008A153F"/>
    <w:rsid w:val="008A54A9"/>
    <w:rsid w:val="008A6188"/>
    <w:rsid w:val="008A79C6"/>
    <w:rsid w:val="008A7C53"/>
    <w:rsid w:val="008B2094"/>
    <w:rsid w:val="008B28F2"/>
    <w:rsid w:val="008B3284"/>
    <w:rsid w:val="008B444F"/>
    <w:rsid w:val="008B683E"/>
    <w:rsid w:val="008C0EF7"/>
    <w:rsid w:val="008C11A2"/>
    <w:rsid w:val="008C20F7"/>
    <w:rsid w:val="008C5F1C"/>
    <w:rsid w:val="008D06D8"/>
    <w:rsid w:val="008D136F"/>
    <w:rsid w:val="008D1B01"/>
    <w:rsid w:val="008D25D7"/>
    <w:rsid w:val="008D2A83"/>
    <w:rsid w:val="008D2D7B"/>
    <w:rsid w:val="008D2D98"/>
    <w:rsid w:val="008D44EB"/>
    <w:rsid w:val="008D6051"/>
    <w:rsid w:val="008E3E1A"/>
    <w:rsid w:val="008E4039"/>
    <w:rsid w:val="008F1AA9"/>
    <w:rsid w:val="008F48F7"/>
    <w:rsid w:val="008F7719"/>
    <w:rsid w:val="008F7C5B"/>
    <w:rsid w:val="00901C4E"/>
    <w:rsid w:val="00904502"/>
    <w:rsid w:val="009049C0"/>
    <w:rsid w:val="00906257"/>
    <w:rsid w:val="0090646D"/>
    <w:rsid w:val="009069D6"/>
    <w:rsid w:val="00910EF6"/>
    <w:rsid w:val="00911B1A"/>
    <w:rsid w:val="00912380"/>
    <w:rsid w:val="009124F6"/>
    <w:rsid w:val="00912BC1"/>
    <w:rsid w:val="00913B67"/>
    <w:rsid w:val="0091520D"/>
    <w:rsid w:val="00915B08"/>
    <w:rsid w:val="00921DD1"/>
    <w:rsid w:val="009225FE"/>
    <w:rsid w:val="00923D31"/>
    <w:rsid w:val="00923F94"/>
    <w:rsid w:val="00926DD3"/>
    <w:rsid w:val="00935308"/>
    <w:rsid w:val="009361FD"/>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008F"/>
    <w:rsid w:val="00982585"/>
    <w:rsid w:val="00983FD9"/>
    <w:rsid w:val="00985DC9"/>
    <w:rsid w:val="00985FA9"/>
    <w:rsid w:val="00987A99"/>
    <w:rsid w:val="009902F7"/>
    <w:rsid w:val="0099448D"/>
    <w:rsid w:val="00995A06"/>
    <w:rsid w:val="00996BF2"/>
    <w:rsid w:val="009A222A"/>
    <w:rsid w:val="009A26CA"/>
    <w:rsid w:val="009A6FE7"/>
    <w:rsid w:val="009B1BCA"/>
    <w:rsid w:val="009B1FD2"/>
    <w:rsid w:val="009B219D"/>
    <w:rsid w:val="009B3A06"/>
    <w:rsid w:val="009B3AEB"/>
    <w:rsid w:val="009B7AE2"/>
    <w:rsid w:val="009C3EB5"/>
    <w:rsid w:val="009C42BD"/>
    <w:rsid w:val="009C444B"/>
    <w:rsid w:val="009C7391"/>
    <w:rsid w:val="009D3773"/>
    <w:rsid w:val="009D499D"/>
    <w:rsid w:val="009D72AA"/>
    <w:rsid w:val="009D7484"/>
    <w:rsid w:val="009E0078"/>
    <w:rsid w:val="009E14BA"/>
    <w:rsid w:val="009E2AEA"/>
    <w:rsid w:val="009E3183"/>
    <w:rsid w:val="009E36E1"/>
    <w:rsid w:val="009E3783"/>
    <w:rsid w:val="009E3EA3"/>
    <w:rsid w:val="009E3ED4"/>
    <w:rsid w:val="009F0094"/>
    <w:rsid w:val="009F0715"/>
    <w:rsid w:val="009F1615"/>
    <w:rsid w:val="009F4352"/>
    <w:rsid w:val="009F45FE"/>
    <w:rsid w:val="009F4E4E"/>
    <w:rsid w:val="009F6717"/>
    <w:rsid w:val="00A01F6A"/>
    <w:rsid w:val="00A0321B"/>
    <w:rsid w:val="00A045CA"/>
    <w:rsid w:val="00A04DC3"/>
    <w:rsid w:val="00A0597B"/>
    <w:rsid w:val="00A05DAD"/>
    <w:rsid w:val="00A06FB4"/>
    <w:rsid w:val="00A105D0"/>
    <w:rsid w:val="00A11FB6"/>
    <w:rsid w:val="00A14878"/>
    <w:rsid w:val="00A1707B"/>
    <w:rsid w:val="00A1739A"/>
    <w:rsid w:val="00A17694"/>
    <w:rsid w:val="00A17F2C"/>
    <w:rsid w:val="00A232B9"/>
    <w:rsid w:val="00A24F4B"/>
    <w:rsid w:val="00A3185E"/>
    <w:rsid w:val="00A33893"/>
    <w:rsid w:val="00A34C9A"/>
    <w:rsid w:val="00A34D89"/>
    <w:rsid w:val="00A3611E"/>
    <w:rsid w:val="00A4100A"/>
    <w:rsid w:val="00A41364"/>
    <w:rsid w:val="00A41F72"/>
    <w:rsid w:val="00A4278E"/>
    <w:rsid w:val="00A4292D"/>
    <w:rsid w:val="00A44A25"/>
    <w:rsid w:val="00A4564E"/>
    <w:rsid w:val="00A54891"/>
    <w:rsid w:val="00A54CA1"/>
    <w:rsid w:val="00A5636A"/>
    <w:rsid w:val="00A56516"/>
    <w:rsid w:val="00A578CA"/>
    <w:rsid w:val="00A62031"/>
    <w:rsid w:val="00A65D80"/>
    <w:rsid w:val="00A66849"/>
    <w:rsid w:val="00A66CBB"/>
    <w:rsid w:val="00A672A7"/>
    <w:rsid w:val="00A714DD"/>
    <w:rsid w:val="00A73044"/>
    <w:rsid w:val="00A7379C"/>
    <w:rsid w:val="00A73CF1"/>
    <w:rsid w:val="00A75C9A"/>
    <w:rsid w:val="00A77EB0"/>
    <w:rsid w:val="00A835D4"/>
    <w:rsid w:val="00A853D1"/>
    <w:rsid w:val="00A85AA3"/>
    <w:rsid w:val="00A86302"/>
    <w:rsid w:val="00A86D69"/>
    <w:rsid w:val="00A90EE0"/>
    <w:rsid w:val="00A9123D"/>
    <w:rsid w:val="00A918D2"/>
    <w:rsid w:val="00A91DC0"/>
    <w:rsid w:val="00A91EEC"/>
    <w:rsid w:val="00A92534"/>
    <w:rsid w:val="00A927C4"/>
    <w:rsid w:val="00A92BCA"/>
    <w:rsid w:val="00A9326C"/>
    <w:rsid w:val="00A93B9E"/>
    <w:rsid w:val="00AA0F9E"/>
    <w:rsid w:val="00AA2734"/>
    <w:rsid w:val="00AA3015"/>
    <w:rsid w:val="00AA3E46"/>
    <w:rsid w:val="00AA4399"/>
    <w:rsid w:val="00AA4D97"/>
    <w:rsid w:val="00AA59AF"/>
    <w:rsid w:val="00AA66B0"/>
    <w:rsid w:val="00AA74B7"/>
    <w:rsid w:val="00AB05D5"/>
    <w:rsid w:val="00AB1416"/>
    <w:rsid w:val="00AB2611"/>
    <w:rsid w:val="00AB35DC"/>
    <w:rsid w:val="00AB419D"/>
    <w:rsid w:val="00AB52D0"/>
    <w:rsid w:val="00AC046B"/>
    <w:rsid w:val="00AC0693"/>
    <w:rsid w:val="00AC1E16"/>
    <w:rsid w:val="00AC1EDB"/>
    <w:rsid w:val="00AC3A0C"/>
    <w:rsid w:val="00AC3EEC"/>
    <w:rsid w:val="00AC50EE"/>
    <w:rsid w:val="00AC54F8"/>
    <w:rsid w:val="00AC57A5"/>
    <w:rsid w:val="00AC681D"/>
    <w:rsid w:val="00AC6FF1"/>
    <w:rsid w:val="00AD0F67"/>
    <w:rsid w:val="00AD1A30"/>
    <w:rsid w:val="00AD7E8E"/>
    <w:rsid w:val="00AE0487"/>
    <w:rsid w:val="00AE0F81"/>
    <w:rsid w:val="00AE330D"/>
    <w:rsid w:val="00AE7A51"/>
    <w:rsid w:val="00AF134A"/>
    <w:rsid w:val="00AF3563"/>
    <w:rsid w:val="00AF3BCE"/>
    <w:rsid w:val="00AF421C"/>
    <w:rsid w:val="00AF5C05"/>
    <w:rsid w:val="00AF7622"/>
    <w:rsid w:val="00B00238"/>
    <w:rsid w:val="00B019A9"/>
    <w:rsid w:val="00B03218"/>
    <w:rsid w:val="00B03273"/>
    <w:rsid w:val="00B039EC"/>
    <w:rsid w:val="00B07EFF"/>
    <w:rsid w:val="00B10984"/>
    <w:rsid w:val="00B109B2"/>
    <w:rsid w:val="00B10D67"/>
    <w:rsid w:val="00B110B5"/>
    <w:rsid w:val="00B11B48"/>
    <w:rsid w:val="00B14C3A"/>
    <w:rsid w:val="00B15781"/>
    <w:rsid w:val="00B167A2"/>
    <w:rsid w:val="00B174E3"/>
    <w:rsid w:val="00B20415"/>
    <w:rsid w:val="00B2301D"/>
    <w:rsid w:val="00B2772E"/>
    <w:rsid w:val="00B27A5B"/>
    <w:rsid w:val="00B316E7"/>
    <w:rsid w:val="00B3398C"/>
    <w:rsid w:val="00B34BDE"/>
    <w:rsid w:val="00B34EF9"/>
    <w:rsid w:val="00B3578F"/>
    <w:rsid w:val="00B35DAD"/>
    <w:rsid w:val="00B36EB3"/>
    <w:rsid w:val="00B40E17"/>
    <w:rsid w:val="00B41AE8"/>
    <w:rsid w:val="00B4357C"/>
    <w:rsid w:val="00B445D0"/>
    <w:rsid w:val="00B45C4D"/>
    <w:rsid w:val="00B50E59"/>
    <w:rsid w:val="00B53FF2"/>
    <w:rsid w:val="00B54620"/>
    <w:rsid w:val="00B55CDD"/>
    <w:rsid w:val="00B56E4F"/>
    <w:rsid w:val="00B6037A"/>
    <w:rsid w:val="00B612B5"/>
    <w:rsid w:val="00B62CE0"/>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AA6"/>
    <w:rsid w:val="00B81EB1"/>
    <w:rsid w:val="00B832A3"/>
    <w:rsid w:val="00B83AFF"/>
    <w:rsid w:val="00B84886"/>
    <w:rsid w:val="00B84958"/>
    <w:rsid w:val="00B86A9F"/>
    <w:rsid w:val="00B90E4C"/>
    <w:rsid w:val="00B910E8"/>
    <w:rsid w:val="00B93137"/>
    <w:rsid w:val="00B9328C"/>
    <w:rsid w:val="00B932EC"/>
    <w:rsid w:val="00B942AB"/>
    <w:rsid w:val="00B94CD8"/>
    <w:rsid w:val="00B96F16"/>
    <w:rsid w:val="00B97A54"/>
    <w:rsid w:val="00BA0974"/>
    <w:rsid w:val="00BA1526"/>
    <w:rsid w:val="00BA2B66"/>
    <w:rsid w:val="00BA3D73"/>
    <w:rsid w:val="00BA457D"/>
    <w:rsid w:val="00BA5640"/>
    <w:rsid w:val="00BA58AC"/>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7FD9"/>
    <w:rsid w:val="00BE1022"/>
    <w:rsid w:val="00BE283F"/>
    <w:rsid w:val="00BE2ECA"/>
    <w:rsid w:val="00BE2EFA"/>
    <w:rsid w:val="00BE597C"/>
    <w:rsid w:val="00BE6870"/>
    <w:rsid w:val="00BE71FD"/>
    <w:rsid w:val="00BE7B19"/>
    <w:rsid w:val="00BF1F6C"/>
    <w:rsid w:val="00BF23A6"/>
    <w:rsid w:val="00BF3B3D"/>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55A"/>
    <w:rsid w:val="00C2082B"/>
    <w:rsid w:val="00C20DBA"/>
    <w:rsid w:val="00C23920"/>
    <w:rsid w:val="00C257A9"/>
    <w:rsid w:val="00C33771"/>
    <w:rsid w:val="00C3411B"/>
    <w:rsid w:val="00C34230"/>
    <w:rsid w:val="00C3661B"/>
    <w:rsid w:val="00C42112"/>
    <w:rsid w:val="00C435EB"/>
    <w:rsid w:val="00C45768"/>
    <w:rsid w:val="00C4692B"/>
    <w:rsid w:val="00C46A0C"/>
    <w:rsid w:val="00C473F7"/>
    <w:rsid w:val="00C501E5"/>
    <w:rsid w:val="00C5100A"/>
    <w:rsid w:val="00C51884"/>
    <w:rsid w:val="00C5338D"/>
    <w:rsid w:val="00C53B81"/>
    <w:rsid w:val="00C549BC"/>
    <w:rsid w:val="00C54F71"/>
    <w:rsid w:val="00C56251"/>
    <w:rsid w:val="00C5667B"/>
    <w:rsid w:val="00C56A65"/>
    <w:rsid w:val="00C56FE0"/>
    <w:rsid w:val="00C6072B"/>
    <w:rsid w:val="00C6094D"/>
    <w:rsid w:val="00C62733"/>
    <w:rsid w:val="00C62FDC"/>
    <w:rsid w:val="00C63FDC"/>
    <w:rsid w:val="00C64961"/>
    <w:rsid w:val="00C67BC7"/>
    <w:rsid w:val="00C724F5"/>
    <w:rsid w:val="00C73066"/>
    <w:rsid w:val="00C743D2"/>
    <w:rsid w:val="00C77A1F"/>
    <w:rsid w:val="00C80647"/>
    <w:rsid w:val="00C80836"/>
    <w:rsid w:val="00C84DDE"/>
    <w:rsid w:val="00C85162"/>
    <w:rsid w:val="00C87864"/>
    <w:rsid w:val="00C90EAC"/>
    <w:rsid w:val="00C917FD"/>
    <w:rsid w:val="00C93D01"/>
    <w:rsid w:val="00C958FA"/>
    <w:rsid w:val="00C96958"/>
    <w:rsid w:val="00C96A6B"/>
    <w:rsid w:val="00CA62C0"/>
    <w:rsid w:val="00CA7272"/>
    <w:rsid w:val="00CA73CB"/>
    <w:rsid w:val="00CA79BB"/>
    <w:rsid w:val="00CB4161"/>
    <w:rsid w:val="00CB43A2"/>
    <w:rsid w:val="00CB6DE1"/>
    <w:rsid w:val="00CB7730"/>
    <w:rsid w:val="00CC12A0"/>
    <w:rsid w:val="00CC26A8"/>
    <w:rsid w:val="00CC4CED"/>
    <w:rsid w:val="00CC6EBB"/>
    <w:rsid w:val="00CD4A21"/>
    <w:rsid w:val="00CE35DF"/>
    <w:rsid w:val="00CE3A6F"/>
    <w:rsid w:val="00CE63F9"/>
    <w:rsid w:val="00CF0A31"/>
    <w:rsid w:val="00CF163A"/>
    <w:rsid w:val="00CF16DE"/>
    <w:rsid w:val="00CF1D56"/>
    <w:rsid w:val="00CF1E87"/>
    <w:rsid w:val="00CF240F"/>
    <w:rsid w:val="00CF34FA"/>
    <w:rsid w:val="00CF4B5F"/>
    <w:rsid w:val="00CF4FAD"/>
    <w:rsid w:val="00CF5672"/>
    <w:rsid w:val="00CF5C15"/>
    <w:rsid w:val="00CF6201"/>
    <w:rsid w:val="00CF6B2F"/>
    <w:rsid w:val="00CF6DBA"/>
    <w:rsid w:val="00D01D5A"/>
    <w:rsid w:val="00D0276F"/>
    <w:rsid w:val="00D054A5"/>
    <w:rsid w:val="00D05CAA"/>
    <w:rsid w:val="00D05DD5"/>
    <w:rsid w:val="00D06129"/>
    <w:rsid w:val="00D114E6"/>
    <w:rsid w:val="00D1198D"/>
    <w:rsid w:val="00D15F17"/>
    <w:rsid w:val="00D161BE"/>
    <w:rsid w:val="00D162D9"/>
    <w:rsid w:val="00D17BDD"/>
    <w:rsid w:val="00D23701"/>
    <w:rsid w:val="00D24F7B"/>
    <w:rsid w:val="00D30F03"/>
    <w:rsid w:val="00D33180"/>
    <w:rsid w:val="00D34E5E"/>
    <w:rsid w:val="00D37CF1"/>
    <w:rsid w:val="00D4044B"/>
    <w:rsid w:val="00D4046C"/>
    <w:rsid w:val="00D41D2D"/>
    <w:rsid w:val="00D42638"/>
    <w:rsid w:val="00D427A3"/>
    <w:rsid w:val="00D44316"/>
    <w:rsid w:val="00D448E6"/>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5A5"/>
    <w:rsid w:val="00D65F8F"/>
    <w:rsid w:val="00D664A9"/>
    <w:rsid w:val="00D66520"/>
    <w:rsid w:val="00D669D7"/>
    <w:rsid w:val="00D66C5B"/>
    <w:rsid w:val="00D671E2"/>
    <w:rsid w:val="00D67E0A"/>
    <w:rsid w:val="00D712E9"/>
    <w:rsid w:val="00D7566A"/>
    <w:rsid w:val="00D85008"/>
    <w:rsid w:val="00D87426"/>
    <w:rsid w:val="00D8754D"/>
    <w:rsid w:val="00D92717"/>
    <w:rsid w:val="00D93E05"/>
    <w:rsid w:val="00D9515D"/>
    <w:rsid w:val="00DA3A08"/>
    <w:rsid w:val="00DA4715"/>
    <w:rsid w:val="00DA62DF"/>
    <w:rsid w:val="00DA7439"/>
    <w:rsid w:val="00DB0DA9"/>
    <w:rsid w:val="00DB108A"/>
    <w:rsid w:val="00DC1776"/>
    <w:rsid w:val="00DC33A5"/>
    <w:rsid w:val="00DC4340"/>
    <w:rsid w:val="00DC7898"/>
    <w:rsid w:val="00DD19F8"/>
    <w:rsid w:val="00DD1C70"/>
    <w:rsid w:val="00DD1D28"/>
    <w:rsid w:val="00DD3239"/>
    <w:rsid w:val="00DD7A00"/>
    <w:rsid w:val="00DE07E4"/>
    <w:rsid w:val="00DE0877"/>
    <w:rsid w:val="00DE0FF8"/>
    <w:rsid w:val="00DE21BC"/>
    <w:rsid w:val="00DE3EBF"/>
    <w:rsid w:val="00DE6D39"/>
    <w:rsid w:val="00DE7345"/>
    <w:rsid w:val="00DE76EB"/>
    <w:rsid w:val="00DF51CA"/>
    <w:rsid w:val="00DF5581"/>
    <w:rsid w:val="00DF7501"/>
    <w:rsid w:val="00DF7936"/>
    <w:rsid w:val="00E004EF"/>
    <w:rsid w:val="00E024A7"/>
    <w:rsid w:val="00E04B6F"/>
    <w:rsid w:val="00E13833"/>
    <w:rsid w:val="00E17001"/>
    <w:rsid w:val="00E17406"/>
    <w:rsid w:val="00E20AE5"/>
    <w:rsid w:val="00E20F00"/>
    <w:rsid w:val="00E21297"/>
    <w:rsid w:val="00E22CD6"/>
    <w:rsid w:val="00E23A38"/>
    <w:rsid w:val="00E23B6B"/>
    <w:rsid w:val="00E24721"/>
    <w:rsid w:val="00E25139"/>
    <w:rsid w:val="00E265A0"/>
    <w:rsid w:val="00E266DE"/>
    <w:rsid w:val="00E311F5"/>
    <w:rsid w:val="00E34BF8"/>
    <w:rsid w:val="00E35B1E"/>
    <w:rsid w:val="00E4250F"/>
    <w:rsid w:val="00E44A7E"/>
    <w:rsid w:val="00E46A7E"/>
    <w:rsid w:val="00E46CE8"/>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58D"/>
    <w:rsid w:val="00E72855"/>
    <w:rsid w:val="00E72E5D"/>
    <w:rsid w:val="00E7377F"/>
    <w:rsid w:val="00E74710"/>
    <w:rsid w:val="00E74C1D"/>
    <w:rsid w:val="00E75ACC"/>
    <w:rsid w:val="00E81B2F"/>
    <w:rsid w:val="00E83C0B"/>
    <w:rsid w:val="00E844ED"/>
    <w:rsid w:val="00E85810"/>
    <w:rsid w:val="00E85B0A"/>
    <w:rsid w:val="00E90558"/>
    <w:rsid w:val="00E909CD"/>
    <w:rsid w:val="00E92248"/>
    <w:rsid w:val="00E92BD1"/>
    <w:rsid w:val="00E935A1"/>
    <w:rsid w:val="00E93FB6"/>
    <w:rsid w:val="00E94BB6"/>
    <w:rsid w:val="00EA1715"/>
    <w:rsid w:val="00EA2EE8"/>
    <w:rsid w:val="00EA31FD"/>
    <w:rsid w:val="00EA4349"/>
    <w:rsid w:val="00EA4EE4"/>
    <w:rsid w:val="00EA5A32"/>
    <w:rsid w:val="00EB2F51"/>
    <w:rsid w:val="00EB3BF0"/>
    <w:rsid w:val="00EB4DA6"/>
    <w:rsid w:val="00EB601D"/>
    <w:rsid w:val="00EB6CCD"/>
    <w:rsid w:val="00EC0273"/>
    <w:rsid w:val="00EC25BA"/>
    <w:rsid w:val="00EC6DFA"/>
    <w:rsid w:val="00ED0AD5"/>
    <w:rsid w:val="00ED1DE2"/>
    <w:rsid w:val="00ED1F31"/>
    <w:rsid w:val="00ED3630"/>
    <w:rsid w:val="00ED7140"/>
    <w:rsid w:val="00ED77E5"/>
    <w:rsid w:val="00EE026E"/>
    <w:rsid w:val="00EE3C59"/>
    <w:rsid w:val="00EE4CB2"/>
    <w:rsid w:val="00EE5B70"/>
    <w:rsid w:val="00EE66B6"/>
    <w:rsid w:val="00EE7B48"/>
    <w:rsid w:val="00EF0AFA"/>
    <w:rsid w:val="00EF38E5"/>
    <w:rsid w:val="00EF432F"/>
    <w:rsid w:val="00EF4EF4"/>
    <w:rsid w:val="00EF52E9"/>
    <w:rsid w:val="00EF5C33"/>
    <w:rsid w:val="00EF5D1F"/>
    <w:rsid w:val="00EF629C"/>
    <w:rsid w:val="00EF6508"/>
    <w:rsid w:val="00EF6AB8"/>
    <w:rsid w:val="00EF7C6E"/>
    <w:rsid w:val="00F00BAE"/>
    <w:rsid w:val="00F012F4"/>
    <w:rsid w:val="00F01632"/>
    <w:rsid w:val="00F0546E"/>
    <w:rsid w:val="00F0625D"/>
    <w:rsid w:val="00F0672D"/>
    <w:rsid w:val="00F072E1"/>
    <w:rsid w:val="00F10D7F"/>
    <w:rsid w:val="00F11185"/>
    <w:rsid w:val="00F11DDA"/>
    <w:rsid w:val="00F12E98"/>
    <w:rsid w:val="00F1446A"/>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36D2E"/>
    <w:rsid w:val="00F4107F"/>
    <w:rsid w:val="00F413D8"/>
    <w:rsid w:val="00F42100"/>
    <w:rsid w:val="00F42A9B"/>
    <w:rsid w:val="00F42B0B"/>
    <w:rsid w:val="00F45470"/>
    <w:rsid w:val="00F464FE"/>
    <w:rsid w:val="00F465F9"/>
    <w:rsid w:val="00F47621"/>
    <w:rsid w:val="00F570AB"/>
    <w:rsid w:val="00F571A5"/>
    <w:rsid w:val="00F57A71"/>
    <w:rsid w:val="00F61C28"/>
    <w:rsid w:val="00F61E69"/>
    <w:rsid w:val="00F633B7"/>
    <w:rsid w:val="00F645F1"/>
    <w:rsid w:val="00F6591A"/>
    <w:rsid w:val="00F70D35"/>
    <w:rsid w:val="00F7546C"/>
    <w:rsid w:val="00F77B00"/>
    <w:rsid w:val="00F82F8E"/>
    <w:rsid w:val="00F83B6F"/>
    <w:rsid w:val="00F84470"/>
    <w:rsid w:val="00F857BC"/>
    <w:rsid w:val="00F90273"/>
    <w:rsid w:val="00F90BD0"/>
    <w:rsid w:val="00F90D0B"/>
    <w:rsid w:val="00F91A5F"/>
    <w:rsid w:val="00F936A2"/>
    <w:rsid w:val="00F93ACB"/>
    <w:rsid w:val="00F93C4F"/>
    <w:rsid w:val="00F95994"/>
    <w:rsid w:val="00FA2611"/>
    <w:rsid w:val="00FA29C9"/>
    <w:rsid w:val="00FA2D81"/>
    <w:rsid w:val="00FA3F17"/>
    <w:rsid w:val="00FA49C5"/>
    <w:rsid w:val="00FA5BD2"/>
    <w:rsid w:val="00FA6175"/>
    <w:rsid w:val="00FA6784"/>
    <w:rsid w:val="00FA7E00"/>
    <w:rsid w:val="00FB1780"/>
    <w:rsid w:val="00FB35C6"/>
    <w:rsid w:val="00FB4C5A"/>
    <w:rsid w:val="00FB5BA0"/>
    <w:rsid w:val="00FB5BFA"/>
    <w:rsid w:val="00FB6F79"/>
    <w:rsid w:val="00FC10F6"/>
    <w:rsid w:val="00FC33A2"/>
    <w:rsid w:val="00FC7C25"/>
    <w:rsid w:val="00FD1C2E"/>
    <w:rsid w:val="00FD3574"/>
    <w:rsid w:val="00FD602D"/>
    <w:rsid w:val="00FD60D2"/>
    <w:rsid w:val="00FD6A7D"/>
    <w:rsid w:val="00FD6FC9"/>
    <w:rsid w:val="00FE02C2"/>
    <w:rsid w:val="00FE2D34"/>
    <w:rsid w:val="00FF1336"/>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Props1.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489D0-2373-42D1-807D-BD349825AA27}">
  <ds:schemaRefs>
    <ds:schemaRef ds:uri="http://schemas.openxmlformats.org/officeDocument/2006/bibliography"/>
  </ds:schemaRefs>
</ds:datastoreItem>
</file>

<file path=customXml/itemProps3.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4.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VANCUYLENBURG, Chrisanne</cp:lastModifiedBy>
  <cp:revision>37</cp:revision>
  <cp:lastPrinted>2019-09-23T06:46:00Z</cp:lastPrinted>
  <dcterms:created xsi:type="dcterms:W3CDTF">2021-05-04T03:53:00Z</dcterms:created>
  <dcterms:modified xsi:type="dcterms:W3CDTF">2023-05-11T02:26:00Z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