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85C1" w14:textId="77777777" w:rsidR="00F22CAA" w:rsidRPr="00B95919" w:rsidRDefault="00F57EEE" w:rsidP="00B95919">
      <w:pPr>
        <w:spacing w:before="60"/>
        <w:ind w:left="80" w:right="178"/>
        <w:jc w:val="center"/>
        <w:rPr>
          <w:b/>
          <w:sz w:val="24"/>
        </w:rPr>
      </w:pPr>
      <w:r w:rsidRPr="00B95919">
        <w:rPr>
          <w:b/>
          <w:sz w:val="24"/>
          <w:u w:val="single"/>
        </w:rPr>
        <w:t>EXPLANATORY</w:t>
      </w:r>
      <w:r w:rsidRPr="00B95919">
        <w:rPr>
          <w:b/>
          <w:spacing w:val="-3"/>
          <w:sz w:val="24"/>
          <w:u w:val="single"/>
        </w:rPr>
        <w:t xml:space="preserve"> </w:t>
      </w:r>
      <w:r w:rsidRPr="00B95919">
        <w:rPr>
          <w:b/>
          <w:sz w:val="24"/>
          <w:u w:val="single"/>
        </w:rPr>
        <w:t>STATEMENT</w:t>
      </w:r>
    </w:p>
    <w:p w14:paraId="1D6485C2" w14:textId="77777777" w:rsidR="00F22CAA" w:rsidRPr="00B95919" w:rsidRDefault="00F22CAA" w:rsidP="00B95919">
      <w:pPr>
        <w:pStyle w:val="BodyText"/>
        <w:ind w:right="178"/>
        <w:rPr>
          <w:b/>
          <w:sz w:val="20"/>
        </w:rPr>
      </w:pPr>
    </w:p>
    <w:p w14:paraId="1D6485C3" w14:textId="77777777" w:rsidR="00F22CAA" w:rsidRPr="00B95919" w:rsidRDefault="00F22CAA" w:rsidP="00B95919">
      <w:pPr>
        <w:pStyle w:val="BodyText"/>
        <w:spacing w:before="3"/>
        <w:ind w:right="178"/>
        <w:rPr>
          <w:b/>
          <w:sz w:val="20"/>
        </w:rPr>
      </w:pPr>
    </w:p>
    <w:p w14:paraId="60E1DE49" w14:textId="77777777" w:rsidR="002352AD" w:rsidRPr="00B95919" w:rsidRDefault="00F57EEE" w:rsidP="00B95919">
      <w:pPr>
        <w:tabs>
          <w:tab w:val="left" w:pos="1560"/>
        </w:tabs>
        <w:ind w:left="1560" w:right="178" w:hanging="1560"/>
        <w:rPr>
          <w:i/>
          <w:sz w:val="24"/>
          <w:lang w:eastAsia="en-AU"/>
        </w:rPr>
      </w:pPr>
      <w:r w:rsidRPr="00B95919">
        <w:rPr>
          <w:sz w:val="24"/>
        </w:rPr>
        <w:t>Subject</w:t>
      </w:r>
      <w:r w:rsidRPr="00B95919">
        <w:rPr>
          <w:spacing w:val="-1"/>
          <w:sz w:val="24"/>
        </w:rPr>
        <w:t xml:space="preserve"> </w:t>
      </w:r>
      <w:r w:rsidRPr="00B95919">
        <w:rPr>
          <w:sz w:val="24"/>
        </w:rPr>
        <w:t>-</w:t>
      </w:r>
      <w:r w:rsidRPr="00B95919">
        <w:rPr>
          <w:sz w:val="24"/>
        </w:rPr>
        <w:tab/>
      </w:r>
      <w:r w:rsidR="002352AD" w:rsidRPr="00B95919">
        <w:rPr>
          <w:i/>
          <w:sz w:val="24"/>
          <w:lang w:eastAsia="en-AU"/>
        </w:rPr>
        <w:t>Australian Radiation Protection and Nuclear Safety (Licence Charges) Act 1998</w:t>
      </w:r>
    </w:p>
    <w:p w14:paraId="54199393" w14:textId="77777777" w:rsidR="002352AD" w:rsidRPr="00B95919" w:rsidRDefault="002352AD" w:rsidP="00B95919">
      <w:pPr>
        <w:ind w:right="178"/>
        <w:rPr>
          <w:sz w:val="24"/>
          <w:lang w:eastAsia="en-AU"/>
        </w:rPr>
      </w:pPr>
    </w:p>
    <w:p w14:paraId="743F4E4F" w14:textId="77777777" w:rsidR="002352AD" w:rsidRPr="00B95919" w:rsidRDefault="002352AD" w:rsidP="00B95919">
      <w:pPr>
        <w:tabs>
          <w:tab w:val="left" w:pos="1560"/>
        </w:tabs>
        <w:ind w:left="1560" w:right="178"/>
        <w:rPr>
          <w:i/>
          <w:sz w:val="24"/>
          <w:lang w:eastAsia="en-AU"/>
        </w:rPr>
      </w:pPr>
      <w:r w:rsidRPr="00B95919">
        <w:rPr>
          <w:i/>
          <w:sz w:val="24"/>
          <w:lang w:eastAsia="en-AU"/>
        </w:rPr>
        <w:t xml:space="preserve">Australian Radiation Protection and Nuclear Safety (Licence Charges) Amendment (2023 Measures No. 1) Regulations 2023 </w:t>
      </w:r>
    </w:p>
    <w:p w14:paraId="1D6485C7" w14:textId="3BAC19B8" w:rsidR="00F22CAA" w:rsidRPr="00B95919" w:rsidRDefault="00F22CAA" w:rsidP="00B95919">
      <w:pPr>
        <w:tabs>
          <w:tab w:val="left" w:pos="1680"/>
        </w:tabs>
        <w:spacing w:before="90"/>
        <w:ind w:left="1680" w:right="178" w:hanging="1560"/>
        <w:rPr>
          <w:i/>
          <w:sz w:val="26"/>
        </w:rPr>
      </w:pPr>
    </w:p>
    <w:p w14:paraId="74F2F2F7" w14:textId="77777777" w:rsidR="00696FFD" w:rsidRPr="00B95919" w:rsidRDefault="00696FFD" w:rsidP="00B95919">
      <w:pPr>
        <w:tabs>
          <w:tab w:val="left" w:pos="6521"/>
        </w:tabs>
        <w:ind w:right="178"/>
        <w:rPr>
          <w:b/>
          <w:sz w:val="24"/>
          <w:lang w:eastAsia="en-AU"/>
        </w:rPr>
      </w:pPr>
    </w:p>
    <w:p w14:paraId="65554F02" w14:textId="77777777" w:rsidR="00E44E9A" w:rsidRPr="00B95919" w:rsidRDefault="00E44E9A" w:rsidP="00B95919">
      <w:pPr>
        <w:ind w:right="178"/>
        <w:rPr>
          <w:sz w:val="24"/>
          <w:lang w:eastAsia="en-AU"/>
        </w:rPr>
      </w:pPr>
      <w:r w:rsidRPr="00B95919">
        <w:rPr>
          <w:sz w:val="24"/>
          <w:lang w:eastAsia="en-AU"/>
        </w:rPr>
        <w:t xml:space="preserve">The instrument supports the </w:t>
      </w:r>
      <w:r w:rsidRPr="00B95919">
        <w:rPr>
          <w:sz w:val="24"/>
          <w:szCs w:val="24"/>
        </w:rPr>
        <w:t>Australian Radiation Protection and Nuclear Safety Agency</w:t>
      </w:r>
      <w:r w:rsidRPr="00B95919">
        <w:rPr>
          <w:sz w:val="24"/>
          <w:lang w:eastAsia="en-AU"/>
        </w:rPr>
        <w:t xml:space="preserve"> in the recovery of the increased costs of regulating holders of licences. </w:t>
      </w:r>
    </w:p>
    <w:p w14:paraId="615F4460" w14:textId="77777777" w:rsidR="00E44E9A" w:rsidRPr="00B95919" w:rsidRDefault="00E44E9A" w:rsidP="00B95919">
      <w:pPr>
        <w:ind w:right="178"/>
        <w:rPr>
          <w:sz w:val="24"/>
          <w:lang w:eastAsia="en-AU"/>
        </w:rPr>
      </w:pPr>
    </w:p>
    <w:p w14:paraId="4E26551F" w14:textId="14C4EA5A" w:rsidR="00696FFD" w:rsidRPr="00B95919" w:rsidRDefault="00696FFD" w:rsidP="00B95919">
      <w:pPr>
        <w:ind w:right="178"/>
        <w:rPr>
          <w:sz w:val="24"/>
          <w:szCs w:val="24"/>
          <w:lang w:eastAsia="en-AU"/>
        </w:rPr>
      </w:pPr>
      <w:r w:rsidRPr="00B95919">
        <w:rPr>
          <w:sz w:val="24"/>
          <w:szCs w:val="24"/>
          <w:lang w:eastAsia="en-AU"/>
        </w:rPr>
        <w:t xml:space="preserve">The </w:t>
      </w:r>
      <w:r w:rsidRPr="00B95919">
        <w:rPr>
          <w:i/>
          <w:iCs/>
          <w:sz w:val="24"/>
          <w:szCs w:val="24"/>
        </w:rPr>
        <w:t xml:space="preserve">Australian Radiation Protection and Nuclear Safety </w:t>
      </w:r>
      <w:r w:rsidRPr="00B95919">
        <w:rPr>
          <w:i/>
          <w:iCs/>
          <w:sz w:val="24"/>
          <w:szCs w:val="24"/>
          <w:lang w:eastAsia="en-AU"/>
        </w:rPr>
        <w:t>Act 1998</w:t>
      </w:r>
      <w:r w:rsidRPr="00B95919">
        <w:rPr>
          <w:sz w:val="24"/>
          <w:szCs w:val="24"/>
          <w:lang w:eastAsia="en-AU"/>
        </w:rPr>
        <w:t xml:space="preserve"> (the ARPANS Act) established the Chief Executive Officer (CEO) of the </w:t>
      </w:r>
      <w:r w:rsidRPr="00B95919">
        <w:rPr>
          <w:sz w:val="24"/>
          <w:szCs w:val="24"/>
        </w:rPr>
        <w:t>Australian Radiation Protection and Nuclear Safety Agency (</w:t>
      </w:r>
      <w:r w:rsidRPr="00B95919">
        <w:rPr>
          <w:sz w:val="24"/>
          <w:szCs w:val="24"/>
          <w:lang w:eastAsia="en-AU"/>
        </w:rPr>
        <w:t>ARPANSA) as a Statutory Office to provide regulatory services for Commonwealth entities that deal with radiation equipment and material or undertake certain activities in relation to radiation facilities and nuclear installations. The CEO of ARPANSA issues licences to Commonwealth entities to ensure that such operations can be undertaken safely, minimising the risk of harm to people or to the environment from the operations.</w:t>
      </w:r>
    </w:p>
    <w:p w14:paraId="2F9C70D0" w14:textId="77777777" w:rsidR="00696FFD" w:rsidRPr="00B95919" w:rsidRDefault="00696FFD" w:rsidP="00B95919">
      <w:pPr>
        <w:ind w:right="178"/>
        <w:rPr>
          <w:sz w:val="24"/>
          <w:szCs w:val="24"/>
          <w:lang w:eastAsia="en-AU"/>
        </w:rPr>
      </w:pPr>
    </w:p>
    <w:p w14:paraId="1FA09A48" w14:textId="77777777" w:rsidR="00696FFD" w:rsidRPr="00B95919" w:rsidRDefault="00696FFD" w:rsidP="00B95919">
      <w:pPr>
        <w:ind w:right="178"/>
        <w:rPr>
          <w:sz w:val="24"/>
          <w:szCs w:val="24"/>
          <w:lang w:eastAsia="en-AU"/>
        </w:rPr>
      </w:pPr>
      <w:r w:rsidRPr="00B95919">
        <w:rPr>
          <w:sz w:val="24"/>
          <w:szCs w:val="24"/>
          <w:lang w:eastAsia="en-AU"/>
        </w:rPr>
        <w:t xml:space="preserve">The </w:t>
      </w:r>
      <w:r w:rsidRPr="00B95919">
        <w:rPr>
          <w:i/>
          <w:sz w:val="24"/>
          <w:szCs w:val="24"/>
          <w:lang w:eastAsia="en-AU"/>
        </w:rPr>
        <w:t>Australian Radiation Protection and Nuclear Safety (Licence Charges) Act 1998</w:t>
      </w:r>
      <w:r w:rsidRPr="00B95919">
        <w:rPr>
          <w:sz w:val="24"/>
          <w:szCs w:val="24"/>
          <w:lang w:eastAsia="en-AU"/>
        </w:rPr>
        <w:t xml:space="preserve"> (the Licence Charges Act) provides for annual charges to be levied on holders of licences issued under the ARPANS Act. </w:t>
      </w:r>
    </w:p>
    <w:p w14:paraId="6F4B70E7" w14:textId="77777777" w:rsidR="00696FFD" w:rsidRPr="00B95919" w:rsidRDefault="00696FFD" w:rsidP="00B95919">
      <w:pPr>
        <w:ind w:right="178"/>
        <w:rPr>
          <w:sz w:val="24"/>
          <w:szCs w:val="24"/>
          <w:lang w:eastAsia="en-AU"/>
        </w:rPr>
      </w:pPr>
    </w:p>
    <w:p w14:paraId="3C374953" w14:textId="77777777" w:rsidR="00696FFD" w:rsidRPr="00B95919" w:rsidRDefault="00696FFD" w:rsidP="00B95919">
      <w:pPr>
        <w:ind w:right="178"/>
        <w:rPr>
          <w:sz w:val="24"/>
          <w:szCs w:val="24"/>
          <w:lang w:eastAsia="en-AU"/>
        </w:rPr>
      </w:pPr>
      <w:r w:rsidRPr="00B95919">
        <w:rPr>
          <w:sz w:val="24"/>
          <w:szCs w:val="24"/>
          <w:lang w:eastAsia="en-AU"/>
        </w:rPr>
        <w:t xml:space="preserve">Under sections 4 and 5 of the Licence Charges Act, holders of licences issued by the CEO of ARPANSA must pay an annual licence charge, which the </w:t>
      </w:r>
      <w:r w:rsidRPr="00B95919">
        <w:rPr>
          <w:i/>
          <w:sz w:val="24"/>
          <w:szCs w:val="24"/>
          <w:lang w:eastAsia="en-AU"/>
        </w:rPr>
        <w:t xml:space="preserve">Australian Radiation Protection and Nuclear Safety (Licence Charges) Regulations 2018 </w:t>
      </w:r>
      <w:r w:rsidRPr="00B95919">
        <w:rPr>
          <w:sz w:val="24"/>
          <w:szCs w:val="24"/>
          <w:lang w:eastAsia="en-AU"/>
        </w:rPr>
        <w:t xml:space="preserve">(the Principal Regulations) prescribe. </w:t>
      </w:r>
    </w:p>
    <w:p w14:paraId="3004D549" w14:textId="77777777" w:rsidR="00696FFD" w:rsidRPr="00B95919" w:rsidRDefault="00696FFD" w:rsidP="00B95919">
      <w:pPr>
        <w:ind w:right="178"/>
        <w:rPr>
          <w:sz w:val="24"/>
          <w:szCs w:val="24"/>
          <w:lang w:eastAsia="en-AU"/>
        </w:rPr>
      </w:pPr>
    </w:p>
    <w:p w14:paraId="44772D15" w14:textId="77777777" w:rsidR="00696FFD" w:rsidRPr="00B95919" w:rsidRDefault="00696FFD" w:rsidP="00B95919">
      <w:pPr>
        <w:ind w:right="178"/>
        <w:rPr>
          <w:sz w:val="24"/>
          <w:szCs w:val="24"/>
          <w:lang w:eastAsia="en-AU"/>
        </w:rPr>
      </w:pPr>
      <w:r w:rsidRPr="00B95919">
        <w:rPr>
          <w:sz w:val="24"/>
          <w:szCs w:val="24"/>
          <w:lang w:eastAsia="en-AU"/>
        </w:rPr>
        <w:t>Section 6 of the Licence Charges Act provides that the Governor-General may make regulations prescribing matters required or permitted by the Act to be prescribed; or necessary or convenient to be prescribed for carrying out or giving effect to the Licence Charges Act.</w:t>
      </w:r>
    </w:p>
    <w:p w14:paraId="2B09571F" w14:textId="77777777" w:rsidR="00696FFD" w:rsidRPr="00B95919" w:rsidRDefault="00696FFD" w:rsidP="00B95919">
      <w:pPr>
        <w:ind w:right="178"/>
        <w:rPr>
          <w:sz w:val="24"/>
          <w:szCs w:val="24"/>
          <w:lang w:eastAsia="en-AU"/>
        </w:rPr>
      </w:pPr>
    </w:p>
    <w:p w14:paraId="20600799" w14:textId="77777777" w:rsidR="00696FFD" w:rsidRPr="00B95919" w:rsidRDefault="00696FFD" w:rsidP="00B95919">
      <w:pPr>
        <w:ind w:right="178"/>
        <w:rPr>
          <w:sz w:val="24"/>
          <w:szCs w:val="24"/>
          <w:lang w:eastAsia="en-AU"/>
        </w:rPr>
      </w:pPr>
      <w:r w:rsidRPr="00B95919">
        <w:rPr>
          <w:sz w:val="24"/>
          <w:szCs w:val="24"/>
          <w:lang w:eastAsia="en-AU"/>
        </w:rPr>
        <w:t>The Principal Regulations prescribe the annual licence charges levied on holders of licences under the Act.</w:t>
      </w:r>
    </w:p>
    <w:p w14:paraId="1F102910" w14:textId="77777777" w:rsidR="00696FFD" w:rsidRPr="00B95919" w:rsidRDefault="00696FFD" w:rsidP="00B95919">
      <w:pPr>
        <w:ind w:right="178"/>
        <w:rPr>
          <w:sz w:val="24"/>
          <w:szCs w:val="24"/>
          <w:lang w:eastAsia="en-AU"/>
        </w:rPr>
      </w:pPr>
    </w:p>
    <w:p w14:paraId="4A04124B" w14:textId="520687A3" w:rsidR="00696FFD" w:rsidRPr="00B95919" w:rsidRDefault="00696FFD" w:rsidP="00B95919">
      <w:pPr>
        <w:ind w:right="178"/>
        <w:rPr>
          <w:sz w:val="24"/>
          <w:szCs w:val="24"/>
          <w:lang w:eastAsia="en-AU"/>
        </w:rPr>
      </w:pPr>
      <w:r w:rsidRPr="00B95919">
        <w:rPr>
          <w:sz w:val="24"/>
          <w:szCs w:val="24"/>
          <w:lang w:eastAsia="en-AU"/>
        </w:rPr>
        <w:t xml:space="preserve">The purpose of </w:t>
      </w:r>
      <w:r w:rsidR="00844964" w:rsidRPr="00B95919">
        <w:rPr>
          <w:i/>
          <w:iCs/>
          <w:sz w:val="24"/>
          <w:szCs w:val="24"/>
          <w:lang w:eastAsia="en-AU"/>
        </w:rPr>
        <w:t>Australian Radiation Protection and Nuclear Safety (Licence Charges) Amendment (2023 Measures No. 1) Regulations 2023</w:t>
      </w:r>
      <w:r w:rsidR="00844964" w:rsidRPr="00B95919">
        <w:rPr>
          <w:sz w:val="24"/>
          <w:szCs w:val="24"/>
          <w:lang w:eastAsia="en-AU"/>
        </w:rPr>
        <w:t xml:space="preserve"> (</w:t>
      </w:r>
      <w:r w:rsidRPr="00B95919">
        <w:rPr>
          <w:sz w:val="24"/>
          <w:szCs w:val="24"/>
          <w:lang w:eastAsia="en-AU"/>
        </w:rPr>
        <w:t>the Regulations</w:t>
      </w:r>
      <w:r w:rsidR="00844964" w:rsidRPr="00B95919">
        <w:rPr>
          <w:sz w:val="24"/>
          <w:szCs w:val="24"/>
          <w:lang w:eastAsia="en-AU"/>
        </w:rPr>
        <w:t>)</w:t>
      </w:r>
      <w:r w:rsidRPr="00B95919">
        <w:rPr>
          <w:sz w:val="24"/>
          <w:szCs w:val="24"/>
          <w:lang w:eastAsia="en-AU"/>
        </w:rPr>
        <w:t xml:space="preserve"> is to amend the Principal Regulations to give effect to an annual three per cent increase in charges for licences under the ARPANS Act, from 1 July 2023.</w:t>
      </w:r>
    </w:p>
    <w:p w14:paraId="193EAC07" w14:textId="77777777" w:rsidR="00696FFD" w:rsidRPr="00B95919" w:rsidRDefault="00696FFD" w:rsidP="00B95919">
      <w:pPr>
        <w:ind w:right="178"/>
        <w:rPr>
          <w:sz w:val="24"/>
          <w:szCs w:val="24"/>
          <w:lang w:eastAsia="en-AU"/>
        </w:rPr>
      </w:pPr>
    </w:p>
    <w:p w14:paraId="6680A92F" w14:textId="563642FB" w:rsidR="00696FFD" w:rsidRPr="00B95919" w:rsidRDefault="00696FFD" w:rsidP="00B95919">
      <w:pPr>
        <w:ind w:right="178"/>
        <w:rPr>
          <w:sz w:val="24"/>
          <w:szCs w:val="24"/>
          <w:lang w:eastAsia="en-AU"/>
        </w:rPr>
      </w:pPr>
      <w:r w:rsidRPr="00B95919">
        <w:rPr>
          <w:sz w:val="24"/>
          <w:szCs w:val="24"/>
          <w:lang w:eastAsia="en-AU"/>
        </w:rPr>
        <w:t xml:space="preserve">The Regulations ensure the CEO of ARPANSA </w:t>
      </w:r>
      <w:proofErr w:type="gramStart"/>
      <w:r w:rsidRPr="00B95919">
        <w:rPr>
          <w:sz w:val="24"/>
          <w:szCs w:val="24"/>
          <w:lang w:eastAsia="en-AU"/>
        </w:rPr>
        <w:t>is able to</w:t>
      </w:r>
      <w:proofErr w:type="gramEnd"/>
      <w:r w:rsidRPr="00B95919">
        <w:rPr>
          <w:sz w:val="24"/>
          <w:szCs w:val="24"/>
          <w:lang w:eastAsia="en-AU"/>
        </w:rPr>
        <w:t xml:space="preserve"> recover the actual cost of regulating holders of licences issued under the ARPANS Act, as part of ARPANSA’s commitment to full cost-recovery of ARPANSA’s regulatory services. Recovery of the costs of providing regulatory services to existing licence holders is achieved through annual charges levied against existing licence holders under the authority of the Licence Charges Act. The annual indexation amount of three per cent is based on the increase in the actual increase in costs of wages of three per cent for financial year 2023-2024. The annual increase of three per cent in charges for licences </w:t>
      </w:r>
      <w:r w:rsidR="00586803" w:rsidRPr="00B95919">
        <w:rPr>
          <w:sz w:val="24"/>
          <w:szCs w:val="24"/>
          <w:lang w:eastAsia="en-AU"/>
        </w:rPr>
        <w:t xml:space="preserve">is </w:t>
      </w:r>
      <w:r w:rsidRPr="00B95919">
        <w:rPr>
          <w:sz w:val="24"/>
          <w:szCs w:val="24"/>
          <w:lang w:eastAsia="en-AU"/>
        </w:rPr>
        <w:t>achieved by giving effect to the Regulations.</w:t>
      </w:r>
    </w:p>
    <w:p w14:paraId="65A75456" w14:textId="77777777" w:rsidR="00696FFD" w:rsidRPr="00B95919" w:rsidRDefault="00696FFD" w:rsidP="00B95919">
      <w:pPr>
        <w:ind w:right="178"/>
        <w:rPr>
          <w:sz w:val="24"/>
          <w:szCs w:val="24"/>
          <w:lang w:eastAsia="en-AU"/>
        </w:rPr>
      </w:pPr>
    </w:p>
    <w:p w14:paraId="70E74EA2" w14:textId="40B57CAB" w:rsidR="00696FFD" w:rsidRPr="00B95919" w:rsidRDefault="00696FFD" w:rsidP="00B95919">
      <w:pPr>
        <w:ind w:right="178"/>
        <w:rPr>
          <w:sz w:val="24"/>
          <w:szCs w:val="24"/>
          <w:lang w:eastAsia="en-AU"/>
        </w:rPr>
      </w:pPr>
      <w:r w:rsidRPr="00B95919">
        <w:rPr>
          <w:sz w:val="24"/>
          <w:szCs w:val="24"/>
          <w:lang w:eastAsia="en-AU"/>
        </w:rPr>
        <w:t xml:space="preserve">All licence holders have been consulted about the amendments. All licence holders are Commonwealth entities, </w:t>
      </w:r>
      <w:proofErr w:type="gramStart"/>
      <w:r w:rsidRPr="00B95919">
        <w:rPr>
          <w:sz w:val="24"/>
          <w:szCs w:val="24"/>
          <w:lang w:eastAsia="en-AU"/>
        </w:rPr>
        <w:t>with the exception of</w:t>
      </w:r>
      <w:proofErr w:type="gramEnd"/>
      <w:r w:rsidRPr="00B95919">
        <w:rPr>
          <w:sz w:val="24"/>
          <w:szCs w:val="24"/>
          <w:lang w:eastAsia="en-AU"/>
        </w:rPr>
        <w:t xml:space="preserve"> the publicly listed Silex Systems Limited. </w:t>
      </w:r>
      <w:r w:rsidRPr="00B95919">
        <w:rPr>
          <w:sz w:val="24"/>
          <w:szCs w:val="24"/>
          <w:lang w:eastAsia="en-AU"/>
        </w:rPr>
        <w:lastRenderedPageBreak/>
        <w:t>ARPANSA wrote to licence holders about the amendments inviting feedback on the amendments over the consultation period of 31 October 2022 to 16 December 2022. No negative feedback was received by ARPANSA. Licence holders were overall supportive of the amendments.</w:t>
      </w:r>
    </w:p>
    <w:p w14:paraId="5BB977AC" w14:textId="77777777" w:rsidR="003072CB" w:rsidRPr="00B95919" w:rsidRDefault="003072CB" w:rsidP="00B95919">
      <w:pPr>
        <w:ind w:right="178"/>
        <w:rPr>
          <w:sz w:val="24"/>
          <w:szCs w:val="24"/>
          <w:lang w:eastAsia="en-AU"/>
        </w:rPr>
      </w:pPr>
    </w:p>
    <w:p w14:paraId="7530E702" w14:textId="1B809D98" w:rsidR="003072CB" w:rsidRPr="00B95919" w:rsidRDefault="003072CB" w:rsidP="00B95919">
      <w:pPr>
        <w:ind w:right="178"/>
        <w:rPr>
          <w:sz w:val="24"/>
          <w:szCs w:val="24"/>
          <w:lang w:eastAsia="en-AU"/>
        </w:rPr>
      </w:pPr>
      <w:r w:rsidRPr="00B95919">
        <w:rPr>
          <w:sz w:val="24"/>
          <w:szCs w:val="24"/>
          <w:lang w:eastAsia="en-AU"/>
        </w:rPr>
        <w:t xml:space="preserve">The Act specifies no conditions that need to be satisfied before the power to make the Regulations may be exercised. </w:t>
      </w:r>
    </w:p>
    <w:p w14:paraId="701B3CA6" w14:textId="77777777" w:rsidR="003072CB" w:rsidRPr="00B95919" w:rsidRDefault="003072CB" w:rsidP="00B95919">
      <w:pPr>
        <w:tabs>
          <w:tab w:val="left" w:pos="6521"/>
        </w:tabs>
        <w:ind w:right="178"/>
        <w:rPr>
          <w:sz w:val="24"/>
          <w:lang w:eastAsia="en-AU"/>
        </w:rPr>
      </w:pPr>
    </w:p>
    <w:p w14:paraId="5FF28F22" w14:textId="3DB7030A" w:rsidR="003072CB" w:rsidRPr="00B95919" w:rsidRDefault="003072CB" w:rsidP="00B95919">
      <w:pPr>
        <w:tabs>
          <w:tab w:val="left" w:pos="6521"/>
        </w:tabs>
        <w:ind w:right="178"/>
        <w:rPr>
          <w:sz w:val="24"/>
          <w:lang w:eastAsia="en-AU"/>
        </w:rPr>
      </w:pPr>
      <w:r w:rsidRPr="00B95919">
        <w:rPr>
          <w:sz w:val="24"/>
          <w:lang w:eastAsia="en-AU"/>
        </w:rPr>
        <w:t xml:space="preserve">The Regulations </w:t>
      </w:r>
      <w:r w:rsidR="00D01171" w:rsidRPr="00B95919">
        <w:rPr>
          <w:sz w:val="24"/>
          <w:lang w:eastAsia="en-AU"/>
        </w:rPr>
        <w:t xml:space="preserve">are </w:t>
      </w:r>
      <w:r w:rsidRPr="00B95919">
        <w:rPr>
          <w:sz w:val="24"/>
          <w:lang w:eastAsia="en-AU"/>
        </w:rPr>
        <w:t xml:space="preserve">a legislative instrument for the purposes of the </w:t>
      </w:r>
      <w:r w:rsidRPr="00B95919">
        <w:rPr>
          <w:i/>
          <w:sz w:val="24"/>
          <w:lang w:eastAsia="en-AU"/>
        </w:rPr>
        <w:t>Legislation Act 2003</w:t>
      </w:r>
      <w:r w:rsidRPr="00B95919">
        <w:rPr>
          <w:sz w:val="24"/>
          <w:lang w:eastAsia="en-AU"/>
        </w:rPr>
        <w:t>.</w:t>
      </w:r>
    </w:p>
    <w:p w14:paraId="7769FBAA" w14:textId="77777777" w:rsidR="003072CB" w:rsidRPr="00B95919" w:rsidRDefault="003072CB" w:rsidP="00B95919">
      <w:pPr>
        <w:tabs>
          <w:tab w:val="center" w:pos="4111"/>
          <w:tab w:val="left" w:pos="4536"/>
        </w:tabs>
        <w:ind w:right="178"/>
        <w:rPr>
          <w:sz w:val="24"/>
          <w:lang w:eastAsia="en-AU"/>
        </w:rPr>
      </w:pPr>
      <w:r w:rsidRPr="00B95919">
        <w:rPr>
          <w:sz w:val="24"/>
          <w:lang w:eastAsia="en-AU"/>
        </w:rPr>
        <w:tab/>
      </w:r>
    </w:p>
    <w:p w14:paraId="37E8B3AD" w14:textId="2487A94B" w:rsidR="003072CB" w:rsidRPr="00B95919" w:rsidRDefault="003072CB" w:rsidP="00B95919">
      <w:pPr>
        <w:tabs>
          <w:tab w:val="left" w:pos="6521"/>
        </w:tabs>
        <w:ind w:right="178"/>
        <w:rPr>
          <w:sz w:val="24"/>
          <w:lang w:eastAsia="en-AU"/>
        </w:rPr>
      </w:pPr>
      <w:r w:rsidRPr="00B95919">
        <w:rPr>
          <w:sz w:val="24"/>
          <w:lang w:eastAsia="en-AU"/>
        </w:rPr>
        <w:t xml:space="preserve">The </w:t>
      </w:r>
      <w:r w:rsidR="00D01171" w:rsidRPr="00B95919">
        <w:rPr>
          <w:sz w:val="24"/>
          <w:lang w:eastAsia="en-AU"/>
        </w:rPr>
        <w:t xml:space="preserve">Regulations </w:t>
      </w:r>
      <w:r w:rsidRPr="00B95919">
        <w:rPr>
          <w:sz w:val="24"/>
          <w:lang w:eastAsia="en-AU"/>
        </w:rPr>
        <w:t>commence on 1 July 2023.</w:t>
      </w:r>
    </w:p>
    <w:p w14:paraId="7541C4B1" w14:textId="77777777" w:rsidR="003072CB" w:rsidRPr="00B95919" w:rsidRDefault="003072CB" w:rsidP="00B95919">
      <w:pPr>
        <w:tabs>
          <w:tab w:val="left" w:pos="6521"/>
        </w:tabs>
        <w:ind w:right="178"/>
        <w:rPr>
          <w:sz w:val="24"/>
          <w:lang w:eastAsia="en-AU"/>
        </w:rPr>
      </w:pPr>
    </w:p>
    <w:p w14:paraId="7723BA20" w14:textId="043DC4F9" w:rsidR="003072CB" w:rsidRPr="00B95919" w:rsidRDefault="003072CB" w:rsidP="00B95919">
      <w:pPr>
        <w:tabs>
          <w:tab w:val="left" w:pos="6521"/>
        </w:tabs>
        <w:ind w:right="178"/>
        <w:rPr>
          <w:sz w:val="24"/>
          <w:lang w:eastAsia="en-AU"/>
        </w:rPr>
      </w:pPr>
      <w:r w:rsidRPr="00B95919">
        <w:rPr>
          <w:sz w:val="24"/>
          <w:lang w:eastAsia="en-AU"/>
        </w:rPr>
        <w:t xml:space="preserve">Details of the Regulations are set out in the </w:t>
      </w:r>
      <w:r w:rsidRPr="00B95919">
        <w:rPr>
          <w:sz w:val="24"/>
          <w:u w:val="single"/>
          <w:lang w:eastAsia="en-AU"/>
        </w:rPr>
        <w:t>Attachment</w:t>
      </w:r>
      <w:r w:rsidRPr="00B95919">
        <w:rPr>
          <w:sz w:val="24"/>
          <w:lang w:eastAsia="en-AU"/>
        </w:rPr>
        <w:t>.</w:t>
      </w:r>
    </w:p>
    <w:p w14:paraId="1D6485DF" w14:textId="77777777" w:rsidR="00F22CAA" w:rsidRPr="00B95919" w:rsidRDefault="00F22CAA" w:rsidP="00B95919">
      <w:pPr>
        <w:pStyle w:val="BodyText"/>
        <w:ind w:right="178"/>
        <w:rPr>
          <w:color w:val="002060"/>
        </w:rPr>
      </w:pPr>
    </w:p>
    <w:p w14:paraId="1D6485E5" w14:textId="77777777" w:rsidR="00F22CAA" w:rsidRPr="00B95919" w:rsidRDefault="00F22CAA" w:rsidP="00B95919">
      <w:pPr>
        <w:pStyle w:val="BodyText"/>
        <w:spacing w:before="9"/>
        <w:ind w:right="178"/>
        <w:rPr>
          <w:sz w:val="36"/>
        </w:rPr>
      </w:pPr>
    </w:p>
    <w:p w14:paraId="1D6485E6" w14:textId="2F596CE8" w:rsidR="00F22CAA" w:rsidRPr="00B95919" w:rsidRDefault="00F57EEE" w:rsidP="00B95919">
      <w:pPr>
        <w:ind w:left="4657" w:right="178"/>
        <w:rPr>
          <w:i/>
          <w:sz w:val="24"/>
        </w:rPr>
      </w:pPr>
      <w:r w:rsidRPr="00B95919">
        <w:rPr>
          <w:sz w:val="24"/>
          <w:u w:val="single"/>
        </w:rPr>
        <w:t>Authority:</w:t>
      </w:r>
      <w:r w:rsidRPr="00B95919">
        <w:rPr>
          <w:spacing w:val="1"/>
          <w:sz w:val="24"/>
        </w:rPr>
        <w:t xml:space="preserve"> </w:t>
      </w:r>
      <w:r w:rsidR="00362DDF" w:rsidRPr="00B95919">
        <w:rPr>
          <w:spacing w:val="1"/>
          <w:sz w:val="24"/>
        </w:rPr>
        <w:t xml:space="preserve"> </w:t>
      </w:r>
      <w:r w:rsidRPr="00B95919">
        <w:rPr>
          <w:sz w:val="24"/>
        </w:rPr>
        <w:t>Section</w:t>
      </w:r>
      <w:r w:rsidRPr="00B95919">
        <w:rPr>
          <w:spacing w:val="-1"/>
          <w:sz w:val="24"/>
        </w:rPr>
        <w:t xml:space="preserve"> </w:t>
      </w:r>
      <w:r w:rsidRPr="00B95919">
        <w:rPr>
          <w:sz w:val="24"/>
        </w:rPr>
        <w:t>6 of</w:t>
      </w:r>
      <w:r w:rsidRPr="00B95919">
        <w:rPr>
          <w:spacing w:val="-2"/>
          <w:sz w:val="24"/>
        </w:rPr>
        <w:t xml:space="preserve"> </w:t>
      </w:r>
      <w:r w:rsidRPr="00B95919">
        <w:rPr>
          <w:sz w:val="24"/>
        </w:rPr>
        <w:t xml:space="preserve">the </w:t>
      </w:r>
      <w:r w:rsidRPr="00B95919">
        <w:rPr>
          <w:i/>
          <w:sz w:val="24"/>
        </w:rPr>
        <w:t>Australian</w:t>
      </w:r>
    </w:p>
    <w:p w14:paraId="1D6485E7" w14:textId="77777777" w:rsidR="00F22CAA" w:rsidRPr="00B95919" w:rsidRDefault="00F57EEE" w:rsidP="00B95919">
      <w:pPr>
        <w:spacing w:before="29" w:line="264" w:lineRule="auto"/>
        <w:ind w:left="5792" w:right="178"/>
        <w:rPr>
          <w:i/>
          <w:sz w:val="24"/>
        </w:rPr>
      </w:pPr>
      <w:r w:rsidRPr="00B95919">
        <w:rPr>
          <w:i/>
          <w:sz w:val="24"/>
        </w:rPr>
        <w:t>Radiation Protection and Nuclear</w:t>
      </w:r>
      <w:r w:rsidRPr="00B95919">
        <w:rPr>
          <w:i/>
          <w:spacing w:val="1"/>
          <w:sz w:val="24"/>
        </w:rPr>
        <w:t xml:space="preserve"> </w:t>
      </w:r>
      <w:r w:rsidRPr="00B95919">
        <w:rPr>
          <w:i/>
          <w:sz w:val="24"/>
        </w:rPr>
        <w:t>Safety</w:t>
      </w:r>
      <w:r w:rsidRPr="00B95919">
        <w:rPr>
          <w:i/>
          <w:spacing w:val="-6"/>
          <w:sz w:val="24"/>
        </w:rPr>
        <w:t xml:space="preserve"> </w:t>
      </w:r>
      <w:r w:rsidRPr="00B95919">
        <w:rPr>
          <w:i/>
          <w:sz w:val="24"/>
        </w:rPr>
        <w:t>(Licence</w:t>
      </w:r>
      <w:r w:rsidRPr="00B95919">
        <w:rPr>
          <w:i/>
          <w:spacing w:val="-5"/>
          <w:sz w:val="24"/>
        </w:rPr>
        <w:t xml:space="preserve"> </w:t>
      </w:r>
      <w:r w:rsidRPr="00B95919">
        <w:rPr>
          <w:i/>
          <w:sz w:val="24"/>
        </w:rPr>
        <w:t>Charges)</w:t>
      </w:r>
      <w:r w:rsidRPr="00B95919">
        <w:rPr>
          <w:i/>
          <w:spacing w:val="-4"/>
          <w:sz w:val="24"/>
        </w:rPr>
        <w:t xml:space="preserve"> </w:t>
      </w:r>
      <w:r w:rsidRPr="00B95919">
        <w:rPr>
          <w:i/>
          <w:sz w:val="24"/>
        </w:rPr>
        <w:t>Act</w:t>
      </w:r>
      <w:r w:rsidRPr="00B95919">
        <w:rPr>
          <w:i/>
          <w:spacing w:val="-4"/>
          <w:sz w:val="24"/>
        </w:rPr>
        <w:t xml:space="preserve"> </w:t>
      </w:r>
      <w:r w:rsidRPr="00B95919">
        <w:rPr>
          <w:i/>
          <w:sz w:val="24"/>
        </w:rPr>
        <w:t>1998</w:t>
      </w:r>
    </w:p>
    <w:p w14:paraId="1D6485E8" w14:textId="77777777" w:rsidR="00F22CAA" w:rsidRPr="00B95919" w:rsidRDefault="00F22CAA" w:rsidP="00B95919">
      <w:pPr>
        <w:spacing w:line="264" w:lineRule="auto"/>
        <w:rPr>
          <w:color w:val="002060"/>
          <w:sz w:val="24"/>
        </w:rPr>
        <w:sectPr w:rsidR="00F22CAA" w:rsidRPr="00B95919" w:rsidSect="003072CB">
          <w:footerReference w:type="default" r:id="rId10"/>
          <w:type w:val="continuous"/>
          <w:pgSz w:w="11910" w:h="16840"/>
          <w:pgMar w:top="1360" w:right="1340" w:bottom="960" w:left="1320" w:header="0" w:footer="773" w:gutter="0"/>
          <w:pgNumType w:start="2"/>
          <w:cols w:space="720"/>
        </w:sectPr>
      </w:pPr>
    </w:p>
    <w:p w14:paraId="1D6485E9" w14:textId="77777777" w:rsidR="00F22CAA" w:rsidRPr="00B95919" w:rsidRDefault="00F57EEE" w:rsidP="00B95919">
      <w:pPr>
        <w:spacing w:before="60"/>
        <w:ind w:right="188"/>
        <w:jc w:val="right"/>
        <w:rPr>
          <w:b/>
          <w:sz w:val="24"/>
        </w:rPr>
      </w:pPr>
      <w:r w:rsidRPr="00B95919">
        <w:rPr>
          <w:b/>
          <w:sz w:val="24"/>
          <w:u w:val="single"/>
        </w:rPr>
        <w:lastRenderedPageBreak/>
        <w:t>ATTACHMENT</w:t>
      </w:r>
    </w:p>
    <w:p w14:paraId="1D6485EA" w14:textId="77777777" w:rsidR="00F22CAA" w:rsidRPr="00B95919" w:rsidRDefault="00F22CAA" w:rsidP="00B95919">
      <w:pPr>
        <w:pStyle w:val="BodyText"/>
        <w:spacing w:before="3"/>
        <w:rPr>
          <w:b/>
          <w:sz w:val="16"/>
        </w:rPr>
      </w:pPr>
    </w:p>
    <w:p w14:paraId="1D6485EB" w14:textId="5322CE68" w:rsidR="00F22CAA" w:rsidRPr="00B95919" w:rsidRDefault="00F57EEE" w:rsidP="00B95919">
      <w:pPr>
        <w:spacing w:before="90"/>
        <w:ind w:right="36"/>
        <w:rPr>
          <w:b/>
          <w:i/>
          <w:sz w:val="24"/>
        </w:rPr>
      </w:pPr>
      <w:r w:rsidRPr="00B95919">
        <w:rPr>
          <w:b/>
          <w:sz w:val="24"/>
          <w:u w:val="single"/>
        </w:rPr>
        <w:t xml:space="preserve">Details of the </w:t>
      </w:r>
      <w:r w:rsidR="0023359E" w:rsidRPr="00B95919">
        <w:rPr>
          <w:b/>
          <w:i/>
          <w:iCs/>
          <w:sz w:val="24"/>
          <w:u w:val="single"/>
        </w:rPr>
        <w:t>Australian Radiation Protection and Nuclear Safety (Licence Charges) Amendment (2023 Measures No. 1) Regulations 2023</w:t>
      </w:r>
    </w:p>
    <w:p w14:paraId="1D6485EC" w14:textId="77777777" w:rsidR="00F22CAA" w:rsidRPr="00B95919" w:rsidRDefault="00F22CAA" w:rsidP="00B95919">
      <w:pPr>
        <w:pStyle w:val="BodyText"/>
        <w:spacing w:before="2"/>
        <w:rPr>
          <w:b/>
          <w:i/>
          <w:sz w:val="16"/>
        </w:rPr>
      </w:pPr>
    </w:p>
    <w:p w14:paraId="1D6485ED" w14:textId="77777777" w:rsidR="00F22CAA" w:rsidRPr="00B95919" w:rsidRDefault="00F57EEE" w:rsidP="00B95919">
      <w:pPr>
        <w:pStyle w:val="BodyText"/>
        <w:spacing w:before="90"/>
        <w:ind w:right="178"/>
      </w:pPr>
      <w:r w:rsidRPr="00B95919">
        <w:rPr>
          <w:u w:val="single"/>
        </w:rPr>
        <w:t>Section</w:t>
      </w:r>
      <w:r w:rsidRPr="00B95919">
        <w:rPr>
          <w:spacing w:val="-1"/>
          <w:u w:val="single"/>
        </w:rPr>
        <w:t xml:space="preserve"> </w:t>
      </w:r>
      <w:r w:rsidRPr="00B95919">
        <w:rPr>
          <w:u w:val="single"/>
        </w:rPr>
        <w:t>1 -</w:t>
      </w:r>
      <w:r w:rsidRPr="00B95919">
        <w:rPr>
          <w:spacing w:val="-2"/>
          <w:u w:val="single"/>
        </w:rPr>
        <w:t xml:space="preserve"> </w:t>
      </w:r>
      <w:r w:rsidRPr="00B95919">
        <w:rPr>
          <w:u w:val="single"/>
        </w:rPr>
        <w:t>Name of</w:t>
      </w:r>
      <w:r w:rsidRPr="00B95919">
        <w:rPr>
          <w:spacing w:val="-3"/>
          <w:u w:val="single"/>
        </w:rPr>
        <w:t xml:space="preserve"> </w:t>
      </w:r>
      <w:r w:rsidRPr="00B95919">
        <w:rPr>
          <w:u w:val="single"/>
        </w:rPr>
        <w:t>Regulations</w:t>
      </w:r>
    </w:p>
    <w:p w14:paraId="1D6485EE" w14:textId="77777777" w:rsidR="00F22CAA" w:rsidRPr="00B95919" w:rsidRDefault="00F22CAA" w:rsidP="00B95919">
      <w:pPr>
        <w:pStyle w:val="BodyText"/>
        <w:spacing w:before="2"/>
        <w:ind w:right="178"/>
        <w:rPr>
          <w:sz w:val="16"/>
        </w:rPr>
      </w:pPr>
    </w:p>
    <w:p w14:paraId="1D6485EF" w14:textId="55E048E0" w:rsidR="00F22CAA" w:rsidRPr="00B95919" w:rsidRDefault="00F57EEE" w:rsidP="00B95919">
      <w:pPr>
        <w:spacing w:before="90"/>
        <w:ind w:right="178"/>
        <w:rPr>
          <w:i/>
          <w:sz w:val="24"/>
        </w:rPr>
      </w:pPr>
      <w:r w:rsidRPr="00B95919">
        <w:rPr>
          <w:sz w:val="24"/>
        </w:rPr>
        <w:t xml:space="preserve">This section provides that the title of the Regulations is the </w:t>
      </w:r>
      <w:r w:rsidRPr="00B95919">
        <w:rPr>
          <w:i/>
          <w:sz w:val="24"/>
        </w:rPr>
        <w:t>Australian Radiation P</w:t>
      </w:r>
      <w:r w:rsidR="00362DDF" w:rsidRPr="00B95919">
        <w:rPr>
          <w:i/>
          <w:sz w:val="24"/>
        </w:rPr>
        <w:t xml:space="preserve">rotection and </w:t>
      </w:r>
      <w:r w:rsidRPr="00B95919">
        <w:rPr>
          <w:i/>
          <w:sz w:val="24"/>
        </w:rPr>
        <w:t>Nuclear</w:t>
      </w:r>
      <w:r w:rsidRPr="00B95919">
        <w:rPr>
          <w:i/>
          <w:spacing w:val="-1"/>
          <w:sz w:val="24"/>
        </w:rPr>
        <w:t xml:space="preserve"> </w:t>
      </w:r>
      <w:r w:rsidRPr="00B95919">
        <w:rPr>
          <w:i/>
          <w:sz w:val="24"/>
        </w:rPr>
        <w:t>Safety</w:t>
      </w:r>
      <w:r w:rsidRPr="00B95919">
        <w:rPr>
          <w:i/>
          <w:spacing w:val="-1"/>
          <w:sz w:val="24"/>
        </w:rPr>
        <w:t xml:space="preserve"> </w:t>
      </w:r>
      <w:r w:rsidRPr="00B95919">
        <w:rPr>
          <w:i/>
          <w:sz w:val="24"/>
        </w:rPr>
        <w:t>(Licence</w:t>
      </w:r>
      <w:r w:rsidRPr="00B95919">
        <w:rPr>
          <w:i/>
          <w:spacing w:val="-1"/>
          <w:sz w:val="24"/>
        </w:rPr>
        <w:t xml:space="preserve"> </w:t>
      </w:r>
      <w:r w:rsidRPr="00B95919">
        <w:rPr>
          <w:i/>
          <w:sz w:val="24"/>
        </w:rPr>
        <w:t>Charges) Amendment</w:t>
      </w:r>
      <w:r w:rsidRPr="00B95919">
        <w:rPr>
          <w:i/>
          <w:spacing w:val="-1"/>
          <w:sz w:val="24"/>
        </w:rPr>
        <w:t xml:space="preserve"> </w:t>
      </w:r>
      <w:r w:rsidRPr="00B95919">
        <w:rPr>
          <w:i/>
          <w:sz w:val="24"/>
        </w:rPr>
        <w:t>(</w:t>
      </w:r>
      <w:r w:rsidR="003F7290" w:rsidRPr="00B95919">
        <w:rPr>
          <w:i/>
          <w:sz w:val="24"/>
        </w:rPr>
        <w:t>2023 Measures No</w:t>
      </w:r>
      <w:r w:rsidRPr="00B95919">
        <w:rPr>
          <w:i/>
          <w:sz w:val="24"/>
        </w:rPr>
        <w:t>.</w:t>
      </w:r>
      <w:r w:rsidR="003F7290" w:rsidRPr="00B95919">
        <w:rPr>
          <w:i/>
          <w:sz w:val="24"/>
        </w:rPr>
        <w:t xml:space="preserve"> </w:t>
      </w:r>
      <w:r w:rsidR="0064332C" w:rsidRPr="00B95919">
        <w:rPr>
          <w:i/>
          <w:sz w:val="24"/>
        </w:rPr>
        <w:t>1</w:t>
      </w:r>
      <w:r w:rsidRPr="00B95919">
        <w:rPr>
          <w:i/>
          <w:sz w:val="24"/>
        </w:rPr>
        <w:t>) Regulations 202</w:t>
      </w:r>
      <w:r w:rsidR="0064332C" w:rsidRPr="00B95919">
        <w:rPr>
          <w:i/>
          <w:sz w:val="24"/>
        </w:rPr>
        <w:t>3</w:t>
      </w:r>
      <w:r w:rsidRPr="00B95919">
        <w:rPr>
          <w:i/>
          <w:sz w:val="24"/>
        </w:rPr>
        <w:t>.</w:t>
      </w:r>
    </w:p>
    <w:p w14:paraId="1D6485F0" w14:textId="77777777" w:rsidR="00F22CAA" w:rsidRPr="00B95919" w:rsidRDefault="00F22CAA" w:rsidP="00B95919">
      <w:pPr>
        <w:pStyle w:val="BodyText"/>
        <w:ind w:right="178"/>
        <w:rPr>
          <w:i/>
        </w:rPr>
      </w:pPr>
    </w:p>
    <w:p w14:paraId="1D6485F1" w14:textId="77777777" w:rsidR="00F22CAA" w:rsidRPr="00B95919" w:rsidRDefault="00F57EEE" w:rsidP="00B95919">
      <w:pPr>
        <w:pStyle w:val="BodyText"/>
        <w:ind w:right="178"/>
      </w:pPr>
      <w:r w:rsidRPr="00B95919">
        <w:rPr>
          <w:u w:val="single"/>
        </w:rPr>
        <w:t>Section</w:t>
      </w:r>
      <w:r w:rsidRPr="00B95919">
        <w:rPr>
          <w:spacing w:val="-1"/>
          <w:u w:val="single"/>
        </w:rPr>
        <w:t xml:space="preserve"> </w:t>
      </w:r>
      <w:r w:rsidRPr="00B95919">
        <w:rPr>
          <w:u w:val="single"/>
        </w:rPr>
        <w:t>2</w:t>
      </w:r>
      <w:r w:rsidRPr="00B95919">
        <w:rPr>
          <w:spacing w:val="-1"/>
          <w:u w:val="single"/>
        </w:rPr>
        <w:t xml:space="preserve"> </w:t>
      </w:r>
      <w:r w:rsidRPr="00B95919">
        <w:rPr>
          <w:u w:val="single"/>
        </w:rPr>
        <w:t>-</w:t>
      </w:r>
      <w:r w:rsidRPr="00B95919">
        <w:rPr>
          <w:spacing w:val="-2"/>
          <w:u w:val="single"/>
        </w:rPr>
        <w:t xml:space="preserve"> </w:t>
      </w:r>
      <w:r w:rsidRPr="00B95919">
        <w:rPr>
          <w:u w:val="single"/>
        </w:rPr>
        <w:t>Commencement</w:t>
      </w:r>
    </w:p>
    <w:p w14:paraId="1D6485F2" w14:textId="77777777" w:rsidR="00F22CAA" w:rsidRPr="00B95919" w:rsidRDefault="00F22CAA" w:rsidP="00B95919">
      <w:pPr>
        <w:pStyle w:val="BodyText"/>
        <w:spacing w:before="2"/>
        <w:ind w:right="178"/>
        <w:rPr>
          <w:sz w:val="16"/>
        </w:rPr>
      </w:pPr>
    </w:p>
    <w:p w14:paraId="4F8DB5AF" w14:textId="77777777" w:rsidR="008952D3" w:rsidRPr="00B95919" w:rsidRDefault="00F57EEE" w:rsidP="00B95919">
      <w:pPr>
        <w:pStyle w:val="BodyText"/>
        <w:spacing w:before="90" w:line="480" w:lineRule="auto"/>
        <w:ind w:right="178"/>
        <w:rPr>
          <w:spacing w:val="-57"/>
        </w:rPr>
      </w:pPr>
      <w:r w:rsidRPr="00B95919">
        <w:t>This section provides for the Regulations to commence on 1 July 202</w:t>
      </w:r>
      <w:r w:rsidR="0064332C" w:rsidRPr="00B95919">
        <w:t>3</w:t>
      </w:r>
      <w:r w:rsidRPr="00B95919">
        <w:t>.</w:t>
      </w:r>
      <w:r w:rsidRPr="00B95919">
        <w:rPr>
          <w:spacing w:val="-57"/>
        </w:rPr>
        <w:t xml:space="preserve"> </w:t>
      </w:r>
    </w:p>
    <w:p w14:paraId="1D6485F3" w14:textId="682ADDD9" w:rsidR="00F22CAA" w:rsidRPr="00B95919" w:rsidRDefault="00F57EEE" w:rsidP="00B95919">
      <w:pPr>
        <w:pStyle w:val="BodyText"/>
        <w:spacing w:before="90" w:line="480" w:lineRule="auto"/>
        <w:ind w:right="178"/>
      </w:pPr>
      <w:r w:rsidRPr="00B95919">
        <w:rPr>
          <w:u w:val="single"/>
        </w:rPr>
        <w:t>Section</w:t>
      </w:r>
      <w:r w:rsidRPr="00B95919">
        <w:rPr>
          <w:spacing w:val="-1"/>
          <w:u w:val="single"/>
        </w:rPr>
        <w:t xml:space="preserve"> </w:t>
      </w:r>
      <w:r w:rsidRPr="00B95919">
        <w:rPr>
          <w:u w:val="single"/>
        </w:rPr>
        <w:t>3 -</w:t>
      </w:r>
      <w:r w:rsidRPr="00B95919">
        <w:rPr>
          <w:spacing w:val="-1"/>
          <w:u w:val="single"/>
        </w:rPr>
        <w:t xml:space="preserve"> </w:t>
      </w:r>
      <w:r w:rsidRPr="00B95919">
        <w:rPr>
          <w:u w:val="single"/>
        </w:rPr>
        <w:t>Authority</w:t>
      </w:r>
    </w:p>
    <w:p w14:paraId="1D6485F4" w14:textId="2397E6D7" w:rsidR="00F22CAA" w:rsidRPr="00B95919" w:rsidRDefault="00F57EEE" w:rsidP="00B95919">
      <w:pPr>
        <w:tabs>
          <w:tab w:val="left" w:pos="8906"/>
        </w:tabs>
        <w:spacing w:before="1"/>
        <w:ind w:right="178"/>
        <w:rPr>
          <w:sz w:val="24"/>
        </w:rPr>
      </w:pPr>
      <w:r w:rsidRPr="00B95919">
        <w:rPr>
          <w:sz w:val="24"/>
        </w:rPr>
        <w:t xml:space="preserve">This section provides that the </w:t>
      </w:r>
      <w:r w:rsidR="003279B9" w:rsidRPr="00B95919">
        <w:rPr>
          <w:i/>
          <w:sz w:val="24"/>
        </w:rPr>
        <w:t>Australian Radiation</w:t>
      </w:r>
      <w:r w:rsidR="008952D3" w:rsidRPr="00B95919">
        <w:rPr>
          <w:i/>
          <w:sz w:val="24"/>
        </w:rPr>
        <w:t xml:space="preserve"> Protection and Nuclear Safety </w:t>
      </w:r>
      <w:r w:rsidR="003279B9" w:rsidRPr="00B95919">
        <w:rPr>
          <w:i/>
          <w:sz w:val="24"/>
        </w:rPr>
        <w:t>(Licence</w:t>
      </w:r>
      <w:r w:rsidR="003279B9" w:rsidRPr="00B95919">
        <w:rPr>
          <w:i/>
          <w:spacing w:val="-1"/>
          <w:sz w:val="24"/>
        </w:rPr>
        <w:t xml:space="preserve"> </w:t>
      </w:r>
      <w:r w:rsidR="003279B9" w:rsidRPr="00B95919">
        <w:rPr>
          <w:i/>
          <w:sz w:val="24"/>
        </w:rPr>
        <w:t>Charges) Amendment</w:t>
      </w:r>
      <w:r w:rsidR="003279B9" w:rsidRPr="00B95919">
        <w:rPr>
          <w:i/>
          <w:spacing w:val="-1"/>
          <w:sz w:val="24"/>
        </w:rPr>
        <w:t xml:space="preserve"> </w:t>
      </w:r>
      <w:r w:rsidR="003279B9" w:rsidRPr="00B95919">
        <w:rPr>
          <w:i/>
          <w:sz w:val="24"/>
        </w:rPr>
        <w:t>(2023 Measures No. 1) Regulations 2023</w:t>
      </w:r>
      <w:r w:rsidRPr="00B95919">
        <w:rPr>
          <w:i/>
          <w:sz w:val="24"/>
        </w:rPr>
        <w:t xml:space="preserve"> </w:t>
      </w:r>
      <w:r w:rsidR="00E517C6" w:rsidRPr="00B95919">
        <w:rPr>
          <w:sz w:val="24"/>
        </w:rPr>
        <w:t xml:space="preserve">are </w:t>
      </w:r>
      <w:r w:rsidRPr="00B95919">
        <w:rPr>
          <w:sz w:val="24"/>
        </w:rPr>
        <w:t xml:space="preserve">made under the </w:t>
      </w:r>
      <w:r w:rsidRPr="00B95919">
        <w:rPr>
          <w:i/>
          <w:sz w:val="24"/>
        </w:rPr>
        <w:t>Australian Radiation</w:t>
      </w:r>
      <w:r w:rsidRPr="00B95919">
        <w:rPr>
          <w:i/>
          <w:spacing w:val="1"/>
          <w:sz w:val="24"/>
        </w:rPr>
        <w:t xml:space="preserve"> </w:t>
      </w:r>
      <w:r w:rsidRPr="00B95919">
        <w:rPr>
          <w:i/>
          <w:sz w:val="24"/>
        </w:rPr>
        <w:t>Protection</w:t>
      </w:r>
      <w:r w:rsidRPr="00B95919">
        <w:rPr>
          <w:i/>
          <w:spacing w:val="-1"/>
          <w:sz w:val="24"/>
        </w:rPr>
        <w:t xml:space="preserve"> </w:t>
      </w:r>
      <w:r w:rsidRPr="00B95919">
        <w:rPr>
          <w:i/>
          <w:sz w:val="24"/>
        </w:rPr>
        <w:t>and Nuclear Safety</w:t>
      </w:r>
      <w:r w:rsidRPr="00B95919">
        <w:rPr>
          <w:i/>
          <w:spacing w:val="-2"/>
          <w:sz w:val="24"/>
        </w:rPr>
        <w:t xml:space="preserve"> </w:t>
      </w:r>
      <w:r w:rsidRPr="00B95919">
        <w:rPr>
          <w:i/>
          <w:sz w:val="24"/>
        </w:rPr>
        <w:t>(Licence</w:t>
      </w:r>
      <w:r w:rsidRPr="00B95919">
        <w:rPr>
          <w:i/>
          <w:spacing w:val="-1"/>
          <w:sz w:val="24"/>
        </w:rPr>
        <w:t xml:space="preserve"> </w:t>
      </w:r>
      <w:r w:rsidRPr="00B95919">
        <w:rPr>
          <w:i/>
          <w:sz w:val="24"/>
        </w:rPr>
        <w:t>Charges)</w:t>
      </w:r>
      <w:r w:rsidRPr="00B95919">
        <w:rPr>
          <w:i/>
          <w:spacing w:val="1"/>
          <w:sz w:val="24"/>
        </w:rPr>
        <w:t xml:space="preserve"> </w:t>
      </w:r>
      <w:r w:rsidRPr="00B95919">
        <w:rPr>
          <w:i/>
          <w:sz w:val="24"/>
        </w:rPr>
        <w:t>Act 1998</w:t>
      </w:r>
      <w:r w:rsidRPr="00B95919">
        <w:rPr>
          <w:sz w:val="24"/>
        </w:rPr>
        <w:t>.</w:t>
      </w:r>
    </w:p>
    <w:p w14:paraId="1D6485F5" w14:textId="77777777" w:rsidR="00F22CAA" w:rsidRPr="00B95919" w:rsidRDefault="00F22CAA" w:rsidP="00B95919">
      <w:pPr>
        <w:pStyle w:val="BodyText"/>
        <w:ind w:right="178"/>
      </w:pPr>
    </w:p>
    <w:p w14:paraId="1D6485F6" w14:textId="77777777" w:rsidR="00F22CAA" w:rsidRPr="00B95919" w:rsidRDefault="00F57EEE" w:rsidP="00B95919">
      <w:pPr>
        <w:pStyle w:val="BodyText"/>
        <w:ind w:right="178"/>
      </w:pPr>
      <w:r w:rsidRPr="00B95919">
        <w:rPr>
          <w:u w:val="single"/>
        </w:rPr>
        <w:t>Section</w:t>
      </w:r>
      <w:r w:rsidRPr="00B95919">
        <w:rPr>
          <w:spacing w:val="-2"/>
          <w:u w:val="single"/>
        </w:rPr>
        <w:t xml:space="preserve"> </w:t>
      </w:r>
      <w:r w:rsidRPr="00B95919">
        <w:rPr>
          <w:u w:val="single"/>
        </w:rPr>
        <w:t>4</w:t>
      </w:r>
      <w:r w:rsidRPr="00B95919">
        <w:rPr>
          <w:spacing w:val="-1"/>
          <w:u w:val="single"/>
        </w:rPr>
        <w:t xml:space="preserve"> </w:t>
      </w:r>
      <w:r w:rsidRPr="00B95919">
        <w:rPr>
          <w:u w:val="single"/>
        </w:rPr>
        <w:t>-</w:t>
      </w:r>
      <w:r w:rsidRPr="00B95919">
        <w:rPr>
          <w:spacing w:val="-3"/>
          <w:u w:val="single"/>
        </w:rPr>
        <w:t xml:space="preserve"> </w:t>
      </w:r>
      <w:r w:rsidRPr="00B95919">
        <w:rPr>
          <w:u w:val="single"/>
        </w:rPr>
        <w:t>Schedule(s)</w:t>
      </w:r>
    </w:p>
    <w:p w14:paraId="1D6485F7" w14:textId="77777777" w:rsidR="00F22CAA" w:rsidRPr="00B95919" w:rsidRDefault="00F22CAA" w:rsidP="00B95919">
      <w:pPr>
        <w:pStyle w:val="BodyText"/>
        <w:spacing w:before="2"/>
        <w:ind w:right="178"/>
        <w:rPr>
          <w:sz w:val="16"/>
        </w:rPr>
      </w:pPr>
    </w:p>
    <w:p w14:paraId="1D6485F8" w14:textId="790DF049" w:rsidR="00F22CAA" w:rsidRPr="00B95919" w:rsidRDefault="00F57EEE" w:rsidP="00B95919">
      <w:pPr>
        <w:pStyle w:val="BodyText"/>
        <w:spacing w:before="90"/>
        <w:ind w:right="178"/>
      </w:pPr>
      <w:r w:rsidRPr="00B95919">
        <w:t>This section provides that each instrument that is specified in a Schedule to this</w:t>
      </w:r>
      <w:r w:rsidRPr="00B95919">
        <w:rPr>
          <w:spacing w:val="1"/>
        </w:rPr>
        <w:t xml:space="preserve"> </w:t>
      </w:r>
      <w:r w:rsidRPr="00B95919">
        <w:t>instrument is amended or repealed as set out in the applicable items in the Schedule</w:t>
      </w:r>
      <w:r w:rsidRPr="00B95919">
        <w:rPr>
          <w:spacing w:val="1"/>
        </w:rPr>
        <w:t xml:space="preserve"> </w:t>
      </w:r>
      <w:r w:rsidRPr="00B95919">
        <w:t>concerned, and any other item in a Schedule to this instrument has effect according</w:t>
      </w:r>
      <w:r w:rsidR="00437248" w:rsidRPr="00B95919">
        <w:t xml:space="preserve"> to its </w:t>
      </w:r>
      <w:r w:rsidRPr="00B95919">
        <w:t>terms.</w:t>
      </w:r>
    </w:p>
    <w:p w14:paraId="1D6485F9" w14:textId="77777777" w:rsidR="00F22CAA" w:rsidRPr="00B95919" w:rsidRDefault="00F22CAA" w:rsidP="00B95919">
      <w:pPr>
        <w:pStyle w:val="BodyText"/>
      </w:pPr>
    </w:p>
    <w:p w14:paraId="1D6485FA" w14:textId="77777777" w:rsidR="00F22CAA" w:rsidRPr="00B95919" w:rsidRDefault="00F57EEE" w:rsidP="00B95919">
      <w:pPr>
        <w:pStyle w:val="BodyText"/>
      </w:pPr>
      <w:r w:rsidRPr="00B95919">
        <w:rPr>
          <w:u w:val="single"/>
        </w:rPr>
        <w:t>Schedule</w:t>
      </w:r>
      <w:r w:rsidRPr="00B95919">
        <w:rPr>
          <w:spacing w:val="-1"/>
          <w:u w:val="single"/>
        </w:rPr>
        <w:t xml:space="preserve"> </w:t>
      </w:r>
      <w:r w:rsidRPr="00B95919">
        <w:rPr>
          <w:u w:val="single"/>
        </w:rPr>
        <w:t>1</w:t>
      </w:r>
      <w:r w:rsidRPr="00B95919">
        <w:rPr>
          <w:spacing w:val="-1"/>
          <w:u w:val="single"/>
        </w:rPr>
        <w:t xml:space="preserve"> </w:t>
      </w:r>
      <w:r w:rsidRPr="00B95919">
        <w:rPr>
          <w:u w:val="single"/>
        </w:rPr>
        <w:t>-</w:t>
      </w:r>
      <w:r w:rsidRPr="00B95919">
        <w:rPr>
          <w:spacing w:val="-1"/>
          <w:u w:val="single"/>
        </w:rPr>
        <w:t xml:space="preserve"> </w:t>
      </w:r>
      <w:r w:rsidRPr="00B95919">
        <w:rPr>
          <w:u w:val="single"/>
        </w:rPr>
        <w:t>Amendments</w:t>
      </w:r>
    </w:p>
    <w:p w14:paraId="1D6485FB" w14:textId="77777777" w:rsidR="00F22CAA" w:rsidRPr="00B95919" w:rsidRDefault="00F22CAA" w:rsidP="00B95919">
      <w:pPr>
        <w:pStyle w:val="BodyText"/>
        <w:spacing w:before="2"/>
        <w:rPr>
          <w:color w:val="002060"/>
          <w:sz w:val="16"/>
        </w:rPr>
      </w:pPr>
    </w:p>
    <w:p w14:paraId="232474FD" w14:textId="77777777" w:rsidR="00833218" w:rsidRPr="00B95919" w:rsidRDefault="00833218" w:rsidP="00B95919">
      <w:pPr>
        <w:ind w:right="91"/>
        <w:rPr>
          <w:b/>
          <w:sz w:val="24"/>
          <w:szCs w:val="24"/>
          <w:lang w:eastAsia="en-AU"/>
        </w:rPr>
      </w:pPr>
      <w:r w:rsidRPr="00B95919">
        <w:rPr>
          <w:b/>
          <w:sz w:val="24"/>
          <w:szCs w:val="24"/>
          <w:lang w:eastAsia="en-AU"/>
        </w:rPr>
        <w:t>Items [1] and [2] - subsection 8(2)</w:t>
      </w:r>
    </w:p>
    <w:p w14:paraId="48A8CB6D" w14:textId="77777777" w:rsidR="00833218" w:rsidRPr="00B95919" w:rsidRDefault="00833218" w:rsidP="00B95919">
      <w:pPr>
        <w:ind w:right="91"/>
        <w:rPr>
          <w:b/>
          <w:sz w:val="24"/>
          <w:szCs w:val="24"/>
          <w:lang w:eastAsia="en-AU"/>
        </w:rPr>
      </w:pPr>
    </w:p>
    <w:p w14:paraId="69D2E7F3" w14:textId="2E382851" w:rsidR="00833218" w:rsidRPr="00B95919" w:rsidRDefault="00833218" w:rsidP="00B95919">
      <w:pPr>
        <w:spacing w:after="120" w:line="264" w:lineRule="auto"/>
        <w:ind w:right="176"/>
        <w:rPr>
          <w:sz w:val="24"/>
          <w:szCs w:val="24"/>
        </w:rPr>
      </w:pPr>
      <w:r w:rsidRPr="00B95919">
        <w:rPr>
          <w:sz w:val="24"/>
          <w:szCs w:val="24"/>
        </w:rPr>
        <w:t xml:space="preserve">Subsection 8(2) of the Licence Charges Regulations has a table which sets out the annual charges for prescribed radiation facilities not formerly used for weapons tests or radioactive ores. These items </w:t>
      </w:r>
      <w:r w:rsidR="00E30C84" w:rsidRPr="00B95919">
        <w:rPr>
          <w:sz w:val="24"/>
          <w:szCs w:val="24"/>
        </w:rPr>
        <w:t xml:space="preserve">increase </w:t>
      </w:r>
      <w:r w:rsidRPr="00B95919">
        <w:rPr>
          <w:sz w:val="24"/>
          <w:szCs w:val="24"/>
        </w:rPr>
        <w:t xml:space="preserve">the amounts of the annual licence charges listed in the subsection 8(2) table by </w:t>
      </w:r>
      <w:r w:rsidR="000F39CC" w:rsidRPr="00B95919">
        <w:rPr>
          <w:sz w:val="24"/>
          <w:szCs w:val="24"/>
        </w:rPr>
        <w:t>three</w:t>
      </w:r>
      <w:r w:rsidRPr="00B95919">
        <w:rPr>
          <w:sz w:val="24"/>
          <w:szCs w:val="24"/>
        </w:rPr>
        <w:t xml:space="preserve"> per cent as follows: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961"/>
        <w:gridCol w:w="1701"/>
        <w:gridCol w:w="1417"/>
      </w:tblGrid>
      <w:tr w:rsidR="00833218" w:rsidRPr="00B95919" w14:paraId="3A2A1B39" w14:textId="77777777" w:rsidTr="00B027E0">
        <w:trPr>
          <w:cantSplit/>
          <w:tblHeader/>
        </w:trPr>
        <w:tc>
          <w:tcPr>
            <w:tcW w:w="993" w:type="dxa"/>
            <w:shd w:val="clear" w:color="auto" w:fill="EEECE1" w:themeFill="background2"/>
          </w:tcPr>
          <w:p w14:paraId="5B1955B4" w14:textId="77777777" w:rsidR="00833218" w:rsidRPr="00B95919" w:rsidRDefault="00833218" w:rsidP="00B95919">
            <w:pPr>
              <w:keepNext/>
              <w:ind w:right="-24"/>
              <w:jc w:val="center"/>
              <w:rPr>
                <w:sz w:val="24"/>
                <w:szCs w:val="24"/>
              </w:rPr>
            </w:pPr>
            <w:r w:rsidRPr="00B95919">
              <w:rPr>
                <w:sz w:val="24"/>
                <w:szCs w:val="24"/>
              </w:rPr>
              <w:t>Table Item</w:t>
            </w:r>
          </w:p>
        </w:tc>
        <w:tc>
          <w:tcPr>
            <w:tcW w:w="4961" w:type="dxa"/>
            <w:shd w:val="clear" w:color="auto" w:fill="EEECE1" w:themeFill="background2"/>
          </w:tcPr>
          <w:p w14:paraId="75F9C0F7" w14:textId="77777777" w:rsidR="00833218" w:rsidRPr="00B95919" w:rsidRDefault="00833218" w:rsidP="00B95919">
            <w:pPr>
              <w:keepNext/>
              <w:adjustRightInd w:val="0"/>
              <w:ind w:right="-24"/>
              <w:rPr>
                <w:sz w:val="24"/>
                <w:szCs w:val="24"/>
              </w:rPr>
            </w:pPr>
            <w:r w:rsidRPr="00B95919">
              <w:rPr>
                <w:sz w:val="24"/>
                <w:szCs w:val="24"/>
              </w:rPr>
              <w:t>Kind of prescribed radiation facility</w:t>
            </w:r>
          </w:p>
        </w:tc>
        <w:tc>
          <w:tcPr>
            <w:tcW w:w="1701" w:type="dxa"/>
            <w:shd w:val="clear" w:color="auto" w:fill="EEECE1" w:themeFill="background2"/>
          </w:tcPr>
          <w:p w14:paraId="096CB720" w14:textId="77777777" w:rsidR="00833218" w:rsidRPr="00B95919" w:rsidRDefault="00833218" w:rsidP="00B95919">
            <w:pPr>
              <w:keepNext/>
              <w:ind w:right="-24"/>
              <w:jc w:val="center"/>
              <w:rPr>
                <w:sz w:val="24"/>
                <w:szCs w:val="24"/>
              </w:rPr>
            </w:pPr>
            <w:r w:rsidRPr="00B95919">
              <w:rPr>
                <w:sz w:val="24"/>
                <w:szCs w:val="24"/>
              </w:rPr>
              <w:t>Existing annual charge ($)</w:t>
            </w:r>
          </w:p>
        </w:tc>
        <w:tc>
          <w:tcPr>
            <w:tcW w:w="1417" w:type="dxa"/>
            <w:shd w:val="clear" w:color="auto" w:fill="EEECE1" w:themeFill="background2"/>
            <w:vAlign w:val="center"/>
          </w:tcPr>
          <w:p w14:paraId="2AB9EF9D" w14:textId="77777777" w:rsidR="00833218" w:rsidRPr="00B95919" w:rsidRDefault="00833218" w:rsidP="00B95919">
            <w:pPr>
              <w:keepNext/>
              <w:ind w:right="-24"/>
              <w:jc w:val="center"/>
              <w:rPr>
                <w:sz w:val="24"/>
                <w:szCs w:val="24"/>
              </w:rPr>
            </w:pPr>
            <w:r w:rsidRPr="00B95919">
              <w:rPr>
                <w:sz w:val="24"/>
                <w:szCs w:val="24"/>
              </w:rPr>
              <w:t>New annual charge ($)</w:t>
            </w:r>
          </w:p>
        </w:tc>
      </w:tr>
      <w:tr w:rsidR="00833218" w:rsidRPr="00B95919" w14:paraId="5AD306BB" w14:textId="77777777" w:rsidTr="00B027E0">
        <w:trPr>
          <w:cantSplit/>
        </w:trPr>
        <w:tc>
          <w:tcPr>
            <w:tcW w:w="993" w:type="dxa"/>
          </w:tcPr>
          <w:p w14:paraId="7C633497" w14:textId="77777777" w:rsidR="00833218" w:rsidRPr="00B95919" w:rsidRDefault="00833218" w:rsidP="00B95919">
            <w:pPr>
              <w:widowControl/>
              <w:numPr>
                <w:ilvl w:val="0"/>
                <w:numId w:val="4"/>
              </w:numPr>
              <w:autoSpaceDE/>
              <w:autoSpaceDN/>
              <w:spacing w:before="60" w:after="60"/>
              <w:ind w:right="-24"/>
              <w:rPr>
                <w:sz w:val="24"/>
                <w:szCs w:val="24"/>
              </w:rPr>
            </w:pPr>
          </w:p>
        </w:tc>
        <w:tc>
          <w:tcPr>
            <w:tcW w:w="4961" w:type="dxa"/>
          </w:tcPr>
          <w:p w14:paraId="04E591B9" w14:textId="77777777" w:rsidR="00833218" w:rsidRPr="00B95919" w:rsidRDefault="00833218" w:rsidP="00B95919">
            <w:pPr>
              <w:pStyle w:val="Tabletext"/>
              <w:spacing w:after="60"/>
              <w:rPr>
                <w:sz w:val="24"/>
                <w:szCs w:val="24"/>
              </w:rPr>
            </w:pPr>
            <w:r w:rsidRPr="00B95919">
              <w:rPr>
                <w:sz w:val="24"/>
                <w:szCs w:val="24"/>
              </w:rPr>
              <w:t>Particle accelerator that:</w:t>
            </w:r>
          </w:p>
          <w:p w14:paraId="76142C43" w14:textId="77777777" w:rsidR="00833218" w:rsidRPr="00B95919" w:rsidRDefault="00833218" w:rsidP="00B95919">
            <w:pPr>
              <w:pStyle w:val="Tablea"/>
              <w:spacing w:after="60"/>
              <w:rPr>
                <w:sz w:val="24"/>
                <w:szCs w:val="24"/>
              </w:rPr>
            </w:pPr>
            <w:r w:rsidRPr="00B95919">
              <w:rPr>
                <w:sz w:val="24"/>
                <w:szCs w:val="24"/>
              </w:rPr>
              <w:t xml:space="preserve">(a) has, or is capable of having, a beam energy greater than 1 </w:t>
            </w:r>
            <w:proofErr w:type="gramStart"/>
            <w:r w:rsidRPr="00B95919">
              <w:rPr>
                <w:sz w:val="24"/>
                <w:szCs w:val="24"/>
              </w:rPr>
              <w:t>MeV;</w:t>
            </w:r>
            <w:proofErr w:type="gramEnd"/>
            <w:r w:rsidRPr="00B95919">
              <w:rPr>
                <w:sz w:val="24"/>
                <w:szCs w:val="24"/>
              </w:rPr>
              <w:t xml:space="preserve"> or</w:t>
            </w:r>
          </w:p>
          <w:p w14:paraId="7EF3002B" w14:textId="77777777" w:rsidR="00833218" w:rsidRPr="00B95919" w:rsidRDefault="00833218" w:rsidP="00B95919">
            <w:pPr>
              <w:spacing w:before="60" w:after="60"/>
              <w:ind w:right="-24"/>
              <w:rPr>
                <w:sz w:val="24"/>
                <w:szCs w:val="24"/>
              </w:rPr>
            </w:pPr>
            <w:r w:rsidRPr="00B95919">
              <w:rPr>
                <w:sz w:val="24"/>
                <w:szCs w:val="24"/>
              </w:rPr>
              <w:t>(b) can produce neutrons</w:t>
            </w:r>
          </w:p>
        </w:tc>
        <w:tc>
          <w:tcPr>
            <w:tcW w:w="1701" w:type="dxa"/>
          </w:tcPr>
          <w:p w14:paraId="4B5A7F4F" w14:textId="77777777" w:rsidR="00833218" w:rsidRPr="00B95919" w:rsidRDefault="00833218" w:rsidP="00B95919">
            <w:pPr>
              <w:pStyle w:val="Default"/>
              <w:spacing w:beforeLines="60" w:before="144" w:afterLines="60" w:after="144"/>
              <w:jc w:val="right"/>
              <w:rPr>
                <w:color w:val="auto"/>
              </w:rPr>
            </w:pPr>
            <w:r w:rsidRPr="00B95919">
              <w:rPr>
                <w:color w:val="auto"/>
              </w:rPr>
              <w:t>12,955</w:t>
            </w:r>
          </w:p>
        </w:tc>
        <w:tc>
          <w:tcPr>
            <w:tcW w:w="1417" w:type="dxa"/>
          </w:tcPr>
          <w:p w14:paraId="69D2E61E" w14:textId="77777777" w:rsidR="00833218" w:rsidRPr="00B95919" w:rsidRDefault="00833218" w:rsidP="00B95919">
            <w:pPr>
              <w:pStyle w:val="Default"/>
              <w:spacing w:beforeLines="60" w:before="144" w:afterLines="60" w:after="144"/>
              <w:jc w:val="right"/>
              <w:rPr>
                <w:color w:val="auto"/>
              </w:rPr>
            </w:pPr>
            <w:r w:rsidRPr="00B95919">
              <w:rPr>
                <w:color w:val="auto"/>
              </w:rPr>
              <w:t>13,343</w:t>
            </w:r>
          </w:p>
        </w:tc>
      </w:tr>
      <w:tr w:rsidR="00833218" w:rsidRPr="00B95919" w14:paraId="6815F706" w14:textId="77777777" w:rsidTr="00B027E0">
        <w:trPr>
          <w:cantSplit/>
        </w:trPr>
        <w:tc>
          <w:tcPr>
            <w:tcW w:w="993" w:type="dxa"/>
          </w:tcPr>
          <w:p w14:paraId="6CB61B1C" w14:textId="77777777" w:rsidR="00833218" w:rsidRPr="00B95919" w:rsidRDefault="00833218" w:rsidP="00B95919">
            <w:pPr>
              <w:widowControl/>
              <w:numPr>
                <w:ilvl w:val="0"/>
                <w:numId w:val="4"/>
              </w:numPr>
              <w:autoSpaceDE/>
              <w:autoSpaceDN/>
              <w:spacing w:before="60" w:after="60"/>
              <w:ind w:right="-24"/>
              <w:rPr>
                <w:sz w:val="24"/>
                <w:szCs w:val="24"/>
              </w:rPr>
            </w:pPr>
          </w:p>
        </w:tc>
        <w:tc>
          <w:tcPr>
            <w:tcW w:w="4961" w:type="dxa"/>
          </w:tcPr>
          <w:p w14:paraId="213ADF95" w14:textId="77777777" w:rsidR="00833218" w:rsidRPr="00B95919" w:rsidRDefault="00833218" w:rsidP="00B95919">
            <w:pPr>
              <w:spacing w:before="60" w:after="60"/>
              <w:ind w:right="-24"/>
              <w:rPr>
                <w:sz w:val="24"/>
                <w:szCs w:val="24"/>
              </w:rPr>
            </w:pPr>
            <w:r w:rsidRPr="00B95919">
              <w:rPr>
                <w:sz w:val="24"/>
                <w:szCs w:val="24"/>
              </w:rPr>
              <w:t>Irradiator containing more than 10</w:t>
            </w:r>
            <w:r w:rsidRPr="00B95919">
              <w:rPr>
                <w:sz w:val="24"/>
                <w:szCs w:val="24"/>
                <w:vertAlign w:val="superscript"/>
              </w:rPr>
              <w:t>15</w:t>
            </w:r>
            <w:r w:rsidRPr="00B95919">
              <w:rPr>
                <w:sz w:val="24"/>
                <w:szCs w:val="24"/>
              </w:rPr>
              <w:t xml:space="preserve"> </w:t>
            </w:r>
            <w:proofErr w:type="spellStart"/>
            <w:r w:rsidRPr="00B95919">
              <w:rPr>
                <w:sz w:val="24"/>
                <w:szCs w:val="24"/>
              </w:rPr>
              <w:t>Bq</w:t>
            </w:r>
            <w:proofErr w:type="spellEnd"/>
            <w:r w:rsidRPr="00B95919">
              <w:rPr>
                <w:sz w:val="24"/>
                <w:szCs w:val="24"/>
              </w:rPr>
              <w:t xml:space="preserve"> of a controlled material</w:t>
            </w:r>
          </w:p>
        </w:tc>
        <w:tc>
          <w:tcPr>
            <w:tcW w:w="1701" w:type="dxa"/>
          </w:tcPr>
          <w:p w14:paraId="6AA02BDF" w14:textId="77777777" w:rsidR="00833218" w:rsidRPr="00B95919" w:rsidRDefault="00833218" w:rsidP="00B95919">
            <w:pPr>
              <w:pStyle w:val="Default"/>
              <w:spacing w:beforeLines="60" w:before="144" w:afterLines="60" w:after="144"/>
              <w:jc w:val="right"/>
              <w:rPr>
                <w:color w:val="auto"/>
              </w:rPr>
            </w:pPr>
            <w:r w:rsidRPr="00B95919">
              <w:rPr>
                <w:color w:val="auto"/>
              </w:rPr>
              <w:t>12,955</w:t>
            </w:r>
          </w:p>
        </w:tc>
        <w:tc>
          <w:tcPr>
            <w:tcW w:w="1417" w:type="dxa"/>
          </w:tcPr>
          <w:p w14:paraId="1DBFF490" w14:textId="77777777" w:rsidR="00833218" w:rsidRPr="00B95919" w:rsidRDefault="00833218" w:rsidP="00B95919">
            <w:pPr>
              <w:pStyle w:val="Default"/>
              <w:spacing w:beforeLines="60" w:before="144" w:afterLines="60" w:after="144"/>
              <w:jc w:val="right"/>
              <w:rPr>
                <w:color w:val="auto"/>
              </w:rPr>
            </w:pPr>
            <w:r w:rsidRPr="00B95919">
              <w:rPr>
                <w:color w:val="auto"/>
              </w:rPr>
              <w:t>13,343</w:t>
            </w:r>
          </w:p>
        </w:tc>
      </w:tr>
      <w:tr w:rsidR="00833218" w:rsidRPr="00B95919" w14:paraId="7ACA359E" w14:textId="77777777" w:rsidTr="00B027E0">
        <w:trPr>
          <w:cantSplit/>
        </w:trPr>
        <w:tc>
          <w:tcPr>
            <w:tcW w:w="993" w:type="dxa"/>
          </w:tcPr>
          <w:p w14:paraId="2DB2A2A8" w14:textId="77777777" w:rsidR="00833218" w:rsidRPr="00B95919" w:rsidRDefault="00833218" w:rsidP="00B95919">
            <w:pPr>
              <w:widowControl/>
              <w:numPr>
                <w:ilvl w:val="0"/>
                <w:numId w:val="4"/>
              </w:numPr>
              <w:autoSpaceDE/>
              <w:autoSpaceDN/>
              <w:spacing w:before="60" w:after="60"/>
              <w:ind w:right="-24"/>
              <w:rPr>
                <w:sz w:val="24"/>
                <w:szCs w:val="24"/>
              </w:rPr>
            </w:pPr>
          </w:p>
        </w:tc>
        <w:tc>
          <w:tcPr>
            <w:tcW w:w="4961" w:type="dxa"/>
          </w:tcPr>
          <w:p w14:paraId="3916DC13" w14:textId="77777777" w:rsidR="00833218" w:rsidRPr="00B95919" w:rsidRDefault="00833218" w:rsidP="00B95919">
            <w:pPr>
              <w:pStyle w:val="Tabletext"/>
              <w:spacing w:after="60"/>
              <w:rPr>
                <w:sz w:val="24"/>
                <w:szCs w:val="24"/>
              </w:rPr>
            </w:pPr>
            <w:r w:rsidRPr="00B95919">
              <w:rPr>
                <w:sz w:val="24"/>
                <w:szCs w:val="24"/>
              </w:rPr>
              <w:t>Irradiator:</w:t>
            </w:r>
          </w:p>
          <w:p w14:paraId="3D05A4F6" w14:textId="77777777" w:rsidR="00833218" w:rsidRPr="00B95919" w:rsidRDefault="00833218" w:rsidP="00B95919">
            <w:pPr>
              <w:pStyle w:val="Tablea"/>
              <w:spacing w:after="60"/>
              <w:rPr>
                <w:sz w:val="24"/>
                <w:szCs w:val="24"/>
              </w:rPr>
            </w:pPr>
            <w:r w:rsidRPr="00B95919">
              <w:rPr>
                <w:sz w:val="24"/>
                <w:szCs w:val="24"/>
              </w:rPr>
              <w:t>(a) containing more than 10</w:t>
            </w:r>
            <w:r w:rsidRPr="00B95919">
              <w:rPr>
                <w:sz w:val="24"/>
                <w:szCs w:val="24"/>
                <w:vertAlign w:val="superscript"/>
              </w:rPr>
              <w:t>13</w:t>
            </w:r>
            <w:r w:rsidRPr="00B95919">
              <w:rPr>
                <w:sz w:val="24"/>
                <w:szCs w:val="24"/>
              </w:rPr>
              <w:t xml:space="preserve"> </w:t>
            </w:r>
            <w:proofErr w:type="spellStart"/>
            <w:r w:rsidRPr="00B95919">
              <w:rPr>
                <w:sz w:val="24"/>
                <w:szCs w:val="24"/>
              </w:rPr>
              <w:t>Bq</w:t>
            </w:r>
            <w:proofErr w:type="spellEnd"/>
            <w:r w:rsidRPr="00B95919">
              <w:rPr>
                <w:sz w:val="24"/>
                <w:szCs w:val="24"/>
              </w:rPr>
              <w:t xml:space="preserve"> of a controlled material; and</w:t>
            </w:r>
          </w:p>
          <w:p w14:paraId="1C9645F7" w14:textId="77777777" w:rsidR="00833218" w:rsidRPr="00B95919" w:rsidRDefault="00833218" w:rsidP="00B95919">
            <w:pPr>
              <w:pStyle w:val="Tablea"/>
              <w:spacing w:after="60"/>
              <w:rPr>
                <w:sz w:val="24"/>
                <w:szCs w:val="24"/>
              </w:rPr>
            </w:pPr>
            <w:r w:rsidRPr="00B95919">
              <w:rPr>
                <w:sz w:val="24"/>
                <w:szCs w:val="24"/>
              </w:rPr>
              <w:t>(b) either:</w:t>
            </w:r>
          </w:p>
          <w:p w14:paraId="4C06CAFA" w14:textId="77777777" w:rsidR="00833218" w:rsidRPr="00B95919" w:rsidRDefault="00833218" w:rsidP="00B95919">
            <w:pPr>
              <w:pStyle w:val="Tablei"/>
              <w:spacing w:before="60" w:after="60"/>
              <w:rPr>
                <w:sz w:val="24"/>
                <w:szCs w:val="24"/>
              </w:rPr>
            </w:pPr>
            <w:r w:rsidRPr="00B95919">
              <w:rPr>
                <w:sz w:val="24"/>
                <w:szCs w:val="24"/>
              </w:rPr>
              <w:t>(</w:t>
            </w:r>
            <w:proofErr w:type="spellStart"/>
            <w:r w:rsidRPr="00B95919">
              <w:rPr>
                <w:sz w:val="24"/>
                <w:szCs w:val="24"/>
              </w:rPr>
              <w:t>i</w:t>
            </w:r>
            <w:proofErr w:type="spellEnd"/>
            <w:r w:rsidRPr="00B95919">
              <w:rPr>
                <w:sz w:val="24"/>
                <w:szCs w:val="24"/>
              </w:rPr>
              <w:t>) not including shielding as an integral part of its construction; or</w:t>
            </w:r>
          </w:p>
          <w:p w14:paraId="3BA5C624" w14:textId="77777777" w:rsidR="00833218" w:rsidRPr="00B95919" w:rsidRDefault="00833218" w:rsidP="00B95919">
            <w:pPr>
              <w:pStyle w:val="Tablei"/>
              <w:spacing w:before="60" w:after="60"/>
              <w:rPr>
                <w:sz w:val="24"/>
                <w:szCs w:val="24"/>
              </w:rPr>
            </w:pPr>
            <w:r w:rsidRPr="00B95919">
              <w:rPr>
                <w:sz w:val="24"/>
                <w:szCs w:val="24"/>
              </w:rPr>
              <w:t>(ii) including as an integral part of its construction shielding that does not prevent a person from being exposed to the source or does not shield a source during the operation of the irradiator</w:t>
            </w:r>
          </w:p>
        </w:tc>
        <w:tc>
          <w:tcPr>
            <w:tcW w:w="1701" w:type="dxa"/>
          </w:tcPr>
          <w:p w14:paraId="61AF2D71" w14:textId="77777777" w:rsidR="00833218" w:rsidRPr="00B95919" w:rsidRDefault="00833218" w:rsidP="00B95919">
            <w:pPr>
              <w:pStyle w:val="Default"/>
              <w:spacing w:beforeLines="60" w:before="144" w:afterLines="60" w:after="144"/>
              <w:jc w:val="right"/>
              <w:rPr>
                <w:color w:val="auto"/>
              </w:rPr>
            </w:pPr>
            <w:r w:rsidRPr="00B95919">
              <w:rPr>
                <w:color w:val="auto"/>
              </w:rPr>
              <w:t>12,955</w:t>
            </w:r>
          </w:p>
        </w:tc>
        <w:tc>
          <w:tcPr>
            <w:tcW w:w="1417" w:type="dxa"/>
          </w:tcPr>
          <w:p w14:paraId="186F2424" w14:textId="77777777" w:rsidR="00833218" w:rsidRPr="00B95919" w:rsidRDefault="00833218" w:rsidP="00B95919">
            <w:pPr>
              <w:pStyle w:val="Default"/>
              <w:spacing w:beforeLines="60" w:before="144" w:afterLines="60" w:after="144"/>
              <w:jc w:val="right"/>
              <w:rPr>
                <w:color w:val="auto"/>
              </w:rPr>
            </w:pPr>
            <w:r w:rsidRPr="00B95919">
              <w:rPr>
                <w:color w:val="auto"/>
              </w:rPr>
              <w:t>13,343</w:t>
            </w:r>
          </w:p>
        </w:tc>
      </w:tr>
      <w:tr w:rsidR="00833218" w:rsidRPr="00B95919" w14:paraId="1814A5A9" w14:textId="77777777" w:rsidTr="00B027E0">
        <w:trPr>
          <w:cantSplit/>
        </w:trPr>
        <w:tc>
          <w:tcPr>
            <w:tcW w:w="993" w:type="dxa"/>
          </w:tcPr>
          <w:p w14:paraId="3A77E59C" w14:textId="77777777" w:rsidR="00833218" w:rsidRPr="00B95919" w:rsidRDefault="00833218" w:rsidP="00B95919">
            <w:pPr>
              <w:widowControl/>
              <w:numPr>
                <w:ilvl w:val="0"/>
                <w:numId w:val="4"/>
              </w:numPr>
              <w:autoSpaceDE/>
              <w:autoSpaceDN/>
              <w:spacing w:before="60" w:after="60"/>
              <w:ind w:right="-24"/>
              <w:rPr>
                <w:sz w:val="24"/>
                <w:szCs w:val="24"/>
              </w:rPr>
            </w:pPr>
          </w:p>
        </w:tc>
        <w:tc>
          <w:tcPr>
            <w:tcW w:w="4961" w:type="dxa"/>
          </w:tcPr>
          <w:p w14:paraId="24B06B37" w14:textId="77777777" w:rsidR="00833218" w:rsidRPr="00B95919" w:rsidRDefault="00833218" w:rsidP="00B95919">
            <w:pPr>
              <w:pStyle w:val="Tabletext"/>
              <w:spacing w:after="60"/>
              <w:rPr>
                <w:sz w:val="24"/>
                <w:szCs w:val="24"/>
              </w:rPr>
            </w:pPr>
            <w:r w:rsidRPr="00B95919">
              <w:rPr>
                <w:sz w:val="24"/>
                <w:szCs w:val="24"/>
              </w:rPr>
              <w:t xml:space="preserve">Facility for the production, processing, use, storage, </w:t>
            </w:r>
            <w:proofErr w:type="gramStart"/>
            <w:r w:rsidRPr="00B95919">
              <w:rPr>
                <w:sz w:val="24"/>
                <w:szCs w:val="24"/>
              </w:rPr>
              <w:t>management</w:t>
            </w:r>
            <w:proofErr w:type="gramEnd"/>
            <w:r w:rsidRPr="00B95919">
              <w:rPr>
                <w:sz w:val="24"/>
                <w:szCs w:val="24"/>
              </w:rPr>
              <w:t xml:space="preserve"> or disposal of:</w:t>
            </w:r>
          </w:p>
          <w:p w14:paraId="1F0DD2C8" w14:textId="77777777" w:rsidR="00833218" w:rsidRPr="00B95919" w:rsidRDefault="00833218" w:rsidP="00B95919">
            <w:pPr>
              <w:pStyle w:val="Tablea"/>
              <w:spacing w:after="60"/>
              <w:rPr>
                <w:sz w:val="24"/>
                <w:szCs w:val="24"/>
              </w:rPr>
            </w:pPr>
            <w:r w:rsidRPr="00B95919">
              <w:rPr>
                <w:sz w:val="24"/>
                <w:szCs w:val="24"/>
              </w:rPr>
              <w:t>(a) unsealed sources for which the result of the activity value division steps is greater than 10</w:t>
            </w:r>
            <w:r w:rsidRPr="00B95919">
              <w:rPr>
                <w:sz w:val="24"/>
                <w:szCs w:val="24"/>
                <w:vertAlign w:val="superscript"/>
              </w:rPr>
              <w:t>6</w:t>
            </w:r>
            <w:r w:rsidRPr="00B95919">
              <w:rPr>
                <w:sz w:val="24"/>
                <w:szCs w:val="24"/>
              </w:rPr>
              <w:t>; or</w:t>
            </w:r>
          </w:p>
          <w:p w14:paraId="705C062A" w14:textId="77777777" w:rsidR="00833218" w:rsidRPr="00B95919" w:rsidRDefault="00833218" w:rsidP="00B95919">
            <w:pPr>
              <w:pStyle w:val="Tablea"/>
              <w:spacing w:after="60"/>
              <w:rPr>
                <w:sz w:val="24"/>
                <w:szCs w:val="24"/>
              </w:rPr>
            </w:pPr>
            <w:r w:rsidRPr="00B95919">
              <w:rPr>
                <w:sz w:val="24"/>
                <w:szCs w:val="24"/>
              </w:rPr>
              <w:t>(b) sealed sources for which the result of the activity value division steps is greater than 10</w:t>
            </w:r>
            <w:r w:rsidRPr="00B95919">
              <w:rPr>
                <w:sz w:val="24"/>
                <w:szCs w:val="24"/>
                <w:vertAlign w:val="superscript"/>
              </w:rPr>
              <w:t>9</w:t>
            </w:r>
          </w:p>
        </w:tc>
        <w:tc>
          <w:tcPr>
            <w:tcW w:w="1701" w:type="dxa"/>
          </w:tcPr>
          <w:p w14:paraId="15656C5A" w14:textId="77777777" w:rsidR="00833218" w:rsidRPr="00B95919" w:rsidRDefault="00833218" w:rsidP="00B95919">
            <w:pPr>
              <w:pStyle w:val="Default"/>
              <w:spacing w:beforeLines="60" w:before="144" w:afterLines="60" w:after="144"/>
              <w:jc w:val="right"/>
              <w:rPr>
                <w:color w:val="auto"/>
              </w:rPr>
            </w:pPr>
            <w:r w:rsidRPr="00B95919">
              <w:rPr>
                <w:color w:val="auto"/>
              </w:rPr>
              <w:t>38,865</w:t>
            </w:r>
          </w:p>
        </w:tc>
        <w:tc>
          <w:tcPr>
            <w:tcW w:w="1417" w:type="dxa"/>
          </w:tcPr>
          <w:p w14:paraId="6EFA6C2B" w14:textId="77777777" w:rsidR="00833218" w:rsidRPr="00B95919" w:rsidRDefault="00833218" w:rsidP="00B95919">
            <w:pPr>
              <w:pStyle w:val="Default"/>
              <w:spacing w:beforeLines="60" w:before="144" w:afterLines="60" w:after="144"/>
              <w:jc w:val="right"/>
              <w:rPr>
                <w:color w:val="auto"/>
              </w:rPr>
            </w:pPr>
            <w:r w:rsidRPr="00B95919">
              <w:rPr>
                <w:color w:val="auto"/>
              </w:rPr>
              <w:t>40,030</w:t>
            </w:r>
          </w:p>
        </w:tc>
      </w:tr>
    </w:tbl>
    <w:p w14:paraId="6B23F791" w14:textId="77777777" w:rsidR="00833218" w:rsidRPr="00B95919" w:rsidRDefault="00833218" w:rsidP="00B95919">
      <w:pPr>
        <w:ind w:right="-24"/>
        <w:rPr>
          <w:sz w:val="24"/>
          <w:szCs w:val="24"/>
        </w:rPr>
      </w:pPr>
    </w:p>
    <w:p w14:paraId="5DDD7833" w14:textId="77777777" w:rsidR="00833218" w:rsidRPr="00B95919" w:rsidRDefault="00833218" w:rsidP="00B95919">
      <w:pPr>
        <w:ind w:right="178"/>
        <w:rPr>
          <w:b/>
          <w:sz w:val="24"/>
          <w:szCs w:val="24"/>
          <w:lang w:eastAsia="en-AU"/>
        </w:rPr>
      </w:pPr>
      <w:r w:rsidRPr="00B95919">
        <w:rPr>
          <w:b/>
          <w:sz w:val="24"/>
          <w:szCs w:val="24"/>
          <w:lang w:eastAsia="en-AU"/>
        </w:rPr>
        <w:t>Items [3], [4] and [5] – subsection 10(1)</w:t>
      </w:r>
    </w:p>
    <w:p w14:paraId="1459268E" w14:textId="77777777" w:rsidR="00833218" w:rsidRPr="00B95919" w:rsidRDefault="00833218" w:rsidP="00B95919">
      <w:pPr>
        <w:ind w:right="178"/>
        <w:rPr>
          <w:b/>
          <w:sz w:val="24"/>
          <w:szCs w:val="24"/>
          <w:lang w:eastAsia="en-AU"/>
        </w:rPr>
      </w:pPr>
    </w:p>
    <w:p w14:paraId="3B28C9E3" w14:textId="47AD06D0" w:rsidR="00833218" w:rsidRPr="00B95919" w:rsidRDefault="00833218" w:rsidP="00B95919">
      <w:pPr>
        <w:spacing w:after="120" w:line="264" w:lineRule="auto"/>
        <w:ind w:right="176"/>
        <w:rPr>
          <w:sz w:val="24"/>
          <w:szCs w:val="24"/>
        </w:rPr>
      </w:pPr>
      <w:r w:rsidRPr="00B95919">
        <w:rPr>
          <w:sz w:val="24"/>
          <w:szCs w:val="24"/>
        </w:rPr>
        <w:t xml:space="preserve">These items increase the amounts of the annual licence charges listed in the subsection 10(1) table for certain facility licence holders by </w:t>
      </w:r>
      <w:r w:rsidR="008F0BA5" w:rsidRPr="00B95919">
        <w:rPr>
          <w:sz w:val="24"/>
          <w:szCs w:val="24"/>
        </w:rPr>
        <w:t>three</w:t>
      </w:r>
      <w:r w:rsidRPr="00B95919">
        <w:rPr>
          <w:sz w:val="24"/>
          <w:szCs w:val="24"/>
        </w:rPr>
        <w:t xml:space="preserve"> per cent as follows: </w:t>
      </w:r>
    </w:p>
    <w:tbl>
      <w:tblPr>
        <w:tblStyle w:val="TableGrid"/>
        <w:tblW w:w="4792" w:type="pct"/>
        <w:tblInd w:w="108" w:type="dxa"/>
        <w:tblLook w:val="04A0" w:firstRow="1" w:lastRow="0" w:firstColumn="1" w:lastColumn="0" w:noHBand="0" w:noVBand="1"/>
      </w:tblPr>
      <w:tblGrid>
        <w:gridCol w:w="993"/>
        <w:gridCol w:w="4962"/>
        <w:gridCol w:w="1702"/>
        <w:gridCol w:w="1415"/>
      </w:tblGrid>
      <w:tr w:rsidR="00B027E0" w:rsidRPr="00B95919" w14:paraId="6B0D98BB" w14:textId="77777777" w:rsidTr="00B027E0">
        <w:tc>
          <w:tcPr>
            <w:tcW w:w="547" w:type="pct"/>
            <w:shd w:val="clear" w:color="auto" w:fill="EEECE1" w:themeFill="background2"/>
          </w:tcPr>
          <w:p w14:paraId="26D5DB10" w14:textId="77777777" w:rsidR="00B027E0" w:rsidRPr="00B95919" w:rsidRDefault="00B027E0" w:rsidP="00B95919">
            <w:pPr>
              <w:spacing w:before="60" w:after="60"/>
              <w:ind w:right="-24"/>
              <w:jc w:val="center"/>
              <w:rPr>
                <w:sz w:val="24"/>
                <w:szCs w:val="24"/>
              </w:rPr>
            </w:pPr>
            <w:r w:rsidRPr="00B95919">
              <w:rPr>
                <w:sz w:val="24"/>
                <w:szCs w:val="24"/>
              </w:rPr>
              <w:t>Table Item</w:t>
            </w:r>
          </w:p>
        </w:tc>
        <w:tc>
          <w:tcPr>
            <w:tcW w:w="2735" w:type="pct"/>
            <w:shd w:val="clear" w:color="auto" w:fill="EEECE1" w:themeFill="background2"/>
          </w:tcPr>
          <w:p w14:paraId="7541C73B" w14:textId="77777777" w:rsidR="00B027E0" w:rsidRPr="00B95919" w:rsidRDefault="00B027E0" w:rsidP="00B95919">
            <w:pPr>
              <w:spacing w:before="60" w:after="60"/>
              <w:rPr>
                <w:bCs/>
                <w:sz w:val="24"/>
                <w:szCs w:val="24"/>
              </w:rPr>
            </w:pPr>
            <w:r w:rsidRPr="00B95919">
              <w:rPr>
                <w:sz w:val="24"/>
                <w:szCs w:val="24"/>
              </w:rPr>
              <w:t>Name</w:t>
            </w:r>
          </w:p>
        </w:tc>
        <w:tc>
          <w:tcPr>
            <w:tcW w:w="938" w:type="pct"/>
            <w:shd w:val="clear" w:color="auto" w:fill="EEECE1" w:themeFill="background2"/>
          </w:tcPr>
          <w:p w14:paraId="77851B24" w14:textId="2E8EFFB7" w:rsidR="00B027E0" w:rsidRPr="00B95919" w:rsidRDefault="00B027E0" w:rsidP="00B95919">
            <w:pPr>
              <w:spacing w:before="60" w:after="60"/>
              <w:ind w:left="-105"/>
              <w:jc w:val="center"/>
              <w:rPr>
                <w:sz w:val="24"/>
                <w:szCs w:val="24"/>
              </w:rPr>
            </w:pPr>
            <w:r w:rsidRPr="00B95919">
              <w:rPr>
                <w:sz w:val="24"/>
                <w:szCs w:val="24"/>
              </w:rPr>
              <w:t>Existing annual charge ($)</w:t>
            </w:r>
          </w:p>
        </w:tc>
        <w:tc>
          <w:tcPr>
            <w:tcW w:w="780" w:type="pct"/>
            <w:shd w:val="clear" w:color="auto" w:fill="EEECE1" w:themeFill="background2"/>
            <w:vAlign w:val="center"/>
          </w:tcPr>
          <w:p w14:paraId="486F25E5" w14:textId="5548B938" w:rsidR="00B027E0" w:rsidRPr="00B95919" w:rsidRDefault="00B027E0" w:rsidP="00B95919">
            <w:pPr>
              <w:spacing w:before="60" w:after="60"/>
              <w:jc w:val="center"/>
              <w:rPr>
                <w:sz w:val="24"/>
                <w:szCs w:val="24"/>
              </w:rPr>
            </w:pPr>
            <w:r w:rsidRPr="00B95919">
              <w:rPr>
                <w:sz w:val="24"/>
                <w:szCs w:val="24"/>
              </w:rPr>
              <w:t>New annual charge ($)</w:t>
            </w:r>
          </w:p>
        </w:tc>
      </w:tr>
      <w:tr w:rsidR="00833218" w:rsidRPr="00B95919" w14:paraId="22006903" w14:textId="77777777" w:rsidTr="00B027E0">
        <w:trPr>
          <w:trHeight w:val="334"/>
        </w:trPr>
        <w:tc>
          <w:tcPr>
            <w:tcW w:w="547" w:type="pct"/>
          </w:tcPr>
          <w:p w14:paraId="03A93646" w14:textId="77777777" w:rsidR="00833218" w:rsidRPr="00B95919" w:rsidRDefault="00833218" w:rsidP="00B95919">
            <w:pPr>
              <w:numPr>
                <w:ilvl w:val="0"/>
                <w:numId w:val="5"/>
              </w:numPr>
              <w:spacing w:before="60" w:after="60"/>
              <w:ind w:right="-24"/>
              <w:rPr>
                <w:sz w:val="24"/>
                <w:szCs w:val="24"/>
              </w:rPr>
            </w:pPr>
          </w:p>
        </w:tc>
        <w:tc>
          <w:tcPr>
            <w:tcW w:w="2735" w:type="pct"/>
            <w:shd w:val="clear" w:color="auto" w:fill="auto"/>
          </w:tcPr>
          <w:p w14:paraId="0D93C41F" w14:textId="77777777" w:rsidR="00833218" w:rsidRPr="00B95919" w:rsidRDefault="00833218" w:rsidP="00B95919">
            <w:pPr>
              <w:autoSpaceDE w:val="0"/>
              <w:autoSpaceDN w:val="0"/>
              <w:adjustRightInd w:val="0"/>
              <w:spacing w:before="60" w:after="60"/>
              <w:ind w:right="-24"/>
              <w:rPr>
                <w:sz w:val="24"/>
                <w:szCs w:val="24"/>
              </w:rPr>
            </w:pPr>
            <w:r w:rsidRPr="00B95919">
              <w:rPr>
                <w:sz w:val="24"/>
                <w:szCs w:val="24"/>
              </w:rPr>
              <w:t xml:space="preserve">Australian National University </w:t>
            </w:r>
          </w:p>
        </w:tc>
        <w:tc>
          <w:tcPr>
            <w:tcW w:w="938" w:type="pct"/>
            <w:shd w:val="clear" w:color="auto" w:fill="auto"/>
          </w:tcPr>
          <w:p w14:paraId="78D77E93" w14:textId="77777777" w:rsidR="00833218" w:rsidRPr="00B95919" w:rsidRDefault="00833218" w:rsidP="00B95919">
            <w:pPr>
              <w:pStyle w:val="Default"/>
              <w:spacing w:beforeLines="60" w:before="144" w:afterLines="60" w:after="144"/>
              <w:jc w:val="right"/>
              <w:rPr>
                <w:color w:val="auto"/>
              </w:rPr>
            </w:pPr>
            <w:r w:rsidRPr="00B95919">
              <w:rPr>
                <w:color w:val="auto"/>
              </w:rPr>
              <w:t>22,857</w:t>
            </w:r>
          </w:p>
        </w:tc>
        <w:tc>
          <w:tcPr>
            <w:tcW w:w="780" w:type="pct"/>
          </w:tcPr>
          <w:p w14:paraId="7E1FB8C5" w14:textId="77777777" w:rsidR="00833218" w:rsidRPr="00B95919" w:rsidRDefault="00833218" w:rsidP="00B95919">
            <w:pPr>
              <w:pStyle w:val="Default"/>
              <w:spacing w:beforeLines="60" w:before="144" w:afterLines="60" w:after="144"/>
              <w:jc w:val="right"/>
              <w:rPr>
                <w:color w:val="auto"/>
              </w:rPr>
            </w:pPr>
            <w:r w:rsidRPr="00B95919">
              <w:rPr>
                <w:color w:val="auto"/>
              </w:rPr>
              <w:t>23,542</w:t>
            </w:r>
          </w:p>
        </w:tc>
      </w:tr>
      <w:tr w:rsidR="00833218" w:rsidRPr="00B95919" w14:paraId="50017BB8" w14:textId="77777777" w:rsidTr="00B027E0">
        <w:trPr>
          <w:trHeight w:val="612"/>
        </w:trPr>
        <w:tc>
          <w:tcPr>
            <w:tcW w:w="547" w:type="pct"/>
          </w:tcPr>
          <w:p w14:paraId="04C94CEB" w14:textId="77777777" w:rsidR="00833218" w:rsidRPr="00B95919" w:rsidRDefault="00833218" w:rsidP="00B95919">
            <w:pPr>
              <w:numPr>
                <w:ilvl w:val="0"/>
                <w:numId w:val="5"/>
              </w:numPr>
              <w:spacing w:before="60" w:after="60"/>
              <w:ind w:right="-24"/>
              <w:rPr>
                <w:sz w:val="24"/>
                <w:szCs w:val="24"/>
              </w:rPr>
            </w:pPr>
          </w:p>
        </w:tc>
        <w:tc>
          <w:tcPr>
            <w:tcW w:w="2735" w:type="pct"/>
            <w:shd w:val="clear" w:color="auto" w:fill="auto"/>
          </w:tcPr>
          <w:p w14:paraId="39988905" w14:textId="77777777" w:rsidR="00833218" w:rsidRPr="00B95919" w:rsidRDefault="00833218" w:rsidP="00B95919">
            <w:pPr>
              <w:autoSpaceDE w:val="0"/>
              <w:autoSpaceDN w:val="0"/>
              <w:adjustRightInd w:val="0"/>
              <w:spacing w:before="60" w:after="60"/>
              <w:ind w:right="-24"/>
              <w:rPr>
                <w:sz w:val="24"/>
                <w:szCs w:val="24"/>
              </w:rPr>
            </w:pPr>
            <w:r w:rsidRPr="00B95919">
              <w:rPr>
                <w:sz w:val="24"/>
                <w:szCs w:val="24"/>
              </w:rPr>
              <w:t xml:space="preserve">Australian Nuclear Science and Technology Organisation </w:t>
            </w:r>
          </w:p>
        </w:tc>
        <w:tc>
          <w:tcPr>
            <w:tcW w:w="938" w:type="pct"/>
            <w:shd w:val="clear" w:color="auto" w:fill="auto"/>
          </w:tcPr>
          <w:p w14:paraId="2BCD60C1" w14:textId="77777777" w:rsidR="00833218" w:rsidRPr="00B95919" w:rsidRDefault="00833218" w:rsidP="00B95919">
            <w:pPr>
              <w:pStyle w:val="Default"/>
              <w:spacing w:beforeLines="60" w:before="144" w:afterLines="60" w:after="144"/>
              <w:jc w:val="right"/>
              <w:rPr>
                <w:color w:val="auto"/>
              </w:rPr>
            </w:pPr>
            <w:r w:rsidRPr="00B95919">
              <w:rPr>
                <w:color w:val="auto"/>
              </w:rPr>
              <w:t>3,680,859</w:t>
            </w:r>
          </w:p>
        </w:tc>
        <w:tc>
          <w:tcPr>
            <w:tcW w:w="780" w:type="pct"/>
          </w:tcPr>
          <w:p w14:paraId="0105A116" w14:textId="77777777" w:rsidR="00833218" w:rsidRPr="00B95919" w:rsidRDefault="00833218" w:rsidP="00B95919">
            <w:pPr>
              <w:pStyle w:val="Default"/>
              <w:spacing w:beforeLines="60" w:before="144" w:afterLines="60" w:after="144"/>
              <w:jc w:val="right"/>
              <w:rPr>
                <w:color w:val="auto"/>
              </w:rPr>
            </w:pPr>
            <w:r w:rsidRPr="00B95919">
              <w:rPr>
                <w:color w:val="auto"/>
              </w:rPr>
              <w:t>3,791,284</w:t>
            </w:r>
          </w:p>
        </w:tc>
      </w:tr>
      <w:tr w:rsidR="00833218" w:rsidRPr="00B95919" w14:paraId="3C51A20F" w14:textId="77777777" w:rsidTr="00B027E0">
        <w:trPr>
          <w:trHeight w:val="612"/>
        </w:trPr>
        <w:tc>
          <w:tcPr>
            <w:tcW w:w="547" w:type="pct"/>
            <w:shd w:val="clear" w:color="auto" w:fill="auto"/>
          </w:tcPr>
          <w:p w14:paraId="63F41A8F" w14:textId="77777777" w:rsidR="00833218" w:rsidRPr="00B95919" w:rsidRDefault="00833218" w:rsidP="00B95919">
            <w:pPr>
              <w:numPr>
                <w:ilvl w:val="0"/>
                <w:numId w:val="5"/>
              </w:numPr>
              <w:spacing w:before="60" w:after="60"/>
              <w:ind w:right="-24"/>
              <w:rPr>
                <w:sz w:val="24"/>
                <w:szCs w:val="24"/>
              </w:rPr>
            </w:pPr>
          </w:p>
        </w:tc>
        <w:tc>
          <w:tcPr>
            <w:tcW w:w="2735" w:type="pct"/>
            <w:shd w:val="clear" w:color="auto" w:fill="auto"/>
          </w:tcPr>
          <w:p w14:paraId="26ABC7A7" w14:textId="77777777" w:rsidR="00833218" w:rsidRPr="00B95919" w:rsidRDefault="00833218" w:rsidP="00B95919">
            <w:pPr>
              <w:autoSpaceDE w:val="0"/>
              <w:autoSpaceDN w:val="0"/>
              <w:adjustRightInd w:val="0"/>
              <w:spacing w:before="60" w:after="60"/>
              <w:ind w:right="-24"/>
              <w:rPr>
                <w:sz w:val="24"/>
                <w:szCs w:val="24"/>
              </w:rPr>
            </w:pPr>
            <w:r w:rsidRPr="00B95919">
              <w:rPr>
                <w:sz w:val="24"/>
                <w:szCs w:val="24"/>
              </w:rPr>
              <w:t>Department of Defence</w:t>
            </w:r>
          </w:p>
        </w:tc>
        <w:tc>
          <w:tcPr>
            <w:tcW w:w="938" w:type="pct"/>
            <w:shd w:val="clear" w:color="auto" w:fill="auto"/>
          </w:tcPr>
          <w:p w14:paraId="27171422" w14:textId="77777777" w:rsidR="00833218" w:rsidRPr="00B95919" w:rsidRDefault="00833218" w:rsidP="00B95919">
            <w:pPr>
              <w:pStyle w:val="Default"/>
              <w:spacing w:beforeLines="60" w:before="144" w:afterLines="60" w:after="144"/>
              <w:jc w:val="right"/>
              <w:rPr>
                <w:color w:val="auto"/>
              </w:rPr>
            </w:pPr>
            <w:r w:rsidRPr="00B95919">
              <w:rPr>
                <w:color w:val="auto"/>
              </w:rPr>
              <w:t>160,190</w:t>
            </w:r>
          </w:p>
        </w:tc>
        <w:tc>
          <w:tcPr>
            <w:tcW w:w="780" w:type="pct"/>
          </w:tcPr>
          <w:p w14:paraId="3B6C1440" w14:textId="77777777" w:rsidR="00833218" w:rsidRPr="00B95919" w:rsidRDefault="00833218" w:rsidP="00B95919">
            <w:pPr>
              <w:pStyle w:val="Default"/>
              <w:spacing w:beforeLines="60" w:before="144" w:afterLines="60" w:after="144"/>
              <w:jc w:val="right"/>
              <w:rPr>
                <w:color w:val="auto"/>
              </w:rPr>
            </w:pPr>
            <w:r w:rsidRPr="00B95919">
              <w:rPr>
                <w:color w:val="auto"/>
              </w:rPr>
              <w:t>164,995</w:t>
            </w:r>
          </w:p>
        </w:tc>
      </w:tr>
    </w:tbl>
    <w:p w14:paraId="22C2E5E1" w14:textId="77777777" w:rsidR="00833218" w:rsidRPr="00B95919" w:rsidRDefault="00833218" w:rsidP="00B95919">
      <w:pPr>
        <w:ind w:right="91"/>
        <w:rPr>
          <w:b/>
          <w:sz w:val="24"/>
          <w:szCs w:val="24"/>
          <w:lang w:eastAsia="en-AU"/>
        </w:rPr>
      </w:pPr>
    </w:p>
    <w:p w14:paraId="29F9A6B5" w14:textId="77777777" w:rsidR="00833218" w:rsidRPr="00B95919" w:rsidRDefault="00833218" w:rsidP="00B95919">
      <w:pPr>
        <w:spacing w:before="120"/>
        <w:ind w:right="178"/>
        <w:rPr>
          <w:b/>
          <w:sz w:val="24"/>
          <w:szCs w:val="24"/>
          <w:lang w:eastAsia="en-AU"/>
        </w:rPr>
      </w:pPr>
      <w:r w:rsidRPr="00B95919">
        <w:rPr>
          <w:b/>
          <w:sz w:val="24"/>
          <w:szCs w:val="24"/>
          <w:lang w:eastAsia="en-AU"/>
        </w:rPr>
        <w:t>Item [6] - section 12</w:t>
      </w:r>
    </w:p>
    <w:p w14:paraId="697D298B" w14:textId="77777777" w:rsidR="00833218" w:rsidRPr="00B95919" w:rsidRDefault="00833218" w:rsidP="00B95919">
      <w:pPr>
        <w:ind w:right="178"/>
        <w:rPr>
          <w:b/>
          <w:sz w:val="24"/>
          <w:szCs w:val="24"/>
          <w:lang w:eastAsia="en-AU"/>
        </w:rPr>
      </w:pPr>
    </w:p>
    <w:p w14:paraId="01AFB7C1" w14:textId="0C67A3D1" w:rsidR="00833218" w:rsidRPr="00B95919" w:rsidRDefault="00833218" w:rsidP="00B95919">
      <w:pPr>
        <w:spacing w:after="120" w:line="264" w:lineRule="auto"/>
        <w:ind w:right="176"/>
        <w:rPr>
          <w:sz w:val="24"/>
          <w:szCs w:val="24"/>
        </w:rPr>
      </w:pPr>
      <w:r w:rsidRPr="00B95919">
        <w:rPr>
          <w:sz w:val="24"/>
          <w:szCs w:val="24"/>
        </w:rPr>
        <w:t>This amendment increase</w:t>
      </w:r>
      <w:r w:rsidR="00D9016E" w:rsidRPr="00B95919">
        <w:rPr>
          <w:sz w:val="24"/>
          <w:szCs w:val="24"/>
        </w:rPr>
        <w:t>s</w:t>
      </w:r>
      <w:r w:rsidRPr="00B95919">
        <w:rPr>
          <w:sz w:val="24"/>
          <w:szCs w:val="24"/>
        </w:rPr>
        <w:t xml:space="preserve"> the amount of the annual licence charge for each controlled apparatus or controlled material held by the licence holder by </w:t>
      </w:r>
      <w:r w:rsidR="004C4905" w:rsidRPr="00B95919">
        <w:rPr>
          <w:sz w:val="24"/>
          <w:szCs w:val="24"/>
        </w:rPr>
        <w:t>three</w:t>
      </w:r>
      <w:r w:rsidRPr="00B95919">
        <w:rPr>
          <w:sz w:val="24"/>
          <w:szCs w:val="24"/>
        </w:rPr>
        <w:t xml:space="preserve"> per cent from $595 to $612. </w:t>
      </w:r>
    </w:p>
    <w:p w14:paraId="4D291D10" w14:textId="77777777" w:rsidR="00833218" w:rsidRPr="00B95919" w:rsidRDefault="00833218" w:rsidP="00B95919">
      <w:pPr>
        <w:spacing w:before="240"/>
        <w:ind w:right="178"/>
        <w:rPr>
          <w:b/>
          <w:sz w:val="24"/>
          <w:szCs w:val="24"/>
          <w:lang w:eastAsia="en-AU"/>
        </w:rPr>
      </w:pPr>
      <w:r w:rsidRPr="00B95919">
        <w:rPr>
          <w:b/>
          <w:sz w:val="24"/>
          <w:szCs w:val="24"/>
          <w:lang w:eastAsia="en-AU"/>
        </w:rPr>
        <w:t>Items [7], [8], [9], [10], [11], [12] and [13] - subsection 13(1)</w:t>
      </w:r>
    </w:p>
    <w:p w14:paraId="3D4CC043" w14:textId="77777777" w:rsidR="00833218" w:rsidRPr="00B95919" w:rsidRDefault="00833218" w:rsidP="00B95919">
      <w:pPr>
        <w:ind w:right="178"/>
        <w:rPr>
          <w:b/>
          <w:sz w:val="24"/>
          <w:szCs w:val="24"/>
          <w:lang w:eastAsia="en-AU"/>
        </w:rPr>
      </w:pPr>
    </w:p>
    <w:p w14:paraId="4478A5D4" w14:textId="772BC8E5" w:rsidR="00833218" w:rsidRPr="00B95919" w:rsidRDefault="00833218" w:rsidP="00B95919">
      <w:pPr>
        <w:spacing w:after="120" w:line="264" w:lineRule="auto"/>
        <w:ind w:right="176"/>
        <w:rPr>
          <w:sz w:val="24"/>
          <w:szCs w:val="24"/>
        </w:rPr>
      </w:pPr>
      <w:r w:rsidRPr="00B95919">
        <w:rPr>
          <w:sz w:val="24"/>
          <w:szCs w:val="24"/>
        </w:rPr>
        <w:t xml:space="preserve">These items increase the amounts of the annual licence charges listed in the subsection 13(1) table for certain source licence holders by </w:t>
      </w:r>
      <w:r w:rsidR="000E2721" w:rsidRPr="00B95919">
        <w:rPr>
          <w:sz w:val="24"/>
          <w:szCs w:val="24"/>
        </w:rPr>
        <w:t>three</w:t>
      </w:r>
      <w:r w:rsidRPr="00B95919">
        <w:rPr>
          <w:sz w:val="24"/>
          <w:szCs w:val="24"/>
        </w:rPr>
        <w:t xml:space="preserve"> per cent as follows: </w:t>
      </w:r>
    </w:p>
    <w:tbl>
      <w:tblPr>
        <w:tblStyle w:val="TableGrid"/>
        <w:tblW w:w="4792" w:type="pct"/>
        <w:tblInd w:w="108" w:type="dxa"/>
        <w:tblLook w:val="04A0" w:firstRow="1" w:lastRow="0" w:firstColumn="1" w:lastColumn="0" w:noHBand="0" w:noVBand="1"/>
      </w:tblPr>
      <w:tblGrid>
        <w:gridCol w:w="993"/>
        <w:gridCol w:w="4962"/>
        <w:gridCol w:w="1704"/>
        <w:gridCol w:w="1413"/>
      </w:tblGrid>
      <w:tr w:rsidR="00B027E0" w:rsidRPr="00B95919" w14:paraId="57AB7B88" w14:textId="77777777" w:rsidTr="009C6B02">
        <w:tc>
          <w:tcPr>
            <w:tcW w:w="547" w:type="pct"/>
            <w:shd w:val="clear" w:color="auto" w:fill="EEECE1" w:themeFill="background2"/>
          </w:tcPr>
          <w:p w14:paraId="637E8789" w14:textId="77777777" w:rsidR="00B027E0" w:rsidRPr="00B95919" w:rsidRDefault="00B027E0" w:rsidP="00B95919">
            <w:pPr>
              <w:spacing w:beforeLines="60" w:before="144" w:afterLines="60" w:after="144"/>
              <w:rPr>
                <w:bCs/>
                <w:sz w:val="24"/>
                <w:szCs w:val="24"/>
              </w:rPr>
            </w:pPr>
            <w:r w:rsidRPr="00B95919">
              <w:rPr>
                <w:bCs/>
                <w:sz w:val="24"/>
                <w:szCs w:val="24"/>
              </w:rPr>
              <w:t xml:space="preserve">Table </w:t>
            </w:r>
            <w:r w:rsidRPr="00B95919">
              <w:rPr>
                <w:bCs/>
                <w:sz w:val="24"/>
                <w:szCs w:val="24"/>
              </w:rPr>
              <w:lastRenderedPageBreak/>
              <w:t>Item</w:t>
            </w:r>
          </w:p>
        </w:tc>
        <w:tc>
          <w:tcPr>
            <w:tcW w:w="2735" w:type="pct"/>
            <w:shd w:val="clear" w:color="auto" w:fill="EEECE1" w:themeFill="background2"/>
          </w:tcPr>
          <w:p w14:paraId="08228497" w14:textId="77777777" w:rsidR="00B027E0" w:rsidRPr="00B95919" w:rsidRDefault="00B027E0" w:rsidP="00B95919">
            <w:pPr>
              <w:spacing w:beforeLines="60" w:before="144" w:afterLines="60" w:after="144"/>
              <w:rPr>
                <w:bCs/>
                <w:sz w:val="24"/>
                <w:szCs w:val="24"/>
              </w:rPr>
            </w:pPr>
            <w:r w:rsidRPr="00B95919">
              <w:rPr>
                <w:sz w:val="24"/>
                <w:szCs w:val="24"/>
              </w:rPr>
              <w:lastRenderedPageBreak/>
              <w:t>Name</w:t>
            </w:r>
          </w:p>
        </w:tc>
        <w:tc>
          <w:tcPr>
            <w:tcW w:w="938" w:type="pct"/>
            <w:shd w:val="clear" w:color="auto" w:fill="EEECE1" w:themeFill="background2"/>
          </w:tcPr>
          <w:p w14:paraId="2F4544F6" w14:textId="248CF610" w:rsidR="00B027E0" w:rsidRPr="00B95919" w:rsidRDefault="00B027E0" w:rsidP="00B95919">
            <w:pPr>
              <w:spacing w:beforeLines="60" w:before="144" w:afterLines="60" w:after="144"/>
              <w:ind w:left="-105"/>
              <w:jc w:val="center"/>
              <w:rPr>
                <w:sz w:val="24"/>
                <w:szCs w:val="24"/>
              </w:rPr>
            </w:pPr>
            <w:r w:rsidRPr="00B95919">
              <w:rPr>
                <w:sz w:val="24"/>
                <w:szCs w:val="24"/>
              </w:rPr>
              <w:t xml:space="preserve">Existing annual </w:t>
            </w:r>
            <w:r w:rsidRPr="00B95919">
              <w:rPr>
                <w:sz w:val="24"/>
                <w:szCs w:val="24"/>
              </w:rPr>
              <w:lastRenderedPageBreak/>
              <w:t>charge ($)</w:t>
            </w:r>
          </w:p>
        </w:tc>
        <w:tc>
          <w:tcPr>
            <w:tcW w:w="780" w:type="pct"/>
            <w:shd w:val="clear" w:color="auto" w:fill="EEECE1" w:themeFill="background2"/>
            <w:vAlign w:val="center"/>
          </w:tcPr>
          <w:p w14:paraId="0F735C60" w14:textId="7BD74094" w:rsidR="00B027E0" w:rsidRPr="00B95919" w:rsidRDefault="00B027E0" w:rsidP="00B95919">
            <w:pPr>
              <w:spacing w:beforeLines="60" w:before="144" w:afterLines="60" w:after="144"/>
              <w:jc w:val="center"/>
              <w:rPr>
                <w:sz w:val="24"/>
                <w:szCs w:val="24"/>
              </w:rPr>
            </w:pPr>
            <w:r w:rsidRPr="00B95919">
              <w:rPr>
                <w:sz w:val="24"/>
                <w:szCs w:val="24"/>
              </w:rPr>
              <w:lastRenderedPageBreak/>
              <w:t xml:space="preserve">New annual </w:t>
            </w:r>
            <w:r w:rsidRPr="00B95919">
              <w:rPr>
                <w:sz w:val="24"/>
                <w:szCs w:val="24"/>
              </w:rPr>
              <w:lastRenderedPageBreak/>
              <w:t>charge ($)</w:t>
            </w:r>
          </w:p>
        </w:tc>
      </w:tr>
      <w:tr w:rsidR="00833218" w:rsidRPr="00B95919" w14:paraId="31AFF1D7" w14:textId="77777777" w:rsidTr="009C6B02">
        <w:tc>
          <w:tcPr>
            <w:tcW w:w="547" w:type="pct"/>
            <w:shd w:val="clear" w:color="auto" w:fill="auto"/>
          </w:tcPr>
          <w:p w14:paraId="68AEF422" w14:textId="77777777" w:rsidR="00833218" w:rsidRPr="00B95919" w:rsidRDefault="00833218" w:rsidP="00B95919">
            <w:pPr>
              <w:numPr>
                <w:ilvl w:val="0"/>
                <w:numId w:val="6"/>
              </w:numPr>
              <w:spacing w:before="60" w:after="60"/>
              <w:ind w:right="-24"/>
              <w:rPr>
                <w:sz w:val="24"/>
                <w:szCs w:val="24"/>
              </w:rPr>
            </w:pPr>
          </w:p>
        </w:tc>
        <w:tc>
          <w:tcPr>
            <w:tcW w:w="2734" w:type="pct"/>
            <w:shd w:val="clear" w:color="auto" w:fill="auto"/>
          </w:tcPr>
          <w:p w14:paraId="1AD8B37D" w14:textId="77777777" w:rsidR="00833218" w:rsidRPr="00B95919" w:rsidRDefault="00833218" w:rsidP="00B95919">
            <w:pPr>
              <w:autoSpaceDE w:val="0"/>
              <w:autoSpaceDN w:val="0"/>
              <w:adjustRightInd w:val="0"/>
              <w:spacing w:before="60" w:after="60"/>
              <w:ind w:right="-24"/>
              <w:rPr>
                <w:rFonts w:eastAsiaTheme="minorHAnsi"/>
                <w:sz w:val="24"/>
                <w:szCs w:val="24"/>
                <w:lang w:eastAsia="en-US"/>
              </w:rPr>
            </w:pPr>
            <w:r w:rsidRPr="00B95919">
              <w:rPr>
                <w:rFonts w:eastAsiaTheme="minorHAnsi"/>
                <w:sz w:val="24"/>
                <w:szCs w:val="24"/>
                <w:lang w:eastAsia="en-US"/>
              </w:rPr>
              <w:t xml:space="preserve">Australian Federal Police </w:t>
            </w:r>
          </w:p>
        </w:tc>
        <w:tc>
          <w:tcPr>
            <w:tcW w:w="939" w:type="pct"/>
          </w:tcPr>
          <w:p w14:paraId="066A94E9" w14:textId="77777777" w:rsidR="00833218" w:rsidRPr="00B95919" w:rsidRDefault="00833218" w:rsidP="00B95919">
            <w:pPr>
              <w:pStyle w:val="Default"/>
              <w:spacing w:beforeLines="60" w:before="144" w:afterLines="60" w:after="144"/>
              <w:jc w:val="right"/>
              <w:rPr>
                <w:color w:val="auto"/>
              </w:rPr>
            </w:pPr>
            <w:r w:rsidRPr="00B95919">
              <w:rPr>
                <w:color w:val="auto"/>
              </w:rPr>
              <w:t>73,526</w:t>
            </w:r>
          </w:p>
        </w:tc>
        <w:tc>
          <w:tcPr>
            <w:tcW w:w="780" w:type="pct"/>
            <w:shd w:val="clear" w:color="auto" w:fill="auto"/>
          </w:tcPr>
          <w:p w14:paraId="41DF6199" w14:textId="77777777" w:rsidR="00833218" w:rsidRPr="00B95919" w:rsidRDefault="00833218" w:rsidP="00B95919">
            <w:pPr>
              <w:pStyle w:val="Default"/>
              <w:spacing w:beforeLines="60" w:before="144" w:afterLines="60" w:after="144"/>
              <w:jc w:val="right"/>
              <w:rPr>
                <w:color w:val="auto"/>
              </w:rPr>
            </w:pPr>
            <w:r w:rsidRPr="00B95919">
              <w:rPr>
                <w:color w:val="auto"/>
              </w:rPr>
              <w:t>75,731</w:t>
            </w:r>
          </w:p>
        </w:tc>
      </w:tr>
      <w:tr w:rsidR="00833218" w:rsidRPr="00B95919" w14:paraId="6AE68C30" w14:textId="77777777" w:rsidTr="009C6B02">
        <w:tc>
          <w:tcPr>
            <w:tcW w:w="547" w:type="pct"/>
            <w:shd w:val="clear" w:color="auto" w:fill="auto"/>
          </w:tcPr>
          <w:p w14:paraId="45DD94FB" w14:textId="77777777" w:rsidR="00833218" w:rsidRPr="00B95919" w:rsidRDefault="00833218" w:rsidP="00B95919">
            <w:pPr>
              <w:numPr>
                <w:ilvl w:val="0"/>
                <w:numId w:val="6"/>
              </w:numPr>
              <w:spacing w:before="60" w:after="60"/>
              <w:ind w:right="-24"/>
              <w:rPr>
                <w:sz w:val="24"/>
                <w:szCs w:val="24"/>
              </w:rPr>
            </w:pPr>
          </w:p>
        </w:tc>
        <w:tc>
          <w:tcPr>
            <w:tcW w:w="2734" w:type="pct"/>
            <w:shd w:val="clear" w:color="auto" w:fill="auto"/>
          </w:tcPr>
          <w:p w14:paraId="60A92CC9" w14:textId="77777777" w:rsidR="00833218" w:rsidRPr="00B95919" w:rsidRDefault="00833218" w:rsidP="00B95919">
            <w:pPr>
              <w:autoSpaceDE w:val="0"/>
              <w:autoSpaceDN w:val="0"/>
              <w:adjustRightInd w:val="0"/>
              <w:spacing w:before="60" w:after="60"/>
              <w:ind w:right="-24"/>
              <w:rPr>
                <w:rFonts w:eastAsiaTheme="minorHAnsi"/>
                <w:sz w:val="24"/>
                <w:szCs w:val="24"/>
                <w:lang w:eastAsia="en-US"/>
              </w:rPr>
            </w:pPr>
            <w:r w:rsidRPr="00B95919">
              <w:rPr>
                <w:rFonts w:eastAsiaTheme="minorHAnsi"/>
                <w:sz w:val="24"/>
                <w:szCs w:val="24"/>
                <w:lang w:eastAsia="en-US"/>
              </w:rPr>
              <w:t xml:space="preserve">Australian National University </w:t>
            </w:r>
          </w:p>
        </w:tc>
        <w:tc>
          <w:tcPr>
            <w:tcW w:w="939" w:type="pct"/>
          </w:tcPr>
          <w:p w14:paraId="5527FF6C" w14:textId="77777777" w:rsidR="00833218" w:rsidRPr="00B95919" w:rsidRDefault="00833218" w:rsidP="00B95919">
            <w:pPr>
              <w:pStyle w:val="Default"/>
              <w:spacing w:beforeLines="60" w:before="144" w:afterLines="60" w:after="144"/>
              <w:jc w:val="right"/>
              <w:rPr>
                <w:color w:val="auto"/>
              </w:rPr>
            </w:pPr>
            <w:r w:rsidRPr="00B95919">
              <w:rPr>
                <w:color w:val="auto"/>
              </w:rPr>
              <w:t>125,828</w:t>
            </w:r>
          </w:p>
        </w:tc>
        <w:tc>
          <w:tcPr>
            <w:tcW w:w="780" w:type="pct"/>
            <w:shd w:val="clear" w:color="auto" w:fill="auto"/>
          </w:tcPr>
          <w:p w14:paraId="7A7EBB5B" w14:textId="77777777" w:rsidR="00833218" w:rsidRPr="00B95919" w:rsidRDefault="00833218" w:rsidP="00B95919">
            <w:pPr>
              <w:pStyle w:val="Default"/>
              <w:spacing w:beforeLines="60" w:before="144" w:afterLines="60" w:after="144"/>
              <w:jc w:val="right"/>
              <w:rPr>
                <w:color w:val="auto"/>
              </w:rPr>
            </w:pPr>
            <w:r w:rsidRPr="00B95919">
              <w:rPr>
                <w:color w:val="auto"/>
              </w:rPr>
              <w:t>129,602</w:t>
            </w:r>
          </w:p>
        </w:tc>
      </w:tr>
      <w:tr w:rsidR="00833218" w:rsidRPr="00B95919" w14:paraId="3CF7648D" w14:textId="77777777" w:rsidTr="009C6B02">
        <w:tc>
          <w:tcPr>
            <w:tcW w:w="547" w:type="pct"/>
            <w:shd w:val="clear" w:color="auto" w:fill="auto"/>
          </w:tcPr>
          <w:p w14:paraId="299D10A3" w14:textId="77777777" w:rsidR="00833218" w:rsidRPr="00B95919" w:rsidRDefault="00833218" w:rsidP="00B95919">
            <w:pPr>
              <w:numPr>
                <w:ilvl w:val="0"/>
                <w:numId w:val="6"/>
              </w:numPr>
              <w:spacing w:before="60" w:after="60"/>
              <w:ind w:right="-24"/>
              <w:rPr>
                <w:sz w:val="24"/>
                <w:szCs w:val="24"/>
              </w:rPr>
            </w:pPr>
          </w:p>
        </w:tc>
        <w:tc>
          <w:tcPr>
            <w:tcW w:w="2734" w:type="pct"/>
            <w:shd w:val="clear" w:color="auto" w:fill="auto"/>
          </w:tcPr>
          <w:p w14:paraId="09941928" w14:textId="77777777" w:rsidR="00833218" w:rsidRPr="00B95919" w:rsidRDefault="00833218" w:rsidP="00B95919">
            <w:pPr>
              <w:autoSpaceDE w:val="0"/>
              <w:autoSpaceDN w:val="0"/>
              <w:adjustRightInd w:val="0"/>
              <w:spacing w:before="60" w:after="60"/>
              <w:ind w:right="-24"/>
              <w:rPr>
                <w:sz w:val="24"/>
                <w:szCs w:val="24"/>
              </w:rPr>
            </w:pPr>
            <w:r w:rsidRPr="00B95919">
              <w:rPr>
                <w:sz w:val="24"/>
                <w:szCs w:val="24"/>
              </w:rPr>
              <w:t>Australian Nuclear Science and Technology Organisation</w:t>
            </w:r>
          </w:p>
        </w:tc>
        <w:tc>
          <w:tcPr>
            <w:tcW w:w="939" w:type="pct"/>
          </w:tcPr>
          <w:p w14:paraId="1195C224" w14:textId="77777777" w:rsidR="00833218" w:rsidRPr="00B95919" w:rsidRDefault="00833218" w:rsidP="00B95919">
            <w:pPr>
              <w:pStyle w:val="Default"/>
              <w:spacing w:beforeLines="60" w:before="144" w:afterLines="60" w:after="144"/>
              <w:jc w:val="right"/>
              <w:rPr>
                <w:color w:val="auto"/>
              </w:rPr>
            </w:pPr>
            <w:r w:rsidRPr="00B95919">
              <w:rPr>
                <w:color w:val="auto"/>
              </w:rPr>
              <w:t>223,428</w:t>
            </w:r>
          </w:p>
        </w:tc>
        <w:tc>
          <w:tcPr>
            <w:tcW w:w="780" w:type="pct"/>
            <w:shd w:val="clear" w:color="auto" w:fill="auto"/>
          </w:tcPr>
          <w:p w14:paraId="394591CE" w14:textId="77777777" w:rsidR="00833218" w:rsidRPr="00B95919" w:rsidRDefault="00833218" w:rsidP="00B95919">
            <w:pPr>
              <w:pStyle w:val="Default"/>
              <w:spacing w:beforeLines="60" w:before="144" w:afterLines="60" w:after="144"/>
              <w:jc w:val="right"/>
              <w:rPr>
                <w:color w:val="auto"/>
              </w:rPr>
            </w:pPr>
            <w:r w:rsidRPr="00B95919">
              <w:rPr>
                <w:color w:val="auto"/>
              </w:rPr>
              <w:t>230,130</w:t>
            </w:r>
          </w:p>
        </w:tc>
      </w:tr>
      <w:tr w:rsidR="00833218" w:rsidRPr="00B95919" w14:paraId="24350A5A" w14:textId="77777777" w:rsidTr="009C6B02">
        <w:tc>
          <w:tcPr>
            <w:tcW w:w="547" w:type="pct"/>
            <w:shd w:val="clear" w:color="auto" w:fill="auto"/>
          </w:tcPr>
          <w:p w14:paraId="79D95175" w14:textId="77777777" w:rsidR="00833218" w:rsidRPr="00B95919" w:rsidRDefault="00833218" w:rsidP="00B95919">
            <w:pPr>
              <w:numPr>
                <w:ilvl w:val="0"/>
                <w:numId w:val="6"/>
              </w:numPr>
              <w:spacing w:before="60" w:after="60"/>
              <w:ind w:right="-24"/>
              <w:rPr>
                <w:sz w:val="24"/>
                <w:szCs w:val="24"/>
              </w:rPr>
            </w:pPr>
          </w:p>
        </w:tc>
        <w:tc>
          <w:tcPr>
            <w:tcW w:w="2734" w:type="pct"/>
            <w:shd w:val="clear" w:color="auto" w:fill="auto"/>
          </w:tcPr>
          <w:p w14:paraId="2116E659" w14:textId="77777777" w:rsidR="00833218" w:rsidRPr="00B95919" w:rsidRDefault="00833218" w:rsidP="00B95919">
            <w:pPr>
              <w:autoSpaceDE w:val="0"/>
              <w:autoSpaceDN w:val="0"/>
              <w:adjustRightInd w:val="0"/>
              <w:spacing w:before="60" w:after="60"/>
              <w:ind w:right="-24"/>
              <w:rPr>
                <w:sz w:val="24"/>
                <w:szCs w:val="24"/>
              </w:rPr>
            </w:pPr>
            <w:r w:rsidRPr="00B95919">
              <w:rPr>
                <w:sz w:val="24"/>
                <w:szCs w:val="24"/>
              </w:rPr>
              <w:t xml:space="preserve">Australian War Memorial </w:t>
            </w:r>
          </w:p>
        </w:tc>
        <w:tc>
          <w:tcPr>
            <w:tcW w:w="939" w:type="pct"/>
          </w:tcPr>
          <w:p w14:paraId="068FAD17" w14:textId="77777777" w:rsidR="00833218" w:rsidRPr="00B95919" w:rsidRDefault="00833218" w:rsidP="00B95919">
            <w:pPr>
              <w:pStyle w:val="Default"/>
              <w:spacing w:beforeLines="60" w:before="144" w:afterLines="60" w:after="144"/>
              <w:jc w:val="right"/>
              <w:rPr>
                <w:color w:val="auto"/>
              </w:rPr>
            </w:pPr>
            <w:r w:rsidRPr="00B95919">
              <w:rPr>
                <w:color w:val="auto"/>
              </w:rPr>
              <w:t>16,223</w:t>
            </w:r>
          </w:p>
        </w:tc>
        <w:tc>
          <w:tcPr>
            <w:tcW w:w="780" w:type="pct"/>
            <w:shd w:val="clear" w:color="auto" w:fill="auto"/>
          </w:tcPr>
          <w:p w14:paraId="50F00D24" w14:textId="77777777" w:rsidR="00833218" w:rsidRPr="00B95919" w:rsidRDefault="00833218" w:rsidP="00B95919">
            <w:pPr>
              <w:pStyle w:val="Default"/>
              <w:spacing w:beforeLines="60" w:before="144" w:afterLines="60" w:after="144"/>
              <w:jc w:val="right"/>
              <w:rPr>
                <w:color w:val="auto"/>
              </w:rPr>
            </w:pPr>
            <w:r w:rsidRPr="00B95919">
              <w:rPr>
                <w:color w:val="auto"/>
              </w:rPr>
              <w:t>16,709</w:t>
            </w:r>
          </w:p>
        </w:tc>
      </w:tr>
      <w:tr w:rsidR="00833218" w:rsidRPr="00B95919" w14:paraId="077458A0" w14:textId="77777777" w:rsidTr="009C6B02">
        <w:tc>
          <w:tcPr>
            <w:tcW w:w="547" w:type="pct"/>
            <w:shd w:val="clear" w:color="auto" w:fill="auto"/>
          </w:tcPr>
          <w:p w14:paraId="21DAE43B" w14:textId="77777777" w:rsidR="00833218" w:rsidRPr="00B95919" w:rsidRDefault="00833218" w:rsidP="00B95919">
            <w:pPr>
              <w:numPr>
                <w:ilvl w:val="0"/>
                <w:numId w:val="6"/>
              </w:numPr>
              <w:spacing w:before="60" w:after="60"/>
              <w:ind w:right="-24"/>
              <w:rPr>
                <w:sz w:val="24"/>
                <w:szCs w:val="24"/>
              </w:rPr>
            </w:pPr>
          </w:p>
        </w:tc>
        <w:tc>
          <w:tcPr>
            <w:tcW w:w="2734" w:type="pct"/>
            <w:shd w:val="clear" w:color="auto" w:fill="auto"/>
          </w:tcPr>
          <w:p w14:paraId="6572747D" w14:textId="77777777" w:rsidR="00833218" w:rsidRPr="00B95919" w:rsidRDefault="00833218" w:rsidP="00B95919">
            <w:pPr>
              <w:autoSpaceDE w:val="0"/>
              <w:autoSpaceDN w:val="0"/>
              <w:adjustRightInd w:val="0"/>
              <w:spacing w:before="60" w:after="60"/>
              <w:ind w:right="-24"/>
              <w:rPr>
                <w:sz w:val="24"/>
                <w:szCs w:val="24"/>
              </w:rPr>
            </w:pPr>
            <w:r w:rsidRPr="00B95919">
              <w:rPr>
                <w:sz w:val="24"/>
                <w:szCs w:val="24"/>
              </w:rPr>
              <w:t>Commonwealth Scientific and Industrial Research Organisation</w:t>
            </w:r>
          </w:p>
        </w:tc>
        <w:tc>
          <w:tcPr>
            <w:tcW w:w="939" w:type="pct"/>
          </w:tcPr>
          <w:p w14:paraId="72EBBD11" w14:textId="77777777" w:rsidR="00833218" w:rsidRPr="00B95919" w:rsidRDefault="00833218" w:rsidP="00B95919">
            <w:pPr>
              <w:pStyle w:val="Default"/>
              <w:spacing w:beforeLines="60" w:before="144" w:afterLines="60" w:after="144"/>
              <w:jc w:val="right"/>
              <w:rPr>
                <w:color w:val="auto"/>
              </w:rPr>
            </w:pPr>
            <w:r w:rsidRPr="00B95919">
              <w:rPr>
                <w:color w:val="auto"/>
              </w:rPr>
              <w:t>415,283</w:t>
            </w:r>
          </w:p>
        </w:tc>
        <w:tc>
          <w:tcPr>
            <w:tcW w:w="780" w:type="pct"/>
            <w:shd w:val="clear" w:color="auto" w:fill="auto"/>
          </w:tcPr>
          <w:p w14:paraId="58C13753" w14:textId="77777777" w:rsidR="00833218" w:rsidRPr="00B95919" w:rsidRDefault="00833218" w:rsidP="00B95919">
            <w:pPr>
              <w:pStyle w:val="Default"/>
              <w:spacing w:beforeLines="60" w:before="144" w:afterLines="60" w:after="144"/>
              <w:jc w:val="right"/>
              <w:rPr>
                <w:color w:val="auto"/>
              </w:rPr>
            </w:pPr>
            <w:r w:rsidRPr="00B95919">
              <w:rPr>
                <w:color w:val="auto"/>
              </w:rPr>
              <w:t>427,741</w:t>
            </w:r>
          </w:p>
        </w:tc>
      </w:tr>
      <w:tr w:rsidR="00833218" w:rsidRPr="00B95919" w14:paraId="21F6D5B8" w14:textId="77777777" w:rsidTr="009C6B02">
        <w:tc>
          <w:tcPr>
            <w:tcW w:w="547" w:type="pct"/>
            <w:shd w:val="clear" w:color="auto" w:fill="auto"/>
          </w:tcPr>
          <w:p w14:paraId="1578B411" w14:textId="77777777" w:rsidR="00833218" w:rsidRPr="00B95919" w:rsidRDefault="00833218" w:rsidP="00B95919">
            <w:pPr>
              <w:numPr>
                <w:ilvl w:val="0"/>
                <w:numId w:val="6"/>
              </w:numPr>
              <w:spacing w:before="60" w:after="60"/>
              <w:ind w:right="-24"/>
              <w:rPr>
                <w:sz w:val="24"/>
                <w:szCs w:val="24"/>
              </w:rPr>
            </w:pPr>
          </w:p>
        </w:tc>
        <w:tc>
          <w:tcPr>
            <w:tcW w:w="2734" w:type="pct"/>
            <w:shd w:val="clear" w:color="auto" w:fill="auto"/>
          </w:tcPr>
          <w:p w14:paraId="52A09DA8" w14:textId="77777777" w:rsidR="00833218" w:rsidRPr="00B95919" w:rsidRDefault="00833218" w:rsidP="00B95919">
            <w:pPr>
              <w:autoSpaceDE w:val="0"/>
              <w:autoSpaceDN w:val="0"/>
              <w:adjustRightInd w:val="0"/>
              <w:spacing w:before="60" w:after="60"/>
              <w:ind w:right="-24"/>
              <w:rPr>
                <w:sz w:val="24"/>
                <w:szCs w:val="24"/>
              </w:rPr>
            </w:pPr>
            <w:r w:rsidRPr="00B95919">
              <w:rPr>
                <w:sz w:val="24"/>
                <w:szCs w:val="24"/>
              </w:rPr>
              <w:t>Department of Defence</w:t>
            </w:r>
          </w:p>
        </w:tc>
        <w:tc>
          <w:tcPr>
            <w:tcW w:w="939" w:type="pct"/>
          </w:tcPr>
          <w:p w14:paraId="76CD19AF" w14:textId="77777777" w:rsidR="00833218" w:rsidRPr="00B95919" w:rsidRDefault="00833218" w:rsidP="00B95919">
            <w:pPr>
              <w:pStyle w:val="Default"/>
              <w:spacing w:beforeLines="60" w:before="144" w:afterLines="60" w:after="144"/>
              <w:jc w:val="right"/>
              <w:rPr>
                <w:color w:val="auto"/>
              </w:rPr>
            </w:pPr>
            <w:r w:rsidRPr="00B95919">
              <w:rPr>
                <w:color w:val="auto"/>
              </w:rPr>
              <w:t>408,122</w:t>
            </w:r>
          </w:p>
        </w:tc>
        <w:tc>
          <w:tcPr>
            <w:tcW w:w="780" w:type="pct"/>
            <w:shd w:val="clear" w:color="auto" w:fill="auto"/>
          </w:tcPr>
          <w:p w14:paraId="355F3EBE" w14:textId="77777777" w:rsidR="00833218" w:rsidRPr="00B95919" w:rsidRDefault="00833218" w:rsidP="00B95919">
            <w:pPr>
              <w:pStyle w:val="Default"/>
              <w:spacing w:beforeLines="60" w:before="144" w:afterLines="60" w:after="144"/>
              <w:jc w:val="right"/>
              <w:rPr>
                <w:color w:val="auto"/>
              </w:rPr>
            </w:pPr>
            <w:r w:rsidRPr="00B95919">
              <w:rPr>
                <w:color w:val="auto"/>
              </w:rPr>
              <w:t>420,365</w:t>
            </w:r>
          </w:p>
        </w:tc>
      </w:tr>
      <w:tr w:rsidR="00833218" w:rsidRPr="00B95919" w14:paraId="38940B88" w14:textId="77777777" w:rsidTr="009C6B02">
        <w:tc>
          <w:tcPr>
            <w:tcW w:w="547" w:type="pct"/>
            <w:shd w:val="clear" w:color="auto" w:fill="auto"/>
          </w:tcPr>
          <w:p w14:paraId="1571AD64" w14:textId="77777777" w:rsidR="00833218" w:rsidRPr="00B95919" w:rsidRDefault="00833218" w:rsidP="00B95919">
            <w:pPr>
              <w:numPr>
                <w:ilvl w:val="0"/>
                <w:numId w:val="6"/>
              </w:numPr>
              <w:spacing w:before="60" w:after="60"/>
              <w:ind w:right="-24"/>
              <w:rPr>
                <w:sz w:val="24"/>
                <w:szCs w:val="24"/>
              </w:rPr>
            </w:pPr>
          </w:p>
        </w:tc>
        <w:tc>
          <w:tcPr>
            <w:tcW w:w="2734" w:type="pct"/>
            <w:shd w:val="clear" w:color="auto" w:fill="auto"/>
          </w:tcPr>
          <w:p w14:paraId="45159BFC" w14:textId="77777777" w:rsidR="00833218" w:rsidRPr="00B95919" w:rsidRDefault="00833218" w:rsidP="00B95919">
            <w:pPr>
              <w:autoSpaceDE w:val="0"/>
              <w:autoSpaceDN w:val="0"/>
              <w:adjustRightInd w:val="0"/>
              <w:spacing w:before="60" w:after="60"/>
              <w:ind w:right="-24"/>
              <w:rPr>
                <w:sz w:val="24"/>
                <w:szCs w:val="24"/>
              </w:rPr>
            </w:pPr>
            <w:r w:rsidRPr="00B95919">
              <w:rPr>
                <w:sz w:val="24"/>
                <w:szCs w:val="24"/>
              </w:rPr>
              <w:t>National Measurement Institute</w:t>
            </w:r>
          </w:p>
        </w:tc>
        <w:tc>
          <w:tcPr>
            <w:tcW w:w="939" w:type="pct"/>
          </w:tcPr>
          <w:p w14:paraId="690DF766" w14:textId="77777777" w:rsidR="00833218" w:rsidRPr="00B95919" w:rsidRDefault="00833218" w:rsidP="00B95919">
            <w:pPr>
              <w:pStyle w:val="Default"/>
              <w:spacing w:beforeLines="60" w:before="144" w:afterLines="60" w:after="144"/>
              <w:jc w:val="right"/>
              <w:rPr>
                <w:color w:val="auto"/>
              </w:rPr>
            </w:pPr>
            <w:r w:rsidRPr="00B95919">
              <w:rPr>
                <w:color w:val="auto"/>
              </w:rPr>
              <w:t>23,187</w:t>
            </w:r>
          </w:p>
        </w:tc>
        <w:tc>
          <w:tcPr>
            <w:tcW w:w="780" w:type="pct"/>
            <w:shd w:val="clear" w:color="auto" w:fill="auto"/>
          </w:tcPr>
          <w:p w14:paraId="57D8F0A0" w14:textId="77777777" w:rsidR="00833218" w:rsidRPr="00B95919" w:rsidRDefault="00833218" w:rsidP="00B95919">
            <w:pPr>
              <w:pStyle w:val="Default"/>
              <w:spacing w:beforeLines="60" w:before="144" w:afterLines="60" w:after="144"/>
              <w:jc w:val="right"/>
              <w:rPr>
                <w:color w:val="auto"/>
              </w:rPr>
            </w:pPr>
            <w:r w:rsidRPr="00B95919">
              <w:rPr>
                <w:color w:val="auto"/>
              </w:rPr>
              <w:t>23,882</w:t>
            </w:r>
          </w:p>
        </w:tc>
      </w:tr>
    </w:tbl>
    <w:p w14:paraId="228B3F58" w14:textId="77777777" w:rsidR="00833218" w:rsidRPr="00B95919" w:rsidRDefault="00833218" w:rsidP="00B95919">
      <w:pPr>
        <w:tabs>
          <w:tab w:val="right" w:pos="8931"/>
        </w:tabs>
        <w:spacing w:line="240" w:lineRule="exact"/>
        <w:ind w:right="91"/>
        <w:rPr>
          <w:sz w:val="24"/>
          <w:szCs w:val="24"/>
        </w:rPr>
      </w:pPr>
    </w:p>
    <w:p w14:paraId="1D648674" w14:textId="77777777" w:rsidR="00F22CAA" w:rsidRPr="00B95919" w:rsidRDefault="00F22CAA" w:rsidP="00B95919">
      <w:pPr>
        <w:rPr>
          <w:color w:val="002060"/>
          <w:sz w:val="24"/>
        </w:rPr>
        <w:sectPr w:rsidR="00F22CAA" w:rsidRPr="00B95919">
          <w:pgSz w:w="11910" w:h="16840"/>
          <w:pgMar w:top="1360" w:right="1340" w:bottom="960" w:left="1320" w:header="0" w:footer="773" w:gutter="0"/>
          <w:cols w:space="720"/>
        </w:sectPr>
      </w:pPr>
    </w:p>
    <w:p w14:paraId="1D648675" w14:textId="77777777" w:rsidR="00F22CAA" w:rsidRPr="00B95919" w:rsidRDefault="00F57EEE" w:rsidP="00B95919">
      <w:pPr>
        <w:pStyle w:val="Heading1"/>
        <w:spacing w:before="60"/>
        <w:ind w:left="161" w:right="178"/>
        <w:jc w:val="center"/>
      </w:pPr>
      <w:r w:rsidRPr="00B95919">
        <w:lastRenderedPageBreak/>
        <w:t>Statement</w:t>
      </w:r>
      <w:r w:rsidRPr="00B95919">
        <w:rPr>
          <w:spacing w:val="-1"/>
        </w:rPr>
        <w:t xml:space="preserve"> </w:t>
      </w:r>
      <w:r w:rsidRPr="00B95919">
        <w:t>of</w:t>
      </w:r>
      <w:r w:rsidRPr="00B95919">
        <w:rPr>
          <w:spacing w:val="-3"/>
        </w:rPr>
        <w:t xml:space="preserve"> </w:t>
      </w:r>
      <w:r w:rsidRPr="00B95919">
        <w:t>Compliance</w:t>
      </w:r>
      <w:r w:rsidRPr="00B95919">
        <w:rPr>
          <w:spacing w:val="-2"/>
        </w:rPr>
        <w:t xml:space="preserve"> </w:t>
      </w:r>
      <w:r w:rsidRPr="00B95919">
        <w:t>with</w:t>
      </w:r>
      <w:r w:rsidRPr="00B95919">
        <w:rPr>
          <w:spacing w:val="-1"/>
        </w:rPr>
        <w:t xml:space="preserve"> </w:t>
      </w:r>
      <w:r w:rsidRPr="00B95919">
        <w:t>Human</w:t>
      </w:r>
      <w:r w:rsidRPr="00B95919">
        <w:rPr>
          <w:spacing w:val="-1"/>
        </w:rPr>
        <w:t xml:space="preserve"> </w:t>
      </w:r>
      <w:r w:rsidRPr="00B95919">
        <w:t>Rights</w:t>
      </w:r>
    </w:p>
    <w:p w14:paraId="1D648676" w14:textId="77777777" w:rsidR="00F22CAA" w:rsidRPr="00B95919" w:rsidRDefault="00F57EEE" w:rsidP="00B95919">
      <w:pPr>
        <w:spacing w:before="147"/>
        <w:ind w:left="161" w:right="178"/>
        <w:jc w:val="center"/>
        <w:rPr>
          <w:i/>
          <w:sz w:val="24"/>
          <w:szCs w:val="24"/>
        </w:rPr>
      </w:pPr>
      <w:r w:rsidRPr="00B95919">
        <w:rPr>
          <w:i/>
          <w:sz w:val="24"/>
          <w:szCs w:val="24"/>
        </w:rPr>
        <w:t>Prepared</w:t>
      </w:r>
      <w:r w:rsidRPr="00B95919">
        <w:rPr>
          <w:i/>
          <w:spacing w:val="-1"/>
          <w:sz w:val="24"/>
          <w:szCs w:val="24"/>
        </w:rPr>
        <w:t xml:space="preserve"> </w:t>
      </w:r>
      <w:r w:rsidRPr="00B95919">
        <w:rPr>
          <w:i/>
          <w:sz w:val="24"/>
          <w:szCs w:val="24"/>
        </w:rPr>
        <w:t>in</w:t>
      </w:r>
      <w:r w:rsidRPr="00B95919">
        <w:rPr>
          <w:i/>
          <w:spacing w:val="-1"/>
          <w:sz w:val="24"/>
          <w:szCs w:val="24"/>
        </w:rPr>
        <w:t xml:space="preserve"> </w:t>
      </w:r>
      <w:r w:rsidRPr="00B95919">
        <w:rPr>
          <w:i/>
          <w:sz w:val="24"/>
          <w:szCs w:val="24"/>
        </w:rPr>
        <w:t>accordance with</w:t>
      </w:r>
      <w:r w:rsidRPr="00B95919">
        <w:rPr>
          <w:i/>
          <w:spacing w:val="-1"/>
          <w:sz w:val="24"/>
          <w:szCs w:val="24"/>
        </w:rPr>
        <w:t xml:space="preserve"> </w:t>
      </w:r>
      <w:r w:rsidRPr="00B95919">
        <w:rPr>
          <w:i/>
          <w:sz w:val="24"/>
          <w:szCs w:val="24"/>
        </w:rPr>
        <w:t>Part</w:t>
      </w:r>
      <w:r w:rsidRPr="00B95919">
        <w:rPr>
          <w:i/>
          <w:spacing w:val="-1"/>
          <w:sz w:val="24"/>
          <w:szCs w:val="24"/>
        </w:rPr>
        <w:t xml:space="preserve"> </w:t>
      </w:r>
      <w:r w:rsidRPr="00B95919">
        <w:rPr>
          <w:i/>
          <w:sz w:val="24"/>
          <w:szCs w:val="24"/>
        </w:rPr>
        <w:t>3</w:t>
      </w:r>
      <w:r w:rsidRPr="00B95919">
        <w:rPr>
          <w:i/>
          <w:spacing w:val="-1"/>
          <w:sz w:val="24"/>
          <w:szCs w:val="24"/>
        </w:rPr>
        <w:t xml:space="preserve"> </w:t>
      </w:r>
      <w:r w:rsidRPr="00B95919">
        <w:rPr>
          <w:i/>
          <w:sz w:val="24"/>
          <w:szCs w:val="24"/>
        </w:rPr>
        <w:t>of</w:t>
      </w:r>
      <w:r w:rsidRPr="00B95919">
        <w:rPr>
          <w:i/>
          <w:spacing w:val="-1"/>
          <w:sz w:val="24"/>
          <w:szCs w:val="24"/>
        </w:rPr>
        <w:t xml:space="preserve"> </w:t>
      </w:r>
      <w:r w:rsidRPr="00B95919">
        <w:rPr>
          <w:i/>
          <w:sz w:val="24"/>
          <w:szCs w:val="24"/>
        </w:rPr>
        <w:t>the</w:t>
      </w:r>
      <w:r w:rsidRPr="00B95919">
        <w:rPr>
          <w:i/>
          <w:spacing w:val="-1"/>
          <w:sz w:val="24"/>
          <w:szCs w:val="24"/>
        </w:rPr>
        <w:t xml:space="preserve"> </w:t>
      </w:r>
      <w:r w:rsidRPr="00B95919">
        <w:rPr>
          <w:i/>
          <w:sz w:val="24"/>
          <w:szCs w:val="24"/>
        </w:rPr>
        <w:t>Human</w:t>
      </w:r>
      <w:r w:rsidRPr="00B95919">
        <w:rPr>
          <w:i/>
          <w:spacing w:val="-1"/>
          <w:sz w:val="24"/>
          <w:szCs w:val="24"/>
        </w:rPr>
        <w:t xml:space="preserve"> </w:t>
      </w:r>
      <w:r w:rsidRPr="00B95919">
        <w:rPr>
          <w:i/>
          <w:sz w:val="24"/>
          <w:szCs w:val="24"/>
        </w:rPr>
        <w:t>Rights</w:t>
      </w:r>
      <w:r w:rsidRPr="00B95919">
        <w:rPr>
          <w:i/>
          <w:spacing w:val="1"/>
          <w:sz w:val="24"/>
          <w:szCs w:val="24"/>
        </w:rPr>
        <w:t xml:space="preserve"> </w:t>
      </w:r>
      <w:r w:rsidRPr="00B95919">
        <w:rPr>
          <w:i/>
          <w:sz w:val="24"/>
          <w:szCs w:val="24"/>
        </w:rPr>
        <w:t>(Parliamentary</w:t>
      </w:r>
      <w:r w:rsidRPr="00B95919">
        <w:rPr>
          <w:i/>
          <w:spacing w:val="-1"/>
          <w:sz w:val="24"/>
          <w:szCs w:val="24"/>
        </w:rPr>
        <w:t xml:space="preserve"> </w:t>
      </w:r>
      <w:r w:rsidRPr="00B95919">
        <w:rPr>
          <w:i/>
          <w:sz w:val="24"/>
          <w:szCs w:val="24"/>
        </w:rPr>
        <w:t>Scrutiny)</w:t>
      </w:r>
      <w:r w:rsidRPr="00B95919">
        <w:rPr>
          <w:i/>
          <w:spacing w:val="-1"/>
          <w:sz w:val="24"/>
          <w:szCs w:val="24"/>
        </w:rPr>
        <w:t xml:space="preserve"> </w:t>
      </w:r>
      <w:r w:rsidRPr="00B95919">
        <w:rPr>
          <w:i/>
          <w:sz w:val="24"/>
          <w:szCs w:val="24"/>
        </w:rPr>
        <w:t>Act</w:t>
      </w:r>
      <w:r w:rsidRPr="00B95919">
        <w:rPr>
          <w:i/>
          <w:spacing w:val="-1"/>
          <w:sz w:val="24"/>
          <w:szCs w:val="24"/>
        </w:rPr>
        <w:t xml:space="preserve"> </w:t>
      </w:r>
      <w:r w:rsidRPr="00B95919">
        <w:rPr>
          <w:i/>
          <w:sz w:val="24"/>
          <w:szCs w:val="24"/>
        </w:rPr>
        <w:t>2011</w:t>
      </w:r>
    </w:p>
    <w:p w14:paraId="1D648677" w14:textId="77777777" w:rsidR="00F22CAA" w:rsidRPr="00B95919" w:rsidRDefault="00F22CAA" w:rsidP="00B95919">
      <w:pPr>
        <w:pStyle w:val="BodyText"/>
        <w:ind w:right="178"/>
        <w:rPr>
          <w:i/>
        </w:rPr>
      </w:pPr>
    </w:p>
    <w:p w14:paraId="1D648678" w14:textId="77777777" w:rsidR="00F22CAA" w:rsidRPr="00B95919" w:rsidRDefault="00F22CAA" w:rsidP="00B95919">
      <w:pPr>
        <w:pStyle w:val="BodyText"/>
        <w:spacing w:before="8"/>
        <w:ind w:right="178"/>
        <w:rPr>
          <w:i/>
        </w:rPr>
      </w:pPr>
    </w:p>
    <w:p w14:paraId="1D648679" w14:textId="4B9A54BE" w:rsidR="00F22CAA" w:rsidRPr="00B95919" w:rsidRDefault="00F57EEE" w:rsidP="00B95919">
      <w:pPr>
        <w:pStyle w:val="Heading1"/>
        <w:spacing w:line="264" w:lineRule="auto"/>
        <w:ind w:left="353" w:right="178"/>
        <w:jc w:val="center"/>
      </w:pPr>
      <w:r w:rsidRPr="00B95919">
        <w:t>A</w:t>
      </w:r>
      <w:r w:rsidR="00915754" w:rsidRPr="00B95919">
        <w:t>ustralian Radiation Protection and Nuclear Safety (Licence Charges) Amendment (2023 Measures No. 1) Regulations 2023</w:t>
      </w:r>
    </w:p>
    <w:p w14:paraId="1D64867A" w14:textId="77777777" w:rsidR="00F22CAA" w:rsidRPr="00B95919" w:rsidRDefault="00F22CAA" w:rsidP="00B95919">
      <w:pPr>
        <w:pStyle w:val="BodyText"/>
        <w:ind w:right="178"/>
        <w:rPr>
          <w:b/>
          <w:color w:val="002060"/>
        </w:rPr>
      </w:pPr>
    </w:p>
    <w:p w14:paraId="1D64867B" w14:textId="77777777" w:rsidR="00F22CAA" w:rsidRPr="00B95919" w:rsidRDefault="00F22CAA" w:rsidP="00B95919">
      <w:pPr>
        <w:pStyle w:val="BodyText"/>
        <w:ind w:right="178"/>
        <w:rPr>
          <w:b/>
          <w:color w:val="002060"/>
        </w:rPr>
      </w:pPr>
    </w:p>
    <w:p w14:paraId="1D64867C" w14:textId="77777777" w:rsidR="00F22CAA" w:rsidRPr="00B95919" w:rsidRDefault="00F22CAA" w:rsidP="00B95919">
      <w:pPr>
        <w:pStyle w:val="BodyText"/>
        <w:spacing w:before="1"/>
        <w:ind w:right="178"/>
        <w:rPr>
          <w:b/>
        </w:rPr>
      </w:pPr>
    </w:p>
    <w:p w14:paraId="1D64867D" w14:textId="77777777" w:rsidR="00F22CAA" w:rsidRPr="00B95919" w:rsidRDefault="00F57EEE" w:rsidP="00B95919">
      <w:pPr>
        <w:ind w:left="120" w:right="178"/>
        <w:rPr>
          <w:sz w:val="24"/>
          <w:szCs w:val="24"/>
        </w:rPr>
      </w:pPr>
      <w:r w:rsidRPr="00B95919">
        <w:rPr>
          <w:sz w:val="24"/>
          <w:szCs w:val="24"/>
        </w:rPr>
        <w:t>This legislative instrument is compatible with the human rights and freedoms recognised or</w:t>
      </w:r>
      <w:r w:rsidRPr="00B95919">
        <w:rPr>
          <w:spacing w:val="-57"/>
          <w:sz w:val="24"/>
          <w:szCs w:val="24"/>
        </w:rPr>
        <w:t xml:space="preserve"> </w:t>
      </w:r>
      <w:r w:rsidRPr="00B95919">
        <w:rPr>
          <w:sz w:val="24"/>
          <w:szCs w:val="24"/>
        </w:rPr>
        <w:t xml:space="preserve">declared in the international instruments listed in section 3 of the </w:t>
      </w:r>
      <w:r w:rsidRPr="00B95919">
        <w:rPr>
          <w:i/>
          <w:sz w:val="24"/>
          <w:szCs w:val="24"/>
        </w:rPr>
        <w:t>Human Rights</w:t>
      </w:r>
      <w:r w:rsidRPr="00B95919">
        <w:rPr>
          <w:i/>
          <w:spacing w:val="1"/>
          <w:sz w:val="24"/>
          <w:szCs w:val="24"/>
        </w:rPr>
        <w:t xml:space="preserve"> </w:t>
      </w:r>
      <w:r w:rsidRPr="00B95919">
        <w:rPr>
          <w:i/>
          <w:sz w:val="24"/>
          <w:szCs w:val="24"/>
        </w:rPr>
        <w:t>(Parliamentary</w:t>
      </w:r>
      <w:r w:rsidRPr="00B95919">
        <w:rPr>
          <w:i/>
          <w:spacing w:val="-1"/>
          <w:sz w:val="24"/>
          <w:szCs w:val="24"/>
        </w:rPr>
        <w:t xml:space="preserve"> </w:t>
      </w:r>
      <w:r w:rsidRPr="00B95919">
        <w:rPr>
          <w:i/>
          <w:sz w:val="24"/>
          <w:szCs w:val="24"/>
        </w:rPr>
        <w:t>Scrutiny)</w:t>
      </w:r>
      <w:r w:rsidRPr="00B95919">
        <w:rPr>
          <w:i/>
          <w:spacing w:val="1"/>
          <w:sz w:val="24"/>
          <w:szCs w:val="24"/>
        </w:rPr>
        <w:t xml:space="preserve"> </w:t>
      </w:r>
      <w:r w:rsidRPr="00B95919">
        <w:rPr>
          <w:i/>
          <w:sz w:val="24"/>
          <w:szCs w:val="24"/>
        </w:rPr>
        <w:t>Act 2011</w:t>
      </w:r>
      <w:r w:rsidRPr="00B95919">
        <w:rPr>
          <w:sz w:val="24"/>
          <w:szCs w:val="24"/>
        </w:rPr>
        <w:t>.</w:t>
      </w:r>
    </w:p>
    <w:p w14:paraId="1D64867E" w14:textId="77777777" w:rsidR="00F22CAA" w:rsidRPr="00B95919" w:rsidRDefault="00F22CAA" w:rsidP="00B95919">
      <w:pPr>
        <w:pStyle w:val="BodyText"/>
        <w:spacing w:before="1"/>
        <w:ind w:right="178"/>
        <w:rPr>
          <w:color w:val="002060"/>
        </w:rPr>
      </w:pPr>
    </w:p>
    <w:p w14:paraId="1D64867F" w14:textId="77777777" w:rsidR="00F22CAA" w:rsidRPr="00B95919" w:rsidRDefault="00F57EEE" w:rsidP="00B95919">
      <w:pPr>
        <w:pStyle w:val="Heading1"/>
        <w:ind w:right="178"/>
      </w:pPr>
      <w:r w:rsidRPr="00B95919">
        <w:t>Overview</w:t>
      </w:r>
      <w:r w:rsidRPr="00B95919">
        <w:rPr>
          <w:spacing w:val="-2"/>
        </w:rPr>
        <w:t xml:space="preserve"> </w:t>
      </w:r>
      <w:r w:rsidRPr="00B95919">
        <w:t>of the</w:t>
      </w:r>
      <w:r w:rsidRPr="00B95919">
        <w:rPr>
          <w:spacing w:val="-1"/>
        </w:rPr>
        <w:t xml:space="preserve"> </w:t>
      </w:r>
      <w:r w:rsidRPr="00B95919">
        <w:t>legislative</w:t>
      </w:r>
      <w:r w:rsidRPr="00B95919">
        <w:rPr>
          <w:spacing w:val="-1"/>
        </w:rPr>
        <w:t xml:space="preserve"> </w:t>
      </w:r>
      <w:r w:rsidRPr="00B95919">
        <w:t>instrument</w:t>
      </w:r>
    </w:p>
    <w:p w14:paraId="1D648680" w14:textId="77777777" w:rsidR="00F22CAA" w:rsidRPr="00B95919" w:rsidRDefault="00F22CAA" w:rsidP="00B95919">
      <w:pPr>
        <w:pStyle w:val="BodyText"/>
        <w:ind w:right="178"/>
        <w:rPr>
          <w:b/>
        </w:rPr>
      </w:pPr>
    </w:p>
    <w:p w14:paraId="1D648681" w14:textId="2ED06F01" w:rsidR="00F22CAA" w:rsidRPr="00B95919" w:rsidRDefault="00F57EEE" w:rsidP="00B95919">
      <w:pPr>
        <w:pStyle w:val="BodyText"/>
        <w:ind w:left="120" w:right="178"/>
      </w:pPr>
      <w:r w:rsidRPr="00B95919">
        <w:t>The legislative instrument amends the Australian Radiation Protection and Nuclear Safety</w:t>
      </w:r>
      <w:r w:rsidRPr="00B95919">
        <w:rPr>
          <w:spacing w:val="-57"/>
        </w:rPr>
        <w:t xml:space="preserve"> </w:t>
      </w:r>
      <w:r w:rsidRPr="00B95919">
        <w:t>(Licence Charges) Regulations 2018 to give effect</w:t>
      </w:r>
      <w:r w:rsidR="007750DA" w:rsidRPr="00B95919">
        <w:t xml:space="preserve"> to an annual </w:t>
      </w:r>
      <w:r w:rsidR="00287460" w:rsidRPr="00B95919">
        <w:t>three</w:t>
      </w:r>
      <w:r w:rsidR="007750DA" w:rsidRPr="00B95919">
        <w:t xml:space="preserve"> per cent increase in charges for licences under the Act, from 1 July 2023</w:t>
      </w:r>
      <w:r w:rsidRPr="00B95919">
        <w:t xml:space="preserve">, to ensure full </w:t>
      </w:r>
      <w:r w:rsidR="0028357F" w:rsidRPr="00B95919">
        <w:t xml:space="preserve">cost recovery </w:t>
      </w:r>
      <w:r w:rsidRPr="00B95919">
        <w:t>of</w:t>
      </w:r>
      <w:r w:rsidRPr="00B95919">
        <w:rPr>
          <w:spacing w:val="-2"/>
        </w:rPr>
        <w:t xml:space="preserve"> </w:t>
      </w:r>
      <w:r w:rsidRPr="00B95919">
        <w:t>regulatory services</w:t>
      </w:r>
      <w:r w:rsidRPr="00B95919">
        <w:rPr>
          <w:spacing w:val="1"/>
        </w:rPr>
        <w:t xml:space="preserve"> </w:t>
      </w:r>
      <w:r w:rsidRPr="00B95919">
        <w:t>provided to those</w:t>
      </w:r>
      <w:r w:rsidRPr="00B95919">
        <w:rPr>
          <w:spacing w:val="-2"/>
        </w:rPr>
        <w:t xml:space="preserve"> </w:t>
      </w:r>
      <w:r w:rsidRPr="00B95919">
        <w:t>licence</w:t>
      </w:r>
      <w:r w:rsidRPr="00B95919">
        <w:rPr>
          <w:spacing w:val="-1"/>
        </w:rPr>
        <w:t xml:space="preserve"> </w:t>
      </w:r>
      <w:r w:rsidRPr="00B95919">
        <w:t>holders.</w:t>
      </w:r>
    </w:p>
    <w:p w14:paraId="1D648682" w14:textId="77777777" w:rsidR="00F22CAA" w:rsidRPr="00B95919" w:rsidRDefault="00F22CAA" w:rsidP="00B95919">
      <w:pPr>
        <w:pStyle w:val="BodyText"/>
        <w:ind w:right="178"/>
      </w:pPr>
    </w:p>
    <w:p w14:paraId="1D648683" w14:textId="77777777" w:rsidR="00F22CAA" w:rsidRPr="00B95919" w:rsidRDefault="00F57EEE" w:rsidP="00B95919">
      <w:pPr>
        <w:pStyle w:val="Heading1"/>
        <w:ind w:right="178"/>
      </w:pPr>
      <w:r w:rsidRPr="00B95919">
        <w:t>Human</w:t>
      </w:r>
      <w:r w:rsidRPr="00B95919">
        <w:rPr>
          <w:spacing w:val="-3"/>
        </w:rPr>
        <w:t xml:space="preserve"> </w:t>
      </w:r>
      <w:r w:rsidRPr="00B95919">
        <w:t>Rights</w:t>
      </w:r>
      <w:r w:rsidRPr="00B95919">
        <w:rPr>
          <w:spacing w:val="-2"/>
        </w:rPr>
        <w:t xml:space="preserve"> </w:t>
      </w:r>
      <w:r w:rsidRPr="00B95919">
        <w:t>Implications</w:t>
      </w:r>
    </w:p>
    <w:p w14:paraId="1D648684" w14:textId="77777777" w:rsidR="00F22CAA" w:rsidRPr="00B95919" w:rsidRDefault="00F22CAA" w:rsidP="00B95919">
      <w:pPr>
        <w:pStyle w:val="BodyText"/>
        <w:ind w:right="178"/>
        <w:rPr>
          <w:b/>
        </w:rPr>
      </w:pPr>
    </w:p>
    <w:p w14:paraId="1D648685" w14:textId="77777777" w:rsidR="00F22CAA" w:rsidRPr="00B95919" w:rsidRDefault="00F57EEE" w:rsidP="00B95919">
      <w:pPr>
        <w:pStyle w:val="BodyText"/>
        <w:ind w:left="120" w:right="178"/>
      </w:pPr>
      <w:r w:rsidRPr="00B95919">
        <w:t>The amendments are compatible with the right to an adequate standard of living and the right</w:t>
      </w:r>
      <w:r w:rsidRPr="00B95919">
        <w:rPr>
          <w:spacing w:val="-57"/>
        </w:rPr>
        <w:t xml:space="preserve"> </w:t>
      </w:r>
      <w:r w:rsidRPr="00B95919">
        <w:t>to the enjoyment of the highest attainable standard of physical and mental health as contained</w:t>
      </w:r>
      <w:r w:rsidRPr="00B95919">
        <w:rPr>
          <w:spacing w:val="-57"/>
        </w:rPr>
        <w:t xml:space="preserve"> </w:t>
      </w:r>
      <w:r w:rsidRPr="00B95919">
        <w:t>in article 11(1) and article 12(1) of the International Covenant on Economic, Social and</w:t>
      </w:r>
      <w:r w:rsidRPr="00B95919">
        <w:rPr>
          <w:spacing w:val="1"/>
        </w:rPr>
        <w:t xml:space="preserve"> </w:t>
      </w:r>
      <w:r w:rsidRPr="00B95919">
        <w:t>Cultural</w:t>
      </w:r>
      <w:r w:rsidRPr="00B95919">
        <w:rPr>
          <w:spacing w:val="-1"/>
        </w:rPr>
        <w:t xml:space="preserve"> </w:t>
      </w:r>
      <w:r w:rsidRPr="00B95919">
        <w:t>Rights.</w:t>
      </w:r>
    </w:p>
    <w:p w14:paraId="1D648686" w14:textId="77777777" w:rsidR="00F22CAA" w:rsidRPr="00B95919" w:rsidRDefault="00F22CAA" w:rsidP="00B95919">
      <w:pPr>
        <w:pStyle w:val="BodyText"/>
        <w:spacing w:before="1"/>
        <w:ind w:right="178"/>
      </w:pPr>
    </w:p>
    <w:p w14:paraId="1D648687" w14:textId="7062E716" w:rsidR="00F22CAA" w:rsidRPr="00B95919" w:rsidRDefault="00F57EEE" w:rsidP="00B95919">
      <w:pPr>
        <w:pStyle w:val="BodyText"/>
        <w:ind w:left="120" w:right="178"/>
      </w:pPr>
      <w:r w:rsidRPr="00B95919">
        <w:t xml:space="preserve">The amendments </w:t>
      </w:r>
      <w:r w:rsidR="00CE3710" w:rsidRPr="00B95919">
        <w:t xml:space="preserve">give </w:t>
      </w:r>
      <w:r w:rsidRPr="00B95919">
        <w:t xml:space="preserve">effect to </w:t>
      </w:r>
      <w:r w:rsidR="00F94F1C" w:rsidRPr="00B95919">
        <w:t xml:space="preserve">an annual </w:t>
      </w:r>
      <w:r w:rsidR="00287460" w:rsidRPr="00B95919">
        <w:t>three</w:t>
      </w:r>
      <w:r w:rsidR="00F94F1C" w:rsidRPr="00B95919">
        <w:t xml:space="preserve"> per cent increase in charges </w:t>
      </w:r>
      <w:r w:rsidRPr="00B95919">
        <w:t>payable by Commonwealth entities to the Australian</w:t>
      </w:r>
      <w:r w:rsidRPr="00B95919">
        <w:rPr>
          <w:spacing w:val="1"/>
        </w:rPr>
        <w:t xml:space="preserve"> </w:t>
      </w:r>
      <w:r w:rsidRPr="00B95919">
        <w:t>Radiation Protection and Nuclear Safety Agency for licences issued under the</w:t>
      </w:r>
      <w:r w:rsidRPr="00B95919">
        <w:rPr>
          <w:spacing w:val="1"/>
        </w:rPr>
        <w:t xml:space="preserve"> </w:t>
      </w:r>
      <w:r w:rsidRPr="00B95919">
        <w:rPr>
          <w:i/>
        </w:rPr>
        <w:t>Australian</w:t>
      </w:r>
      <w:r w:rsidRPr="00B95919">
        <w:rPr>
          <w:i/>
          <w:spacing w:val="-1"/>
        </w:rPr>
        <w:t xml:space="preserve"> </w:t>
      </w:r>
      <w:r w:rsidRPr="00B95919">
        <w:rPr>
          <w:i/>
        </w:rPr>
        <w:t>Radiation Protection and Nuclear Safety</w:t>
      </w:r>
      <w:r w:rsidRPr="00B95919">
        <w:rPr>
          <w:i/>
          <w:spacing w:val="-2"/>
        </w:rPr>
        <w:t xml:space="preserve"> </w:t>
      </w:r>
      <w:r w:rsidRPr="00B95919">
        <w:rPr>
          <w:i/>
        </w:rPr>
        <w:t>Act 1998</w:t>
      </w:r>
      <w:r w:rsidRPr="00B95919">
        <w:t>.</w:t>
      </w:r>
    </w:p>
    <w:p w14:paraId="1D648688" w14:textId="77777777" w:rsidR="00F22CAA" w:rsidRPr="00B95919" w:rsidRDefault="00F22CAA" w:rsidP="00B95919">
      <w:pPr>
        <w:pStyle w:val="BodyText"/>
        <w:ind w:right="178"/>
      </w:pPr>
    </w:p>
    <w:p w14:paraId="1D648689" w14:textId="77777777" w:rsidR="00F22CAA" w:rsidRPr="00B95919" w:rsidRDefault="00F57EEE" w:rsidP="00B95919">
      <w:pPr>
        <w:pStyle w:val="Heading1"/>
        <w:ind w:right="178"/>
      </w:pPr>
      <w:r w:rsidRPr="00B95919">
        <w:t>Conclusion</w:t>
      </w:r>
    </w:p>
    <w:p w14:paraId="1D64868A" w14:textId="77777777" w:rsidR="00F22CAA" w:rsidRPr="00B95919" w:rsidRDefault="00F22CAA" w:rsidP="00B95919">
      <w:pPr>
        <w:pStyle w:val="BodyText"/>
        <w:ind w:right="178"/>
        <w:rPr>
          <w:b/>
        </w:rPr>
      </w:pPr>
    </w:p>
    <w:p w14:paraId="331B0C13" w14:textId="77777777" w:rsidR="003B5873" w:rsidRPr="00B95919" w:rsidRDefault="003B5873" w:rsidP="00B95919">
      <w:pPr>
        <w:pStyle w:val="BodyText"/>
        <w:ind w:left="120" w:right="178"/>
      </w:pPr>
      <w:r w:rsidRPr="00B95919">
        <w:t>This legislative instrument is compatible with human rights as it promotes the human right to an adequate standard of living and the highest attainable standard of physical and mental health.</w:t>
      </w:r>
    </w:p>
    <w:p w14:paraId="2FAAFF15" w14:textId="77777777" w:rsidR="003B5873" w:rsidRPr="00B95919" w:rsidRDefault="003B5873" w:rsidP="00B95919">
      <w:pPr>
        <w:ind w:right="178"/>
        <w:rPr>
          <w:color w:val="000000" w:themeColor="text1"/>
          <w:sz w:val="24"/>
          <w:szCs w:val="24"/>
        </w:rPr>
      </w:pPr>
    </w:p>
    <w:p w14:paraId="4E089BB9" w14:textId="77777777" w:rsidR="003B5873" w:rsidRPr="00B95919" w:rsidRDefault="003B5873" w:rsidP="00B95919">
      <w:pPr>
        <w:ind w:right="178"/>
        <w:jc w:val="center"/>
        <w:rPr>
          <w:b/>
          <w:bCs/>
          <w:color w:val="000000" w:themeColor="text1"/>
          <w:sz w:val="24"/>
          <w:szCs w:val="24"/>
        </w:rPr>
      </w:pPr>
      <w:r w:rsidRPr="00B95919">
        <w:rPr>
          <w:b/>
          <w:bCs/>
          <w:color w:val="000000" w:themeColor="text1"/>
          <w:sz w:val="24"/>
          <w:szCs w:val="24"/>
        </w:rPr>
        <w:t>The Hon. Ged Kearney</w:t>
      </w:r>
    </w:p>
    <w:p w14:paraId="3B4AF2E8" w14:textId="77777777" w:rsidR="003B5873" w:rsidRPr="00B95919" w:rsidRDefault="003B5873" w:rsidP="00B95919">
      <w:pPr>
        <w:ind w:right="178"/>
        <w:jc w:val="center"/>
        <w:rPr>
          <w:b/>
          <w:bCs/>
          <w:color w:val="000000" w:themeColor="text1"/>
          <w:sz w:val="24"/>
          <w:szCs w:val="24"/>
        </w:rPr>
      </w:pPr>
      <w:r w:rsidRPr="00B95919">
        <w:rPr>
          <w:b/>
          <w:bCs/>
          <w:color w:val="000000" w:themeColor="text1"/>
          <w:sz w:val="24"/>
          <w:szCs w:val="24"/>
        </w:rPr>
        <w:t xml:space="preserve">Assistant Minister for Health and Aged Care </w:t>
      </w:r>
    </w:p>
    <w:p w14:paraId="45557AEF" w14:textId="77777777" w:rsidR="003B5873" w:rsidRPr="0024128C" w:rsidRDefault="003B5873" w:rsidP="00B95919">
      <w:pPr>
        <w:ind w:right="178"/>
        <w:jc w:val="center"/>
        <w:rPr>
          <w:b/>
          <w:bCs/>
          <w:color w:val="000000" w:themeColor="text1"/>
          <w:sz w:val="24"/>
          <w:szCs w:val="24"/>
        </w:rPr>
      </w:pPr>
      <w:r w:rsidRPr="00B95919">
        <w:rPr>
          <w:b/>
          <w:bCs/>
          <w:color w:val="000000" w:themeColor="text1"/>
          <w:sz w:val="24"/>
          <w:szCs w:val="24"/>
        </w:rPr>
        <w:t>Parliamentary Secretary to the Minister for Health and Aged Care</w:t>
      </w:r>
      <w:r w:rsidRPr="0024128C">
        <w:rPr>
          <w:b/>
          <w:bCs/>
          <w:color w:val="000000" w:themeColor="text1"/>
          <w:sz w:val="24"/>
          <w:szCs w:val="24"/>
        </w:rPr>
        <w:t xml:space="preserve"> </w:t>
      </w:r>
    </w:p>
    <w:p w14:paraId="1D64868D" w14:textId="254DC213" w:rsidR="00F22CAA" w:rsidRDefault="00F22CAA" w:rsidP="00B95919">
      <w:pPr>
        <w:pStyle w:val="BodyText"/>
        <w:ind w:left="120" w:right="178"/>
        <w:rPr>
          <w:b/>
        </w:rPr>
      </w:pPr>
    </w:p>
    <w:sectPr w:rsidR="00F22CAA">
      <w:pgSz w:w="11910" w:h="16840"/>
      <w:pgMar w:top="1360" w:right="1340" w:bottom="960" w:left="132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EFCC" w14:textId="77777777" w:rsidR="00380836" w:rsidRDefault="00380836">
      <w:r>
        <w:separator/>
      </w:r>
    </w:p>
  </w:endnote>
  <w:endnote w:type="continuationSeparator" w:id="0">
    <w:p w14:paraId="5E57084D" w14:textId="77777777" w:rsidR="00380836" w:rsidRDefault="0038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868E" w14:textId="77777777" w:rsidR="00F22CAA" w:rsidRDefault="00B95919">
    <w:pPr>
      <w:pStyle w:val="BodyText"/>
      <w:spacing w:line="14" w:lineRule="auto"/>
      <w:rPr>
        <w:sz w:val="20"/>
      </w:rPr>
    </w:pPr>
    <w:r>
      <w:pict w14:anchorId="1D64868F">
        <v:shapetype id="_x0000_t202" coordsize="21600,21600" o:spt="202" path="m,l,21600r21600,l21600,xe">
          <v:stroke joinstyle="miter"/>
          <v:path gradientshapeok="t" o:connecttype="rect"/>
        </v:shapetype>
        <v:shape id="docshape1" o:spid="_x0000_s1025" type="#_x0000_t202" style="position:absolute;margin-left:291.65pt;margin-top:792.3pt;width:13pt;height:15.3pt;z-index:-251658752;mso-position-horizontal-relative:page;mso-position-vertical-relative:page" filled="f" stroked="f">
          <v:textbox inset="0,0,0,0">
            <w:txbxContent>
              <w:p w14:paraId="1D648690" w14:textId="77777777" w:rsidR="00F22CAA" w:rsidRDefault="00F57EEE">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5DE5" w14:textId="77777777" w:rsidR="00380836" w:rsidRDefault="00380836">
      <w:r>
        <w:separator/>
      </w:r>
    </w:p>
  </w:footnote>
  <w:footnote w:type="continuationSeparator" w:id="0">
    <w:p w14:paraId="50595CE2" w14:textId="77777777" w:rsidR="00380836" w:rsidRDefault="00380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86D"/>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5243E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6B2C44"/>
    <w:multiLevelType w:val="hybridMultilevel"/>
    <w:tmpl w:val="AC06CCE6"/>
    <w:lvl w:ilvl="0" w:tplc="19ECC3F8">
      <w:start w:val="1"/>
      <w:numFmt w:val="lowerLetter"/>
      <w:lvlText w:val="(%1)"/>
      <w:lvlJc w:val="left"/>
      <w:pPr>
        <w:ind w:left="390" w:hanging="325"/>
        <w:jc w:val="left"/>
      </w:pPr>
      <w:rPr>
        <w:rFonts w:ascii="Times New Roman" w:eastAsia="Times New Roman" w:hAnsi="Times New Roman" w:cs="Times New Roman" w:hint="default"/>
        <w:b w:val="0"/>
        <w:bCs w:val="0"/>
        <w:i w:val="0"/>
        <w:iCs w:val="0"/>
        <w:spacing w:val="-2"/>
        <w:w w:val="99"/>
        <w:sz w:val="24"/>
        <w:szCs w:val="24"/>
        <w:lang w:val="en-AU" w:eastAsia="en-US" w:bidi="ar-SA"/>
      </w:rPr>
    </w:lvl>
    <w:lvl w:ilvl="1" w:tplc="A0CC2040">
      <w:numFmt w:val="bullet"/>
      <w:lvlText w:val="•"/>
      <w:lvlJc w:val="left"/>
      <w:pPr>
        <w:ind w:left="852" w:hanging="325"/>
      </w:pPr>
      <w:rPr>
        <w:rFonts w:hint="default"/>
        <w:lang w:val="en-AU" w:eastAsia="en-US" w:bidi="ar-SA"/>
      </w:rPr>
    </w:lvl>
    <w:lvl w:ilvl="2" w:tplc="BFB4D176">
      <w:numFmt w:val="bullet"/>
      <w:lvlText w:val="•"/>
      <w:lvlJc w:val="left"/>
      <w:pPr>
        <w:ind w:left="1304" w:hanging="325"/>
      </w:pPr>
      <w:rPr>
        <w:rFonts w:hint="default"/>
        <w:lang w:val="en-AU" w:eastAsia="en-US" w:bidi="ar-SA"/>
      </w:rPr>
    </w:lvl>
    <w:lvl w:ilvl="3" w:tplc="304E70C8">
      <w:numFmt w:val="bullet"/>
      <w:lvlText w:val="•"/>
      <w:lvlJc w:val="left"/>
      <w:pPr>
        <w:ind w:left="1756" w:hanging="325"/>
      </w:pPr>
      <w:rPr>
        <w:rFonts w:hint="default"/>
        <w:lang w:val="en-AU" w:eastAsia="en-US" w:bidi="ar-SA"/>
      </w:rPr>
    </w:lvl>
    <w:lvl w:ilvl="4" w:tplc="35322DD0">
      <w:numFmt w:val="bullet"/>
      <w:lvlText w:val="•"/>
      <w:lvlJc w:val="left"/>
      <w:pPr>
        <w:ind w:left="2209" w:hanging="325"/>
      </w:pPr>
      <w:rPr>
        <w:rFonts w:hint="default"/>
        <w:lang w:val="en-AU" w:eastAsia="en-US" w:bidi="ar-SA"/>
      </w:rPr>
    </w:lvl>
    <w:lvl w:ilvl="5" w:tplc="15140C0E">
      <w:numFmt w:val="bullet"/>
      <w:lvlText w:val="•"/>
      <w:lvlJc w:val="left"/>
      <w:pPr>
        <w:ind w:left="2661" w:hanging="325"/>
      </w:pPr>
      <w:rPr>
        <w:rFonts w:hint="default"/>
        <w:lang w:val="en-AU" w:eastAsia="en-US" w:bidi="ar-SA"/>
      </w:rPr>
    </w:lvl>
    <w:lvl w:ilvl="6" w:tplc="CE9258B2">
      <w:numFmt w:val="bullet"/>
      <w:lvlText w:val="•"/>
      <w:lvlJc w:val="left"/>
      <w:pPr>
        <w:ind w:left="3113" w:hanging="325"/>
      </w:pPr>
      <w:rPr>
        <w:rFonts w:hint="default"/>
        <w:lang w:val="en-AU" w:eastAsia="en-US" w:bidi="ar-SA"/>
      </w:rPr>
    </w:lvl>
    <w:lvl w:ilvl="7" w:tplc="209EB484">
      <w:numFmt w:val="bullet"/>
      <w:lvlText w:val="•"/>
      <w:lvlJc w:val="left"/>
      <w:pPr>
        <w:ind w:left="3566" w:hanging="325"/>
      </w:pPr>
      <w:rPr>
        <w:rFonts w:hint="default"/>
        <w:lang w:val="en-AU" w:eastAsia="en-US" w:bidi="ar-SA"/>
      </w:rPr>
    </w:lvl>
    <w:lvl w:ilvl="8" w:tplc="A606CF18">
      <w:numFmt w:val="bullet"/>
      <w:lvlText w:val="•"/>
      <w:lvlJc w:val="left"/>
      <w:pPr>
        <w:ind w:left="4018" w:hanging="325"/>
      </w:pPr>
      <w:rPr>
        <w:rFonts w:hint="default"/>
        <w:lang w:val="en-AU" w:eastAsia="en-US" w:bidi="ar-SA"/>
      </w:rPr>
    </w:lvl>
  </w:abstractNum>
  <w:abstractNum w:abstractNumId="3" w15:restartNumberingAfterBreak="0">
    <w:nsid w:val="469A337D"/>
    <w:multiLevelType w:val="hybridMultilevel"/>
    <w:tmpl w:val="E884C704"/>
    <w:lvl w:ilvl="0" w:tplc="7E8435FA">
      <w:start w:val="1"/>
      <w:numFmt w:val="lowerLetter"/>
      <w:lvlText w:val="(%1)"/>
      <w:lvlJc w:val="left"/>
      <w:pPr>
        <w:ind w:left="390" w:hanging="325"/>
        <w:jc w:val="left"/>
      </w:pPr>
      <w:rPr>
        <w:rFonts w:ascii="Times New Roman" w:eastAsia="Times New Roman" w:hAnsi="Times New Roman" w:cs="Times New Roman" w:hint="default"/>
        <w:b w:val="0"/>
        <w:bCs w:val="0"/>
        <w:i w:val="0"/>
        <w:iCs w:val="0"/>
        <w:spacing w:val="-2"/>
        <w:w w:val="99"/>
        <w:sz w:val="24"/>
        <w:szCs w:val="24"/>
        <w:lang w:val="en-AU" w:eastAsia="en-US" w:bidi="ar-SA"/>
      </w:rPr>
    </w:lvl>
    <w:lvl w:ilvl="1" w:tplc="36085F62">
      <w:start w:val="1"/>
      <w:numFmt w:val="lowerRoman"/>
      <w:lvlText w:val="(%2)"/>
      <w:lvlJc w:val="left"/>
      <w:pPr>
        <w:ind w:left="935" w:hanging="286"/>
        <w:jc w:val="left"/>
      </w:pPr>
      <w:rPr>
        <w:rFonts w:ascii="Times New Roman" w:eastAsia="Times New Roman" w:hAnsi="Times New Roman" w:cs="Times New Roman" w:hint="default"/>
        <w:b w:val="0"/>
        <w:bCs w:val="0"/>
        <w:i w:val="0"/>
        <w:iCs w:val="0"/>
        <w:w w:val="99"/>
        <w:sz w:val="24"/>
        <w:szCs w:val="24"/>
        <w:lang w:val="en-AU" w:eastAsia="en-US" w:bidi="ar-SA"/>
      </w:rPr>
    </w:lvl>
    <w:lvl w:ilvl="2" w:tplc="8A4E43BC">
      <w:numFmt w:val="bullet"/>
      <w:lvlText w:val="•"/>
      <w:lvlJc w:val="left"/>
      <w:pPr>
        <w:ind w:left="1382" w:hanging="286"/>
      </w:pPr>
      <w:rPr>
        <w:rFonts w:hint="default"/>
        <w:lang w:val="en-AU" w:eastAsia="en-US" w:bidi="ar-SA"/>
      </w:rPr>
    </w:lvl>
    <w:lvl w:ilvl="3" w:tplc="CE5885E2">
      <w:numFmt w:val="bullet"/>
      <w:lvlText w:val="•"/>
      <w:lvlJc w:val="left"/>
      <w:pPr>
        <w:ind w:left="1825" w:hanging="286"/>
      </w:pPr>
      <w:rPr>
        <w:rFonts w:hint="default"/>
        <w:lang w:val="en-AU" w:eastAsia="en-US" w:bidi="ar-SA"/>
      </w:rPr>
    </w:lvl>
    <w:lvl w:ilvl="4" w:tplc="A3429534">
      <w:numFmt w:val="bullet"/>
      <w:lvlText w:val="•"/>
      <w:lvlJc w:val="left"/>
      <w:pPr>
        <w:ind w:left="2267" w:hanging="286"/>
      </w:pPr>
      <w:rPr>
        <w:rFonts w:hint="default"/>
        <w:lang w:val="en-AU" w:eastAsia="en-US" w:bidi="ar-SA"/>
      </w:rPr>
    </w:lvl>
    <w:lvl w:ilvl="5" w:tplc="950687C4">
      <w:numFmt w:val="bullet"/>
      <w:lvlText w:val="•"/>
      <w:lvlJc w:val="left"/>
      <w:pPr>
        <w:ind w:left="2710" w:hanging="286"/>
      </w:pPr>
      <w:rPr>
        <w:rFonts w:hint="default"/>
        <w:lang w:val="en-AU" w:eastAsia="en-US" w:bidi="ar-SA"/>
      </w:rPr>
    </w:lvl>
    <w:lvl w:ilvl="6" w:tplc="F7285AA0">
      <w:numFmt w:val="bullet"/>
      <w:lvlText w:val="•"/>
      <w:lvlJc w:val="left"/>
      <w:pPr>
        <w:ind w:left="3152" w:hanging="286"/>
      </w:pPr>
      <w:rPr>
        <w:rFonts w:hint="default"/>
        <w:lang w:val="en-AU" w:eastAsia="en-US" w:bidi="ar-SA"/>
      </w:rPr>
    </w:lvl>
    <w:lvl w:ilvl="7" w:tplc="20D4DA58">
      <w:numFmt w:val="bullet"/>
      <w:lvlText w:val="•"/>
      <w:lvlJc w:val="left"/>
      <w:pPr>
        <w:ind w:left="3595" w:hanging="286"/>
      </w:pPr>
      <w:rPr>
        <w:rFonts w:hint="default"/>
        <w:lang w:val="en-AU" w:eastAsia="en-US" w:bidi="ar-SA"/>
      </w:rPr>
    </w:lvl>
    <w:lvl w:ilvl="8" w:tplc="216462BA">
      <w:numFmt w:val="bullet"/>
      <w:lvlText w:val="•"/>
      <w:lvlJc w:val="left"/>
      <w:pPr>
        <w:ind w:left="4037" w:hanging="286"/>
      </w:pPr>
      <w:rPr>
        <w:rFonts w:hint="default"/>
        <w:lang w:val="en-AU" w:eastAsia="en-US" w:bidi="ar-SA"/>
      </w:rPr>
    </w:lvl>
  </w:abstractNum>
  <w:abstractNum w:abstractNumId="4" w15:restartNumberingAfterBreak="0">
    <w:nsid w:val="4DF169FE"/>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69948A1"/>
    <w:multiLevelType w:val="hybridMultilevel"/>
    <w:tmpl w:val="128CECE6"/>
    <w:lvl w:ilvl="0" w:tplc="EFE00FF6">
      <w:start w:val="1"/>
      <w:numFmt w:val="lowerLetter"/>
      <w:lvlText w:val="(%1)"/>
      <w:lvlJc w:val="left"/>
      <w:pPr>
        <w:ind w:left="390" w:hanging="325"/>
        <w:jc w:val="left"/>
      </w:pPr>
      <w:rPr>
        <w:rFonts w:ascii="Times New Roman" w:eastAsia="Times New Roman" w:hAnsi="Times New Roman" w:cs="Times New Roman" w:hint="default"/>
        <w:b w:val="0"/>
        <w:bCs w:val="0"/>
        <w:i w:val="0"/>
        <w:iCs w:val="0"/>
        <w:spacing w:val="-2"/>
        <w:w w:val="99"/>
        <w:sz w:val="24"/>
        <w:szCs w:val="24"/>
        <w:lang w:val="en-AU" w:eastAsia="en-US" w:bidi="ar-SA"/>
      </w:rPr>
    </w:lvl>
    <w:lvl w:ilvl="1" w:tplc="AC84D926">
      <w:numFmt w:val="bullet"/>
      <w:lvlText w:val="•"/>
      <w:lvlJc w:val="left"/>
      <w:pPr>
        <w:ind w:left="852" w:hanging="325"/>
      </w:pPr>
      <w:rPr>
        <w:rFonts w:hint="default"/>
        <w:lang w:val="en-AU" w:eastAsia="en-US" w:bidi="ar-SA"/>
      </w:rPr>
    </w:lvl>
    <w:lvl w:ilvl="2" w:tplc="26805C9A">
      <w:numFmt w:val="bullet"/>
      <w:lvlText w:val="•"/>
      <w:lvlJc w:val="left"/>
      <w:pPr>
        <w:ind w:left="1304" w:hanging="325"/>
      </w:pPr>
      <w:rPr>
        <w:rFonts w:hint="default"/>
        <w:lang w:val="en-AU" w:eastAsia="en-US" w:bidi="ar-SA"/>
      </w:rPr>
    </w:lvl>
    <w:lvl w:ilvl="3" w:tplc="D21654BC">
      <w:numFmt w:val="bullet"/>
      <w:lvlText w:val="•"/>
      <w:lvlJc w:val="left"/>
      <w:pPr>
        <w:ind w:left="1756" w:hanging="325"/>
      </w:pPr>
      <w:rPr>
        <w:rFonts w:hint="default"/>
        <w:lang w:val="en-AU" w:eastAsia="en-US" w:bidi="ar-SA"/>
      </w:rPr>
    </w:lvl>
    <w:lvl w:ilvl="4" w:tplc="4B6AB24E">
      <w:numFmt w:val="bullet"/>
      <w:lvlText w:val="•"/>
      <w:lvlJc w:val="left"/>
      <w:pPr>
        <w:ind w:left="2209" w:hanging="325"/>
      </w:pPr>
      <w:rPr>
        <w:rFonts w:hint="default"/>
        <w:lang w:val="en-AU" w:eastAsia="en-US" w:bidi="ar-SA"/>
      </w:rPr>
    </w:lvl>
    <w:lvl w:ilvl="5" w:tplc="0982FAE6">
      <w:numFmt w:val="bullet"/>
      <w:lvlText w:val="•"/>
      <w:lvlJc w:val="left"/>
      <w:pPr>
        <w:ind w:left="2661" w:hanging="325"/>
      </w:pPr>
      <w:rPr>
        <w:rFonts w:hint="default"/>
        <w:lang w:val="en-AU" w:eastAsia="en-US" w:bidi="ar-SA"/>
      </w:rPr>
    </w:lvl>
    <w:lvl w:ilvl="6" w:tplc="FD203DD0">
      <w:numFmt w:val="bullet"/>
      <w:lvlText w:val="•"/>
      <w:lvlJc w:val="left"/>
      <w:pPr>
        <w:ind w:left="3113" w:hanging="325"/>
      </w:pPr>
      <w:rPr>
        <w:rFonts w:hint="default"/>
        <w:lang w:val="en-AU" w:eastAsia="en-US" w:bidi="ar-SA"/>
      </w:rPr>
    </w:lvl>
    <w:lvl w:ilvl="7" w:tplc="CE8450D6">
      <w:numFmt w:val="bullet"/>
      <w:lvlText w:val="•"/>
      <w:lvlJc w:val="left"/>
      <w:pPr>
        <w:ind w:left="3566" w:hanging="325"/>
      </w:pPr>
      <w:rPr>
        <w:rFonts w:hint="default"/>
        <w:lang w:val="en-AU" w:eastAsia="en-US" w:bidi="ar-SA"/>
      </w:rPr>
    </w:lvl>
    <w:lvl w:ilvl="8" w:tplc="810049F0">
      <w:numFmt w:val="bullet"/>
      <w:lvlText w:val="•"/>
      <w:lvlJc w:val="left"/>
      <w:pPr>
        <w:ind w:left="4018" w:hanging="325"/>
      </w:pPr>
      <w:rPr>
        <w:rFonts w:hint="default"/>
        <w:lang w:val="en-AU" w:eastAsia="en-US" w:bidi="ar-SA"/>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2CAA"/>
    <w:rsid w:val="000A3CF5"/>
    <w:rsid w:val="000E2721"/>
    <w:rsid w:val="000F39CC"/>
    <w:rsid w:val="00125F9C"/>
    <w:rsid w:val="001C3288"/>
    <w:rsid w:val="0023359E"/>
    <w:rsid w:val="002352AD"/>
    <w:rsid w:val="0024128C"/>
    <w:rsid w:val="0028357F"/>
    <w:rsid w:val="00287460"/>
    <w:rsid w:val="003072CB"/>
    <w:rsid w:val="003279B9"/>
    <w:rsid w:val="00346005"/>
    <w:rsid w:val="00362DDF"/>
    <w:rsid w:val="00380836"/>
    <w:rsid w:val="003B5873"/>
    <w:rsid w:val="003F7290"/>
    <w:rsid w:val="00437248"/>
    <w:rsid w:val="00487170"/>
    <w:rsid w:val="004C4905"/>
    <w:rsid w:val="005474C8"/>
    <w:rsid w:val="00586803"/>
    <w:rsid w:val="0059013A"/>
    <w:rsid w:val="005B36CB"/>
    <w:rsid w:val="005D4FF4"/>
    <w:rsid w:val="00616EF3"/>
    <w:rsid w:val="0064332C"/>
    <w:rsid w:val="00696FFD"/>
    <w:rsid w:val="006D1664"/>
    <w:rsid w:val="007164D3"/>
    <w:rsid w:val="0075109F"/>
    <w:rsid w:val="0077042F"/>
    <w:rsid w:val="007750DA"/>
    <w:rsid w:val="0079302F"/>
    <w:rsid w:val="00796FD8"/>
    <w:rsid w:val="00833218"/>
    <w:rsid w:val="00844964"/>
    <w:rsid w:val="008952D3"/>
    <w:rsid w:val="008D78A9"/>
    <w:rsid w:val="008F0BA5"/>
    <w:rsid w:val="00915754"/>
    <w:rsid w:val="009A209D"/>
    <w:rsid w:val="009C6B02"/>
    <w:rsid w:val="009E1C85"/>
    <w:rsid w:val="009F0B4B"/>
    <w:rsid w:val="00A06C13"/>
    <w:rsid w:val="00B027E0"/>
    <w:rsid w:val="00B219B4"/>
    <w:rsid w:val="00B805B8"/>
    <w:rsid w:val="00B95919"/>
    <w:rsid w:val="00C763C1"/>
    <w:rsid w:val="00CA3150"/>
    <w:rsid w:val="00CB6509"/>
    <w:rsid w:val="00CE3710"/>
    <w:rsid w:val="00D01171"/>
    <w:rsid w:val="00D9016E"/>
    <w:rsid w:val="00DA54EF"/>
    <w:rsid w:val="00E02BEF"/>
    <w:rsid w:val="00E30C84"/>
    <w:rsid w:val="00E44E9A"/>
    <w:rsid w:val="00E517C6"/>
    <w:rsid w:val="00E7364B"/>
    <w:rsid w:val="00F22CAA"/>
    <w:rsid w:val="00F54DD0"/>
    <w:rsid w:val="00F57EEE"/>
    <w:rsid w:val="00F94F1C"/>
    <w:rsid w:val="00FF6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485C1"/>
  <w15:docId w15:val="{A3CA3B05-43D4-4D10-A4EA-3CC3D4A3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AU"/>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3"/>
      <w:jc w:val="right"/>
    </w:pPr>
  </w:style>
  <w:style w:type="table" w:styleId="TableGrid">
    <w:name w:val="Table Grid"/>
    <w:basedOn w:val="TableNormal"/>
    <w:uiPriority w:val="59"/>
    <w:rsid w:val="00833218"/>
    <w:pPr>
      <w:widowControl/>
      <w:autoSpaceDE/>
      <w:autoSpaceDN/>
    </w:pPr>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text"/>
    <w:aliases w:val="tt"/>
    <w:basedOn w:val="Normal"/>
    <w:rsid w:val="00833218"/>
    <w:pPr>
      <w:widowControl/>
      <w:autoSpaceDE/>
      <w:autoSpaceDN/>
      <w:spacing w:before="60" w:line="240" w:lineRule="atLeast"/>
    </w:pPr>
    <w:rPr>
      <w:sz w:val="20"/>
      <w:szCs w:val="20"/>
      <w:lang w:eastAsia="en-AU"/>
    </w:rPr>
  </w:style>
  <w:style w:type="paragraph" w:customStyle="1" w:styleId="Tablea">
    <w:name w:val="Table(a)"/>
    <w:aliases w:val="ta"/>
    <w:basedOn w:val="Normal"/>
    <w:rsid w:val="00833218"/>
    <w:pPr>
      <w:widowControl/>
      <w:autoSpaceDE/>
      <w:autoSpaceDN/>
      <w:spacing w:before="60"/>
      <w:ind w:left="284" w:hanging="284"/>
    </w:pPr>
    <w:rPr>
      <w:sz w:val="20"/>
      <w:szCs w:val="20"/>
      <w:lang w:eastAsia="en-AU"/>
    </w:rPr>
  </w:style>
  <w:style w:type="paragraph" w:customStyle="1" w:styleId="Tablei">
    <w:name w:val="Table(i)"/>
    <w:aliases w:val="taa"/>
    <w:basedOn w:val="Normal"/>
    <w:rsid w:val="00833218"/>
    <w:pPr>
      <w:widowControl/>
      <w:tabs>
        <w:tab w:val="left" w:pos="-6543"/>
        <w:tab w:val="left" w:pos="-6260"/>
        <w:tab w:val="right" w:pos="970"/>
      </w:tabs>
      <w:autoSpaceDE/>
      <w:autoSpaceDN/>
      <w:spacing w:line="240" w:lineRule="exact"/>
      <w:ind w:left="828" w:hanging="284"/>
    </w:pPr>
    <w:rPr>
      <w:sz w:val="20"/>
      <w:szCs w:val="20"/>
      <w:lang w:eastAsia="en-AU"/>
    </w:rPr>
  </w:style>
  <w:style w:type="paragraph" w:customStyle="1" w:styleId="Default">
    <w:name w:val="Default"/>
    <w:rsid w:val="00833218"/>
    <w:pPr>
      <w:widowControl/>
      <w:adjustRightInd w:val="0"/>
    </w:pPr>
    <w:rPr>
      <w:rFonts w:ascii="Times New Roman" w:eastAsia="Times New Roman" w:hAnsi="Times New Roman" w:cs="Times New Roman"/>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117e6a1-d196-48d2-9359-b2065b5eaea6" xsi:nil="true"/>
    <lcf76f155ced4ddcb4097134ff3c332f xmlns="9117e6a1-d196-48d2-9359-b2065b5eaea6">
      <Terms xmlns="http://schemas.microsoft.com/office/infopath/2007/PartnerControls"/>
    </lcf76f155ced4ddcb4097134ff3c332f>
    <HideFromDelve xmlns="9117e6a1-d196-48d2-9359-b2065b5eaea6">false</HideFromDelve>
    <TaxCatchAll xmlns="8cc4a87a-43f9-47c0-bae0-73fd342ec3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3F496D7259045B717B9BCC29B46BD" ma:contentTypeVersion="19" ma:contentTypeDescription="Create a new document." ma:contentTypeScope="" ma:versionID="b56afe4b01df071e3c7b35abb542d6d2">
  <xsd:schema xmlns:xsd="http://www.w3.org/2001/XMLSchema" xmlns:xs="http://www.w3.org/2001/XMLSchema" xmlns:p="http://schemas.microsoft.com/office/2006/metadata/properties" xmlns:ns2="9117e6a1-d196-48d2-9359-b2065b5eaea6" xmlns:ns3="8cc4a87a-43f9-47c0-bae0-73fd342ec37e" targetNamespace="http://schemas.microsoft.com/office/2006/metadata/properties" ma:root="true" ma:fieldsID="75e052cbf32ff79396083c9b00719c5d" ns2:_="" ns3:_="">
    <xsd:import namespace="9117e6a1-d196-48d2-9359-b2065b5eaea6"/>
    <xsd:import namespace="8cc4a87a-43f9-47c0-bae0-73fd342ec3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HideFromDelv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7e6a1-d196-48d2-9359-b2065b5ea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HideFromDelve" ma:index="21" nillable="true" ma:displayName="HideFromDelve " ma:default="0" ma:format="Dropdown" ma:internalName="HideFromDelve">
      <xsd:simpleType>
        <xsd:restriction base="dms:Boolea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b396b12-3274-4258-93ad-326bd30a5d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c4a87a-43f9-47c0-bae0-73fd342ec3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0fddcd2-1842-4077-b5b9-3e0dd51a0b41}" ma:internalName="TaxCatchAll" ma:showField="CatchAllData" ma:web="8cc4a87a-43f9-47c0-bae0-73fd342ec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705D1-C37A-48CB-B1A7-0DFA5F94D901}">
  <ds:schemaRefs>
    <ds:schemaRef ds:uri="http://schemas.microsoft.com/office/2006/metadata/properties"/>
    <ds:schemaRef ds:uri="http://schemas.microsoft.com/office/infopath/2007/PartnerControls"/>
    <ds:schemaRef ds:uri="9117e6a1-d196-48d2-9359-b2065b5eaea6"/>
    <ds:schemaRef ds:uri="8cc4a87a-43f9-47c0-bae0-73fd342ec37e"/>
  </ds:schemaRefs>
</ds:datastoreItem>
</file>

<file path=customXml/itemProps2.xml><?xml version="1.0" encoding="utf-8"?>
<ds:datastoreItem xmlns:ds="http://schemas.openxmlformats.org/officeDocument/2006/customXml" ds:itemID="{49D736CA-BC70-429F-BE4F-8A4789614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7e6a1-d196-48d2-9359-b2065b5eaea6"/>
    <ds:schemaRef ds:uri="8cc4a87a-43f9-47c0-bae0-73fd342ec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5645E-C070-4163-A391-F600C1923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Templeton</dc:creator>
  <cp:lastModifiedBy>VANCUYLENBURG, Chrisanne</cp:lastModifiedBy>
  <cp:revision>65</cp:revision>
  <dcterms:created xsi:type="dcterms:W3CDTF">2021-12-06T06:35:00Z</dcterms:created>
  <dcterms:modified xsi:type="dcterms:W3CDTF">2023-05-11T06:03:00Z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for Microsoft 365</vt:lpwstr>
  </property>
  <property fmtid="{D5CDD505-2E9C-101B-9397-08002B2CF9AE}" pid="4" name="LastSaved">
    <vt:filetime>2021-12-06T00:00:00Z</vt:filetime>
  </property>
  <property fmtid="{D5CDD505-2E9C-101B-9397-08002B2CF9AE}" pid="5" name="ContentTypeId">
    <vt:lpwstr>0x010100EB73F496D7259045B717B9BCC29B46BD</vt:lpwstr>
  </property>
  <property fmtid="{D5CDD505-2E9C-101B-9397-08002B2CF9AE}" pid="6" name="MediaServiceImageTags">
    <vt:lpwstr/>
  </property>
</Properties>
</file>