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1A0F15" w14:textId="77777777" w:rsidR="00B3239D" w:rsidRPr="00560F0E" w:rsidRDefault="002A7A40" w:rsidP="007D5F46">
      <w:pPr>
        <w:jc w:val="center"/>
        <w:rPr>
          <w:rFonts w:ascii="Times New Roman" w:hAnsi="Times New Roman" w:cs="Times New Roman"/>
          <w:b/>
          <w:sz w:val="28"/>
          <w:szCs w:val="28"/>
          <w:u w:val="single"/>
        </w:rPr>
      </w:pPr>
      <w:bookmarkStart w:id="0" w:name="_GoBack"/>
      <w:bookmarkEnd w:id="0"/>
      <w:r w:rsidRPr="00560F0E">
        <w:rPr>
          <w:rFonts w:ascii="Times New Roman" w:hAnsi="Times New Roman" w:cs="Times New Roman"/>
          <w:b/>
          <w:sz w:val="28"/>
          <w:szCs w:val="28"/>
          <w:u w:val="single"/>
        </w:rPr>
        <w:t>EXPLANATORY STATEMENT</w:t>
      </w:r>
    </w:p>
    <w:p w14:paraId="7EC155FE" w14:textId="77777777" w:rsidR="002A7A40" w:rsidRPr="00560F0E" w:rsidRDefault="002A7A40" w:rsidP="007D5F46">
      <w:pPr>
        <w:jc w:val="center"/>
        <w:rPr>
          <w:rFonts w:ascii="Times New Roman" w:hAnsi="Times New Roman" w:cs="Times New Roman"/>
          <w:sz w:val="24"/>
          <w:szCs w:val="24"/>
        </w:rPr>
      </w:pPr>
      <w:r w:rsidRPr="00560F0E">
        <w:rPr>
          <w:rFonts w:ascii="Times New Roman" w:hAnsi="Times New Roman" w:cs="Times New Roman"/>
          <w:sz w:val="24"/>
          <w:szCs w:val="24"/>
        </w:rPr>
        <w:t>Issued by the authority of the Communications Access Co-ordinator</w:t>
      </w:r>
    </w:p>
    <w:p w14:paraId="5A0CE868" w14:textId="77777777" w:rsidR="002A7A40" w:rsidRPr="00560F0E" w:rsidRDefault="002A7A40" w:rsidP="007D5F46">
      <w:pPr>
        <w:jc w:val="center"/>
        <w:rPr>
          <w:rFonts w:ascii="Times New Roman" w:hAnsi="Times New Roman" w:cs="Times New Roman"/>
          <w:i/>
          <w:sz w:val="24"/>
          <w:szCs w:val="24"/>
        </w:rPr>
      </w:pPr>
      <w:r w:rsidRPr="00560F0E">
        <w:rPr>
          <w:rFonts w:ascii="Times New Roman" w:hAnsi="Times New Roman" w:cs="Times New Roman"/>
          <w:i/>
          <w:sz w:val="24"/>
          <w:szCs w:val="24"/>
        </w:rPr>
        <w:t>Telecommunications (Interception and Access) Act 1979</w:t>
      </w:r>
    </w:p>
    <w:p w14:paraId="3C3CD6CA" w14:textId="77777777" w:rsidR="002A7A40" w:rsidRPr="00560F0E" w:rsidRDefault="002A7A40" w:rsidP="007D5F46">
      <w:pPr>
        <w:jc w:val="center"/>
        <w:rPr>
          <w:rFonts w:ascii="Times New Roman" w:hAnsi="Times New Roman" w:cs="Times New Roman"/>
          <w:b/>
          <w:i/>
          <w:sz w:val="24"/>
          <w:szCs w:val="24"/>
        </w:rPr>
      </w:pPr>
      <w:r w:rsidRPr="00560F0E">
        <w:rPr>
          <w:rFonts w:ascii="Times New Roman" w:hAnsi="Times New Roman" w:cs="Times New Roman"/>
          <w:b/>
          <w:i/>
          <w:sz w:val="24"/>
          <w:szCs w:val="24"/>
        </w:rPr>
        <w:t>Telecommunica</w:t>
      </w:r>
      <w:r w:rsidR="00FD16F1">
        <w:rPr>
          <w:rFonts w:ascii="Times New Roman" w:hAnsi="Times New Roman" w:cs="Times New Roman"/>
          <w:b/>
          <w:i/>
          <w:sz w:val="24"/>
          <w:szCs w:val="24"/>
        </w:rPr>
        <w:t>tions (Interception and Access)</w:t>
      </w:r>
      <w:r w:rsidR="00F17B51">
        <w:rPr>
          <w:rFonts w:ascii="Times New Roman" w:hAnsi="Times New Roman" w:cs="Times New Roman"/>
          <w:b/>
          <w:i/>
          <w:sz w:val="24"/>
          <w:szCs w:val="24"/>
        </w:rPr>
        <w:t xml:space="preserve"> </w:t>
      </w:r>
      <w:r w:rsidR="00B71C7A">
        <w:rPr>
          <w:rFonts w:ascii="Times New Roman" w:hAnsi="Times New Roman" w:cs="Times New Roman"/>
          <w:b/>
          <w:i/>
          <w:sz w:val="24"/>
          <w:szCs w:val="24"/>
        </w:rPr>
        <w:t>(</w:t>
      </w:r>
      <w:r w:rsidRPr="00560F0E">
        <w:rPr>
          <w:rFonts w:ascii="Times New Roman" w:hAnsi="Times New Roman" w:cs="Times New Roman"/>
          <w:b/>
          <w:i/>
          <w:sz w:val="24"/>
          <w:szCs w:val="24"/>
        </w:rPr>
        <w:t>Requirements for Authorisations, Notifications and Revocations</w:t>
      </w:r>
      <w:r w:rsidR="00B71C7A">
        <w:rPr>
          <w:rFonts w:ascii="Times New Roman" w:hAnsi="Times New Roman" w:cs="Times New Roman"/>
          <w:b/>
          <w:i/>
          <w:sz w:val="24"/>
          <w:szCs w:val="24"/>
        </w:rPr>
        <w:t>)</w:t>
      </w:r>
      <w:r w:rsidRPr="00560F0E">
        <w:rPr>
          <w:rFonts w:ascii="Times New Roman" w:hAnsi="Times New Roman" w:cs="Times New Roman"/>
          <w:b/>
          <w:i/>
          <w:sz w:val="24"/>
          <w:szCs w:val="24"/>
        </w:rPr>
        <w:t xml:space="preserve"> Determination </w:t>
      </w:r>
      <w:r w:rsidR="000247FF">
        <w:rPr>
          <w:rFonts w:ascii="Times New Roman" w:hAnsi="Times New Roman" w:cs="Times New Roman"/>
          <w:b/>
          <w:i/>
          <w:sz w:val="24"/>
          <w:szCs w:val="24"/>
        </w:rPr>
        <w:t>2023</w:t>
      </w:r>
    </w:p>
    <w:p w14:paraId="0508EAA3" w14:textId="77777777" w:rsidR="00FF62BD" w:rsidRPr="00560F0E" w:rsidRDefault="00FF62BD" w:rsidP="007D5F46">
      <w:pPr>
        <w:pStyle w:val="Default"/>
        <w:spacing w:line="276" w:lineRule="auto"/>
        <w:rPr>
          <w:b/>
        </w:rPr>
      </w:pPr>
      <w:r w:rsidRPr="00560F0E">
        <w:rPr>
          <w:b/>
        </w:rPr>
        <w:t>Introduction</w:t>
      </w:r>
      <w:r w:rsidRPr="00560F0E">
        <w:rPr>
          <w:b/>
        </w:rPr>
        <w:br/>
      </w:r>
    </w:p>
    <w:p w14:paraId="421E2E3B" w14:textId="77777777" w:rsidR="00FF62BD" w:rsidRPr="00560F0E" w:rsidRDefault="00FF62BD" w:rsidP="007D5F46">
      <w:pPr>
        <w:pStyle w:val="Default"/>
        <w:spacing w:line="276" w:lineRule="auto"/>
        <w:rPr>
          <w:u w:val="single"/>
        </w:rPr>
      </w:pPr>
      <w:r w:rsidRPr="00560F0E">
        <w:rPr>
          <w:u w:val="single"/>
        </w:rPr>
        <w:t xml:space="preserve">Purpose </w:t>
      </w:r>
    </w:p>
    <w:p w14:paraId="1AE05E0F" w14:textId="35322A20" w:rsidR="00835A23" w:rsidRDefault="00FF62BD" w:rsidP="00A927DF">
      <w:pPr>
        <w:pStyle w:val="ListParagraph"/>
        <w:numPr>
          <w:ilvl w:val="0"/>
          <w:numId w:val="1"/>
        </w:numPr>
        <w:tabs>
          <w:tab w:val="left" w:pos="993"/>
        </w:tabs>
        <w:spacing w:before="240" w:after="0" w:line="240" w:lineRule="auto"/>
        <w:ind w:left="646" w:hanging="646"/>
        <w:contextualSpacing w:val="0"/>
        <w:rPr>
          <w:rFonts w:ascii="Times New Roman" w:hAnsi="Times New Roman" w:cs="Times New Roman"/>
          <w:sz w:val="24"/>
          <w:szCs w:val="24"/>
        </w:rPr>
      </w:pPr>
      <w:r w:rsidRPr="00560F0E">
        <w:rPr>
          <w:rFonts w:ascii="Times New Roman" w:hAnsi="Times New Roman" w:cs="Times New Roman"/>
          <w:sz w:val="24"/>
          <w:szCs w:val="24"/>
        </w:rPr>
        <w:t xml:space="preserve">Chapter 4 of the </w:t>
      </w:r>
      <w:r w:rsidRPr="00E13F81">
        <w:rPr>
          <w:rFonts w:ascii="Times New Roman" w:hAnsi="Times New Roman" w:cs="Times New Roman"/>
          <w:i/>
          <w:sz w:val="24"/>
          <w:szCs w:val="24"/>
        </w:rPr>
        <w:t>Telecommunications (Interception and Access) Act 1979</w:t>
      </w:r>
      <w:r w:rsidRPr="00503C00">
        <w:rPr>
          <w:rFonts w:ascii="Times New Roman" w:hAnsi="Times New Roman" w:cs="Times New Roman"/>
          <w:sz w:val="24"/>
          <w:szCs w:val="24"/>
        </w:rPr>
        <w:t xml:space="preserve"> </w:t>
      </w:r>
      <w:r w:rsidR="00DA2431">
        <w:rPr>
          <w:rFonts w:ascii="Times New Roman" w:hAnsi="Times New Roman" w:cs="Times New Roman"/>
          <w:sz w:val="24"/>
          <w:szCs w:val="24"/>
        </w:rPr>
        <w:t>(TIA A</w:t>
      </w:r>
      <w:r w:rsidR="006D00BF">
        <w:rPr>
          <w:rFonts w:ascii="Times New Roman" w:hAnsi="Times New Roman" w:cs="Times New Roman"/>
          <w:sz w:val="24"/>
          <w:szCs w:val="24"/>
        </w:rPr>
        <w:t>ct</w:t>
      </w:r>
      <w:r w:rsidR="00DA2431">
        <w:rPr>
          <w:rFonts w:ascii="Times New Roman" w:hAnsi="Times New Roman" w:cs="Times New Roman"/>
          <w:sz w:val="24"/>
          <w:szCs w:val="24"/>
        </w:rPr>
        <w:t xml:space="preserve">) </w:t>
      </w:r>
      <w:r w:rsidRPr="00560F0E">
        <w:rPr>
          <w:rFonts w:ascii="Times New Roman" w:hAnsi="Times New Roman" w:cs="Times New Roman"/>
          <w:sz w:val="24"/>
          <w:szCs w:val="24"/>
        </w:rPr>
        <w:t xml:space="preserve">permits the disclosure of telecommunications information or documents to </w:t>
      </w:r>
      <w:r w:rsidR="00A927DF" w:rsidRPr="00560F0E">
        <w:rPr>
          <w:rFonts w:ascii="Times New Roman" w:hAnsi="Times New Roman" w:cs="Times New Roman"/>
          <w:sz w:val="24"/>
          <w:szCs w:val="24"/>
        </w:rPr>
        <w:t>criminal</w:t>
      </w:r>
      <w:r w:rsidR="00A927DF">
        <w:rPr>
          <w:rFonts w:ascii="Times New Roman" w:hAnsi="Times New Roman" w:cs="Times New Roman"/>
          <w:sz w:val="24"/>
          <w:szCs w:val="24"/>
        </w:rPr>
        <w:t> </w:t>
      </w:r>
      <w:r w:rsidRPr="00560F0E">
        <w:rPr>
          <w:rFonts w:ascii="Times New Roman" w:hAnsi="Times New Roman" w:cs="Times New Roman"/>
          <w:sz w:val="24"/>
          <w:szCs w:val="24"/>
        </w:rPr>
        <w:t>law</w:t>
      </w:r>
      <w:r w:rsidR="00525426">
        <w:rPr>
          <w:rFonts w:ascii="Times New Roman" w:hAnsi="Times New Roman" w:cs="Times New Roman"/>
          <w:sz w:val="24"/>
          <w:szCs w:val="24"/>
        </w:rPr>
        <w:t xml:space="preserve"> </w:t>
      </w:r>
      <w:r w:rsidRPr="00560F0E">
        <w:rPr>
          <w:rFonts w:ascii="Times New Roman" w:hAnsi="Times New Roman" w:cs="Times New Roman"/>
          <w:sz w:val="24"/>
          <w:szCs w:val="24"/>
        </w:rPr>
        <w:t xml:space="preserve">enforcement agencies and enforcement agencies for limited purposes. </w:t>
      </w:r>
    </w:p>
    <w:p w14:paraId="2C852A03" w14:textId="77777777" w:rsidR="00FF62BD" w:rsidRPr="00560F0E" w:rsidRDefault="00FF62BD" w:rsidP="004B276B">
      <w:pPr>
        <w:pStyle w:val="ListParagraph"/>
        <w:tabs>
          <w:tab w:val="left" w:pos="993"/>
        </w:tabs>
        <w:spacing w:line="240" w:lineRule="auto"/>
        <w:ind w:left="646"/>
        <w:rPr>
          <w:rFonts w:ascii="Times New Roman" w:hAnsi="Times New Roman" w:cs="Times New Roman"/>
          <w:sz w:val="24"/>
          <w:szCs w:val="24"/>
        </w:rPr>
      </w:pPr>
    </w:p>
    <w:p w14:paraId="0BA97049" w14:textId="77777777" w:rsidR="00835A23" w:rsidRDefault="00FF62BD" w:rsidP="004B276B">
      <w:pPr>
        <w:pStyle w:val="ListParagraph"/>
        <w:numPr>
          <w:ilvl w:val="0"/>
          <w:numId w:val="1"/>
        </w:numPr>
        <w:tabs>
          <w:tab w:val="left" w:pos="993"/>
        </w:tabs>
        <w:spacing w:line="240" w:lineRule="auto"/>
        <w:ind w:left="646" w:hanging="644"/>
        <w:rPr>
          <w:rFonts w:ascii="Times New Roman" w:hAnsi="Times New Roman" w:cs="Times New Roman"/>
          <w:sz w:val="24"/>
          <w:szCs w:val="24"/>
        </w:rPr>
      </w:pPr>
      <w:r w:rsidRPr="00560F0E">
        <w:rPr>
          <w:rFonts w:ascii="Times New Roman" w:hAnsi="Times New Roman" w:cs="Times New Roman"/>
          <w:sz w:val="24"/>
          <w:szCs w:val="24"/>
        </w:rPr>
        <w:t xml:space="preserve">The </w:t>
      </w:r>
      <w:r w:rsidR="00DA2431">
        <w:rPr>
          <w:rFonts w:ascii="Times New Roman" w:hAnsi="Times New Roman" w:cs="Times New Roman"/>
          <w:sz w:val="24"/>
          <w:szCs w:val="24"/>
        </w:rPr>
        <w:t xml:space="preserve">TIA </w:t>
      </w:r>
      <w:r w:rsidRPr="00560F0E">
        <w:rPr>
          <w:rFonts w:ascii="Times New Roman" w:hAnsi="Times New Roman" w:cs="Times New Roman"/>
          <w:sz w:val="24"/>
          <w:szCs w:val="24"/>
        </w:rPr>
        <w:t>Act distinguishes between information that has already come into existence (‘existing information</w:t>
      </w:r>
      <w:r w:rsidR="006D00BF">
        <w:rPr>
          <w:rFonts w:ascii="Times New Roman" w:hAnsi="Times New Roman" w:cs="Times New Roman"/>
          <w:sz w:val="24"/>
          <w:szCs w:val="24"/>
        </w:rPr>
        <w:t>’</w:t>
      </w:r>
      <w:r w:rsidRPr="00560F0E">
        <w:rPr>
          <w:rFonts w:ascii="Times New Roman" w:hAnsi="Times New Roman" w:cs="Times New Roman"/>
          <w:sz w:val="24"/>
          <w:szCs w:val="24"/>
        </w:rPr>
        <w:t xml:space="preserve">) and information that will come into existence during the period that the authorisation is in force (‘prospective information’). </w:t>
      </w:r>
    </w:p>
    <w:p w14:paraId="7E456706" w14:textId="77777777" w:rsidR="00FF62BD" w:rsidRDefault="00FF62BD" w:rsidP="004B276B">
      <w:pPr>
        <w:pStyle w:val="ListParagraph"/>
        <w:tabs>
          <w:tab w:val="left" w:pos="993"/>
        </w:tabs>
        <w:spacing w:line="240" w:lineRule="auto"/>
        <w:ind w:left="646"/>
        <w:rPr>
          <w:rFonts w:ascii="Times New Roman" w:hAnsi="Times New Roman" w:cs="Times New Roman"/>
          <w:sz w:val="24"/>
          <w:szCs w:val="24"/>
        </w:rPr>
      </w:pPr>
    </w:p>
    <w:p w14:paraId="478E4E76" w14:textId="1FEB5A3D" w:rsidR="00835A23" w:rsidRPr="00BD5100" w:rsidRDefault="00835A23" w:rsidP="004B276B">
      <w:pPr>
        <w:pStyle w:val="ListParagraph"/>
        <w:numPr>
          <w:ilvl w:val="0"/>
          <w:numId w:val="1"/>
        </w:numPr>
        <w:tabs>
          <w:tab w:val="left" w:pos="993"/>
        </w:tabs>
        <w:spacing w:line="240" w:lineRule="auto"/>
        <w:ind w:left="646" w:hanging="644"/>
        <w:rPr>
          <w:rFonts w:ascii="Times New Roman" w:hAnsi="Times New Roman" w:cs="Times New Roman"/>
          <w:sz w:val="24"/>
          <w:szCs w:val="24"/>
        </w:rPr>
      </w:pPr>
      <w:r w:rsidRPr="00560F0E">
        <w:rPr>
          <w:rFonts w:ascii="Times New Roman" w:hAnsi="Times New Roman" w:cs="Times New Roman"/>
          <w:sz w:val="24"/>
          <w:szCs w:val="24"/>
        </w:rPr>
        <w:t xml:space="preserve">The </w:t>
      </w:r>
      <w:r w:rsidR="00DA2431">
        <w:rPr>
          <w:rFonts w:ascii="Times New Roman" w:hAnsi="Times New Roman" w:cs="Times New Roman"/>
          <w:sz w:val="24"/>
          <w:szCs w:val="24"/>
        </w:rPr>
        <w:t xml:space="preserve">TIA </w:t>
      </w:r>
      <w:r w:rsidRPr="00560F0E">
        <w:rPr>
          <w:rFonts w:ascii="Times New Roman" w:hAnsi="Times New Roman" w:cs="Times New Roman"/>
          <w:sz w:val="24"/>
          <w:szCs w:val="24"/>
        </w:rPr>
        <w:t xml:space="preserve">Act permits the Australian Federal Police (AFP) to authorise the disclosure of information or documents on behalf of foreign </w:t>
      </w:r>
      <w:r w:rsidR="00EB43A7" w:rsidRPr="00560F0E">
        <w:rPr>
          <w:rFonts w:ascii="Times New Roman" w:hAnsi="Times New Roman" w:cs="Times New Roman"/>
          <w:sz w:val="24"/>
          <w:szCs w:val="24"/>
        </w:rPr>
        <w:t>law</w:t>
      </w:r>
      <w:r w:rsidR="00EB43A7">
        <w:rPr>
          <w:rFonts w:ascii="Times New Roman" w:hAnsi="Times New Roman" w:cs="Times New Roman"/>
          <w:sz w:val="24"/>
          <w:szCs w:val="24"/>
        </w:rPr>
        <w:t xml:space="preserve"> </w:t>
      </w:r>
      <w:r w:rsidRPr="00560F0E">
        <w:rPr>
          <w:rFonts w:ascii="Times New Roman" w:hAnsi="Times New Roman" w:cs="Times New Roman"/>
          <w:sz w:val="24"/>
          <w:szCs w:val="24"/>
        </w:rPr>
        <w:t xml:space="preserve">enforcement agencies where that disclosure is reasonably necessary for the enforcement of foreign </w:t>
      </w:r>
      <w:r w:rsidR="001F1FAE">
        <w:rPr>
          <w:rFonts w:ascii="Times New Roman" w:hAnsi="Times New Roman" w:cs="Times New Roman"/>
          <w:sz w:val="24"/>
          <w:szCs w:val="24"/>
        </w:rPr>
        <w:t>or international laws</w:t>
      </w:r>
      <w:r w:rsidRPr="00560F0E">
        <w:rPr>
          <w:rFonts w:ascii="Times New Roman" w:hAnsi="Times New Roman" w:cs="Times New Roman"/>
          <w:sz w:val="24"/>
          <w:szCs w:val="24"/>
        </w:rPr>
        <w:t>.</w:t>
      </w:r>
      <w:r>
        <w:rPr>
          <w:rFonts w:ascii="Times New Roman" w:hAnsi="Times New Roman" w:cs="Times New Roman"/>
          <w:sz w:val="24"/>
          <w:szCs w:val="24"/>
        </w:rPr>
        <w:t xml:space="preserve"> </w:t>
      </w:r>
      <w:r w:rsidRPr="00560F0E">
        <w:rPr>
          <w:rFonts w:ascii="Times New Roman" w:hAnsi="Times New Roman" w:cs="Times New Roman"/>
          <w:sz w:val="24"/>
          <w:szCs w:val="24"/>
        </w:rPr>
        <w:t xml:space="preserve">The </w:t>
      </w:r>
      <w:r w:rsidR="00525426">
        <w:rPr>
          <w:rFonts w:ascii="Times New Roman" w:hAnsi="Times New Roman" w:cs="Times New Roman"/>
          <w:sz w:val="24"/>
          <w:szCs w:val="24"/>
        </w:rPr>
        <w:t>Australian Federal Police</w:t>
      </w:r>
      <w:r w:rsidR="00525426" w:rsidRPr="00560F0E">
        <w:rPr>
          <w:rFonts w:ascii="Times New Roman" w:hAnsi="Times New Roman" w:cs="Times New Roman"/>
          <w:sz w:val="24"/>
          <w:szCs w:val="24"/>
        </w:rPr>
        <w:t xml:space="preserve"> </w:t>
      </w:r>
      <w:r w:rsidRPr="00560F0E">
        <w:rPr>
          <w:rFonts w:ascii="Times New Roman" w:hAnsi="Times New Roman" w:cs="Times New Roman"/>
          <w:sz w:val="24"/>
          <w:szCs w:val="24"/>
        </w:rPr>
        <w:t>may authorise disclosures for either existing or prospective information and further authorise the disclosure of the obtained information to the requesting foreign law enforcement agency.</w:t>
      </w:r>
    </w:p>
    <w:p w14:paraId="3964D351" w14:textId="77777777" w:rsidR="00FF62BD" w:rsidRPr="00560F0E" w:rsidRDefault="00FF62BD" w:rsidP="004B276B">
      <w:pPr>
        <w:pStyle w:val="ListParagraph"/>
        <w:tabs>
          <w:tab w:val="left" w:pos="993"/>
        </w:tabs>
        <w:spacing w:line="240" w:lineRule="auto"/>
        <w:ind w:left="646"/>
        <w:rPr>
          <w:rFonts w:ascii="Times New Roman" w:hAnsi="Times New Roman" w:cs="Times New Roman"/>
          <w:sz w:val="24"/>
          <w:szCs w:val="24"/>
        </w:rPr>
      </w:pPr>
    </w:p>
    <w:p w14:paraId="6C0BAB15" w14:textId="2B285674" w:rsidR="00FF62BD" w:rsidRPr="00560F0E" w:rsidRDefault="00FF62BD" w:rsidP="004B276B">
      <w:pPr>
        <w:pStyle w:val="ListParagraph"/>
        <w:numPr>
          <w:ilvl w:val="0"/>
          <w:numId w:val="1"/>
        </w:numPr>
        <w:tabs>
          <w:tab w:val="left" w:pos="993"/>
        </w:tabs>
        <w:spacing w:line="240" w:lineRule="auto"/>
        <w:ind w:left="646" w:hanging="644"/>
        <w:rPr>
          <w:rFonts w:ascii="Times New Roman" w:hAnsi="Times New Roman" w:cs="Times New Roman"/>
          <w:sz w:val="24"/>
          <w:szCs w:val="24"/>
        </w:rPr>
      </w:pPr>
      <w:r w:rsidRPr="00560F0E">
        <w:rPr>
          <w:rFonts w:ascii="Times New Roman" w:hAnsi="Times New Roman" w:cs="Times New Roman"/>
          <w:sz w:val="24"/>
          <w:szCs w:val="24"/>
        </w:rPr>
        <w:t xml:space="preserve">Section 183 of the </w:t>
      </w:r>
      <w:r w:rsidR="00DA2431">
        <w:rPr>
          <w:rFonts w:ascii="Times New Roman" w:hAnsi="Times New Roman" w:cs="Times New Roman"/>
          <w:sz w:val="24"/>
          <w:szCs w:val="24"/>
        </w:rPr>
        <w:t xml:space="preserve">TIA </w:t>
      </w:r>
      <w:r w:rsidRPr="00560F0E">
        <w:rPr>
          <w:rFonts w:ascii="Times New Roman" w:hAnsi="Times New Roman" w:cs="Times New Roman"/>
          <w:sz w:val="24"/>
          <w:szCs w:val="24"/>
        </w:rPr>
        <w:t>Act provides that the Communications Access Co</w:t>
      </w:r>
      <w:r w:rsidR="00621FE5">
        <w:rPr>
          <w:rFonts w:ascii="Times New Roman" w:hAnsi="Times New Roman" w:cs="Times New Roman"/>
          <w:sz w:val="24"/>
          <w:szCs w:val="24"/>
        </w:rPr>
        <w:t>-</w:t>
      </w:r>
      <w:r w:rsidRPr="00560F0E">
        <w:rPr>
          <w:rFonts w:ascii="Times New Roman" w:hAnsi="Times New Roman" w:cs="Times New Roman"/>
          <w:sz w:val="24"/>
          <w:szCs w:val="24"/>
        </w:rPr>
        <w:t>ordinator (the C</w:t>
      </w:r>
      <w:r w:rsidR="00835A23">
        <w:rPr>
          <w:rFonts w:ascii="Times New Roman" w:hAnsi="Times New Roman" w:cs="Times New Roman"/>
          <w:sz w:val="24"/>
          <w:szCs w:val="24"/>
        </w:rPr>
        <w:t>oordinator</w:t>
      </w:r>
      <w:r w:rsidRPr="00560F0E">
        <w:rPr>
          <w:rFonts w:ascii="Times New Roman" w:hAnsi="Times New Roman" w:cs="Times New Roman"/>
          <w:sz w:val="24"/>
          <w:szCs w:val="24"/>
        </w:rPr>
        <w:t>), a</w:t>
      </w:r>
      <w:r w:rsidR="004154D0">
        <w:rPr>
          <w:rFonts w:ascii="Times New Roman" w:hAnsi="Times New Roman" w:cs="Times New Roman"/>
          <w:sz w:val="24"/>
          <w:szCs w:val="24"/>
        </w:rPr>
        <w:t xml:space="preserve"> statutory position held by the Secretary of the </w:t>
      </w:r>
      <w:r w:rsidR="000247FF">
        <w:rPr>
          <w:rFonts w:ascii="Times New Roman" w:hAnsi="Times New Roman" w:cs="Times New Roman"/>
          <w:sz w:val="24"/>
          <w:szCs w:val="24"/>
        </w:rPr>
        <w:t xml:space="preserve">Attorney-General’s </w:t>
      </w:r>
      <w:r w:rsidRPr="00560F0E">
        <w:rPr>
          <w:rFonts w:ascii="Times New Roman" w:hAnsi="Times New Roman" w:cs="Times New Roman"/>
          <w:sz w:val="24"/>
          <w:szCs w:val="24"/>
        </w:rPr>
        <w:t>Department</w:t>
      </w:r>
      <w:r w:rsidR="005B742A">
        <w:rPr>
          <w:rFonts w:ascii="Times New Roman" w:hAnsi="Times New Roman" w:cs="Times New Roman"/>
          <w:sz w:val="24"/>
          <w:szCs w:val="24"/>
        </w:rPr>
        <w:t xml:space="preserve"> (section 6R of the TIA Act)</w:t>
      </w:r>
      <w:r w:rsidR="008C1189">
        <w:rPr>
          <w:rFonts w:ascii="Times New Roman" w:hAnsi="Times New Roman" w:cs="Times New Roman"/>
          <w:sz w:val="24"/>
          <w:szCs w:val="24"/>
        </w:rPr>
        <w:t>,</w:t>
      </w:r>
      <w:r w:rsidRPr="00560F0E">
        <w:rPr>
          <w:rFonts w:ascii="Times New Roman" w:hAnsi="Times New Roman" w:cs="Times New Roman"/>
          <w:sz w:val="24"/>
          <w:szCs w:val="24"/>
        </w:rPr>
        <w:t xml:space="preserve"> may by legislative instrument, determine requirements for the form of these authorisations, notifications of authorisations, revocations of authorisations and notifications of revocations.</w:t>
      </w:r>
    </w:p>
    <w:p w14:paraId="16AF2A9C" w14:textId="77777777" w:rsidR="00FF62BD" w:rsidRPr="00560F0E" w:rsidRDefault="00FF62BD" w:rsidP="004B276B">
      <w:pPr>
        <w:pStyle w:val="ListParagraph"/>
        <w:tabs>
          <w:tab w:val="left" w:pos="993"/>
        </w:tabs>
        <w:spacing w:line="240" w:lineRule="auto"/>
        <w:ind w:left="646"/>
        <w:rPr>
          <w:rFonts w:ascii="Times New Roman" w:hAnsi="Times New Roman" w:cs="Times New Roman"/>
          <w:sz w:val="24"/>
          <w:szCs w:val="24"/>
        </w:rPr>
      </w:pPr>
    </w:p>
    <w:p w14:paraId="59025E63" w14:textId="77777777" w:rsidR="00FF62BD" w:rsidRPr="001F1FAE" w:rsidRDefault="00455EF6" w:rsidP="004B276B">
      <w:pPr>
        <w:pStyle w:val="ListParagraph"/>
        <w:numPr>
          <w:ilvl w:val="0"/>
          <w:numId w:val="1"/>
        </w:numPr>
        <w:tabs>
          <w:tab w:val="left" w:pos="993"/>
        </w:tabs>
        <w:spacing w:line="240" w:lineRule="auto"/>
        <w:ind w:left="646" w:hanging="644"/>
        <w:rPr>
          <w:rFonts w:ascii="Times New Roman" w:hAnsi="Times New Roman" w:cs="Times New Roman"/>
          <w:sz w:val="24"/>
          <w:szCs w:val="24"/>
        </w:rPr>
      </w:pPr>
      <w:r>
        <w:rPr>
          <w:rFonts w:ascii="Times New Roman" w:hAnsi="Times New Roman" w:cs="Times New Roman"/>
          <w:sz w:val="24"/>
          <w:szCs w:val="24"/>
        </w:rPr>
        <w:t xml:space="preserve">The </w:t>
      </w:r>
      <w:r w:rsidR="00481930" w:rsidRPr="00A927DF">
        <w:rPr>
          <w:rFonts w:ascii="Times New Roman" w:hAnsi="Times New Roman" w:cs="Times New Roman"/>
          <w:i/>
          <w:sz w:val="24"/>
          <w:szCs w:val="24"/>
        </w:rPr>
        <w:t>Telecommunications (Interception and Access) (Requirements for Authorisations, Notifications and Revocations) Determination 2</w:t>
      </w:r>
      <w:r w:rsidR="000247FF">
        <w:rPr>
          <w:rFonts w:ascii="Times New Roman" w:hAnsi="Times New Roman" w:cs="Times New Roman"/>
          <w:i/>
          <w:sz w:val="24"/>
          <w:szCs w:val="24"/>
        </w:rPr>
        <w:t>023</w:t>
      </w:r>
      <w:r w:rsidR="00481930">
        <w:rPr>
          <w:rFonts w:ascii="Times New Roman" w:hAnsi="Times New Roman" w:cs="Times New Roman"/>
          <w:sz w:val="24"/>
          <w:szCs w:val="24"/>
        </w:rPr>
        <w:t xml:space="preserve"> (</w:t>
      </w:r>
      <w:r>
        <w:rPr>
          <w:rFonts w:ascii="Times New Roman" w:hAnsi="Times New Roman" w:cs="Times New Roman"/>
          <w:sz w:val="24"/>
          <w:szCs w:val="24"/>
        </w:rPr>
        <w:t>Principal Determination</w:t>
      </w:r>
      <w:r w:rsidR="00481930">
        <w:rPr>
          <w:rFonts w:ascii="Times New Roman" w:hAnsi="Times New Roman" w:cs="Times New Roman"/>
          <w:sz w:val="24"/>
          <w:szCs w:val="24"/>
        </w:rPr>
        <w:t>)</w:t>
      </w:r>
      <w:r>
        <w:rPr>
          <w:rFonts w:ascii="Times New Roman" w:hAnsi="Times New Roman" w:cs="Times New Roman"/>
          <w:sz w:val="24"/>
          <w:szCs w:val="24"/>
        </w:rPr>
        <w:t xml:space="preserve"> </w:t>
      </w:r>
      <w:r w:rsidR="00FF62BD" w:rsidRPr="001F1FAE">
        <w:rPr>
          <w:rFonts w:ascii="Times New Roman" w:hAnsi="Times New Roman" w:cs="Times New Roman"/>
          <w:sz w:val="24"/>
          <w:szCs w:val="24"/>
        </w:rPr>
        <w:t>revoke</w:t>
      </w:r>
      <w:r w:rsidR="00C03DA2">
        <w:rPr>
          <w:rFonts w:ascii="Times New Roman" w:hAnsi="Times New Roman" w:cs="Times New Roman"/>
          <w:sz w:val="24"/>
          <w:szCs w:val="24"/>
        </w:rPr>
        <w:t>s</w:t>
      </w:r>
      <w:r w:rsidR="00FF62BD" w:rsidRPr="001F1FAE">
        <w:rPr>
          <w:rFonts w:ascii="Times New Roman" w:hAnsi="Times New Roman" w:cs="Times New Roman"/>
          <w:sz w:val="24"/>
          <w:szCs w:val="24"/>
        </w:rPr>
        <w:t xml:space="preserve"> </w:t>
      </w:r>
      <w:r w:rsidR="00032B2D">
        <w:rPr>
          <w:rFonts w:ascii="Times New Roman" w:hAnsi="Times New Roman" w:cs="Times New Roman"/>
          <w:sz w:val="24"/>
          <w:szCs w:val="24"/>
        </w:rPr>
        <w:t xml:space="preserve">the </w:t>
      </w:r>
      <w:r w:rsidR="00032B2D" w:rsidRPr="00A927DF">
        <w:rPr>
          <w:rFonts w:ascii="Times New Roman" w:hAnsi="Times New Roman" w:cs="Times New Roman"/>
          <w:i/>
          <w:sz w:val="24"/>
          <w:szCs w:val="24"/>
        </w:rPr>
        <w:t>Telecommunications (Interception and Access) (Requirements for Authorisations, Notifications and Revocations) Determination 2</w:t>
      </w:r>
      <w:r w:rsidR="00032B2D">
        <w:rPr>
          <w:rFonts w:ascii="Times New Roman" w:hAnsi="Times New Roman" w:cs="Times New Roman"/>
          <w:i/>
          <w:sz w:val="24"/>
          <w:szCs w:val="24"/>
        </w:rPr>
        <w:t>018</w:t>
      </w:r>
      <w:r w:rsidR="00032B2D">
        <w:rPr>
          <w:rFonts w:ascii="Times New Roman" w:hAnsi="Times New Roman" w:cs="Times New Roman"/>
          <w:sz w:val="24"/>
          <w:szCs w:val="24"/>
        </w:rPr>
        <w:t xml:space="preserve"> (2018 Determination)</w:t>
      </w:r>
    </w:p>
    <w:p w14:paraId="4AEBF340" w14:textId="77777777" w:rsidR="00FF62BD" w:rsidRPr="00560F0E" w:rsidRDefault="00FF62BD" w:rsidP="008C1189">
      <w:pPr>
        <w:pStyle w:val="ListParagraph"/>
        <w:tabs>
          <w:tab w:val="left" w:pos="993"/>
        </w:tabs>
        <w:spacing w:line="240" w:lineRule="auto"/>
        <w:ind w:left="646"/>
        <w:rPr>
          <w:rFonts w:ascii="Times New Roman" w:hAnsi="Times New Roman" w:cs="Times New Roman"/>
          <w:sz w:val="24"/>
          <w:szCs w:val="24"/>
        </w:rPr>
      </w:pPr>
    </w:p>
    <w:p w14:paraId="58DFBEAE" w14:textId="30AD05F3" w:rsidR="00835A23" w:rsidRPr="00CB026D" w:rsidRDefault="00FF62BD" w:rsidP="00CB026D">
      <w:pPr>
        <w:pStyle w:val="ListParagraph"/>
        <w:numPr>
          <w:ilvl w:val="0"/>
          <w:numId w:val="1"/>
        </w:numPr>
        <w:tabs>
          <w:tab w:val="left" w:pos="993"/>
        </w:tabs>
        <w:spacing w:line="240" w:lineRule="auto"/>
        <w:ind w:left="646" w:hanging="644"/>
        <w:rPr>
          <w:rFonts w:ascii="Times New Roman" w:hAnsi="Times New Roman" w:cs="Times New Roman"/>
          <w:sz w:val="24"/>
          <w:szCs w:val="24"/>
        </w:rPr>
      </w:pPr>
      <w:r w:rsidRPr="00560F0E">
        <w:rPr>
          <w:rFonts w:ascii="Times New Roman" w:hAnsi="Times New Roman" w:cs="Times New Roman"/>
          <w:sz w:val="24"/>
          <w:szCs w:val="24"/>
        </w:rPr>
        <w:t xml:space="preserve">The </w:t>
      </w:r>
      <w:r w:rsidR="00E312B8">
        <w:rPr>
          <w:rFonts w:ascii="Times New Roman" w:hAnsi="Times New Roman" w:cs="Times New Roman"/>
          <w:sz w:val="24"/>
          <w:szCs w:val="24"/>
        </w:rPr>
        <w:t xml:space="preserve">requirements for authorisations, notifications and revocations made in the </w:t>
      </w:r>
      <w:r w:rsidRPr="00560F0E">
        <w:rPr>
          <w:rFonts w:ascii="Times New Roman" w:hAnsi="Times New Roman" w:cs="Times New Roman"/>
          <w:sz w:val="24"/>
          <w:szCs w:val="24"/>
        </w:rPr>
        <w:t>Principal Determination</w:t>
      </w:r>
      <w:r w:rsidR="00621FE5">
        <w:rPr>
          <w:rFonts w:ascii="Times New Roman" w:hAnsi="Times New Roman" w:cs="Times New Roman"/>
          <w:sz w:val="24"/>
          <w:szCs w:val="24"/>
        </w:rPr>
        <w:t xml:space="preserve"> </w:t>
      </w:r>
      <w:r w:rsidR="00E312B8">
        <w:rPr>
          <w:rFonts w:ascii="Times New Roman" w:hAnsi="Times New Roman" w:cs="Times New Roman"/>
          <w:sz w:val="24"/>
          <w:szCs w:val="24"/>
        </w:rPr>
        <w:t xml:space="preserve">are substantially </w:t>
      </w:r>
      <w:r w:rsidR="00032B2D">
        <w:rPr>
          <w:rFonts w:ascii="Times New Roman" w:hAnsi="Times New Roman" w:cs="Times New Roman"/>
          <w:sz w:val="24"/>
          <w:szCs w:val="24"/>
        </w:rPr>
        <w:t>similar to</w:t>
      </w:r>
      <w:r w:rsidR="00E312B8">
        <w:rPr>
          <w:rFonts w:ascii="Times New Roman" w:hAnsi="Times New Roman" w:cs="Times New Roman"/>
          <w:sz w:val="24"/>
          <w:szCs w:val="24"/>
        </w:rPr>
        <w:t xml:space="preserve"> those in </w:t>
      </w:r>
      <w:r w:rsidR="00621FE5">
        <w:rPr>
          <w:rFonts w:ascii="Times New Roman" w:hAnsi="Times New Roman" w:cs="Times New Roman"/>
          <w:sz w:val="24"/>
          <w:szCs w:val="24"/>
        </w:rPr>
        <w:t>the 201</w:t>
      </w:r>
      <w:r w:rsidR="00032B2D">
        <w:rPr>
          <w:rFonts w:ascii="Times New Roman" w:hAnsi="Times New Roman" w:cs="Times New Roman"/>
          <w:sz w:val="24"/>
          <w:szCs w:val="24"/>
        </w:rPr>
        <w:t>8</w:t>
      </w:r>
      <w:r w:rsidR="00621FE5">
        <w:rPr>
          <w:rFonts w:ascii="Times New Roman" w:hAnsi="Times New Roman" w:cs="Times New Roman"/>
          <w:sz w:val="24"/>
          <w:szCs w:val="24"/>
        </w:rPr>
        <w:t xml:space="preserve"> Determination with the exception of</w:t>
      </w:r>
      <w:r w:rsidRPr="00560F0E">
        <w:rPr>
          <w:rFonts w:ascii="Times New Roman" w:hAnsi="Times New Roman" w:cs="Times New Roman"/>
          <w:sz w:val="24"/>
          <w:szCs w:val="24"/>
        </w:rPr>
        <w:t xml:space="preserve"> </w:t>
      </w:r>
      <w:r w:rsidR="00B932F5">
        <w:rPr>
          <w:rFonts w:ascii="Times New Roman" w:hAnsi="Times New Roman" w:cs="Times New Roman"/>
          <w:sz w:val="24"/>
          <w:szCs w:val="24"/>
        </w:rPr>
        <w:t xml:space="preserve">changes </w:t>
      </w:r>
      <w:r w:rsidR="00032B2D">
        <w:rPr>
          <w:rFonts w:ascii="Times New Roman" w:hAnsi="Times New Roman" w:cs="Times New Roman"/>
          <w:sz w:val="24"/>
          <w:szCs w:val="24"/>
        </w:rPr>
        <w:t>to include requirements for authorisations under section</w:t>
      </w:r>
      <w:r w:rsidR="00525426">
        <w:rPr>
          <w:rFonts w:ascii="Times New Roman" w:hAnsi="Times New Roman" w:cs="Times New Roman"/>
          <w:sz w:val="24"/>
          <w:szCs w:val="24"/>
        </w:rPr>
        <w:t> </w:t>
      </w:r>
      <w:r w:rsidR="00032B2D">
        <w:rPr>
          <w:rFonts w:ascii="Times New Roman" w:hAnsi="Times New Roman" w:cs="Times New Roman"/>
          <w:sz w:val="24"/>
          <w:szCs w:val="24"/>
        </w:rPr>
        <w:t xml:space="preserve">178A of the TIA Act, and </w:t>
      </w:r>
      <w:r w:rsidR="0044094A">
        <w:rPr>
          <w:rFonts w:ascii="Times New Roman" w:hAnsi="Times New Roman" w:cs="Times New Roman"/>
          <w:sz w:val="24"/>
          <w:szCs w:val="24"/>
        </w:rPr>
        <w:t xml:space="preserve">adjustments to align requirements </w:t>
      </w:r>
      <w:r w:rsidR="002A77EC">
        <w:rPr>
          <w:rFonts w:ascii="Times New Roman" w:hAnsi="Times New Roman" w:cs="Times New Roman"/>
          <w:sz w:val="24"/>
          <w:szCs w:val="24"/>
        </w:rPr>
        <w:t>to</w:t>
      </w:r>
      <w:r w:rsidR="0044094A">
        <w:rPr>
          <w:rFonts w:ascii="Times New Roman" w:hAnsi="Times New Roman" w:cs="Times New Roman"/>
          <w:sz w:val="24"/>
          <w:szCs w:val="24"/>
        </w:rPr>
        <w:t xml:space="preserve"> </w:t>
      </w:r>
      <w:r w:rsidR="002A77EC">
        <w:rPr>
          <w:rFonts w:ascii="Times New Roman" w:hAnsi="Times New Roman" w:cs="Times New Roman"/>
          <w:sz w:val="24"/>
          <w:szCs w:val="24"/>
        </w:rPr>
        <w:t xml:space="preserve">the </w:t>
      </w:r>
      <w:r w:rsidR="0044094A">
        <w:rPr>
          <w:rFonts w:ascii="Times New Roman" w:hAnsi="Times New Roman" w:cs="Times New Roman"/>
          <w:sz w:val="24"/>
          <w:szCs w:val="24"/>
        </w:rPr>
        <w:t xml:space="preserve">operational </w:t>
      </w:r>
      <w:r w:rsidR="002A77EC">
        <w:rPr>
          <w:rFonts w:ascii="Times New Roman" w:hAnsi="Times New Roman" w:cs="Times New Roman"/>
          <w:sz w:val="24"/>
          <w:szCs w:val="24"/>
        </w:rPr>
        <w:t xml:space="preserve">environment and needs, such as </w:t>
      </w:r>
      <w:r w:rsidR="0044094A">
        <w:rPr>
          <w:rFonts w:ascii="Times New Roman" w:hAnsi="Times New Roman" w:cs="Times New Roman"/>
          <w:sz w:val="24"/>
          <w:szCs w:val="24"/>
        </w:rPr>
        <w:t>the potential for one authorisation seeking disclosure from more than one person</w:t>
      </w:r>
      <w:r w:rsidR="00481930">
        <w:rPr>
          <w:rFonts w:ascii="Times New Roman" w:hAnsi="Times New Roman" w:cs="Times New Roman"/>
          <w:sz w:val="24"/>
          <w:szCs w:val="24"/>
        </w:rPr>
        <w:t>.</w:t>
      </w:r>
    </w:p>
    <w:p w14:paraId="1AA310A6" w14:textId="77777777" w:rsidR="00FF62BD" w:rsidRPr="00560F0E" w:rsidRDefault="00FF62BD" w:rsidP="00AE443A">
      <w:pPr>
        <w:spacing w:line="240" w:lineRule="auto"/>
        <w:rPr>
          <w:rFonts w:ascii="Times New Roman" w:hAnsi="Times New Roman" w:cs="Times New Roman"/>
          <w:sz w:val="24"/>
          <w:szCs w:val="24"/>
          <w:u w:val="single"/>
        </w:rPr>
      </w:pPr>
      <w:r w:rsidRPr="00560F0E">
        <w:rPr>
          <w:rFonts w:ascii="Times New Roman" w:hAnsi="Times New Roman" w:cs="Times New Roman"/>
          <w:sz w:val="24"/>
          <w:szCs w:val="24"/>
          <w:u w:val="single"/>
        </w:rPr>
        <w:t xml:space="preserve">Operation </w:t>
      </w:r>
    </w:p>
    <w:p w14:paraId="7CC2784F" w14:textId="77777777" w:rsidR="00FF62BD" w:rsidRPr="00560F0E" w:rsidRDefault="00FF62BD" w:rsidP="004D3DA0">
      <w:pPr>
        <w:pStyle w:val="ListParagraph"/>
        <w:numPr>
          <w:ilvl w:val="0"/>
          <w:numId w:val="1"/>
        </w:numPr>
        <w:tabs>
          <w:tab w:val="left" w:pos="993"/>
        </w:tabs>
        <w:spacing w:line="240" w:lineRule="auto"/>
        <w:ind w:left="646" w:hanging="644"/>
        <w:rPr>
          <w:rFonts w:ascii="Times New Roman" w:hAnsi="Times New Roman" w:cs="Times New Roman"/>
          <w:sz w:val="24"/>
          <w:szCs w:val="24"/>
        </w:rPr>
      </w:pPr>
      <w:r w:rsidRPr="00560F0E">
        <w:rPr>
          <w:rFonts w:ascii="Times New Roman" w:hAnsi="Times New Roman" w:cs="Times New Roman"/>
          <w:sz w:val="24"/>
          <w:szCs w:val="24"/>
        </w:rPr>
        <w:t xml:space="preserve">The Principal Determination </w:t>
      </w:r>
      <w:r w:rsidR="00C03DA2">
        <w:rPr>
          <w:rFonts w:ascii="Times New Roman" w:hAnsi="Times New Roman" w:cs="Times New Roman"/>
          <w:sz w:val="24"/>
          <w:szCs w:val="24"/>
        </w:rPr>
        <w:t>is</w:t>
      </w:r>
      <w:r w:rsidRPr="00560F0E">
        <w:rPr>
          <w:rFonts w:ascii="Times New Roman" w:hAnsi="Times New Roman" w:cs="Times New Roman"/>
          <w:sz w:val="24"/>
          <w:szCs w:val="24"/>
        </w:rPr>
        <w:t xml:space="preserve"> necessary to: </w:t>
      </w:r>
    </w:p>
    <w:p w14:paraId="4B8E5DE4" w14:textId="78CA0740" w:rsidR="00F47A25" w:rsidRDefault="005F0AA1" w:rsidP="00AE443A">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include </w:t>
      </w:r>
      <w:r w:rsidR="00F47A25">
        <w:rPr>
          <w:rFonts w:ascii="Times New Roman" w:hAnsi="Times New Roman" w:cs="Times New Roman"/>
          <w:sz w:val="24"/>
          <w:szCs w:val="24"/>
        </w:rPr>
        <w:t xml:space="preserve">requirements for </w:t>
      </w:r>
      <w:r>
        <w:rPr>
          <w:rFonts w:ascii="Times New Roman" w:hAnsi="Times New Roman" w:cs="Times New Roman"/>
          <w:sz w:val="24"/>
          <w:szCs w:val="24"/>
        </w:rPr>
        <w:t xml:space="preserve">authorisations under section 178A of the </w:t>
      </w:r>
      <w:r w:rsidR="00F47A25">
        <w:rPr>
          <w:rFonts w:ascii="Times New Roman" w:hAnsi="Times New Roman" w:cs="Times New Roman"/>
          <w:sz w:val="24"/>
          <w:szCs w:val="24"/>
        </w:rPr>
        <w:t xml:space="preserve">TIA </w:t>
      </w:r>
      <w:r>
        <w:rPr>
          <w:rFonts w:ascii="Times New Roman" w:hAnsi="Times New Roman" w:cs="Times New Roman"/>
          <w:sz w:val="24"/>
          <w:szCs w:val="24"/>
        </w:rPr>
        <w:t>Act</w:t>
      </w:r>
    </w:p>
    <w:p w14:paraId="2FB4E2F3" w14:textId="28B632FA" w:rsidR="00567C6D" w:rsidRDefault="00567C6D" w:rsidP="00AE443A">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adapt the requirements to the operational </w:t>
      </w:r>
      <w:r w:rsidR="002A77EC">
        <w:rPr>
          <w:rFonts w:ascii="Times New Roman" w:hAnsi="Times New Roman" w:cs="Times New Roman"/>
          <w:sz w:val="24"/>
          <w:szCs w:val="24"/>
        </w:rPr>
        <w:t xml:space="preserve">environment and </w:t>
      </w:r>
      <w:r>
        <w:rPr>
          <w:rFonts w:ascii="Times New Roman" w:hAnsi="Times New Roman" w:cs="Times New Roman"/>
          <w:sz w:val="24"/>
          <w:szCs w:val="24"/>
        </w:rPr>
        <w:t>needs of service providers and investigation/law enforcement agencies,</w:t>
      </w:r>
      <w:r w:rsidR="005B742A">
        <w:rPr>
          <w:rFonts w:ascii="Times New Roman" w:hAnsi="Times New Roman" w:cs="Times New Roman"/>
          <w:sz w:val="24"/>
          <w:szCs w:val="24"/>
        </w:rPr>
        <w:t xml:space="preserve"> and</w:t>
      </w:r>
    </w:p>
    <w:p w14:paraId="6653C015" w14:textId="7985297E" w:rsidR="00FF62BD" w:rsidRPr="005B742A" w:rsidRDefault="00567C6D" w:rsidP="005B742A">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reinforce the legal basis for the requirements, following machinery of government changes affecting the Communications Access Co</w:t>
      </w:r>
      <w:r w:rsidR="00525426">
        <w:rPr>
          <w:rFonts w:ascii="Times New Roman" w:hAnsi="Times New Roman" w:cs="Times New Roman"/>
          <w:sz w:val="24"/>
          <w:szCs w:val="24"/>
        </w:rPr>
        <w:t>-</w:t>
      </w:r>
      <w:r>
        <w:rPr>
          <w:rFonts w:ascii="Times New Roman" w:hAnsi="Times New Roman" w:cs="Times New Roman"/>
          <w:sz w:val="24"/>
          <w:szCs w:val="24"/>
        </w:rPr>
        <w:t>ordinator</w:t>
      </w:r>
      <w:r w:rsidR="005B742A">
        <w:rPr>
          <w:rFonts w:ascii="Times New Roman" w:hAnsi="Times New Roman" w:cs="Times New Roman"/>
          <w:sz w:val="24"/>
          <w:szCs w:val="24"/>
        </w:rPr>
        <w:t>.</w:t>
      </w:r>
    </w:p>
    <w:p w14:paraId="35FCD187" w14:textId="77777777" w:rsidR="00FF62BD" w:rsidRPr="00560F0E" w:rsidRDefault="00FF62BD" w:rsidP="00AE443A">
      <w:pPr>
        <w:spacing w:line="240" w:lineRule="auto"/>
        <w:rPr>
          <w:rFonts w:ascii="Times New Roman" w:hAnsi="Times New Roman" w:cs="Times New Roman"/>
          <w:b/>
          <w:sz w:val="24"/>
          <w:szCs w:val="24"/>
        </w:rPr>
      </w:pPr>
      <w:r w:rsidRPr="00560F0E">
        <w:rPr>
          <w:rFonts w:ascii="Times New Roman" w:hAnsi="Times New Roman" w:cs="Times New Roman"/>
          <w:b/>
          <w:sz w:val="24"/>
          <w:szCs w:val="24"/>
        </w:rPr>
        <w:t xml:space="preserve">Financial Impact Statement </w:t>
      </w:r>
    </w:p>
    <w:p w14:paraId="3EFEF119" w14:textId="77777777" w:rsidR="00FF62BD" w:rsidRDefault="00FF62BD" w:rsidP="00AE443A">
      <w:pPr>
        <w:pStyle w:val="ListParagraph"/>
        <w:numPr>
          <w:ilvl w:val="0"/>
          <w:numId w:val="1"/>
        </w:numPr>
        <w:tabs>
          <w:tab w:val="left" w:pos="993"/>
        </w:tabs>
        <w:spacing w:line="240" w:lineRule="auto"/>
        <w:ind w:hanging="644"/>
        <w:rPr>
          <w:rFonts w:ascii="Times New Roman" w:hAnsi="Times New Roman" w:cs="Times New Roman"/>
          <w:sz w:val="24"/>
          <w:szCs w:val="24"/>
        </w:rPr>
      </w:pPr>
      <w:r w:rsidRPr="00560F0E">
        <w:rPr>
          <w:rFonts w:ascii="Times New Roman" w:hAnsi="Times New Roman" w:cs="Times New Roman"/>
          <w:sz w:val="24"/>
          <w:szCs w:val="24"/>
        </w:rPr>
        <w:t xml:space="preserve">The Principal Determination </w:t>
      </w:r>
      <w:r w:rsidR="00C3505A">
        <w:rPr>
          <w:rFonts w:ascii="Times New Roman" w:hAnsi="Times New Roman" w:cs="Times New Roman"/>
          <w:sz w:val="24"/>
          <w:szCs w:val="24"/>
        </w:rPr>
        <w:t>d</w:t>
      </w:r>
      <w:r w:rsidR="00C03DA2">
        <w:rPr>
          <w:rFonts w:ascii="Times New Roman" w:hAnsi="Times New Roman" w:cs="Times New Roman"/>
          <w:sz w:val="24"/>
          <w:szCs w:val="24"/>
        </w:rPr>
        <w:t>oes</w:t>
      </w:r>
      <w:r w:rsidRPr="00560F0E">
        <w:rPr>
          <w:rFonts w:ascii="Times New Roman" w:hAnsi="Times New Roman" w:cs="Times New Roman"/>
          <w:sz w:val="24"/>
          <w:szCs w:val="24"/>
        </w:rPr>
        <w:t xml:space="preserve"> not have a financial impact</w:t>
      </w:r>
      <w:r w:rsidR="003B3FF2">
        <w:rPr>
          <w:rFonts w:ascii="Times New Roman" w:hAnsi="Times New Roman" w:cs="Times New Roman"/>
          <w:sz w:val="24"/>
          <w:szCs w:val="24"/>
        </w:rPr>
        <w:t>.</w:t>
      </w:r>
      <w:r w:rsidRPr="00560F0E">
        <w:rPr>
          <w:rFonts w:ascii="Times New Roman" w:hAnsi="Times New Roman" w:cs="Times New Roman"/>
          <w:sz w:val="24"/>
          <w:szCs w:val="24"/>
        </w:rPr>
        <w:t xml:space="preserve"> </w:t>
      </w:r>
    </w:p>
    <w:p w14:paraId="557429BE" w14:textId="77777777" w:rsidR="00D25A86" w:rsidRPr="00D25A86" w:rsidRDefault="00D25A86" w:rsidP="00D25A86">
      <w:pPr>
        <w:tabs>
          <w:tab w:val="left" w:pos="993"/>
        </w:tabs>
        <w:spacing w:line="240" w:lineRule="auto"/>
        <w:rPr>
          <w:rFonts w:ascii="Times New Roman" w:hAnsi="Times New Roman" w:cs="Times New Roman"/>
          <w:b/>
          <w:sz w:val="24"/>
          <w:szCs w:val="24"/>
        </w:rPr>
      </w:pPr>
      <w:r w:rsidRPr="00D25A86">
        <w:rPr>
          <w:rFonts w:ascii="Times New Roman" w:hAnsi="Times New Roman" w:cs="Times New Roman"/>
          <w:b/>
          <w:sz w:val="24"/>
          <w:szCs w:val="24"/>
        </w:rPr>
        <w:t>Regulation Impact Statement</w:t>
      </w:r>
    </w:p>
    <w:p w14:paraId="647239CF" w14:textId="1D3F8EA9" w:rsidR="00D25A86" w:rsidRPr="00CA4DEC" w:rsidRDefault="00D25A86" w:rsidP="00AE443A">
      <w:pPr>
        <w:pStyle w:val="ListParagraph"/>
        <w:numPr>
          <w:ilvl w:val="0"/>
          <w:numId w:val="1"/>
        </w:numPr>
        <w:tabs>
          <w:tab w:val="left" w:pos="993"/>
        </w:tabs>
        <w:spacing w:line="240" w:lineRule="auto"/>
        <w:ind w:hanging="644"/>
        <w:rPr>
          <w:rFonts w:ascii="Times New Roman" w:hAnsi="Times New Roman" w:cs="Times New Roman"/>
          <w:sz w:val="24"/>
          <w:szCs w:val="24"/>
        </w:rPr>
      </w:pPr>
      <w:r>
        <w:rPr>
          <w:rFonts w:ascii="Times New Roman" w:hAnsi="Times New Roman" w:cs="Times New Roman"/>
          <w:sz w:val="24"/>
          <w:szCs w:val="24"/>
        </w:rPr>
        <w:t xml:space="preserve">The Office </w:t>
      </w:r>
      <w:r w:rsidR="00E50C2A">
        <w:rPr>
          <w:rFonts w:ascii="Times New Roman" w:hAnsi="Times New Roman" w:cs="Times New Roman"/>
          <w:sz w:val="24"/>
          <w:szCs w:val="24"/>
        </w:rPr>
        <w:t>Impact Analysis</w:t>
      </w:r>
      <w:r>
        <w:rPr>
          <w:rFonts w:ascii="Times New Roman" w:hAnsi="Times New Roman" w:cs="Times New Roman"/>
          <w:sz w:val="24"/>
          <w:szCs w:val="24"/>
        </w:rPr>
        <w:t xml:space="preserve"> </w:t>
      </w:r>
      <w:r w:rsidR="00C03DA2">
        <w:rPr>
          <w:rFonts w:ascii="Times New Roman" w:hAnsi="Times New Roman" w:cs="Times New Roman"/>
          <w:sz w:val="24"/>
          <w:szCs w:val="24"/>
        </w:rPr>
        <w:t xml:space="preserve">has </w:t>
      </w:r>
      <w:r>
        <w:rPr>
          <w:rFonts w:ascii="Times New Roman" w:hAnsi="Times New Roman" w:cs="Times New Roman"/>
          <w:sz w:val="24"/>
          <w:szCs w:val="24"/>
        </w:rPr>
        <w:t xml:space="preserve">advised that a Regulation Impact Statement </w:t>
      </w:r>
      <w:r w:rsidR="00C3505A">
        <w:rPr>
          <w:rFonts w:ascii="Times New Roman" w:hAnsi="Times New Roman" w:cs="Times New Roman"/>
          <w:sz w:val="24"/>
          <w:szCs w:val="24"/>
        </w:rPr>
        <w:t>was</w:t>
      </w:r>
      <w:r>
        <w:rPr>
          <w:rFonts w:ascii="Times New Roman" w:hAnsi="Times New Roman" w:cs="Times New Roman"/>
          <w:sz w:val="24"/>
          <w:szCs w:val="24"/>
        </w:rPr>
        <w:t xml:space="preserve"> not required</w:t>
      </w:r>
      <w:r w:rsidR="0015170B">
        <w:rPr>
          <w:rFonts w:ascii="Times New Roman" w:hAnsi="Times New Roman" w:cs="Times New Roman"/>
          <w:sz w:val="24"/>
          <w:szCs w:val="24"/>
        </w:rPr>
        <w:t xml:space="preserve"> (</w:t>
      </w:r>
      <w:r w:rsidR="00E50C2A">
        <w:rPr>
          <w:rFonts w:ascii="Times New Roman" w:hAnsi="Times New Roman" w:cs="Times New Roman"/>
          <w:sz w:val="24"/>
          <w:szCs w:val="24"/>
        </w:rPr>
        <w:t>OIA</w:t>
      </w:r>
      <w:r w:rsidR="009B77A4">
        <w:rPr>
          <w:rFonts w:ascii="Times New Roman" w:hAnsi="Times New Roman" w:cs="Times New Roman"/>
          <w:sz w:val="24"/>
          <w:szCs w:val="24"/>
        </w:rPr>
        <w:t xml:space="preserve"> </w:t>
      </w:r>
      <w:r w:rsidR="009B77A4" w:rsidRPr="00CA4DEC">
        <w:rPr>
          <w:rFonts w:ascii="Times New Roman" w:hAnsi="Times New Roman" w:cs="Times New Roman"/>
          <w:sz w:val="24"/>
          <w:szCs w:val="24"/>
        </w:rPr>
        <w:t xml:space="preserve">Reference </w:t>
      </w:r>
      <w:r w:rsidR="00CA4DEC" w:rsidRPr="00CA4DEC">
        <w:rPr>
          <w:rFonts w:ascii="Times New Roman" w:hAnsi="Times New Roman" w:cs="Times New Roman"/>
          <w:sz w:val="24"/>
          <w:szCs w:val="24"/>
        </w:rPr>
        <w:t>OIA23-045656</w:t>
      </w:r>
      <w:r w:rsidR="0015170B" w:rsidRPr="00CA4DEC">
        <w:rPr>
          <w:rFonts w:ascii="Times New Roman" w:hAnsi="Times New Roman" w:cs="Times New Roman"/>
          <w:sz w:val="24"/>
          <w:szCs w:val="24"/>
        </w:rPr>
        <w:t>)</w:t>
      </w:r>
      <w:r w:rsidRPr="00CA4DEC">
        <w:rPr>
          <w:rFonts w:ascii="Times New Roman" w:hAnsi="Times New Roman" w:cs="Times New Roman"/>
          <w:sz w:val="24"/>
          <w:szCs w:val="24"/>
        </w:rPr>
        <w:t>.</w:t>
      </w:r>
      <w:r w:rsidR="00C313CA" w:rsidRPr="00CA4DEC">
        <w:rPr>
          <w:rFonts w:ascii="Times New Roman" w:hAnsi="Times New Roman" w:cs="Times New Roman"/>
          <w:sz w:val="24"/>
          <w:szCs w:val="24"/>
        </w:rPr>
        <w:t xml:space="preserve"> </w:t>
      </w:r>
    </w:p>
    <w:p w14:paraId="0D20A799" w14:textId="77777777" w:rsidR="009B77A4" w:rsidRDefault="009B77A4" w:rsidP="00AE443A">
      <w:pPr>
        <w:spacing w:line="240" w:lineRule="auto"/>
        <w:rPr>
          <w:rFonts w:ascii="Times New Roman" w:hAnsi="Times New Roman" w:cs="Times New Roman"/>
          <w:b/>
          <w:sz w:val="24"/>
          <w:szCs w:val="24"/>
        </w:rPr>
      </w:pPr>
      <w:r>
        <w:rPr>
          <w:rFonts w:ascii="Times New Roman" w:hAnsi="Times New Roman" w:cs="Times New Roman"/>
          <w:b/>
          <w:sz w:val="24"/>
          <w:szCs w:val="24"/>
        </w:rPr>
        <w:t>Statement of Compatibility with Human Rights</w:t>
      </w:r>
    </w:p>
    <w:p w14:paraId="38CA538D" w14:textId="77777777" w:rsidR="009B77A4" w:rsidRPr="00A927DF" w:rsidRDefault="009B77A4" w:rsidP="00A927DF">
      <w:pPr>
        <w:pStyle w:val="ListParagraph"/>
        <w:numPr>
          <w:ilvl w:val="0"/>
          <w:numId w:val="1"/>
        </w:numPr>
        <w:tabs>
          <w:tab w:val="left" w:pos="993"/>
        </w:tabs>
        <w:spacing w:line="240" w:lineRule="auto"/>
        <w:ind w:hanging="644"/>
        <w:rPr>
          <w:rFonts w:ascii="Times New Roman" w:hAnsi="Times New Roman" w:cs="Times New Roman"/>
          <w:sz w:val="24"/>
          <w:szCs w:val="24"/>
        </w:rPr>
      </w:pPr>
      <w:r w:rsidRPr="00A927DF">
        <w:rPr>
          <w:rFonts w:ascii="Times New Roman" w:hAnsi="Times New Roman" w:cs="Times New Roman"/>
          <w:sz w:val="24"/>
          <w:szCs w:val="24"/>
        </w:rPr>
        <w:t>Under section 42</w:t>
      </w:r>
      <w:r>
        <w:rPr>
          <w:rFonts w:ascii="Times New Roman" w:hAnsi="Times New Roman" w:cs="Times New Roman"/>
          <w:b/>
          <w:sz w:val="24"/>
          <w:szCs w:val="24"/>
        </w:rPr>
        <w:t xml:space="preserve"> </w:t>
      </w:r>
      <w:r w:rsidRPr="00A927DF">
        <w:rPr>
          <w:rFonts w:ascii="Times New Roman" w:hAnsi="Times New Roman" w:cs="Times New Roman"/>
          <w:sz w:val="24"/>
          <w:szCs w:val="24"/>
        </w:rPr>
        <w:t xml:space="preserve">of the </w:t>
      </w:r>
      <w:r w:rsidRPr="00A927DF">
        <w:rPr>
          <w:rFonts w:ascii="Times New Roman" w:hAnsi="Times New Roman" w:cs="Times New Roman"/>
          <w:i/>
          <w:sz w:val="24"/>
          <w:szCs w:val="24"/>
        </w:rPr>
        <w:t>Legislation Act 2003</w:t>
      </w:r>
      <w:r w:rsidRPr="00A927DF">
        <w:rPr>
          <w:rFonts w:ascii="Times New Roman" w:hAnsi="Times New Roman" w:cs="Times New Roman"/>
          <w:sz w:val="24"/>
          <w:szCs w:val="24"/>
        </w:rPr>
        <w:t xml:space="preserve">, the Principal Determination is subject to disallowance and therefore a Statement of Compatibility with Human Rights is included at </w:t>
      </w:r>
      <w:r w:rsidRPr="00A927DF">
        <w:rPr>
          <w:rFonts w:ascii="Times New Roman" w:hAnsi="Times New Roman" w:cs="Times New Roman"/>
          <w:sz w:val="24"/>
          <w:szCs w:val="24"/>
          <w:u w:val="single"/>
        </w:rPr>
        <w:t>Attachment A</w:t>
      </w:r>
      <w:r w:rsidRPr="00A927DF">
        <w:rPr>
          <w:rFonts w:ascii="Times New Roman" w:hAnsi="Times New Roman" w:cs="Times New Roman"/>
          <w:sz w:val="24"/>
          <w:szCs w:val="24"/>
        </w:rPr>
        <w:t xml:space="preserve">. </w:t>
      </w:r>
    </w:p>
    <w:p w14:paraId="44F42030" w14:textId="77777777" w:rsidR="00FF62BD" w:rsidRPr="00560F0E" w:rsidRDefault="0015170B" w:rsidP="00AE443A">
      <w:pPr>
        <w:spacing w:line="240" w:lineRule="auto"/>
        <w:rPr>
          <w:rFonts w:ascii="Times New Roman" w:hAnsi="Times New Roman" w:cs="Times New Roman"/>
          <w:b/>
          <w:sz w:val="24"/>
          <w:szCs w:val="24"/>
        </w:rPr>
      </w:pPr>
      <w:r>
        <w:rPr>
          <w:rFonts w:ascii="Times New Roman" w:hAnsi="Times New Roman" w:cs="Times New Roman"/>
          <w:b/>
          <w:sz w:val="24"/>
          <w:szCs w:val="24"/>
        </w:rPr>
        <w:t>Consultation</w:t>
      </w:r>
    </w:p>
    <w:p w14:paraId="6483B4B7" w14:textId="3003EA2F" w:rsidR="00FF62BD" w:rsidRPr="00560F0E" w:rsidRDefault="00FF62BD" w:rsidP="00AE443A">
      <w:pPr>
        <w:pStyle w:val="ListParagraph"/>
        <w:numPr>
          <w:ilvl w:val="0"/>
          <w:numId w:val="1"/>
        </w:numPr>
        <w:tabs>
          <w:tab w:val="left" w:pos="993"/>
        </w:tabs>
        <w:spacing w:line="240" w:lineRule="auto"/>
        <w:ind w:hanging="644"/>
        <w:rPr>
          <w:rFonts w:ascii="Times New Roman" w:hAnsi="Times New Roman" w:cs="Times New Roman"/>
          <w:sz w:val="24"/>
          <w:szCs w:val="24"/>
        </w:rPr>
      </w:pPr>
      <w:r w:rsidRPr="00560F0E">
        <w:rPr>
          <w:rFonts w:ascii="Times New Roman" w:hAnsi="Times New Roman" w:cs="Times New Roman"/>
          <w:sz w:val="24"/>
          <w:szCs w:val="24"/>
        </w:rPr>
        <w:t xml:space="preserve">Subsection 183(3) of the </w:t>
      </w:r>
      <w:r w:rsidR="00561F5F">
        <w:rPr>
          <w:rFonts w:ascii="Times New Roman" w:hAnsi="Times New Roman" w:cs="Times New Roman"/>
          <w:sz w:val="24"/>
          <w:szCs w:val="24"/>
        </w:rPr>
        <w:t xml:space="preserve">TIA </w:t>
      </w:r>
      <w:r w:rsidRPr="00560F0E">
        <w:rPr>
          <w:rFonts w:ascii="Times New Roman" w:hAnsi="Times New Roman" w:cs="Times New Roman"/>
          <w:sz w:val="24"/>
          <w:szCs w:val="24"/>
        </w:rPr>
        <w:t xml:space="preserve">Act provides that the </w:t>
      </w:r>
      <w:r w:rsidR="005B742A">
        <w:rPr>
          <w:rFonts w:ascii="Times New Roman" w:hAnsi="Times New Roman" w:cs="Times New Roman"/>
          <w:sz w:val="24"/>
          <w:szCs w:val="24"/>
        </w:rPr>
        <w:t xml:space="preserve">Communications Access </w:t>
      </w:r>
      <w:r w:rsidRPr="00560F0E">
        <w:rPr>
          <w:rFonts w:ascii="Times New Roman" w:hAnsi="Times New Roman" w:cs="Times New Roman"/>
          <w:sz w:val="24"/>
          <w:szCs w:val="24"/>
        </w:rPr>
        <w:t>C</w:t>
      </w:r>
      <w:r w:rsidR="003B3FF2">
        <w:rPr>
          <w:rFonts w:ascii="Times New Roman" w:hAnsi="Times New Roman" w:cs="Times New Roman"/>
          <w:sz w:val="24"/>
          <w:szCs w:val="24"/>
        </w:rPr>
        <w:t>o</w:t>
      </w:r>
      <w:r w:rsidR="00525426">
        <w:rPr>
          <w:rFonts w:ascii="Times New Roman" w:hAnsi="Times New Roman" w:cs="Times New Roman"/>
          <w:sz w:val="24"/>
          <w:szCs w:val="24"/>
        </w:rPr>
        <w:noBreakHyphen/>
      </w:r>
      <w:r w:rsidR="003B3FF2">
        <w:rPr>
          <w:rFonts w:ascii="Times New Roman" w:hAnsi="Times New Roman" w:cs="Times New Roman"/>
          <w:sz w:val="24"/>
          <w:szCs w:val="24"/>
        </w:rPr>
        <w:t xml:space="preserve">ordinator </w:t>
      </w:r>
      <w:r w:rsidRPr="00560F0E">
        <w:rPr>
          <w:rFonts w:ascii="Times New Roman" w:hAnsi="Times New Roman" w:cs="Times New Roman"/>
          <w:sz w:val="24"/>
          <w:szCs w:val="24"/>
        </w:rPr>
        <w:t xml:space="preserve">must consult with the Australian Communications and Media Authority and the Information Commissioner </w:t>
      </w:r>
      <w:r w:rsidR="00823FE7">
        <w:rPr>
          <w:rFonts w:ascii="Times New Roman" w:hAnsi="Times New Roman" w:cs="Times New Roman"/>
          <w:sz w:val="24"/>
          <w:szCs w:val="24"/>
        </w:rPr>
        <w:t xml:space="preserve">in relation to </w:t>
      </w:r>
      <w:r w:rsidR="00060C0C">
        <w:rPr>
          <w:rFonts w:ascii="Times New Roman" w:hAnsi="Times New Roman" w:cs="Times New Roman"/>
          <w:sz w:val="24"/>
          <w:szCs w:val="24"/>
        </w:rPr>
        <w:t xml:space="preserve">privacy </w:t>
      </w:r>
      <w:r w:rsidR="00061076">
        <w:rPr>
          <w:rFonts w:ascii="Times New Roman" w:hAnsi="Times New Roman" w:cs="Times New Roman"/>
          <w:sz w:val="24"/>
          <w:szCs w:val="24"/>
        </w:rPr>
        <w:t>functions</w:t>
      </w:r>
      <w:r w:rsidR="00017AF9">
        <w:rPr>
          <w:rFonts w:ascii="Times New Roman" w:hAnsi="Times New Roman" w:cs="Times New Roman"/>
          <w:sz w:val="24"/>
          <w:szCs w:val="24"/>
        </w:rPr>
        <w:t xml:space="preserve"> before making a determination under subsection 183(2)</w:t>
      </w:r>
      <w:r w:rsidR="00481930">
        <w:rPr>
          <w:rFonts w:ascii="Times New Roman" w:hAnsi="Times New Roman" w:cs="Times New Roman"/>
          <w:sz w:val="24"/>
          <w:szCs w:val="24"/>
        </w:rPr>
        <w:t xml:space="preserve"> of the TIA Act</w:t>
      </w:r>
      <w:r w:rsidR="00017AF9">
        <w:rPr>
          <w:rFonts w:ascii="Times New Roman" w:hAnsi="Times New Roman" w:cs="Times New Roman"/>
          <w:sz w:val="24"/>
          <w:szCs w:val="24"/>
        </w:rPr>
        <w:t>.</w:t>
      </w:r>
      <w:r w:rsidRPr="00560F0E">
        <w:rPr>
          <w:rFonts w:ascii="Times New Roman" w:hAnsi="Times New Roman" w:cs="Times New Roman"/>
          <w:sz w:val="24"/>
          <w:szCs w:val="24"/>
        </w:rPr>
        <w:t xml:space="preserve"> The C</w:t>
      </w:r>
      <w:r w:rsidR="003B3FF2">
        <w:rPr>
          <w:rFonts w:ascii="Times New Roman" w:hAnsi="Times New Roman" w:cs="Times New Roman"/>
          <w:sz w:val="24"/>
          <w:szCs w:val="24"/>
        </w:rPr>
        <w:t>o</w:t>
      </w:r>
      <w:r w:rsidR="00525426">
        <w:rPr>
          <w:rFonts w:ascii="Times New Roman" w:hAnsi="Times New Roman" w:cs="Times New Roman"/>
          <w:sz w:val="24"/>
          <w:szCs w:val="24"/>
        </w:rPr>
        <w:t>-</w:t>
      </w:r>
      <w:r w:rsidR="003B3FF2">
        <w:rPr>
          <w:rFonts w:ascii="Times New Roman" w:hAnsi="Times New Roman" w:cs="Times New Roman"/>
          <w:sz w:val="24"/>
          <w:szCs w:val="24"/>
        </w:rPr>
        <w:t>ordinator</w:t>
      </w:r>
      <w:r w:rsidRPr="00560F0E">
        <w:rPr>
          <w:rFonts w:ascii="Times New Roman" w:hAnsi="Times New Roman" w:cs="Times New Roman"/>
          <w:sz w:val="24"/>
          <w:szCs w:val="24"/>
        </w:rPr>
        <w:t xml:space="preserve"> consulted with </w:t>
      </w:r>
      <w:r w:rsidR="005B742A" w:rsidRPr="00560F0E">
        <w:rPr>
          <w:rFonts w:ascii="Times New Roman" w:hAnsi="Times New Roman" w:cs="Times New Roman"/>
          <w:sz w:val="24"/>
          <w:szCs w:val="24"/>
        </w:rPr>
        <w:t>the Australian Communications and Media Authority and the</w:t>
      </w:r>
      <w:r w:rsidR="005B742A">
        <w:rPr>
          <w:rFonts w:ascii="Times New Roman" w:hAnsi="Times New Roman" w:cs="Times New Roman"/>
          <w:sz w:val="24"/>
          <w:szCs w:val="24"/>
        </w:rPr>
        <w:t xml:space="preserve"> Office of the Australian</w:t>
      </w:r>
      <w:r w:rsidR="005B742A" w:rsidRPr="00560F0E">
        <w:rPr>
          <w:rFonts w:ascii="Times New Roman" w:hAnsi="Times New Roman" w:cs="Times New Roman"/>
          <w:sz w:val="24"/>
          <w:szCs w:val="24"/>
        </w:rPr>
        <w:t xml:space="preserve"> Information Commissioner </w:t>
      </w:r>
      <w:r w:rsidR="00910A92">
        <w:rPr>
          <w:rFonts w:ascii="Times New Roman" w:hAnsi="Times New Roman" w:cs="Times New Roman"/>
          <w:sz w:val="24"/>
          <w:szCs w:val="24"/>
        </w:rPr>
        <w:t xml:space="preserve">in </w:t>
      </w:r>
      <w:r w:rsidR="00E50C2A">
        <w:rPr>
          <w:rFonts w:ascii="Times New Roman" w:hAnsi="Times New Roman" w:cs="Times New Roman"/>
          <w:sz w:val="24"/>
          <w:szCs w:val="24"/>
        </w:rPr>
        <w:t>March 2023</w:t>
      </w:r>
      <w:r w:rsidR="00910A92">
        <w:rPr>
          <w:rFonts w:ascii="Times New Roman" w:hAnsi="Times New Roman" w:cs="Times New Roman"/>
          <w:sz w:val="24"/>
          <w:szCs w:val="24"/>
        </w:rPr>
        <w:t xml:space="preserve"> </w:t>
      </w:r>
      <w:r w:rsidRPr="00560F0E">
        <w:rPr>
          <w:rFonts w:ascii="Times New Roman" w:hAnsi="Times New Roman" w:cs="Times New Roman"/>
          <w:sz w:val="24"/>
          <w:szCs w:val="24"/>
        </w:rPr>
        <w:t xml:space="preserve">and </w:t>
      </w:r>
      <w:r w:rsidR="00C3505A">
        <w:rPr>
          <w:rFonts w:ascii="Times New Roman" w:hAnsi="Times New Roman" w:cs="Times New Roman"/>
          <w:sz w:val="24"/>
          <w:szCs w:val="24"/>
        </w:rPr>
        <w:t>took</w:t>
      </w:r>
      <w:r w:rsidRPr="00560F0E">
        <w:rPr>
          <w:rFonts w:ascii="Times New Roman" w:hAnsi="Times New Roman" w:cs="Times New Roman"/>
          <w:sz w:val="24"/>
          <w:szCs w:val="24"/>
        </w:rPr>
        <w:t xml:space="preserve"> their </w:t>
      </w:r>
      <w:r w:rsidR="005B742A">
        <w:rPr>
          <w:rFonts w:ascii="Times New Roman" w:hAnsi="Times New Roman" w:cs="Times New Roman"/>
          <w:sz w:val="24"/>
          <w:szCs w:val="24"/>
        </w:rPr>
        <w:t>view</w:t>
      </w:r>
      <w:r w:rsidRPr="00560F0E">
        <w:rPr>
          <w:rFonts w:ascii="Times New Roman" w:hAnsi="Times New Roman" w:cs="Times New Roman"/>
          <w:sz w:val="24"/>
          <w:szCs w:val="24"/>
        </w:rPr>
        <w:t xml:space="preserve">s into account prior to making the </w:t>
      </w:r>
      <w:r w:rsidR="00823FE7">
        <w:rPr>
          <w:rFonts w:ascii="Times New Roman" w:hAnsi="Times New Roman" w:cs="Times New Roman"/>
          <w:sz w:val="24"/>
          <w:szCs w:val="24"/>
        </w:rPr>
        <w:t xml:space="preserve">Principal </w:t>
      </w:r>
      <w:r w:rsidRPr="00560F0E">
        <w:rPr>
          <w:rFonts w:ascii="Times New Roman" w:hAnsi="Times New Roman" w:cs="Times New Roman"/>
          <w:sz w:val="24"/>
          <w:szCs w:val="24"/>
        </w:rPr>
        <w:t xml:space="preserve">Determination. </w:t>
      </w:r>
      <w:r w:rsidR="00E50C2A">
        <w:rPr>
          <w:rFonts w:ascii="Times New Roman" w:hAnsi="Times New Roman" w:cs="Times New Roman"/>
          <w:sz w:val="24"/>
          <w:szCs w:val="24"/>
        </w:rPr>
        <w:t xml:space="preserve">The Commonwealth Ombudsman was also consulted. </w:t>
      </w:r>
      <w:r w:rsidR="00B514D7">
        <w:rPr>
          <w:rFonts w:ascii="Times New Roman" w:hAnsi="Times New Roman" w:cs="Times New Roman"/>
          <w:sz w:val="24"/>
          <w:szCs w:val="24"/>
        </w:rPr>
        <w:t>No significant issues were raised during this consultation.</w:t>
      </w:r>
    </w:p>
    <w:p w14:paraId="2BB8C42C" w14:textId="77777777" w:rsidR="00062427" w:rsidRPr="00A31163" w:rsidRDefault="00E312B8" w:rsidP="00A927DF">
      <w:pPr>
        <w:tabs>
          <w:tab w:val="left" w:pos="993"/>
        </w:tabs>
        <w:spacing w:line="240" w:lineRule="auto"/>
        <w:rPr>
          <w:rFonts w:ascii="Times New Roman" w:hAnsi="Times New Roman" w:cs="Times New Roman"/>
          <w:b/>
          <w:sz w:val="24"/>
          <w:szCs w:val="24"/>
        </w:rPr>
      </w:pPr>
      <w:r w:rsidRPr="00A31163">
        <w:rPr>
          <w:rFonts w:ascii="Times New Roman" w:hAnsi="Times New Roman" w:cs="Times New Roman"/>
          <w:b/>
          <w:sz w:val="24"/>
          <w:szCs w:val="24"/>
        </w:rPr>
        <w:t>Details</w:t>
      </w:r>
      <w:r>
        <w:rPr>
          <w:rFonts w:ascii="Times New Roman" w:hAnsi="Times New Roman" w:cs="Times New Roman"/>
          <w:b/>
          <w:sz w:val="24"/>
          <w:szCs w:val="24"/>
        </w:rPr>
        <w:t xml:space="preserve"> of the instrument </w:t>
      </w:r>
    </w:p>
    <w:p w14:paraId="6A4A90D7" w14:textId="77777777" w:rsidR="004D3DA0" w:rsidRDefault="007A5965" w:rsidP="004D3DA0">
      <w:pPr>
        <w:pStyle w:val="ListParagraph"/>
        <w:numPr>
          <w:ilvl w:val="0"/>
          <w:numId w:val="1"/>
        </w:numPr>
        <w:tabs>
          <w:tab w:val="left" w:pos="993"/>
        </w:tabs>
        <w:spacing w:line="240" w:lineRule="auto"/>
        <w:ind w:hanging="644"/>
        <w:rPr>
          <w:rFonts w:ascii="Times New Roman" w:hAnsi="Times New Roman" w:cs="Times New Roman"/>
          <w:sz w:val="24"/>
          <w:szCs w:val="24"/>
        </w:rPr>
      </w:pPr>
      <w:r>
        <w:rPr>
          <w:rFonts w:ascii="Times New Roman" w:hAnsi="Times New Roman" w:cs="Times New Roman"/>
          <w:sz w:val="24"/>
          <w:szCs w:val="24"/>
        </w:rPr>
        <w:t>Details of the</w:t>
      </w:r>
      <w:r w:rsidR="004D3DA0" w:rsidRPr="004D3DA0">
        <w:rPr>
          <w:rFonts w:ascii="Times New Roman" w:hAnsi="Times New Roman" w:cs="Times New Roman"/>
          <w:sz w:val="24"/>
          <w:szCs w:val="24"/>
        </w:rPr>
        <w:t xml:space="preserve"> instrument are set out in </w:t>
      </w:r>
      <w:r w:rsidR="004D3DA0" w:rsidRPr="004D3DA0">
        <w:rPr>
          <w:rFonts w:ascii="Times New Roman" w:hAnsi="Times New Roman" w:cs="Times New Roman"/>
          <w:sz w:val="24"/>
          <w:szCs w:val="24"/>
          <w:u w:val="single"/>
        </w:rPr>
        <w:t>Attachment</w:t>
      </w:r>
      <w:r w:rsidR="00481930">
        <w:rPr>
          <w:rFonts w:ascii="Times New Roman" w:hAnsi="Times New Roman" w:cs="Times New Roman"/>
          <w:sz w:val="24"/>
          <w:szCs w:val="24"/>
          <w:u w:val="single"/>
        </w:rPr>
        <w:t xml:space="preserve"> B</w:t>
      </w:r>
      <w:r w:rsidR="004D3DA0" w:rsidRPr="004D3DA0">
        <w:rPr>
          <w:rFonts w:ascii="Times New Roman" w:hAnsi="Times New Roman" w:cs="Times New Roman"/>
          <w:sz w:val="24"/>
          <w:szCs w:val="24"/>
        </w:rPr>
        <w:t xml:space="preserve">. </w:t>
      </w:r>
    </w:p>
    <w:p w14:paraId="49A38589" w14:textId="77777777" w:rsidR="004D3DA0" w:rsidRPr="004D3DA0" w:rsidRDefault="004D3DA0" w:rsidP="004D3DA0">
      <w:pPr>
        <w:pStyle w:val="ListParagraph"/>
        <w:rPr>
          <w:rFonts w:ascii="Times New Roman" w:hAnsi="Times New Roman" w:cs="Times New Roman"/>
          <w:sz w:val="24"/>
          <w:szCs w:val="24"/>
        </w:rPr>
      </w:pPr>
    </w:p>
    <w:p w14:paraId="2146B529" w14:textId="77777777" w:rsidR="00FF62BD" w:rsidRPr="00560F0E" w:rsidRDefault="00FF62BD" w:rsidP="00AE443A">
      <w:pPr>
        <w:pStyle w:val="ListParagraph"/>
        <w:numPr>
          <w:ilvl w:val="0"/>
          <w:numId w:val="1"/>
        </w:numPr>
        <w:tabs>
          <w:tab w:val="left" w:pos="993"/>
        </w:tabs>
        <w:spacing w:line="240" w:lineRule="auto"/>
        <w:ind w:hanging="644"/>
        <w:rPr>
          <w:rFonts w:ascii="Times New Roman" w:hAnsi="Times New Roman" w:cs="Times New Roman"/>
          <w:sz w:val="24"/>
          <w:szCs w:val="24"/>
        </w:rPr>
      </w:pPr>
      <w:r w:rsidRPr="00560F0E">
        <w:rPr>
          <w:rFonts w:ascii="Times New Roman" w:hAnsi="Times New Roman" w:cs="Times New Roman"/>
          <w:sz w:val="24"/>
          <w:szCs w:val="24"/>
        </w:rPr>
        <w:t xml:space="preserve">The </w:t>
      </w:r>
      <w:r w:rsidR="006426C1">
        <w:rPr>
          <w:rFonts w:ascii="Times New Roman" w:hAnsi="Times New Roman" w:cs="Times New Roman"/>
          <w:sz w:val="24"/>
          <w:szCs w:val="24"/>
        </w:rPr>
        <w:t xml:space="preserve">Principal </w:t>
      </w:r>
      <w:r w:rsidRPr="00560F0E">
        <w:rPr>
          <w:rFonts w:ascii="Times New Roman" w:hAnsi="Times New Roman" w:cs="Times New Roman"/>
          <w:sz w:val="24"/>
          <w:szCs w:val="24"/>
        </w:rPr>
        <w:t xml:space="preserve">Determination is a legislative instrument for the purposes of the </w:t>
      </w:r>
      <w:r w:rsidRPr="008C1189">
        <w:rPr>
          <w:rFonts w:ascii="Times New Roman" w:hAnsi="Times New Roman" w:cs="Times New Roman"/>
          <w:i/>
          <w:sz w:val="24"/>
          <w:szCs w:val="24"/>
        </w:rPr>
        <w:t>Legislati</w:t>
      </w:r>
      <w:r w:rsidR="008C1189">
        <w:rPr>
          <w:rFonts w:ascii="Times New Roman" w:hAnsi="Times New Roman" w:cs="Times New Roman"/>
          <w:i/>
          <w:sz w:val="24"/>
          <w:szCs w:val="24"/>
        </w:rPr>
        <w:t>on</w:t>
      </w:r>
      <w:r w:rsidRPr="008C1189">
        <w:rPr>
          <w:rFonts w:ascii="Times New Roman" w:hAnsi="Times New Roman" w:cs="Times New Roman"/>
          <w:i/>
          <w:sz w:val="24"/>
          <w:szCs w:val="24"/>
        </w:rPr>
        <w:t xml:space="preserve"> Act 2003</w:t>
      </w:r>
      <w:r w:rsidRPr="00503C00">
        <w:rPr>
          <w:rFonts w:ascii="Times New Roman" w:hAnsi="Times New Roman" w:cs="Times New Roman"/>
          <w:sz w:val="24"/>
          <w:szCs w:val="24"/>
        </w:rPr>
        <w:t xml:space="preserve">. </w:t>
      </w:r>
    </w:p>
    <w:p w14:paraId="30A097F3" w14:textId="77777777" w:rsidR="00FF62BD" w:rsidRPr="00560F0E" w:rsidRDefault="00FF62BD" w:rsidP="00AE443A">
      <w:pPr>
        <w:pStyle w:val="ListParagraph"/>
        <w:tabs>
          <w:tab w:val="left" w:pos="993"/>
        </w:tabs>
        <w:spacing w:line="240" w:lineRule="auto"/>
        <w:ind w:left="644"/>
        <w:rPr>
          <w:rFonts w:ascii="Times New Roman" w:hAnsi="Times New Roman" w:cs="Times New Roman"/>
          <w:sz w:val="24"/>
          <w:szCs w:val="24"/>
        </w:rPr>
      </w:pPr>
    </w:p>
    <w:p w14:paraId="1BF205A5" w14:textId="77777777" w:rsidR="007A5965" w:rsidRPr="007A5965" w:rsidRDefault="00BD741F" w:rsidP="007A5965">
      <w:pPr>
        <w:pStyle w:val="ListParagraph"/>
        <w:numPr>
          <w:ilvl w:val="0"/>
          <w:numId w:val="1"/>
        </w:numPr>
        <w:tabs>
          <w:tab w:val="left" w:pos="993"/>
        </w:tabs>
        <w:spacing w:line="240" w:lineRule="auto"/>
        <w:ind w:hanging="644"/>
        <w:rPr>
          <w:rFonts w:ascii="Times New Roman" w:hAnsi="Times New Roman" w:cs="Times New Roman"/>
          <w:sz w:val="24"/>
          <w:szCs w:val="24"/>
        </w:rPr>
      </w:pPr>
      <w:r>
        <w:rPr>
          <w:rFonts w:ascii="Times New Roman" w:hAnsi="Times New Roman" w:cs="Times New Roman"/>
          <w:sz w:val="24"/>
          <w:szCs w:val="24"/>
        </w:rPr>
        <w:t>The Determination commence</w:t>
      </w:r>
      <w:r w:rsidR="00C03DA2">
        <w:rPr>
          <w:rFonts w:ascii="Times New Roman" w:hAnsi="Times New Roman" w:cs="Times New Roman"/>
          <w:sz w:val="24"/>
          <w:szCs w:val="24"/>
        </w:rPr>
        <w:t>s</w:t>
      </w:r>
      <w:r>
        <w:rPr>
          <w:rFonts w:ascii="Times New Roman" w:hAnsi="Times New Roman" w:cs="Times New Roman"/>
          <w:sz w:val="24"/>
          <w:szCs w:val="24"/>
        </w:rPr>
        <w:t xml:space="preserve"> </w:t>
      </w:r>
      <w:r w:rsidR="00E50C2A">
        <w:rPr>
          <w:rFonts w:ascii="Times New Roman" w:hAnsi="Times New Roman" w:cs="Times New Roman"/>
          <w:sz w:val="24"/>
          <w:szCs w:val="24"/>
        </w:rPr>
        <w:t xml:space="preserve">upon </w:t>
      </w:r>
      <w:r w:rsidR="002A77EC">
        <w:rPr>
          <w:rFonts w:ascii="Times New Roman" w:hAnsi="Times New Roman" w:cs="Times New Roman"/>
          <w:sz w:val="24"/>
          <w:szCs w:val="24"/>
        </w:rPr>
        <w:t>registration</w:t>
      </w:r>
      <w:r w:rsidR="00C86875" w:rsidRPr="00C86875">
        <w:rPr>
          <w:rFonts w:ascii="Times New Roman" w:hAnsi="Times New Roman" w:cs="Times New Roman"/>
          <w:sz w:val="24"/>
          <w:szCs w:val="24"/>
        </w:rPr>
        <w:t>.</w:t>
      </w:r>
    </w:p>
    <w:p w14:paraId="2ECF3F8B" w14:textId="77777777" w:rsidR="00DD51B7" w:rsidRPr="00A927DF" w:rsidRDefault="00DD51B7" w:rsidP="00A927DF">
      <w:pPr>
        <w:tabs>
          <w:tab w:val="left" w:pos="993"/>
        </w:tabs>
        <w:spacing w:line="240" w:lineRule="auto"/>
        <w:rPr>
          <w:rFonts w:ascii="Times New Roman" w:eastAsia="Times New Roman" w:hAnsi="Times New Roman" w:cs="Times New Roman"/>
          <w:b/>
          <w:sz w:val="24"/>
          <w:szCs w:val="24"/>
          <w:lang w:eastAsia="en-AU"/>
        </w:rPr>
      </w:pPr>
      <w:r w:rsidRPr="00A927DF">
        <w:rPr>
          <w:rFonts w:ascii="Times New Roman" w:eastAsia="Times New Roman" w:hAnsi="Times New Roman" w:cs="Times New Roman"/>
          <w:b/>
          <w:sz w:val="24"/>
          <w:szCs w:val="24"/>
          <w:lang w:eastAsia="en-AU"/>
        </w:rPr>
        <w:br w:type="page"/>
      </w:r>
    </w:p>
    <w:p w14:paraId="5FC57E9A" w14:textId="77777777" w:rsidR="00481930" w:rsidRPr="00A927DF" w:rsidRDefault="00481930" w:rsidP="00A927DF">
      <w:pPr>
        <w:spacing w:before="240" w:after="240" w:line="240" w:lineRule="auto"/>
        <w:jc w:val="right"/>
        <w:rPr>
          <w:rFonts w:ascii="Times New Roman" w:eastAsia="Times New Roman" w:hAnsi="Times New Roman" w:cs="Times New Roman"/>
          <w:b/>
          <w:sz w:val="24"/>
          <w:szCs w:val="24"/>
          <w:u w:val="single"/>
          <w:lang w:eastAsia="en-AU"/>
        </w:rPr>
      </w:pPr>
      <w:r w:rsidRPr="00A927DF">
        <w:rPr>
          <w:rFonts w:ascii="Times New Roman" w:eastAsia="Times New Roman" w:hAnsi="Times New Roman" w:cs="Times New Roman"/>
          <w:b/>
          <w:sz w:val="24"/>
          <w:szCs w:val="24"/>
          <w:u w:val="single"/>
          <w:lang w:eastAsia="en-AU"/>
        </w:rPr>
        <w:t>ATTACHMENT A</w:t>
      </w:r>
    </w:p>
    <w:p w14:paraId="3696C23F" w14:textId="77777777" w:rsidR="007A5965" w:rsidRPr="00560F0E" w:rsidRDefault="007A5965" w:rsidP="007A5965">
      <w:pPr>
        <w:spacing w:before="240" w:after="240" w:line="240" w:lineRule="auto"/>
        <w:jc w:val="center"/>
        <w:rPr>
          <w:rFonts w:ascii="Times New Roman" w:eastAsia="Times New Roman" w:hAnsi="Times New Roman" w:cs="Times New Roman"/>
          <w:b/>
          <w:sz w:val="24"/>
          <w:szCs w:val="24"/>
          <w:lang w:eastAsia="en-AU"/>
        </w:rPr>
      </w:pPr>
      <w:r w:rsidRPr="00560F0E">
        <w:rPr>
          <w:rFonts w:ascii="Times New Roman" w:eastAsia="Times New Roman" w:hAnsi="Times New Roman" w:cs="Times New Roman"/>
          <w:b/>
          <w:sz w:val="24"/>
          <w:szCs w:val="24"/>
          <w:lang w:eastAsia="en-AU"/>
        </w:rPr>
        <w:t xml:space="preserve">Statement of Compatibility with Human Rights </w:t>
      </w:r>
    </w:p>
    <w:p w14:paraId="50A6BEBB" w14:textId="77777777" w:rsidR="007A5965" w:rsidRPr="00560F0E" w:rsidRDefault="007A5965" w:rsidP="007A5965">
      <w:pPr>
        <w:spacing w:before="120" w:after="120" w:line="240" w:lineRule="auto"/>
        <w:jc w:val="center"/>
        <w:rPr>
          <w:rFonts w:ascii="Times New Roman" w:eastAsia="Times New Roman" w:hAnsi="Times New Roman" w:cs="Times New Roman"/>
          <w:sz w:val="24"/>
          <w:szCs w:val="24"/>
          <w:lang w:eastAsia="en-AU"/>
        </w:rPr>
      </w:pPr>
      <w:r w:rsidRPr="00560F0E">
        <w:rPr>
          <w:rFonts w:ascii="Times New Roman" w:eastAsia="Times New Roman" w:hAnsi="Times New Roman" w:cs="Times New Roman"/>
          <w:i/>
          <w:sz w:val="24"/>
          <w:szCs w:val="24"/>
          <w:lang w:eastAsia="en-AU"/>
        </w:rPr>
        <w:t>Prepared in accordance with Part 3 of the Human Rights (Parliamentary Scrutiny) Act 2011</w:t>
      </w:r>
    </w:p>
    <w:p w14:paraId="27EFEF97" w14:textId="77777777" w:rsidR="007A5965" w:rsidRPr="007A5965" w:rsidRDefault="007A5965" w:rsidP="00DD51B7">
      <w:pPr>
        <w:pStyle w:val="ListParagraph"/>
        <w:numPr>
          <w:ilvl w:val="0"/>
          <w:numId w:val="14"/>
        </w:numPr>
        <w:tabs>
          <w:tab w:val="left" w:pos="709"/>
        </w:tabs>
        <w:spacing w:line="240" w:lineRule="auto"/>
        <w:rPr>
          <w:rFonts w:ascii="Times New Roman" w:hAnsi="Times New Roman" w:cs="Times New Roman"/>
          <w:i/>
          <w:sz w:val="24"/>
          <w:szCs w:val="24"/>
        </w:rPr>
      </w:pPr>
      <w:r w:rsidRPr="00503C00">
        <w:rPr>
          <w:rFonts w:ascii="Times New Roman" w:hAnsi="Times New Roman" w:cs="Times New Roman"/>
          <w:sz w:val="24"/>
          <w:szCs w:val="24"/>
        </w:rPr>
        <w:t xml:space="preserve">This Determination </w:t>
      </w:r>
      <w:r>
        <w:rPr>
          <w:rFonts w:ascii="Times New Roman" w:hAnsi="Times New Roman" w:cs="Times New Roman"/>
          <w:sz w:val="24"/>
          <w:szCs w:val="24"/>
        </w:rPr>
        <w:t>is</w:t>
      </w:r>
      <w:r w:rsidRPr="00503C00">
        <w:rPr>
          <w:rFonts w:ascii="Times New Roman" w:hAnsi="Times New Roman" w:cs="Times New Roman"/>
          <w:sz w:val="24"/>
          <w:szCs w:val="24"/>
        </w:rPr>
        <w:t xml:space="preserve"> compatible with the human rights and freedoms recognised or declared in the international instruments listed in section 3 of the </w:t>
      </w:r>
      <w:r w:rsidRPr="004D3DA0">
        <w:rPr>
          <w:rFonts w:ascii="Times New Roman" w:hAnsi="Times New Roman" w:cs="Times New Roman"/>
          <w:i/>
          <w:sz w:val="24"/>
          <w:szCs w:val="24"/>
        </w:rPr>
        <w:t>Human Rights (Parliamentary Scrutiny) Act 2011.</w:t>
      </w:r>
    </w:p>
    <w:p w14:paraId="3AC73DA9" w14:textId="77777777" w:rsidR="007A5965" w:rsidRPr="00560F0E" w:rsidRDefault="007A5965" w:rsidP="007A5965">
      <w:pPr>
        <w:keepNext/>
        <w:spacing w:before="240" w:after="100" w:afterAutospacing="1" w:line="240" w:lineRule="auto"/>
        <w:rPr>
          <w:rFonts w:ascii="Times New Roman" w:eastAsia="Times New Roman" w:hAnsi="Times New Roman" w:cs="Times New Roman"/>
          <w:b/>
          <w:sz w:val="24"/>
          <w:szCs w:val="24"/>
          <w:lang w:eastAsia="en-AU"/>
        </w:rPr>
      </w:pPr>
      <w:r w:rsidRPr="00560F0E">
        <w:rPr>
          <w:rFonts w:ascii="Times New Roman" w:eastAsia="Times New Roman" w:hAnsi="Times New Roman" w:cs="Times New Roman"/>
          <w:b/>
          <w:sz w:val="24"/>
          <w:szCs w:val="24"/>
          <w:lang w:eastAsia="en-AU"/>
        </w:rPr>
        <w:t>Overview of the Legislative Instrument</w:t>
      </w:r>
    </w:p>
    <w:p w14:paraId="08955304" w14:textId="77777777" w:rsidR="007A5965" w:rsidRDefault="007A5965" w:rsidP="002A77EC">
      <w:pPr>
        <w:pStyle w:val="ListParagraph"/>
        <w:keepNext/>
        <w:numPr>
          <w:ilvl w:val="0"/>
          <w:numId w:val="14"/>
        </w:numPr>
        <w:tabs>
          <w:tab w:val="left" w:pos="993"/>
        </w:tabs>
        <w:spacing w:line="240" w:lineRule="auto"/>
        <w:rPr>
          <w:rFonts w:ascii="Times New Roman" w:hAnsi="Times New Roman" w:cs="Times New Roman"/>
          <w:sz w:val="24"/>
          <w:szCs w:val="24"/>
        </w:rPr>
      </w:pPr>
      <w:r w:rsidRPr="00503C00">
        <w:rPr>
          <w:rFonts w:ascii="Times New Roman" w:hAnsi="Times New Roman" w:cs="Times New Roman"/>
          <w:sz w:val="24"/>
          <w:szCs w:val="24"/>
        </w:rPr>
        <w:t xml:space="preserve">The </w:t>
      </w:r>
      <w:r w:rsidR="0033264D" w:rsidRPr="00A927DF">
        <w:rPr>
          <w:rFonts w:ascii="Times New Roman" w:hAnsi="Times New Roman" w:cs="Times New Roman"/>
          <w:i/>
          <w:sz w:val="24"/>
          <w:szCs w:val="24"/>
        </w:rPr>
        <w:t>Telecommunications (Interception and Access) (Requirements for Authorisations, Notifications and Revocations) Determination 20</w:t>
      </w:r>
      <w:r w:rsidR="00D553A3">
        <w:rPr>
          <w:rFonts w:ascii="Times New Roman" w:hAnsi="Times New Roman" w:cs="Times New Roman"/>
          <w:i/>
          <w:sz w:val="24"/>
          <w:szCs w:val="24"/>
        </w:rPr>
        <w:t>23</w:t>
      </w:r>
      <w:r w:rsidR="0033264D">
        <w:rPr>
          <w:rFonts w:ascii="Times New Roman" w:hAnsi="Times New Roman" w:cs="Times New Roman"/>
          <w:sz w:val="24"/>
          <w:szCs w:val="24"/>
        </w:rPr>
        <w:t xml:space="preserve"> (</w:t>
      </w:r>
      <w:r w:rsidRPr="00503C00">
        <w:rPr>
          <w:rFonts w:ascii="Times New Roman" w:hAnsi="Times New Roman" w:cs="Times New Roman"/>
          <w:sz w:val="24"/>
          <w:szCs w:val="24"/>
        </w:rPr>
        <w:t>Principal Determination</w:t>
      </w:r>
      <w:r w:rsidR="0033264D">
        <w:rPr>
          <w:rFonts w:ascii="Times New Roman" w:hAnsi="Times New Roman" w:cs="Times New Roman"/>
          <w:sz w:val="24"/>
          <w:szCs w:val="24"/>
        </w:rPr>
        <w:t>)</w:t>
      </w:r>
      <w:r w:rsidRPr="00503C00">
        <w:rPr>
          <w:rFonts w:ascii="Times New Roman" w:hAnsi="Times New Roman" w:cs="Times New Roman"/>
          <w:sz w:val="24"/>
          <w:szCs w:val="24"/>
        </w:rPr>
        <w:t xml:space="preserve"> reflect</w:t>
      </w:r>
      <w:r>
        <w:rPr>
          <w:rFonts w:ascii="Times New Roman" w:hAnsi="Times New Roman" w:cs="Times New Roman"/>
          <w:sz w:val="24"/>
          <w:szCs w:val="24"/>
        </w:rPr>
        <w:t xml:space="preserve">s </w:t>
      </w:r>
      <w:r w:rsidR="00375DBE">
        <w:rPr>
          <w:rFonts w:ascii="Times New Roman" w:hAnsi="Times New Roman" w:cs="Times New Roman"/>
          <w:sz w:val="24"/>
          <w:szCs w:val="24"/>
        </w:rPr>
        <w:t xml:space="preserve">adjustments to the 2018 Determination to account for changing operational </w:t>
      </w:r>
      <w:r w:rsidR="002A77EC">
        <w:rPr>
          <w:rFonts w:ascii="Times New Roman" w:hAnsi="Times New Roman" w:cs="Times New Roman"/>
          <w:sz w:val="24"/>
          <w:szCs w:val="24"/>
        </w:rPr>
        <w:t>environment and needs of investigation/law enforcement agencies.</w:t>
      </w:r>
      <w:r>
        <w:rPr>
          <w:rFonts w:ascii="Times New Roman" w:hAnsi="Times New Roman" w:cs="Times New Roman"/>
          <w:sz w:val="24"/>
          <w:szCs w:val="24"/>
        </w:rPr>
        <w:t xml:space="preserve"> </w:t>
      </w:r>
    </w:p>
    <w:p w14:paraId="639E7307" w14:textId="77777777" w:rsidR="002A77EC" w:rsidRPr="002A77EC" w:rsidRDefault="002A77EC" w:rsidP="002A77EC">
      <w:pPr>
        <w:pStyle w:val="ListParagraph"/>
        <w:keepNext/>
        <w:tabs>
          <w:tab w:val="left" w:pos="993"/>
        </w:tabs>
        <w:spacing w:line="240" w:lineRule="auto"/>
        <w:ind w:left="644"/>
        <w:rPr>
          <w:rFonts w:ascii="Times New Roman" w:hAnsi="Times New Roman" w:cs="Times New Roman"/>
          <w:sz w:val="24"/>
          <w:szCs w:val="24"/>
        </w:rPr>
      </w:pPr>
    </w:p>
    <w:p w14:paraId="50AFC4AF" w14:textId="77777777" w:rsidR="007A5965" w:rsidRPr="0094702B" w:rsidRDefault="007A5965" w:rsidP="00DD51B7">
      <w:pPr>
        <w:pStyle w:val="ListParagraph"/>
        <w:numPr>
          <w:ilvl w:val="0"/>
          <w:numId w:val="14"/>
        </w:numPr>
        <w:tabs>
          <w:tab w:val="left" w:pos="993"/>
        </w:tabs>
        <w:spacing w:line="240" w:lineRule="auto"/>
        <w:rPr>
          <w:rFonts w:ascii="Times New Roman" w:hAnsi="Times New Roman" w:cs="Times New Roman"/>
          <w:sz w:val="24"/>
          <w:szCs w:val="24"/>
        </w:rPr>
      </w:pPr>
      <w:r w:rsidRPr="0094702B">
        <w:rPr>
          <w:rFonts w:ascii="Times New Roman" w:hAnsi="Times New Roman" w:cs="Times New Roman"/>
          <w:sz w:val="24"/>
          <w:szCs w:val="24"/>
        </w:rPr>
        <w:t xml:space="preserve">The Principal Determination </w:t>
      </w:r>
      <w:r>
        <w:rPr>
          <w:rFonts w:ascii="Times New Roman" w:hAnsi="Times New Roman" w:cs="Times New Roman"/>
          <w:sz w:val="24"/>
          <w:szCs w:val="24"/>
        </w:rPr>
        <w:t xml:space="preserve">establishes the form requirements for authorisations, </w:t>
      </w:r>
      <w:r w:rsidR="002A77EC">
        <w:rPr>
          <w:rFonts w:ascii="Times New Roman" w:hAnsi="Times New Roman" w:cs="Times New Roman"/>
          <w:sz w:val="24"/>
          <w:szCs w:val="24"/>
        </w:rPr>
        <w:t>revocations, and notifications for authorisations and revocations</w:t>
      </w:r>
      <w:r>
        <w:rPr>
          <w:rFonts w:ascii="Times New Roman" w:hAnsi="Times New Roman" w:cs="Times New Roman"/>
          <w:sz w:val="24"/>
          <w:szCs w:val="24"/>
        </w:rPr>
        <w:t>.</w:t>
      </w:r>
    </w:p>
    <w:p w14:paraId="0219520F" w14:textId="77777777" w:rsidR="007A5965" w:rsidRPr="00560F0E" w:rsidRDefault="007A5965" w:rsidP="007A5965">
      <w:pPr>
        <w:rPr>
          <w:rFonts w:ascii="Times New Roman" w:hAnsi="Times New Roman" w:cs="Times New Roman"/>
          <w:b/>
          <w:sz w:val="24"/>
          <w:szCs w:val="24"/>
        </w:rPr>
      </w:pPr>
      <w:r w:rsidRPr="00560F0E">
        <w:rPr>
          <w:rFonts w:ascii="Times New Roman" w:hAnsi="Times New Roman" w:cs="Times New Roman"/>
          <w:b/>
          <w:sz w:val="24"/>
          <w:szCs w:val="24"/>
        </w:rPr>
        <w:t>Human rights implications</w:t>
      </w:r>
    </w:p>
    <w:p w14:paraId="4AD6BA0C" w14:textId="77777777" w:rsidR="009B0383" w:rsidRDefault="009B0383" w:rsidP="009B0383">
      <w:pPr>
        <w:pStyle w:val="ListParagraph"/>
        <w:numPr>
          <w:ilvl w:val="0"/>
          <w:numId w:val="14"/>
        </w:numPr>
        <w:tabs>
          <w:tab w:val="left" w:pos="993"/>
        </w:tabs>
        <w:spacing w:line="240" w:lineRule="auto"/>
        <w:rPr>
          <w:rFonts w:ascii="Times New Roman" w:hAnsi="Times New Roman" w:cs="Times New Roman"/>
          <w:sz w:val="24"/>
          <w:szCs w:val="24"/>
        </w:rPr>
      </w:pPr>
      <w:r>
        <w:rPr>
          <w:rFonts w:ascii="Times New Roman" w:hAnsi="Times New Roman" w:cs="Times New Roman"/>
          <w:sz w:val="24"/>
          <w:szCs w:val="24"/>
        </w:rPr>
        <w:t>The Principal Determination engages the right to protection against arbitrary and unlawful interferences with privacy (Article 17 of the International Covenant on Civil and Political Rights (ICCPR)).</w:t>
      </w:r>
    </w:p>
    <w:p w14:paraId="2AAC36C7" w14:textId="77777777" w:rsidR="009B0383" w:rsidRDefault="009B0383" w:rsidP="009B0383">
      <w:pPr>
        <w:pStyle w:val="ListParagraph"/>
        <w:tabs>
          <w:tab w:val="left" w:pos="993"/>
        </w:tabs>
        <w:spacing w:before="240" w:after="100" w:afterAutospacing="1" w:line="240" w:lineRule="auto"/>
        <w:ind w:left="1366"/>
        <w:rPr>
          <w:rFonts w:ascii="Times New Roman" w:hAnsi="Times New Roman" w:cs="Times New Roman"/>
          <w:i/>
          <w:sz w:val="24"/>
          <w:szCs w:val="24"/>
        </w:rPr>
      </w:pPr>
    </w:p>
    <w:p w14:paraId="2BBE30A8" w14:textId="77777777" w:rsidR="009B0383" w:rsidRDefault="009B0383" w:rsidP="009B0383">
      <w:pPr>
        <w:pStyle w:val="ListParagraph"/>
        <w:numPr>
          <w:ilvl w:val="0"/>
          <w:numId w:val="14"/>
        </w:numPr>
        <w:tabs>
          <w:tab w:val="left" w:pos="993"/>
        </w:tabs>
        <w:spacing w:line="240" w:lineRule="auto"/>
        <w:rPr>
          <w:rFonts w:ascii="Times New Roman" w:hAnsi="Times New Roman" w:cs="Times New Roman"/>
          <w:sz w:val="24"/>
          <w:szCs w:val="24"/>
        </w:rPr>
      </w:pPr>
      <w:r>
        <w:rPr>
          <w:rFonts w:ascii="Times New Roman" w:hAnsi="Times New Roman" w:cs="Times New Roman"/>
          <w:sz w:val="24"/>
          <w:szCs w:val="24"/>
        </w:rPr>
        <w:t>Article 17 of the ICCPR provides that no one shall be subjected to arbitrary or unlawful interference with his privacy, family, home or correspondence and that everyone has the right to the protection of the law against such interference or attacks. Interference with privacy is not arbitrary if it is in accordance with the provisions, aims and objectives of the ICCPR, is authorised by law and is reasonable in the particular circumstances. Reasonableness, in this context, incorporates notions of proportionality to the end sought and necessity in the circumstances.</w:t>
      </w:r>
      <w:r>
        <w:rPr>
          <w:rFonts w:ascii="Times New Roman" w:hAnsi="Times New Roman" w:cs="Times New Roman"/>
          <w:sz w:val="24"/>
          <w:szCs w:val="24"/>
        </w:rPr>
        <w:br/>
      </w:r>
    </w:p>
    <w:p w14:paraId="206DACD1" w14:textId="77777777" w:rsidR="007A5965" w:rsidRDefault="007A5965" w:rsidP="00DD51B7">
      <w:pPr>
        <w:pStyle w:val="ListParagraph"/>
        <w:numPr>
          <w:ilvl w:val="0"/>
          <w:numId w:val="14"/>
        </w:numPr>
        <w:tabs>
          <w:tab w:val="left" w:pos="993"/>
        </w:tabs>
        <w:spacing w:line="240" w:lineRule="auto"/>
        <w:rPr>
          <w:rFonts w:ascii="Times New Roman" w:hAnsi="Times New Roman" w:cs="Times New Roman"/>
          <w:sz w:val="24"/>
          <w:szCs w:val="24"/>
        </w:rPr>
      </w:pPr>
      <w:r w:rsidRPr="00560F0E">
        <w:rPr>
          <w:rFonts w:ascii="Times New Roman" w:hAnsi="Times New Roman" w:cs="Times New Roman"/>
          <w:sz w:val="24"/>
          <w:szCs w:val="24"/>
        </w:rPr>
        <w:t>The Principal Determination</w:t>
      </w:r>
      <w:r>
        <w:rPr>
          <w:rFonts w:ascii="Times New Roman" w:hAnsi="Times New Roman" w:cs="Times New Roman"/>
          <w:sz w:val="24"/>
          <w:szCs w:val="24"/>
        </w:rPr>
        <w:t xml:space="preserve"> sets</w:t>
      </w:r>
      <w:r w:rsidRPr="00560F0E">
        <w:rPr>
          <w:rFonts w:ascii="Times New Roman" w:hAnsi="Times New Roman" w:cs="Times New Roman"/>
          <w:sz w:val="24"/>
          <w:szCs w:val="24"/>
        </w:rPr>
        <w:t xml:space="preserve"> out form requirements for authorisations, not</w:t>
      </w:r>
      <w:r>
        <w:rPr>
          <w:rFonts w:ascii="Times New Roman" w:hAnsi="Times New Roman" w:cs="Times New Roman"/>
          <w:sz w:val="24"/>
          <w:szCs w:val="24"/>
        </w:rPr>
        <w:t>ifications and revocations in relation to the release of information</w:t>
      </w:r>
      <w:r w:rsidRPr="00560F0E">
        <w:rPr>
          <w:rFonts w:ascii="Times New Roman" w:hAnsi="Times New Roman" w:cs="Times New Roman"/>
          <w:sz w:val="24"/>
          <w:szCs w:val="24"/>
        </w:rPr>
        <w:t>. It also require</w:t>
      </w:r>
      <w:r>
        <w:rPr>
          <w:rFonts w:ascii="Times New Roman" w:hAnsi="Times New Roman" w:cs="Times New Roman"/>
          <w:sz w:val="24"/>
          <w:szCs w:val="24"/>
        </w:rPr>
        <w:t>s</w:t>
      </w:r>
      <w:r w:rsidRPr="00560F0E">
        <w:rPr>
          <w:rFonts w:ascii="Times New Roman" w:hAnsi="Times New Roman" w:cs="Times New Roman"/>
          <w:sz w:val="24"/>
          <w:szCs w:val="24"/>
        </w:rPr>
        <w:t xml:space="preserve"> authorised officers to state that they are satisfied </w:t>
      </w:r>
      <w:r>
        <w:rPr>
          <w:rFonts w:ascii="Times New Roman" w:hAnsi="Times New Roman" w:cs="Times New Roman"/>
          <w:sz w:val="24"/>
          <w:szCs w:val="24"/>
        </w:rPr>
        <w:t xml:space="preserve">the </w:t>
      </w:r>
      <w:r w:rsidRPr="00560F0E">
        <w:rPr>
          <w:rFonts w:ascii="Times New Roman" w:hAnsi="Times New Roman" w:cs="Times New Roman"/>
          <w:sz w:val="24"/>
          <w:szCs w:val="24"/>
        </w:rPr>
        <w:t xml:space="preserve">elements in section 180F </w:t>
      </w:r>
      <w:r>
        <w:rPr>
          <w:rFonts w:ascii="Times New Roman" w:hAnsi="Times New Roman" w:cs="Times New Roman"/>
          <w:sz w:val="24"/>
          <w:szCs w:val="24"/>
        </w:rPr>
        <w:t xml:space="preserve">regarding privacy </w:t>
      </w:r>
      <w:r w:rsidRPr="00560F0E">
        <w:rPr>
          <w:rFonts w:ascii="Times New Roman" w:hAnsi="Times New Roman" w:cs="Times New Roman"/>
          <w:sz w:val="24"/>
          <w:szCs w:val="24"/>
        </w:rPr>
        <w:t>have been met in every authorisation and notification of authorisation that is issued. This ensure</w:t>
      </w:r>
      <w:r>
        <w:rPr>
          <w:rFonts w:ascii="Times New Roman" w:hAnsi="Times New Roman" w:cs="Times New Roman"/>
          <w:sz w:val="24"/>
          <w:szCs w:val="24"/>
        </w:rPr>
        <w:t>s</w:t>
      </w:r>
      <w:r w:rsidRPr="00560F0E">
        <w:rPr>
          <w:rFonts w:ascii="Times New Roman" w:hAnsi="Times New Roman" w:cs="Times New Roman"/>
          <w:sz w:val="24"/>
          <w:szCs w:val="24"/>
        </w:rPr>
        <w:t xml:space="preserve"> that the consideration of privacy is a central element of the authorisation-making process.</w:t>
      </w:r>
    </w:p>
    <w:p w14:paraId="2A8B9D94" w14:textId="77777777" w:rsidR="007A5965" w:rsidRPr="00364A41" w:rsidRDefault="007A5965" w:rsidP="007A5965">
      <w:pPr>
        <w:pStyle w:val="ListParagraph"/>
        <w:rPr>
          <w:rFonts w:ascii="Times New Roman" w:hAnsi="Times New Roman" w:cs="Times New Roman"/>
          <w:sz w:val="24"/>
          <w:szCs w:val="24"/>
        </w:rPr>
      </w:pPr>
    </w:p>
    <w:p w14:paraId="49290477" w14:textId="77777777" w:rsidR="007A5965" w:rsidRPr="00355166" w:rsidRDefault="007A5965" w:rsidP="00DD51B7">
      <w:pPr>
        <w:pStyle w:val="ListParagraph"/>
        <w:numPr>
          <w:ilvl w:val="0"/>
          <w:numId w:val="14"/>
        </w:numPr>
        <w:tabs>
          <w:tab w:val="left" w:pos="993"/>
        </w:tabs>
        <w:spacing w:line="240" w:lineRule="auto"/>
        <w:rPr>
          <w:rFonts w:ascii="Times New Roman" w:hAnsi="Times New Roman" w:cs="Times New Roman"/>
          <w:sz w:val="24"/>
          <w:szCs w:val="24"/>
        </w:rPr>
      </w:pPr>
      <w:r>
        <w:rPr>
          <w:rFonts w:ascii="Times New Roman" w:hAnsi="Times New Roman" w:cs="Times New Roman"/>
          <w:sz w:val="24"/>
          <w:szCs w:val="24"/>
        </w:rPr>
        <w:t xml:space="preserve">The Principal Determination also requires authorised officers to state </w:t>
      </w:r>
      <w:r w:rsidRPr="00560F0E">
        <w:rPr>
          <w:rFonts w:ascii="Times New Roman" w:hAnsi="Times New Roman" w:cs="Times New Roman"/>
          <w:sz w:val="24"/>
          <w:szCs w:val="24"/>
        </w:rPr>
        <w:t xml:space="preserve">that the </w:t>
      </w:r>
      <w:r>
        <w:rPr>
          <w:rFonts w:ascii="Times New Roman" w:hAnsi="Times New Roman" w:cs="Times New Roman"/>
          <w:sz w:val="24"/>
          <w:szCs w:val="24"/>
        </w:rPr>
        <w:t xml:space="preserve">disclosure of the information or documents is reasonably necessary for enforcing </w:t>
      </w:r>
      <w:r w:rsidR="00215421">
        <w:rPr>
          <w:rFonts w:ascii="Times New Roman" w:hAnsi="Times New Roman" w:cs="Times New Roman"/>
          <w:sz w:val="24"/>
          <w:szCs w:val="24"/>
        </w:rPr>
        <w:t>the law, locating missing persons, or protection of the public revenue</w:t>
      </w:r>
      <w:r>
        <w:rPr>
          <w:rFonts w:ascii="Times New Roman" w:hAnsi="Times New Roman" w:cs="Times New Roman"/>
          <w:sz w:val="24"/>
          <w:szCs w:val="24"/>
        </w:rPr>
        <w:t xml:space="preserve">. </w:t>
      </w:r>
      <w:r w:rsidRPr="004B276B">
        <w:rPr>
          <w:rFonts w:ascii="Times New Roman" w:hAnsi="Times New Roman" w:cs="Times New Roman"/>
          <w:sz w:val="24"/>
          <w:szCs w:val="24"/>
        </w:rPr>
        <w:t>To the extent that the right to privacy is affected, the interference corresponds to the need for law enforcement agencies to effectively investigate and prosecute</w:t>
      </w:r>
      <w:r w:rsidR="00215421">
        <w:rPr>
          <w:rFonts w:ascii="Times New Roman" w:hAnsi="Times New Roman" w:cs="Times New Roman"/>
          <w:sz w:val="24"/>
          <w:szCs w:val="24"/>
        </w:rPr>
        <w:t xml:space="preserve"> serious</w:t>
      </w:r>
      <w:r w:rsidRPr="004B276B">
        <w:rPr>
          <w:rFonts w:ascii="Times New Roman" w:hAnsi="Times New Roman" w:cs="Times New Roman"/>
          <w:sz w:val="24"/>
          <w:szCs w:val="24"/>
        </w:rPr>
        <w:t xml:space="preserve"> </w:t>
      </w:r>
      <w:r w:rsidR="00215421">
        <w:rPr>
          <w:rFonts w:ascii="Times New Roman" w:hAnsi="Times New Roman" w:cs="Times New Roman"/>
          <w:sz w:val="24"/>
          <w:szCs w:val="24"/>
        </w:rPr>
        <w:t>crimes and find missing persons</w:t>
      </w:r>
      <w:r w:rsidRPr="004B276B">
        <w:rPr>
          <w:rFonts w:ascii="Times New Roman" w:hAnsi="Times New Roman" w:cs="Times New Roman"/>
          <w:sz w:val="24"/>
          <w:szCs w:val="24"/>
        </w:rPr>
        <w:t>. The limitation is proportionate because the measures are directly linked to this aim.</w:t>
      </w:r>
    </w:p>
    <w:p w14:paraId="459D30EE" w14:textId="77777777" w:rsidR="007A5965" w:rsidRPr="00560F0E" w:rsidRDefault="007A5965" w:rsidP="005B742A">
      <w:pPr>
        <w:keepNext/>
        <w:spacing w:before="240" w:line="240" w:lineRule="auto"/>
        <w:rPr>
          <w:rFonts w:ascii="Times New Roman" w:hAnsi="Times New Roman" w:cs="Times New Roman"/>
          <w:b/>
          <w:sz w:val="24"/>
          <w:szCs w:val="24"/>
        </w:rPr>
      </w:pPr>
      <w:r w:rsidRPr="00560F0E">
        <w:rPr>
          <w:rFonts w:ascii="Times New Roman" w:hAnsi="Times New Roman" w:cs="Times New Roman"/>
          <w:b/>
          <w:sz w:val="24"/>
          <w:szCs w:val="24"/>
        </w:rPr>
        <w:t>Conclusion</w:t>
      </w:r>
    </w:p>
    <w:p w14:paraId="3A6B0349" w14:textId="768814CE" w:rsidR="007A5965" w:rsidRPr="007A5965" w:rsidRDefault="007A5965" w:rsidP="00DD51B7">
      <w:pPr>
        <w:pStyle w:val="ListParagraph"/>
        <w:numPr>
          <w:ilvl w:val="0"/>
          <w:numId w:val="14"/>
        </w:numPr>
        <w:tabs>
          <w:tab w:val="left" w:pos="993"/>
        </w:tabs>
        <w:spacing w:line="240" w:lineRule="auto"/>
        <w:rPr>
          <w:rFonts w:ascii="Times New Roman" w:eastAsiaTheme="majorEastAsia" w:hAnsi="Times New Roman" w:cs="Times New Roman"/>
          <w:b/>
          <w:bCs/>
          <w:sz w:val="24"/>
          <w:szCs w:val="24"/>
        </w:rPr>
      </w:pPr>
      <w:r w:rsidRPr="00247A82">
        <w:rPr>
          <w:rFonts w:ascii="Times New Roman" w:hAnsi="Times New Roman" w:cs="Times New Roman"/>
          <w:sz w:val="24"/>
          <w:szCs w:val="24"/>
        </w:rPr>
        <w:t xml:space="preserve">The </w:t>
      </w:r>
      <w:r w:rsidR="0033264D">
        <w:rPr>
          <w:rFonts w:ascii="Times New Roman" w:hAnsi="Times New Roman" w:cs="Times New Roman"/>
          <w:sz w:val="24"/>
          <w:szCs w:val="24"/>
        </w:rPr>
        <w:t>Principal Determination</w:t>
      </w:r>
      <w:r w:rsidRPr="00247A82">
        <w:rPr>
          <w:rFonts w:ascii="Times New Roman" w:hAnsi="Times New Roman" w:cs="Times New Roman"/>
          <w:sz w:val="24"/>
          <w:szCs w:val="24"/>
        </w:rPr>
        <w:t xml:space="preserve"> </w:t>
      </w:r>
      <w:r>
        <w:rPr>
          <w:rFonts w:ascii="Times New Roman" w:hAnsi="Times New Roman" w:cs="Times New Roman"/>
          <w:sz w:val="24"/>
          <w:szCs w:val="24"/>
        </w:rPr>
        <w:t>is</w:t>
      </w:r>
      <w:r w:rsidRPr="00247A82">
        <w:rPr>
          <w:rFonts w:ascii="Times New Roman" w:hAnsi="Times New Roman" w:cs="Times New Roman"/>
          <w:sz w:val="24"/>
          <w:szCs w:val="24"/>
        </w:rPr>
        <w:t xml:space="preserve"> compatible with human rights given it promotes the protection of human rights, specifically the right to privacy. To the extent that it may limit human rights, those limitations </w:t>
      </w:r>
      <w:r>
        <w:rPr>
          <w:rFonts w:ascii="Times New Roman" w:hAnsi="Times New Roman" w:cs="Times New Roman"/>
          <w:sz w:val="24"/>
          <w:szCs w:val="24"/>
        </w:rPr>
        <w:t>are</w:t>
      </w:r>
      <w:r w:rsidRPr="00247A82">
        <w:rPr>
          <w:rFonts w:ascii="Times New Roman" w:hAnsi="Times New Roman" w:cs="Times New Roman"/>
          <w:sz w:val="24"/>
          <w:szCs w:val="24"/>
        </w:rPr>
        <w:t xml:space="preserve"> reasonable, necessary and proportionate. </w:t>
      </w:r>
    </w:p>
    <w:p w14:paraId="3669E5C8" w14:textId="77777777" w:rsidR="007A5965" w:rsidRDefault="007A5965">
      <w:pPr>
        <w:rPr>
          <w:rFonts w:ascii="Times New Roman" w:hAnsi="Times New Roman"/>
          <w:b/>
          <w:sz w:val="24"/>
          <w:szCs w:val="24"/>
          <w:u w:val="single"/>
        </w:rPr>
      </w:pPr>
      <w:r>
        <w:rPr>
          <w:rFonts w:ascii="Times New Roman" w:hAnsi="Times New Roman"/>
          <w:b/>
          <w:sz w:val="24"/>
          <w:szCs w:val="24"/>
          <w:u w:val="single"/>
        </w:rPr>
        <w:br w:type="page"/>
      </w:r>
    </w:p>
    <w:p w14:paraId="17A0F077" w14:textId="77777777" w:rsidR="004D3DA0" w:rsidRPr="00C97E05" w:rsidRDefault="004D3DA0" w:rsidP="004D3DA0">
      <w:pPr>
        <w:spacing w:line="240" w:lineRule="auto"/>
        <w:contextualSpacing/>
        <w:jc w:val="right"/>
        <w:rPr>
          <w:rFonts w:ascii="Times New Roman" w:hAnsi="Times New Roman"/>
          <w:b/>
          <w:sz w:val="24"/>
          <w:szCs w:val="24"/>
          <w:u w:val="single"/>
        </w:rPr>
      </w:pPr>
      <w:r w:rsidRPr="00C97E05">
        <w:rPr>
          <w:rFonts w:ascii="Times New Roman" w:hAnsi="Times New Roman"/>
          <w:b/>
          <w:sz w:val="24"/>
          <w:szCs w:val="24"/>
          <w:u w:val="single"/>
        </w:rPr>
        <w:t>ATTACHMENT</w:t>
      </w:r>
      <w:r w:rsidR="00481930">
        <w:rPr>
          <w:rFonts w:ascii="Times New Roman" w:hAnsi="Times New Roman"/>
          <w:b/>
          <w:sz w:val="24"/>
          <w:szCs w:val="24"/>
          <w:u w:val="single"/>
        </w:rPr>
        <w:t xml:space="preserve"> B</w:t>
      </w:r>
    </w:p>
    <w:p w14:paraId="1435D1A9" w14:textId="77777777" w:rsidR="004D3DA0" w:rsidRPr="00C97E05" w:rsidRDefault="004D3DA0" w:rsidP="004D3DA0">
      <w:pPr>
        <w:spacing w:line="240" w:lineRule="auto"/>
        <w:contextualSpacing/>
        <w:rPr>
          <w:rFonts w:ascii="Times New Roman" w:hAnsi="Times New Roman"/>
          <w:b/>
          <w:sz w:val="24"/>
          <w:szCs w:val="24"/>
          <w:u w:val="single"/>
        </w:rPr>
      </w:pPr>
    </w:p>
    <w:p w14:paraId="6FB8FE5C" w14:textId="77777777" w:rsidR="004D3DA0" w:rsidRPr="004D3DA0" w:rsidRDefault="004D3DA0" w:rsidP="004D3DA0">
      <w:pPr>
        <w:rPr>
          <w:rFonts w:ascii="Times New Roman" w:hAnsi="Times New Roman" w:cs="Times New Roman"/>
          <w:b/>
          <w:i/>
          <w:sz w:val="24"/>
          <w:szCs w:val="24"/>
          <w:u w:val="single"/>
        </w:rPr>
      </w:pPr>
      <w:r w:rsidRPr="00C97E05">
        <w:rPr>
          <w:rFonts w:ascii="Times New Roman" w:hAnsi="Times New Roman"/>
          <w:b/>
          <w:sz w:val="24"/>
          <w:szCs w:val="24"/>
          <w:u w:val="single"/>
        </w:rPr>
        <w:t xml:space="preserve">Details of the </w:t>
      </w:r>
      <w:r w:rsidRPr="004D3DA0">
        <w:rPr>
          <w:rFonts w:ascii="Times New Roman" w:hAnsi="Times New Roman" w:cs="Times New Roman"/>
          <w:b/>
          <w:i/>
          <w:sz w:val="24"/>
          <w:szCs w:val="24"/>
          <w:u w:val="single"/>
        </w:rPr>
        <w:t>Telecommunications (Interception and Access) (Requirements for Authorisations, Notifications and</w:t>
      </w:r>
      <w:r w:rsidR="006D00BF">
        <w:rPr>
          <w:rFonts w:ascii="Times New Roman" w:hAnsi="Times New Roman" w:cs="Times New Roman"/>
          <w:b/>
          <w:i/>
          <w:sz w:val="24"/>
          <w:szCs w:val="24"/>
          <w:u w:val="single"/>
        </w:rPr>
        <w:t xml:space="preserve"> Revocations) Determination 2018</w:t>
      </w:r>
    </w:p>
    <w:p w14:paraId="2702F194" w14:textId="77777777" w:rsidR="00640E64" w:rsidRPr="00A927DF" w:rsidRDefault="00640E64" w:rsidP="00A927DF">
      <w:pPr>
        <w:pStyle w:val="Heading1"/>
        <w:spacing w:before="0" w:line="240" w:lineRule="auto"/>
        <w:rPr>
          <w:u w:val="single"/>
        </w:rPr>
      </w:pPr>
      <w:r w:rsidRPr="00A927DF">
        <w:rPr>
          <w:u w:val="single"/>
        </w:rPr>
        <w:t>Part 1 – Preliminary</w:t>
      </w:r>
    </w:p>
    <w:p w14:paraId="36FA92CF" w14:textId="77777777" w:rsidR="004D3DA0" w:rsidRPr="00560F0E" w:rsidRDefault="004D3DA0" w:rsidP="00A927DF">
      <w:pPr>
        <w:pStyle w:val="Heading1"/>
        <w:spacing w:before="240" w:line="240" w:lineRule="auto"/>
      </w:pPr>
      <w:r w:rsidRPr="00560F0E">
        <w:t xml:space="preserve">Section 1 – Name of Determination </w:t>
      </w:r>
    </w:p>
    <w:p w14:paraId="45DED316" w14:textId="77777777" w:rsidR="00481930" w:rsidRDefault="009B77A4" w:rsidP="00A927DF">
      <w:pPr>
        <w:pStyle w:val="ListParagraph"/>
        <w:numPr>
          <w:ilvl w:val="0"/>
          <w:numId w:val="13"/>
        </w:numPr>
        <w:tabs>
          <w:tab w:val="left" w:pos="993"/>
        </w:tabs>
        <w:spacing w:before="240" w:after="240" w:line="240" w:lineRule="auto"/>
        <w:ind w:left="646" w:hanging="646"/>
        <w:contextualSpacing w:val="0"/>
        <w:rPr>
          <w:rFonts w:ascii="Times New Roman" w:hAnsi="Times New Roman" w:cs="Times New Roman"/>
          <w:sz w:val="24"/>
          <w:szCs w:val="24"/>
        </w:rPr>
      </w:pPr>
      <w:r>
        <w:rPr>
          <w:rFonts w:ascii="Times New Roman" w:hAnsi="Times New Roman" w:cs="Times New Roman"/>
          <w:sz w:val="24"/>
          <w:szCs w:val="24"/>
        </w:rPr>
        <w:t>Sub</w:t>
      </w:r>
      <w:r w:rsidR="004D3DA0" w:rsidRPr="00560F0E">
        <w:rPr>
          <w:rFonts w:ascii="Times New Roman" w:hAnsi="Times New Roman" w:cs="Times New Roman"/>
          <w:sz w:val="24"/>
          <w:szCs w:val="24"/>
        </w:rPr>
        <w:t>section</w:t>
      </w:r>
      <w:r>
        <w:rPr>
          <w:rFonts w:ascii="Times New Roman" w:hAnsi="Times New Roman" w:cs="Times New Roman"/>
          <w:sz w:val="24"/>
          <w:szCs w:val="24"/>
        </w:rPr>
        <w:t xml:space="preserve"> 1(1)</w:t>
      </w:r>
      <w:r w:rsidR="004D3DA0" w:rsidRPr="00560F0E">
        <w:rPr>
          <w:rFonts w:ascii="Times New Roman" w:hAnsi="Times New Roman" w:cs="Times New Roman"/>
          <w:sz w:val="24"/>
          <w:szCs w:val="24"/>
        </w:rPr>
        <w:t xml:space="preserve"> provide</w:t>
      </w:r>
      <w:r w:rsidR="00C03DA2">
        <w:rPr>
          <w:rFonts w:ascii="Times New Roman" w:hAnsi="Times New Roman" w:cs="Times New Roman"/>
          <w:sz w:val="24"/>
          <w:szCs w:val="24"/>
        </w:rPr>
        <w:t>s</w:t>
      </w:r>
      <w:r w:rsidR="004D3DA0" w:rsidRPr="00560F0E">
        <w:rPr>
          <w:rFonts w:ascii="Times New Roman" w:hAnsi="Times New Roman" w:cs="Times New Roman"/>
          <w:sz w:val="24"/>
          <w:szCs w:val="24"/>
        </w:rPr>
        <w:t xml:space="preserve"> that the </w:t>
      </w:r>
      <w:r w:rsidR="004D3DA0">
        <w:rPr>
          <w:rFonts w:ascii="Times New Roman" w:hAnsi="Times New Roman" w:cs="Times New Roman"/>
          <w:sz w:val="24"/>
          <w:szCs w:val="24"/>
        </w:rPr>
        <w:t>name</w:t>
      </w:r>
      <w:r w:rsidR="004D3DA0" w:rsidRPr="00560F0E">
        <w:rPr>
          <w:rFonts w:ascii="Times New Roman" w:hAnsi="Times New Roman" w:cs="Times New Roman"/>
          <w:sz w:val="24"/>
          <w:szCs w:val="24"/>
        </w:rPr>
        <w:t xml:space="preserve"> of the Determination is the </w:t>
      </w:r>
      <w:r w:rsidR="004D3DA0" w:rsidRPr="006D00BF">
        <w:rPr>
          <w:rFonts w:ascii="Times New Roman" w:hAnsi="Times New Roman" w:cs="Times New Roman"/>
          <w:i/>
          <w:sz w:val="24"/>
          <w:szCs w:val="24"/>
        </w:rPr>
        <w:t xml:space="preserve">Telecommunications (Interception and Access) </w:t>
      </w:r>
      <w:r w:rsidR="00246CD6">
        <w:rPr>
          <w:rFonts w:ascii="Times New Roman" w:hAnsi="Times New Roman" w:cs="Times New Roman"/>
          <w:i/>
          <w:sz w:val="24"/>
          <w:szCs w:val="24"/>
        </w:rPr>
        <w:t>(</w:t>
      </w:r>
      <w:r w:rsidR="004D3DA0" w:rsidRPr="006D00BF">
        <w:rPr>
          <w:rFonts w:ascii="Times New Roman" w:hAnsi="Times New Roman" w:cs="Times New Roman"/>
          <w:i/>
          <w:sz w:val="24"/>
          <w:szCs w:val="24"/>
        </w:rPr>
        <w:t>Requirements for Authorisations, Notifications an</w:t>
      </w:r>
      <w:r w:rsidR="006D00BF">
        <w:rPr>
          <w:rFonts w:ascii="Times New Roman" w:hAnsi="Times New Roman" w:cs="Times New Roman"/>
          <w:i/>
          <w:sz w:val="24"/>
          <w:szCs w:val="24"/>
        </w:rPr>
        <w:t>d Revocations) Determination 20</w:t>
      </w:r>
      <w:r w:rsidR="000E2203">
        <w:rPr>
          <w:rFonts w:ascii="Times New Roman" w:hAnsi="Times New Roman" w:cs="Times New Roman"/>
          <w:i/>
          <w:sz w:val="24"/>
          <w:szCs w:val="24"/>
        </w:rPr>
        <w:t>23</w:t>
      </w:r>
      <w:r w:rsidR="004D3DA0" w:rsidRPr="00560F0E">
        <w:rPr>
          <w:rFonts w:ascii="Times New Roman" w:hAnsi="Times New Roman" w:cs="Times New Roman"/>
          <w:sz w:val="24"/>
          <w:szCs w:val="24"/>
        </w:rPr>
        <w:t xml:space="preserve"> (the </w:t>
      </w:r>
      <w:r w:rsidR="004D3DA0">
        <w:rPr>
          <w:rFonts w:ascii="Times New Roman" w:hAnsi="Times New Roman" w:cs="Times New Roman"/>
          <w:sz w:val="24"/>
          <w:szCs w:val="24"/>
        </w:rPr>
        <w:t>Principal</w:t>
      </w:r>
      <w:r w:rsidR="004D3DA0" w:rsidRPr="00560F0E">
        <w:rPr>
          <w:rFonts w:ascii="Times New Roman" w:hAnsi="Times New Roman" w:cs="Times New Roman"/>
          <w:sz w:val="24"/>
          <w:szCs w:val="24"/>
        </w:rPr>
        <w:t xml:space="preserve"> Determination).</w:t>
      </w:r>
    </w:p>
    <w:p w14:paraId="1DC4B5C3" w14:textId="77777777" w:rsidR="004D3DA0" w:rsidRPr="00560F0E" w:rsidRDefault="004D3DA0" w:rsidP="00A927DF">
      <w:pPr>
        <w:pStyle w:val="Heading1"/>
        <w:spacing w:before="0" w:line="240" w:lineRule="auto"/>
      </w:pPr>
      <w:r w:rsidRPr="00560F0E">
        <w:t xml:space="preserve">Section 2 – Commencement </w:t>
      </w:r>
    </w:p>
    <w:p w14:paraId="1E7DCD63" w14:textId="77777777" w:rsidR="004D3DA0" w:rsidRPr="00560F0E" w:rsidRDefault="004D3DA0" w:rsidP="00A927DF">
      <w:pPr>
        <w:pStyle w:val="ListParagraph"/>
        <w:numPr>
          <w:ilvl w:val="0"/>
          <w:numId w:val="13"/>
        </w:numPr>
        <w:tabs>
          <w:tab w:val="left" w:pos="993"/>
        </w:tabs>
        <w:spacing w:before="240" w:line="240" w:lineRule="auto"/>
        <w:ind w:left="646" w:hanging="646"/>
        <w:contextualSpacing w:val="0"/>
        <w:rPr>
          <w:rFonts w:ascii="Times New Roman" w:hAnsi="Times New Roman" w:cs="Times New Roman"/>
          <w:sz w:val="24"/>
          <w:szCs w:val="24"/>
        </w:rPr>
      </w:pPr>
      <w:r w:rsidRPr="00560F0E">
        <w:rPr>
          <w:rFonts w:ascii="Times New Roman" w:hAnsi="Times New Roman" w:cs="Times New Roman"/>
          <w:sz w:val="24"/>
          <w:szCs w:val="24"/>
        </w:rPr>
        <w:t>This section provide</w:t>
      </w:r>
      <w:r w:rsidR="00C03DA2">
        <w:rPr>
          <w:rFonts w:ascii="Times New Roman" w:hAnsi="Times New Roman" w:cs="Times New Roman"/>
          <w:sz w:val="24"/>
          <w:szCs w:val="24"/>
        </w:rPr>
        <w:t>s</w:t>
      </w:r>
      <w:r w:rsidRPr="00560F0E">
        <w:rPr>
          <w:rFonts w:ascii="Times New Roman" w:hAnsi="Times New Roman" w:cs="Times New Roman"/>
          <w:sz w:val="24"/>
          <w:szCs w:val="24"/>
        </w:rPr>
        <w:t xml:space="preserve"> that the </w:t>
      </w:r>
      <w:r w:rsidR="004B3175">
        <w:rPr>
          <w:rFonts w:ascii="Times New Roman" w:hAnsi="Times New Roman" w:cs="Times New Roman"/>
          <w:sz w:val="24"/>
          <w:szCs w:val="24"/>
        </w:rPr>
        <w:t xml:space="preserve">Principal </w:t>
      </w:r>
      <w:r w:rsidRPr="00560F0E">
        <w:rPr>
          <w:rFonts w:ascii="Times New Roman" w:hAnsi="Times New Roman" w:cs="Times New Roman"/>
          <w:sz w:val="24"/>
          <w:szCs w:val="24"/>
        </w:rPr>
        <w:t>Determination commence</w:t>
      </w:r>
      <w:r w:rsidR="00C03DA2">
        <w:rPr>
          <w:rFonts w:ascii="Times New Roman" w:hAnsi="Times New Roman" w:cs="Times New Roman"/>
          <w:sz w:val="24"/>
          <w:szCs w:val="24"/>
        </w:rPr>
        <w:t>s</w:t>
      </w:r>
      <w:r w:rsidRPr="00560F0E">
        <w:rPr>
          <w:rFonts w:ascii="Times New Roman" w:hAnsi="Times New Roman" w:cs="Times New Roman"/>
          <w:sz w:val="24"/>
          <w:szCs w:val="24"/>
        </w:rPr>
        <w:t xml:space="preserve"> </w:t>
      </w:r>
      <w:r w:rsidR="00BA5DC9">
        <w:rPr>
          <w:rFonts w:ascii="Times New Roman" w:hAnsi="Times New Roman" w:cs="Times New Roman"/>
          <w:sz w:val="24"/>
          <w:szCs w:val="24"/>
        </w:rPr>
        <w:t>upon registration</w:t>
      </w:r>
      <w:r w:rsidR="00F141A7">
        <w:rPr>
          <w:rFonts w:ascii="Times New Roman" w:hAnsi="Times New Roman" w:cs="Times New Roman"/>
          <w:sz w:val="24"/>
          <w:szCs w:val="24"/>
        </w:rPr>
        <w:t xml:space="preserve">. </w:t>
      </w:r>
    </w:p>
    <w:p w14:paraId="5B3D16BF" w14:textId="77777777" w:rsidR="00481930" w:rsidRDefault="00481930" w:rsidP="00A927DF">
      <w:pPr>
        <w:pStyle w:val="Heading1"/>
        <w:spacing w:before="0" w:line="240" w:lineRule="auto"/>
      </w:pPr>
      <w:r>
        <w:t>Section 3 – Authority</w:t>
      </w:r>
    </w:p>
    <w:p w14:paraId="519E77AD" w14:textId="60D17271" w:rsidR="00481930" w:rsidRDefault="00481930" w:rsidP="00A927DF">
      <w:pPr>
        <w:pStyle w:val="ListParagraph"/>
        <w:numPr>
          <w:ilvl w:val="0"/>
          <w:numId w:val="13"/>
        </w:numPr>
        <w:tabs>
          <w:tab w:val="left" w:pos="993"/>
        </w:tabs>
        <w:spacing w:before="240" w:line="240" w:lineRule="auto"/>
        <w:ind w:left="646" w:hanging="646"/>
        <w:contextualSpacing w:val="0"/>
        <w:rPr>
          <w:rFonts w:ascii="Times New Roman" w:hAnsi="Times New Roman" w:cs="Times New Roman"/>
          <w:sz w:val="24"/>
          <w:szCs w:val="24"/>
        </w:rPr>
      </w:pPr>
      <w:r>
        <w:rPr>
          <w:rFonts w:ascii="Times New Roman" w:hAnsi="Times New Roman" w:cs="Times New Roman"/>
          <w:sz w:val="24"/>
          <w:szCs w:val="24"/>
        </w:rPr>
        <w:t>This section provides that the Principal Determination is made und</w:t>
      </w:r>
      <w:r w:rsidR="008C7E93">
        <w:rPr>
          <w:rFonts w:ascii="Times New Roman" w:hAnsi="Times New Roman" w:cs="Times New Roman"/>
          <w:sz w:val="24"/>
          <w:szCs w:val="24"/>
        </w:rPr>
        <w:t xml:space="preserve">er subsection 183(2) of the </w:t>
      </w:r>
      <w:r w:rsidR="008C7E93" w:rsidRPr="008C1189">
        <w:rPr>
          <w:rFonts w:ascii="Times New Roman" w:hAnsi="Times New Roman" w:cs="Times New Roman"/>
          <w:i/>
          <w:sz w:val="24"/>
          <w:szCs w:val="24"/>
        </w:rPr>
        <w:t>Telecommunications (Interception and Access) Act 1979</w:t>
      </w:r>
      <w:r w:rsidR="008C7E93">
        <w:rPr>
          <w:rFonts w:ascii="Times New Roman" w:hAnsi="Times New Roman" w:cs="Times New Roman"/>
          <w:sz w:val="24"/>
          <w:szCs w:val="24"/>
        </w:rPr>
        <w:t xml:space="preserve"> (the TIA Act). Subsection 183(2) of the TIA Act provides that the Communications Access Co</w:t>
      </w:r>
      <w:r w:rsidR="00525426">
        <w:rPr>
          <w:rFonts w:ascii="Times New Roman" w:hAnsi="Times New Roman" w:cs="Times New Roman"/>
          <w:sz w:val="24"/>
          <w:szCs w:val="24"/>
        </w:rPr>
        <w:noBreakHyphen/>
      </w:r>
      <w:r w:rsidR="008C7E93">
        <w:rPr>
          <w:rFonts w:ascii="Times New Roman" w:hAnsi="Times New Roman" w:cs="Times New Roman"/>
          <w:sz w:val="24"/>
          <w:szCs w:val="24"/>
        </w:rPr>
        <w:t xml:space="preserve">ordinator may, by legislative instrument, determine requirements for the purposes of paragraph 183(1)(f) of the TIA Act. </w:t>
      </w:r>
    </w:p>
    <w:p w14:paraId="4761FCF7" w14:textId="77777777" w:rsidR="008C7E93" w:rsidRPr="00481930" w:rsidRDefault="008C7E93" w:rsidP="00481930">
      <w:pPr>
        <w:pStyle w:val="ListParagraph"/>
        <w:numPr>
          <w:ilvl w:val="0"/>
          <w:numId w:val="13"/>
        </w:numPr>
        <w:tabs>
          <w:tab w:val="left" w:pos="993"/>
        </w:tabs>
        <w:spacing w:line="240" w:lineRule="auto"/>
        <w:ind w:left="646" w:hanging="644"/>
        <w:rPr>
          <w:rFonts w:ascii="Times New Roman" w:hAnsi="Times New Roman" w:cs="Times New Roman"/>
          <w:sz w:val="24"/>
          <w:szCs w:val="24"/>
        </w:rPr>
      </w:pPr>
      <w:r>
        <w:rPr>
          <w:rFonts w:ascii="Times New Roman" w:hAnsi="Times New Roman" w:cs="Times New Roman"/>
          <w:sz w:val="24"/>
          <w:szCs w:val="24"/>
        </w:rPr>
        <w:t>Paragraph 183(1)(f) of the TIA Act provides that an authorisation under Division 3, 4 or 4A of Part 4-1, the notification of such an authorisation, the revocation of such an authorisation and the notification of such a revocation, must comply with such requirements as are determined in a legislative instrument under subsection 183(2) of the TIA Act.</w:t>
      </w:r>
    </w:p>
    <w:p w14:paraId="153276C3" w14:textId="77777777" w:rsidR="004D3DA0" w:rsidRPr="00560F0E" w:rsidRDefault="004D3DA0" w:rsidP="00A927DF">
      <w:pPr>
        <w:pStyle w:val="Heading1"/>
        <w:spacing w:before="0" w:line="240" w:lineRule="auto"/>
      </w:pPr>
      <w:r w:rsidRPr="00560F0E">
        <w:t xml:space="preserve">Section </w:t>
      </w:r>
      <w:r w:rsidR="008C7E93">
        <w:t>4</w:t>
      </w:r>
      <w:r w:rsidRPr="00560F0E">
        <w:t xml:space="preserve"> – Definitions</w:t>
      </w:r>
    </w:p>
    <w:p w14:paraId="4C02C0F3" w14:textId="77777777" w:rsidR="008C1189" w:rsidRDefault="004D3DA0" w:rsidP="00A927DF">
      <w:pPr>
        <w:pStyle w:val="ListParagraph"/>
        <w:numPr>
          <w:ilvl w:val="0"/>
          <w:numId w:val="13"/>
        </w:numPr>
        <w:tabs>
          <w:tab w:val="left" w:pos="993"/>
        </w:tabs>
        <w:spacing w:before="240" w:line="240" w:lineRule="auto"/>
        <w:ind w:left="646" w:hanging="646"/>
        <w:contextualSpacing w:val="0"/>
        <w:rPr>
          <w:rFonts w:ascii="Times New Roman" w:hAnsi="Times New Roman" w:cs="Times New Roman"/>
          <w:sz w:val="24"/>
          <w:szCs w:val="24"/>
        </w:rPr>
      </w:pPr>
      <w:r w:rsidRPr="00560F0E">
        <w:rPr>
          <w:rFonts w:ascii="Times New Roman" w:hAnsi="Times New Roman" w:cs="Times New Roman"/>
          <w:sz w:val="24"/>
          <w:szCs w:val="24"/>
        </w:rPr>
        <w:t>This section provide</w:t>
      </w:r>
      <w:r w:rsidR="00C03DA2">
        <w:rPr>
          <w:rFonts w:ascii="Times New Roman" w:hAnsi="Times New Roman" w:cs="Times New Roman"/>
          <w:sz w:val="24"/>
          <w:szCs w:val="24"/>
        </w:rPr>
        <w:t>s</w:t>
      </w:r>
      <w:r w:rsidRPr="00560F0E">
        <w:rPr>
          <w:rFonts w:ascii="Times New Roman" w:hAnsi="Times New Roman" w:cs="Times New Roman"/>
          <w:sz w:val="24"/>
          <w:szCs w:val="24"/>
        </w:rPr>
        <w:t xml:space="preserve"> that a reference to ‘Act’ in the </w:t>
      </w:r>
      <w:r>
        <w:rPr>
          <w:rFonts w:ascii="Times New Roman" w:hAnsi="Times New Roman" w:cs="Times New Roman"/>
          <w:sz w:val="24"/>
          <w:szCs w:val="24"/>
        </w:rPr>
        <w:t>Principal</w:t>
      </w:r>
      <w:r w:rsidRPr="00560F0E">
        <w:rPr>
          <w:rFonts w:ascii="Times New Roman" w:hAnsi="Times New Roman" w:cs="Times New Roman"/>
          <w:sz w:val="24"/>
          <w:szCs w:val="24"/>
        </w:rPr>
        <w:t xml:space="preserve"> Determination refe</w:t>
      </w:r>
      <w:r w:rsidR="00C3505A">
        <w:rPr>
          <w:rFonts w:ascii="Times New Roman" w:hAnsi="Times New Roman" w:cs="Times New Roman"/>
          <w:sz w:val="24"/>
          <w:szCs w:val="24"/>
        </w:rPr>
        <w:t>r</w:t>
      </w:r>
      <w:r w:rsidR="00F141A7">
        <w:rPr>
          <w:rFonts w:ascii="Times New Roman" w:hAnsi="Times New Roman" w:cs="Times New Roman"/>
          <w:sz w:val="24"/>
          <w:szCs w:val="24"/>
        </w:rPr>
        <w:t>s</w:t>
      </w:r>
      <w:r w:rsidRPr="00560F0E">
        <w:rPr>
          <w:rFonts w:ascii="Times New Roman" w:hAnsi="Times New Roman" w:cs="Times New Roman"/>
          <w:sz w:val="24"/>
          <w:szCs w:val="24"/>
        </w:rPr>
        <w:t xml:space="preserve"> to the </w:t>
      </w:r>
      <w:r w:rsidRPr="008C1189">
        <w:rPr>
          <w:rFonts w:ascii="Times New Roman" w:hAnsi="Times New Roman" w:cs="Times New Roman"/>
          <w:i/>
          <w:sz w:val="24"/>
          <w:szCs w:val="24"/>
        </w:rPr>
        <w:t>Telecommunications (Interception and Access) Act 1979</w:t>
      </w:r>
      <w:r w:rsidRPr="00560F0E">
        <w:rPr>
          <w:rFonts w:ascii="Times New Roman" w:hAnsi="Times New Roman" w:cs="Times New Roman"/>
          <w:sz w:val="24"/>
          <w:szCs w:val="24"/>
        </w:rPr>
        <w:t xml:space="preserve">. </w:t>
      </w:r>
    </w:p>
    <w:p w14:paraId="20B10744" w14:textId="77777777" w:rsidR="004D3DA0" w:rsidRPr="008C1189" w:rsidRDefault="004D3DA0" w:rsidP="007A5965">
      <w:pPr>
        <w:pStyle w:val="ListParagraph"/>
        <w:numPr>
          <w:ilvl w:val="0"/>
          <w:numId w:val="13"/>
        </w:numPr>
        <w:tabs>
          <w:tab w:val="left" w:pos="993"/>
        </w:tabs>
        <w:spacing w:line="240" w:lineRule="auto"/>
        <w:ind w:left="646" w:hanging="644"/>
        <w:rPr>
          <w:rFonts w:ascii="Times New Roman" w:hAnsi="Times New Roman" w:cs="Times New Roman"/>
          <w:sz w:val="24"/>
          <w:szCs w:val="24"/>
        </w:rPr>
      </w:pPr>
      <w:r w:rsidRPr="008C1189">
        <w:rPr>
          <w:rFonts w:ascii="Times New Roman" w:hAnsi="Times New Roman" w:cs="Times New Roman"/>
          <w:sz w:val="24"/>
          <w:szCs w:val="24"/>
        </w:rPr>
        <w:t>Note 1 list</w:t>
      </w:r>
      <w:r w:rsidR="00C03DA2">
        <w:rPr>
          <w:rFonts w:ascii="Times New Roman" w:hAnsi="Times New Roman" w:cs="Times New Roman"/>
          <w:sz w:val="24"/>
          <w:szCs w:val="24"/>
        </w:rPr>
        <w:t>s</w:t>
      </w:r>
      <w:r w:rsidRPr="008C1189">
        <w:rPr>
          <w:rFonts w:ascii="Times New Roman" w:hAnsi="Times New Roman" w:cs="Times New Roman"/>
          <w:sz w:val="24"/>
          <w:szCs w:val="24"/>
        </w:rPr>
        <w:t xml:space="preserve"> key terms in the Principal Determination as defined under subsection 5(1) of the TIA Act. Note 2 refer</w:t>
      </w:r>
      <w:r w:rsidR="00C03DA2">
        <w:rPr>
          <w:rFonts w:ascii="Times New Roman" w:hAnsi="Times New Roman" w:cs="Times New Roman"/>
          <w:sz w:val="24"/>
          <w:szCs w:val="24"/>
        </w:rPr>
        <w:t>s</w:t>
      </w:r>
      <w:r w:rsidRPr="008C1189">
        <w:rPr>
          <w:rFonts w:ascii="Times New Roman" w:hAnsi="Times New Roman" w:cs="Times New Roman"/>
          <w:sz w:val="24"/>
          <w:szCs w:val="24"/>
        </w:rPr>
        <w:t xml:space="preserve"> to the definition of ‘eligible person’ in </w:t>
      </w:r>
      <w:r w:rsidR="005B5577" w:rsidRPr="008C1189">
        <w:rPr>
          <w:rFonts w:ascii="Times New Roman" w:hAnsi="Times New Roman" w:cs="Times New Roman"/>
          <w:sz w:val="24"/>
          <w:szCs w:val="24"/>
        </w:rPr>
        <w:t>subsection</w:t>
      </w:r>
      <w:r w:rsidR="005B5577">
        <w:rPr>
          <w:rFonts w:ascii="Times New Roman" w:hAnsi="Times New Roman" w:cs="Times New Roman"/>
          <w:sz w:val="24"/>
          <w:szCs w:val="24"/>
        </w:rPr>
        <w:t>s </w:t>
      </w:r>
      <w:r w:rsidRPr="008C1189">
        <w:rPr>
          <w:rFonts w:ascii="Times New Roman" w:hAnsi="Times New Roman" w:cs="Times New Roman"/>
          <w:sz w:val="24"/>
          <w:szCs w:val="24"/>
        </w:rPr>
        <w:t>175(</w:t>
      </w:r>
      <w:r w:rsidR="00C3505A">
        <w:rPr>
          <w:rFonts w:ascii="Times New Roman" w:hAnsi="Times New Roman" w:cs="Times New Roman"/>
          <w:sz w:val="24"/>
          <w:szCs w:val="24"/>
        </w:rPr>
        <w:t xml:space="preserve">2) </w:t>
      </w:r>
      <w:r w:rsidR="008C7E93">
        <w:rPr>
          <w:rFonts w:ascii="Times New Roman" w:hAnsi="Times New Roman" w:cs="Times New Roman"/>
          <w:sz w:val="24"/>
          <w:szCs w:val="24"/>
        </w:rPr>
        <w:t>and</w:t>
      </w:r>
      <w:r w:rsidR="005B5577">
        <w:rPr>
          <w:rFonts w:ascii="Times New Roman" w:hAnsi="Times New Roman" w:cs="Times New Roman"/>
          <w:sz w:val="24"/>
          <w:szCs w:val="24"/>
        </w:rPr>
        <w:t> </w:t>
      </w:r>
      <w:r w:rsidR="008C7E93">
        <w:rPr>
          <w:rFonts w:ascii="Times New Roman" w:hAnsi="Times New Roman" w:cs="Times New Roman"/>
          <w:sz w:val="24"/>
          <w:szCs w:val="24"/>
        </w:rPr>
        <w:t xml:space="preserve">176(2) </w:t>
      </w:r>
      <w:r w:rsidR="00C3505A">
        <w:rPr>
          <w:rFonts w:ascii="Times New Roman" w:hAnsi="Times New Roman" w:cs="Times New Roman"/>
          <w:sz w:val="24"/>
          <w:szCs w:val="24"/>
        </w:rPr>
        <w:t>of the TIA Act. Note 3 refer</w:t>
      </w:r>
      <w:r w:rsidR="00C03DA2">
        <w:rPr>
          <w:rFonts w:ascii="Times New Roman" w:hAnsi="Times New Roman" w:cs="Times New Roman"/>
          <w:sz w:val="24"/>
          <w:szCs w:val="24"/>
        </w:rPr>
        <w:t>s</w:t>
      </w:r>
      <w:r w:rsidRPr="008C1189">
        <w:rPr>
          <w:rFonts w:ascii="Times New Roman" w:hAnsi="Times New Roman" w:cs="Times New Roman"/>
          <w:sz w:val="24"/>
          <w:szCs w:val="24"/>
        </w:rPr>
        <w:t xml:space="preserve"> to the definition of ‘international offence’ in subsection 162(3) of the TIA Act.</w:t>
      </w:r>
    </w:p>
    <w:p w14:paraId="42707F24" w14:textId="77777777" w:rsidR="004D3DA0" w:rsidRPr="00560F0E" w:rsidRDefault="004D3DA0" w:rsidP="00A927DF">
      <w:pPr>
        <w:pStyle w:val="Heading1"/>
        <w:spacing w:before="0" w:line="240" w:lineRule="auto"/>
      </w:pPr>
      <w:r w:rsidRPr="00560F0E">
        <w:t xml:space="preserve">Section </w:t>
      </w:r>
      <w:r w:rsidR="008C7E93">
        <w:t>5</w:t>
      </w:r>
      <w:r w:rsidRPr="00560F0E">
        <w:t xml:space="preserve"> – Consultation</w:t>
      </w:r>
    </w:p>
    <w:p w14:paraId="70CA4DD5" w14:textId="26ED369C" w:rsidR="004D3DA0" w:rsidRPr="00560F0E" w:rsidRDefault="004D3DA0" w:rsidP="00A927DF">
      <w:pPr>
        <w:pStyle w:val="ListParagraph"/>
        <w:numPr>
          <w:ilvl w:val="0"/>
          <w:numId w:val="13"/>
        </w:numPr>
        <w:tabs>
          <w:tab w:val="left" w:pos="993"/>
        </w:tabs>
        <w:spacing w:before="240" w:line="240" w:lineRule="auto"/>
        <w:ind w:left="646" w:hanging="646"/>
        <w:contextualSpacing w:val="0"/>
        <w:rPr>
          <w:rFonts w:ascii="Times New Roman" w:hAnsi="Times New Roman" w:cs="Times New Roman"/>
          <w:sz w:val="24"/>
          <w:szCs w:val="24"/>
        </w:rPr>
      </w:pPr>
      <w:r w:rsidRPr="00560F0E">
        <w:rPr>
          <w:rFonts w:ascii="Times New Roman" w:hAnsi="Times New Roman" w:cs="Times New Roman"/>
          <w:sz w:val="24"/>
          <w:szCs w:val="24"/>
        </w:rPr>
        <w:t xml:space="preserve">Subsection 183(3) of the </w:t>
      </w:r>
      <w:r>
        <w:rPr>
          <w:rFonts w:ascii="Times New Roman" w:hAnsi="Times New Roman" w:cs="Times New Roman"/>
          <w:sz w:val="24"/>
          <w:szCs w:val="24"/>
        </w:rPr>
        <w:t xml:space="preserve">TIA </w:t>
      </w:r>
      <w:r w:rsidRPr="00560F0E">
        <w:rPr>
          <w:rFonts w:ascii="Times New Roman" w:hAnsi="Times New Roman" w:cs="Times New Roman"/>
          <w:sz w:val="24"/>
          <w:szCs w:val="24"/>
        </w:rPr>
        <w:t xml:space="preserve">Act requires the Communications Access </w:t>
      </w:r>
      <w:r w:rsidR="00525426">
        <w:rPr>
          <w:rFonts w:ascii="Times New Roman" w:hAnsi="Times New Roman" w:cs="Times New Roman"/>
          <w:sz w:val="24"/>
          <w:szCs w:val="24"/>
        </w:rPr>
        <w:t>Co</w:t>
      </w:r>
      <w:r w:rsidR="00525426">
        <w:rPr>
          <w:rFonts w:ascii="Times New Roman" w:hAnsi="Times New Roman" w:cs="Times New Roman"/>
          <w:sz w:val="24"/>
          <w:szCs w:val="24"/>
        </w:rPr>
        <w:noBreakHyphen/>
        <w:t>ordinator</w:t>
      </w:r>
      <w:r w:rsidR="00525426" w:rsidRPr="00560F0E">
        <w:rPr>
          <w:rFonts w:ascii="Times New Roman" w:hAnsi="Times New Roman" w:cs="Times New Roman"/>
          <w:sz w:val="24"/>
          <w:szCs w:val="24"/>
        </w:rPr>
        <w:t xml:space="preserve"> </w:t>
      </w:r>
      <w:r w:rsidRPr="00560F0E">
        <w:rPr>
          <w:rFonts w:ascii="Times New Roman" w:hAnsi="Times New Roman" w:cs="Times New Roman"/>
          <w:sz w:val="24"/>
          <w:szCs w:val="24"/>
        </w:rPr>
        <w:t xml:space="preserve">to consult with the Australian Communications Media Authority and the Information Commissioner prior to making a determination regarding the form of authorisations, notifications and revocations under section 183(2) of the </w:t>
      </w:r>
      <w:r>
        <w:rPr>
          <w:rFonts w:ascii="Times New Roman" w:hAnsi="Times New Roman" w:cs="Times New Roman"/>
          <w:sz w:val="24"/>
          <w:szCs w:val="24"/>
        </w:rPr>
        <w:t xml:space="preserve">TIA </w:t>
      </w:r>
      <w:r w:rsidRPr="00560F0E">
        <w:rPr>
          <w:rFonts w:ascii="Times New Roman" w:hAnsi="Times New Roman" w:cs="Times New Roman"/>
          <w:sz w:val="24"/>
          <w:szCs w:val="24"/>
        </w:rPr>
        <w:t xml:space="preserve">Act. </w:t>
      </w:r>
    </w:p>
    <w:p w14:paraId="1C18E8B4" w14:textId="197E2E0C" w:rsidR="004D3DA0" w:rsidRPr="00560F0E" w:rsidRDefault="004D3DA0" w:rsidP="007A5965">
      <w:pPr>
        <w:pStyle w:val="ListParagraph"/>
        <w:numPr>
          <w:ilvl w:val="0"/>
          <w:numId w:val="13"/>
        </w:numPr>
        <w:tabs>
          <w:tab w:val="left" w:pos="993"/>
        </w:tabs>
        <w:spacing w:line="240" w:lineRule="auto"/>
        <w:ind w:left="646" w:hanging="644"/>
        <w:rPr>
          <w:rFonts w:ascii="Times New Roman" w:hAnsi="Times New Roman" w:cs="Times New Roman"/>
          <w:sz w:val="24"/>
          <w:szCs w:val="24"/>
        </w:rPr>
      </w:pPr>
      <w:r w:rsidRPr="00560F0E">
        <w:rPr>
          <w:rFonts w:ascii="Times New Roman" w:hAnsi="Times New Roman" w:cs="Times New Roman"/>
          <w:sz w:val="24"/>
          <w:szCs w:val="24"/>
        </w:rPr>
        <w:t xml:space="preserve">The </w:t>
      </w:r>
      <w:r>
        <w:rPr>
          <w:rFonts w:ascii="Times New Roman" w:hAnsi="Times New Roman" w:cs="Times New Roman"/>
          <w:sz w:val="24"/>
          <w:szCs w:val="24"/>
        </w:rPr>
        <w:t>Co</w:t>
      </w:r>
      <w:r w:rsidR="003E378C">
        <w:rPr>
          <w:rFonts w:ascii="Times New Roman" w:hAnsi="Times New Roman" w:cs="Times New Roman"/>
          <w:sz w:val="24"/>
          <w:szCs w:val="24"/>
        </w:rPr>
        <w:t>-</w:t>
      </w:r>
      <w:r>
        <w:rPr>
          <w:rFonts w:ascii="Times New Roman" w:hAnsi="Times New Roman" w:cs="Times New Roman"/>
          <w:sz w:val="24"/>
          <w:szCs w:val="24"/>
        </w:rPr>
        <w:t xml:space="preserve">ordinator </w:t>
      </w:r>
      <w:r w:rsidRPr="00560F0E">
        <w:rPr>
          <w:rFonts w:ascii="Times New Roman" w:hAnsi="Times New Roman" w:cs="Times New Roman"/>
          <w:sz w:val="24"/>
          <w:szCs w:val="24"/>
        </w:rPr>
        <w:t xml:space="preserve">consulted with </w:t>
      </w:r>
      <w:r w:rsidR="005B742A" w:rsidRPr="00560F0E">
        <w:rPr>
          <w:rFonts w:ascii="Times New Roman" w:hAnsi="Times New Roman" w:cs="Times New Roman"/>
          <w:sz w:val="24"/>
          <w:szCs w:val="24"/>
        </w:rPr>
        <w:t>the Australian Communications and Media Authority and the</w:t>
      </w:r>
      <w:r w:rsidR="005B742A">
        <w:rPr>
          <w:rFonts w:ascii="Times New Roman" w:hAnsi="Times New Roman" w:cs="Times New Roman"/>
          <w:sz w:val="24"/>
          <w:szCs w:val="24"/>
        </w:rPr>
        <w:t xml:space="preserve"> Office of the Australian</w:t>
      </w:r>
      <w:r w:rsidR="005B742A" w:rsidRPr="00560F0E">
        <w:rPr>
          <w:rFonts w:ascii="Times New Roman" w:hAnsi="Times New Roman" w:cs="Times New Roman"/>
          <w:sz w:val="24"/>
          <w:szCs w:val="24"/>
        </w:rPr>
        <w:t xml:space="preserve"> Information Commissioner </w:t>
      </w:r>
      <w:r w:rsidR="0015170B">
        <w:rPr>
          <w:rFonts w:ascii="Times New Roman" w:hAnsi="Times New Roman" w:cs="Times New Roman"/>
          <w:sz w:val="24"/>
          <w:szCs w:val="24"/>
        </w:rPr>
        <w:t xml:space="preserve">in </w:t>
      </w:r>
      <w:r w:rsidR="001254B8">
        <w:rPr>
          <w:rFonts w:ascii="Times New Roman" w:hAnsi="Times New Roman" w:cs="Times New Roman"/>
          <w:sz w:val="24"/>
          <w:szCs w:val="24"/>
        </w:rPr>
        <w:t>March 2023</w:t>
      </w:r>
      <w:r w:rsidRPr="00560F0E">
        <w:rPr>
          <w:rFonts w:ascii="Times New Roman" w:hAnsi="Times New Roman" w:cs="Times New Roman"/>
          <w:sz w:val="24"/>
          <w:szCs w:val="24"/>
        </w:rPr>
        <w:t xml:space="preserve"> and</w:t>
      </w:r>
      <w:r w:rsidR="0015170B">
        <w:rPr>
          <w:rFonts w:ascii="Times New Roman" w:hAnsi="Times New Roman" w:cs="Times New Roman"/>
          <w:sz w:val="24"/>
          <w:szCs w:val="24"/>
        </w:rPr>
        <w:t xml:space="preserve"> </w:t>
      </w:r>
      <w:r w:rsidR="00C3505A">
        <w:rPr>
          <w:rFonts w:ascii="Times New Roman" w:hAnsi="Times New Roman" w:cs="Times New Roman"/>
          <w:sz w:val="24"/>
          <w:szCs w:val="24"/>
        </w:rPr>
        <w:t>took</w:t>
      </w:r>
      <w:r w:rsidRPr="00560F0E">
        <w:rPr>
          <w:rFonts w:ascii="Times New Roman" w:hAnsi="Times New Roman" w:cs="Times New Roman"/>
          <w:sz w:val="24"/>
          <w:szCs w:val="24"/>
        </w:rPr>
        <w:t xml:space="preserve"> their </w:t>
      </w:r>
      <w:r w:rsidR="005B742A">
        <w:rPr>
          <w:rFonts w:ascii="Times New Roman" w:hAnsi="Times New Roman" w:cs="Times New Roman"/>
          <w:sz w:val="24"/>
          <w:szCs w:val="24"/>
        </w:rPr>
        <w:t>view</w:t>
      </w:r>
      <w:r w:rsidRPr="00560F0E">
        <w:rPr>
          <w:rFonts w:ascii="Times New Roman" w:hAnsi="Times New Roman" w:cs="Times New Roman"/>
          <w:sz w:val="24"/>
          <w:szCs w:val="24"/>
        </w:rPr>
        <w:t xml:space="preserve">s into account prior to making the </w:t>
      </w:r>
      <w:r w:rsidR="00C3505A">
        <w:rPr>
          <w:rFonts w:ascii="Times New Roman" w:hAnsi="Times New Roman" w:cs="Times New Roman"/>
          <w:sz w:val="24"/>
          <w:szCs w:val="24"/>
        </w:rPr>
        <w:t>Principal</w:t>
      </w:r>
      <w:r w:rsidRPr="00560F0E">
        <w:rPr>
          <w:rFonts w:ascii="Times New Roman" w:hAnsi="Times New Roman" w:cs="Times New Roman"/>
          <w:sz w:val="24"/>
          <w:szCs w:val="24"/>
        </w:rPr>
        <w:t xml:space="preserve"> Determination. </w:t>
      </w:r>
    </w:p>
    <w:p w14:paraId="02A412D7" w14:textId="77777777" w:rsidR="008C7E93" w:rsidRDefault="008C7E93" w:rsidP="00A927DF">
      <w:pPr>
        <w:pStyle w:val="Heading1"/>
        <w:spacing w:before="0" w:line="240" w:lineRule="auto"/>
      </w:pPr>
      <w:r>
        <w:t>Section 6 – Schedules</w:t>
      </w:r>
    </w:p>
    <w:p w14:paraId="6B738696" w14:textId="77777777" w:rsidR="008C7E93" w:rsidRDefault="008C7E93" w:rsidP="00A927DF">
      <w:pPr>
        <w:pStyle w:val="ListParagraph"/>
        <w:numPr>
          <w:ilvl w:val="0"/>
          <w:numId w:val="13"/>
        </w:numPr>
        <w:tabs>
          <w:tab w:val="left" w:pos="993"/>
        </w:tabs>
        <w:spacing w:before="240" w:line="240" w:lineRule="auto"/>
        <w:ind w:left="646" w:hanging="646"/>
        <w:contextualSpacing w:val="0"/>
      </w:pPr>
      <w:r w:rsidRPr="00A927DF">
        <w:rPr>
          <w:rFonts w:ascii="Times New Roman" w:hAnsi="Times New Roman" w:cs="Times New Roman"/>
          <w:sz w:val="24"/>
          <w:szCs w:val="24"/>
        </w:rPr>
        <w:t>Section 6 provides that each instrument that is specified in a Schedule to the Principal Determination is amended or repealed as set out in the applicable items in the Schedule concerned, and any other item in a Schedule to the Principal Determination has effect according to its terms.</w:t>
      </w:r>
    </w:p>
    <w:p w14:paraId="49FF2972" w14:textId="77777777" w:rsidR="008C7E93" w:rsidRPr="005C73E0" w:rsidRDefault="008C7E93" w:rsidP="00A927DF">
      <w:pPr>
        <w:pStyle w:val="ListParagraph"/>
        <w:numPr>
          <w:ilvl w:val="0"/>
          <w:numId w:val="13"/>
        </w:numPr>
        <w:tabs>
          <w:tab w:val="left" w:pos="993"/>
        </w:tabs>
        <w:spacing w:line="240" w:lineRule="auto"/>
        <w:ind w:left="646" w:hanging="644"/>
      </w:pPr>
      <w:r>
        <w:rPr>
          <w:rFonts w:ascii="Times New Roman" w:hAnsi="Times New Roman" w:cs="Times New Roman"/>
          <w:sz w:val="24"/>
          <w:szCs w:val="24"/>
        </w:rPr>
        <w:t>Schedule 1 to the instrument provides for the repeal of the 201</w:t>
      </w:r>
      <w:r w:rsidR="00FF509A">
        <w:rPr>
          <w:rFonts w:ascii="Times New Roman" w:hAnsi="Times New Roman" w:cs="Times New Roman"/>
          <w:sz w:val="24"/>
          <w:szCs w:val="24"/>
        </w:rPr>
        <w:t>8</w:t>
      </w:r>
      <w:r>
        <w:rPr>
          <w:rFonts w:ascii="Times New Roman" w:hAnsi="Times New Roman" w:cs="Times New Roman"/>
          <w:sz w:val="24"/>
          <w:szCs w:val="24"/>
        </w:rPr>
        <w:t xml:space="preserve"> Determination.</w:t>
      </w:r>
    </w:p>
    <w:p w14:paraId="5CE5DC0B" w14:textId="77777777" w:rsidR="004D3DA0" w:rsidRPr="00560F0E" w:rsidRDefault="004D3DA0" w:rsidP="00A927DF">
      <w:pPr>
        <w:pStyle w:val="Heading1"/>
        <w:spacing w:before="0" w:line="240" w:lineRule="auto"/>
      </w:pPr>
      <w:r w:rsidRPr="00560F0E">
        <w:t xml:space="preserve">Section </w:t>
      </w:r>
      <w:r w:rsidR="008C7E93">
        <w:t>7</w:t>
      </w:r>
      <w:r w:rsidRPr="00560F0E">
        <w:t xml:space="preserve"> – </w:t>
      </w:r>
      <w:r w:rsidR="008C7E93">
        <w:t>Purpose</w:t>
      </w:r>
    </w:p>
    <w:p w14:paraId="793785D5" w14:textId="77777777" w:rsidR="004D3DA0" w:rsidRPr="00560F0E" w:rsidRDefault="004D3DA0" w:rsidP="00A927DF">
      <w:pPr>
        <w:pStyle w:val="ListParagraph"/>
        <w:numPr>
          <w:ilvl w:val="0"/>
          <w:numId w:val="13"/>
        </w:numPr>
        <w:tabs>
          <w:tab w:val="left" w:pos="993"/>
        </w:tabs>
        <w:spacing w:before="240" w:line="240" w:lineRule="auto"/>
        <w:ind w:left="646" w:hanging="646"/>
        <w:contextualSpacing w:val="0"/>
        <w:rPr>
          <w:rFonts w:ascii="Times New Roman" w:hAnsi="Times New Roman" w:cs="Times New Roman"/>
          <w:sz w:val="24"/>
          <w:szCs w:val="24"/>
        </w:rPr>
      </w:pPr>
      <w:r w:rsidRPr="00560F0E">
        <w:rPr>
          <w:rFonts w:ascii="Times New Roman" w:hAnsi="Times New Roman" w:cs="Times New Roman"/>
          <w:sz w:val="24"/>
          <w:szCs w:val="24"/>
        </w:rPr>
        <w:t>This section state</w:t>
      </w:r>
      <w:r w:rsidR="00C03DA2">
        <w:rPr>
          <w:rFonts w:ascii="Times New Roman" w:hAnsi="Times New Roman" w:cs="Times New Roman"/>
          <w:sz w:val="24"/>
          <w:szCs w:val="24"/>
        </w:rPr>
        <w:t>s</w:t>
      </w:r>
      <w:r w:rsidRPr="00560F0E">
        <w:rPr>
          <w:rFonts w:ascii="Times New Roman" w:hAnsi="Times New Roman" w:cs="Times New Roman"/>
          <w:sz w:val="24"/>
          <w:szCs w:val="24"/>
        </w:rPr>
        <w:t xml:space="preserve"> that </w:t>
      </w:r>
      <w:r w:rsidR="008C7E93">
        <w:rPr>
          <w:rFonts w:ascii="Times New Roman" w:hAnsi="Times New Roman" w:cs="Times New Roman"/>
          <w:sz w:val="24"/>
          <w:szCs w:val="24"/>
        </w:rPr>
        <w:t>for the purposes of paragraph 183(1)(f) of the TIA Act, the Principal Determination determines</w:t>
      </w:r>
      <w:r w:rsidRPr="00560F0E">
        <w:rPr>
          <w:rFonts w:ascii="Times New Roman" w:hAnsi="Times New Roman" w:cs="Times New Roman"/>
          <w:sz w:val="24"/>
          <w:szCs w:val="24"/>
        </w:rPr>
        <w:t xml:space="preserve"> the requirements relating to an authorisation made under Division 3, 4 or 4A of Part 4-1 of Chapter 4 of the </w:t>
      </w:r>
      <w:r>
        <w:rPr>
          <w:rFonts w:ascii="Times New Roman" w:hAnsi="Times New Roman" w:cs="Times New Roman"/>
          <w:sz w:val="24"/>
          <w:szCs w:val="24"/>
        </w:rPr>
        <w:t xml:space="preserve">TIA </w:t>
      </w:r>
      <w:r w:rsidRPr="00560F0E">
        <w:rPr>
          <w:rFonts w:ascii="Times New Roman" w:hAnsi="Times New Roman" w:cs="Times New Roman"/>
          <w:sz w:val="24"/>
          <w:szCs w:val="24"/>
        </w:rPr>
        <w:t xml:space="preserve">Act, </w:t>
      </w:r>
      <w:r w:rsidR="008C7E93">
        <w:rPr>
          <w:rFonts w:ascii="Times New Roman" w:hAnsi="Times New Roman" w:cs="Times New Roman"/>
          <w:sz w:val="24"/>
          <w:szCs w:val="24"/>
        </w:rPr>
        <w:t xml:space="preserve">and </w:t>
      </w:r>
      <w:r w:rsidR="009B77A4">
        <w:rPr>
          <w:rFonts w:ascii="Times New Roman" w:hAnsi="Times New Roman" w:cs="Times New Roman"/>
          <w:sz w:val="24"/>
          <w:szCs w:val="24"/>
        </w:rPr>
        <w:t xml:space="preserve">the requirements </w:t>
      </w:r>
      <w:r w:rsidR="008C7E93">
        <w:rPr>
          <w:rFonts w:ascii="Times New Roman" w:hAnsi="Times New Roman" w:cs="Times New Roman"/>
          <w:sz w:val="24"/>
          <w:szCs w:val="24"/>
        </w:rPr>
        <w:t>relating</w:t>
      </w:r>
      <w:r>
        <w:rPr>
          <w:rFonts w:ascii="Times New Roman" w:hAnsi="Times New Roman" w:cs="Times New Roman"/>
          <w:sz w:val="24"/>
          <w:szCs w:val="24"/>
        </w:rPr>
        <w:t xml:space="preserve"> to </w:t>
      </w:r>
      <w:r w:rsidRPr="00560F0E">
        <w:rPr>
          <w:rFonts w:ascii="Times New Roman" w:hAnsi="Times New Roman" w:cs="Times New Roman"/>
          <w:sz w:val="24"/>
          <w:szCs w:val="24"/>
        </w:rPr>
        <w:t xml:space="preserve">the notification of an authorisation, the revocation of an authorisation and the notification of </w:t>
      </w:r>
      <w:r w:rsidR="00640E64">
        <w:rPr>
          <w:rFonts w:ascii="Times New Roman" w:hAnsi="Times New Roman" w:cs="Times New Roman"/>
          <w:sz w:val="24"/>
          <w:szCs w:val="24"/>
        </w:rPr>
        <w:t xml:space="preserve">such </w:t>
      </w:r>
      <w:r w:rsidRPr="00560F0E">
        <w:rPr>
          <w:rFonts w:ascii="Times New Roman" w:hAnsi="Times New Roman" w:cs="Times New Roman"/>
          <w:sz w:val="24"/>
          <w:szCs w:val="24"/>
        </w:rPr>
        <w:t>a revocation.</w:t>
      </w:r>
    </w:p>
    <w:p w14:paraId="62163589" w14:textId="77777777" w:rsidR="004D3DA0" w:rsidRPr="00A927DF" w:rsidRDefault="00640E64" w:rsidP="00A927DF">
      <w:pPr>
        <w:pStyle w:val="Heading1"/>
        <w:spacing w:before="0" w:line="240" w:lineRule="auto"/>
        <w:rPr>
          <w:u w:val="single"/>
        </w:rPr>
      </w:pPr>
      <w:r w:rsidRPr="00A927DF">
        <w:rPr>
          <w:u w:val="single"/>
        </w:rPr>
        <w:t>Part 2</w:t>
      </w:r>
      <w:r w:rsidR="004D3DA0" w:rsidRPr="00A927DF">
        <w:rPr>
          <w:u w:val="single"/>
        </w:rPr>
        <w:t xml:space="preserve"> – Requirements relating to authorisations, notifications and revocations</w:t>
      </w:r>
    </w:p>
    <w:p w14:paraId="0910BE09" w14:textId="77777777" w:rsidR="004D3DA0" w:rsidRPr="00560F0E" w:rsidRDefault="00640E64" w:rsidP="004D3DA0">
      <w:pPr>
        <w:pStyle w:val="Heading2"/>
        <w:spacing w:line="240" w:lineRule="auto"/>
      </w:pPr>
      <w:r>
        <w:t>Division</w:t>
      </w:r>
      <w:r w:rsidRPr="00560F0E">
        <w:t xml:space="preserve"> </w:t>
      </w:r>
      <w:r w:rsidR="004D3DA0" w:rsidRPr="00560F0E">
        <w:t xml:space="preserve">1 – Authorisations made by the Organisation </w:t>
      </w:r>
    </w:p>
    <w:p w14:paraId="62571D02" w14:textId="77777777" w:rsidR="004D3DA0" w:rsidRPr="00560F0E" w:rsidRDefault="00640E64" w:rsidP="004D3DA0">
      <w:pPr>
        <w:pStyle w:val="Heading2"/>
        <w:spacing w:line="240" w:lineRule="auto"/>
      </w:pPr>
      <w:r>
        <w:t>Section</w:t>
      </w:r>
      <w:r w:rsidRPr="00560F0E">
        <w:t xml:space="preserve"> </w:t>
      </w:r>
      <w:r>
        <w:t>8</w:t>
      </w:r>
      <w:r w:rsidR="004D3DA0" w:rsidRPr="00560F0E">
        <w:t xml:space="preserve"> – Authorisation for access to existing information or documents </w:t>
      </w:r>
    </w:p>
    <w:p w14:paraId="4300C957" w14:textId="77777777" w:rsidR="00EC4B9C" w:rsidRPr="002D571E" w:rsidRDefault="00EC4B9C" w:rsidP="00A927DF">
      <w:pPr>
        <w:spacing w:before="240" w:line="240" w:lineRule="auto"/>
        <w:rPr>
          <w:rFonts w:ascii="Times New Roman" w:hAnsi="Times New Roman" w:cs="Times New Roman"/>
          <w:sz w:val="24"/>
          <w:szCs w:val="24"/>
        </w:rPr>
      </w:pPr>
      <w:r>
        <w:rPr>
          <w:rFonts w:ascii="Times New Roman" w:hAnsi="Times New Roman" w:cs="Times New Roman"/>
          <w:i/>
          <w:sz w:val="24"/>
          <w:szCs w:val="24"/>
        </w:rPr>
        <w:t>Subsection 8(1</w:t>
      </w:r>
      <w:r w:rsidRPr="00560F0E">
        <w:rPr>
          <w:rFonts w:ascii="Times New Roman" w:hAnsi="Times New Roman" w:cs="Times New Roman"/>
          <w:i/>
          <w:sz w:val="24"/>
          <w:szCs w:val="24"/>
        </w:rPr>
        <w:t>)</w:t>
      </w:r>
    </w:p>
    <w:p w14:paraId="1038F2DD" w14:textId="6E830EB9" w:rsidR="004D3DA0" w:rsidRPr="00560F0E" w:rsidRDefault="00640E64" w:rsidP="007A5965">
      <w:pPr>
        <w:pStyle w:val="ListParagraph"/>
        <w:numPr>
          <w:ilvl w:val="0"/>
          <w:numId w:val="13"/>
        </w:numPr>
        <w:tabs>
          <w:tab w:val="left" w:pos="993"/>
        </w:tabs>
        <w:spacing w:line="240" w:lineRule="auto"/>
        <w:ind w:left="646" w:hanging="644"/>
        <w:rPr>
          <w:rFonts w:ascii="Times New Roman" w:hAnsi="Times New Roman" w:cs="Times New Roman"/>
          <w:sz w:val="24"/>
          <w:szCs w:val="24"/>
        </w:rPr>
      </w:pPr>
      <w:r>
        <w:rPr>
          <w:rFonts w:ascii="Times New Roman" w:hAnsi="Times New Roman" w:cs="Times New Roman"/>
          <w:sz w:val="24"/>
          <w:szCs w:val="24"/>
        </w:rPr>
        <w:t>Subsection 8</w:t>
      </w:r>
      <w:r w:rsidR="004D3DA0" w:rsidRPr="00560F0E">
        <w:rPr>
          <w:rFonts w:ascii="Times New Roman" w:hAnsi="Times New Roman" w:cs="Times New Roman"/>
          <w:sz w:val="24"/>
          <w:szCs w:val="24"/>
        </w:rPr>
        <w:t>(1) specifie</w:t>
      </w:r>
      <w:r w:rsidR="00246CD6">
        <w:rPr>
          <w:rFonts w:ascii="Times New Roman" w:hAnsi="Times New Roman" w:cs="Times New Roman"/>
          <w:sz w:val="24"/>
          <w:szCs w:val="24"/>
        </w:rPr>
        <w:t>s</w:t>
      </w:r>
      <w:r w:rsidR="004D3DA0" w:rsidRPr="00560F0E">
        <w:rPr>
          <w:rFonts w:ascii="Times New Roman" w:hAnsi="Times New Roman" w:cs="Times New Roman"/>
          <w:sz w:val="24"/>
          <w:szCs w:val="24"/>
        </w:rPr>
        <w:t xml:space="preserve"> information that must be included in an authorisation made by the </w:t>
      </w:r>
      <w:r>
        <w:rPr>
          <w:rFonts w:ascii="Times New Roman" w:hAnsi="Times New Roman" w:cs="Times New Roman"/>
          <w:sz w:val="24"/>
          <w:szCs w:val="24"/>
        </w:rPr>
        <w:t xml:space="preserve">Australian Security Intelligence </w:t>
      </w:r>
      <w:r w:rsidR="004D3DA0" w:rsidRPr="00560F0E">
        <w:rPr>
          <w:rFonts w:ascii="Times New Roman" w:hAnsi="Times New Roman" w:cs="Times New Roman"/>
          <w:sz w:val="24"/>
          <w:szCs w:val="24"/>
        </w:rPr>
        <w:t xml:space="preserve">Organisation </w:t>
      </w:r>
      <w:r>
        <w:rPr>
          <w:rFonts w:ascii="Times New Roman" w:hAnsi="Times New Roman" w:cs="Times New Roman"/>
          <w:sz w:val="24"/>
          <w:szCs w:val="24"/>
        </w:rPr>
        <w:t xml:space="preserve">(the Organisation) </w:t>
      </w:r>
      <w:r w:rsidR="004D3DA0" w:rsidRPr="00560F0E">
        <w:rPr>
          <w:rFonts w:ascii="Times New Roman" w:hAnsi="Times New Roman" w:cs="Times New Roman"/>
          <w:sz w:val="24"/>
          <w:szCs w:val="24"/>
        </w:rPr>
        <w:t xml:space="preserve">for access to existing information or documents under subsection 175(2) of the </w:t>
      </w:r>
      <w:r w:rsidR="004D3DA0">
        <w:rPr>
          <w:rFonts w:ascii="Times New Roman" w:hAnsi="Times New Roman" w:cs="Times New Roman"/>
          <w:sz w:val="24"/>
          <w:szCs w:val="24"/>
        </w:rPr>
        <w:t xml:space="preserve">TIA </w:t>
      </w:r>
      <w:r w:rsidR="004D3DA0" w:rsidRPr="00560F0E">
        <w:rPr>
          <w:rFonts w:ascii="Times New Roman" w:hAnsi="Times New Roman" w:cs="Times New Roman"/>
          <w:sz w:val="24"/>
          <w:szCs w:val="24"/>
        </w:rPr>
        <w:t xml:space="preserve">Act. This </w:t>
      </w:r>
      <w:r w:rsidR="00AA090C">
        <w:rPr>
          <w:rFonts w:ascii="Times New Roman" w:hAnsi="Times New Roman" w:cs="Times New Roman"/>
          <w:sz w:val="24"/>
          <w:szCs w:val="24"/>
        </w:rPr>
        <w:t>subsection</w:t>
      </w:r>
      <w:r w:rsidR="00AA090C" w:rsidRPr="00560F0E">
        <w:rPr>
          <w:rFonts w:ascii="Times New Roman" w:hAnsi="Times New Roman" w:cs="Times New Roman"/>
          <w:sz w:val="24"/>
          <w:szCs w:val="24"/>
        </w:rPr>
        <w:t xml:space="preserve"> </w:t>
      </w:r>
      <w:r w:rsidR="00FF509A">
        <w:rPr>
          <w:rFonts w:ascii="Times New Roman" w:hAnsi="Times New Roman" w:cs="Times New Roman"/>
          <w:sz w:val="24"/>
          <w:szCs w:val="24"/>
        </w:rPr>
        <w:t>is unchanged from</w:t>
      </w:r>
      <w:r w:rsidR="005B3C14">
        <w:rPr>
          <w:rFonts w:ascii="Times New Roman" w:hAnsi="Times New Roman" w:cs="Times New Roman"/>
          <w:sz w:val="24"/>
          <w:szCs w:val="24"/>
        </w:rPr>
        <w:t xml:space="preserve"> </w:t>
      </w:r>
      <w:r w:rsidR="004D3DA0" w:rsidRPr="00560F0E">
        <w:rPr>
          <w:rFonts w:ascii="Times New Roman" w:hAnsi="Times New Roman" w:cs="Times New Roman"/>
          <w:sz w:val="24"/>
          <w:szCs w:val="24"/>
        </w:rPr>
        <w:t>the</w:t>
      </w:r>
      <w:r w:rsidR="004D3DA0">
        <w:rPr>
          <w:rFonts w:ascii="Times New Roman" w:hAnsi="Times New Roman" w:cs="Times New Roman"/>
          <w:sz w:val="24"/>
          <w:szCs w:val="24"/>
        </w:rPr>
        <w:t xml:space="preserve"> </w:t>
      </w:r>
      <w:r w:rsidR="004D3DA0" w:rsidRPr="00560F0E">
        <w:rPr>
          <w:rFonts w:ascii="Times New Roman" w:hAnsi="Times New Roman" w:cs="Times New Roman"/>
          <w:sz w:val="24"/>
          <w:szCs w:val="24"/>
        </w:rPr>
        <w:t>201</w:t>
      </w:r>
      <w:r w:rsidR="00FF509A">
        <w:rPr>
          <w:rFonts w:ascii="Times New Roman" w:hAnsi="Times New Roman" w:cs="Times New Roman"/>
          <w:sz w:val="24"/>
          <w:szCs w:val="24"/>
        </w:rPr>
        <w:t>8</w:t>
      </w:r>
      <w:r w:rsidR="004D3DA0" w:rsidRPr="00560F0E">
        <w:rPr>
          <w:rFonts w:ascii="Times New Roman" w:hAnsi="Times New Roman" w:cs="Times New Roman"/>
          <w:sz w:val="24"/>
          <w:szCs w:val="24"/>
        </w:rPr>
        <w:t xml:space="preserve"> Determination</w:t>
      </w:r>
      <w:r>
        <w:rPr>
          <w:rFonts w:ascii="Times New Roman" w:hAnsi="Times New Roman" w:cs="Times New Roman"/>
          <w:sz w:val="24"/>
          <w:szCs w:val="24"/>
        </w:rPr>
        <w:t>,</w:t>
      </w:r>
      <w:r w:rsidR="00FF509A">
        <w:rPr>
          <w:rFonts w:ascii="Times New Roman" w:hAnsi="Times New Roman" w:cs="Times New Roman"/>
          <w:sz w:val="24"/>
          <w:szCs w:val="24"/>
        </w:rPr>
        <w:t xml:space="preserve"> except that “person” is replaced with “person(s)” in </w:t>
      </w:r>
      <w:r w:rsidR="00525426">
        <w:rPr>
          <w:rFonts w:ascii="Times New Roman" w:hAnsi="Times New Roman" w:cs="Times New Roman"/>
          <w:sz w:val="24"/>
          <w:szCs w:val="24"/>
        </w:rPr>
        <w:t xml:space="preserve">paragraph </w:t>
      </w:r>
      <w:r w:rsidR="00FF509A">
        <w:rPr>
          <w:rFonts w:ascii="Times New Roman" w:hAnsi="Times New Roman" w:cs="Times New Roman"/>
          <w:sz w:val="24"/>
          <w:szCs w:val="24"/>
        </w:rPr>
        <w:t>8(1)(d)</w:t>
      </w:r>
      <w:r>
        <w:rPr>
          <w:rFonts w:ascii="Times New Roman" w:hAnsi="Times New Roman" w:cs="Times New Roman"/>
          <w:sz w:val="24"/>
          <w:szCs w:val="24"/>
        </w:rPr>
        <w:t>.</w:t>
      </w:r>
    </w:p>
    <w:p w14:paraId="73C9BD1B" w14:textId="77777777" w:rsidR="00EC4B9C" w:rsidRPr="002D571E" w:rsidRDefault="00EC4B9C" w:rsidP="00EC4B9C">
      <w:pPr>
        <w:spacing w:line="240" w:lineRule="auto"/>
        <w:rPr>
          <w:rFonts w:ascii="Times New Roman" w:hAnsi="Times New Roman" w:cs="Times New Roman"/>
          <w:sz w:val="24"/>
          <w:szCs w:val="24"/>
        </w:rPr>
      </w:pPr>
      <w:r>
        <w:rPr>
          <w:rFonts w:ascii="Times New Roman" w:hAnsi="Times New Roman" w:cs="Times New Roman"/>
          <w:i/>
          <w:sz w:val="24"/>
          <w:szCs w:val="24"/>
        </w:rPr>
        <w:t>Subsection 8(2</w:t>
      </w:r>
      <w:r w:rsidRPr="00560F0E">
        <w:rPr>
          <w:rFonts w:ascii="Times New Roman" w:hAnsi="Times New Roman" w:cs="Times New Roman"/>
          <w:i/>
          <w:sz w:val="24"/>
          <w:szCs w:val="24"/>
        </w:rPr>
        <w:t>)</w:t>
      </w:r>
    </w:p>
    <w:p w14:paraId="1D68B730" w14:textId="77777777" w:rsidR="004D3DA0" w:rsidRPr="00560F0E" w:rsidRDefault="00640E64" w:rsidP="00474003">
      <w:pPr>
        <w:pStyle w:val="ListParagraph"/>
        <w:numPr>
          <w:ilvl w:val="0"/>
          <w:numId w:val="13"/>
        </w:numPr>
        <w:tabs>
          <w:tab w:val="left" w:pos="993"/>
        </w:tabs>
        <w:spacing w:line="240" w:lineRule="auto"/>
        <w:ind w:left="646" w:hanging="644"/>
        <w:rPr>
          <w:rFonts w:ascii="Times New Roman" w:hAnsi="Times New Roman" w:cs="Times New Roman"/>
          <w:sz w:val="24"/>
          <w:szCs w:val="24"/>
        </w:rPr>
      </w:pPr>
      <w:r>
        <w:rPr>
          <w:rFonts w:ascii="Times New Roman" w:hAnsi="Times New Roman" w:cs="Times New Roman"/>
          <w:sz w:val="24"/>
          <w:szCs w:val="24"/>
        </w:rPr>
        <w:t>Subsection 8</w:t>
      </w:r>
      <w:r w:rsidR="004D3DA0" w:rsidRPr="00560F0E">
        <w:rPr>
          <w:rFonts w:ascii="Times New Roman" w:hAnsi="Times New Roman" w:cs="Times New Roman"/>
          <w:sz w:val="24"/>
          <w:szCs w:val="24"/>
        </w:rPr>
        <w:t>(2) provide</w:t>
      </w:r>
      <w:r w:rsidR="00246CD6">
        <w:rPr>
          <w:rFonts w:ascii="Times New Roman" w:hAnsi="Times New Roman" w:cs="Times New Roman"/>
          <w:sz w:val="24"/>
          <w:szCs w:val="24"/>
        </w:rPr>
        <w:t>s</w:t>
      </w:r>
      <w:r w:rsidR="004D3DA0" w:rsidRPr="00560F0E">
        <w:rPr>
          <w:rFonts w:ascii="Times New Roman" w:hAnsi="Times New Roman" w:cs="Times New Roman"/>
          <w:sz w:val="24"/>
          <w:szCs w:val="24"/>
        </w:rPr>
        <w:t xml:space="preserve"> that an authorisation, whether in written or electronic form, must be signed by its maker. </w:t>
      </w:r>
      <w:r w:rsidR="00FF509A" w:rsidRPr="00560F0E">
        <w:rPr>
          <w:rFonts w:ascii="Times New Roman" w:hAnsi="Times New Roman" w:cs="Times New Roman"/>
          <w:sz w:val="24"/>
          <w:szCs w:val="24"/>
        </w:rPr>
        <w:t xml:space="preserve">This </w:t>
      </w:r>
      <w:r w:rsidR="00AA090C">
        <w:rPr>
          <w:rFonts w:ascii="Times New Roman" w:hAnsi="Times New Roman" w:cs="Times New Roman"/>
          <w:sz w:val="24"/>
          <w:szCs w:val="24"/>
        </w:rPr>
        <w:t>subsection</w:t>
      </w:r>
      <w:r w:rsidR="00AA090C" w:rsidRPr="00560F0E">
        <w:rPr>
          <w:rFonts w:ascii="Times New Roman" w:hAnsi="Times New Roman" w:cs="Times New Roman"/>
          <w:sz w:val="24"/>
          <w:szCs w:val="24"/>
        </w:rPr>
        <w:t xml:space="preserve"> </w:t>
      </w:r>
      <w:r w:rsidR="00FF509A">
        <w:rPr>
          <w:rFonts w:ascii="Times New Roman" w:hAnsi="Times New Roman" w:cs="Times New Roman"/>
          <w:sz w:val="24"/>
          <w:szCs w:val="24"/>
        </w:rPr>
        <w:t xml:space="preserve">is unchanged from </w:t>
      </w:r>
      <w:r w:rsidR="00FF509A" w:rsidRPr="00560F0E">
        <w:rPr>
          <w:rFonts w:ascii="Times New Roman" w:hAnsi="Times New Roman" w:cs="Times New Roman"/>
          <w:sz w:val="24"/>
          <w:szCs w:val="24"/>
        </w:rPr>
        <w:t>the</w:t>
      </w:r>
      <w:r w:rsidR="00FF509A">
        <w:rPr>
          <w:rFonts w:ascii="Times New Roman" w:hAnsi="Times New Roman" w:cs="Times New Roman"/>
          <w:sz w:val="24"/>
          <w:szCs w:val="24"/>
        </w:rPr>
        <w:t xml:space="preserve"> </w:t>
      </w:r>
      <w:r w:rsidR="00FF509A" w:rsidRPr="00560F0E">
        <w:rPr>
          <w:rFonts w:ascii="Times New Roman" w:hAnsi="Times New Roman" w:cs="Times New Roman"/>
          <w:sz w:val="24"/>
          <w:szCs w:val="24"/>
        </w:rPr>
        <w:t>201</w:t>
      </w:r>
      <w:r w:rsidR="00FF509A">
        <w:rPr>
          <w:rFonts w:ascii="Times New Roman" w:hAnsi="Times New Roman" w:cs="Times New Roman"/>
          <w:sz w:val="24"/>
          <w:szCs w:val="24"/>
        </w:rPr>
        <w:t>8</w:t>
      </w:r>
      <w:r w:rsidR="00FF509A" w:rsidRPr="00560F0E">
        <w:rPr>
          <w:rFonts w:ascii="Times New Roman" w:hAnsi="Times New Roman" w:cs="Times New Roman"/>
          <w:sz w:val="24"/>
          <w:szCs w:val="24"/>
        </w:rPr>
        <w:t xml:space="preserve"> Determination</w:t>
      </w:r>
      <w:r w:rsidR="00FF509A">
        <w:rPr>
          <w:rFonts w:ascii="Times New Roman" w:hAnsi="Times New Roman" w:cs="Times New Roman"/>
          <w:sz w:val="24"/>
          <w:szCs w:val="24"/>
        </w:rPr>
        <w:t>.</w:t>
      </w:r>
    </w:p>
    <w:p w14:paraId="55486203" w14:textId="77777777" w:rsidR="004D3DA0" w:rsidRPr="00560F0E" w:rsidRDefault="00640E64" w:rsidP="004D3DA0">
      <w:pPr>
        <w:pStyle w:val="Heading2"/>
        <w:spacing w:line="240" w:lineRule="auto"/>
      </w:pPr>
      <w:r>
        <w:t>Section 9</w:t>
      </w:r>
      <w:r w:rsidR="004D3DA0" w:rsidRPr="00560F0E">
        <w:t xml:space="preserve"> – Authorisation for access to prospective information or documents</w:t>
      </w:r>
    </w:p>
    <w:p w14:paraId="54E4E20F" w14:textId="77777777" w:rsidR="00EC4B9C" w:rsidRPr="002D571E" w:rsidRDefault="00EC4B9C" w:rsidP="00A927DF">
      <w:pPr>
        <w:spacing w:before="240" w:line="240" w:lineRule="auto"/>
        <w:rPr>
          <w:rFonts w:ascii="Times New Roman" w:hAnsi="Times New Roman" w:cs="Times New Roman"/>
          <w:sz w:val="24"/>
          <w:szCs w:val="24"/>
        </w:rPr>
      </w:pPr>
      <w:r>
        <w:rPr>
          <w:rFonts w:ascii="Times New Roman" w:hAnsi="Times New Roman" w:cs="Times New Roman"/>
          <w:i/>
          <w:sz w:val="24"/>
          <w:szCs w:val="24"/>
        </w:rPr>
        <w:t>Subsection 9(1</w:t>
      </w:r>
      <w:r w:rsidRPr="00560F0E">
        <w:rPr>
          <w:rFonts w:ascii="Times New Roman" w:hAnsi="Times New Roman" w:cs="Times New Roman"/>
          <w:i/>
          <w:sz w:val="24"/>
          <w:szCs w:val="24"/>
        </w:rPr>
        <w:t>)</w:t>
      </w:r>
    </w:p>
    <w:p w14:paraId="6BC13289" w14:textId="64251223" w:rsidR="004D3DA0" w:rsidRDefault="00640E64" w:rsidP="00474003">
      <w:pPr>
        <w:pStyle w:val="ListParagraph"/>
        <w:numPr>
          <w:ilvl w:val="0"/>
          <w:numId w:val="13"/>
        </w:numPr>
        <w:tabs>
          <w:tab w:val="left" w:pos="993"/>
        </w:tabs>
        <w:spacing w:line="240" w:lineRule="auto"/>
        <w:ind w:left="646" w:hanging="644"/>
        <w:rPr>
          <w:rFonts w:ascii="Times New Roman" w:hAnsi="Times New Roman" w:cs="Times New Roman"/>
          <w:sz w:val="24"/>
          <w:szCs w:val="24"/>
        </w:rPr>
      </w:pPr>
      <w:r>
        <w:rPr>
          <w:rFonts w:ascii="Times New Roman" w:hAnsi="Times New Roman" w:cs="Times New Roman"/>
          <w:sz w:val="24"/>
          <w:szCs w:val="24"/>
        </w:rPr>
        <w:t>Subsection 9</w:t>
      </w:r>
      <w:r w:rsidR="004D3DA0" w:rsidRPr="004156B9">
        <w:rPr>
          <w:rFonts w:ascii="Times New Roman" w:hAnsi="Times New Roman" w:cs="Times New Roman"/>
          <w:sz w:val="24"/>
          <w:szCs w:val="24"/>
        </w:rPr>
        <w:t>(1) specifie</w:t>
      </w:r>
      <w:r w:rsidR="00246CD6">
        <w:rPr>
          <w:rFonts w:ascii="Times New Roman" w:hAnsi="Times New Roman" w:cs="Times New Roman"/>
          <w:sz w:val="24"/>
          <w:szCs w:val="24"/>
        </w:rPr>
        <w:t>s</w:t>
      </w:r>
      <w:r w:rsidR="004D3DA0" w:rsidRPr="004156B9">
        <w:rPr>
          <w:rFonts w:ascii="Times New Roman" w:hAnsi="Times New Roman" w:cs="Times New Roman"/>
          <w:sz w:val="24"/>
          <w:szCs w:val="24"/>
        </w:rPr>
        <w:t xml:space="preserve"> information that must be included in an authorisation made by the Organisation for access to prospective information or documents under subsections 176(2) and 176(3) of the </w:t>
      </w:r>
      <w:r w:rsidR="004D3DA0">
        <w:rPr>
          <w:rFonts w:ascii="Times New Roman" w:hAnsi="Times New Roman" w:cs="Times New Roman"/>
          <w:sz w:val="24"/>
          <w:szCs w:val="24"/>
        </w:rPr>
        <w:t xml:space="preserve">TIA </w:t>
      </w:r>
      <w:r w:rsidR="004D3DA0" w:rsidRPr="004156B9">
        <w:rPr>
          <w:rFonts w:ascii="Times New Roman" w:hAnsi="Times New Roman" w:cs="Times New Roman"/>
          <w:sz w:val="24"/>
          <w:szCs w:val="24"/>
        </w:rPr>
        <w:t xml:space="preserve">Act. </w:t>
      </w:r>
      <w:r w:rsidR="00FF509A" w:rsidRPr="00560F0E">
        <w:rPr>
          <w:rFonts w:ascii="Times New Roman" w:hAnsi="Times New Roman" w:cs="Times New Roman"/>
          <w:sz w:val="24"/>
          <w:szCs w:val="24"/>
        </w:rPr>
        <w:t xml:space="preserve">This </w:t>
      </w:r>
      <w:r w:rsidR="00AA090C">
        <w:rPr>
          <w:rFonts w:ascii="Times New Roman" w:hAnsi="Times New Roman" w:cs="Times New Roman"/>
          <w:sz w:val="24"/>
          <w:szCs w:val="24"/>
        </w:rPr>
        <w:t>subsection</w:t>
      </w:r>
      <w:r w:rsidR="00AA090C" w:rsidRPr="00560F0E">
        <w:rPr>
          <w:rFonts w:ascii="Times New Roman" w:hAnsi="Times New Roman" w:cs="Times New Roman"/>
          <w:sz w:val="24"/>
          <w:szCs w:val="24"/>
        </w:rPr>
        <w:t xml:space="preserve"> </w:t>
      </w:r>
      <w:r w:rsidR="00FF509A">
        <w:rPr>
          <w:rFonts w:ascii="Times New Roman" w:hAnsi="Times New Roman" w:cs="Times New Roman"/>
          <w:sz w:val="24"/>
          <w:szCs w:val="24"/>
        </w:rPr>
        <w:t xml:space="preserve">is unchanged from </w:t>
      </w:r>
      <w:r w:rsidR="00FF509A" w:rsidRPr="00560F0E">
        <w:rPr>
          <w:rFonts w:ascii="Times New Roman" w:hAnsi="Times New Roman" w:cs="Times New Roman"/>
          <w:sz w:val="24"/>
          <w:szCs w:val="24"/>
        </w:rPr>
        <w:t>the</w:t>
      </w:r>
      <w:r w:rsidR="00FF509A">
        <w:rPr>
          <w:rFonts w:ascii="Times New Roman" w:hAnsi="Times New Roman" w:cs="Times New Roman"/>
          <w:sz w:val="24"/>
          <w:szCs w:val="24"/>
        </w:rPr>
        <w:t xml:space="preserve"> </w:t>
      </w:r>
      <w:r w:rsidR="00FF509A" w:rsidRPr="00560F0E">
        <w:rPr>
          <w:rFonts w:ascii="Times New Roman" w:hAnsi="Times New Roman" w:cs="Times New Roman"/>
          <w:sz w:val="24"/>
          <w:szCs w:val="24"/>
        </w:rPr>
        <w:t>201</w:t>
      </w:r>
      <w:r w:rsidR="00FF509A">
        <w:rPr>
          <w:rFonts w:ascii="Times New Roman" w:hAnsi="Times New Roman" w:cs="Times New Roman"/>
          <w:sz w:val="24"/>
          <w:szCs w:val="24"/>
        </w:rPr>
        <w:t>8</w:t>
      </w:r>
      <w:r w:rsidR="00FF509A" w:rsidRPr="00560F0E">
        <w:rPr>
          <w:rFonts w:ascii="Times New Roman" w:hAnsi="Times New Roman" w:cs="Times New Roman"/>
          <w:sz w:val="24"/>
          <w:szCs w:val="24"/>
        </w:rPr>
        <w:t xml:space="preserve"> Determination</w:t>
      </w:r>
      <w:r w:rsidR="00FF509A">
        <w:rPr>
          <w:rFonts w:ascii="Times New Roman" w:hAnsi="Times New Roman" w:cs="Times New Roman"/>
          <w:sz w:val="24"/>
          <w:szCs w:val="24"/>
        </w:rPr>
        <w:t>, except that “person” is replaced with “person(s)” in</w:t>
      </w:r>
      <w:r w:rsidR="00525426">
        <w:rPr>
          <w:rFonts w:ascii="Times New Roman" w:hAnsi="Times New Roman" w:cs="Times New Roman"/>
          <w:sz w:val="24"/>
          <w:szCs w:val="24"/>
        </w:rPr>
        <w:t xml:space="preserve"> paragraph </w:t>
      </w:r>
      <w:r w:rsidR="00FF509A">
        <w:rPr>
          <w:rFonts w:ascii="Times New Roman" w:hAnsi="Times New Roman" w:cs="Times New Roman"/>
          <w:sz w:val="24"/>
          <w:szCs w:val="24"/>
        </w:rPr>
        <w:t>9(1)(d)</w:t>
      </w:r>
      <w:r>
        <w:rPr>
          <w:rFonts w:ascii="Times New Roman" w:hAnsi="Times New Roman" w:cs="Times New Roman"/>
          <w:sz w:val="24"/>
          <w:szCs w:val="24"/>
        </w:rPr>
        <w:t>.</w:t>
      </w:r>
      <w:r w:rsidR="004D3DA0" w:rsidRPr="004156B9">
        <w:rPr>
          <w:rFonts w:ascii="Times New Roman" w:hAnsi="Times New Roman" w:cs="Times New Roman"/>
          <w:sz w:val="24"/>
          <w:szCs w:val="24"/>
        </w:rPr>
        <w:t xml:space="preserve"> </w:t>
      </w:r>
    </w:p>
    <w:p w14:paraId="6DBCB0D8" w14:textId="77777777" w:rsidR="00474003" w:rsidRDefault="00474003" w:rsidP="00EC4B9C">
      <w:pPr>
        <w:spacing w:line="240" w:lineRule="auto"/>
        <w:rPr>
          <w:rFonts w:ascii="Times New Roman" w:hAnsi="Times New Roman" w:cs="Times New Roman"/>
          <w:i/>
          <w:sz w:val="24"/>
          <w:szCs w:val="24"/>
        </w:rPr>
      </w:pPr>
    </w:p>
    <w:p w14:paraId="7DE377EC" w14:textId="1A7C8DDA" w:rsidR="00474003" w:rsidRDefault="003E378C" w:rsidP="003E378C">
      <w:pPr>
        <w:rPr>
          <w:rFonts w:ascii="Times New Roman" w:hAnsi="Times New Roman" w:cs="Times New Roman"/>
          <w:i/>
          <w:sz w:val="24"/>
          <w:szCs w:val="24"/>
        </w:rPr>
      </w:pPr>
      <w:r>
        <w:rPr>
          <w:rFonts w:ascii="Times New Roman" w:hAnsi="Times New Roman" w:cs="Times New Roman"/>
          <w:i/>
          <w:sz w:val="24"/>
          <w:szCs w:val="24"/>
        </w:rPr>
        <w:br w:type="page"/>
      </w:r>
    </w:p>
    <w:p w14:paraId="7E07EA17" w14:textId="77777777" w:rsidR="00EC4B9C" w:rsidRPr="002D571E" w:rsidRDefault="00EC4B9C" w:rsidP="00EC4B9C">
      <w:pPr>
        <w:spacing w:line="240" w:lineRule="auto"/>
        <w:rPr>
          <w:rFonts w:ascii="Times New Roman" w:hAnsi="Times New Roman" w:cs="Times New Roman"/>
          <w:sz w:val="24"/>
          <w:szCs w:val="24"/>
        </w:rPr>
      </w:pPr>
      <w:r>
        <w:rPr>
          <w:rFonts w:ascii="Times New Roman" w:hAnsi="Times New Roman" w:cs="Times New Roman"/>
          <w:i/>
          <w:sz w:val="24"/>
          <w:szCs w:val="24"/>
        </w:rPr>
        <w:t>Subsection 9(2</w:t>
      </w:r>
      <w:r w:rsidRPr="00560F0E">
        <w:rPr>
          <w:rFonts w:ascii="Times New Roman" w:hAnsi="Times New Roman" w:cs="Times New Roman"/>
          <w:i/>
          <w:sz w:val="24"/>
          <w:szCs w:val="24"/>
        </w:rPr>
        <w:t>)</w:t>
      </w:r>
    </w:p>
    <w:p w14:paraId="10AC6A5F" w14:textId="77777777" w:rsidR="004D3DA0" w:rsidRPr="00061076" w:rsidRDefault="00640E64" w:rsidP="00474003">
      <w:pPr>
        <w:pStyle w:val="ListParagraph"/>
        <w:numPr>
          <w:ilvl w:val="0"/>
          <w:numId w:val="13"/>
        </w:numPr>
        <w:tabs>
          <w:tab w:val="left" w:pos="993"/>
        </w:tabs>
        <w:spacing w:line="240" w:lineRule="auto"/>
        <w:ind w:left="646" w:hanging="644"/>
        <w:rPr>
          <w:rFonts w:ascii="Times New Roman" w:hAnsi="Times New Roman" w:cs="Times New Roman"/>
          <w:sz w:val="24"/>
          <w:szCs w:val="24"/>
        </w:rPr>
      </w:pPr>
      <w:r>
        <w:rPr>
          <w:rFonts w:ascii="Times New Roman" w:hAnsi="Times New Roman" w:cs="Times New Roman"/>
          <w:sz w:val="24"/>
          <w:szCs w:val="24"/>
        </w:rPr>
        <w:t>Subsection 9(</w:t>
      </w:r>
      <w:r w:rsidR="004D3DA0" w:rsidRPr="00560F0E">
        <w:rPr>
          <w:rFonts w:ascii="Times New Roman" w:hAnsi="Times New Roman" w:cs="Times New Roman"/>
          <w:sz w:val="24"/>
          <w:szCs w:val="24"/>
        </w:rPr>
        <w:t>2) provide</w:t>
      </w:r>
      <w:r w:rsidR="00246CD6">
        <w:rPr>
          <w:rFonts w:ascii="Times New Roman" w:hAnsi="Times New Roman" w:cs="Times New Roman"/>
          <w:sz w:val="24"/>
          <w:szCs w:val="24"/>
        </w:rPr>
        <w:t>s</w:t>
      </w:r>
      <w:r w:rsidR="004D3DA0" w:rsidRPr="00560F0E">
        <w:rPr>
          <w:rFonts w:ascii="Times New Roman" w:hAnsi="Times New Roman" w:cs="Times New Roman"/>
          <w:sz w:val="24"/>
          <w:szCs w:val="24"/>
        </w:rPr>
        <w:t xml:space="preserve"> that an authorisation, whether in written or electronic form, must be signed by its maker. </w:t>
      </w:r>
      <w:r w:rsidR="00FF509A" w:rsidRPr="00560F0E">
        <w:rPr>
          <w:rFonts w:ascii="Times New Roman" w:hAnsi="Times New Roman" w:cs="Times New Roman"/>
          <w:sz w:val="24"/>
          <w:szCs w:val="24"/>
        </w:rPr>
        <w:t xml:space="preserve">This </w:t>
      </w:r>
      <w:r w:rsidR="00AA090C">
        <w:rPr>
          <w:rFonts w:ascii="Times New Roman" w:hAnsi="Times New Roman" w:cs="Times New Roman"/>
          <w:sz w:val="24"/>
          <w:szCs w:val="24"/>
        </w:rPr>
        <w:t>subsection</w:t>
      </w:r>
      <w:r w:rsidR="00FF509A" w:rsidRPr="00560F0E">
        <w:rPr>
          <w:rFonts w:ascii="Times New Roman" w:hAnsi="Times New Roman" w:cs="Times New Roman"/>
          <w:sz w:val="24"/>
          <w:szCs w:val="24"/>
        </w:rPr>
        <w:t xml:space="preserve"> </w:t>
      </w:r>
      <w:r w:rsidR="00FF509A">
        <w:rPr>
          <w:rFonts w:ascii="Times New Roman" w:hAnsi="Times New Roman" w:cs="Times New Roman"/>
          <w:sz w:val="24"/>
          <w:szCs w:val="24"/>
        </w:rPr>
        <w:t xml:space="preserve">is unchanged from </w:t>
      </w:r>
      <w:r w:rsidR="00FF509A" w:rsidRPr="00560F0E">
        <w:rPr>
          <w:rFonts w:ascii="Times New Roman" w:hAnsi="Times New Roman" w:cs="Times New Roman"/>
          <w:sz w:val="24"/>
          <w:szCs w:val="24"/>
        </w:rPr>
        <w:t>the</w:t>
      </w:r>
      <w:r w:rsidR="00FF509A">
        <w:rPr>
          <w:rFonts w:ascii="Times New Roman" w:hAnsi="Times New Roman" w:cs="Times New Roman"/>
          <w:sz w:val="24"/>
          <w:szCs w:val="24"/>
        </w:rPr>
        <w:t xml:space="preserve"> </w:t>
      </w:r>
      <w:r w:rsidR="00FF509A" w:rsidRPr="00560F0E">
        <w:rPr>
          <w:rFonts w:ascii="Times New Roman" w:hAnsi="Times New Roman" w:cs="Times New Roman"/>
          <w:sz w:val="24"/>
          <w:szCs w:val="24"/>
        </w:rPr>
        <w:t>201</w:t>
      </w:r>
      <w:r w:rsidR="00FF509A">
        <w:rPr>
          <w:rFonts w:ascii="Times New Roman" w:hAnsi="Times New Roman" w:cs="Times New Roman"/>
          <w:sz w:val="24"/>
          <w:szCs w:val="24"/>
        </w:rPr>
        <w:t>8</w:t>
      </w:r>
      <w:r w:rsidR="00FF509A" w:rsidRPr="00560F0E">
        <w:rPr>
          <w:rFonts w:ascii="Times New Roman" w:hAnsi="Times New Roman" w:cs="Times New Roman"/>
          <w:sz w:val="24"/>
          <w:szCs w:val="24"/>
        </w:rPr>
        <w:t xml:space="preserve"> Determination</w:t>
      </w:r>
      <w:r w:rsidR="009F4914">
        <w:rPr>
          <w:rFonts w:ascii="Times New Roman" w:hAnsi="Times New Roman" w:cs="Times New Roman"/>
          <w:sz w:val="24"/>
          <w:szCs w:val="24"/>
        </w:rPr>
        <w:t>.</w:t>
      </w:r>
    </w:p>
    <w:p w14:paraId="41797549" w14:textId="77777777" w:rsidR="004D3DA0" w:rsidRPr="00560F0E" w:rsidRDefault="00640E64" w:rsidP="004D3DA0">
      <w:pPr>
        <w:pStyle w:val="Heading2"/>
        <w:spacing w:line="240" w:lineRule="auto"/>
      </w:pPr>
      <w:r>
        <w:t>Division</w:t>
      </w:r>
      <w:r w:rsidRPr="00560F0E">
        <w:t xml:space="preserve"> </w:t>
      </w:r>
      <w:r w:rsidR="004D3DA0" w:rsidRPr="00560F0E">
        <w:t xml:space="preserve">2 – Authorisations made by enforcement agencies </w:t>
      </w:r>
    </w:p>
    <w:p w14:paraId="6B9542E4" w14:textId="77777777" w:rsidR="004D3DA0" w:rsidRPr="00560F0E" w:rsidRDefault="00640E64" w:rsidP="004D3DA0">
      <w:pPr>
        <w:pStyle w:val="Heading2"/>
        <w:spacing w:line="240" w:lineRule="auto"/>
      </w:pPr>
      <w:r>
        <w:t>Section 10</w:t>
      </w:r>
      <w:r w:rsidR="004D3DA0" w:rsidRPr="00560F0E">
        <w:t xml:space="preserve"> – Authorisation for access to existing information or documents </w:t>
      </w:r>
    </w:p>
    <w:p w14:paraId="583408B5" w14:textId="77777777" w:rsidR="00EC4B9C" w:rsidRPr="002D571E" w:rsidRDefault="00EC4B9C" w:rsidP="00A927DF">
      <w:pPr>
        <w:spacing w:before="240" w:line="240" w:lineRule="auto"/>
        <w:rPr>
          <w:rFonts w:ascii="Times New Roman" w:hAnsi="Times New Roman" w:cs="Times New Roman"/>
          <w:sz w:val="24"/>
          <w:szCs w:val="24"/>
        </w:rPr>
      </w:pPr>
      <w:r>
        <w:rPr>
          <w:rFonts w:ascii="Times New Roman" w:hAnsi="Times New Roman" w:cs="Times New Roman"/>
          <w:i/>
          <w:sz w:val="24"/>
          <w:szCs w:val="24"/>
        </w:rPr>
        <w:t>Subsection 10(1</w:t>
      </w:r>
      <w:r w:rsidRPr="00560F0E">
        <w:rPr>
          <w:rFonts w:ascii="Times New Roman" w:hAnsi="Times New Roman" w:cs="Times New Roman"/>
          <w:i/>
          <w:sz w:val="24"/>
          <w:szCs w:val="24"/>
        </w:rPr>
        <w:t>)</w:t>
      </w:r>
    </w:p>
    <w:p w14:paraId="23E62A26" w14:textId="58D4645D" w:rsidR="004D3DA0" w:rsidRPr="00DF1327" w:rsidRDefault="00640E64" w:rsidP="00474003">
      <w:pPr>
        <w:pStyle w:val="ListParagraph"/>
        <w:numPr>
          <w:ilvl w:val="0"/>
          <w:numId w:val="13"/>
        </w:numPr>
        <w:tabs>
          <w:tab w:val="left" w:pos="993"/>
        </w:tabs>
        <w:spacing w:line="240" w:lineRule="auto"/>
        <w:ind w:left="646" w:hanging="644"/>
        <w:rPr>
          <w:rFonts w:ascii="Times New Roman" w:hAnsi="Times New Roman" w:cs="Times New Roman"/>
          <w:sz w:val="24"/>
          <w:szCs w:val="24"/>
        </w:rPr>
      </w:pPr>
      <w:r w:rsidRPr="00DF1327">
        <w:rPr>
          <w:rFonts w:ascii="Times New Roman" w:hAnsi="Times New Roman" w:cs="Times New Roman"/>
          <w:sz w:val="24"/>
          <w:szCs w:val="24"/>
        </w:rPr>
        <w:t>Subsection 10</w:t>
      </w:r>
      <w:r w:rsidR="004D3DA0" w:rsidRPr="00DF1327">
        <w:rPr>
          <w:rFonts w:ascii="Times New Roman" w:hAnsi="Times New Roman" w:cs="Times New Roman"/>
          <w:sz w:val="24"/>
          <w:szCs w:val="24"/>
        </w:rPr>
        <w:t>(1) specifie</w:t>
      </w:r>
      <w:r w:rsidR="00246CD6" w:rsidRPr="00DF1327">
        <w:rPr>
          <w:rFonts w:ascii="Times New Roman" w:hAnsi="Times New Roman" w:cs="Times New Roman"/>
          <w:sz w:val="24"/>
          <w:szCs w:val="24"/>
        </w:rPr>
        <w:t>s</w:t>
      </w:r>
      <w:r w:rsidR="004D3DA0" w:rsidRPr="00DF1327">
        <w:rPr>
          <w:rFonts w:ascii="Times New Roman" w:hAnsi="Times New Roman" w:cs="Times New Roman"/>
          <w:sz w:val="24"/>
          <w:szCs w:val="24"/>
        </w:rPr>
        <w:t xml:space="preserve"> information that must be included in an authorisation made by enforcement agencies for access to existing information or documents under </w:t>
      </w:r>
      <w:r w:rsidR="00525426">
        <w:rPr>
          <w:rFonts w:ascii="Times New Roman" w:hAnsi="Times New Roman" w:cs="Times New Roman"/>
          <w:sz w:val="24"/>
          <w:szCs w:val="24"/>
        </w:rPr>
        <w:t>subsections</w:t>
      </w:r>
      <w:r w:rsidR="004D3DA0" w:rsidRPr="00DF1327">
        <w:rPr>
          <w:rFonts w:ascii="Times New Roman" w:hAnsi="Times New Roman" w:cs="Times New Roman"/>
          <w:sz w:val="24"/>
          <w:szCs w:val="24"/>
        </w:rPr>
        <w:t xml:space="preserve"> 178(2</w:t>
      </w:r>
      <w:r w:rsidR="00DF1327" w:rsidRPr="00DF1327">
        <w:rPr>
          <w:rFonts w:ascii="Times New Roman" w:hAnsi="Times New Roman" w:cs="Times New Roman"/>
          <w:sz w:val="24"/>
          <w:szCs w:val="24"/>
        </w:rPr>
        <w:t>)</w:t>
      </w:r>
      <w:r w:rsidR="004D3DA0" w:rsidRPr="00DF1327">
        <w:rPr>
          <w:rFonts w:ascii="Times New Roman" w:hAnsi="Times New Roman" w:cs="Times New Roman"/>
          <w:sz w:val="24"/>
          <w:szCs w:val="24"/>
        </w:rPr>
        <w:t xml:space="preserve"> and 179(2) of the TIA Act.</w:t>
      </w:r>
      <w:r w:rsidR="00DF1327">
        <w:rPr>
          <w:rFonts w:ascii="Times New Roman" w:hAnsi="Times New Roman" w:cs="Times New Roman"/>
          <w:sz w:val="24"/>
          <w:szCs w:val="24"/>
        </w:rPr>
        <w:t xml:space="preserve"> </w:t>
      </w:r>
      <w:r w:rsidR="00AA090C" w:rsidRPr="00DF1327">
        <w:rPr>
          <w:rFonts w:ascii="Times New Roman" w:hAnsi="Times New Roman" w:cs="Times New Roman"/>
          <w:sz w:val="24"/>
          <w:szCs w:val="24"/>
        </w:rPr>
        <w:t xml:space="preserve">This subsection is unchanged from the 2018 Determination, except that “person” is replaced with “person(s)” in </w:t>
      </w:r>
      <w:r w:rsidR="00525426">
        <w:rPr>
          <w:rFonts w:ascii="Times New Roman" w:hAnsi="Times New Roman" w:cs="Times New Roman"/>
          <w:sz w:val="24"/>
          <w:szCs w:val="24"/>
        </w:rPr>
        <w:t>paragraph </w:t>
      </w:r>
      <w:r w:rsidR="00AA090C" w:rsidRPr="00DF1327">
        <w:rPr>
          <w:rFonts w:ascii="Times New Roman" w:hAnsi="Times New Roman" w:cs="Times New Roman"/>
          <w:sz w:val="24"/>
          <w:szCs w:val="24"/>
        </w:rPr>
        <w:t>10(1)(f)</w:t>
      </w:r>
      <w:r w:rsidRPr="00DF1327">
        <w:rPr>
          <w:rFonts w:ascii="Times New Roman" w:hAnsi="Times New Roman" w:cs="Times New Roman"/>
          <w:sz w:val="24"/>
          <w:szCs w:val="24"/>
        </w:rPr>
        <w:t>.</w:t>
      </w:r>
    </w:p>
    <w:p w14:paraId="4FEBAE8C" w14:textId="07EB053C" w:rsidR="00EC4B9C" w:rsidRDefault="00EC4B9C" w:rsidP="00EC4B9C">
      <w:pPr>
        <w:spacing w:line="240" w:lineRule="auto"/>
        <w:rPr>
          <w:rFonts w:ascii="Times New Roman" w:hAnsi="Times New Roman" w:cs="Times New Roman"/>
          <w:i/>
          <w:sz w:val="24"/>
          <w:szCs w:val="24"/>
        </w:rPr>
      </w:pPr>
      <w:r>
        <w:rPr>
          <w:rFonts w:ascii="Times New Roman" w:hAnsi="Times New Roman" w:cs="Times New Roman"/>
          <w:i/>
          <w:sz w:val="24"/>
          <w:szCs w:val="24"/>
        </w:rPr>
        <w:t>Subsection 10(2</w:t>
      </w:r>
      <w:r w:rsidRPr="00560F0E">
        <w:rPr>
          <w:rFonts w:ascii="Times New Roman" w:hAnsi="Times New Roman" w:cs="Times New Roman"/>
          <w:i/>
          <w:sz w:val="24"/>
          <w:szCs w:val="24"/>
        </w:rPr>
        <w:t>)</w:t>
      </w:r>
    </w:p>
    <w:p w14:paraId="6DAF4DBB" w14:textId="12C1C722" w:rsidR="00DF1327" w:rsidRDefault="003E378C" w:rsidP="00DF1327">
      <w:pPr>
        <w:pStyle w:val="ListParagraph"/>
        <w:numPr>
          <w:ilvl w:val="0"/>
          <w:numId w:val="13"/>
        </w:numPr>
        <w:tabs>
          <w:tab w:val="left" w:pos="993"/>
        </w:tabs>
        <w:spacing w:line="240" w:lineRule="auto"/>
        <w:ind w:left="646" w:hanging="644"/>
        <w:rPr>
          <w:rFonts w:ascii="Times New Roman" w:hAnsi="Times New Roman" w:cs="Times New Roman"/>
          <w:sz w:val="24"/>
          <w:szCs w:val="24"/>
        </w:rPr>
      </w:pPr>
      <w:r w:rsidRPr="003E378C">
        <w:rPr>
          <w:rFonts w:ascii="Times New Roman" w:hAnsi="Times New Roman" w:cs="Times New Roman"/>
          <w:sz w:val="24"/>
          <w:szCs w:val="24"/>
        </w:rPr>
        <w:t>Subsection 10(</w:t>
      </w:r>
      <w:r>
        <w:rPr>
          <w:rFonts w:ascii="Times New Roman" w:hAnsi="Times New Roman" w:cs="Times New Roman"/>
          <w:sz w:val="24"/>
          <w:szCs w:val="24"/>
        </w:rPr>
        <w:t>2</w:t>
      </w:r>
      <w:r w:rsidRPr="003E378C">
        <w:rPr>
          <w:rFonts w:ascii="Times New Roman" w:hAnsi="Times New Roman" w:cs="Times New Roman"/>
          <w:sz w:val="24"/>
          <w:szCs w:val="24"/>
        </w:rPr>
        <w:t xml:space="preserve">) specifies information that must be included in an authorisation made by </w:t>
      </w:r>
      <w:r w:rsidR="00DF1327">
        <w:rPr>
          <w:rFonts w:ascii="Times New Roman" w:hAnsi="Times New Roman" w:cs="Times New Roman"/>
          <w:sz w:val="24"/>
          <w:szCs w:val="24"/>
        </w:rPr>
        <w:t>police forces</w:t>
      </w:r>
      <w:r w:rsidRPr="003E378C">
        <w:rPr>
          <w:rFonts w:ascii="Times New Roman" w:hAnsi="Times New Roman" w:cs="Times New Roman"/>
          <w:sz w:val="24"/>
          <w:szCs w:val="24"/>
        </w:rPr>
        <w:t xml:space="preserve"> for access to existing information or documents under s</w:t>
      </w:r>
      <w:r w:rsidR="00525426">
        <w:rPr>
          <w:rFonts w:ascii="Times New Roman" w:hAnsi="Times New Roman" w:cs="Times New Roman"/>
          <w:sz w:val="24"/>
          <w:szCs w:val="24"/>
        </w:rPr>
        <w:t>ubs</w:t>
      </w:r>
      <w:r w:rsidRPr="003E378C">
        <w:rPr>
          <w:rFonts w:ascii="Times New Roman" w:hAnsi="Times New Roman" w:cs="Times New Roman"/>
          <w:sz w:val="24"/>
          <w:szCs w:val="24"/>
        </w:rPr>
        <w:t>ection</w:t>
      </w:r>
      <w:r w:rsidR="00525426">
        <w:rPr>
          <w:rFonts w:ascii="Times New Roman" w:hAnsi="Times New Roman" w:cs="Times New Roman"/>
          <w:sz w:val="24"/>
          <w:szCs w:val="24"/>
        </w:rPr>
        <w:t> </w:t>
      </w:r>
      <w:r w:rsidRPr="003E378C">
        <w:rPr>
          <w:rFonts w:ascii="Times New Roman" w:hAnsi="Times New Roman" w:cs="Times New Roman"/>
          <w:sz w:val="24"/>
          <w:szCs w:val="24"/>
        </w:rPr>
        <w:t>178A(2</w:t>
      </w:r>
      <w:r w:rsidR="00DF1327">
        <w:rPr>
          <w:rFonts w:ascii="Times New Roman" w:hAnsi="Times New Roman" w:cs="Times New Roman"/>
          <w:sz w:val="24"/>
          <w:szCs w:val="24"/>
        </w:rPr>
        <w:t>)</w:t>
      </w:r>
      <w:r w:rsidRPr="003E378C">
        <w:rPr>
          <w:rFonts w:ascii="Times New Roman" w:hAnsi="Times New Roman" w:cs="Times New Roman"/>
          <w:sz w:val="24"/>
          <w:szCs w:val="24"/>
        </w:rPr>
        <w:t xml:space="preserve"> of the TIA Act.</w:t>
      </w:r>
    </w:p>
    <w:p w14:paraId="68F2ADA6" w14:textId="77777777" w:rsidR="00DF1327" w:rsidRPr="00DF1327" w:rsidRDefault="00DF1327" w:rsidP="00DF1327">
      <w:pPr>
        <w:pStyle w:val="ListParagraph"/>
        <w:tabs>
          <w:tab w:val="left" w:pos="993"/>
        </w:tabs>
        <w:spacing w:line="240" w:lineRule="auto"/>
        <w:ind w:left="646"/>
        <w:rPr>
          <w:rFonts w:ascii="Times New Roman" w:hAnsi="Times New Roman" w:cs="Times New Roman"/>
          <w:sz w:val="24"/>
          <w:szCs w:val="24"/>
        </w:rPr>
      </w:pPr>
    </w:p>
    <w:p w14:paraId="238D2A0A" w14:textId="500E8696" w:rsidR="00DF1327" w:rsidRPr="003E378C" w:rsidRDefault="00DF1327" w:rsidP="003E378C">
      <w:pPr>
        <w:pStyle w:val="ListParagraph"/>
        <w:numPr>
          <w:ilvl w:val="0"/>
          <w:numId w:val="13"/>
        </w:numPr>
        <w:tabs>
          <w:tab w:val="left" w:pos="993"/>
        </w:tabs>
        <w:spacing w:line="240" w:lineRule="auto"/>
        <w:ind w:left="646" w:hanging="644"/>
        <w:rPr>
          <w:rFonts w:ascii="Times New Roman" w:hAnsi="Times New Roman" w:cs="Times New Roman"/>
          <w:sz w:val="24"/>
          <w:szCs w:val="24"/>
        </w:rPr>
      </w:pPr>
      <w:r>
        <w:rPr>
          <w:rFonts w:ascii="Times New Roman" w:hAnsi="Times New Roman" w:cs="Times New Roman"/>
          <w:sz w:val="24"/>
          <w:szCs w:val="24"/>
        </w:rPr>
        <w:t>This subsection is newly inserted</w:t>
      </w:r>
      <w:r w:rsidR="005B742A">
        <w:rPr>
          <w:rFonts w:ascii="Times New Roman" w:hAnsi="Times New Roman" w:cs="Times New Roman"/>
          <w:sz w:val="24"/>
          <w:szCs w:val="24"/>
        </w:rPr>
        <w:t xml:space="preserve">; </w:t>
      </w:r>
      <w:r>
        <w:rPr>
          <w:rFonts w:ascii="Times New Roman" w:hAnsi="Times New Roman" w:cs="Times New Roman"/>
          <w:sz w:val="24"/>
          <w:szCs w:val="24"/>
        </w:rPr>
        <w:t>the 2018 Determination did not include requirements for authorisations made under subsection 178A(2) of the TIA Act.</w:t>
      </w:r>
    </w:p>
    <w:p w14:paraId="535823BB" w14:textId="25311FD2" w:rsidR="003E378C" w:rsidRPr="002D571E" w:rsidRDefault="003E378C" w:rsidP="00EC4B9C">
      <w:pPr>
        <w:spacing w:line="240" w:lineRule="auto"/>
        <w:rPr>
          <w:rFonts w:ascii="Times New Roman" w:hAnsi="Times New Roman" w:cs="Times New Roman"/>
          <w:sz w:val="24"/>
          <w:szCs w:val="24"/>
        </w:rPr>
      </w:pPr>
      <w:r>
        <w:rPr>
          <w:rFonts w:ascii="Times New Roman" w:hAnsi="Times New Roman" w:cs="Times New Roman"/>
          <w:i/>
          <w:sz w:val="24"/>
          <w:szCs w:val="24"/>
        </w:rPr>
        <w:t>Subsection 10(</w:t>
      </w:r>
      <w:r w:rsidR="00DF1327">
        <w:rPr>
          <w:rFonts w:ascii="Times New Roman" w:hAnsi="Times New Roman" w:cs="Times New Roman"/>
          <w:i/>
          <w:sz w:val="24"/>
          <w:szCs w:val="24"/>
        </w:rPr>
        <w:t>3</w:t>
      </w:r>
      <w:r w:rsidRPr="00560F0E">
        <w:rPr>
          <w:rFonts w:ascii="Times New Roman" w:hAnsi="Times New Roman" w:cs="Times New Roman"/>
          <w:i/>
          <w:sz w:val="24"/>
          <w:szCs w:val="24"/>
        </w:rPr>
        <w:t>)</w:t>
      </w:r>
    </w:p>
    <w:p w14:paraId="1F941A49" w14:textId="5E03806A" w:rsidR="004D3DA0" w:rsidRPr="00560F0E" w:rsidRDefault="00640E64" w:rsidP="00474003">
      <w:pPr>
        <w:pStyle w:val="ListParagraph"/>
        <w:numPr>
          <w:ilvl w:val="0"/>
          <w:numId w:val="13"/>
        </w:numPr>
        <w:tabs>
          <w:tab w:val="left" w:pos="993"/>
        </w:tabs>
        <w:spacing w:line="240" w:lineRule="auto"/>
        <w:ind w:left="646" w:hanging="644"/>
        <w:rPr>
          <w:rFonts w:ascii="Times New Roman" w:hAnsi="Times New Roman" w:cs="Times New Roman"/>
          <w:sz w:val="24"/>
          <w:szCs w:val="24"/>
        </w:rPr>
      </w:pPr>
      <w:r>
        <w:rPr>
          <w:rFonts w:ascii="Times New Roman" w:hAnsi="Times New Roman" w:cs="Times New Roman"/>
          <w:sz w:val="24"/>
          <w:szCs w:val="24"/>
        </w:rPr>
        <w:t>Subsection 10</w:t>
      </w:r>
      <w:r w:rsidR="004D3DA0" w:rsidRPr="00560F0E">
        <w:rPr>
          <w:rFonts w:ascii="Times New Roman" w:hAnsi="Times New Roman" w:cs="Times New Roman"/>
          <w:sz w:val="24"/>
          <w:szCs w:val="24"/>
        </w:rPr>
        <w:t>(</w:t>
      </w:r>
      <w:r w:rsidR="00DF1327">
        <w:rPr>
          <w:rFonts w:ascii="Times New Roman" w:hAnsi="Times New Roman" w:cs="Times New Roman"/>
          <w:sz w:val="24"/>
          <w:szCs w:val="24"/>
        </w:rPr>
        <w:t>3</w:t>
      </w:r>
      <w:r w:rsidR="004D3DA0" w:rsidRPr="00560F0E">
        <w:rPr>
          <w:rFonts w:ascii="Times New Roman" w:hAnsi="Times New Roman" w:cs="Times New Roman"/>
          <w:sz w:val="24"/>
          <w:szCs w:val="24"/>
        </w:rPr>
        <w:t>) provide</w:t>
      </w:r>
      <w:r w:rsidR="00246CD6">
        <w:rPr>
          <w:rFonts w:ascii="Times New Roman" w:hAnsi="Times New Roman" w:cs="Times New Roman"/>
          <w:sz w:val="24"/>
          <w:szCs w:val="24"/>
        </w:rPr>
        <w:t>s</w:t>
      </w:r>
      <w:r w:rsidR="004D3DA0" w:rsidRPr="00560F0E">
        <w:rPr>
          <w:rFonts w:ascii="Times New Roman" w:hAnsi="Times New Roman" w:cs="Times New Roman"/>
          <w:sz w:val="24"/>
          <w:szCs w:val="24"/>
        </w:rPr>
        <w:t xml:space="preserve"> that an authorisation, whether in written or electronic form, must be signed by its maker. </w:t>
      </w:r>
      <w:r w:rsidR="00FF509A" w:rsidRPr="00560F0E">
        <w:rPr>
          <w:rFonts w:ascii="Times New Roman" w:hAnsi="Times New Roman" w:cs="Times New Roman"/>
          <w:sz w:val="24"/>
          <w:szCs w:val="24"/>
        </w:rPr>
        <w:t xml:space="preserve">This </w:t>
      </w:r>
      <w:r w:rsidR="001317EC" w:rsidRPr="001317EC">
        <w:rPr>
          <w:rFonts w:ascii="Times New Roman" w:hAnsi="Times New Roman" w:cs="Times New Roman"/>
          <w:sz w:val="24"/>
          <w:szCs w:val="24"/>
        </w:rPr>
        <w:t xml:space="preserve">subsection </w:t>
      </w:r>
      <w:r w:rsidR="00FF509A">
        <w:rPr>
          <w:rFonts w:ascii="Times New Roman" w:hAnsi="Times New Roman" w:cs="Times New Roman"/>
          <w:sz w:val="24"/>
          <w:szCs w:val="24"/>
        </w:rPr>
        <w:t xml:space="preserve">is unchanged from </w:t>
      </w:r>
      <w:r w:rsidR="00DF1327">
        <w:rPr>
          <w:rFonts w:ascii="Times New Roman" w:hAnsi="Times New Roman" w:cs="Times New Roman"/>
          <w:sz w:val="24"/>
          <w:szCs w:val="24"/>
        </w:rPr>
        <w:t>subsection 10(2) in the</w:t>
      </w:r>
      <w:r w:rsidR="00FF509A">
        <w:rPr>
          <w:rFonts w:ascii="Times New Roman" w:hAnsi="Times New Roman" w:cs="Times New Roman"/>
          <w:sz w:val="24"/>
          <w:szCs w:val="24"/>
        </w:rPr>
        <w:t xml:space="preserve"> </w:t>
      </w:r>
      <w:r w:rsidR="00FF509A" w:rsidRPr="00560F0E">
        <w:rPr>
          <w:rFonts w:ascii="Times New Roman" w:hAnsi="Times New Roman" w:cs="Times New Roman"/>
          <w:sz w:val="24"/>
          <w:szCs w:val="24"/>
        </w:rPr>
        <w:t>201</w:t>
      </w:r>
      <w:r w:rsidR="00FF509A">
        <w:rPr>
          <w:rFonts w:ascii="Times New Roman" w:hAnsi="Times New Roman" w:cs="Times New Roman"/>
          <w:sz w:val="24"/>
          <w:szCs w:val="24"/>
        </w:rPr>
        <w:t>8</w:t>
      </w:r>
      <w:r w:rsidR="00FF509A" w:rsidRPr="00560F0E">
        <w:rPr>
          <w:rFonts w:ascii="Times New Roman" w:hAnsi="Times New Roman" w:cs="Times New Roman"/>
          <w:sz w:val="24"/>
          <w:szCs w:val="24"/>
        </w:rPr>
        <w:t xml:space="preserve"> Determination</w:t>
      </w:r>
      <w:r w:rsidR="00DF1327">
        <w:rPr>
          <w:rFonts w:ascii="Times New Roman" w:hAnsi="Times New Roman" w:cs="Times New Roman"/>
          <w:sz w:val="24"/>
          <w:szCs w:val="24"/>
        </w:rPr>
        <w:t>, except to include mention of the new subsection 10(2)</w:t>
      </w:r>
      <w:r w:rsidR="009F4914">
        <w:rPr>
          <w:rFonts w:ascii="Times New Roman" w:hAnsi="Times New Roman" w:cs="Times New Roman"/>
          <w:sz w:val="24"/>
          <w:szCs w:val="24"/>
        </w:rPr>
        <w:t>.</w:t>
      </w:r>
    </w:p>
    <w:p w14:paraId="0FC12BCD" w14:textId="77777777" w:rsidR="004D3DA0" w:rsidRDefault="00640E64" w:rsidP="004D3DA0">
      <w:pPr>
        <w:pStyle w:val="Heading2"/>
        <w:spacing w:line="240" w:lineRule="auto"/>
      </w:pPr>
      <w:r>
        <w:t>Section 11</w:t>
      </w:r>
      <w:r w:rsidR="004D3DA0" w:rsidRPr="00560F0E">
        <w:t xml:space="preserve"> - Authorisations for access to existing information or documents by the Australian Federal Police – enforc</w:t>
      </w:r>
      <w:r w:rsidR="004D3DA0">
        <w:t>ing foreign or international laws</w:t>
      </w:r>
    </w:p>
    <w:p w14:paraId="00BA23AE" w14:textId="77777777" w:rsidR="004D3DA0" w:rsidRPr="00560F0E" w:rsidRDefault="008B480E" w:rsidP="001317EC">
      <w:pPr>
        <w:spacing w:before="240" w:line="240" w:lineRule="auto"/>
        <w:rPr>
          <w:rFonts w:ascii="Times New Roman" w:hAnsi="Times New Roman" w:cs="Times New Roman"/>
          <w:i/>
          <w:sz w:val="24"/>
          <w:szCs w:val="24"/>
        </w:rPr>
      </w:pPr>
      <w:r>
        <w:rPr>
          <w:rFonts w:ascii="Times New Roman" w:hAnsi="Times New Roman" w:cs="Times New Roman"/>
          <w:i/>
          <w:sz w:val="24"/>
          <w:szCs w:val="24"/>
        </w:rPr>
        <w:t>Subsection 11</w:t>
      </w:r>
      <w:r w:rsidR="004D3DA0" w:rsidRPr="00560F0E">
        <w:rPr>
          <w:rFonts w:ascii="Times New Roman" w:hAnsi="Times New Roman" w:cs="Times New Roman"/>
          <w:i/>
          <w:sz w:val="24"/>
          <w:szCs w:val="24"/>
        </w:rPr>
        <w:t>(1)</w:t>
      </w:r>
    </w:p>
    <w:p w14:paraId="7FF77345" w14:textId="1A9A9A96" w:rsidR="004D3DA0" w:rsidRPr="00560F0E" w:rsidRDefault="008B480E" w:rsidP="00474003">
      <w:pPr>
        <w:pStyle w:val="ListParagraph"/>
        <w:numPr>
          <w:ilvl w:val="0"/>
          <w:numId w:val="13"/>
        </w:numPr>
        <w:tabs>
          <w:tab w:val="left" w:pos="993"/>
        </w:tabs>
        <w:spacing w:before="240" w:line="240" w:lineRule="auto"/>
        <w:ind w:left="646" w:hanging="646"/>
        <w:rPr>
          <w:rFonts w:ascii="Times New Roman" w:hAnsi="Times New Roman" w:cs="Times New Roman"/>
          <w:sz w:val="24"/>
          <w:szCs w:val="24"/>
        </w:rPr>
      </w:pPr>
      <w:r>
        <w:rPr>
          <w:rFonts w:ascii="Times New Roman" w:hAnsi="Times New Roman" w:cs="Times New Roman"/>
          <w:sz w:val="24"/>
          <w:szCs w:val="24"/>
        </w:rPr>
        <w:t>Subsection 11</w:t>
      </w:r>
      <w:r w:rsidR="004D3DA0" w:rsidRPr="00560F0E">
        <w:rPr>
          <w:rFonts w:ascii="Times New Roman" w:hAnsi="Times New Roman" w:cs="Times New Roman"/>
          <w:sz w:val="24"/>
          <w:szCs w:val="24"/>
        </w:rPr>
        <w:t>(1) specifie</w:t>
      </w:r>
      <w:r w:rsidR="00246CD6">
        <w:rPr>
          <w:rFonts w:ascii="Times New Roman" w:hAnsi="Times New Roman" w:cs="Times New Roman"/>
          <w:sz w:val="24"/>
          <w:szCs w:val="24"/>
        </w:rPr>
        <w:t>s</w:t>
      </w:r>
      <w:r w:rsidR="004D3DA0" w:rsidRPr="00560F0E">
        <w:rPr>
          <w:rFonts w:ascii="Times New Roman" w:hAnsi="Times New Roman" w:cs="Times New Roman"/>
          <w:sz w:val="24"/>
          <w:szCs w:val="24"/>
        </w:rPr>
        <w:t xml:space="preserve"> information that must be included in an authorisation made by the </w:t>
      </w:r>
      <w:r w:rsidR="00525426">
        <w:rPr>
          <w:rFonts w:ascii="Times New Roman" w:hAnsi="Times New Roman" w:cs="Times New Roman"/>
          <w:sz w:val="24"/>
          <w:szCs w:val="24"/>
        </w:rPr>
        <w:t>Australian Federal Police</w:t>
      </w:r>
      <w:r w:rsidR="004D3DA0" w:rsidRPr="00560F0E">
        <w:rPr>
          <w:rFonts w:ascii="Times New Roman" w:hAnsi="Times New Roman" w:cs="Times New Roman"/>
          <w:sz w:val="24"/>
          <w:szCs w:val="24"/>
        </w:rPr>
        <w:t xml:space="preserve"> for access to existing information or documents for the purposes of enforcing </w:t>
      </w:r>
      <w:r w:rsidR="00484838">
        <w:rPr>
          <w:rFonts w:ascii="Times New Roman" w:hAnsi="Times New Roman" w:cs="Times New Roman"/>
          <w:sz w:val="24"/>
          <w:szCs w:val="24"/>
        </w:rPr>
        <w:t>foreign or international laws</w:t>
      </w:r>
      <w:r w:rsidR="004D3DA0" w:rsidRPr="00560F0E">
        <w:rPr>
          <w:rFonts w:ascii="Times New Roman" w:hAnsi="Times New Roman" w:cs="Times New Roman"/>
          <w:sz w:val="24"/>
          <w:szCs w:val="24"/>
        </w:rPr>
        <w:t xml:space="preserve"> under subsection 180A(2) of the </w:t>
      </w:r>
      <w:r w:rsidR="004D3DA0">
        <w:rPr>
          <w:rFonts w:ascii="Times New Roman" w:hAnsi="Times New Roman" w:cs="Times New Roman"/>
          <w:sz w:val="24"/>
          <w:szCs w:val="24"/>
        </w:rPr>
        <w:t xml:space="preserve">TIA </w:t>
      </w:r>
      <w:r w:rsidR="004D3DA0" w:rsidRPr="00560F0E">
        <w:rPr>
          <w:rFonts w:ascii="Times New Roman" w:hAnsi="Times New Roman" w:cs="Times New Roman"/>
          <w:sz w:val="24"/>
          <w:szCs w:val="24"/>
        </w:rPr>
        <w:t xml:space="preserve">Act. </w:t>
      </w:r>
    </w:p>
    <w:p w14:paraId="530E0C96" w14:textId="77777777" w:rsidR="004D3DA0" w:rsidRPr="00560F0E" w:rsidRDefault="004D3DA0" w:rsidP="00B9636C">
      <w:pPr>
        <w:pStyle w:val="ListParagraph"/>
        <w:tabs>
          <w:tab w:val="left" w:pos="993"/>
        </w:tabs>
        <w:spacing w:line="240" w:lineRule="auto"/>
        <w:ind w:left="646"/>
        <w:rPr>
          <w:rFonts w:ascii="Times New Roman" w:hAnsi="Times New Roman" w:cs="Times New Roman"/>
          <w:sz w:val="24"/>
          <w:szCs w:val="24"/>
        </w:rPr>
      </w:pPr>
    </w:p>
    <w:p w14:paraId="5D05B8DF" w14:textId="24B80E73" w:rsidR="00474003" w:rsidRPr="001317EC" w:rsidRDefault="001317EC" w:rsidP="00D435ED">
      <w:pPr>
        <w:pStyle w:val="ListParagraph"/>
        <w:numPr>
          <w:ilvl w:val="0"/>
          <w:numId w:val="13"/>
        </w:numPr>
        <w:tabs>
          <w:tab w:val="left" w:pos="993"/>
        </w:tabs>
        <w:spacing w:before="240" w:line="240" w:lineRule="auto"/>
        <w:ind w:left="646" w:hanging="646"/>
        <w:rPr>
          <w:rFonts w:ascii="Times New Roman" w:hAnsi="Times New Roman" w:cs="Times New Roman"/>
          <w:i/>
          <w:sz w:val="24"/>
          <w:szCs w:val="24"/>
        </w:rPr>
      </w:pPr>
      <w:r w:rsidRPr="001317EC">
        <w:rPr>
          <w:rFonts w:ascii="Times New Roman" w:hAnsi="Times New Roman" w:cs="Times New Roman"/>
          <w:sz w:val="24"/>
          <w:szCs w:val="24"/>
        </w:rPr>
        <w:t xml:space="preserve">This subsection is otherwise unchanged from the 2018 Determination, except that “person” is replaced with “person(s)” in </w:t>
      </w:r>
      <w:r w:rsidR="00525426">
        <w:rPr>
          <w:rFonts w:ascii="Times New Roman" w:hAnsi="Times New Roman" w:cs="Times New Roman"/>
          <w:sz w:val="24"/>
          <w:szCs w:val="24"/>
        </w:rPr>
        <w:t xml:space="preserve">paragraph </w:t>
      </w:r>
      <w:r w:rsidRPr="001317EC">
        <w:rPr>
          <w:rFonts w:ascii="Times New Roman" w:hAnsi="Times New Roman" w:cs="Times New Roman"/>
          <w:sz w:val="24"/>
          <w:szCs w:val="24"/>
        </w:rPr>
        <w:t xml:space="preserve">11(1)(d). </w:t>
      </w:r>
    </w:p>
    <w:p w14:paraId="3F922FCF" w14:textId="77777777" w:rsidR="004D3DA0" w:rsidRPr="00560F0E" w:rsidRDefault="004D3DA0" w:rsidP="00D435ED">
      <w:pPr>
        <w:spacing w:line="240" w:lineRule="auto"/>
        <w:rPr>
          <w:rFonts w:ascii="Times New Roman" w:hAnsi="Times New Roman" w:cs="Times New Roman"/>
          <w:i/>
          <w:sz w:val="24"/>
          <w:szCs w:val="24"/>
        </w:rPr>
      </w:pPr>
      <w:r w:rsidRPr="00560F0E">
        <w:rPr>
          <w:rFonts w:ascii="Times New Roman" w:hAnsi="Times New Roman" w:cs="Times New Roman"/>
          <w:i/>
          <w:sz w:val="24"/>
          <w:szCs w:val="24"/>
        </w:rPr>
        <w:t>Sub</w:t>
      </w:r>
      <w:r w:rsidR="008B480E">
        <w:rPr>
          <w:rFonts w:ascii="Times New Roman" w:hAnsi="Times New Roman" w:cs="Times New Roman"/>
          <w:i/>
          <w:sz w:val="24"/>
          <w:szCs w:val="24"/>
        </w:rPr>
        <w:t>section</w:t>
      </w:r>
      <w:r w:rsidRPr="00560F0E">
        <w:rPr>
          <w:rFonts w:ascii="Times New Roman" w:hAnsi="Times New Roman" w:cs="Times New Roman"/>
          <w:i/>
          <w:sz w:val="24"/>
          <w:szCs w:val="24"/>
        </w:rPr>
        <w:t xml:space="preserve"> </w:t>
      </w:r>
      <w:r w:rsidR="008B480E">
        <w:rPr>
          <w:rFonts w:ascii="Times New Roman" w:hAnsi="Times New Roman" w:cs="Times New Roman"/>
          <w:i/>
          <w:sz w:val="24"/>
          <w:szCs w:val="24"/>
        </w:rPr>
        <w:t>11</w:t>
      </w:r>
      <w:r w:rsidRPr="00560F0E">
        <w:rPr>
          <w:rFonts w:ascii="Times New Roman" w:hAnsi="Times New Roman" w:cs="Times New Roman"/>
          <w:i/>
          <w:sz w:val="24"/>
          <w:szCs w:val="24"/>
        </w:rPr>
        <w:t>(2)</w:t>
      </w:r>
    </w:p>
    <w:p w14:paraId="6640E825" w14:textId="37328CF5" w:rsidR="004D3DA0" w:rsidRPr="00560F0E" w:rsidRDefault="004D3DA0" w:rsidP="00474003">
      <w:pPr>
        <w:pStyle w:val="ListParagraph"/>
        <w:numPr>
          <w:ilvl w:val="0"/>
          <w:numId w:val="13"/>
        </w:numPr>
        <w:tabs>
          <w:tab w:val="left" w:pos="993"/>
        </w:tabs>
        <w:spacing w:before="240" w:line="240" w:lineRule="auto"/>
        <w:ind w:left="646" w:hanging="646"/>
        <w:rPr>
          <w:rFonts w:ascii="Times New Roman" w:hAnsi="Times New Roman" w:cs="Times New Roman"/>
          <w:sz w:val="24"/>
          <w:szCs w:val="24"/>
        </w:rPr>
      </w:pPr>
      <w:r w:rsidRPr="00560F0E">
        <w:rPr>
          <w:rFonts w:ascii="Times New Roman" w:hAnsi="Times New Roman" w:cs="Times New Roman"/>
          <w:sz w:val="24"/>
          <w:szCs w:val="24"/>
        </w:rPr>
        <w:t xml:space="preserve">Subsection 180A(4) of the </w:t>
      </w:r>
      <w:r>
        <w:rPr>
          <w:rFonts w:ascii="Times New Roman" w:hAnsi="Times New Roman" w:cs="Times New Roman"/>
          <w:sz w:val="24"/>
          <w:szCs w:val="24"/>
        </w:rPr>
        <w:t xml:space="preserve">TIA </w:t>
      </w:r>
      <w:r w:rsidRPr="00560F0E">
        <w:rPr>
          <w:rFonts w:ascii="Times New Roman" w:hAnsi="Times New Roman" w:cs="Times New Roman"/>
          <w:sz w:val="24"/>
          <w:szCs w:val="24"/>
        </w:rPr>
        <w:t>Act enable</w:t>
      </w:r>
      <w:r w:rsidR="004B3175">
        <w:rPr>
          <w:rFonts w:ascii="Times New Roman" w:hAnsi="Times New Roman" w:cs="Times New Roman"/>
          <w:sz w:val="24"/>
          <w:szCs w:val="24"/>
        </w:rPr>
        <w:t>s</w:t>
      </w:r>
      <w:r w:rsidRPr="00560F0E">
        <w:rPr>
          <w:rFonts w:ascii="Times New Roman" w:hAnsi="Times New Roman" w:cs="Times New Roman"/>
          <w:sz w:val="24"/>
          <w:szCs w:val="24"/>
        </w:rPr>
        <w:t xml:space="preserve"> an authorised officer of the </w:t>
      </w:r>
      <w:r w:rsidR="00525426">
        <w:rPr>
          <w:rFonts w:ascii="Times New Roman" w:hAnsi="Times New Roman" w:cs="Times New Roman"/>
          <w:sz w:val="24"/>
          <w:szCs w:val="24"/>
        </w:rPr>
        <w:t>Australian Federal Police</w:t>
      </w:r>
      <w:r w:rsidR="00525426" w:rsidRPr="00560F0E">
        <w:rPr>
          <w:rFonts w:ascii="Times New Roman" w:hAnsi="Times New Roman" w:cs="Times New Roman"/>
          <w:sz w:val="24"/>
          <w:szCs w:val="24"/>
        </w:rPr>
        <w:t xml:space="preserve"> </w:t>
      </w:r>
      <w:r w:rsidRPr="00560F0E">
        <w:rPr>
          <w:rFonts w:ascii="Times New Roman" w:hAnsi="Times New Roman" w:cs="Times New Roman"/>
          <w:sz w:val="24"/>
          <w:szCs w:val="24"/>
        </w:rPr>
        <w:t>to authorise the disclosure of information or documents obtained under subsection</w:t>
      </w:r>
      <w:r w:rsidR="004B3175">
        <w:rPr>
          <w:rFonts w:ascii="Times New Roman" w:hAnsi="Times New Roman" w:cs="Times New Roman"/>
          <w:sz w:val="24"/>
          <w:szCs w:val="24"/>
        </w:rPr>
        <w:t> </w:t>
      </w:r>
      <w:r w:rsidRPr="00560F0E">
        <w:rPr>
          <w:rFonts w:ascii="Times New Roman" w:hAnsi="Times New Roman" w:cs="Times New Roman"/>
          <w:sz w:val="24"/>
          <w:szCs w:val="24"/>
        </w:rPr>
        <w:t xml:space="preserve">180A(2) to a foreign law enforcement agency. </w:t>
      </w:r>
      <w:r w:rsidR="008B480E">
        <w:rPr>
          <w:rFonts w:ascii="Times New Roman" w:hAnsi="Times New Roman" w:cs="Times New Roman"/>
          <w:sz w:val="24"/>
          <w:szCs w:val="24"/>
        </w:rPr>
        <w:t>Subsection 11</w:t>
      </w:r>
      <w:r w:rsidRPr="00560F0E">
        <w:rPr>
          <w:rFonts w:ascii="Times New Roman" w:hAnsi="Times New Roman" w:cs="Times New Roman"/>
          <w:sz w:val="24"/>
          <w:szCs w:val="24"/>
        </w:rPr>
        <w:t>(2) prescribe</w:t>
      </w:r>
      <w:r w:rsidR="00246CD6">
        <w:rPr>
          <w:rFonts w:ascii="Times New Roman" w:hAnsi="Times New Roman" w:cs="Times New Roman"/>
          <w:sz w:val="24"/>
          <w:szCs w:val="24"/>
        </w:rPr>
        <w:t>s</w:t>
      </w:r>
      <w:r w:rsidRPr="00560F0E">
        <w:rPr>
          <w:rFonts w:ascii="Times New Roman" w:hAnsi="Times New Roman" w:cs="Times New Roman"/>
          <w:sz w:val="24"/>
          <w:szCs w:val="24"/>
        </w:rPr>
        <w:t xml:space="preserve"> the information that must be included when authorising such a disclosure.</w:t>
      </w:r>
    </w:p>
    <w:p w14:paraId="6316CC60" w14:textId="77777777" w:rsidR="004D3DA0" w:rsidRPr="00560F0E" w:rsidRDefault="004D3DA0" w:rsidP="00B9636C">
      <w:pPr>
        <w:pStyle w:val="ListParagraph"/>
        <w:tabs>
          <w:tab w:val="left" w:pos="993"/>
        </w:tabs>
        <w:spacing w:line="240" w:lineRule="auto"/>
        <w:ind w:left="646"/>
        <w:rPr>
          <w:rFonts w:ascii="Times New Roman" w:hAnsi="Times New Roman" w:cs="Times New Roman"/>
          <w:sz w:val="24"/>
          <w:szCs w:val="24"/>
        </w:rPr>
      </w:pPr>
    </w:p>
    <w:p w14:paraId="7CAB5F28" w14:textId="591990E7" w:rsidR="004D3DA0" w:rsidRPr="00FF509A" w:rsidRDefault="00FF509A" w:rsidP="00FF509A">
      <w:pPr>
        <w:pStyle w:val="ListParagraph"/>
        <w:numPr>
          <w:ilvl w:val="0"/>
          <w:numId w:val="13"/>
        </w:numPr>
        <w:tabs>
          <w:tab w:val="left" w:pos="993"/>
        </w:tabs>
        <w:spacing w:before="240" w:line="240" w:lineRule="auto"/>
        <w:ind w:left="646" w:hanging="646"/>
        <w:rPr>
          <w:rFonts w:ascii="Times New Roman" w:hAnsi="Times New Roman" w:cs="Times New Roman"/>
          <w:sz w:val="24"/>
          <w:szCs w:val="24"/>
        </w:rPr>
      </w:pPr>
      <w:r w:rsidRPr="00560F0E">
        <w:rPr>
          <w:rFonts w:ascii="Times New Roman" w:hAnsi="Times New Roman" w:cs="Times New Roman"/>
          <w:sz w:val="24"/>
          <w:szCs w:val="24"/>
        </w:rPr>
        <w:t xml:space="preserve">This </w:t>
      </w:r>
      <w:r w:rsidR="001317EC" w:rsidRPr="001317EC">
        <w:rPr>
          <w:rFonts w:ascii="Times New Roman" w:hAnsi="Times New Roman" w:cs="Times New Roman"/>
          <w:sz w:val="24"/>
          <w:szCs w:val="24"/>
        </w:rPr>
        <w:t xml:space="preserve">subsection </w:t>
      </w:r>
      <w:r>
        <w:rPr>
          <w:rFonts w:ascii="Times New Roman" w:hAnsi="Times New Roman" w:cs="Times New Roman"/>
          <w:sz w:val="24"/>
          <w:szCs w:val="24"/>
        </w:rPr>
        <w:t xml:space="preserve">is unchanged from </w:t>
      </w:r>
      <w:r w:rsidRPr="00560F0E">
        <w:rPr>
          <w:rFonts w:ascii="Times New Roman" w:hAnsi="Times New Roman" w:cs="Times New Roman"/>
          <w:sz w:val="24"/>
          <w:szCs w:val="24"/>
        </w:rPr>
        <w:t>the</w:t>
      </w:r>
      <w:r>
        <w:rPr>
          <w:rFonts w:ascii="Times New Roman" w:hAnsi="Times New Roman" w:cs="Times New Roman"/>
          <w:sz w:val="24"/>
          <w:szCs w:val="24"/>
        </w:rPr>
        <w:t xml:space="preserve"> </w:t>
      </w:r>
      <w:r w:rsidRPr="00560F0E">
        <w:rPr>
          <w:rFonts w:ascii="Times New Roman" w:hAnsi="Times New Roman" w:cs="Times New Roman"/>
          <w:sz w:val="24"/>
          <w:szCs w:val="24"/>
        </w:rPr>
        <w:t>201</w:t>
      </w:r>
      <w:r>
        <w:rPr>
          <w:rFonts w:ascii="Times New Roman" w:hAnsi="Times New Roman" w:cs="Times New Roman"/>
          <w:sz w:val="24"/>
          <w:szCs w:val="24"/>
        </w:rPr>
        <w:t>8</w:t>
      </w:r>
      <w:r w:rsidRPr="00560F0E">
        <w:rPr>
          <w:rFonts w:ascii="Times New Roman" w:hAnsi="Times New Roman" w:cs="Times New Roman"/>
          <w:sz w:val="24"/>
          <w:szCs w:val="24"/>
        </w:rPr>
        <w:t xml:space="preserve"> Determination</w:t>
      </w:r>
      <w:r>
        <w:rPr>
          <w:rFonts w:ascii="Times New Roman" w:hAnsi="Times New Roman" w:cs="Times New Roman"/>
          <w:sz w:val="24"/>
          <w:szCs w:val="24"/>
        </w:rPr>
        <w:t xml:space="preserve">, except the insertion of the words “a statement that” at the start of </w:t>
      </w:r>
      <w:r w:rsidR="00525426">
        <w:rPr>
          <w:rFonts w:ascii="Times New Roman" w:hAnsi="Times New Roman" w:cs="Times New Roman"/>
          <w:sz w:val="24"/>
          <w:szCs w:val="24"/>
        </w:rPr>
        <w:t xml:space="preserve">paragraph </w:t>
      </w:r>
      <w:r>
        <w:rPr>
          <w:rFonts w:ascii="Times New Roman" w:hAnsi="Times New Roman" w:cs="Times New Roman"/>
          <w:sz w:val="24"/>
          <w:szCs w:val="24"/>
        </w:rPr>
        <w:t>11(2)(k), for clarity and consistency with other similar provisions.</w:t>
      </w:r>
    </w:p>
    <w:p w14:paraId="556E6B08" w14:textId="77777777" w:rsidR="00EC4B9C" w:rsidRPr="00A927DF" w:rsidRDefault="00EC4B9C" w:rsidP="00A927DF">
      <w:pPr>
        <w:spacing w:line="240" w:lineRule="auto"/>
        <w:rPr>
          <w:rFonts w:ascii="Times New Roman" w:hAnsi="Times New Roman" w:cs="Times New Roman"/>
          <w:sz w:val="24"/>
          <w:szCs w:val="24"/>
        </w:rPr>
      </w:pPr>
      <w:r w:rsidRPr="005B3C14">
        <w:rPr>
          <w:rFonts w:ascii="Times New Roman" w:hAnsi="Times New Roman" w:cs="Times New Roman"/>
          <w:i/>
          <w:sz w:val="24"/>
          <w:szCs w:val="24"/>
        </w:rPr>
        <w:t>Subsection 11(3</w:t>
      </w:r>
      <w:r w:rsidRPr="00A927DF">
        <w:rPr>
          <w:rFonts w:ascii="Times New Roman" w:hAnsi="Times New Roman" w:cs="Times New Roman"/>
          <w:i/>
          <w:sz w:val="24"/>
          <w:szCs w:val="24"/>
        </w:rPr>
        <w:t>)</w:t>
      </w:r>
    </w:p>
    <w:p w14:paraId="080CE228" w14:textId="77777777" w:rsidR="004D3DA0" w:rsidRDefault="008B480E" w:rsidP="00474003">
      <w:pPr>
        <w:pStyle w:val="ListParagraph"/>
        <w:numPr>
          <w:ilvl w:val="0"/>
          <w:numId w:val="13"/>
        </w:numPr>
        <w:tabs>
          <w:tab w:val="left" w:pos="993"/>
        </w:tabs>
        <w:spacing w:before="240" w:line="240" w:lineRule="auto"/>
        <w:ind w:left="646" w:hanging="646"/>
        <w:rPr>
          <w:rFonts w:ascii="Times New Roman" w:hAnsi="Times New Roman" w:cs="Times New Roman"/>
          <w:sz w:val="24"/>
          <w:szCs w:val="24"/>
        </w:rPr>
      </w:pPr>
      <w:r>
        <w:rPr>
          <w:rFonts w:ascii="Times New Roman" w:hAnsi="Times New Roman" w:cs="Times New Roman"/>
          <w:sz w:val="24"/>
          <w:szCs w:val="24"/>
        </w:rPr>
        <w:t>Subsection 11</w:t>
      </w:r>
      <w:r w:rsidR="004D3DA0" w:rsidRPr="00560F0E">
        <w:rPr>
          <w:rFonts w:ascii="Times New Roman" w:hAnsi="Times New Roman" w:cs="Times New Roman"/>
          <w:sz w:val="24"/>
          <w:szCs w:val="24"/>
        </w:rPr>
        <w:t>(3) provide</w:t>
      </w:r>
      <w:r w:rsidR="00246CD6">
        <w:rPr>
          <w:rFonts w:ascii="Times New Roman" w:hAnsi="Times New Roman" w:cs="Times New Roman"/>
          <w:sz w:val="24"/>
          <w:szCs w:val="24"/>
        </w:rPr>
        <w:t>s</w:t>
      </w:r>
      <w:r w:rsidR="004D3DA0" w:rsidRPr="00560F0E">
        <w:rPr>
          <w:rFonts w:ascii="Times New Roman" w:hAnsi="Times New Roman" w:cs="Times New Roman"/>
          <w:sz w:val="24"/>
          <w:szCs w:val="24"/>
        </w:rPr>
        <w:t xml:space="preserve"> that an authorisation, whether in written or electronic form, must be signed by its maker. </w:t>
      </w:r>
      <w:r w:rsidR="001317EC" w:rsidRPr="00560F0E">
        <w:rPr>
          <w:rFonts w:ascii="Times New Roman" w:hAnsi="Times New Roman" w:cs="Times New Roman"/>
          <w:sz w:val="24"/>
          <w:szCs w:val="24"/>
        </w:rPr>
        <w:t xml:space="preserve">This </w:t>
      </w:r>
      <w:r w:rsidR="001317EC" w:rsidRPr="001317EC">
        <w:rPr>
          <w:rFonts w:ascii="Times New Roman" w:hAnsi="Times New Roman" w:cs="Times New Roman"/>
          <w:sz w:val="24"/>
          <w:szCs w:val="24"/>
        </w:rPr>
        <w:t xml:space="preserve">subsection </w:t>
      </w:r>
      <w:r w:rsidR="001317EC">
        <w:rPr>
          <w:rFonts w:ascii="Times New Roman" w:hAnsi="Times New Roman" w:cs="Times New Roman"/>
          <w:sz w:val="24"/>
          <w:szCs w:val="24"/>
        </w:rPr>
        <w:t xml:space="preserve">is unchanged from </w:t>
      </w:r>
      <w:r w:rsidR="001317EC" w:rsidRPr="00560F0E">
        <w:rPr>
          <w:rFonts w:ascii="Times New Roman" w:hAnsi="Times New Roman" w:cs="Times New Roman"/>
          <w:sz w:val="24"/>
          <w:szCs w:val="24"/>
        </w:rPr>
        <w:t>the</w:t>
      </w:r>
      <w:r w:rsidR="001317EC">
        <w:rPr>
          <w:rFonts w:ascii="Times New Roman" w:hAnsi="Times New Roman" w:cs="Times New Roman"/>
          <w:sz w:val="24"/>
          <w:szCs w:val="24"/>
        </w:rPr>
        <w:t xml:space="preserve"> </w:t>
      </w:r>
      <w:r w:rsidR="001317EC" w:rsidRPr="00560F0E">
        <w:rPr>
          <w:rFonts w:ascii="Times New Roman" w:hAnsi="Times New Roman" w:cs="Times New Roman"/>
          <w:sz w:val="24"/>
          <w:szCs w:val="24"/>
        </w:rPr>
        <w:t>201</w:t>
      </w:r>
      <w:r w:rsidR="001317EC">
        <w:rPr>
          <w:rFonts w:ascii="Times New Roman" w:hAnsi="Times New Roman" w:cs="Times New Roman"/>
          <w:sz w:val="24"/>
          <w:szCs w:val="24"/>
        </w:rPr>
        <w:t>8</w:t>
      </w:r>
      <w:r w:rsidR="001317EC" w:rsidRPr="00560F0E">
        <w:rPr>
          <w:rFonts w:ascii="Times New Roman" w:hAnsi="Times New Roman" w:cs="Times New Roman"/>
          <w:sz w:val="24"/>
          <w:szCs w:val="24"/>
        </w:rPr>
        <w:t xml:space="preserve"> Determination</w:t>
      </w:r>
      <w:r w:rsidR="009F4914">
        <w:rPr>
          <w:rFonts w:ascii="Times New Roman" w:hAnsi="Times New Roman" w:cs="Times New Roman"/>
          <w:sz w:val="24"/>
          <w:szCs w:val="24"/>
        </w:rPr>
        <w:t>.</w:t>
      </w:r>
    </w:p>
    <w:p w14:paraId="714CE09C" w14:textId="77777777" w:rsidR="004D3DA0" w:rsidRPr="00560F0E" w:rsidRDefault="008B480E" w:rsidP="004D3DA0">
      <w:pPr>
        <w:pStyle w:val="Heading2"/>
        <w:keepNext w:val="0"/>
        <w:keepLines w:val="0"/>
        <w:spacing w:line="240" w:lineRule="auto"/>
      </w:pPr>
      <w:r>
        <w:t>Section 12</w:t>
      </w:r>
      <w:r w:rsidR="004D3DA0" w:rsidRPr="00560F0E">
        <w:t xml:space="preserve"> – Authorisation for access to prospective information or documents by criminal law</w:t>
      </w:r>
      <w:r w:rsidR="004D3DA0">
        <w:t>-</w:t>
      </w:r>
      <w:r w:rsidR="004D3DA0" w:rsidRPr="00560F0E">
        <w:t xml:space="preserve">enforcement agencies </w:t>
      </w:r>
    </w:p>
    <w:p w14:paraId="2D51B6D6" w14:textId="77777777" w:rsidR="00EC4B9C" w:rsidRPr="002D571E" w:rsidRDefault="00EC4B9C" w:rsidP="00A927DF">
      <w:pPr>
        <w:spacing w:before="240" w:line="240" w:lineRule="auto"/>
        <w:rPr>
          <w:rFonts w:ascii="Times New Roman" w:hAnsi="Times New Roman" w:cs="Times New Roman"/>
          <w:sz w:val="24"/>
          <w:szCs w:val="24"/>
        </w:rPr>
      </w:pPr>
      <w:r>
        <w:rPr>
          <w:rFonts w:ascii="Times New Roman" w:hAnsi="Times New Roman" w:cs="Times New Roman"/>
          <w:i/>
          <w:sz w:val="24"/>
          <w:szCs w:val="24"/>
        </w:rPr>
        <w:t>Subsection 12(1</w:t>
      </w:r>
      <w:r w:rsidRPr="00560F0E">
        <w:rPr>
          <w:rFonts w:ascii="Times New Roman" w:hAnsi="Times New Roman" w:cs="Times New Roman"/>
          <w:i/>
          <w:sz w:val="24"/>
          <w:szCs w:val="24"/>
        </w:rPr>
        <w:t>)</w:t>
      </w:r>
    </w:p>
    <w:p w14:paraId="32DFF474" w14:textId="65C46DF2" w:rsidR="004D3DA0" w:rsidRDefault="008B480E" w:rsidP="00474003">
      <w:pPr>
        <w:pStyle w:val="ListParagraph"/>
        <w:numPr>
          <w:ilvl w:val="0"/>
          <w:numId w:val="13"/>
        </w:numPr>
        <w:tabs>
          <w:tab w:val="left" w:pos="993"/>
        </w:tabs>
        <w:spacing w:before="240" w:line="240" w:lineRule="auto"/>
        <w:ind w:left="646" w:hanging="646"/>
        <w:rPr>
          <w:rFonts w:ascii="Times New Roman" w:hAnsi="Times New Roman" w:cs="Times New Roman"/>
          <w:sz w:val="24"/>
          <w:szCs w:val="24"/>
        </w:rPr>
      </w:pPr>
      <w:r>
        <w:rPr>
          <w:rFonts w:ascii="Times New Roman" w:hAnsi="Times New Roman" w:cs="Times New Roman"/>
          <w:sz w:val="24"/>
          <w:szCs w:val="24"/>
        </w:rPr>
        <w:t>Subsection 12</w:t>
      </w:r>
      <w:r w:rsidR="004D3DA0" w:rsidRPr="00560F0E">
        <w:rPr>
          <w:rFonts w:ascii="Times New Roman" w:hAnsi="Times New Roman" w:cs="Times New Roman"/>
          <w:sz w:val="24"/>
          <w:szCs w:val="24"/>
        </w:rPr>
        <w:t>(1) prescribe</w:t>
      </w:r>
      <w:r w:rsidR="00246CD6">
        <w:rPr>
          <w:rFonts w:ascii="Times New Roman" w:hAnsi="Times New Roman" w:cs="Times New Roman"/>
          <w:sz w:val="24"/>
          <w:szCs w:val="24"/>
        </w:rPr>
        <w:t>s</w:t>
      </w:r>
      <w:r w:rsidR="004D3DA0" w:rsidRPr="00560F0E">
        <w:rPr>
          <w:rFonts w:ascii="Times New Roman" w:hAnsi="Times New Roman" w:cs="Times New Roman"/>
          <w:sz w:val="24"/>
          <w:szCs w:val="24"/>
        </w:rPr>
        <w:t xml:space="preserve"> information that must be included in an authorisation made by </w:t>
      </w:r>
      <w:r w:rsidR="004D3DA0">
        <w:rPr>
          <w:rFonts w:ascii="Times New Roman" w:hAnsi="Times New Roman" w:cs="Times New Roman"/>
          <w:sz w:val="24"/>
          <w:szCs w:val="24"/>
        </w:rPr>
        <w:t xml:space="preserve">a </w:t>
      </w:r>
      <w:r w:rsidR="004D3DA0" w:rsidRPr="00560F0E">
        <w:rPr>
          <w:rFonts w:ascii="Times New Roman" w:hAnsi="Times New Roman" w:cs="Times New Roman"/>
          <w:sz w:val="24"/>
          <w:szCs w:val="24"/>
        </w:rPr>
        <w:t>crimina</w:t>
      </w:r>
      <w:r w:rsidR="00665FE1">
        <w:rPr>
          <w:rFonts w:ascii="Times New Roman" w:hAnsi="Times New Roman" w:cs="Times New Roman"/>
          <w:sz w:val="24"/>
          <w:szCs w:val="24"/>
        </w:rPr>
        <w:t xml:space="preserve">l law </w:t>
      </w:r>
      <w:r w:rsidR="004D3DA0" w:rsidRPr="00560F0E">
        <w:rPr>
          <w:rFonts w:ascii="Times New Roman" w:hAnsi="Times New Roman" w:cs="Times New Roman"/>
          <w:sz w:val="24"/>
          <w:szCs w:val="24"/>
        </w:rPr>
        <w:t>enforcement agenc</w:t>
      </w:r>
      <w:r w:rsidR="004D3DA0">
        <w:rPr>
          <w:rFonts w:ascii="Times New Roman" w:hAnsi="Times New Roman" w:cs="Times New Roman"/>
          <w:sz w:val="24"/>
          <w:szCs w:val="24"/>
        </w:rPr>
        <w:t>y</w:t>
      </w:r>
      <w:r w:rsidR="004D3DA0" w:rsidRPr="00560F0E">
        <w:rPr>
          <w:rFonts w:ascii="Times New Roman" w:hAnsi="Times New Roman" w:cs="Times New Roman"/>
          <w:sz w:val="24"/>
          <w:szCs w:val="24"/>
        </w:rPr>
        <w:t xml:space="preserve"> for access to prospective information or documents under subsections 180(2) and 180(3) of the </w:t>
      </w:r>
      <w:r w:rsidR="004D3DA0">
        <w:rPr>
          <w:rFonts w:ascii="Times New Roman" w:hAnsi="Times New Roman" w:cs="Times New Roman"/>
          <w:sz w:val="24"/>
          <w:szCs w:val="24"/>
        </w:rPr>
        <w:t xml:space="preserve">TIA </w:t>
      </w:r>
      <w:r w:rsidR="004D3DA0" w:rsidRPr="00560F0E">
        <w:rPr>
          <w:rFonts w:ascii="Times New Roman" w:hAnsi="Times New Roman" w:cs="Times New Roman"/>
          <w:sz w:val="24"/>
          <w:szCs w:val="24"/>
        </w:rPr>
        <w:t>Act</w:t>
      </w:r>
      <w:r w:rsidR="009F4914">
        <w:rPr>
          <w:rFonts w:ascii="Times New Roman" w:hAnsi="Times New Roman" w:cs="Times New Roman"/>
          <w:sz w:val="24"/>
          <w:szCs w:val="24"/>
        </w:rPr>
        <w:t xml:space="preserve">. </w:t>
      </w:r>
      <w:r w:rsidR="001317EC" w:rsidRPr="001317EC">
        <w:rPr>
          <w:rFonts w:ascii="Times New Roman" w:hAnsi="Times New Roman" w:cs="Times New Roman"/>
          <w:sz w:val="24"/>
          <w:szCs w:val="24"/>
        </w:rPr>
        <w:t xml:space="preserve">This subsection is otherwise unchanged from the 2018 Determination, except that “person” is replaced with “person(s)” in </w:t>
      </w:r>
      <w:r w:rsidR="00525426">
        <w:rPr>
          <w:rFonts w:ascii="Times New Roman" w:hAnsi="Times New Roman" w:cs="Times New Roman"/>
          <w:sz w:val="24"/>
          <w:szCs w:val="24"/>
        </w:rPr>
        <w:t xml:space="preserve">paragraph </w:t>
      </w:r>
      <w:r w:rsidR="001317EC" w:rsidRPr="001317EC">
        <w:rPr>
          <w:rFonts w:ascii="Times New Roman" w:hAnsi="Times New Roman" w:cs="Times New Roman"/>
          <w:sz w:val="24"/>
          <w:szCs w:val="24"/>
        </w:rPr>
        <w:t>1</w:t>
      </w:r>
      <w:r w:rsidR="001317EC">
        <w:rPr>
          <w:rFonts w:ascii="Times New Roman" w:hAnsi="Times New Roman" w:cs="Times New Roman"/>
          <w:sz w:val="24"/>
          <w:szCs w:val="24"/>
        </w:rPr>
        <w:t>2</w:t>
      </w:r>
      <w:r w:rsidR="001317EC" w:rsidRPr="001317EC">
        <w:rPr>
          <w:rFonts w:ascii="Times New Roman" w:hAnsi="Times New Roman" w:cs="Times New Roman"/>
          <w:sz w:val="24"/>
          <w:szCs w:val="24"/>
        </w:rPr>
        <w:t>(1)(</w:t>
      </w:r>
      <w:r w:rsidR="001317EC">
        <w:rPr>
          <w:rFonts w:ascii="Times New Roman" w:hAnsi="Times New Roman" w:cs="Times New Roman"/>
          <w:sz w:val="24"/>
          <w:szCs w:val="24"/>
        </w:rPr>
        <w:t>f</w:t>
      </w:r>
      <w:r w:rsidR="001317EC" w:rsidRPr="001317EC">
        <w:rPr>
          <w:rFonts w:ascii="Times New Roman" w:hAnsi="Times New Roman" w:cs="Times New Roman"/>
          <w:sz w:val="24"/>
          <w:szCs w:val="24"/>
        </w:rPr>
        <w:t>)</w:t>
      </w:r>
      <w:r w:rsidR="00044A2D">
        <w:rPr>
          <w:rFonts w:ascii="Times New Roman" w:hAnsi="Times New Roman" w:cs="Times New Roman"/>
          <w:sz w:val="24"/>
          <w:szCs w:val="24"/>
        </w:rPr>
        <w:t>.</w:t>
      </w:r>
    </w:p>
    <w:p w14:paraId="54B1CF45" w14:textId="77777777" w:rsidR="00EC4B9C" w:rsidRPr="00A927DF" w:rsidRDefault="00EC4B9C" w:rsidP="00A927DF">
      <w:pPr>
        <w:spacing w:line="240" w:lineRule="auto"/>
        <w:rPr>
          <w:rFonts w:ascii="Times New Roman" w:hAnsi="Times New Roman" w:cs="Times New Roman"/>
          <w:sz w:val="24"/>
          <w:szCs w:val="24"/>
        </w:rPr>
      </w:pPr>
      <w:r w:rsidRPr="005B3C14">
        <w:rPr>
          <w:rFonts w:ascii="Times New Roman" w:hAnsi="Times New Roman" w:cs="Times New Roman"/>
          <w:i/>
          <w:sz w:val="24"/>
          <w:szCs w:val="24"/>
        </w:rPr>
        <w:t>Subsection 12</w:t>
      </w:r>
      <w:r w:rsidRPr="00A927DF">
        <w:rPr>
          <w:rFonts w:ascii="Times New Roman" w:hAnsi="Times New Roman" w:cs="Times New Roman"/>
          <w:i/>
          <w:sz w:val="24"/>
          <w:szCs w:val="24"/>
        </w:rPr>
        <w:t>(2)</w:t>
      </w:r>
    </w:p>
    <w:p w14:paraId="44696EB2" w14:textId="77777777" w:rsidR="004D3DA0" w:rsidRPr="00B9636C" w:rsidRDefault="008B480E" w:rsidP="00474003">
      <w:pPr>
        <w:pStyle w:val="ListParagraph"/>
        <w:numPr>
          <w:ilvl w:val="0"/>
          <w:numId w:val="13"/>
        </w:numPr>
        <w:tabs>
          <w:tab w:val="left" w:pos="993"/>
        </w:tabs>
        <w:spacing w:before="240" w:line="240" w:lineRule="auto"/>
        <w:ind w:left="646" w:hanging="646"/>
        <w:rPr>
          <w:rFonts w:ascii="Times New Roman" w:hAnsi="Times New Roman" w:cs="Times New Roman"/>
          <w:sz w:val="24"/>
          <w:szCs w:val="24"/>
        </w:rPr>
      </w:pPr>
      <w:r>
        <w:rPr>
          <w:rFonts w:ascii="Times New Roman" w:hAnsi="Times New Roman" w:cs="Times New Roman"/>
          <w:sz w:val="24"/>
          <w:szCs w:val="24"/>
        </w:rPr>
        <w:t>Subsection 12</w:t>
      </w:r>
      <w:r w:rsidR="004D3DA0" w:rsidRPr="00560F0E">
        <w:rPr>
          <w:rFonts w:ascii="Times New Roman" w:hAnsi="Times New Roman" w:cs="Times New Roman"/>
          <w:sz w:val="24"/>
          <w:szCs w:val="24"/>
        </w:rPr>
        <w:t>(2) provides that an authorisation, whether in written or electronic form, must be signed by its maker.</w:t>
      </w:r>
      <w:r w:rsidR="009F4914">
        <w:rPr>
          <w:rFonts w:ascii="Times New Roman" w:hAnsi="Times New Roman" w:cs="Times New Roman"/>
          <w:sz w:val="24"/>
          <w:szCs w:val="24"/>
        </w:rPr>
        <w:t xml:space="preserve"> </w:t>
      </w:r>
      <w:r w:rsidR="001317EC" w:rsidRPr="00560F0E">
        <w:rPr>
          <w:rFonts w:ascii="Times New Roman" w:hAnsi="Times New Roman" w:cs="Times New Roman"/>
          <w:sz w:val="24"/>
          <w:szCs w:val="24"/>
        </w:rPr>
        <w:t xml:space="preserve">This </w:t>
      </w:r>
      <w:r w:rsidR="001317EC" w:rsidRPr="001317EC">
        <w:rPr>
          <w:rFonts w:ascii="Times New Roman" w:hAnsi="Times New Roman" w:cs="Times New Roman"/>
          <w:sz w:val="24"/>
          <w:szCs w:val="24"/>
        </w:rPr>
        <w:t xml:space="preserve">subsection </w:t>
      </w:r>
      <w:r w:rsidR="001317EC">
        <w:rPr>
          <w:rFonts w:ascii="Times New Roman" w:hAnsi="Times New Roman" w:cs="Times New Roman"/>
          <w:sz w:val="24"/>
          <w:szCs w:val="24"/>
        </w:rPr>
        <w:t xml:space="preserve">is unchanged from </w:t>
      </w:r>
      <w:r w:rsidR="001317EC" w:rsidRPr="00560F0E">
        <w:rPr>
          <w:rFonts w:ascii="Times New Roman" w:hAnsi="Times New Roman" w:cs="Times New Roman"/>
          <w:sz w:val="24"/>
          <w:szCs w:val="24"/>
        </w:rPr>
        <w:t>the</w:t>
      </w:r>
      <w:r w:rsidR="001317EC">
        <w:rPr>
          <w:rFonts w:ascii="Times New Roman" w:hAnsi="Times New Roman" w:cs="Times New Roman"/>
          <w:sz w:val="24"/>
          <w:szCs w:val="24"/>
        </w:rPr>
        <w:t xml:space="preserve"> </w:t>
      </w:r>
      <w:r w:rsidR="001317EC" w:rsidRPr="00560F0E">
        <w:rPr>
          <w:rFonts w:ascii="Times New Roman" w:hAnsi="Times New Roman" w:cs="Times New Roman"/>
          <w:sz w:val="24"/>
          <w:szCs w:val="24"/>
        </w:rPr>
        <w:t>201</w:t>
      </w:r>
      <w:r w:rsidR="001317EC">
        <w:rPr>
          <w:rFonts w:ascii="Times New Roman" w:hAnsi="Times New Roman" w:cs="Times New Roman"/>
          <w:sz w:val="24"/>
          <w:szCs w:val="24"/>
        </w:rPr>
        <w:t>8</w:t>
      </w:r>
      <w:r w:rsidR="001317EC" w:rsidRPr="00560F0E">
        <w:rPr>
          <w:rFonts w:ascii="Times New Roman" w:hAnsi="Times New Roman" w:cs="Times New Roman"/>
          <w:sz w:val="24"/>
          <w:szCs w:val="24"/>
        </w:rPr>
        <w:t xml:space="preserve"> Determination</w:t>
      </w:r>
      <w:r w:rsidR="009F4914">
        <w:rPr>
          <w:rFonts w:ascii="Times New Roman" w:hAnsi="Times New Roman" w:cs="Times New Roman"/>
          <w:sz w:val="24"/>
          <w:szCs w:val="24"/>
        </w:rPr>
        <w:t>.</w:t>
      </w:r>
    </w:p>
    <w:p w14:paraId="1BC87A55" w14:textId="77777777" w:rsidR="001317EC" w:rsidRDefault="008B480E" w:rsidP="001317EC">
      <w:pPr>
        <w:pStyle w:val="Heading2"/>
        <w:keepNext w:val="0"/>
        <w:keepLines w:val="0"/>
        <w:spacing w:line="240" w:lineRule="auto"/>
        <w:rPr>
          <w:i/>
        </w:rPr>
      </w:pPr>
      <w:r>
        <w:t>Section 13</w:t>
      </w:r>
      <w:r w:rsidR="004D3DA0" w:rsidRPr="00560F0E">
        <w:t xml:space="preserve"> – Authorisations for access to prospective information or documents by the Australian Federal Police – enforc</w:t>
      </w:r>
      <w:r w:rsidR="004D3DA0">
        <w:t>ing international laws</w:t>
      </w:r>
    </w:p>
    <w:p w14:paraId="7509D648" w14:textId="77777777" w:rsidR="004D3DA0" w:rsidRPr="002D571E" w:rsidRDefault="008B480E" w:rsidP="001317EC">
      <w:pPr>
        <w:spacing w:before="240" w:line="240" w:lineRule="auto"/>
        <w:rPr>
          <w:rFonts w:ascii="Times New Roman" w:hAnsi="Times New Roman" w:cs="Times New Roman"/>
          <w:sz w:val="24"/>
          <w:szCs w:val="24"/>
        </w:rPr>
      </w:pPr>
      <w:r>
        <w:rPr>
          <w:rFonts w:ascii="Times New Roman" w:hAnsi="Times New Roman" w:cs="Times New Roman"/>
          <w:i/>
          <w:sz w:val="24"/>
          <w:szCs w:val="24"/>
        </w:rPr>
        <w:t>Subsection 13</w:t>
      </w:r>
      <w:r w:rsidR="004D3DA0" w:rsidRPr="00560F0E">
        <w:rPr>
          <w:rFonts w:ascii="Times New Roman" w:hAnsi="Times New Roman" w:cs="Times New Roman"/>
          <w:i/>
          <w:sz w:val="24"/>
          <w:szCs w:val="24"/>
        </w:rPr>
        <w:t>(1)</w:t>
      </w:r>
    </w:p>
    <w:p w14:paraId="156E8C55" w14:textId="720DBDFC" w:rsidR="004D3DA0" w:rsidRPr="001317EC" w:rsidRDefault="008B480E" w:rsidP="001317EC">
      <w:pPr>
        <w:pStyle w:val="ListParagraph"/>
        <w:numPr>
          <w:ilvl w:val="0"/>
          <w:numId w:val="13"/>
        </w:numPr>
        <w:tabs>
          <w:tab w:val="left" w:pos="993"/>
        </w:tabs>
        <w:spacing w:before="240" w:line="240" w:lineRule="auto"/>
        <w:ind w:left="646" w:hanging="646"/>
        <w:rPr>
          <w:rFonts w:ascii="Times New Roman" w:hAnsi="Times New Roman" w:cs="Times New Roman"/>
          <w:sz w:val="24"/>
          <w:szCs w:val="24"/>
        </w:rPr>
      </w:pPr>
      <w:r>
        <w:rPr>
          <w:rFonts w:ascii="Times New Roman" w:hAnsi="Times New Roman" w:cs="Times New Roman"/>
          <w:sz w:val="24"/>
          <w:szCs w:val="24"/>
        </w:rPr>
        <w:t>Subsection 13</w:t>
      </w:r>
      <w:r w:rsidR="004D3DA0" w:rsidRPr="00560F0E">
        <w:rPr>
          <w:rFonts w:ascii="Times New Roman" w:hAnsi="Times New Roman" w:cs="Times New Roman"/>
          <w:sz w:val="24"/>
          <w:szCs w:val="24"/>
        </w:rPr>
        <w:t>(1) prescribe</w:t>
      </w:r>
      <w:r w:rsidR="00246CD6">
        <w:rPr>
          <w:rFonts w:ascii="Times New Roman" w:hAnsi="Times New Roman" w:cs="Times New Roman"/>
          <w:sz w:val="24"/>
          <w:szCs w:val="24"/>
        </w:rPr>
        <w:t>s</w:t>
      </w:r>
      <w:r w:rsidR="004D3DA0" w:rsidRPr="00560F0E">
        <w:rPr>
          <w:rFonts w:ascii="Times New Roman" w:hAnsi="Times New Roman" w:cs="Times New Roman"/>
          <w:sz w:val="24"/>
          <w:szCs w:val="24"/>
        </w:rPr>
        <w:t xml:space="preserve"> the information that must be included in an authorisation made by the </w:t>
      </w:r>
      <w:r w:rsidR="00525426">
        <w:rPr>
          <w:rFonts w:ascii="Times New Roman" w:hAnsi="Times New Roman" w:cs="Times New Roman"/>
          <w:sz w:val="24"/>
          <w:szCs w:val="24"/>
        </w:rPr>
        <w:t>Australian Federal Police</w:t>
      </w:r>
      <w:r w:rsidR="00525426" w:rsidRPr="00560F0E">
        <w:rPr>
          <w:rFonts w:ascii="Times New Roman" w:hAnsi="Times New Roman" w:cs="Times New Roman"/>
          <w:sz w:val="24"/>
          <w:szCs w:val="24"/>
        </w:rPr>
        <w:t xml:space="preserve"> </w:t>
      </w:r>
      <w:r w:rsidR="004D3DA0" w:rsidRPr="00560F0E">
        <w:rPr>
          <w:rFonts w:ascii="Times New Roman" w:hAnsi="Times New Roman" w:cs="Times New Roman"/>
          <w:sz w:val="24"/>
          <w:szCs w:val="24"/>
        </w:rPr>
        <w:t>for access to prospective information or documents</w:t>
      </w:r>
      <w:r w:rsidR="004D3DA0">
        <w:rPr>
          <w:rFonts w:ascii="Times New Roman" w:hAnsi="Times New Roman" w:cs="Times New Roman"/>
          <w:sz w:val="24"/>
          <w:szCs w:val="24"/>
        </w:rPr>
        <w:t xml:space="preserve"> for the purposes of enforcing</w:t>
      </w:r>
      <w:r w:rsidR="00794F7B">
        <w:rPr>
          <w:rFonts w:ascii="Times New Roman" w:hAnsi="Times New Roman" w:cs="Times New Roman"/>
          <w:sz w:val="24"/>
          <w:szCs w:val="24"/>
        </w:rPr>
        <w:t xml:space="preserve"> foreign or</w:t>
      </w:r>
      <w:r w:rsidR="004D3DA0">
        <w:rPr>
          <w:rFonts w:ascii="Times New Roman" w:hAnsi="Times New Roman" w:cs="Times New Roman"/>
          <w:sz w:val="24"/>
          <w:szCs w:val="24"/>
        </w:rPr>
        <w:t xml:space="preserve"> international </w:t>
      </w:r>
      <w:r w:rsidR="004D3DA0" w:rsidRPr="00560F0E">
        <w:rPr>
          <w:rFonts w:ascii="Times New Roman" w:hAnsi="Times New Roman" w:cs="Times New Roman"/>
          <w:sz w:val="24"/>
          <w:szCs w:val="24"/>
        </w:rPr>
        <w:t>law</w:t>
      </w:r>
      <w:r w:rsidR="006B2ECD">
        <w:rPr>
          <w:rFonts w:ascii="Times New Roman" w:hAnsi="Times New Roman" w:cs="Times New Roman"/>
          <w:sz w:val="24"/>
          <w:szCs w:val="24"/>
        </w:rPr>
        <w:t>s</w:t>
      </w:r>
      <w:r w:rsidR="004D3DA0" w:rsidRPr="00560F0E">
        <w:rPr>
          <w:rFonts w:ascii="Times New Roman" w:hAnsi="Times New Roman" w:cs="Times New Roman"/>
          <w:sz w:val="24"/>
          <w:szCs w:val="24"/>
        </w:rPr>
        <w:t xml:space="preserve"> under subsection 180B(2) of the </w:t>
      </w:r>
      <w:r w:rsidR="004D3DA0">
        <w:rPr>
          <w:rFonts w:ascii="Times New Roman" w:hAnsi="Times New Roman" w:cs="Times New Roman"/>
          <w:sz w:val="24"/>
          <w:szCs w:val="24"/>
        </w:rPr>
        <w:t xml:space="preserve">TIA </w:t>
      </w:r>
      <w:r w:rsidR="004D3DA0" w:rsidRPr="00560F0E">
        <w:rPr>
          <w:rFonts w:ascii="Times New Roman" w:hAnsi="Times New Roman" w:cs="Times New Roman"/>
          <w:sz w:val="24"/>
          <w:szCs w:val="24"/>
        </w:rPr>
        <w:t>Act.</w:t>
      </w:r>
      <w:r w:rsidR="001317EC">
        <w:rPr>
          <w:rFonts w:ascii="Times New Roman" w:hAnsi="Times New Roman" w:cs="Times New Roman"/>
          <w:sz w:val="24"/>
          <w:szCs w:val="24"/>
        </w:rPr>
        <w:t xml:space="preserve"> </w:t>
      </w:r>
      <w:r w:rsidR="001317EC" w:rsidRPr="001317EC">
        <w:rPr>
          <w:rFonts w:ascii="Times New Roman" w:hAnsi="Times New Roman" w:cs="Times New Roman"/>
          <w:sz w:val="24"/>
          <w:szCs w:val="24"/>
        </w:rPr>
        <w:t xml:space="preserve">This subsection is unchanged from the 2018 Determination, except that “person” is replaced with “person(s)” in </w:t>
      </w:r>
      <w:r w:rsidR="00525426">
        <w:rPr>
          <w:rFonts w:ascii="Times New Roman" w:hAnsi="Times New Roman" w:cs="Times New Roman"/>
          <w:sz w:val="24"/>
          <w:szCs w:val="24"/>
        </w:rPr>
        <w:t xml:space="preserve">paragraph </w:t>
      </w:r>
      <w:r w:rsidR="001317EC" w:rsidRPr="001317EC">
        <w:rPr>
          <w:rFonts w:ascii="Times New Roman" w:hAnsi="Times New Roman" w:cs="Times New Roman"/>
          <w:sz w:val="24"/>
          <w:szCs w:val="24"/>
        </w:rPr>
        <w:t>1</w:t>
      </w:r>
      <w:r w:rsidR="001317EC">
        <w:rPr>
          <w:rFonts w:ascii="Times New Roman" w:hAnsi="Times New Roman" w:cs="Times New Roman"/>
          <w:sz w:val="24"/>
          <w:szCs w:val="24"/>
        </w:rPr>
        <w:t>3</w:t>
      </w:r>
      <w:r w:rsidR="001317EC" w:rsidRPr="001317EC">
        <w:rPr>
          <w:rFonts w:ascii="Times New Roman" w:hAnsi="Times New Roman" w:cs="Times New Roman"/>
          <w:sz w:val="24"/>
          <w:szCs w:val="24"/>
        </w:rPr>
        <w:t>(1)(</w:t>
      </w:r>
      <w:r w:rsidR="001317EC">
        <w:rPr>
          <w:rFonts w:ascii="Times New Roman" w:hAnsi="Times New Roman" w:cs="Times New Roman"/>
          <w:sz w:val="24"/>
          <w:szCs w:val="24"/>
        </w:rPr>
        <w:t>d).</w:t>
      </w:r>
    </w:p>
    <w:p w14:paraId="4D0A5C3D" w14:textId="77777777" w:rsidR="004D3DA0" w:rsidRPr="00A927DF" w:rsidRDefault="008020A1" w:rsidP="004D3DA0">
      <w:pPr>
        <w:spacing w:line="240" w:lineRule="auto"/>
        <w:rPr>
          <w:rFonts w:ascii="Times New Roman" w:hAnsi="Times New Roman" w:cs="Times New Roman"/>
          <w:i/>
          <w:sz w:val="24"/>
          <w:szCs w:val="24"/>
        </w:rPr>
      </w:pPr>
      <w:r w:rsidRPr="00A927DF">
        <w:rPr>
          <w:rFonts w:ascii="Times New Roman" w:hAnsi="Times New Roman" w:cs="Times New Roman"/>
          <w:i/>
          <w:sz w:val="24"/>
          <w:szCs w:val="24"/>
        </w:rPr>
        <w:t>Subsection 13</w:t>
      </w:r>
      <w:r w:rsidR="004D3DA0" w:rsidRPr="00A927DF">
        <w:rPr>
          <w:rFonts w:ascii="Times New Roman" w:hAnsi="Times New Roman" w:cs="Times New Roman"/>
          <w:i/>
          <w:sz w:val="24"/>
          <w:szCs w:val="24"/>
        </w:rPr>
        <w:t xml:space="preserve">(2)—Extension of an authorisation to disclose prospective information or documents </w:t>
      </w:r>
    </w:p>
    <w:p w14:paraId="21817551" w14:textId="38CADFEA" w:rsidR="00DD51B7" w:rsidRPr="001317EC" w:rsidRDefault="008020A1" w:rsidP="001317EC">
      <w:pPr>
        <w:pStyle w:val="ListParagraph"/>
        <w:numPr>
          <w:ilvl w:val="0"/>
          <w:numId w:val="13"/>
        </w:numPr>
        <w:tabs>
          <w:tab w:val="left" w:pos="993"/>
        </w:tabs>
        <w:spacing w:before="240" w:line="240" w:lineRule="auto"/>
        <w:ind w:left="646" w:hanging="646"/>
        <w:rPr>
          <w:rFonts w:ascii="Times New Roman" w:hAnsi="Times New Roman" w:cs="Times New Roman"/>
          <w:sz w:val="24"/>
          <w:szCs w:val="24"/>
        </w:rPr>
      </w:pPr>
      <w:r>
        <w:rPr>
          <w:rFonts w:ascii="Times New Roman" w:hAnsi="Times New Roman" w:cs="Times New Roman"/>
          <w:sz w:val="24"/>
          <w:szCs w:val="24"/>
        </w:rPr>
        <w:t>Subsection 13</w:t>
      </w:r>
      <w:r w:rsidR="004D3DA0" w:rsidRPr="00560F0E">
        <w:rPr>
          <w:rFonts w:ascii="Times New Roman" w:hAnsi="Times New Roman" w:cs="Times New Roman"/>
          <w:sz w:val="24"/>
          <w:szCs w:val="24"/>
        </w:rPr>
        <w:t>(2) prescribe</w:t>
      </w:r>
      <w:r w:rsidR="00246CD6">
        <w:rPr>
          <w:rFonts w:ascii="Times New Roman" w:hAnsi="Times New Roman" w:cs="Times New Roman"/>
          <w:sz w:val="24"/>
          <w:szCs w:val="24"/>
        </w:rPr>
        <w:t>s</w:t>
      </w:r>
      <w:r w:rsidR="004D3DA0" w:rsidRPr="00560F0E">
        <w:rPr>
          <w:rFonts w:ascii="Times New Roman" w:hAnsi="Times New Roman" w:cs="Times New Roman"/>
          <w:sz w:val="24"/>
          <w:szCs w:val="24"/>
        </w:rPr>
        <w:t xml:space="preserve"> the information that must be included in an extension of an authorisation made by the </w:t>
      </w:r>
      <w:r w:rsidR="00525426">
        <w:rPr>
          <w:rFonts w:ascii="Times New Roman" w:hAnsi="Times New Roman" w:cs="Times New Roman"/>
          <w:sz w:val="24"/>
          <w:szCs w:val="24"/>
        </w:rPr>
        <w:t>Australian Federal Police</w:t>
      </w:r>
      <w:r w:rsidR="00525426" w:rsidRPr="00560F0E">
        <w:rPr>
          <w:rFonts w:ascii="Times New Roman" w:hAnsi="Times New Roman" w:cs="Times New Roman"/>
          <w:sz w:val="24"/>
          <w:szCs w:val="24"/>
        </w:rPr>
        <w:t xml:space="preserve"> </w:t>
      </w:r>
      <w:r w:rsidR="004D3DA0" w:rsidRPr="00560F0E">
        <w:rPr>
          <w:rFonts w:ascii="Times New Roman" w:hAnsi="Times New Roman" w:cs="Times New Roman"/>
          <w:sz w:val="24"/>
          <w:szCs w:val="24"/>
        </w:rPr>
        <w:t xml:space="preserve">under subsection 180B(6) of the </w:t>
      </w:r>
      <w:r w:rsidR="004D3DA0">
        <w:rPr>
          <w:rFonts w:ascii="Times New Roman" w:hAnsi="Times New Roman" w:cs="Times New Roman"/>
          <w:sz w:val="24"/>
          <w:szCs w:val="24"/>
        </w:rPr>
        <w:t xml:space="preserve">TIA </w:t>
      </w:r>
      <w:r w:rsidR="004D3DA0" w:rsidRPr="00560F0E">
        <w:rPr>
          <w:rFonts w:ascii="Times New Roman" w:hAnsi="Times New Roman" w:cs="Times New Roman"/>
          <w:sz w:val="24"/>
          <w:szCs w:val="24"/>
        </w:rPr>
        <w:t>Act for access to prospective information or documents for the purposes of enforcing</w:t>
      </w:r>
      <w:r>
        <w:rPr>
          <w:rFonts w:ascii="Times New Roman" w:hAnsi="Times New Roman" w:cs="Times New Roman"/>
          <w:sz w:val="24"/>
          <w:szCs w:val="24"/>
        </w:rPr>
        <w:t xml:space="preserve"> foreign or</w:t>
      </w:r>
      <w:r w:rsidR="00AF745C">
        <w:rPr>
          <w:rFonts w:ascii="Times New Roman" w:hAnsi="Times New Roman" w:cs="Times New Roman"/>
          <w:sz w:val="24"/>
          <w:szCs w:val="24"/>
        </w:rPr>
        <w:t xml:space="preserve"> international laws.</w:t>
      </w:r>
      <w:r w:rsidR="001317EC">
        <w:rPr>
          <w:rFonts w:ascii="Times New Roman" w:hAnsi="Times New Roman" w:cs="Times New Roman"/>
          <w:sz w:val="24"/>
          <w:szCs w:val="24"/>
        </w:rPr>
        <w:t xml:space="preserve"> </w:t>
      </w:r>
      <w:r w:rsidR="001317EC" w:rsidRPr="001317EC">
        <w:rPr>
          <w:rFonts w:ascii="Times New Roman" w:hAnsi="Times New Roman" w:cs="Times New Roman"/>
          <w:sz w:val="24"/>
          <w:szCs w:val="24"/>
        </w:rPr>
        <w:t xml:space="preserve">This subsection is unchanged from the 2018 Determination, except that “person” is replaced with “person(s)” in </w:t>
      </w:r>
      <w:r w:rsidR="00525426">
        <w:rPr>
          <w:rFonts w:ascii="Times New Roman" w:hAnsi="Times New Roman" w:cs="Times New Roman"/>
          <w:sz w:val="24"/>
          <w:szCs w:val="24"/>
        </w:rPr>
        <w:t xml:space="preserve">paragraph </w:t>
      </w:r>
      <w:r w:rsidR="001317EC" w:rsidRPr="001317EC">
        <w:rPr>
          <w:rFonts w:ascii="Times New Roman" w:hAnsi="Times New Roman" w:cs="Times New Roman"/>
          <w:sz w:val="24"/>
          <w:szCs w:val="24"/>
        </w:rPr>
        <w:t>1</w:t>
      </w:r>
      <w:r w:rsidR="001317EC">
        <w:rPr>
          <w:rFonts w:ascii="Times New Roman" w:hAnsi="Times New Roman" w:cs="Times New Roman"/>
          <w:sz w:val="24"/>
          <w:szCs w:val="24"/>
        </w:rPr>
        <w:t>3</w:t>
      </w:r>
      <w:r w:rsidR="001317EC" w:rsidRPr="001317EC">
        <w:rPr>
          <w:rFonts w:ascii="Times New Roman" w:hAnsi="Times New Roman" w:cs="Times New Roman"/>
          <w:sz w:val="24"/>
          <w:szCs w:val="24"/>
        </w:rPr>
        <w:t>(</w:t>
      </w:r>
      <w:r w:rsidR="001317EC">
        <w:rPr>
          <w:rFonts w:ascii="Times New Roman" w:hAnsi="Times New Roman" w:cs="Times New Roman"/>
          <w:sz w:val="24"/>
          <w:szCs w:val="24"/>
        </w:rPr>
        <w:t>2</w:t>
      </w:r>
      <w:r w:rsidR="001317EC" w:rsidRPr="001317EC">
        <w:rPr>
          <w:rFonts w:ascii="Times New Roman" w:hAnsi="Times New Roman" w:cs="Times New Roman"/>
          <w:sz w:val="24"/>
          <w:szCs w:val="24"/>
        </w:rPr>
        <w:t>)(</w:t>
      </w:r>
      <w:r w:rsidR="001317EC">
        <w:rPr>
          <w:rFonts w:ascii="Times New Roman" w:hAnsi="Times New Roman" w:cs="Times New Roman"/>
          <w:sz w:val="24"/>
          <w:szCs w:val="24"/>
        </w:rPr>
        <w:t>d).</w:t>
      </w:r>
    </w:p>
    <w:p w14:paraId="7E7E6024" w14:textId="77777777" w:rsidR="004D3DA0" w:rsidRPr="00560F0E" w:rsidRDefault="008020A1" w:rsidP="004D3DA0">
      <w:pPr>
        <w:spacing w:line="240" w:lineRule="auto"/>
        <w:rPr>
          <w:i/>
          <w:sz w:val="24"/>
          <w:szCs w:val="24"/>
        </w:rPr>
      </w:pPr>
      <w:r>
        <w:rPr>
          <w:rFonts w:ascii="Times New Roman" w:hAnsi="Times New Roman" w:cs="Times New Roman"/>
          <w:i/>
          <w:sz w:val="24"/>
          <w:szCs w:val="24"/>
        </w:rPr>
        <w:t>Subsection 13</w:t>
      </w:r>
      <w:r w:rsidR="004D3DA0" w:rsidRPr="00560F0E">
        <w:rPr>
          <w:rFonts w:ascii="Times New Roman" w:hAnsi="Times New Roman" w:cs="Times New Roman"/>
          <w:i/>
          <w:sz w:val="24"/>
          <w:szCs w:val="24"/>
        </w:rPr>
        <w:t xml:space="preserve">(3)—Disclosure to a foreign law enforcement agency </w:t>
      </w:r>
    </w:p>
    <w:p w14:paraId="513B3C5D" w14:textId="77777777" w:rsidR="004D3DA0" w:rsidRPr="00560F0E" w:rsidRDefault="004D3DA0" w:rsidP="00474003">
      <w:pPr>
        <w:pStyle w:val="ListParagraph"/>
        <w:numPr>
          <w:ilvl w:val="0"/>
          <w:numId w:val="13"/>
        </w:numPr>
        <w:tabs>
          <w:tab w:val="left" w:pos="993"/>
        </w:tabs>
        <w:spacing w:before="240" w:line="240" w:lineRule="auto"/>
        <w:ind w:left="646" w:hanging="646"/>
        <w:rPr>
          <w:rFonts w:ascii="Times New Roman" w:hAnsi="Times New Roman" w:cs="Times New Roman"/>
          <w:sz w:val="24"/>
          <w:szCs w:val="24"/>
        </w:rPr>
      </w:pPr>
      <w:r w:rsidRPr="00560F0E">
        <w:rPr>
          <w:rFonts w:ascii="Times New Roman" w:hAnsi="Times New Roman" w:cs="Times New Roman"/>
          <w:sz w:val="24"/>
          <w:szCs w:val="24"/>
        </w:rPr>
        <w:t>S</w:t>
      </w:r>
      <w:r w:rsidR="009B77A4">
        <w:rPr>
          <w:rFonts w:ascii="Times New Roman" w:hAnsi="Times New Roman" w:cs="Times New Roman"/>
          <w:sz w:val="24"/>
          <w:szCs w:val="24"/>
        </w:rPr>
        <w:t>ubs</w:t>
      </w:r>
      <w:r w:rsidRPr="00560F0E">
        <w:rPr>
          <w:rFonts w:ascii="Times New Roman" w:hAnsi="Times New Roman" w:cs="Times New Roman"/>
          <w:sz w:val="24"/>
          <w:szCs w:val="24"/>
        </w:rPr>
        <w:t xml:space="preserve">ection 180B(8) of the </w:t>
      </w:r>
      <w:r>
        <w:rPr>
          <w:rFonts w:ascii="Times New Roman" w:hAnsi="Times New Roman" w:cs="Times New Roman"/>
          <w:sz w:val="24"/>
          <w:szCs w:val="24"/>
        </w:rPr>
        <w:t xml:space="preserve">TIA </w:t>
      </w:r>
      <w:r w:rsidRPr="00560F0E">
        <w:rPr>
          <w:rFonts w:ascii="Times New Roman" w:hAnsi="Times New Roman" w:cs="Times New Roman"/>
          <w:sz w:val="24"/>
          <w:szCs w:val="24"/>
        </w:rPr>
        <w:t xml:space="preserve">Act enables an authorised officer to authorise the disclosure of prospective information or documents obtained under subsection 180B(2) </w:t>
      </w:r>
      <w:r w:rsidR="002E5018">
        <w:rPr>
          <w:rFonts w:ascii="Times New Roman" w:hAnsi="Times New Roman" w:cs="Times New Roman"/>
          <w:sz w:val="24"/>
          <w:szCs w:val="24"/>
        </w:rPr>
        <w:t>for enforcing international laws</w:t>
      </w:r>
      <w:r w:rsidR="008020A1">
        <w:rPr>
          <w:rFonts w:ascii="Times New Roman" w:hAnsi="Times New Roman" w:cs="Times New Roman"/>
          <w:sz w:val="24"/>
          <w:szCs w:val="24"/>
        </w:rPr>
        <w:t>.</w:t>
      </w:r>
      <w:r w:rsidR="00DD1EDC">
        <w:rPr>
          <w:rFonts w:ascii="Times New Roman" w:hAnsi="Times New Roman" w:cs="Times New Roman"/>
          <w:sz w:val="24"/>
          <w:szCs w:val="24"/>
        </w:rPr>
        <w:t xml:space="preserve"> </w:t>
      </w:r>
      <w:r w:rsidR="008020A1">
        <w:rPr>
          <w:rFonts w:ascii="Times New Roman" w:hAnsi="Times New Roman" w:cs="Times New Roman"/>
          <w:sz w:val="24"/>
          <w:szCs w:val="24"/>
        </w:rPr>
        <w:t>Subsection 13</w:t>
      </w:r>
      <w:r w:rsidR="00DD1EDC">
        <w:rPr>
          <w:rFonts w:ascii="Times New Roman" w:hAnsi="Times New Roman" w:cs="Times New Roman"/>
          <w:sz w:val="24"/>
          <w:szCs w:val="24"/>
        </w:rPr>
        <w:t xml:space="preserve">(3) </w:t>
      </w:r>
      <w:r w:rsidR="009B77A4">
        <w:rPr>
          <w:rFonts w:ascii="Times New Roman" w:hAnsi="Times New Roman" w:cs="Times New Roman"/>
          <w:sz w:val="24"/>
          <w:szCs w:val="24"/>
        </w:rPr>
        <w:t xml:space="preserve">of the Principal Determination </w:t>
      </w:r>
      <w:r w:rsidR="00DD1EDC">
        <w:rPr>
          <w:rFonts w:ascii="Times New Roman" w:hAnsi="Times New Roman" w:cs="Times New Roman"/>
          <w:sz w:val="24"/>
          <w:szCs w:val="24"/>
        </w:rPr>
        <w:t>specifie</w:t>
      </w:r>
      <w:r w:rsidR="007B298B">
        <w:rPr>
          <w:rFonts w:ascii="Times New Roman" w:hAnsi="Times New Roman" w:cs="Times New Roman"/>
          <w:sz w:val="24"/>
          <w:szCs w:val="24"/>
        </w:rPr>
        <w:t>s</w:t>
      </w:r>
      <w:r w:rsidRPr="00560F0E">
        <w:rPr>
          <w:rFonts w:ascii="Times New Roman" w:hAnsi="Times New Roman" w:cs="Times New Roman"/>
          <w:sz w:val="24"/>
          <w:szCs w:val="24"/>
        </w:rPr>
        <w:t xml:space="preserve"> information that must be included when authorising such a disclosure.</w:t>
      </w:r>
      <w:r w:rsidR="001317EC">
        <w:rPr>
          <w:rFonts w:ascii="Times New Roman" w:hAnsi="Times New Roman" w:cs="Times New Roman"/>
          <w:sz w:val="24"/>
          <w:szCs w:val="24"/>
        </w:rPr>
        <w:t xml:space="preserve"> </w:t>
      </w:r>
      <w:r w:rsidR="001317EC" w:rsidRPr="001317EC">
        <w:rPr>
          <w:rFonts w:ascii="Times New Roman" w:hAnsi="Times New Roman" w:cs="Times New Roman"/>
          <w:sz w:val="24"/>
          <w:szCs w:val="24"/>
        </w:rPr>
        <w:t>This subsection is unchanged from the 2018 Determination</w:t>
      </w:r>
      <w:r w:rsidR="001317EC">
        <w:rPr>
          <w:rFonts w:ascii="Times New Roman" w:hAnsi="Times New Roman" w:cs="Times New Roman"/>
          <w:sz w:val="24"/>
          <w:szCs w:val="24"/>
        </w:rPr>
        <w:t>.</w:t>
      </w:r>
    </w:p>
    <w:p w14:paraId="68879C37" w14:textId="77777777" w:rsidR="00474003" w:rsidRDefault="00474003" w:rsidP="00474003">
      <w:pPr>
        <w:pStyle w:val="ListParagraph"/>
        <w:tabs>
          <w:tab w:val="left" w:pos="993"/>
        </w:tabs>
        <w:spacing w:before="240" w:line="240" w:lineRule="auto"/>
        <w:ind w:left="646"/>
        <w:rPr>
          <w:rFonts w:ascii="Times New Roman" w:hAnsi="Times New Roman" w:cs="Times New Roman"/>
          <w:sz w:val="24"/>
          <w:szCs w:val="24"/>
        </w:rPr>
      </w:pPr>
    </w:p>
    <w:p w14:paraId="3580E16B" w14:textId="77777777" w:rsidR="00640B58" w:rsidRDefault="00640B58" w:rsidP="00474003">
      <w:pPr>
        <w:pStyle w:val="ListParagraph"/>
        <w:tabs>
          <w:tab w:val="left" w:pos="993"/>
        </w:tabs>
        <w:spacing w:after="0" w:line="240" w:lineRule="auto"/>
        <w:ind w:left="0"/>
        <w:contextualSpacing w:val="0"/>
        <w:rPr>
          <w:rFonts w:ascii="Times New Roman" w:hAnsi="Times New Roman" w:cs="Times New Roman"/>
          <w:i/>
          <w:sz w:val="24"/>
          <w:szCs w:val="24"/>
        </w:rPr>
      </w:pPr>
      <w:r w:rsidRPr="00A927DF">
        <w:rPr>
          <w:rFonts w:ascii="Times New Roman" w:hAnsi="Times New Roman" w:cs="Times New Roman"/>
          <w:i/>
          <w:sz w:val="24"/>
          <w:szCs w:val="24"/>
        </w:rPr>
        <w:t>Subsection 13(4)</w:t>
      </w:r>
    </w:p>
    <w:p w14:paraId="2C548DE1" w14:textId="77777777" w:rsidR="00474003" w:rsidRPr="00A927DF" w:rsidRDefault="00474003" w:rsidP="00474003">
      <w:pPr>
        <w:pStyle w:val="ListParagraph"/>
        <w:tabs>
          <w:tab w:val="left" w:pos="993"/>
        </w:tabs>
        <w:spacing w:after="0" w:line="240" w:lineRule="auto"/>
        <w:ind w:left="0"/>
        <w:contextualSpacing w:val="0"/>
        <w:rPr>
          <w:rFonts w:ascii="Times New Roman" w:hAnsi="Times New Roman" w:cs="Times New Roman"/>
          <w:i/>
          <w:sz w:val="24"/>
          <w:szCs w:val="24"/>
        </w:rPr>
      </w:pPr>
    </w:p>
    <w:p w14:paraId="42D3B992" w14:textId="77777777" w:rsidR="004D3DA0" w:rsidRDefault="008020A1" w:rsidP="00474003">
      <w:pPr>
        <w:pStyle w:val="ListParagraph"/>
        <w:numPr>
          <w:ilvl w:val="0"/>
          <w:numId w:val="13"/>
        </w:numPr>
        <w:tabs>
          <w:tab w:val="left" w:pos="993"/>
        </w:tabs>
        <w:spacing w:before="240" w:line="240" w:lineRule="auto"/>
        <w:ind w:left="646" w:hanging="646"/>
        <w:rPr>
          <w:rFonts w:ascii="Times New Roman" w:hAnsi="Times New Roman" w:cs="Times New Roman"/>
          <w:sz w:val="24"/>
          <w:szCs w:val="24"/>
        </w:rPr>
      </w:pPr>
      <w:r>
        <w:rPr>
          <w:rFonts w:ascii="Times New Roman" w:hAnsi="Times New Roman" w:cs="Times New Roman"/>
          <w:sz w:val="24"/>
          <w:szCs w:val="24"/>
        </w:rPr>
        <w:t>Subsection 13</w:t>
      </w:r>
      <w:r w:rsidR="004D3DA0" w:rsidRPr="00560F0E">
        <w:rPr>
          <w:rFonts w:ascii="Times New Roman" w:hAnsi="Times New Roman" w:cs="Times New Roman"/>
          <w:sz w:val="24"/>
          <w:szCs w:val="24"/>
        </w:rPr>
        <w:t>(4) provide</w:t>
      </w:r>
      <w:r w:rsidR="007B298B">
        <w:rPr>
          <w:rFonts w:ascii="Times New Roman" w:hAnsi="Times New Roman" w:cs="Times New Roman"/>
          <w:sz w:val="24"/>
          <w:szCs w:val="24"/>
        </w:rPr>
        <w:t>s</w:t>
      </w:r>
      <w:r w:rsidR="004D3DA0" w:rsidRPr="00560F0E">
        <w:rPr>
          <w:rFonts w:ascii="Times New Roman" w:hAnsi="Times New Roman" w:cs="Times New Roman"/>
          <w:sz w:val="24"/>
          <w:szCs w:val="24"/>
        </w:rPr>
        <w:t xml:space="preserve"> that an authorisation, whether in written or electronic form, must be signed by its maker. </w:t>
      </w:r>
      <w:r w:rsidR="001317EC" w:rsidRPr="001317EC">
        <w:rPr>
          <w:rFonts w:ascii="Times New Roman" w:hAnsi="Times New Roman" w:cs="Times New Roman"/>
          <w:sz w:val="24"/>
          <w:szCs w:val="24"/>
        </w:rPr>
        <w:t>This subsection is unchanged from the 2018 Determination</w:t>
      </w:r>
      <w:r w:rsidR="001317EC">
        <w:rPr>
          <w:rFonts w:ascii="Times New Roman" w:hAnsi="Times New Roman" w:cs="Times New Roman"/>
          <w:sz w:val="24"/>
          <w:szCs w:val="24"/>
        </w:rPr>
        <w:t>.</w:t>
      </w:r>
    </w:p>
    <w:p w14:paraId="4F82DECB" w14:textId="77777777" w:rsidR="004D3DA0" w:rsidRPr="00560F0E" w:rsidRDefault="00043585" w:rsidP="004D3DA0">
      <w:pPr>
        <w:pStyle w:val="Heading2"/>
        <w:spacing w:line="240" w:lineRule="auto"/>
      </w:pPr>
      <w:r>
        <w:t>Section 14</w:t>
      </w:r>
      <w:r w:rsidR="004D3DA0" w:rsidRPr="00560F0E">
        <w:t xml:space="preserve"> - Secondary disclosure authorisations for the Australian Federal Police to disclose information or documents – enforc</w:t>
      </w:r>
      <w:r w:rsidR="004D3DA0">
        <w:t xml:space="preserve">ing </w:t>
      </w:r>
      <w:r w:rsidR="004D3DA0" w:rsidRPr="00560F0E">
        <w:t xml:space="preserve">foreign </w:t>
      </w:r>
      <w:r w:rsidR="004D3DA0">
        <w:t>or international laws</w:t>
      </w:r>
    </w:p>
    <w:p w14:paraId="6AA9F9E5" w14:textId="77777777" w:rsidR="00B9636C" w:rsidRDefault="00B9636C" w:rsidP="00B9636C">
      <w:pPr>
        <w:pStyle w:val="ListParagraph"/>
        <w:tabs>
          <w:tab w:val="left" w:pos="993"/>
        </w:tabs>
        <w:spacing w:after="0" w:line="240" w:lineRule="auto"/>
        <w:ind w:left="646"/>
        <w:rPr>
          <w:rFonts w:ascii="Times New Roman" w:hAnsi="Times New Roman" w:cs="Times New Roman"/>
          <w:sz w:val="24"/>
          <w:szCs w:val="24"/>
        </w:rPr>
      </w:pPr>
    </w:p>
    <w:p w14:paraId="15E4B277" w14:textId="77777777" w:rsidR="00D435ED" w:rsidRPr="002D571E" w:rsidRDefault="00D435ED" w:rsidP="00D435ED">
      <w:pPr>
        <w:spacing w:line="240" w:lineRule="auto"/>
        <w:rPr>
          <w:rFonts w:ascii="Times New Roman" w:hAnsi="Times New Roman" w:cs="Times New Roman"/>
          <w:sz w:val="24"/>
          <w:szCs w:val="24"/>
        </w:rPr>
      </w:pPr>
      <w:r>
        <w:rPr>
          <w:rFonts w:ascii="Times New Roman" w:hAnsi="Times New Roman" w:cs="Times New Roman"/>
          <w:i/>
          <w:sz w:val="24"/>
          <w:szCs w:val="24"/>
        </w:rPr>
        <w:t>Subsection 14</w:t>
      </w:r>
      <w:r w:rsidRPr="00560F0E">
        <w:rPr>
          <w:rFonts w:ascii="Times New Roman" w:hAnsi="Times New Roman" w:cs="Times New Roman"/>
          <w:i/>
          <w:sz w:val="24"/>
          <w:szCs w:val="24"/>
        </w:rPr>
        <w:t>(1)</w:t>
      </w:r>
    </w:p>
    <w:p w14:paraId="019F44C5" w14:textId="5443B1C6" w:rsidR="00935697" w:rsidRPr="001317EC" w:rsidRDefault="00D435ED" w:rsidP="001317EC">
      <w:pPr>
        <w:pStyle w:val="ListParagraph"/>
        <w:numPr>
          <w:ilvl w:val="0"/>
          <w:numId w:val="13"/>
        </w:numPr>
        <w:tabs>
          <w:tab w:val="left" w:pos="993"/>
        </w:tabs>
        <w:spacing w:before="240" w:line="240" w:lineRule="auto"/>
        <w:ind w:left="646" w:hanging="646"/>
        <w:rPr>
          <w:rFonts w:ascii="Times New Roman" w:hAnsi="Times New Roman" w:cs="Times New Roman"/>
          <w:sz w:val="24"/>
          <w:szCs w:val="24"/>
        </w:rPr>
      </w:pPr>
      <w:r>
        <w:rPr>
          <w:rFonts w:ascii="Times New Roman" w:hAnsi="Times New Roman" w:cs="Times New Roman"/>
          <w:sz w:val="24"/>
          <w:szCs w:val="24"/>
        </w:rPr>
        <w:t>Subsection 14</w:t>
      </w:r>
      <w:r w:rsidR="004D3DA0" w:rsidRPr="00560F0E" w:rsidDel="00790253">
        <w:rPr>
          <w:rFonts w:ascii="Times New Roman" w:hAnsi="Times New Roman" w:cs="Times New Roman"/>
          <w:sz w:val="24"/>
          <w:szCs w:val="24"/>
        </w:rPr>
        <w:t>(1) specif</w:t>
      </w:r>
      <w:r w:rsidR="004D3DA0" w:rsidRPr="00560F0E">
        <w:rPr>
          <w:rFonts w:ascii="Times New Roman" w:hAnsi="Times New Roman" w:cs="Times New Roman"/>
          <w:sz w:val="24"/>
          <w:szCs w:val="24"/>
        </w:rPr>
        <w:t>ie</w:t>
      </w:r>
      <w:r w:rsidR="007B298B">
        <w:rPr>
          <w:rFonts w:ascii="Times New Roman" w:hAnsi="Times New Roman" w:cs="Times New Roman"/>
          <w:sz w:val="24"/>
          <w:szCs w:val="24"/>
        </w:rPr>
        <w:t>s</w:t>
      </w:r>
      <w:r w:rsidR="004D3DA0" w:rsidRPr="00560F0E" w:rsidDel="00790253">
        <w:rPr>
          <w:rFonts w:ascii="Times New Roman" w:hAnsi="Times New Roman" w:cs="Times New Roman"/>
          <w:sz w:val="24"/>
          <w:szCs w:val="24"/>
        </w:rPr>
        <w:t xml:space="preserve"> information that must be included in an authorisation made by the </w:t>
      </w:r>
      <w:r w:rsidR="00525426">
        <w:rPr>
          <w:rFonts w:ascii="Times New Roman" w:hAnsi="Times New Roman" w:cs="Times New Roman"/>
          <w:sz w:val="24"/>
          <w:szCs w:val="24"/>
        </w:rPr>
        <w:t>Australian Federal Police</w:t>
      </w:r>
      <w:r w:rsidR="00525426" w:rsidRPr="00560F0E">
        <w:rPr>
          <w:rFonts w:ascii="Times New Roman" w:hAnsi="Times New Roman" w:cs="Times New Roman"/>
          <w:sz w:val="24"/>
          <w:szCs w:val="24"/>
        </w:rPr>
        <w:t xml:space="preserve"> </w:t>
      </w:r>
      <w:r w:rsidR="004D3DA0" w:rsidRPr="00560F0E" w:rsidDel="00790253">
        <w:rPr>
          <w:rFonts w:ascii="Times New Roman" w:hAnsi="Times New Roman" w:cs="Times New Roman"/>
          <w:sz w:val="24"/>
          <w:szCs w:val="24"/>
        </w:rPr>
        <w:t xml:space="preserve">for secondary disclosure of information or documents under section 180C of the </w:t>
      </w:r>
      <w:r w:rsidR="004D3DA0" w:rsidDel="00790253">
        <w:rPr>
          <w:rFonts w:ascii="Times New Roman" w:hAnsi="Times New Roman" w:cs="Times New Roman"/>
          <w:sz w:val="24"/>
          <w:szCs w:val="24"/>
        </w:rPr>
        <w:t xml:space="preserve">TIA </w:t>
      </w:r>
      <w:r w:rsidR="004D3DA0" w:rsidRPr="00560F0E" w:rsidDel="00790253">
        <w:rPr>
          <w:rFonts w:ascii="Times New Roman" w:hAnsi="Times New Roman" w:cs="Times New Roman"/>
          <w:sz w:val="24"/>
          <w:szCs w:val="24"/>
        </w:rPr>
        <w:t>Act.</w:t>
      </w:r>
      <w:r w:rsidR="001317EC">
        <w:rPr>
          <w:rFonts w:ascii="Times New Roman" w:hAnsi="Times New Roman" w:cs="Times New Roman"/>
          <w:sz w:val="24"/>
          <w:szCs w:val="24"/>
        </w:rPr>
        <w:t xml:space="preserve"> </w:t>
      </w:r>
      <w:r w:rsidR="001317EC" w:rsidRPr="001317EC">
        <w:rPr>
          <w:rFonts w:ascii="Times New Roman" w:hAnsi="Times New Roman" w:cs="Times New Roman"/>
          <w:sz w:val="24"/>
          <w:szCs w:val="24"/>
        </w:rPr>
        <w:t>This subsection is unchanged from the 2018 Determination</w:t>
      </w:r>
      <w:r w:rsidR="001317EC">
        <w:rPr>
          <w:rFonts w:ascii="Times New Roman" w:hAnsi="Times New Roman" w:cs="Times New Roman"/>
          <w:sz w:val="24"/>
          <w:szCs w:val="24"/>
        </w:rPr>
        <w:t>.</w:t>
      </w:r>
    </w:p>
    <w:p w14:paraId="561DDC42" w14:textId="77777777" w:rsidR="00935697" w:rsidRPr="002D571E" w:rsidRDefault="00935697" w:rsidP="00935697">
      <w:pPr>
        <w:spacing w:line="240" w:lineRule="auto"/>
        <w:rPr>
          <w:rFonts w:ascii="Times New Roman" w:hAnsi="Times New Roman" w:cs="Times New Roman"/>
          <w:sz w:val="24"/>
          <w:szCs w:val="24"/>
        </w:rPr>
      </w:pPr>
      <w:r>
        <w:rPr>
          <w:rFonts w:ascii="Times New Roman" w:hAnsi="Times New Roman" w:cs="Times New Roman"/>
          <w:i/>
          <w:sz w:val="24"/>
          <w:szCs w:val="24"/>
        </w:rPr>
        <w:t>Subsection 14(2</w:t>
      </w:r>
      <w:r w:rsidRPr="00560F0E">
        <w:rPr>
          <w:rFonts w:ascii="Times New Roman" w:hAnsi="Times New Roman" w:cs="Times New Roman"/>
          <w:i/>
          <w:sz w:val="24"/>
          <w:szCs w:val="24"/>
        </w:rPr>
        <w:t>)</w:t>
      </w:r>
    </w:p>
    <w:p w14:paraId="5297ADA3" w14:textId="29D71A63" w:rsidR="004D3DA0" w:rsidRDefault="00D435ED" w:rsidP="00474003">
      <w:pPr>
        <w:pStyle w:val="ListParagraph"/>
        <w:numPr>
          <w:ilvl w:val="0"/>
          <w:numId w:val="13"/>
        </w:numPr>
        <w:tabs>
          <w:tab w:val="left" w:pos="993"/>
        </w:tabs>
        <w:spacing w:before="240" w:line="240" w:lineRule="auto"/>
        <w:ind w:left="646" w:hanging="646"/>
        <w:rPr>
          <w:rFonts w:ascii="Times New Roman" w:hAnsi="Times New Roman" w:cs="Times New Roman"/>
          <w:sz w:val="24"/>
          <w:szCs w:val="24"/>
        </w:rPr>
      </w:pPr>
      <w:r w:rsidRPr="00560F0E">
        <w:rPr>
          <w:rFonts w:ascii="Times New Roman" w:hAnsi="Times New Roman" w:cs="Times New Roman"/>
          <w:sz w:val="24"/>
          <w:szCs w:val="24"/>
        </w:rPr>
        <w:t>Sub</w:t>
      </w:r>
      <w:r>
        <w:rPr>
          <w:rFonts w:ascii="Times New Roman" w:hAnsi="Times New Roman" w:cs="Times New Roman"/>
          <w:sz w:val="24"/>
          <w:szCs w:val="24"/>
        </w:rPr>
        <w:t>section</w:t>
      </w:r>
      <w:r w:rsidRPr="00560F0E">
        <w:rPr>
          <w:rFonts w:ascii="Times New Roman" w:hAnsi="Times New Roman" w:cs="Times New Roman"/>
          <w:sz w:val="24"/>
          <w:szCs w:val="24"/>
        </w:rPr>
        <w:t xml:space="preserve"> </w:t>
      </w:r>
      <w:r>
        <w:rPr>
          <w:rFonts w:ascii="Times New Roman" w:hAnsi="Times New Roman" w:cs="Times New Roman"/>
          <w:sz w:val="24"/>
          <w:szCs w:val="24"/>
        </w:rPr>
        <w:t>14</w:t>
      </w:r>
      <w:r w:rsidR="004D3DA0" w:rsidRPr="00560F0E">
        <w:rPr>
          <w:rFonts w:ascii="Times New Roman" w:hAnsi="Times New Roman" w:cs="Times New Roman"/>
          <w:sz w:val="24"/>
          <w:szCs w:val="24"/>
        </w:rPr>
        <w:t>(2) provide</w:t>
      </w:r>
      <w:r w:rsidR="007B298B">
        <w:rPr>
          <w:rFonts w:ascii="Times New Roman" w:hAnsi="Times New Roman" w:cs="Times New Roman"/>
          <w:sz w:val="24"/>
          <w:szCs w:val="24"/>
        </w:rPr>
        <w:t>s</w:t>
      </w:r>
      <w:r w:rsidR="004D3DA0" w:rsidRPr="00560F0E">
        <w:rPr>
          <w:rFonts w:ascii="Times New Roman" w:hAnsi="Times New Roman" w:cs="Times New Roman"/>
          <w:sz w:val="24"/>
          <w:szCs w:val="24"/>
        </w:rPr>
        <w:t xml:space="preserve"> that an authorisation, whether in written or electronic form, must be signed by its maker. </w:t>
      </w:r>
      <w:r w:rsidR="001317EC" w:rsidRPr="001317EC">
        <w:rPr>
          <w:rFonts w:ascii="Times New Roman" w:hAnsi="Times New Roman" w:cs="Times New Roman"/>
          <w:sz w:val="24"/>
          <w:szCs w:val="24"/>
        </w:rPr>
        <w:t>This subsection is unchanged from the 2018</w:t>
      </w:r>
      <w:r w:rsidR="00525426">
        <w:rPr>
          <w:rFonts w:ascii="Times New Roman" w:hAnsi="Times New Roman" w:cs="Times New Roman"/>
          <w:sz w:val="24"/>
          <w:szCs w:val="24"/>
        </w:rPr>
        <w:t> </w:t>
      </w:r>
      <w:r w:rsidR="001317EC" w:rsidRPr="001317EC">
        <w:rPr>
          <w:rFonts w:ascii="Times New Roman" w:hAnsi="Times New Roman" w:cs="Times New Roman"/>
          <w:sz w:val="24"/>
          <w:szCs w:val="24"/>
        </w:rPr>
        <w:t>Determination</w:t>
      </w:r>
      <w:r w:rsidR="004F7F0C">
        <w:rPr>
          <w:rFonts w:ascii="Times New Roman" w:hAnsi="Times New Roman" w:cs="Times New Roman"/>
          <w:sz w:val="24"/>
          <w:szCs w:val="24"/>
        </w:rPr>
        <w:t>.</w:t>
      </w:r>
    </w:p>
    <w:p w14:paraId="1FED2D78" w14:textId="77777777" w:rsidR="004D3DA0" w:rsidRDefault="00935697" w:rsidP="004D3DA0">
      <w:pPr>
        <w:pStyle w:val="Heading2"/>
        <w:spacing w:line="240" w:lineRule="auto"/>
      </w:pPr>
      <w:r>
        <w:t>Section 15</w:t>
      </w:r>
      <w:r w:rsidR="004D3DA0" w:rsidRPr="00560F0E">
        <w:t xml:space="preserve"> - Secondary disclosure authorisations for the Australian Federal Police to disclose information or documents – enforcement of the criminal law</w:t>
      </w:r>
    </w:p>
    <w:p w14:paraId="68F6139B" w14:textId="77777777" w:rsidR="00EC4B9C" w:rsidRPr="002D571E" w:rsidRDefault="00EC4B9C" w:rsidP="00A927DF">
      <w:pPr>
        <w:spacing w:before="240" w:line="240" w:lineRule="auto"/>
        <w:rPr>
          <w:rFonts w:ascii="Times New Roman" w:hAnsi="Times New Roman" w:cs="Times New Roman"/>
          <w:sz w:val="24"/>
          <w:szCs w:val="24"/>
        </w:rPr>
      </w:pPr>
      <w:r>
        <w:rPr>
          <w:rFonts w:ascii="Times New Roman" w:hAnsi="Times New Roman" w:cs="Times New Roman"/>
          <w:i/>
          <w:sz w:val="24"/>
          <w:szCs w:val="24"/>
        </w:rPr>
        <w:t>Subsection 15(1</w:t>
      </w:r>
      <w:r w:rsidRPr="00560F0E">
        <w:rPr>
          <w:rFonts w:ascii="Times New Roman" w:hAnsi="Times New Roman" w:cs="Times New Roman"/>
          <w:i/>
          <w:sz w:val="24"/>
          <w:szCs w:val="24"/>
        </w:rPr>
        <w:t>)</w:t>
      </w:r>
    </w:p>
    <w:p w14:paraId="435B184B" w14:textId="7DCB631A" w:rsidR="004D3DA0" w:rsidRPr="00FA177E" w:rsidRDefault="00935697" w:rsidP="00474003">
      <w:pPr>
        <w:pStyle w:val="ListParagraph"/>
        <w:numPr>
          <w:ilvl w:val="0"/>
          <w:numId w:val="13"/>
        </w:numPr>
        <w:tabs>
          <w:tab w:val="left" w:pos="993"/>
        </w:tabs>
        <w:spacing w:before="240" w:line="240" w:lineRule="auto"/>
        <w:ind w:left="646" w:hanging="646"/>
        <w:rPr>
          <w:rFonts w:ascii="Times New Roman" w:hAnsi="Times New Roman" w:cs="Times New Roman"/>
          <w:sz w:val="24"/>
          <w:szCs w:val="24"/>
        </w:rPr>
      </w:pPr>
      <w:r>
        <w:rPr>
          <w:rFonts w:ascii="Times New Roman" w:hAnsi="Times New Roman" w:cs="Times New Roman"/>
          <w:sz w:val="24"/>
          <w:szCs w:val="24"/>
        </w:rPr>
        <w:t>Subsection 15</w:t>
      </w:r>
      <w:r w:rsidR="004D3DA0" w:rsidRPr="00FA177E">
        <w:rPr>
          <w:rFonts w:ascii="Times New Roman" w:hAnsi="Times New Roman" w:cs="Times New Roman"/>
          <w:sz w:val="24"/>
          <w:szCs w:val="24"/>
        </w:rPr>
        <w:t>(1) specifie</w:t>
      </w:r>
      <w:r w:rsidR="007B298B">
        <w:rPr>
          <w:rFonts w:ascii="Times New Roman" w:hAnsi="Times New Roman" w:cs="Times New Roman"/>
          <w:sz w:val="24"/>
          <w:szCs w:val="24"/>
        </w:rPr>
        <w:t>s</w:t>
      </w:r>
      <w:r w:rsidR="004D3DA0" w:rsidRPr="00FA177E">
        <w:rPr>
          <w:rFonts w:ascii="Times New Roman" w:hAnsi="Times New Roman" w:cs="Times New Roman"/>
          <w:sz w:val="24"/>
          <w:szCs w:val="24"/>
        </w:rPr>
        <w:t xml:space="preserve"> information that must be included in an authorisation made by the </w:t>
      </w:r>
      <w:r w:rsidR="00525426">
        <w:rPr>
          <w:rFonts w:ascii="Times New Roman" w:hAnsi="Times New Roman" w:cs="Times New Roman"/>
          <w:sz w:val="24"/>
          <w:szCs w:val="24"/>
        </w:rPr>
        <w:t>Australian Federal Police</w:t>
      </w:r>
      <w:r w:rsidR="00525426" w:rsidRPr="00560F0E">
        <w:rPr>
          <w:rFonts w:ascii="Times New Roman" w:hAnsi="Times New Roman" w:cs="Times New Roman"/>
          <w:sz w:val="24"/>
          <w:szCs w:val="24"/>
        </w:rPr>
        <w:t xml:space="preserve"> </w:t>
      </w:r>
      <w:r w:rsidR="004D3DA0" w:rsidRPr="00FA177E">
        <w:rPr>
          <w:rFonts w:ascii="Times New Roman" w:hAnsi="Times New Roman" w:cs="Times New Roman"/>
          <w:sz w:val="24"/>
          <w:szCs w:val="24"/>
        </w:rPr>
        <w:t xml:space="preserve">for secondary disclosure of information or documents for the purposes of enforcing the criminal law under </w:t>
      </w:r>
      <w:r w:rsidR="00525426">
        <w:rPr>
          <w:rFonts w:ascii="Times New Roman" w:hAnsi="Times New Roman" w:cs="Times New Roman"/>
          <w:sz w:val="24"/>
          <w:szCs w:val="24"/>
        </w:rPr>
        <w:t>section</w:t>
      </w:r>
      <w:r w:rsidR="004D3DA0" w:rsidRPr="00FA177E">
        <w:rPr>
          <w:rFonts w:ascii="Times New Roman" w:hAnsi="Times New Roman" w:cs="Times New Roman"/>
          <w:sz w:val="24"/>
          <w:szCs w:val="24"/>
        </w:rPr>
        <w:t xml:space="preserve"> 180D of the </w:t>
      </w:r>
      <w:r w:rsidR="004D3DA0">
        <w:rPr>
          <w:rFonts w:ascii="Times New Roman" w:hAnsi="Times New Roman" w:cs="Times New Roman"/>
          <w:sz w:val="24"/>
          <w:szCs w:val="24"/>
        </w:rPr>
        <w:t xml:space="preserve">TIA </w:t>
      </w:r>
      <w:r w:rsidR="004D3DA0" w:rsidRPr="00FA177E">
        <w:rPr>
          <w:rFonts w:ascii="Times New Roman" w:hAnsi="Times New Roman" w:cs="Times New Roman"/>
          <w:sz w:val="24"/>
          <w:szCs w:val="24"/>
        </w:rPr>
        <w:t xml:space="preserve">Act. </w:t>
      </w:r>
      <w:r w:rsidR="00C520B2" w:rsidRPr="001317EC">
        <w:rPr>
          <w:rFonts w:ascii="Times New Roman" w:hAnsi="Times New Roman" w:cs="Times New Roman"/>
          <w:sz w:val="24"/>
          <w:szCs w:val="24"/>
        </w:rPr>
        <w:t>This subsection is unchanged from the 2018 Determination</w:t>
      </w:r>
      <w:r w:rsidR="00044A2D">
        <w:rPr>
          <w:rFonts w:ascii="Times New Roman" w:hAnsi="Times New Roman" w:cs="Times New Roman"/>
          <w:sz w:val="24"/>
          <w:szCs w:val="24"/>
        </w:rPr>
        <w:t>.</w:t>
      </w:r>
    </w:p>
    <w:p w14:paraId="18BFE02C" w14:textId="77777777" w:rsidR="004D3DA0" w:rsidRDefault="004D3DA0" w:rsidP="00B9636C">
      <w:pPr>
        <w:pStyle w:val="ListParagraph"/>
        <w:tabs>
          <w:tab w:val="left" w:pos="993"/>
        </w:tabs>
        <w:spacing w:after="0" w:line="240" w:lineRule="auto"/>
        <w:ind w:left="646"/>
        <w:rPr>
          <w:rFonts w:ascii="Times New Roman" w:hAnsi="Times New Roman" w:cs="Times New Roman"/>
          <w:sz w:val="24"/>
          <w:szCs w:val="24"/>
        </w:rPr>
      </w:pPr>
    </w:p>
    <w:p w14:paraId="1407B32E" w14:textId="77777777" w:rsidR="00EC4B9C" w:rsidRPr="002D571E" w:rsidRDefault="00EC4B9C" w:rsidP="00EC4B9C">
      <w:pPr>
        <w:spacing w:line="240" w:lineRule="auto"/>
        <w:rPr>
          <w:rFonts w:ascii="Times New Roman" w:hAnsi="Times New Roman" w:cs="Times New Roman"/>
          <w:sz w:val="24"/>
          <w:szCs w:val="24"/>
        </w:rPr>
      </w:pPr>
      <w:r>
        <w:rPr>
          <w:rFonts w:ascii="Times New Roman" w:hAnsi="Times New Roman" w:cs="Times New Roman"/>
          <w:i/>
          <w:sz w:val="24"/>
          <w:szCs w:val="24"/>
        </w:rPr>
        <w:t>Subsection 15(2</w:t>
      </w:r>
      <w:r w:rsidRPr="00560F0E">
        <w:rPr>
          <w:rFonts w:ascii="Times New Roman" w:hAnsi="Times New Roman" w:cs="Times New Roman"/>
          <w:i/>
          <w:sz w:val="24"/>
          <w:szCs w:val="24"/>
        </w:rPr>
        <w:t>)</w:t>
      </w:r>
    </w:p>
    <w:p w14:paraId="0671B239" w14:textId="77777777" w:rsidR="004D3DA0" w:rsidRDefault="00044A2D" w:rsidP="00474003">
      <w:pPr>
        <w:pStyle w:val="ListParagraph"/>
        <w:numPr>
          <w:ilvl w:val="0"/>
          <w:numId w:val="13"/>
        </w:numPr>
        <w:tabs>
          <w:tab w:val="left" w:pos="993"/>
        </w:tabs>
        <w:spacing w:before="240" w:line="240" w:lineRule="auto"/>
        <w:ind w:left="646" w:hanging="646"/>
        <w:rPr>
          <w:rFonts w:ascii="Times New Roman" w:hAnsi="Times New Roman" w:cs="Times New Roman"/>
          <w:sz w:val="24"/>
          <w:szCs w:val="24"/>
        </w:rPr>
      </w:pPr>
      <w:r>
        <w:rPr>
          <w:rFonts w:ascii="Times New Roman" w:hAnsi="Times New Roman" w:cs="Times New Roman"/>
          <w:sz w:val="24"/>
          <w:szCs w:val="24"/>
        </w:rPr>
        <w:t>Subsection 15</w:t>
      </w:r>
      <w:r w:rsidR="004D3DA0" w:rsidRPr="00560F0E">
        <w:rPr>
          <w:rFonts w:ascii="Times New Roman" w:hAnsi="Times New Roman" w:cs="Times New Roman"/>
          <w:sz w:val="24"/>
          <w:szCs w:val="24"/>
        </w:rPr>
        <w:t xml:space="preserve">(2) provides that an authorisation, whether in written or electronic form, must be signed by its maker. </w:t>
      </w:r>
      <w:r w:rsidR="00C520B2" w:rsidRPr="001317EC">
        <w:rPr>
          <w:rFonts w:ascii="Times New Roman" w:hAnsi="Times New Roman" w:cs="Times New Roman"/>
          <w:sz w:val="24"/>
          <w:szCs w:val="24"/>
        </w:rPr>
        <w:t>This subsection is unchanged from the 2018 Determination</w:t>
      </w:r>
      <w:r w:rsidR="004F7F0C">
        <w:rPr>
          <w:rFonts w:ascii="Times New Roman" w:hAnsi="Times New Roman" w:cs="Times New Roman"/>
          <w:sz w:val="24"/>
          <w:szCs w:val="24"/>
        </w:rPr>
        <w:t>.</w:t>
      </w:r>
    </w:p>
    <w:p w14:paraId="52CEE542" w14:textId="77777777" w:rsidR="004D3DA0" w:rsidRPr="00560F0E" w:rsidRDefault="00044A2D" w:rsidP="004D3DA0">
      <w:pPr>
        <w:pStyle w:val="Heading2"/>
        <w:spacing w:line="240" w:lineRule="auto"/>
      </w:pPr>
      <w:r>
        <w:t>Division</w:t>
      </w:r>
      <w:r w:rsidR="004D3DA0" w:rsidRPr="00560F0E">
        <w:t xml:space="preserve"> 3 – Notification</w:t>
      </w:r>
      <w:r w:rsidR="0003219D">
        <w:t>s</w:t>
      </w:r>
      <w:r w:rsidR="004D3DA0" w:rsidRPr="00560F0E">
        <w:t xml:space="preserve"> of Authorisations </w:t>
      </w:r>
    </w:p>
    <w:p w14:paraId="663E09CA" w14:textId="77777777" w:rsidR="00943A11" w:rsidRDefault="004472D7" w:rsidP="004D3DA0">
      <w:pPr>
        <w:pStyle w:val="Heading2"/>
        <w:spacing w:line="240" w:lineRule="auto"/>
      </w:pPr>
      <w:r>
        <w:t>Section 16</w:t>
      </w:r>
      <w:r w:rsidR="004D3DA0" w:rsidRPr="00560F0E">
        <w:t xml:space="preserve"> – Notification of an authorisation </w:t>
      </w:r>
    </w:p>
    <w:p w14:paraId="750A6B0A" w14:textId="77777777" w:rsidR="00943A11" w:rsidRPr="002D571E" w:rsidRDefault="00943A11" w:rsidP="00A927DF">
      <w:pPr>
        <w:spacing w:before="240" w:line="240" w:lineRule="auto"/>
        <w:rPr>
          <w:rFonts w:ascii="Times New Roman" w:hAnsi="Times New Roman" w:cs="Times New Roman"/>
          <w:sz w:val="24"/>
          <w:szCs w:val="24"/>
        </w:rPr>
      </w:pPr>
      <w:r>
        <w:rPr>
          <w:rFonts w:ascii="Times New Roman" w:hAnsi="Times New Roman" w:cs="Times New Roman"/>
          <w:i/>
          <w:sz w:val="24"/>
          <w:szCs w:val="24"/>
        </w:rPr>
        <w:t>Subsection 16(1</w:t>
      </w:r>
      <w:r w:rsidRPr="00560F0E">
        <w:rPr>
          <w:rFonts w:ascii="Times New Roman" w:hAnsi="Times New Roman" w:cs="Times New Roman"/>
          <w:i/>
          <w:sz w:val="24"/>
          <w:szCs w:val="24"/>
        </w:rPr>
        <w:t>)</w:t>
      </w:r>
    </w:p>
    <w:p w14:paraId="2BB9449D" w14:textId="77777777" w:rsidR="004D3DA0" w:rsidRDefault="004472D7" w:rsidP="00474003">
      <w:pPr>
        <w:pStyle w:val="ListParagraph"/>
        <w:numPr>
          <w:ilvl w:val="0"/>
          <w:numId w:val="13"/>
        </w:numPr>
        <w:tabs>
          <w:tab w:val="left" w:pos="993"/>
        </w:tabs>
        <w:spacing w:before="240" w:line="240" w:lineRule="auto"/>
        <w:ind w:left="646" w:hanging="646"/>
        <w:rPr>
          <w:rFonts w:ascii="Times New Roman" w:hAnsi="Times New Roman" w:cs="Times New Roman"/>
          <w:sz w:val="24"/>
          <w:szCs w:val="24"/>
        </w:rPr>
      </w:pPr>
      <w:r>
        <w:rPr>
          <w:rFonts w:ascii="Times New Roman" w:hAnsi="Times New Roman" w:cs="Times New Roman"/>
          <w:sz w:val="24"/>
          <w:szCs w:val="24"/>
        </w:rPr>
        <w:t>Subsection 16</w:t>
      </w:r>
      <w:r w:rsidR="004D3DA0" w:rsidRPr="00560F0E">
        <w:rPr>
          <w:rFonts w:ascii="Times New Roman" w:hAnsi="Times New Roman" w:cs="Times New Roman"/>
          <w:sz w:val="24"/>
          <w:szCs w:val="24"/>
        </w:rPr>
        <w:t xml:space="preserve">(1) </w:t>
      </w:r>
      <w:r w:rsidR="004D3DA0" w:rsidRPr="00A927DF">
        <w:rPr>
          <w:rFonts w:ascii="Times New Roman" w:hAnsi="Times New Roman" w:cs="Times New Roman"/>
          <w:sz w:val="24"/>
          <w:szCs w:val="24"/>
        </w:rPr>
        <w:t>specifie</w:t>
      </w:r>
      <w:r w:rsidR="007B298B" w:rsidRPr="00A927DF">
        <w:rPr>
          <w:rFonts w:ascii="Times New Roman" w:hAnsi="Times New Roman" w:cs="Times New Roman"/>
          <w:sz w:val="24"/>
          <w:szCs w:val="24"/>
        </w:rPr>
        <w:t>s</w:t>
      </w:r>
      <w:r w:rsidR="004D3DA0" w:rsidRPr="00A927DF">
        <w:rPr>
          <w:rFonts w:ascii="Times New Roman" w:hAnsi="Times New Roman" w:cs="Times New Roman"/>
          <w:sz w:val="24"/>
          <w:szCs w:val="24"/>
        </w:rPr>
        <w:t xml:space="preserve"> information that must be included in a notification of an authorisation made by the Organisation</w:t>
      </w:r>
      <w:r w:rsidRPr="00A927DF">
        <w:rPr>
          <w:rFonts w:ascii="Times New Roman" w:hAnsi="Times New Roman" w:cs="Times New Roman"/>
          <w:sz w:val="24"/>
          <w:szCs w:val="24"/>
        </w:rPr>
        <w:t>, an enforcement agency, or the Australian Federal Police</w:t>
      </w:r>
      <w:r w:rsidR="004D3DA0" w:rsidRPr="00A927DF">
        <w:rPr>
          <w:rFonts w:ascii="Times New Roman" w:hAnsi="Times New Roman" w:cs="Times New Roman"/>
          <w:sz w:val="24"/>
          <w:szCs w:val="24"/>
        </w:rPr>
        <w:t xml:space="preserve"> under Division 3 of Part 4-1 of the TIA Act. Section 184 of the TIA Act provides the requirements for notification of authorisations and revocations. </w:t>
      </w:r>
    </w:p>
    <w:p w14:paraId="7D89F6C0" w14:textId="77777777" w:rsidR="00474003" w:rsidRDefault="00474003" w:rsidP="00474003">
      <w:pPr>
        <w:pStyle w:val="ListParagraph"/>
        <w:tabs>
          <w:tab w:val="left" w:pos="993"/>
        </w:tabs>
        <w:spacing w:before="240" w:line="240" w:lineRule="auto"/>
        <w:ind w:left="646"/>
        <w:rPr>
          <w:rFonts w:ascii="Times New Roman" w:hAnsi="Times New Roman" w:cs="Times New Roman"/>
          <w:sz w:val="24"/>
          <w:szCs w:val="24"/>
        </w:rPr>
      </w:pPr>
    </w:p>
    <w:p w14:paraId="30CC1B09" w14:textId="0D729142" w:rsidR="00C520B2" w:rsidRDefault="004472D7" w:rsidP="00474003">
      <w:pPr>
        <w:pStyle w:val="ListParagraph"/>
        <w:numPr>
          <w:ilvl w:val="0"/>
          <w:numId w:val="13"/>
        </w:numPr>
        <w:tabs>
          <w:tab w:val="left" w:pos="993"/>
        </w:tabs>
        <w:spacing w:before="240" w:line="240" w:lineRule="auto"/>
        <w:ind w:left="646" w:hanging="646"/>
        <w:rPr>
          <w:rFonts w:ascii="Times New Roman" w:hAnsi="Times New Roman" w:cs="Times New Roman"/>
          <w:sz w:val="24"/>
          <w:szCs w:val="24"/>
        </w:rPr>
      </w:pPr>
      <w:r>
        <w:rPr>
          <w:rFonts w:ascii="Times New Roman" w:hAnsi="Times New Roman" w:cs="Times New Roman"/>
          <w:sz w:val="24"/>
          <w:szCs w:val="24"/>
        </w:rPr>
        <w:t xml:space="preserve">Subsection 16(1) simplifies </w:t>
      </w:r>
      <w:r w:rsidR="00411410">
        <w:rPr>
          <w:rFonts w:ascii="Times New Roman" w:hAnsi="Times New Roman" w:cs="Times New Roman"/>
          <w:sz w:val="24"/>
          <w:szCs w:val="24"/>
        </w:rPr>
        <w:t xml:space="preserve">the </w:t>
      </w:r>
      <w:r w:rsidR="00C520B2">
        <w:rPr>
          <w:rFonts w:ascii="Times New Roman" w:hAnsi="Times New Roman" w:cs="Times New Roman"/>
          <w:sz w:val="24"/>
          <w:szCs w:val="24"/>
        </w:rPr>
        <w:t xml:space="preserve">corresponding subsection from the 2018 Determination by removing the requirement that </w:t>
      </w:r>
      <w:r>
        <w:rPr>
          <w:rFonts w:ascii="Times New Roman" w:hAnsi="Times New Roman" w:cs="Times New Roman"/>
          <w:sz w:val="24"/>
          <w:szCs w:val="24"/>
        </w:rPr>
        <w:t>the notification must include either a copy of the authorisation, or a statement that specifies “all the information that is required to be included in the authorisation under Part 2”</w:t>
      </w:r>
      <w:r w:rsidR="00C520B2">
        <w:rPr>
          <w:rFonts w:ascii="Times New Roman" w:hAnsi="Times New Roman" w:cs="Times New Roman"/>
          <w:sz w:val="24"/>
          <w:szCs w:val="24"/>
        </w:rPr>
        <w:t xml:space="preserve">, and replacing it with specific information which </w:t>
      </w:r>
      <w:r w:rsidR="005B742A">
        <w:rPr>
          <w:rFonts w:ascii="Times New Roman" w:hAnsi="Times New Roman" w:cs="Times New Roman"/>
          <w:sz w:val="24"/>
          <w:szCs w:val="24"/>
        </w:rPr>
        <w:t>specified</w:t>
      </w:r>
      <w:r w:rsidR="00C520B2">
        <w:rPr>
          <w:rFonts w:ascii="Times New Roman" w:hAnsi="Times New Roman" w:cs="Times New Roman"/>
          <w:sz w:val="24"/>
          <w:szCs w:val="24"/>
        </w:rPr>
        <w:t xml:space="preserve"> in the authorisation</w:t>
      </w:r>
      <w:r>
        <w:rPr>
          <w:rFonts w:ascii="Times New Roman" w:hAnsi="Times New Roman" w:cs="Times New Roman"/>
          <w:sz w:val="24"/>
          <w:szCs w:val="24"/>
        </w:rPr>
        <w:t xml:space="preserve">. </w:t>
      </w:r>
    </w:p>
    <w:p w14:paraId="213608B4" w14:textId="77777777" w:rsidR="00C520B2" w:rsidRPr="00C520B2" w:rsidRDefault="00C520B2" w:rsidP="00C520B2">
      <w:pPr>
        <w:pStyle w:val="ListParagraph"/>
        <w:rPr>
          <w:rFonts w:ascii="Times New Roman" w:hAnsi="Times New Roman" w:cs="Times New Roman"/>
          <w:sz w:val="24"/>
          <w:szCs w:val="24"/>
        </w:rPr>
      </w:pPr>
    </w:p>
    <w:p w14:paraId="30F8B277" w14:textId="77777777" w:rsidR="004F7F0C" w:rsidRPr="00BC0D6F" w:rsidRDefault="004472D7" w:rsidP="00BC0D6F">
      <w:pPr>
        <w:pStyle w:val="ListParagraph"/>
        <w:numPr>
          <w:ilvl w:val="0"/>
          <w:numId w:val="13"/>
        </w:numPr>
        <w:tabs>
          <w:tab w:val="left" w:pos="993"/>
        </w:tabs>
        <w:spacing w:before="240" w:line="240" w:lineRule="auto"/>
        <w:ind w:left="646" w:hanging="646"/>
        <w:rPr>
          <w:rFonts w:ascii="Times New Roman" w:hAnsi="Times New Roman" w:cs="Times New Roman"/>
          <w:sz w:val="24"/>
          <w:szCs w:val="24"/>
        </w:rPr>
      </w:pPr>
      <w:r>
        <w:rPr>
          <w:rFonts w:ascii="Times New Roman" w:hAnsi="Times New Roman" w:cs="Times New Roman"/>
          <w:sz w:val="24"/>
          <w:szCs w:val="24"/>
        </w:rPr>
        <w:t xml:space="preserve">This </w:t>
      </w:r>
      <w:r w:rsidR="00C520B2">
        <w:rPr>
          <w:rFonts w:ascii="Times New Roman" w:hAnsi="Times New Roman" w:cs="Times New Roman"/>
          <w:sz w:val="24"/>
          <w:szCs w:val="24"/>
        </w:rPr>
        <w:t xml:space="preserve">change provides flexibility to agencies: where current practice is to provide a copy of the authorisation, that may continue; where </w:t>
      </w:r>
      <w:r w:rsidR="00BC0D6F">
        <w:rPr>
          <w:rFonts w:ascii="Times New Roman" w:hAnsi="Times New Roman" w:cs="Times New Roman"/>
          <w:sz w:val="24"/>
          <w:szCs w:val="24"/>
        </w:rPr>
        <w:t xml:space="preserve">this is impossible, or </w:t>
      </w:r>
      <w:r w:rsidR="00C520B2">
        <w:rPr>
          <w:rFonts w:ascii="Times New Roman" w:hAnsi="Times New Roman" w:cs="Times New Roman"/>
          <w:sz w:val="24"/>
          <w:szCs w:val="24"/>
        </w:rPr>
        <w:t>it is more expedient to provide the limited range</w:t>
      </w:r>
      <w:r w:rsidR="00BC0D6F">
        <w:rPr>
          <w:rFonts w:ascii="Times New Roman" w:hAnsi="Times New Roman" w:cs="Times New Roman"/>
          <w:sz w:val="24"/>
          <w:szCs w:val="24"/>
        </w:rPr>
        <w:t xml:space="preserve"> of information specified in 16(1), agencies are able to provide only that information</w:t>
      </w:r>
      <w:r>
        <w:rPr>
          <w:rFonts w:ascii="Times New Roman" w:hAnsi="Times New Roman" w:cs="Times New Roman"/>
          <w:sz w:val="24"/>
          <w:szCs w:val="24"/>
        </w:rPr>
        <w:t>.</w:t>
      </w:r>
    </w:p>
    <w:p w14:paraId="4FE3473C" w14:textId="77777777" w:rsidR="00943A11" w:rsidRPr="00A927DF" w:rsidRDefault="00943A11" w:rsidP="00A927DF">
      <w:pPr>
        <w:spacing w:before="240" w:line="240" w:lineRule="auto"/>
        <w:rPr>
          <w:rFonts w:ascii="Times New Roman" w:hAnsi="Times New Roman" w:cs="Times New Roman"/>
          <w:sz w:val="24"/>
          <w:szCs w:val="24"/>
        </w:rPr>
      </w:pPr>
      <w:r w:rsidRPr="00A927DF">
        <w:rPr>
          <w:rFonts w:ascii="Times New Roman" w:hAnsi="Times New Roman" w:cs="Times New Roman"/>
          <w:i/>
          <w:sz w:val="24"/>
          <w:szCs w:val="24"/>
        </w:rPr>
        <w:t>Subsection 16</w:t>
      </w:r>
      <w:r w:rsidRPr="005B3C14">
        <w:rPr>
          <w:rFonts w:ascii="Times New Roman" w:hAnsi="Times New Roman" w:cs="Times New Roman"/>
          <w:i/>
          <w:sz w:val="24"/>
          <w:szCs w:val="24"/>
        </w:rPr>
        <w:t>(2</w:t>
      </w:r>
      <w:r w:rsidRPr="00A927DF">
        <w:rPr>
          <w:rFonts w:ascii="Times New Roman" w:hAnsi="Times New Roman" w:cs="Times New Roman"/>
          <w:i/>
          <w:sz w:val="24"/>
          <w:szCs w:val="24"/>
        </w:rPr>
        <w:t>)</w:t>
      </w:r>
    </w:p>
    <w:p w14:paraId="5D30B7FD" w14:textId="77777777" w:rsidR="004D3DA0" w:rsidRPr="00560F0E" w:rsidRDefault="004472D7" w:rsidP="00474003">
      <w:pPr>
        <w:pStyle w:val="ListParagraph"/>
        <w:numPr>
          <w:ilvl w:val="0"/>
          <w:numId w:val="13"/>
        </w:numPr>
        <w:tabs>
          <w:tab w:val="left" w:pos="993"/>
        </w:tabs>
        <w:spacing w:before="240" w:line="240" w:lineRule="auto"/>
        <w:ind w:left="646" w:hanging="646"/>
        <w:rPr>
          <w:rFonts w:ascii="Times New Roman" w:hAnsi="Times New Roman" w:cs="Times New Roman"/>
          <w:sz w:val="24"/>
          <w:szCs w:val="24"/>
        </w:rPr>
      </w:pPr>
      <w:r>
        <w:rPr>
          <w:rFonts w:ascii="Times New Roman" w:hAnsi="Times New Roman" w:cs="Times New Roman"/>
          <w:sz w:val="24"/>
          <w:szCs w:val="24"/>
        </w:rPr>
        <w:t>Subsection 16</w:t>
      </w:r>
      <w:r w:rsidR="004D3DA0" w:rsidRPr="00560F0E">
        <w:rPr>
          <w:rFonts w:ascii="Times New Roman" w:hAnsi="Times New Roman" w:cs="Times New Roman"/>
          <w:sz w:val="24"/>
          <w:szCs w:val="24"/>
        </w:rPr>
        <w:t>(2) provide</w:t>
      </w:r>
      <w:r w:rsidR="007B298B">
        <w:rPr>
          <w:rFonts w:ascii="Times New Roman" w:hAnsi="Times New Roman" w:cs="Times New Roman"/>
          <w:sz w:val="24"/>
          <w:szCs w:val="24"/>
        </w:rPr>
        <w:t>s</w:t>
      </w:r>
      <w:r w:rsidR="004D3DA0" w:rsidRPr="00560F0E">
        <w:rPr>
          <w:rFonts w:ascii="Times New Roman" w:hAnsi="Times New Roman" w:cs="Times New Roman"/>
          <w:sz w:val="24"/>
          <w:szCs w:val="24"/>
        </w:rPr>
        <w:t xml:space="preserve"> that the notification of an authorisation must be signed by its maker if it is in written form or state a unique identifier of the </w:t>
      </w:r>
      <w:r w:rsidR="00943A11">
        <w:rPr>
          <w:rFonts w:ascii="Times New Roman" w:hAnsi="Times New Roman" w:cs="Times New Roman"/>
          <w:sz w:val="24"/>
          <w:szCs w:val="24"/>
        </w:rPr>
        <w:t>relevant agency</w:t>
      </w:r>
      <w:r w:rsidR="00943A11" w:rsidRPr="00560F0E">
        <w:rPr>
          <w:rFonts w:ascii="Times New Roman" w:hAnsi="Times New Roman" w:cs="Times New Roman"/>
          <w:sz w:val="24"/>
          <w:szCs w:val="24"/>
        </w:rPr>
        <w:t xml:space="preserve"> </w:t>
      </w:r>
      <w:r w:rsidR="004D3DA0" w:rsidRPr="00560F0E">
        <w:rPr>
          <w:rFonts w:ascii="Times New Roman" w:hAnsi="Times New Roman" w:cs="Times New Roman"/>
          <w:sz w:val="24"/>
          <w:szCs w:val="24"/>
        </w:rPr>
        <w:t xml:space="preserve">if it is in electronic form. </w:t>
      </w:r>
      <w:r w:rsidR="00BC0D6F" w:rsidRPr="001317EC">
        <w:rPr>
          <w:rFonts w:ascii="Times New Roman" w:hAnsi="Times New Roman" w:cs="Times New Roman"/>
          <w:sz w:val="24"/>
          <w:szCs w:val="24"/>
        </w:rPr>
        <w:t>This subsection is unchanged from the 2018 Determination</w:t>
      </w:r>
      <w:r w:rsidR="00BC0D6F">
        <w:rPr>
          <w:rFonts w:ascii="Times New Roman" w:hAnsi="Times New Roman" w:cs="Times New Roman"/>
          <w:sz w:val="24"/>
          <w:szCs w:val="24"/>
        </w:rPr>
        <w:t>.</w:t>
      </w:r>
    </w:p>
    <w:p w14:paraId="341778B2" w14:textId="77777777" w:rsidR="00943A11" w:rsidRDefault="00943A11" w:rsidP="00A927DF">
      <w:pPr>
        <w:pStyle w:val="Heading2"/>
        <w:tabs>
          <w:tab w:val="left" w:pos="993"/>
        </w:tabs>
        <w:spacing w:line="240" w:lineRule="auto"/>
      </w:pPr>
      <w:r>
        <w:t>Division 4 – Revocations of authorisations</w:t>
      </w:r>
    </w:p>
    <w:p w14:paraId="037E0A94" w14:textId="77777777" w:rsidR="004D3DA0" w:rsidRDefault="00943A11" w:rsidP="00A927DF">
      <w:pPr>
        <w:pStyle w:val="Heading2"/>
        <w:tabs>
          <w:tab w:val="left" w:pos="993"/>
        </w:tabs>
        <w:spacing w:line="240" w:lineRule="auto"/>
      </w:pPr>
      <w:r>
        <w:t>Section 17</w:t>
      </w:r>
      <w:r w:rsidR="004D3DA0" w:rsidRPr="00560F0E">
        <w:t xml:space="preserve"> – Revocation of an authorisation made by the Organisation </w:t>
      </w:r>
    </w:p>
    <w:p w14:paraId="15686EF0" w14:textId="77777777" w:rsidR="00943A11" w:rsidRPr="00A927DF" w:rsidRDefault="00943A11" w:rsidP="00A927DF">
      <w:pPr>
        <w:tabs>
          <w:tab w:val="left" w:pos="993"/>
        </w:tabs>
        <w:spacing w:before="240" w:after="0" w:line="240" w:lineRule="auto"/>
        <w:rPr>
          <w:rFonts w:ascii="Times New Roman" w:hAnsi="Times New Roman" w:cs="Times New Roman"/>
          <w:i/>
          <w:sz w:val="24"/>
          <w:szCs w:val="24"/>
        </w:rPr>
      </w:pPr>
      <w:r w:rsidRPr="00A927DF">
        <w:rPr>
          <w:rFonts w:ascii="Times New Roman" w:hAnsi="Times New Roman" w:cs="Times New Roman"/>
          <w:i/>
          <w:sz w:val="24"/>
          <w:szCs w:val="24"/>
        </w:rPr>
        <w:t>Subsection 17(1)</w:t>
      </w:r>
    </w:p>
    <w:p w14:paraId="6274B63E" w14:textId="2B2B442B" w:rsidR="004D3DA0" w:rsidRDefault="00943A11" w:rsidP="00474003">
      <w:pPr>
        <w:pStyle w:val="ListParagraph"/>
        <w:numPr>
          <w:ilvl w:val="0"/>
          <w:numId w:val="13"/>
        </w:numPr>
        <w:tabs>
          <w:tab w:val="left" w:pos="993"/>
        </w:tabs>
        <w:spacing w:before="240" w:line="240" w:lineRule="auto"/>
        <w:ind w:left="646" w:hanging="646"/>
        <w:rPr>
          <w:rFonts w:ascii="Times New Roman" w:hAnsi="Times New Roman" w:cs="Times New Roman"/>
          <w:sz w:val="24"/>
          <w:szCs w:val="24"/>
        </w:rPr>
      </w:pPr>
      <w:r>
        <w:rPr>
          <w:rFonts w:ascii="Times New Roman" w:hAnsi="Times New Roman" w:cs="Times New Roman"/>
          <w:sz w:val="24"/>
          <w:szCs w:val="24"/>
        </w:rPr>
        <w:t>Subsection 17</w:t>
      </w:r>
      <w:r w:rsidR="004D3DA0" w:rsidRPr="00560F0E">
        <w:rPr>
          <w:rFonts w:ascii="Times New Roman" w:hAnsi="Times New Roman" w:cs="Times New Roman"/>
          <w:sz w:val="24"/>
          <w:szCs w:val="24"/>
        </w:rPr>
        <w:t>(1) specifie</w:t>
      </w:r>
      <w:r w:rsidR="007B298B">
        <w:rPr>
          <w:rFonts w:ascii="Times New Roman" w:hAnsi="Times New Roman" w:cs="Times New Roman"/>
          <w:sz w:val="24"/>
          <w:szCs w:val="24"/>
        </w:rPr>
        <w:t>s</w:t>
      </w:r>
      <w:r w:rsidR="004D3DA0" w:rsidRPr="00560F0E">
        <w:rPr>
          <w:rFonts w:ascii="Times New Roman" w:hAnsi="Times New Roman" w:cs="Times New Roman"/>
          <w:sz w:val="24"/>
          <w:szCs w:val="24"/>
        </w:rPr>
        <w:t xml:space="preserve"> information that must be included in a revocation of an authorisation made by the Organisation under </w:t>
      </w:r>
      <w:r w:rsidR="00525426">
        <w:rPr>
          <w:rFonts w:ascii="Times New Roman" w:hAnsi="Times New Roman" w:cs="Times New Roman"/>
          <w:sz w:val="24"/>
          <w:szCs w:val="24"/>
        </w:rPr>
        <w:t>sub</w:t>
      </w:r>
      <w:r w:rsidR="004D3DA0" w:rsidRPr="00560F0E">
        <w:rPr>
          <w:rFonts w:ascii="Times New Roman" w:hAnsi="Times New Roman" w:cs="Times New Roman"/>
          <w:sz w:val="24"/>
          <w:szCs w:val="24"/>
        </w:rPr>
        <w:t xml:space="preserve">section 176(6) of the Act. </w:t>
      </w:r>
      <w:r w:rsidR="00BC0D6F" w:rsidRPr="001317EC">
        <w:rPr>
          <w:rFonts w:ascii="Times New Roman" w:hAnsi="Times New Roman" w:cs="Times New Roman"/>
          <w:sz w:val="24"/>
          <w:szCs w:val="24"/>
        </w:rPr>
        <w:t>This subsection is unchanged from the 2018 Determination, except that “person” is replaced with “person(s)” in</w:t>
      </w:r>
      <w:r w:rsidR="00525426">
        <w:rPr>
          <w:rFonts w:ascii="Times New Roman" w:hAnsi="Times New Roman" w:cs="Times New Roman"/>
          <w:sz w:val="24"/>
          <w:szCs w:val="24"/>
        </w:rPr>
        <w:t xml:space="preserve"> subparagraph</w:t>
      </w:r>
      <w:r w:rsidR="00BC0D6F" w:rsidRPr="001317EC">
        <w:rPr>
          <w:rFonts w:ascii="Times New Roman" w:hAnsi="Times New Roman" w:cs="Times New Roman"/>
          <w:sz w:val="24"/>
          <w:szCs w:val="24"/>
        </w:rPr>
        <w:t xml:space="preserve"> 1</w:t>
      </w:r>
      <w:r w:rsidR="00BC0D6F">
        <w:rPr>
          <w:rFonts w:ascii="Times New Roman" w:hAnsi="Times New Roman" w:cs="Times New Roman"/>
          <w:sz w:val="24"/>
          <w:szCs w:val="24"/>
        </w:rPr>
        <w:t>7</w:t>
      </w:r>
      <w:r w:rsidR="00BC0D6F" w:rsidRPr="001317EC">
        <w:rPr>
          <w:rFonts w:ascii="Times New Roman" w:hAnsi="Times New Roman" w:cs="Times New Roman"/>
          <w:sz w:val="24"/>
          <w:szCs w:val="24"/>
        </w:rPr>
        <w:t>(</w:t>
      </w:r>
      <w:r w:rsidR="00BC0D6F">
        <w:rPr>
          <w:rFonts w:ascii="Times New Roman" w:hAnsi="Times New Roman" w:cs="Times New Roman"/>
          <w:sz w:val="24"/>
          <w:szCs w:val="24"/>
        </w:rPr>
        <w:t>1</w:t>
      </w:r>
      <w:r w:rsidR="00BC0D6F" w:rsidRPr="001317EC">
        <w:rPr>
          <w:rFonts w:ascii="Times New Roman" w:hAnsi="Times New Roman" w:cs="Times New Roman"/>
          <w:sz w:val="24"/>
          <w:szCs w:val="24"/>
        </w:rPr>
        <w:t>)(</w:t>
      </w:r>
      <w:r w:rsidR="00BC0D6F">
        <w:rPr>
          <w:rFonts w:ascii="Times New Roman" w:hAnsi="Times New Roman" w:cs="Times New Roman"/>
          <w:sz w:val="24"/>
          <w:szCs w:val="24"/>
        </w:rPr>
        <w:t>d)(iii)</w:t>
      </w:r>
      <w:r w:rsidR="004F7F0C">
        <w:rPr>
          <w:rFonts w:ascii="Times New Roman" w:hAnsi="Times New Roman" w:cs="Times New Roman"/>
          <w:sz w:val="24"/>
          <w:szCs w:val="24"/>
        </w:rPr>
        <w:t>.</w:t>
      </w:r>
    </w:p>
    <w:p w14:paraId="3280462F" w14:textId="77777777" w:rsidR="00943A11" w:rsidRPr="00A927DF" w:rsidRDefault="00943A11" w:rsidP="00A927DF">
      <w:pPr>
        <w:tabs>
          <w:tab w:val="left" w:pos="993"/>
        </w:tabs>
        <w:spacing w:before="240" w:after="0" w:line="240" w:lineRule="auto"/>
        <w:rPr>
          <w:rFonts w:ascii="Times New Roman" w:hAnsi="Times New Roman" w:cs="Times New Roman"/>
          <w:sz w:val="24"/>
          <w:szCs w:val="24"/>
        </w:rPr>
      </w:pPr>
      <w:r w:rsidRPr="005B3C14">
        <w:rPr>
          <w:rFonts w:ascii="Times New Roman" w:hAnsi="Times New Roman" w:cs="Times New Roman"/>
          <w:i/>
          <w:sz w:val="24"/>
          <w:szCs w:val="24"/>
        </w:rPr>
        <w:t>Subsection 17(2</w:t>
      </w:r>
      <w:r w:rsidRPr="00A927DF">
        <w:rPr>
          <w:rFonts w:ascii="Times New Roman" w:hAnsi="Times New Roman" w:cs="Times New Roman"/>
          <w:i/>
          <w:sz w:val="24"/>
          <w:szCs w:val="24"/>
        </w:rPr>
        <w:t>)</w:t>
      </w:r>
    </w:p>
    <w:p w14:paraId="7E1154DC" w14:textId="77777777" w:rsidR="004D3DA0" w:rsidRPr="00560F0E" w:rsidRDefault="00943A11" w:rsidP="00474003">
      <w:pPr>
        <w:pStyle w:val="ListParagraph"/>
        <w:numPr>
          <w:ilvl w:val="0"/>
          <w:numId w:val="13"/>
        </w:numPr>
        <w:tabs>
          <w:tab w:val="left" w:pos="993"/>
        </w:tabs>
        <w:spacing w:before="240" w:line="240" w:lineRule="auto"/>
        <w:ind w:left="646" w:hanging="646"/>
        <w:rPr>
          <w:rFonts w:ascii="Times New Roman" w:hAnsi="Times New Roman" w:cs="Times New Roman"/>
          <w:sz w:val="24"/>
          <w:szCs w:val="24"/>
        </w:rPr>
      </w:pPr>
      <w:r>
        <w:rPr>
          <w:rFonts w:ascii="Times New Roman" w:hAnsi="Times New Roman" w:cs="Times New Roman"/>
          <w:sz w:val="24"/>
          <w:szCs w:val="24"/>
        </w:rPr>
        <w:t>Subsection 17</w:t>
      </w:r>
      <w:r w:rsidR="004D3DA0" w:rsidRPr="00560F0E">
        <w:rPr>
          <w:rFonts w:ascii="Times New Roman" w:hAnsi="Times New Roman" w:cs="Times New Roman"/>
          <w:sz w:val="24"/>
          <w:szCs w:val="24"/>
        </w:rPr>
        <w:t xml:space="preserve">(2) provides that a revocation, whether in written or electronic form, must be signed by its maker. </w:t>
      </w:r>
      <w:r w:rsidR="00BC0D6F" w:rsidRPr="001317EC">
        <w:rPr>
          <w:rFonts w:ascii="Times New Roman" w:hAnsi="Times New Roman" w:cs="Times New Roman"/>
          <w:sz w:val="24"/>
          <w:szCs w:val="24"/>
        </w:rPr>
        <w:t>This subsection is unchanged from the 2018 Determination</w:t>
      </w:r>
      <w:r w:rsidR="00BC0D6F">
        <w:rPr>
          <w:rFonts w:ascii="Times New Roman" w:hAnsi="Times New Roman" w:cs="Times New Roman"/>
          <w:sz w:val="24"/>
          <w:szCs w:val="24"/>
        </w:rPr>
        <w:t>.</w:t>
      </w:r>
    </w:p>
    <w:p w14:paraId="79F16950" w14:textId="77777777" w:rsidR="004D3DA0" w:rsidRDefault="00943A11" w:rsidP="00A927DF">
      <w:pPr>
        <w:tabs>
          <w:tab w:val="left" w:pos="993"/>
        </w:tabs>
        <w:spacing w:before="240" w:after="0" w:line="240" w:lineRule="auto"/>
      </w:pPr>
      <w:r>
        <w:rPr>
          <w:rFonts w:ascii="Times New Roman" w:hAnsi="Times New Roman" w:cs="Times New Roman"/>
          <w:sz w:val="24"/>
          <w:szCs w:val="24"/>
          <w:u w:val="single"/>
        </w:rPr>
        <w:t>Section 18</w:t>
      </w:r>
      <w:r w:rsidR="004D3DA0" w:rsidRPr="00A927DF">
        <w:rPr>
          <w:rFonts w:ascii="Times New Roman" w:hAnsi="Times New Roman" w:cs="Times New Roman"/>
          <w:sz w:val="24"/>
          <w:szCs w:val="24"/>
          <w:u w:val="single"/>
        </w:rPr>
        <w:t xml:space="preserve"> – Revocation of an authorisation made by a criminal law-enforcement agency </w:t>
      </w:r>
    </w:p>
    <w:p w14:paraId="3D6229C2" w14:textId="77777777" w:rsidR="00943A11" w:rsidRPr="00A85836" w:rsidRDefault="00943A11" w:rsidP="00943A11">
      <w:pPr>
        <w:tabs>
          <w:tab w:val="left" w:pos="993"/>
        </w:tabs>
        <w:spacing w:before="240" w:after="0" w:line="240" w:lineRule="auto"/>
        <w:rPr>
          <w:rFonts w:ascii="Times New Roman" w:hAnsi="Times New Roman" w:cs="Times New Roman"/>
          <w:sz w:val="24"/>
          <w:szCs w:val="24"/>
        </w:rPr>
      </w:pPr>
      <w:r>
        <w:rPr>
          <w:rFonts w:ascii="Times New Roman" w:hAnsi="Times New Roman" w:cs="Times New Roman"/>
          <w:i/>
          <w:sz w:val="24"/>
          <w:szCs w:val="24"/>
        </w:rPr>
        <w:t>Subsection 18(1</w:t>
      </w:r>
      <w:r w:rsidRPr="00A85836">
        <w:rPr>
          <w:rFonts w:ascii="Times New Roman" w:hAnsi="Times New Roman" w:cs="Times New Roman"/>
          <w:i/>
          <w:sz w:val="24"/>
          <w:szCs w:val="24"/>
        </w:rPr>
        <w:t>)</w:t>
      </w:r>
    </w:p>
    <w:p w14:paraId="79E8CF84" w14:textId="445BE280" w:rsidR="004D3DA0" w:rsidRDefault="004D3DA0" w:rsidP="00474003">
      <w:pPr>
        <w:pStyle w:val="ListParagraph"/>
        <w:numPr>
          <w:ilvl w:val="0"/>
          <w:numId w:val="13"/>
        </w:numPr>
        <w:tabs>
          <w:tab w:val="left" w:pos="993"/>
        </w:tabs>
        <w:spacing w:before="240" w:line="240" w:lineRule="auto"/>
        <w:ind w:left="646" w:hanging="646"/>
        <w:rPr>
          <w:rFonts w:ascii="Times New Roman" w:hAnsi="Times New Roman" w:cs="Times New Roman"/>
          <w:sz w:val="24"/>
          <w:szCs w:val="24"/>
        </w:rPr>
      </w:pPr>
      <w:r w:rsidRPr="005B3C14">
        <w:rPr>
          <w:rFonts w:ascii="Times New Roman" w:hAnsi="Times New Roman" w:cs="Times New Roman"/>
          <w:sz w:val="24"/>
          <w:szCs w:val="24"/>
        </w:rPr>
        <w:t>Sub</w:t>
      </w:r>
      <w:r w:rsidR="00943A11">
        <w:rPr>
          <w:rFonts w:ascii="Times New Roman" w:hAnsi="Times New Roman" w:cs="Times New Roman"/>
          <w:sz w:val="24"/>
          <w:szCs w:val="24"/>
        </w:rPr>
        <w:t>section</w:t>
      </w:r>
      <w:r w:rsidRPr="00F00965">
        <w:rPr>
          <w:rFonts w:ascii="Times New Roman" w:hAnsi="Times New Roman" w:cs="Times New Roman"/>
          <w:sz w:val="24"/>
          <w:szCs w:val="24"/>
        </w:rPr>
        <w:t xml:space="preserve"> </w:t>
      </w:r>
      <w:r w:rsidR="00943A11">
        <w:rPr>
          <w:rFonts w:ascii="Times New Roman" w:hAnsi="Times New Roman" w:cs="Times New Roman"/>
          <w:sz w:val="24"/>
          <w:szCs w:val="24"/>
        </w:rPr>
        <w:t>18</w:t>
      </w:r>
      <w:r w:rsidRPr="00F00965">
        <w:rPr>
          <w:rFonts w:ascii="Times New Roman" w:hAnsi="Times New Roman" w:cs="Times New Roman"/>
          <w:sz w:val="24"/>
          <w:szCs w:val="24"/>
        </w:rPr>
        <w:t>(1) specifie</w:t>
      </w:r>
      <w:r w:rsidR="007B298B">
        <w:rPr>
          <w:rFonts w:ascii="Times New Roman" w:hAnsi="Times New Roman" w:cs="Times New Roman"/>
          <w:sz w:val="24"/>
          <w:szCs w:val="24"/>
        </w:rPr>
        <w:t>s</w:t>
      </w:r>
      <w:r w:rsidRPr="00F00965">
        <w:rPr>
          <w:rFonts w:ascii="Times New Roman" w:hAnsi="Times New Roman" w:cs="Times New Roman"/>
          <w:sz w:val="24"/>
          <w:szCs w:val="24"/>
        </w:rPr>
        <w:t xml:space="preserve"> information that must be included in a revocation of an authorisation made by a criminal law-enforcement agency under </w:t>
      </w:r>
      <w:r w:rsidR="00525426">
        <w:rPr>
          <w:rFonts w:ascii="Times New Roman" w:hAnsi="Times New Roman" w:cs="Times New Roman"/>
          <w:sz w:val="24"/>
          <w:szCs w:val="24"/>
        </w:rPr>
        <w:t>sub</w:t>
      </w:r>
      <w:r w:rsidRPr="00F00965">
        <w:rPr>
          <w:rFonts w:ascii="Times New Roman" w:hAnsi="Times New Roman" w:cs="Times New Roman"/>
          <w:sz w:val="24"/>
          <w:szCs w:val="24"/>
        </w:rPr>
        <w:t xml:space="preserve">section 180(7) of the Act. </w:t>
      </w:r>
      <w:r w:rsidR="00BC0D6F" w:rsidRPr="001317EC">
        <w:rPr>
          <w:rFonts w:ascii="Times New Roman" w:hAnsi="Times New Roman" w:cs="Times New Roman"/>
          <w:sz w:val="24"/>
          <w:szCs w:val="24"/>
        </w:rPr>
        <w:t xml:space="preserve">This subsection is unchanged from the 2018 Determination, except that “person” is replaced with “person(s)” in </w:t>
      </w:r>
      <w:r w:rsidR="00525426">
        <w:rPr>
          <w:rFonts w:ascii="Times New Roman" w:hAnsi="Times New Roman" w:cs="Times New Roman"/>
          <w:sz w:val="24"/>
          <w:szCs w:val="24"/>
        </w:rPr>
        <w:t xml:space="preserve">subparagraph </w:t>
      </w:r>
      <w:r w:rsidR="00BC0D6F" w:rsidRPr="001317EC">
        <w:rPr>
          <w:rFonts w:ascii="Times New Roman" w:hAnsi="Times New Roman" w:cs="Times New Roman"/>
          <w:sz w:val="24"/>
          <w:szCs w:val="24"/>
        </w:rPr>
        <w:t>1</w:t>
      </w:r>
      <w:r w:rsidR="00BC0D6F">
        <w:rPr>
          <w:rFonts w:ascii="Times New Roman" w:hAnsi="Times New Roman" w:cs="Times New Roman"/>
          <w:sz w:val="24"/>
          <w:szCs w:val="24"/>
        </w:rPr>
        <w:t>8</w:t>
      </w:r>
      <w:r w:rsidR="00BC0D6F" w:rsidRPr="001317EC">
        <w:rPr>
          <w:rFonts w:ascii="Times New Roman" w:hAnsi="Times New Roman" w:cs="Times New Roman"/>
          <w:sz w:val="24"/>
          <w:szCs w:val="24"/>
        </w:rPr>
        <w:t>(</w:t>
      </w:r>
      <w:r w:rsidR="00BC0D6F">
        <w:rPr>
          <w:rFonts w:ascii="Times New Roman" w:hAnsi="Times New Roman" w:cs="Times New Roman"/>
          <w:sz w:val="24"/>
          <w:szCs w:val="24"/>
        </w:rPr>
        <w:t>1</w:t>
      </w:r>
      <w:r w:rsidR="00BC0D6F" w:rsidRPr="001317EC">
        <w:rPr>
          <w:rFonts w:ascii="Times New Roman" w:hAnsi="Times New Roman" w:cs="Times New Roman"/>
          <w:sz w:val="24"/>
          <w:szCs w:val="24"/>
        </w:rPr>
        <w:t>)(</w:t>
      </w:r>
      <w:r w:rsidR="00BC0D6F">
        <w:rPr>
          <w:rFonts w:ascii="Times New Roman" w:hAnsi="Times New Roman" w:cs="Times New Roman"/>
          <w:sz w:val="24"/>
          <w:szCs w:val="24"/>
        </w:rPr>
        <w:t>f)(iii)</w:t>
      </w:r>
      <w:r>
        <w:rPr>
          <w:rFonts w:ascii="Times New Roman" w:hAnsi="Times New Roman" w:cs="Times New Roman"/>
          <w:sz w:val="24"/>
          <w:szCs w:val="24"/>
        </w:rPr>
        <w:t>.</w:t>
      </w:r>
    </w:p>
    <w:p w14:paraId="736DE533" w14:textId="77777777" w:rsidR="004D3DA0" w:rsidRPr="00560F0E" w:rsidRDefault="004D3DA0" w:rsidP="00752277">
      <w:pPr>
        <w:pStyle w:val="ListParagraph"/>
        <w:tabs>
          <w:tab w:val="left" w:pos="993"/>
        </w:tabs>
        <w:spacing w:after="0" w:line="240" w:lineRule="auto"/>
        <w:ind w:left="646"/>
        <w:rPr>
          <w:rFonts w:ascii="Times New Roman" w:hAnsi="Times New Roman" w:cs="Times New Roman"/>
          <w:sz w:val="24"/>
          <w:szCs w:val="24"/>
        </w:rPr>
      </w:pPr>
    </w:p>
    <w:p w14:paraId="59FEC53F" w14:textId="77777777" w:rsidR="004D3DA0" w:rsidRPr="00A927DF" w:rsidRDefault="00EB75F9" w:rsidP="00A927DF">
      <w:pPr>
        <w:rPr>
          <w:i/>
        </w:rPr>
      </w:pPr>
      <w:r w:rsidRPr="00A927DF">
        <w:rPr>
          <w:rFonts w:ascii="Times New Roman" w:hAnsi="Times New Roman" w:cs="Times New Roman"/>
          <w:i/>
          <w:sz w:val="24"/>
          <w:szCs w:val="24"/>
        </w:rPr>
        <w:t>Subsection 18(2)</w:t>
      </w:r>
    </w:p>
    <w:p w14:paraId="1DE1D522" w14:textId="77777777" w:rsidR="004D3DA0" w:rsidRDefault="00EB75F9" w:rsidP="00474003">
      <w:pPr>
        <w:pStyle w:val="ListParagraph"/>
        <w:numPr>
          <w:ilvl w:val="0"/>
          <w:numId w:val="13"/>
        </w:numPr>
        <w:tabs>
          <w:tab w:val="left" w:pos="993"/>
        </w:tabs>
        <w:spacing w:before="240" w:line="240" w:lineRule="auto"/>
        <w:ind w:left="646" w:hanging="646"/>
        <w:rPr>
          <w:rFonts w:ascii="Times New Roman" w:hAnsi="Times New Roman" w:cs="Times New Roman"/>
          <w:sz w:val="24"/>
          <w:szCs w:val="24"/>
        </w:rPr>
      </w:pPr>
      <w:r>
        <w:rPr>
          <w:rFonts w:ascii="Times New Roman" w:hAnsi="Times New Roman" w:cs="Times New Roman"/>
          <w:sz w:val="24"/>
          <w:szCs w:val="24"/>
        </w:rPr>
        <w:t>Subsection 18</w:t>
      </w:r>
      <w:r w:rsidR="004D3DA0" w:rsidRPr="00560F0E">
        <w:rPr>
          <w:rFonts w:ascii="Times New Roman" w:hAnsi="Times New Roman" w:cs="Times New Roman"/>
          <w:sz w:val="24"/>
          <w:szCs w:val="24"/>
        </w:rPr>
        <w:t xml:space="preserve">(2) provides that a revocation, whether in written or electronic form, must be signed by its maker. </w:t>
      </w:r>
      <w:r w:rsidR="00BC0D6F" w:rsidRPr="001317EC">
        <w:rPr>
          <w:rFonts w:ascii="Times New Roman" w:hAnsi="Times New Roman" w:cs="Times New Roman"/>
          <w:sz w:val="24"/>
          <w:szCs w:val="24"/>
        </w:rPr>
        <w:t>This subsection is unchanged from the 2018 Determination</w:t>
      </w:r>
      <w:r w:rsidR="00881984">
        <w:rPr>
          <w:rFonts w:ascii="Times New Roman" w:hAnsi="Times New Roman" w:cs="Times New Roman"/>
          <w:sz w:val="24"/>
          <w:szCs w:val="24"/>
        </w:rPr>
        <w:t>.</w:t>
      </w:r>
    </w:p>
    <w:p w14:paraId="7BBA4B9F" w14:textId="77777777" w:rsidR="004D3DA0" w:rsidRDefault="00EB75F9" w:rsidP="005B742A">
      <w:pPr>
        <w:pStyle w:val="Heading2"/>
        <w:tabs>
          <w:tab w:val="left" w:pos="284"/>
        </w:tabs>
        <w:spacing w:line="240" w:lineRule="auto"/>
      </w:pPr>
      <w:r>
        <w:t>Section 19</w:t>
      </w:r>
      <w:r w:rsidR="004D3DA0" w:rsidRPr="00560F0E">
        <w:t xml:space="preserve"> - Revocation of an authorisation made by the Aus</w:t>
      </w:r>
      <w:r w:rsidR="0070675A">
        <w:t>tralian Federal Police – enforcing international laws</w:t>
      </w:r>
    </w:p>
    <w:p w14:paraId="34F3FD89" w14:textId="77777777" w:rsidR="00752277" w:rsidRDefault="00752277" w:rsidP="005B742A">
      <w:pPr>
        <w:pStyle w:val="ListParagraph"/>
        <w:keepNext/>
        <w:keepLines/>
        <w:tabs>
          <w:tab w:val="left" w:pos="993"/>
        </w:tabs>
        <w:spacing w:after="0" w:line="240" w:lineRule="auto"/>
        <w:ind w:left="646"/>
        <w:rPr>
          <w:rFonts w:ascii="Times New Roman" w:hAnsi="Times New Roman" w:cs="Times New Roman"/>
          <w:sz w:val="24"/>
          <w:szCs w:val="24"/>
        </w:rPr>
      </w:pPr>
    </w:p>
    <w:p w14:paraId="0F524478" w14:textId="77777777" w:rsidR="00EB75F9" w:rsidRPr="00A927DF" w:rsidRDefault="00EB75F9" w:rsidP="005B742A">
      <w:pPr>
        <w:keepNext/>
        <w:keepLines/>
        <w:tabs>
          <w:tab w:val="left" w:pos="993"/>
        </w:tabs>
        <w:spacing w:after="0" w:line="240" w:lineRule="auto"/>
        <w:rPr>
          <w:rFonts w:ascii="Times New Roman" w:hAnsi="Times New Roman" w:cs="Times New Roman"/>
          <w:i/>
          <w:sz w:val="24"/>
          <w:szCs w:val="24"/>
        </w:rPr>
      </w:pPr>
      <w:r w:rsidRPr="00A927DF">
        <w:rPr>
          <w:rFonts w:ascii="Times New Roman" w:hAnsi="Times New Roman" w:cs="Times New Roman"/>
          <w:i/>
          <w:sz w:val="24"/>
          <w:szCs w:val="24"/>
        </w:rPr>
        <w:t>Subsection 19(1)</w:t>
      </w:r>
    </w:p>
    <w:p w14:paraId="62195EF2" w14:textId="2BDDF1CF" w:rsidR="004D3DA0" w:rsidRDefault="00EB75F9" w:rsidP="00474003">
      <w:pPr>
        <w:pStyle w:val="ListParagraph"/>
        <w:numPr>
          <w:ilvl w:val="0"/>
          <w:numId w:val="13"/>
        </w:numPr>
        <w:tabs>
          <w:tab w:val="left" w:pos="993"/>
        </w:tabs>
        <w:spacing w:before="240" w:line="240" w:lineRule="auto"/>
        <w:ind w:left="646" w:hanging="646"/>
        <w:rPr>
          <w:rFonts w:ascii="Times New Roman" w:hAnsi="Times New Roman" w:cs="Times New Roman"/>
          <w:sz w:val="24"/>
          <w:szCs w:val="24"/>
        </w:rPr>
      </w:pPr>
      <w:r>
        <w:rPr>
          <w:rFonts w:ascii="Times New Roman" w:hAnsi="Times New Roman" w:cs="Times New Roman"/>
          <w:sz w:val="24"/>
          <w:szCs w:val="24"/>
        </w:rPr>
        <w:t>Subsection 19</w:t>
      </w:r>
      <w:r w:rsidR="004D3DA0" w:rsidRPr="00560F0E">
        <w:rPr>
          <w:rFonts w:ascii="Times New Roman" w:hAnsi="Times New Roman" w:cs="Times New Roman"/>
          <w:sz w:val="24"/>
          <w:szCs w:val="24"/>
        </w:rPr>
        <w:t>(1) specifie</w:t>
      </w:r>
      <w:r w:rsidR="007B298B">
        <w:rPr>
          <w:rFonts w:ascii="Times New Roman" w:hAnsi="Times New Roman" w:cs="Times New Roman"/>
          <w:sz w:val="24"/>
          <w:szCs w:val="24"/>
        </w:rPr>
        <w:t>s</w:t>
      </w:r>
      <w:r w:rsidR="004D3DA0" w:rsidRPr="00560F0E">
        <w:rPr>
          <w:rFonts w:ascii="Times New Roman" w:hAnsi="Times New Roman" w:cs="Times New Roman"/>
          <w:sz w:val="24"/>
          <w:szCs w:val="24"/>
        </w:rPr>
        <w:t xml:space="preserve"> information that must be included in a revocation of an authorisation made by the </w:t>
      </w:r>
      <w:r w:rsidR="00525426">
        <w:rPr>
          <w:rFonts w:ascii="Times New Roman" w:hAnsi="Times New Roman" w:cs="Times New Roman"/>
          <w:sz w:val="24"/>
          <w:szCs w:val="24"/>
        </w:rPr>
        <w:t>Australian Federal Police</w:t>
      </w:r>
      <w:r w:rsidR="00525426" w:rsidRPr="00560F0E">
        <w:rPr>
          <w:rFonts w:ascii="Times New Roman" w:hAnsi="Times New Roman" w:cs="Times New Roman"/>
          <w:sz w:val="24"/>
          <w:szCs w:val="24"/>
        </w:rPr>
        <w:t xml:space="preserve"> </w:t>
      </w:r>
      <w:r w:rsidR="004D3DA0" w:rsidRPr="00560F0E">
        <w:rPr>
          <w:rFonts w:ascii="Times New Roman" w:hAnsi="Times New Roman" w:cs="Times New Roman"/>
          <w:sz w:val="24"/>
          <w:szCs w:val="24"/>
        </w:rPr>
        <w:t xml:space="preserve">in relation to the enforcement of </w:t>
      </w:r>
      <w:r w:rsidR="004D3DA0">
        <w:rPr>
          <w:rFonts w:ascii="Times New Roman" w:hAnsi="Times New Roman" w:cs="Times New Roman"/>
          <w:sz w:val="24"/>
          <w:szCs w:val="24"/>
        </w:rPr>
        <w:t xml:space="preserve">a foreign or international </w:t>
      </w:r>
      <w:r w:rsidR="004D3DA0" w:rsidRPr="00560F0E">
        <w:rPr>
          <w:rFonts w:ascii="Times New Roman" w:hAnsi="Times New Roman" w:cs="Times New Roman"/>
          <w:sz w:val="24"/>
          <w:szCs w:val="24"/>
        </w:rPr>
        <w:t>law</w:t>
      </w:r>
      <w:r w:rsidR="004D3DA0">
        <w:rPr>
          <w:rFonts w:ascii="Times New Roman" w:hAnsi="Times New Roman" w:cs="Times New Roman"/>
          <w:sz w:val="24"/>
          <w:szCs w:val="24"/>
        </w:rPr>
        <w:t xml:space="preserve"> und</w:t>
      </w:r>
      <w:r w:rsidR="004D3DA0" w:rsidRPr="00560F0E">
        <w:rPr>
          <w:rFonts w:ascii="Times New Roman" w:hAnsi="Times New Roman" w:cs="Times New Roman"/>
          <w:sz w:val="24"/>
          <w:szCs w:val="24"/>
        </w:rPr>
        <w:t xml:space="preserve">er </w:t>
      </w:r>
      <w:r w:rsidR="00525426">
        <w:rPr>
          <w:rFonts w:ascii="Times New Roman" w:hAnsi="Times New Roman" w:cs="Times New Roman"/>
          <w:sz w:val="24"/>
          <w:szCs w:val="24"/>
        </w:rPr>
        <w:t>sub</w:t>
      </w:r>
      <w:r w:rsidR="004D3DA0" w:rsidRPr="00560F0E">
        <w:rPr>
          <w:rFonts w:ascii="Times New Roman" w:hAnsi="Times New Roman" w:cs="Times New Roman"/>
          <w:sz w:val="24"/>
          <w:szCs w:val="24"/>
        </w:rPr>
        <w:t>section 180B(4) of the</w:t>
      </w:r>
      <w:r w:rsidR="004D3DA0">
        <w:rPr>
          <w:rFonts w:ascii="Times New Roman" w:hAnsi="Times New Roman" w:cs="Times New Roman"/>
          <w:sz w:val="24"/>
          <w:szCs w:val="24"/>
        </w:rPr>
        <w:t xml:space="preserve"> TIA</w:t>
      </w:r>
      <w:r w:rsidR="004D3DA0" w:rsidRPr="00560F0E">
        <w:rPr>
          <w:rFonts w:ascii="Times New Roman" w:hAnsi="Times New Roman" w:cs="Times New Roman"/>
          <w:sz w:val="24"/>
          <w:szCs w:val="24"/>
        </w:rPr>
        <w:t xml:space="preserve"> Act. </w:t>
      </w:r>
      <w:r w:rsidR="00D36172" w:rsidRPr="001317EC">
        <w:rPr>
          <w:rFonts w:ascii="Times New Roman" w:hAnsi="Times New Roman" w:cs="Times New Roman"/>
          <w:sz w:val="24"/>
          <w:szCs w:val="24"/>
        </w:rPr>
        <w:t xml:space="preserve">This subsection is unchanged from the 2018 Determination, except that “person” is replaced with “person(s)” in </w:t>
      </w:r>
      <w:r w:rsidR="00525426">
        <w:rPr>
          <w:rFonts w:ascii="Times New Roman" w:hAnsi="Times New Roman" w:cs="Times New Roman"/>
          <w:sz w:val="24"/>
          <w:szCs w:val="24"/>
        </w:rPr>
        <w:t xml:space="preserve">subparagraph </w:t>
      </w:r>
      <w:r w:rsidR="00D36172" w:rsidRPr="001317EC">
        <w:rPr>
          <w:rFonts w:ascii="Times New Roman" w:hAnsi="Times New Roman" w:cs="Times New Roman"/>
          <w:sz w:val="24"/>
          <w:szCs w:val="24"/>
        </w:rPr>
        <w:t>1</w:t>
      </w:r>
      <w:r w:rsidR="00794491">
        <w:rPr>
          <w:rFonts w:ascii="Times New Roman" w:hAnsi="Times New Roman" w:cs="Times New Roman"/>
          <w:sz w:val="24"/>
          <w:szCs w:val="24"/>
        </w:rPr>
        <w:t>9</w:t>
      </w:r>
      <w:r w:rsidR="00D36172" w:rsidRPr="001317EC">
        <w:rPr>
          <w:rFonts w:ascii="Times New Roman" w:hAnsi="Times New Roman" w:cs="Times New Roman"/>
          <w:sz w:val="24"/>
          <w:szCs w:val="24"/>
        </w:rPr>
        <w:t>(</w:t>
      </w:r>
      <w:r w:rsidR="00D36172">
        <w:rPr>
          <w:rFonts w:ascii="Times New Roman" w:hAnsi="Times New Roman" w:cs="Times New Roman"/>
          <w:sz w:val="24"/>
          <w:szCs w:val="24"/>
        </w:rPr>
        <w:t>1</w:t>
      </w:r>
      <w:r w:rsidR="00D36172" w:rsidRPr="001317EC">
        <w:rPr>
          <w:rFonts w:ascii="Times New Roman" w:hAnsi="Times New Roman" w:cs="Times New Roman"/>
          <w:sz w:val="24"/>
          <w:szCs w:val="24"/>
        </w:rPr>
        <w:t>)(</w:t>
      </w:r>
      <w:r w:rsidR="00794491">
        <w:rPr>
          <w:rFonts w:ascii="Times New Roman" w:hAnsi="Times New Roman" w:cs="Times New Roman"/>
          <w:sz w:val="24"/>
          <w:szCs w:val="24"/>
        </w:rPr>
        <w:t>d</w:t>
      </w:r>
      <w:r w:rsidR="00D36172">
        <w:rPr>
          <w:rFonts w:ascii="Times New Roman" w:hAnsi="Times New Roman" w:cs="Times New Roman"/>
          <w:sz w:val="24"/>
          <w:szCs w:val="24"/>
        </w:rPr>
        <w:t>)(iii)</w:t>
      </w:r>
      <w:r w:rsidR="00834CA4">
        <w:rPr>
          <w:rFonts w:ascii="Times New Roman" w:hAnsi="Times New Roman" w:cs="Times New Roman"/>
          <w:sz w:val="24"/>
          <w:szCs w:val="24"/>
        </w:rPr>
        <w:t>.</w:t>
      </w:r>
    </w:p>
    <w:p w14:paraId="025C6254" w14:textId="77777777" w:rsidR="00EB75F9" w:rsidRPr="00A927DF" w:rsidRDefault="00EB75F9" w:rsidP="00A927DF">
      <w:pPr>
        <w:tabs>
          <w:tab w:val="left" w:pos="993"/>
        </w:tabs>
        <w:spacing w:before="240" w:after="0" w:line="240" w:lineRule="auto"/>
        <w:rPr>
          <w:rFonts w:ascii="Times New Roman" w:hAnsi="Times New Roman" w:cs="Times New Roman"/>
          <w:i/>
          <w:sz w:val="24"/>
          <w:szCs w:val="24"/>
        </w:rPr>
      </w:pPr>
      <w:r w:rsidRPr="00A927DF">
        <w:rPr>
          <w:rFonts w:ascii="Times New Roman" w:hAnsi="Times New Roman" w:cs="Times New Roman"/>
          <w:i/>
          <w:sz w:val="24"/>
          <w:szCs w:val="24"/>
        </w:rPr>
        <w:t>Subsection 19(2)</w:t>
      </w:r>
    </w:p>
    <w:p w14:paraId="2D34E006" w14:textId="77777777" w:rsidR="004D3DA0" w:rsidRDefault="00EB75F9" w:rsidP="00474003">
      <w:pPr>
        <w:pStyle w:val="ListParagraph"/>
        <w:numPr>
          <w:ilvl w:val="0"/>
          <w:numId w:val="13"/>
        </w:numPr>
        <w:tabs>
          <w:tab w:val="left" w:pos="993"/>
        </w:tabs>
        <w:spacing w:before="240" w:line="240" w:lineRule="auto"/>
        <w:ind w:left="646" w:hanging="646"/>
        <w:rPr>
          <w:rFonts w:ascii="Times New Roman" w:hAnsi="Times New Roman" w:cs="Times New Roman"/>
          <w:sz w:val="24"/>
          <w:szCs w:val="24"/>
        </w:rPr>
      </w:pPr>
      <w:r>
        <w:rPr>
          <w:rFonts w:ascii="Times New Roman" w:hAnsi="Times New Roman" w:cs="Times New Roman"/>
          <w:sz w:val="24"/>
          <w:szCs w:val="24"/>
        </w:rPr>
        <w:t>Subsection 19</w:t>
      </w:r>
      <w:r w:rsidR="004D3DA0" w:rsidRPr="00560F0E">
        <w:rPr>
          <w:rFonts w:ascii="Times New Roman" w:hAnsi="Times New Roman" w:cs="Times New Roman"/>
          <w:sz w:val="24"/>
          <w:szCs w:val="24"/>
        </w:rPr>
        <w:t xml:space="preserve">(2) provides that a revocation, whether in written or electronic form, must be signed by its maker. </w:t>
      </w:r>
      <w:r w:rsidR="00794491" w:rsidRPr="001317EC">
        <w:rPr>
          <w:rFonts w:ascii="Times New Roman" w:hAnsi="Times New Roman" w:cs="Times New Roman"/>
          <w:sz w:val="24"/>
          <w:szCs w:val="24"/>
        </w:rPr>
        <w:t>This subsection is unchanged from the 2018 Determination</w:t>
      </w:r>
      <w:r w:rsidR="00207163">
        <w:rPr>
          <w:rFonts w:ascii="Times New Roman" w:hAnsi="Times New Roman" w:cs="Times New Roman"/>
          <w:sz w:val="24"/>
          <w:szCs w:val="24"/>
        </w:rPr>
        <w:t>.</w:t>
      </w:r>
    </w:p>
    <w:p w14:paraId="6082FFCD" w14:textId="77777777" w:rsidR="004D3DA0" w:rsidRPr="00560F0E" w:rsidRDefault="00EB75F9" w:rsidP="00A927DF">
      <w:pPr>
        <w:pStyle w:val="Heading2"/>
        <w:tabs>
          <w:tab w:val="left" w:pos="993"/>
        </w:tabs>
        <w:spacing w:line="240" w:lineRule="auto"/>
      </w:pPr>
      <w:r>
        <w:t>Division</w:t>
      </w:r>
      <w:r w:rsidR="004D3DA0" w:rsidRPr="00560F0E">
        <w:t xml:space="preserve"> 5 – Notification of revocations </w:t>
      </w:r>
    </w:p>
    <w:p w14:paraId="1C9C401B" w14:textId="77777777" w:rsidR="00EB75F9" w:rsidRDefault="00EB75F9" w:rsidP="00A927DF">
      <w:pPr>
        <w:pStyle w:val="Heading2"/>
        <w:tabs>
          <w:tab w:val="left" w:pos="993"/>
        </w:tabs>
        <w:spacing w:line="240" w:lineRule="auto"/>
      </w:pPr>
      <w:r>
        <w:t>Section 20</w:t>
      </w:r>
      <w:r w:rsidR="004D3DA0" w:rsidRPr="00560F0E">
        <w:t xml:space="preserve"> – Notification of a revocation </w:t>
      </w:r>
    </w:p>
    <w:p w14:paraId="3153FD1D" w14:textId="77777777" w:rsidR="004D3DA0" w:rsidRPr="00A927DF" w:rsidRDefault="00EB75F9" w:rsidP="00A927DF">
      <w:pPr>
        <w:pStyle w:val="Heading2"/>
        <w:tabs>
          <w:tab w:val="left" w:pos="993"/>
        </w:tabs>
        <w:spacing w:line="240" w:lineRule="auto"/>
        <w:rPr>
          <w:i/>
          <w:u w:val="none"/>
        </w:rPr>
      </w:pPr>
      <w:r w:rsidRPr="00A927DF">
        <w:rPr>
          <w:i/>
          <w:u w:val="none"/>
        </w:rPr>
        <w:t>Subsection 20(1)</w:t>
      </w:r>
    </w:p>
    <w:p w14:paraId="7E2208F0" w14:textId="77777777" w:rsidR="00E46BEE" w:rsidRDefault="00EB75F9" w:rsidP="00794491">
      <w:pPr>
        <w:pStyle w:val="ListParagraph"/>
        <w:numPr>
          <w:ilvl w:val="0"/>
          <w:numId w:val="13"/>
        </w:numPr>
        <w:tabs>
          <w:tab w:val="left" w:pos="993"/>
        </w:tabs>
        <w:spacing w:before="240" w:line="240" w:lineRule="auto"/>
        <w:ind w:left="646" w:hanging="646"/>
        <w:rPr>
          <w:rFonts w:ascii="Times New Roman" w:hAnsi="Times New Roman" w:cs="Times New Roman"/>
          <w:sz w:val="24"/>
          <w:szCs w:val="24"/>
        </w:rPr>
      </w:pPr>
      <w:r>
        <w:rPr>
          <w:rFonts w:ascii="Times New Roman" w:hAnsi="Times New Roman" w:cs="Times New Roman"/>
          <w:sz w:val="24"/>
          <w:szCs w:val="24"/>
        </w:rPr>
        <w:t>Subsection 20</w:t>
      </w:r>
      <w:r w:rsidR="004D3DA0" w:rsidRPr="00560F0E">
        <w:rPr>
          <w:rFonts w:ascii="Times New Roman" w:hAnsi="Times New Roman" w:cs="Times New Roman"/>
          <w:sz w:val="24"/>
          <w:szCs w:val="24"/>
        </w:rPr>
        <w:t>(1) specifie</w:t>
      </w:r>
      <w:r w:rsidR="007B298B">
        <w:rPr>
          <w:rFonts w:ascii="Times New Roman" w:hAnsi="Times New Roman" w:cs="Times New Roman"/>
          <w:sz w:val="24"/>
          <w:szCs w:val="24"/>
        </w:rPr>
        <w:t>s</w:t>
      </w:r>
      <w:r w:rsidR="004D3DA0" w:rsidRPr="00560F0E">
        <w:rPr>
          <w:rFonts w:ascii="Times New Roman" w:hAnsi="Times New Roman" w:cs="Times New Roman"/>
          <w:sz w:val="24"/>
          <w:szCs w:val="24"/>
        </w:rPr>
        <w:t xml:space="preserve"> information that must be included in a notification of a revocation made by the Organisation</w:t>
      </w:r>
      <w:r>
        <w:rPr>
          <w:rFonts w:ascii="Times New Roman" w:hAnsi="Times New Roman" w:cs="Times New Roman"/>
          <w:sz w:val="24"/>
          <w:szCs w:val="24"/>
        </w:rPr>
        <w:t>, an enforcement agency or the Australian Federal Police</w:t>
      </w:r>
      <w:r w:rsidR="004D3DA0" w:rsidRPr="00560F0E">
        <w:rPr>
          <w:rFonts w:ascii="Times New Roman" w:hAnsi="Times New Roman" w:cs="Times New Roman"/>
          <w:sz w:val="24"/>
          <w:szCs w:val="24"/>
        </w:rPr>
        <w:t xml:space="preserve"> under </w:t>
      </w:r>
      <w:r>
        <w:rPr>
          <w:rFonts w:ascii="Times New Roman" w:hAnsi="Times New Roman" w:cs="Times New Roman"/>
          <w:sz w:val="24"/>
          <w:szCs w:val="24"/>
        </w:rPr>
        <w:t>sub</w:t>
      </w:r>
      <w:r w:rsidR="004D3DA0" w:rsidRPr="00560F0E">
        <w:rPr>
          <w:rFonts w:ascii="Times New Roman" w:hAnsi="Times New Roman" w:cs="Times New Roman"/>
          <w:sz w:val="24"/>
          <w:szCs w:val="24"/>
        </w:rPr>
        <w:t>section 176(6)</w:t>
      </w:r>
      <w:r>
        <w:rPr>
          <w:rFonts w:ascii="Times New Roman" w:hAnsi="Times New Roman" w:cs="Times New Roman"/>
          <w:sz w:val="24"/>
          <w:szCs w:val="24"/>
        </w:rPr>
        <w:t>, 180(7) or 180B(4)</w:t>
      </w:r>
      <w:r w:rsidR="004D3DA0" w:rsidRPr="00560F0E">
        <w:rPr>
          <w:rFonts w:ascii="Times New Roman" w:hAnsi="Times New Roman" w:cs="Times New Roman"/>
          <w:sz w:val="24"/>
          <w:szCs w:val="24"/>
        </w:rPr>
        <w:t xml:space="preserve"> of the </w:t>
      </w:r>
      <w:r w:rsidR="004D3DA0">
        <w:rPr>
          <w:rFonts w:ascii="Times New Roman" w:hAnsi="Times New Roman" w:cs="Times New Roman"/>
          <w:sz w:val="24"/>
          <w:szCs w:val="24"/>
        </w:rPr>
        <w:t xml:space="preserve">TIA </w:t>
      </w:r>
      <w:r w:rsidR="004D3DA0" w:rsidRPr="00560F0E">
        <w:rPr>
          <w:rFonts w:ascii="Times New Roman" w:hAnsi="Times New Roman" w:cs="Times New Roman"/>
          <w:sz w:val="24"/>
          <w:szCs w:val="24"/>
        </w:rPr>
        <w:t xml:space="preserve">Act. </w:t>
      </w:r>
      <w:r>
        <w:rPr>
          <w:rFonts w:ascii="Times New Roman" w:hAnsi="Times New Roman" w:cs="Times New Roman"/>
          <w:sz w:val="24"/>
          <w:szCs w:val="24"/>
        </w:rPr>
        <w:t>Section 184 of the TIA Act provides the requirements for notification of revocations.</w:t>
      </w:r>
      <w:r w:rsidR="005D0080">
        <w:rPr>
          <w:rFonts w:ascii="Times New Roman" w:hAnsi="Times New Roman" w:cs="Times New Roman"/>
          <w:sz w:val="24"/>
          <w:szCs w:val="24"/>
        </w:rPr>
        <w:t xml:space="preserve"> </w:t>
      </w:r>
      <w:r w:rsidR="00794491" w:rsidRPr="001317EC">
        <w:rPr>
          <w:rFonts w:ascii="Times New Roman" w:hAnsi="Times New Roman" w:cs="Times New Roman"/>
          <w:sz w:val="24"/>
          <w:szCs w:val="24"/>
        </w:rPr>
        <w:t>This subsection is unchanged from the 2018 Determination</w:t>
      </w:r>
      <w:r w:rsidR="005D0080">
        <w:rPr>
          <w:rFonts w:ascii="Times New Roman" w:hAnsi="Times New Roman" w:cs="Times New Roman"/>
          <w:sz w:val="24"/>
          <w:szCs w:val="24"/>
        </w:rPr>
        <w:t>.</w:t>
      </w:r>
    </w:p>
    <w:p w14:paraId="7ABDE35C" w14:textId="77777777" w:rsidR="00794491" w:rsidRPr="00794491" w:rsidRDefault="00794491" w:rsidP="00794491">
      <w:pPr>
        <w:pStyle w:val="ListParagraph"/>
        <w:tabs>
          <w:tab w:val="left" w:pos="993"/>
        </w:tabs>
        <w:spacing w:before="240" w:line="240" w:lineRule="auto"/>
        <w:ind w:left="646"/>
        <w:rPr>
          <w:rFonts w:ascii="Times New Roman" w:hAnsi="Times New Roman" w:cs="Times New Roman"/>
          <w:sz w:val="24"/>
          <w:szCs w:val="24"/>
        </w:rPr>
      </w:pPr>
    </w:p>
    <w:p w14:paraId="61C82A25" w14:textId="77777777" w:rsidR="00EB75F9" w:rsidRDefault="00EB75F9" w:rsidP="00A927DF">
      <w:pPr>
        <w:pStyle w:val="ListParagraph"/>
        <w:tabs>
          <w:tab w:val="left" w:pos="993"/>
        </w:tabs>
        <w:spacing w:after="0" w:line="240" w:lineRule="auto"/>
        <w:ind w:left="0"/>
        <w:rPr>
          <w:rFonts w:ascii="Times New Roman" w:hAnsi="Times New Roman" w:cs="Times New Roman"/>
          <w:i/>
          <w:sz w:val="24"/>
          <w:szCs w:val="24"/>
        </w:rPr>
      </w:pPr>
      <w:r w:rsidRPr="00A927DF">
        <w:rPr>
          <w:rFonts w:ascii="Times New Roman" w:hAnsi="Times New Roman" w:cs="Times New Roman"/>
          <w:i/>
          <w:sz w:val="24"/>
          <w:szCs w:val="24"/>
        </w:rPr>
        <w:t>Subsection 20(2)</w:t>
      </w:r>
    </w:p>
    <w:p w14:paraId="5705B2AB" w14:textId="77777777" w:rsidR="00474003" w:rsidRPr="00A927DF" w:rsidRDefault="00474003" w:rsidP="00A927DF">
      <w:pPr>
        <w:pStyle w:val="ListParagraph"/>
        <w:tabs>
          <w:tab w:val="left" w:pos="993"/>
        </w:tabs>
        <w:spacing w:after="0" w:line="240" w:lineRule="auto"/>
        <w:ind w:left="0"/>
        <w:rPr>
          <w:rFonts w:ascii="Times New Roman" w:hAnsi="Times New Roman" w:cs="Times New Roman"/>
          <w:i/>
          <w:sz w:val="24"/>
          <w:szCs w:val="24"/>
        </w:rPr>
      </w:pPr>
    </w:p>
    <w:p w14:paraId="10A4332C" w14:textId="77777777" w:rsidR="004D3DA0" w:rsidRPr="00560F0E" w:rsidRDefault="00EB75F9" w:rsidP="00474003">
      <w:pPr>
        <w:pStyle w:val="ListParagraph"/>
        <w:numPr>
          <w:ilvl w:val="0"/>
          <w:numId w:val="13"/>
        </w:numPr>
        <w:tabs>
          <w:tab w:val="left" w:pos="993"/>
        </w:tabs>
        <w:spacing w:before="240" w:line="240" w:lineRule="auto"/>
        <w:ind w:left="646" w:hanging="646"/>
        <w:rPr>
          <w:rFonts w:ascii="Times New Roman" w:hAnsi="Times New Roman" w:cs="Times New Roman"/>
          <w:sz w:val="24"/>
          <w:szCs w:val="24"/>
        </w:rPr>
      </w:pPr>
      <w:r>
        <w:rPr>
          <w:rFonts w:ascii="Times New Roman" w:hAnsi="Times New Roman" w:cs="Times New Roman"/>
          <w:sz w:val="24"/>
          <w:szCs w:val="24"/>
        </w:rPr>
        <w:t>Subsection 20</w:t>
      </w:r>
      <w:r w:rsidR="004D3DA0" w:rsidRPr="00560F0E">
        <w:rPr>
          <w:rFonts w:ascii="Times New Roman" w:hAnsi="Times New Roman" w:cs="Times New Roman"/>
          <w:sz w:val="24"/>
          <w:szCs w:val="24"/>
        </w:rPr>
        <w:t>(2) provide</w:t>
      </w:r>
      <w:r w:rsidR="007B298B">
        <w:rPr>
          <w:rFonts w:ascii="Times New Roman" w:hAnsi="Times New Roman" w:cs="Times New Roman"/>
          <w:sz w:val="24"/>
          <w:szCs w:val="24"/>
        </w:rPr>
        <w:t>s</w:t>
      </w:r>
      <w:r w:rsidR="004D3DA0" w:rsidRPr="00560F0E">
        <w:rPr>
          <w:rFonts w:ascii="Times New Roman" w:hAnsi="Times New Roman" w:cs="Times New Roman"/>
          <w:sz w:val="24"/>
          <w:szCs w:val="24"/>
        </w:rPr>
        <w:t xml:space="preserve"> that a revocation must be signed by its maker if it is in a written form, or state a unique identifier of the </w:t>
      </w:r>
      <w:r w:rsidR="000B63E9">
        <w:rPr>
          <w:rFonts w:ascii="Times New Roman" w:hAnsi="Times New Roman" w:cs="Times New Roman"/>
          <w:sz w:val="24"/>
          <w:szCs w:val="24"/>
        </w:rPr>
        <w:t>relevant agency</w:t>
      </w:r>
      <w:r w:rsidR="000B63E9" w:rsidRPr="00560F0E">
        <w:rPr>
          <w:rFonts w:ascii="Times New Roman" w:hAnsi="Times New Roman" w:cs="Times New Roman"/>
          <w:sz w:val="24"/>
          <w:szCs w:val="24"/>
        </w:rPr>
        <w:t xml:space="preserve"> </w:t>
      </w:r>
      <w:r w:rsidR="004D3DA0" w:rsidRPr="00560F0E">
        <w:rPr>
          <w:rFonts w:ascii="Times New Roman" w:hAnsi="Times New Roman" w:cs="Times New Roman"/>
          <w:sz w:val="24"/>
          <w:szCs w:val="24"/>
        </w:rPr>
        <w:t>if it is in electronic form.</w:t>
      </w:r>
      <w:r w:rsidR="00794491" w:rsidRPr="00794491">
        <w:rPr>
          <w:rFonts w:ascii="Times New Roman" w:hAnsi="Times New Roman" w:cs="Times New Roman"/>
          <w:sz w:val="24"/>
          <w:szCs w:val="24"/>
        </w:rPr>
        <w:t xml:space="preserve"> </w:t>
      </w:r>
      <w:r w:rsidR="00794491" w:rsidRPr="001317EC">
        <w:rPr>
          <w:rFonts w:ascii="Times New Roman" w:hAnsi="Times New Roman" w:cs="Times New Roman"/>
          <w:sz w:val="24"/>
          <w:szCs w:val="24"/>
        </w:rPr>
        <w:t>This subsection is unchanged from the 2018 Determination</w:t>
      </w:r>
      <w:r w:rsidR="005D0080">
        <w:rPr>
          <w:rFonts w:ascii="Times New Roman" w:hAnsi="Times New Roman" w:cs="Times New Roman"/>
          <w:sz w:val="24"/>
          <w:szCs w:val="24"/>
        </w:rPr>
        <w:t>.</w:t>
      </w:r>
    </w:p>
    <w:p w14:paraId="064BEBCA" w14:textId="77777777" w:rsidR="00640B58" w:rsidRDefault="00640B58" w:rsidP="00A927DF">
      <w:pPr>
        <w:pStyle w:val="Heading2"/>
        <w:tabs>
          <w:tab w:val="left" w:pos="993"/>
        </w:tabs>
        <w:spacing w:line="240" w:lineRule="auto"/>
      </w:pPr>
      <w:r w:rsidRPr="00A927DF">
        <w:rPr>
          <w:b/>
        </w:rPr>
        <w:t>Schedule 1</w:t>
      </w:r>
    </w:p>
    <w:p w14:paraId="29A15ED4" w14:textId="77777777" w:rsidR="00752277" w:rsidRPr="00640B58" w:rsidRDefault="00640B58" w:rsidP="00474003">
      <w:pPr>
        <w:pStyle w:val="ListParagraph"/>
        <w:numPr>
          <w:ilvl w:val="0"/>
          <w:numId w:val="13"/>
        </w:numPr>
        <w:tabs>
          <w:tab w:val="left" w:pos="993"/>
        </w:tabs>
        <w:spacing w:before="240" w:line="240" w:lineRule="auto"/>
        <w:ind w:left="646" w:hanging="646"/>
        <w:rPr>
          <w:rFonts w:ascii="Times New Roman" w:hAnsi="Times New Roman" w:cs="Times New Roman"/>
          <w:sz w:val="24"/>
          <w:szCs w:val="24"/>
        </w:rPr>
      </w:pPr>
      <w:r w:rsidRPr="00A927DF">
        <w:rPr>
          <w:rFonts w:ascii="Times New Roman" w:hAnsi="Times New Roman" w:cs="Times New Roman"/>
          <w:sz w:val="24"/>
          <w:szCs w:val="24"/>
        </w:rPr>
        <w:t>Schedule 1 pro</w:t>
      </w:r>
      <w:r>
        <w:rPr>
          <w:rFonts w:ascii="Times New Roman" w:hAnsi="Times New Roman" w:cs="Times New Roman"/>
          <w:sz w:val="24"/>
          <w:szCs w:val="24"/>
        </w:rPr>
        <w:t xml:space="preserve">vides for the repeal of the </w:t>
      </w:r>
      <w:r w:rsidR="00794491">
        <w:rPr>
          <w:rFonts w:ascii="Times New Roman" w:hAnsi="Times New Roman" w:cs="Times New Roman"/>
          <w:sz w:val="24"/>
          <w:szCs w:val="24"/>
        </w:rPr>
        <w:t>2018</w:t>
      </w:r>
      <w:r>
        <w:rPr>
          <w:rFonts w:ascii="Times New Roman" w:hAnsi="Times New Roman" w:cs="Times New Roman"/>
          <w:sz w:val="24"/>
          <w:szCs w:val="24"/>
        </w:rPr>
        <w:t xml:space="preserve"> Determination in its entirety, as the substance of this instrument is replaced by the Principal </w:t>
      </w:r>
      <w:r w:rsidR="00474003">
        <w:rPr>
          <w:rFonts w:ascii="Times New Roman" w:hAnsi="Times New Roman" w:cs="Times New Roman"/>
          <w:sz w:val="24"/>
          <w:szCs w:val="24"/>
        </w:rPr>
        <w:t>Determination</w:t>
      </w:r>
      <w:r>
        <w:rPr>
          <w:rFonts w:ascii="Times New Roman" w:hAnsi="Times New Roman" w:cs="Times New Roman"/>
          <w:sz w:val="24"/>
          <w:szCs w:val="24"/>
        </w:rPr>
        <w:t>.</w:t>
      </w:r>
    </w:p>
    <w:sectPr w:rsidR="00752277" w:rsidRPr="00640B5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D9C7C3" w14:textId="77777777" w:rsidR="004131BE" w:rsidRDefault="004131BE" w:rsidP="00FF62BD">
      <w:pPr>
        <w:spacing w:after="0" w:line="240" w:lineRule="auto"/>
      </w:pPr>
      <w:r>
        <w:separator/>
      </w:r>
    </w:p>
  </w:endnote>
  <w:endnote w:type="continuationSeparator" w:id="0">
    <w:p w14:paraId="192600D3" w14:textId="77777777" w:rsidR="004131BE" w:rsidRDefault="004131BE" w:rsidP="00FF6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67186" w14:textId="77777777" w:rsidR="00292812" w:rsidRDefault="002928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2373456"/>
      <w:docPartObj>
        <w:docPartGallery w:val="Page Numbers (Bottom of Page)"/>
        <w:docPartUnique/>
      </w:docPartObj>
    </w:sdtPr>
    <w:sdtEndPr>
      <w:rPr>
        <w:rFonts w:ascii="Times New Roman" w:hAnsi="Times New Roman" w:cs="Times New Roman"/>
        <w:noProof/>
      </w:rPr>
    </w:sdtEndPr>
    <w:sdtContent>
      <w:p w14:paraId="552356AD" w14:textId="77777777" w:rsidR="00935697" w:rsidRPr="00451F19" w:rsidRDefault="00935697">
        <w:pPr>
          <w:pStyle w:val="Footer"/>
          <w:jc w:val="right"/>
          <w:rPr>
            <w:rFonts w:ascii="Times New Roman" w:hAnsi="Times New Roman" w:cs="Times New Roman"/>
          </w:rPr>
        </w:pPr>
        <w:r w:rsidRPr="00451F19">
          <w:rPr>
            <w:rFonts w:ascii="Times New Roman" w:hAnsi="Times New Roman" w:cs="Times New Roman"/>
          </w:rPr>
          <w:fldChar w:fldCharType="begin"/>
        </w:r>
        <w:r w:rsidRPr="00451F19">
          <w:rPr>
            <w:rFonts w:ascii="Times New Roman" w:hAnsi="Times New Roman" w:cs="Times New Roman"/>
          </w:rPr>
          <w:instrText xml:space="preserve"> PAGE   \* MERGEFORMAT </w:instrText>
        </w:r>
        <w:r w:rsidRPr="00451F19">
          <w:rPr>
            <w:rFonts w:ascii="Times New Roman" w:hAnsi="Times New Roman" w:cs="Times New Roman"/>
          </w:rPr>
          <w:fldChar w:fldCharType="separate"/>
        </w:r>
        <w:r w:rsidR="00926986">
          <w:rPr>
            <w:rFonts w:ascii="Times New Roman" w:hAnsi="Times New Roman" w:cs="Times New Roman"/>
            <w:noProof/>
          </w:rPr>
          <w:t>1</w:t>
        </w:r>
        <w:r w:rsidRPr="00451F19">
          <w:rPr>
            <w:rFonts w:ascii="Times New Roman" w:hAnsi="Times New Roman" w:cs="Times New Roman"/>
            <w:noProof/>
          </w:rPr>
          <w:fldChar w:fldCharType="end"/>
        </w:r>
      </w:p>
    </w:sdtContent>
  </w:sdt>
  <w:p w14:paraId="47C0FCBE" w14:textId="77777777" w:rsidR="00935697" w:rsidRDefault="009356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2C56D" w14:textId="77777777" w:rsidR="00292812" w:rsidRDefault="002928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9B1669" w14:textId="77777777" w:rsidR="004131BE" w:rsidRDefault="004131BE" w:rsidP="00FF62BD">
      <w:pPr>
        <w:spacing w:after="0" w:line="240" w:lineRule="auto"/>
      </w:pPr>
      <w:r>
        <w:separator/>
      </w:r>
    </w:p>
  </w:footnote>
  <w:footnote w:type="continuationSeparator" w:id="0">
    <w:p w14:paraId="2F5D8F88" w14:textId="77777777" w:rsidR="004131BE" w:rsidRDefault="004131BE" w:rsidP="00FF62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2D661" w14:textId="77777777" w:rsidR="00292812" w:rsidRDefault="002928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9166B" w14:textId="611A15F9" w:rsidR="00292812" w:rsidRDefault="002928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F52A6" w14:textId="77777777" w:rsidR="00292812" w:rsidRDefault="002928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5760A"/>
    <w:multiLevelType w:val="hybridMultilevel"/>
    <w:tmpl w:val="70AA9E46"/>
    <w:lvl w:ilvl="0" w:tplc="F6D0248E">
      <w:start w:val="1"/>
      <w:numFmt w:val="bullet"/>
      <w:lvlText w:val=""/>
      <w:lvlJc w:val="left"/>
      <w:pPr>
        <w:ind w:left="720" w:hanging="360"/>
      </w:pPr>
      <w:rPr>
        <w:rFonts w:ascii="Symbol" w:hAnsi="Symbol" w:hint="default"/>
        <w:b w:val="0"/>
        <w:i w:val="0"/>
      </w:rPr>
    </w:lvl>
    <w:lvl w:ilvl="1" w:tplc="E2D0C178">
      <w:start w:val="1"/>
      <w:numFmt w:val="lowerLetter"/>
      <w:lvlText w:val="%2."/>
      <w:lvlJc w:val="left"/>
      <w:pPr>
        <w:ind w:left="1440" w:hanging="360"/>
      </w:pPr>
    </w:lvl>
    <w:lvl w:ilvl="2" w:tplc="8C9EEBC8" w:tentative="1">
      <w:start w:val="1"/>
      <w:numFmt w:val="lowerRoman"/>
      <w:lvlText w:val="%3."/>
      <w:lvlJc w:val="right"/>
      <w:pPr>
        <w:ind w:left="2160" w:hanging="180"/>
      </w:pPr>
    </w:lvl>
    <w:lvl w:ilvl="3" w:tplc="F77299B8" w:tentative="1">
      <w:start w:val="1"/>
      <w:numFmt w:val="decimal"/>
      <w:lvlText w:val="%4."/>
      <w:lvlJc w:val="left"/>
      <w:pPr>
        <w:ind w:left="2880" w:hanging="360"/>
      </w:pPr>
    </w:lvl>
    <w:lvl w:ilvl="4" w:tplc="9A52D5B4" w:tentative="1">
      <w:start w:val="1"/>
      <w:numFmt w:val="lowerLetter"/>
      <w:lvlText w:val="%5."/>
      <w:lvlJc w:val="left"/>
      <w:pPr>
        <w:ind w:left="3600" w:hanging="360"/>
      </w:pPr>
    </w:lvl>
    <w:lvl w:ilvl="5" w:tplc="0D34FC70" w:tentative="1">
      <w:start w:val="1"/>
      <w:numFmt w:val="lowerRoman"/>
      <w:lvlText w:val="%6."/>
      <w:lvlJc w:val="right"/>
      <w:pPr>
        <w:ind w:left="4320" w:hanging="180"/>
      </w:pPr>
    </w:lvl>
    <w:lvl w:ilvl="6" w:tplc="0218A2D0" w:tentative="1">
      <w:start w:val="1"/>
      <w:numFmt w:val="decimal"/>
      <w:lvlText w:val="%7."/>
      <w:lvlJc w:val="left"/>
      <w:pPr>
        <w:ind w:left="5040" w:hanging="360"/>
      </w:pPr>
    </w:lvl>
    <w:lvl w:ilvl="7" w:tplc="86C82C48" w:tentative="1">
      <w:start w:val="1"/>
      <w:numFmt w:val="lowerLetter"/>
      <w:lvlText w:val="%8."/>
      <w:lvlJc w:val="left"/>
      <w:pPr>
        <w:ind w:left="5760" w:hanging="360"/>
      </w:pPr>
    </w:lvl>
    <w:lvl w:ilvl="8" w:tplc="265AC4A6" w:tentative="1">
      <w:start w:val="1"/>
      <w:numFmt w:val="lowerRoman"/>
      <w:lvlText w:val="%9."/>
      <w:lvlJc w:val="right"/>
      <w:pPr>
        <w:ind w:left="6480" w:hanging="180"/>
      </w:pPr>
    </w:lvl>
  </w:abstractNum>
  <w:abstractNum w:abstractNumId="1" w15:restartNumberingAfterBreak="0">
    <w:nsid w:val="1295247E"/>
    <w:multiLevelType w:val="hybridMultilevel"/>
    <w:tmpl w:val="F1388786"/>
    <w:lvl w:ilvl="0" w:tplc="4F06E774">
      <w:start w:val="1"/>
      <w:numFmt w:val="decimal"/>
      <w:lvlText w:val="%1."/>
      <w:lvlJc w:val="left"/>
      <w:pPr>
        <w:ind w:left="360" w:hanging="360"/>
      </w:pPr>
      <w:rPr>
        <w:rFonts w:hint="default"/>
        <w:b w:val="0"/>
        <w:i w:val="0"/>
      </w:rPr>
    </w:lvl>
    <w:lvl w:ilvl="1" w:tplc="0C090019">
      <w:start w:val="1"/>
      <w:numFmt w:val="lowerLetter"/>
      <w:lvlText w:val="%2."/>
      <w:lvlJc w:val="left"/>
      <w:pPr>
        <w:ind w:left="872" w:hanging="360"/>
      </w:pPr>
    </w:lvl>
    <w:lvl w:ilvl="2" w:tplc="7ED66F90">
      <w:start w:val="1"/>
      <w:numFmt w:val="lowerLetter"/>
      <w:lvlText w:val="(%3)"/>
      <w:lvlJc w:val="left"/>
      <w:pPr>
        <w:ind w:left="1817" w:hanging="405"/>
      </w:pPr>
      <w:rPr>
        <w:rFonts w:hint="default"/>
      </w:rPr>
    </w:lvl>
    <w:lvl w:ilvl="3" w:tplc="0C09000F" w:tentative="1">
      <w:start w:val="1"/>
      <w:numFmt w:val="decimal"/>
      <w:lvlText w:val="%4."/>
      <w:lvlJc w:val="left"/>
      <w:pPr>
        <w:ind w:left="2312" w:hanging="360"/>
      </w:pPr>
    </w:lvl>
    <w:lvl w:ilvl="4" w:tplc="0C090019" w:tentative="1">
      <w:start w:val="1"/>
      <w:numFmt w:val="lowerLetter"/>
      <w:lvlText w:val="%5."/>
      <w:lvlJc w:val="left"/>
      <w:pPr>
        <w:ind w:left="3032" w:hanging="360"/>
      </w:pPr>
    </w:lvl>
    <w:lvl w:ilvl="5" w:tplc="0C09001B" w:tentative="1">
      <w:start w:val="1"/>
      <w:numFmt w:val="lowerRoman"/>
      <w:lvlText w:val="%6."/>
      <w:lvlJc w:val="right"/>
      <w:pPr>
        <w:ind w:left="3752" w:hanging="180"/>
      </w:pPr>
    </w:lvl>
    <w:lvl w:ilvl="6" w:tplc="0C09000F" w:tentative="1">
      <w:start w:val="1"/>
      <w:numFmt w:val="decimal"/>
      <w:lvlText w:val="%7."/>
      <w:lvlJc w:val="left"/>
      <w:pPr>
        <w:ind w:left="4472" w:hanging="360"/>
      </w:pPr>
    </w:lvl>
    <w:lvl w:ilvl="7" w:tplc="0C090019" w:tentative="1">
      <w:start w:val="1"/>
      <w:numFmt w:val="lowerLetter"/>
      <w:lvlText w:val="%8."/>
      <w:lvlJc w:val="left"/>
      <w:pPr>
        <w:ind w:left="5192" w:hanging="360"/>
      </w:pPr>
    </w:lvl>
    <w:lvl w:ilvl="8" w:tplc="0C09001B" w:tentative="1">
      <w:start w:val="1"/>
      <w:numFmt w:val="lowerRoman"/>
      <w:lvlText w:val="%9."/>
      <w:lvlJc w:val="right"/>
      <w:pPr>
        <w:ind w:left="5912" w:hanging="180"/>
      </w:pPr>
    </w:lvl>
  </w:abstractNum>
  <w:abstractNum w:abstractNumId="2" w15:restartNumberingAfterBreak="0">
    <w:nsid w:val="179C767E"/>
    <w:multiLevelType w:val="hybridMultilevel"/>
    <w:tmpl w:val="F1388786"/>
    <w:lvl w:ilvl="0" w:tplc="4F06E774">
      <w:start w:val="1"/>
      <w:numFmt w:val="decimal"/>
      <w:lvlText w:val="%1."/>
      <w:lvlJc w:val="left"/>
      <w:pPr>
        <w:ind w:left="360" w:hanging="360"/>
      </w:pPr>
      <w:rPr>
        <w:rFonts w:hint="default"/>
        <w:b w:val="0"/>
        <w:i w:val="0"/>
      </w:rPr>
    </w:lvl>
    <w:lvl w:ilvl="1" w:tplc="0C090019">
      <w:start w:val="1"/>
      <w:numFmt w:val="lowerLetter"/>
      <w:lvlText w:val="%2."/>
      <w:lvlJc w:val="left"/>
      <w:pPr>
        <w:ind w:left="872" w:hanging="360"/>
      </w:pPr>
    </w:lvl>
    <w:lvl w:ilvl="2" w:tplc="7ED66F90">
      <w:start w:val="1"/>
      <w:numFmt w:val="lowerLetter"/>
      <w:lvlText w:val="(%3)"/>
      <w:lvlJc w:val="left"/>
      <w:pPr>
        <w:ind w:left="1817" w:hanging="405"/>
      </w:pPr>
      <w:rPr>
        <w:rFonts w:hint="default"/>
      </w:rPr>
    </w:lvl>
    <w:lvl w:ilvl="3" w:tplc="0C09000F" w:tentative="1">
      <w:start w:val="1"/>
      <w:numFmt w:val="decimal"/>
      <w:lvlText w:val="%4."/>
      <w:lvlJc w:val="left"/>
      <w:pPr>
        <w:ind w:left="2312" w:hanging="360"/>
      </w:pPr>
    </w:lvl>
    <w:lvl w:ilvl="4" w:tplc="0C090019" w:tentative="1">
      <w:start w:val="1"/>
      <w:numFmt w:val="lowerLetter"/>
      <w:lvlText w:val="%5."/>
      <w:lvlJc w:val="left"/>
      <w:pPr>
        <w:ind w:left="3032" w:hanging="360"/>
      </w:pPr>
    </w:lvl>
    <w:lvl w:ilvl="5" w:tplc="0C09001B" w:tentative="1">
      <w:start w:val="1"/>
      <w:numFmt w:val="lowerRoman"/>
      <w:lvlText w:val="%6."/>
      <w:lvlJc w:val="right"/>
      <w:pPr>
        <w:ind w:left="3752" w:hanging="180"/>
      </w:pPr>
    </w:lvl>
    <w:lvl w:ilvl="6" w:tplc="0C09000F" w:tentative="1">
      <w:start w:val="1"/>
      <w:numFmt w:val="decimal"/>
      <w:lvlText w:val="%7."/>
      <w:lvlJc w:val="left"/>
      <w:pPr>
        <w:ind w:left="4472" w:hanging="360"/>
      </w:pPr>
    </w:lvl>
    <w:lvl w:ilvl="7" w:tplc="0C090019" w:tentative="1">
      <w:start w:val="1"/>
      <w:numFmt w:val="lowerLetter"/>
      <w:lvlText w:val="%8."/>
      <w:lvlJc w:val="left"/>
      <w:pPr>
        <w:ind w:left="5192" w:hanging="360"/>
      </w:pPr>
    </w:lvl>
    <w:lvl w:ilvl="8" w:tplc="0C09001B" w:tentative="1">
      <w:start w:val="1"/>
      <w:numFmt w:val="lowerRoman"/>
      <w:lvlText w:val="%9."/>
      <w:lvlJc w:val="right"/>
      <w:pPr>
        <w:ind w:left="5912" w:hanging="180"/>
      </w:pPr>
    </w:lvl>
  </w:abstractNum>
  <w:abstractNum w:abstractNumId="3" w15:restartNumberingAfterBreak="0">
    <w:nsid w:val="1D921E7C"/>
    <w:multiLevelType w:val="hybridMultilevel"/>
    <w:tmpl w:val="42DA0EC6"/>
    <w:lvl w:ilvl="0" w:tplc="4F06E774">
      <w:start w:val="1"/>
      <w:numFmt w:val="decimal"/>
      <w:lvlText w:val="%1."/>
      <w:lvlJc w:val="left"/>
      <w:pPr>
        <w:ind w:left="644" w:hanging="360"/>
      </w:pPr>
      <w:rPr>
        <w:rFonts w:hint="default"/>
        <w:b w:val="0"/>
        <w:i w:val="0"/>
      </w:rPr>
    </w:lvl>
    <w:lvl w:ilvl="1" w:tplc="0C090019">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4" w15:restartNumberingAfterBreak="0">
    <w:nsid w:val="1DF326F4"/>
    <w:multiLevelType w:val="hybridMultilevel"/>
    <w:tmpl w:val="9DD228F6"/>
    <w:lvl w:ilvl="0" w:tplc="0C090001">
      <w:start w:val="1"/>
      <w:numFmt w:val="bullet"/>
      <w:lvlText w:val=""/>
      <w:lvlJc w:val="left"/>
      <w:pPr>
        <w:ind w:left="644" w:hanging="360"/>
      </w:pPr>
      <w:rPr>
        <w:rFonts w:ascii="Symbol" w:hAnsi="Symbol" w:hint="default"/>
        <w:b w:val="0"/>
        <w:i w:val="0"/>
      </w:rPr>
    </w:lvl>
    <w:lvl w:ilvl="1" w:tplc="CAC43ACE">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F052DC0"/>
    <w:multiLevelType w:val="hybridMultilevel"/>
    <w:tmpl w:val="42DA0EC6"/>
    <w:lvl w:ilvl="0" w:tplc="4F06E774">
      <w:start w:val="1"/>
      <w:numFmt w:val="decimal"/>
      <w:lvlText w:val="%1."/>
      <w:lvlJc w:val="left"/>
      <w:pPr>
        <w:ind w:left="644" w:hanging="360"/>
      </w:pPr>
      <w:rPr>
        <w:rFonts w:hint="default"/>
        <w:b w:val="0"/>
        <w:i w:val="0"/>
      </w:rPr>
    </w:lvl>
    <w:lvl w:ilvl="1" w:tplc="0C090019">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6" w15:restartNumberingAfterBreak="0">
    <w:nsid w:val="1F6A688D"/>
    <w:multiLevelType w:val="hybridMultilevel"/>
    <w:tmpl w:val="F1388786"/>
    <w:lvl w:ilvl="0" w:tplc="4F06E774">
      <w:start w:val="1"/>
      <w:numFmt w:val="decimal"/>
      <w:lvlText w:val="%1."/>
      <w:lvlJc w:val="left"/>
      <w:pPr>
        <w:ind w:left="644" w:hanging="360"/>
      </w:pPr>
      <w:rPr>
        <w:rFonts w:hint="default"/>
        <w:b w:val="0"/>
        <w:i w:val="0"/>
      </w:rPr>
    </w:lvl>
    <w:lvl w:ilvl="1" w:tplc="0C090019">
      <w:start w:val="1"/>
      <w:numFmt w:val="lowerLetter"/>
      <w:lvlText w:val="%2."/>
      <w:lvlJc w:val="left"/>
      <w:pPr>
        <w:ind w:left="1156" w:hanging="360"/>
      </w:pPr>
    </w:lvl>
    <w:lvl w:ilvl="2" w:tplc="7ED66F90">
      <w:start w:val="1"/>
      <w:numFmt w:val="lowerLetter"/>
      <w:lvlText w:val="(%3)"/>
      <w:lvlJc w:val="left"/>
      <w:pPr>
        <w:ind w:left="2101" w:hanging="405"/>
      </w:pPr>
      <w:rPr>
        <w:rFonts w:hint="default"/>
      </w:r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7" w15:restartNumberingAfterBreak="0">
    <w:nsid w:val="2ADA1E79"/>
    <w:multiLevelType w:val="hybridMultilevel"/>
    <w:tmpl w:val="616605B0"/>
    <w:lvl w:ilvl="0" w:tplc="E06E63E8">
      <w:start w:val="14"/>
      <w:numFmt w:val="decimal"/>
      <w:lvlText w:val="%1."/>
      <w:lvlJc w:val="left"/>
      <w:pPr>
        <w:ind w:left="644"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38A6064"/>
    <w:multiLevelType w:val="hybridMultilevel"/>
    <w:tmpl w:val="F1388786"/>
    <w:lvl w:ilvl="0" w:tplc="4F06E774">
      <w:start w:val="1"/>
      <w:numFmt w:val="decimal"/>
      <w:lvlText w:val="%1."/>
      <w:lvlJc w:val="left"/>
      <w:pPr>
        <w:ind w:left="360" w:hanging="360"/>
      </w:pPr>
      <w:rPr>
        <w:rFonts w:hint="default"/>
        <w:b w:val="0"/>
        <w:i w:val="0"/>
      </w:rPr>
    </w:lvl>
    <w:lvl w:ilvl="1" w:tplc="0C090019">
      <w:start w:val="1"/>
      <w:numFmt w:val="lowerLetter"/>
      <w:lvlText w:val="%2."/>
      <w:lvlJc w:val="left"/>
      <w:pPr>
        <w:ind w:left="872" w:hanging="360"/>
      </w:pPr>
    </w:lvl>
    <w:lvl w:ilvl="2" w:tplc="7ED66F90">
      <w:start w:val="1"/>
      <w:numFmt w:val="lowerLetter"/>
      <w:lvlText w:val="(%3)"/>
      <w:lvlJc w:val="left"/>
      <w:pPr>
        <w:ind w:left="1817" w:hanging="405"/>
      </w:pPr>
      <w:rPr>
        <w:rFonts w:hint="default"/>
      </w:rPr>
    </w:lvl>
    <w:lvl w:ilvl="3" w:tplc="0C09000F" w:tentative="1">
      <w:start w:val="1"/>
      <w:numFmt w:val="decimal"/>
      <w:lvlText w:val="%4."/>
      <w:lvlJc w:val="left"/>
      <w:pPr>
        <w:ind w:left="2312" w:hanging="360"/>
      </w:pPr>
    </w:lvl>
    <w:lvl w:ilvl="4" w:tplc="0C090019" w:tentative="1">
      <w:start w:val="1"/>
      <w:numFmt w:val="lowerLetter"/>
      <w:lvlText w:val="%5."/>
      <w:lvlJc w:val="left"/>
      <w:pPr>
        <w:ind w:left="3032" w:hanging="360"/>
      </w:pPr>
    </w:lvl>
    <w:lvl w:ilvl="5" w:tplc="0C09001B" w:tentative="1">
      <w:start w:val="1"/>
      <w:numFmt w:val="lowerRoman"/>
      <w:lvlText w:val="%6."/>
      <w:lvlJc w:val="right"/>
      <w:pPr>
        <w:ind w:left="3752" w:hanging="180"/>
      </w:pPr>
    </w:lvl>
    <w:lvl w:ilvl="6" w:tplc="0C09000F" w:tentative="1">
      <w:start w:val="1"/>
      <w:numFmt w:val="decimal"/>
      <w:lvlText w:val="%7."/>
      <w:lvlJc w:val="left"/>
      <w:pPr>
        <w:ind w:left="4472" w:hanging="360"/>
      </w:pPr>
    </w:lvl>
    <w:lvl w:ilvl="7" w:tplc="0C090019" w:tentative="1">
      <w:start w:val="1"/>
      <w:numFmt w:val="lowerLetter"/>
      <w:lvlText w:val="%8."/>
      <w:lvlJc w:val="left"/>
      <w:pPr>
        <w:ind w:left="5192" w:hanging="360"/>
      </w:pPr>
    </w:lvl>
    <w:lvl w:ilvl="8" w:tplc="0C09001B" w:tentative="1">
      <w:start w:val="1"/>
      <w:numFmt w:val="lowerRoman"/>
      <w:lvlText w:val="%9."/>
      <w:lvlJc w:val="right"/>
      <w:pPr>
        <w:ind w:left="5912" w:hanging="180"/>
      </w:pPr>
    </w:lvl>
  </w:abstractNum>
  <w:abstractNum w:abstractNumId="9" w15:restartNumberingAfterBreak="0">
    <w:nsid w:val="372417C3"/>
    <w:multiLevelType w:val="hybridMultilevel"/>
    <w:tmpl w:val="B41AC2B2"/>
    <w:lvl w:ilvl="0" w:tplc="0C090001">
      <w:start w:val="1"/>
      <w:numFmt w:val="bullet"/>
      <w:lvlText w:val=""/>
      <w:lvlJc w:val="left"/>
      <w:pPr>
        <w:ind w:left="1366" w:hanging="360"/>
      </w:pPr>
      <w:rPr>
        <w:rFonts w:ascii="Symbol" w:hAnsi="Symbol" w:hint="default"/>
      </w:rPr>
    </w:lvl>
    <w:lvl w:ilvl="1" w:tplc="0C090003" w:tentative="1">
      <w:start w:val="1"/>
      <w:numFmt w:val="bullet"/>
      <w:lvlText w:val="o"/>
      <w:lvlJc w:val="left"/>
      <w:pPr>
        <w:ind w:left="2086" w:hanging="360"/>
      </w:pPr>
      <w:rPr>
        <w:rFonts w:ascii="Courier New" w:hAnsi="Courier New" w:cs="Courier New" w:hint="default"/>
      </w:rPr>
    </w:lvl>
    <w:lvl w:ilvl="2" w:tplc="0C090005" w:tentative="1">
      <w:start w:val="1"/>
      <w:numFmt w:val="bullet"/>
      <w:lvlText w:val=""/>
      <w:lvlJc w:val="left"/>
      <w:pPr>
        <w:ind w:left="2806" w:hanging="360"/>
      </w:pPr>
      <w:rPr>
        <w:rFonts w:ascii="Wingdings" w:hAnsi="Wingdings" w:hint="default"/>
      </w:rPr>
    </w:lvl>
    <w:lvl w:ilvl="3" w:tplc="0C090001" w:tentative="1">
      <w:start w:val="1"/>
      <w:numFmt w:val="bullet"/>
      <w:lvlText w:val=""/>
      <w:lvlJc w:val="left"/>
      <w:pPr>
        <w:ind w:left="3526" w:hanging="360"/>
      </w:pPr>
      <w:rPr>
        <w:rFonts w:ascii="Symbol" w:hAnsi="Symbol" w:hint="default"/>
      </w:rPr>
    </w:lvl>
    <w:lvl w:ilvl="4" w:tplc="0C090003" w:tentative="1">
      <w:start w:val="1"/>
      <w:numFmt w:val="bullet"/>
      <w:lvlText w:val="o"/>
      <w:lvlJc w:val="left"/>
      <w:pPr>
        <w:ind w:left="4246" w:hanging="360"/>
      </w:pPr>
      <w:rPr>
        <w:rFonts w:ascii="Courier New" w:hAnsi="Courier New" w:cs="Courier New" w:hint="default"/>
      </w:rPr>
    </w:lvl>
    <w:lvl w:ilvl="5" w:tplc="0C090005" w:tentative="1">
      <w:start w:val="1"/>
      <w:numFmt w:val="bullet"/>
      <w:lvlText w:val=""/>
      <w:lvlJc w:val="left"/>
      <w:pPr>
        <w:ind w:left="4966" w:hanging="360"/>
      </w:pPr>
      <w:rPr>
        <w:rFonts w:ascii="Wingdings" w:hAnsi="Wingdings" w:hint="default"/>
      </w:rPr>
    </w:lvl>
    <w:lvl w:ilvl="6" w:tplc="0C090001" w:tentative="1">
      <w:start w:val="1"/>
      <w:numFmt w:val="bullet"/>
      <w:lvlText w:val=""/>
      <w:lvlJc w:val="left"/>
      <w:pPr>
        <w:ind w:left="5686" w:hanging="360"/>
      </w:pPr>
      <w:rPr>
        <w:rFonts w:ascii="Symbol" w:hAnsi="Symbol" w:hint="default"/>
      </w:rPr>
    </w:lvl>
    <w:lvl w:ilvl="7" w:tplc="0C090003" w:tentative="1">
      <w:start w:val="1"/>
      <w:numFmt w:val="bullet"/>
      <w:lvlText w:val="o"/>
      <w:lvlJc w:val="left"/>
      <w:pPr>
        <w:ind w:left="6406" w:hanging="360"/>
      </w:pPr>
      <w:rPr>
        <w:rFonts w:ascii="Courier New" w:hAnsi="Courier New" w:cs="Courier New" w:hint="default"/>
      </w:rPr>
    </w:lvl>
    <w:lvl w:ilvl="8" w:tplc="0C090005" w:tentative="1">
      <w:start w:val="1"/>
      <w:numFmt w:val="bullet"/>
      <w:lvlText w:val=""/>
      <w:lvlJc w:val="left"/>
      <w:pPr>
        <w:ind w:left="7126" w:hanging="360"/>
      </w:pPr>
      <w:rPr>
        <w:rFonts w:ascii="Wingdings" w:hAnsi="Wingdings" w:hint="default"/>
      </w:rPr>
    </w:lvl>
  </w:abstractNum>
  <w:abstractNum w:abstractNumId="10" w15:restartNumberingAfterBreak="0">
    <w:nsid w:val="37451A1E"/>
    <w:multiLevelType w:val="hybridMultilevel"/>
    <w:tmpl w:val="725218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1B46879"/>
    <w:multiLevelType w:val="hybridMultilevel"/>
    <w:tmpl w:val="60668398"/>
    <w:lvl w:ilvl="0" w:tplc="ADCCFD2C">
      <w:start w:val="1"/>
      <w:numFmt w:val="decimal"/>
      <w:lvlText w:val="%1."/>
      <w:lvlJc w:val="left"/>
      <w:pPr>
        <w:ind w:left="720" w:hanging="360"/>
      </w:pPr>
      <w:rPr>
        <w:b w:val="0"/>
        <w:i w:val="0"/>
      </w:rPr>
    </w:lvl>
    <w:lvl w:ilvl="1" w:tplc="141E4232">
      <w:start w:val="1"/>
      <w:numFmt w:val="lowerLetter"/>
      <w:lvlText w:val="%2."/>
      <w:lvlJc w:val="left"/>
      <w:pPr>
        <w:ind w:left="1440" w:hanging="360"/>
      </w:pPr>
    </w:lvl>
    <w:lvl w:ilvl="2" w:tplc="FFE81DF8">
      <w:start w:val="1"/>
      <w:numFmt w:val="lowerLetter"/>
      <w:lvlText w:val="(%3)"/>
      <w:lvlJc w:val="left"/>
      <w:pPr>
        <w:ind w:left="2400" w:hanging="420"/>
      </w:pPr>
      <w:rPr>
        <w:rFonts w:hint="default"/>
      </w:rPr>
    </w:lvl>
    <w:lvl w:ilvl="3" w:tplc="0B46C112" w:tentative="1">
      <w:start w:val="1"/>
      <w:numFmt w:val="decimal"/>
      <w:lvlText w:val="%4."/>
      <w:lvlJc w:val="left"/>
      <w:pPr>
        <w:ind w:left="2880" w:hanging="360"/>
      </w:pPr>
    </w:lvl>
    <w:lvl w:ilvl="4" w:tplc="78442B74" w:tentative="1">
      <w:start w:val="1"/>
      <w:numFmt w:val="lowerLetter"/>
      <w:lvlText w:val="%5."/>
      <w:lvlJc w:val="left"/>
      <w:pPr>
        <w:ind w:left="3600" w:hanging="360"/>
      </w:pPr>
    </w:lvl>
    <w:lvl w:ilvl="5" w:tplc="61D48244" w:tentative="1">
      <w:start w:val="1"/>
      <w:numFmt w:val="lowerRoman"/>
      <w:lvlText w:val="%6."/>
      <w:lvlJc w:val="right"/>
      <w:pPr>
        <w:ind w:left="4320" w:hanging="180"/>
      </w:pPr>
    </w:lvl>
    <w:lvl w:ilvl="6" w:tplc="F0EAEB42" w:tentative="1">
      <w:start w:val="1"/>
      <w:numFmt w:val="decimal"/>
      <w:lvlText w:val="%7."/>
      <w:lvlJc w:val="left"/>
      <w:pPr>
        <w:ind w:left="5040" w:hanging="360"/>
      </w:pPr>
    </w:lvl>
    <w:lvl w:ilvl="7" w:tplc="0A607BF2" w:tentative="1">
      <w:start w:val="1"/>
      <w:numFmt w:val="lowerLetter"/>
      <w:lvlText w:val="%8."/>
      <w:lvlJc w:val="left"/>
      <w:pPr>
        <w:ind w:left="5760" w:hanging="360"/>
      </w:pPr>
    </w:lvl>
    <w:lvl w:ilvl="8" w:tplc="7CB0E382" w:tentative="1">
      <w:start w:val="1"/>
      <w:numFmt w:val="lowerRoman"/>
      <w:lvlText w:val="%9."/>
      <w:lvlJc w:val="right"/>
      <w:pPr>
        <w:ind w:left="6480" w:hanging="180"/>
      </w:pPr>
    </w:lvl>
  </w:abstractNum>
  <w:abstractNum w:abstractNumId="12" w15:restartNumberingAfterBreak="0">
    <w:nsid w:val="49993542"/>
    <w:multiLevelType w:val="hybridMultilevel"/>
    <w:tmpl w:val="F1388786"/>
    <w:lvl w:ilvl="0" w:tplc="4F06E774">
      <w:start w:val="1"/>
      <w:numFmt w:val="decimal"/>
      <w:lvlText w:val="%1."/>
      <w:lvlJc w:val="left"/>
      <w:pPr>
        <w:ind w:left="644" w:hanging="360"/>
      </w:pPr>
      <w:rPr>
        <w:rFonts w:hint="default"/>
        <w:b w:val="0"/>
        <w:i w:val="0"/>
      </w:rPr>
    </w:lvl>
    <w:lvl w:ilvl="1" w:tplc="0C090019">
      <w:start w:val="1"/>
      <w:numFmt w:val="lowerLetter"/>
      <w:lvlText w:val="%2."/>
      <w:lvlJc w:val="left"/>
      <w:pPr>
        <w:ind w:left="1156" w:hanging="360"/>
      </w:pPr>
    </w:lvl>
    <w:lvl w:ilvl="2" w:tplc="7ED66F90">
      <w:start w:val="1"/>
      <w:numFmt w:val="lowerLetter"/>
      <w:lvlText w:val="(%3)"/>
      <w:lvlJc w:val="left"/>
      <w:pPr>
        <w:ind w:left="2101" w:hanging="405"/>
      </w:pPr>
      <w:rPr>
        <w:rFonts w:hint="default"/>
      </w:r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13" w15:restartNumberingAfterBreak="0">
    <w:nsid w:val="52B24410"/>
    <w:multiLevelType w:val="hybridMultilevel"/>
    <w:tmpl w:val="96A6F430"/>
    <w:lvl w:ilvl="0" w:tplc="04090001">
      <w:start w:val="1"/>
      <w:numFmt w:val="bullet"/>
      <w:lvlText w:val=""/>
      <w:lvlJc w:val="left"/>
      <w:pPr>
        <w:ind w:left="1366" w:hanging="360"/>
      </w:pPr>
      <w:rPr>
        <w:rFonts w:ascii="Symbol" w:hAnsi="Symbol" w:hint="default"/>
      </w:rPr>
    </w:lvl>
    <w:lvl w:ilvl="1" w:tplc="04090003">
      <w:start w:val="1"/>
      <w:numFmt w:val="bullet"/>
      <w:lvlText w:val="o"/>
      <w:lvlJc w:val="left"/>
      <w:pPr>
        <w:ind w:left="2086" w:hanging="360"/>
      </w:pPr>
      <w:rPr>
        <w:rFonts w:ascii="Courier New" w:hAnsi="Courier New" w:cs="Courier New" w:hint="default"/>
      </w:rPr>
    </w:lvl>
    <w:lvl w:ilvl="2" w:tplc="04090005" w:tentative="1">
      <w:start w:val="1"/>
      <w:numFmt w:val="bullet"/>
      <w:lvlText w:val=""/>
      <w:lvlJc w:val="left"/>
      <w:pPr>
        <w:ind w:left="2806" w:hanging="360"/>
      </w:pPr>
      <w:rPr>
        <w:rFonts w:ascii="Wingdings" w:hAnsi="Wingdings" w:hint="default"/>
      </w:rPr>
    </w:lvl>
    <w:lvl w:ilvl="3" w:tplc="04090001" w:tentative="1">
      <w:start w:val="1"/>
      <w:numFmt w:val="bullet"/>
      <w:lvlText w:val=""/>
      <w:lvlJc w:val="left"/>
      <w:pPr>
        <w:ind w:left="3526" w:hanging="360"/>
      </w:pPr>
      <w:rPr>
        <w:rFonts w:ascii="Symbol" w:hAnsi="Symbol" w:hint="default"/>
      </w:rPr>
    </w:lvl>
    <w:lvl w:ilvl="4" w:tplc="04090003" w:tentative="1">
      <w:start w:val="1"/>
      <w:numFmt w:val="bullet"/>
      <w:lvlText w:val="o"/>
      <w:lvlJc w:val="left"/>
      <w:pPr>
        <w:ind w:left="4246" w:hanging="360"/>
      </w:pPr>
      <w:rPr>
        <w:rFonts w:ascii="Courier New" w:hAnsi="Courier New" w:cs="Courier New" w:hint="default"/>
      </w:rPr>
    </w:lvl>
    <w:lvl w:ilvl="5" w:tplc="04090005" w:tentative="1">
      <w:start w:val="1"/>
      <w:numFmt w:val="bullet"/>
      <w:lvlText w:val=""/>
      <w:lvlJc w:val="left"/>
      <w:pPr>
        <w:ind w:left="4966" w:hanging="360"/>
      </w:pPr>
      <w:rPr>
        <w:rFonts w:ascii="Wingdings" w:hAnsi="Wingdings" w:hint="default"/>
      </w:rPr>
    </w:lvl>
    <w:lvl w:ilvl="6" w:tplc="04090001" w:tentative="1">
      <w:start w:val="1"/>
      <w:numFmt w:val="bullet"/>
      <w:lvlText w:val=""/>
      <w:lvlJc w:val="left"/>
      <w:pPr>
        <w:ind w:left="5686" w:hanging="360"/>
      </w:pPr>
      <w:rPr>
        <w:rFonts w:ascii="Symbol" w:hAnsi="Symbol" w:hint="default"/>
      </w:rPr>
    </w:lvl>
    <w:lvl w:ilvl="7" w:tplc="04090003" w:tentative="1">
      <w:start w:val="1"/>
      <w:numFmt w:val="bullet"/>
      <w:lvlText w:val="o"/>
      <w:lvlJc w:val="left"/>
      <w:pPr>
        <w:ind w:left="6406" w:hanging="360"/>
      </w:pPr>
      <w:rPr>
        <w:rFonts w:ascii="Courier New" w:hAnsi="Courier New" w:cs="Courier New" w:hint="default"/>
      </w:rPr>
    </w:lvl>
    <w:lvl w:ilvl="8" w:tplc="04090005" w:tentative="1">
      <w:start w:val="1"/>
      <w:numFmt w:val="bullet"/>
      <w:lvlText w:val=""/>
      <w:lvlJc w:val="left"/>
      <w:pPr>
        <w:ind w:left="7126" w:hanging="360"/>
      </w:pPr>
      <w:rPr>
        <w:rFonts w:ascii="Wingdings" w:hAnsi="Wingdings" w:hint="default"/>
      </w:rPr>
    </w:lvl>
  </w:abstractNum>
  <w:abstractNum w:abstractNumId="14" w15:restartNumberingAfterBreak="0">
    <w:nsid w:val="53C45FEE"/>
    <w:multiLevelType w:val="hybridMultilevel"/>
    <w:tmpl w:val="F1388786"/>
    <w:lvl w:ilvl="0" w:tplc="4F06E774">
      <w:start w:val="1"/>
      <w:numFmt w:val="decimal"/>
      <w:lvlText w:val="%1."/>
      <w:lvlJc w:val="left"/>
      <w:pPr>
        <w:ind w:left="360" w:hanging="360"/>
      </w:pPr>
      <w:rPr>
        <w:rFonts w:hint="default"/>
        <w:b w:val="0"/>
        <w:i w:val="0"/>
      </w:rPr>
    </w:lvl>
    <w:lvl w:ilvl="1" w:tplc="0C090019">
      <w:start w:val="1"/>
      <w:numFmt w:val="lowerLetter"/>
      <w:lvlText w:val="%2."/>
      <w:lvlJc w:val="left"/>
      <w:pPr>
        <w:ind w:left="872" w:hanging="360"/>
      </w:pPr>
    </w:lvl>
    <w:lvl w:ilvl="2" w:tplc="7ED66F90">
      <w:start w:val="1"/>
      <w:numFmt w:val="lowerLetter"/>
      <w:lvlText w:val="(%3)"/>
      <w:lvlJc w:val="left"/>
      <w:pPr>
        <w:ind w:left="1817" w:hanging="405"/>
      </w:pPr>
      <w:rPr>
        <w:rFonts w:hint="default"/>
      </w:rPr>
    </w:lvl>
    <w:lvl w:ilvl="3" w:tplc="0C09000F" w:tentative="1">
      <w:start w:val="1"/>
      <w:numFmt w:val="decimal"/>
      <w:lvlText w:val="%4."/>
      <w:lvlJc w:val="left"/>
      <w:pPr>
        <w:ind w:left="2312" w:hanging="360"/>
      </w:pPr>
    </w:lvl>
    <w:lvl w:ilvl="4" w:tplc="0C090019" w:tentative="1">
      <w:start w:val="1"/>
      <w:numFmt w:val="lowerLetter"/>
      <w:lvlText w:val="%5."/>
      <w:lvlJc w:val="left"/>
      <w:pPr>
        <w:ind w:left="3032" w:hanging="360"/>
      </w:pPr>
    </w:lvl>
    <w:lvl w:ilvl="5" w:tplc="0C09001B" w:tentative="1">
      <w:start w:val="1"/>
      <w:numFmt w:val="lowerRoman"/>
      <w:lvlText w:val="%6."/>
      <w:lvlJc w:val="right"/>
      <w:pPr>
        <w:ind w:left="3752" w:hanging="180"/>
      </w:pPr>
    </w:lvl>
    <w:lvl w:ilvl="6" w:tplc="0C09000F" w:tentative="1">
      <w:start w:val="1"/>
      <w:numFmt w:val="decimal"/>
      <w:lvlText w:val="%7."/>
      <w:lvlJc w:val="left"/>
      <w:pPr>
        <w:ind w:left="4472" w:hanging="360"/>
      </w:pPr>
    </w:lvl>
    <w:lvl w:ilvl="7" w:tplc="0C090019" w:tentative="1">
      <w:start w:val="1"/>
      <w:numFmt w:val="lowerLetter"/>
      <w:lvlText w:val="%8."/>
      <w:lvlJc w:val="left"/>
      <w:pPr>
        <w:ind w:left="5192" w:hanging="360"/>
      </w:pPr>
    </w:lvl>
    <w:lvl w:ilvl="8" w:tplc="0C09001B" w:tentative="1">
      <w:start w:val="1"/>
      <w:numFmt w:val="lowerRoman"/>
      <w:lvlText w:val="%9."/>
      <w:lvlJc w:val="right"/>
      <w:pPr>
        <w:ind w:left="5912" w:hanging="180"/>
      </w:pPr>
    </w:lvl>
  </w:abstractNum>
  <w:abstractNum w:abstractNumId="15" w15:restartNumberingAfterBreak="0">
    <w:nsid w:val="5BE11241"/>
    <w:multiLevelType w:val="hybridMultilevel"/>
    <w:tmpl w:val="D42C30A6"/>
    <w:lvl w:ilvl="0" w:tplc="4F06E774">
      <w:start w:val="1"/>
      <w:numFmt w:val="decimal"/>
      <w:lvlText w:val="%1."/>
      <w:lvlJc w:val="left"/>
      <w:pPr>
        <w:ind w:left="644" w:hanging="360"/>
      </w:pPr>
      <w:rPr>
        <w:rFonts w:hint="default"/>
        <w:b w:val="0"/>
        <w:i w:val="0"/>
      </w:rPr>
    </w:lvl>
    <w:lvl w:ilvl="1" w:tplc="0C090019">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16" w15:restartNumberingAfterBreak="0">
    <w:nsid w:val="5DA12964"/>
    <w:multiLevelType w:val="hybridMultilevel"/>
    <w:tmpl w:val="1F0A4286"/>
    <w:lvl w:ilvl="0" w:tplc="F1E6CF2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15A17F0"/>
    <w:multiLevelType w:val="hybridMultilevel"/>
    <w:tmpl w:val="8E52515E"/>
    <w:lvl w:ilvl="0" w:tplc="0C9C18CE">
      <w:start w:val="1"/>
      <w:numFmt w:val="decimal"/>
      <w:pStyle w:val="Paragraphnumbered"/>
      <w:lvlText w:val="%1."/>
      <w:lvlJc w:val="left"/>
      <w:pPr>
        <w:tabs>
          <w:tab w:val="num" w:pos="0"/>
        </w:tabs>
        <w:ind w:left="567" w:hanging="567"/>
      </w:pPr>
    </w:lvl>
    <w:lvl w:ilvl="1" w:tplc="0674C9FA">
      <w:start w:val="1"/>
      <w:numFmt w:val="bullet"/>
      <w:lvlText w:val=""/>
      <w:lvlJc w:val="left"/>
      <w:pPr>
        <w:ind w:left="1440" w:hanging="360"/>
      </w:pPr>
      <w:rPr>
        <w:rFonts w:ascii="Symbol" w:hAnsi="Symbol" w:hint="default"/>
      </w:rPr>
    </w:lvl>
    <w:lvl w:ilvl="2" w:tplc="38441A18">
      <w:start w:val="1"/>
      <w:numFmt w:val="lowerRoman"/>
      <w:lvlText w:val="%3."/>
      <w:lvlJc w:val="right"/>
      <w:pPr>
        <w:tabs>
          <w:tab w:val="num" w:pos="2160"/>
        </w:tabs>
        <w:ind w:left="2160" w:hanging="180"/>
      </w:pPr>
    </w:lvl>
    <w:lvl w:ilvl="3" w:tplc="4EE8A036">
      <w:start w:val="1"/>
      <w:numFmt w:val="decimal"/>
      <w:lvlText w:val="%4."/>
      <w:lvlJc w:val="left"/>
      <w:pPr>
        <w:tabs>
          <w:tab w:val="num" w:pos="2880"/>
        </w:tabs>
        <w:ind w:left="2880" w:hanging="360"/>
      </w:pPr>
    </w:lvl>
    <w:lvl w:ilvl="4" w:tplc="DEAC1D76">
      <w:start w:val="1"/>
      <w:numFmt w:val="lowerLetter"/>
      <w:lvlText w:val="%5."/>
      <w:lvlJc w:val="left"/>
      <w:pPr>
        <w:tabs>
          <w:tab w:val="num" w:pos="3600"/>
        </w:tabs>
        <w:ind w:left="3600" w:hanging="360"/>
      </w:pPr>
    </w:lvl>
    <w:lvl w:ilvl="5" w:tplc="AA10C22C">
      <w:start w:val="1"/>
      <w:numFmt w:val="lowerRoman"/>
      <w:lvlText w:val="%6."/>
      <w:lvlJc w:val="right"/>
      <w:pPr>
        <w:tabs>
          <w:tab w:val="num" w:pos="4320"/>
        </w:tabs>
        <w:ind w:left="4320" w:hanging="180"/>
      </w:pPr>
    </w:lvl>
    <w:lvl w:ilvl="6" w:tplc="94EA4960">
      <w:start w:val="1"/>
      <w:numFmt w:val="decimal"/>
      <w:lvlText w:val="%7."/>
      <w:lvlJc w:val="left"/>
      <w:pPr>
        <w:tabs>
          <w:tab w:val="num" w:pos="5040"/>
        </w:tabs>
        <w:ind w:left="5040" w:hanging="360"/>
      </w:pPr>
    </w:lvl>
    <w:lvl w:ilvl="7" w:tplc="46301AA0">
      <w:start w:val="1"/>
      <w:numFmt w:val="lowerLetter"/>
      <w:lvlText w:val="%8."/>
      <w:lvlJc w:val="left"/>
      <w:pPr>
        <w:tabs>
          <w:tab w:val="num" w:pos="5760"/>
        </w:tabs>
        <w:ind w:left="5760" w:hanging="360"/>
      </w:pPr>
    </w:lvl>
    <w:lvl w:ilvl="8" w:tplc="E4424FF4">
      <w:start w:val="1"/>
      <w:numFmt w:val="lowerRoman"/>
      <w:lvlText w:val="%9."/>
      <w:lvlJc w:val="right"/>
      <w:pPr>
        <w:tabs>
          <w:tab w:val="num" w:pos="6480"/>
        </w:tabs>
        <w:ind w:left="6480" w:hanging="180"/>
      </w:pPr>
    </w:lvl>
  </w:abstractNum>
  <w:abstractNum w:abstractNumId="18" w15:restartNumberingAfterBreak="0">
    <w:nsid w:val="682F20E3"/>
    <w:multiLevelType w:val="hybridMultilevel"/>
    <w:tmpl w:val="D29667D6"/>
    <w:lvl w:ilvl="0" w:tplc="04090001">
      <w:start w:val="1"/>
      <w:numFmt w:val="bullet"/>
      <w:lvlText w:val=""/>
      <w:lvlJc w:val="left"/>
      <w:pPr>
        <w:ind w:left="1353" w:hanging="360"/>
      </w:pPr>
      <w:rPr>
        <w:rFonts w:ascii="Symbol" w:hAnsi="Symbol"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9" w15:restartNumberingAfterBreak="0">
    <w:nsid w:val="6ED11E4A"/>
    <w:multiLevelType w:val="hybridMultilevel"/>
    <w:tmpl w:val="8D0EDED0"/>
    <w:lvl w:ilvl="0" w:tplc="04090001">
      <w:start w:val="1"/>
      <w:numFmt w:val="bullet"/>
      <w:lvlText w:val=""/>
      <w:lvlJc w:val="left"/>
      <w:pPr>
        <w:ind w:left="1366" w:hanging="360"/>
      </w:pPr>
      <w:rPr>
        <w:rFonts w:ascii="Symbol" w:hAnsi="Symbol" w:hint="default"/>
      </w:rPr>
    </w:lvl>
    <w:lvl w:ilvl="1" w:tplc="04090003">
      <w:start w:val="1"/>
      <w:numFmt w:val="bullet"/>
      <w:lvlText w:val="o"/>
      <w:lvlJc w:val="left"/>
      <w:pPr>
        <w:ind w:left="2086" w:hanging="360"/>
      </w:pPr>
      <w:rPr>
        <w:rFonts w:ascii="Courier New" w:hAnsi="Courier New" w:cs="Courier New" w:hint="default"/>
      </w:rPr>
    </w:lvl>
    <w:lvl w:ilvl="2" w:tplc="04090005">
      <w:start w:val="1"/>
      <w:numFmt w:val="bullet"/>
      <w:lvlText w:val=""/>
      <w:lvlJc w:val="left"/>
      <w:pPr>
        <w:ind w:left="2806" w:hanging="360"/>
      </w:pPr>
      <w:rPr>
        <w:rFonts w:ascii="Wingdings" w:hAnsi="Wingdings" w:hint="default"/>
      </w:rPr>
    </w:lvl>
    <w:lvl w:ilvl="3" w:tplc="04090001" w:tentative="1">
      <w:start w:val="1"/>
      <w:numFmt w:val="bullet"/>
      <w:lvlText w:val=""/>
      <w:lvlJc w:val="left"/>
      <w:pPr>
        <w:ind w:left="3526" w:hanging="360"/>
      </w:pPr>
      <w:rPr>
        <w:rFonts w:ascii="Symbol" w:hAnsi="Symbol" w:hint="default"/>
      </w:rPr>
    </w:lvl>
    <w:lvl w:ilvl="4" w:tplc="04090003" w:tentative="1">
      <w:start w:val="1"/>
      <w:numFmt w:val="bullet"/>
      <w:lvlText w:val="o"/>
      <w:lvlJc w:val="left"/>
      <w:pPr>
        <w:ind w:left="4246" w:hanging="360"/>
      </w:pPr>
      <w:rPr>
        <w:rFonts w:ascii="Courier New" w:hAnsi="Courier New" w:cs="Courier New" w:hint="default"/>
      </w:rPr>
    </w:lvl>
    <w:lvl w:ilvl="5" w:tplc="04090005" w:tentative="1">
      <w:start w:val="1"/>
      <w:numFmt w:val="bullet"/>
      <w:lvlText w:val=""/>
      <w:lvlJc w:val="left"/>
      <w:pPr>
        <w:ind w:left="4966" w:hanging="360"/>
      </w:pPr>
      <w:rPr>
        <w:rFonts w:ascii="Wingdings" w:hAnsi="Wingdings" w:hint="default"/>
      </w:rPr>
    </w:lvl>
    <w:lvl w:ilvl="6" w:tplc="04090001" w:tentative="1">
      <w:start w:val="1"/>
      <w:numFmt w:val="bullet"/>
      <w:lvlText w:val=""/>
      <w:lvlJc w:val="left"/>
      <w:pPr>
        <w:ind w:left="5686" w:hanging="360"/>
      </w:pPr>
      <w:rPr>
        <w:rFonts w:ascii="Symbol" w:hAnsi="Symbol" w:hint="default"/>
      </w:rPr>
    </w:lvl>
    <w:lvl w:ilvl="7" w:tplc="04090003" w:tentative="1">
      <w:start w:val="1"/>
      <w:numFmt w:val="bullet"/>
      <w:lvlText w:val="o"/>
      <w:lvlJc w:val="left"/>
      <w:pPr>
        <w:ind w:left="6406" w:hanging="360"/>
      </w:pPr>
      <w:rPr>
        <w:rFonts w:ascii="Courier New" w:hAnsi="Courier New" w:cs="Courier New" w:hint="default"/>
      </w:rPr>
    </w:lvl>
    <w:lvl w:ilvl="8" w:tplc="04090005" w:tentative="1">
      <w:start w:val="1"/>
      <w:numFmt w:val="bullet"/>
      <w:lvlText w:val=""/>
      <w:lvlJc w:val="left"/>
      <w:pPr>
        <w:ind w:left="7126" w:hanging="360"/>
      </w:pPr>
      <w:rPr>
        <w:rFonts w:ascii="Wingdings" w:hAnsi="Wingdings" w:hint="default"/>
      </w:rPr>
    </w:lvl>
  </w:abstractNum>
  <w:abstractNum w:abstractNumId="20" w15:restartNumberingAfterBreak="0">
    <w:nsid w:val="6EE341E1"/>
    <w:multiLevelType w:val="hybridMultilevel"/>
    <w:tmpl w:val="4928DEC2"/>
    <w:lvl w:ilvl="0" w:tplc="0C090001">
      <w:start w:val="1"/>
      <w:numFmt w:val="bullet"/>
      <w:lvlText w:val=""/>
      <w:lvlJc w:val="left"/>
      <w:pPr>
        <w:ind w:left="720" w:hanging="360"/>
      </w:pPr>
      <w:rPr>
        <w:rFonts w:ascii="Symbol" w:hAnsi="Symbol" w:hint="default"/>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01E737D"/>
    <w:multiLevelType w:val="hybridMultilevel"/>
    <w:tmpl w:val="F1388786"/>
    <w:lvl w:ilvl="0" w:tplc="4F06E774">
      <w:start w:val="1"/>
      <w:numFmt w:val="decimal"/>
      <w:lvlText w:val="%1."/>
      <w:lvlJc w:val="left"/>
      <w:pPr>
        <w:ind w:left="360" w:hanging="360"/>
      </w:pPr>
      <w:rPr>
        <w:rFonts w:hint="default"/>
        <w:b w:val="0"/>
        <w:i w:val="0"/>
      </w:rPr>
    </w:lvl>
    <w:lvl w:ilvl="1" w:tplc="0C090019">
      <w:start w:val="1"/>
      <w:numFmt w:val="lowerLetter"/>
      <w:lvlText w:val="%2."/>
      <w:lvlJc w:val="left"/>
      <w:pPr>
        <w:ind w:left="872" w:hanging="360"/>
      </w:pPr>
    </w:lvl>
    <w:lvl w:ilvl="2" w:tplc="7ED66F90">
      <w:start w:val="1"/>
      <w:numFmt w:val="lowerLetter"/>
      <w:lvlText w:val="(%3)"/>
      <w:lvlJc w:val="left"/>
      <w:pPr>
        <w:ind w:left="1817" w:hanging="405"/>
      </w:pPr>
      <w:rPr>
        <w:rFonts w:hint="default"/>
      </w:rPr>
    </w:lvl>
    <w:lvl w:ilvl="3" w:tplc="0C09000F" w:tentative="1">
      <w:start w:val="1"/>
      <w:numFmt w:val="decimal"/>
      <w:lvlText w:val="%4."/>
      <w:lvlJc w:val="left"/>
      <w:pPr>
        <w:ind w:left="2312" w:hanging="360"/>
      </w:pPr>
    </w:lvl>
    <w:lvl w:ilvl="4" w:tplc="0C090019" w:tentative="1">
      <w:start w:val="1"/>
      <w:numFmt w:val="lowerLetter"/>
      <w:lvlText w:val="%5."/>
      <w:lvlJc w:val="left"/>
      <w:pPr>
        <w:ind w:left="3032" w:hanging="360"/>
      </w:pPr>
    </w:lvl>
    <w:lvl w:ilvl="5" w:tplc="0C09001B" w:tentative="1">
      <w:start w:val="1"/>
      <w:numFmt w:val="lowerRoman"/>
      <w:lvlText w:val="%6."/>
      <w:lvlJc w:val="right"/>
      <w:pPr>
        <w:ind w:left="3752" w:hanging="180"/>
      </w:pPr>
    </w:lvl>
    <w:lvl w:ilvl="6" w:tplc="0C09000F" w:tentative="1">
      <w:start w:val="1"/>
      <w:numFmt w:val="decimal"/>
      <w:lvlText w:val="%7."/>
      <w:lvlJc w:val="left"/>
      <w:pPr>
        <w:ind w:left="4472" w:hanging="360"/>
      </w:pPr>
    </w:lvl>
    <w:lvl w:ilvl="7" w:tplc="0C090019" w:tentative="1">
      <w:start w:val="1"/>
      <w:numFmt w:val="lowerLetter"/>
      <w:lvlText w:val="%8."/>
      <w:lvlJc w:val="left"/>
      <w:pPr>
        <w:ind w:left="5192" w:hanging="360"/>
      </w:pPr>
    </w:lvl>
    <w:lvl w:ilvl="8" w:tplc="0C09001B" w:tentative="1">
      <w:start w:val="1"/>
      <w:numFmt w:val="lowerRoman"/>
      <w:lvlText w:val="%9."/>
      <w:lvlJc w:val="right"/>
      <w:pPr>
        <w:ind w:left="5912" w:hanging="180"/>
      </w:pPr>
    </w:lvl>
  </w:abstractNum>
  <w:abstractNum w:abstractNumId="22" w15:restartNumberingAfterBreak="0">
    <w:nsid w:val="75410097"/>
    <w:multiLevelType w:val="hybridMultilevel"/>
    <w:tmpl w:val="D42C30A6"/>
    <w:lvl w:ilvl="0" w:tplc="4F06E774">
      <w:start w:val="1"/>
      <w:numFmt w:val="decimal"/>
      <w:lvlText w:val="%1."/>
      <w:lvlJc w:val="left"/>
      <w:pPr>
        <w:ind w:left="644" w:hanging="360"/>
      </w:pPr>
      <w:rPr>
        <w:rFonts w:hint="default"/>
        <w:b w:val="0"/>
        <w:i w:val="0"/>
      </w:rPr>
    </w:lvl>
    <w:lvl w:ilvl="1" w:tplc="0C090019">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23" w15:restartNumberingAfterBreak="0">
    <w:nsid w:val="75C54BA6"/>
    <w:multiLevelType w:val="hybridMultilevel"/>
    <w:tmpl w:val="F1388786"/>
    <w:lvl w:ilvl="0" w:tplc="4F06E774">
      <w:start w:val="1"/>
      <w:numFmt w:val="decimal"/>
      <w:lvlText w:val="%1."/>
      <w:lvlJc w:val="left"/>
      <w:pPr>
        <w:ind w:left="360" w:hanging="360"/>
      </w:pPr>
      <w:rPr>
        <w:rFonts w:hint="default"/>
        <w:b w:val="0"/>
        <w:i w:val="0"/>
      </w:rPr>
    </w:lvl>
    <w:lvl w:ilvl="1" w:tplc="0C090019">
      <w:start w:val="1"/>
      <w:numFmt w:val="lowerLetter"/>
      <w:lvlText w:val="%2."/>
      <w:lvlJc w:val="left"/>
      <w:pPr>
        <w:ind w:left="872" w:hanging="360"/>
      </w:pPr>
    </w:lvl>
    <w:lvl w:ilvl="2" w:tplc="7ED66F90">
      <w:start w:val="1"/>
      <w:numFmt w:val="lowerLetter"/>
      <w:lvlText w:val="(%3)"/>
      <w:lvlJc w:val="left"/>
      <w:pPr>
        <w:ind w:left="1817" w:hanging="405"/>
      </w:pPr>
      <w:rPr>
        <w:rFonts w:hint="default"/>
      </w:rPr>
    </w:lvl>
    <w:lvl w:ilvl="3" w:tplc="0C09000F" w:tentative="1">
      <w:start w:val="1"/>
      <w:numFmt w:val="decimal"/>
      <w:lvlText w:val="%4."/>
      <w:lvlJc w:val="left"/>
      <w:pPr>
        <w:ind w:left="2312" w:hanging="360"/>
      </w:pPr>
    </w:lvl>
    <w:lvl w:ilvl="4" w:tplc="0C090019" w:tentative="1">
      <w:start w:val="1"/>
      <w:numFmt w:val="lowerLetter"/>
      <w:lvlText w:val="%5."/>
      <w:lvlJc w:val="left"/>
      <w:pPr>
        <w:ind w:left="3032" w:hanging="360"/>
      </w:pPr>
    </w:lvl>
    <w:lvl w:ilvl="5" w:tplc="0C09001B" w:tentative="1">
      <w:start w:val="1"/>
      <w:numFmt w:val="lowerRoman"/>
      <w:lvlText w:val="%6."/>
      <w:lvlJc w:val="right"/>
      <w:pPr>
        <w:ind w:left="3752" w:hanging="180"/>
      </w:pPr>
    </w:lvl>
    <w:lvl w:ilvl="6" w:tplc="0C09000F" w:tentative="1">
      <w:start w:val="1"/>
      <w:numFmt w:val="decimal"/>
      <w:lvlText w:val="%7."/>
      <w:lvlJc w:val="left"/>
      <w:pPr>
        <w:ind w:left="4472" w:hanging="360"/>
      </w:pPr>
    </w:lvl>
    <w:lvl w:ilvl="7" w:tplc="0C090019" w:tentative="1">
      <w:start w:val="1"/>
      <w:numFmt w:val="lowerLetter"/>
      <w:lvlText w:val="%8."/>
      <w:lvlJc w:val="left"/>
      <w:pPr>
        <w:ind w:left="5192" w:hanging="360"/>
      </w:pPr>
    </w:lvl>
    <w:lvl w:ilvl="8" w:tplc="0C09001B" w:tentative="1">
      <w:start w:val="1"/>
      <w:numFmt w:val="lowerRoman"/>
      <w:lvlText w:val="%9."/>
      <w:lvlJc w:val="right"/>
      <w:pPr>
        <w:ind w:left="5912" w:hanging="180"/>
      </w:pPr>
    </w:lvl>
  </w:abstractNum>
  <w:num w:numId="1">
    <w:abstractNumId w:val="3"/>
  </w:num>
  <w:num w:numId="2">
    <w:abstractNumId w:val="10"/>
  </w:num>
  <w:num w:numId="3">
    <w:abstractNumId w:val="20"/>
  </w:num>
  <w:num w:numId="4">
    <w:abstractNumId w:val="7"/>
  </w:num>
  <w:num w:numId="5">
    <w:abstractNumId w:val="0"/>
  </w:num>
  <w:num w:numId="6">
    <w:abstractNumId w:val="4"/>
  </w:num>
  <w:num w:numId="7">
    <w:abstractNumId w:val="11"/>
  </w:num>
  <w:num w:numId="8">
    <w:abstractNumId w:val="9"/>
  </w:num>
  <w:num w:numId="9">
    <w:abstractNumId w:val="17"/>
  </w:num>
  <w:num w:numId="10">
    <w:abstractNumId w:val="15"/>
  </w:num>
  <w:num w:numId="11">
    <w:abstractNumId w:val="22"/>
  </w:num>
  <w:num w:numId="12">
    <w:abstractNumId w:val="16"/>
  </w:num>
  <w:num w:numId="13">
    <w:abstractNumId w:val="14"/>
  </w:num>
  <w:num w:numId="14">
    <w:abstractNumId w:val="5"/>
  </w:num>
  <w:num w:numId="15">
    <w:abstractNumId w:val="19"/>
  </w:num>
  <w:num w:numId="16">
    <w:abstractNumId w:val="13"/>
  </w:num>
  <w:num w:numId="17">
    <w:abstractNumId w:val="18"/>
  </w:num>
  <w:num w:numId="18">
    <w:abstractNumId w:val="6"/>
  </w:num>
  <w:num w:numId="19">
    <w:abstractNumId w:val="12"/>
  </w:num>
  <w:num w:numId="20">
    <w:abstractNumId w:val="21"/>
  </w:num>
  <w:num w:numId="21">
    <w:abstractNumId w:val="23"/>
  </w:num>
  <w:num w:numId="22">
    <w:abstractNumId w:val="1"/>
  </w:num>
  <w:num w:numId="23">
    <w:abstractNumId w:val="8"/>
  </w:num>
  <w:num w:numId="24">
    <w:abstractNumId w:val="2"/>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A40"/>
    <w:rsid w:val="000042EC"/>
    <w:rsid w:val="00016FC0"/>
    <w:rsid w:val="000178DF"/>
    <w:rsid w:val="00017AF9"/>
    <w:rsid w:val="00023A63"/>
    <w:rsid w:val="000247FF"/>
    <w:rsid w:val="00027E37"/>
    <w:rsid w:val="0003219D"/>
    <w:rsid w:val="00032B2D"/>
    <w:rsid w:val="00043585"/>
    <w:rsid w:val="00044A2D"/>
    <w:rsid w:val="000455A0"/>
    <w:rsid w:val="00060C0C"/>
    <w:rsid w:val="00061076"/>
    <w:rsid w:val="00061D9D"/>
    <w:rsid w:val="00062427"/>
    <w:rsid w:val="00072498"/>
    <w:rsid w:val="00091E46"/>
    <w:rsid w:val="000B125F"/>
    <w:rsid w:val="000B2581"/>
    <w:rsid w:val="000B2B7E"/>
    <w:rsid w:val="000B63E9"/>
    <w:rsid w:val="000C45A4"/>
    <w:rsid w:val="000C5D1C"/>
    <w:rsid w:val="000E1931"/>
    <w:rsid w:val="000E2203"/>
    <w:rsid w:val="000E3480"/>
    <w:rsid w:val="000F2567"/>
    <w:rsid w:val="001254B8"/>
    <w:rsid w:val="001317EC"/>
    <w:rsid w:val="001430BE"/>
    <w:rsid w:val="0014492C"/>
    <w:rsid w:val="00146CEC"/>
    <w:rsid w:val="0015170B"/>
    <w:rsid w:val="00155227"/>
    <w:rsid w:val="00162B47"/>
    <w:rsid w:val="00165419"/>
    <w:rsid w:val="0018356A"/>
    <w:rsid w:val="00187787"/>
    <w:rsid w:val="0019733E"/>
    <w:rsid w:val="001A5E24"/>
    <w:rsid w:val="001C63C4"/>
    <w:rsid w:val="001E1EA8"/>
    <w:rsid w:val="001F1FAE"/>
    <w:rsid w:val="001F70B9"/>
    <w:rsid w:val="00207163"/>
    <w:rsid w:val="002137C0"/>
    <w:rsid w:val="00215421"/>
    <w:rsid w:val="00235E51"/>
    <w:rsid w:val="00246CD6"/>
    <w:rsid w:val="00247A82"/>
    <w:rsid w:val="00252F4C"/>
    <w:rsid w:val="0027552A"/>
    <w:rsid w:val="002837D4"/>
    <w:rsid w:val="002922D1"/>
    <w:rsid w:val="00292812"/>
    <w:rsid w:val="002A77EC"/>
    <w:rsid w:val="002A7A40"/>
    <w:rsid w:val="002B4886"/>
    <w:rsid w:val="002C5B04"/>
    <w:rsid w:val="002D571E"/>
    <w:rsid w:val="002E490B"/>
    <w:rsid w:val="002E5018"/>
    <w:rsid w:val="002E7CC5"/>
    <w:rsid w:val="002F054D"/>
    <w:rsid w:val="002F7B5F"/>
    <w:rsid w:val="00313893"/>
    <w:rsid w:val="003139FB"/>
    <w:rsid w:val="0033264D"/>
    <w:rsid w:val="0033297D"/>
    <w:rsid w:val="003460AE"/>
    <w:rsid w:val="00355166"/>
    <w:rsid w:val="00364A41"/>
    <w:rsid w:val="00375DBE"/>
    <w:rsid w:val="00387E10"/>
    <w:rsid w:val="00394BC2"/>
    <w:rsid w:val="00394C07"/>
    <w:rsid w:val="003B3FF2"/>
    <w:rsid w:val="003C2115"/>
    <w:rsid w:val="003D19ED"/>
    <w:rsid w:val="003E378C"/>
    <w:rsid w:val="003E5068"/>
    <w:rsid w:val="003F3F4A"/>
    <w:rsid w:val="00411410"/>
    <w:rsid w:val="004131BE"/>
    <w:rsid w:val="004154D0"/>
    <w:rsid w:val="004156B9"/>
    <w:rsid w:val="00434555"/>
    <w:rsid w:val="00436010"/>
    <w:rsid w:val="0044094A"/>
    <w:rsid w:val="00446608"/>
    <w:rsid w:val="004472D7"/>
    <w:rsid w:val="00451F19"/>
    <w:rsid w:val="004532D3"/>
    <w:rsid w:val="004554B6"/>
    <w:rsid w:val="00455EF6"/>
    <w:rsid w:val="00462176"/>
    <w:rsid w:val="00474003"/>
    <w:rsid w:val="00481930"/>
    <w:rsid w:val="00484838"/>
    <w:rsid w:val="004B276B"/>
    <w:rsid w:val="004B2E7E"/>
    <w:rsid w:val="004B3175"/>
    <w:rsid w:val="004C59C8"/>
    <w:rsid w:val="004D3C26"/>
    <w:rsid w:val="004D3DA0"/>
    <w:rsid w:val="004D52EA"/>
    <w:rsid w:val="004D56A9"/>
    <w:rsid w:val="004F7F0C"/>
    <w:rsid w:val="00503C00"/>
    <w:rsid w:val="00507935"/>
    <w:rsid w:val="005100CD"/>
    <w:rsid w:val="00525426"/>
    <w:rsid w:val="00554290"/>
    <w:rsid w:val="00556BCC"/>
    <w:rsid w:val="00560EEC"/>
    <w:rsid w:val="00560F0E"/>
    <w:rsid w:val="00561F5F"/>
    <w:rsid w:val="00567C6D"/>
    <w:rsid w:val="00584EA6"/>
    <w:rsid w:val="005B0426"/>
    <w:rsid w:val="005B3C14"/>
    <w:rsid w:val="005B5577"/>
    <w:rsid w:val="005B742A"/>
    <w:rsid w:val="005C73E0"/>
    <w:rsid w:val="005D0080"/>
    <w:rsid w:val="005D2586"/>
    <w:rsid w:val="005D7B7B"/>
    <w:rsid w:val="005F0AA1"/>
    <w:rsid w:val="00603BA9"/>
    <w:rsid w:val="00615597"/>
    <w:rsid w:val="00617558"/>
    <w:rsid w:val="00621FE5"/>
    <w:rsid w:val="00622BCA"/>
    <w:rsid w:val="006349ED"/>
    <w:rsid w:val="0063601F"/>
    <w:rsid w:val="00640B58"/>
    <w:rsid w:val="00640E64"/>
    <w:rsid w:val="006426C1"/>
    <w:rsid w:val="00665FE1"/>
    <w:rsid w:val="0066674C"/>
    <w:rsid w:val="0067793D"/>
    <w:rsid w:val="0068548C"/>
    <w:rsid w:val="00690DF1"/>
    <w:rsid w:val="006A4D73"/>
    <w:rsid w:val="006B10E7"/>
    <w:rsid w:val="006B2ECD"/>
    <w:rsid w:val="006B58FE"/>
    <w:rsid w:val="006B62E7"/>
    <w:rsid w:val="006C71B4"/>
    <w:rsid w:val="006D00BF"/>
    <w:rsid w:val="006D2791"/>
    <w:rsid w:val="006D6B85"/>
    <w:rsid w:val="007063BB"/>
    <w:rsid w:val="0070675A"/>
    <w:rsid w:val="0071251B"/>
    <w:rsid w:val="00741A16"/>
    <w:rsid w:val="00743321"/>
    <w:rsid w:val="00744B42"/>
    <w:rsid w:val="00745F97"/>
    <w:rsid w:val="00752277"/>
    <w:rsid w:val="00757C7E"/>
    <w:rsid w:val="007709E2"/>
    <w:rsid w:val="00772BF4"/>
    <w:rsid w:val="00785768"/>
    <w:rsid w:val="00790253"/>
    <w:rsid w:val="00794491"/>
    <w:rsid w:val="00794F7B"/>
    <w:rsid w:val="007A2055"/>
    <w:rsid w:val="007A4362"/>
    <w:rsid w:val="007A5965"/>
    <w:rsid w:val="007B298B"/>
    <w:rsid w:val="007C0193"/>
    <w:rsid w:val="007D3080"/>
    <w:rsid w:val="007D5F46"/>
    <w:rsid w:val="007E5258"/>
    <w:rsid w:val="008020A1"/>
    <w:rsid w:val="00806792"/>
    <w:rsid w:val="00823FE7"/>
    <w:rsid w:val="00834CA4"/>
    <w:rsid w:val="00835A23"/>
    <w:rsid w:val="008435F2"/>
    <w:rsid w:val="00854806"/>
    <w:rsid w:val="00871660"/>
    <w:rsid w:val="00881984"/>
    <w:rsid w:val="008832C6"/>
    <w:rsid w:val="008A54AE"/>
    <w:rsid w:val="008B480E"/>
    <w:rsid w:val="008B5D38"/>
    <w:rsid w:val="008B6258"/>
    <w:rsid w:val="008C1189"/>
    <w:rsid w:val="008C2BE7"/>
    <w:rsid w:val="008C4A38"/>
    <w:rsid w:val="008C7E93"/>
    <w:rsid w:val="008E1EFC"/>
    <w:rsid w:val="00910A92"/>
    <w:rsid w:val="009268F9"/>
    <w:rsid w:val="00926986"/>
    <w:rsid w:val="00927782"/>
    <w:rsid w:val="00932979"/>
    <w:rsid w:val="00935697"/>
    <w:rsid w:val="00943A11"/>
    <w:rsid w:val="0094702B"/>
    <w:rsid w:val="00960DE2"/>
    <w:rsid w:val="00980AF7"/>
    <w:rsid w:val="00983399"/>
    <w:rsid w:val="009A2EA1"/>
    <w:rsid w:val="009A3486"/>
    <w:rsid w:val="009B0383"/>
    <w:rsid w:val="009B77A4"/>
    <w:rsid w:val="009C0404"/>
    <w:rsid w:val="009C434A"/>
    <w:rsid w:val="009D47CF"/>
    <w:rsid w:val="009F4914"/>
    <w:rsid w:val="00A24F98"/>
    <w:rsid w:val="00A27FF8"/>
    <w:rsid w:val="00A31163"/>
    <w:rsid w:val="00A35580"/>
    <w:rsid w:val="00A41DC7"/>
    <w:rsid w:val="00A806EC"/>
    <w:rsid w:val="00A927DF"/>
    <w:rsid w:val="00AA090C"/>
    <w:rsid w:val="00AB2FC2"/>
    <w:rsid w:val="00AE3054"/>
    <w:rsid w:val="00AE443A"/>
    <w:rsid w:val="00AF745C"/>
    <w:rsid w:val="00B15EA6"/>
    <w:rsid w:val="00B3239D"/>
    <w:rsid w:val="00B514D7"/>
    <w:rsid w:val="00B71C7A"/>
    <w:rsid w:val="00B932F5"/>
    <w:rsid w:val="00B9636C"/>
    <w:rsid w:val="00BA5DC9"/>
    <w:rsid w:val="00BC05EE"/>
    <w:rsid w:val="00BC0D6F"/>
    <w:rsid w:val="00BD5100"/>
    <w:rsid w:val="00BD741F"/>
    <w:rsid w:val="00BE7681"/>
    <w:rsid w:val="00BF1B29"/>
    <w:rsid w:val="00BF660C"/>
    <w:rsid w:val="00C03DA2"/>
    <w:rsid w:val="00C11965"/>
    <w:rsid w:val="00C152EB"/>
    <w:rsid w:val="00C21C25"/>
    <w:rsid w:val="00C313CA"/>
    <w:rsid w:val="00C32937"/>
    <w:rsid w:val="00C34A6D"/>
    <w:rsid w:val="00C3505A"/>
    <w:rsid w:val="00C36247"/>
    <w:rsid w:val="00C44D9A"/>
    <w:rsid w:val="00C45CE6"/>
    <w:rsid w:val="00C47739"/>
    <w:rsid w:val="00C520B2"/>
    <w:rsid w:val="00C530B1"/>
    <w:rsid w:val="00C760DE"/>
    <w:rsid w:val="00C86875"/>
    <w:rsid w:val="00C87A71"/>
    <w:rsid w:val="00CA4DEC"/>
    <w:rsid w:val="00CB026D"/>
    <w:rsid w:val="00CD495A"/>
    <w:rsid w:val="00CD79C6"/>
    <w:rsid w:val="00CF19E7"/>
    <w:rsid w:val="00CF55F1"/>
    <w:rsid w:val="00CF68D8"/>
    <w:rsid w:val="00CF7FF2"/>
    <w:rsid w:val="00D020B2"/>
    <w:rsid w:val="00D04868"/>
    <w:rsid w:val="00D15668"/>
    <w:rsid w:val="00D25A86"/>
    <w:rsid w:val="00D26AE4"/>
    <w:rsid w:val="00D36172"/>
    <w:rsid w:val="00D435ED"/>
    <w:rsid w:val="00D44A01"/>
    <w:rsid w:val="00D530A1"/>
    <w:rsid w:val="00D545FC"/>
    <w:rsid w:val="00D553A3"/>
    <w:rsid w:val="00D61CF4"/>
    <w:rsid w:val="00D63415"/>
    <w:rsid w:val="00D64A4D"/>
    <w:rsid w:val="00D66A26"/>
    <w:rsid w:val="00D704C5"/>
    <w:rsid w:val="00D76668"/>
    <w:rsid w:val="00DA2431"/>
    <w:rsid w:val="00DB6FD4"/>
    <w:rsid w:val="00DC1C89"/>
    <w:rsid w:val="00DC6BAA"/>
    <w:rsid w:val="00DD1307"/>
    <w:rsid w:val="00DD1EDC"/>
    <w:rsid w:val="00DD51B7"/>
    <w:rsid w:val="00DF1327"/>
    <w:rsid w:val="00DF5CD4"/>
    <w:rsid w:val="00DF6DA7"/>
    <w:rsid w:val="00E128DE"/>
    <w:rsid w:val="00E13F81"/>
    <w:rsid w:val="00E16FC7"/>
    <w:rsid w:val="00E27152"/>
    <w:rsid w:val="00E303C0"/>
    <w:rsid w:val="00E312B8"/>
    <w:rsid w:val="00E46BEE"/>
    <w:rsid w:val="00E471CD"/>
    <w:rsid w:val="00E50C2A"/>
    <w:rsid w:val="00E8189E"/>
    <w:rsid w:val="00E85A30"/>
    <w:rsid w:val="00E97F6E"/>
    <w:rsid w:val="00EA089F"/>
    <w:rsid w:val="00EB43A7"/>
    <w:rsid w:val="00EB75F9"/>
    <w:rsid w:val="00EC0857"/>
    <w:rsid w:val="00EC4B9C"/>
    <w:rsid w:val="00ED21DC"/>
    <w:rsid w:val="00EE481E"/>
    <w:rsid w:val="00F00965"/>
    <w:rsid w:val="00F1021D"/>
    <w:rsid w:val="00F141A7"/>
    <w:rsid w:val="00F17B51"/>
    <w:rsid w:val="00F42C9D"/>
    <w:rsid w:val="00F47A25"/>
    <w:rsid w:val="00F75DC4"/>
    <w:rsid w:val="00FA177E"/>
    <w:rsid w:val="00FC5A8A"/>
    <w:rsid w:val="00FD16F1"/>
    <w:rsid w:val="00FE51CD"/>
    <w:rsid w:val="00FF120B"/>
    <w:rsid w:val="00FF509A"/>
    <w:rsid w:val="00FF595D"/>
    <w:rsid w:val="00FF62BD"/>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C663EC"/>
  <w15:docId w15:val="{F68CADF9-80AC-48E3-9415-53CA624AE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7A40"/>
  </w:style>
  <w:style w:type="paragraph" w:styleId="Heading1">
    <w:name w:val="heading 1"/>
    <w:basedOn w:val="Normal"/>
    <w:next w:val="Normal"/>
    <w:link w:val="Heading1Char"/>
    <w:uiPriority w:val="9"/>
    <w:qFormat/>
    <w:rsid w:val="000B2581"/>
    <w:pPr>
      <w:keepNext/>
      <w:keepLines/>
      <w:spacing w:before="480" w:after="0"/>
      <w:outlineLvl w:val="0"/>
    </w:pPr>
    <w:rPr>
      <w:rFonts w:ascii="Times New Roman" w:eastAsiaTheme="majorEastAsia" w:hAnsi="Times New Roman" w:cs="Times New Roman"/>
      <w:b/>
      <w:bCs/>
      <w:sz w:val="24"/>
      <w:szCs w:val="24"/>
    </w:rPr>
  </w:style>
  <w:style w:type="paragraph" w:styleId="Heading2">
    <w:name w:val="heading 2"/>
    <w:basedOn w:val="Normal"/>
    <w:next w:val="Normal"/>
    <w:link w:val="Heading2Char"/>
    <w:uiPriority w:val="9"/>
    <w:unhideWhenUsed/>
    <w:qFormat/>
    <w:rsid w:val="000B2581"/>
    <w:pPr>
      <w:keepNext/>
      <w:keepLines/>
      <w:spacing w:before="200" w:after="0"/>
      <w:outlineLvl w:val="1"/>
    </w:pPr>
    <w:rPr>
      <w:rFonts w:ascii="Times New Roman" w:eastAsiaTheme="majorEastAsia" w:hAnsi="Times New Roman" w:cs="Times New Roman"/>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139FB"/>
    <w:rPr>
      <w:sz w:val="16"/>
      <w:szCs w:val="16"/>
    </w:rPr>
  </w:style>
  <w:style w:type="paragraph" w:styleId="CommentText">
    <w:name w:val="annotation text"/>
    <w:basedOn w:val="Normal"/>
    <w:link w:val="CommentTextChar"/>
    <w:uiPriority w:val="99"/>
    <w:semiHidden/>
    <w:unhideWhenUsed/>
    <w:rsid w:val="003139FB"/>
    <w:pPr>
      <w:spacing w:line="240" w:lineRule="auto"/>
    </w:pPr>
    <w:rPr>
      <w:sz w:val="20"/>
      <w:szCs w:val="20"/>
    </w:rPr>
  </w:style>
  <w:style w:type="character" w:customStyle="1" w:styleId="CommentTextChar">
    <w:name w:val="Comment Text Char"/>
    <w:basedOn w:val="DefaultParagraphFont"/>
    <w:link w:val="CommentText"/>
    <w:uiPriority w:val="99"/>
    <w:semiHidden/>
    <w:rsid w:val="003139FB"/>
    <w:rPr>
      <w:sz w:val="20"/>
      <w:szCs w:val="20"/>
    </w:rPr>
  </w:style>
  <w:style w:type="paragraph" w:styleId="CommentSubject">
    <w:name w:val="annotation subject"/>
    <w:basedOn w:val="CommentText"/>
    <w:next w:val="CommentText"/>
    <w:link w:val="CommentSubjectChar"/>
    <w:uiPriority w:val="99"/>
    <w:semiHidden/>
    <w:unhideWhenUsed/>
    <w:rsid w:val="003139FB"/>
    <w:rPr>
      <w:b/>
      <w:bCs/>
    </w:rPr>
  </w:style>
  <w:style w:type="character" w:customStyle="1" w:styleId="CommentSubjectChar">
    <w:name w:val="Comment Subject Char"/>
    <w:basedOn w:val="CommentTextChar"/>
    <w:link w:val="CommentSubject"/>
    <w:uiPriority w:val="99"/>
    <w:semiHidden/>
    <w:rsid w:val="003139FB"/>
    <w:rPr>
      <w:b/>
      <w:bCs/>
      <w:sz w:val="20"/>
      <w:szCs w:val="20"/>
    </w:rPr>
  </w:style>
  <w:style w:type="paragraph" w:styleId="BalloonText">
    <w:name w:val="Balloon Text"/>
    <w:basedOn w:val="Normal"/>
    <w:link w:val="BalloonTextChar"/>
    <w:uiPriority w:val="99"/>
    <w:semiHidden/>
    <w:unhideWhenUsed/>
    <w:rsid w:val="003139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9FB"/>
    <w:rPr>
      <w:rFonts w:ascii="Tahoma" w:hAnsi="Tahoma" w:cs="Tahoma"/>
      <w:sz w:val="16"/>
      <w:szCs w:val="16"/>
    </w:rPr>
  </w:style>
  <w:style w:type="character" w:customStyle="1" w:styleId="Heading1Char">
    <w:name w:val="Heading 1 Char"/>
    <w:basedOn w:val="DefaultParagraphFont"/>
    <w:link w:val="Heading1"/>
    <w:uiPriority w:val="9"/>
    <w:rsid w:val="000B2581"/>
    <w:rPr>
      <w:rFonts w:ascii="Times New Roman" w:eastAsiaTheme="majorEastAsia" w:hAnsi="Times New Roman" w:cs="Times New Roman"/>
      <w:b/>
      <w:bCs/>
      <w:sz w:val="24"/>
      <w:szCs w:val="24"/>
    </w:rPr>
  </w:style>
  <w:style w:type="character" w:customStyle="1" w:styleId="Heading2Char">
    <w:name w:val="Heading 2 Char"/>
    <w:basedOn w:val="DefaultParagraphFont"/>
    <w:link w:val="Heading2"/>
    <w:uiPriority w:val="9"/>
    <w:rsid w:val="000B2581"/>
    <w:rPr>
      <w:rFonts w:ascii="Times New Roman" w:eastAsiaTheme="majorEastAsia" w:hAnsi="Times New Roman" w:cs="Times New Roman"/>
      <w:bCs/>
      <w:sz w:val="24"/>
      <w:szCs w:val="24"/>
      <w:u w:val="single"/>
    </w:rPr>
  </w:style>
  <w:style w:type="paragraph" w:customStyle="1" w:styleId="Default">
    <w:name w:val="Default"/>
    <w:rsid w:val="00FF62B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CV text,Dot pt,F5 List Paragraph,FooterText,L,List Paragraph1,List Paragraph11,List Paragraph111,List Paragraph2,Medium Grid 1 - Accent 21,NFP GP Bulleted List,Numbered Paragraph,Paragraphe de liste1,Recommendation,Table text,numbered,列出段"/>
    <w:basedOn w:val="Normal"/>
    <w:link w:val="ListParagraphChar"/>
    <w:uiPriority w:val="34"/>
    <w:qFormat/>
    <w:rsid w:val="00FF62BD"/>
    <w:pPr>
      <w:ind w:left="720"/>
      <w:contextualSpacing/>
    </w:pPr>
  </w:style>
  <w:style w:type="paragraph" w:styleId="FootnoteText">
    <w:name w:val="footnote text"/>
    <w:basedOn w:val="Normal"/>
    <w:link w:val="FootnoteTextChar"/>
    <w:uiPriority w:val="99"/>
    <w:semiHidden/>
    <w:unhideWhenUsed/>
    <w:rsid w:val="00FF62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BD"/>
    <w:rPr>
      <w:sz w:val="20"/>
      <w:szCs w:val="20"/>
    </w:rPr>
  </w:style>
  <w:style w:type="character" w:styleId="FootnoteReference">
    <w:name w:val="footnote reference"/>
    <w:basedOn w:val="DefaultParagraphFont"/>
    <w:uiPriority w:val="99"/>
    <w:semiHidden/>
    <w:unhideWhenUsed/>
    <w:rsid w:val="00FF62BD"/>
    <w:rPr>
      <w:vertAlign w:val="superscript"/>
    </w:rPr>
  </w:style>
  <w:style w:type="paragraph" w:styleId="Revision">
    <w:name w:val="Revision"/>
    <w:hidden/>
    <w:uiPriority w:val="99"/>
    <w:semiHidden/>
    <w:rsid w:val="00835A23"/>
    <w:pPr>
      <w:spacing w:after="0" w:line="240" w:lineRule="auto"/>
    </w:pPr>
  </w:style>
  <w:style w:type="paragraph" w:styleId="Header">
    <w:name w:val="header"/>
    <w:basedOn w:val="Normal"/>
    <w:link w:val="HeaderChar"/>
    <w:uiPriority w:val="99"/>
    <w:unhideWhenUsed/>
    <w:rsid w:val="00D048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868"/>
  </w:style>
  <w:style w:type="paragraph" w:styleId="Footer">
    <w:name w:val="footer"/>
    <w:basedOn w:val="Normal"/>
    <w:link w:val="FooterChar"/>
    <w:uiPriority w:val="99"/>
    <w:unhideWhenUsed/>
    <w:rsid w:val="00D048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868"/>
  </w:style>
  <w:style w:type="character" w:customStyle="1" w:styleId="ListParagraphChar">
    <w:name w:val="List Paragraph Char"/>
    <w:aliases w:val="CV text Char,Dot pt Char,F5 List Paragraph Char,FooterText Char,L Char,List Paragraph1 Char,List Paragraph11 Char,List Paragraph111 Char,List Paragraph2 Char,Medium Grid 1 - Accent 21 Char,NFP GP Bulleted List Char,Table text Char"/>
    <w:link w:val="ListParagraph"/>
    <w:uiPriority w:val="34"/>
    <w:locked/>
    <w:rsid w:val="00AE443A"/>
  </w:style>
  <w:style w:type="paragraph" w:customStyle="1" w:styleId="Paragraphnumbered">
    <w:name w:val="Paragraph (numbered)"/>
    <w:basedOn w:val="Normal"/>
    <w:rsid w:val="004D3DA0"/>
    <w:pPr>
      <w:numPr>
        <w:numId w:val="9"/>
      </w:numPr>
      <w:spacing w:before="240" w:after="0"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940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38446385-4215-46D2-AA43-081ACFA3BA2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19D3891D1F9B34DADB3CA646A91E121" ma:contentTypeVersion="" ma:contentTypeDescription="PDMS Document Site Content Type" ma:contentTypeScope="" ma:versionID="79953830fa434ed37488ea02226d5c5f">
  <xsd:schema xmlns:xsd="http://www.w3.org/2001/XMLSchema" xmlns:xs="http://www.w3.org/2001/XMLSchema" xmlns:p="http://schemas.microsoft.com/office/2006/metadata/properties" xmlns:ns2="38446385-4215-46D2-AA43-081ACFA3BA23" targetNamespace="http://schemas.microsoft.com/office/2006/metadata/properties" ma:root="true" ma:fieldsID="6dc26ab3de2de671841c6d653a8bdd93" ns2:_="">
    <xsd:import namespace="38446385-4215-46D2-AA43-081ACFA3BA2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46385-4215-46D2-AA43-081ACFA3BA2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0B63B-667B-4451-8D0A-D9D075657FD4}">
  <ds:schemaRefs>
    <ds:schemaRef ds:uri="http://schemas.microsoft.com/sharepoint/v3/contenttype/forms"/>
  </ds:schemaRefs>
</ds:datastoreItem>
</file>

<file path=customXml/itemProps2.xml><?xml version="1.0" encoding="utf-8"?>
<ds:datastoreItem xmlns:ds="http://schemas.openxmlformats.org/officeDocument/2006/customXml" ds:itemID="{B48EB45E-5ABD-48FC-88C7-B7B8A0DFEC57}">
  <ds:schemaRefs>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http://purl.org/dc/terms/"/>
    <ds:schemaRef ds:uri="http://schemas.microsoft.com/office/2006/documentManagement/types"/>
    <ds:schemaRef ds:uri="38446385-4215-46D2-AA43-081ACFA3BA23"/>
    <ds:schemaRef ds:uri="http://www.w3.org/XML/1998/namespace"/>
    <ds:schemaRef ds:uri="http://purl.org/dc/dcmitype/"/>
  </ds:schemaRefs>
</ds:datastoreItem>
</file>

<file path=customXml/itemProps3.xml><?xml version="1.0" encoding="utf-8"?>
<ds:datastoreItem xmlns:ds="http://schemas.openxmlformats.org/officeDocument/2006/customXml" ds:itemID="{34AB2EFC-5E89-4525-896A-33B642B9B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446385-4215-46D2-AA43-081ACFA3B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06F951-E40A-407A-908F-AAA42E4A5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3286</Words>
  <Characters>18734</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21977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ekanas</dc:creator>
  <cp:lastModifiedBy>Cascun-Valencic, Adrian</cp:lastModifiedBy>
  <cp:revision>2</cp:revision>
  <cp:lastPrinted>2015-10-08T02:41:00Z</cp:lastPrinted>
  <dcterms:created xsi:type="dcterms:W3CDTF">2023-05-15T00:57:00Z</dcterms:created>
  <dcterms:modified xsi:type="dcterms:W3CDTF">2023-05-15T00:57:00Z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0x010100266966F133664895A6EE3632470D45F500A19D3891D1F9B34DADB3CA646A91E121</vt:lpwstr>
  </property>
</Properties>
</file>