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30AFCF8B" w:rsidR="001F2A16" w:rsidRPr="008E4835" w:rsidRDefault="00DC0130" w:rsidP="00BF3BB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Pr>
          <w:rFonts w:ascii="Arial" w:hAnsi="Arial" w:cs="Arial"/>
          <w:sz w:val="34"/>
          <w:szCs w:val="34"/>
        </w:rPr>
        <w:t xml:space="preserve"> </w:t>
      </w:r>
      <w:r w:rsidR="001F2A16" w:rsidRPr="008E4835">
        <w:rPr>
          <w:rFonts w:ascii="Arial" w:hAnsi="Arial" w:cs="Arial"/>
          <w:sz w:val="34"/>
          <w:szCs w:val="34"/>
        </w:rPr>
        <w:t>Explanatory Statement</w:t>
      </w:r>
    </w:p>
    <w:p w14:paraId="6B8F7B13" w14:textId="096A9FA1" w:rsidR="009371D0" w:rsidRPr="009D7842" w:rsidRDefault="007E3803" w:rsidP="00BF3BBB">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bookmarkStart w:id="0" w:name="_Hlk51252752"/>
      <w:bookmarkStart w:id="1" w:name="_Hlk52208106"/>
      <w:r>
        <w:rPr>
          <w:rFonts w:ascii="Arial" w:hAnsi="Arial" w:cs="Arial"/>
          <w:sz w:val="34"/>
          <w:szCs w:val="34"/>
        </w:rPr>
        <w:t>Taxation Administration</w:t>
      </w:r>
      <w:r w:rsidR="00722D05" w:rsidRPr="009D7842">
        <w:rPr>
          <w:rFonts w:ascii="Arial" w:hAnsi="Arial" w:cs="Arial"/>
          <w:sz w:val="34"/>
          <w:szCs w:val="34"/>
        </w:rPr>
        <w:t xml:space="preserve"> (</w:t>
      </w:r>
      <w:r w:rsidR="009D7842" w:rsidRPr="009D7842">
        <w:rPr>
          <w:rFonts w:ascii="Arial" w:hAnsi="Arial" w:cs="Arial"/>
          <w:sz w:val="34"/>
          <w:szCs w:val="34"/>
        </w:rPr>
        <w:t xml:space="preserve">Remedial Power </w:t>
      </w:r>
      <w:r w:rsidR="00CA1170">
        <w:rPr>
          <w:rFonts w:ascii="Arial" w:hAnsi="Arial" w:cs="Arial"/>
          <w:sz w:val="34"/>
          <w:szCs w:val="34"/>
        </w:rPr>
        <w:t>–</w:t>
      </w:r>
      <w:r w:rsidR="008C5411">
        <w:rPr>
          <w:rFonts w:ascii="Arial" w:hAnsi="Arial" w:cs="Arial"/>
          <w:sz w:val="34"/>
          <w:szCs w:val="34"/>
        </w:rPr>
        <w:t xml:space="preserve"> Work Test for </w:t>
      </w:r>
      <w:r w:rsidR="007368E0">
        <w:rPr>
          <w:rFonts w:ascii="Arial" w:hAnsi="Arial" w:cs="Arial"/>
          <w:sz w:val="34"/>
          <w:szCs w:val="34"/>
        </w:rPr>
        <w:t xml:space="preserve">Personal </w:t>
      </w:r>
      <w:r w:rsidR="008C5411" w:rsidRPr="007B6B69">
        <w:rPr>
          <w:rFonts w:ascii="Arial" w:hAnsi="Arial" w:cs="Arial"/>
          <w:sz w:val="34"/>
          <w:szCs w:val="34"/>
        </w:rPr>
        <w:t>Superannuation</w:t>
      </w:r>
      <w:r w:rsidR="008C5411">
        <w:rPr>
          <w:rFonts w:ascii="Arial" w:hAnsi="Arial" w:cs="Arial"/>
          <w:sz w:val="34"/>
          <w:szCs w:val="34"/>
        </w:rPr>
        <w:t xml:space="preserve"> Contributions</w:t>
      </w:r>
      <w:r w:rsidR="00722D05" w:rsidRPr="009D7842">
        <w:rPr>
          <w:rFonts w:ascii="Arial" w:hAnsi="Arial" w:cs="Arial"/>
          <w:sz w:val="34"/>
          <w:szCs w:val="34"/>
        </w:rPr>
        <w:t xml:space="preserve">) Determination </w:t>
      </w:r>
      <w:bookmarkEnd w:id="0"/>
      <w:r w:rsidR="00D12296" w:rsidRPr="009D7842">
        <w:rPr>
          <w:rFonts w:ascii="Arial" w:hAnsi="Arial" w:cs="Arial"/>
          <w:sz w:val="34"/>
          <w:szCs w:val="34"/>
        </w:rPr>
        <w:t>202</w:t>
      </w:r>
      <w:r w:rsidR="008C5411">
        <w:rPr>
          <w:rFonts w:ascii="Arial" w:hAnsi="Arial" w:cs="Arial"/>
          <w:sz w:val="34"/>
          <w:szCs w:val="34"/>
        </w:rPr>
        <w:t>3</w:t>
      </w:r>
    </w:p>
    <w:bookmarkEnd w:id="1"/>
    <w:p w14:paraId="15AC1B54" w14:textId="0D7858DD" w:rsidR="00486653" w:rsidRPr="0088506B" w:rsidRDefault="00486653" w:rsidP="00910595">
      <w:pPr>
        <w:pStyle w:val="Heading2"/>
      </w:pPr>
      <w:r w:rsidRPr="0088506B">
        <w:t xml:space="preserve">General </w:t>
      </w:r>
      <w:r w:rsidR="00441CC0">
        <w:t>o</w:t>
      </w:r>
      <w:r w:rsidRPr="0088506B">
        <w:t xml:space="preserve">utline of </w:t>
      </w:r>
      <w:r w:rsidR="00441CC0">
        <w:t>i</w:t>
      </w:r>
      <w:r w:rsidRPr="0088506B">
        <w:t>nstrument</w:t>
      </w:r>
    </w:p>
    <w:p w14:paraId="78EAB923" w14:textId="77777777" w:rsidR="00BF3BBB" w:rsidRDefault="00486653" w:rsidP="009A78FB">
      <w:pPr>
        <w:numPr>
          <w:ilvl w:val="0"/>
          <w:numId w:val="1"/>
        </w:numPr>
        <w:tabs>
          <w:tab w:val="clear" w:pos="360"/>
        </w:tabs>
        <w:spacing w:after="120"/>
        <w:ind w:left="709" w:hanging="709"/>
        <w:rPr>
          <w:rFonts w:ascii="Arial" w:hAnsi="Arial" w:cs="Arial"/>
          <w:sz w:val="22"/>
          <w:szCs w:val="22"/>
        </w:rPr>
      </w:pPr>
      <w:r w:rsidRPr="00034C9D">
        <w:rPr>
          <w:rFonts w:ascii="Arial" w:hAnsi="Arial" w:cs="Arial"/>
          <w:sz w:val="22"/>
          <w:szCs w:val="22"/>
        </w:rPr>
        <w:t>This instrument is made under</w:t>
      </w:r>
      <w:r w:rsidR="00722D05" w:rsidRPr="00034C9D">
        <w:rPr>
          <w:rFonts w:ascii="Arial" w:hAnsi="Arial" w:cs="Arial"/>
          <w:sz w:val="22"/>
          <w:szCs w:val="22"/>
        </w:rPr>
        <w:t xml:space="preserve"> section 370-5 </w:t>
      </w:r>
      <w:r w:rsidR="00BA6AAD">
        <w:rPr>
          <w:rFonts w:ascii="Arial" w:hAnsi="Arial" w:cs="Arial"/>
          <w:sz w:val="22"/>
          <w:szCs w:val="22"/>
        </w:rPr>
        <w:t>in</w:t>
      </w:r>
      <w:r w:rsidR="009F1D4A" w:rsidRPr="00034C9D">
        <w:rPr>
          <w:rFonts w:ascii="Arial" w:hAnsi="Arial" w:cs="Arial"/>
          <w:sz w:val="22"/>
          <w:szCs w:val="22"/>
        </w:rPr>
        <w:t xml:space="preserve"> </w:t>
      </w:r>
      <w:r w:rsidR="00722D05" w:rsidRPr="00034C9D">
        <w:rPr>
          <w:rFonts w:ascii="Arial" w:hAnsi="Arial" w:cs="Arial"/>
          <w:sz w:val="22"/>
          <w:szCs w:val="22"/>
        </w:rPr>
        <w:t xml:space="preserve">Schedule 1 to the </w:t>
      </w:r>
      <w:r w:rsidR="00722D05" w:rsidRPr="00C566E7">
        <w:rPr>
          <w:rFonts w:ascii="Arial" w:hAnsi="Arial" w:cs="Arial"/>
          <w:i/>
          <w:iCs/>
          <w:sz w:val="22"/>
          <w:szCs w:val="22"/>
        </w:rPr>
        <w:t>Taxation Administration Act 1953</w:t>
      </w:r>
      <w:r w:rsidR="00722D05" w:rsidRPr="009A78FB">
        <w:rPr>
          <w:rFonts w:ascii="Arial" w:hAnsi="Arial" w:cs="Arial"/>
          <w:sz w:val="22"/>
          <w:szCs w:val="22"/>
        </w:rPr>
        <w:t xml:space="preserve"> </w:t>
      </w:r>
      <w:r w:rsidR="00722D05" w:rsidRPr="00034C9D">
        <w:rPr>
          <w:rFonts w:ascii="Arial" w:hAnsi="Arial" w:cs="Arial"/>
          <w:sz w:val="22"/>
          <w:szCs w:val="22"/>
        </w:rPr>
        <w:t>(TAA).</w:t>
      </w:r>
    </w:p>
    <w:p w14:paraId="6E892B36" w14:textId="0C2169F6" w:rsidR="00BF6535" w:rsidRPr="009A78FB" w:rsidRDefault="00283838" w:rsidP="009A78FB">
      <w:pPr>
        <w:numPr>
          <w:ilvl w:val="0"/>
          <w:numId w:val="1"/>
        </w:numPr>
        <w:tabs>
          <w:tab w:val="clear" w:pos="360"/>
        </w:tabs>
        <w:spacing w:after="120"/>
        <w:ind w:left="709" w:hanging="709"/>
        <w:rPr>
          <w:rFonts w:ascii="Arial" w:hAnsi="Arial" w:cs="Arial"/>
          <w:sz w:val="22"/>
          <w:szCs w:val="22"/>
        </w:rPr>
      </w:pPr>
      <w:r w:rsidRPr="00097071">
        <w:rPr>
          <w:rFonts w:ascii="Arial" w:hAnsi="Arial" w:cs="Arial"/>
          <w:sz w:val="22"/>
          <w:szCs w:val="22"/>
        </w:rPr>
        <w:t xml:space="preserve">The instrument modifies the operation of </w:t>
      </w:r>
      <w:bookmarkStart w:id="2" w:name="_Hlk128572539"/>
      <w:r w:rsidR="00645FEF" w:rsidRPr="00097071">
        <w:rPr>
          <w:rFonts w:ascii="Arial" w:hAnsi="Arial" w:cs="Arial"/>
          <w:sz w:val="22"/>
          <w:szCs w:val="22"/>
        </w:rPr>
        <w:t>sub</w:t>
      </w:r>
      <w:r w:rsidR="0096020B" w:rsidRPr="00097071">
        <w:rPr>
          <w:rFonts w:ascii="Arial" w:hAnsi="Arial" w:cs="Arial"/>
          <w:sz w:val="22"/>
          <w:szCs w:val="22"/>
        </w:rPr>
        <w:t xml:space="preserve">section </w:t>
      </w:r>
      <w:r w:rsidR="008C5411" w:rsidRPr="00097071">
        <w:rPr>
          <w:rFonts w:ascii="Arial" w:hAnsi="Arial" w:cs="Arial"/>
          <w:sz w:val="22"/>
          <w:szCs w:val="22"/>
        </w:rPr>
        <w:t>290-165</w:t>
      </w:r>
      <w:r w:rsidR="00645FEF" w:rsidRPr="00097071">
        <w:rPr>
          <w:rFonts w:ascii="Arial" w:hAnsi="Arial" w:cs="Arial"/>
          <w:sz w:val="22"/>
          <w:szCs w:val="22"/>
        </w:rPr>
        <w:t>(1A)</w:t>
      </w:r>
      <w:r w:rsidR="00BC76E3">
        <w:rPr>
          <w:rFonts w:ascii="Arial" w:hAnsi="Arial" w:cs="Arial"/>
          <w:sz w:val="22"/>
          <w:szCs w:val="22"/>
        </w:rPr>
        <w:t xml:space="preserve"> of the </w:t>
      </w:r>
      <w:r w:rsidR="00BC76E3">
        <w:rPr>
          <w:rFonts w:ascii="Arial" w:hAnsi="Arial" w:cs="Arial"/>
          <w:i/>
          <w:iCs/>
          <w:sz w:val="22"/>
          <w:szCs w:val="22"/>
        </w:rPr>
        <w:t xml:space="preserve">Income Tax Assessment Act 1997 </w:t>
      </w:r>
      <w:r w:rsidR="00BC76E3">
        <w:rPr>
          <w:rFonts w:ascii="Arial" w:hAnsi="Arial" w:cs="Arial"/>
          <w:sz w:val="22"/>
          <w:szCs w:val="22"/>
        </w:rPr>
        <w:t>(ITAA 1997)</w:t>
      </w:r>
      <w:r w:rsidR="006C112A">
        <w:rPr>
          <w:rFonts w:ascii="Arial" w:hAnsi="Arial" w:cs="Arial"/>
          <w:sz w:val="22"/>
          <w:szCs w:val="22"/>
        </w:rPr>
        <w:t>,</w:t>
      </w:r>
      <w:r w:rsidR="00341F53" w:rsidRPr="00097071">
        <w:rPr>
          <w:rFonts w:ascii="Arial" w:hAnsi="Arial" w:cs="Arial"/>
          <w:sz w:val="22"/>
          <w:szCs w:val="22"/>
        </w:rPr>
        <w:t xml:space="preserve"> </w:t>
      </w:r>
      <w:r w:rsidR="008F4CF2" w:rsidRPr="00097071">
        <w:rPr>
          <w:rFonts w:ascii="Arial" w:hAnsi="Arial" w:cs="Arial"/>
          <w:sz w:val="22"/>
          <w:szCs w:val="22"/>
        </w:rPr>
        <w:t>so that a</w:t>
      </w:r>
      <w:r w:rsidR="00C566E7">
        <w:rPr>
          <w:rFonts w:ascii="Arial" w:hAnsi="Arial" w:cs="Arial"/>
          <w:sz w:val="22"/>
          <w:szCs w:val="22"/>
        </w:rPr>
        <w:t xml:space="preserve"> person</w:t>
      </w:r>
      <w:r w:rsidR="00BF6535" w:rsidRPr="009A78FB">
        <w:rPr>
          <w:rFonts w:ascii="Arial" w:hAnsi="Arial" w:cs="Arial"/>
          <w:sz w:val="22"/>
          <w:szCs w:val="22"/>
        </w:rPr>
        <w:t xml:space="preserve"> </w:t>
      </w:r>
      <w:r w:rsidR="00BC76E3">
        <w:rPr>
          <w:rFonts w:ascii="Arial" w:hAnsi="Arial" w:cs="Arial"/>
          <w:sz w:val="22"/>
          <w:szCs w:val="22"/>
        </w:rPr>
        <w:t xml:space="preserve">is able to meet the ‘work test’ in that section </w:t>
      </w:r>
      <w:r w:rsidR="008F4CF2" w:rsidRPr="009A78FB">
        <w:rPr>
          <w:rFonts w:ascii="Arial" w:hAnsi="Arial" w:cs="Arial"/>
          <w:sz w:val="22"/>
          <w:szCs w:val="22"/>
        </w:rPr>
        <w:t xml:space="preserve">if they are an employee under </w:t>
      </w:r>
      <w:r w:rsidR="00C566E7">
        <w:rPr>
          <w:rFonts w:ascii="Arial" w:hAnsi="Arial" w:cs="Arial"/>
          <w:sz w:val="22"/>
          <w:szCs w:val="22"/>
        </w:rPr>
        <w:t>the</w:t>
      </w:r>
      <w:r w:rsidR="007C6F6E" w:rsidRPr="009A78FB">
        <w:rPr>
          <w:rFonts w:ascii="Arial" w:hAnsi="Arial" w:cs="Arial"/>
          <w:sz w:val="22"/>
          <w:szCs w:val="22"/>
        </w:rPr>
        <w:t xml:space="preserve"> expanded meaning in </w:t>
      </w:r>
      <w:r w:rsidR="008F4CF2" w:rsidRPr="009A78FB">
        <w:rPr>
          <w:rFonts w:ascii="Arial" w:hAnsi="Arial" w:cs="Arial"/>
          <w:sz w:val="22"/>
          <w:szCs w:val="22"/>
        </w:rPr>
        <w:t xml:space="preserve">section 15A of the </w:t>
      </w:r>
      <w:r w:rsidR="008F4CF2" w:rsidRPr="007B6B69">
        <w:rPr>
          <w:rFonts w:ascii="Arial" w:hAnsi="Arial" w:cs="Arial"/>
          <w:i/>
          <w:iCs/>
          <w:sz w:val="22"/>
          <w:szCs w:val="22"/>
        </w:rPr>
        <w:t>Superannuation</w:t>
      </w:r>
      <w:r w:rsidR="008F4CF2" w:rsidRPr="009A78FB">
        <w:rPr>
          <w:rFonts w:ascii="Arial" w:hAnsi="Arial" w:cs="Arial"/>
          <w:i/>
          <w:iCs/>
          <w:sz w:val="22"/>
          <w:szCs w:val="22"/>
        </w:rPr>
        <w:t xml:space="preserve"> Industry (Supervision) Act 1993</w:t>
      </w:r>
      <w:r w:rsidR="003E4551" w:rsidRPr="009A78FB">
        <w:rPr>
          <w:rFonts w:ascii="Arial" w:hAnsi="Arial" w:cs="Arial"/>
          <w:sz w:val="22"/>
          <w:szCs w:val="22"/>
        </w:rPr>
        <w:t xml:space="preserve"> (SIS</w:t>
      </w:r>
      <w:r w:rsidR="000F7652">
        <w:rPr>
          <w:rFonts w:ascii="Arial" w:hAnsi="Arial" w:cs="Arial"/>
          <w:sz w:val="22"/>
          <w:szCs w:val="22"/>
        </w:rPr>
        <w:t xml:space="preserve"> </w:t>
      </w:r>
      <w:r w:rsidR="003E4551" w:rsidRPr="009A78FB">
        <w:rPr>
          <w:rFonts w:ascii="Arial" w:hAnsi="Arial" w:cs="Arial"/>
          <w:sz w:val="22"/>
          <w:szCs w:val="22"/>
        </w:rPr>
        <w:t>A</w:t>
      </w:r>
      <w:r w:rsidR="000F7652">
        <w:rPr>
          <w:rFonts w:ascii="Arial" w:hAnsi="Arial" w:cs="Arial"/>
          <w:sz w:val="22"/>
          <w:szCs w:val="22"/>
        </w:rPr>
        <w:t>ct</w:t>
      </w:r>
      <w:r w:rsidR="003E4551" w:rsidRPr="009A78FB">
        <w:rPr>
          <w:rFonts w:ascii="Arial" w:hAnsi="Arial" w:cs="Arial"/>
          <w:sz w:val="22"/>
          <w:szCs w:val="22"/>
        </w:rPr>
        <w:t>)</w:t>
      </w:r>
      <w:r w:rsidR="006C112A">
        <w:rPr>
          <w:rFonts w:ascii="Arial" w:hAnsi="Arial" w:cs="Arial"/>
          <w:sz w:val="22"/>
          <w:szCs w:val="22"/>
        </w:rPr>
        <w:t xml:space="preserve"> and otherwise meet relevant criteria</w:t>
      </w:r>
      <w:r w:rsidR="00426557" w:rsidRPr="009A78FB">
        <w:rPr>
          <w:rFonts w:ascii="Arial" w:hAnsi="Arial" w:cs="Arial"/>
          <w:sz w:val="22"/>
          <w:szCs w:val="22"/>
        </w:rPr>
        <w:t>.</w:t>
      </w:r>
    </w:p>
    <w:bookmarkEnd w:id="2"/>
    <w:p w14:paraId="74A4880C" w14:textId="3FB00F86" w:rsidR="00455687" w:rsidRDefault="00DE22E6" w:rsidP="00E62A00">
      <w:pPr>
        <w:numPr>
          <w:ilvl w:val="0"/>
          <w:numId w:val="1"/>
        </w:numPr>
        <w:tabs>
          <w:tab w:val="clear" w:pos="360"/>
        </w:tabs>
        <w:spacing w:after="120"/>
        <w:ind w:left="709" w:right="-1" w:hanging="709"/>
        <w:rPr>
          <w:rFonts w:ascii="Arial" w:hAnsi="Arial" w:cs="Arial"/>
          <w:sz w:val="22"/>
          <w:szCs w:val="22"/>
        </w:rPr>
      </w:pPr>
      <w:r w:rsidRPr="00097071">
        <w:rPr>
          <w:rFonts w:ascii="Arial" w:hAnsi="Arial" w:cs="Arial"/>
          <w:sz w:val="22"/>
          <w:szCs w:val="22"/>
        </w:rPr>
        <w:t xml:space="preserve">The modification </w:t>
      </w:r>
      <w:bookmarkStart w:id="3" w:name="_Hlk128572668"/>
      <w:r w:rsidR="00CE4B4A" w:rsidRPr="00097071">
        <w:rPr>
          <w:rFonts w:ascii="Arial" w:hAnsi="Arial" w:cs="Arial"/>
          <w:sz w:val="22"/>
          <w:szCs w:val="22"/>
        </w:rPr>
        <w:t>ensure</w:t>
      </w:r>
      <w:r w:rsidR="00455687" w:rsidRPr="00097071">
        <w:rPr>
          <w:rFonts w:ascii="Arial" w:hAnsi="Arial" w:cs="Arial"/>
          <w:sz w:val="22"/>
          <w:szCs w:val="22"/>
        </w:rPr>
        <w:t>s</w:t>
      </w:r>
      <w:r w:rsidR="00CE4B4A" w:rsidRPr="00097071">
        <w:rPr>
          <w:rFonts w:ascii="Arial" w:hAnsi="Arial" w:cs="Arial"/>
          <w:sz w:val="22"/>
          <w:szCs w:val="22"/>
        </w:rPr>
        <w:t xml:space="preserve"> </w:t>
      </w:r>
      <w:r w:rsidR="00455687" w:rsidRPr="00097071">
        <w:rPr>
          <w:rFonts w:ascii="Arial" w:hAnsi="Arial" w:cs="Arial"/>
          <w:sz w:val="22"/>
          <w:szCs w:val="22"/>
        </w:rPr>
        <w:t xml:space="preserve">that all individuals </w:t>
      </w:r>
      <w:r w:rsidR="00E62394">
        <w:rPr>
          <w:rFonts w:ascii="Arial" w:hAnsi="Arial" w:cs="Arial"/>
          <w:sz w:val="22"/>
          <w:szCs w:val="22"/>
        </w:rPr>
        <w:t xml:space="preserve">aged 67 </w:t>
      </w:r>
      <w:r w:rsidR="009C107B">
        <w:rPr>
          <w:rFonts w:ascii="Arial" w:hAnsi="Arial" w:cs="Arial"/>
          <w:sz w:val="22"/>
          <w:szCs w:val="22"/>
        </w:rPr>
        <w:t xml:space="preserve">to </w:t>
      </w:r>
      <w:r w:rsidR="00E62394">
        <w:rPr>
          <w:rFonts w:ascii="Arial" w:hAnsi="Arial" w:cs="Arial"/>
          <w:sz w:val="22"/>
          <w:szCs w:val="22"/>
        </w:rPr>
        <w:t xml:space="preserve">75 years </w:t>
      </w:r>
      <w:r w:rsidR="006C112A">
        <w:rPr>
          <w:rFonts w:ascii="Arial" w:hAnsi="Arial" w:cs="Arial"/>
          <w:sz w:val="22"/>
          <w:szCs w:val="22"/>
        </w:rPr>
        <w:t xml:space="preserve">who </w:t>
      </w:r>
      <w:r w:rsidR="001F33C9" w:rsidRPr="00097071">
        <w:rPr>
          <w:rFonts w:ascii="Arial" w:hAnsi="Arial" w:cs="Arial"/>
          <w:sz w:val="22"/>
          <w:szCs w:val="22"/>
        </w:rPr>
        <w:t xml:space="preserve">are </w:t>
      </w:r>
      <w:r w:rsidR="00781678" w:rsidRPr="00097071">
        <w:rPr>
          <w:rFonts w:ascii="Arial" w:hAnsi="Arial" w:cs="Arial"/>
          <w:sz w:val="22"/>
          <w:szCs w:val="22"/>
        </w:rPr>
        <w:t>employees under section 15A of the SIS</w:t>
      </w:r>
      <w:r w:rsidR="000F7652">
        <w:rPr>
          <w:rFonts w:ascii="Arial" w:hAnsi="Arial" w:cs="Arial"/>
          <w:sz w:val="22"/>
          <w:szCs w:val="22"/>
        </w:rPr>
        <w:t xml:space="preserve"> </w:t>
      </w:r>
      <w:r w:rsidR="00781678" w:rsidRPr="00097071">
        <w:rPr>
          <w:rFonts w:ascii="Arial" w:hAnsi="Arial" w:cs="Arial"/>
          <w:sz w:val="22"/>
          <w:szCs w:val="22"/>
        </w:rPr>
        <w:t>A</w:t>
      </w:r>
      <w:r w:rsidR="000F7652">
        <w:rPr>
          <w:rFonts w:ascii="Arial" w:hAnsi="Arial" w:cs="Arial"/>
          <w:sz w:val="22"/>
          <w:szCs w:val="22"/>
        </w:rPr>
        <w:t>ct</w:t>
      </w:r>
      <w:r w:rsidR="00781678" w:rsidRPr="00097071">
        <w:rPr>
          <w:rFonts w:ascii="Arial" w:hAnsi="Arial" w:cs="Arial"/>
          <w:sz w:val="22"/>
          <w:szCs w:val="22"/>
        </w:rPr>
        <w:t>,</w:t>
      </w:r>
      <w:r w:rsidR="001F33C9" w:rsidRPr="00097071">
        <w:rPr>
          <w:rFonts w:ascii="Arial" w:hAnsi="Arial" w:cs="Arial"/>
          <w:sz w:val="22"/>
          <w:szCs w:val="22"/>
        </w:rPr>
        <w:t xml:space="preserve"> and</w:t>
      </w:r>
      <w:r w:rsidR="00781678" w:rsidRPr="00097071">
        <w:rPr>
          <w:rFonts w:ascii="Arial" w:hAnsi="Arial" w:cs="Arial"/>
          <w:sz w:val="22"/>
          <w:szCs w:val="22"/>
        </w:rPr>
        <w:t xml:space="preserve"> </w:t>
      </w:r>
      <w:r w:rsidR="00455687" w:rsidRPr="00097071">
        <w:rPr>
          <w:rFonts w:ascii="Arial" w:hAnsi="Arial" w:cs="Arial"/>
          <w:sz w:val="22"/>
          <w:szCs w:val="22"/>
        </w:rPr>
        <w:t xml:space="preserve">who </w:t>
      </w:r>
      <w:r w:rsidR="00BA6AAD" w:rsidRPr="00097071">
        <w:rPr>
          <w:rFonts w:ascii="Arial" w:hAnsi="Arial" w:cs="Arial"/>
          <w:sz w:val="22"/>
          <w:szCs w:val="22"/>
        </w:rPr>
        <w:t xml:space="preserve">would </w:t>
      </w:r>
      <w:r w:rsidR="00455687" w:rsidRPr="00097071">
        <w:rPr>
          <w:rFonts w:ascii="Arial" w:hAnsi="Arial" w:cs="Arial"/>
          <w:sz w:val="22"/>
          <w:szCs w:val="22"/>
        </w:rPr>
        <w:t>ha</w:t>
      </w:r>
      <w:r w:rsidR="00BA6AAD" w:rsidRPr="00097071">
        <w:rPr>
          <w:rFonts w:ascii="Arial" w:hAnsi="Arial" w:cs="Arial"/>
          <w:sz w:val="22"/>
          <w:szCs w:val="22"/>
        </w:rPr>
        <w:t>ve</w:t>
      </w:r>
      <w:r w:rsidR="00455687" w:rsidRPr="00097071">
        <w:rPr>
          <w:rFonts w:ascii="Arial" w:hAnsi="Arial" w:cs="Arial"/>
          <w:sz w:val="22"/>
          <w:szCs w:val="22"/>
        </w:rPr>
        <w:t xml:space="preserve"> been </w:t>
      </w:r>
      <w:r w:rsidR="009A78FB" w:rsidRPr="00097071">
        <w:rPr>
          <w:rFonts w:ascii="Arial" w:hAnsi="Arial" w:cs="Arial"/>
          <w:sz w:val="22"/>
          <w:szCs w:val="22"/>
        </w:rPr>
        <w:t>eligible</w:t>
      </w:r>
      <w:r w:rsidR="0006168E" w:rsidRPr="00097071">
        <w:rPr>
          <w:rFonts w:ascii="Arial" w:hAnsi="Arial" w:cs="Arial"/>
          <w:sz w:val="22"/>
          <w:szCs w:val="22"/>
        </w:rPr>
        <w:t xml:space="preserve"> </w:t>
      </w:r>
      <w:r w:rsidR="00455687" w:rsidRPr="00097071">
        <w:rPr>
          <w:rFonts w:ascii="Arial" w:hAnsi="Arial" w:cs="Arial"/>
          <w:sz w:val="22"/>
          <w:szCs w:val="22"/>
        </w:rPr>
        <w:t xml:space="preserve">to claim a deduction for their personal </w:t>
      </w:r>
      <w:r w:rsidR="00455687" w:rsidRPr="007B6B69">
        <w:rPr>
          <w:rFonts w:ascii="Arial" w:hAnsi="Arial" w:cs="Arial"/>
          <w:sz w:val="22"/>
          <w:szCs w:val="22"/>
        </w:rPr>
        <w:t>superannuation</w:t>
      </w:r>
      <w:r w:rsidR="00455687" w:rsidRPr="00097071">
        <w:rPr>
          <w:rFonts w:ascii="Arial" w:hAnsi="Arial" w:cs="Arial"/>
          <w:sz w:val="22"/>
          <w:szCs w:val="22"/>
        </w:rPr>
        <w:t xml:space="preserve"> contributions </w:t>
      </w:r>
      <w:r w:rsidR="006C112A">
        <w:rPr>
          <w:rFonts w:ascii="Arial" w:hAnsi="Arial" w:cs="Arial"/>
          <w:sz w:val="22"/>
          <w:szCs w:val="22"/>
        </w:rPr>
        <w:t xml:space="preserve">had </w:t>
      </w:r>
      <w:r w:rsidR="00C566E7" w:rsidRPr="0052196D">
        <w:rPr>
          <w:rFonts w:ascii="Arial" w:hAnsi="Arial" w:cs="Arial"/>
          <w:sz w:val="22"/>
          <w:szCs w:val="22"/>
        </w:rPr>
        <w:t xml:space="preserve">the ‘work test’ </w:t>
      </w:r>
      <w:r w:rsidR="006C112A">
        <w:rPr>
          <w:rFonts w:ascii="Arial" w:hAnsi="Arial" w:cs="Arial"/>
          <w:sz w:val="22"/>
          <w:szCs w:val="22"/>
        </w:rPr>
        <w:t>not been rel</w:t>
      </w:r>
      <w:r w:rsidR="000F7652">
        <w:rPr>
          <w:rFonts w:ascii="Arial" w:hAnsi="Arial" w:cs="Arial"/>
          <w:sz w:val="22"/>
          <w:szCs w:val="22"/>
        </w:rPr>
        <w:t>o</w:t>
      </w:r>
      <w:r w:rsidR="006C112A">
        <w:rPr>
          <w:rFonts w:ascii="Arial" w:hAnsi="Arial" w:cs="Arial"/>
          <w:sz w:val="22"/>
          <w:szCs w:val="22"/>
        </w:rPr>
        <w:t xml:space="preserve">cated </w:t>
      </w:r>
      <w:r w:rsidR="00C566E7" w:rsidRPr="0052196D">
        <w:rPr>
          <w:rFonts w:ascii="Arial" w:hAnsi="Arial" w:cs="Arial"/>
          <w:sz w:val="22"/>
          <w:szCs w:val="22"/>
        </w:rPr>
        <w:t xml:space="preserve">from the </w:t>
      </w:r>
      <w:r w:rsidR="00C566E7" w:rsidRPr="007B6B69">
        <w:rPr>
          <w:rFonts w:ascii="Arial" w:hAnsi="Arial" w:cs="Arial"/>
          <w:i/>
          <w:iCs/>
          <w:sz w:val="22"/>
          <w:szCs w:val="22"/>
        </w:rPr>
        <w:t>Superannuation</w:t>
      </w:r>
      <w:r w:rsidR="00C566E7" w:rsidRPr="00C566E7">
        <w:rPr>
          <w:rFonts w:ascii="Arial" w:hAnsi="Arial" w:cs="Arial"/>
          <w:i/>
          <w:iCs/>
          <w:sz w:val="22"/>
          <w:szCs w:val="22"/>
        </w:rPr>
        <w:t xml:space="preserve"> Industry (Supervision) Regulations 1994</w:t>
      </w:r>
      <w:r w:rsidR="00C566E7" w:rsidRPr="0052196D">
        <w:rPr>
          <w:rFonts w:ascii="Arial" w:hAnsi="Arial" w:cs="Arial"/>
          <w:sz w:val="22"/>
          <w:szCs w:val="22"/>
        </w:rPr>
        <w:t xml:space="preserve"> (SISR) and </w:t>
      </w:r>
      <w:r w:rsidR="00C566E7" w:rsidRPr="00C566E7">
        <w:rPr>
          <w:rFonts w:ascii="Arial" w:hAnsi="Arial" w:cs="Arial"/>
          <w:i/>
          <w:iCs/>
          <w:sz w:val="22"/>
          <w:szCs w:val="22"/>
        </w:rPr>
        <w:t>Retirement Savings Account</w:t>
      </w:r>
      <w:r w:rsidR="00507921">
        <w:rPr>
          <w:rFonts w:ascii="Arial" w:hAnsi="Arial" w:cs="Arial"/>
          <w:i/>
          <w:iCs/>
          <w:sz w:val="22"/>
          <w:szCs w:val="22"/>
        </w:rPr>
        <w:t>s</w:t>
      </w:r>
      <w:r w:rsidR="00C566E7" w:rsidRPr="00C566E7">
        <w:rPr>
          <w:rFonts w:ascii="Arial" w:hAnsi="Arial" w:cs="Arial"/>
          <w:i/>
          <w:iCs/>
          <w:sz w:val="22"/>
          <w:szCs w:val="22"/>
        </w:rPr>
        <w:t xml:space="preserve"> Regulations</w:t>
      </w:r>
      <w:r w:rsidR="00E62A00">
        <w:rPr>
          <w:rFonts w:ascii="Arial" w:hAnsi="Arial" w:cs="Arial"/>
          <w:i/>
          <w:iCs/>
          <w:sz w:val="22"/>
          <w:szCs w:val="22"/>
        </w:rPr>
        <w:t xml:space="preserve"> </w:t>
      </w:r>
      <w:r w:rsidR="00C566E7" w:rsidRPr="00C566E7">
        <w:rPr>
          <w:rFonts w:ascii="Arial" w:hAnsi="Arial" w:cs="Arial"/>
          <w:i/>
          <w:iCs/>
          <w:sz w:val="22"/>
          <w:szCs w:val="22"/>
        </w:rPr>
        <w:t>1997</w:t>
      </w:r>
      <w:r w:rsidR="00C566E7" w:rsidRPr="0052196D">
        <w:rPr>
          <w:rFonts w:ascii="Arial" w:hAnsi="Arial" w:cs="Arial"/>
          <w:sz w:val="22"/>
          <w:szCs w:val="22"/>
        </w:rPr>
        <w:t xml:space="preserve"> (RSAR) to the ITAA</w:t>
      </w:r>
      <w:r w:rsidR="00E62A00">
        <w:rPr>
          <w:rFonts w:ascii="Arial" w:hAnsi="Arial" w:cs="Arial"/>
          <w:sz w:val="22"/>
          <w:szCs w:val="22"/>
        </w:rPr>
        <w:t xml:space="preserve"> </w:t>
      </w:r>
      <w:r w:rsidR="00C566E7" w:rsidRPr="0052196D">
        <w:rPr>
          <w:rFonts w:ascii="Arial" w:hAnsi="Arial" w:cs="Arial"/>
          <w:sz w:val="22"/>
          <w:szCs w:val="22"/>
        </w:rPr>
        <w:t>1997</w:t>
      </w:r>
      <w:r w:rsidR="006C112A">
        <w:rPr>
          <w:rFonts w:ascii="Arial" w:hAnsi="Arial" w:cs="Arial"/>
          <w:sz w:val="22"/>
          <w:szCs w:val="22"/>
        </w:rPr>
        <w:t xml:space="preserve"> in 2022</w:t>
      </w:r>
      <w:r w:rsidR="00455687" w:rsidRPr="00097071">
        <w:rPr>
          <w:rFonts w:ascii="Arial" w:hAnsi="Arial" w:cs="Arial"/>
          <w:sz w:val="22"/>
          <w:szCs w:val="22"/>
        </w:rPr>
        <w:t xml:space="preserve">, continue to be eligible to </w:t>
      </w:r>
      <w:r w:rsidR="00781678" w:rsidRPr="00097071">
        <w:rPr>
          <w:rFonts w:ascii="Arial" w:hAnsi="Arial" w:cs="Arial"/>
          <w:sz w:val="22"/>
          <w:szCs w:val="22"/>
        </w:rPr>
        <w:t>do so</w:t>
      </w:r>
      <w:r w:rsidR="00455687" w:rsidRPr="00097071">
        <w:rPr>
          <w:rFonts w:ascii="Arial" w:hAnsi="Arial" w:cs="Arial"/>
          <w:sz w:val="22"/>
          <w:szCs w:val="22"/>
        </w:rPr>
        <w:t>.</w:t>
      </w:r>
    </w:p>
    <w:p w14:paraId="60FEE0A3" w14:textId="7DB40BDF" w:rsidR="00797793" w:rsidRDefault="00797793" w:rsidP="00097071">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 xml:space="preserve">The modification </w:t>
      </w:r>
      <w:r w:rsidRPr="009A78FB">
        <w:rPr>
          <w:rFonts w:ascii="Arial" w:hAnsi="Arial" w:cs="Arial"/>
          <w:sz w:val="22"/>
          <w:szCs w:val="22"/>
        </w:rPr>
        <w:t xml:space="preserve">ensures the </w:t>
      </w:r>
      <w:r w:rsidR="00693569" w:rsidRPr="009A78FB">
        <w:rPr>
          <w:rFonts w:ascii="Arial" w:hAnsi="Arial" w:cs="Arial"/>
          <w:sz w:val="22"/>
          <w:szCs w:val="22"/>
        </w:rPr>
        <w:t>previous</w:t>
      </w:r>
      <w:r w:rsidRPr="009A78FB">
        <w:rPr>
          <w:rFonts w:ascii="Arial" w:hAnsi="Arial" w:cs="Arial"/>
          <w:sz w:val="22"/>
          <w:szCs w:val="22"/>
        </w:rPr>
        <w:t xml:space="preserve"> </w:t>
      </w:r>
      <w:r w:rsidR="00341373">
        <w:rPr>
          <w:rFonts w:ascii="Arial" w:hAnsi="Arial" w:cs="Arial"/>
          <w:sz w:val="22"/>
          <w:szCs w:val="22"/>
        </w:rPr>
        <w:t xml:space="preserve">eligibility </w:t>
      </w:r>
      <w:r w:rsidR="00693569" w:rsidRPr="009A78FB">
        <w:rPr>
          <w:rFonts w:ascii="Arial" w:hAnsi="Arial" w:cs="Arial"/>
          <w:sz w:val="22"/>
          <w:szCs w:val="22"/>
        </w:rPr>
        <w:t>criteria for</w:t>
      </w:r>
      <w:r w:rsidRPr="009A78FB">
        <w:rPr>
          <w:rFonts w:ascii="Arial" w:hAnsi="Arial" w:cs="Arial"/>
          <w:sz w:val="22"/>
          <w:szCs w:val="22"/>
        </w:rPr>
        <w:t xml:space="preserve"> </w:t>
      </w:r>
      <w:r w:rsidR="00E62766">
        <w:rPr>
          <w:rFonts w:ascii="Arial" w:hAnsi="Arial" w:cs="Arial"/>
          <w:sz w:val="22"/>
          <w:szCs w:val="22"/>
        </w:rPr>
        <w:t>deducting</w:t>
      </w:r>
      <w:r w:rsidRPr="009A78FB">
        <w:rPr>
          <w:rFonts w:ascii="Arial" w:hAnsi="Arial" w:cs="Arial"/>
          <w:sz w:val="22"/>
          <w:szCs w:val="22"/>
        </w:rPr>
        <w:t xml:space="preserve"> personal</w:t>
      </w:r>
      <w:r w:rsidR="00693569" w:rsidRPr="009A78FB">
        <w:rPr>
          <w:rFonts w:ascii="Arial" w:hAnsi="Arial" w:cs="Arial"/>
          <w:sz w:val="22"/>
          <w:szCs w:val="22"/>
        </w:rPr>
        <w:t xml:space="preserve"> </w:t>
      </w:r>
      <w:r w:rsidR="00693569" w:rsidRPr="007B6B69">
        <w:rPr>
          <w:rFonts w:ascii="Arial" w:hAnsi="Arial" w:cs="Arial"/>
          <w:sz w:val="22"/>
          <w:szCs w:val="22"/>
        </w:rPr>
        <w:t>superannuation</w:t>
      </w:r>
      <w:r w:rsidRPr="009A78FB">
        <w:rPr>
          <w:rFonts w:ascii="Arial" w:hAnsi="Arial" w:cs="Arial"/>
          <w:sz w:val="22"/>
          <w:szCs w:val="22"/>
        </w:rPr>
        <w:t xml:space="preserve"> contributions</w:t>
      </w:r>
      <w:r w:rsidR="00693569" w:rsidRPr="009A78FB">
        <w:rPr>
          <w:rFonts w:ascii="Arial" w:hAnsi="Arial" w:cs="Arial"/>
          <w:sz w:val="22"/>
          <w:szCs w:val="22"/>
        </w:rPr>
        <w:t xml:space="preserve"> is maintained</w:t>
      </w:r>
      <w:r w:rsidR="00310A4A">
        <w:rPr>
          <w:rFonts w:ascii="Arial" w:hAnsi="Arial" w:cs="Arial"/>
          <w:sz w:val="22"/>
          <w:szCs w:val="22"/>
        </w:rPr>
        <w:t xml:space="preserve">, and </w:t>
      </w:r>
      <w:r w:rsidR="00310A4A" w:rsidRPr="00310A4A">
        <w:rPr>
          <w:rFonts w:ascii="Arial" w:hAnsi="Arial" w:cs="Arial"/>
          <w:sz w:val="22"/>
          <w:szCs w:val="22"/>
        </w:rPr>
        <w:t xml:space="preserve">provides certainty for </w:t>
      </w:r>
      <w:r w:rsidR="00310A4A">
        <w:rPr>
          <w:rFonts w:ascii="Arial" w:hAnsi="Arial" w:cs="Arial"/>
          <w:sz w:val="22"/>
          <w:szCs w:val="22"/>
        </w:rPr>
        <w:t>affected</w:t>
      </w:r>
      <w:r w:rsidR="00310A4A" w:rsidRPr="00310A4A">
        <w:rPr>
          <w:rFonts w:ascii="Arial" w:hAnsi="Arial" w:cs="Arial"/>
          <w:sz w:val="22"/>
          <w:szCs w:val="22"/>
        </w:rPr>
        <w:t xml:space="preserve"> individuals</w:t>
      </w:r>
      <w:r w:rsidR="00310A4A">
        <w:rPr>
          <w:rFonts w:ascii="Arial" w:hAnsi="Arial" w:cs="Arial"/>
          <w:sz w:val="22"/>
          <w:szCs w:val="22"/>
        </w:rPr>
        <w:t>.</w:t>
      </w:r>
    </w:p>
    <w:bookmarkEnd w:id="3"/>
    <w:p w14:paraId="15AC1B5F" w14:textId="3DA084D6" w:rsidR="00486653" w:rsidRDefault="00486653" w:rsidP="009A78FB">
      <w:pPr>
        <w:numPr>
          <w:ilvl w:val="0"/>
          <w:numId w:val="1"/>
        </w:numPr>
        <w:tabs>
          <w:tab w:val="clear" w:pos="360"/>
        </w:tabs>
        <w:spacing w:after="120"/>
        <w:ind w:left="709" w:hanging="709"/>
        <w:rPr>
          <w:rFonts w:ascii="Arial" w:hAnsi="Arial" w:cs="Arial"/>
          <w:sz w:val="22"/>
          <w:szCs w:val="22"/>
        </w:rPr>
      </w:pPr>
      <w:r w:rsidRPr="00097071">
        <w:rPr>
          <w:rFonts w:ascii="Arial" w:hAnsi="Arial" w:cs="Arial"/>
          <w:sz w:val="22"/>
          <w:szCs w:val="22"/>
        </w:rPr>
        <w:t xml:space="preserve">The instrument is a legislative instrument for the purposes of the </w:t>
      </w:r>
      <w:r w:rsidR="00C4143E" w:rsidRPr="00693569">
        <w:rPr>
          <w:rFonts w:ascii="Arial" w:hAnsi="Arial" w:cs="Arial"/>
          <w:i/>
          <w:iCs/>
          <w:sz w:val="22"/>
          <w:szCs w:val="22"/>
        </w:rPr>
        <w:t xml:space="preserve">Legislation </w:t>
      </w:r>
      <w:r w:rsidRPr="00693569">
        <w:rPr>
          <w:rFonts w:ascii="Arial" w:hAnsi="Arial" w:cs="Arial"/>
          <w:i/>
          <w:iCs/>
          <w:sz w:val="22"/>
          <w:szCs w:val="22"/>
        </w:rPr>
        <w:t>Act 2003</w:t>
      </w:r>
      <w:r w:rsidRPr="00097071">
        <w:rPr>
          <w:rFonts w:ascii="Arial" w:hAnsi="Arial" w:cs="Arial"/>
          <w:sz w:val="22"/>
          <w:szCs w:val="22"/>
        </w:rPr>
        <w:t>.</w:t>
      </w:r>
    </w:p>
    <w:p w14:paraId="5214C7E7" w14:textId="0CC3B8EB" w:rsidR="00797009" w:rsidRPr="00797009" w:rsidRDefault="00797009" w:rsidP="00797009">
      <w:pPr>
        <w:numPr>
          <w:ilvl w:val="0"/>
          <w:numId w:val="1"/>
        </w:numPr>
        <w:tabs>
          <w:tab w:val="clear" w:pos="360"/>
        </w:tabs>
        <w:spacing w:after="120"/>
        <w:ind w:left="709" w:hanging="709"/>
        <w:rPr>
          <w:rFonts w:ascii="Arial" w:hAnsi="Arial" w:cs="Arial"/>
          <w:sz w:val="22"/>
          <w:szCs w:val="22"/>
        </w:rPr>
      </w:pPr>
      <w:r w:rsidRPr="00FD0AF2">
        <w:rPr>
          <w:rFonts w:ascii="Arial" w:hAnsi="Arial" w:cs="Arial"/>
          <w:sz w:val="22"/>
          <w:szCs w:val="22"/>
        </w:rPr>
        <w:t xml:space="preserve">Under subsection 33(3) of the </w:t>
      </w:r>
      <w:r w:rsidRPr="00797009">
        <w:rPr>
          <w:rFonts w:ascii="Arial" w:hAnsi="Arial" w:cs="Arial"/>
          <w:i/>
          <w:iCs/>
          <w:sz w:val="22"/>
          <w:szCs w:val="22"/>
        </w:rPr>
        <w:t>Acts Interpretation Act 1901</w:t>
      </w:r>
      <w:r w:rsidR="008945D0">
        <w:rPr>
          <w:rFonts w:ascii="Arial" w:hAnsi="Arial" w:cs="Arial"/>
          <w:i/>
          <w:iCs/>
          <w:sz w:val="22"/>
          <w:szCs w:val="22"/>
        </w:rPr>
        <w:t xml:space="preserve"> </w:t>
      </w:r>
      <w:r w:rsidR="008945D0">
        <w:rPr>
          <w:rFonts w:ascii="Arial" w:hAnsi="Arial" w:cs="Arial"/>
          <w:sz w:val="22"/>
          <w:szCs w:val="22"/>
        </w:rPr>
        <w:t>(AI Act)</w:t>
      </w:r>
      <w:r w:rsidRPr="00FD0AF2">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DC0130">
        <w:rPr>
          <w:rFonts w:ascii="Arial" w:hAnsi="Arial" w:cs="Arial"/>
          <w:sz w:val="22"/>
          <w:szCs w:val="22"/>
        </w:rPr>
        <w:t xml:space="preserve"> The operation of subsection 33(3)</w:t>
      </w:r>
      <w:r w:rsidR="008945D0">
        <w:rPr>
          <w:rFonts w:ascii="Arial" w:hAnsi="Arial" w:cs="Arial"/>
          <w:sz w:val="22"/>
          <w:szCs w:val="22"/>
        </w:rPr>
        <w:t xml:space="preserve"> of the AI Act</w:t>
      </w:r>
      <w:r w:rsidR="00DC0130">
        <w:rPr>
          <w:rFonts w:ascii="Arial" w:hAnsi="Arial" w:cs="Arial"/>
          <w:sz w:val="22"/>
          <w:szCs w:val="22"/>
        </w:rPr>
        <w:t xml:space="preserve"> is modified by section 370-15 in Schedule 1 to the TAA</w:t>
      </w:r>
      <w:r w:rsidR="002C1368">
        <w:rPr>
          <w:rFonts w:ascii="Arial" w:hAnsi="Arial" w:cs="Arial"/>
          <w:sz w:val="22"/>
          <w:szCs w:val="22"/>
        </w:rPr>
        <w:t xml:space="preserve"> in the present context. Section 370-15</w:t>
      </w:r>
      <w:r w:rsidR="00DC0130">
        <w:rPr>
          <w:rFonts w:ascii="Arial" w:hAnsi="Arial" w:cs="Arial"/>
          <w:sz w:val="22"/>
          <w:szCs w:val="22"/>
        </w:rPr>
        <w:t xml:space="preserve"> enables the Commissioner to repeal determinations made in the exercise of the Commissioner’s remedial power under section 370-5. </w:t>
      </w:r>
      <w:r w:rsidR="008420F0">
        <w:rPr>
          <w:rFonts w:ascii="Arial" w:hAnsi="Arial" w:cs="Arial"/>
          <w:sz w:val="22"/>
          <w:szCs w:val="22"/>
        </w:rPr>
        <w:t xml:space="preserve">Because section 370-15 provides an express repeal power for the Commissioner in this context, subsection </w:t>
      </w:r>
      <w:r w:rsidR="008945D0">
        <w:rPr>
          <w:rFonts w:ascii="Arial" w:hAnsi="Arial" w:cs="Arial"/>
          <w:sz w:val="22"/>
          <w:szCs w:val="22"/>
        </w:rPr>
        <w:t xml:space="preserve">33(3) of the AI Act does not apply in relation to the </w:t>
      </w:r>
      <w:r w:rsidR="008945D0" w:rsidRPr="008945D0">
        <w:rPr>
          <w:rFonts w:ascii="Arial" w:hAnsi="Arial" w:cs="Arial"/>
          <w:i/>
          <w:iCs/>
          <w:sz w:val="22"/>
          <w:szCs w:val="22"/>
        </w:rPr>
        <w:t>repeal, recission or revocation</w:t>
      </w:r>
      <w:r w:rsidR="008945D0">
        <w:rPr>
          <w:rFonts w:ascii="Arial" w:hAnsi="Arial" w:cs="Arial"/>
          <w:sz w:val="22"/>
          <w:szCs w:val="22"/>
        </w:rPr>
        <w:t xml:space="preserve"> of a determination made under section 370-5</w:t>
      </w:r>
      <w:r w:rsidR="008420F0">
        <w:rPr>
          <w:rFonts w:ascii="Arial" w:hAnsi="Arial" w:cs="Arial"/>
          <w:sz w:val="22"/>
          <w:szCs w:val="22"/>
        </w:rPr>
        <w:t xml:space="preserve">. Subsection 33(3) of the AI Act does, however, </w:t>
      </w:r>
      <w:r w:rsidR="008945D0">
        <w:rPr>
          <w:rFonts w:ascii="Arial" w:hAnsi="Arial" w:cs="Arial"/>
          <w:sz w:val="22"/>
          <w:szCs w:val="22"/>
        </w:rPr>
        <w:t xml:space="preserve">apply in relation to the </w:t>
      </w:r>
      <w:r w:rsidR="008945D0" w:rsidRPr="008945D0">
        <w:rPr>
          <w:rFonts w:ascii="Arial" w:hAnsi="Arial" w:cs="Arial"/>
          <w:i/>
          <w:iCs/>
          <w:sz w:val="22"/>
          <w:szCs w:val="22"/>
        </w:rPr>
        <w:t>amendment</w:t>
      </w:r>
      <w:r w:rsidR="008945D0">
        <w:rPr>
          <w:rFonts w:ascii="Arial" w:hAnsi="Arial" w:cs="Arial"/>
          <w:sz w:val="22"/>
          <w:szCs w:val="22"/>
        </w:rPr>
        <w:t xml:space="preserve"> </w:t>
      </w:r>
      <w:r w:rsidR="008945D0" w:rsidRPr="008945D0">
        <w:rPr>
          <w:rFonts w:ascii="Arial" w:hAnsi="Arial" w:cs="Arial"/>
          <w:i/>
          <w:iCs/>
          <w:sz w:val="22"/>
          <w:szCs w:val="22"/>
        </w:rPr>
        <w:t>or</w:t>
      </w:r>
      <w:r w:rsidR="008945D0">
        <w:rPr>
          <w:rFonts w:ascii="Arial" w:hAnsi="Arial" w:cs="Arial"/>
          <w:sz w:val="22"/>
          <w:szCs w:val="22"/>
        </w:rPr>
        <w:t xml:space="preserve"> </w:t>
      </w:r>
      <w:r w:rsidR="008945D0" w:rsidRPr="008945D0">
        <w:rPr>
          <w:rFonts w:ascii="Arial" w:hAnsi="Arial" w:cs="Arial"/>
          <w:i/>
          <w:iCs/>
          <w:sz w:val="22"/>
          <w:szCs w:val="22"/>
        </w:rPr>
        <w:t>variation</w:t>
      </w:r>
      <w:r w:rsidR="008945D0">
        <w:rPr>
          <w:rFonts w:ascii="Arial" w:hAnsi="Arial" w:cs="Arial"/>
          <w:sz w:val="22"/>
          <w:szCs w:val="22"/>
        </w:rPr>
        <w:t xml:space="preserve"> of such a determination.</w:t>
      </w:r>
    </w:p>
    <w:p w14:paraId="5766A32D" w14:textId="77777777" w:rsidR="00B40097" w:rsidRPr="00B40097" w:rsidRDefault="00B40097" w:rsidP="009A78FB">
      <w:pPr>
        <w:autoSpaceDE w:val="0"/>
        <w:autoSpaceDN w:val="0"/>
        <w:adjustRightInd w:val="0"/>
        <w:spacing w:after="120"/>
        <w:rPr>
          <w:rFonts w:ascii="Arial" w:hAnsi="Arial" w:cs="Arial"/>
          <w:sz w:val="22"/>
          <w:szCs w:val="22"/>
        </w:rPr>
      </w:pPr>
    </w:p>
    <w:p w14:paraId="15AC1B63" w14:textId="4FE26BF0" w:rsidR="001D02E6" w:rsidRPr="0088506B" w:rsidRDefault="001D02E6" w:rsidP="00910595">
      <w:pPr>
        <w:pStyle w:val="Heading2"/>
      </w:pPr>
      <w:r w:rsidRPr="0080675C">
        <w:t>Date of effect</w:t>
      </w:r>
    </w:p>
    <w:p w14:paraId="669FFECE" w14:textId="77777777" w:rsidR="00BF3BBB" w:rsidRDefault="00F375BE" w:rsidP="009A78FB">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 xml:space="preserve">Section 370-20 </w:t>
      </w:r>
      <w:r w:rsidR="00BA6AAD">
        <w:rPr>
          <w:rFonts w:ascii="Arial" w:hAnsi="Arial" w:cs="Arial"/>
          <w:sz w:val="22"/>
          <w:szCs w:val="22"/>
        </w:rPr>
        <w:t>in</w:t>
      </w:r>
      <w:r w:rsidR="00BA0CD3">
        <w:rPr>
          <w:rFonts w:ascii="Arial" w:hAnsi="Arial" w:cs="Arial"/>
          <w:sz w:val="22"/>
          <w:szCs w:val="22"/>
        </w:rPr>
        <w:t xml:space="preserve"> Schedule 1 </w:t>
      </w:r>
      <w:r w:rsidR="00683E6F">
        <w:rPr>
          <w:rFonts w:ascii="Arial" w:hAnsi="Arial" w:cs="Arial"/>
          <w:sz w:val="22"/>
          <w:szCs w:val="22"/>
        </w:rPr>
        <w:t>to the</w:t>
      </w:r>
      <w:r w:rsidR="00BA0CD3">
        <w:rPr>
          <w:rFonts w:ascii="Arial" w:hAnsi="Arial" w:cs="Arial"/>
          <w:sz w:val="22"/>
          <w:szCs w:val="22"/>
        </w:rPr>
        <w:t xml:space="preserve"> TAA </w:t>
      </w:r>
      <w:r>
        <w:rPr>
          <w:rFonts w:ascii="Arial" w:hAnsi="Arial" w:cs="Arial"/>
          <w:sz w:val="22"/>
          <w:szCs w:val="22"/>
        </w:rPr>
        <w:t>provides that a determination made under section</w:t>
      </w:r>
      <w:r w:rsidR="000F7652">
        <w:rPr>
          <w:rFonts w:ascii="Arial" w:hAnsi="Arial" w:cs="Arial"/>
          <w:sz w:val="22"/>
          <w:szCs w:val="22"/>
        </w:rPr>
        <w:t> </w:t>
      </w:r>
      <w:r>
        <w:rPr>
          <w:rFonts w:ascii="Arial" w:hAnsi="Arial" w:cs="Arial"/>
          <w:sz w:val="22"/>
          <w:szCs w:val="22"/>
        </w:rPr>
        <w:t>370</w:t>
      </w:r>
      <w:r w:rsidR="007C6F6E">
        <w:rPr>
          <w:rFonts w:ascii="Arial" w:hAnsi="Arial" w:cs="Arial"/>
          <w:sz w:val="22"/>
          <w:szCs w:val="22"/>
        </w:rPr>
        <w:noBreakHyphen/>
      </w:r>
      <w:r>
        <w:rPr>
          <w:rFonts w:ascii="Arial" w:hAnsi="Arial" w:cs="Arial"/>
          <w:sz w:val="22"/>
          <w:szCs w:val="22"/>
        </w:rPr>
        <w:t xml:space="preserve">5 </w:t>
      </w:r>
      <w:r w:rsidR="00BA6AAD">
        <w:rPr>
          <w:rFonts w:ascii="Arial" w:hAnsi="Arial" w:cs="Arial"/>
          <w:sz w:val="22"/>
          <w:szCs w:val="22"/>
        </w:rPr>
        <w:t>in</w:t>
      </w:r>
      <w:r w:rsidR="00084F43">
        <w:rPr>
          <w:rFonts w:ascii="Arial" w:hAnsi="Arial" w:cs="Arial"/>
          <w:sz w:val="22"/>
          <w:szCs w:val="22"/>
        </w:rPr>
        <w:t xml:space="preserve"> Schedule 1 to the TAA </w:t>
      </w:r>
      <w:r>
        <w:rPr>
          <w:rFonts w:ascii="Arial" w:hAnsi="Arial" w:cs="Arial"/>
          <w:sz w:val="22"/>
          <w:szCs w:val="22"/>
        </w:rPr>
        <w:t xml:space="preserve">must not commence before the first day it is no longer liable to be disallowed, or to be taken to have been disallowed, under section 42 of the </w:t>
      </w:r>
      <w:r w:rsidRPr="00097071">
        <w:rPr>
          <w:rFonts w:ascii="Arial" w:hAnsi="Arial" w:cs="Arial"/>
          <w:i/>
          <w:iCs/>
          <w:sz w:val="22"/>
          <w:szCs w:val="22"/>
        </w:rPr>
        <w:t>Legislation Act 2003</w:t>
      </w:r>
      <w:r>
        <w:rPr>
          <w:rFonts w:ascii="Arial" w:hAnsi="Arial" w:cs="Arial"/>
          <w:sz w:val="22"/>
          <w:szCs w:val="22"/>
        </w:rPr>
        <w:t>. Therefore, this determination commences on the first day the determination is no longer liable to be disallowed, or to be taken to have been disallowed.</w:t>
      </w:r>
    </w:p>
    <w:p w14:paraId="30736B80" w14:textId="56FAE57E" w:rsidR="00C048DC" w:rsidRPr="00C67303" w:rsidRDefault="00084F43" w:rsidP="009A78FB">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 xml:space="preserve">The </w:t>
      </w:r>
      <w:r w:rsidRPr="00C67303">
        <w:rPr>
          <w:rFonts w:ascii="Arial" w:hAnsi="Arial" w:cs="Arial"/>
          <w:sz w:val="22"/>
          <w:szCs w:val="22"/>
        </w:rPr>
        <w:t>instrument</w:t>
      </w:r>
      <w:r w:rsidR="00F375BE" w:rsidRPr="00C67303">
        <w:rPr>
          <w:rFonts w:ascii="Arial" w:hAnsi="Arial" w:cs="Arial"/>
          <w:sz w:val="22"/>
          <w:szCs w:val="22"/>
        </w:rPr>
        <w:t xml:space="preserve"> </w:t>
      </w:r>
      <w:r w:rsidR="00E8706F" w:rsidRPr="00C67303">
        <w:rPr>
          <w:rFonts w:ascii="Arial" w:hAnsi="Arial" w:cs="Arial"/>
          <w:sz w:val="22"/>
          <w:szCs w:val="22"/>
        </w:rPr>
        <w:t xml:space="preserve">applies to </w:t>
      </w:r>
      <w:r w:rsidR="00F375BE" w:rsidRPr="00C67303">
        <w:rPr>
          <w:rFonts w:ascii="Arial" w:hAnsi="Arial" w:cs="Arial"/>
          <w:sz w:val="22"/>
          <w:szCs w:val="22"/>
        </w:rPr>
        <w:t xml:space="preserve">personal </w:t>
      </w:r>
      <w:r w:rsidR="00F375BE" w:rsidRPr="007B6B69">
        <w:rPr>
          <w:rFonts w:ascii="Arial" w:hAnsi="Arial" w:cs="Arial"/>
          <w:sz w:val="22"/>
          <w:szCs w:val="22"/>
        </w:rPr>
        <w:t>superannuation</w:t>
      </w:r>
      <w:r w:rsidR="00F375BE" w:rsidRPr="00C67303">
        <w:rPr>
          <w:rFonts w:ascii="Arial" w:hAnsi="Arial" w:cs="Arial"/>
          <w:sz w:val="22"/>
          <w:szCs w:val="22"/>
        </w:rPr>
        <w:t xml:space="preserve"> </w:t>
      </w:r>
      <w:r w:rsidR="00E8706F" w:rsidRPr="00C67303">
        <w:rPr>
          <w:rFonts w:ascii="Arial" w:hAnsi="Arial" w:cs="Arial"/>
          <w:sz w:val="22"/>
          <w:szCs w:val="22"/>
        </w:rPr>
        <w:t>contributions made on or after 1</w:t>
      </w:r>
      <w:r w:rsidR="00460C0E">
        <w:rPr>
          <w:rFonts w:ascii="Arial" w:hAnsi="Arial" w:cs="Arial"/>
          <w:sz w:val="22"/>
          <w:szCs w:val="22"/>
        </w:rPr>
        <w:t> </w:t>
      </w:r>
      <w:r w:rsidR="00E8706F" w:rsidRPr="00C67303">
        <w:rPr>
          <w:rFonts w:ascii="Arial" w:hAnsi="Arial" w:cs="Arial"/>
          <w:sz w:val="22"/>
          <w:szCs w:val="22"/>
        </w:rPr>
        <w:t>July</w:t>
      </w:r>
      <w:r w:rsidR="00460C0E">
        <w:rPr>
          <w:rFonts w:ascii="Arial" w:hAnsi="Arial" w:cs="Arial"/>
          <w:sz w:val="22"/>
          <w:szCs w:val="22"/>
        </w:rPr>
        <w:t> </w:t>
      </w:r>
      <w:r w:rsidR="00E8706F" w:rsidRPr="00C67303">
        <w:rPr>
          <w:rFonts w:ascii="Arial" w:hAnsi="Arial" w:cs="Arial"/>
          <w:sz w:val="22"/>
          <w:szCs w:val="22"/>
        </w:rPr>
        <w:t>2022.</w:t>
      </w:r>
    </w:p>
    <w:p w14:paraId="1E659EAA" w14:textId="77777777" w:rsidR="00097071" w:rsidRPr="00C67303" w:rsidRDefault="00097071" w:rsidP="009A78FB">
      <w:pPr>
        <w:autoSpaceDE w:val="0"/>
        <w:autoSpaceDN w:val="0"/>
        <w:adjustRightInd w:val="0"/>
        <w:spacing w:after="120"/>
        <w:rPr>
          <w:rFonts w:ascii="Arial" w:hAnsi="Arial" w:cs="Arial"/>
          <w:sz w:val="22"/>
          <w:szCs w:val="22"/>
        </w:rPr>
      </w:pPr>
    </w:p>
    <w:p w14:paraId="1EB7CB9E" w14:textId="59E0C154" w:rsidR="00FF3579" w:rsidRPr="00C67303" w:rsidRDefault="00486653" w:rsidP="009A78FB">
      <w:pPr>
        <w:pStyle w:val="Heading2"/>
      </w:pPr>
      <w:r w:rsidRPr="00C67303">
        <w:lastRenderedPageBreak/>
        <w:t>Background</w:t>
      </w:r>
    </w:p>
    <w:p w14:paraId="3961D634" w14:textId="4B99B788" w:rsidR="00D9535F" w:rsidRPr="002B72CC" w:rsidRDefault="00D9535F" w:rsidP="00D9535F">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 xml:space="preserve">Until 1 July </w:t>
      </w:r>
      <w:r w:rsidRPr="002B72CC">
        <w:rPr>
          <w:rFonts w:ascii="Arial" w:hAnsi="Arial" w:cs="Arial"/>
          <w:sz w:val="22"/>
          <w:szCs w:val="22"/>
        </w:rPr>
        <w:t>2022 there was a ‘work test’ in the SISR and RSAR that operated to limit the personal superannuation contributions that a superannuation fund or retirement savings account provider could accept from individual</w:t>
      </w:r>
      <w:r>
        <w:rPr>
          <w:rFonts w:ascii="Arial" w:hAnsi="Arial" w:cs="Arial"/>
          <w:sz w:val="22"/>
          <w:szCs w:val="22"/>
        </w:rPr>
        <w:t xml:space="preserve">s of a certain age. The test applied to contributions received in respect of a person </w:t>
      </w:r>
      <w:r w:rsidRPr="002B72CC">
        <w:rPr>
          <w:rFonts w:ascii="Arial" w:hAnsi="Arial" w:cs="Arial"/>
          <w:sz w:val="22"/>
          <w:szCs w:val="22"/>
        </w:rPr>
        <w:t xml:space="preserve">aged </w:t>
      </w:r>
      <w:r>
        <w:rPr>
          <w:rFonts w:ascii="Arial" w:hAnsi="Arial" w:cs="Arial"/>
          <w:sz w:val="22"/>
          <w:szCs w:val="22"/>
        </w:rPr>
        <w:t xml:space="preserve">between </w:t>
      </w:r>
      <w:r w:rsidRPr="002B72CC">
        <w:rPr>
          <w:rFonts w:ascii="Arial" w:hAnsi="Arial" w:cs="Arial"/>
          <w:sz w:val="22"/>
          <w:szCs w:val="22"/>
        </w:rPr>
        <w:t xml:space="preserve">67 </w:t>
      </w:r>
      <w:r>
        <w:rPr>
          <w:rFonts w:ascii="Arial" w:hAnsi="Arial" w:cs="Arial"/>
          <w:sz w:val="22"/>
          <w:szCs w:val="22"/>
        </w:rPr>
        <w:t xml:space="preserve">and </w:t>
      </w:r>
      <w:r w:rsidRPr="00055154">
        <w:rPr>
          <w:rFonts w:ascii="Arial" w:hAnsi="Arial" w:cs="Arial"/>
          <w:sz w:val="22"/>
          <w:szCs w:val="22"/>
        </w:rPr>
        <w:t>28 days after the end of the month in which the</w:t>
      </w:r>
      <w:r>
        <w:rPr>
          <w:rFonts w:ascii="Arial" w:hAnsi="Arial" w:cs="Arial"/>
          <w:sz w:val="22"/>
          <w:szCs w:val="22"/>
        </w:rPr>
        <w:t xml:space="preserve">y </w:t>
      </w:r>
      <w:r w:rsidRPr="00055154">
        <w:rPr>
          <w:rFonts w:ascii="Arial" w:hAnsi="Arial" w:cs="Arial"/>
          <w:sz w:val="22"/>
          <w:szCs w:val="22"/>
        </w:rPr>
        <w:t>turn</w:t>
      </w:r>
      <w:r>
        <w:rPr>
          <w:rFonts w:ascii="Arial" w:hAnsi="Arial" w:cs="Arial"/>
          <w:sz w:val="22"/>
          <w:szCs w:val="22"/>
        </w:rPr>
        <w:t>ed</w:t>
      </w:r>
      <w:r w:rsidRPr="00055154">
        <w:rPr>
          <w:rFonts w:ascii="Arial" w:hAnsi="Arial" w:cs="Arial"/>
          <w:sz w:val="22"/>
          <w:szCs w:val="22"/>
        </w:rPr>
        <w:t xml:space="preserve"> </w:t>
      </w:r>
      <w:r w:rsidRPr="002B72CC">
        <w:rPr>
          <w:rFonts w:ascii="Arial" w:hAnsi="Arial" w:cs="Arial"/>
          <w:sz w:val="22"/>
          <w:szCs w:val="22"/>
        </w:rPr>
        <w:t>75</w:t>
      </w:r>
      <w:r>
        <w:rPr>
          <w:rFonts w:ascii="Arial" w:hAnsi="Arial" w:cs="Arial"/>
          <w:sz w:val="22"/>
          <w:szCs w:val="22"/>
        </w:rPr>
        <w:t xml:space="preserve"> (persons aged 67 to 75)</w:t>
      </w:r>
      <w:r w:rsidRPr="002B72CC">
        <w:rPr>
          <w:rFonts w:ascii="Arial" w:hAnsi="Arial" w:cs="Arial"/>
          <w:sz w:val="22"/>
          <w:szCs w:val="22"/>
        </w:rPr>
        <w:t>.</w:t>
      </w:r>
    </w:p>
    <w:p w14:paraId="7A273D77" w14:textId="65EF451D" w:rsidR="00E62766" w:rsidRPr="00D45108" w:rsidDel="006C112A" w:rsidRDefault="006C112A" w:rsidP="00D45108">
      <w:pPr>
        <w:numPr>
          <w:ilvl w:val="0"/>
          <w:numId w:val="1"/>
        </w:numPr>
        <w:tabs>
          <w:tab w:val="clear" w:pos="360"/>
        </w:tabs>
        <w:spacing w:after="120"/>
        <w:ind w:left="709" w:hanging="709"/>
        <w:rPr>
          <w:rFonts w:ascii="Arial" w:hAnsi="Arial" w:cs="Arial"/>
          <w:sz w:val="22"/>
          <w:szCs w:val="22"/>
        </w:rPr>
      </w:pPr>
      <w:r w:rsidRPr="002B72CC">
        <w:rPr>
          <w:rFonts w:ascii="Arial" w:hAnsi="Arial" w:cs="Arial"/>
          <w:sz w:val="22"/>
          <w:szCs w:val="22"/>
        </w:rPr>
        <w:t>This approach was changed in 2022.</w:t>
      </w:r>
      <w:r w:rsidR="00716F45" w:rsidRPr="002B72CC">
        <w:rPr>
          <w:rFonts w:ascii="Arial" w:hAnsi="Arial" w:cs="Arial"/>
          <w:sz w:val="22"/>
          <w:szCs w:val="22"/>
        </w:rPr>
        <w:t xml:space="preserve"> </w:t>
      </w:r>
      <w:r w:rsidR="00FA391F">
        <w:rPr>
          <w:rFonts w:ascii="Arial" w:hAnsi="Arial" w:cs="Arial"/>
          <w:sz w:val="22"/>
          <w:szCs w:val="22"/>
        </w:rPr>
        <w:t>T</w:t>
      </w:r>
      <w:r w:rsidR="00E62766" w:rsidRPr="00C67303">
        <w:rPr>
          <w:rFonts w:ascii="Arial" w:hAnsi="Arial" w:cs="Arial"/>
          <w:sz w:val="22"/>
          <w:szCs w:val="22"/>
        </w:rPr>
        <w:t xml:space="preserve">he </w:t>
      </w:r>
      <w:r w:rsidR="00E62766" w:rsidRPr="00C67303">
        <w:rPr>
          <w:rFonts w:ascii="Arial" w:hAnsi="Arial" w:cs="Arial"/>
          <w:i/>
          <w:iCs/>
          <w:sz w:val="22"/>
          <w:szCs w:val="22"/>
        </w:rPr>
        <w:t xml:space="preserve">Treasury Laws Amendment (Enhancing </w:t>
      </w:r>
      <w:r w:rsidR="00E62766" w:rsidRPr="007B6B69">
        <w:rPr>
          <w:rFonts w:ascii="Arial" w:hAnsi="Arial" w:cs="Arial"/>
          <w:i/>
          <w:iCs/>
          <w:sz w:val="22"/>
          <w:szCs w:val="22"/>
        </w:rPr>
        <w:t>Superannuation</w:t>
      </w:r>
      <w:r w:rsidR="00E62766" w:rsidRPr="00C67303">
        <w:rPr>
          <w:rFonts w:ascii="Arial" w:hAnsi="Arial" w:cs="Arial"/>
          <w:i/>
          <w:iCs/>
          <w:sz w:val="22"/>
          <w:szCs w:val="22"/>
        </w:rPr>
        <w:t xml:space="preserve"> Outcomes for Australians and Helping Australian </w:t>
      </w:r>
      <w:r w:rsidR="00E62766" w:rsidRPr="007B6B69">
        <w:rPr>
          <w:rFonts w:ascii="Arial" w:hAnsi="Arial" w:cs="Arial"/>
          <w:i/>
          <w:iCs/>
          <w:sz w:val="22"/>
          <w:szCs w:val="22"/>
        </w:rPr>
        <w:t>Businesses</w:t>
      </w:r>
      <w:r w:rsidR="00E62766" w:rsidRPr="00C67303">
        <w:rPr>
          <w:rFonts w:ascii="Arial" w:hAnsi="Arial" w:cs="Arial"/>
          <w:i/>
          <w:iCs/>
          <w:sz w:val="22"/>
          <w:szCs w:val="22"/>
        </w:rPr>
        <w:t xml:space="preserve"> Invest) Act 2022</w:t>
      </w:r>
      <w:r w:rsidR="00E62766" w:rsidRPr="00C67303">
        <w:rPr>
          <w:rFonts w:ascii="Arial" w:hAnsi="Arial" w:cs="Arial"/>
          <w:sz w:val="22"/>
          <w:szCs w:val="22"/>
        </w:rPr>
        <w:t xml:space="preserve"> (the 2022 amendments) relocated the ‘work test’ to the ITAA 1997</w:t>
      </w:r>
      <w:r w:rsidR="00C67303" w:rsidRPr="007A09CC">
        <w:rPr>
          <w:rFonts w:ascii="Arial" w:hAnsi="Arial" w:cs="Arial"/>
          <w:sz w:val="22"/>
          <w:szCs w:val="22"/>
        </w:rPr>
        <w:t xml:space="preserve">. </w:t>
      </w:r>
      <w:r w:rsidR="00E62766" w:rsidRPr="00D45108" w:rsidDel="006C112A">
        <w:rPr>
          <w:rFonts w:ascii="Arial" w:hAnsi="Arial" w:cs="Arial"/>
          <w:sz w:val="22"/>
          <w:szCs w:val="22"/>
        </w:rPr>
        <w:t>The amendments came into effect on 1</w:t>
      </w:r>
      <w:r w:rsidR="00E62A00">
        <w:rPr>
          <w:rFonts w:ascii="Arial" w:hAnsi="Arial" w:cs="Arial"/>
          <w:sz w:val="22"/>
          <w:szCs w:val="22"/>
        </w:rPr>
        <w:t xml:space="preserve"> </w:t>
      </w:r>
      <w:r w:rsidR="00E62766" w:rsidRPr="00D45108" w:rsidDel="006C112A">
        <w:rPr>
          <w:rFonts w:ascii="Arial" w:hAnsi="Arial" w:cs="Arial"/>
          <w:sz w:val="22"/>
          <w:szCs w:val="22"/>
        </w:rPr>
        <w:t>April 2022, and apply to contributions made on or after 1</w:t>
      </w:r>
      <w:r w:rsidR="00E62A00">
        <w:rPr>
          <w:rFonts w:ascii="Arial" w:hAnsi="Arial" w:cs="Arial"/>
          <w:sz w:val="22"/>
          <w:szCs w:val="22"/>
        </w:rPr>
        <w:t xml:space="preserve"> </w:t>
      </w:r>
      <w:r w:rsidR="00E62766" w:rsidRPr="00D45108" w:rsidDel="006C112A">
        <w:rPr>
          <w:rFonts w:ascii="Arial" w:hAnsi="Arial" w:cs="Arial"/>
          <w:sz w:val="22"/>
          <w:szCs w:val="22"/>
        </w:rPr>
        <w:t>July 2022.</w:t>
      </w:r>
    </w:p>
    <w:p w14:paraId="7C88FFDF" w14:textId="506319B3" w:rsidR="00BF3BBB" w:rsidRDefault="00C67303" w:rsidP="0030793F">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 xml:space="preserve">The relocated </w:t>
      </w:r>
      <w:r w:rsidR="000F7652">
        <w:rPr>
          <w:rFonts w:ascii="Arial" w:hAnsi="Arial" w:cs="Arial"/>
          <w:sz w:val="22"/>
          <w:szCs w:val="22"/>
        </w:rPr>
        <w:t>‘</w:t>
      </w:r>
      <w:r>
        <w:rPr>
          <w:rFonts w:ascii="Arial" w:hAnsi="Arial" w:cs="Arial"/>
          <w:sz w:val="22"/>
          <w:szCs w:val="22"/>
        </w:rPr>
        <w:t>work test</w:t>
      </w:r>
      <w:r w:rsidR="000F7652">
        <w:rPr>
          <w:rFonts w:ascii="Arial" w:hAnsi="Arial" w:cs="Arial"/>
          <w:sz w:val="22"/>
          <w:szCs w:val="22"/>
        </w:rPr>
        <w:t>’</w:t>
      </w:r>
      <w:r>
        <w:rPr>
          <w:rFonts w:ascii="Arial" w:hAnsi="Arial" w:cs="Arial"/>
          <w:sz w:val="22"/>
          <w:szCs w:val="22"/>
        </w:rPr>
        <w:t xml:space="preserve"> is </w:t>
      </w:r>
      <w:r w:rsidR="0009237B">
        <w:rPr>
          <w:rFonts w:ascii="Arial" w:hAnsi="Arial" w:cs="Arial"/>
          <w:sz w:val="22"/>
          <w:szCs w:val="22"/>
        </w:rPr>
        <w:t xml:space="preserve">now </w:t>
      </w:r>
      <w:r>
        <w:rPr>
          <w:rFonts w:ascii="Arial" w:hAnsi="Arial" w:cs="Arial"/>
          <w:sz w:val="22"/>
          <w:szCs w:val="22"/>
        </w:rPr>
        <w:t xml:space="preserve">contained in </w:t>
      </w:r>
      <w:r w:rsidR="006C112A">
        <w:rPr>
          <w:rFonts w:ascii="Arial" w:hAnsi="Arial" w:cs="Arial"/>
          <w:sz w:val="22"/>
          <w:szCs w:val="22"/>
        </w:rPr>
        <w:t>s</w:t>
      </w:r>
      <w:r w:rsidR="005F3760">
        <w:rPr>
          <w:rFonts w:ascii="Arial" w:hAnsi="Arial" w:cs="Arial"/>
          <w:sz w:val="22"/>
          <w:szCs w:val="22"/>
        </w:rPr>
        <w:t xml:space="preserve">ubsection 290-165(1A) </w:t>
      </w:r>
      <w:r w:rsidR="006C112A">
        <w:rPr>
          <w:rFonts w:ascii="Arial" w:hAnsi="Arial" w:cs="Arial"/>
          <w:sz w:val="22"/>
          <w:szCs w:val="22"/>
        </w:rPr>
        <w:t xml:space="preserve">of the ITAA 1997. </w:t>
      </w:r>
      <w:r w:rsidR="00D45108">
        <w:rPr>
          <w:rFonts w:ascii="Arial" w:hAnsi="Arial" w:cs="Arial"/>
          <w:sz w:val="22"/>
          <w:szCs w:val="22"/>
        </w:rPr>
        <w:t xml:space="preserve">It contains rules about how many hours a person of a relevant age must work to </w:t>
      </w:r>
      <w:r w:rsidR="00103D33">
        <w:rPr>
          <w:rFonts w:ascii="Arial" w:hAnsi="Arial" w:cs="Arial"/>
          <w:sz w:val="22"/>
          <w:szCs w:val="22"/>
        </w:rPr>
        <w:t xml:space="preserve">be eligible for </w:t>
      </w:r>
      <w:r w:rsidR="00D45108">
        <w:rPr>
          <w:rFonts w:ascii="Arial" w:hAnsi="Arial" w:cs="Arial"/>
          <w:sz w:val="22"/>
          <w:szCs w:val="22"/>
        </w:rPr>
        <w:t xml:space="preserve">deductions for their personal </w:t>
      </w:r>
      <w:r w:rsidR="00D45108" w:rsidRPr="007B6B69">
        <w:rPr>
          <w:rFonts w:ascii="Arial" w:hAnsi="Arial" w:cs="Arial"/>
          <w:sz w:val="22"/>
          <w:szCs w:val="22"/>
        </w:rPr>
        <w:t>superannuation</w:t>
      </w:r>
      <w:r w:rsidR="00D45108">
        <w:rPr>
          <w:rFonts w:ascii="Arial" w:hAnsi="Arial" w:cs="Arial"/>
          <w:sz w:val="22"/>
          <w:szCs w:val="22"/>
        </w:rPr>
        <w:t xml:space="preserve"> contributions. </w:t>
      </w:r>
      <w:r w:rsidR="00D9535F">
        <w:rPr>
          <w:rFonts w:ascii="Arial" w:hAnsi="Arial" w:cs="Arial"/>
          <w:sz w:val="22"/>
          <w:szCs w:val="22"/>
        </w:rPr>
        <w:t>For persons aged 67 to 75 t</w:t>
      </w:r>
      <w:r w:rsidR="00103D33">
        <w:rPr>
          <w:rFonts w:ascii="Arial" w:hAnsi="Arial" w:cs="Arial"/>
          <w:sz w:val="22"/>
          <w:szCs w:val="22"/>
        </w:rPr>
        <w:t xml:space="preserve">o claim </w:t>
      </w:r>
      <w:r w:rsidR="00D9535F">
        <w:rPr>
          <w:rFonts w:ascii="Arial" w:hAnsi="Arial" w:cs="Arial"/>
          <w:sz w:val="22"/>
          <w:szCs w:val="22"/>
        </w:rPr>
        <w:t xml:space="preserve">a </w:t>
      </w:r>
      <w:r w:rsidR="00103D33">
        <w:rPr>
          <w:rFonts w:ascii="Arial" w:hAnsi="Arial" w:cs="Arial"/>
          <w:sz w:val="22"/>
          <w:szCs w:val="22"/>
        </w:rPr>
        <w:t xml:space="preserve">deduction, </w:t>
      </w:r>
      <w:r w:rsidR="00D9535F">
        <w:rPr>
          <w:rFonts w:ascii="Arial" w:hAnsi="Arial" w:cs="Arial"/>
          <w:sz w:val="22"/>
          <w:szCs w:val="22"/>
        </w:rPr>
        <w:t xml:space="preserve">they </w:t>
      </w:r>
      <w:r w:rsidR="00FA391F">
        <w:rPr>
          <w:rFonts w:ascii="Arial" w:hAnsi="Arial" w:cs="Arial"/>
          <w:sz w:val="22"/>
          <w:szCs w:val="22"/>
        </w:rPr>
        <w:t xml:space="preserve">must </w:t>
      </w:r>
      <w:r>
        <w:rPr>
          <w:rFonts w:ascii="Arial" w:hAnsi="Arial" w:cs="Arial"/>
          <w:sz w:val="22"/>
          <w:szCs w:val="22"/>
        </w:rPr>
        <w:t>have been ‘gainfully employed’ for at least 40 hours in any period of 30 consecutive days during:</w:t>
      </w:r>
    </w:p>
    <w:p w14:paraId="094E60D6" w14:textId="77777777" w:rsidR="00BF3BBB" w:rsidRDefault="00C67303" w:rsidP="00460C0E">
      <w:pPr>
        <w:numPr>
          <w:ilvl w:val="1"/>
          <w:numId w:val="16"/>
        </w:numPr>
        <w:spacing w:after="120"/>
        <w:ind w:left="1418" w:hanging="709"/>
        <w:rPr>
          <w:rFonts w:ascii="Arial" w:hAnsi="Arial" w:cs="Arial"/>
          <w:sz w:val="22"/>
          <w:szCs w:val="22"/>
        </w:rPr>
      </w:pPr>
      <w:r>
        <w:rPr>
          <w:rFonts w:ascii="Arial" w:hAnsi="Arial" w:cs="Arial"/>
          <w:sz w:val="22"/>
          <w:szCs w:val="22"/>
        </w:rPr>
        <w:t>the income year in which the contribution was made, or</w:t>
      </w:r>
    </w:p>
    <w:p w14:paraId="69DDD413" w14:textId="413623E0" w:rsidR="00BF3BBB" w:rsidRDefault="00C67303" w:rsidP="00460C0E">
      <w:pPr>
        <w:numPr>
          <w:ilvl w:val="1"/>
          <w:numId w:val="16"/>
        </w:numPr>
        <w:spacing w:after="120"/>
        <w:ind w:left="1418" w:hanging="709"/>
        <w:rPr>
          <w:rFonts w:ascii="Arial" w:hAnsi="Arial" w:cs="Arial"/>
          <w:sz w:val="22"/>
          <w:szCs w:val="22"/>
        </w:rPr>
      </w:pPr>
      <w:r>
        <w:rPr>
          <w:rFonts w:ascii="Arial" w:hAnsi="Arial" w:cs="Arial"/>
          <w:sz w:val="22"/>
          <w:szCs w:val="22"/>
        </w:rPr>
        <w:t>the previous income year, if particular other requirements (in</w:t>
      </w:r>
      <w:r w:rsidR="00A1597D">
        <w:rPr>
          <w:rFonts w:ascii="Arial" w:hAnsi="Arial" w:cs="Arial"/>
          <w:sz w:val="22"/>
          <w:szCs w:val="22"/>
        </w:rPr>
        <w:t xml:space="preserve"> </w:t>
      </w:r>
      <w:r>
        <w:rPr>
          <w:rFonts w:ascii="Arial" w:hAnsi="Arial" w:cs="Arial"/>
          <w:sz w:val="22"/>
          <w:szCs w:val="22"/>
        </w:rPr>
        <w:t>subparagraphs</w:t>
      </w:r>
      <w:r w:rsidR="00460C0E">
        <w:rPr>
          <w:rFonts w:ascii="Arial" w:hAnsi="Arial" w:cs="Arial"/>
          <w:sz w:val="22"/>
          <w:szCs w:val="22"/>
        </w:rPr>
        <w:t> </w:t>
      </w:r>
      <w:r>
        <w:rPr>
          <w:rFonts w:ascii="Arial" w:hAnsi="Arial" w:cs="Arial"/>
          <w:sz w:val="22"/>
          <w:szCs w:val="22"/>
        </w:rPr>
        <w:t>290</w:t>
      </w:r>
      <w:r w:rsidR="000F7652">
        <w:rPr>
          <w:rFonts w:ascii="Arial" w:hAnsi="Arial" w:cs="Arial"/>
          <w:sz w:val="22"/>
          <w:szCs w:val="22"/>
        </w:rPr>
        <w:noBreakHyphen/>
      </w:r>
      <w:r>
        <w:rPr>
          <w:rFonts w:ascii="Arial" w:hAnsi="Arial" w:cs="Arial"/>
          <w:sz w:val="22"/>
          <w:szCs w:val="22"/>
        </w:rPr>
        <w:t>165(1</w:t>
      </w:r>
      <w:proofErr w:type="gramStart"/>
      <w:r>
        <w:rPr>
          <w:rFonts w:ascii="Arial" w:hAnsi="Arial" w:cs="Arial"/>
          <w:sz w:val="22"/>
          <w:szCs w:val="22"/>
        </w:rPr>
        <w:t>A)(</w:t>
      </w:r>
      <w:proofErr w:type="gramEnd"/>
      <w:r>
        <w:rPr>
          <w:rFonts w:ascii="Arial" w:hAnsi="Arial" w:cs="Arial"/>
          <w:sz w:val="22"/>
          <w:szCs w:val="22"/>
        </w:rPr>
        <w:t>b)(ii) to 290-165(1A)(b)(iv)) are met</w:t>
      </w:r>
      <w:r w:rsidR="00103D33">
        <w:rPr>
          <w:rFonts w:ascii="Arial" w:hAnsi="Arial" w:cs="Arial"/>
          <w:sz w:val="22"/>
          <w:szCs w:val="22"/>
        </w:rPr>
        <w:t>.</w:t>
      </w:r>
    </w:p>
    <w:p w14:paraId="59C99137" w14:textId="61FEE39D" w:rsidR="00BF3BBB" w:rsidRDefault="0052196D" w:rsidP="009A78FB">
      <w:pPr>
        <w:numPr>
          <w:ilvl w:val="0"/>
          <w:numId w:val="1"/>
        </w:numPr>
        <w:tabs>
          <w:tab w:val="clear" w:pos="360"/>
        </w:tabs>
        <w:spacing w:after="120"/>
        <w:ind w:left="709" w:hanging="709"/>
        <w:rPr>
          <w:rFonts w:ascii="Arial" w:hAnsi="Arial" w:cs="Arial"/>
          <w:sz w:val="22"/>
          <w:szCs w:val="22"/>
        </w:rPr>
      </w:pPr>
      <w:r w:rsidRPr="009A78FB">
        <w:rPr>
          <w:rFonts w:ascii="Arial" w:hAnsi="Arial" w:cs="Arial"/>
          <w:sz w:val="22"/>
          <w:szCs w:val="22"/>
        </w:rPr>
        <w:t>The term ‘gainfully employed’ is defined in s</w:t>
      </w:r>
      <w:r w:rsidR="00D9535F">
        <w:rPr>
          <w:rFonts w:ascii="Arial" w:hAnsi="Arial" w:cs="Arial"/>
          <w:sz w:val="22"/>
          <w:szCs w:val="22"/>
        </w:rPr>
        <w:t>ubs</w:t>
      </w:r>
      <w:r w:rsidRPr="009A78FB">
        <w:rPr>
          <w:rFonts w:ascii="Arial" w:hAnsi="Arial" w:cs="Arial"/>
          <w:sz w:val="22"/>
          <w:szCs w:val="22"/>
        </w:rPr>
        <w:t>ection 995-1</w:t>
      </w:r>
      <w:r w:rsidR="00D9535F">
        <w:rPr>
          <w:rFonts w:ascii="Arial" w:hAnsi="Arial" w:cs="Arial"/>
          <w:sz w:val="22"/>
          <w:szCs w:val="22"/>
        </w:rPr>
        <w:t>(1)</w:t>
      </w:r>
      <w:r w:rsidRPr="009A78FB">
        <w:rPr>
          <w:rFonts w:ascii="Arial" w:hAnsi="Arial" w:cs="Arial"/>
          <w:sz w:val="22"/>
          <w:szCs w:val="22"/>
        </w:rPr>
        <w:t xml:space="preserve"> </w:t>
      </w:r>
      <w:r w:rsidR="00103D33">
        <w:rPr>
          <w:rFonts w:ascii="Arial" w:hAnsi="Arial" w:cs="Arial"/>
          <w:sz w:val="22"/>
          <w:szCs w:val="22"/>
        </w:rPr>
        <w:t xml:space="preserve">of the ITAA 1997 </w:t>
      </w:r>
      <w:r w:rsidRPr="009A78FB">
        <w:rPr>
          <w:rFonts w:ascii="Arial" w:hAnsi="Arial" w:cs="Arial"/>
          <w:sz w:val="22"/>
          <w:szCs w:val="22"/>
        </w:rPr>
        <w:t>to mean</w:t>
      </w:r>
      <w:r w:rsidR="00CC1738" w:rsidRPr="009A78FB">
        <w:rPr>
          <w:rFonts w:ascii="Arial" w:hAnsi="Arial" w:cs="Arial"/>
          <w:sz w:val="22"/>
          <w:szCs w:val="22"/>
        </w:rPr>
        <w:t xml:space="preserve"> </w:t>
      </w:r>
      <w:r w:rsidR="0009237B">
        <w:rPr>
          <w:rFonts w:ascii="Arial" w:hAnsi="Arial" w:cs="Arial"/>
          <w:sz w:val="22"/>
          <w:szCs w:val="22"/>
        </w:rPr>
        <w:t>‘employed or self-employed for gain or reward in any business, trade, profession, vocation, calling, occupation or employment’.</w:t>
      </w:r>
    </w:p>
    <w:p w14:paraId="1105842C" w14:textId="77777777" w:rsidR="00BF3BBB" w:rsidRDefault="00103D33" w:rsidP="004369FF">
      <w:pPr>
        <w:numPr>
          <w:ilvl w:val="0"/>
          <w:numId w:val="1"/>
        </w:numPr>
        <w:tabs>
          <w:tab w:val="clear" w:pos="360"/>
        </w:tabs>
        <w:spacing w:after="120"/>
        <w:ind w:left="709" w:hanging="709"/>
        <w:rPr>
          <w:rFonts w:ascii="Arial" w:hAnsi="Arial" w:cs="Arial"/>
          <w:sz w:val="22"/>
          <w:szCs w:val="22"/>
        </w:rPr>
      </w:pPr>
      <w:r w:rsidRPr="004369FF">
        <w:rPr>
          <w:rFonts w:ascii="Arial" w:hAnsi="Arial" w:cs="Arial"/>
          <w:sz w:val="22"/>
          <w:szCs w:val="22"/>
        </w:rPr>
        <w:t xml:space="preserve">The </w:t>
      </w:r>
      <w:r w:rsidR="000F7652">
        <w:rPr>
          <w:rFonts w:ascii="Arial" w:hAnsi="Arial" w:cs="Arial"/>
          <w:sz w:val="22"/>
          <w:szCs w:val="22"/>
        </w:rPr>
        <w:t>‘</w:t>
      </w:r>
      <w:r w:rsidRPr="004369FF">
        <w:rPr>
          <w:rFonts w:ascii="Arial" w:hAnsi="Arial" w:cs="Arial"/>
          <w:sz w:val="22"/>
          <w:szCs w:val="22"/>
        </w:rPr>
        <w:t>work test</w:t>
      </w:r>
      <w:r w:rsidR="000F7652">
        <w:rPr>
          <w:rFonts w:ascii="Arial" w:hAnsi="Arial" w:cs="Arial"/>
          <w:sz w:val="22"/>
          <w:szCs w:val="22"/>
        </w:rPr>
        <w:t>’</w:t>
      </w:r>
      <w:r w:rsidRPr="004369FF">
        <w:rPr>
          <w:rFonts w:ascii="Arial" w:hAnsi="Arial" w:cs="Arial"/>
          <w:sz w:val="22"/>
          <w:szCs w:val="22"/>
        </w:rPr>
        <w:t xml:space="preserve"> </w:t>
      </w:r>
      <w:r w:rsidR="004369FF">
        <w:rPr>
          <w:rFonts w:ascii="Arial" w:hAnsi="Arial" w:cs="Arial"/>
          <w:sz w:val="22"/>
          <w:szCs w:val="22"/>
        </w:rPr>
        <w:t xml:space="preserve">that previously existed </w:t>
      </w:r>
      <w:r w:rsidRPr="004369FF">
        <w:rPr>
          <w:rFonts w:ascii="Arial" w:hAnsi="Arial" w:cs="Arial"/>
          <w:sz w:val="22"/>
          <w:szCs w:val="22"/>
        </w:rPr>
        <w:t xml:space="preserve">in the SISR and the RSAR also relied on </w:t>
      </w:r>
      <w:r w:rsidR="004369FF">
        <w:rPr>
          <w:rFonts w:ascii="Arial" w:hAnsi="Arial" w:cs="Arial"/>
          <w:sz w:val="22"/>
          <w:szCs w:val="22"/>
        </w:rPr>
        <w:t xml:space="preserve">an identical definition of </w:t>
      </w:r>
      <w:r w:rsidR="000205FB" w:rsidRPr="004369FF">
        <w:rPr>
          <w:rFonts w:ascii="Arial" w:hAnsi="Arial" w:cs="Arial"/>
          <w:sz w:val="22"/>
          <w:szCs w:val="22"/>
        </w:rPr>
        <w:t xml:space="preserve">‘gainfully employed’. But a critical difference is that both the SIS Act </w:t>
      </w:r>
      <w:r w:rsidRPr="004369FF">
        <w:rPr>
          <w:rFonts w:ascii="Arial" w:hAnsi="Arial" w:cs="Arial"/>
          <w:sz w:val="22"/>
          <w:szCs w:val="22"/>
        </w:rPr>
        <w:t xml:space="preserve">and the </w:t>
      </w:r>
      <w:r w:rsidRPr="004369FF">
        <w:rPr>
          <w:rFonts w:ascii="Arial" w:hAnsi="Arial" w:cs="Arial"/>
          <w:i/>
          <w:iCs/>
          <w:sz w:val="22"/>
          <w:szCs w:val="22"/>
        </w:rPr>
        <w:t>Retirement Savings Accounts Act 1997</w:t>
      </w:r>
      <w:r w:rsidRPr="004369FF">
        <w:rPr>
          <w:rFonts w:ascii="Arial" w:hAnsi="Arial" w:cs="Arial"/>
          <w:sz w:val="22"/>
          <w:szCs w:val="22"/>
        </w:rPr>
        <w:t xml:space="preserve"> </w:t>
      </w:r>
      <w:r w:rsidR="000205FB" w:rsidRPr="004369FF">
        <w:rPr>
          <w:rFonts w:ascii="Arial" w:hAnsi="Arial" w:cs="Arial"/>
          <w:sz w:val="22"/>
          <w:szCs w:val="22"/>
        </w:rPr>
        <w:t xml:space="preserve">(RSA Act) contain an </w:t>
      </w:r>
      <w:r w:rsidR="004369FF" w:rsidRPr="00FA391F">
        <w:rPr>
          <w:rFonts w:ascii="Arial" w:hAnsi="Arial" w:cs="Arial"/>
          <w:sz w:val="22"/>
          <w:szCs w:val="22"/>
        </w:rPr>
        <w:t xml:space="preserve">expanded </w:t>
      </w:r>
      <w:r w:rsidR="000205FB" w:rsidRPr="00FA391F">
        <w:rPr>
          <w:rFonts w:ascii="Arial" w:hAnsi="Arial" w:cs="Arial"/>
          <w:sz w:val="22"/>
          <w:szCs w:val="22"/>
        </w:rPr>
        <w:t>definition</w:t>
      </w:r>
      <w:r w:rsidR="000205FB" w:rsidRPr="004369FF">
        <w:rPr>
          <w:rFonts w:ascii="Arial" w:hAnsi="Arial" w:cs="Arial"/>
          <w:sz w:val="22"/>
          <w:szCs w:val="22"/>
        </w:rPr>
        <w:t xml:space="preserve"> of employee. Subsections 15A(2) to 15A(10) of </w:t>
      </w:r>
      <w:r w:rsidR="004369FF" w:rsidRPr="004369FF">
        <w:rPr>
          <w:rFonts w:ascii="Arial" w:hAnsi="Arial" w:cs="Arial"/>
          <w:sz w:val="22"/>
          <w:szCs w:val="22"/>
        </w:rPr>
        <w:t xml:space="preserve">the SIS Act and subsections 19(2) to 19(10) of the RSA Act </w:t>
      </w:r>
      <w:r w:rsidR="004369FF">
        <w:rPr>
          <w:rFonts w:ascii="Arial" w:hAnsi="Arial" w:cs="Arial"/>
          <w:sz w:val="22"/>
          <w:szCs w:val="22"/>
        </w:rPr>
        <w:t xml:space="preserve">capture a range of </w:t>
      </w:r>
      <w:r w:rsidR="004369FF" w:rsidRPr="007B6B69">
        <w:rPr>
          <w:rFonts w:ascii="Arial" w:hAnsi="Arial" w:cs="Arial"/>
          <w:sz w:val="22"/>
          <w:szCs w:val="22"/>
        </w:rPr>
        <w:t>persons</w:t>
      </w:r>
      <w:r w:rsidR="004369FF">
        <w:rPr>
          <w:rFonts w:ascii="Arial" w:hAnsi="Arial" w:cs="Arial"/>
          <w:sz w:val="22"/>
          <w:szCs w:val="22"/>
        </w:rPr>
        <w:t xml:space="preserve"> as employees who may not otherwise be common law employees (such as company directors, </w:t>
      </w:r>
      <w:r w:rsidR="004369FF" w:rsidRPr="007B6B69">
        <w:rPr>
          <w:rFonts w:ascii="Arial" w:hAnsi="Arial" w:cs="Arial"/>
          <w:sz w:val="22"/>
          <w:szCs w:val="22"/>
        </w:rPr>
        <w:t>constitution</w:t>
      </w:r>
      <w:r w:rsidR="004369FF">
        <w:rPr>
          <w:rFonts w:ascii="Arial" w:hAnsi="Arial" w:cs="Arial"/>
          <w:sz w:val="22"/>
          <w:szCs w:val="22"/>
        </w:rPr>
        <w:t xml:space="preserve">al or statutory office holders, </w:t>
      </w:r>
      <w:r w:rsidR="004369FF" w:rsidRPr="007B6B69">
        <w:rPr>
          <w:rFonts w:ascii="Arial" w:hAnsi="Arial" w:cs="Arial"/>
          <w:sz w:val="22"/>
          <w:szCs w:val="22"/>
        </w:rPr>
        <w:t>parliament</w:t>
      </w:r>
      <w:r w:rsidR="004369FF">
        <w:rPr>
          <w:rFonts w:ascii="Arial" w:hAnsi="Arial" w:cs="Arial"/>
          <w:sz w:val="22"/>
          <w:szCs w:val="22"/>
        </w:rPr>
        <w:t>arians and members of the Australian Defence Force).</w:t>
      </w:r>
    </w:p>
    <w:p w14:paraId="3AE019F8" w14:textId="77777777" w:rsidR="00BF3BBB" w:rsidRDefault="004369FF" w:rsidP="009A78FB">
      <w:pPr>
        <w:numPr>
          <w:ilvl w:val="0"/>
          <w:numId w:val="1"/>
        </w:numPr>
        <w:tabs>
          <w:tab w:val="clear" w:pos="360"/>
        </w:tabs>
        <w:spacing w:after="120"/>
        <w:ind w:left="709" w:hanging="709"/>
        <w:rPr>
          <w:rFonts w:ascii="Arial" w:hAnsi="Arial" w:cs="Arial"/>
          <w:sz w:val="22"/>
          <w:szCs w:val="22"/>
        </w:rPr>
      </w:pPr>
      <w:r w:rsidRPr="002B72CC">
        <w:rPr>
          <w:rStyle w:val="ms-rtethemeforecolor-2-2"/>
          <w:rFonts w:ascii="Arial" w:hAnsi="Arial" w:cs="Arial"/>
          <w:sz w:val="22"/>
          <w:szCs w:val="22"/>
        </w:rPr>
        <w:t>By</w:t>
      </w:r>
      <w:r w:rsidRPr="002B72CC">
        <w:rPr>
          <w:rStyle w:val="ms-rtethemeforecolor-2-2"/>
          <w:rFonts w:ascii="Arial" w:hAnsi="Arial" w:cs="Arial"/>
          <w:sz w:val="20"/>
        </w:rPr>
        <w:t xml:space="preserve"> </w:t>
      </w:r>
      <w:r w:rsidR="00C84ABF" w:rsidRPr="009A78FB">
        <w:rPr>
          <w:rFonts w:ascii="Arial" w:hAnsi="Arial" w:cs="Arial"/>
          <w:sz w:val="22"/>
          <w:szCs w:val="22"/>
        </w:rPr>
        <w:t xml:space="preserve">contrast, </w:t>
      </w:r>
      <w:r w:rsidR="00310A4A">
        <w:rPr>
          <w:rFonts w:ascii="Arial" w:hAnsi="Arial" w:cs="Arial"/>
          <w:sz w:val="22"/>
          <w:szCs w:val="22"/>
        </w:rPr>
        <w:t>there is</w:t>
      </w:r>
      <w:r w:rsidR="00C84ABF" w:rsidRPr="009A78FB">
        <w:rPr>
          <w:rFonts w:ascii="Arial" w:hAnsi="Arial" w:cs="Arial"/>
          <w:sz w:val="22"/>
          <w:szCs w:val="22"/>
        </w:rPr>
        <w:t xml:space="preserve"> no definition of ‘employee’ in the ITAA 1997</w:t>
      </w:r>
      <w:r>
        <w:rPr>
          <w:rFonts w:ascii="Arial" w:hAnsi="Arial" w:cs="Arial"/>
          <w:sz w:val="22"/>
          <w:szCs w:val="22"/>
        </w:rPr>
        <w:t xml:space="preserve">. </w:t>
      </w:r>
      <w:r w:rsidR="00FA391F">
        <w:rPr>
          <w:rFonts w:ascii="Arial" w:hAnsi="Arial" w:cs="Arial"/>
          <w:sz w:val="22"/>
          <w:szCs w:val="22"/>
        </w:rPr>
        <w:t>I</w:t>
      </w:r>
      <w:r>
        <w:rPr>
          <w:rFonts w:ascii="Arial" w:hAnsi="Arial" w:cs="Arial"/>
          <w:sz w:val="22"/>
          <w:szCs w:val="22"/>
        </w:rPr>
        <w:t xml:space="preserve">t takes its ordinary common law meaning, and </w:t>
      </w:r>
      <w:r w:rsidR="00FA391F">
        <w:rPr>
          <w:rFonts w:ascii="Arial" w:hAnsi="Arial" w:cs="Arial"/>
          <w:sz w:val="22"/>
          <w:szCs w:val="22"/>
        </w:rPr>
        <w:t xml:space="preserve">there may be </w:t>
      </w:r>
      <w:r>
        <w:rPr>
          <w:rFonts w:ascii="Arial" w:hAnsi="Arial" w:cs="Arial"/>
          <w:sz w:val="22"/>
          <w:szCs w:val="22"/>
        </w:rPr>
        <w:t xml:space="preserve">some people who were previously able to claim deductions </w:t>
      </w:r>
      <w:r w:rsidR="00FA391F">
        <w:rPr>
          <w:rFonts w:ascii="Arial" w:hAnsi="Arial" w:cs="Arial"/>
          <w:sz w:val="22"/>
          <w:szCs w:val="22"/>
        </w:rPr>
        <w:t>(</w:t>
      </w:r>
      <w:r>
        <w:rPr>
          <w:rFonts w:ascii="Arial" w:hAnsi="Arial" w:cs="Arial"/>
          <w:sz w:val="22"/>
          <w:szCs w:val="22"/>
        </w:rPr>
        <w:t>because they fell within the expanded definition of employee in the SIS Act and the RSA Act</w:t>
      </w:r>
      <w:r w:rsidR="00FA391F">
        <w:rPr>
          <w:rFonts w:ascii="Arial" w:hAnsi="Arial" w:cs="Arial"/>
          <w:sz w:val="22"/>
          <w:szCs w:val="22"/>
        </w:rPr>
        <w:t>)</w:t>
      </w:r>
      <w:r>
        <w:rPr>
          <w:rFonts w:ascii="Arial" w:hAnsi="Arial" w:cs="Arial"/>
          <w:sz w:val="22"/>
          <w:szCs w:val="22"/>
        </w:rPr>
        <w:t xml:space="preserve"> but </w:t>
      </w:r>
      <w:r w:rsidR="00FA391F">
        <w:rPr>
          <w:rFonts w:ascii="Arial" w:hAnsi="Arial" w:cs="Arial"/>
          <w:sz w:val="22"/>
          <w:szCs w:val="22"/>
        </w:rPr>
        <w:t xml:space="preserve">are not ‘gainfully employed’ for the purposes of the ITAA 1997 because they </w:t>
      </w:r>
      <w:r>
        <w:rPr>
          <w:rFonts w:ascii="Arial" w:hAnsi="Arial" w:cs="Arial"/>
          <w:sz w:val="22"/>
          <w:szCs w:val="22"/>
        </w:rPr>
        <w:t>are not common law employees or self-employed.</w:t>
      </w:r>
    </w:p>
    <w:p w14:paraId="5341BA48" w14:textId="50141BD4" w:rsidR="00315BA7" w:rsidRPr="009A78FB" w:rsidRDefault="00315BA7" w:rsidP="009A78FB">
      <w:pPr>
        <w:numPr>
          <w:ilvl w:val="0"/>
          <w:numId w:val="1"/>
        </w:numPr>
        <w:tabs>
          <w:tab w:val="clear" w:pos="360"/>
        </w:tabs>
        <w:spacing w:after="120"/>
        <w:ind w:left="709" w:hanging="709"/>
        <w:rPr>
          <w:rFonts w:ascii="Arial" w:hAnsi="Arial" w:cs="Arial"/>
          <w:sz w:val="22"/>
          <w:szCs w:val="22"/>
        </w:rPr>
      </w:pPr>
      <w:r w:rsidRPr="00310A4A">
        <w:rPr>
          <w:rFonts w:ascii="Arial" w:hAnsi="Arial" w:cs="Arial"/>
          <w:sz w:val="22"/>
          <w:szCs w:val="22"/>
        </w:rPr>
        <w:t>This instrument</w:t>
      </w:r>
      <w:r w:rsidR="00AB1FAC" w:rsidRPr="00310A4A">
        <w:rPr>
          <w:rFonts w:ascii="Arial" w:hAnsi="Arial" w:cs="Arial"/>
          <w:sz w:val="22"/>
          <w:szCs w:val="22"/>
        </w:rPr>
        <w:t xml:space="preserve"> </w:t>
      </w:r>
      <w:r w:rsidR="004369FF">
        <w:rPr>
          <w:rFonts w:ascii="Arial" w:hAnsi="Arial" w:cs="Arial"/>
          <w:sz w:val="22"/>
          <w:szCs w:val="22"/>
        </w:rPr>
        <w:t xml:space="preserve">resolves this issue. It </w:t>
      </w:r>
      <w:r w:rsidR="00AB1FAC" w:rsidRPr="00310A4A">
        <w:rPr>
          <w:rFonts w:ascii="Arial" w:hAnsi="Arial" w:cs="Arial"/>
          <w:sz w:val="22"/>
          <w:szCs w:val="22"/>
        </w:rPr>
        <w:t xml:space="preserve">modifies the operation of </w:t>
      </w:r>
      <w:r w:rsidR="00030E05" w:rsidRPr="00310A4A">
        <w:rPr>
          <w:rFonts w:ascii="Arial" w:hAnsi="Arial" w:cs="Arial"/>
          <w:sz w:val="22"/>
          <w:szCs w:val="22"/>
        </w:rPr>
        <w:t>sub</w:t>
      </w:r>
      <w:r w:rsidR="00AB1FAC" w:rsidRPr="009A78FB">
        <w:rPr>
          <w:rFonts w:ascii="Arial" w:hAnsi="Arial" w:cs="Arial"/>
          <w:sz w:val="22"/>
          <w:szCs w:val="22"/>
        </w:rPr>
        <w:t>section 290-165</w:t>
      </w:r>
      <w:r w:rsidR="00030E05" w:rsidRPr="009A78FB">
        <w:rPr>
          <w:rFonts w:ascii="Arial" w:hAnsi="Arial" w:cs="Arial"/>
          <w:sz w:val="22"/>
          <w:szCs w:val="22"/>
        </w:rPr>
        <w:t>(1A)</w:t>
      </w:r>
      <w:r w:rsidR="00AB1FAC" w:rsidRPr="009A78FB">
        <w:rPr>
          <w:rFonts w:ascii="Arial" w:hAnsi="Arial" w:cs="Arial"/>
          <w:sz w:val="22"/>
          <w:szCs w:val="22"/>
        </w:rPr>
        <w:t xml:space="preserve"> so that </w:t>
      </w:r>
      <w:r w:rsidR="00D9535F">
        <w:rPr>
          <w:rFonts w:ascii="Arial" w:hAnsi="Arial" w:cs="Arial"/>
          <w:sz w:val="22"/>
          <w:szCs w:val="22"/>
        </w:rPr>
        <w:t>persons aged 67 to 75</w:t>
      </w:r>
      <w:r w:rsidR="00D9535F" w:rsidRPr="009A78FB">
        <w:rPr>
          <w:rFonts w:ascii="Arial" w:hAnsi="Arial" w:cs="Arial"/>
          <w:sz w:val="22"/>
          <w:szCs w:val="22"/>
        </w:rPr>
        <w:t xml:space="preserve"> </w:t>
      </w:r>
      <w:r w:rsidR="00C23358" w:rsidRPr="009A78FB">
        <w:rPr>
          <w:rFonts w:ascii="Arial" w:hAnsi="Arial" w:cs="Arial"/>
          <w:sz w:val="22"/>
          <w:szCs w:val="22"/>
        </w:rPr>
        <w:t xml:space="preserve">who are an employee </w:t>
      </w:r>
      <w:r w:rsidR="004369FF">
        <w:rPr>
          <w:rFonts w:ascii="Arial" w:hAnsi="Arial" w:cs="Arial"/>
          <w:sz w:val="22"/>
          <w:szCs w:val="22"/>
        </w:rPr>
        <w:t xml:space="preserve">under </w:t>
      </w:r>
      <w:r w:rsidR="00C83962">
        <w:rPr>
          <w:rFonts w:ascii="Arial" w:hAnsi="Arial" w:cs="Arial"/>
          <w:sz w:val="22"/>
          <w:szCs w:val="22"/>
        </w:rPr>
        <w:t>sub</w:t>
      </w:r>
      <w:r w:rsidR="00C23358" w:rsidRPr="009A78FB">
        <w:rPr>
          <w:rFonts w:ascii="Arial" w:hAnsi="Arial" w:cs="Arial"/>
          <w:sz w:val="22"/>
          <w:szCs w:val="22"/>
        </w:rPr>
        <w:t>section</w:t>
      </w:r>
      <w:r w:rsidR="00C83962">
        <w:rPr>
          <w:rFonts w:ascii="Arial" w:hAnsi="Arial" w:cs="Arial"/>
          <w:sz w:val="22"/>
          <w:szCs w:val="22"/>
        </w:rPr>
        <w:t>s</w:t>
      </w:r>
      <w:r w:rsidR="00C23358" w:rsidRPr="009A78FB">
        <w:rPr>
          <w:rFonts w:ascii="Arial" w:hAnsi="Arial" w:cs="Arial"/>
          <w:sz w:val="22"/>
          <w:szCs w:val="22"/>
        </w:rPr>
        <w:t xml:space="preserve"> 15A</w:t>
      </w:r>
      <w:r w:rsidR="00C83962">
        <w:rPr>
          <w:rFonts w:ascii="Arial" w:hAnsi="Arial" w:cs="Arial"/>
          <w:sz w:val="22"/>
          <w:szCs w:val="22"/>
        </w:rPr>
        <w:t xml:space="preserve">(2) to </w:t>
      </w:r>
      <w:r w:rsidR="002B72CC">
        <w:rPr>
          <w:rFonts w:ascii="Arial" w:hAnsi="Arial" w:cs="Arial"/>
          <w:sz w:val="22"/>
          <w:szCs w:val="22"/>
        </w:rPr>
        <w:t>15A</w:t>
      </w:r>
      <w:r w:rsidR="00C83962">
        <w:rPr>
          <w:rFonts w:ascii="Arial" w:hAnsi="Arial" w:cs="Arial"/>
          <w:sz w:val="22"/>
          <w:szCs w:val="22"/>
        </w:rPr>
        <w:t>(10)</w:t>
      </w:r>
      <w:r w:rsidR="00C23358" w:rsidRPr="009A78FB">
        <w:rPr>
          <w:rFonts w:ascii="Arial" w:hAnsi="Arial" w:cs="Arial"/>
          <w:sz w:val="22"/>
          <w:szCs w:val="22"/>
        </w:rPr>
        <w:t xml:space="preserve"> of the SIS</w:t>
      </w:r>
      <w:r w:rsidR="004369FF">
        <w:rPr>
          <w:rFonts w:ascii="Arial" w:hAnsi="Arial" w:cs="Arial"/>
          <w:sz w:val="22"/>
          <w:szCs w:val="22"/>
        </w:rPr>
        <w:t xml:space="preserve"> </w:t>
      </w:r>
      <w:r w:rsidR="00C23358" w:rsidRPr="009A78FB">
        <w:rPr>
          <w:rFonts w:ascii="Arial" w:hAnsi="Arial" w:cs="Arial"/>
          <w:sz w:val="22"/>
          <w:szCs w:val="22"/>
        </w:rPr>
        <w:t>A</w:t>
      </w:r>
      <w:r w:rsidR="004369FF">
        <w:rPr>
          <w:rFonts w:ascii="Arial" w:hAnsi="Arial" w:cs="Arial"/>
          <w:sz w:val="22"/>
          <w:szCs w:val="22"/>
        </w:rPr>
        <w:t>ct</w:t>
      </w:r>
      <w:r w:rsidR="005B789C" w:rsidRPr="009A78FB">
        <w:rPr>
          <w:rFonts w:ascii="Arial" w:hAnsi="Arial" w:cs="Arial"/>
          <w:sz w:val="22"/>
          <w:szCs w:val="22"/>
        </w:rPr>
        <w:t xml:space="preserve"> </w:t>
      </w:r>
      <w:r w:rsidR="004369FF">
        <w:rPr>
          <w:rFonts w:ascii="Arial" w:hAnsi="Arial" w:cs="Arial"/>
          <w:sz w:val="22"/>
          <w:szCs w:val="22"/>
        </w:rPr>
        <w:t xml:space="preserve">are capable of meeting the </w:t>
      </w:r>
      <w:r w:rsidR="00C23358" w:rsidRPr="009A78FB">
        <w:rPr>
          <w:rFonts w:ascii="Arial" w:hAnsi="Arial" w:cs="Arial"/>
          <w:sz w:val="22"/>
          <w:szCs w:val="22"/>
        </w:rPr>
        <w:t xml:space="preserve">‘work test’ </w:t>
      </w:r>
      <w:r w:rsidR="004369FF">
        <w:rPr>
          <w:rFonts w:ascii="Arial" w:hAnsi="Arial" w:cs="Arial"/>
          <w:sz w:val="22"/>
          <w:szCs w:val="22"/>
        </w:rPr>
        <w:t xml:space="preserve">if they meet relevant criteria. </w:t>
      </w:r>
      <w:r w:rsidR="007D7BD2" w:rsidRPr="009A78FB">
        <w:rPr>
          <w:rFonts w:ascii="Arial" w:hAnsi="Arial" w:cs="Arial"/>
          <w:sz w:val="22"/>
          <w:szCs w:val="22"/>
        </w:rPr>
        <w:t>Th</w:t>
      </w:r>
      <w:r w:rsidR="009764BE" w:rsidRPr="009A78FB">
        <w:rPr>
          <w:rFonts w:ascii="Arial" w:hAnsi="Arial" w:cs="Arial"/>
          <w:sz w:val="22"/>
          <w:szCs w:val="22"/>
        </w:rPr>
        <w:t>e</w:t>
      </w:r>
      <w:r w:rsidR="007D7BD2" w:rsidRPr="009A78FB">
        <w:rPr>
          <w:rFonts w:ascii="Arial" w:hAnsi="Arial" w:cs="Arial"/>
          <w:sz w:val="22"/>
          <w:szCs w:val="22"/>
        </w:rPr>
        <w:t xml:space="preserve"> </w:t>
      </w:r>
      <w:r w:rsidRPr="00310A4A">
        <w:rPr>
          <w:rFonts w:ascii="Arial" w:hAnsi="Arial" w:cs="Arial"/>
          <w:sz w:val="22"/>
          <w:szCs w:val="22"/>
        </w:rPr>
        <w:t>modification provide</w:t>
      </w:r>
      <w:r w:rsidR="003A3ADF" w:rsidRPr="00310A4A">
        <w:rPr>
          <w:rFonts w:ascii="Arial" w:hAnsi="Arial" w:cs="Arial"/>
          <w:sz w:val="22"/>
          <w:szCs w:val="22"/>
        </w:rPr>
        <w:t>s</w:t>
      </w:r>
      <w:r w:rsidRPr="00310A4A">
        <w:rPr>
          <w:rFonts w:ascii="Arial" w:hAnsi="Arial" w:cs="Arial"/>
          <w:sz w:val="22"/>
          <w:szCs w:val="22"/>
        </w:rPr>
        <w:t xml:space="preserve"> certainty for these individuals by </w:t>
      </w:r>
      <w:r w:rsidR="00310A4A">
        <w:rPr>
          <w:rFonts w:ascii="Arial" w:hAnsi="Arial" w:cs="Arial"/>
          <w:sz w:val="22"/>
          <w:szCs w:val="22"/>
        </w:rPr>
        <w:t>ensuring</w:t>
      </w:r>
      <w:r w:rsidR="00310A4A" w:rsidRPr="00310A4A">
        <w:rPr>
          <w:rFonts w:ascii="Arial" w:hAnsi="Arial" w:cs="Arial"/>
          <w:sz w:val="22"/>
          <w:szCs w:val="22"/>
        </w:rPr>
        <w:t xml:space="preserve"> </w:t>
      </w:r>
      <w:r w:rsidRPr="00310A4A">
        <w:rPr>
          <w:rFonts w:ascii="Arial" w:hAnsi="Arial" w:cs="Arial"/>
          <w:sz w:val="22"/>
          <w:szCs w:val="22"/>
        </w:rPr>
        <w:t xml:space="preserve">their eligibility to claim </w:t>
      </w:r>
      <w:r w:rsidR="007D7BD2" w:rsidRPr="00310A4A">
        <w:rPr>
          <w:rFonts w:ascii="Arial" w:hAnsi="Arial" w:cs="Arial"/>
          <w:sz w:val="22"/>
          <w:szCs w:val="22"/>
        </w:rPr>
        <w:t>these</w:t>
      </w:r>
      <w:r w:rsidRPr="00310A4A">
        <w:rPr>
          <w:rFonts w:ascii="Arial" w:hAnsi="Arial" w:cs="Arial"/>
          <w:sz w:val="22"/>
          <w:szCs w:val="22"/>
        </w:rPr>
        <w:t xml:space="preserve"> deduction</w:t>
      </w:r>
      <w:r w:rsidR="007D7BD2" w:rsidRPr="00310A4A">
        <w:rPr>
          <w:rFonts w:ascii="Arial" w:hAnsi="Arial" w:cs="Arial"/>
          <w:sz w:val="22"/>
          <w:szCs w:val="22"/>
        </w:rPr>
        <w:t>s</w:t>
      </w:r>
      <w:r w:rsidR="00310A4A">
        <w:rPr>
          <w:rFonts w:ascii="Arial" w:hAnsi="Arial" w:cs="Arial"/>
          <w:sz w:val="22"/>
          <w:szCs w:val="22"/>
        </w:rPr>
        <w:t xml:space="preserve"> is un</w:t>
      </w:r>
      <w:r w:rsidR="002002A9">
        <w:rPr>
          <w:rFonts w:ascii="Arial" w:hAnsi="Arial" w:cs="Arial"/>
          <w:sz w:val="22"/>
          <w:szCs w:val="22"/>
        </w:rPr>
        <w:t>affected by the 2022 amendments.</w:t>
      </w:r>
    </w:p>
    <w:p w14:paraId="09949182" w14:textId="77777777" w:rsidR="005F64B9" w:rsidRPr="009A78FB" w:rsidRDefault="005F64B9" w:rsidP="009A78FB">
      <w:pPr>
        <w:autoSpaceDE w:val="0"/>
        <w:autoSpaceDN w:val="0"/>
        <w:adjustRightInd w:val="0"/>
        <w:spacing w:after="120"/>
        <w:rPr>
          <w:rFonts w:ascii="Arial" w:hAnsi="Arial" w:cs="Arial"/>
          <w:sz w:val="22"/>
          <w:szCs w:val="22"/>
        </w:rPr>
      </w:pPr>
    </w:p>
    <w:p w14:paraId="3C6FD7E9" w14:textId="77777777" w:rsidR="00BF3BBB" w:rsidRDefault="00B96710" w:rsidP="009A78FB">
      <w:pPr>
        <w:pStyle w:val="Heading2"/>
      </w:pPr>
      <w:r>
        <w:t>Exercise of the Commissioner’s remedial power (CRP) is appropriate in the circumstances</w:t>
      </w:r>
    </w:p>
    <w:p w14:paraId="744A64A4" w14:textId="77777777" w:rsidR="00BF3BBB" w:rsidRDefault="0047178C" w:rsidP="009A78FB">
      <w:pPr>
        <w:numPr>
          <w:ilvl w:val="0"/>
          <w:numId w:val="1"/>
        </w:numPr>
        <w:tabs>
          <w:tab w:val="clear" w:pos="360"/>
        </w:tabs>
        <w:spacing w:after="120"/>
        <w:ind w:left="709" w:hanging="709"/>
        <w:rPr>
          <w:rFonts w:ascii="Arial" w:hAnsi="Arial" w:cs="Arial"/>
          <w:sz w:val="22"/>
          <w:szCs w:val="22"/>
        </w:rPr>
      </w:pPr>
      <w:r w:rsidRPr="00C83962">
        <w:rPr>
          <w:rFonts w:ascii="Arial" w:hAnsi="Arial" w:cs="Arial"/>
          <w:sz w:val="22"/>
          <w:szCs w:val="22"/>
        </w:rPr>
        <w:t>The</w:t>
      </w:r>
      <w:r w:rsidRPr="009A78FB">
        <w:rPr>
          <w:rFonts w:ascii="Arial" w:hAnsi="Arial" w:cs="Arial"/>
          <w:sz w:val="22"/>
          <w:szCs w:val="22"/>
        </w:rPr>
        <w:t xml:space="preserve"> Commissioner considers </w:t>
      </w:r>
      <w:r w:rsidR="002002A9" w:rsidRPr="009A78FB">
        <w:rPr>
          <w:rFonts w:ascii="Arial" w:hAnsi="Arial" w:cs="Arial"/>
          <w:sz w:val="22"/>
          <w:szCs w:val="22"/>
        </w:rPr>
        <w:t xml:space="preserve">that </w:t>
      </w:r>
      <w:r w:rsidRPr="009A78FB">
        <w:rPr>
          <w:rFonts w:ascii="Arial" w:hAnsi="Arial" w:cs="Arial"/>
          <w:sz w:val="22"/>
          <w:szCs w:val="22"/>
        </w:rPr>
        <w:t xml:space="preserve">the modification </w:t>
      </w:r>
      <w:r w:rsidR="002002A9" w:rsidRPr="009A78FB">
        <w:rPr>
          <w:rFonts w:ascii="Arial" w:hAnsi="Arial" w:cs="Arial"/>
          <w:sz w:val="22"/>
          <w:szCs w:val="22"/>
        </w:rPr>
        <w:t xml:space="preserve">of subsection 290-165(1A) </w:t>
      </w:r>
      <w:r w:rsidRPr="009A78FB">
        <w:rPr>
          <w:rFonts w:ascii="Arial" w:hAnsi="Arial" w:cs="Arial"/>
          <w:sz w:val="22"/>
          <w:szCs w:val="22"/>
        </w:rPr>
        <w:t xml:space="preserve">is not inconsistent with </w:t>
      </w:r>
      <w:r w:rsidR="000D0FC5" w:rsidRPr="00C83962">
        <w:rPr>
          <w:rFonts w:ascii="Arial" w:hAnsi="Arial" w:cs="Arial"/>
          <w:sz w:val="22"/>
          <w:szCs w:val="22"/>
        </w:rPr>
        <w:t>its</w:t>
      </w:r>
      <w:r w:rsidR="000D0FC5" w:rsidRPr="009A78FB">
        <w:rPr>
          <w:rFonts w:ascii="Arial" w:hAnsi="Arial" w:cs="Arial"/>
          <w:sz w:val="22"/>
          <w:szCs w:val="22"/>
        </w:rPr>
        <w:t xml:space="preserve"> </w:t>
      </w:r>
      <w:r w:rsidRPr="009A78FB">
        <w:rPr>
          <w:rFonts w:ascii="Arial" w:hAnsi="Arial" w:cs="Arial"/>
          <w:sz w:val="22"/>
          <w:szCs w:val="22"/>
        </w:rPr>
        <w:t>intended purpose or object</w:t>
      </w:r>
      <w:r w:rsidR="002002A9" w:rsidRPr="009A78FB">
        <w:rPr>
          <w:rFonts w:ascii="Arial" w:hAnsi="Arial" w:cs="Arial"/>
          <w:sz w:val="22"/>
          <w:szCs w:val="22"/>
        </w:rPr>
        <w:t xml:space="preserve">, and is </w:t>
      </w:r>
      <w:r w:rsidR="00B96710" w:rsidRPr="00C83962">
        <w:rPr>
          <w:rFonts w:ascii="Arial" w:hAnsi="Arial" w:cs="Arial"/>
          <w:sz w:val="22"/>
          <w:szCs w:val="22"/>
        </w:rPr>
        <w:t xml:space="preserve">otherwise </w:t>
      </w:r>
      <w:r w:rsidR="002002A9" w:rsidRPr="009A78FB">
        <w:rPr>
          <w:rFonts w:ascii="Arial" w:hAnsi="Arial" w:cs="Arial"/>
          <w:sz w:val="22"/>
          <w:szCs w:val="22"/>
        </w:rPr>
        <w:t xml:space="preserve">reasonable. The </w:t>
      </w:r>
      <w:r w:rsidR="00B96710" w:rsidRPr="00C83962">
        <w:rPr>
          <w:rFonts w:ascii="Arial" w:hAnsi="Arial" w:cs="Arial"/>
          <w:sz w:val="22"/>
          <w:szCs w:val="22"/>
        </w:rPr>
        <w:t>Australian Taxation Office (</w:t>
      </w:r>
      <w:r w:rsidR="002002A9" w:rsidRPr="009A78FB">
        <w:rPr>
          <w:rFonts w:ascii="Arial" w:hAnsi="Arial" w:cs="Arial"/>
          <w:sz w:val="22"/>
          <w:szCs w:val="22"/>
        </w:rPr>
        <w:t>ATO</w:t>
      </w:r>
      <w:r w:rsidR="00B96710" w:rsidRPr="00C83962">
        <w:rPr>
          <w:rFonts w:ascii="Arial" w:hAnsi="Arial" w:cs="Arial"/>
          <w:sz w:val="22"/>
          <w:szCs w:val="22"/>
        </w:rPr>
        <w:t>)</w:t>
      </w:r>
      <w:r w:rsidR="002002A9" w:rsidRPr="009A78FB">
        <w:rPr>
          <w:rFonts w:ascii="Arial" w:hAnsi="Arial" w:cs="Arial"/>
          <w:sz w:val="22"/>
          <w:szCs w:val="22"/>
        </w:rPr>
        <w:t xml:space="preserve"> consulted with the CRP Advisory Panel (which is comprised of private sector specialists, as well as representatives from the ATO and the Department of the Treasury) in reaching this view.</w:t>
      </w:r>
    </w:p>
    <w:p w14:paraId="2E16DD32" w14:textId="767B53CA" w:rsidR="003F5779" w:rsidRPr="009A78FB" w:rsidRDefault="0047178C" w:rsidP="009A78FB">
      <w:pPr>
        <w:numPr>
          <w:ilvl w:val="0"/>
          <w:numId w:val="1"/>
        </w:numPr>
        <w:tabs>
          <w:tab w:val="clear" w:pos="360"/>
        </w:tabs>
        <w:spacing w:after="120"/>
        <w:ind w:left="709" w:hanging="709"/>
        <w:rPr>
          <w:rFonts w:ascii="Arial" w:hAnsi="Arial" w:cs="Arial"/>
          <w:sz w:val="22"/>
          <w:szCs w:val="22"/>
        </w:rPr>
      </w:pPr>
      <w:r w:rsidRPr="009A78FB">
        <w:rPr>
          <w:rFonts w:ascii="Arial" w:hAnsi="Arial" w:cs="Arial"/>
          <w:sz w:val="22"/>
          <w:szCs w:val="22"/>
        </w:rPr>
        <w:t xml:space="preserve">In </w:t>
      </w:r>
      <w:r w:rsidR="00EB3B67" w:rsidRPr="009A78FB">
        <w:rPr>
          <w:rFonts w:ascii="Arial" w:hAnsi="Arial" w:cs="Arial"/>
          <w:sz w:val="22"/>
          <w:szCs w:val="22"/>
        </w:rPr>
        <w:t xml:space="preserve">ascertaining </w:t>
      </w:r>
      <w:r w:rsidRPr="009A78FB">
        <w:rPr>
          <w:rFonts w:ascii="Arial" w:hAnsi="Arial" w:cs="Arial"/>
          <w:sz w:val="22"/>
          <w:szCs w:val="22"/>
        </w:rPr>
        <w:t>the intended purpose or object, consideration was given to</w:t>
      </w:r>
      <w:r w:rsidR="0053196A" w:rsidRPr="009A78FB">
        <w:rPr>
          <w:rFonts w:ascii="Arial" w:hAnsi="Arial" w:cs="Arial"/>
          <w:sz w:val="22"/>
          <w:szCs w:val="22"/>
        </w:rPr>
        <w:t>:</w:t>
      </w:r>
    </w:p>
    <w:p w14:paraId="16153D25" w14:textId="3BD46D03" w:rsidR="00C23358" w:rsidRPr="009A78FB" w:rsidRDefault="009C1193" w:rsidP="00460C0E">
      <w:pPr>
        <w:numPr>
          <w:ilvl w:val="1"/>
          <w:numId w:val="17"/>
        </w:numPr>
        <w:spacing w:after="120"/>
        <w:ind w:left="1418" w:hanging="709"/>
        <w:rPr>
          <w:rFonts w:ascii="Arial" w:hAnsi="Arial" w:cs="Arial"/>
          <w:sz w:val="22"/>
          <w:szCs w:val="22"/>
        </w:rPr>
      </w:pPr>
      <w:r w:rsidRPr="009A78FB">
        <w:rPr>
          <w:rFonts w:ascii="Arial" w:hAnsi="Arial" w:cs="Arial"/>
          <w:sz w:val="22"/>
          <w:szCs w:val="22"/>
        </w:rPr>
        <w:lastRenderedPageBreak/>
        <w:t xml:space="preserve">the </w:t>
      </w:r>
      <w:r w:rsidR="00B96710" w:rsidRPr="009A78FB">
        <w:rPr>
          <w:rFonts w:ascii="Arial" w:hAnsi="Arial" w:cs="Arial"/>
          <w:sz w:val="22"/>
          <w:szCs w:val="22"/>
        </w:rPr>
        <w:t>E</w:t>
      </w:r>
      <w:r w:rsidRPr="009A78FB">
        <w:rPr>
          <w:rFonts w:ascii="Arial" w:hAnsi="Arial" w:cs="Arial"/>
          <w:sz w:val="22"/>
          <w:szCs w:val="22"/>
        </w:rPr>
        <w:t xml:space="preserve">xplanatory </w:t>
      </w:r>
      <w:r w:rsidR="00B96710" w:rsidRPr="009A78FB">
        <w:rPr>
          <w:rFonts w:ascii="Arial" w:hAnsi="Arial" w:cs="Arial"/>
          <w:sz w:val="22"/>
          <w:szCs w:val="22"/>
        </w:rPr>
        <w:t>M</w:t>
      </w:r>
      <w:r w:rsidRPr="009A78FB">
        <w:rPr>
          <w:rFonts w:ascii="Arial" w:hAnsi="Arial" w:cs="Arial"/>
          <w:sz w:val="22"/>
          <w:szCs w:val="22"/>
        </w:rPr>
        <w:t xml:space="preserve">emorandum </w:t>
      </w:r>
      <w:r w:rsidR="00E207F9" w:rsidRPr="009A78FB">
        <w:rPr>
          <w:rFonts w:ascii="Arial" w:hAnsi="Arial" w:cs="Arial"/>
          <w:sz w:val="22"/>
          <w:szCs w:val="22"/>
        </w:rPr>
        <w:t xml:space="preserve">and </w:t>
      </w:r>
      <w:r w:rsidR="00B96710" w:rsidRPr="009A78FB">
        <w:rPr>
          <w:rFonts w:ascii="Arial" w:hAnsi="Arial" w:cs="Arial"/>
          <w:sz w:val="22"/>
          <w:szCs w:val="22"/>
        </w:rPr>
        <w:t>S</w:t>
      </w:r>
      <w:r w:rsidR="00E207F9" w:rsidRPr="009A78FB">
        <w:rPr>
          <w:rFonts w:ascii="Arial" w:hAnsi="Arial" w:cs="Arial"/>
          <w:sz w:val="22"/>
          <w:szCs w:val="22"/>
        </w:rPr>
        <w:t xml:space="preserve">econd </w:t>
      </w:r>
      <w:r w:rsidR="00B96710" w:rsidRPr="009A78FB">
        <w:rPr>
          <w:rFonts w:ascii="Arial" w:hAnsi="Arial" w:cs="Arial"/>
          <w:sz w:val="22"/>
          <w:szCs w:val="22"/>
        </w:rPr>
        <w:t>R</w:t>
      </w:r>
      <w:r w:rsidR="00E207F9" w:rsidRPr="009A78FB">
        <w:rPr>
          <w:rFonts w:ascii="Arial" w:hAnsi="Arial" w:cs="Arial"/>
          <w:sz w:val="22"/>
          <w:szCs w:val="22"/>
        </w:rPr>
        <w:t xml:space="preserve">eading </w:t>
      </w:r>
      <w:r w:rsidR="00B96710" w:rsidRPr="009A78FB">
        <w:rPr>
          <w:rFonts w:ascii="Arial" w:hAnsi="Arial" w:cs="Arial"/>
          <w:sz w:val="22"/>
          <w:szCs w:val="22"/>
        </w:rPr>
        <w:t>S</w:t>
      </w:r>
      <w:r w:rsidR="00E207F9" w:rsidRPr="009A78FB">
        <w:rPr>
          <w:rFonts w:ascii="Arial" w:hAnsi="Arial" w:cs="Arial"/>
          <w:sz w:val="22"/>
          <w:szCs w:val="22"/>
        </w:rPr>
        <w:t xml:space="preserve">peech </w:t>
      </w:r>
      <w:r w:rsidRPr="009A78FB">
        <w:rPr>
          <w:rFonts w:ascii="Arial" w:hAnsi="Arial" w:cs="Arial"/>
          <w:sz w:val="22"/>
          <w:szCs w:val="22"/>
        </w:rPr>
        <w:t>to the</w:t>
      </w:r>
      <w:r w:rsidR="00561BC7" w:rsidRPr="009A78FB">
        <w:rPr>
          <w:rFonts w:ascii="Arial" w:hAnsi="Arial" w:cs="Arial"/>
          <w:sz w:val="22"/>
          <w:szCs w:val="22"/>
        </w:rPr>
        <w:t xml:space="preserve"> </w:t>
      </w:r>
      <w:r w:rsidR="0078284B" w:rsidRPr="009A78FB">
        <w:rPr>
          <w:rFonts w:ascii="Arial" w:hAnsi="Arial" w:cs="Arial"/>
          <w:sz w:val="22"/>
          <w:szCs w:val="22"/>
        </w:rPr>
        <w:t xml:space="preserve">Treasury Laws Amendment (Enhancing </w:t>
      </w:r>
      <w:r w:rsidR="0078284B" w:rsidRPr="007B6B69">
        <w:rPr>
          <w:rFonts w:ascii="Arial" w:hAnsi="Arial" w:cs="Arial"/>
          <w:sz w:val="22"/>
          <w:szCs w:val="22"/>
        </w:rPr>
        <w:t>Superannuation</w:t>
      </w:r>
      <w:r w:rsidR="0078284B" w:rsidRPr="009A78FB">
        <w:rPr>
          <w:rFonts w:ascii="Arial" w:hAnsi="Arial" w:cs="Arial"/>
          <w:sz w:val="22"/>
          <w:szCs w:val="22"/>
        </w:rPr>
        <w:t xml:space="preserve"> Outcomes for Australians and Helping Australian </w:t>
      </w:r>
      <w:r w:rsidR="0078284B" w:rsidRPr="007B6B69">
        <w:rPr>
          <w:rFonts w:ascii="Arial" w:hAnsi="Arial" w:cs="Arial"/>
          <w:sz w:val="22"/>
          <w:szCs w:val="22"/>
        </w:rPr>
        <w:t>Businesses</w:t>
      </w:r>
      <w:r w:rsidR="0078284B" w:rsidRPr="009A78FB">
        <w:rPr>
          <w:rFonts w:ascii="Arial" w:hAnsi="Arial" w:cs="Arial"/>
          <w:sz w:val="22"/>
          <w:szCs w:val="22"/>
        </w:rPr>
        <w:t xml:space="preserve"> Invest) Bill 202</w:t>
      </w:r>
      <w:r w:rsidR="009764BE" w:rsidRPr="009A78FB">
        <w:rPr>
          <w:rFonts w:ascii="Arial" w:hAnsi="Arial" w:cs="Arial"/>
          <w:sz w:val="22"/>
          <w:szCs w:val="22"/>
        </w:rPr>
        <w:t>1</w:t>
      </w:r>
      <w:r w:rsidR="00B96710" w:rsidRPr="009A78FB">
        <w:rPr>
          <w:rFonts w:ascii="Arial" w:hAnsi="Arial" w:cs="Arial"/>
          <w:sz w:val="22"/>
          <w:szCs w:val="22"/>
        </w:rPr>
        <w:t>,</w:t>
      </w:r>
      <w:r w:rsidR="00CC1738" w:rsidRPr="009A78FB">
        <w:rPr>
          <w:rFonts w:ascii="Arial" w:hAnsi="Arial" w:cs="Arial"/>
          <w:sz w:val="22"/>
          <w:szCs w:val="22"/>
        </w:rPr>
        <w:t xml:space="preserve"> and</w:t>
      </w:r>
    </w:p>
    <w:p w14:paraId="1A2EC866" w14:textId="77777777" w:rsidR="00BF3BBB" w:rsidRDefault="003306C5" w:rsidP="00460C0E">
      <w:pPr>
        <w:numPr>
          <w:ilvl w:val="1"/>
          <w:numId w:val="17"/>
        </w:numPr>
        <w:spacing w:after="120"/>
        <w:ind w:left="1418" w:hanging="709"/>
        <w:rPr>
          <w:rFonts w:ascii="Arial" w:hAnsi="Arial" w:cs="Arial"/>
          <w:sz w:val="22"/>
          <w:szCs w:val="22"/>
        </w:rPr>
      </w:pPr>
      <w:r w:rsidRPr="009A78FB">
        <w:rPr>
          <w:rFonts w:ascii="Arial" w:hAnsi="Arial" w:cs="Arial"/>
          <w:sz w:val="22"/>
          <w:szCs w:val="22"/>
        </w:rPr>
        <w:t xml:space="preserve">Budget Paper </w:t>
      </w:r>
      <w:r w:rsidRPr="007B6B69">
        <w:rPr>
          <w:rFonts w:ascii="Arial" w:hAnsi="Arial" w:cs="Arial"/>
          <w:sz w:val="22"/>
          <w:szCs w:val="22"/>
        </w:rPr>
        <w:t>No.</w:t>
      </w:r>
      <w:r w:rsidRPr="009A78FB">
        <w:rPr>
          <w:rFonts w:ascii="Arial" w:hAnsi="Arial" w:cs="Arial"/>
          <w:sz w:val="22"/>
          <w:szCs w:val="22"/>
        </w:rPr>
        <w:t xml:space="preserve"> 2 fr</w:t>
      </w:r>
      <w:r w:rsidR="00B96710" w:rsidRPr="009A78FB">
        <w:rPr>
          <w:rFonts w:ascii="Arial" w:hAnsi="Arial" w:cs="Arial"/>
          <w:sz w:val="22"/>
          <w:szCs w:val="22"/>
        </w:rPr>
        <w:t>om</w:t>
      </w:r>
      <w:r w:rsidRPr="009A78FB">
        <w:rPr>
          <w:rFonts w:ascii="Arial" w:hAnsi="Arial" w:cs="Arial"/>
          <w:sz w:val="22"/>
          <w:szCs w:val="22"/>
        </w:rPr>
        <w:t xml:space="preserve"> the 2021-22 Commonwealth Budget.</w:t>
      </w:r>
    </w:p>
    <w:p w14:paraId="57413196" w14:textId="6782A632" w:rsidR="00CA1B48" w:rsidRPr="009A78FB" w:rsidRDefault="00B96710" w:rsidP="009A78FB">
      <w:pPr>
        <w:numPr>
          <w:ilvl w:val="0"/>
          <w:numId w:val="1"/>
        </w:numPr>
        <w:tabs>
          <w:tab w:val="clear" w:pos="360"/>
        </w:tabs>
        <w:spacing w:after="120"/>
        <w:ind w:left="709" w:hanging="709"/>
        <w:rPr>
          <w:rFonts w:ascii="Arial" w:hAnsi="Arial" w:cs="Arial"/>
          <w:sz w:val="22"/>
          <w:szCs w:val="22"/>
        </w:rPr>
      </w:pPr>
      <w:r w:rsidRPr="009A78FB">
        <w:rPr>
          <w:rFonts w:ascii="Arial" w:hAnsi="Arial" w:cs="Arial"/>
          <w:sz w:val="22"/>
          <w:szCs w:val="22"/>
        </w:rPr>
        <w:t xml:space="preserve">These documents confirm that </w:t>
      </w:r>
      <w:r w:rsidR="00FF3579" w:rsidRPr="009A78FB">
        <w:rPr>
          <w:rFonts w:ascii="Arial" w:hAnsi="Arial" w:cs="Arial"/>
          <w:sz w:val="22"/>
          <w:szCs w:val="22"/>
        </w:rPr>
        <w:t>t</w:t>
      </w:r>
      <w:r w:rsidRPr="009A78FB">
        <w:rPr>
          <w:rFonts w:ascii="Arial" w:hAnsi="Arial" w:cs="Arial"/>
          <w:sz w:val="22"/>
          <w:szCs w:val="22"/>
        </w:rPr>
        <w:t xml:space="preserve">hat the policy intent of the </w:t>
      </w:r>
      <w:r w:rsidR="00FF3579" w:rsidRPr="009A78FB">
        <w:rPr>
          <w:rFonts w:ascii="Arial" w:hAnsi="Arial" w:cs="Arial"/>
          <w:sz w:val="22"/>
          <w:szCs w:val="22"/>
        </w:rPr>
        <w:t>2022 amendments was</w:t>
      </w:r>
      <w:r w:rsidR="00CA1B48" w:rsidRPr="009A78FB">
        <w:rPr>
          <w:rFonts w:ascii="Arial" w:hAnsi="Arial" w:cs="Arial"/>
          <w:sz w:val="22"/>
          <w:szCs w:val="22"/>
        </w:rPr>
        <w:t>:</w:t>
      </w:r>
    </w:p>
    <w:p w14:paraId="6F2A63A4" w14:textId="77777777" w:rsidR="00BF3BBB" w:rsidRDefault="00FF3579" w:rsidP="00460C0E">
      <w:pPr>
        <w:numPr>
          <w:ilvl w:val="1"/>
          <w:numId w:val="18"/>
        </w:numPr>
        <w:spacing w:after="120"/>
        <w:ind w:left="1418" w:hanging="709"/>
        <w:rPr>
          <w:rFonts w:ascii="Arial" w:hAnsi="Arial" w:cs="Arial"/>
          <w:sz w:val="22"/>
          <w:szCs w:val="22"/>
        </w:rPr>
      </w:pPr>
      <w:r w:rsidRPr="009A78FB">
        <w:rPr>
          <w:rFonts w:ascii="Arial" w:hAnsi="Arial" w:cs="Arial"/>
          <w:sz w:val="22"/>
          <w:szCs w:val="22"/>
        </w:rPr>
        <w:t xml:space="preserve">to relocate the </w:t>
      </w:r>
      <w:r w:rsidR="00B96710" w:rsidRPr="009A78FB">
        <w:rPr>
          <w:rFonts w:ascii="Arial" w:hAnsi="Arial" w:cs="Arial"/>
          <w:sz w:val="22"/>
          <w:szCs w:val="22"/>
        </w:rPr>
        <w:t>‘</w:t>
      </w:r>
      <w:r w:rsidRPr="009A78FB">
        <w:rPr>
          <w:rFonts w:ascii="Arial" w:hAnsi="Arial" w:cs="Arial"/>
          <w:sz w:val="22"/>
          <w:szCs w:val="22"/>
        </w:rPr>
        <w:t>work test</w:t>
      </w:r>
      <w:r w:rsidR="00B96710" w:rsidRPr="009A78FB">
        <w:rPr>
          <w:rFonts w:ascii="Arial" w:hAnsi="Arial" w:cs="Arial"/>
          <w:sz w:val="22"/>
          <w:szCs w:val="22"/>
        </w:rPr>
        <w:t>’</w:t>
      </w:r>
      <w:r w:rsidRPr="009A78FB">
        <w:rPr>
          <w:rFonts w:ascii="Arial" w:hAnsi="Arial" w:cs="Arial"/>
          <w:sz w:val="22"/>
          <w:szCs w:val="22"/>
        </w:rPr>
        <w:t xml:space="preserve"> </w:t>
      </w:r>
      <w:r w:rsidR="00190744" w:rsidRPr="009A78FB">
        <w:rPr>
          <w:rFonts w:ascii="Arial" w:hAnsi="Arial" w:cs="Arial"/>
          <w:sz w:val="22"/>
          <w:szCs w:val="22"/>
        </w:rPr>
        <w:t>as it existed in the</w:t>
      </w:r>
      <w:r w:rsidRPr="009A78FB">
        <w:rPr>
          <w:rFonts w:ascii="Arial" w:hAnsi="Arial" w:cs="Arial"/>
          <w:sz w:val="22"/>
          <w:szCs w:val="22"/>
        </w:rPr>
        <w:t xml:space="preserve"> SISR and RSAR</w:t>
      </w:r>
      <w:r w:rsidR="00B96710" w:rsidRPr="009A78FB">
        <w:rPr>
          <w:rFonts w:ascii="Arial" w:hAnsi="Arial" w:cs="Arial"/>
          <w:sz w:val="22"/>
          <w:szCs w:val="22"/>
        </w:rPr>
        <w:t>,</w:t>
      </w:r>
      <w:r w:rsidR="00190744" w:rsidRPr="009A78FB">
        <w:rPr>
          <w:rFonts w:ascii="Arial" w:hAnsi="Arial" w:cs="Arial"/>
          <w:sz w:val="22"/>
          <w:szCs w:val="22"/>
        </w:rPr>
        <w:t xml:space="preserve"> to the ITAA 1997</w:t>
      </w:r>
      <w:r w:rsidR="00425BDE" w:rsidRPr="009A78FB">
        <w:rPr>
          <w:rFonts w:ascii="Arial" w:hAnsi="Arial" w:cs="Arial"/>
          <w:sz w:val="22"/>
          <w:szCs w:val="22"/>
        </w:rPr>
        <w:t>,</w:t>
      </w:r>
      <w:r w:rsidR="00190744" w:rsidRPr="009A78FB">
        <w:rPr>
          <w:rFonts w:ascii="Arial" w:hAnsi="Arial" w:cs="Arial"/>
          <w:sz w:val="22"/>
          <w:szCs w:val="22"/>
        </w:rPr>
        <w:t xml:space="preserve"> and</w:t>
      </w:r>
    </w:p>
    <w:p w14:paraId="471F12A7" w14:textId="0FCAB910" w:rsidR="00425BDE" w:rsidRPr="00C83962" w:rsidRDefault="00425BDE" w:rsidP="00460C0E">
      <w:pPr>
        <w:numPr>
          <w:ilvl w:val="1"/>
          <w:numId w:val="18"/>
        </w:numPr>
        <w:spacing w:after="120"/>
        <w:ind w:left="1418" w:hanging="709"/>
        <w:rPr>
          <w:rFonts w:ascii="Arial" w:hAnsi="Arial" w:cs="Arial"/>
          <w:sz w:val="22"/>
          <w:szCs w:val="22"/>
        </w:rPr>
      </w:pPr>
      <w:r w:rsidRPr="009A78FB">
        <w:rPr>
          <w:rFonts w:ascii="Arial" w:hAnsi="Arial" w:cs="Arial"/>
          <w:sz w:val="22"/>
          <w:szCs w:val="22"/>
        </w:rPr>
        <w:t xml:space="preserve">to preserve the ‘work test’ for </w:t>
      </w:r>
      <w:r w:rsidRPr="00C83962">
        <w:rPr>
          <w:rFonts w:ascii="Arial" w:hAnsi="Arial" w:cs="Arial"/>
          <w:sz w:val="22"/>
          <w:szCs w:val="22"/>
        </w:rPr>
        <w:t xml:space="preserve">deductible </w:t>
      </w:r>
      <w:r w:rsidRPr="009A78FB">
        <w:rPr>
          <w:rFonts w:ascii="Arial" w:hAnsi="Arial" w:cs="Arial"/>
          <w:sz w:val="22"/>
          <w:szCs w:val="22"/>
        </w:rPr>
        <w:t xml:space="preserve">personal </w:t>
      </w:r>
      <w:r w:rsidRPr="007B6B69">
        <w:rPr>
          <w:rFonts w:ascii="Arial" w:hAnsi="Arial" w:cs="Arial"/>
          <w:sz w:val="22"/>
          <w:szCs w:val="22"/>
        </w:rPr>
        <w:t>superannuation</w:t>
      </w:r>
      <w:r w:rsidRPr="009A78FB">
        <w:rPr>
          <w:rFonts w:ascii="Arial" w:hAnsi="Arial" w:cs="Arial"/>
          <w:sz w:val="22"/>
          <w:szCs w:val="22"/>
        </w:rPr>
        <w:t xml:space="preserve"> contributions made by individuals aged 67 </w:t>
      </w:r>
      <w:r w:rsidR="0009237B">
        <w:rPr>
          <w:rFonts w:ascii="Arial" w:hAnsi="Arial" w:cs="Arial"/>
          <w:sz w:val="22"/>
          <w:szCs w:val="22"/>
        </w:rPr>
        <w:t xml:space="preserve">to </w:t>
      </w:r>
      <w:r w:rsidRPr="009A78FB">
        <w:rPr>
          <w:rFonts w:ascii="Arial" w:hAnsi="Arial" w:cs="Arial"/>
          <w:sz w:val="22"/>
          <w:szCs w:val="22"/>
        </w:rPr>
        <w:t>75</w:t>
      </w:r>
      <w:r w:rsidRPr="00C83962">
        <w:rPr>
          <w:rFonts w:ascii="Arial" w:hAnsi="Arial" w:cs="Arial"/>
          <w:sz w:val="22"/>
          <w:szCs w:val="22"/>
        </w:rPr>
        <w:t>.</w:t>
      </w:r>
    </w:p>
    <w:p w14:paraId="797289E3" w14:textId="77777777" w:rsidR="00BF3BBB" w:rsidRDefault="00CA1B48" w:rsidP="009A78FB">
      <w:pPr>
        <w:numPr>
          <w:ilvl w:val="0"/>
          <w:numId w:val="1"/>
        </w:numPr>
        <w:tabs>
          <w:tab w:val="clear" w:pos="360"/>
        </w:tabs>
        <w:spacing w:after="120"/>
        <w:ind w:left="709" w:hanging="709"/>
        <w:rPr>
          <w:rFonts w:ascii="Arial" w:hAnsi="Arial" w:cs="Arial"/>
          <w:sz w:val="22"/>
          <w:szCs w:val="22"/>
        </w:rPr>
      </w:pPr>
      <w:r w:rsidRPr="00C83962">
        <w:rPr>
          <w:rFonts w:ascii="Arial" w:hAnsi="Arial" w:cs="Arial"/>
          <w:sz w:val="22"/>
          <w:szCs w:val="22"/>
        </w:rPr>
        <w:t xml:space="preserve">The modification is not inconsistent with the intended purpose of </w:t>
      </w:r>
      <w:r w:rsidR="00BE5ED5" w:rsidRPr="009A78FB">
        <w:rPr>
          <w:rFonts w:ascii="Arial" w:hAnsi="Arial" w:cs="Arial"/>
          <w:sz w:val="22"/>
          <w:szCs w:val="22"/>
        </w:rPr>
        <w:t>subsection 290-165(1A</w:t>
      </w:r>
      <w:r w:rsidR="00D169C7" w:rsidRPr="009A78FB">
        <w:rPr>
          <w:rFonts w:ascii="Arial" w:hAnsi="Arial" w:cs="Arial"/>
          <w:sz w:val="22"/>
          <w:szCs w:val="22"/>
        </w:rPr>
        <w:t>)</w:t>
      </w:r>
      <w:r w:rsidRPr="00C83962">
        <w:rPr>
          <w:rFonts w:ascii="Arial" w:hAnsi="Arial" w:cs="Arial"/>
          <w:sz w:val="22"/>
          <w:szCs w:val="22"/>
        </w:rPr>
        <w:t xml:space="preserve"> because</w:t>
      </w:r>
      <w:r w:rsidR="00D169C7" w:rsidRPr="00C83962">
        <w:rPr>
          <w:rFonts w:ascii="Arial" w:hAnsi="Arial" w:cs="Arial"/>
          <w:sz w:val="22"/>
          <w:szCs w:val="22"/>
        </w:rPr>
        <w:t xml:space="preserve"> </w:t>
      </w:r>
      <w:r w:rsidR="00E50BFC">
        <w:rPr>
          <w:rFonts w:ascii="Arial" w:hAnsi="Arial" w:cs="Arial"/>
          <w:sz w:val="22"/>
          <w:szCs w:val="22"/>
        </w:rPr>
        <w:t>it means tha</w:t>
      </w:r>
      <w:r w:rsidR="00507921">
        <w:rPr>
          <w:rFonts w:ascii="Arial" w:hAnsi="Arial" w:cs="Arial"/>
          <w:sz w:val="22"/>
          <w:szCs w:val="22"/>
        </w:rPr>
        <w:t xml:space="preserve">t </w:t>
      </w:r>
      <w:r w:rsidR="00E81597">
        <w:rPr>
          <w:rFonts w:ascii="Arial" w:hAnsi="Arial" w:cs="Arial"/>
          <w:sz w:val="22"/>
          <w:szCs w:val="22"/>
        </w:rPr>
        <w:t xml:space="preserve">affected </w:t>
      </w:r>
      <w:r w:rsidR="00883B45" w:rsidRPr="00C83962">
        <w:rPr>
          <w:rFonts w:ascii="Arial" w:hAnsi="Arial" w:cs="Arial"/>
          <w:sz w:val="22"/>
          <w:szCs w:val="22"/>
        </w:rPr>
        <w:t>individuals can continue to</w:t>
      </w:r>
      <w:r w:rsidR="00A52A01" w:rsidRPr="00C83962">
        <w:rPr>
          <w:rFonts w:ascii="Arial" w:hAnsi="Arial" w:cs="Arial"/>
          <w:sz w:val="22"/>
          <w:szCs w:val="22"/>
        </w:rPr>
        <w:t xml:space="preserve"> </w:t>
      </w:r>
      <w:r w:rsidR="00D169C7" w:rsidRPr="00C83962">
        <w:rPr>
          <w:rFonts w:ascii="Arial" w:hAnsi="Arial" w:cs="Arial"/>
          <w:sz w:val="22"/>
          <w:szCs w:val="22"/>
        </w:rPr>
        <w:t>meet the ‘work test’</w:t>
      </w:r>
      <w:r w:rsidR="00507921">
        <w:rPr>
          <w:rFonts w:ascii="Arial" w:hAnsi="Arial" w:cs="Arial"/>
          <w:sz w:val="22"/>
          <w:szCs w:val="22"/>
        </w:rPr>
        <w:t xml:space="preserve"> in that section, without altering the </w:t>
      </w:r>
      <w:r w:rsidR="008F36BA">
        <w:rPr>
          <w:rFonts w:ascii="Arial" w:hAnsi="Arial" w:cs="Arial"/>
          <w:sz w:val="22"/>
          <w:szCs w:val="22"/>
        </w:rPr>
        <w:t xml:space="preserve">fundamental </w:t>
      </w:r>
      <w:r w:rsidR="00507921">
        <w:rPr>
          <w:rFonts w:ascii="Arial" w:hAnsi="Arial" w:cs="Arial"/>
          <w:sz w:val="22"/>
          <w:szCs w:val="22"/>
        </w:rPr>
        <w:t xml:space="preserve">requirement for </w:t>
      </w:r>
      <w:r w:rsidR="00507921" w:rsidRPr="007B6B69">
        <w:rPr>
          <w:rFonts w:ascii="Arial" w:hAnsi="Arial" w:cs="Arial"/>
          <w:sz w:val="22"/>
          <w:szCs w:val="22"/>
        </w:rPr>
        <w:t>persons</w:t>
      </w:r>
      <w:r w:rsidR="00507921">
        <w:rPr>
          <w:rFonts w:ascii="Arial" w:hAnsi="Arial" w:cs="Arial"/>
          <w:sz w:val="22"/>
          <w:szCs w:val="22"/>
        </w:rPr>
        <w:t xml:space="preserve"> of a relevant age to work a certain number of hours to be able to claim deductions for their personal </w:t>
      </w:r>
      <w:r w:rsidR="00507921" w:rsidRPr="007B6B69">
        <w:rPr>
          <w:rFonts w:ascii="Arial" w:hAnsi="Arial" w:cs="Arial"/>
          <w:sz w:val="22"/>
          <w:szCs w:val="22"/>
        </w:rPr>
        <w:t>superannuation</w:t>
      </w:r>
      <w:r w:rsidR="00507921">
        <w:rPr>
          <w:rFonts w:ascii="Arial" w:hAnsi="Arial" w:cs="Arial"/>
          <w:sz w:val="22"/>
          <w:szCs w:val="22"/>
        </w:rPr>
        <w:t xml:space="preserve"> contributions</w:t>
      </w:r>
      <w:r w:rsidR="00883B45" w:rsidRPr="00C83962">
        <w:rPr>
          <w:rFonts w:ascii="Arial" w:hAnsi="Arial" w:cs="Arial"/>
          <w:sz w:val="22"/>
          <w:szCs w:val="22"/>
        </w:rPr>
        <w:t>.</w:t>
      </w:r>
    </w:p>
    <w:p w14:paraId="7399CADC" w14:textId="483D79B2" w:rsidR="007861B3" w:rsidRPr="009A78FB" w:rsidRDefault="00425BDE" w:rsidP="009A78FB">
      <w:pPr>
        <w:numPr>
          <w:ilvl w:val="0"/>
          <w:numId w:val="1"/>
        </w:numPr>
        <w:tabs>
          <w:tab w:val="clear" w:pos="360"/>
        </w:tabs>
        <w:spacing w:after="120"/>
        <w:ind w:left="709" w:hanging="709"/>
        <w:rPr>
          <w:rFonts w:ascii="Arial" w:hAnsi="Arial" w:cs="Arial"/>
          <w:sz w:val="22"/>
          <w:szCs w:val="22"/>
        </w:rPr>
      </w:pPr>
      <w:r w:rsidRPr="009A78FB">
        <w:rPr>
          <w:rFonts w:ascii="Arial" w:hAnsi="Arial" w:cs="Arial"/>
          <w:sz w:val="22"/>
          <w:szCs w:val="22"/>
        </w:rPr>
        <w:t>Further, t</w:t>
      </w:r>
      <w:r w:rsidR="00174534" w:rsidRPr="009A78FB">
        <w:rPr>
          <w:rFonts w:ascii="Arial" w:hAnsi="Arial" w:cs="Arial"/>
          <w:sz w:val="22"/>
          <w:szCs w:val="22"/>
        </w:rPr>
        <w:t xml:space="preserve">he </w:t>
      </w:r>
      <w:r w:rsidR="00250CDB" w:rsidRPr="009A78FB">
        <w:rPr>
          <w:rFonts w:ascii="Arial" w:hAnsi="Arial" w:cs="Arial"/>
          <w:sz w:val="22"/>
          <w:szCs w:val="22"/>
        </w:rPr>
        <w:t xml:space="preserve">Commissioner considers </w:t>
      </w:r>
      <w:r w:rsidRPr="009A78FB">
        <w:rPr>
          <w:rFonts w:ascii="Arial" w:hAnsi="Arial" w:cs="Arial"/>
          <w:sz w:val="22"/>
          <w:szCs w:val="22"/>
        </w:rPr>
        <w:t xml:space="preserve">that </w:t>
      </w:r>
      <w:r w:rsidR="00250CDB" w:rsidRPr="009A78FB">
        <w:rPr>
          <w:rFonts w:ascii="Arial" w:hAnsi="Arial" w:cs="Arial"/>
          <w:sz w:val="22"/>
          <w:szCs w:val="22"/>
        </w:rPr>
        <w:t xml:space="preserve">the </w:t>
      </w:r>
      <w:r w:rsidR="00174534" w:rsidRPr="009A78FB">
        <w:rPr>
          <w:rFonts w:ascii="Arial" w:hAnsi="Arial" w:cs="Arial"/>
          <w:sz w:val="22"/>
          <w:szCs w:val="22"/>
        </w:rPr>
        <w:t xml:space="preserve">modification </w:t>
      </w:r>
      <w:r w:rsidRPr="009A78FB">
        <w:rPr>
          <w:rFonts w:ascii="Arial" w:hAnsi="Arial" w:cs="Arial"/>
          <w:sz w:val="22"/>
          <w:szCs w:val="22"/>
        </w:rPr>
        <w:t>is</w:t>
      </w:r>
      <w:r w:rsidR="00174534" w:rsidRPr="009A78FB">
        <w:rPr>
          <w:rFonts w:ascii="Arial" w:hAnsi="Arial" w:cs="Arial"/>
          <w:sz w:val="22"/>
          <w:szCs w:val="22"/>
        </w:rPr>
        <w:t xml:space="preserve"> reasonable because</w:t>
      </w:r>
      <w:r w:rsidRPr="009A78FB">
        <w:rPr>
          <w:rFonts w:ascii="Arial" w:hAnsi="Arial" w:cs="Arial"/>
          <w:sz w:val="22"/>
          <w:szCs w:val="22"/>
        </w:rPr>
        <w:t xml:space="preserve"> it aligns with the intended purpose of the provision</w:t>
      </w:r>
      <w:r w:rsidR="00C83962">
        <w:rPr>
          <w:rFonts w:ascii="Arial" w:hAnsi="Arial" w:cs="Arial"/>
          <w:sz w:val="22"/>
          <w:szCs w:val="22"/>
        </w:rPr>
        <w:t>,</w:t>
      </w:r>
      <w:r w:rsidRPr="009A78FB">
        <w:rPr>
          <w:rFonts w:ascii="Arial" w:hAnsi="Arial" w:cs="Arial"/>
          <w:sz w:val="22"/>
          <w:szCs w:val="22"/>
        </w:rPr>
        <w:t xml:space="preserve"> and would also</w:t>
      </w:r>
      <w:r w:rsidR="007861B3" w:rsidRPr="009A78FB">
        <w:rPr>
          <w:rFonts w:ascii="Arial" w:hAnsi="Arial" w:cs="Arial"/>
          <w:sz w:val="22"/>
          <w:szCs w:val="22"/>
        </w:rPr>
        <w:t>:</w:t>
      </w:r>
    </w:p>
    <w:p w14:paraId="10B3C20E" w14:textId="628F03F5" w:rsidR="00425BDE" w:rsidRDefault="00425BDE" w:rsidP="00460C0E">
      <w:pPr>
        <w:numPr>
          <w:ilvl w:val="1"/>
          <w:numId w:val="19"/>
        </w:numPr>
        <w:spacing w:after="120"/>
        <w:ind w:left="1418" w:hanging="709"/>
        <w:rPr>
          <w:rFonts w:ascii="Arial" w:hAnsi="Arial" w:cs="Arial"/>
          <w:sz w:val="22"/>
          <w:szCs w:val="22"/>
        </w:rPr>
      </w:pPr>
      <w:r>
        <w:rPr>
          <w:rFonts w:ascii="Arial" w:hAnsi="Arial" w:cs="Arial"/>
          <w:sz w:val="22"/>
          <w:szCs w:val="22"/>
        </w:rPr>
        <w:t>b</w:t>
      </w:r>
      <w:r w:rsidRPr="00425BDE">
        <w:rPr>
          <w:rFonts w:ascii="Arial" w:hAnsi="Arial" w:cs="Arial"/>
          <w:sz w:val="22"/>
          <w:szCs w:val="22"/>
        </w:rPr>
        <w:t xml:space="preserve">e beneficial for taxpayers, </w:t>
      </w:r>
      <w:r w:rsidR="0009237B">
        <w:rPr>
          <w:rFonts w:ascii="Arial" w:hAnsi="Arial" w:cs="Arial"/>
          <w:sz w:val="22"/>
          <w:szCs w:val="22"/>
        </w:rPr>
        <w:t xml:space="preserve">by </w:t>
      </w:r>
      <w:r>
        <w:rPr>
          <w:rFonts w:ascii="Arial" w:hAnsi="Arial" w:cs="Arial"/>
          <w:sz w:val="22"/>
          <w:szCs w:val="22"/>
        </w:rPr>
        <w:t>ensur</w:t>
      </w:r>
      <w:r w:rsidR="0009237B">
        <w:rPr>
          <w:rFonts w:ascii="Arial" w:hAnsi="Arial" w:cs="Arial"/>
          <w:sz w:val="22"/>
          <w:szCs w:val="22"/>
        </w:rPr>
        <w:t>ing</w:t>
      </w:r>
      <w:r w:rsidRPr="00425BDE">
        <w:rPr>
          <w:rFonts w:ascii="Arial" w:hAnsi="Arial" w:cs="Arial"/>
          <w:sz w:val="22"/>
          <w:szCs w:val="22"/>
        </w:rPr>
        <w:t xml:space="preserve"> th</w:t>
      </w:r>
      <w:r w:rsidR="00507921">
        <w:rPr>
          <w:rFonts w:ascii="Arial" w:hAnsi="Arial" w:cs="Arial"/>
          <w:sz w:val="22"/>
          <w:szCs w:val="22"/>
        </w:rPr>
        <w:t>at affected individuals can continue to claim deductions</w:t>
      </w:r>
      <w:r w:rsidR="002B72CC">
        <w:rPr>
          <w:rFonts w:ascii="Arial" w:hAnsi="Arial" w:cs="Arial"/>
          <w:sz w:val="22"/>
          <w:szCs w:val="22"/>
        </w:rPr>
        <w:t>,</w:t>
      </w:r>
    </w:p>
    <w:p w14:paraId="7A517F72" w14:textId="2397A73F" w:rsidR="007861B3" w:rsidRPr="009A78FB" w:rsidRDefault="00425BDE" w:rsidP="00460C0E">
      <w:pPr>
        <w:numPr>
          <w:ilvl w:val="1"/>
          <w:numId w:val="19"/>
        </w:numPr>
        <w:spacing w:after="120"/>
        <w:ind w:left="1418" w:hanging="709"/>
        <w:rPr>
          <w:rFonts w:ascii="Arial" w:hAnsi="Arial" w:cs="Arial"/>
          <w:sz w:val="22"/>
          <w:szCs w:val="22"/>
        </w:rPr>
      </w:pPr>
      <w:r>
        <w:rPr>
          <w:rFonts w:ascii="Arial" w:hAnsi="Arial" w:cs="Arial"/>
          <w:sz w:val="22"/>
          <w:szCs w:val="22"/>
        </w:rPr>
        <w:t xml:space="preserve">allow </w:t>
      </w:r>
      <w:r w:rsidR="007861B3" w:rsidRPr="009A78FB">
        <w:rPr>
          <w:rFonts w:ascii="Arial" w:hAnsi="Arial" w:cs="Arial"/>
          <w:sz w:val="22"/>
          <w:szCs w:val="22"/>
        </w:rPr>
        <w:t xml:space="preserve">affected </w:t>
      </w:r>
      <w:r>
        <w:rPr>
          <w:rFonts w:ascii="Arial" w:hAnsi="Arial" w:cs="Arial"/>
          <w:sz w:val="22"/>
          <w:szCs w:val="22"/>
        </w:rPr>
        <w:t>taxpayers to</w:t>
      </w:r>
      <w:r w:rsidR="007861B3" w:rsidRPr="009A78FB">
        <w:rPr>
          <w:rFonts w:ascii="Arial" w:hAnsi="Arial" w:cs="Arial"/>
          <w:sz w:val="22"/>
          <w:szCs w:val="22"/>
        </w:rPr>
        <w:t xml:space="preserve"> choose whether it applied to them</w:t>
      </w:r>
      <w:r w:rsidR="00507921">
        <w:rPr>
          <w:rFonts w:ascii="Arial" w:hAnsi="Arial" w:cs="Arial"/>
          <w:sz w:val="22"/>
          <w:szCs w:val="22"/>
        </w:rPr>
        <w:t xml:space="preserve">, </w:t>
      </w:r>
      <w:r w:rsidR="007861B3" w:rsidRPr="009A78FB">
        <w:rPr>
          <w:rFonts w:ascii="Arial" w:hAnsi="Arial" w:cs="Arial"/>
          <w:sz w:val="22"/>
          <w:szCs w:val="22"/>
        </w:rPr>
        <w:t xml:space="preserve">because they can choose </w:t>
      </w:r>
      <w:r w:rsidR="00507921">
        <w:rPr>
          <w:rFonts w:ascii="Arial" w:hAnsi="Arial" w:cs="Arial"/>
          <w:sz w:val="22"/>
          <w:szCs w:val="22"/>
        </w:rPr>
        <w:t xml:space="preserve">both </w:t>
      </w:r>
      <w:r w:rsidR="007861B3" w:rsidRPr="009A78FB">
        <w:rPr>
          <w:rFonts w:ascii="Arial" w:hAnsi="Arial" w:cs="Arial"/>
          <w:sz w:val="22"/>
          <w:szCs w:val="22"/>
        </w:rPr>
        <w:t>whether or not to make contributions and</w:t>
      </w:r>
      <w:r>
        <w:rPr>
          <w:rFonts w:ascii="Arial" w:hAnsi="Arial" w:cs="Arial"/>
          <w:sz w:val="22"/>
          <w:szCs w:val="22"/>
        </w:rPr>
        <w:t xml:space="preserve"> </w:t>
      </w:r>
      <w:r w:rsidR="007861B3" w:rsidRPr="009A78FB">
        <w:rPr>
          <w:rFonts w:ascii="Arial" w:hAnsi="Arial" w:cs="Arial"/>
          <w:sz w:val="22"/>
          <w:szCs w:val="22"/>
        </w:rPr>
        <w:t>whether to claim a deduction</w:t>
      </w:r>
      <w:r w:rsidR="002B72CC">
        <w:rPr>
          <w:rFonts w:ascii="Arial" w:hAnsi="Arial" w:cs="Arial"/>
          <w:sz w:val="22"/>
          <w:szCs w:val="22"/>
        </w:rPr>
        <w:t>,</w:t>
      </w:r>
    </w:p>
    <w:p w14:paraId="3B794F6F" w14:textId="13E6BF5F" w:rsidR="00136380" w:rsidRPr="009A78FB" w:rsidRDefault="00626944" w:rsidP="00460C0E">
      <w:pPr>
        <w:numPr>
          <w:ilvl w:val="1"/>
          <w:numId w:val="19"/>
        </w:numPr>
        <w:spacing w:after="120"/>
        <w:ind w:left="1418" w:hanging="709"/>
        <w:rPr>
          <w:rFonts w:ascii="Arial" w:hAnsi="Arial" w:cs="Arial"/>
          <w:sz w:val="22"/>
          <w:szCs w:val="22"/>
        </w:rPr>
      </w:pPr>
      <w:r>
        <w:rPr>
          <w:rFonts w:ascii="Arial" w:hAnsi="Arial" w:cs="Arial"/>
          <w:sz w:val="22"/>
          <w:szCs w:val="22"/>
        </w:rPr>
        <w:t xml:space="preserve">have </w:t>
      </w:r>
      <w:r w:rsidR="007861B3" w:rsidRPr="009A78FB">
        <w:rPr>
          <w:rFonts w:ascii="Arial" w:hAnsi="Arial" w:cs="Arial"/>
          <w:sz w:val="22"/>
          <w:szCs w:val="22"/>
        </w:rPr>
        <w:t>no broader operation</w:t>
      </w:r>
      <w:r w:rsidR="0009237B">
        <w:rPr>
          <w:rFonts w:ascii="Arial" w:hAnsi="Arial" w:cs="Arial"/>
          <w:sz w:val="22"/>
          <w:szCs w:val="22"/>
        </w:rPr>
        <w:t>,</w:t>
      </w:r>
      <w:r w:rsidR="007861B3" w:rsidRPr="009A78FB">
        <w:rPr>
          <w:rFonts w:ascii="Arial" w:hAnsi="Arial" w:cs="Arial"/>
          <w:sz w:val="22"/>
          <w:szCs w:val="22"/>
        </w:rPr>
        <w:t xml:space="preserve"> </w:t>
      </w:r>
      <w:r w:rsidR="00136380" w:rsidRPr="009A78FB">
        <w:rPr>
          <w:rFonts w:ascii="Arial" w:hAnsi="Arial" w:cs="Arial"/>
          <w:sz w:val="22"/>
          <w:szCs w:val="22"/>
        </w:rPr>
        <w:t>and</w:t>
      </w:r>
    </w:p>
    <w:p w14:paraId="36805B5E" w14:textId="16486559" w:rsidR="007861B3" w:rsidRPr="00CC1738" w:rsidRDefault="007861B3" w:rsidP="00460C0E">
      <w:pPr>
        <w:numPr>
          <w:ilvl w:val="1"/>
          <w:numId w:val="19"/>
        </w:numPr>
        <w:spacing w:after="120"/>
        <w:ind w:left="1418" w:hanging="709"/>
        <w:rPr>
          <w:rFonts w:ascii="Arial" w:hAnsi="Arial" w:cs="Arial"/>
          <w:sz w:val="22"/>
          <w:szCs w:val="22"/>
        </w:rPr>
      </w:pPr>
      <w:r w:rsidRPr="009A78FB">
        <w:rPr>
          <w:rFonts w:ascii="Arial" w:hAnsi="Arial" w:cs="Arial"/>
          <w:sz w:val="22"/>
          <w:szCs w:val="22"/>
        </w:rPr>
        <w:t xml:space="preserve">provide certainty to </w:t>
      </w:r>
      <w:r w:rsidR="00626944" w:rsidRPr="009A78FB">
        <w:rPr>
          <w:rFonts w:ascii="Arial" w:hAnsi="Arial" w:cs="Arial"/>
          <w:sz w:val="22"/>
          <w:szCs w:val="22"/>
        </w:rPr>
        <w:t xml:space="preserve">relevant </w:t>
      </w:r>
      <w:r w:rsidRPr="009A78FB">
        <w:rPr>
          <w:rFonts w:ascii="Arial" w:hAnsi="Arial" w:cs="Arial"/>
          <w:sz w:val="22"/>
          <w:szCs w:val="22"/>
        </w:rPr>
        <w:t xml:space="preserve">taxpayers </w:t>
      </w:r>
      <w:r w:rsidR="00626944" w:rsidRPr="009A78FB">
        <w:rPr>
          <w:rFonts w:ascii="Arial" w:hAnsi="Arial" w:cs="Arial"/>
          <w:sz w:val="22"/>
          <w:szCs w:val="22"/>
        </w:rPr>
        <w:t xml:space="preserve">and industry </w:t>
      </w:r>
      <w:r w:rsidRPr="009A78FB">
        <w:rPr>
          <w:rFonts w:ascii="Arial" w:hAnsi="Arial" w:cs="Arial"/>
          <w:sz w:val="22"/>
          <w:szCs w:val="22"/>
        </w:rPr>
        <w:t xml:space="preserve">about </w:t>
      </w:r>
      <w:r w:rsidR="00626944" w:rsidRPr="009A78FB">
        <w:rPr>
          <w:rFonts w:ascii="Arial" w:hAnsi="Arial" w:cs="Arial"/>
          <w:sz w:val="22"/>
          <w:szCs w:val="22"/>
        </w:rPr>
        <w:t xml:space="preserve">the consequences of making personal </w:t>
      </w:r>
      <w:r w:rsidR="00626944" w:rsidRPr="007B6B69">
        <w:rPr>
          <w:rFonts w:ascii="Arial" w:hAnsi="Arial" w:cs="Arial"/>
          <w:sz w:val="22"/>
          <w:szCs w:val="22"/>
        </w:rPr>
        <w:t>superannuation</w:t>
      </w:r>
      <w:r w:rsidR="00626944" w:rsidRPr="009A78FB">
        <w:rPr>
          <w:rFonts w:ascii="Arial" w:hAnsi="Arial" w:cs="Arial"/>
          <w:sz w:val="22"/>
          <w:szCs w:val="22"/>
        </w:rPr>
        <w:t xml:space="preserve"> contributions.</w:t>
      </w:r>
    </w:p>
    <w:p w14:paraId="3864EE4A" w14:textId="48A186D7" w:rsidR="00DF29FD" w:rsidRPr="009A78FB" w:rsidRDefault="00DF29FD" w:rsidP="009A78FB">
      <w:pPr>
        <w:autoSpaceDE w:val="0"/>
        <w:autoSpaceDN w:val="0"/>
        <w:adjustRightInd w:val="0"/>
        <w:spacing w:after="120"/>
        <w:rPr>
          <w:rFonts w:ascii="Arial" w:hAnsi="Arial" w:cs="Arial"/>
          <w:sz w:val="22"/>
          <w:szCs w:val="22"/>
        </w:rPr>
      </w:pPr>
    </w:p>
    <w:p w14:paraId="11BACF8C" w14:textId="6067B478" w:rsidR="00BB2F3A" w:rsidRPr="0088506B" w:rsidRDefault="00BB2F3A" w:rsidP="00BB2F3A">
      <w:pPr>
        <w:pStyle w:val="Heading2"/>
      </w:pPr>
      <w:r w:rsidRPr="0088506B">
        <w:t>Compliance cost</w:t>
      </w:r>
      <w:r w:rsidR="00A1597D">
        <w:t xml:space="preserve"> assessment</w:t>
      </w:r>
    </w:p>
    <w:p w14:paraId="1D7F1847" w14:textId="3F9AA369" w:rsidR="009B307B" w:rsidRPr="00DF29FD" w:rsidRDefault="00FA491D" w:rsidP="009A78FB">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Minor – There will be no additional regulatory impacts as the instrument is minor and machinery in nature (OIA23-04896).</w:t>
      </w:r>
    </w:p>
    <w:p w14:paraId="3F43FC30" w14:textId="77777777" w:rsidR="00097071" w:rsidRPr="009A78FB" w:rsidRDefault="00097071" w:rsidP="009A78FB">
      <w:pPr>
        <w:autoSpaceDE w:val="0"/>
        <w:autoSpaceDN w:val="0"/>
        <w:adjustRightInd w:val="0"/>
        <w:spacing w:after="120"/>
        <w:rPr>
          <w:rFonts w:ascii="Arial" w:hAnsi="Arial" w:cs="Arial"/>
          <w:sz w:val="22"/>
          <w:szCs w:val="22"/>
        </w:rPr>
      </w:pPr>
    </w:p>
    <w:p w14:paraId="3A97FD05" w14:textId="12B184E5" w:rsidR="0033748E" w:rsidRPr="0088506B" w:rsidRDefault="0033748E" w:rsidP="009A78FB">
      <w:pPr>
        <w:pStyle w:val="Heading2"/>
      </w:pPr>
      <w:r w:rsidRPr="0088506B">
        <w:t>Budgetary impact</w:t>
      </w:r>
    </w:p>
    <w:p w14:paraId="5A55E14F" w14:textId="60BE116B" w:rsidR="00C048DC" w:rsidRDefault="00132DE4" w:rsidP="009A78FB">
      <w:pPr>
        <w:numPr>
          <w:ilvl w:val="0"/>
          <w:numId w:val="1"/>
        </w:numPr>
        <w:tabs>
          <w:tab w:val="clear" w:pos="360"/>
        </w:tabs>
        <w:spacing w:after="120"/>
        <w:ind w:left="709" w:hanging="709"/>
        <w:rPr>
          <w:rFonts w:ascii="Arial" w:hAnsi="Arial" w:cs="Arial"/>
          <w:sz w:val="22"/>
          <w:szCs w:val="22"/>
        </w:rPr>
      </w:pPr>
      <w:r w:rsidRPr="0088506B">
        <w:rPr>
          <w:rFonts w:ascii="Arial" w:hAnsi="Arial" w:cs="Arial"/>
          <w:sz w:val="22"/>
          <w:szCs w:val="22"/>
        </w:rPr>
        <w:t xml:space="preserve">The Commissioner </w:t>
      </w:r>
      <w:r w:rsidR="00626944">
        <w:rPr>
          <w:rFonts w:ascii="Arial" w:hAnsi="Arial" w:cs="Arial"/>
          <w:sz w:val="22"/>
          <w:szCs w:val="22"/>
        </w:rPr>
        <w:t>has received advice from the</w:t>
      </w:r>
      <w:r w:rsidRPr="0088506B">
        <w:rPr>
          <w:rFonts w:ascii="Arial" w:hAnsi="Arial" w:cs="Arial"/>
          <w:sz w:val="22"/>
          <w:szCs w:val="22"/>
        </w:rPr>
        <w:t xml:space="preserve"> Department of the Treasury </w:t>
      </w:r>
      <w:r w:rsidR="00626944">
        <w:rPr>
          <w:rFonts w:ascii="Arial" w:hAnsi="Arial" w:cs="Arial"/>
          <w:sz w:val="22"/>
          <w:szCs w:val="22"/>
        </w:rPr>
        <w:t>that the proposed exercise of the CRP would have a negligible budget impact.</w:t>
      </w:r>
    </w:p>
    <w:p w14:paraId="07606377" w14:textId="77777777" w:rsidR="00097071" w:rsidRPr="009A78FB" w:rsidRDefault="00097071" w:rsidP="009A78FB">
      <w:pPr>
        <w:autoSpaceDE w:val="0"/>
        <w:autoSpaceDN w:val="0"/>
        <w:adjustRightInd w:val="0"/>
        <w:spacing w:after="120"/>
        <w:rPr>
          <w:rFonts w:ascii="Arial" w:hAnsi="Arial" w:cs="Arial"/>
          <w:sz w:val="22"/>
          <w:szCs w:val="22"/>
        </w:rPr>
      </w:pPr>
    </w:p>
    <w:p w14:paraId="1D495901" w14:textId="77777777" w:rsidR="00626944" w:rsidRPr="00C566E7" w:rsidRDefault="00626944" w:rsidP="00626944">
      <w:pPr>
        <w:pStyle w:val="Heading2"/>
      </w:pPr>
      <w:r w:rsidRPr="00C566E7">
        <w:t>Repeal of this instrument</w:t>
      </w:r>
    </w:p>
    <w:p w14:paraId="21E83BCE" w14:textId="77777777" w:rsidR="00626944" w:rsidRDefault="00626944" w:rsidP="00626944">
      <w:pPr>
        <w:numPr>
          <w:ilvl w:val="0"/>
          <w:numId w:val="1"/>
        </w:numPr>
        <w:tabs>
          <w:tab w:val="clear" w:pos="360"/>
        </w:tabs>
        <w:spacing w:after="120"/>
        <w:ind w:left="709" w:hanging="709"/>
        <w:rPr>
          <w:rFonts w:ascii="Arial" w:hAnsi="Arial" w:cs="Arial"/>
          <w:sz w:val="22"/>
          <w:szCs w:val="22"/>
        </w:rPr>
      </w:pPr>
      <w:r w:rsidRPr="0088506B">
        <w:rPr>
          <w:rFonts w:ascii="Arial" w:hAnsi="Arial" w:cs="Arial"/>
          <w:sz w:val="22"/>
          <w:szCs w:val="22"/>
        </w:rPr>
        <w:t xml:space="preserve">This instrument will be repealed at </w:t>
      </w:r>
      <w:r>
        <w:rPr>
          <w:rFonts w:ascii="Arial" w:hAnsi="Arial" w:cs="Arial"/>
          <w:sz w:val="22"/>
          <w:szCs w:val="22"/>
        </w:rPr>
        <w:t>the start of 1 July 2028, which is approximately five years after the expected commencement of this instrument</w:t>
      </w:r>
      <w:r w:rsidRPr="002A2BCF">
        <w:rPr>
          <w:rFonts w:ascii="Arial" w:hAnsi="Arial" w:cs="Arial"/>
          <w:sz w:val="22"/>
          <w:szCs w:val="22"/>
        </w:rPr>
        <w:t>.</w:t>
      </w:r>
    </w:p>
    <w:p w14:paraId="4562373D" w14:textId="77777777" w:rsidR="00626944" w:rsidRPr="009A78FB" w:rsidRDefault="00626944" w:rsidP="009A78FB">
      <w:pPr>
        <w:autoSpaceDE w:val="0"/>
        <w:autoSpaceDN w:val="0"/>
        <w:adjustRightInd w:val="0"/>
        <w:spacing w:after="120"/>
        <w:rPr>
          <w:rFonts w:ascii="Arial" w:hAnsi="Arial" w:cs="Arial"/>
          <w:sz w:val="22"/>
          <w:szCs w:val="22"/>
        </w:rPr>
      </w:pPr>
    </w:p>
    <w:p w14:paraId="15AC1B77" w14:textId="5B2C1659" w:rsidR="00486653" w:rsidRPr="0088506B" w:rsidRDefault="00E10B37" w:rsidP="009A78FB">
      <w:pPr>
        <w:pStyle w:val="Heading2"/>
      </w:pPr>
      <w:r w:rsidRPr="0088506B">
        <w:t>Consultation</w:t>
      </w:r>
    </w:p>
    <w:p w14:paraId="10EF7B62" w14:textId="669A0498" w:rsidR="00C66E91" w:rsidRPr="00C66E91" w:rsidRDefault="00226F99" w:rsidP="00C66E91">
      <w:pPr>
        <w:numPr>
          <w:ilvl w:val="0"/>
          <w:numId w:val="1"/>
        </w:numPr>
        <w:tabs>
          <w:tab w:val="clear" w:pos="360"/>
        </w:tabs>
        <w:spacing w:after="120"/>
        <w:ind w:left="709" w:hanging="709"/>
        <w:rPr>
          <w:rFonts w:ascii="Arial" w:hAnsi="Arial" w:cs="Arial"/>
          <w:sz w:val="22"/>
          <w:szCs w:val="22"/>
        </w:rPr>
      </w:pPr>
      <w:r w:rsidRPr="00B76A24">
        <w:rPr>
          <w:rFonts w:ascii="Arial" w:hAnsi="Arial" w:cs="Arial"/>
          <w:sz w:val="22"/>
          <w:szCs w:val="22"/>
        </w:rPr>
        <w:t xml:space="preserve">Subsection 17(1) of the </w:t>
      </w:r>
      <w:r w:rsidRPr="00626944">
        <w:rPr>
          <w:rFonts w:ascii="Arial" w:hAnsi="Arial" w:cs="Arial"/>
          <w:i/>
          <w:iCs/>
          <w:sz w:val="22"/>
          <w:szCs w:val="22"/>
        </w:rPr>
        <w:t>Legislation Act 2003</w:t>
      </w:r>
      <w:r w:rsidRPr="00B76A24">
        <w:rPr>
          <w:rFonts w:ascii="Arial" w:hAnsi="Arial" w:cs="Arial"/>
          <w:sz w:val="22"/>
          <w:szCs w:val="22"/>
        </w:rPr>
        <w:t xml:space="preserve"> requires </w:t>
      </w:r>
      <w:r w:rsidR="00626944">
        <w:rPr>
          <w:rFonts w:ascii="Arial" w:hAnsi="Arial" w:cs="Arial"/>
          <w:sz w:val="22"/>
          <w:szCs w:val="22"/>
        </w:rPr>
        <w:t>a</w:t>
      </w:r>
      <w:r w:rsidRPr="00B76A24">
        <w:rPr>
          <w:rFonts w:ascii="Arial" w:hAnsi="Arial" w:cs="Arial"/>
          <w:sz w:val="22"/>
          <w:szCs w:val="22"/>
        </w:rPr>
        <w:t xml:space="preserve"> rule-maker </w:t>
      </w:r>
      <w:r w:rsidR="00626944">
        <w:rPr>
          <w:rFonts w:ascii="Arial" w:hAnsi="Arial" w:cs="Arial"/>
          <w:sz w:val="22"/>
          <w:szCs w:val="22"/>
        </w:rPr>
        <w:t>to be</w:t>
      </w:r>
      <w:r w:rsidRPr="00B76A24">
        <w:rPr>
          <w:rFonts w:ascii="Arial" w:hAnsi="Arial" w:cs="Arial"/>
          <w:sz w:val="22"/>
          <w:szCs w:val="22"/>
        </w:rPr>
        <w:t xml:space="preserve"> satisfied that appropriate and reasonably practicable consultation has been undertaken</w:t>
      </w:r>
      <w:r w:rsidR="00626944">
        <w:rPr>
          <w:rFonts w:ascii="Arial" w:hAnsi="Arial" w:cs="Arial"/>
          <w:sz w:val="22"/>
          <w:szCs w:val="22"/>
        </w:rPr>
        <w:t xml:space="preserve"> before they make a legislative instrument</w:t>
      </w:r>
      <w:r w:rsidRPr="00B76A24">
        <w:rPr>
          <w:rFonts w:ascii="Arial" w:hAnsi="Arial" w:cs="Arial"/>
          <w:sz w:val="22"/>
          <w:szCs w:val="22"/>
        </w:rPr>
        <w:t>.</w:t>
      </w:r>
    </w:p>
    <w:p w14:paraId="63E8C6BC" w14:textId="2D353095" w:rsidR="00C66E91" w:rsidRPr="00C66E91" w:rsidRDefault="00C66E91" w:rsidP="00C66E91">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 xml:space="preserve">For this instrument, broad public consultation was undertaken </w:t>
      </w:r>
      <w:r>
        <w:rPr>
          <w:rFonts w:ascii="Arial" w:hAnsi="Arial" w:cs="Arial"/>
          <w:sz w:val="22"/>
          <w:szCs w:val="22"/>
        </w:rPr>
        <w:t>between</w:t>
      </w:r>
      <w:r w:rsidRPr="00C66E91">
        <w:rPr>
          <w:rFonts w:ascii="Arial" w:hAnsi="Arial" w:cs="Arial"/>
          <w:sz w:val="22"/>
          <w:szCs w:val="22"/>
        </w:rPr>
        <w:t xml:space="preserve"> </w:t>
      </w:r>
      <w:r>
        <w:rPr>
          <w:rFonts w:ascii="Arial" w:hAnsi="Arial" w:cs="Arial"/>
          <w:sz w:val="22"/>
          <w:szCs w:val="22"/>
        </w:rPr>
        <w:t>19 April 2023 and 5 May 2023</w:t>
      </w:r>
      <w:r w:rsidRPr="00C66E91">
        <w:rPr>
          <w:rFonts w:ascii="Arial" w:hAnsi="Arial" w:cs="Arial"/>
          <w:sz w:val="22"/>
          <w:szCs w:val="22"/>
        </w:rPr>
        <w:t xml:space="preserve"> inclusive.</w:t>
      </w:r>
    </w:p>
    <w:p w14:paraId="741CF40F" w14:textId="6B966BF4" w:rsidR="00C66E91" w:rsidRPr="00C66E91" w:rsidRDefault="00C66E91" w:rsidP="00C66E91">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 xml:space="preserve">The draft instrument and draft explanatory statement were published to the ATO Legal database. Publication was advertised via the </w:t>
      </w:r>
      <w:r>
        <w:rPr>
          <w:rFonts w:ascii="Arial" w:hAnsi="Arial" w:cs="Arial"/>
          <w:sz w:val="22"/>
          <w:szCs w:val="22"/>
        </w:rPr>
        <w:t>‘</w:t>
      </w:r>
      <w:r w:rsidRPr="00C66E91">
        <w:rPr>
          <w:rFonts w:ascii="Arial" w:hAnsi="Arial" w:cs="Arial"/>
          <w:sz w:val="22"/>
          <w:szCs w:val="22"/>
        </w:rPr>
        <w:t>What's new</w:t>
      </w:r>
      <w:r>
        <w:rPr>
          <w:rFonts w:ascii="Arial" w:hAnsi="Arial" w:cs="Arial"/>
          <w:sz w:val="22"/>
          <w:szCs w:val="22"/>
        </w:rPr>
        <w:t>’</w:t>
      </w:r>
      <w:r w:rsidRPr="00C66E91">
        <w:rPr>
          <w:rFonts w:ascii="Arial" w:hAnsi="Arial" w:cs="Arial"/>
          <w:sz w:val="22"/>
          <w:szCs w:val="22"/>
        </w:rPr>
        <w:t xml:space="preserve"> page on that website, and via the </w:t>
      </w:r>
      <w:r>
        <w:rPr>
          <w:rFonts w:ascii="Arial" w:hAnsi="Arial" w:cs="Arial"/>
          <w:sz w:val="22"/>
          <w:szCs w:val="22"/>
        </w:rPr>
        <w:t>‘</w:t>
      </w:r>
      <w:r w:rsidRPr="00C66E91">
        <w:rPr>
          <w:rFonts w:ascii="Arial" w:hAnsi="Arial" w:cs="Arial"/>
          <w:sz w:val="22"/>
          <w:szCs w:val="22"/>
        </w:rPr>
        <w:t>Open Consultation</w:t>
      </w:r>
      <w:r>
        <w:rPr>
          <w:rFonts w:ascii="Arial" w:hAnsi="Arial" w:cs="Arial"/>
          <w:sz w:val="22"/>
          <w:szCs w:val="22"/>
        </w:rPr>
        <w:t>’</w:t>
      </w:r>
      <w:r w:rsidRPr="00C66E91">
        <w:rPr>
          <w:rFonts w:ascii="Arial" w:hAnsi="Arial" w:cs="Arial"/>
          <w:sz w:val="22"/>
          <w:szCs w:val="22"/>
        </w:rPr>
        <w:t xml:space="preserve"> page on ato.gov.au. Major tax and superannuation publishers and </w:t>
      </w:r>
      <w:r w:rsidRPr="00C66E91">
        <w:rPr>
          <w:rFonts w:ascii="Arial" w:hAnsi="Arial" w:cs="Arial"/>
          <w:sz w:val="22"/>
          <w:szCs w:val="22"/>
        </w:rPr>
        <w:lastRenderedPageBreak/>
        <w:t>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p>
    <w:p w14:paraId="47A4A98A" w14:textId="20217F70" w:rsidR="00C66E91" w:rsidRPr="00C66E91" w:rsidRDefault="00C66E91" w:rsidP="00C66E91">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All</w:t>
      </w:r>
      <w:r w:rsidRPr="00C66E91">
        <w:rPr>
          <w:rFonts w:ascii="Arial" w:hAnsi="Arial" w:cs="Arial"/>
          <w:sz w:val="22"/>
          <w:szCs w:val="22"/>
        </w:rPr>
        <w:t xml:space="preserve"> comments received </w:t>
      </w:r>
      <w:r>
        <w:rPr>
          <w:rFonts w:ascii="Arial" w:hAnsi="Arial" w:cs="Arial"/>
          <w:sz w:val="22"/>
          <w:szCs w:val="22"/>
        </w:rPr>
        <w:t>through this</w:t>
      </w:r>
      <w:r w:rsidRPr="00C66E91">
        <w:rPr>
          <w:rFonts w:ascii="Arial" w:hAnsi="Arial" w:cs="Arial"/>
          <w:sz w:val="22"/>
          <w:szCs w:val="22"/>
        </w:rPr>
        <w:t xml:space="preserve"> consultation</w:t>
      </w:r>
      <w:r>
        <w:rPr>
          <w:rFonts w:ascii="Arial" w:hAnsi="Arial" w:cs="Arial"/>
          <w:sz w:val="22"/>
          <w:szCs w:val="22"/>
        </w:rPr>
        <w:t xml:space="preserve"> were in support </w:t>
      </w:r>
      <w:r w:rsidR="003755AB">
        <w:rPr>
          <w:rFonts w:ascii="Arial" w:hAnsi="Arial" w:cs="Arial"/>
          <w:sz w:val="22"/>
          <w:szCs w:val="22"/>
        </w:rPr>
        <w:t xml:space="preserve">of </w:t>
      </w:r>
      <w:r>
        <w:rPr>
          <w:rFonts w:ascii="Arial" w:hAnsi="Arial" w:cs="Arial"/>
          <w:sz w:val="22"/>
          <w:szCs w:val="22"/>
        </w:rPr>
        <w:t>the proposal</w:t>
      </w:r>
      <w:r w:rsidRPr="00C66E91">
        <w:rPr>
          <w:rFonts w:ascii="Arial" w:hAnsi="Arial" w:cs="Arial"/>
          <w:sz w:val="22"/>
          <w:szCs w:val="22"/>
        </w:rPr>
        <w:t>.</w:t>
      </w:r>
    </w:p>
    <w:p w14:paraId="2D23BAB4" w14:textId="7734A12E" w:rsidR="00C66E91" w:rsidRPr="00C66E91" w:rsidRDefault="00C66E91" w:rsidP="00C66E91">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In addition, targeted consultation on a</w:t>
      </w:r>
      <w:r w:rsidR="005560E5">
        <w:rPr>
          <w:rFonts w:ascii="Arial" w:hAnsi="Arial" w:cs="Arial"/>
          <w:sz w:val="22"/>
          <w:szCs w:val="22"/>
        </w:rPr>
        <w:t>ll</w:t>
      </w:r>
      <w:r w:rsidRPr="00C66E91">
        <w:rPr>
          <w:rFonts w:ascii="Arial" w:hAnsi="Arial" w:cs="Arial"/>
          <w:sz w:val="22"/>
          <w:szCs w:val="22"/>
        </w:rPr>
        <w:t xml:space="preserve"> prospective CRP candidate</w:t>
      </w:r>
      <w:r w:rsidR="005560E5">
        <w:rPr>
          <w:rFonts w:ascii="Arial" w:hAnsi="Arial" w:cs="Arial"/>
          <w:sz w:val="22"/>
          <w:szCs w:val="22"/>
        </w:rPr>
        <w:t>s</w:t>
      </w:r>
      <w:r w:rsidRPr="00C66E91">
        <w:rPr>
          <w:rFonts w:ascii="Arial" w:hAnsi="Arial" w:cs="Arial"/>
          <w:sz w:val="22"/>
          <w:szCs w:val="22"/>
        </w:rPr>
        <w:t xml:space="preserve"> is undertaken with the CRP Advisory Panel, a body comprised of private sector specialists, Treasury and ATO representatives. The Panel supported the exercise of the CRP and provided feedback on the draft determination and explanatory statement.</w:t>
      </w:r>
    </w:p>
    <w:p w14:paraId="119F55B1" w14:textId="2179B726" w:rsidR="00C66E91" w:rsidRDefault="00C66E91" w:rsidP="00C66E91">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The Board of Taxation was also consulted on the use of the CRP to resolve the issue, the draft determination and explanatory statement. The Board agreed that the modification is consistent with the objects of that provision, and reasonable having regard to the provision's intended purpose. Accordingly, the Board considered it would be appropriate to exercise the power.</w:t>
      </w:r>
    </w:p>
    <w:p w14:paraId="23ECDB53" w14:textId="78B9FECD" w:rsidR="00626944" w:rsidRDefault="00626944" w:rsidP="00626944">
      <w:pPr>
        <w:autoSpaceDE w:val="0"/>
        <w:autoSpaceDN w:val="0"/>
        <w:adjustRightInd w:val="0"/>
        <w:spacing w:after="120"/>
        <w:rPr>
          <w:rFonts w:ascii="Arial" w:hAnsi="Arial" w:cs="Arial"/>
          <w:sz w:val="22"/>
          <w:szCs w:val="22"/>
        </w:rPr>
      </w:pPr>
    </w:p>
    <w:p w14:paraId="69FE8C27" w14:textId="77777777" w:rsidR="009371D0" w:rsidRPr="009A78FB" w:rsidRDefault="007E0A01" w:rsidP="009A78FB">
      <w:pPr>
        <w:pStyle w:val="Heading3"/>
        <w:spacing w:before="0"/>
        <w:rPr>
          <w:i/>
          <w:sz w:val="20"/>
          <w:szCs w:val="20"/>
        </w:rPr>
      </w:pPr>
      <w:r w:rsidRPr="009A78FB">
        <w:rPr>
          <w:i/>
          <w:sz w:val="20"/>
          <w:szCs w:val="20"/>
        </w:rPr>
        <w:t>Legislative references</w:t>
      </w:r>
    </w:p>
    <w:p w14:paraId="3D2334CA" w14:textId="6317C4ED" w:rsidR="002426E7" w:rsidRDefault="002426E7" w:rsidP="004C663F">
      <w:pPr>
        <w:rPr>
          <w:rFonts w:ascii="Arial" w:hAnsi="Arial" w:cs="Arial"/>
          <w:i/>
          <w:sz w:val="20"/>
        </w:rPr>
      </w:pPr>
      <w:r>
        <w:rPr>
          <w:rFonts w:ascii="Arial" w:hAnsi="Arial" w:cs="Arial"/>
          <w:i/>
          <w:sz w:val="20"/>
        </w:rPr>
        <w:t>Acts Interpretation Act 1901</w:t>
      </w:r>
    </w:p>
    <w:p w14:paraId="21EA95E9" w14:textId="055E9FA7" w:rsidR="00D878CD" w:rsidRDefault="00D878CD" w:rsidP="004C663F">
      <w:pPr>
        <w:rPr>
          <w:rFonts w:ascii="Arial" w:hAnsi="Arial" w:cs="Arial"/>
          <w:i/>
          <w:sz w:val="20"/>
        </w:rPr>
      </w:pPr>
      <w:r w:rsidRPr="00D878CD">
        <w:rPr>
          <w:rFonts w:ascii="Arial" w:hAnsi="Arial" w:cs="Arial"/>
          <w:i/>
          <w:sz w:val="20"/>
        </w:rPr>
        <w:t>Human Rights (Parliamentary Scrutiny) Act 2011</w:t>
      </w:r>
    </w:p>
    <w:p w14:paraId="1AEDF7BF" w14:textId="192F0D70" w:rsidR="007861B3" w:rsidRPr="009A78FB" w:rsidRDefault="007861B3" w:rsidP="004C663F">
      <w:pPr>
        <w:rPr>
          <w:rFonts w:ascii="Arial" w:hAnsi="Arial" w:cs="Arial"/>
          <w:i/>
          <w:sz w:val="20"/>
        </w:rPr>
      </w:pPr>
      <w:r w:rsidRPr="009A78FB">
        <w:rPr>
          <w:rFonts w:ascii="Arial" w:hAnsi="Arial" w:cs="Arial"/>
          <w:i/>
          <w:sz w:val="20"/>
        </w:rPr>
        <w:t>Income Tax Assessment Act 1997</w:t>
      </w:r>
    </w:p>
    <w:p w14:paraId="2A168E8D" w14:textId="3D3FB23E" w:rsidR="00910595" w:rsidRDefault="0076271C" w:rsidP="004C663F">
      <w:pPr>
        <w:rPr>
          <w:rFonts w:ascii="Arial" w:hAnsi="Arial" w:cs="Arial"/>
          <w:i/>
          <w:sz w:val="20"/>
        </w:rPr>
      </w:pPr>
      <w:r w:rsidRPr="009A78FB">
        <w:rPr>
          <w:rFonts w:ascii="Arial" w:hAnsi="Arial" w:cs="Arial"/>
          <w:i/>
          <w:sz w:val="20"/>
        </w:rPr>
        <w:t>Legislation Act 2003</w:t>
      </w:r>
    </w:p>
    <w:p w14:paraId="4FA5BB7B" w14:textId="15A4DDF2" w:rsidR="00507921" w:rsidRPr="009A78FB" w:rsidRDefault="00507921" w:rsidP="004C663F">
      <w:pPr>
        <w:rPr>
          <w:rFonts w:ascii="Arial" w:hAnsi="Arial" w:cs="Arial"/>
          <w:i/>
          <w:sz w:val="20"/>
        </w:rPr>
      </w:pPr>
      <w:r>
        <w:rPr>
          <w:rFonts w:ascii="Arial" w:hAnsi="Arial" w:cs="Arial"/>
          <w:i/>
          <w:sz w:val="20"/>
        </w:rPr>
        <w:t>Retirement Savings Accounts Act 1997</w:t>
      </w:r>
    </w:p>
    <w:p w14:paraId="75CF0600" w14:textId="7FEF3F90" w:rsidR="007861B3" w:rsidRPr="009A78FB" w:rsidRDefault="007861B3" w:rsidP="004C663F">
      <w:pPr>
        <w:rPr>
          <w:rFonts w:ascii="Arial" w:hAnsi="Arial" w:cs="Arial"/>
          <w:i/>
          <w:sz w:val="20"/>
        </w:rPr>
      </w:pPr>
      <w:r w:rsidRPr="009A78FB">
        <w:rPr>
          <w:rFonts w:ascii="Arial" w:hAnsi="Arial" w:cs="Arial"/>
          <w:i/>
          <w:sz w:val="20"/>
        </w:rPr>
        <w:t>Retirement Savings Account</w:t>
      </w:r>
      <w:r w:rsidR="00507921">
        <w:rPr>
          <w:rFonts w:ascii="Arial" w:hAnsi="Arial" w:cs="Arial"/>
          <w:i/>
          <w:sz w:val="20"/>
        </w:rPr>
        <w:t>s</w:t>
      </w:r>
      <w:r w:rsidRPr="009A78FB">
        <w:rPr>
          <w:rFonts w:ascii="Arial" w:hAnsi="Arial" w:cs="Arial"/>
          <w:i/>
          <w:sz w:val="20"/>
        </w:rPr>
        <w:t xml:space="preserve"> Regulations 1997</w:t>
      </w:r>
    </w:p>
    <w:p w14:paraId="0D58F973" w14:textId="4BDD36D0" w:rsidR="00957D2C" w:rsidRPr="009A78FB" w:rsidRDefault="00957D2C" w:rsidP="004C663F">
      <w:pPr>
        <w:rPr>
          <w:rFonts w:ascii="Arial" w:hAnsi="Arial" w:cs="Arial"/>
          <w:i/>
          <w:sz w:val="20"/>
        </w:rPr>
      </w:pPr>
      <w:r w:rsidRPr="007B6B69">
        <w:rPr>
          <w:rFonts w:ascii="Arial" w:hAnsi="Arial" w:cs="Arial"/>
          <w:i/>
          <w:sz w:val="20"/>
        </w:rPr>
        <w:t>Superannuation</w:t>
      </w:r>
      <w:r w:rsidRPr="009A78FB">
        <w:rPr>
          <w:rFonts w:ascii="Arial" w:hAnsi="Arial" w:cs="Arial"/>
          <w:i/>
          <w:sz w:val="20"/>
        </w:rPr>
        <w:t xml:space="preserve"> Industry (Supervision) Act 1993</w:t>
      </w:r>
    </w:p>
    <w:p w14:paraId="008C99D1" w14:textId="16731BF1" w:rsidR="00957D2C" w:rsidRPr="009A78FB" w:rsidRDefault="00957D2C" w:rsidP="00101CD5">
      <w:pPr>
        <w:rPr>
          <w:rFonts w:ascii="Arial" w:hAnsi="Arial" w:cs="Arial"/>
          <w:i/>
          <w:sz w:val="20"/>
        </w:rPr>
      </w:pPr>
      <w:r w:rsidRPr="007B6B69">
        <w:rPr>
          <w:rFonts w:ascii="Arial" w:hAnsi="Arial" w:cs="Arial"/>
          <w:i/>
          <w:sz w:val="20"/>
        </w:rPr>
        <w:t>Superannuation</w:t>
      </w:r>
      <w:r w:rsidRPr="009A78FB">
        <w:rPr>
          <w:rFonts w:ascii="Arial" w:hAnsi="Arial" w:cs="Arial"/>
          <w:i/>
          <w:sz w:val="20"/>
        </w:rPr>
        <w:t xml:space="preserve"> Industry (Supervision) Regulations 1994</w:t>
      </w:r>
    </w:p>
    <w:p w14:paraId="7B8B4887" w14:textId="0009D2DC" w:rsidR="007861B3" w:rsidRPr="00130A0C" w:rsidRDefault="007861B3" w:rsidP="007861B3">
      <w:pPr>
        <w:rPr>
          <w:rFonts w:ascii="Arial" w:hAnsi="Arial" w:cs="Arial"/>
          <w:i/>
          <w:sz w:val="20"/>
        </w:rPr>
      </w:pPr>
      <w:r w:rsidRPr="009A78FB">
        <w:rPr>
          <w:rFonts w:ascii="Arial" w:hAnsi="Arial" w:cs="Arial"/>
          <w:i/>
          <w:sz w:val="20"/>
        </w:rPr>
        <w:t>Taxation Administration Act 1953</w:t>
      </w:r>
    </w:p>
    <w:p w14:paraId="13EAEBA9" w14:textId="2DB7FF3B" w:rsidR="00130A0C" w:rsidRPr="009A78FB" w:rsidRDefault="00130A0C" w:rsidP="007861B3">
      <w:pPr>
        <w:rPr>
          <w:rFonts w:ascii="Arial" w:hAnsi="Arial" w:cs="Arial"/>
          <w:i/>
          <w:sz w:val="20"/>
        </w:rPr>
      </w:pPr>
      <w:r w:rsidRPr="00130A0C">
        <w:rPr>
          <w:rFonts w:ascii="Arial" w:hAnsi="Arial" w:cs="Arial"/>
          <w:i/>
          <w:sz w:val="20"/>
        </w:rPr>
        <w:t xml:space="preserve">Treasury Laws Amendment (Enhancing </w:t>
      </w:r>
      <w:r w:rsidRPr="007B6B69">
        <w:rPr>
          <w:rFonts w:ascii="Arial" w:hAnsi="Arial" w:cs="Arial"/>
          <w:i/>
          <w:sz w:val="20"/>
        </w:rPr>
        <w:t>Superannuation</w:t>
      </w:r>
      <w:r w:rsidRPr="00130A0C">
        <w:rPr>
          <w:rFonts w:ascii="Arial" w:hAnsi="Arial" w:cs="Arial"/>
          <w:i/>
          <w:sz w:val="20"/>
        </w:rPr>
        <w:t xml:space="preserve"> Outcomes for Australians and Helping Australian </w:t>
      </w:r>
      <w:r w:rsidRPr="007B6B69">
        <w:rPr>
          <w:rFonts w:ascii="Arial" w:hAnsi="Arial" w:cs="Arial"/>
          <w:i/>
          <w:sz w:val="20"/>
        </w:rPr>
        <w:t>Businesses</w:t>
      </w:r>
      <w:r w:rsidRPr="00130A0C">
        <w:rPr>
          <w:rFonts w:ascii="Arial" w:hAnsi="Arial" w:cs="Arial"/>
          <w:i/>
          <w:sz w:val="20"/>
        </w:rPr>
        <w:t xml:space="preserve"> Invest) Act 2022</w:t>
      </w:r>
    </w:p>
    <w:p w14:paraId="15AC1BA9" w14:textId="71DEF470" w:rsidR="00AC56C8" w:rsidRPr="002A2BCF" w:rsidRDefault="00AC56C8" w:rsidP="00101CD5">
      <w:pPr>
        <w:spacing w:after="120"/>
        <w:rPr>
          <w:rFonts w:ascii="Arial" w:hAnsi="Arial" w:cs="Arial"/>
          <w:sz w:val="22"/>
          <w:szCs w:val="22"/>
        </w:rPr>
      </w:pPr>
      <w:r w:rsidRPr="002A2BCF">
        <w:rPr>
          <w:rFonts w:ascii="Arial" w:hAnsi="Arial" w:cs="Arial"/>
          <w:sz w:val="22"/>
          <w:szCs w:val="22"/>
        </w:rPr>
        <w:br w:type="page"/>
      </w:r>
    </w:p>
    <w:p w14:paraId="7E9A8117" w14:textId="77777777" w:rsidR="00B966E0" w:rsidRPr="00AE336C" w:rsidRDefault="00B966E0" w:rsidP="00B966E0">
      <w:pPr>
        <w:pStyle w:val="Heading3"/>
        <w:spacing w:before="0" w:after="120"/>
        <w:jc w:val="center"/>
        <w:rPr>
          <w:sz w:val="22"/>
          <w:szCs w:val="22"/>
        </w:rPr>
      </w:pPr>
      <w:r w:rsidRPr="00AE336C">
        <w:rPr>
          <w:sz w:val="22"/>
          <w:szCs w:val="22"/>
        </w:rPr>
        <w:lastRenderedPageBreak/>
        <w:t>Statement of compatibility with Human Rights</w:t>
      </w:r>
    </w:p>
    <w:p w14:paraId="08575BED" w14:textId="5B8AC8EC" w:rsidR="00B966E0" w:rsidRPr="00BF3BBB" w:rsidRDefault="00B966E0" w:rsidP="00B966E0">
      <w:pPr>
        <w:spacing w:after="120"/>
        <w:rPr>
          <w:rFonts w:ascii="Arial" w:hAnsi="Arial" w:cs="Arial"/>
          <w:sz w:val="22"/>
          <w:szCs w:val="22"/>
        </w:rPr>
      </w:pPr>
      <w:r w:rsidRPr="00AE336C">
        <w:rPr>
          <w:rFonts w:ascii="Arial" w:hAnsi="Arial" w:cs="Arial"/>
          <w:sz w:val="22"/>
          <w:szCs w:val="22"/>
        </w:rPr>
        <w:t xml:space="preserve">Prepared in accordance with Part 3 of the </w:t>
      </w:r>
      <w:r w:rsidRPr="00AE336C">
        <w:rPr>
          <w:rFonts w:ascii="Arial" w:hAnsi="Arial" w:cs="Arial"/>
          <w:i/>
          <w:iCs/>
          <w:sz w:val="22"/>
          <w:szCs w:val="22"/>
        </w:rPr>
        <w:t>Human Rights (</w:t>
      </w:r>
      <w:r w:rsidRPr="007B6B69">
        <w:rPr>
          <w:rFonts w:ascii="Arial" w:hAnsi="Arial" w:cs="Arial"/>
          <w:i/>
          <w:iCs/>
          <w:sz w:val="22"/>
          <w:szCs w:val="22"/>
        </w:rPr>
        <w:t>Parliament</w:t>
      </w:r>
      <w:r w:rsidRPr="00AE336C">
        <w:rPr>
          <w:rFonts w:ascii="Arial" w:hAnsi="Arial" w:cs="Arial"/>
          <w:i/>
          <w:iCs/>
          <w:sz w:val="22"/>
          <w:szCs w:val="22"/>
        </w:rPr>
        <w:t>ary Scrutiny) Act 2011</w:t>
      </w:r>
    </w:p>
    <w:p w14:paraId="1A6E3D49" w14:textId="77777777" w:rsidR="00B966E0" w:rsidRPr="00AE336C" w:rsidRDefault="00B966E0" w:rsidP="00B966E0">
      <w:pPr>
        <w:autoSpaceDE w:val="0"/>
        <w:autoSpaceDN w:val="0"/>
        <w:adjustRightInd w:val="0"/>
        <w:spacing w:after="120"/>
        <w:rPr>
          <w:rFonts w:ascii="Arial" w:hAnsi="Arial" w:cs="Arial"/>
          <w:sz w:val="22"/>
          <w:szCs w:val="22"/>
        </w:rPr>
      </w:pPr>
    </w:p>
    <w:p w14:paraId="1362D31A" w14:textId="77FA2ED6" w:rsidR="001D5014" w:rsidRPr="0051123C" w:rsidRDefault="001D5014" w:rsidP="001D5014">
      <w:pPr>
        <w:pStyle w:val="Heading2"/>
        <w:jc w:val="center"/>
        <w:rPr>
          <w:i/>
          <w:iCs/>
        </w:rPr>
      </w:pPr>
      <w:r w:rsidRPr="0051123C">
        <w:rPr>
          <w:i/>
          <w:iCs/>
        </w:rPr>
        <w:t>Taxation Administration (</w:t>
      </w:r>
      <w:r w:rsidR="00D03943" w:rsidRPr="0051123C">
        <w:rPr>
          <w:i/>
          <w:iCs/>
        </w:rPr>
        <w:t xml:space="preserve">Remedial Power </w:t>
      </w:r>
      <w:r w:rsidR="003B38E3">
        <w:rPr>
          <w:i/>
          <w:iCs/>
        </w:rPr>
        <w:t>–</w:t>
      </w:r>
      <w:r w:rsidR="00D03943" w:rsidRPr="0051123C">
        <w:rPr>
          <w:i/>
          <w:iCs/>
        </w:rPr>
        <w:t xml:space="preserve"> </w:t>
      </w:r>
      <w:r w:rsidR="003B38E3">
        <w:rPr>
          <w:i/>
          <w:iCs/>
        </w:rPr>
        <w:t xml:space="preserve">Work Test for Personal </w:t>
      </w:r>
      <w:r w:rsidR="003B38E3" w:rsidRPr="007B6B69">
        <w:rPr>
          <w:i/>
          <w:iCs/>
        </w:rPr>
        <w:t>Superannuation</w:t>
      </w:r>
      <w:r w:rsidR="003B38E3">
        <w:rPr>
          <w:i/>
          <w:iCs/>
        </w:rPr>
        <w:t xml:space="preserve"> Contributions</w:t>
      </w:r>
      <w:r w:rsidRPr="0051123C">
        <w:rPr>
          <w:i/>
          <w:iCs/>
        </w:rPr>
        <w:t xml:space="preserve">) Determination </w:t>
      </w:r>
      <w:r w:rsidR="00D12296" w:rsidRPr="0051123C">
        <w:rPr>
          <w:i/>
          <w:iCs/>
        </w:rPr>
        <w:t>202</w:t>
      </w:r>
      <w:r w:rsidR="003B38E3">
        <w:rPr>
          <w:i/>
          <w:iCs/>
        </w:rPr>
        <w:t>3</w:t>
      </w:r>
    </w:p>
    <w:p w14:paraId="5F19E752" w14:textId="77777777" w:rsidR="00B966E0" w:rsidRPr="00AE336C" w:rsidRDefault="00B966E0" w:rsidP="00B966E0">
      <w:pPr>
        <w:autoSpaceDE w:val="0"/>
        <w:autoSpaceDN w:val="0"/>
        <w:adjustRightInd w:val="0"/>
        <w:spacing w:after="120"/>
        <w:rPr>
          <w:rFonts w:ascii="Arial" w:hAnsi="Arial" w:cs="Arial"/>
          <w:sz w:val="22"/>
          <w:szCs w:val="22"/>
        </w:rPr>
      </w:pPr>
      <w:r w:rsidRPr="00AE336C">
        <w:rPr>
          <w:rFonts w:ascii="Arial" w:hAnsi="Arial" w:cs="Arial"/>
          <w:sz w:val="22"/>
          <w:szCs w:val="22"/>
        </w:rPr>
        <w:t xml:space="preserve">This legislative instrument is compatible with the human rights and freedoms recognised or declared in the international instruments listed in section 3 of the </w:t>
      </w:r>
      <w:r w:rsidRPr="00AE336C">
        <w:rPr>
          <w:rFonts w:ascii="Arial" w:hAnsi="Arial" w:cs="Arial"/>
          <w:i/>
          <w:sz w:val="22"/>
          <w:szCs w:val="22"/>
        </w:rPr>
        <w:t>Human Rights (</w:t>
      </w:r>
      <w:r w:rsidRPr="007B6B69">
        <w:rPr>
          <w:rFonts w:ascii="Arial" w:hAnsi="Arial" w:cs="Arial"/>
          <w:i/>
          <w:sz w:val="22"/>
          <w:szCs w:val="22"/>
        </w:rPr>
        <w:t>Parliament</w:t>
      </w:r>
      <w:r w:rsidRPr="00AE336C">
        <w:rPr>
          <w:rFonts w:ascii="Arial" w:hAnsi="Arial" w:cs="Arial"/>
          <w:i/>
          <w:sz w:val="22"/>
          <w:szCs w:val="22"/>
        </w:rPr>
        <w:t>ary Scrutiny) Act 2011.</w:t>
      </w:r>
    </w:p>
    <w:p w14:paraId="7FCC0C3A" w14:textId="77777777" w:rsidR="00B966E0" w:rsidRPr="00AE336C" w:rsidRDefault="00B966E0" w:rsidP="00B966E0">
      <w:pPr>
        <w:autoSpaceDE w:val="0"/>
        <w:autoSpaceDN w:val="0"/>
        <w:adjustRightInd w:val="0"/>
        <w:spacing w:after="120"/>
        <w:rPr>
          <w:rFonts w:ascii="Arial" w:hAnsi="Arial" w:cs="Arial"/>
          <w:sz w:val="22"/>
          <w:szCs w:val="22"/>
        </w:rPr>
      </w:pPr>
    </w:p>
    <w:p w14:paraId="51FE0C4C" w14:textId="77777777" w:rsidR="00B966E0" w:rsidRPr="00AE336C" w:rsidRDefault="00B966E0" w:rsidP="00B966E0">
      <w:pPr>
        <w:pStyle w:val="Heading2"/>
      </w:pPr>
      <w:r w:rsidRPr="00AE336C">
        <w:t>Overview of the legislative instrument</w:t>
      </w:r>
    </w:p>
    <w:p w14:paraId="14F42D52" w14:textId="77777777" w:rsidR="00BF3BBB" w:rsidRDefault="001D5014" w:rsidP="001D5014">
      <w:pPr>
        <w:spacing w:after="120"/>
        <w:rPr>
          <w:rFonts w:ascii="Arial" w:hAnsi="Arial" w:cs="Arial"/>
          <w:sz w:val="22"/>
          <w:szCs w:val="22"/>
        </w:rPr>
      </w:pPr>
      <w:r w:rsidRPr="0051123C">
        <w:rPr>
          <w:rFonts w:ascii="Arial" w:hAnsi="Arial" w:cs="Arial"/>
          <w:bCs/>
          <w:sz w:val="22"/>
          <w:szCs w:val="22"/>
        </w:rPr>
        <w:t xml:space="preserve">This </w:t>
      </w:r>
      <w:r w:rsidR="00B966E0">
        <w:rPr>
          <w:rFonts w:ascii="Arial" w:hAnsi="Arial" w:cs="Arial"/>
          <w:bCs/>
          <w:sz w:val="22"/>
          <w:szCs w:val="22"/>
        </w:rPr>
        <w:t>instrument</w:t>
      </w:r>
      <w:r w:rsidRPr="0051123C">
        <w:rPr>
          <w:rFonts w:ascii="Arial" w:hAnsi="Arial" w:cs="Arial"/>
          <w:bCs/>
          <w:sz w:val="22"/>
          <w:szCs w:val="22"/>
        </w:rPr>
        <w:t xml:space="preserve"> is made under section 370-5 </w:t>
      </w:r>
      <w:r w:rsidR="00B966E0">
        <w:rPr>
          <w:rFonts w:ascii="Arial" w:hAnsi="Arial" w:cs="Arial"/>
          <w:bCs/>
          <w:sz w:val="22"/>
          <w:szCs w:val="22"/>
        </w:rPr>
        <w:t>in</w:t>
      </w:r>
      <w:r w:rsidR="00B966E0" w:rsidRPr="0051123C">
        <w:rPr>
          <w:rFonts w:ascii="Arial" w:hAnsi="Arial" w:cs="Arial"/>
          <w:bCs/>
          <w:sz w:val="22"/>
          <w:szCs w:val="22"/>
        </w:rPr>
        <w:t xml:space="preserve"> </w:t>
      </w:r>
      <w:r w:rsidRPr="0051123C">
        <w:rPr>
          <w:rFonts w:ascii="Arial" w:hAnsi="Arial" w:cs="Arial"/>
          <w:bCs/>
          <w:sz w:val="22"/>
          <w:szCs w:val="22"/>
        </w:rPr>
        <w:t xml:space="preserve">Schedule 1 to the </w:t>
      </w:r>
      <w:r w:rsidRPr="0051123C">
        <w:rPr>
          <w:rFonts w:ascii="Arial" w:hAnsi="Arial" w:cs="Arial"/>
          <w:bCs/>
          <w:i/>
          <w:iCs/>
          <w:sz w:val="22"/>
          <w:szCs w:val="22"/>
        </w:rPr>
        <w:t>Taxation Administration Act 1953</w:t>
      </w:r>
      <w:r w:rsidRPr="0051123C">
        <w:rPr>
          <w:rFonts w:ascii="Arial" w:hAnsi="Arial" w:cs="Arial"/>
          <w:bCs/>
          <w:sz w:val="22"/>
          <w:szCs w:val="22"/>
        </w:rPr>
        <w:t xml:space="preserve">, known as the Commissioner’s </w:t>
      </w:r>
      <w:r w:rsidR="00B966E0">
        <w:rPr>
          <w:rFonts w:ascii="Arial" w:hAnsi="Arial" w:cs="Arial"/>
          <w:bCs/>
          <w:sz w:val="22"/>
          <w:szCs w:val="22"/>
        </w:rPr>
        <w:t>r</w:t>
      </w:r>
      <w:r w:rsidRPr="0051123C">
        <w:rPr>
          <w:rFonts w:ascii="Arial" w:hAnsi="Arial" w:cs="Arial"/>
          <w:bCs/>
          <w:sz w:val="22"/>
          <w:szCs w:val="22"/>
        </w:rPr>
        <w:t xml:space="preserve">emedial </w:t>
      </w:r>
      <w:r w:rsidR="00B966E0">
        <w:rPr>
          <w:rFonts w:ascii="Arial" w:hAnsi="Arial" w:cs="Arial"/>
          <w:bCs/>
          <w:sz w:val="22"/>
          <w:szCs w:val="22"/>
        </w:rPr>
        <w:t>p</w:t>
      </w:r>
      <w:r w:rsidRPr="0051123C">
        <w:rPr>
          <w:rFonts w:ascii="Arial" w:hAnsi="Arial" w:cs="Arial"/>
          <w:bCs/>
          <w:sz w:val="22"/>
          <w:szCs w:val="22"/>
        </w:rPr>
        <w:t xml:space="preserve">ower. It modifies the operation of </w:t>
      </w:r>
      <w:r w:rsidR="00425891">
        <w:rPr>
          <w:rFonts w:ascii="Arial" w:hAnsi="Arial" w:cs="Arial"/>
          <w:sz w:val="22"/>
          <w:szCs w:val="22"/>
        </w:rPr>
        <w:t>s</w:t>
      </w:r>
      <w:r w:rsidR="00B966E0">
        <w:rPr>
          <w:rFonts w:ascii="Arial" w:hAnsi="Arial" w:cs="Arial"/>
          <w:sz w:val="22"/>
          <w:szCs w:val="22"/>
        </w:rPr>
        <w:t>ubs</w:t>
      </w:r>
      <w:r w:rsidR="00425891">
        <w:rPr>
          <w:rFonts w:ascii="Arial" w:hAnsi="Arial" w:cs="Arial"/>
          <w:sz w:val="22"/>
          <w:szCs w:val="22"/>
        </w:rPr>
        <w:t xml:space="preserve">ection </w:t>
      </w:r>
      <w:r w:rsidR="000C7F15" w:rsidRPr="00123F52">
        <w:rPr>
          <w:rFonts w:ascii="Arial" w:hAnsi="Arial" w:cs="Arial"/>
          <w:sz w:val="22"/>
          <w:szCs w:val="22"/>
        </w:rPr>
        <w:t>290-165</w:t>
      </w:r>
      <w:r w:rsidR="00B966E0">
        <w:rPr>
          <w:rFonts w:ascii="Arial" w:hAnsi="Arial" w:cs="Arial"/>
          <w:sz w:val="22"/>
          <w:szCs w:val="22"/>
        </w:rPr>
        <w:t>(1A)</w:t>
      </w:r>
      <w:r w:rsidR="000C7F15" w:rsidRPr="00123F52">
        <w:rPr>
          <w:rFonts w:ascii="Arial" w:hAnsi="Arial" w:cs="Arial"/>
          <w:sz w:val="22"/>
          <w:szCs w:val="22"/>
        </w:rPr>
        <w:t xml:space="preserve"> </w:t>
      </w:r>
      <w:r w:rsidR="003B38E3">
        <w:rPr>
          <w:rFonts w:ascii="Arial" w:hAnsi="Arial" w:cs="Arial"/>
          <w:sz w:val="22"/>
          <w:szCs w:val="22"/>
        </w:rPr>
        <w:t>of</w:t>
      </w:r>
      <w:r w:rsidR="000C7F15" w:rsidRPr="00123F52">
        <w:rPr>
          <w:rFonts w:ascii="Arial" w:hAnsi="Arial" w:cs="Arial"/>
          <w:sz w:val="22"/>
          <w:szCs w:val="22"/>
        </w:rPr>
        <w:t xml:space="preserve"> the </w:t>
      </w:r>
      <w:r w:rsidR="003B38E3">
        <w:rPr>
          <w:rFonts w:ascii="Arial" w:hAnsi="Arial" w:cs="Arial"/>
          <w:i/>
          <w:iCs/>
          <w:sz w:val="22"/>
          <w:szCs w:val="22"/>
        </w:rPr>
        <w:t xml:space="preserve">Income Tax Assessment Act 1997 </w:t>
      </w:r>
      <w:r w:rsidR="003B38E3">
        <w:rPr>
          <w:rFonts w:ascii="Arial" w:hAnsi="Arial" w:cs="Arial"/>
          <w:sz w:val="22"/>
          <w:szCs w:val="22"/>
        </w:rPr>
        <w:t>(</w:t>
      </w:r>
      <w:r w:rsidR="000C7F15" w:rsidRPr="00123F52">
        <w:rPr>
          <w:rFonts w:ascii="Arial" w:hAnsi="Arial" w:cs="Arial"/>
          <w:sz w:val="22"/>
          <w:szCs w:val="22"/>
        </w:rPr>
        <w:t>ITAA 1997</w:t>
      </w:r>
      <w:r w:rsidR="003B38E3">
        <w:rPr>
          <w:rFonts w:ascii="Arial" w:hAnsi="Arial" w:cs="Arial"/>
          <w:sz w:val="22"/>
          <w:szCs w:val="22"/>
        </w:rPr>
        <w:t>).</w:t>
      </w:r>
    </w:p>
    <w:p w14:paraId="242AB395" w14:textId="2E7C817D" w:rsidR="001D5014" w:rsidRDefault="003B38E3" w:rsidP="001D5014">
      <w:pPr>
        <w:spacing w:after="120"/>
        <w:rPr>
          <w:rFonts w:ascii="Arial" w:hAnsi="Arial" w:cs="Arial"/>
          <w:sz w:val="22"/>
          <w:szCs w:val="22"/>
        </w:rPr>
      </w:pPr>
      <w:r>
        <w:rPr>
          <w:rFonts w:ascii="Arial" w:hAnsi="Arial" w:cs="Arial"/>
          <w:sz w:val="22"/>
          <w:szCs w:val="22"/>
        </w:rPr>
        <w:t xml:space="preserve">The effect of the modification is that individuals </w:t>
      </w:r>
      <w:r w:rsidR="00B966E0">
        <w:rPr>
          <w:rFonts w:ascii="Arial" w:hAnsi="Arial" w:cs="Arial"/>
          <w:sz w:val="22"/>
          <w:szCs w:val="22"/>
        </w:rPr>
        <w:t xml:space="preserve">aged 67 </w:t>
      </w:r>
      <w:r w:rsidR="009C107B">
        <w:rPr>
          <w:rFonts w:ascii="Arial" w:hAnsi="Arial" w:cs="Arial"/>
          <w:sz w:val="22"/>
          <w:szCs w:val="22"/>
        </w:rPr>
        <w:t xml:space="preserve">to </w:t>
      </w:r>
      <w:r w:rsidR="00B966E0">
        <w:rPr>
          <w:rFonts w:ascii="Arial" w:hAnsi="Arial" w:cs="Arial"/>
          <w:sz w:val="22"/>
          <w:szCs w:val="22"/>
        </w:rPr>
        <w:t xml:space="preserve">75 years </w:t>
      </w:r>
      <w:r>
        <w:rPr>
          <w:rFonts w:ascii="Arial" w:hAnsi="Arial" w:cs="Arial"/>
          <w:sz w:val="22"/>
          <w:szCs w:val="22"/>
        </w:rPr>
        <w:t xml:space="preserve">who are </w:t>
      </w:r>
      <w:r w:rsidR="00136380" w:rsidRPr="00F375BE">
        <w:rPr>
          <w:rFonts w:ascii="Arial" w:hAnsi="Arial" w:cs="Arial"/>
          <w:sz w:val="22"/>
          <w:szCs w:val="22"/>
        </w:rPr>
        <w:t>employees</w:t>
      </w:r>
      <w:r w:rsidR="00EE50B3" w:rsidRPr="00F375BE">
        <w:rPr>
          <w:rFonts w:ascii="Arial" w:hAnsi="Arial" w:cs="Arial"/>
          <w:sz w:val="22"/>
          <w:szCs w:val="22"/>
        </w:rPr>
        <w:t xml:space="preserve"> </w:t>
      </w:r>
      <w:r>
        <w:rPr>
          <w:rFonts w:ascii="Arial" w:hAnsi="Arial" w:cs="Arial"/>
          <w:sz w:val="22"/>
          <w:szCs w:val="22"/>
        </w:rPr>
        <w:t>under</w:t>
      </w:r>
      <w:r w:rsidR="00EE50B3" w:rsidRPr="00F375BE">
        <w:rPr>
          <w:rFonts w:ascii="Arial" w:hAnsi="Arial" w:cs="Arial"/>
          <w:sz w:val="22"/>
          <w:szCs w:val="22"/>
        </w:rPr>
        <w:t xml:space="preserve"> </w:t>
      </w:r>
      <w:r w:rsidR="00E50BFC">
        <w:rPr>
          <w:rFonts w:ascii="Arial" w:hAnsi="Arial" w:cs="Arial"/>
          <w:sz w:val="22"/>
          <w:szCs w:val="22"/>
        </w:rPr>
        <w:t xml:space="preserve">the </w:t>
      </w:r>
      <w:r w:rsidR="009F45D5">
        <w:rPr>
          <w:rFonts w:ascii="Arial" w:hAnsi="Arial" w:cs="Arial"/>
          <w:sz w:val="22"/>
          <w:szCs w:val="22"/>
        </w:rPr>
        <w:t xml:space="preserve">expanded </w:t>
      </w:r>
      <w:r w:rsidR="00E50BFC">
        <w:rPr>
          <w:rFonts w:ascii="Arial" w:hAnsi="Arial" w:cs="Arial"/>
          <w:sz w:val="22"/>
          <w:szCs w:val="22"/>
        </w:rPr>
        <w:t xml:space="preserve">definition of that term in </w:t>
      </w:r>
      <w:r w:rsidR="00EE50B3" w:rsidRPr="00F375BE">
        <w:rPr>
          <w:rFonts w:ascii="Arial" w:hAnsi="Arial" w:cs="Arial"/>
          <w:sz w:val="22"/>
          <w:szCs w:val="22"/>
        </w:rPr>
        <w:t xml:space="preserve">section 15A of the </w:t>
      </w:r>
      <w:r w:rsidR="00EE50B3" w:rsidRPr="007B6B69">
        <w:rPr>
          <w:rFonts w:ascii="Arial" w:hAnsi="Arial" w:cs="Arial"/>
          <w:i/>
          <w:iCs/>
          <w:sz w:val="22"/>
          <w:szCs w:val="22"/>
        </w:rPr>
        <w:t>Superannuation</w:t>
      </w:r>
      <w:r w:rsidR="00EE50B3" w:rsidRPr="001F33C9">
        <w:rPr>
          <w:rFonts w:ascii="Arial" w:hAnsi="Arial" w:cs="Arial"/>
          <w:i/>
          <w:iCs/>
          <w:sz w:val="22"/>
          <w:szCs w:val="22"/>
        </w:rPr>
        <w:t xml:space="preserve"> Industry Supervision Act</w:t>
      </w:r>
      <w:r w:rsidR="00721052">
        <w:rPr>
          <w:rFonts w:ascii="Arial" w:hAnsi="Arial" w:cs="Arial"/>
          <w:i/>
          <w:iCs/>
          <w:sz w:val="22"/>
          <w:szCs w:val="22"/>
        </w:rPr>
        <w:t> </w:t>
      </w:r>
      <w:r w:rsidR="00EE50B3" w:rsidRPr="001F33C9">
        <w:rPr>
          <w:rFonts w:ascii="Arial" w:hAnsi="Arial" w:cs="Arial"/>
          <w:i/>
          <w:iCs/>
          <w:sz w:val="22"/>
          <w:szCs w:val="22"/>
        </w:rPr>
        <w:t>1993</w:t>
      </w:r>
      <w:r w:rsidR="00B966E0" w:rsidRPr="009A78FB">
        <w:rPr>
          <w:rFonts w:ascii="Arial" w:hAnsi="Arial" w:cs="Arial"/>
          <w:sz w:val="22"/>
          <w:szCs w:val="22"/>
        </w:rPr>
        <w:t>,</w:t>
      </w:r>
      <w:r w:rsidR="00EE50B3" w:rsidRPr="00F375BE">
        <w:rPr>
          <w:rFonts w:ascii="Arial" w:hAnsi="Arial" w:cs="Arial"/>
          <w:sz w:val="22"/>
          <w:szCs w:val="22"/>
        </w:rPr>
        <w:t xml:space="preserve"> </w:t>
      </w:r>
      <w:r w:rsidR="00B966E0">
        <w:rPr>
          <w:rFonts w:ascii="Arial" w:hAnsi="Arial" w:cs="Arial"/>
          <w:sz w:val="22"/>
          <w:szCs w:val="22"/>
        </w:rPr>
        <w:t>and</w:t>
      </w:r>
      <w:r w:rsidR="00EE50B3">
        <w:rPr>
          <w:rFonts w:ascii="Arial" w:hAnsi="Arial" w:cs="Arial"/>
          <w:sz w:val="22"/>
          <w:szCs w:val="22"/>
        </w:rPr>
        <w:t xml:space="preserve"> </w:t>
      </w:r>
      <w:r w:rsidR="009F45D5">
        <w:rPr>
          <w:rFonts w:ascii="Arial" w:hAnsi="Arial" w:cs="Arial"/>
          <w:sz w:val="22"/>
          <w:szCs w:val="22"/>
        </w:rPr>
        <w:t xml:space="preserve">otherwise </w:t>
      </w:r>
      <w:r w:rsidR="00EE50B3">
        <w:rPr>
          <w:rFonts w:ascii="Arial" w:hAnsi="Arial" w:cs="Arial"/>
          <w:sz w:val="22"/>
          <w:szCs w:val="22"/>
        </w:rPr>
        <w:t>meet</w:t>
      </w:r>
      <w:r w:rsidR="00EE50B3" w:rsidRPr="00F375BE">
        <w:rPr>
          <w:rFonts w:ascii="Arial" w:hAnsi="Arial" w:cs="Arial"/>
          <w:sz w:val="22"/>
          <w:szCs w:val="22"/>
        </w:rPr>
        <w:t xml:space="preserve"> the ‘work test’ </w:t>
      </w:r>
      <w:r w:rsidR="00B966E0">
        <w:rPr>
          <w:rFonts w:ascii="Arial" w:hAnsi="Arial" w:cs="Arial"/>
          <w:sz w:val="22"/>
          <w:szCs w:val="22"/>
        </w:rPr>
        <w:t xml:space="preserve">conditions </w:t>
      </w:r>
      <w:r w:rsidR="00EE50B3" w:rsidRPr="00F375BE">
        <w:rPr>
          <w:rFonts w:ascii="Arial" w:hAnsi="Arial" w:cs="Arial"/>
          <w:sz w:val="22"/>
          <w:szCs w:val="22"/>
        </w:rPr>
        <w:t>in subsection 290-165(1A) of the ITAA 1997</w:t>
      </w:r>
      <w:r w:rsidR="00B966E0">
        <w:rPr>
          <w:rFonts w:ascii="Arial" w:hAnsi="Arial" w:cs="Arial"/>
          <w:sz w:val="22"/>
          <w:szCs w:val="22"/>
        </w:rPr>
        <w:t>,</w:t>
      </w:r>
      <w:r w:rsidR="00EE50B3">
        <w:rPr>
          <w:rStyle w:val="ms-rtethemeforecolor-2-2"/>
          <w:rFonts w:ascii="Arial" w:hAnsi="Arial" w:cs="Arial"/>
          <w:sz w:val="22"/>
          <w:szCs w:val="22"/>
        </w:rPr>
        <w:t xml:space="preserve"> </w:t>
      </w:r>
      <w:r>
        <w:rPr>
          <w:rStyle w:val="ms-rtethemeforecolor-2-2"/>
          <w:rFonts w:ascii="Arial" w:hAnsi="Arial" w:cs="Arial"/>
          <w:sz w:val="22"/>
          <w:szCs w:val="22"/>
        </w:rPr>
        <w:t>remain eligible</w:t>
      </w:r>
      <w:r w:rsidR="004441F3" w:rsidRPr="00C43DFF">
        <w:rPr>
          <w:rStyle w:val="ms-rtethemeforecolor-2-2"/>
          <w:rFonts w:ascii="Arial" w:hAnsi="Arial" w:cs="Arial"/>
          <w:sz w:val="22"/>
          <w:szCs w:val="22"/>
        </w:rPr>
        <w:t xml:space="preserve"> to claim a deduction for </w:t>
      </w:r>
      <w:r w:rsidR="009F45D5">
        <w:rPr>
          <w:rStyle w:val="ms-rtethemeforecolor-2-2"/>
          <w:rFonts w:ascii="Arial" w:hAnsi="Arial" w:cs="Arial"/>
          <w:sz w:val="22"/>
          <w:szCs w:val="22"/>
        </w:rPr>
        <w:t xml:space="preserve">their </w:t>
      </w:r>
      <w:r w:rsidR="004441F3" w:rsidRPr="00C43DFF">
        <w:rPr>
          <w:rStyle w:val="ms-rtethemeforecolor-2-2"/>
          <w:rFonts w:ascii="Arial" w:hAnsi="Arial" w:cs="Arial"/>
          <w:sz w:val="22"/>
          <w:szCs w:val="22"/>
        </w:rPr>
        <w:t xml:space="preserve">personal </w:t>
      </w:r>
      <w:r w:rsidR="004441F3" w:rsidRPr="007B6B69">
        <w:rPr>
          <w:rStyle w:val="ms-rtethemeforecolor-2-2"/>
          <w:rFonts w:ascii="Arial" w:hAnsi="Arial" w:cs="Arial"/>
          <w:sz w:val="22"/>
          <w:szCs w:val="22"/>
        </w:rPr>
        <w:t>superannuation</w:t>
      </w:r>
      <w:r w:rsidR="004441F3" w:rsidRPr="00C43DFF">
        <w:rPr>
          <w:rStyle w:val="ms-rtethemeforecolor-2-2"/>
          <w:rFonts w:ascii="Arial" w:hAnsi="Arial" w:cs="Arial"/>
          <w:sz w:val="22"/>
          <w:szCs w:val="22"/>
        </w:rPr>
        <w:t xml:space="preserve"> contributions.</w:t>
      </w:r>
    </w:p>
    <w:p w14:paraId="0E3FC927" w14:textId="77777777" w:rsidR="00130A0C" w:rsidRPr="00AE336C" w:rsidRDefault="00130A0C" w:rsidP="00130A0C">
      <w:pPr>
        <w:spacing w:after="120"/>
        <w:rPr>
          <w:rFonts w:ascii="Arial" w:hAnsi="Arial" w:cs="Arial"/>
          <w:sz w:val="22"/>
          <w:szCs w:val="22"/>
        </w:rPr>
      </w:pPr>
    </w:p>
    <w:p w14:paraId="4014930B" w14:textId="77777777" w:rsidR="00130A0C" w:rsidRPr="00AE336C" w:rsidRDefault="00130A0C" w:rsidP="00130A0C">
      <w:pPr>
        <w:pStyle w:val="Heading2"/>
      </w:pPr>
      <w:r w:rsidRPr="00AE336C">
        <w:t>Human rights implications</w:t>
      </w:r>
    </w:p>
    <w:p w14:paraId="7059D779" w14:textId="77777777" w:rsidR="00130A0C" w:rsidRPr="00AE336C" w:rsidRDefault="00130A0C" w:rsidP="00130A0C">
      <w:pPr>
        <w:autoSpaceDE w:val="0"/>
        <w:autoSpaceDN w:val="0"/>
        <w:adjustRightInd w:val="0"/>
        <w:spacing w:after="120"/>
        <w:rPr>
          <w:rFonts w:ascii="Arial" w:hAnsi="Arial" w:cs="Arial"/>
          <w:sz w:val="22"/>
          <w:szCs w:val="22"/>
        </w:rPr>
      </w:pPr>
      <w:r w:rsidRPr="00AE336C">
        <w:rPr>
          <w:rFonts w:ascii="Arial" w:hAnsi="Arial" w:cs="Arial"/>
          <w:sz w:val="22"/>
          <w:szCs w:val="22"/>
        </w:rPr>
        <w:t>This legislative instrument does not engage any of the applicable rights or freedoms.</w:t>
      </w:r>
    </w:p>
    <w:p w14:paraId="41AC2BED" w14:textId="77777777" w:rsidR="00130A0C" w:rsidRPr="00AE336C" w:rsidRDefault="00130A0C" w:rsidP="00130A0C">
      <w:pPr>
        <w:autoSpaceDE w:val="0"/>
        <w:autoSpaceDN w:val="0"/>
        <w:adjustRightInd w:val="0"/>
        <w:spacing w:after="120"/>
        <w:rPr>
          <w:rFonts w:ascii="Arial" w:hAnsi="Arial" w:cs="Arial"/>
          <w:sz w:val="22"/>
          <w:szCs w:val="22"/>
        </w:rPr>
      </w:pPr>
    </w:p>
    <w:p w14:paraId="051DFD64" w14:textId="77777777" w:rsidR="00130A0C" w:rsidRPr="00AE336C" w:rsidRDefault="00130A0C" w:rsidP="00130A0C">
      <w:pPr>
        <w:pStyle w:val="Heading2"/>
      </w:pPr>
      <w:r w:rsidRPr="00AE336C">
        <w:t>Conclusion</w:t>
      </w:r>
    </w:p>
    <w:p w14:paraId="6A8E9415" w14:textId="77777777" w:rsidR="00130A0C" w:rsidRPr="00AE336C" w:rsidRDefault="00130A0C" w:rsidP="00130A0C">
      <w:pPr>
        <w:spacing w:after="120"/>
        <w:rPr>
          <w:rFonts w:ascii="Arial" w:hAnsi="Arial" w:cs="Arial"/>
          <w:sz w:val="22"/>
          <w:szCs w:val="22"/>
        </w:rPr>
      </w:pPr>
      <w:r w:rsidRPr="00AE336C">
        <w:rPr>
          <w:rFonts w:ascii="Arial" w:hAnsi="Arial" w:cs="Arial"/>
          <w:sz w:val="22"/>
          <w:szCs w:val="22"/>
        </w:rPr>
        <w:t>This legislative instrument is compatible with human rights because it is wholly beneficial for taxpayers and does not raise any human rights issues.</w:t>
      </w:r>
    </w:p>
    <w:sectPr w:rsidR="00130A0C" w:rsidRPr="00AE336C" w:rsidSect="00226F99">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361" w:left="99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0C99" w14:textId="77777777" w:rsidR="00EB34AF" w:rsidRDefault="00EB34AF">
      <w:r>
        <w:separator/>
      </w:r>
    </w:p>
  </w:endnote>
  <w:endnote w:type="continuationSeparator" w:id="0">
    <w:p w14:paraId="565D8519" w14:textId="77777777" w:rsidR="00EB34AF" w:rsidRDefault="00EB34AF">
      <w:r>
        <w:continuationSeparator/>
      </w:r>
    </w:p>
  </w:endnote>
  <w:endnote w:type="continuationNotice" w:id="1">
    <w:p w14:paraId="7C155806" w14:textId="77777777" w:rsidR="00EB34AF" w:rsidRDefault="00EB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58C8" w14:textId="77777777" w:rsidR="005B44D7" w:rsidRDefault="005B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2E6B" w14:textId="77777777" w:rsidR="005B44D7" w:rsidRDefault="005B4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3F1F" w14:textId="77777777" w:rsidR="005B44D7" w:rsidRDefault="005B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509C" w14:textId="77777777" w:rsidR="00EB34AF" w:rsidRDefault="00EB34AF">
      <w:r>
        <w:separator/>
      </w:r>
    </w:p>
  </w:footnote>
  <w:footnote w:type="continuationSeparator" w:id="0">
    <w:p w14:paraId="0A190DC4" w14:textId="77777777" w:rsidR="00EB34AF" w:rsidRDefault="00EB34AF">
      <w:r>
        <w:continuationSeparator/>
      </w:r>
    </w:p>
  </w:footnote>
  <w:footnote w:type="continuationNotice" w:id="1">
    <w:p w14:paraId="55FB33EB" w14:textId="77777777" w:rsidR="00EB34AF" w:rsidRDefault="00EB3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A" w14:textId="49ADC332" w:rsidR="00BF611D" w:rsidRPr="0067541C" w:rsidRDefault="00BF611D">
    <w:pPr>
      <w:pStyle w:val="Header"/>
      <w:rPr>
        <w:rFonts w:ascii="Arial" w:hAnsi="Arial" w:cs="Arial"/>
        <w:sz w:val="52"/>
      </w:rPr>
    </w:pPr>
    <w:r w:rsidRPr="0067541C">
      <w:rPr>
        <w:rFonts w:ascii="Arial" w:hAnsi="Arial" w:cs="Arial"/>
        <w:sz w:val="20"/>
      </w:rPr>
      <w:t>Taxation Determination</w:t>
    </w:r>
  </w:p>
  <w:p w14:paraId="15AC1BCB" w14:textId="77777777" w:rsidR="00BF611D" w:rsidRPr="0067541C" w:rsidRDefault="00BF611D">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BF611D" w:rsidRPr="0067541C" w:rsidRDefault="00BF611D">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EB6C" w14:textId="77777777" w:rsidR="005B44D7" w:rsidRDefault="005B4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BF611D" w:rsidRDefault="00BF611D" w:rsidP="001828A4">
    <w:pPr>
      <w:pStyle w:val="Header"/>
      <w:tabs>
        <w:tab w:val="clear" w:pos="4153"/>
        <w:tab w:val="clear" w:pos="8306"/>
      </w:tabs>
      <w:rPr>
        <w:rFonts w:ascii="Arial" w:hAnsi="Arial" w:cs="Arial"/>
        <w:sz w:val="20"/>
      </w:rPr>
    </w:pPr>
    <w:r>
      <w:rPr>
        <w:noProof/>
      </w:rPr>
      <w:drawing>
        <wp:inline distT="0" distB="0" distL="0" distR="0" wp14:anchorId="15AC1BD1" wp14:editId="650476E9">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276786DE" w:rsidR="00BF611D" w:rsidRPr="001A6644" w:rsidRDefault="00BF611D"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F9"/>
    <w:multiLevelType w:val="hybridMultilevel"/>
    <w:tmpl w:val="B9160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CD3EF3"/>
    <w:multiLevelType w:val="hybridMultilevel"/>
    <w:tmpl w:val="2758B254"/>
    <w:lvl w:ilvl="0" w:tplc="8B82959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B7A54"/>
    <w:multiLevelType w:val="hybridMultilevel"/>
    <w:tmpl w:val="2F6A85C4"/>
    <w:lvl w:ilvl="0" w:tplc="3D789950">
      <w:start w:val="1"/>
      <w:numFmt w:val="decimal"/>
      <w:lvlText w:val="%1."/>
      <w:lvlJc w:val="left"/>
      <w:pPr>
        <w:ind w:left="360" w:hanging="360"/>
      </w:pPr>
      <w:rPr>
        <w:rFonts w:asciiTheme="minorHAnsi" w:hAnsiTheme="minorHAnsi" w:cstheme="minorHAnsi" w:hint="default"/>
        <w:i w:val="0"/>
        <w:iCs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DD3D21"/>
    <w:multiLevelType w:val="hybridMultilevel"/>
    <w:tmpl w:val="6DD87BD4"/>
    <w:lvl w:ilvl="0" w:tplc="49F6DAC2">
      <w:start w:val="1"/>
      <w:numFmt w:val="decimal"/>
      <w:lvlText w:val="%1."/>
      <w:lvlJc w:val="left"/>
      <w:pPr>
        <w:tabs>
          <w:tab w:val="num" w:pos="360"/>
        </w:tabs>
        <w:ind w:left="360" w:hanging="360"/>
      </w:pPr>
      <w:rPr>
        <w:rFonts w:ascii="Arial" w:hAnsi="Arial" w:cs="Arial" w:hint="default"/>
        <w:color w:val="auto"/>
        <w:sz w:val="22"/>
        <w:szCs w:val="22"/>
      </w:rPr>
    </w:lvl>
    <w:lvl w:ilvl="1" w:tplc="8786BFA6">
      <w:start w:val="1"/>
      <w:numFmt w:val="lowerRoman"/>
      <w:lvlText w:val="%2)"/>
      <w:lvlJc w:val="left"/>
      <w:pPr>
        <w:tabs>
          <w:tab w:val="num" w:pos="1440"/>
        </w:tabs>
        <w:ind w:left="1440" w:hanging="360"/>
      </w:pPr>
      <w:rPr>
        <w:rFonts w:ascii="Arial" w:eastAsia="Times New Roman" w:hAnsi="Arial" w:cs="Arial"/>
        <w:color w:val="auto"/>
        <w:sz w:val="22"/>
        <w:szCs w:val="22"/>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EF549A"/>
    <w:multiLevelType w:val="hybridMultilevel"/>
    <w:tmpl w:val="CC72CDCC"/>
    <w:lvl w:ilvl="0" w:tplc="3D68308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24B97A24"/>
    <w:multiLevelType w:val="hybridMultilevel"/>
    <w:tmpl w:val="F0CED766"/>
    <w:lvl w:ilvl="0" w:tplc="0C090001">
      <w:start w:val="1"/>
      <w:numFmt w:val="bullet"/>
      <w:lvlText w:val=""/>
      <w:lvlJc w:val="left"/>
      <w:pPr>
        <w:tabs>
          <w:tab w:val="num" w:pos="360"/>
        </w:tabs>
        <w:ind w:left="360" w:hanging="360"/>
      </w:pPr>
      <w:rPr>
        <w:rFonts w:ascii="Symbol" w:hAnsi="Symbol" w:hint="default"/>
        <w:color w:val="auto"/>
        <w:sz w:val="22"/>
        <w:szCs w:val="22"/>
      </w:rPr>
    </w:lvl>
    <w:lvl w:ilvl="1" w:tplc="8786BFA6">
      <w:start w:val="1"/>
      <w:numFmt w:val="lowerRoman"/>
      <w:lvlText w:val="%2)"/>
      <w:lvlJc w:val="left"/>
      <w:pPr>
        <w:tabs>
          <w:tab w:val="num" w:pos="1440"/>
        </w:tabs>
        <w:ind w:left="1440" w:hanging="360"/>
      </w:pPr>
      <w:rPr>
        <w:rFonts w:ascii="Arial" w:eastAsia="Times New Roman" w:hAnsi="Arial" w:cs="Arial"/>
        <w:color w:val="auto"/>
        <w:sz w:val="22"/>
        <w:szCs w:val="22"/>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89C3189"/>
    <w:multiLevelType w:val="hybridMultilevel"/>
    <w:tmpl w:val="2124AE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D7F6B0F"/>
    <w:multiLevelType w:val="hybridMultilevel"/>
    <w:tmpl w:val="F858D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C3903"/>
    <w:multiLevelType w:val="hybridMultilevel"/>
    <w:tmpl w:val="255A6444"/>
    <w:lvl w:ilvl="0" w:tplc="92D8F952">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color w:val="auto"/>
        <w:sz w:val="22"/>
        <w:szCs w:val="22"/>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0644A5F"/>
    <w:multiLevelType w:val="hybridMultilevel"/>
    <w:tmpl w:val="CCF0A948"/>
    <w:lvl w:ilvl="0" w:tplc="FFFFFFFF">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4A38B6A0">
      <w:start w:val="1"/>
      <w:numFmt w:val="lowerLetter"/>
      <w:lvlText w:val="(%2)"/>
      <w:lvlJc w:val="left"/>
      <w:pPr>
        <w:tabs>
          <w:tab w:val="num" w:pos="1440"/>
        </w:tabs>
        <w:ind w:left="1440" w:hanging="360"/>
      </w:pPr>
      <w:rPr>
        <w:rFonts w:hint="default"/>
        <w:color w:val="auto"/>
        <w:sz w:val="22"/>
        <w:szCs w:val="22"/>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3F23C08"/>
    <w:multiLevelType w:val="hybridMultilevel"/>
    <w:tmpl w:val="87BE182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575C3DAC"/>
    <w:multiLevelType w:val="hybridMultilevel"/>
    <w:tmpl w:val="81424916"/>
    <w:lvl w:ilvl="0" w:tplc="C2ACD91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8F7E1C"/>
    <w:multiLevelType w:val="hybridMultilevel"/>
    <w:tmpl w:val="7F5C9050"/>
    <w:lvl w:ilvl="0" w:tplc="FFFFFFFF">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4A38B6A0">
      <w:start w:val="1"/>
      <w:numFmt w:val="lowerLetter"/>
      <w:lvlText w:val="(%2)"/>
      <w:lvlJc w:val="left"/>
      <w:pPr>
        <w:tabs>
          <w:tab w:val="num" w:pos="1440"/>
        </w:tabs>
        <w:ind w:left="1440" w:hanging="360"/>
      </w:pPr>
      <w:rPr>
        <w:rFonts w:hint="default"/>
        <w:color w:val="auto"/>
        <w:sz w:val="22"/>
        <w:szCs w:val="22"/>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A7A3661"/>
    <w:multiLevelType w:val="hybridMultilevel"/>
    <w:tmpl w:val="C0086B5C"/>
    <w:lvl w:ilvl="0" w:tplc="FFFFFFFF">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4A38B6A0">
      <w:start w:val="1"/>
      <w:numFmt w:val="lowerLetter"/>
      <w:lvlText w:val="(%2)"/>
      <w:lvlJc w:val="left"/>
      <w:pPr>
        <w:tabs>
          <w:tab w:val="num" w:pos="1440"/>
        </w:tabs>
        <w:ind w:left="1440" w:hanging="360"/>
      </w:pPr>
      <w:rPr>
        <w:rFonts w:hint="default"/>
        <w:color w:val="auto"/>
        <w:sz w:val="22"/>
        <w:szCs w:val="22"/>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6D50C9E"/>
    <w:multiLevelType w:val="hybridMultilevel"/>
    <w:tmpl w:val="8AECF620"/>
    <w:lvl w:ilvl="0" w:tplc="FFFFFFFF">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4A38B6A0">
      <w:start w:val="1"/>
      <w:numFmt w:val="lowerLetter"/>
      <w:lvlText w:val="(%2)"/>
      <w:lvlJc w:val="left"/>
      <w:pPr>
        <w:tabs>
          <w:tab w:val="num" w:pos="1440"/>
        </w:tabs>
        <w:ind w:left="1440" w:hanging="360"/>
      </w:pPr>
      <w:rPr>
        <w:rFonts w:hint="default"/>
        <w:color w:val="auto"/>
        <w:sz w:val="22"/>
        <w:szCs w:val="22"/>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F6C3833"/>
    <w:multiLevelType w:val="hybridMultilevel"/>
    <w:tmpl w:val="75B65E12"/>
    <w:lvl w:ilvl="0" w:tplc="C2ACD91E">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bullet"/>
      <w:lvlText w:val=""/>
      <w:lvlJc w:val="left"/>
      <w:pPr>
        <w:tabs>
          <w:tab w:val="num" w:pos="2149"/>
        </w:tabs>
        <w:ind w:left="2149" w:hanging="360"/>
      </w:pPr>
      <w:rPr>
        <w:rFonts w:ascii="Symbol" w:hAnsi="Symbol" w:hint="default"/>
        <w:color w:val="auto"/>
        <w:sz w:val="22"/>
        <w:szCs w:val="22"/>
      </w:rPr>
    </w:lvl>
    <w:lvl w:ilvl="2" w:tplc="FFFFFFFF">
      <w:start w:val="1"/>
      <w:numFmt w:val="lowerLetter"/>
      <w:lvlText w:val="(%3)"/>
      <w:lvlJc w:val="left"/>
      <w:pPr>
        <w:tabs>
          <w:tab w:val="num" w:pos="3049"/>
        </w:tabs>
        <w:ind w:left="3049" w:hanging="360"/>
      </w:pPr>
      <w:rPr>
        <w:rFonts w:hint="default"/>
      </w:rPr>
    </w:lvl>
    <w:lvl w:ilvl="3" w:tplc="FFFFFFFF">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num w:numId="1">
    <w:abstractNumId w:val="8"/>
  </w:num>
  <w:num w:numId="2">
    <w:abstractNumId w:val="11"/>
  </w:num>
  <w:num w:numId="3">
    <w:abstractNumId w:val="1"/>
  </w:num>
  <w:num w:numId="4">
    <w:abstractNumId w:val="4"/>
  </w:num>
  <w:num w:numId="5">
    <w:abstractNumId w:val="3"/>
  </w:num>
  <w:num w:numId="6">
    <w:abstractNumId w:val="6"/>
  </w:num>
  <w:num w:numId="7">
    <w:abstractNumId w:val="7"/>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0"/>
  </w:num>
  <w:num w:numId="14">
    <w:abstractNumId w:val="7"/>
  </w:num>
  <w:num w:numId="15">
    <w:abstractNumId w:val="15"/>
  </w:num>
  <w:num w:numId="16">
    <w:abstractNumId w:val="14"/>
  </w:num>
  <w:num w:numId="17">
    <w:abstractNumId w:val="9"/>
  </w:num>
  <w:num w:numId="18">
    <w:abstractNumId w:val="12"/>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2ED"/>
    <w:rsid w:val="00002B3C"/>
    <w:rsid w:val="00006E36"/>
    <w:rsid w:val="00007C4F"/>
    <w:rsid w:val="000117B2"/>
    <w:rsid w:val="000157E3"/>
    <w:rsid w:val="000171C3"/>
    <w:rsid w:val="0001796D"/>
    <w:rsid w:val="00017BF0"/>
    <w:rsid w:val="000205FB"/>
    <w:rsid w:val="0002333E"/>
    <w:rsid w:val="0002568B"/>
    <w:rsid w:val="00026C10"/>
    <w:rsid w:val="000277D7"/>
    <w:rsid w:val="00030E05"/>
    <w:rsid w:val="00032522"/>
    <w:rsid w:val="00033B97"/>
    <w:rsid w:val="00034C9D"/>
    <w:rsid w:val="00037BD0"/>
    <w:rsid w:val="00040902"/>
    <w:rsid w:val="00043FA7"/>
    <w:rsid w:val="0005269E"/>
    <w:rsid w:val="00053FA9"/>
    <w:rsid w:val="000552E8"/>
    <w:rsid w:val="00055666"/>
    <w:rsid w:val="00056101"/>
    <w:rsid w:val="00056585"/>
    <w:rsid w:val="0005674F"/>
    <w:rsid w:val="0006168E"/>
    <w:rsid w:val="00062321"/>
    <w:rsid w:val="00065C6E"/>
    <w:rsid w:val="00072E6E"/>
    <w:rsid w:val="00073F1B"/>
    <w:rsid w:val="00075B58"/>
    <w:rsid w:val="00081520"/>
    <w:rsid w:val="00082B98"/>
    <w:rsid w:val="00084F43"/>
    <w:rsid w:val="00085384"/>
    <w:rsid w:val="00086BAC"/>
    <w:rsid w:val="0009237B"/>
    <w:rsid w:val="00097071"/>
    <w:rsid w:val="000B11DD"/>
    <w:rsid w:val="000B1785"/>
    <w:rsid w:val="000C0837"/>
    <w:rsid w:val="000C390A"/>
    <w:rsid w:val="000C3DA5"/>
    <w:rsid w:val="000C77DD"/>
    <w:rsid w:val="000C7F15"/>
    <w:rsid w:val="000D0FC5"/>
    <w:rsid w:val="000D56ED"/>
    <w:rsid w:val="000D6444"/>
    <w:rsid w:val="000D6EE3"/>
    <w:rsid w:val="000D74DF"/>
    <w:rsid w:val="000E17C4"/>
    <w:rsid w:val="000E295B"/>
    <w:rsid w:val="000E4271"/>
    <w:rsid w:val="000E45A0"/>
    <w:rsid w:val="000E53F8"/>
    <w:rsid w:val="000E75F4"/>
    <w:rsid w:val="000F291B"/>
    <w:rsid w:val="000F3AB4"/>
    <w:rsid w:val="000F7652"/>
    <w:rsid w:val="00101B22"/>
    <w:rsid w:val="00101CD5"/>
    <w:rsid w:val="00102463"/>
    <w:rsid w:val="00103D33"/>
    <w:rsid w:val="00107460"/>
    <w:rsid w:val="00110406"/>
    <w:rsid w:val="001104D9"/>
    <w:rsid w:val="00112415"/>
    <w:rsid w:val="00112A6B"/>
    <w:rsid w:val="00116A16"/>
    <w:rsid w:val="0012066D"/>
    <w:rsid w:val="00123F52"/>
    <w:rsid w:val="0012693E"/>
    <w:rsid w:val="00130A0C"/>
    <w:rsid w:val="00132DE4"/>
    <w:rsid w:val="00136380"/>
    <w:rsid w:val="0013678D"/>
    <w:rsid w:val="001371EE"/>
    <w:rsid w:val="00137E2B"/>
    <w:rsid w:val="00140A34"/>
    <w:rsid w:val="00143E50"/>
    <w:rsid w:val="001440ED"/>
    <w:rsid w:val="00144104"/>
    <w:rsid w:val="0014658D"/>
    <w:rsid w:val="00146ED8"/>
    <w:rsid w:val="001522C3"/>
    <w:rsid w:val="00152C10"/>
    <w:rsid w:val="00161A29"/>
    <w:rsid w:val="00166BA6"/>
    <w:rsid w:val="00167202"/>
    <w:rsid w:val="00170D1D"/>
    <w:rsid w:val="00173BF7"/>
    <w:rsid w:val="00173E97"/>
    <w:rsid w:val="00174534"/>
    <w:rsid w:val="001757BD"/>
    <w:rsid w:val="001828A4"/>
    <w:rsid w:val="00190744"/>
    <w:rsid w:val="00193913"/>
    <w:rsid w:val="001960EB"/>
    <w:rsid w:val="001A30D4"/>
    <w:rsid w:val="001A3BE2"/>
    <w:rsid w:val="001A5125"/>
    <w:rsid w:val="001C35E7"/>
    <w:rsid w:val="001C40E7"/>
    <w:rsid w:val="001C4578"/>
    <w:rsid w:val="001D02E6"/>
    <w:rsid w:val="001D2CBD"/>
    <w:rsid w:val="001D5014"/>
    <w:rsid w:val="001E79CD"/>
    <w:rsid w:val="001F0184"/>
    <w:rsid w:val="001F28A6"/>
    <w:rsid w:val="001F2A16"/>
    <w:rsid w:val="001F33C9"/>
    <w:rsid w:val="001F5E28"/>
    <w:rsid w:val="001F6921"/>
    <w:rsid w:val="001F7C3E"/>
    <w:rsid w:val="002002A9"/>
    <w:rsid w:val="00201969"/>
    <w:rsid w:val="00206006"/>
    <w:rsid w:val="0021222C"/>
    <w:rsid w:val="00213FA5"/>
    <w:rsid w:val="0021496E"/>
    <w:rsid w:val="00220680"/>
    <w:rsid w:val="00222AFB"/>
    <w:rsid w:val="00226F99"/>
    <w:rsid w:val="0022785C"/>
    <w:rsid w:val="00232E48"/>
    <w:rsid w:val="002370E4"/>
    <w:rsid w:val="0023724E"/>
    <w:rsid w:val="0023733A"/>
    <w:rsid w:val="0024044F"/>
    <w:rsid w:val="00240CFB"/>
    <w:rsid w:val="002426E7"/>
    <w:rsid w:val="002434E9"/>
    <w:rsid w:val="00245D00"/>
    <w:rsid w:val="00246246"/>
    <w:rsid w:val="00250CDB"/>
    <w:rsid w:val="00253F2E"/>
    <w:rsid w:val="00257F2D"/>
    <w:rsid w:val="002628F6"/>
    <w:rsid w:val="00262F9F"/>
    <w:rsid w:val="00264CF0"/>
    <w:rsid w:val="0026635E"/>
    <w:rsid w:val="00266D2D"/>
    <w:rsid w:val="0027331F"/>
    <w:rsid w:val="00283838"/>
    <w:rsid w:val="00285E76"/>
    <w:rsid w:val="00293651"/>
    <w:rsid w:val="00294777"/>
    <w:rsid w:val="002949C3"/>
    <w:rsid w:val="00296ABB"/>
    <w:rsid w:val="002A10A4"/>
    <w:rsid w:val="002A26FE"/>
    <w:rsid w:val="002A2BCF"/>
    <w:rsid w:val="002A5D49"/>
    <w:rsid w:val="002A6EAC"/>
    <w:rsid w:val="002A7FCD"/>
    <w:rsid w:val="002B1423"/>
    <w:rsid w:val="002B19FA"/>
    <w:rsid w:val="002B22CA"/>
    <w:rsid w:val="002B2362"/>
    <w:rsid w:val="002B72CC"/>
    <w:rsid w:val="002C1368"/>
    <w:rsid w:val="002C5ED5"/>
    <w:rsid w:val="002C7ED8"/>
    <w:rsid w:val="002E05CA"/>
    <w:rsid w:val="002F1257"/>
    <w:rsid w:val="00302307"/>
    <w:rsid w:val="0030793F"/>
    <w:rsid w:val="00307DAE"/>
    <w:rsid w:val="00310A4A"/>
    <w:rsid w:val="00310B1B"/>
    <w:rsid w:val="00310C61"/>
    <w:rsid w:val="003127F9"/>
    <w:rsid w:val="0031447F"/>
    <w:rsid w:val="00315BA7"/>
    <w:rsid w:val="003171B3"/>
    <w:rsid w:val="0032559D"/>
    <w:rsid w:val="00326F06"/>
    <w:rsid w:val="003306C5"/>
    <w:rsid w:val="003312C2"/>
    <w:rsid w:val="00331616"/>
    <w:rsid w:val="00331791"/>
    <w:rsid w:val="003334E5"/>
    <w:rsid w:val="00333567"/>
    <w:rsid w:val="00335656"/>
    <w:rsid w:val="003363DF"/>
    <w:rsid w:val="0033748E"/>
    <w:rsid w:val="00341373"/>
    <w:rsid w:val="00341F53"/>
    <w:rsid w:val="00344575"/>
    <w:rsid w:val="0035113C"/>
    <w:rsid w:val="00354525"/>
    <w:rsid w:val="00363119"/>
    <w:rsid w:val="00374385"/>
    <w:rsid w:val="003755AB"/>
    <w:rsid w:val="00375FED"/>
    <w:rsid w:val="003804FA"/>
    <w:rsid w:val="00380CC4"/>
    <w:rsid w:val="00392BE1"/>
    <w:rsid w:val="0039345C"/>
    <w:rsid w:val="003A197F"/>
    <w:rsid w:val="003A3ADF"/>
    <w:rsid w:val="003B02DA"/>
    <w:rsid w:val="003B38E3"/>
    <w:rsid w:val="003C0686"/>
    <w:rsid w:val="003C36EC"/>
    <w:rsid w:val="003D08CF"/>
    <w:rsid w:val="003D0CBA"/>
    <w:rsid w:val="003D0F6A"/>
    <w:rsid w:val="003D1904"/>
    <w:rsid w:val="003D4A1C"/>
    <w:rsid w:val="003D4BA8"/>
    <w:rsid w:val="003D6A38"/>
    <w:rsid w:val="003E4551"/>
    <w:rsid w:val="003E5269"/>
    <w:rsid w:val="003E660A"/>
    <w:rsid w:val="003E7C40"/>
    <w:rsid w:val="003F5779"/>
    <w:rsid w:val="003F6122"/>
    <w:rsid w:val="0040128A"/>
    <w:rsid w:val="004033DC"/>
    <w:rsid w:val="00405394"/>
    <w:rsid w:val="00405745"/>
    <w:rsid w:val="004066E4"/>
    <w:rsid w:val="0040680B"/>
    <w:rsid w:val="00407361"/>
    <w:rsid w:val="004166E4"/>
    <w:rsid w:val="00417AC8"/>
    <w:rsid w:val="00417C55"/>
    <w:rsid w:val="004201E3"/>
    <w:rsid w:val="00424A7B"/>
    <w:rsid w:val="00425891"/>
    <w:rsid w:val="00425BDE"/>
    <w:rsid w:val="00426557"/>
    <w:rsid w:val="004369FF"/>
    <w:rsid w:val="00441CC0"/>
    <w:rsid w:val="00443770"/>
    <w:rsid w:val="004441F3"/>
    <w:rsid w:val="0044447B"/>
    <w:rsid w:val="004447C1"/>
    <w:rsid w:val="00446AA8"/>
    <w:rsid w:val="0045233E"/>
    <w:rsid w:val="00455687"/>
    <w:rsid w:val="0045590D"/>
    <w:rsid w:val="00460C0E"/>
    <w:rsid w:val="0046211F"/>
    <w:rsid w:val="00464BDA"/>
    <w:rsid w:val="0046787B"/>
    <w:rsid w:val="0047178C"/>
    <w:rsid w:val="00473558"/>
    <w:rsid w:val="004742DB"/>
    <w:rsid w:val="00475349"/>
    <w:rsid w:val="00475F82"/>
    <w:rsid w:val="00485C64"/>
    <w:rsid w:val="00486653"/>
    <w:rsid w:val="0049214D"/>
    <w:rsid w:val="00493CA7"/>
    <w:rsid w:val="004964DA"/>
    <w:rsid w:val="004A3C58"/>
    <w:rsid w:val="004A3C75"/>
    <w:rsid w:val="004A5FDA"/>
    <w:rsid w:val="004A7C36"/>
    <w:rsid w:val="004B74F6"/>
    <w:rsid w:val="004B7A1B"/>
    <w:rsid w:val="004C6084"/>
    <w:rsid w:val="004C663F"/>
    <w:rsid w:val="004D098C"/>
    <w:rsid w:val="004D24A9"/>
    <w:rsid w:val="004D3C5A"/>
    <w:rsid w:val="004D41FE"/>
    <w:rsid w:val="004E1FB3"/>
    <w:rsid w:val="004E37BD"/>
    <w:rsid w:val="004E5357"/>
    <w:rsid w:val="004E6258"/>
    <w:rsid w:val="004E65F1"/>
    <w:rsid w:val="004E703C"/>
    <w:rsid w:val="004F34DF"/>
    <w:rsid w:val="004F4A07"/>
    <w:rsid w:val="004F5EB1"/>
    <w:rsid w:val="004F6887"/>
    <w:rsid w:val="005030AD"/>
    <w:rsid w:val="00506968"/>
    <w:rsid w:val="005074D8"/>
    <w:rsid w:val="00507921"/>
    <w:rsid w:val="0051123C"/>
    <w:rsid w:val="0051249C"/>
    <w:rsid w:val="005150D9"/>
    <w:rsid w:val="0051560F"/>
    <w:rsid w:val="005176E7"/>
    <w:rsid w:val="00520330"/>
    <w:rsid w:val="0052084C"/>
    <w:rsid w:val="0052196D"/>
    <w:rsid w:val="00524B6B"/>
    <w:rsid w:val="00526403"/>
    <w:rsid w:val="00526C58"/>
    <w:rsid w:val="0053196A"/>
    <w:rsid w:val="00531B73"/>
    <w:rsid w:val="00537B88"/>
    <w:rsid w:val="005413EE"/>
    <w:rsid w:val="00541683"/>
    <w:rsid w:val="005426E0"/>
    <w:rsid w:val="00555542"/>
    <w:rsid w:val="005560E5"/>
    <w:rsid w:val="005563B3"/>
    <w:rsid w:val="00560753"/>
    <w:rsid w:val="00561184"/>
    <w:rsid w:val="00561BC7"/>
    <w:rsid w:val="00561ED1"/>
    <w:rsid w:val="00570E98"/>
    <w:rsid w:val="00572B59"/>
    <w:rsid w:val="005767F8"/>
    <w:rsid w:val="00577FC3"/>
    <w:rsid w:val="005830E4"/>
    <w:rsid w:val="005863FA"/>
    <w:rsid w:val="00587443"/>
    <w:rsid w:val="00587C50"/>
    <w:rsid w:val="005917F3"/>
    <w:rsid w:val="00591915"/>
    <w:rsid w:val="0059513F"/>
    <w:rsid w:val="005951B3"/>
    <w:rsid w:val="005A6CFE"/>
    <w:rsid w:val="005B07D2"/>
    <w:rsid w:val="005B0ACD"/>
    <w:rsid w:val="005B2DE4"/>
    <w:rsid w:val="005B44D7"/>
    <w:rsid w:val="005B50A2"/>
    <w:rsid w:val="005B6CDF"/>
    <w:rsid w:val="005B754B"/>
    <w:rsid w:val="005B789C"/>
    <w:rsid w:val="005C3408"/>
    <w:rsid w:val="005D4DFA"/>
    <w:rsid w:val="005D611B"/>
    <w:rsid w:val="005E10CF"/>
    <w:rsid w:val="005F1ACE"/>
    <w:rsid w:val="005F256D"/>
    <w:rsid w:val="005F3760"/>
    <w:rsid w:val="005F64B9"/>
    <w:rsid w:val="005F67D1"/>
    <w:rsid w:val="00600AC2"/>
    <w:rsid w:val="0060183A"/>
    <w:rsid w:val="00601BEB"/>
    <w:rsid w:val="00603110"/>
    <w:rsid w:val="006100A4"/>
    <w:rsid w:val="00611C8E"/>
    <w:rsid w:val="00613B92"/>
    <w:rsid w:val="006153F9"/>
    <w:rsid w:val="0062135D"/>
    <w:rsid w:val="00626944"/>
    <w:rsid w:val="00627E39"/>
    <w:rsid w:val="006302F7"/>
    <w:rsid w:val="00630929"/>
    <w:rsid w:val="00631F30"/>
    <w:rsid w:val="00633180"/>
    <w:rsid w:val="00640CC2"/>
    <w:rsid w:val="00642420"/>
    <w:rsid w:val="00645FEF"/>
    <w:rsid w:val="00646158"/>
    <w:rsid w:val="006513F4"/>
    <w:rsid w:val="00652F59"/>
    <w:rsid w:val="00665D36"/>
    <w:rsid w:val="00665E40"/>
    <w:rsid w:val="0066622C"/>
    <w:rsid w:val="00666487"/>
    <w:rsid w:val="006667F1"/>
    <w:rsid w:val="00673325"/>
    <w:rsid w:val="00673B37"/>
    <w:rsid w:val="00683E6F"/>
    <w:rsid w:val="00683F76"/>
    <w:rsid w:val="00684351"/>
    <w:rsid w:val="00687645"/>
    <w:rsid w:val="00687BFD"/>
    <w:rsid w:val="00690C33"/>
    <w:rsid w:val="00691EC1"/>
    <w:rsid w:val="00692284"/>
    <w:rsid w:val="00693569"/>
    <w:rsid w:val="006945EA"/>
    <w:rsid w:val="0069489E"/>
    <w:rsid w:val="00697AE0"/>
    <w:rsid w:val="006B3B2A"/>
    <w:rsid w:val="006B5470"/>
    <w:rsid w:val="006C112A"/>
    <w:rsid w:val="006D0138"/>
    <w:rsid w:val="006D4AA1"/>
    <w:rsid w:val="006D6F52"/>
    <w:rsid w:val="006F4253"/>
    <w:rsid w:val="006F46EE"/>
    <w:rsid w:val="00701718"/>
    <w:rsid w:val="00701B15"/>
    <w:rsid w:val="0070467E"/>
    <w:rsid w:val="00710359"/>
    <w:rsid w:val="00712FFF"/>
    <w:rsid w:val="00716F45"/>
    <w:rsid w:val="00721052"/>
    <w:rsid w:val="00722D05"/>
    <w:rsid w:val="00722DBF"/>
    <w:rsid w:val="00735157"/>
    <w:rsid w:val="007368E0"/>
    <w:rsid w:val="0074158A"/>
    <w:rsid w:val="00743353"/>
    <w:rsid w:val="00743864"/>
    <w:rsid w:val="00744879"/>
    <w:rsid w:val="0074575F"/>
    <w:rsid w:val="00751863"/>
    <w:rsid w:val="007540B0"/>
    <w:rsid w:val="007551AC"/>
    <w:rsid w:val="00757255"/>
    <w:rsid w:val="00757B0D"/>
    <w:rsid w:val="00761DFD"/>
    <w:rsid w:val="0076271C"/>
    <w:rsid w:val="00766417"/>
    <w:rsid w:val="00767764"/>
    <w:rsid w:val="00767CE8"/>
    <w:rsid w:val="00774B12"/>
    <w:rsid w:val="00775490"/>
    <w:rsid w:val="00781678"/>
    <w:rsid w:val="0078284B"/>
    <w:rsid w:val="007861B3"/>
    <w:rsid w:val="00791EAA"/>
    <w:rsid w:val="00795D0C"/>
    <w:rsid w:val="0079643F"/>
    <w:rsid w:val="00797009"/>
    <w:rsid w:val="00797793"/>
    <w:rsid w:val="00797F42"/>
    <w:rsid w:val="007A09CC"/>
    <w:rsid w:val="007A4C96"/>
    <w:rsid w:val="007A55BA"/>
    <w:rsid w:val="007B357B"/>
    <w:rsid w:val="007B46D8"/>
    <w:rsid w:val="007B4960"/>
    <w:rsid w:val="007B49D1"/>
    <w:rsid w:val="007B6A49"/>
    <w:rsid w:val="007B6B69"/>
    <w:rsid w:val="007C1FBD"/>
    <w:rsid w:val="007C54B3"/>
    <w:rsid w:val="007C5C8E"/>
    <w:rsid w:val="007C6E3F"/>
    <w:rsid w:val="007C6F6E"/>
    <w:rsid w:val="007D3461"/>
    <w:rsid w:val="007D5DCF"/>
    <w:rsid w:val="007D6CBB"/>
    <w:rsid w:val="007D7BD2"/>
    <w:rsid w:val="007E0A01"/>
    <w:rsid w:val="007E22F5"/>
    <w:rsid w:val="007E286F"/>
    <w:rsid w:val="007E3803"/>
    <w:rsid w:val="007E5094"/>
    <w:rsid w:val="007F23EC"/>
    <w:rsid w:val="007F25F3"/>
    <w:rsid w:val="007F366B"/>
    <w:rsid w:val="007F4837"/>
    <w:rsid w:val="007F4901"/>
    <w:rsid w:val="007F68B7"/>
    <w:rsid w:val="007F7C39"/>
    <w:rsid w:val="00800E0A"/>
    <w:rsid w:val="0080675C"/>
    <w:rsid w:val="008109D8"/>
    <w:rsid w:val="00811518"/>
    <w:rsid w:val="00814A49"/>
    <w:rsid w:val="00816473"/>
    <w:rsid w:val="008249FD"/>
    <w:rsid w:val="008250A6"/>
    <w:rsid w:val="00826DEB"/>
    <w:rsid w:val="00831BE8"/>
    <w:rsid w:val="00832A78"/>
    <w:rsid w:val="0083337F"/>
    <w:rsid w:val="00834C5B"/>
    <w:rsid w:val="00836B02"/>
    <w:rsid w:val="008420F0"/>
    <w:rsid w:val="00843286"/>
    <w:rsid w:val="008467D4"/>
    <w:rsid w:val="0084740D"/>
    <w:rsid w:val="00847C9B"/>
    <w:rsid w:val="00850FB0"/>
    <w:rsid w:val="0085238E"/>
    <w:rsid w:val="00853428"/>
    <w:rsid w:val="008540EA"/>
    <w:rsid w:val="00856870"/>
    <w:rsid w:val="00862731"/>
    <w:rsid w:val="0086354A"/>
    <w:rsid w:val="00866A00"/>
    <w:rsid w:val="008702A6"/>
    <w:rsid w:val="008757CE"/>
    <w:rsid w:val="00875B39"/>
    <w:rsid w:val="008801A1"/>
    <w:rsid w:val="00881852"/>
    <w:rsid w:val="0088392C"/>
    <w:rsid w:val="00883B45"/>
    <w:rsid w:val="008846B5"/>
    <w:rsid w:val="0088506B"/>
    <w:rsid w:val="00886638"/>
    <w:rsid w:val="00890741"/>
    <w:rsid w:val="008945D0"/>
    <w:rsid w:val="00896649"/>
    <w:rsid w:val="00897C0E"/>
    <w:rsid w:val="00897E31"/>
    <w:rsid w:val="008A0218"/>
    <w:rsid w:val="008A046F"/>
    <w:rsid w:val="008A405A"/>
    <w:rsid w:val="008A6A6A"/>
    <w:rsid w:val="008B3CB9"/>
    <w:rsid w:val="008B650A"/>
    <w:rsid w:val="008B695F"/>
    <w:rsid w:val="008B787C"/>
    <w:rsid w:val="008C3045"/>
    <w:rsid w:val="008C3898"/>
    <w:rsid w:val="008C5411"/>
    <w:rsid w:val="008C6090"/>
    <w:rsid w:val="008C6382"/>
    <w:rsid w:val="008C66CC"/>
    <w:rsid w:val="008C7F33"/>
    <w:rsid w:val="008D2A0C"/>
    <w:rsid w:val="008D3566"/>
    <w:rsid w:val="008D767E"/>
    <w:rsid w:val="008D7A1C"/>
    <w:rsid w:val="008E4835"/>
    <w:rsid w:val="008E6766"/>
    <w:rsid w:val="008E6FB3"/>
    <w:rsid w:val="008E779A"/>
    <w:rsid w:val="008F1B2B"/>
    <w:rsid w:val="008F36BA"/>
    <w:rsid w:val="008F483C"/>
    <w:rsid w:val="008F4CF2"/>
    <w:rsid w:val="00903C98"/>
    <w:rsid w:val="0090717D"/>
    <w:rsid w:val="00910595"/>
    <w:rsid w:val="00910756"/>
    <w:rsid w:val="00912D61"/>
    <w:rsid w:val="00914FE0"/>
    <w:rsid w:val="009156FF"/>
    <w:rsid w:val="00916F7E"/>
    <w:rsid w:val="009322D7"/>
    <w:rsid w:val="00932896"/>
    <w:rsid w:val="00932BDE"/>
    <w:rsid w:val="00934905"/>
    <w:rsid w:val="00936A72"/>
    <w:rsid w:val="00936BAC"/>
    <w:rsid w:val="009371D0"/>
    <w:rsid w:val="00940C61"/>
    <w:rsid w:val="009422DF"/>
    <w:rsid w:val="0094299C"/>
    <w:rsid w:val="00947593"/>
    <w:rsid w:val="009521EA"/>
    <w:rsid w:val="009525FB"/>
    <w:rsid w:val="009526DB"/>
    <w:rsid w:val="00953B60"/>
    <w:rsid w:val="009546B2"/>
    <w:rsid w:val="00957D2C"/>
    <w:rsid w:val="0096020B"/>
    <w:rsid w:val="00960E98"/>
    <w:rsid w:val="00960FB7"/>
    <w:rsid w:val="00967725"/>
    <w:rsid w:val="00971605"/>
    <w:rsid w:val="0097462F"/>
    <w:rsid w:val="009749E2"/>
    <w:rsid w:val="009764BE"/>
    <w:rsid w:val="00976A07"/>
    <w:rsid w:val="0097765F"/>
    <w:rsid w:val="0098195F"/>
    <w:rsid w:val="009902F8"/>
    <w:rsid w:val="00990E4C"/>
    <w:rsid w:val="009919F4"/>
    <w:rsid w:val="00993BB8"/>
    <w:rsid w:val="0099555F"/>
    <w:rsid w:val="009A1203"/>
    <w:rsid w:val="009A22A1"/>
    <w:rsid w:val="009A4137"/>
    <w:rsid w:val="009A69AB"/>
    <w:rsid w:val="009A78FB"/>
    <w:rsid w:val="009B2FB4"/>
    <w:rsid w:val="009B307B"/>
    <w:rsid w:val="009B3A1B"/>
    <w:rsid w:val="009B4DDE"/>
    <w:rsid w:val="009B6332"/>
    <w:rsid w:val="009C05FD"/>
    <w:rsid w:val="009C0912"/>
    <w:rsid w:val="009C107B"/>
    <w:rsid w:val="009C1193"/>
    <w:rsid w:val="009C1996"/>
    <w:rsid w:val="009C1BF7"/>
    <w:rsid w:val="009C4E91"/>
    <w:rsid w:val="009C5E9F"/>
    <w:rsid w:val="009C7443"/>
    <w:rsid w:val="009D0121"/>
    <w:rsid w:val="009D1021"/>
    <w:rsid w:val="009D3312"/>
    <w:rsid w:val="009D6694"/>
    <w:rsid w:val="009D7842"/>
    <w:rsid w:val="009E0E3F"/>
    <w:rsid w:val="009E101B"/>
    <w:rsid w:val="009E5BDB"/>
    <w:rsid w:val="009E60C5"/>
    <w:rsid w:val="009F0300"/>
    <w:rsid w:val="009F1D4A"/>
    <w:rsid w:val="009F45D5"/>
    <w:rsid w:val="009F6992"/>
    <w:rsid w:val="00A02439"/>
    <w:rsid w:val="00A03269"/>
    <w:rsid w:val="00A047A0"/>
    <w:rsid w:val="00A1323C"/>
    <w:rsid w:val="00A1597D"/>
    <w:rsid w:val="00A167A8"/>
    <w:rsid w:val="00A20A16"/>
    <w:rsid w:val="00A21F0A"/>
    <w:rsid w:val="00A242F4"/>
    <w:rsid w:val="00A26011"/>
    <w:rsid w:val="00A30EFF"/>
    <w:rsid w:val="00A36362"/>
    <w:rsid w:val="00A37F71"/>
    <w:rsid w:val="00A444E5"/>
    <w:rsid w:val="00A506C2"/>
    <w:rsid w:val="00A52A01"/>
    <w:rsid w:val="00A548CD"/>
    <w:rsid w:val="00A54BB0"/>
    <w:rsid w:val="00A607C7"/>
    <w:rsid w:val="00A62886"/>
    <w:rsid w:val="00A62EE2"/>
    <w:rsid w:val="00A74C38"/>
    <w:rsid w:val="00A77D24"/>
    <w:rsid w:val="00A81834"/>
    <w:rsid w:val="00A8572F"/>
    <w:rsid w:val="00A86EAF"/>
    <w:rsid w:val="00A93E07"/>
    <w:rsid w:val="00A979CF"/>
    <w:rsid w:val="00AA279C"/>
    <w:rsid w:val="00AA3B18"/>
    <w:rsid w:val="00AA4DF8"/>
    <w:rsid w:val="00AB188E"/>
    <w:rsid w:val="00AB1FAC"/>
    <w:rsid w:val="00AB5568"/>
    <w:rsid w:val="00AB6E9C"/>
    <w:rsid w:val="00AB780C"/>
    <w:rsid w:val="00AC1594"/>
    <w:rsid w:val="00AC2448"/>
    <w:rsid w:val="00AC56C8"/>
    <w:rsid w:val="00AC7B3D"/>
    <w:rsid w:val="00AD0B0B"/>
    <w:rsid w:val="00AD385D"/>
    <w:rsid w:val="00AD5ADE"/>
    <w:rsid w:val="00AE06B3"/>
    <w:rsid w:val="00AE7138"/>
    <w:rsid w:val="00AF4CAF"/>
    <w:rsid w:val="00B05E7F"/>
    <w:rsid w:val="00B117BA"/>
    <w:rsid w:val="00B1263A"/>
    <w:rsid w:val="00B15164"/>
    <w:rsid w:val="00B15F23"/>
    <w:rsid w:val="00B16278"/>
    <w:rsid w:val="00B16390"/>
    <w:rsid w:val="00B16508"/>
    <w:rsid w:val="00B16724"/>
    <w:rsid w:val="00B20D87"/>
    <w:rsid w:val="00B223CE"/>
    <w:rsid w:val="00B23045"/>
    <w:rsid w:val="00B24053"/>
    <w:rsid w:val="00B25A7E"/>
    <w:rsid w:val="00B31550"/>
    <w:rsid w:val="00B32230"/>
    <w:rsid w:val="00B32358"/>
    <w:rsid w:val="00B34D1C"/>
    <w:rsid w:val="00B35E1C"/>
    <w:rsid w:val="00B40097"/>
    <w:rsid w:val="00B40F33"/>
    <w:rsid w:val="00B43E9E"/>
    <w:rsid w:val="00B45D1B"/>
    <w:rsid w:val="00B52964"/>
    <w:rsid w:val="00B566C4"/>
    <w:rsid w:val="00B57830"/>
    <w:rsid w:val="00B578AC"/>
    <w:rsid w:val="00B62F06"/>
    <w:rsid w:val="00B63D20"/>
    <w:rsid w:val="00B6433F"/>
    <w:rsid w:val="00B64CF5"/>
    <w:rsid w:val="00B6696D"/>
    <w:rsid w:val="00B76A24"/>
    <w:rsid w:val="00B76C9B"/>
    <w:rsid w:val="00B776DC"/>
    <w:rsid w:val="00B823A1"/>
    <w:rsid w:val="00B8428B"/>
    <w:rsid w:val="00B9022B"/>
    <w:rsid w:val="00B90AA3"/>
    <w:rsid w:val="00B9605E"/>
    <w:rsid w:val="00B966E0"/>
    <w:rsid w:val="00B96710"/>
    <w:rsid w:val="00B97568"/>
    <w:rsid w:val="00BA0CD3"/>
    <w:rsid w:val="00BA363A"/>
    <w:rsid w:val="00BA3C35"/>
    <w:rsid w:val="00BA41F5"/>
    <w:rsid w:val="00BA5DD9"/>
    <w:rsid w:val="00BA6AAD"/>
    <w:rsid w:val="00BB2F3A"/>
    <w:rsid w:val="00BB3C9C"/>
    <w:rsid w:val="00BC34B5"/>
    <w:rsid w:val="00BC3F2F"/>
    <w:rsid w:val="00BC76E3"/>
    <w:rsid w:val="00BD0788"/>
    <w:rsid w:val="00BD0CBE"/>
    <w:rsid w:val="00BD255F"/>
    <w:rsid w:val="00BD5837"/>
    <w:rsid w:val="00BE5ED5"/>
    <w:rsid w:val="00BE7B66"/>
    <w:rsid w:val="00BF3BBB"/>
    <w:rsid w:val="00BF4822"/>
    <w:rsid w:val="00BF605C"/>
    <w:rsid w:val="00BF611D"/>
    <w:rsid w:val="00BF6535"/>
    <w:rsid w:val="00C00367"/>
    <w:rsid w:val="00C01D22"/>
    <w:rsid w:val="00C048DC"/>
    <w:rsid w:val="00C05A6F"/>
    <w:rsid w:val="00C104B6"/>
    <w:rsid w:val="00C10F02"/>
    <w:rsid w:val="00C114F4"/>
    <w:rsid w:val="00C11D03"/>
    <w:rsid w:val="00C12D26"/>
    <w:rsid w:val="00C15762"/>
    <w:rsid w:val="00C23358"/>
    <w:rsid w:val="00C2506B"/>
    <w:rsid w:val="00C26AB8"/>
    <w:rsid w:val="00C31967"/>
    <w:rsid w:val="00C33EDB"/>
    <w:rsid w:val="00C34C96"/>
    <w:rsid w:val="00C3574F"/>
    <w:rsid w:val="00C371DE"/>
    <w:rsid w:val="00C409AE"/>
    <w:rsid w:val="00C4143E"/>
    <w:rsid w:val="00C41C1E"/>
    <w:rsid w:val="00C42D50"/>
    <w:rsid w:val="00C43DFF"/>
    <w:rsid w:val="00C44CF3"/>
    <w:rsid w:val="00C45678"/>
    <w:rsid w:val="00C45B0F"/>
    <w:rsid w:val="00C54DF8"/>
    <w:rsid w:val="00C5622E"/>
    <w:rsid w:val="00C566E7"/>
    <w:rsid w:val="00C574B1"/>
    <w:rsid w:val="00C60848"/>
    <w:rsid w:val="00C60B49"/>
    <w:rsid w:val="00C649AA"/>
    <w:rsid w:val="00C66E91"/>
    <w:rsid w:val="00C67303"/>
    <w:rsid w:val="00C674AB"/>
    <w:rsid w:val="00C7440A"/>
    <w:rsid w:val="00C77077"/>
    <w:rsid w:val="00C807A6"/>
    <w:rsid w:val="00C807D4"/>
    <w:rsid w:val="00C80CAE"/>
    <w:rsid w:val="00C825F0"/>
    <w:rsid w:val="00C82FA9"/>
    <w:rsid w:val="00C83962"/>
    <w:rsid w:val="00C84ABF"/>
    <w:rsid w:val="00C865ED"/>
    <w:rsid w:val="00C872E5"/>
    <w:rsid w:val="00C8775A"/>
    <w:rsid w:val="00C909CF"/>
    <w:rsid w:val="00C93429"/>
    <w:rsid w:val="00CA0877"/>
    <w:rsid w:val="00CA1170"/>
    <w:rsid w:val="00CA1B48"/>
    <w:rsid w:val="00CA6B59"/>
    <w:rsid w:val="00CB134C"/>
    <w:rsid w:val="00CB2210"/>
    <w:rsid w:val="00CB3B6C"/>
    <w:rsid w:val="00CB75F1"/>
    <w:rsid w:val="00CC0C44"/>
    <w:rsid w:val="00CC1738"/>
    <w:rsid w:val="00CC1833"/>
    <w:rsid w:val="00CC189F"/>
    <w:rsid w:val="00CC3368"/>
    <w:rsid w:val="00CC3501"/>
    <w:rsid w:val="00CC623E"/>
    <w:rsid w:val="00CC69E8"/>
    <w:rsid w:val="00CC756A"/>
    <w:rsid w:val="00CD7330"/>
    <w:rsid w:val="00CE1599"/>
    <w:rsid w:val="00CE3781"/>
    <w:rsid w:val="00CE4B4A"/>
    <w:rsid w:val="00CF19C4"/>
    <w:rsid w:val="00CF2B0A"/>
    <w:rsid w:val="00CF6452"/>
    <w:rsid w:val="00D03943"/>
    <w:rsid w:val="00D043E6"/>
    <w:rsid w:val="00D049FC"/>
    <w:rsid w:val="00D12296"/>
    <w:rsid w:val="00D13C04"/>
    <w:rsid w:val="00D13C1E"/>
    <w:rsid w:val="00D169C7"/>
    <w:rsid w:val="00D1768C"/>
    <w:rsid w:val="00D20A78"/>
    <w:rsid w:val="00D2206F"/>
    <w:rsid w:val="00D24D40"/>
    <w:rsid w:val="00D25BB3"/>
    <w:rsid w:val="00D275B4"/>
    <w:rsid w:val="00D278BA"/>
    <w:rsid w:val="00D36528"/>
    <w:rsid w:val="00D40454"/>
    <w:rsid w:val="00D4059C"/>
    <w:rsid w:val="00D41BBD"/>
    <w:rsid w:val="00D44986"/>
    <w:rsid w:val="00D449CA"/>
    <w:rsid w:val="00D44B6A"/>
    <w:rsid w:val="00D44F8E"/>
    <w:rsid w:val="00D45108"/>
    <w:rsid w:val="00D50A41"/>
    <w:rsid w:val="00D53D8F"/>
    <w:rsid w:val="00D551DA"/>
    <w:rsid w:val="00D61C76"/>
    <w:rsid w:val="00D77015"/>
    <w:rsid w:val="00D811A3"/>
    <w:rsid w:val="00D849D3"/>
    <w:rsid w:val="00D85629"/>
    <w:rsid w:val="00D85DF9"/>
    <w:rsid w:val="00D86ACB"/>
    <w:rsid w:val="00D87550"/>
    <w:rsid w:val="00D878CD"/>
    <w:rsid w:val="00D87E5E"/>
    <w:rsid w:val="00D91F28"/>
    <w:rsid w:val="00D92B48"/>
    <w:rsid w:val="00D9535F"/>
    <w:rsid w:val="00D95AEB"/>
    <w:rsid w:val="00DA1155"/>
    <w:rsid w:val="00DA3231"/>
    <w:rsid w:val="00DB1693"/>
    <w:rsid w:val="00DB3869"/>
    <w:rsid w:val="00DC0130"/>
    <w:rsid w:val="00DC205D"/>
    <w:rsid w:val="00DC3A21"/>
    <w:rsid w:val="00DD5B07"/>
    <w:rsid w:val="00DD6D7E"/>
    <w:rsid w:val="00DE22E6"/>
    <w:rsid w:val="00DE3AB6"/>
    <w:rsid w:val="00DE6821"/>
    <w:rsid w:val="00DE77E2"/>
    <w:rsid w:val="00DF2022"/>
    <w:rsid w:val="00DF29FD"/>
    <w:rsid w:val="00DF34BE"/>
    <w:rsid w:val="00DF4AE0"/>
    <w:rsid w:val="00DF5D59"/>
    <w:rsid w:val="00DF7E2E"/>
    <w:rsid w:val="00E01720"/>
    <w:rsid w:val="00E01C99"/>
    <w:rsid w:val="00E053E8"/>
    <w:rsid w:val="00E076EA"/>
    <w:rsid w:val="00E10776"/>
    <w:rsid w:val="00E10B37"/>
    <w:rsid w:val="00E114BB"/>
    <w:rsid w:val="00E11AD5"/>
    <w:rsid w:val="00E12094"/>
    <w:rsid w:val="00E1337A"/>
    <w:rsid w:val="00E207F9"/>
    <w:rsid w:val="00E2264F"/>
    <w:rsid w:val="00E23606"/>
    <w:rsid w:val="00E239E4"/>
    <w:rsid w:val="00E354F6"/>
    <w:rsid w:val="00E36A38"/>
    <w:rsid w:val="00E45467"/>
    <w:rsid w:val="00E47525"/>
    <w:rsid w:val="00E5091F"/>
    <w:rsid w:val="00E50BFC"/>
    <w:rsid w:val="00E53399"/>
    <w:rsid w:val="00E53A44"/>
    <w:rsid w:val="00E55320"/>
    <w:rsid w:val="00E62394"/>
    <w:rsid w:val="00E625B5"/>
    <w:rsid w:val="00E62766"/>
    <w:rsid w:val="00E62A00"/>
    <w:rsid w:val="00E6480F"/>
    <w:rsid w:val="00E74F0E"/>
    <w:rsid w:val="00E7565C"/>
    <w:rsid w:val="00E75BE3"/>
    <w:rsid w:val="00E75FCD"/>
    <w:rsid w:val="00E77995"/>
    <w:rsid w:val="00E81597"/>
    <w:rsid w:val="00E83FDC"/>
    <w:rsid w:val="00E8706F"/>
    <w:rsid w:val="00E87099"/>
    <w:rsid w:val="00E8793A"/>
    <w:rsid w:val="00E94ABD"/>
    <w:rsid w:val="00EA05EF"/>
    <w:rsid w:val="00EA28E6"/>
    <w:rsid w:val="00EA5774"/>
    <w:rsid w:val="00EA7E9D"/>
    <w:rsid w:val="00EB09FF"/>
    <w:rsid w:val="00EB262F"/>
    <w:rsid w:val="00EB2762"/>
    <w:rsid w:val="00EB34AF"/>
    <w:rsid w:val="00EB3B67"/>
    <w:rsid w:val="00EC782B"/>
    <w:rsid w:val="00ED3AD3"/>
    <w:rsid w:val="00ED3EB6"/>
    <w:rsid w:val="00EE3CAA"/>
    <w:rsid w:val="00EE50B3"/>
    <w:rsid w:val="00EF456E"/>
    <w:rsid w:val="00EF78C4"/>
    <w:rsid w:val="00F04CD7"/>
    <w:rsid w:val="00F13967"/>
    <w:rsid w:val="00F20793"/>
    <w:rsid w:val="00F20AF7"/>
    <w:rsid w:val="00F21819"/>
    <w:rsid w:val="00F23E15"/>
    <w:rsid w:val="00F23E5C"/>
    <w:rsid w:val="00F244A2"/>
    <w:rsid w:val="00F32DB9"/>
    <w:rsid w:val="00F332DA"/>
    <w:rsid w:val="00F35064"/>
    <w:rsid w:val="00F3712C"/>
    <w:rsid w:val="00F374D8"/>
    <w:rsid w:val="00F375BE"/>
    <w:rsid w:val="00F52883"/>
    <w:rsid w:val="00F53458"/>
    <w:rsid w:val="00F539FB"/>
    <w:rsid w:val="00F53AE5"/>
    <w:rsid w:val="00F5684D"/>
    <w:rsid w:val="00F57AB6"/>
    <w:rsid w:val="00F6480F"/>
    <w:rsid w:val="00F64868"/>
    <w:rsid w:val="00F668F8"/>
    <w:rsid w:val="00F70C2E"/>
    <w:rsid w:val="00F7742A"/>
    <w:rsid w:val="00F8139C"/>
    <w:rsid w:val="00F817E1"/>
    <w:rsid w:val="00F84DF2"/>
    <w:rsid w:val="00F85FE8"/>
    <w:rsid w:val="00F865CB"/>
    <w:rsid w:val="00F86713"/>
    <w:rsid w:val="00F932E0"/>
    <w:rsid w:val="00F943F9"/>
    <w:rsid w:val="00F95A4D"/>
    <w:rsid w:val="00FA15A2"/>
    <w:rsid w:val="00FA391F"/>
    <w:rsid w:val="00FA491D"/>
    <w:rsid w:val="00FB7701"/>
    <w:rsid w:val="00FC40F0"/>
    <w:rsid w:val="00FC587E"/>
    <w:rsid w:val="00FC6D3B"/>
    <w:rsid w:val="00FD0129"/>
    <w:rsid w:val="00FD23C2"/>
    <w:rsid w:val="00FD442D"/>
    <w:rsid w:val="00FD7D74"/>
    <w:rsid w:val="00FE17ED"/>
    <w:rsid w:val="00FF0AF6"/>
    <w:rsid w:val="00FF0EB8"/>
    <w:rsid w:val="00FF3579"/>
    <w:rsid w:val="00FF4315"/>
    <w:rsid w:val="00FF783B"/>
    <w:rsid w:val="00FF7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9FA"/>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semiHidden/>
    <w:qFormat/>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uiPriority w:val="99"/>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uiPriority w:val="99"/>
    <w:semiHidden/>
    <w:rsid w:val="0047178C"/>
  </w:style>
  <w:style w:type="paragraph" w:styleId="Revision">
    <w:name w:val="Revision"/>
    <w:hidden/>
    <w:uiPriority w:val="99"/>
    <w:semiHidden/>
    <w:rsid w:val="00CC623E"/>
    <w:rPr>
      <w:sz w:val="24"/>
    </w:rPr>
  </w:style>
  <w:style w:type="character" w:styleId="Emphasis">
    <w:name w:val="Emphasis"/>
    <w:basedOn w:val="DefaultParagraphFont"/>
    <w:uiPriority w:val="20"/>
    <w:qFormat/>
    <w:rsid w:val="00392BE1"/>
    <w:rPr>
      <w:i/>
      <w:iCs/>
    </w:rPr>
  </w:style>
  <w:style w:type="character" w:customStyle="1" w:styleId="UnresolvedMention1">
    <w:name w:val="Unresolved Mention1"/>
    <w:basedOn w:val="DefaultParagraphFont"/>
    <w:uiPriority w:val="99"/>
    <w:semiHidden/>
    <w:unhideWhenUsed/>
    <w:rsid w:val="00960E98"/>
    <w:rPr>
      <w:color w:val="605E5C"/>
      <w:shd w:val="clear" w:color="auto" w:fill="E1DFDD"/>
    </w:rPr>
  </w:style>
  <w:style w:type="character" w:styleId="UnresolvedMention">
    <w:name w:val="Unresolved Mention"/>
    <w:basedOn w:val="DefaultParagraphFont"/>
    <w:uiPriority w:val="99"/>
    <w:semiHidden/>
    <w:unhideWhenUsed/>
    <w:rsid w:val="00E6480F"/>
    <w:rPr>
      <w:color w:val="605E5C"/>
      <w:shd w:val="clear" w:color="auto" w:fill="E1DFDD"/>
    </w:rPr>
  </w:style>
  <w:style w:type="paragraph" w:customStyle="1" w:styleId="indentlevel0">
    <w:name w:val="indentlevel0"/>
    <w:basedOn w:val="Normal"/>
    <w:rsid w:val="00862731"/>
    <w:pPr>
      <w:spacing w:before="100" w:beforeAutospacing="1" w:after="100" w:afterAutospacing="1"/>
    </w:pPr>
    <w:rPr>
      <w:szCs w:val="24"/>
    </w:rPr>
  </w:style>
  <w:style w:type="character" w:styleId="FollowedHyperlink">
    <w:name w:val="FollowedHyperlink"/>
    <w:basedOn w:val="DefaultParagraphFont"/>
    <w:semiHidden/>
    <w:unhideWhenUsed/>
    <w:rsid w:val="000E75F4"/>
    <w:rPr>
      <w:color w:val="800080" w:themeColor="followedHyperlink"/>
      <w:u w:val="single"/>
    </w:rPr>
  </w:style>
  <w:style w:type="character" w:customStyle="1" w:styleId="ms-rtethemeforecolor-2-2">
    <w:name w:val="ms-rtethemeforecolor-2-2"/>
    <w:basedOn w:val="DefaultParagraphFont"/>
    <w:rsid w:val="00BF6535"/>
  </w:style>
  <w:style w:type="character" w:styleId="Strong">
    <w:name w:val="Strong"/>
    <w:basedOn w:val="DefaultParagraphFont"/>
    <w:uiPriority w:val="22"/>
    <w:qFormat/>
    <w:rsid w:val="00D16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6273">
      <w:bodyDiv w:val="1"/>
      <w:marLeft w:val="0"/>
      <w:marRight w:val="0"/>
      <w:marTop w:val="0"/>
      <w:marBottom w:val="0"/>
      <w:divBdr>
        <w:top w:val="none" w:sz="0" w:space="0" w:color="auto"/>
        <w:left w:val="none" w:sz="0" w:space="0" w:color="auto"/>
        <w:bottom w:val="none" w:sz="0" w:space="0" w:color="auto"/>
        <w:right w:val="none" w:sz="0" w:space="0" w:color="auto"/>
      </w:divBdr>
    </w:div>
    <w:div w:id="213203707">
      <w:bodyDiv w:val="1"/>
      <w:marLeft w:val="0"/>
      <w:marRight w:val="0"/>
      <w:marTop w:val="0"/>
      <w:marBottom w:val="0"/>
      <w:divBdr>
        <w:top w:val="none" w:sz="0" w:space="0" w:color="auto"/>
        <w:left w:val="none" w:sz="0" w:space="0" w:color="auto"/>
        <w:bottom w:val="none" w:sz="0" w:space="0" w:color="auto"/>
        <w:right w:val="none" w:sz="0" w:space="0" w:color="auto"/>
      </w:divBdr>
    </w:div>
    <w:div w:id="316031196">
      <w:bodyDiv w:val="1"/>
      <w:marLeft w:val="0"/>
      <w:marRight w:val="0"/>
      <w:marTop w:val="0"/>
      <w:marBottom w:val="0"/>
      <w:divBdr>
        <w:top w:val="none" w:sz="0" w:space="0" w:color="auto"/>
        <w:left w:val="none" w:sz="0" w:space="0" w:color="auto"/>
        <w:bottom w:val="none" w:sz="0" w:space="0" w:color="auto"/>
        <w:right w:val="none" w:sz="0" w:space="0" w:color="auto"/>
      </w:divBdr>
    </w:div>
    <w:div w:id="337462861">
      <w:bodyDiv w:val="1"/>
      <w:marLeft w:val="0"/>
      <w:marRight w:val="0"/>
      <w:marTop w:val="0"/>
      <w:marBottom w:val="0"/>
      <w:divBdr>
        <w:top w:val="none" w:sz="0" w:space="0" w:color="auto"/>
        <w:left w:val="none" w:sz="0" w:space="0" w:color="auto"/>
        <w:bottom w:val="none" w:sz="0" w:space="0" w:color="auto"/>
        <w:right w:val="none" w:sz="0" w:space="0" w:color="auto"/>
      </w:divBdr>
    </w:div>
    <w:div w:id="435908137">
      <w:bodyDiv w:val="1"/>
      <w:marLeft w:val="0"/>
      <w:marRight w:val="0"/>
      <w:marTop w:val="0"/>
      <w:marBottom w:val="0"/>
      <w:divBdr>
        <w:top w:val="none" w:sz="0" w:space="0" w:color="auto"/>
        <w:left w:val="none" w:sz="0" w:space="0" w:color="auto"/>
        <w:bottom w:val="none" w:sz="0" w:space="0" w:color="auto"/>
        <w:right w:val="none" w:sz="0" w:space="0" w:color="auto"/>
      </w:divBdr>
    </w:div>
    <w:div w:id="450901586">
      <w:bodyDiv w:val="1"/>
      <w:marLeft w:val="0"/>
      <w:marRight w:val="0"/>
      <w:marTop w:val="0"/>
      <w:marBottom w:val="0"/>
      <w:divBdr>
        <w:top w:val="none" w:sz="0" w:space="0" w:color="auto"/>
        <w:left w:val="none" w:sz="0" w:space="0" w:color="auto"/>
        <w:bottom w:val="none" w:sz="0" w:space="0" w:color="auto"/>
        <w:right w:val="none" w:sz="0" w:space="0" w:color="auto"/>
      </w:divBdr>
      <w:divsChild>
        <w:div w:id="303782908">
          <w:blockQuote w:val="1"/>
          <w:marLeft w:val="450"/>
          <w:marRight w:val="750"/>
          <w:marTop w:val="100"/>
          <w:marBottom w:val="100"/>
          <w:divBdr>
            <w:top w:val="none" w:sz="0" w:space="0" w:color="auto"/>
            <w:left w:val="none" w:sz="0" w:space="0" w:color="auto"/>
            <w:bottom w:val="none" w:sz="0" w:space="0" w:color="auto"/>
            <w:right w:val="none" w:sz="0" w:space="0" w:color="auto"/>
          </w:divBdr>
        </w:div>
        <w:div w:id="1794012992">
          <w:blockQuote w:val="1"/>
          <w:marLeft w:val="450"/>
          <w:marRight w:val="750"/>
          <w:marTop w:val="100"/>
          <w:marBottom w:val="100"/>
          <w:divBdr>
            <w:top w:val="none" w:sz="0" w:space="0" w:color="auto"/>
            <w:left w:val="none" w:sz="0" w:space="0" w:color="auto"/>
            <w:bottom w:val="none" w:sz="0" w:space="0" w:color="auto"/>
            <w:right w:val="none" w:sz="0" w:space="0" w:color="auto"/>
          </w:divBdr>
        </w:div>
        <w:div w:id="2119986162">
          <w:blockQuote w:val="1"/>
          <w:marLeft w:val="450"/>
          <w:marRight w:val="750"/>
          <w:marTop w:val="100"/>
          <w:marBottom w:val="100"/>
          <w:divBdr>
            <w:top w:val="none" w:sz="0" w:space="0" w:color="auto"/>
            <w:left w:val="none" w:sz="0" w:space="0" w:color="auto"/>
            <w:bottom w:val="none" w:sz="0" w:space="0" w:color="auto"/>
            <w:right w:val="none" w:sz="0" w:space="0" w:color="auto"/>
          </w:divBdr>
        </w:div>
        <w:div w:id="1036933887">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504054154">
      <w:bodyDiv w:val="1"/>
      <w:marLeft w:val="0"/>
      <w:marRight w:val="0"/>
      <w:marTop w:val="0"/>
      <w:marBottom w:val="0"/>
      <w:divBdr>
        <w:top w:val="none" w:sz="0" w:space="0" w:color="auto"/>
        <w:left w:val="none" w:sz="0" w:space="0" w:color="auto"/>
        <w:bottom w:val="none" w:sz="0" w:space="0" w:color="auto"/>
        <w:right w:val="none" w:sz="0" w:space="0" w:color="auto"/>
      </w:divBdr>
    </w:div>
    <w:div w:id="545871929">
      <w:bodyDiv w:val="1"/>
      <w:marLeft w:val="0"/>
      <w:marRight w:val="0"/>
      <w:marTop w:val="0"/>
      <w:marBottom w:val="0"/>
      <w:divBdr>
        <w:top w:val="none" w:sz="0" w:space="0" w:color="auto"/>
        <w:left w:val="none" w:sz="0" w:space="0" w:color="auto"/>
        <w:bottom w:val="none" w:sz="0" w:space="0" w:color="auto"/>
        <w:right w:val="none" w:sz="0" w:space="0" w:color="auto"/>
      </w:divBdr>
    </w:div>
    <w:div w:id="606735078">
      <w:bodyDiv w:val="1"/>
      <w:marLeft w:val="0"/>
      <w:marRight w:val="0"/>
      <w:marTop w:val="0"/>
      <w:marBottom w:val="0"/>
      <w:divBdr>
        <w:top w:val="none" w:sz="0" w:space="0" w:color="auto"/>
        <w:left w:val="none" w:sz="0" w:space="0" w:color="auto"/>
        <w:bottom w:val="none" w:sz="0" w:space="0" w:color="auto"/>
        <w:right w:val="none" w:sz="0" w:space="0" w:color="auto"/>
      </w:divBdr>
    </w:div>
    <w:div w:id="673456820">
      <w:bodyDiv w:val="1"/>
      <w:marLeft w:val="0"/>
      <w:marRight w:val="0"/>
      <w:marTop w:val="0"/>
      <w:marBottom w:val="0"/>
      <w:divBdr>
        <w:top w:val="none" w:sz="0" w:space="0" w:color="auto"/>
        <w:left w:val="none" w:sz="0" w:space="0" w:color="auto"/>
        <w:bottom w:val="none" w:sz="0" w:space="0" w:color="auto"/>
        <w:right w:val="none" w:sz="0" w:space="0" w:color="auto"/>
      </w:divBdr>
    </w:div>
    <w:div w:id="723481650">
      <w:bodyDiv w:val="1"/>
      <w:marLeft w:val="0"/>
      <w:marRight w:val="0"/>
      <w:marTop w:val="0"/>
      <w:marBottom w:val="0"/>
      <w:divBdr>
        <w:top w:val="none" w:sz="0" w:space="0" w:color="auto"/>
        <w:left w:val="none" w:sz="0" w:space="0" w:color="auto"/>
        <w:bottom w:val="none" w:sz="0" w:space="0" w:color="auto"/>
        <w:right w:val="none" w:sz="0" w:space="0" w:color="auto"/>
      </w:divBdr>
    </w:div>
    <w:div w:id="79568432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43446710">
      <w:bodyDiv w:val="1"/>
      <w:marLeft w:val="0"/>
      <w:marRight w:val="0"/>
      <w:marTop w:val="0"/>
      <w:marBottom w:val="0"/>
      <w:divBdr>
        <w:top w:val="none" w:sz="0" w:space="0" w:color="auto"/>
        <w:left w:val="none" w:sz="0" w:space="0" w:color="auto"/>
        <w:bottom w:val="none" w:sz="0" w:space="0" w:color="auto"/>
        <w:right w:val="none" w:sz="0" w:space="0" w:color="auto"/>
      </w:divBdr>
    </w:div>
    <w:div w:id="1710253721">
      <w:bodyDiv w:val="1"/>
      <w:marLeft w:val="0"/>
      <w:marRight w:val="0"/>
      <w:marTop w:val="0"/>
      <w:marBottom w:val="0"/>
      <w:divBdr>
        <w:top w:val="none" w:sz="0" w:space="0" w:color="auto"/>
        <w:left w:val="none" w:sz="0" w:space="0" w:color="auto"/>
        <w:bottom w:val="none" w:sz="0" w:space="0" w:color="auto"/>
        <w:right w:val="none" w:sz="0" w:space="0" w:color="auto"/>
      </w:divBdr>
    </w:div>
    <w:div w:id="1914969075">
      <w:bodyDiv w:val="1"/>
      <w:marLeft w:val="0"/>
      <w:marRight w:val="0"/>
      <w:marTop w:val="0"/>
      <w:marBottom w:val="0"/>
      <w:divBdr>
        <w:top w:val="none" w:sz="0" w:space="0" w:color="auto"/>
        <w:left w:val="none" w:sz="0" w:space="0" w:color="auto"/>
        <w:bottom w:val="none" w:sz="0" w:space="0" w:color="auto"/>
        <w:right w:val="none" w:sz="0" w:space="0" w:color="auto"/>
      </w:divBdr>
    </w:div>
    <w:div w:id="1998654414">
      <w:bodyDiv w:val="1"/>
      <w:marLeft w:val="0"/>
      <w:marRight w:val="0"/>
      <w:marTop w:val="0"/>
      <w:marBottom w:val="0"/>
      <w:divBdr>
        <w:top w:val="none" w:sz="0" w:space="0" w:color="auto"/>
        <w:left w:val="none" w:sz="0" w:space="0" w:color="auto"/>
        <w:bottom w:val="none" w:sz="0" w:space="0" w:color="auto"/>
        <w:right w:val="none" w:sz="0" w:space="0" w:color="auto"/>
      </w:divBdr>
    </w:div>
    <w:div w:id="2015376320">
      <w:bodyDiv w:val="1"/>
      <w:marLeft w:val="0"/>
      <w:marRight w:val="0"/>
      <w:marTop w:val="0"/>
      <w:marBottom w:val="0"/>
      <w:divBdr>
        <w:top w:val="none" w:sz="0" w:space="0" w:color="auto"/>
        <w:left w:val="none" w:sz="0" w:space="0" w:color="auto"/>
        <w:bottom w:val="none" w:sz="0" w:space="0" w:color="auto"/>
        <w:right w:val="none" w:sz="0" w:space="0" w:color="auto"/>
      </w:divBdr>
    </w:div>
    <w:div w:id="201753725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182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405F-DF47-4F57-9DA6-E3D6F2FE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2023-05-19T00:58:00Z</dcterms:created>
  <dcterms:modified xsi:type="dcterms:W3CDTF">2023-05-19T00:58:00Z</dcterms:modified>
</cp:coreProperties>
</file>