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046968F2"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w:t>
      </w:r>
      <w:r w:rsidRPr="007D2A80">
        <w:rPr>
          <w:sz w:val="24"/>
          <w:szCs w:val="24"/>
        </w:rPr>
        <w:t xml:space="preserve">standard) determination No. </w:t>
      </w:r>
      <w:r w:rsidR="007D2A80" w:rsidRPr="007D2A80">
        <w:rPr>
          <w:sz w:val="24"/>
          <w:szCs w:val="24"/>
        </w:rPr>
        <w:t>58</w:t>
      </w:r>
      <w:r w:rsidRPr="007D2A80">
        <w:rPr>
          <w:sz w:val="24"/>
          <w:szCs w:val="24"/>
        </w:rPr>
        <w:t xml:space="preserve"> of 202</w:t>
      </w:r>
      <w:r w:rsidR="00F13B96" w:rsidRPr="007D2A80">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11A21EDB"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580B95">
        <w:rPr>
          <w:rFonts w:ascii="Times New Roman" w:hAnsi="Times New Roman" w:cs="Times New Roman"/>
          <w:sz w:val="24"/>
          <w:szCs w:val="24"/>
        </w:rPr>
        <w:t>18 May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513AEB5" w14:textId="4119D9B2" w:rsidR="008C7FD5" w:rsidRPr="00DF2C01" w:rsidRDefault="008C7FD5"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w:t>
      </w:r>
      <w:r w:rsidRPr="00EB4A72">
        <w:rPr>
          <w:rFonts w:ascii="Times New Roman" w:hAnsi="Times New Roman"/>
          <w:sz w:val="24"/>
          <w:szCs w:val="24"/>
        </w:rPr>
        <w:t>determination No</w:t>
      </w:r>
      <w:r w:rsidR="00302B12" w:rsidRPr="00EB4A72">
        <w:rPr>
          <w:rFonts w:ascii="Times New Roman" w:hAnsi="Times New Roman"/>
          <w:sz w:val="24"/>
          <w:szCs w:val="24"/>
        </w:rPr>
        <w:t xml:space="preserve">. </w:t>
      </w:r>
      <w:r w:rsidR="00302B12" w:rsidRPr="00EB4A72">
        <w:rPr>
          <w:rFonts w:ascii="Times New Roman" w:eastAsia="Times New Roman" w:hAnsi="Times New Roman" w:cs="Times New Roman"/>
          <w:sz w:val="24"/>
          <w:szCs w:val="24"/>
          <w:lang w:eastAsia="en-AU"/>
        </w:rPr>
        <w:t>58</w:t>
      </w:r>
      <w:r w:rsidR="00424A42" w:rsidRPr="00EB4A72">
        <w:rPr>
          <w:rFonts w:ascii="Times New Roman" w:eastAsia="Times New Roman" w:hAnsi="Times New Roman" w:cs="Times New Roman"/>
          <w:sz w:val="24"/>
          <w:szCs w:val="24"/>
          <w:lang w:eastAsia="en-AU"/>
        </w:rPr>
        <w:t xml:space="preserve"> </w:t>
      </w:r>
      <w:r w:rsidRPr="00EB4A72">
        <w:rPr>
          <w:rFonts w:ascii="Times New Roman" w:hAnsi="Times New Roman"/>
          <w:sz w:val="24"/>
          <w:szCs w:val="24"/>
        </w:rPr>
        <w:t>of 2023</w:t>
      </w:r>
      <w:r w:rsidRPr="00DF2C01">
        <w:rPr>
          <w:rFonts w:ascii="Times New Roman" w:hAnsi="Times New Roman"/>
          <w:sz w:val="24"/>
          <w:szCs w:val="24"/>
        </w:rPr>
        <w:t xml:space="preserve"> which:</w:t>
      </w:r>
    </w:p>
    <w:p w14:paraId="4F222840" w14:textId="7E16C290" w:rsidR="008C7FD5" w:rsidRPr="00D32051" w:rsidRDefault="008C7FD5"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007F4AF1" w:rsidRPr="007F4AF1">
        <w:rPr>
          <w:rFonts w:ascii="Times New Roman" w:hAnsi="Times New Roman"/>
          <w:i/>
          <w:sz w:val="24"/>
          <w:szCs w:val="24"/>
        </w:rPr>
        <w:t>Reporting Standard GRS 001</w:t>
      </w:r>
      <w:r w:rsidR="007F4AF1">
        <w:rPr>
          <w:rFonts w:ascii="Times New Roman" w:hAnsi="Times New Roman"/>
          <w:i/>
          <w:sz w:val="24"/>
          <w:szCs w:val="24"/>
        </w:rPr>
        <w:t xml:space="preserve"> Reporting Requirements</w:t>
      </w:r>
      <w:r w:rsidRPr="00DF2C01">
        <w:rPr>
          <w:rFonts w:ascii="Times New Roman" w:hAnsi="Times New Roman"/>
          <w:sz w:val="24"/>
          <w:szCs w:val="24"/>
        </w:rPr>
        <w:t xml:space="preserve"> made under Financial Sector (Collection of Data) (reporting standard) determination </w:t>
      </w:r>
      <w:r w:rsidR="00F3668F">
        <w:rPr>
          <w:rFonts w:ascii="Times New Roman" w:hAnsi="Times New Roman"/>
          <w:sz w:val="24"/>
          <w:szCs w:val="24"/>
        </w:rPr>
        <w:t>no. 1 of 2016</w:t>
      </w:r>
      <w:r>
        <w:rPr>
          <w:rFonts w:ascii="Times New Roman" w:hAnsi="Times New Roman"/>
          <w:sz w:val="24"/>
          <w:szCs w:val="24"/>
        </w:rPr>
        <w:t xml:space="preserve">; </w:t>
      </w:r>
      <w:r w:rsidRPr="00D32051">
        <w:rPr>
          <w:rFonts w:ascii="Times New Roman" w:hAnsi="Times New Roman"/>
          <w:sz w:val="24"/>
          <w:szCs w:val="24"/>
        </w:rPr>
        <w:t>and</w:t>
      </w:r>
    </w:p>
    <w:p w14:paraId="6C6EF890" w14:textId="69EAC044" w:rsidR="008C7FD5" w:rsidRDefault="008C7FD5"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sidR="00424A42">
        <w:rPr>
          <w:rFonts w:ascii="Times New Roman" w:hAnsi="Times New Roman"/>
          <w:i/>
          <w:sz w:val="24"/>
          <w:szCs w:val="24"/>
        </w:rPr>
        <w:t xml:space="preserve">Reporting Standard </w:t>
      </w:r>
      <w:r w:rsidR="002C6A0B" w:rsidRPr="007F4AF1">
        <w:rPr>
          <w:rFonts w:ascii="Times New Roman" w:hAnsi="Times New Roman"/>
          <w:i/>
          <w:sz w:val="24"/>
          <w:szCs w:val="24"/>
        </w:rPr>
        <w:t>GRS 001</w:t>
      </w:r>
      <w:r w:rsidR="002C6A0B">
        <w:rPr>
          <w:rFonts w:ascii="Times New Roman" w:hAnsi="Times New Roman"/>
          <w:i/>
          <w:sz w:val="24"/>
          <w:szCs w:val="24"/>
        </w:rPr>
        <w:t xml:space="preserve"> Reporting Requirements</w:t>
      </w:r>
      <w:r>
        <w:rPr>
          <w:rFonts w:ascii="Times New Roman" w:hAnsi="Times New Roman"/>
          <w:sz w:val="24"/>
          <w:szCs w:val="24"/>
        </w:rPr>
        <w:t>.</w:t>
      </w:r>
    </w:p>
    <w:p w14:paraId="20C71CDB" w14:textId="223D6837" w:rsidR="00023CE3" w:rsidRPr="00CF46D3" w:rsidRDefault="00023CE3"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instrument commence</w:t>
      </w:r>
      <w:r w:rsidR="00244B0A" w:rsidRPr="00CF46D3">
        <w:rPr>
          <w:rFonts w:ascii="Times New Roman" w:hAnsi="Times New Roman"/>
          <w:sz w:val="24"/>
          <w:szCs w:val="24"/>
        </w:rPr>
        <w:t>s</w:t>
      </w:r>
      <w:r w:rsidRPr="00CF46D3">
        <w:rPr>
          <w:rFonts w:ascii="Times New Roman" w:hAnsi="Times New Roman"/>
          <w:sz w:val="24"/>
          <w:szCs w:val="24"/>
        </w:rPr>
        <w:t xml:space="preserve"> upon registration 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48D43157" w14:textId="30FEADB6" w:rsidR="00114B50" w:rsidRPr="00743AE5" w:rsidRDefault="00114B50"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0F75A941" w14:textId="77777777" w:rsidR="00114B50" w:rsidRDefault="00114B50"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598937B8" w14:textId="5380C454" w:rsidR="00743AE5" w:rsidRDefault="00114B50"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new reporting standards apply to reporting periods </w:t>
      </w:r>
      <w:r w:rsidR="000F246E">
        <w:rPr>
          <w:rFonts w:ascii="Times New Roman" w:hAnsi="Times New Roman" w:cs="Times New Roman"/>
          <w:sz w:val="24"/>
          <w:szCs w:val="24"/>
        </w:rPr>
        <w:t>end</w:t>
      </w:r>
      <w:r>
        <w:rPr>
          <w:rFonts w:ascii="Times New Roman" w:hAnsi="Times New Roman" w:cs="Times New Roman"/>
          <w:sz w:val="24"/>
          <w:szCs w:val="24"/>
        </w:rPr>
        <w:t>ing on or after 1 July 2023.</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1BE2513D"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lastRenderedPageBreak/>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00452279" w:rsidRPr="001E6375">
        <w:rPr>
          <w:rFonts w:ascii="Times New Roman" w:hAnsi="Times New Roman" w:cs="Times New Roman"/>
          <w:sz w:val="24"/>
          <w:szCs w:val="24"/>
        </w:rPr>
        <w:t xml:space="preserve">determine a new </w:t>
      </w:r>
      <w:r w:rsidR="00452279" w:rsidRPr="001E6375">
        <w:rPr>
          <w:rFonts w:ascii="Times New Roman" w:hAnsi="Times New Roman" w:cs="Times New Roman"/>
          <w:i/>
          <w:sz w:val="24"/>
          <w:szCs w:val="24"/>
        </w:rPr>
        <w:t xml:space="preserve">Reporting Standard </w:t>
      </w:r>
      <w:r w:rsidR="00D04F5E" w:rsidRPr="007F4AF1">
        <w:rPr>
          <w:rFonts w:ascii="Times New Roman" w:hAnsi="Times New Roman"/>
          <w:i/>
          <w:sz w:val="24"/>
          <w:szCs w:val="24"/>
        </w:rPr>
        <w:t>GRS 001</w:t>
      </w:r>
      <w:r w:rsidR="00D04F5E">
        <w:rPr>
          <w:rFonts w:ascii="Times New Roman" w:hAnsi="Times New Roman"/>
          <w:i/>
          <w:sz w:val="24"/>
          <w:szCs w:val="24"/>
        </w:rPr>
        <w:t xml:space="preserve"> Reporting Requirements</w:t>
      </w:r>
      <w:r w:rsidRPr="00BC1E70">
        <w:rPr>
          <w:rFonts w:ascii="Times New Roman" w:hAnsi="Times New Roman" w:cs="Times New Roman"/>
          <w:sz w:val="24"/>
          <w:szCs w:val="24"/>
        </w:rPr>
        <w:t>.</w:t>
      </w:r>
      <w:r w:rsidR="00452279">
        <w:rPr>
          <w:rFonts w:ascii="Times New Roman" w:hAnsi="Times New Roman" w:cs="Times New Roman"/>
          <w:sz w:val="24"/>
          <w:szCs w:val="24"/>
        </w:rPr>
        <w:t xml:space="preserve"> </w:t>
      </w:r>
      <w:r w:rsidR="00FD0B98" w:rsidRPr="00FD0B98">
        <w:rPr>
          <w:rFonts w:ascii="Times New Roman" w:hAnsi="Times New Roman" w:cs="Times New Roman"/>
          <w:sz w:val="24"/>
          <w:szCs w:val="24"/>
        </w:rPr>
        <w:t xml:space="preserve">This Reporting Standard sets out the general instructions for providing information under </w:t>
      </w:r>
      <w:r w:rsidR="00BC2D59">
        <w:rPr>
          <w:rFonts w:ascii="Times New Roman" w:hAnsi="Times New Roman" w:cs="Times New Roman"/>
          <w:sz w:val="24"/>
          <w:szCs w:val="24"/>
        </w:rPr>
        <w:t xml:space="preserve">general insurance </w:t>
      </w:r>
      <w:r w:rsidR="00FD0B98" w:rsidRPr="00FD0B98">
        <w:rPr>
          <w:rFonts w:ascii="Times New Roman" w:hAnsi="Times New Roman" w:cs="Times New Roman"/>
          <w:sz w:val="24"/>
          <w:szCs w:val="24"/>
        </w:rPr>
        <w:t xml:space="preserve">reporting standards, including the periods within which information required under </w:t>
      </w:r>
      <w:r w:rsidR="004D14DC">
        <w:rPr>
          <w:rFonts w:ascii="Times New Roman" w:hAnsi="Times New Roman" w:cs="Times New Roman"/>
          <w:sz w:val="24"/>
          <w:szCs w:val="24"/>
        </w:rPr>
        <w:t xml:space="preserve">these </w:t>
      </w:r>
      <w:r w:rsidR="00FD0B98" w:rsidRPr="00FD0B98">
        <w:rPr>
          <w:rFonts w:ascii="Times New Roman" w:hAnsi="Times New Roman" w:cs="Times New Roman"/>
          <w:sz w:val="24"/>
          <w:szCs w:val="24"/>
        </w:rPr>
        <w:t>reporting standards must be provided to APRA.</w:t>
      </w:r>
    </w:p>
    <w:p w14:paraId="7661522C" w14:textId="32F8D378" w:rsidR="00EA1FBD" w:rsidRDefault="00EA1FBD"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sidR="00F902A6">
        <w:rPr>
          <w:rFonts w:ascii="Times New Roman" w:hAnsi="Times New Roman" w:cs="Times New Roman"/>
          <w:sz w:val="24"/>
          <w:szCs w:val="24"/>
        </w:rPr>
        <w:t>Insurers</w:t>
      </w:r>
      <w:r w:rsidR="009059C6">
        <w:rPr>
          <w:rFonts w:ascii="Times New Roman" w:hAnsi="Times New Roman" w:cs="Times New Roman"/>
          <w:sz w:val="24"/>
          <w:szCs w:val="24"/>
        </w:rPr>
        <w:t xml:space="preserve">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21D88032"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146372B0" w14:textId="77777777"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6337F96" w14:textId="27697DEA"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sidR="00796C49">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40B2796E" w14:textId="77777777"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19E945EF" w14:textId="45638650"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w:t>
      </w:r>
      <w:r w:rsidR="004310A1" w:rsidRPr="004310A1">
        <w:rPr>
          <w:rFonts w:ascii="Times New Roman" w:hAnsi="Times New Roman" w:cs="Times New Roman"/>
          <w:sz w:val="24"/>
          <w:szCs w:val="24"/>
        </w:rPr>
        <w:t>This Reporting Standard provides instructions applicable to all reporting standards to be completed by certain entities and specifies the periods within which those entities are to comply with those requirements.</w:t>
      </w:r>
    </w:p>
    <w:p w14:paraId="252C948D" w14:textId="77777777"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3A4BBDF0" w14:textId="20A5E62A"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sidR="00DB507C">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06C27C6E" w14:textId="2A6C735D" w:rsidR="003E5777" w:rsidRPr="002E123D" w:rsidRDefault="004018F5" w:rsidP="003E5777">
      <w:pPr>
        <w:numPr>
          <w:ilvl w:val="0"/>
          <w:numId w:val="0"/>
        </w:numPr>
        <w:outlineLvl w:val="5"/>
        <w:rPr>
          <w:rFonts w:ascii="Times New Roman" w:hAnsi="Times New Roman" w:cs="Times New Roman"/>
          <w:i/>
          <w:sz w:val="24"/>
          <w:szCs w:val="24"/>
        </w:rPr>
      </w:pPr>
      <w:r w:rsidRPr="004018F5">
        <w:rPr>
          <w:rFonts w:ascii="Times New Roman" w:hAnsi="Times New Roman" w:cs="Times New Roman"/>
          <w:i/>
          <w:sz w:val="24"/>
          <w:szCs w:val="24"/>
        </w:rPr>
        <w:t>General Instructions</w:t>
      </w:r>
      <w:r>
        <w:rPr>
          <w:rFonts w:ascii="Times New Roman" w:hAnsi="Times New Roman" w:cs="Times New Roman"/>
          <w:i/>
          <w:sz w:val="24"/>
          <w:szCs w:val="24"/>
        </w:rPr>
        <w:t xml:space="preserve"> </w:t>
      </w:r>
      <w:r w:rsidR="003E5777" w:rsidRPr="002E123D">
        <w:rPr>
          <w:rFonts w:ascii="Times New Roman" w:hAnsi="Times New Roman" w:cs="Times New Roman"/>
          <w:i/>
          <w:sz w:val="24"/>
          <w:szCs w:val="24"/>
        </w:rPr>
        <w:t>– paragraph 4</w:t>
      </w:r>
      <w:r w:rsidR="003E5777">
        <w:rPr>
          <w:rFonts w:ascii="Times New Roman" w:hAnsi="Times New Roman" w:cs="Times New Roman"/>
          <w:i/>
          <w:sz w:val="24"/>
          <w:szCs w:val="24"/>
        </w:rPr>
        <w:t xml:space="preserve"> </w:t>
      </w:r>
    </w:p>
    <w:p w14:paraId="0DD7C19A" w14:textId="78664BA0" w:rsidR="00EE5BC9"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provision states </w:t>
      </w:r>
      <w:r w:rsidR="00EE5BC9">
        <w:rPr>
          <w:rFonts w:ascii="Times New Roman" w:hAnsi="Times New Roman" w:cs="Times New Roman"/>
          <w:sz w:val="24"/>
          <w:szCs w:val="24"/>
        </w:rPr>
        <w:t>that d</w:t>
      </w:r>
      <w:r w:rsidR="00EE5BC9" w:rsidRPr="00EE5BC9">
        <w:rPr>
          <w:rFonts w:ascii="Times New Roman" w:hAnsi="Times New Roman" w:cs="Times New Roman"/>
          <w:sz w:val="24"/>
          <w:szCs w:val="24"/>
        </w:rPr>
        <w:t xml:space="preserve">etailed instructions for the individual reporting items are included in the specific instructions for each reporting standard. These specific instructions need to be considered in conjunction with the </w:t>
      </w:r>
      <w:r w:rsidR="00EE5BC9" w:rsidRPr="00EE5BC9">
        <w:rPr>
          <w:rFonts w:ascii="Times New Roman" w:hAnsi="Times New Roman" w:cs="Times New Roman"/>
          <w:i/>
          <w:sz w:val="24"/>
          <w:szCs w:val="24"/>
        </w:rPr>
        <w:t>General Instruction Guide</w:t>
      </w:r>
      <w:r w:rsidR="00EE5BC9" w:rsidRPr="00EE5BC9">
        <w:rPr>
          <w:rFonts w:ascii="Times New Roman" w:hAnsi="Times New Roman" w:cs="Times New Roman"/>
          <w:sz w:val="24"/>
          <w:szCs w:val="24"/>
        </w:rPr>
        <w:t xml:space="preserve"> (which is Attachment A to this Reporting Standard), the relevant reporting standards and the prudential standards</w:t>
      </w:r>
    </w:p>
    <w:p w14:paraId="24B08B18" w14:textId="7EE7AEF0" w:rsidR="003E5777" w:rsidRPr="002E123D" w:rsidRDefault="00540A08" w:rsidP="003E5777">
      <w:pPr>
        <w:numPr>
          <w:ilvl w:val="0"/>
          <w:numId w:val="0"/>
        </w:numPr>
        <w:outlineLvl w:val="5"/>
        <w:rPr>
          <w:rFonts w:ascii="Times New Roman" w:hAnsi="Times New Roman" w:cs="Times New Roman"/>
          <w:i/>
          <w:sz w:val="24"/>
          <w:szCs w:val="24"/>
        </w:rPr>
      </w:pPr>
      <w:r w:rsidRPr="00540A08">
        <w:rPr>
          <w:rFonts w:ascii="Times New Roman" w:hAnsi="Times New Roman" w:cs="Times New Roman"/>
          <w:i/>
          <w:sz w:val="24"/>
          <w:szCs w:val="24"/>
        </w:rPr>
        <w:t>Periods for Provision of Returns</w:t>
      </w:r>
      <w:r>
        <w:rPr>
          <w:rFonts w:ascii="Times New Roman" w:hAnsi="Times New Roman" w:cs="Times New Roman"/>
          <w:i/>
          <w:sz w:val="24"/>
          <w:szCs w:val="24"/>
        </w:rPr>
        <w:t xml:space="preserve"> </w:t>
      </w:r>
      <w:r w:rsidR="003E5777" w:rsidRPr="002E123D">
        <w:rPr>
          <w:rFonts w:ascii="Times New Roman" w:hAnsi="Times New Roman" w:cs="Times New Roman"/>
          <w:i/>
          <w:sz w:val="24"/>
          <w:szCs w:val="24"/>
        </w:rPr>
        <w:t xml:space="preserve">– paragraphs </w:t>
      </w:r>
      <w:r>
        <w:rPr>
          <w:rFonts w:ascii="Times New Roman" w:hAnsi="Times New Roman" w:cs="Times New Roman"/>
          <w:i/>
          <w:sz w:val="24"/>
          <w:szCs w:val="24"/>
        </w:rPr>
        <w:t>5</w:t>
      </w:r>
      <w:r w:rsidR="003E5777" w:rsidRPr="002E123D">
        <w:rPr>
          <w:rFonts w:ascii="Times New Roman" w:hAnsi="Times New Roman" w:cs="Times New Roman"/>
          <w:i/>
          <w:sz w:val="24"/>
          <w:szCs w:val="24"/>
        </w:rPr>
        <w:t>-</w:t>
      </w:r>
      <w:r>
        <w:rPr>
          <w:rFonts w:ascii="Times New Roman" w:hAnsi="Times New Roman" w:cs="Times New Roman"/>
          <w:i/>
          <w:sz w:val="24"/>
          <w:szCs w:val="24"/>
        </w:rPr>
        <w:t>8</w:t>
      </w:r>
    </w:p>
    <w:p w14:paraId="23D4D862" w14:textId="09857D8B" w:rsidR="003E5777" w:rsidRDefault="003E5777" w:rsidP="003E5777">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w:t>
      </w:r>
    </w:p>
    <w:p w14:paraId="3CC57CE4" w14:textId="77777777" w:rsidR="00E62AD7" w:rsidRPr="00E62AD7" w:rsidRDefault="003E5777" w:rsidP="00E62AD7">
      <w:r w:rsidRPr="002E123D">
        <w:rPr>
          <w:rFonts w:ascii="Times New Roman" w:hAnsi="Times New Roman" w:cs="Times New Roman"/>
          <w:sz w:val="24"/>
          <w:szCs w:val="24"/>
        </w:rPr>
        <w:t xml:space="preserve">Paragraphs </w:t>
      </w:r>
      <w:r w:rsidR="00540A08">
        <w:rPr>
          <w:rFonts w:ascii="Times New Roman" w:hAnsi="Times New Roman" w:cs="Times New Roman"/>
          <w:sz w:val="24"/>
          <w:szCs w:val="24"/>
        </w:rPr>
        <w:t>5</w:t>
      </w:r>
      <w:r w:rsidRPr="002E123D">
        <w:rPr>
          <w:rFonts w:ascii="Times New Roman" w:hAnsi="Times New Roman" w:cs="Times New Roman"/>
          <w:sz w:val="24"/>
          <w:szCs w:val="24"/>
        </w:rPr>
        <w:t>-</w:t>
      </w:r>
      <w:r w:rsidR="00540A08">
        <w:rPr>
          <w:rFonts w:ascii="Times New Roman" w:hAnsi="Times New Roman" w:cs="Times New Roman"/>
          <w:sz w:val="24"/>
          <w:szCs w:val="24"/>
        </w:rPr>
        <w:t>8</w:t>
      </w:r>
      <w:r w:rsidRPr="002E123D">
        <w:rPr>
          <w:rFonts w:ascii="Times New Roman" w:hAnsi="Times New Roman" w:cs="Times New Roman"/>
          <w:sz w:val="24"/>
          <w:szCs w:val="24"/>
        </w:rPr>
        <w:t xml:space="preserve"> rely on these provisions. Paragraph </w:t>
      </w:r>
      <w:r w:rsidR="00540A08">
        <w:rPr>
          <w:rFonts w:ascii="Times New Roman" w:hAnsi="Times New Roman" w:cs="Times New Roman"/>
          <w:sz w:val="24"/>
          <w:szCs w:val="24"/>
        </w:rPr>
        <w:t>5</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insurers </w:t>
      </w:r>
      <w:r w:rsidRPr="002E123D">
        <w:rPr>
          <w:rFonts w:ascii="Times New Roman" w:hAnsi="Times New Roman" w:cs="Times New Roman"/>
          <w:sz w:val="24"/>
          <w:szCs w:val="24"/>
        </w:rPr>
        <w:t>are to provide</w:t>
      </w:r>
      <w:r w:rsidR="000306D0">
        <w:rPr>
          <w:rFonts w:ascii="Times New Roman" w:hAnsi="Times New Roman" w:cs="Times New Roman"/>
          <w:sz w:val="24"/>
          <w:szCs w:val="24"/>
        </w:rPr>
        <w:t xml:space="preserve"> quarterly information</w:t>
      </w:r>
      <w:r w:rsidR="008B5E79">
        <w:rPr>
          <w:rFonts w:ascii="Times New Roman" w:hAnsi="Times New Roman" w:cs="Times New Roman"/>
          <w:sz w:val="24"/>
          <w:szCs w:val="24"/>
        </w:rPr>
        <w:t xml:space="preserve"> required by reporting standards</w:t>
      </w:r>
      <w:r w:rsidR="000306D0">
        <w:rPr>
          <w:rFonts w:ascii="Times New Roman" w:hAnsi="Times New Roman" w:cs="Times New Roman"/>
          <w:sz w:val="24"/>
          <w:szCs w:val="24"/>
        </w:rPr>
        <w:t xml:space="preserve"> to APRA within 20 business days after the end of the reporting </w:t>
      </w:r>
      <w:proofErr w:type="gramStart"/>
      <w:r w:rsidR="000306D0">
        <w:rPr>
          <w:rFonts w:ascii="Times New Roman" w:hAnsi="Times New Roman" w:cs="Times New Roman"/>
          <w:sz w:val="24"/>
          <w:szCs w:val="24"/>
        </w:rPr>
        <w:t>period</w:t>
      </w:r>
      <w:r w:rsidR="008B5E79">
        <w:rPr>
          <w:rFonts w:ascii="Times New Roman" w:hAnsi="Times New Roman" w:cs="Times New Roman"/>
          <w:sz w:val="24"/>
          <w:szCs w:val="24"/>
        </w:rPr>
        <w:t xml:space="preserve">, </w:t>
      </w:r>
      <w:r w:rsidRPr="002E123D">
        <w:rPr>
          <w:rFonts w:ascii="Times New Roman" w:hAnsi="Times New Roman" w:cs="Times New Roman"/>
          <w:sz w:val="24"/>
          <w:szCs w:val="24"/>
        </w:rPr>
        <w:t xml:space="preserve"> </w:t>
      </w:r>
      <w:r w:rsidR="008B5E79">
        <w:rPr>
          <w:rFonts w:ascii="Times New Roman" w:hAnsi="Times New Roman" w:cs="Times New Roman"/>
          <w:sz w:val="24"/>
          <w:szCs w:val="24"/>
        </w:rPr>
        <w:t>and</w:t>
      </w:r>
      <w:proofErr w:type="gramEnd"/>
      <w:r w:rsidR="008B5E79">
        <w:rPr>
          <w:rFonts w:ascii="Times New Roman" w:hAnsi="Times New Roman" w:cs="Times New Roman"/>
          <w:sz w:val="24"/>
          <w:szCs w:val="24"/>
        </w:rPr>
        <w:t xml:space="preserve"> annual information within three months after the end of the reporting period</w:t>
      </w:r>
      <w:r w:rsidR="00BE5D4A">
        <w:rPr>
          <w:rFonts w:ascii="Times New Roman" w:hAnsi="Times New Roman" w:cs="Times New Roman"/>
          <w:sz w:val="24"/>
          <w:szCs w:val="24"/>
        </w:rPr>
        <w:t>.</w:t>
      </w:r>
      <w:r w:rsidR="00E62AD7">
        <w:t xml:space="preserve"> </w:t>
      </w:r>
      <w:r w:rsidRPr="00E62AD7">
        <w:rPr>
          <w:rFonts w:ascii="Times New Roman" w:hAnsi="Times New Roman" w:cs="Times New Roman"/>
          <w:sz w:val="24"/>
          <w:szCs w:val="24"/>
        </w:rPr>
        <w:t xml:space="preserve">Paragraph </w:t>
      </w:r>
      <w:r w:rsidR="00780174" w:rsidRPr="00E62AD7">
        <w:rPr>
          <w:rFonts w:ascii="Times New Roman" w:hAnsi="Times New Roman" w:cs="Times New Roman"/>
          <w:sz w:val="24"/>
          <w:szCs w:val="24"/>
        </w:rPr>
        <w:t>6</w:t>
      </w:r>
      <w:r w:rsidRPr="00E62AD7">
        <w:rPr>
          <w:rFonts w:ascii="Times New Roman" w:hAnsi="Times New Roman" w:cs="Times New Roman"/>
          <w:sz w:val="24"/>
          <w:szCs w:val="24"/>
        </w:rPr>
        <w:t xml:space="preserve"> </w:t>
      </w:r>
      <w:r w:rsidR="00E653D3" w:rsidRPr="00E62AD7">
        <w:rPr>
          <w:rFonts w:ascii="Times New Roman" w:hAnsi="Times New Roman" w:cs="Times New Roman"/>
          <w:sz w:val="24"/>
          <w:szCs w:val="24"/>
        </w:rPr>
        <w:t>states that</w:t>
      </w:r>
      <w:r w:rsidRPr="00E62AD7">
        <w:rPr>
          <w:rFonts w:ascii="Times New Roman" w:hAnsi="Times New Roman" w:cs="Times New Roman"/>
          <w:sz w:val="24"/>
          <w:szCs w:val="24"/>
        </w:rPr>
        <w:t xml:space="preserve"> APRA </w:t>
      </w:r>
      <w:r w:rsidR="00B32197" w:rsidRPr="00E62AD7">
        <w:rPr>
          <w:rFonts w:ascii="Times New Roman" w:hAnsi="Times New Roman" w:cs="Times New Roman"/>
          <w:sz w:val="24"/>
          <w:szCs w:val="24"/>
        </w:rPr>
        <w:t>may grant an</w:t>
      </w:r>
      <w:r w:rsidR="008F0B1D" w:rsidRPr="00E62AD7">
        <w:rPr>
          <w:rFonts w:ascii="Times New Roman" w:hAnsi="Times New Roman" w:cs="Times New Roman"/>
          <w:sz w:val="24"/>
          <w:szCs w:val="24"/>
        </w:rPr>
        <w:t xml:space="preserve"> insurer an</w:t>
      </w:r>
      <w:r w:rsidR="00B32197" w:rsidRPr="00E62AD7">
        <w:rPr>
          <w:rFonts w:ascii="Times New Roman" w:hAnsi="Times New Roman" w:cs="Times New Roman"/>
          <w:sz w:val="24"/>
          <w:szCs w:val="24"/>
        </w:rPr>
        <w:t xml:space="preserve"> extension of a due date in paragraph 5 in writing</w:t>
      </w:r>
      <w:r w:rsidRPr="00E62AD7">
        <w:rPr>
          <w:rFonts w:ascii="Times New Roman" w:hAnsi="Times New Roman" w:cs="Times New Roman"/>
          <w:sz w:val="24"/>
          <w:szCs w:val="24"/>
        </w:rPr>
        <w:t xml:space="preserve">. </w:t>
      </w:r>
    </w:p>
    <w:p w14:paraId="377DF813" w14:textId="180617A3" w:rsidR="003E5777" w:rsidRPr="00E646A6" w:rsidRDefault="003E5777" w:rsidP="00E62AD7">
      <w:pPr>
        <w:rPr>
          <w:rFonts w:ascii="Times New Roman" w:hAnsi="Times New Roman" w:cs="Times New Roman"/>
          <w:sz w:val="24"/>
          <w:szCs w:val="24"/>
        </w:rPr>
      </w:pPr>
      <w:r w:rsidRPr="00E62AD7">
        <w:rPr>
          <w:rFonts w:ascii="Times New Roman" w:hAnsi="Times New Roman" w:cs="Times New Roman"/>
          <w:sz w:val="24"/>
          <w:szCs w:val="24"/>
        </w:rPr>
        <w:t xml:space="preserve">Paragraph </w:t>
      </w:r>
      <w:r w:rsidR="00BE5D4A" w:rsidRPr="00E62AD7">
        <w:rPr>
          <w:rFonts w:ascii="Times New Roman" w:hAnsi="Times New Roman" w:cs="Times New Roman"/>
          <w:sz w:val="24"/>
          <w:szCs w:val="24"/>
        </w:rPr>
        <w:t>7</w:t>
      </w:r>
      <w:r w:rsidRPr="00E62AD7">
        <w:rPr>
          <w:rFonts w:ascii="Times New Roman" w:hAnsi="Times New Roman" w:cs="Times New Roman"/>
          <w:sz w:val="24"/>
          <w:szCs w:val="24"/>
        </w:rPr>
        <w:t xml:space="preserve"> </w:t>
      </w:r>
      <w:r w:rsidR="00BE5D4A" w:rsidRPr="00E62AD7">
        <w:rPr>
          <w:rFonts w:ascii="Times New Roman" w:hAnsi="Times New Roman" w:cs="Times New Roman"/>
          <w:sz w:val="24"/>
          <w:szCs w:val="24"/>
        </w:rPr>
        <w:t xml:space="preserve">states that parent entities of Level 2 insurance groups are to provide information required by reporting standards to APRA within three months after the end of the reporting </w:t>
      </w:r>
      <w:r w:rsidR="00BE5D4A" w:rsidRPr="00E62AD7">
        <w:rPr>
          <w:rFonts w:ascii="Times New Roman" w:hAnsi="Times New Roman" w:cs="Times New Roman"/>
          <w:sz w:val="24"/>
          <w:szCs w:val="24"/>
        </w:rPr>
        <w:lastRenderedPageBreak/>
        <w:t>period</w:t>
      </w:r>
      <w:r w:rsidRPr="00E62AD7">
        <w:rPr>
          <w:rFonts w:ascii="Times New Roman" w:hAnsi="Times New Roman" w:cs="Times New Roman"/>
          <w:sz w:val="24"/>
          <w:szCs w:val="24"/>
        </w:rPr>
        <w:t xml:space="preserve">. Paragraph </w:t>
      </w:r>
      <w:r w:rsidR="00961E8D" w:rsidRPr="00E62AD7">
        <w:rPr>
          <w:rFonts w:ascii="Times New Roman" w:hAnsi="Times New Roman" w:cs="Times New Roman"/>
          <w:sz w:val="24"/>
          <w:szCs w:val="24"/>
        </w:rPr>
        <w:t>8</w:t>
      </w:r>
      <w:r w:rsidRPr="00E62AD7">
        <w:rPr>
          <w:rFonts w:ascii="Times New Roman" w:hAnsi="Times New Roman" w:cs="Times New Roman"/>
          <w:sz w:val="24"/>
          <w:szCs w:val="24"/>
        </w:rPr>
        <w:t xml:space="preserve"> states that APRA may grant an extension of a due date in paragraph </w:t>
      </w:r>
      <w:r w:rsidR="00961E8D" w:rsidRPr="00E62AD7">
        <w:rPr>
          <w:rFonts w:ascii="Times New Roman" w:hAnsi="Times New Roman" w:cs="Times New Roman"/>
          <w:sz w:val="24"/>
          <w:szCs w:val="24"/>
        </w:rPr>
        <w:t>7</w:t>
      </w:r>
      <w:r w:rsidRPr="00E62AD7">
        <w:rPr>
          <w:rFonts w:ascii="Times New Roman" w:hAnsi="Times New Roman" w:cs="Times New Roman"/>
          <w:sz w:val="24"/>
          <w:szCs w:val="24"/>
        </w:rPr>
        <w:t xml:space="preserve"> in </w:t>
      </w:r>
      <w:r w:rsidRPr="00E646A6">
        <w:rPr>
          <w:rFonts w:ascii="Times New Roman" w:hAnsi="Times New Roman" w:cs="Times New Roman"/>
          <w:sz w:val="24"/>
          <w:szCs w:val="24"/>
        </w:rPr>
        <w:t>writing.</w:t>
      </w:r>
    </w:p>
    <w:p w14:paraId="6776A813" w14:textId="126E20A4" w:rsidR="00E646A6" w:rsidRPr="00E646A6" w:rsidRDefault="00E646A6" w:rsidP="00E646A6">
      <w:pPr>
        <w:pStyle w:val="Heading6"/>
        <w:rPr>
          <w:rFonts w:ascii="Times New Roman" w:hAnsi="Times New Roman" w:cs="Times New Roman"/>
          <w:sz w:val="24"/>
          <w:szCs w:val="24"/>
        </w:rPr>
      </w:pPr>
      <w:r w:rsidRPr="00E646A6">
        <w:rPr>
          <w:rFonts w:ascii="Times New Roman" w:hAnsi="Times New Roman" w:cs="Times New Roman"/>
          <w:sz w:val="24"/>
          <w:szCs w:val="24"/>
        </w:rPr>
        <w:t>Transition – paragraph 9</w:t>
      </w:r>
    </w:p>
    <w:p w14:paraId="4E1ADB1C" w14:textId="5F1F1D69" w:rsidR="00E646A6" w:rsidRPr="00E646A6" w:rsidRDefault="00E646A6" w:rsidP="00E646A6">
      <w:pPr>
        <w:rPr>
          <w:rFonts w:ascii="Times New Roman" w:hAnsi="Times New Roman" w:cs="Times New Roman"/>
          <w:sz w:val="24"/>
          <w:szCs w:val="24"/>
        </w:rPr>
      </w:pPr>
      <w:r w:rsidRPr="00E646A6">
        <w:rPr>
          <w:rFonts w:ascii="Times New Roman" w:hAnsi="Times New Roman" w:cs="Times New Roman"/>
          <w:sz w:val="24"/>
          <w:szCs w:val="24"/>
        </w:rPr>
        <w:t xml:space="preserve">Paragraphs 13(2)(d)-(e) </w:t>
      </w:r>
      <w:r w:rsidR="0044591E">
        <w:rPr>
          <w:rFonts w:ascii="Times New Roman" w:hAnsi="Times New Roman" w:cs="Times New Roman"/>
          <w:sz w:val="24"/>
          <w:szCs w:val="24"/>
        </w:rPr>
        <w:t xml:space="preserve">of the Act </w:t>
      </w:r>
      <w:r w:rsidRPr="00E646A6">
        <w:rPr>
          <w:rFonts w:ascii="Times New Roman" w:hAnsi="Times New Roman" w:cs="Times New Roman"/>
          <w:sz w:val="24"/>
          <w:szCs w:val="24"/>
        </w:rPr>
        <w:t xml:space="preserve">provide for APRA to include matters relating to times and periods to which information in reporting documents is to relate, the provision of documents to APRA, and the time periods for provision of these documents to APRA. Paragraph 9 states that financial sector entities must report data under the reporting standard revoked in the determination making this reporting standard for reporting periods that </w:t>
      </w:r>
      <w:r w:rsidR="000F246E">
        <w:rPr>
          <w:rFonts w:ascii="Times New Roman" w:hAnsi="Times New Roman" w:cs="Times New Roman"/>
          <w:sz w:val="24"/>
          <w:szCs w:val="24"/>
        </w:rPr>
        <w:t>end</w:t>
      </w:r>
      <w:r w:rsidRPr="00E646A6">
        <w:rPr>
          <w:rFonts w:ascii="Times New Roman" w:hAnsi="Times New Roman" w:cs="Times New Roman"/>
          <w:sz w:val="24"/>
          <w:szCs w:val="24"/>
        </w:rPr>
        <w:t xml:space="preserve">ed before </w:t>
      </w:r>
      <w:r w:rsidR="008D6FC4">
        <w:rPr>
          <w:rFonts w:ascii="Times New Roman" w:hAnsi="Times New Roman" w:cs="Times New Roman"/>
          <w:sz w:val="24"/>
          <w:szCs w:val="24"/>
        </w:rPr>
        <w:t>1 July 2023</w:t>
      </w:r>
      <w:r w:rsidRPr="00E646A6">
        <w:rPr>
          <w:rFonts w:ascii="Times New Roman" w:hAnsi="Times New Roman" w:cs="Times New Roman"/>
          <w:sz w:val="24"/>
          <w:szCs w:val="24"/>
        </w:rPr>
        <w:t xml:space="preserve">. </w:t>
      </w:r>
    </w:p>
    <w:p w14:paraId="7490BB49" w14:textId="648292CD"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sidR="002C2E73">
        <w:rPr>
          <w:rFonts w:ascii="Times New Roman" w:hAnsi="Times New Roman" w:cs="Times New Roman"/>
          <w:i/>
          <w:sz w:val="24"/>
          <w:szCs w:val="24"/>
        </w:rPr>
        <w:t>0</w:t>
      </w:r>
      <w:r w:rsidRPr="002E123D">
        <w:rPr>
          <w:rFonts w:ascii="Times New Roman" w:hAnsi="Times New Roman" w:cs="Times New Roman"/>
          <w:i/>
          <w:sz w:val="24"/>
          <w:szCs w:val="24"/>
        </w:rPr>
        <w:t>-1</w:t>
      </w:r>
      <w:r w:rsidR="002C2E73">
        <w:rPr>
          <w:rFonts w:ascii="Times New Roman" w:hAnsi="Times New Roman" w:cs="Times New Roman"/>
          <w:i/>
          <w:sz w:val="24"/>
          <w:szCs w:val="24"/>
        </w:rPr>
        <w:t>1</w:t>
      </w:r>
    </w:p>
    <w:p w14:paraId="6F6DCFC2" w14:textId="4FF7F194" w:rsidR="003E5777" w:rsidRPr="002E123D" w:rsidRDefault="003E5777" w:rsidP="003E5777">
      <w:r w:rsidRPr="002E123D">
        <w:rPr>
          <w:rFonts w:ascii="Times New Roman" w:hAnsi="Times New Roman" w:cs="Times New Roman"/>
          <w:sz w:val="24"/>
          <w:szCs w:val="24"/>
        </w:rPr>
        <w:t>Paragraph 1</w:t>
      </w:r>
      <w:r w:rsidR="002C2E73">
        <w:rPr>
          <w:rFonts w:ascii="Times New Roman" w:hAnsi="Times New Roman" w:cs="Times New Roman"/>
          <w:sz w:val="24"/>
          <w:szCs w:val="24"/>
        </w:rPr>
        <w:t>0</w:t>
      </w:r>
      <w:r w:rsidRPr="002E123D">
        <w:rPr>
          <w:rFonts w:ascii="Times New Roman" w:hAnsi="Times New Roman" w:cs="Times New Roman"/>
          <w:sz w:val="24"/>
          <w:szCs w:val="24"/>
        </w:rPr>
        <w:t xml:space="preserve"> provides definitions of common terms used throughout this reporting standard. Paragraph 1</w:t>
      </w:r>
      <w:r w:rsidR="002C2E73">
        <w:rPr>
          <w:rFonts w:ascii="Times New Roman" w:hAnsi="Times New Roman" w:cs="Times New Roman"/>
          <w:sz w:val="24"/>
          <w:szCs w:val="24"/>
        </w:rPr>
        <w:t>1</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5516AA9F" w14:textId="5FE5EB37"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w:t>
      </w:r>
      <w:r w:rsidR="00A169C3">
        <w:rPr>
          <w:rFonts w:ascii="Times New Roman" w:hAnsi="Times New Roman" w:cs="Times New Roman"/>
          <w:sz w:val="24"/>
          <w:szCs w:val="24"/>
        </w:rPr>
        <w:t xml:space="preserve"> guide</w:t>
      </w:r>
    </w:p>
    <w:p w14:paraId="619C7F2F" w14:textId="78B40062"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w:t>
      </w:r>
      <w:r w:rsidR="00A169C3">
        <w:rPr>
          <w:rFonts w:ascii="Times New Roman" w:hAnsi="Times New Roman" w:cs="Times New Roman"/>
          <w:sz w:val="24"/>
          <w:szCs w:val="24"/>
        </w:rPr>
        <w:t xml:space="preserve"> guide</w:t>
      </w:r>
      <w:r w:rsidRPr="004B2060">
        <w:rPr>
          <w:rFonts w:ascii="Times New Roman" w:hAnsi="Times New Roman" w:cs="Times New Roman"/>
          <w:sz w:val="24"/>
          <w:szCs w:val="24"/>
        </w:rPr>
        <w:t xml:space="preserve"> contain</w:t>
      </w:r>
      <w:r w:rsidR="00A169C3">
        <w:rPr>
          <w:rFonts w:ascii="Times New Roman" w:hAnsi="Times New Roman" w:cs="Times New Roman"/>
          <w:sz w:val="24"/>
          <w:szCs w:val="24"/>
        </w:rPr>
        <w:t>s</w:t>
      </w:r>
      <w:r w:rsidRPr="004B2060">
        <w:rPr>
          <w:rFonts w:ascii="Times New Roman" w:hAnsi="Times New Roman" w:cs="Times New Roman"/>
          <w:sz w:val="24"/>
          <w:szCs w:val="24"/>
        </w:rPr>
        <w:t xml:space="preserve"> </w:t>
      </w:r>
      <w:r w:rsidR="00447958">
        <w:rPr>
          <w:rFonts w:ascii="Times New Roman" w:hAnsi="Times New Roman" w:cs="Times New Roman"/>
          <w:sz w:val="24"/>
          <w:szCs w:val="24"/>
        </w:rPr>
        <w:t>the general instructions</w:t>
      </w:r>
      <w:r w:rsidRPr="004B2060">
        <w:rPr>
          <w:rFonts w:ascii="Times New Roman" w:hAnsi="Times New Roman" w:cs="Times New Roman"/>
          <w:sz w:val="24"/>
          <w:szCs w:val="24"/>
        </w:rPr>
        <w:t xml:space="preserve"> </w:t>
      </w:r>
      <w:r w:rsidR="00447958">
        <w:rPr>
          <w:rFonts w:ascii="Times New Roman" w:hAnsi="Times New Roman" w:cs="Times New Roman"/>
          <w:sz w:val="24"/>
          <w:szCs w:val="24"/>
        </w:rPr>
        <w:t>for providing information under general insurance reporting standards to APRA</w:t>
      </w:r>
      <w:r w:rsidRPr="004B2060">
        <w:rPr>
          <w:rFonts w:ascii="Times New Roman" w:hAnsi="Times New Roman" w:cs="Times New Roman"/>
          <w:sz w:val="24"/>
          <w:szCs w:val="24"/>
        </w:rPr>
        <w:t xml:space="preserve">. Information in the general instructions applies to </w:t>
      </w:r>
      <w:r w:rsidR="00DE7252">
        <w:rPr>
          <w:rFonts w:ascii="Times New Roman" w:hAnsi="Times New Roman" w:cs="Times New Roman"/>
          <w:sz w:val="24"/>
          <w:szCs w:val="24"/>
        </w:rPr>
        <w:t>all general insurance reporting standards</w:t>
      </w:r>
      <w:r w:rsidRPr="004B2060">
        <w:rPr>
          <w:rFonts w:ascii="Times New Roman" w:hAnsi="Times New Roman" w:cs="Times New Roman"/>
          <w:sz w:val="24"/>
          <w:szCs w:val="24"/>
        </w:rPr>
        <w:t xml:space="preserve">. This information includes definitions of terms that relate to the data reported to APRA under </w:t>
      </w:r>
      <w:r w:rsidR="00431D15">
        <w:rPr>
          <w:rFonts w:ascii="Times New Roman" w:hAnsi="Times New Roman" w:cs="Times New Roman"/>
          <w:sz w:val="24"/>
          <w:szCs w:val="24"/>
        </w:rPr>
        <w:t>general insurance</w:t>
      </w:r>
      <w:r w:rsidRPr="004B2060">
        <w:rPr>
          <w:rFonts w:ascii="Times New Roman" w:hAnsi="Times New Roman" w:cs="Times New Roman"/>
          <w:sz w:val="24"/>
          <w:szCs w:val="24"/>
        </w:rPr>
        <w:t xml:space="preserve"> reporting standard</w:t>
      </w:r>
      <w:r w:rsidR="00431D15">
        <w:rPr>
          <w:rFonts w:ascii="Times New Roman" w:hAnsi="Times New Roman" w:cs="Times New Roman"/>
          <w:sz w:val="24"/>
          <w:szCs w:val="24"/>
        </w:rPr>
        <w:t>s</w:t>
      </w:r>
      <w:r w:rsidR="000F5473">
        <w:rPr>
          <w:rFonts w:ascii="Times New Roman" w:hAnsi="Times New Roman" w:cs="Times New Roman"/>
          <w:sz w:val="24"/>
          <w:szCs w:val="24"/>
        </w:rPr>
        <w:t xml:space="preserve"> and</w:t>
      </w:r>
      <w:r w:rsidRPr="004B2060">
        <w:rPr>
          <w:rFonts w:ascii="Times New Roman" w:hAnsi="Times New Roman" w:cs="Times New Roman"/>
          <w:sz w:val="24"/>
          <w:szCs w:val="24"/>
        </w:rPr>
        <w:t xml:space="preserve"> </w:t>
      </w:r>
      <w:r w:rsidR="00431D15">
        <w:rPr>
          <w:rFonts w:ascii="Times New Roman" w:hAnsi="Times New Roman" w:cs="Times New Roman"/>
          <w:sz w:val="24"/>
          <w:szCs w:val="24"/>
        </w:rPr>
        <w:t xml:space="preserve">measurement conventions to be applied across </w:t>
      </w:r>
      <w:r w:rsidR="000F5473">
        <w:rPr>
          <w:rFonts w:ascii="Times New Roman" w:hAnsi="Times New Roman" w:cs="Times New Roman"/>
          <w:sz w:val="24"/>
          <w:szCs w:val="24"/>
        </w:rPr>
        <w:t xml:space="preserve">all </w:t>
      </w:r>
      <w:r w:rsidR="00431D15">
        <w:rPr>
          <w:rFonts w:ascii="Times New Roman" w:hAnsi="Times New Roman" w:cs="Times New Roman"/>
          <w:sz w:val="24"/>
          <w:szCs w:val="24"/>
        </w:rPr>
        <w:t>general insurance reporting standards</w:t>
      </w:r>
      <w:r w:rsidRPr="004B2060">
        <w:rPr>
          <w:rFonts w:ascii="Times New Roman" w:hAnsi="Times New Roman" w:cs="Times New Roman"/>
          <w:sz w:val="24"/>
          <w:szCs w:val="24"/>
        </w:rPr>
        <w:t>.</w:t>
      </w:r>
    </w:p>
    <w:p w14:paraId="575AE3C8"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10D8C152" w14:textId="482E9031" w:rsidR="00644872" w:rsidRPr="003A08B8" w:rsidRDefault="00644872"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sidR="00796C49">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667D225B" w14:textId="77777777" w:rsidR="00644872" w:rsidRDefault="0064487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Parliament and associated delegated </w:t>
      </w:r>
      <w:proofErr w:type="gramStart"/>
      <w:r>
        <w:rPr>
          <w:rFonts w:ascii="Times New Roman" w:hAnsi="Times New Roman" w:cs="Times New Roman"/>
          <w:sz w:val="24"/>
          <w:szCs w:val="24"/>
        </w:rPr>
        <w:t>laws;</w:t>
      </w:r>
      <w:proofErr w:type="gramEnd"/>
    </w:p>
    <w:p w14:paraId="47D36FDA" w14:textId="7EA6EAD9" w:rsidR="00644872" w:rsidRPr="003A7F99" w:rsidRDefault="00644872"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0093219D" w:rsidRPr="00E8459D">
        <w:rPr>
          <w:rFonts w:ascii="Times New Roman" w:hAnsi="Times New Roman" w:cs="Times New Roman"/>
          <w:sz w:val="24"/>
          <w:szCs w:val="24"/>
        </w:rPr>
        <w:t>subsection 32(</w:t>
      </w:r>
      <w:r w:rsidR="0093219D">
        <w:rPr>
          <w:rFonts w:ascii="Times New Roman" w:hAnsi="Times New Roman" w:cs="Times New Roman"/>
          <w:sz w:val="24"/>
          <w:szCs w:val="24"/>
        </w:rPr>
        <w:t>1</w:t>
      </w:r>
      <w:r w:rsidR="0093219D" w:rsidRPr="00E8459D">
        <w:rPr>
          <w:rFonts w:ascii="Times New Roman" w:hAnsi="Times New Roman" w:cs="Times New Roman"/>
          <w:sz w:val="24"/>
          <w:szCs w:val="24"/>
        </w:rPr>
        <w:t>) of the </w:t>
      </w:r>
      <w:r w:rsidR="0093219D" w:rsidRPr="00E8459D">
        <w:rPr>
          <w:rFonts w:ascii="Times New Roman" w:hAnsi="Times New Roman" w:cs="Times New Roman"/>
          <w:i/>
          <w:iCs/>
          <w:sz w:val="24"/>
          <w:szCs w:val="24"/>
        </w:rPr>
        <w:t xml:space="preserve">Insurance Act </w:t>
      </w:r>
      <w:proofErr w:type="gramStart"/>
      <w:r w:rsidR="0093219D" w:rsidRPr="00E8459D">
        <w:rPr>
          <w:rFonts w:ascii="Times New Roman" w:hAnsi="Times New Roman" w:cs="Times New Roman"/>
          <w:i/>
          <w:iCs/>
          <w:sz w:val="24"/>
          <w:szCs w:val="24"/>
        </w:rPr>
        <w:t>1973</w:t>
      </w:r>
      <w:r w:rsidRPr="003A7F99">
        <w:rPr>
          <w:rFonts w:ascii="Times New Roman" w:hAnsi="Times New Roman" w:cs="Times New Roman"/>
          <w:iCs/>
          <w:sz w:val="24"/>
          <w:szCs w:val="24"/>
        </w:rPr>
        <w:t>;</w:t>
      </w:r>
      <w:proofErr w:type="gramEnd"/>
      <w:r w:rsidRPr="003A7F99">
        <w:rPr>
          <w:rFonts w:ascii="Times New Roman" w:hAnsi="Times New Roman" w:cs="Times New Roman"/>
          <w:iCs/>
          <w:sz w:val="24"/>
          <w:szCs w:val="24"/>
        </w:rPr>
        <w:t xml:space="preserve"> </w:t>
      </w:r>
    </w:p>
    <w:p w14:paraId="1576E992" w14:textId="2EF891F9" w:rsidR="00644872" w:rsidRPr="00455BA9" w:rsidRDefault="0064487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sidR="007B231E">
        <w:rPr>
          <w:rFonts w:ascii="Times New Roman" w:hAnsi="Times New Roman" w:cs="Times New Roman"/>
          <w:iCs/>
          <w:sz w:val="24"/>
          <w:szCs w:val="24"/>
          <w:lang w:val="en-US"/>
        </w:rPr>
        <w:t xml:space="preserve"> and</w:t>
      </w:r>
    </w:p>
    <w:p w14:paraId="15B69B5C" w14:textId="4FCAE8CD" w:rsidR="00644872" w:rsidRPr="007B231E" w:rsidRDefault="00644872" w:rsidP="00F71AF6">
      <w:pPr>
        <w:numPr>
          <w:ilvl w:val="0"/>
          <w:numId w:val="21"/>
        </w:numPr>
        <w:rPr>
          <w:rFonts w:ascii="Times New Roman" w:hAnsi="Times New Roman" w:cs="Times New Roman"/>
          <w:i/>
          <w:iCs/>
          <w:sz w:val="24"/>
          <w:szCs w:val="24"/>
        </w:rPr>
      </w:pPr>
      <w:r w:rsidRPr="007B231E">
        <w:rPr>
          <w:rFonts w:ascii="Times New Roman" w:hAnsi="Times New Roman" w:cs="Times New Roman"/>
          <w:sz w:val="24"/>
          <w:szCs w:val="24"/>
        </w:rPr>
        <w:t xml:space="preserve">Australian Accounting Standards determined by the Australian Accounting Standards Board under section 334 of the </w:t>
      </w:r>
      <w:r w:rsidRPr="007B231E">
        <w:rPr>
          <w:rFonts w:ascii="Times New Roman" w:hAnsi="Times New Roman" w:cs="Times New Roman"/>
          <w:i/>
          <w:iCs/>
          <w:sz w:val="24"/>
          <w:szCs w:val="24"/>
        </w:rPr>
        <w:t xml:space="preserve">Corporations Act 2001 </w:t>
      </w:r>
      <w:r w:rsidRPr="007B231E">
        <w:rPr>
          <w:rFonts w:ascii="Times New Roman" w:hAnsi="Times New Roman" w:cs="Times New Roman"/>
          <w:sz w:val="24"/>
          <w:szCs w:val="24"/>
        </w:rPr>
        <w:t>(</w:t>
      </w:r>
      <w:proofErr w:type="spellStart"/>
      <w:r w:rsidRPr="007B231E">
        <w:rPr>
          <w:rFonts w:ascii="Times New Roman" w:hAnsi="Times New Roman" w:cs="Times New Roman"/>
          <w:sz w:val="24"/>
          <w:szCs w:val="24"/>
        </w:rPr>
        <w:t>Cth</w:t>
      </w:r>
      <w:proofErr w:type="spellEnd"/>
      <w:r w:rsidRPr="007B231E">
        <w:rPr>
          <w:rFonts w:ascii="Times New Roman" w:hAnsi="Times New Roman" w:cs="Times New Roman"/>
          <w:sz w:val="24"/>
          <w:szCs w:val="24"/>
        </w:rPr>
        <w:t>).</w:t>
      </w:r>
    </w:p>
    <w:p w14:paraId="1972CB3A" w14:textId="21DE7717" w:rsidR="00644872" w:rsidRDefault="00644872"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w:t>
      </w:r>
      <w:r w:rsidR="007B231E">
        <w:rPr>
          <w:rFonts w:ascii="Times New Roman" w:hAnsi="Times New Roman" w:cs="Times New Roman"/>
          <w:sz w:val="24"/>
          <w:szCs w:val="24"/>
        </w:rPr>
        <w:t xml:space="preserve">and </w:t>
      </w:r>
      <w:hyperlink r:id="rId12" w:history="1">
        <w:r w:rsidR="007B231E" w:rsidRPr="00B9377E">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54F80AB1" w14:textId="77777777" w:rsidR="00D274ED" w:rsidRPr="00D274ED" w:rsidRDefault="00D274ED"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4ABEF9AC" w14:textId="6886657B"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sidR="00B9229D">
        <w:rPr>
          <w:rFonts w:ascii="Times New Roman" w:hAnsi="Times New Roman" w:cs="Times New Roman"/>
          <w:sz w:val="24"/>
          <w:szCs w:val="24"/>
        </w:rPr>
        <w:t xml:space="preserve">insurers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due date for </w:t>
      </w:r>
      <w:r w:rsidR="00274D5F">
        <w:rPr>
          <w:rFonts w:ascii="Times New Roman" w:hAnsi="Times New Roman" w:cs="Times New Roman"/>
          <w:sz w:val="24"/>
          <w:szCs w:val="24"/>
        </w:rPr>
        <w:t>an insurer</w:t>
      </w:r>
      <w:r w:rsidR="00B442DC">
        <w:rPr>
          <w:rFonts w:ascii="Times New Roman" w:hAnsi="Times New Roman" w:cs="Times New Roman"/>
          <w:sz w:val="24"/>
          <w:szCs w:val="24"/>
        </w:rPr>
        <w:t xml:space="preserve"> </w:t>
      </w:r>
      <w:r w:rsidR="00CF3DA1">
        <w:rPr>
          <w:rFonts w:ascii="Times New Roman" w:hAnsi="Times New Roman" w:cs="Times New Roman"/>
          <w:sz w:val="24"/>
          <w:szCs w:val="24"/>
        </w:rPr>
        <w:t xml:space="preserve">or parent entity of a Level 2 insurance group </w:t>
      </w:r>
      <w:r w:rsidRPr="009D77B5">
        <w:rPr>
          <w:rFonts w:ascii="Times New Roman" w:hAnsi="Times New Roman" w:cs="Times New Roman"/>
          <w:sz w:val="24"/>
          <w:szCs w:val="24"/>
        </w:rPr>
        <w:t>to provide information required by each of the instruments</w:t>
      </w:r>
      <w:r w:rsidR="00364D9A">
        <w:rPr>
          <w:rFonts w:ascii="Times New Roman" w:hAnsi="Times New Roman" w:cs="Times New Roman"/>
          <w:sz w:val="24"/>
          <w:szCs w:val="24"/>
        </w:rPr>
        <w:t xml:space="preserve">, and APRA exercising discretion on how insurers should prepare reporting tables </w:t>
      </w:r>
      <w:r w:rsidR="00364D9A">
        <w:rPr>
          <w:rFonts w:ascii="Times New Roman" w:hAnsi="Times New Roman" w:cs="Times New Roman"/>
          <w:sz w:val="24"/>
          <w:szCs w:val="24"/>
        </w:rPr>
        <w:lastRenderedPageBreak/>
        <w:t>based on the concept of materiality as applied in the Australian Accounting Standards</w:t>
      </w:r>
      <w:r w:rsidRPr="009D77B5">
        <w:rPr>
          <w:rFonts w:ascii="Times New Roman" w:hAnsi="Times New Roman" w:cs="Times New Roman"/>
          <w:sz w:val="24"/>
          <w:szCs w:val="24"/>
        </w:rPr>
        <w:t>.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 being revoked by the instrument. </w:t>
      </w:r>
    </w:p>
    <w:p w14:paraId="1B7D1F5E" w14:textId="77777777"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A29117F" w14:textId="77777777"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3BC541CD" w14:textId="53C86950" w:rsidR="007B5325" w:rsidRDefault="007B5325"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w:t>
      </w:r>
      <w:r w:rsidRPr="0031471B">
        <w:rPr>
          <w:rFonts w:ascii="Times New Roman" w:hAnsi="Times New Roman" w:cs="Times New Roman"/>
          <w:sz w:val="24"/>
          <w:szCs w:val="24"/>
        </w:rPr>
        <w:t>Standard was completed on</w:t>
      </w:r>
      <w:r w:rsidR="0031471B" w:rsidRPr="0031471B">
        <w:rPr>
          <w:rFonts w:ascii="Times New Roman" w:hAnsi="Times New Roman" w:cs="Times New Roman"/>
          <w:sz w:val="24"/>
          <w:szCs w:val="24"/>
        </w:rPr>
        <w:t xml:space="preserve"> 27 September 2022</w:t>
      </w:r>
      <w:r w:rsidRPr="0031471B">
        <w:rPr>
          <w:rFonts w:ascii="Times New Roman" w:hAnsi="Times New Roman" w:cs="Times New Roman"/>
          <w:sz w:val="24"/>
          <w:szCs w:val="24"/>
        </w:rPr>
        <w:t>, when APRA released finalised changes to the reportin</w:t>
      </w:r>
      <w:r w:rsidRPr="004A1269">
        <w:rPr>
          <w:rFonts w:ascii="Times New Roman" w:hAnsi="Times New Roman" w:cs="Times New Roman"/>
          <w:sz w:val="24"/>
          <w:szCs w:val="24"/>
        </w:rPr>
        <w:t>g framework for insurance in response to the introduction of</w:t>
      </w:r>
      <w:r>
        <w:rPr>
          <w:rFonts w:ascii="Times New Roman" w:hAnsi="Times New Roman" w:cs="Times New Roman"/>
          <w:sz w:val="24"/>
          <w:szCs w:val="24"/>
        </w:rPr>
        <w:t xml:space="preserve"> AASB 17, including finalised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w:t>
      </w:r>
    </w:p>
    <w:p w14:paraId="197A2978" w14:textId="77777777" w:rsidR="007B5325" w:rsidRDefault="007B5325" w:rsidP="007B5325">
      <w:pPr>
        <w:numPr>
          <w:ilvl w:val="0"/>
          <w:numId w:val="0"/>
        </w:numPr>
        <w:rPr>
          <w:rFonts w:ascii="Times New Roman" w:hAnsi="Times New Roman"/>
          <w:sz w:val="24"/>
          <w:szCs w:val="24"/>
        </w:rPr>
      </w:pPr>
      <w:r>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7E95ABD1" w14:textId="77777777" w:rsidR="007B5325" w:rsidRPr="004D16C6" w:rsidRDefault="007B5325" w:rsidP="007B5325">
      <w:pPr>
        <w:numPr>
          <w:ilvl w:val="0"/>
          <w:numId w:val="0"/>
        </w:numPr>
        <w:rPr>
          <w:rFonts w:ascii="Times New Roman" w:hAnsi="Times New Roman" w:cs="Times New Roman"/>
          <w:sz w:val="24"/>
          <w:szCs w:val="24"/>
          <w:highlight w:val="yellow"/>
        </w:rPr>
      </w:pPr>
      <w:r w:rsidRPr="004D16C6">
        <w:rPr>
          <w:rFonts w:ascii="Times New Roman" w:hAnsi="Times New Roman" w:cs="Times New Roman"/>
          <w:sz w:val="24"/>
          <w:szCs w:val="24"/>
        </w:rPr>
        <w:t>APRA is satisfied the consultation was appropriate and reasonably practicable.</w:t>
      </w:r>
    </w:p>
    <w:p w14:paraId="1D2864CC" w14:textId="05A2D7DE" w:rsidR="00211AFD" w:rsidRPr="00F921A4" w:rsidRDefault="00B670E9"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r>
      <w:r w:rsidR="00211AFD" w:rsidRPr="00F921A4">
        <w:rPr>
          <w:rFonts w:ascii="Times New Roman" w:hAnsi="Times New Roman" w:cs="Times New Roman"/>
          <w:b/>
          <w:sz w:val="24"/>
          <w:szCs w:val="24"/>
        </w:rPr>
        <w:t>Regulation Impact Statement</w:t>
      </w:r>
    </w:p>
    <w:p w14:paraId="71FFFEDD" w14:textId="7F40C560" w:rsidR="00A54193" w:rsidRPr="00F921A4" w:rsidRDefault="006B76C6" w:rsidP="00A54193">
      <w:pPr>
        <w:rPr>
          <w:rFonts w:ascii="Times New Roman" w:hAnsi="Times New Roman"/>
          <w:sz w:val="24"/>
          <w:szCs w:val="24"/>
        </w:rPr>
      </w:pPr>
      <w:r w:rsidRPr="00F921A4">
        <w:rPr>
          <w:rFonts w:ascii="Times New Roman" w:hAnsi="Times New Roman"/>
          <w:sz w:val="24"/>
          <w:szCs w:val="24"/>
        </w:rPr>
        <w:t>T</w:t>
      </w:r>
      <w:r w:rsidR="00A54193" w:rsidRPr="00F921A4">
        <w:rPr>
          <w:rFonts w:ascii="Times New Roman" w:hAnsi="Times New Roman"/>
          <w:sz w:val="24"/>
          <w:szCs w:val="24"/>
        </w:rPr>
        <w:t>he Office of Impact Analys</w:t>
      </w:r>
      <w:r w:rsidRPr="00F921A4">
        <w:rPr>
          <w:rFonts w:ascii="Times New Roman" w:hAnsi="Times New Roman"/>
          <w:sz w:val="24"/>
          <w:szCs w:val="24"/>
        </w:rPr>
        <w:t>is confirmed that a Regulation Impact Statement was not required</w:t>
      </w:r>
      <w:r w:rsidR="00A54193" w:rsidRPr="00F921A4">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527C0D1B"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964CC4">
        <w:rPr>
          <w:rFonts w:ascii="Times New Roman" w:eastAsia="Times New Roman" w:hAnsi="Times New Roman" w:cs="Times New Roman"/>
          <w:b/>
          <w:sz w:val="24"/>
          <w:szCs w:val="24"/>
          <w:lang w:eastAsia="en-AU"/>
        </w:rPr>
        <w:t>58</w:t>
      </w:r>
      <w:r w:rsidR="00867F68">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6E9B786D"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30457E" w:rsidRPr="00DF2C01">
        <w:rPr>
          <w:rFonts w:ascii="Times New Roman" w:hAnsi="Times New Roman"/>
          <w:sz w:val="24"/>
          <w:szCs w:val="24"/>
        </w:rPr>
        <w:t xml:space="preserve">revoke </w:t>
      </w:r>
      <w:r w:rsidR="00270BAF">
        <w:rPr>
          <w:rFonts w:ascii="Times New Roman" w:hAnsi="Times New Roman"/>
          <w:i/>
          <w:sz w:val="24"/>
          <w:szCs w:val="24"/>
        </w:rPr>
        <w:t>Reporting Standard GRS 001 Reporting Requirements</w:t>
      </w:r>
      <w:r w:rsidR="0030457E" w:rsidRPr="00DF2C01">
        <w:rPr>
          <w:rFonts w:ascii="Times New Roman" w:hAnsi="Times New Roman"/>
          <w:sz w:val="24"/>
          <w:szCs w:val="24"/>
        </w:rPr>
        <w:t xml:space="preserve"> made under Financial Sector (Collection of Data) (reporting standard) determination </w:t>
      </w:r>
      <w:r w:rsidR="002D1090">
        <w:rPr>
          <w:rFonts w:ascii="Times New Roman" w:hAnsi="Times New Roman"/>
          <w:sz w:val="24"/>
          <w:szCs w:val="24"/>
        </w:rPr>
        <w:t>no. 1 of 2016</w:t>
      </w:r>
      <w:r w:rsidR="0030457E">
        <w:rPr>
          <w:rFonts w:ascii="Times New Roman" w:hAnsi="Times New Roman"/>
          <w:sz w:val="24"/>
          <w:szCs w:val="24"/>
        </w:rPr>
        <w:t xml:space="preserve"> and replace it with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w:t>
      </w:r>
      <w:r w:rsidR="00270BAF">
        <w:rPr>
          <w:rFonts w:ascii="Times New Roman" w:hAnsi="Times New Roman"/>
          <w:i/>
          <w:sz w:val="24"/>
          <w:szCs w:val="24"/>
        </w:rPr>
        <w:t>GRS 001 Reporting Requirements</w:t>
      </w:r>
      <w:r w:rsidR="00270BAF" w:rsidRPr="00DF2C01">
        <w:rPr>
          <w:rFonts w:ascii="Times New Roman" w:hAnsi="Times New Roman"/>
          <w:sz w:val="24"/>
          <w:szCs w:val="24"/>
        </w:rPr>
        <w:t xml:space="preserve"> </w:t>
      </w:r>
      <w:r w:rsidR="00D56D61">
        <w:rPr>
          <w:rFonts w:ascii="Times New Roman" w:hAnsi="Times New Roman" w:cs="Times New Roman"/>
          <w:sz w:val="24"/>
          <w:szCs w:val="24"/>
        </w:rPr>
        <w:t>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to </w:t>
      </w:r>
      <w:r w:rsidR="000760BC">
        <w:rPr>
          <w:rFonts w:ascii="Times New Roman" w:hAnsi="Times New Roman" w:cs="Times New Roman"/>
          <w:i/>
          <w:sz w:val="24"/>
          <w:szCs w:val="24"/>
        </w:rPr>
        <w:t xml:space="preserve">Accounting Standard AASB 17 Insurance Contracts </w:t>
      </w:r>
      <w:r w:rsidR="000760BC">
        <w:rPr>
          <w:rFonts w:ascii="Times New Roman" w:hAnsi="Times New Roman" w:cs="Times New Roman"/>
          <w:sz w:val="24"/>
          <w:szCs w:val="24"/>
        </w:rPr>
        <w:t xml:space="preserve">and </w:t>
      </w:r>
      <w:r w:rsidR="00D56D61">
        <w:rPr>
          <w:rFonts w:ascii="Times New Roman" w:hAnsi="Times New Roman" w:cs="Times New Roman"/>
          <w:sz w:val="24"/>
          <w:szCs w:val="24"/>
        </w:rPr>
        <w:t xml:space="preserve">APRA’s </w:t>
      </w:r>
      <w:r w:rsidR="00EE0E4F">
        <w:rPr>
          <w:rFonts w:ascii="Times New Roman" w:hAnsi="Times New Roman" w:cs="Times New Roman"/>
          <w:sz w:val="24"/>
          <w:szCs w:val="24"/>
        </w:rPr>
        <w:t>prudential framework</w:t>
      </w:r>
      <w:r w:rsidR="001900CF">
        <w:rPr>
          <w:rFonts w:ascii="Times New Roman" w:hAnsi="Times New Roman" w:cs="Times New Roman"/>
          <w:sz w:val="24"/>
          <w:szCs w:val="24"/>
        </w:rPr>
        <w:t xml:space="preserve"> for</w:t>
      </w:r>
      <w:r w:rsidR="006D0FA0">
        <w:rPr>
          <w:rFonts w:ascii="Times New Roman" w:hAnsi="Times New Roman" w:cs="Times New Roman"/>
          <w:sz w:val="24"/>
          <w:szCs w:val="24"/>
        </w:rPr>
        <w:t xml:space="preserve"> general</w:t>
      </w:r>
      <w:r w:rsidR="001900CF">
        <w:rPr>
          <w:rFonts w:ascii="Times New Roman" w:hAnsi="Times New Roman" w:cs="Times New Roman"/>
          <w:sz w:val="24"/>
          <w:szCs w:val="24"/>
        </w:rPr>
        <w:t xml:space="preserve"> insurers</w:t>
      </w:r>
      <w:r w:rsidR="00D56D61">
        <w:rPr>
          <w:rFonts w:ascii="Times New Roman" w:hAnsi="Times New Roman" w:cs="Times New Roman"/>
          <w:sz w:val="24"/>
          <w:szCs w:val="24"/>
        </w:rPr>
        <w:t>.</w:t>
      </w:r>
      <w:r w:rsidR="000F62C5">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312451">
      <w:headerReference w:type="even" r:id="rId13"/>
      <w:headerReference w:type="default" r:id="rId14"/>
      <w:footerReference w:type="even" r:id="rId15"/>
      <w:footerReference w:type="default" r:id="rId16"/>
      <w:headerReference w:type="first" r:id="rId17"/>
      <w:footerReference w:type="first" r:id="rId18"/>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2AE5" w14:textId="77777777" w:rsidR="00891E5C" w:rsidRPr="000D4EDE" w:rsidRDefault="00891E5C" w:rsidP="000D4EDE">
      <w:r>
        <w:separator/>
      </w:r>
    </w:p>
  </w:endnote>
  <w:endnote w:type="continuationSeparator" w:id="0">
    <w:p w14:paraId="6CF4CA5D" w14:textId="77777777" w:rsidR="00891E5C" w:rsidRPr="000D4EDE" w:rsidRDefault="00891E5C" w:rsidP="000D4EDE">
      <w:r>
        <w:continuationSeparator/>
      </w:r>
    </w:p>
  </w:endnote>
  <w:endnote w:type="continuationNotice" w:id="1">
    <w:p w14:paraId="6EBBC960" w14:textId="77777777" w:rsidR="00891E5C" w:rsidRDefault="00891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6295" w14:textId="77777777" w:rsidR="00312451" w:rsidRDefault="00312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58474117"/>
      <w:docPartObj>
        <w:docPartGallery w:val="Page Numbers (Bottom of Page)"/>
        <w:docPartUnique/>
      </w:docPartObj>
    </w:sdtPr>
    <w:sdtEndPr>
      <w:rPr>
        <w:noProof/>
      </w:rPr>
    </w:sdtEndPr>
    <w:sdtContent>
      <w:p w14:paraId="70477D2B" w14:textId="0CCC360C" w:rsidR="002A0973" w:rsidRPr="002A0973" w:rsidRDefault="002A0973">
        <w:pPr>
          <w:pStyle w:val="Footer"/>
          <w:jc w:val="right"/>
          <w:rPr>
            <w:rFonts w:ascii="Times New Roman" w:hAnsi="Times New Roman" w:cs="Times New Roman"/>
            <w:sz w:val="24"/>
            <w:szCs w:val="24"/>
          </w:rPr>
        </w:pPr>
        <w:r w:rsidRPr="002A0973">
          <w:rPr>
            <w:rFonts w:ascii="Times New Roman" w:hAnsi="Times New Roman" w:cs="Times New Roman"/>
            <w:sz w:val="24"/>
            <w:szCs w:val="24"/>
          </w:rPr>
          <w:fldChar w:fldCharType="begin"/>
        </w:r>
        <w:r w:rsidRPr="002A0973">
          <w:rPr>
            <w:rFonts w:ascii="Times New Roman" w:hAnsi="Times New Roman" w:cs="Times New Roman"/>
            <w:sz w:val="24"/>
            <w:szCs w:val="24"/>
          </w:rPr>
          <w:instrText xml:space="preserve"> PAGE   \* MERGEFORMAT </w:instrText>
        </w:r>
        <w:r w:rsidRPr="002A0973">
          <w:rPr>
            <w:rFonts w:ascii="Times New Roman" w:hAnsi="Times New Roman" w:cs="Times New Roman"/>
            <w:sz w:val="24"/>
            <w:szCs w:val="24"/>
          </w:rPr>
          <w:fldChar w:fldCharType="separate"/>
        </w:r>
        <w:r w:rsidRPr="002A0973">
          <w:rPr>
            <w:rFonts w:ascii="Times New Roman" w:hAnsi="Times New Roman" w:cs="Times New Roman"/>
            <w:noProof/>
            <w:sz w:val="24"/>
            <w:szCs w:val="24"/>
          </w:rPr>
          <w:t>2</w:t>
        </w:r>
        <w:r w:rsidRPr="002A0973">
          <w:rPr>
            <w:rFonts w:ascii="Times New Roman" w:hAnsi="Times New Roman" w:cs="Times New Roman"/>
            <w:noProof/>
            <w:sz w:val="24"/>
            <w:szCs w:val="24"/>
          </w:rPr>
          <w:fldChar w:fldCharType="end"/>
        </w:r>
      </w:p>
    </w:sdtContent>
  </w:sdt>
  <w:p w14:paraId="65EC3715" w14:textId="77777777" w:rsidR="002A0973" w:rsidRDefault="002A0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068A" w14:textId="77777777" w:rsidR="00312451" w:rsidRDefault="00312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3E51" w14:textId="77777777" w:rsidR="00891E5C" w:rsidRPr="000D4EDE" w:rsidRDefault="00891E5C" w:rsidP="000D4EDE">
      <w:r>
        <w:separator/>
      </w:r>
    </w:p>
  </w:footnote>
  <w:footnote w:type="continuationSeparator" w:id="0">
    <w:p w14:paraId="40EED688" w14:textId="77777777" w:rsidR="00891E5C" w:rsidRPr="000D4EDE" w:rsidRDefault="00891E5C" w:rsidP="000D4EDE">
      <w:r>
        <w:continuationSeparator/>
      </w:r>
    </w:p>
  </w:footnote>
  <w:footnote w:type="continuationNotice" w:id="1">
    <w:p w14:paraId="5C46D063" w14:textId="77777777" w:rsidR="00891E5C" w:rsidRDefault="00891E5C">
      <w:pPr>
        <w:spacing w:after="0"/>
      </w:pPr>
    </w:p>
  </w:footnote>
  <w:footnote w:id="2">
    <w:p w14:paraId="4EED7F37" w14:textId="77777777" w:rsidR="007B5325" w:rsidRDefault="007B5325"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1A9B" w14:textId="77777777" w:rsidR="00312451" w:rsidRDefault="00312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B50B" w14:textId="77777777" w:rsidR="00312451" w:rsidRDefault="00312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2EEB" w14:textId="77777777" w:rsidR="00312451" w:rsidRDefault="00312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06D0"/>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4C4A"/>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246E"/>
    <w:rsid w:val="000F5473"/>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5AFC"/>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253F"/>
    <w:rsid w:val="00263414"/>
    <w:rsid w:val="002661A6"/>
    <w:rsid w:val="00266C23"/>
    <w:rsid w:val="00267D92"/>
    <w:rsid w:val="00270BAF"/>
    <w:rsid w:val="00274D5F"/>
    <w:rsid w:val="00277D6C"/>
    <w:rsid w:val="00282B90"/>
    <w:rsid w:val="00286EAD"/>
    <w:rsid w:val="00292A60"/>
    <w:rsid w:val="00292D3F"/>
    <w:rsid w:val="00292F38"/>
    <w:rsid w:val="0029389B"/>
    <w:rsid w:val="002A0973"/>
    <w:rsid w:val="002A1894"/>
    <w:rsid w:val="002A2188"/>
    <w:rsid w:val="002A36F2"/>
    <w:rsid w:val="002A7D14"/>
    <w:rsid w:val="002B0913"/>
    <w:rsid w:val="002B28E4"/>
    <w:rsid w:val="002B49A3"/>
    <w:rsid w:val="002B5EBC"/>
    <w:rsid w:val="002B7504"/>
    <w:rsid w:val="002C0D97"/>
    <w:rsid w:val="002C2E73"/>
    <w:rsid w:val="002C66D1"/>
    <w:rsid w:val="002C6A0B"/>
    <w:rsid w:val="002C7065"/>
    <w:rsid w:val="002C7D73"/>
    <w:rsid w:val="002C7F4A"/>
    <w:rsid w:val="002D1090"/>
    <w:rsid w:val="002D2804"/>
    <w:rsid w:val="002D4B6C"/>
    <w:rsid w:val="002D5274"/>
    <w:rsid w:val="002E123D"/>
    <w:rsid w:val="002E1EE3"/>
    <w:rsid w:val="002E447D"/>
    <w:rsid w:val="002F0135"/>
    <w:rsid w:val="002F0C2C"/>
    <w:rsid w:val="002F52CE"/>
    <w:rsid w:val="00300655"/>
    <w:rsid w:val="0030075D"/>
    <w:rsid w:val="00301BB1"/>
    <w:rsid w:val="00302B12"/>
    <w:rsid w:val="00303D18"/>
    <w:rsid w:val="0030457E"/>
    <w:rsid w:val="00307ADD"/>
    <w:rsid w:val="00307E55"/>
    <w:rsid w:val="00311FD1"/>
    <w:rsid w:val="00312451"/>
    <w:rsid w:val="00312A66"/>
    <w:rsid w:val="003130CA"/>
    <w:rsid w:val="0031471B"/>
    <w:rsid w:val="003163CB"/>
    <w:rsid w:val="00321180"/>
    <w:rsid w:val="00321646"/>
    <w:rsid w:val="0032180D"/>
    <w:rsid w:val="003306A5"/>
    <w:rsid w:val="00340CB2"/>
    <w:rsid w:val="00355653"/>
    <w:rsid w:val="00355D40"/>
    <w:rsid w:val="00364D9A"/>
    <w:rsid w:val="00364F41"/>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17"/>
    <w:rsid w:val="003D329D"/>
    <w:rsid w:val="003E1BB3"/>
    <w:rsid w:val="003E204A"/>
    <w:rsid w:val="003E5777"/>
    <w:rsid w:val="003E626D"/>
    <w:rsid w:val="003E6BF6"/>
    <w:rsid w:val="003F0F0D"/>
    <w:rsid w:val="003F48CC"/>
    <w:rsid w:val="00401627"/>
    <w:rsid w:val="0040173E"/>
    <w:rsid w:val="004018F5"/>
    <w:rsid w:val="00424A42"/>
    <w:rsid w:val="004310A1"/>
    <w:rsid w:val="00431D15"/>
    <w:rsid w:val="00434A5B"/>
    <w:rsid w:val="00435339"/>
    <w:rsid w:val="004410DC"/>
    <w:rsid w:val="0044447D"/>
    <w:rsid w:val="0044482D"/>
    <w:rsid w:val="0044591E"/>
    <w:rsid w:val="00446C88"/>
    <w:rsid w:val="00447958"/>
    <w:rsid w:val="00450C67"/>
    <w:rsid w:val="00450D2C"/>
    <w:rsid w:val="00452279"/>
    <w:rsid w:val="0046020A"/>
    <w:rsid w:val="00460CF7"/>
    <w:rsid w:val="00463FA8"/>
    <w:rsid w:val="00464196"/>
    <w:rsid w:val="00466648"/>
    <w:rsid w:val="0047203C"/>
    <w:rsid w:val="00472CBC"/>
    <w:rsid w:val="004765B3"/>
    <w:rsid w:val="00477B09"/>
    <w:rsid w:val="0048005F"/>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4DC"/>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0A08"/>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80B95"/>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F0C9F"/>
    <w:rsid w:val="005F29B7"/>
    <w:rsid w:val="00606EB5"/>
    <w:rsid w:val="00606FC8"/>
    <w:rsid w:val="00616C90"/>
    <w:rsid w:val="00617663"/>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2E28"/>
    <w:rsid w:val="00663820"/>
    <w:rsid w:val="0066620C"/>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0FA0"/>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80174"/>
    <w:rsid w:val="00791738"/>
    <w:rsid w:val="00791780"/>
    <w:rsid w:val="00792D37"/>
    <w:rsid w:val="0079390C"/>
    <w:rsid w:val="00796C49"/>
    <w:rsid w:val="007A0EB7"/>
    <w:rsid w:val="007B231E"/>
    <w:rsid w:val="007B2C90"/>
    <w:rsid w:val="007B2E49"/>
    <w:rsid w:val="007B5325"/>
    <w:rsid w:val="007B6871"/>
    <w:rsid w:val="007B7899"/>
    <w:rsid w:val="007C08B1"/>
    <w:rsid w:val="007C2CC2"/>
    <w:rsid w:val="007C38BD"/>
    <w:rsid w:val="007C79AA"/>
    <w:rsid w:val="007D1955"/>
    <w:rsid w:val="007D2A80"/>
    <w:rsid w:val="007D31DA"/>
    <w:rsid w:val="007D72C5"/>
    <w:rsid w:val="007E1D1C"/>
    <w:rsid w:val="007E525D"/>
    <w:rsid w:val="007E5A0D"/>
    <w:rsid w:val="007E7735"/>
    <w:rsid w:val="007F0323"/>
    <w:rsid w:val="007F379E"/>
    <w:rsid w:val="007F471C"/>
    <w:rsid w:val="007F4AF1"/>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1E5C"/>
    <w:rsid w:val="008947BF"/>
    <w:rsid w:val="008A0CAB"/>
    <w:rsid w:val="008A0CBE"/>
    <w:rsid w:val="008A1CA8"/>
    <w:rsid w:val="008A214D"/>
    <w:rsid w:val="008A4A5B"/>
    <w:rsid w:val="008A6F4A"/>
    <w:rsid w:val="008A72D2"/>
    <w:rsid w:val="008A74A3"/>
    <w:rsid w:val="008B5E79"/>
    <w:rsid w:val="008B6868"/>
    <w:rsid w:val="008B6D24"/>
    <w:rsid w:val="008C34F7"/>
    <w:rsid w:val="008C6A43"/>
    <w:rsid w:val="008C7FD5"/>
    <w:rsid w:val="008D080C"/>
    <w:rsid w:val="008D1867"/>
    <w:rsid w:val="008D6437"/>
    <w:rsid w:val="008D6EDF"/>
    <w:rsid w:val="008D6FC4"/>
    <w:rsid w:val="008D7428"/>
    <w:rsid w:val="008E3EF5"/>
    <w:rsid w:val="008E712A"/>
    <w:rsid w:val="008F0B1D"/>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61E8D"/>
    <w:rsid w:val="00964CC4"/>
    <w:rsid w:val="009720E1"/>
    <w:rsid w:val="00974F0E"/>
    <w:rsid w:val="00975CD7"/>
    <w:rsid w:val="009762C2"/>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32F7"/>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169C3"/>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55E7A"/>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3DB9"/>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11BD"/>
    <w:rsid w:val="00B24DD4"/>
    <w:rsid w:val="00B32197"/>
    <w:rsid w:val="00B3253A"/>
    <w:rsid w:val="00B33A8A"/>
    <w:rsid w:val="00B34339"/>
    <w:rsid w:val="00B40B7D"/>
    <w:rsid w:val="00B42B2F"/>
    <w:rsid w:val="00B442DC"/>
    <w:rsid w:val="00B44900"/>
    <w:rsid w:val="00B467F6"/>
    <w:rsid w:val="00B472E1"/>
    <w:rsid w:val="00B50222"/>
    <w:rsid w:val="00B52821"/>
    <w:rsid w:val="00B55F0B"/>
    <w:rsid w:val="00B56C63"/>
    <w:rsid w:val="00B57B01"/>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6CBD"/>
    <w:rsid w:val="00BA2713"/>
    <w:rsid w:val="00BA2941"/>
    <w:rsid w:val="00BA3358"/>
    <w:rsid w:val="00BA4C61"/>
    <w:rsid w:val="00BA627A"/>
    <w:rsid w:val="00BB22FA"/>
    <w:rsid w:val="00BC1E70"/>
    <w:rsid w:val="00BC2D59"/>
    <w:rsid w:val="00BD12A1"/>
    <w:rsid w:val="00BD1D09"/>
    <w:rsid w:val="00BD7B83"/>
    <w:rsid w:val="00BE0662"/>
    <w:rsid w:val="00BE0C04"/>
    <w:rsid w:val="00BE5D4A"/>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A"/>
    <w:rsid w:val="00C813CD"/>
    <w:rsid w:val="00C8424C"/>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DA1"/>
    <w:rsid w:val="00CF3E83"/>
    <w:rsid w:val="00CF42C2"/>
    <w:rsid w:val="00CF46D3"/>
    <w:rsid w:val="00CF55F6"/>
    <w:rsid w:val="00CF59E0"/>
    <w:rsid w:val="00CF6672"/>
    <w:rsid w:val="00D021F7"/>
    <w:rsid w:val="00D0248E"/>
    <w:rsid w:val="00D04F5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3022"/>
    <w:rsid w:val="00DB507C"/>
    <w:rsid w:val="00DB53A7"/>
    <w:rsid w:val="00DC1CB6"/>
    <w:rsid w:val="00DD170F"/>
    <w:rsid w:val="00DD3524"/>
    <w:rsid w:val="00DD7F67"/>
    <w:rsid w:val="00DE0A8A"/>
    <w:rsid w:val="00DE1106"/>
    <w:rsid w:val="00DE58B9"/>
    <w:rsid w:val="00DE7252"/>
    <w:rsid w:val="00DF1EB2"/>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61784"/>
    <w:rsid w:val="00E625B3"/>
    <w:rsid w:val="00E62AD7"/>
    <w:rsid w:val="00E646A6"/>
    <w:rsid w:val="00E64743"/>
    <w:rsid w:val="00E653D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4A72"/>
    <w:rsid w:val="00EB74A5"/>
    <w:rsid w:val="00EC67E3"/>
    <w:rsid w:val="00EC7BF7"/>
    <w:rsid w:val="00ED0355"/>
    <w:rsid w:val="00ED07B3"/>
    <w:rsid w:val="00ED4C82"/>
    <w:rsid w:val="00EE0126"/>
    <w:rsid w:val="00EE0C89"/>
    <w:rsid w:val="00EE0E4F"/>
    <w:rsid w:val="00EE1A9E"/>
    <w:rsid w:val="00EE47FE"/>
    <w:rsid w:val="00EE4F0F"/>
    <w:rsid w:val="00EE50C6"/>
    <w:rsid w:val="00EE5BC9"/>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3668F"/>
    <w:rsid w:val="00F41BD7"/>
    <w:rsid w:val="00F57F7A"/>
    <w:rsid w:val="00F6010F"/>
    <w:rsid w:val="00F62D33"/>
    <w:rsid w:val="00F64AB3"/>
    <w:rsid w:val="00F655AA"/>
    <w:rsid w:val="00F6570B"/>
    <w:rsid w:val="00F66681"/>
    <w:rsid w:val="00F66FEA"/>
    <w:rsid w:val="00F67615"/>
    <w:rsid w:val="00F71AF6"/>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4CF2"/>
    <w:rsid w:val="00FC071B"/>
    <w:rsid w:val="00FC4845"/>
    <w:rsid w:val="00FC6B03"/>
    <w:rsid w:val="00FD06D5"/>
    <w:rsid w:val="00FD0B98"/>
    <w:rsid w:val="00FD2164"/>
    <w:rsid w:val="00FD28FF"/>
    <w:rsid w:val="00FD68A1"/>
    <w:rsid w:val="00FE0985"/>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C77F9764-2FEB-4205-BAE4-EBD1CA26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A39F2-5068-45BF-85CC-A816CCABDD3E}">
  <ds:schemaRef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0873f81f-5545-4105-9cf3-1e567ff68fe4"/>
    <ds:schemaRef ds:uri="http://purl.org/dc/terms/"/>
    <ds:schemaRef ds:uri="5e7d1d2f-1d1d-4328-b1c4-d23268d86024"/>
    <ds:schemaRef ds:uri="http://www.w3.org/XML/1998/namespace"/>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1766</Words>
  <Characters>10265</Characters>
  <Application>Microsoft Office Word</Application>
  <DocSecurity>4</DocSecurity>
  <Lines>168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Links>
    <vt:vector size="18" baseType="variant">
      <vt:variant>
        <vt:i4>1966102</vt:i4>
      </vt:variant>
      <vt:variant>
        <vt:i4>3</vt:i4>
      </vt:variant>
      <vt:variant>
        <vt:i4>0</vt:i4>
      </vt:variant>
      <vt:variant>
        <vt:i4>5</vt:i4>
      </vt:variant>
      <vt:variant>
        <vt:lpwstr>https://www.aasb.gov.au/pronouncements/accounting-standards/</vt:lpwstr>
      </vt:variant>
      <vt:variant>
        <vt:lpwstr/>
      </vt:variant>
      <vt:variant>
        <vt:i4>6946865</vt:i4>
      </vt:variant>
      <vt:variant>
        <vt:i4>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2023-05-23T01:10:00Z</dcterms:created>
  <dcterms:modified xsi:type="dcterms:W3CDTF">2023-05-23T01:10:00Z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DA7F557A7883086D75E03662BCA0EA2B</vt:lpwstr>
  </property>
  <property fmtid="{D5CDD505-2E9C-101B-9397-08002B2CF9AE}" pid="55" name="PM_Hash_Salt">
    <vt:lpwstr>8CBE9E5B3FC926CA0BEA6618E6A28B62</vt:lpwstr>
  </property>
  <property fmtid="{D5CDD505-2E9C-101B-9397-08002B2CF9AE}" pid="56" name="PM_Hash_SHA1">
    <vt:lpwstr>1F3CA14B69FFD48B76AA8C6635C817AEC7617054</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v=2022.1;a=SHA256;h=B9380D86B0A7815FC48B1F36F10B16DA1031B75C1AD7635B5E3864CEDA15FBBA</vt:lpwstr>
  </property>
  <property fmtid="{D5CDD505-2E9C-101B-9397-08002B2CF9AE}" pid="61" name="MSIP_Label_c0129afb-6481-4f92-bc9f-5a4a6346364d_ContentBits">
    <vt:lpwstr>0</vt:lpwstr>
  </property>
  <property fmtid="{D5CDD505-2E9C-101B-9397-08002B2CF9AE}" pid="62" name="MSIP_Label_c0129afb-6481-4f92-bc9f-5a4a6346364d_ActionId">
    <vt:lpwstr>4fe902b48c094e1ca05e2f3741ed133a</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