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2C3F" w14:textId="77777777" w:rsidR="009E6667" w:rsidRPr="000B237A" w:rsidRDefault="009E6667" w:rsidP="009E6667">
      <w:pPr>
        <w:rPr>
          <w:lang w:val="en-US"/>
        </w:rPr>
      </w:pPr>
      <w:bookmarkStart w:id="0" w:name="_Toc168113228"/>
      <w:r w:rsidRPr="000B237A">
        <w:rPr>
          <w:noProof/>
        </w:rPr>
        <w:drawing>
          <wp:inline distT="0" distB="0" distL="0" distR="0" wp14:anchorId="50986637" wp14:editId="019619E9">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9B00D7B" w14:textId="77777777" w:rsidR="009E6667" w:rsidRPr="002E4062" w:rsidRDefault="009E6667" w:rsidP="009E6667">
      <w:pPr>
        <w:spacing w:before="480"/>
        <w:rPr>
          <w:rFonts w:ascii="Arial" w:hAnsi="Arial" w:cs="Arial"/>
          <w:b/>
          <w:bCs/>
          <w:sz w:val="40"/>
          <w:szCs w:val="40"/>
        </w:rPr>
      </w:pPr>
      <w:r w:rsidRPr="000B237A">
        <w:rPr>
          <w:rFonts w:ascii="Arial" w:hAnsi="Arial" w:cs="Arial"/>
          <w:b/>
          <w:bCs/>
          <w:sz w:val="40"/>
          <w:szCs w:val="40"/>
        </w:rPr>
        <w:t>Financial Sector (</w:t>
      </w:r>
      <w:r w:rsidRPr="002E4062">
        <w:rPr>
          <w:rFonts w:ascii="Arial" w:hAnsi="Arial" w:cs="Arial"/>
          <w:b/>
          <w:bCs/>
          <w:sz w:val="40"/>
          <w:szCs w:val="40"/>
        </w:rPr>
        <w:t xml:space="preserve">Collection of Data) (reporting standard) determination No. 58 of 2023 </w:t>
      </w:r>
    </w:p>
    <w:p w14:paraId="0202020D" w14:textId="77777777" w:rsidR="009E6667" w:rsidRPr="000B237A" w:rsidRDefault="009E6667" w:rsidP="009E6667">
      <w:pPr>
        <w:spacing w:before="240"/>
        <w:jc w:val="both"/>
        <w:rPr>
          <w:rFonts w:ascii="Arial" w:hAnsi="Arial" w:cs="Arial"/>
          <w:b/>
          <w:bCs/>
          <w:sz w:val="28"/>
          <w:szCs w:val="28"/>
        </w:rPr>
      </w:pPr>
      <w:r w:rsidRPr="002E4062">
        <w:rPr>
          <w:rFonts w:ascii="Arial" w:hAnsi="Arial" w:cs="Arial"/>
          <w:b/>
          <w:bCs/>
          <w:sz w:val="28"/>
          <w:szCs w:val="28"/>
        </w:rPr>
        <w:t>Reporting Standard GRS 001 Reporting Requirement</w:t>
      </w:r>
      <w:r>
        <w:rPr>
          <w:rFonts w:ascii="Arial" w:hAnsi="Arial" w:cs="Arial"/>
          <w:b/>
          <w:bCs/>
          <w:sz w:val="28"/>
          <w:szCs w:val="28"/>
        </w:rPr>
        <w:t>s</w:t>
      </w:r>
    </w:p>
    <w:p w14:paraId="22156273" w14:textId="77777777" w:rsidR="009E6667" w:rsidRPr="000B237A" w:rsidRDefault="009E6667" w:rsidP="009E6667">
      <w:pPr>
        <w:pBdr>
          <w:bottom w:val="single" w:sz="4" w:space="3" w:color="auto"/>
        </w:pBdr>
        <w:spacing w:before="240" w:after="240"/>
        <w:rPr>
          <w:rFonts w:ascii="Arial" w:hAnsi="Arial"/>
          <w:i/>
          <w:iCs/>
          <w:sz w:val="28"/>
        </w:rPr>
      </w:pPr>
      <w:r w:rsidRPr="000B237A">
        <w:rPr>
          <w:rFonts w:ascii="Arial" w:hAnsi="Arial"/>
          <w:i/>
          <w:iCs/>
          <w:sz w:val="28"/>
        </w:rPr>
        <w:t>Financial Sector (</w:t>
      </w:r>
      <w:r w:rsidRPr="000B237A">
        <w:rPr>
          <w:rFonts w:ascii="Arial" w:hAnsi="Arial"/>
          <w:iCs/>
          <w:sz w:val="28"/>
        </w:rPr>
        <w:t>Collection</w:t>
      </w:r>
      <w:r w:rsidRPr="000B237A">
        <w:rPr>
          <w:rFonts w:ascii="Arial" w:hAnsi="Arial"/>
          <w:i/>
          <w:iCs/>
          <w:sz w:val="28"/>
        </w:rPr>
        <w:t xml:space="preserve"> of Data) Act 2001</w:t>
      </w:r>
    </w:p>
    <w:p w14:paraId="296E9253" w14:textId="77777777" w:rsidR="009E6667" w:rsidRPr="000B237A" w:rsidRDefault="009E6667" w:rsidP="009E6667">
      <w:pPr>
        <w:jc w:val="both"/>
        <w:rPr>
          <w:i/>
          <w:sz w:val="24"/>
          <w:szCs w:val="24"/>
        </w:rPr>
      </w:pPr>
      <w:r w:rsidRPr="00747A03">
        <w:rPr>
          <w:sz w:val="24"/>
          <w:szCs w:val="24"/>
        </w:rPr>
        <w:t>I, Michael Murphy, delegate</w:t>
      </w:r>
      <w:r w:rsidRPr="000B237A">
        <w:rPr>
          <w:sz w:val="24"/>
          <w:szCs w:val="24"/>
        </w:rPr>
        <w:t xml:space="preserve"> of APRA, under paragraph 13(1)(a) of the </w:t>
      </w:r>
      <w:r w:rsidRPr="000B237A">
        <w:rPr>
          <w:i/>
          <w:sz w:val="24"/>
          <w:szCs w:val="24"/>
        </w:rPr>
        <w:t>Financial Sector (Collection of Data) Act 2001</w:t>
      </w:r>
      <w:r w:rsidRPr="000B237A">
        <w:rPr>
          <w:sz w:val="24"/>
          <w:szCs w:val="24"/>
        </w:rPr>
        <w:t xml:space="preserve"> (the Act) and subsection 33(3) of the </w:t>
      </w:r>
      <w:r w:rsidRPr="000B237A">
        <w:rPr>
          <w:i/>
          <w:sz w:val="24"/>
          <w:szCs w:val="24"/>
        </w:rPr>
        <w:t>Acts Interpretation Act 1901</w:t>
      </w:r>
      <w:r w:rsidRPr="000B237A">
        <w:rPr>
          <w:sz w:val="24"/>
          <w:szCs w:val="24"/>
        </w:rPr>
        <w:t>:</w:t>
      </w:r>
    </w:p>
    <w:p w14:paraId="11F03BA5" w14:textId="77777777" w:rsidR="009E6667" w:rsidRPr="000B237A" w:rsidRDefault="009E6667" w:rsidP="009E6667">
      <w:pPr>
        <w:jc w:val="both"/>
        <w:rPr>
          <w:i/>
          <w:sz w:val="24"/>
          <w:szCs w:val="24"/>
        </w:rPr>
      </w:pPr>
    </w:p>
    <w:p w14:paraId="482CD2FA" w14:textId="77777777" w:rsidR="009E6667" w:rsidRPr="000B237A" w:rsidRDefault="009E6667" w:rsidP="009E6667">
      <w:pPr>
        <w:numPr>
          <w:ilvl w:val="0"/>
          <w:numId w:val="27"/>
        </w:numPr>
        <w:tabs>
          <w:tab w:val="left" w:pos="567"/>
        </w:tabs>
        <w:ind w:left="567" w:hanging="567"/>
        <w:jc w:val="both"/>
        <w:rPr>
          <w:sz w:val="24"/>
          <w:szCs w:val="24"/>
        </w:rPr>
      </w:pPr>
      <w:r w:rsidRPr="000B237A">
        <w:rPr>
          <w:sz w:val="24"/>
          <w:szCs w:val="24"/>
        </w:rPr>
        <w:t xml:space="preserve">revoke Financial Sector (Collection of Data) (reporting standard) determination </w:t>
      </w:r>
      <w:r w:rsidRPr="00E359C6">
        <w:rPr>
          <w:sz w:val="24"/>
          <w:szCs w:val="24"/>
        </w:rPr>
        <w:t>No. 1 of 2016</w:t>
      </w:r>
      <w:r w:rsidRPr="000B237A">
        <w:rPr>
          <w:sz w:val="24"/>
          <w:szCs w:val="24"/>
        </w:rPr>
        <w:t xml:space="preserve">, including </w:t>
      </w:r>
      <w:r w:rsidRPr="000B237A">
        <w:rPr>
          <w:i/>
          <w:sz w:val="24"/>
          <w:szCs w:val="24"/>
        </w:rPr>
        <w:t xml:space="preserve">Reporting Standard </w:t>
      </w:r>
      <w:r>
        <w:rPr>
          <w:i/>
          <w:sz w:val="24"/>
          <w:szCs w:val="24"/>
        </w:rPr>
        <w:t xml:space="preserve">GRS 001 </w:t>
      </w:r>
      <w:r w:rsidRPr="002E4062">
        <w:rPr>
          <w:i/>
          <w:sz w:val="24"/>
          <w:szCs w:val="24"/>
        </w:rPr>
        <w:t xml:space="preserve">Reporting Requirements </w:t>
      </w:r>
      <w:r w:rsidRPr="000B237A">
        <w:rPr>
          <w:sz w:val="24"/>
          <w:szCs w:val="24"/>
        </w:rPr>
        <w:t xml:space="preserve">made under that </w:t>
      </w:r>
      <w:proofErr w:type="gramStart"/>
      <w:r w:rsidRPr="000B237A">
        <w:rPr>
          <w:sz w:val="24"/>
          <w:szCs w:val="24"/>
        </w:rPr>
        <w:t>Determination;</w:t>
      </w:r>
      <w:proofErr w:type="gramEnd"/>
      <w:r w:rsidRPr="000B237A">
        <w:rPr>
          <w:sz w:val="24"/>
          <w:szCs w:val="24"/>
        </w:rPr>
        <w:t xml:space="preserve"> and</w:t>
      </w:r>
    </w:p>
    <w:p w14:paraId="7AA696D6" w14:textId="77777777" w:rsidR="009E6667" w:rsidRPr="000B237A" w:rsidRDefault="009E6667" w:rsidP="009E6667">
      <w:pPr>
        <w:tabs>
          <w:tab w:val="left" w:pos="567"/>
        </w:tabs>
        <w:ind w:left="567"/>
        <w:jc w:val="both"/>
        <w:rPr>
          <w:sz w:val="24"/>
          <w:szCs w:val="24"/>
        </w:rPr>
      </w:pPr>
    </w:p>
    <w:p w14:paraId="63F57DA9" w14:textId="77777777" w:rsidR="009E6667" w:rsidRPr="000B237A" w:rsidRDefault="009E6667" w:rsidP="009E6667">
      <w:pPr>
        <w:numPr>
          <w:ilvl w:val="0"/>
          <w:numId w:val="28"/>
        </w:numPr>
        <w:tabs>
          <w:tab w:val="left" w:pos="567"/>
        </w:tabs>
        <w:ind w:left="567" w:hanging="567"/>
        <w:jc w:val="both"/>
        <w:rPr>
          <w:sz w:val="24"/>
          <w:szCs w:val="24"/>
        </w:rPr>
      </w:pPr>
      <w:r w:rsidRPr="000B237A">
        <w:rPr>
          <w:sz w:val="24"/>
          <w:szCs w:val="24"/>
        </w:rPr>
        <w:t xml:space="preserve">determine </w:t>
      </w:r>
      <w:r w:rsidRPr="000B237A">
        <w:rPr>
          <w:i/>
          <w:sz w:val="24"/>
          <w:szCs w:val="24"/>
        </w:rPr>
        <w:t xml:space="preserve">Reporting Standard </w:t>
      </w:r>
      <w:r>
        <w:rPr>
          <w:i/>
          <w:sz w:val="24"/>
          <w:szCs w:val="24"/>
        </w:rPr>
        <w:t xml:space="preserve">GRS 001 </w:t>
      </w:r>
      <w:r w:rsidRPr="002E4062">
        <w:rPr>
          <w:i/>
          <w:sz w:val="24"/>
          <w:szCs w:val="24"/>
        </w:rPr>
        <w:t>Reporting Requirements</w:t>
      </w:r>
      <w:r w:rsidRPr="000B237A">
        <w:rPr>
          <w:i/>
          <w:sz w:val="24"/>
          <w:szCs w:val="24"/>
        </w:rPr>
        <w:t>,</w:t>
      </w:r>
      <w:r w:rsidRPr="000B237A">
        <w:rPr>
          <w:sz w:val="24"/>
          <w:szCs w:val="24"/>
        </w:rPr>
        <w:t xml:space="preserve"> in the form set out in the Schedule, which applies to the financial sector entities to the extent provided in parag</w:t>
      </w:r>
      <w:r w:rsidRPr="0044688B">
        <w:rPr>
          <w:sz w:val="24"/>
          <w:szCs w:val="24"/>
        </w:rPr>
        <w:t>raph 3 of</w:t>
      </w:r>
      <w:r w:rsidRPr="000B237A">
        <w:rPr>
          <w:sz w:val="24"/>
          <w:szCs w:val="24"/>
        </w:rPr>
        <w:t xml:space="preserve"> </w:t>
      </w:r>
      <w:r w:rsidRPr="3BE59C79">
        <w:rPr>
          <w:sz w:val="24"/>
          <w:szCs w:val="24"/>
        </w:rPr>
        <w:t>that</w:t>
      </w:r>
      <w:r w:rsidRPr="000B237A">
        <w:rPr>
          <w:sz w:val="24"/>
          <w:szCs w:val="24"/>
        </w:rPr>
        <w:t xml:space="preserve"> reporting standard. </w:t>
      </w:r>
    </w:p>
    <w:p w14:paraId="5BE2A837" w14:textId="77777777" w:rsidR="009E6667" w:rsidRPr="000B237A" w:rsidRDefault="009E6667" w:rsidP="009E6667">
      <w:pPr>
        <w:ind w:left="709" w:hanging="709"/>
        <w:jc w:val="both"/>
        <w:rPr>
          <w:sz w:val="24"/>
          <w:szCs w:val="24"/>
        </w:rPr>
      </w:pPr>
    </w:p>
    <w:p w14:paraId="215C2E6F" w14:textId="77777777" w:rsidR="009E6667" w:rsidRPr="000B237A" w:rsidRDefault="009E6667" w:rsidP="009E6667">
      <w:pPr>
        <w:jc w:val="both"/>
        <w:rPr>
          <w:sz w:val="24"/>
          <w:szCs w:val="24"/>
          <w:lang w:val="en-US"/>
        </w:rPr>
      </w:pPr>
      <w:r w:rsidRPr="000B237A">
        <w:rPr>
          <w:sz w:val="24"/>
          <w:szCs w:val="24"/>
          <w:lang w:val="en-US"/>
        </w:rPr>
        <w:t xml:space="preserve">Under section 15 of the Act, I declare that </w:t>
      </w:r>
      <w:r w:rsidRPr="3BE59C79">
        <w:rPr>
          <w:i/>
          <w:iCs/>
          <w:sz w:val="24"/>
          <w:szCs w:val="24"/>
        </w:rPr>
        <w:t xml:space="preserve">Reporting Standard </w:t>
      </w:r>
      <w:r>
        <w:rPr>
          <w:i/>
          <w:iCs/>
          <w:sz w:val="24"/>
          <w:szCs w:val="24"/>
        </w:rPr>
        <w:t>GRS 001 Reporting Requirements</w:t>
      </w:r>
      <w:r w:rsidRPr="3BE59C79">
        <w:rPr>
          <w:sz w:val="24"/>
          <w:szCs w:val="24"/>
          <w:lang w:val="en-US"/>
        </w:rPr>
        <w:t xml:space="preserve"> </w:t>
      </w:r>
      <w:r w:rsidRPr="000B237A">
        <w:rPr>
          <w:sz w:val="24"/>
          <w:szCs w:val="24"/>
          <w:lang w:val="en-US"/>
        </w:rPr>
        <w:t xml:space="preserve">shall begin to apply to those financial sector entities, and the revoked reporting standard shall cease to apply, on the day </w:t>
      </w:r>
      <w:r w:rsidRPr="3BE59C79">
        <w:rPr>
          <w:i/>
          <w:iCs/>
          <w:sz w:val="24"/>
          <w:szCs w:val="24"/>
        </w:rPr>
        <w:t xml:space="preserve">Reporting Standard </w:t>
      </w:r>
      <w:r>
        <w:rPr>
          <w:i/>
          <w:iCs/>
          <w:sz w:val="24"/>
          <w:szCs w:val="24"/>
        </w:rPr>
        <w:t>GRS 001 Reporting Requirements</w:t>
      </w:r>
      <w:r w:rsidRPr="000B237A">
        <w:rPr>
          <w:sz w:val="24"/>
          <w:szCs w:val="24"/>
          <w:lang w:val="en-US"/>
        </w:rPr>
        <w:t xml:space="preserve"> is registered on the Federal Register of Legislation. </w:t>
      </w:r>
    </w:p>
    <w:p w14:paraId="686E13BD" w14:textId="77777777" w:rsidR="009E6667" w:rsidRPr="000B237A" w:rsidRDefault="009E6667" w:rsidP="009E6667">
      <w:pPr>
        <w:jc w:val="both"/>
        <w:rPr>
          <w:sz w:val="24"/>
          <w:szCs w:val="24"/>
          <w:lang w:val="en-US"/>
        </w:rPr>
      </w:pPr>
    </w:p>
    <w:p w14:paraId="61F83B6F" w14:textId="77777777" w:rsidR="009E6667" w:rsidRPr="0040477F" w:rsidRDefault="009E6667" w:rsidP="009E6667">
      <w:pPr>
        <w:jc w:val="both"/>
        <w:rPr>
          <w:sz w:val="24"/>
          <w:szCs w:val="24"/>
          <w:lang w:val="en-US"/>
        </w:rPr>
      </w:pPr>
      <w:r w:rsidRPr="0040477F">
        <w:rPr>
          <w:sz w:val="24"/>
          <w:szCs w:val="24"/>
          <w:lang w:val="en-US"/>
        </w:rPr>
        <w:t xml:space="preserve">This instrument commences </w:t>
      </w:r>
      <w:r w:rsidRPr="00286DBC">
        <w:rPr>
          <w:sz w:val="24"/>
          <w:szCs w:val="24"/>
          <w:lang w:val="en-US"/>
        </w:rPr>
        <w:t>upon registration on the Federal Register of Legislation</w:t>
      </w:r>
      <w:r w:rsidRPr="0040477F">
        <w:rPr>
          <w:sz w:val="24"/>
          <w:szCs w:val="24"/>
          <w:lang w:val="en-US"/>
        </w:rPr>
        <w:t>.</w:t>
      </w:r>
    </w:p>
    <w:p w14:paraId="0B0D023F" w14:textId="77777777" w:rsidR="009E6667" w:rsidRPr="0040477F" w:rsidRDefault="009E6667" w:rsidP="009E6667">
      <w:pPr>
        <w:jc w:val="both"/>
        <w:rPr>
          <w:sz w:val="24"/>
          <w:szCs w:val="24"/>
          <w:lang w:val="en-US"/>
        </w:rPr>
      </w:pPr>
    </w:p>
    <w:p w14:paraId="0D1BD41A" w14:textId="77777777" w:rsidR="009E6667" w:rsidRPr="000B237A" w:rsidRDefault="009E6667" w:rsidP="009E6667">
      <w:pPr>
        <w:jc w:val="both"/>
        <w:rPr>
          <w:sz w:val="24"/>
          <w:szCs w:val="24"/>
          <w:lang w:val="en-US"/>
        </w:rPr>
      </w:pPr>
      <w:r w:rsidRPr="0040477F">
        <w:rPr>
          <w:sz w:val="24"/>
          <w:szCs w:val="24"/>
          <w:lang w:val="en-US"/>
        </w:rPr>
        <w:t xml:space="preserve">Dated: </w:t>
      </w:r>
      <w:r>
        <w:rPr>
          <w:sz w:val="24"/>
          <w:szCs w:val="24"/>
          <w:lang w:val="en-US"/>
        </w:rPr>
        <w:t>18 May</w:t>
      </w:r>
      <w:r w:rsidRPr="0040477F">
        <w:rPr>
          <w:sz w:val="24"/>
          <w:szCs w:val="24"/>
          <w:lang w:val="en-US"/>
        </w:rPr>
        <w:t xml:space="preserve"> 2023</w:t>
      </w:r>
    </w:p>
    <w:p w14:paraId="7FA4992C" w14:textId="77777777" w:rsidR="009E6667" w:rsidRPr="000B237A" w:rsidRDefault="009E6667" w:rsidP="009E6667">
      <w:pPr>
        <w:jc w:val="both"/>
        <w:rPr>
          <w:i/>
          <w:sz w:val="24"/>
          <w:szCs w:val="24"/>
          <w:lang w:val="en-US"/>
        </w:rPr>
      </w:pPr>
    </w:p>
    <w:p w14:paraId="689521DF" w14:textId="77777777" w:rsidR="009E6667" w:rsidRPr="000B237A" w:rsidRDefault="009E6667" w:rsidP="009E6667">
      <w:pPr>
        <w:jc w:val="both"/>
        <w:rPr>
          <w:noProof/>
          <w:sz w:val="24"/>
          <w:szCs w:val="24"/>
        </w:rPr>
      </w:pPr>
    </w:p>
    <w:p w14:paraId="3C414FA3" w14:textId="77777777" w:rsidR="009E6667" w:rsidRPr="000B237A" w:rsidRDefault="009E6667" w:rsidP="009E6667">
      <w:pPr>
        <w:jc w:val="both"/>
        <w:rPr>
          <w:sz w:val="24"/>
          <w:szCs w:val="24"/>
          <w:lang w:val="en-US"/>
        </w:rPr>
      </w:pPr>
    </w:p>
    <w:p w14:paraId="30990213" w14:textId="77777777" w:rsidR="009E6667" w:rsidRPr="00747A03" w:rsidRDefault="009E6667" w:rsidP="009E6667">
      <w:pPr>
        <w:jc w:val="both"/>
        <w:rPr>
          <w:sz w:val="24"/>
          <w:szCs w:val="24"/>
          <w:lang w:val="en-US"/>
        </w:rPr>
      </w:pPr>
      <w:r w:rsidRPr="00747A03">
        <w:rPr>
          <w:sz w:val="24"/>
          <w:szCs w:val="24"/>
          <w:lang w:val="en-US"/>
        </w:rPr>
        <w:t>Michael Murphy</w:t>
      </w:r>
    </w:p>
    <w:p w14:paraId="78F14EEB" w14:textId="77777777" w:rsidR="009E6667" w:rsidRPr="00747A03" w:rsidRDefault="009E6667" w:rsidP="009E6667">
      <w:pPr>
        <w:jc w:val="both"/>
        <w:rPr>
          <w:sz w:val="24"/>
          <w:szCs w:val="24"/>
          <w:lang w:val="en-US"/>
        </w:rPr>
      </w:pPr>
      <w:r w:rsidRPr="00747A03">
        <w:rPr>
          <w:sz w:val="24"/>
          <w:szCs w:val="24"/>
          <w:lang w:val="en-US"/>
        </w:rPr>
        <w:t>General Manager - Chief Data Officer (Acting)</w:t>
      </w:r>
    </w:p>
    <w:p w14:paraId="5C6D7A2A" w14:textId="77777777" w:rsidR="009E6667" w:rsidRPr="000B237A" w:rsidRDefault="009E6667" w:rsidP="009E6667">
      <w:pPr>
        <w:jc w:val="both"/>
        <w:rPr>
          <w:sz w:val="24"/>
          <w:szCs w:val="24"/>
          <w:lang w:val="en-US"/>
        </w:rPr>
      </w:pPr>
      <w:r w:rsidRPr="00747A03">
        <w:rPr>
          <w:sz w:val="24"/>
          <w:szCs w:val="24"/>
          <w:lang w:val="en-US"/>
        </w:rPr>
        <w:t>Technology and Data Division</w:t>
      </w:r>
    </w:p>
    <w:p w14:paraId="6EF49391" w14:textId="77777777" w:rsidR="009E6667" w:rsidRPr="000B237A" w:rsidRDefault="009E6667" w:rsidP="009E6667">
      <w:pPr>
        <w:jc w:val="both"/>
        <w:rPr>
          <w:sz w:val="24"/>
          <w:szCs w:val="24"/>
          <w:lang w:val="en-US"/>
        </w:rPr>
      </w:pPr>
    </w:p>
    <w:p w14:paraId="37CE1A9C" w14:textId="77777777" w:rsidR="009E6667" w:rsidRPr="000B237A" w:rsidRDefault="009E6667" w:rsidP="009E6667">
      <w:pPr>
        <w:jc w:val="both"/>
        <w:rPr>
          <w:b/>
          <w:sz w:val="24"/>
          <w:szCs w:val="24"/>
          <w:lang w:val="en-US"/>
        </w:rPr>
      </w:pPr>
    </w:p>
    <w:p w14:paraId="78DFB31A" w14:textId="77777777" w:rsidR="009E6667" w:rsidRPr="000B237A" w:rsidRDefault="009E6667" w:rsidP="009E6667">
      <w:pPr>
        <w:jc w:val="both"/>
        <w:rPr>
          <w:b/>
          <w:sz w:val="24"/>
          <w:szCs w:val="24"/>
          <w:lang w:val="en-US"/>
        </w:rPr>
      </w:pPr>
    </w:p>
    <w:p w14:paraId="38E6E3E2" w14:textId="77777777" w:rsidR="009E6667" w:rsidRPr="000B237A" w:rsidRDefault="009E6667" w:rsidP="009E6667">
      <w:pPr>
        <w:jc w:val="both"/>
        <w:rPr>
          <w:b/>
          <w:sz w:val="24"/>
          <w:szCs w:val="24"/>
          <w:lang w:val="en-US"/>
        </w:rPr>
      </w:pPr>
      <w:r w:rsidRPr="000B237A">
        <w:rPr>
          <w:b/>
          <w:sz w:val="24"/>
          <w:szCs w:val="24"/>
          <w:lang w:val="en-US"/>
        </w:rPr>
        <w:t>Interpretation</w:t>
      </w:r>
    </w:p>
    <w:p w14:paraId="0CC11D43" w14:textId="77777777" w:rsidR="009E6667" w:rsidRPr="000B237A" w:rsidRDefault="009E6667" w:rsidP="009E6667">
      <w:pPr>
        <w:keepNext/>
        <w:tabs>
          <w:tab w:val="right" w:pos="794"/>
        </w:tabs>
        <w:spacing w:before="240" w:line="260" w:lineRule="exact"/>
        <w:jc w:val="both"/>
        <w:rPr>
          <w:sz w:val="24"/>
          <w:szCs w:val="24"/>
        </w:rPr>
      </w:pPr>
      <w:r w:rsidRPr="000B237A">
        <w:rPr>
          <w:sz w:val="24"/>
          <w:szCs w:val="24"/>
        </w:rPr>
        <w:t>In this Determination:</w:t>
      </w:r>
    </w:p>
    <w:p w14:paraId="678C43BE" w14:textId="77777777" w:rsidR="009E6667" w:rsidRPr="000B237A" w:rsidRDefault="009E6667" w:rsidP="009E6667">
      <w:pPr>
        <w:spacing w:before="120"/>
        <w:jc w:val="both"/>
        <w:rPr>
          <w:sz w:val="24"/>
          <w:szCs w:val="24"/>
        </w:rPr>
      </w:pPr>
      <w:r w:rsidRPr="000B237A">
        <w:rPr>
          <w:b/>
          <w:i/>
          <w:sz w:val="24"/>
          <w:szCs w:val="24"/>
        </w:rPr>
        <w:t>APRA</w:t>
      </w:r>
      <w:r w:rsidRPr="000B237A">
        <w:rPr>
          <w:sz w:val="24"/>
          <w:szCs w:val="24"/>
        </w:rPr>
        <w:t xml:space="preserve"> means the Australian Prudential Regulation Authority.</w:t>
      </w:r>
    </w:p>
    <w:p w14:paraId="0B0FB6E7" w14:textId="77777777" w:rsidR="009E6667" w:rsidRPr="000B237A" w:rsidRDefault="009E6667" w:rsidP="009E6667">
      <w:pPr>
        <w:shd w:val="clear" w:color="auto" w:fill="FFFFFF"/>
        <w:spacing w:before="120"/>
        <w:rPr>
          <w:sz w:val="24"/>
          <w:szCs w:val="24"/>
        </w:rPr>
      </w:pPr>
      <w:bookmarkStart w:id="1" w:name="_Hlk128749470"/>
      <w:r w:rsidRPr="000B237A">
        <w:rPr>
          <w:b/>
          <w:bCs/>
          <w:i/>
          <w:iCs/>
          <w:sz w:val="24"/>
        </w:rPr>
        <w:lastRenderedPageBreak/>
        <w:t>Federal Register of Legislation</w:t>
      </w:r>
      <w:r w:rsidRPr="000B237A">
        <w:rPr>
          <w:sz w:val="24"/>
        </w:rPr>
        <w:t xml:space="preserve"> means the register established under section 15A of the </w:t>
      </w:r>
      <w:r w:rsidRPr="000B237A">
        <w:rPr>
          <w:i/>
          <w:iCs/>
          <w:sz w:val="24"/>
        </w:rPr>
        <w:t>Legislation Act 2003.</w:t>
      </w:r>
      <w:bookmarkEnd w:id="1"/>
    </w:p>
    <w:p w14:paraId="74E87E74" w14:textId="77777777" w:rsidR="009E6667" w:rsidRPr="000B237A" w:rsidRDefault="009E6667" w:rsidP="009E6667">
      <w:pPr>
        <w:spacing w:before="120"/>
        <w:ind w:left="720" w:hanging="720"/>
        <w:jc w:val="both"/>
        <w:rPr>
          <w:sz w:val="24"/>
          <w:szCs w:val="24"/>
        </w:rPr>
      </w:pPr>
      <w:r w:rsidRPr="000B237A">
        <w:rPr>
          <w:b/>
          <w:i/>
          <w:sz w:val="24"/>
          <w:szCs w:val="24"/>
        </w:rPr>
        <w:t>financial sector entity</w:t>
      </w:r>
      <w:r w:rsidRPr="000B237A">
        <w:rPr>
          <w:sz w:val="24"/>
          <w:szCs w:val="24"/>
        </w:rPr>
        <w:t xml:space="preserve"> has the meaning given by section 5 of the Act. </w:t>
      </w:r>
    </w:p>
    <w:p w14:paraId="16480D5F" w14:textId="77777777" w:rsidR="009E6667" w:rsidRPr="000B237A" w:rsidRDefault="009E6667" w:rsidP="009E6667">
      <w:pPr>
        <w:keepNext/>
        <w:autoSpaceDE w:val="0"/>
        <w:autoSpaceDN w:val="0"/>
        <w:spacing w:before="480"/>
        <w:rPr>
          <w:rFonts w:ascii="Arial" w:hAnsi="Arial" w:cs="Arial"/>
          <w:b/>
          <w:bCs/>
          <w:sz w:val="32"/>
          <w:szCs w:val="32"/>
        </w:rPr>
      </w:pPr>
      <w:r w:rsidRPr="000B237A">
        <w:rPr>
          <w:rFonts w:ascii="Arial" w:hAnsi="Arial" w:cs="Arial"/>
          <w:b/>
          <w:bCs/>
          <w:sz w:val="32"/>
          <w:szCs w:val="32"/>
        </w:rPr>
        <w:t xml:space="preserve">Schedule </w:t>
      </w:r>
    </w:p>
    <w:p w14:paraId="6535B845" w14:textId="77777777" w:rsidR="009E6667" w:rsidRPr="000B237A" w:rsidRDefault="009E6667" w:rsidP="009E6667">
      <w:pPr>
        <w:keepNext/>
        <w:autoSpaceDE w:val="0"/>
        <w:autoSpaceDN w:val="0"/>
        <w:spacing w:before="60" w:line="200" w:lineRule="exact"/>
        <w:ind w:left="2410"/>
        <w:rPr>
          <w:rFonts w:ascii="Arial" w:hAnsi="Arial" w:cs="Arial"/>
          <w:sz w:val="18"/>
          <w:szCs w:val="18"/>
        </w:rPr>
      </w:pPr>
    </w:p>
    <w:p w14:paraId="58EB2933" w14:textId="77777777" w:rsidR="009E6667" w:rsidRPr="000B237A" w:rsidRDefault="009E6667" w:rsidP="009E6667">
      <w:pPr>
        <w:tabs>
          <w:tab w:val="center" w:pos="4320"/>
          <w:tab w:val="right" w:pos="8640"/>
        </w:tabs>
        <w:jc w:val="both"/>
        <w:rPr>
          <w:bCs/>
          <w:sz w:val="24"/>
          <w:szCs w:val="24"/>
          <w:lang w:val="en-US"/>
        </w:rPr>
      </w:pPr>
      <w:r w:rsidRPr="3BE59C79">
        <w:rPr>
          <w:i/>
          <w:iCs/>
          <w:sz w:val="24"/>
          <w:szCs w:val="24"/>
        </w:rPr>
        <w:t xml:space="preserve">Reporting Standard </w:t>
      </w:r>
      <w:r>
        <w:rPr>
          <w:i/>
          <w:iCs/>
          <w:sz w:val="24"/>
          <w:szCs w:val="24"/>
        </w:rPr>
        <w:t>GRS 001 Reporting Requirements</w:t>
      </w:r>
      <w:r w:rsidRPr="000B237A">
        <w:rPr>
          <w:sz w:val="24"/>
          <w:szCs w:val="24"/>
          <w:lang w:val="en-US"/>
        </w:rPr>
        <w:t xml:space="preserve"> </w:t>
      </w:r>
      <w:r w:rsidRPr="000B237A">
        <w:rPr>
          <w:bCs/>
          <w:sz w:val="24"/>
          <w:szCs w:val="24"/>
          <w:lang w:val="en-US"/>
        </w:rPr>
        <w:t>comprises the document commencing on the following page.</w:t>
      </w:r>
      <w:bookmarkEnd w:id="0"/>
    </w:p>
    <w:p w14:paraId="79D63614" w14:textId="77777777" w:rsidR="00A825CE" w:rsidRDefault="00A825CE" w:rsidP="00A825CE">
      <w:pPr>
        <w:rPr>
          <w:rFonts w:cs="Arial"/>
          <w:sz w:val="40"/>
          <w:szCs w:val="40"/>
        </w:rPr>
        <w:sectPr w:rsidR="00A825CE">
          <w:headerReference w:type="default" r:id="rId12"/>
          <w:footerReference w:type="default" r:id="rId13"/>
          <w:pgSz w:w="11907" w:h="16840"/>
          <w:pgMar w:top="1440" w:right="1440" w:bottom="1440" w:left="1440" w:header="720" w:footer="720" w:gutter="0"/>
          <w:pgNumType w:start="1"/>
          <w:cols w:space="720"/>
        </w:sectPr>
      </w:pPr>
    </w:p>
    <w:p w14:paraId="052656A6" w14:textId="045D2DC8" w:rsidR="000F3CF8" w:rsidRPr="003F62B4" w:rsidRDefault="00427719" w:rsidP="00A825CE">
      <w:pPr>
        <w:rPr>
          <w:rFonts w:cs="Arial"/>
          <w:sz w:val="40"/>
          <w:szCs w:val="40"/>
        </w:rPr>
      </w:pPr>
      <w:r>
        <w:rPr>
          <w:noProof/>
        </w:rPr>
        <w:lastRenderedPageBreak/>
        <w:drawing>
          <wp:anchor distT="0" distB="0" distL="114300" distR="114300" simplePos="0" relativeHeight="251658240" behindDoc="0" locked="0" layoutInCell="1" allowOverlap="1" wp14:anchorId="678E7F42" wp14:editId="2AD7C327">
            <wp:simplePos x="0" y="0"/>
            <wp:positionH relativeFrom="column">
              <wp:posOffset>-10633</wp:posOffset>
            </wp:positionH>
            <wp:positionV relativeFrom="paragraph">
              <wp:posOffset>0</wp:posOffset>
            </wp:positionV>
            <wp:extent cx="1419225" cy="1104900"/>
            <wp:effectExtent l="0" t="0" r="9525" b="0"/>
            <wp:wrapSquare wrapText="right"/>
            <wp:docPr id="3" name="Picture 17"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pic:spPr>
                </pic:pic>
              </a:graphicData>
            </a:graphic>
            <wp14:sizeRelH relativeFrom="page">
              <wp14:pctWidth>0</wp14:pctWidth>
            </wp14:sizeRelH>
            <wp14:sizeRelV relativeFrom="page">
              <wp14:pctHeight>0</wp14:pctHeight>
            </wp14:sizeRelV>
          </wp:anchor>
        </w:drawing>
      </w:r>
    </w:p>
    <w:p w14:paraId="2AD6D108" w14:textId="77777777" w:rsidR="000F3CF8" w:rsidRDefault="000F3CF8" w:rsidP="000F3CF8">
      <w:pPr>
        <w:pStyle w:val="Heading2"/>
        <w:spacing w:before="120" w:after="240"/>
        <w:rPr>
          <w:rFonts w:cs="Arial"/>
          <w:sz w:val="40"/>
          <w:szCs w:val="40"/>
        </w:rPr>
      </w:pPr>
    </w:p>
    <w:p w14:paraId="0E1DF8A0" w14:textId="77777777" w:rsidR="000F3CF8" w:rsidRDefault="000F3CF8" w:rsidP="000F3CF8">
      <w:pPr>
        <w:pStyle w:val="Heading2"/>
        <w:spacing w:before="120" w:after="240"/>
        <w:rPr>
          <w:rFonts w:cs="Arial"/>
          <w:sz w:val="40"/>
          <w:szCs w:val="40"/>
        </w:rPr>
      </w:pPr>
    </w:p>
    <w:p w14:paraId="2ED7C800" w14:textId="77777777" w:rsidR="000F3CF8" w:rsidRPr="003F62B4" w:rsidRDefault="000F3CF8" w:rsidP="000F3CF8">
      <w:pPr>
        <w:pStyle w:val="Heading2"/>
        <w:spacing w:before="120" w:after="240"/>
        <w:rPr>
          <w:rFonts w:cs="Arial"/>
          <w:sz w:val="40"/>
          <w:szCs w:val="40"/>
        </w:rPr>
      </w:pPr>
      <w:r>
        <w:rPr>
          <w:rFonts w:cs="Arial"/>
          <w:sz w:val="40"/>
          <w:szCs w:val="40"/>
        </w:rPr>
        <w:t>Reporting Standard GRS 001</w:t>
      </w:r>
    </w:p>
    <w:p w14:paraId="2720727B" w14:textId="20AF3F59" w:rsidR="000F3CF8" w:rsidRDefault="000F3CF8" w:rsidP="000F3CF8">
      <w:pPr>
        <w:pStyle w:val="Heading1"/>
        <w:spacing w:before="120" w:after="240"/>
        <w:rPr>
          <w:rFonts w:cs="Arial"/>
          <w:sz w:val="40"/>
          <w:szCs w:val="40"/>
        </w:rPr>
      </w:pPr>
      <w:r>
        <w:rPr>
          <w:rFonts w:cs="Arial"/>
          <w:sz w:val="40"/>
          <w:szCs w:val="40"/>
        </w:rPr>
        <w:t>Reporting Requirements</w:t>
      </w:r>
    </w:p>
    <w:p w14:paraId="7E1DEAEE" w14:textId="36045F93" w:rsidR="008710CD" w:rsidRPr="00511D98" w:rsidRDefault="008710CD" w:rsidP="00511D98">
      <w:pPr>
        <w:pStyle w:val="Heading2"/>
        <w:spacing w:after="120"/>
        <w:rPr>
          <w:lang w:val="en-US"/>
        </w:rPr>
      </w:pPr>
      <w:r w:rsidRPr="008710CD">
        <w:rPr>
          <w:lang w:val="en-US"/>
        </w:rPr>
        <w:t xml:space="preserve">Objective of this Reporting </w:t>
      </w:r>
      <w:r w:rsidRPr="008710CD">
        <w:t>Standard</w:t>
      </w:r>
    </w:p>
    <w:p w14:paraId="7358833B" w14:textId="40815919" w:rsidR="000F3CF8" w:rsidRPr="003F62B4" w:rsidRDefault="000F3CF8" w:rsidP="007F18D0">
      <w:pPr>
        <w:pStyle w:val="BodyText"/>
        <w:pBdr>
          <w:top w:val="single" w:sz="4" w:space="1" w:color="auto"/>
          <w:left w:val="single" w:sz="4" w:space="4" w:color="auto"/>
          <w:bottom w:val="single" w:sz="4" w:space="1" w:color="auto"/>
          <w:right w:val="single" w:sz="4" w:space="4" w:color="auto"/>
        </w:pBdr>
        <w:shd w:val="clear" w:color="auto" w:fill="E0E0E0"/>
        <w:spacing w:after="240"/>
        <w:rPr>
          <w:i w:val="0"/>
        </w:rPr>
      </w:pPr>
      <w:bookmarkStart w:id="2" w:name="OLE_LINK6"/>
      <w:r w:rsidRPr="005800E6">
        <w:rPr>
          <w:i w:val="0"/>
        </w:rPr>
        <w:t xml:space="preserve">This </w:t>
      </w:r>
      <w:r>
        <w:rPr>
          <w:i w:val="0"/>
        </w:rPr>
        <w:t>R</w:t>
      </w:r>
      <w:r w:rsidRPr="005800E6">
        <w:rPr>
          <w:i w:val="0"/>
        </w:rPr>
        <w:t xml:space="preserve">eporting </w:t>
      </w:r>
      <w:r>
        <w:rPr>
          <w:i w:val="0"/>
        </w:rPr>
        <w:t>S</w:t>
      </w:r>
      <w:r w:rsidRPr="005800E6">
        <w:rPr>
          <w:i w:val="0"/>
        </w:rPr>
        <w:t xml:space="preserve">tandard </w:t>
      </w:r>
      <w:r>
        <w:rPr>
          <w:i w:val="0"/>
        </w:rPr>
        <w:t>sets out</w:t>
      </w:r>
      <w:bookmarkEnd w:id="2"/>
      <w:r>
        <w:rPr>
          <w:i w:val="0"/>
        </w:rPr>
        <w:t xml:space="preserve"> the general instructions for providing information under reporting standards, including the periods within which information required under reporting standards must be provided to APRA.</w:t>
      </w:r>
    </w:p>
    <w:p w14:paraId="25AF5995" w14:textId="77777777" w:rsidR="000F3CF8" w:rsidRDefault="000F3CF8" w:rsidP="000F3CF8">
      <w:pPr>
        <w:spacing w:before="120" w:after="240"/>
        <w:rPr>
          <w:rFonts w:ascii="Arial" w:hAnsi="Arial" w:cs="Arial"/>
          <w:b/>
          <w:sz w:val="24"/>
          <w:szCs w:val="24"/>
        </w:rPr>
      </w:pPr>
      <w:r>
        <w:rPr>
          <w:rFonts w:ascii="Arial" w:hAnsi="Arial" w:cs="Arial"/>
          <w:b/>
          <w:sz w:val="24"/>
          <w:szCs w:val="24"/>
        </w:rPr>
        <w:t>Authority</w:t>
      </w:r>
    </w:p>
    <w:p w14:paraId="530C7960" w14:textId="77777777" w:rsidR="000F3CF8" w:rsidRDefault="000F3CF8" w:rsidP="003020B3">
      <w:pPr>
        <w:pStyle w:val="BodyText2"/>
        <w:numPr>
          <w:ilvl w:val="0"/>
          <w:numId w:val="3"/>
        </w:numPr>
        <w:spacing w:before="0" w:after="240"/>
        <w:rPr>
          <w:rFonts w:cs="Arial"/>
        </w:rPr>
      </w:pPr>
      <w:r>
        <w:rPr>
          <w:rFonts w:cs="Arial"/>
        </w:rPr>
        <w:t xml:space="preserve">This Reporting Standard is made under section 13 </w:t>
      </w:r>
      <w:r w:rsidRPr="008E58FB">
        <w:t xml:space="preserve">of the </w:t>
      </w:r>
      <w:r w:rsidRPr="008E58FB">
        <w:rPr>
          <w:i/>
        </w:rPr>
        <w:t>Financial Sector (Collection of Data) Act 2001</w:t>
      </w:r>
      <w:r>
        <w:rPr>
          <w:i/>
        </w:rPr>
        <w:t>.</w:t>
      </w:r>
    </w:p>
    <w:p w14:paraId="20994652" w14:textId="77777777" w:rsidR="000F3CF8" w:rsidRPr="003F62B4" w:rsidRDefault="000F3CF8" w:rsidP="000F3CF8">
      <w:pPr>
        <w:spacing w:before="120" w:after="240"/>
        <w:rPr>
          <w:rFonts w:ascii="Arial" w:hAnsi="Arial" w:cs="Arial"/>
          <w:b/>
          <w:sz w:val="24"/>
          <w:szCs w:val="24"/>
        </w:rPr>
      </w:pPr>
      <w:r w:rsidRPr="003F62B4">
        <w:rPr>
          <w:rFonts w:ascii="Arial" w:hAnsi="Arial" w:cs="Arial"/>
          <w:b/>
          <w:sz w:val="24"/>
          <w:szCs w:val="24"/>
        </w:rPr>
        <w:t>Purpose</w:t>
      </w:r>
    </w:p>
    <w:p w14:paraId="332B8797" w14:textId="77777777" w:rsidR="000F3CF8" w:rsidRPr="003F62B4" w:rsidRDefault="000F3CF8" w:rsidP="003020B3">
      <w:pPr>
        <w:pStyle w:val="BodyText2"/>
        <w:numPr>
          <w:ilvl w:val="0"/>
          <w:numId w:val="3"/>
        </w:numPr>
        <w:spacing w:before="0" w:after="240"/>
      </w:pPr>
      <w:r>
        <w:t xml:space="preserve">Reporting standards made under section 13 of the </w:t>
      </w:r>
      <w:r w:rsidRPr="004D4E16">
        <w:rPr>
          <w:i/>
        </w:rPr>
        <w:t>Financial Sector (Collection of Data) Act 200</w:t>
      </w:r>
      <w:r>
        <w:rPr>
          <w:i/>
        </w:rPr>
        <w:t>1</w:t>
      </w:r>
      <w:r>
        <w:t xml:space="preserve"> require financial sector entities to provide information to APRA</w:t>
      </w:r>
      <w:r w:rsidRPr="003F62B4">
        <w:t>.</w:t>
      </w:r>
      <w:r>
        <w:t xml:space="preserve"> This Reporting Standard provides instructions applicable to all reporting standards to be completed by certain entities and specifies the periods within which those entities are to comply with those requirements.</w:t>
      </w:r>
    </w:p>
    <w:p w14:paraId="27FD707E" w14:textId="77777777" w:rsidR="000F3CF8" w:rsidRPr="003F62B4" w:rsidRDefault="000F3CF8" w:rsidP="000F3CF8">
      <w:pPr>
        <w:spacing w:before="120" w:after="240"/>
        <w:rPr>
          <w:rFonts w:ascii="Arial" w:hAnsi="Arial" w:cs="Arial"/>
          <w:b/>
          <w:sz w:val="24"/>
          <w:szCs w:val="24"/>
        </w:rPr>
      </w:pPr>
      <w:r w:rsidRPr="003F62B4">
        <w:rPr>
          <w:rFonts w:ascii="Arial" w:hAnsi="Arial" w:cs="Arial"/>
          <w:b/>
          <w:sz w:val="24"/>
          <w:szCs w:val="24"/>
        </w:rPr>
        <w:t xml:space="preserve">Application </w:t>
      </w:r>
      <w:r>
        <w:rPr>
          <w:rFonts w:ascii="Arial" w:hAnsi="Arial" w:cs="Arial"/>
          <w:b/>
          <w:sz w:val="24"/>
          <w:szCs w:val="24"/>
        </w:rPr>
        <w:t>and Commencement</w:t>
      </w:r>
    </w:p>
    <w:p w14:paraId="40D153EF" w14:textId="38B827BD" w:rsidR="000F3CF8" w:rsidRPr="00F17264" w:rsidRDefault="000F3CF8" w:rsidP="003020B3">
      <w:pPr>
        <w:pStyle w:val="BodyText2"/>
        <w:numPr>
          <w:ilvl w:val="0"/>
          <w:numId w:val="3"/>
        </w:numPr>
        <w:spacing w:before="0" w:after="240"/>
        <w:rPr>
          <w:snapToGrid w:val="0"/>
          <w:szCs w:val="24"/>
          <w:lang w:eastAsia="en-US"/>
        </w:rPr>
      </w:pPr>
      <w:r w:rsidRPr="00044A53">
        <w:rPr>
          <w:szCs w:val="24"/>
        </w:rPr>
        <w:t xml:space="preserve">This </w:t>
      </w:r>
      <w:r>
        <w:rPr>
          <w:szCs w:val="24"/>
        </w:rPr>
        <w:t>R</w:t>
      </w:r>
      <w:r w:rsidRPr="00044A53">
        <w:rPr>
          <w:szCs w:val="24"/>
        </w:rPr>
        <w:t xml:space="preserve">eporting </w:t>
      </w:r>
      <w:r>
        <w:rPr>
          <w:szCs w:val="24"/>
        </w:rPr>
        <w:t>S</w:t>
      </w:r>
      <w:r w:rsidRPr="00044A53">
        <w:rPr>
          <w:szCs w:val="24"/>
        </w:rPr>
        <w:t xml:space="preserve">tandard applies to all </w:t>
      </w:r>
      <w:r>
        <w:rPr>
          <w:szCs w:val="24"/>
        </w:rPr>
        <w:t xml:space="preserve">general </w:t>
      </w:r>
      <w:r w:rsidRPr="00044A53">
        <w:rPr>
          <w:szCs w:val="24"/>
        </w:rPr>
        <w:t>insurers</w:t>
      </w:r>
      <w:r>
        <w:rPr>
          <w:szCs w:val="24"/>
        </w:rPr>
        <w:t xml:space="preserve"> authorised under the </w:t>
      </w:r>
      <w:r>
        <w:rPr>
          <w:i/>
          <w:szCs w:val="24"/>
        </w:rPr>
        <w:t>Insurance Act 1973</w:t>
      </w:r>
      <w:r>
        <w:rPr>
          <w:szCs w:val="24"/>
        </w:rPr>
        <w:t xml:space="preserve"> </w:t>
      </w:r>
      <w:r w:rsidRPr="00584135">
        <w:rPr>
          <w:szCs w:val="24"/>
        </w:rPr>
        <w:t>(</w:t>
      </w:r>
      <w:r>
        <w:rPr>
          <w:szCs w:val="24"/>
        </w:rPr>
        <w:t xml:space="preserve">general </w:t>
      </w:r>
      <w:r w:rsidRPr="00957353">
        <w:rPr>
          <w:szCs w:val="24"/>
        </w:rPr>
        <w:t>insurers</w:t>
      </w:r>
      <w:r w:rsidRPr="00584135">
        <w:rPr>
          <w:szCs w:val="24"/>
        </w:rPr>
        <w:t>)</w:t>
      </w:r>
      <w:r>
        <w:rPr>
          <w:szCs w:val="24"/>
        </w:rPr>
        <w:t xml:space="preserve"> and to all parent entities of Level 2 insurance groups as defined in </w:t>
      </w:r>
      <w:r>
        <w:rPr>
          <w:i/>
          <w:szCs w:val="24"/>
        </w:rPr>
        <w:t xml:space="preserve">Prudential Standard GPS 001 </w:t>
      </w:r>
      <w:r w:rsidRPr="009C73B4">
        <w:rPr>
          <w:i/>
          <w:szCs w:val="24"/>
        </w:rPr>
        <w:t>Definitions</w:t>
      </w:r>
      <w:r w:rsidR="006838F6">
        <w:rPr>
          <w:i/>
          <w:szCs w:val="24"/>
        </w:rPr>
        <w:t xml:space="preserve"> </w:t>
      </w:r>
      <w:r w:rsidR="006838F6">
        <w:rPr>
          <w:szCs w:val="24"/>
        </w:rPr>
        <w:t>(GPS 001)</w:t>
      </w:r>
      <w:r>
        <w:rPr>
          <w:szCs w:val="24"/>
        </w:rPr>
        <w:t xml:space="preserve">. </w:t>
      </w:r>
      <w:r w:rsidRPr="009C73B4">
        <w:rPr>
          <w:szCs w:val="24"/>
        </w:rPr>
        <w:t>This</w:t>
      </w:r>
      <w:r>
        <w:rPr>
          <w:szCs w:val="24"/>
        </w:rPr>
        <w:t xml:space="preserve"> Reporting Standard applies</w:t>
      </w:r>
      <w:r w:rsidRPr="00044A53">
        <w:rPr>
          <w:szCs w:val="24"/>
        </w:rPr>
        <w:t xml:space="preserve"> for reporting periods </w:t>
      </w:r>
      <w:r w:rsidR="003F6FF4">
        <w:rPr>
          <w:szCs w:val="24"/>
        </w:rPr>
        <w:t>end</w:t>
      </w:r>
      <w:r w:rsidR="00504042">
        <w:rPr>
          <w:szCs w:val="24"/>
        </w:rPr>
        <w:t>ing</w:t>
      </w:r>
      <w:r w:rsidR="00504042" w:rsidRPr="00044A53">
        <w:rPr>
          <w:szCs w:val="24"/>
        </w:rPr>
        <w:t xml:space="preserve"> </w:t>
      </w:r>
      <w:r w:rsidRPr="00044A53">
        <w:rPr>
          <w:szCs w:val="24"/>
        </w:rPr>
        <w:t xml:space="preserve">on or after </w:t>
      </w:r>
      <w:r w:rsidR="00F17264" w:rsidRPr="008A5868">
        <w:rPr>
          <w:szCs w:val="24"/>
        </w:rPr>
        <w:t>1 July 2023.</w:t>
      </w:r>
    </w:p>
    <w:p w14:paraId="398DE093" w14:textId="77777777" w:rsidR="000F3CF8" w:rsidRPr="00D57CB7" w:rsidRDefault="000F3CF8" w:rsidP="000F3CF8">
      <w:pPr>
        <w:spacing w:before="120" w:after="240"/>
        <w:rPr>
          <w:b/>
          <w:snapToGrid w:val="0"/>
          <w:sz w:val="24"/>
          <w:szCs w:val="24"/>
          <w:lang w:eastAsia="en-US"/>
        </w:rPr>
      </w:pPr>
      <w:r w:rsidRPr="00D57CB7">
        <w:rPr>
          <w:rFonts w:ascii="Arial" w:hAnsi="Arial" w:cs="Arial"/>
          <w:b/>
          <w:sz w:val="24"/>
          <w:szCs w:val="24"/>
        </w:rPr>
        <w:t>General Instruction</w:t>
      </w:r>
      <w:r>
        <w:rPr>
          <w:rFonts w:ascii="Arial" w:hAnsi="Arial" w:cs="Arial"/>
          <w:b/>
          <w:sz w:val="24"/>
          <w:szCs w:val="24"/>
        </w:rPr>
        <w:t>s</w:t>
      </w:r>
    </w:p>
    <w:p w14:paraId="12ED3EB2" w14:textId="370A626C" w:rsidR="000F3CF8" w:rsidRPr="00097C8B" w:rsidRDefault="000F3CF8" w:rsidP="003020B3">
      <w:pPr>
        <w:pStyle w:val="BodyText2"/>
        <w:numPr>
          <w:ilvl w:val="0"/>
          <w:numId w:val="3"/>
        </w:numPr>
        <w:spacing w:before="0" w:after="240"/>
        <w:rPr>
          <w:snapToGrid w:val="0"/>
          <w:szCs w:val="24"/>
          <w:lang w:eastAsia="en-US"/>
        </w:rPr>
      </w:pPr>
      <w:r w:rsidRPr="00D57CB7">
        <w:rPr>
          <w:snapToGrid w:val="0"/>
          <w:szCs w:val="24"/>
          <w:lang w:eastAsia="en-US"/>
        </w:rPr>
        <w:t xml:space="preserve">Detailed instructions for the individual reporting items are included in the specific instructions for each reporting </w:t>
      </w:r>
      <w:r w:rsidR="00B001D0">
        <w:rPr>
          <w:snapToGrid w:val="0"/>
          <w:szCs w:val="24"/>
          <w:lang w:eastAsia="en-US"/>
        </w:rPr>
        <w:t>standard</w:t>
      </w:r>
      <w:r w:rsidRPr="00D57CB7">
        <w:rPr>
          <w:snapToGrid w:val="0"/>
          <w:szCs w:val="24"/>
          <w:lang w:eastAsia="en-US"/>
        </w:rPr>
        <w:t xml:space="preserve">. These specific instructions need to be considered in conjunction with </w:t>
      </w:r>
      <w:r>
        <w:rPr>
          <w:snapToGrid w:val="0"/>
          <w:szCs w:val="24"/>
          <w:lang w:eastAsia="en-US"/>
        </w:rPr>
        <w:t>the General Instruction Guide (which is Attachment A to this Reporting Standard)</w:t>
      </w:r>
      <w:r w:rsidRPr="00D57CB7">
        <w:rPr>
          <w:snapToGrid w:val="0"/>
          <w:szCs w:val="24"/>
          <w:lang w:eastAsia="en-US"/>
        </w:rPr>
        <w:t>, the relevant reporting standards and the prudential standards.</w:t>
      </w:r>
    </w:p>
    <w:p w14:paraId="328AFD98" w14:textId="77777777" w:rsidR="000F3CF8" w:rsidRPr="003E1694" w:rsidRDefault="000F3CF8" w:rsidP="000F3CF8">
      <w:pPr>
        <w:pStyle w:val="BodyText2"/>
        <w:spacing w:before="0" w:after="240"/>
        <w:rPr>
          <w:rFonts w:ascii="Arial" w:hAnsi="Arial" w:cs="Arial"/>
          <w:b/>
          <w:szCs w:val="24"/>
        </w:rPr>
      </w:pPr>
      <w:r>
        <w:rPr>
          <w:rFonts w:ascii="Arial" w:hAnsi="Arial" w:cs="Arial"/>
          <w:b/>
          <w:szCs w:val="24"/>
        </w:rPr>
        <w:t>Periods for Provision of Returns</w:t>
      </w:r>
    </w:p>
    <w:p w14:paraId="192F7C46" w14:textId="77777777" w:rsidR="000F3CF8" w:rsidRDefault="000F3CF8" w:rsidP="003020B3">
      <w:pPr>
        <w:pStyle w:val="BodyText2"/>
        <w:numPr>
          <w:ilvl w:val="0"/>
          <w:numId w:val="3"/>
        </w:numPr>
        <w:spacing w:before="0" w:after="240"/>
      </w:pPr>
      <w:bookmarkStart w:id="3" w:name="_Ref339262339"/>
      <w:r>
        <w:t>A general insurer is to provide information required under reporting standards:</w:t>
      </w:r>
      <w:bookmarkEnd w:id="3"/>
    </w:p>
    <w:p w14:paraId="4DBF4AEB" w14:textId="77777777" w:rsidR="000F3CF8" w:rsidRDefault="000F3CF8" w:rsidP="00494C8E">
      <w:pPr>
        <w:numPr>
          <w:ilvl w:val="0"/>
          <w:numId w:val="1"/>
        </w:numPr>
        <w:spacing w:after="240"/>
        <w:jc w:val="both"/>
        <w:rPr>
          <w:sz w:val="24"/>
        </w:rPr>
      </w:pPr>
      <w:r>
        <w:rPr>
          <w:sz w:val="24"/>
        </w:rPr>
        <w:t xml:space="preserve">in the case of quarterly information - </w:t>
      </w:r>
      <w:r w:rsidRPr="001A77FF">
        <w:rPr>
          <w:sz w:val="24"/>
        </w:rPr>
        <w:t>20 business days a</w:t>
      </w:r>
      <w:r>
        <w:rPr>
          <w:sz w:val="24"/>
        </w:rPr>
        <w:t xml:space="preserve">fter the end of the reporting period to which the information </w:t>
      </w:r>
      <w:proofErr w:type="gramStart"/>
      <w:r>
        <w:rPr>
          <w:sz w:val="24"/>
        </w:rPr>
        <w:t>relates;</w:t>
      </w:r>
      <w:proofErr w:type="gramEnd"/>
      <w:r>
        <w:rPr>
          <w:sz w:val="24"/>
        </w:rPr>
        <w:t xml:space="preserve"> and</w:t>
      </w:r>
    </w:p>
    <w:p w14:paraId="3EA9E9C5" w14:textId="77777777" w:rsidR="000F3CF8" w:rsidRDefault="000F3CF8" w:rsidP="00494C8E">
      <w:pPr>
        <w:numPr>
          <w:ilvl w:val="0"/>
          <w:numId w:val="1"/>
        </w:numPr>
        <w:spacing w:after="240"/>
        <w:jc w:val="both"/>
        <w:rPr>
          <w:sz w:val="24"/>
        </w:rPr>
      </w:pPr>
      <w:r>
        <w:rPr>
          <w:sz w:val="24"/>
        </w:rPr>
        <w:lastRenderedPageBreak/>
        <w:t>in the case of annual information</w:t>
      </w:r>
      <w:r w:rsidR="00A33671" w:rsidRPr="00A33671">
        <w:rPr>
          <w:sz w:val="24"/>
        </w:rPr>
        <w:t xml:space="preserve"> </w:t>
      </w:r>
      <w:r w:rsidR="00A33671">
        <w:rPr>
          <w:sz w:val="24"/>
        </w:rPr>
        <w:t>three months after the end of the reporting period to which the information relates.</w:t>
      </w:r>
    </w:p>
    <w:p w14:paraId="177A0096" w14:textId="3E29E5DF" w:rsidR="000F3CF8" w:rsidRPr="00CE0A57" w:rsidRDefault="000F3CF8" w:rsidP="00494C8E">
      <w:pPr>
        <w:pStyle w:val="BodyText2"/>
        <w:numPr>
          <w:ilvl w:val="0"/>
          <w:numId w:val="3"/>
        </w:numPr>
        <w:spacing w:before="0" w:after="240"/>
      </w:pPr>
      <w:r w:rsidRPr="00CE0A57">
        <w:t>APRA may</w:t>
      </w:r>
      <w:r>
        <w:t>, in writing,</w:t>
      </w:r>
      <w:r w:rsidRPr="00CE0A57">
        <w:t xml:space="preserve"> grant a </w:t>
      </w:r>
      <w:r>
        <w:t xml:space="preserve">general insurer </w:t>
      </w:r>
      <w:r w:rsidRPr="00CE0A57">
        <w:t>an extension of a due date</w:t>
      </w:r>
      <w:r>
        <w:t xml:space="preserve"> in paragraph </w:t>
      </w:r>
      <w:r>
        <w:fldChar w:fldCharType="begin"/>
      </w:r>
      <w:r>
        <w:instrText xml:space="preserve"> REF _Ref339262339 \r \h </w:instrText>
      </w:r>
      <w:r>
        <w:fldChar w:fldCharType="separate"/>
      </w:r>
      <w:r w:rsidR="00E672B8">
        <w:t>5</w:t>
      </w:r>
      <w:r>
        <w:fldChar w:fldCharType="end"/>
      </w:r>
      <w:r>
        <w:t xml:space="preserve">, for all or specified reporting standards, in which case </w:t>
      </w:r>
      <w:r w:rsidRPr="00CE0A57">
        <w:t xml:space="preserve">the new due date will be the date on the notice of extension. </w:t>
      </w:r>
    </w:p>
    <w:p w14:paraId="3E75420D" w14:textId="77777777" w:rsidR="000F3CF8" w:rsidRPr="007D15C8" w:rsidRDefault="000F3CF8" w:rsidP="00494C8E">
      <w:pPr>
        <w:pStyle w:val="BodyText2"/>
        <w:numPr>
          <w:ilvl w:val="0"/>
          <w:numId w:val="3"/>
        </w:numPr>
        <w:spacing w:before="0" w:after="240"/>
      </w:pPr>
      <w:bookmarkStart w:id="4" w:name="_Ref339262346"/>
      <w:r>
        <w:t xml:space="preserve">A parent entity of a Level 2 insurance group is to provide </w:t>
      </w:r>
      <w:r w:rsidRPr="007D15C8">
        <w:t xml:space="preserve">information required </w:t>
      </w:r>
      <w:r>
        <w:t>under r</w:t>
      </w:r>
      <w:r w:rsidRPr="007D15C8">
        <w:t xml:space="preserve">eporting </w:t>
      </w:r>
      <w:r>
        <w:t>s</w:t>
      </w:r>
      <w:r w:rsidRPr="007D15C8">
        <w:t>tandard</w:t>
      </w:r>
      <w:r>
        <w:t>s</w:t>
      </w:r>
      <w:r w:rsidR="00AE2588" w:rsidRPr="00AE2588">
        <w:t xml:space="preserve"> </w:t>
      </w:r>
      <w:r w:rsidR="00AE2588" w:rsidRPr="007D15C8">
        <w:t>three months after the end of the reporting period to which the information relates</w:t>
      </w:r>
      <w:r w:rsidR="00AE2588">
        <w:t>.</w:t>
      </w:r>
      <w:bookmarkEnd w:id="4"/>
    </w:p>
    <w:p w14:paraId="268F7F2A" w14:textId="7043A6CA" w:rsidR="000F3CF8" w:rsidRPr="00CE0A57" w:rsidRDefault="000F3CF8" w:rsidP="00494C8E">
      <w:pPr>
        <w:numPr>
          <w:ilvl w:val="0"/>
          <w:numId w:val="3"/>
        </w:numPr>
        <w:spacing w:after="240"/>
        <w:jc w:val="both"/>
        <w:rPr>
          <w:sz w:val="24"/>
        </w:rPr>
      </w:pPr>
      <w:r w:rsidRPr="00CE0A57">
        <w:rPr>
          <w:sz w:val="24"/>
        </w:rPr>
        <w:t>APRA may</w:t>
      </w:r>
      <w:r>
        <w:rPr>
          <w:sz w:val="24"/>
        </w:rPr>
        <w:t>, in writing,</w:t>
      </w:r>
      <w:r w:rsidRPr="00CE0A57">
        <w:rPr>
          <w:sz w:val="24"/>
        </w:rPr>
        <w:t xml:space="preserve"> grant a Level 2 insurance group an extension of a due date</w:t>
      </w:r>
      <w:r>
        <w:rPr>
          <w:sz w:val="24"/>
        </w:rPr>
        <w:t xml:space="preserve"> in paragraph </w:t>
      </w:r>
      <w:r>
        <w:rPr>
          <w:sz w:val="24"/>
        </w:rPr>
        <w:fldChar w:fldCharType="begin"/>
      </w:r>
      <w:r>
        <w:rPr>
          <w:sz w:val="24"/>
        </w:rPr>
        <w:instrText xml:space="preserve"> REF _Ref339262346 \r \h </w:instrText>
      </w:r>
      <w:r>
        <w:rPr>
          <w:sz w:val="24"/>
        </w:rPr>
      </w:r>
      <w:r>
        <w:rPr>
          <w:sz w:val="24"/>
        </w:rPr>
        <w:fldChar w:fldCharType="separate"/>
      </w:r>
      <w:r w:rsidR="00E672B8">
        <w:rPr>
          <w:sz w:val="24"/>
        </w:rPr>
        <w:t>7</w:t>
      </w:r>
      <w:r>
        <w:rPr>
          <w:sz w:val="24"/>
        </w:rPr>
        <w:fldChar w:fldCharType="end"/>
      </w:r>
      <w:r>
        <w:rPr>
          <w:sz w:val="24"/>
        </w:rPr>
        <w:t>, for</w:t>
      </w:r>
      <w:r w:rsidRPr="006C706A">
        <w:rPr>
          <w:sz w:val="24"/>
        </w:rPr>
        <w:t xml:space="preserve"> all or specified reporting standards, </w:t>
      </w:r>
      <w:r>
        <w:rPr>
          <w:sz w:val="24"/>
        </w:rPr>
        <w:t xml:space="preserve">in which case </w:t>
      </w:r>
      <w:r w:rsidRPr="00CE0A57">
        <w:rPr>
          <w:sz w:val="24"/>
        </w:rPr>
        <w:t xml:space="preserve">the new due date will be the date on the notice of extension. </w:t>
      </w:r>
    </w:p>
    <w:p w14:paraId="232A89AD" w14:textId="749DF3A4" w:rsidR="00B748FB" w:rsidRDefault="00B748FB" w:rsidP="00B748FB">
      <w:pPr>
        <w:spacing w:before="120" w:after="240"/>
        <w:rPr>
          <w:rFonts w:ascii="Arial" w:hAnsi="Arial" w:cs="Arial"/>
          <w:b/>
          <w:sz w:val="24"/>
          <w:szCs w:val="24"/>
        </w:rPr>
      </w:pPr>
      <w:r w:rsidRPr="00B748FB">
        <w:rPr>
          <w:rFonts w:ascii="Arial" w:hAnsi="Arial" w:cs="Arial"/>
          <w:b/>
          <w:sz w:val="24"/>
          <w:szCs w:val="24"/>
        </w:rPr>
        <w:t>Transition</w:t>
      </w:r>
    </w:p>
    <w:p w14:paraId="1DE397A9" w14:textId="6D315C07" w:rsidR="00B748FB" w:rsidRPr="00B748FB" w:rsidRDefault="00B748FB" w:rsidP="00B748FB">
      <w:pPr>
        <w:numPr>
          <w:ilvl w:val="0"/>
          <w:numId w:val="3"/>
        </w:numPr>
        <w:spacing w:after="240"/>
        <w:jc w:val="both"/>
        <w:rPr>
          <w:sz w:val="24"/>
        </w:rPr>
      </w:pPr>
      <w:r w:rsidRPr="00B748FB">
        <w:rPr>
          <w:sz w:val="24"/>
        </w:rPr>
        <w:t xml:space="preserve">The </w:t>
      </w:r>
      <w:r>
        <w:rPr>
          <w:sz w:val="24"/>
        </w:rPr>
        <w:t>o</w:t>
      </w:r>
      <w:r w:rsidRPr="00B748FB">
        <w:rPr>
          <w:sz w:val="24"/>
        </w:rPr>
        <w:t xml:space="preserve">ld </w:t>
      </w:r>
      <w:r>
        <w:rPr>
          <w:sz w:val="24"/>
        </w:rPr>
        <w:t>G</w:t>
      </w:r>
      <w:r w:rsidRPr="00B748FB">
        <w:rPr>
          <w:sz w:val="24"/>
        </w:rPr>
        <w:t>RS 001 continues to apply to any reporting obligations for transitional reporting periods. For these purposes:</w:t>
      </w:r>
    </w:p>
    <w:p w14:paraId="3F3DFCB2" w14:textId="611768BB" w:rsidR="00B748FB" w:rsidRPr="00B748FB" w:rsidRDefault="00B748FB" w:rsidP="00B748FB">
      <w:pPr>
        <w:ind w:left="680"/>
        <w:rPr>
          <w:i/>
          <w:iCs/>
          <w:sz w:val="24"/>
          <w:szCs w:val="24"/>
        </w:rPr>
      </w:pPr>
      <w:r w:rsidRPr="00B748FB">
        <w:rPr>
          <w:b/>
          <w:bCs/>
          <w:i/>
          <w:iCs/>
          <w:sz w:val="24"/>
          <w:szCs w:val="24"/>
        </w:rPr>
        <w:t xml:space="preserve">old GRS 001 </w:t>
      </w:r>
      <w:r w:rsidRPr="00B748FB">
        <w:rPr>
          <w:iCs/>
          <w:sz w:val="24"/>
          <w:szCs w:val="24"/>
        </w:rPr>
        <w:t xml:space="preserve">means the reporting standard revoked in the determination making this Reporting </w:t>
      </w:r>
      <w:proofErr w:type="gramStart"/>
      <w:r w:rsidRPr="00B748FB">
        <w:rPr>
          <w:iCs/>
          <w:sz w:val="24"/>
          <w:szCs w:val="24"/>
        </w:rPr>
        <w:t>Standard;</w:t>
      </w:r>
      <w:proofErr w:type="gramEnd"/>
    </w:p>
    <w:p w14:paraId="5A19B69B" w14:textId="77777777" w:rsidR="00B748FB" w:rsidRPr="00B748FB" w:rsidRDefault="00B748FB" w:rsidP="00B748FB">
      <w:pPr>
        <w:ind w:left="680"/>
        <w:rPr>
          <w:i/>
          <w:iCs/>
          <w:sz w:val="24"/>
          <w:szCs w:val="24"/>
        </w:rPr>
      </w:pPr>
    </w:p>
    <w:p w14:paraId="48140B62" w14:textId="2EE4F920" w:rsidR="00B748FB" w:rsidRDefault="00B748FB" w:rsidP="00B748FB">
      <w:pPr>
        <w:ind w:left="680"/>
        <w:rPr>
          <w:sz w:val="24"/>
          <w:szCs w:val="24"/>
        </w:rPr>
      </w:pPr>
      <w:r w:rsidRPr="00B748FB">
        <w:rPr>
          <w:b/>
          <w:bCs/>
          <w:i/>
          <w:iCs/>
          <w:sz w:val="24"/>
          <w:szCs w:val="24"/>
        </w:rPr>
        <w:t xml:space="preserve">old reporting standard </w:t>
      </w:r>
      <w:r w:rsidRPr="00B748FB">
        <w:rPr>
          <w:sz w:val="24"/>
          <w:szCs w:val="24"/>
        </w:rPr>
        <w:t>means a reporting standard which has been revoked; and</w:t>
      </w:r>
    </w:p>
    <w:p w14:paraId="213613A6" w14:textId="77777777" w:rsidR="00B748FB" w:rsidRPr="00B748FB" w:rsidRDefault="00B748FB" w:rsidP="00B748FB">
      <w:pPr>
        <w:ind w:left="680"/>
        <w:rPr>
          <w:sz w:val="24"/>
          <w:szCs w:val="24"/>
        </w:rPr>
      </w:pPr>
    </w:p>
    <w:p w14:paraId="44059CD2" w14:textId="328E4040" w:rsidR="00B748FB" w:rsidRPr="00B748FB" w:rsidRDefault="00B748FB" w:rsidP="00B748FB">
      <w:pPr>
        <w:ind w:left="113" w:firstLine="567"/>
        <w:rPr>
          <w:sz w:val="24"/>
          <w:szCs w:val="24"/>
        </w:rPr>
      </w:pPr>
      <w:r w:rsidRPr="00B748FB">
        <w:rPr>
          <w:b/>
          <w:bCs/>
          <w:i/>
          <w:iCs/>
          <w:sz w:val="24"/>
          <w:szCs w:val="24"/>
        </w:rPr>
        <w:t xml:space="preserve">transitional reporting period </w:t>
      </w:r>
      <w:r w:rsidRPr="00B748FB">
        <w:rPr>
          <w:sz w:val="24"/>
          <w:szCs w:val="24"/>
        </w:rPr>
        <w:t>means a reporting period:</w:t>
      </w:r>
    </w:p>
    <w:p w14:paraId="16439E5C" w14:textId="77777777" w:rsidR="00B748FB" w:rsidRPr="00B748FB" w:rsidRDefault="00B748FB" w:rsidP="00B748FB">
      <w:pPr>
        <w:ind w:left="113" w:firstLine="567"/>
        <w:rPr>
          <w:sz w:val="24"/>
          <w:szCs w:val="24"/>
        </w:rPr>
      </w:pPr>
    </w:p>
    <w:p w14:paraId="265E058C" w14:textId="0F719A6A" w:rsidR="00B748FB" w:rsidRPr="00B748FB" w:rsidRDefault="00B748FB" w:rsidP="00B748FB">
      <w:pPr>
        <w:numPr>
          <w:ilvl w:val="0"/>
          <w:numId w:val="25"/>
        </w:numPr>
        <w:tabs>
          <w:tab w:val="clear" w:pos="1135"/>
          <w:tab w:val="num" w:pos="528"/>
          <w:tab w:val="left" w:pos="1418"/>
          <w:tab w:val="left" w:pos="1843"/>
        </w:tabs>
        <w:spacing w:after="240"/>
        <w:ind w:left="1418" w:hanging="709"/>
        <w:jc w:val="both"/>
        <w:rPr>
          <w:sz w:val="24"/>
          <w:szCs w:val="24"/>
        </w:rPr>
      </w:pPr>
      <w:r w:rsidRPr="00B748FB">
        <w:rPr>
          <w:sz w:val="24"/>
          <w:szCs w:val="24"/>
        </w:rPr>
        <w:t xml:space="preserve">which </w:t>
      </w:r>
      <w:r w:rsidR="003F6FF4">
        <w:rPr>
          <w:sz w:val="24"/>
          <w:szCs w:val="24"/>
        </w:rPr>
        <w:t>end</w:t>
      </w:r>
      <w:r w:rsidRPr="00B748FB">
        <w:rPr>
          <w:sz w:val="24"/>
          <w:szCs w:val="24"/>
        </w:rPr>
        <w:t>ed before 1 July 2023; and</w:t>
      </w:r>
    </w:p>
    <w:p w14:paraId="00079CDC" w14:textId="77777777" w:rsidR="00B748FB" w:rsidRPr="00B748FB" w:rsidRDefault="00B748FB" w:rsidP="00B748FB">
      <w:pPr>
        <w:numPr>
          <w:ilvl w:val="0"/>
          <w:numId w:val="25"/>
        </w:numPr>
        <w:tabs>
          <w:tab w:val="clear" w:pos="1135"/>
          <w:tab w:val="num" w:pos="528"/>
          <w:tab w:val="left" w:pos="1418"/>
          <w:tab w:val="left" w:pos="1843"/>
        </w:tabs>
        <w:spacing w:after="240"/>
        <w:ind w:left="1418" w:hanging="709"/>
        <w:jc w:val="both"/>
        <w:rPr>
          <w:sz w:val="24"/>
          <w:szCs w:val="24"/>
        </w:rPr>
      </w:pPr>
      <w:r w:rsidRPr="00B748FB">
        <w:rPr>
          <w:sz w:val="24"/>
          <w:szCs w:val="24"/>
        </w:rPr>
        <w:t>in relation to which an insurer was required, under an old reporting standard, to report by a date on or after the date of revocation of the old reporting standard.</w:t>
      </w:r>
    </w:p>
    <w:p w14:paraId="7884974A" w14:textId="65EAE19C" w:rsidR="000F3CF8" w:rsidRPr="003E1694" w:rsidRDefault="000F3CF8" w:rsidP="00494C8E">
      <w:pPr>
        <w:spacing w:before="120" w:after="240"/>
        <w:rPr>
          <w:rFonts w:ascii="Arial" w:hAnsi="Arial" w:cs="Arial"/>
          <w:b/>
          <w:sz w:val="24"/>
          <w:szCs w:val="24"/>
        </w:rPr>
      </w:pPr>
      <w:r w:rsidRPr="003E1694">
        <w:rPr>
          <w:rFonts w:ascii="Arial" w:hAnsi="Arial" w:cs="Arial"/>
          <w:b/>
          <w:sz w:val="24"/>
          <w:szCs w:val="24"/>
        </w:rPr>
        <w:t>Interpretation</w:t>
      </w:r>
    </w:p>
    <w:p w14:paraId="11ACD7CA" w14:textId="77777777" w:rsidR="000F3CF8" w:rsidRPr="003F62B4" w:rsidRDefault="000F3CF8" w:rsidP="00494C8E">
      <w:pPr>
        <w:numPr>
          <w:ilvl w:val="0"/>
          <w:numId w:val="3"/>
        </w:numPr>
        <w:spacing w:after="240"/>
        <w:jc w:val="both"/>
        <w:rPr>
          <w:sz w:val="24"/>
        </w:rPr>
      </w:pPr>
      <w:r w:rsidRPr="003F62B4">
        <w:rPr>
          <w:sz w:val="24"/>
        </w:rPr>
        <w:t xml:space="preserve">In this </w:t>
      </w:r>
      <w:r>
        <w:rPr>
          <w:sz w:val="24"/>
        </w:rPr>
        <w:t>R</w:t>
      </w:r>
      <w:r w:rsidRPr="003F62B4">
        <w:rPr>
          <w:sz w:val="24"/>
        </w:rPr>
        <w:t xml:space="preserve">eporting </w:t>
      </w:r>
      <w:r>
        <w:rPr>
          <w:sz w:val="24"/>
        </w:rPr>
        <w:t>S</w:t>
      </w:r>
      <w:r w:rsidRPr="003F62B4">
        <w:rPr>
          <w:sz w:val="24"/>
        </w:rPr>
        <w:t>tandard:</w:t>
      </w:r>
    </w:p>
    <w:p w14:paraId="5C46F0B1" w14:textId="4E4A84CB" w:rsidR="00C961BF" w:rsidRPr="002F69F0" w:rsidRDefault="00C961BF" w:rsidP="00C961BF">
      <w:pPr>
        <w:tabs>
          <w:tab w:val="left" w:pos="567"/>
        </w:tabs>
        <w:spacing w:after="240"/>
        <w:ind w:left="567"/>
        <w:jc w:val="both"/>
        <w:rPr>
          <w:sz w:val="24"/>
          <w:szCs w:val="24"/>
        </w:rPr>
      </w:pPr>
      <w:bookmarkStart w:id="5" w:name="AOBC"/>
      <w:bookmarkStart w:id="6" w:name="FSB"/>
      <w:bookmarkStart w:id="7" w:name="BS"/>
      <w:bookmarkStart w:id="8" w:name="CU"/>
      <w:bookmarkStart w:id="9" w:name="SCC"/>
      <w:bookmarkStart w:id="10" w:name="PB"/>
      <w:bookmarkEnd w:id="5"/>
      <w:bookmarkEnd w:id="6"/>
      <w:bookmarkEnd w:id="7"/>
      <w:bookmarkEnd w:id="8"/>
      <w:bookmarkEnd w:id="9"/>
      <w:bookmarkEnd w:id="10"/>
      <w:r w:rsidRPr="002F69F0">
        <w:rPr>
          <w:b/>
          <w:i/>
          <w:sz w:val="24"/>
          <w:szCs w:val="24"/>
        </w:rPr>
        <w:t>AASB</w:t>
      </w:r>
      <w:r w:rsidRPr="002F69F0">
        <w:rPr>
          <w:sz w:val="24"/>
          <w:szCs w:val="24"/>
        </w:rPr>
        <w:t xml:space="preserve"> references relate to the Australian Account</w:t>
      </w:r>
      <w:r>
        <w:rPr>
          <w:sz w:val="24"/>
          <w:szCs w:val="24"/>
        </w:rPr>
        <w:t>ing</w:t>
      </w:r>
      <w:r w:rsidRPr="002F69F0">
        <w:rPr>
          <w:sz w:val="24"/>
          <w:szCs w:val="24"/>
        </w:rPr>
        <w:t xml:space="preserve"> Standards</w:t>
      </w:r>
      <w:r>
        <w:rPr>
          <w:sz w:val="24"/>
          <w:szCs w:val="24"/>
        </w:rPr>
        <w:t xml:space="preserve"> made by the Australian Accounting Standards </w:t>
      </w:r>
      <w:proofErr w:type="gramStart"/>
      <w:r>
        <w:rPr>
          <w:sz w:val="24"/>
          <w:szCs w:val="24"/>
        </w:rPr>
        <w:t>Board</w:t>
      </w:r>
      <w:r w:rsidRPr="002F69F0">
        <w:rPr>
          <w:sz w:val="24"/>
          <w:szCs w:val="24"/>
        </w:rPr>
        <w:t>;</w:t>
      </w:r>
      <w:proofErr w:type="gramEnd"/>
    </w:p>
    <w:p w14:paraId="2EDF150F" w14:textId="23DCC728" w:rsidR="000F3CF8" w:rsidRDefault="000F3CF8" w:rsidP="00494C8E">
      <w:pPr>
        <w:tabs>
          <w:tab w:val="left" w:pos="426"/>
        </w:tabs>
        <w:spacing w:after="240"/>
        <w:ind w:left="567"/>
        <w:jc w:val="both"/>
        <w:rPr>
          <w:b/>
          <w:i/>
          <w:sz w:val="24"/>
          <w:szCs w:val="24"/>
        </w:rPr>
      </w:pPr>
      <w:r>
        <w:rPr>
          <w:b/>
          <w:i/>
          <w:sz w:val="24"/>
          <w:szCs w:val="24"/>
        </w:rPr>
        <w:t xml:space="preserve">annual information </w:t>
      </w:r>
      <w:r w:rsidRPr="00C94B71">
        <w:rPr>
          <w:sz w:val="24"/>
          <w:szCs w:val="24"/>
        </w:rPr>
        <w:t xml:space="preserve">means information required to be provided in respect of each financial year of </w:t>
      </w:r>
      <w:r>
        <w:rPr>
          <w:sz w:val="24"/>
          <w:szCs w:val="24"/>
        </w:rPr>
        <w:t>a</w:t>
      </w:r>
      <w:r w:rsidRPr="00C94B71">
        <w:rPr>
          <w:sz w:val="24"/>
          <w:szCs w:val="24"/>
        </w:rPr>
        <w:t xml:space="preserve"> </w:t>
      </w:r>
      <w:r>
        <w:rPr>
          <w:sz w:val="24"/>
          <w:szCs w:val="24"/>
        </w:rPr>
        <w:t xml:space="preserve">general insurer or </w:t>
      </w:r>
      <w:r w:rsidRPr="00851910">
        <w:rPr>
          <w:sz w:val="24"/>
          <w:szCs w:val="24"/>
        </w:rPr>
        <w:t xml:space="preserve">Level 2 insurance </w:t>
      </w:r>
      <w:proofErr w:type="gramStart"/>
      <w:r w:rsidRPr="00851910">
        <w:rPr>
          <w:sz w:val="24"/>
          <w:szCs w:val="24"/>
        </w:rPr>
        <w:t>group</w:t>
      </w:r>
      <w:r>
        <w:rPr>
          <w:sz w:val="24"/>
          <w:szCs w:val="24"/>
        </w:rPr>
        <w:t>;</w:t>
      </w:r>
      <w:proofErr w:type="gramEnd"/>
    </w:p>
    <w:p w14:paraId="3F37AE86" w14:textId="77777777" w:rsidR="000F3CF8" w:rsidRPr="006E3445" w:rsidRDefault="000F3CF8" w:rsidP="00494C8E">
      <w:pPr>
        <w:tabs>
          <w:tab w:val="left" w:pos="426"/>
        </w:tabs>
        <w:spacing w:after="240"/>
        <w:ind w:left="567"/>
        <w:jc w:val="both"/>
        <w:rPr>
          <w:iCs/>
          <w:sz w:val="24"/>
          <w:szCs w:val="24"/>
        </w:rPr>
      </w:pPr>
      <w:r>
        <w:rPr>
          <w:b/>
          <w:i/>
          <w:sz w:val="24"/>
          <w:szCs w:val="24"/>
        </w:rPr>
        <w:t xml:space="preserve">financial year </w:t>
      </w:r>
      <w:r w:rsidRPr="00C94B71">
        <w:rPr>
          <w:sz w:val="24"/>
          <w:szCs w:val="24"/>
        </w:rPr>
        <w:t>has</w:t>
      </w:r>
      <w:r>
        <w:rPr>
          <w:b/>
          <w:i/>
          <w:sz w:val="24"/>
          <w:szCs w:val="24"/>
        </w:rPr>
        <w:t xml:space="preserve"> </w:t>
      </w:r>
      <w:r>
        <w:rPr>
          <w:sz w:val="24"/>
          <w:szCs w:val="24"/>
        </w:rPr>
        <w:t xml:space="preserve">the meaning in the </w:t>
      </w:r>
      <w:r>
        <w:rPr>
          <w:i/>
          <w:iCs/>
          <w:sz w:val="24"/>
          <w:szCs w:val="24"/>
        </w:rPr>
        <w:t>Corporations Act 2001</w:t>
      </w:r>
      <w:r w:rsidRPr="006E3445">
        <w:rPr>
          <w:iCs/>
          <w:sz w:val="24"/>
          <w:szCs w:val="24"/>
        </w:rPr>
        <w:t xml:space="preserve">, or in the case of a </w:t>
      </w:r>
      <w:r>
        <w:rPr>
          <w:iCs/>
          <w:sz w:val="24"/>
          <w:szCs w:val="24"/>
        </w:rPr>
        <w:t>L</w:t>
      </w:r>
      <w:r w:rsidRPr="006E3445">
        <w:rPr>
          <w:iCs/>
          <w:sz w:val="24"/>
          <w:szCs w:val="24"/>
        </w:rPr>
        <w:t xml:space="preserve">evel 2 insurance </w:t>
      </w:r>
      <w:r>
        <w:rPr>
          <w:iCs/>
          <w:sz w:val="24"/>
          <w:szCs w:val="24"/>
        </w:rPr>
        <w:t xml:space="preserve">group, the financial year of the parent entity of the Level 2 insurance </w:t>
      </w:r>
      <w:proofErr w:type="gramStart"/>
      <w:r>
        <w:rPr>
          <w:iCs/>
          <w:sz w:val="24"/>
          <w:szCs w:val="24"/>
        </w:rPr>
        <w:t>group;</w:t>
      </w:r>
      <w:proofErr w:type="gramEnd"/>
    </w:p>
    <w:p w14:paraId="562F2EDC" w14:textId="77777777" w:rsidR="000F3CF8" w:rsidRPr="00851910" w:rsidRDefault="000F3CF8" w:rsidP="00494C8E">
      <w:pPr>
        <w:tabs>
          <w:tab w:val="left" w:pos="426"/>
        </w:tabs>
        <w:spacing w:after="240"/>
        <w:ind w:left="567"/>
        <w:jc w:val="both"/>
        <w:rPr>
          <w:sz w:val="24"/>
          <w:szCs w:val="24"/>
        </w:rPr>
      </w:pPr>
      <w:r>
        <w:rPr>
          <w:b/>
          <w:i/>
          <w:sz w:val="24"/>
          <w:szCs w:val="24"/>
        </w:rPr>
        <w:t xml:space="preserve">half yearly information </w:t>
      </w:r>
      <w:r>
        <w:rPr>
          <w:sz w:val="24"/>
          <w:szCs w:val="24"/>
        </w:rPr>
        <w:t xml:space="preserve">means information required to be provided </w:t>
      </w:r>
      <w:r w:rsidRPr="00851910">
        <w:rPr>
          <w:sz w:val="24"/>
          <w:szCs w:val="24"/>
        </w:rPr>
        <w:t xml:space="preserve">in respect of </w:t>
      </w:r>
      <w:r w:rsidR="002E4CAF">
        <w:rPr>
          <w:sz w:val="24"/>
          <w:szCs w:val="24"/>
        </w:rPr>
        <w:t xml:space="preserve">the first six months </w:t>
      </w:r>
      <w:r>
        <w:rPr>
          <w:sz w:val="24"/>
          <w:szCs w:val="24"/>
        </w:rPr>
        <w:t>o</w:t>
      </w:r>
      <w:r w:rsidR="00885685">
        <w:rPr>
          <w:sz w:val="24"/>
          <w:szCs w:val="24"/>
        </w:rPr>
        <w:t>f</w:t>
      </w:r>
      <w:r>
        <w:rPr>
          <w:sz w:val="24"/>
          <w:szCs w:val="24"/>
        </w:rPr>
        <w:t xml:space="preserve"> the financial year of the parent entity </w:t>
      </w:r>
      <w:r w:rsidRPr="00851910">
        <w:rPr>
          <w:sz w:val="24"/>
          <w:szCs w:val="24"/>
        </w:rPr>
        <w:t xml:space="preserve">of the Level 2 insurance </w:t>
      </w:r>
      <w:proofErr w:type="gramStart"/>
      <w:r w:rsidRPr="00851910">
        <w:rPr>
          <w:sz w:val="24"/>
          <w:szCs w:val="24"/>
        </w:rPr>
        <w:t>group</w:t>
      </w:r>
      <w:r>
        <w:rPr>
          <w:sz w:val="24"/>
          <w:szCs w:val="24"/>
        </w:rPr>
        <w:t>;</w:t>
      </w:r>
      <w:proofErr w:type="gramEnd"/>
      <w:r>
        <w:rPr>
          <w:sz w:val="24"/>
          <w:szCs w:val="24"/>
        </w:rPr>
        <w:t xml:space="preserve"> and</w:t>
      </w:r>
    </w:p>
    <w:p w14:paraId="6B258224" w14:textId="77777777" w:rsidR="000F3CF8" w:rsidRDefault="000F3CF8" w:rsidP="00494C8E">
      <w:pPr>
        <w:tabs>
          <w:tab w:val="left" w:pos="426"/>
        </w:tabs>
        <w:spacing w:after="240"/>
        <w:ind w:left="567"/>
        <w:jc w:val="both"/>
        <w:rPr>
          <w:sz w:val="24"/>
          <w:szCs w:val="24"/>
        </w:rPr>
      </w:pPr>
      <w:r w:rsidRPr="00C94B71">
        <w:rPr>
          <w:b/>
          <w:i/>
          <w:sz w:val="24"/>
          <w:szCs w:val="24"/>
        </w:rPr>
        <w:t>quarterly information</w:t>
      </w:r>
      <w:r>
        <w:rPr>
          <w:sz w:val="24"/>
          <w:szCs w:val="24"/>
        </w:rPr>
        <w:t xml:space="preserve"> means information required to be provided in respect of each quarter based on the financial year </w:t>
      </w:r>
      <w:r w:rsidRPr="00C94B71">
        <w:rPr>
          <w:sz w:val="24"/>
          <w:szCs w:val="24"/>
        </w:rPr>
        <w:t xml:space="preserve">of </w:t>
      </w:r>
      <w:r>
        <w:rPr>
          <w:sz w:val="24"/>
          <w:szCs w:val="24"/>
        </w:rPr>
        <w:t>a</w:t>
      </w:r>
      <w:r w:rsidRPr="00C94B71">
        <w:rPr>
          <w:sz w:val="24"/>
          <w:szCs w:val="24"/>
        </w:rPr>
        <w:t xml:space="preserve"> </w:t>
      </w:r>
      <w:r>
        <w:rPr>
          <w:sz w:val="24"/>
          <w:szCs w:val="24"/>
        </w:rPr>
        <w:t>general insurer or life company.</w:t>
      </w:r>
    </w:p>
    <w:p w14:paraId="1EABDC12" w14:textId="77777777" w:rsidR="00002098" w:rsidRPr="00E22BCF" w:rsidRDefault="00D230FC" w:rsidP="00E22BCF">
      <w:pPr>
        <w:numPr>
          <w:ilvl w:val="0"/>
          <w:numId w:val="3"/>
        </w:numPr>
        <w:spacing w:after="240"/>
        <w:rPr>
          <w:sz w:val="24"/>
        </w:rPr>
        <w:sectPr w:rsidR="00002098" w:rsidRPr="00E22BCF">
          <w:headerReference w:type="default" r:id="rId14"/>
          <w:footerReference w:type="default" r:id="rId15"/>
          <w:pgSz w:w="11907" w:h="16840"/>
          <w:pgMar w:top="1440" w:right="1440" w:bottom="1440" w:left="1440" w:header="720" w:footer="720" w:gutter="0"/>
          <w:pgNumType w:start="1"/>
          <w:cols w:space="720"/>
        </w:sectPr>
      </w:pPr>
      <w:bookmarkStart w:id="11" w:name="_Hlk87359204"/>
      <w:r w:rsidRPr="00E22BCF">
        <w:rPr>
          <w:sz w:val="24"/>
        </w:rPr>
        <w:lastRenderedPageBreak/>
        <w:t>Unless the contrary intention appears, a reference to an Act, Prudential Standard, Reporting Standard, Australian Accounting or Auditing Standard is a reference to the instrument as in force from time to time.</w:t>
      </w:r>
      <w:bookmarkEnd w:id="11"/>
    </w:p>
    <w:p w14:paraId="18FE7F37" w14:textId="77777777" w:rsidR="000F3CF8" w:rsidRDefault="000F3CF8" w:rsidP="00494C8E">
      <w:pPr>
        <w:tabs>
          <w:tab w:val="left" w:pos="426"/>
        </w:tabs>
        <w:spacing w:after="240"/>
        <w:jc w:val="both"/>
        <w:rPr>
          <w:b/>
          <w:i/>
          <w:sz w:val="24"/>
          <w:szCs w:val="24"/>
        </w:rPr>
      </w:pPr>
    </w:p>
    <w:p w14:paraId="76631640" w14:textId="0A2BA269" w:rsidR="000F3CF8" w:rsidRPr="00C737FA" w:rsidRDefault="000F3CF8" w:rsidP="000F3CF8">
      <w:pPr>
        <w:keepNext/>
        <w:spacing w:before="120" w:after="240"/>
        <w:rPr>
          <w:rFonts w:ascii="Arial" w:hAnsi="Arial" w:cs="Arial"/>
          <w:b/>
          <w:sz w:val="32"/>
          <w:szCs w:val="32"/>
        </w:rPr>
      </w:pPr>
      <w:r w:rsidRPr="00C737FA">
        <w:rPr>
          <w:rFonts w:ascii="Arial" w:hAnsi="Arial" w:cs="Arial"/>
          <w:b/>
          <w:sz w:val="32"/>
          <w:szCs w:val="32"/>
        </w:rPr>
        <w:t>ATTACHMENT A</w:t>
      </w:r>
    </w:p>
    <w:p w14:paraId="52599B12" w14:textId="77777777" w:rsidR="000F3CF8" w:rsidRPr="00CB5E3A" w:rsidRDefault="000F3CF8" w:rsidP="00832CC3">
      <w:pPr>
        <w:pStyle w:val="Heading4"/>
        <w:keepNext w:val="0"/>
        <w:spacing w:before="120" w:after="360"/>
        <w:jc w:val="left"/>
        <w:rPr>
          <w:rFonts w:ascii="Arial" w:hAnsi="Arial" w:cs="Arial"/>
          <w:b/>
          <w:sz w:val="32"/>
          <w:szCs w:val="32"/>
        </w:rPr>
      </w:pPr>
      <w:r w:rsidRPr="00CB5E3A">
        <w:rPr>
          <w:rFonts w:ascii="Arial" w:hAnsi="Arial" w:cs="Arial"/>
          <w:b/>
          <w:sz w:val="32"/>
          <w:szCs w:val="32"/>
        </w:rPr>
        <w:t xml:space="preserve">General Insurance Reporting Requirements </w:t>
      </w:r>
    </w:p>
    <w:p w14:paraId="529EEB43" w14:textId="77777777" w:rsidR="000F3CF8" w:rsidRPr="00CB5E3A" w:rsidRDefault="000F3CF8" w:rsidP="00832CC3">
      <w:pPr>
        <w:pStyle w:val="Heading4"/>
        <w:keepNext w:val="0"/>
        <w:spacing w:before="120" w:after="360"/>
        <w:jc w:val="left"/>
        <w:rPr>
          <w:rFonts w:ascii="Arial" w:hAnsi="Arial" w:cs="Arial"/>
          <w:b/>
          <w:sz w:val="32"/>
          <w:szCs w:val="32"/>
        </w:rPr>
      </w:pPr>
      <w:r w:rsidRPr="00CB5E3A">
        <w:rPr>
          <w:rFonts w:ascii="Arial" w:hAnsi="Arial" w:cs="Arial"/>
          <w:b/>
          <w:sz w:val="32"/>
          <w:szCs w:val="32"/>
        </w:rPr>
        <w:t>General Instruction</w:t>
      </w:r>
      <w:r>
        <w:rPr>
          <w:rFonts w:ascii="Arial" w:hAnsi="Arial" w:cs="Arial"/>
          <w:b/>
          <w:sz w:val="32"/>
          <w:szCs w:val="32"/>
        </w:rPr>
        <w:t xml:space="preserve"> Guide</w:t>
      </w:r>
    </w:p>
    <w:p w14:paraId="35B44E7E" w14:textId="77777777" w:rsidR="000F3CF8" w:rsidRDefault="000F3CF8" w:rsidP="00832CC3">
      <w:pPr>
        <w:pStyle w:val="ListParagraph"/>
        <w:numPr>
          <w:ilvl w:val="0"/>
          <w:numId w:val="13"/>
        </w:numPr>
        <w:tabs>
          <w:tab w:val="left" w:pos="709"/>
        </w:tabs>
        <w:spacing w:before="120" w:after="240"/>
        <w:contextualSpacing w:val="0"/>
        <w:jc w:val="both"/>
        <w:rPr>
          <w:rFonts w:ascii="Arial" w:hAnsi="Arial" w:cs="Arial"/>
          <w:b/>
          <w:sz w:val="24"/>
          <w:szCs w:val="24"/>
        </w:rPr>
      </w:pPr>
      <w:r w:rsidRPr="00473B6E">
        <w:rPr>
          <w:rFonts w:ascii="Arial" w:hAnsi="Arial" w:cs="Arial"/>
          <w:b/>
          <w:sz w:val="24"/>
          <w:szCs w:val="24"/>
        </w:rPr>
        <w:t>Introduction</w:t>
      </w:r>
    </w:p>
    <w:p w14:paraId="613419DA" w14:textId="17982D90" w:rsidR="000F3CF8" w:rsidRDefault="000F3CF8" w:rsidP="00832CC3">
      <w:pPr>
        <w:spacing w:after="240"/>
        <w:jc w:val="both"/>
        <w:rPr>
          <w:sz w:val="24"/>
          <w:szCs w:val="24"/>
        </w:rPr>
      </w:pPr>
      <w:r w:rsidRPr="006674B5">
        <w:rPr>
          <w:sz w:val="24"/>
          <w:szCs w:val="24"/>
        </w:rPr>
        <w:t>The General Instruction</w:t>
      </w:r>
      <w:r>
        <w:rPr>
          <w:sz w:val="24"/>
          <w:szCs w:val="24"/>
        </w:rPr>
        <w:t xml:space="preserve"> Guide</w:t>
      </w:r>
      <w:r w:rsidRPr="006674B5">
        <w:rPr>
          <w:sz w:val="24"/>
          <w:szCs w:val="24"/>
        </w:rPr>
        <w:t xml:space="preserve"> </w:t>
      </w:r>
      <w:r>
        <w:rPr>
          <w:sz w:val="24"/>
          <w:szCs w:val="24"/>
        </w:rPr>
        <w:t>is</w:t>
      </w:r>
      <w:r w:rsidRPr="006674B5">
        <w:rPr>
          <w:sz w:val="24"/>
          <w:szCs w:val="24"/>
        </w:rPr>
        <w:t xml:space="preserve"> intended to assist Level 1 general insurers </w:t>
      </w:r>
      <w:r>
        <w:rPr>
          <w:sz w:val="24"/>
          <w:szCs w:val="24"/>
        </w:rPr>
        <w:t xml:space="preserve">(Level 1 insurers) </w:t>
      </w:r>
      <w:r w:rsidRPr="006674B5">
        <w:rPr>
          <w:sz w:val="24"/>
          <w:szCs w:val="24"/>
        </w:rPr>
        <w:t xml:space="preserve">and Level 2 </w:t>
      </w:r>
      <w:r>
        <w:rPr>
          <w:sz w:val="24"/>
          <w:szCs w:val="24"/>
        </w:rPr>
        <w:t xml:space="preserve">general </w:t>
      </w:r>
      <w:r w:rsidRPr="006674B5">
        <w:rPr>
          <w:sz w:val="24"/>
          <w:szCs w:val="24"/>
        </w:rPr>
        <w:t xml:space="preserve">insurance groups </w:t>
      </w:r>
      <w:r>
        <w:rPr>
          <w:sz w:val="24"/>
          <w:szCs w:val="24"/>
        </w:rPr>
        <w:t xml:space="preserve">(Level 2 groups), </w:t>
      </w:r>
      <w:r w:rsidRPr="006674B5">
        <w:rPr>
          <w:sz w:val="24"/>
          <w:szCs w:val="24"/>
        </w:rPr>
        <w:t xml:space="preserve">collectively referred to as </w:t>
      </w:r>
      <w:r>
        <w:rPr>
          <w:sz w:val="24"/>
          <w:szCs w:val="24"/>
        </w:rPr>
        <w:t xml:space="preserve">reporting insurers </w:t>
      </w:r>
      <w:r w:rsidRPr="006674B5">
        <w:rPr>
          <w:sz w:val="24"/>
          <w:szCs w:val="24"/>
        </w:rPr>
        <w:t>in this document</w:t>
      </w:r>
      <w:r>
        <w:rPr>
          <w:sz w:val="24"/>
          <w:szCs w:val="24"/>
        </w:rPr>
        <w:t xml:space="preserve">, </w:t>
      </w:r>
      <w:r w:rsidRPr="006674B5">
        <w:rPr>
          <w:sz w:val="24"/>
          <w:szCs w:val="24"/>
        </w:rPr>
        <w:t xml:space="preserve">in completing the reporting </w:t>
      </w:r>
      <w:r w:rsidR="00E72199">
        <w:rPr>
          <w:sz w:val="24"/>
          <w:szCs w:val="24"/>
        </w:rPr>
        <w:t xml:space="preserve">tables </w:t>
      </w:r>
      <w:r w:rsidRPr="006674B5">
        <w:rPr>
          <w:sz w:val="24"/>
          <w:szCs w:val="24"/>
        </w:rPr>
        <w:t xml:space="preserve">required to be lodged under the Reporting Standards made under section 13 of the </w:t>
      </w:r>
      <w:r w:rsidRPr="006674B5">
        <w:rPr>
          <w:i/>
          <w:sz w:val="24"/>
          <w:szCs w:val="24"/>
        </w:rPr>
        <w:t>Financial Sector (Collection of Data) Act 2001.</w:t>
      </w:r>
      <w:r w:rsidRPr="006674B5">
        <w:rPr>
          <w:sz w:val="24"/>
          <w:szCs w:val="24"/>
        </w:rPr>
        <w:t xml:space="preserve"> </w:t>
      </w:r>
    </w:p>
    <w:p w14:paraId="26D0B77C" w14:textId="4418B7DE" w:rsidR="000F3CF8" w:rsidRDefault="000F3CF8" w:rsidP="00832CC3">
      <w:pPr>
        <w:spacing w:after="240"/>
        <w:jc w:val="both"/>
        <w:rPr>
          <w:sz w:val="24"/>
          <w:szCs w:val="24"/>
        </w:rPr>
      </w:pPr>
      <w:r w:rsidRPr="006674B5">
        <w:rPr>
          <w:sz w:val="24"/>
          <w:szCs w:val="24"/>
        </w:rPr>
        <w:t xml:space="preserve">Detailed instructions for the individual reporting items are included in the </w:t>
      </w:r>
      <w:r>
        <w:rPr>
          <w:sz w:val="24"/>
          <w:szCs w:val="24"/>
        </w:rPr>
        <w:t xml:space="preserve">specific </w:t>
      </w:r>
      <w:r w:rsidRPr="006674B5">
        <w:rPr>
          <w:sz w:val="24"/>
          <w:szCs w:val="24"/>
        </w:rPr>
        <w:t xml:space="preserve">instructions </w:t>
      </w:r>
      <w:r>
        <w:rPr>
          <w:sz w:val="24"/>
          <w:szCs w:val="24"/>
        </w:rPr>
        <w:t xml:space="preserve">for each </w:t>
      </w:r>
      <w:r w:rsidRPr="006674B5">
        <w:rPr>
          <w:sz w:val="24"/>
          <w:szCs w:val="24"/>
        </w:rPr>
        <w:t xml:space="preserve">reporting </w:t>
      </w:r>
      <w:r w:rsidR="005362DB">
        <w:rPr>
          <w:sz w:val="24"/>
          <w:szCs w:val="24"/>
        </w:rPr>
        <w:t>standard</w:t>
      </w:r>
      <w:r w:rsidRPr="006674B5">
        <w:rPr>
          <w:sz w:val="24"/>
          <w:szCs w:val="24"/>
        </w:rPr>
        <w:t xml:space="preserve">. These </w:t>
      </w:r>
      <w:r>
        <w:rPr>
          <w:sz w:val="24"/>
          <w:szCs w:val="24"/>
        </w:rPr>
        <w:t xml:space="preserve">specific instructions </w:t>
      </w:r>
      <w:r w:rsidRPr="006674B5">
        <w:rPr>
          <w:sz w:val="24"/>
          <w:szCs w:val="24"/>
        </w:rPr>
        <w:t xml:space="preserve">need to be considered in conjunction with this </w:t>
      </w:r>
      <w:r>
        <w:rPr>
          <w:sz w:val="24"/>
          <w:szCs w:val="24"/>
        </w:rPr>
        <w:t xml:space="preserve">document, </w:t>
      </w:r>
      <w:r w:rsidRPr="006674B5">
        <w:rPr>
          <w:sz w:val="24"/>
          <w:szCs w:val="24"/>
        </w:rPr>
        <w:t xml:space="preserve">the relevant </w:t>
      </w:r>
      <w:r>
        <w:rPr>
          <w:sz w:val="24"/>
          <w:szCs w:val="24"/>
        </w:rPr>
        <w:t xml:space="preserve">reporting </w:t>
      </w:r>
      <w:proofErr w:type="gramStart"/>
      <w:r>
        <w:rPr>
          <w:sz w:val="24"/>
          <w:szCs w:val="24"/>
        </w:rPr>
        <w:t>standards</w:t>
      </w:r>
      <w:proofErr w:type="gramEnd"/>
      <w:r>
        <w:rPr>
          <w:sz w:val="24"/>
          <w:szCs w:val="24"/>
        </w:rPr>
        <w:t xml:space="preserve"> and the </w:t>
      </w:r>
      <w:r w:rsidRPr="006674B5">
        <w:rPr>
          <w:sz w:val="24"/>
          <w:szCs w:val="24"/>
        </w:rPr>
        <w:t>prudential standards.</w:t>
      </w:r>
    </w:p>
    <w:p w14:paraId="301BCA1E" w14:textId="08E40E45" w:rsidR="000F3CF8" w:rsidRDefault="000F3CF8" w:rsidP="00832CC3">
      <w:pPr>
        <w:spacing w:after="240"/>
        <w:jc w:val="both"/>
        <w:rPr>
          <w:sz w:val="24"/>
          <w:szCs w:val="24"/>
        </w:rPr>
      </w:pPr>
      <w:r w:rsidRPr="006674B5">
        <w:rPr>
          <w:sz w:val="24"/>
          <w:szCs w:val="24"/>
        </w:rPr>
        <w:t>Th</w:t>
      </w:r>
      <w:r>
        <w:rPr>
          <w:sz w:val="24"/>
          <w:szCs w:val="24"/>
        </w:rPr>
        <w:t xml:space="preserve">e General Instruction Guide </w:t>
      </w:r>
      <w:r w:rsidRPr="006674B5">
        <w:rPr>
          <w:sz w:val="24"/>
          <w:szCs w:val="24"/>
        </w:rPr>
        <w:t>cover</w:t>
      </w:r>
      <w:r>
        <w:rPr>
          <w:sz w:val="24"/>
          <w:szCs w:val="24"/>
        </w:rPr>
        <w:t>s</w:t>
      </w:r>
      <w:r w:rsidRPr="006674B5">
        <w:rPr>
          <w:sz w:val="24"/>
          <w:szCs w:val="24"/>
        </w:rPr>
        <w:t xml:space="preserve"> all reporting </w:t>
      </w:r>
      <w:r w:rsidR="0002530F">
        <w:rPr>
          <w:sz w:val="24"/>
          <w:szCs w:val="24"/>
        </w:rPr>
        <w:t>standards</w:t>
      </w:r>
      <w:r w:rsidR="0002530F" w:rsidRPr="006674B5">
        <w:rPr>
          <w:sz w:val="24"/>
          <w:szCs w:val="24"/>
        </w:rPr>
        <w:t xml:space="preserve"> </w:t>
      </w:r>
      <w:r w:rsidRPr="006674B5">
        <w:rPr>
          <w:sz w:val="24"/>
          <w:szCs w:val="24"/>
        </w:rPr>
        <w:t xml:space="preserve">for </w:t>
      </w:r>
      <w:r>
        <w:rPr>
          <w:sz w:val="24"/>
          <w:szCs w:val="24"/>
        </w:rPr>
        <w:t>reporting insurers</w:t>
      </w:r>
      <w:r w:rsidRPr="006674B5">
        <w:rPr>
          <w:sz w:val="24"/>
          <w:szCs w:val="24"/>
        </w:rPr>
        <w:t xml:space="preserve">.  </w:t>
      </w:r>
    </w:p>
    <w:p w14:paraId="3525B1F9" w14:textId="77777777" w:rsidR="000F3CF8" w:rsidRDefault="000F3CF8" w:rsidP="00832CC3">
      <w:pPr>
        <w:pStyle w:val="ListParagraph"/>
        <w:numPr>
          <w:ilvl w:val="0"/>
          <w:numId w:val="13"/>
        </w:numPr>
        <w:tabs>
          <w:tab w:val="left" w:pos="709"/>
        </w:tabs>
        <w:spacing w:before="120" w:after="240"/>
        <w:ind w:left="357" w:hanging="357"/>
        <w:contextualSpacing w:val="0"/>
        <w:jc w:val="both"/>
        <w:rPr>
          <w:rFonts w:ascii="Arial" w:hAnsi="Arial" w:cs="Arial"/>
          <w:b/>
          <w:sz w:val="24"/>
          <w:szCs w:val="24"/>
        </w:rPr>
      </w:pPr>
      <w:r w:rsidRPr="00473B6E">
        <w:rPr>
          <w:rFonts w:ascii="Arial" w:hAnsi="Arial" w:cs="Arial"/>
          <w:b/>
          <w:sz w:val="24"/>
          <w:szCs w:val="24"/>
        </w:rPr>
        <w:t>Timing of submission</w:t>
      </w:r>
    </w:p>
    <w:p w14:paraId="02296578" w14:textId="293907FB" w:rsidR="000F3CF8" w:rsidRDefault="000F3CF8" w:rsidP="00832CC3">
      <w:pPr>
        <w:spacing w:after="240"/>
        <w:jc w:val="both"/>
        <w:rPr>
          <w:sz w:val="24"/>
          <w:szCs w:val="24"/>
        </w:rPr>
      </w:pPr>
      <w:r w:rsidRPr="006674B5">
        <w:rPr>
          <w:sz w:val="24"/>
          <w:szCs w:val="24"/>
        </w:rPr>
        <w:t xml:space="preserve">The time for submitting reporting </w:t>
      </w:r>
      <w:r w:rsidR="00E72199">
        <w:rPr>
          <w:sz w:val="24"/>
          <w:szCs w:val="24"/>
        </w:rPr>
        <w:t>tables</w:t>
      </w:r>
      <w:r w:rsidR="00E72199" w:rsidRPr="006674B5">
        <w:rPr>
          <w:sz w:val="24"/>
          <w:szCs w:val="24"/>
        </w:rPr>
        <w:t xml:space="preserve"> </w:t>
      </w:r>
      <w:r w:rsidRPr="006674B5">
        <w:rPr>
          <w:sz w:val="24"/>
          <w:szCs w:val="24"/>
        </w:rPr>
        <w:t xml:space="preserve">varies according to whether the </w:t>
      </w:r>
      <w:r w:rsidR="00E72199">
        <w:rPr>
          <w:sz w:val="24"/>
          <w:szCs w:val="24"/>
        </w:rPr>
        <w:t xml:space="preserve">tables </w:t>
      </w:r>
      <w:r w:rsidRPr="006674B5">
        <w:rPr>
          <w:sz w:val="24"/>
          <w:szCs w:val="24"/>
        </w:rPr>
        <w:t xml:space="preserve">require the reporting of quarterly, </w:t>
      </w:r>
      <w:proofErr w:type="gramStart"/>
      <w:r w:rsidRPr="006674B5">
        <w:rPr>
          <w:sz w:val="24"/>
          <w:szCs w:val="24"/>
        </w:rPr>
        <w:t>semi-annual</w:t>
      </w:r>
      <w:proofErr w:type="gramEnd"/>
      <w:r w:rsidRPr="006674B5">
        <w:rPr>
          <w:sz w:val="24"/>
          <w:szCs w:val="24"/>
        </w:rPr>
        <w:t xml:space="preserve"> or annual information:</w:t>
      </w:r>
    </w:p>
    <w:p w14:paraId="09264F10" w14:textId="2813137A" w:rsidR="000F3CF8" w:rsidRDefault="00E72199" w:rsidP="00832CC3">
      <w:pPr>
        <w:pStyle w:val="ListParagraph"/>
        <w:numPr>
          <w:ilvl w:val="0"/>
          <w:numId w:val="6"/>
        </w:numPr>
        <w:tabs>
          <w:tab w:val="left" w:pos="567"/>
        </w:tabs>
        <w:spacing w:after="240"/>
        <w:ind w:left="567" w:hanging="567"/>
        <w:contextualSpacing w:val="0"/>
        <w:jc w:val="both"/>
        <w:rPr>
          <w:sz w:val="24"/>
          <w:szCs w:val="24"/>
        </w:rPr>
      </w:pPr>
      <w:r>
        <w:rPr>
          <w:sz w:val="24"/>
          <w:szCs w:val="24"/>
        </w:rPr>
        <w:t xml:space="preserve">reporting standards </w:t>
      </w:r>
      <w:r w:rsidR="000F3CF8" w:rsidRPr="006674B5">
        <w:rPr>
          <w:sz w:val="24"/>
          <w:szCs w:val="24"/>
        </w:rPr>
        <w:t>requiring the reporting of quarterly information must be completed as at the end of each quarter based on the financial year of the Level 1 insurers</w:t>
      </w:r>
      <w:r w:rsidR="000F3CF8">
        <w:rPr>
          <w:sz w:val="24"/>
          <w:szCs w:val="24"/>
        </w:rPr>
        <w:t xml:space="preserve"> (</w:t>
      </w:r>
      <w:r w:rsidR="000F3CF8" w:rsidRPr="006674B5">
        <w:rPr>
          <w:sz w:val="24"/>
          <w:szCs w:val="24"/>
        </w:rPr>
        <w:t>not the calendar year</w:t>
      </w:r>
      <w:proofErr w:type="gramStart"/>
      <w:r w:rsidR="000F3CF8">
        <w:rPr>
          <w:sz w:val="24"/>
          <w:szCs w:val="24"/>
        </w:rPr>
        <w:t>)</w:t>
      </w:r>
      <w:r w:rsidR="000F3CF8" w:rsidRPr="006674B5">
        <w:rPr>
          <w:sz w:val="24"/>
          <w:szCs w:val="24"/>
        </w:rPr>
        <w:t>;</w:t>
      </w:r>
      <w:proofErr w:type="gramEnd"/>
    </w:p>
    <w:p w14:paraId="1DB3E193" w14:textId="4CF680FF" w:rsidR="000F3CF8" w:rsidRDefault="00E72199" w:rsidP="00832CC3">
      <w:pPr>
        <w:pStyle w:val="ListParagraph"/>
        <w:numPr>
          <w:ilvl w:val="0"/>
          <w:numId w:val="6"/>
        </w:numPr>
        <w:tabs>
          <w:tab w:val="left" w:pos="567"/>
        </w:tabs>
        <w:spacing w:after="240"/>
        <w:ind w:left="567" w:hanging="567"/>
        <w:contextualSpacing w:val="0"/>
        <w:jc w:val="both"/>
        <w:rPr>
          <w:sz w:val="24"/>
          <w:szCs w:val="24"/>
        </w:rPr>
      </w:pPr>
      <w:r>
        <w:rPr>
          <w:sz w:val="24"/>
          <w:szCs w:val="24"/>
        </w:rPr>
        <w:t xml:space="preserve">reporting standards </w:t>
      </w:r>
      <w:r w:rsidR="000F3CF8" w:rsidRPr="006674B5">
        <w:rPr>
          <w:sz w:val="24"/>
          <w:szCs w:val="24"/>
        </w:rPr>
        <w:t xml:space="preserve">requiring the reporting of </w:t>
      </w:r>
      <w:r w:rsidR="00AE2588">
        <w:rPr>
          <w:sz w:val="24"/>
          <w:szCs w:val="24"/>
        </w:rPr>
        <w:t xml:space="preserve">half yearly </w:t>
      </w:r>
      <w:r w:rsidR="000F3CF8" w:rsidRPr="006674B5">
        <w:rPr>
          <w:sz w:val="24"/>
          <w:szCs w:val="24"/>
        </w:rPr>
        <w:t xml:space="preserve">information must be completed in respect of </w:t>
      </w:r>
      <w:r w:rsidR="00AE2588">
        <w:rPr>
          <w:sz w:val="24"/>
          <w:szCs w:val="24"/>
        </w:rPr>
        <w:t xml:space="preserve">the first six months </w:t>
      </w:r>
      <w:r w:rsidR="000F3CF8" w:rsidRPr="006674B5">
        <w:rPr>
          <w:sz w:val="24"/>
          <w:szCs w:val="24"/>
        </w:rPr>
        <w:t xml:space="preserve">of the financial year of the Level 2 </w:t>
      </w:r>
      <w:proofErr w:type="gramStart"/>
      <w:r w:rsidR="000F3CF8" w:rsidRPr="006674B5">
        <w:rPr>
          <w:sz w:val="24"/>
          <w:szCs w:val="24"/>
        </w:rPr>
        <w:t>group;</w:t>
      </w:r>
      <w:proofErr w:type="gramEnd"/>
      <w:r w:rsidR="000F3CF8" w:rsidRPr="006674B5">
        <w:rPr>
          <w:sz w:val="24"/>
          <w:szCs w:val="24"/>
        </w:rPr>
        <w:t xml:space="preserve"> and</w:t>
      </w:r>
    </w:p>
    <w:p w14:paraId="18E176D3" w14:textId="7DF648E2" w:rsidR="000F3CF8" w:rsidRPr="008926FA" w:rsidRDefault="00E72199" w:rsidP="00832CC3">
      <w:pPr>
        <w:pStyle w:val="ListParagraph"/>
        <w:numPr>
          <w:ilvl w:val="0"/>
          <w:numId w:val="6"/>
        </w:numPr>
        <w:tabs>
          <w:tab w:val="left" w:pos="567"/>
        </w:tabs>
        <w:spacing w:after="240"/>
        <w:ind w:left="567" w:hanging="567"/>
        <w:contextualSpacing w:val="0"/>
        <w:jc w:val="both"/>
        <w:rPr>
          <w:sz w:val="24"/>
          <w:szCs w:val="24"/>
        </w:rPr>
      </w:pPr>
      <w:r>
        <w:rPr>
          <w:sz w:val="24"/>
          <w:szCs w:val="24"/>
        </w:rPr>
        <w:t xml:space="preserve">reporting standards </w:t>
      </w:r>
      <w:r w:rsidR="000F3CF8" w:rsidRPr="006674B5">
        <w:rPr>
          <w:sz w:val="24"/>
          <w:szCs w:val="24"/>
        </w:rPr>
        <w:t xml:space="preserve">requiring the reporting of annual information must be completed as at the end of the financial year of the </w:t>
      </w:r>
      <w:r w:rsidR="000F3CF8">
        <w:rPr>
          <w:sz w:val="24"/>
          <w:szCs w:val="24"/>
        </w:rPr>
        <w:t>reporting insurer</w:t>
      </w:r>
      <w:r w:rsidR="000F3CF8" w:rsidRPr="008926FA">
        <w:rPr>
          <w:sz w:val="24"/>
          <w:szCs w:val="24"/>
        </w:rPr>
        <w:t>.</w:t>
      </w:r>
    </w:p>
    <w:p w14:paraId="14998DD1" w14:textId="77777777" w:rsidR="000F3CF8" w:rsidRDefault="000F3CF8" w:rsidP="00832CC3">
      <w:pPr>
        <w:pStyle w:val="ListParagraph"/>
        <w:numPr>
          <w:ilvl w:val="0"/>
          <w:numId w:val="13"/>
        </w:numPr>
        <w:tabs>
          <w:tab w:val="left" w:pos="709"/>
        </w:tabs>
        <w:spacing w:before="120" w:after="240"/>
        <w:ind w:left="426" w:hanging="426"/>
        <w:contextualSpacing w:val="0"/>
        <w:jc w:val="both"/>
        <w:rPr>
          <w:rFonts w:ascii="Arial" w:hAnsi="Arial" w:cs="Arial"/>
          <w:b/>
          <w:sz w:val="24"/>
          <w:szCs w:val="24"/>
        </w:rPr>
      </w:pPr>
      <w:r w:rsidRPr="00473B6E">
        <w:rPr>
          <w:rFonts w:ascii="Arial" w:hAnsi="Arial" w:cs="Arial"/>
          <w:b/>
          <w:sz w:val="24"/>
          <w:szCs w:val="24"/>
        </w:rPr>
        <w:t>Basis of preparation</w:t>
      </w:r>
    </w:p>
    <w:p w14:paraId="1DAFD832" w14:textId="2A04D3AC" w:rsidR="008A5868" w:rsidRDefault="00CA38E5" w:rsidP="00832CC3">
      <w:pPr>
        <w:pStyle w:val="ListParagraph"/>
        <w:numPr>
          <w:ilvl w:val="1"/>
          <w:numId w:val="13"/>
        </w:numPr>
        <w:spacing w:before="120" w:after="240"/>
        <w:ind w:left="357" w:hanging="357"/>
        <w:contextualSpacing w:val="0"/>
        <w:jc w:val="both"/>
        <w:rPr>
          <w:rFonts w:ascii="Arial" w:hAnsi="Arial" w:cs="Arial"/>
          <w:b/>
          <w:sz w:val="24"/>
          <w:szCs w:val="24"/>
        </w:rPr>
      </w:pPr>
      <w:bookmarkStart w:id="12" w:name="_Hlk109232305"/>
      <w:r>
        <w:rPr>
          <w:rFonts w:ascii="Arial" w:hAnsi="Arial" w:cs="Arial"/>
          <w:b/>
          <w:sz w:val="24"/>
          <w:szCs w:val="24"/>
        </w:rPr>
        <w:t>Year to date</w:t>
      </w:r>
    </w:p>
    <w:p w14:paraId="7C13609E" w14:textId="64D208EC" w:rsidR="008710CD" w:rsidRDefault="008710CD" w:rsidP="00832CC3">
      <w:pPr>
        <w:spacing w:after="240"/>
        <w:jc w:val="both"/>
        <w:rPr>
          <w:sz w:val="24"/>
          <w:szCs w:val="24"/>
        </w:rPr>
      </w:pPr>
      <w:bookmarkStart w:id="13" w:name="_Hlk109232321"/>
      <w:r w:rsidRPr="008926FA">
        <w:rPr>
          <w:sz w:val="24"/>
          <w:szCs w:val="24"/>
        </w:rPr>
        <w:t>The financial information required to be reported must be reported as at the close of business for the last day of the reporting period,</w:t>
      </w:r>
      <w:r w:rsidRPr="006674B5">
        <w:rPr>
          <w:sz w:val="24"/>
          <w:szCs w:val="24"/>
        </w:rPr>
        <w:t xml:space="preserve"> or for the year</w:t>
      </w:r>
      <w:r>
        <w:rPr>
          <w:sz w:val="24"/>
          <w:szCs w:val="24"/>
        </w:rPr>
        <w:t>-</w:t>
      </w:r>
      <w:r w:rsidRPr="006674B5">
        <w:rPr>
          <w:sz w:val="24"/>
          <w:szCs w:val="24"/>
        </w:rPr>
        <w:t>to</w:t>
      </w:r>
      <w:r>
        <w:rPr>
          <w:sz w:val="24"/>
          <w:szCs w:val="24"/>
        </w:rPr>
        <w:t>-</w:t>
      </w:r>
      <w:r w:rsidRPr="006674B5">
        <w:rPr>
          <w:sz w:val="24"/>
          <w:szCs w:val="24"/>
        </w:rPr>
        <w:t xml:space="preserve">date period </w:t>
      </w:r>
      <w:r w:rsidR="00E22BCF">
        <w:rPr>
          <w:sz w:val="24"/>
          <w:szCs w:val="24"/>
        </w:rPr>
        <w:t>ending at</w:t>
      </w:r>
      <w:r w:rsidRPr="006674B5">
        <w:rPr>
          <w:sz w:val="24"/>
          <w:szCs w:val="24"/>
        </w:rPr>
        <w:t xml:space="preserve"> the close of business on the last day of the reporting period, as relevant.</w:t>
      </w:r>
    </w:p>
    <w:bookmarkEnd w:id="12"/>
    <w:bookmarkEnd w:id="13"/>
    <w:p w14:paraId="61E23B5D" w14:textId="72E7534B" w:rsidR="000F3CF8" w:rsidRDefault="000F3CF8" w:rsidP="00832CC3">
      <w:pPr>
        <w:pStyle w:val="ListParagraph"/>
        <w:numPr>
          <w:ilvl w:val="1"/>
          <w:numId w:val="13"/>
        </w:numPr>
        <w:spacing w:before="120" w:after="240"/>
        <w:ind w:left="357" w:hanging="357"/>
        <w:contextualSpacing w:val="0"/>
        <w:jc w:val="both"/>
        <w:rPr>
          <w:rFonts w:ascii="Arial" w:hAnsi="Arial" w:cs="Arial"/>
          <w:b/>
          <w:sz w:val="24"/>
          <w:szCs w:val="24"/>
        </w:rPr>
      </w:pPr>
      <w:r w:rsidRPr="00473B6E">
        <w:rPr>
          <w:rFonts w:ascii="Arial" w:hAnsi="Arial" w:cs="Arial"/>
          <w:b/>
          <w:sz w:val="24"/>
          <w:szCs w:val="24"/>
        </w:rPr>
        <w:t>Definition of insurance business</w:t>
      </w:r>
    </w:p>
    <w:p w14:paraId="3F0C5C54" w14:textId="1E7BCD48" w:rsidR="000F3CF8" w:rsidRDefault="000F3CF8" w:rsidP="00832CC3">
      <w:pPr>
        <w:pStyle w:val="ListParagraph"/>
        <w:spacing w:after="240"/>
        <w:ind w:left="0"/>
        <w:contextualSpacing w:val="0"/>
        <w:jc w:val="both"/>
        <w:rPr>
          <w:sz w:val="24"/>
          <w:szCs w:val="24"/>
        </w:rPr>
      </w:pPr>
      <w:r>
        <w:rPr>
          <w:sz w:val="24"/>
          <w:szCs w:val="24"/>
        </w:rPr>
        <w:t>Reporting insurers</w:t>
      </w:r>
      <w:r w:rsidRPr="006674B5">
        <w:rPr>
          <w:sz w:val="24"/>
          <w:szCs w:val="24"/>
        </w:rPr>
        <w:t xml:space="preserve"> are to follow the definition of insurance business provided in section 3 of the </w:t>
      </w:r>
      <w:r w:rsidR="005C04A8">
        <w:rPr>
          <w:i/>
          <w:sz w:val="24"/>
          <w:szCs w:val="24"/>
        </w:rPr>
        <w:t>Insurance Act</w:t>
      </w:r>
      <w:r w:rsidRPr="006674B5">
        <w:rPr>
          <w:i/>
          <w:sz w:val="24"/>
          <w:szCs w:val="24"/>
        </w:rPr>
        <w:t xml:space="preserve"> 1973 </w:t>
      </w:r>
      <w:r w:rsidRPr="005C04A8">
        <w:rPr>
          <w:sz w:val="24"/>
          <w:szCs w:val="24"/>
        </w:rPr>
        <w:t>(the Act)</w:t>
      </w:r>
      <w:r w:rsidRPr="006674B5">
        <w:rPr>
          <w:i/>
          <w:sz w:val="24"/>
          <w:szCs w:val="24"/>
        </w:rPr>
        <w:t xml:space="preserve"> </w:t>
      </w:r>
      <w:r w:rsidRPr="006674B5">
        <w:rPr>
          <w:sz w:val="24"/>
          <w:szCs w:val="24"/>
        </w:rPr>
        <w:t xml:space="preserve">for completing the reporting </w:t>
      </w:r>
      <w:r w:rsidR="00B001D0">
        <w:rPr>
          <w:sz w:val="24"/>
          <w:szCs w:val="24"/>
        </w:rPr>
        <w:t>standard</w:t>
      </w:r>
      <w:r w:rsidR="00B001D0" w:rsidRPr="006674B5">
        <w:rPr>
          <w:sz w:val="24"/>
          <w:szCs w:val="24"/>
        </w:rPr>
        <w:t>s</w:t>
      </w:r>
      <w:r w:rsidRPr="006674B5">
        <w:rPr>
          <w:sz w:val="24"/>
          <w:szCs w:val="24"/>
        </w:rPr>
        <w:t xml:space="preserve">. </w:t>
      </w:r>
    </w:p>
    <w:p w14:paraId="583ED622" w14:textId="77777777" w:rsidR="000F3CF8" w:rsidRDefault="000F3CF8" w:rsidP="00832CC3">
      <w:pPr>
        <w:pStyle w:val="ListParagraph"/>
        <w:keepNext/>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lastRenderedPageBreak/>
        <w:t>General accounting basis</w:t>
      </w:r>
    </w:p>
    <w:p w14:paraId="7DA9CB76" w14:textId="5AF42059" w:rsidR="000F3CF8" w:rsidRDefault="000F3CF8" w:rsidP="00832CC3">
      <w:pPr>
        <w:keepNext/>
        <w:spacing w:after="240"/>
        <w:jc w:val="both"/>
        <w:rPr>
          <w:sz w:val="24"/>
          <w:szCs w:val="24"/>
        </w:rPr>
      </w:pPr>
      <w:bookmarkStart w:id="14" w:name="_Hlk96968037"/>
      <w:r w:rsidRPr="006674B5">
        <w:rPr>
          <w:sz w:val="24"/>
          <w:szCs w:val="24"/>
        </w:rPr>
        <w:t xml:space="preserve">Unless </w:t>
      </w:r>
      <w:r w:rsidR="003D7555">
        <w:rPr>
          <w:sz w:val="24"/>
          <w:szCs w:val="24"/>
        </w:rPr>
        <w:t xml:space="preserve">otherwise specifically </w:t>
      </w:r>
      <w:r w:rsidRPr="006674B5">
        <w:rPr>
          <w:sz w:val="24"/>
          <w:szCs w:val="24"/>
        </w:rPr>
        <w:t xml:space="preserve">stated, </w:t>
      </w:r>
      <w:r>
        <w:rPr>
          <w:sz w:val="24"/>
          <w:szCs w:val="24"/>
        </w:rPr>
        <w:t>reporting insurers</w:t>
      </w:r>
      <w:r w:rsidRPr="006674B5">
        <w:rPr>
          <w:sz w:val="24"/>
          <w:szCs w:val="24"/>
        </w:rPr>
        <w:t xml:space="preserve"> are </w:t>
      </w:r>
      <w:r w:rsidR="003D7555">
        <w:rPr>
          <w:sz w:val="24"/>
          <w:szCs w:val="24"/>
        </w:rPr>
        <w:t>to report in accordance with</w:t>
      </w:r>
      <w:r w:rsidRPr="006674B5">
        <w:rPr>
          <w:sz w:val="24"/>
          <w:szCs w:val="24"/>
        </w:rPr>
        <w:t xml:space="preserve"> </w:t>
      </w:r>
      <w:r w:rsidR="00F50285">
        <w:rPr>
          <w:sz w:val="24"/>
          <w:szCs w:val="24"/>
        </w:rPr>
        <w:t xml:space="preserve">the relevant </w:t>
      </w:r>
      <w:r w:rsidRPr="006674B5">
        <w:rPr>
          <w:sz w:val="24"/>
          <w:szCs w:val="24"/>
        </w:rPr>
        <w:t xml:space="preserve">Australian </w:t>
      </w:r>
      <w:r w:rsidR="008E719C">
        <w:rPr>
          <w:sz w:val="24"/>
          <w:szCs w:val="24"/>
        </w:rPr>
        <w:t>A</w:t>
      </w:r>
      <w:r w:rsidR="008E719C" w:rsidRPr="006674B5">
        <w:rPr>
          <w:sz w:val="24"/>
          <w:szCs w:val="24"/>
        </w:rPr>
        <w:t xml:space="preserve">ccounting </w:t>
      </w:r>
      <w:r w:rsidR="008E719C">
        <w:rPr>
          <w:sz w:val="24"/>
          <w:szCs w:val="24"/>
        </w:rPr>
        <w:t>S</w:t>
      </w:r>
      <w:r w:rsidR="008E719C" w:rsidRPr="006674B5">
        <w:rPr>
          <w:sz w:val="24"/>
          <w:szCs w:val="24"/>
        </w:rPr>
        <w:t>tandards</w:t>
      </w:r>
      <w:r w:rsidR="00F2065D">
        <w:rPr>
          <w:sz w:val="24"/>
          <w:szCs w:val="24"/>
        </w:rPr>
        <w:t>.</w:t>
      </w:r>
      <w:bookmarkEnd w:id="14"/>
      <w:r w:rsidR="008E719C" w:rsidRPr="006674B5">
        <w:rPr>
          <w:sz w:val="24"/>
          <w:szCs w:val="24"/>
        </w:rPr>
        <w:t xml:space="preserve"> </w:t>
      </w:r>
    </w:p>
    <w:p w14:paraId="75EF6A65"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Materiality</w:t>
      </w:r>
    </w:p>
    <w:p w14:paraId="7CD1A0B2" w14:textId="2F602D78" w:rsidR="000F3CF8" w:rsidRDefault="000F3CF8" w:rsidP="00832CC3">
      <w:pPr>
        <w:spacing w:after="240"/>
        <w:jc w:val="both"/>
        <w:rPr>
          <w:sz w:val="24"/>
          <w:szCs w:val="24"/>
        </w:rPr>
      </w:pPr>
      <w:r w:rsidRPr="006674B5">
        <w:rPr>
          <w:sz w:val="24"/>
          <w:szCs w:val="24"/>
        </w:rPr>
        <w:t xml:space="preserve">Subject to APRA’s discretion, the reporting </w:t>
      </w:r>
      <w:r w:rsidR="00EC23E4">
        <w:rPr>
          <w:sz w:val="24"/>
          <w:szCs w:val="24"/>
        </w:rPr>
        <w:t>tables</w:t>
      </w:r>
      <w:r w:rsidR="00EC23E4" w:rsidRPr="006674B5">
        <w:rPr>
          <w:sz w:val="24"/>
          <w:szCs w:val="24"/>
        </w:rPr>
        <w:t xml:space="preserve"> </w:t>
      </w:r>
      <w:r w:rsidRPr="006674B5">
        <w:rPr>
          <w:sz w:val="24"/>
          <w:szCs w:val="24"/>
        </w:rPr>
        <w:t xml:space="preserve">must be prepared based on the concept of materiality as applied in the Australian </w:t>
      </w:r>
      <w:r w:rsidR="00DE4886">
        <w:rPr>
          <w:sz w:val="24"/>
          <w:szCs w:val="24"/>
        </w:rPr>
        <w:t>A</w:t>
      </w:r>
      <w:r w:rsidR="00DE4886" w:rsidRPr="006674B5">
        <w:rPr>
          <w:sz w:val="24"/>
          <w:szCs w:val="24"/>
        </w:rPr>
        <w:t xml:space="preserve">ccounting </w:t>
      </w:r>
      <w:r w:rsidR="00DE4886">
        <w:rPr>
          <w:sz w:val="24"/>
          <w:szCs w:val="24"/>
        </w:rPr>
        <w:t>S</w:t>
      </w:r>
      <w:r w:rsidR="00DE4886" w:rsidRPr="006674B5">
        <w:rPr>
          <w:sz w:val="24"/>
          <w:szCs w:val="24"/>
        </w:rPr>
        <w:t>tandards</w:t>
      </w:r>
      <w:r w:rsidRPr="006674B5">
        <w:rPr>
          <w:sz w:val="24"/>
          <w:szCs w:val="24"/>
        </w:rPr>
        <w:t xml:space="preserve">. APRA’s discretion is likely to apply in instances where the application of materiality criteria is not suitable for prudential reporting purposes. </w:t>
      </w:r>
    </w:p>
    <w:p w14:paraId="110EBE2F"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Fair value approach</w:t>
      </w:r>
    </w:p>
    <w:p w14:paraId="634796A4" w14:textId="3C112DD2" w:rsidR="00A17B24" w:rsidRDefault="00A17B24" w:rsidP="00832CC3">
      <w:pPr>
        <w:pStyle w:val="Default"/>
        <w:spacing w:after="240"/>
        <w:jc w:val="both"/>
      </w:pPr>
      <w:r>
        <w:t xml:space="preserve">For capital reporting purposes, </w:t>
      </w:r>
      <w:r w:rsidR="00004255">
        <w:t>“</w:t>
      </w:r>
      <w:r>
        <w:t>fair value</w:t>
      </w:r>
      <w:r w:rsidR="00EC1516">
        <w:t xml:space="preserve"> adjustment</w:t>
      </w:r>
      <w:r>
        <w:t>s</w:t>
      </w:r>
      <w:r w:rsidR="00004255">
        <w:t>”</w:t>
      </w:r>
      <w:r>
        <w:t xml:space="preserve"> must be determined in accordance with </w:t>
      </w:r>
      <w:r w:rsidRPr="00C61612">
        <w:rPr>
          <w:i/>
        </w:rPr>
        <w:t>Prudential Standard GPS 112 Capital Adequacy: Measurement of Capital</w:t>
      </w:r>
      <w:r w:rsidR="009575EB">
        <w:rPr>
          <w:i/>
        </w:rPr>
        <w:t xml:space="preserve">. </w:t>
      </w:r>
    </w:p>
    <w:p w14:paraId="18491805" w14:textId="7669610C" w:rsidR="000F3CF8" w:rsidRDefault="00A17B24" w:rsidP="00832CC3">
      <w:pPr>
        <w:pStyle w:val="Default"/>
        <w:spacing w:after="240"/>
        <w:jc w:val="both"/>
      </w:pPr>
      <w:r>
        <w:t>For accounting reporting purposes,</w:t>
      </w:r>
      <w:r w:rsidR="00262486">
        <w:t xml:space="preserve"> the term</w:t>
      </w:r>
      <w:r>
        <w:t xml:space="preserve"> </w:t>
      </w:r>
      <w:r w:rsidR="00262486">
        <w:t>“</w:t>
      </w:r>
      <w:r>
        <w:t>fair value</w:t>
      </w:r>
      <w:r w:rsidR="00262486">
        <w:t>”</w:t>
      </w:r>
      <w:r>
        <w:t xml:space="preserve"> has the meaning </w:t>
      </w:r>
      <w:r w:rsidR="00262486">
        <w:t xml:space="preserve">given to it </w:t>
      </w:r>
      <w:r>
        <w:t xml:space="preserve">in </w:t>
      </w:r>
      <w:r w:rsidR="00262486" w:rsidRPr="0014537B">
        <w:rPr>
          <w:i/>
        </w:rPr>
        <w:t>AASB 13</w:t>
      </w:r>
      <w:r>
        <w:t xml:space="preserve"> </w:t>
      </w:r>
      <w:r w:rsidR="001062D4" w:rsidRPr="00C61612">
        <w:rPr>
          <w:i/>
        </w:rPr>
        <w:t>Fair Value Measurement</w:t>
      </w:r>
      <w:r>
        <w:t>.</w:t>
      </w:r>
    </w:p>
    <w:p w14:paraId="472B2EF7"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Units of measurement</w:t>
      </w:r>
    </w:p>
    <w:p w14:paraId="5EB58794" w14:textId="01B06C65" w:rsidR="000F3CF8" w:rsidRDefault="000F3CF8" w:rsidP="00832CC3">
      <w:pPr>
        <w:spacing w:after="240"/>
        <w:jc w:val="both"/>
        <w:rPr>
          <w:sz w:val="24"/>
          <w:szCs w:val="24"/>
        </w:rPr>
      </w:pPr>
      <w:r w:rsidRPr="006674B5">
        <w:rPr>
          <w:sz w:val="24"/>
          <w:szCs w:val="24"/>
        </w:rPr>
        <w:t xml:space="preserve">Unless otherwise indicated by the specific item instructions, </w:t>
      </w:r>
      <w:r w:rsidR="00FF6BE2">
        <w:rPr>
          <w:sz w:val="24"/>
          <w:szCs w:val="24"/>
        </w:rPr>
        <w:t xml:space="preserve">information required to be reported under all </w:t>
      </w:r>
      <w:r w:rsidRPr="006674B5">
        <w:rPr>
          <w:sz w:val="24"/>
          <w:szCs w:val="24"/>
        </w:rPr>
        <w:t xml:space="preserve">reporting </w:t>
      </w:r>
      <w:r w:rsidR="009575EB">
        <w:rPr>
          <w:sz w:val="24"/>
          <w:szCs w:val="24"/>
        </w:rPr>
        <w:t xml:space="preserve">standards </w:t>
      </w:r>
      <w:r w:rsidRPr="006674B5">
        <w:rPr>
          <w:sz w:val="24"/>
          <w:szCs w:val="24"/>
        </w:rPr>
        <w:t xml:space="preserve">are to be prepared in </w:t>
      </w:r>
      <w:r w:rsidR="00863320">
        <w:rPr>
          <w:sz w:val="24"/>
          <w:szCs w:val="24"/>
        </w:rPr>
        <w:t>whole</w:t>
      </w:r>
      <w:r w:rsidRPr="006674B5">
        <w:rPr>
          <w:sz w:val="24"/>
          <w:szCs w:val="24"/>
        </w:rPr>
        <w:t xml:space="preserve"> Australian dollars (AUD) with no decimal place. Ratios are to be expressed to 2 decimal places. Amounts denominated in foreign currency are to be converted to AUD in accordance with</w:t>
      </w:r>
      <w:r w:rsidR="00F03896">
        <w:rPr>
          <w:sz w:val="24"/>
          <w:szCs w:val="24"/>
        </w:rPr>
        <w:t xml:space="preserve"> </w:t>
      </w:r>
      <w:r w:rsidRPr="006674B5">
        <w:rPr>
          <w:i/>
          <w:sz w:val="24"/>
          <w:szCs w:val="24"/>
        </w:rPr>
        <w:t>AASB 121 The Effects of Changes in Foreign Exchange Rates</w:t>
      </w:r>
      <w:r w:rsidRPr="006674B5">
        <w:rPr>
          <w:sz w:val="24"/>
          <w:szCs w:val="24"/>
        </w:rPr>
        <w:t>.</w:t>
      </w:r>
    </w:p>
    <w:p w14:paraId="79B6164A"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Related parties</w:t>
      </w:r>
    </w:p>
    <w:p w14:paraId="59821323" w14:textId="1A3387F5" w:rsidR="000F3CF8" w:rsidRDefault="000F3CF8" w:rsidP="00832CC3">
      <w:pPr>
        <w:pStyle w:val="Default"/>
        <w:spacing w:after="240"/>
        <w:jc w:val="both"/>
      </w:pPr>
      <w:r w:rsidRPr="006674B5">
        <w:t xml:space="preserve">Where </w:t>
      </w:r>
      <w:r w:rsidR="001D6EB1">
        <w:t>the</w:t>
      </w:r>
      <w:r w:rsidRPr="006674B5">
        <w:t xml:space="preserve"> term</w:t>
      </w:r>
      <w:r w:rsidR="001D6EB1">
        <w:t>s</w:t>
      </w:r>
      <w:r w:rsidR="00DE53CA">
        <w:t xml:space="preserve"> “</w:t>
      </w:r>
      <w:r w:rsidR="001D6EB1">
        <w:t>related party”</w:t>
      </w:r>
      <w:r w:rsidRPr="006674B5">
        <w:t xml:space="preserve"> </w:t>
      </w:r>
      <w:r w:rsidR="001D6EB1">
        <w:t>or “related parties” are</w:t>
      </w:r>
      <w:r w:rsidR="001D6EB1" w:rsidRPr="006674B5">
        <w:t xml:space="preserve"> </w:t>
      </w:r>
      <w:r w:rsidRPr="006674B5">
        <w:t xml:space="preserve">used or referenced in the reporting </w:t>
      </w:r>
      <w:r w:rsidR="00B001D0">
        <w:t>standard</w:t>
      </w:r>
      <w:r w:rsidR="00B001D0" w:rsidRPr="006674B5">
        <w:t>s</w:t>
      </w:r>
      <w:r w:rsidRPr="006674B5">
        <w:t xml:space="preserve">, </w:t>
      </w:r>
      <w:r w:rsidR="001D6EB1">
        <w:t>the terms “related party”</w:t>
      </w:r>
      <w:r w:rsidR="001D6EB1" w:rsidRPr="006674B5">
        <w:t xml:space="preserve"> </w:t>
      </w:r>
      <w:r w:rsidR="001D6EB1">
        <w:t xml:space="preserve">or “related parties” </w:t>
      </w:r>
      <w:r w:rsidRPr="006674B5">
        <w:t xml:space="preserve">have the meaning </w:t>
      </w:r>
      <w:r w:rsidR="001D6EB1">
        <w:t>given to them in</w:t>
      </w:r>
      <w:r w:rsidRPr="006674B5">
        <w:t xml:space="preserve"> </w:t>
      </w:r>
      <w:r w:rsidRPr="001F0585">
        <w:rPr>
          <w:i/>
        </w:rPr>
        <w:t>AASB 124 Related Party Disclosures</w:t>
      </w:r>
      <w:r>
        <w:t>.</w:t>
      </w:r>
    </w:p>
    <w:p w14:paraId="74B6952C" w14:textId="67FE1A52"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Netting</w:t>
      </w:r>
    </w:p>
    <w:p w14:paraId="1B85B84A" w14:textId="45F37973" w:rsidR="000F3CF8" w:rsidRDefault="000F3CF8" w:rsidP="00832CC3">
      <w:pPr>
        <w:pStyle w:val="ListParagraph"/>
        <w:spacing w:after="240"/>
        <w:ind w:left="0"/>
        <w:contextualSpacing w:val="0"/>
        <w:jc w:val="both"/>
        <w:rPr>
          <w:sz w:val="24"/>
          <w:szCs w:val="24"/>
        </w:rPr>
      </w:pPr>
      <w:r>
        <w:rPr>
          <w:sz w:val="24"/>
          <w:szCs w:val="24"/>
        </w:rPr>
        <w:t>Reporting insurers</w:t>
      </w:r>
      <w:r w:rsidRPr="006674B5">
        <w:rPr>
          <w:sz w:val="24"/>
          <w:szCs w:val="24"/>
        </w:rPr>
        <w:t xml:space="preserve"> are allowed to take advantage of netting </w:t>
      </w:r>
      <w:r w:rsidR="0000369E">
        <w:rPr>
          <w:sz w:val="24"/>
          <w:szCs w:val="24"/>
        </w:rPr>
        <w:t>arrangements</w:t>
      </w:r>
      <w:r w:rsidR="0000369E" w:rsidRPr="006674B5">
        <w:rPr>
          <w:sz w:val="24"/>
          <w:szCs w:val="24"/>
        </w:rPr>
        <w:t xml:space="preserve"> </w:t>
      </w:r>
      <w:r w:rsidRPr="006674B5">
        <w:rPr>
          <w:sz w:val="24"/>
          <w:szCs w:val="24"/>
        </w:rPr>
        <w:t xml:space="preserve">for preparing </w:t>
      </w:r>
      <w:r w:rsidR="00FF6BE2">
        <w:rPr>
          <w:sz w:val="24"/>
          <w:szCs w:val="24"/>
        </w:rPr>
        <w:t xml:space="preserve">returns under </w:t>
      </w:r>
      <w:r w:rsidRPr="006674B5">
        <w:rPr>
          <w:sz w:val="24"/>
          <w:szCs w:val="24"/>
        </w:rPr>
        <w:t xml:space="preserve">the following </w:t>
      </w:r>
      <w:r w:rsidR="00B001D0">
        <w:rPr>
          <w:sz w:val="24"/>
          <w:szCs w:val="24"/>
        </w:rPr>
        <w:t>reporting standards</w:t>
      </w:r>
      <w:r w:rsidRPr="006674B5">
        <w:rPr>
          <w:sz w:val="24"/>
          <w:szCs w:val="24"/>
        </w:rPr>
        <w:t>:</w:t>
      </w:r>
    </w:p>
    <w:p w14:paraId="3CEFFDE3" w14:textId="621085A7" w:rsidR="00925367" w:rsidRPr="00D844C5" w:rsidRDefault="00B001D0" w:rsidP="00832CC3">
      <w:pPr>
        <w:pStyle w:val="ListParagraph"/>
        <w:numPr>
          <w:ilvl w:val="0"/>
          <w:numId w:val="7"/>
        </w:numPr>
        <w:tabs>
          <w:tab w:val="left" w:pos="567"/>
        </w:tabs>
        <w:spacing w:after="240"/>
        <w:ind w:left="567" w:hanging="567"/>
        <w:contextualSpacing w:val="0"/>
        <w:jc w:val="both"/>
        <w:rPr>
          <w:sz w:val="24"/>
          <w:szCs w:val="24"/>
        </w:rPr>
      </w:pPr>
      <w:r>
        <w:rPr>
          <w:i/>
          <w:iCs/>
          <w:color w:val="000000"/>
          <w:sz w:val="24"/>
          <w:szCs w:val="24"/>
        </w:rPr>
        <w:t xml:space="preserve">Reporting Standard </w:t>
      </w:r>
      <w:r w:rsidR="000F3CF8" w:rsidRPr="006674B5">
        <w:rPr>
          <w:i/>
          <w:iCs/>
          <w:color w:val="000000"/>
          <w:sz w:val="24"/>
          <w:szCs w:val="24"/>
        </w:rPr>
        <w:t>GR</w:t>
      </w:r>
      <w:r w:rsidR="00925367">
        <w:rPr>
          <w:i/>
          <w:iCs/>
          <w:color w:val="000000"/>
          <w:sz w:val="24"/>
          <w:szCs w:val="24"/>
        </w:rPr>
        <w:t>S</w:t>
      </w:r>
      <w:r w:rsidR="000F3CF8" w:rsidRPr="006674B5">
        <w:rPr>
          <w:i/>
          <w:iCs/>
          <w:color w:val="000000"/>
          <w:sz w:val="24"/>
          <w:szCs w:val="24"/>
        </w:rPr>
        <w:t xml:space="preserve"> 300</w:t>
      </w:r>
      <w:r w:rsidR="00925367">
        <w:rPr>
          <w:i/>
          <w:iCs/>
          <w:color w:val="000000"/>
          <w:sz w:val="24"/>
          <w:szCs w:val="24"/>
        </w:rPr>
        <w:t>.</w:t>
      </w:r>
      <w:r w:rsidR="000F3CF8" w:rsidRPr="006674B5">
        <w:rPr>
          <w:i/>
          <w:iCs/>
          <w:color w:val="000000"/>
          <w:sz w:val="24"/>
          <w:szCs w:val="24"/>
        </w:rPr>
        <w:t xml:space="preserve">0 Statement of Financial </w:t>
      </w:r>
      <w:proofErr w:type="gramStart"/>
      <w:r w:rsidR="000F3CF8" w:rsidRPr="006674B5">
        <w:rPr>
          <w:i/>
          <w:iCs/>
          <w:color w:val="000000"/>
          <w:sz w:val="24"/>
          <w:szCs w:val="24"/>
        </w:rPr>
        <w:t>Position</w:t>
      </w:r>
      <w:r w:rsidR="00D800E7">
        <w:rPr>
          <w:iCs/>
          <w:color w:val="000000"/>
          <w:sz w:val="24"/>
          <w:szCs w:val="24"/>
        </w:rPr>
        <w:t>;</w:t>
      </w:r>
      <w:proofErr w:type="gramEnd"/>
    </w:p>
    <w:p w14:paraId="748CF87D" w14:textId="7BCBE5EA" w:rsidR="00925367" w:rsidRPr="00D844C5" w:rsidRDefault="00B001D0" w:rsidP="00832CC3">
      <w:pPr>
        <w:pStyle w:val="ListParagraph"/>
        <w:numPr>
          <w:ilvl w:val="0"/>
          <w:numId w:val="7"/>
        </w:numPr>
        <w:tabs>
          <w:tab w:val="left" w:pos="567"/>
        </w:tabs>
        <w:spacing w:after="240"/>
        <w:ind w:left="567" w:hanging="567"/>
        <w:contextualSpacing w:val="0"/>
        <w:jc w:val="both"/>
        <w:rPr>
          <w:sz w:val="24"/>
          <w:szCs w:val="24"/>
        </w:rPr>
      </w:pPr>
      <w:r>
        <w:rPr>
          <w:i/>
          <w:iCs/>
          <w:color w:val="000000"/>
          <w:sz w:val="24"/>
          <w:szCs w:val="24"/>
        </w:rPr>
        <w:t xml:space="preserve">Reporting Standard </w:t>
      </w:r>
      <w:r w:rsidR="000F3CF8" w:rsidRPr="006674B5">
        <w:rPr>
          <w:i/>
          <w:iCs/>
          <w:color w:val="000000"/>
          <w:sz w:val="24"/>
          <w:szCs w:val="24"/>
        </w:rPr>
        <w:t>GR</w:t>
      </w:r>
      <w:r w:rsidR="00925367">
        <w:rPr>
          <w:i/>
          <w:iCs/>
          <w:color w:val="000000"/>
          <w:sz w:val="24"/>
          <w:szCs w:val="24"/>
        </w:rPr>
        <w:t>S</w:t>
      </w:r>
      <w:r w:rsidR="000F3CF8" w:rsidRPr="006674B5">
        <w:rPr>
          <w:i/>
          <w:iCs/>
          <w:color w:val="000000"/>
          <w:sz w:val="24"/>
          <w:szCs w:val="24"/>
        </w:rPr>
        <w:t xml:space="preserve"> 300</w:t>
      </w:r>
      <w:r w:rsidR="00925367">
        <w:rPr>
          <w:i/>
          <w:iCs/>
          <w:color w:val="000000"/>
          <w:sz w:val="24"/>
          <w:szCs w:val="24"/>
        </w:rPr>
        <w:t>.</w:t>
      </w:r>
      <w:r w:rsidR="000F3CF8" w:rsidRPr="006674B5">
        <w:rPr>
          <w:i/>
          <w:iCs/>
          <w:color w:val="000000"/>
          <w:sz w:val="24"/>
          <w:szCs w:val="24"/>
        </w:rPr>
        <w:t>0</w:t>
      </w:r>
      <w:r w:rsidR="00925367">
        <w:rPr>
          <w:i/>
          <w:iCs/>
          <w:color w:val="000000"/>
          <w:sz w:val="24"/>
          <w:szCs w:val="24"/>
        </w:rPr>
        <w:t>.</w:t>
      </w:r>
      <w:r w:rsidR="0000369E">
        <w:rPr>
          <w:i/>
          <w:iCs/>
          <w:color w:val="000000"/>
          <w:sz w:val="24"/>
          <w:szCs w:val="24"/>
        </w:rPr>
        <w:t>G</w:t>
      </w:r>
      <w:r w:rsidR="000F3CF8" w:rsidRPr="006674B5">
        <w:rPr>
          <w:i/>
          <w:iCs/>
          <w:color w:val="000000"/>
          <w:sz w:val="24"/>
          <w:szCs w:val="24"/>
        </w:rPr>
        <w:t xml:space="preserve"> Statement of Financial </w:t>
      </w:r>
      <w:proofErr w:type="gramStart"/>
      <w:r w:rsidR="000F3CF8" w:rsidRPr="006674B5">
        <w:rPr>
          <w:i/>
          <w:iCs/>
          <w:color w:val="000000"/>
          <w:sz w:val="24"/>
          <w:szCs w:val="24"/>
        </w:rPr>
        <w:t>Position</w:t>
      </w:r>
      <w:r w:rsidR="00D800E7">
        <w:rPr>
          <w:iCs/>
          <w:color w:val="000000"/>
          <w:sz w:val="24"/>
          <w:szCs w:val="24"/>
        </w:rPr>
        <w:t>;</w:t>
      </w:r>
      <w:proofErr w:type="gramEnd"/>
    </w:p>
    <w:p w14:paraId="73FBB9BC" w14:textId="58403971" w:rsidR="000F3CF8" w:rsidRPr="008A5868" w:rsidRDefault="00B001D0" w:rsidP="00832CC3">
      <w:pPr>
        <w:pStyle w:val="ListParagraph"/>
        <w:numPr>
          <w:ilvl w:val="0"/>
          <w:numId w:val="7"/>
        </w:numPr>
        <w:tabs>
          <w:tab w:val="left" w:pos="567"/>
        </w:tabs>
        <w:spacing w:after="240"/>
        <w:ind w:left="567" w:hanging="567"/>
        <w:contextualSpacing w:val="0"/>
        <w:jc w:val="both"/>
        <w:rPr>
          <w:sz w:val="24"/>
          <w:szCs w:val="24"/>
        </w:rPr>
      </w:pPr>
      <w:r>
        <w:rPr>
          <w:i/>
          <w:iCs/>
          <w:color w:val="000000"/>
          <w:sz w:val="24"/>
          <w:szCs w:val="24"/>
        </w:rPr>
        <w:t xml:space="preserve">Reporting Standard </w:t>
      </w:r>
      <w:r w:rsidR="0000369E" w:rsidRPr="0000369E">
        <w:rPr>
          <w:i/>
          <w:iCs/>
          <w:color w:val="000000"/>
          <w:sz w:val="24"/>
          <w:szCs w:val="24"/>
        </w:rPr>
        <w:t>GRS 302</w:t>
      </w:r>
      <w:r w:rsidR="00925367">
        <w:rPr>
          <w:i/>
          <w:iCs/>
          <w:color w:val="000000"/>
          <w:sz w:val="24"/>
          <w:szCs w:val="24"/>
        </w:rPr>
        <w:t>.</w:t>
      </w:r>
      <w:r w:rsidR="0000369E" w:rsidRPr="0000369E">
        <w:rPr>
          <w:i/>
          <w:iCs/>
          <w:color w:val="000000"/>
          <w:sz w:val="24"/>
          <w:szCs w:val="24"/>
        </w:rPr>
        <w:t>0</w:t>
      </w:r>
      <w:r w:rsidR="00925367">
        <w:rPr>
          <w:i/>
          <w:iCs/>
          <w:color w:val="000000"/>
          <w:sz w:val="24"/>
          <w:szCs w:val="24"/>
        </w:rPr>
        <w:t>.</w:t>
      </w:r>
      <w:r w:rsidR="0000369E" w:rsidRPr="0000369E">
        <w:rPr>
          <w:i/>
          <w:iCs/>
          <w:color w:val="000000"/>
          <w:sz w:val="24"/>
          <w:szCs w:val="24"/>
        </w:rPr>
        <w:t xml:space="preserve">G Statement of Financial Position by </w:t>
      </w:r>
      <w:proofErr w:type="gramStart"/>
      <w:r w:rsidR="0000369E" w:rsidRPr="0000369E">
        <w:rPr>
          <w:i/>
          <w:iCs/>
          <w:color w:val="000000"/>
          <w:sz w:val="24"/>
          <w:szCs w:val="24"/>
        </w:rPr>
        <w:t>Region</w:t>
      </w:r>
      <w:r w:rsidR="00D800E7">
        <w:rPr>
          <w:iCs/>
          <w:color w:val="000000"/>
          <w:sz w:val="24"/>
          <w:szCs w:val="24"/>
        </w:rPr>
        <w:t>;</w:t>
      </w:r>
      <w:proofErr w:type="gramEnd"/>
    </w:p>
    <w:p w14:paraId="2EF5752B" w14:textId="1F4BC1CF" w:rsidR="00136F85" w:rsidRPr="00CA38E5" w:rsidRDefault="00B001D0" w:rsidP="00832CC3">
      <w:pPr>
        <w:pStyle w:val="ListParagraph"/>
        <w:numPr>
          <w:ilvl w:val="0"/>
          <w:numId w:val="7"/>
        </w:numPr>
        <w:tabs>
          <w:tab w:val="left" w:pos="567"/>
        </w:tabs>
        <w:spacing w:after="240"/>
        <w:ind w:left="567" w:hanging="567"/>
        <w:contextualSpacing w:val="0"/>
        <w:jc w:val="both"/>
        <w:rPr>
          <w:i/>
          <w:sz w:val="24"/>
          <w:szCs w:val="24"/>
        </w:rPr>
      </w:pPr>
      <w:r>
        <w:rPr>
          <w:i/>
          <w:iCs/>
          <w:color w:val="000000"/>
          <w:sz w:val="24"/>
          <w:szCs w:val="24"/>
        </w:rPr>
        <w:t xml:space="preserve">Reporting Standard </w:t>
      </w:r>
      <w:r w:rsidR="00136F85" w:rsidRPr="00CA38E5">
        <w:rPr>
          <w:i/>
          <w:sz w:val="24"/>
          <w:szCs w:val="24"/>
        </w:rPr>
        <w:t xml:space="preserve">GRS 310.0 Statement of Profit or Loss and Other Comprehensive </w:t>
      </w:r>
      <w:proofErr w:type="gramStart"/>
      <w:r w:rsidR="00136F85" w:rsidRPr="00CA38E5">
        <w:rPr>
          <w:i/>
          <w:sz w:val="24"/>
          <w:szCs w:val="24"/>
        </w:rPr>
        <w:t>Incom</w:t>
      </w:r>
      <w:r w:rsidR="00083F1D">
        <w:rPr>
          <w:i/>
          <w:sz w:val="24"/>
          <w:szCs w:val="24"/>
        </w:rPr>
        <w:t>e</w:t>
      </w:r>
      <w:r w:rsidR="00D800E7">
        <w:rPr>
          <w:iCs/>
          <w:color w:val="000000"/>
          <w:sz w:val="24"/>
          <w:szCs w:val="24"/>
        </w:rPr>
        <w:t>;</w:t>
      </w:r>
      <w:proofErr w:type="gramEnd"/>
    </w:p>
    <w:p w14:paraId="0779B8F8" w14:textId="3856E2B7" w:rsidR="00136F85" w:rsidRPr="007F18D0" w:rsidRDefault="00B001D0" w:rsidP="00832CC3">
      <w:pPr>
        <w:pStyle w:val="ListParagraph"/>
        <w:numPr>
          <w:ilvl w:val="0"/>
          <w:numId w:val="7"/>
        </w:numPr>
        <w:tabs>
          <w:tab w:val="left" w:pos="567"/>
        </w:tabs>
        <w:spacing w:after="240"/>
        <w:ind w:left="567" w:hanging="567"/>
        <w:contextualSpacing w:val="0"/>
        <w:jc w:val="both"/>
        <w:rPr>
          <w:i/>
          <w:sz w:val="24"/>
          <w:szCs w:val="24"/>
        </w:rPr>
      </w:pPr>
      <w:r>
        <w:rPr>
          <w:i/>
          <w:iCs/>
          <w:color w:val="000000"/>
          <w:sz w:val="24"/>
          <w:szCs w:val="24"/>
        </w:rPr>
        <w:t xml:space="preserve">Reporting Standard </w:t>
      </w:r>
      <w:r w:rsidR="00136F85" w:rsidRPr="00CA38E5">
        <w:rPr>
          <w:i/>
          <w:sz w:val="24"/>
          <w:szCs w:val="24"/>
        </w:rPr>
        <w:t xml:space="preserve">GRS 310.0.G Statement of Profit or Loss and Other Comprehensive Income by </w:t>
      </w:r>
      <w:proofErr w:type="gramStart"/>
      <w:r w:rsidR="00136F85" w:rsidRPr="00CA38E5">
        <w:rPr>
          <w:i/>
          <w:sz w:val="24"/>
          <w:szCs w:val="24"/>
        </w:rPr>
        <w:t>Region</w:t>
      </w:r>
      <w:r w:rsidR="00D800E7">
        <w:rPr>
          <w:iCs/>
          <w:color w:val="000000"/>
          <w:sz w:val="24"/>
          <w:szCs w:val="24"/>
        </w:rPr>
        <w:t>;</w:t>
      </w:r>
      <w:proofErr w:type="gramEnd"/>
    </w:p>
    <w:p w14:paraId="7525265B" w14:textId="78444904" w:rsidR="00136F85" w:rsidRPr="008A5868" w:rsidRDefault="00B001D0" w:rsidP="00832CC3">
      <w:pPr>
        <w:pStyle w:val="ListParagraph"/>
        <w:numPr>
          <w:ilvl w:val="0"/>
          <w:numId w:val="7"/>
        </w:numPr>
        <w:tabs>
          <w:tab w:val="left" w:pos="567"/>
        </w:tabs>
        <w:spacing w:after="240"/>
        <w:ind w:left="567" w:hanging="567"/>
        <w:contextualSpacing w:val="0"/>
        <w:jc w:val="both"/>
        <w:rPr>
          <w:i/>
          <w:sz w:val="24"/>
          <w:szCs w:val="24"/>
        </w:rPr>
      </w:pPr>
      <w:r>
        <w:rPr>
          <w:i/>
          <w:iCs/>
          <w:color w:val="000000"/>
          <w:sz w:val="24"/>
          <w:szCs w:val="24"/>
        </w:rPr>
        <w:lastRenderedPageBreak/>
        <w:t xml:space="preserve">Reporting Standard </w:t>
      </w:r>
      <w:r w:rsidR="00136F85" w:rsidRPr="008A5868">
        <w:rPr>
          <w:i/>
          <w:sz w:val="24"/>
          <w:szCs w:val="24"/>
        </w:rPr>
        <w:t>GRS 311.0 Statement of Profit or Loss and Other Comprehensive Income by Product Group</w:t>
      </w:r>
      <w:r w:rsidR="00D800E7">
        <w:rPr>
          <w:iCs/>
          <w:color w:val="000000"/>
          <w:sz w:val="24"/>
          <w:szCs w:val="24"/>
        </w:rPr>
        <w:t>;</w:t>
      </w:r>
      <w:r w:rsidR="008A5868">
        <w:rPr>
          <w:i/>
          <w:sz w:val="24"/>
          <w:szCs w:val="24"/>
        </w:rPr>
        <w:t xml:space="preserve"> </w:t>
      </w:r>
      <w:r w:rsidR="008A5868">
        <w:rPr>
          <w:sz w:val="24"/>
          <w:szCs w:val="24"/>
        </w:rPr>
        <w:t>and</w:t>
      </w:r>
    </w:p>
    <w:p w14:paraId="456771C6" w14:textId="6EB203AE" w:rsidR="00136F85" w:rsidRDefault="00B001D0" w:rsidP="00832CC3">
      <w:pPr>
        <w:pStyle w:val="ListParagraph"/>
        <w:numPr>
          <w:ilvl w:val="0"/>
          <w:numId w:val="7"/>
        </w:numPr>
        <w:tabs>
          <w:tab w:val="left" w:pos="567"/>
        </w:tabs>
        <w:spacing w:after="240"/>
        <w:ind w:left="567" w:hanging="567"/>
        <w:contextualSpacing w:val="0"/>
        <w:jc w:val="both"/>
        <w:rPr>
          <w:sz w:val="24"/>
          <w:szCs w:val="24"/>
        </w:rPr>
      </w:pPr>
      <w:r>
        <w:rPr>
          <w:i/>
          <w:iCs/>
          <w:color w:val="000000"/>
          <w:sz w:val="24"/>
          <w:szCs w:val="24"/>
        </w:rPr>
        <w:t xml:space="preserve">Reporting Standard </w:t>
      </w:r>
      <w:r w:rsidR="00136F85" w:rsidRPr="008A5868">
        <w:rPr>
          <w:i/>
          <w:sz w:val="24"/>
          <w:szCs w:val="24"/>
        </w:rPr>
        <w:t xml:space="preserve">GRS 311.0.G Statement of Profit or Loss and Other Comprehensive Income by Product Group and by </w:t>
      </w:r>
      <w:proofErr w:type="gramStart"/>
      <w:r w:rsidR="00136F85" w:rsidRPr="008A5868">
        <w:rPr>
          <w:i/>
          <w:sz w:val="24"/>
          <w:szCs w:val="24"/>
        </w:rPr>
        <w:t>Region</w:t>
      </w:r>
      <w:proofErr w:type="gramEnd"/>
      <w:r w:rsidR="00832CC3">
        <w:rPr>
          <w:sz w:val="24"/>
          <w:szCs w:val="24"/>
        </w:rPr>
        <w:t>.</w:t>
      </w:r>
    </w:p>
    <w:p w14:paraId="2D296C80" w14:textId="2AD81448" w:rsidR="008E17BE" w:rsidRPr="00551348" w:rsidRDefault="008E17BE" w:rsidP="00832CC3">
      <w:pPr>
        <w:spacing w:after="240"/>
        <w:jc w:val="both"/>
        <w:rPr>
          <w:sz w:val="24"/>
          <w:szCs w:val="24"/>
        </w:rPr>
      </w:pPr>
      <w:r>
        <w:rPr>
          <w:sz w:val="24"/>
          <w:szCs w:val="24"/>
        </w:rPr>
        <w:t>Reporting insurers</w:t>
      </w:r>
      <w:r w:rsidRPr="006674B5">
        <w:rPr>
          <w:sz w:val="24"/>
          <w:szCs w:val="24"/>
        </w:rPr>
        <w:t xml:space="preserve"> are to comply with the requirements for netting outlined in </w:t>
      </w:r>
      <w:r w:rsidRPr="006674B5">
        <w:rPr>
          <w:i/>
          <w:sz w:val="24"/>
          <w:szCs w:val="24"/>
        </w:rPr>
        <w:t xml:space="preserve">AASB 7 Financial Instruments: Disclosures, </w:t>
      </w:r>
      <w:r w:rsidRPr="00F05C64">
        <w:rPr>
          <w:i/>
          <w:sz w:val="24"/>
          <w:szCs w:val="24"/>
        </w:rPr>
        <w:t>AASB 9</w:t>
      </w:r>
      <w:r>
        <w:rPr>
          <w:sz w:val="24"/>
          <w:szCs w:val="24"/>
        </w:rPr>
        <w:t xml:space="preserve"> </w:t>
      </w:r>
      <w:r w:rsidRPr="006C51D4">
        <w:rPr>
          <w:i/>
          <w:sz w:val="24"/>
          <w:szCs w:val="24"/>
        </w:rPr>
        <w:t>Financial Instruments</w:t>
      </w:r>
      <w:r>
        <w:rPr>
          <w:sz w:val="24"/>
          <w:szCs w:val="24"/>
        </w:rPr>
        <w:t xml:space="preserve"> </w:t>
      </w:r>
      <w:r w:rsidRPr="006674B5">
        <w:rPr>
          <w:sz w:val="24"/>
          <w:szCs w:val="24"/>
        </w:rPr>
        <w:t>and</w:t>
      </w:r>
      <w:r w:rsidRPr="006674B5">
        <w:rPr>
          <w:i/>
          <w:sz w:val="24"/>
          <w:szCs w:val="24"/>
        </w:rPr>
        <w:t xml:space="preserve"> AASB 132 Financial Instruments: Presentation.</w:t>
      </w:r>
      <w:r>
        <w:rPr>
          <w:i/>
          <w:sz w:val="24"/>
          <w:szCs w:val="24"/>
        </w:rPr>
        <w:t xml:space="preserve"> </w:t>
      </w:r>
    </w:p>
    <w:p w14:paraId="2F1AFA75" w14:textId="3D2EEA1F"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Term to maturity</w:t>
      </w:r>
    </w:p>
    <w:p w14:paraId="39072536" w14:textId="3E8EDDCE" w:rsidR="000F3CF8" w:rsidRDefault="000F3CF8" w:rsidP="00832CC3">
      <w:pPr>
        <w:spacing w:after="240"/>
        <w:jc w:val="both"/>
        <w:rPr>
          <w:sz w:val="24"/>
          <w:szCs w:val="24"/>
        </w:rPr>
      </w:pPr>
      <w:r w:rsidRPr="006674B5">
        <w:rPr>
          <w:sz w:val="24"/>
          <w:szCs w:val="24"/>
        </w:rPr>
        <w:t>Reference to term to maturity refers to residual terms to maturity</w:t>
      </w:r>
      <w:r w:rsidR="00FF6BE2">
        <w:rPr>
          <w:sz w:val="24"/>
          <w:szCs w:val="24"/>
        </w:rPr>
        <w:t>,</w:t>
      </w:r>
      <w:r w:rsidRPr="006674B5">
        <w:rPr>
          <w:sz w:val="24"/>
          <w:szCs w:val="24"/>
        </w:rPr>
        <w:t xml:space="preserve"> not original terms to maturity in the reporting </w:t>
      </w:r>
      <w:r w:rsidR="00B001D0">
        <w:rPr>
          <w:sz w:val="24"/>
          <w:szCs w:val="24"/>
        </w:rPr>
        <w:t>standards</w:t>
      </w:r>
      <w:r w:rsidRPr="006674B5">
        <w:rPr>
          <w:sz w:val="24"/>
          <w:szCs w:val="24"/>
        </w:rPr>
        <w:t>.</w:t>
      </w:r>
    </w:p>
    <w:p w14:paraId="622B56C4" w14:textId="4C49AB01" w:rsidR="000F3CF8" w:rsidRDefault="000F3CF8" w:rsidP="00832CC3">
      <w:pPr>
        <w:pStyle w:val="ListParagraph"/>
        <w:numPr>
          <w:ilvl w:val="0"/>
          <w:numId w:val="13"/>
        </w:numPr>
        <w:tabs>
          <w:tab w:val="left" w:pos="720"/>
        </w:tabs>
        <w:spacing w:before="120" w:after="240"/>
        <w:ind w:left="357" w:hanging="357"/>
        <w:contextualSpacing w:val="0"/>
        <w:jc w:val="both"/>
        <w:rPr>
          <w:rFonts w:ascii="Arial" w:hAnsi="Arial" w:cs="Arial"/>
          <w:b/>
          <w:sz w:val="24"/>
          <w:szCs w:val="24"/>
        </w:rPr>
      </w:pPr>
      <w:r w:rsidRPr="00473B6E">
        <w:rPr>
          <w:rFonts w:ascii="Arial" w:hAnsi="Arial" w:cs="Arial"/>
          <w:b/>
          <w:sz w:val="24"/>
          <w:szCs w:val="24"/>
        </w:rPr>
        <w:t>Audit requirements</w:t>
      </w:r>
    </w:p>
    <w:p w14:paraId="33AC885A" w14:textId="09E004E7" w:rsidR="000F3CF8" w:rsidRDefault="000F3CF8" w:rsidP="00832CC3">
      <w:pPr>
        <w:pStyle w:val="Default"/>
        <w:spacing w:after="240"/>
        <w:jc w:val="both"/>
        <w:rPr>
          <w:i/>
        </w:rPr>
      </w:pPr>
      <w:r w:rsidRPr="001F0585">
        <w:t>The</w:t>
      </w:r>
      <w:r w:rsidRPr="006674B5">
        <w:t xml:space="preserve"> </w:t>
      </w:r>
      <w:r w:rsidR="002D4F1A">
        <w:t xml:space="preserve">information required to be reported to APRA under the </w:t>
      </w:r>
      <w:r w:rsidRPr="006674B5">
        <w:t xml:space="preserve">reporting </w:t>
      </w:r>
      <w:r w:rsidR="00B001D0">
        <w:t>standards</w:t>
      </w:r>
      <w:r w:rsidR="00B001D0" w:rsidRPr="006674B5">
        <w:t xml:space="preserve"> </w:t>
      </w:r>
      <w:r w:rsidRPr="006674B5">
        <w:t xml:space="preserve">must be subjected to audit review and testing as detailed in </w:t>
      </w:r>
      <w:r>
        <w:rPr>
          <w:i/>
        </w:rPr>
        <w:t xml:space="preserve">Prudential Standard GPS 310 Audit and Related Matters. </w:t>
      </w:r>
    </w:p>
    <w:p w14:paraId="7CF7B4CA" w14:textId="77777777" w:rsidR="000F3CF8" w:rsidRDefault="000F3CF8" w:rsidP="00832CC3">
      <w:pPr>
        <w:pStyle w:val="ListParagraph"/>
        <w:numPr>
          <w:ilvl w:val="0"/>
          <w:numId w:val="13"/>
        </w:numPr>
        <w:tabs>
          <w:tab w:val="left" w:pos="720"/>
        </w:tabs>
        <w:spacing w:before="120" w:after="240"/>
        <w:ind w:left="426" w:hanging="426"/>
        <w:contextualSpacing w:val="0"/>
        <w:jc w:val="both"/>
        <w:rPr>
          <w:rFonts w:ascii="Arial" w:hAnsi="Arial" w:cs="Arial"/>
          <w:b/>
          <w:sz w:val="24"/>
          <w:szCs w:val="24"/>
        </w:rPr>
      </w:pPr>
      <w:r w:rsidRPr="00473B6E">
        <w:rPr>
          <w:rFonts w:ascii="Arial" w:hAnsi="Arial" w:cs="Arial"/>
          <w:b/>
          <w:sz w:val="24"/>
          <w:szCs w:val="24"/>
        </w:rPr>
        <w:t xml:space="preserve">General instructions </w:t>
      </w:r>
    </w:p>
    <w:p w14:paraId="45DFB041"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Inside Australia</w:t>
      </w:r>
    </w:p>
    <w:p w14:paraId="317985A8" w14:textId="02AF6E9C" w:rsidR="000F3CF8" w:rsidRDefault="005F2F93" w:rsidP="00832CC3">
      <w:pPr>
        <w:autoSpaceDE w:val="0"/>
        <w:autoSpaceDN w:val="0"/>
        <w:adjustRightInd w:val="0"/>
        <w:spacing w:after="240"/>
        <w:jc w:val="both"/>
        <w:rPr>
          <w:color w:val="000000"/>
          <w:sz w:val="24"/>
          <w:szCs w:val="24"/>
        </w:rPr>
      </w:pPr>
      <w:r w:rsidRPr="005F2F93">
        <w:rPr>
          <w:color w:val="000000"/>
          <w:sz w:val="24"/>
          <w:szCs w:val="24"/>
        </w:rPr>
        <w:t xml:space="preserve">The information </w:t>
      </w:r>
      <w:r>
        <w:rPr>
          <w:color w:val="000000"/>
          <w:sz w:val="24"/>
          <w:szCs w:val="24"/>
        </w:rPr>
        <w:t xml:space="preserve">required to be </w:t>
      </w:r>
      <w:r w:rsidRPr="005F2F93">
        <w:rPr>
          <w:color w:val="000000"/>
          <w:sz w:val="24"/>
          <w:szCs w:val="24"/>
        </w:rPr>
        <w:t>reported is in relation to assets and liabilities defined under the Act as being in Australia.</w:t>
      </w:r>
      <w:r>
        <w:rPr>
          <w:color w:val="000000"/>
          <w:sz w:val="24"/>
          <w:szCs w:val="24"/>
        </w:rPr>
        <w:t xml:space="preserve"> </w:t>
      </w:r>
      <w:r w:rsidR="000F3CF8" w:rsidRPr="006674B5">
        <w:rPr>
          <w:color w:val="000000"/>
          <w:sz w:val="24"/>
          <w:szCs w:val="24"/>
        </w:rPr>
        <w:t xml:space="preserve">Section 28 of the Act requires all </w:t>
      </w:r>
      <w:r w:rsidR="000F3CF8">
        <w:rPr>
          <w:color w:val="000000"/>
          <w:sz w:val="24"/>
          <w:szCs w:val="24"/>
        </w:rPr>
        <w:t>Level 1 general insurers</w:t>
      </w:r>
      <w:r w:rsidR="000F3CF8" w:rsidRPr="006674B5">
        <w:rPr>
          <w:color w:val="000000"/>
          <w:sz w:val="24"/>
          <w:szCs w:val="24"/>
        </w:rPr>
        <w:t xml:space="preserve"> to maintain assets in Australia (excluding goodwill and other amounts excluded by </w:t>
      </w:r>
      <w:r w:rsidR="000F3CF8" w:rsidRPr="006674B5">
        <w:rPr>
          <w:i/>
          <w:iCs/>
          <w:color w:val="000000"/>
          <w:sz w:val="24"/>
          <w:szCs w:val="24"/>
        </w:rPr>
        <w:t xml:space="preserve">Prudential Standard GPS 120 Assets in Australia </w:t>
      </w:r>
      <w:r w:rsidR="000F3CF8" w:rsidRPr="006674B5">
        <w:rPr>
          <w:color w:val="000000"/>
          <w:sz w:val="24"/>
          <w:szCs w:val="24"/>
        </w:rPr>
        <w:t>(GPS 120)) of a value that equals or exceeds the total amount of the general insurer</w:t>
      </w:r>
      <w:r w:rsidR="000F3CF8" w:rsidRPr="006674B5">
        <w:rPr>
          <w:rFonts w:eastAsia="MS Mincho"/>
          <w:color w:val="000000"/>
          <w:sz w:val="24"/>
          <w:szCs w:val="24"/>
        </w:rPr>
        <w:t>’</w:t>
      </w:r>
      <w:r w:rsidR="000F3CF8" w:rsidRPr="006674B5">
        <w:rPr>
          <w:color w:val="000000"/>
          <w:sz w:val="24"/>
          <w:szCs w:val="24"/>
        </w:rPr>
        <w:t xml:space="preserve">s liabilities in Australia. </w:t>
      </w:r>
    </w:p>
    <w:p w14:paraId="1E0941EB" w14:textId="77777777" w:rsidR="000F3CF8" w:rsidRDefault="000F3CF8" w:rsidP="00832CC3">
      <w:pPr>
        <w:autoSpaceDE w:val="0"/>
        <w:autoSpaceDN w:val="0"/>
        <w:adjustRightInd w:val="0"/>
        <w:spacing w:after="240"/>
        <w:jc w:val="both"/>
        <w:rPr>
          <w:color w:val="000000"/>
          <w:sz w:val="24"/>
          <w:szCs w:val="24"/>
        </w:rPr>
      </w:pPr>
      <w:r w:rsidRPr="006674B5">
        <w:rPr>
          <w:color w:val="000000"/>
          <w:sz w:val="24"/>
          <w:szCs w:val="24"/>
        </w:rPr>
        <w:t>This requirement is designed to ensure that the total value of assets held within the jurisdictional reach of APRA and the Australian courts is sufficient to meet a general insurer</w:t>
      </w:r>
      <w:r w:rsidRPr="006674B5">
        <w:rPr>
          <w:rFonts w:eastAsia="MS Mincho"/>
          <w:color w:val="000000"/>
          <w:sz w:val="24"/>
          <w:szCs w:val="24"/>
        </w:rPr>
        <w:t>’</w:t>
      </w:r>
      <w:r w:rsidRPr="006674B5">
        <w:rPr>
          <w:color w:val="000000"/>
          <w:sz w:val="24"/>
          <w:szCs w:val="24"/>
        </w:rPr>
        <w:t xml:space="preserve">s Australian liabilities. It assists in the application of subsection 116(3) of the Act, which provides that in the winding up of a general insurer, the assets in Australia shall not be applied in the discharge of its liabilities other than its liabilities in Australia unless all the liabilities in Australia have first been discharged. </w:t>
      </w:r>
    </w:p>
    <w:p w14:paraId="64329D93" w14:textId="77777777" w:rsidR="000F3CF8" w:rsidRDefault="000F3CF8" w:rsidP="00832CC3">
      <w:pPr>
        <w:autoSpaceDE w:val="0"/>
        <w:autoSpaceDN w:val="0"/>
        <w:adjustRightInd w:val="0"/>
        <w:spacing w:after="240"/>
        <w:jc w:val="both"/>
        <w:rPr>
          <w:color w:val="000000"/>
          <w:sz w:val="24"/>
          <w:szCs w:val="24"/>
        </w:rPr>
      </w:pPr>
      <w:r w:rsidRPr="006674B5">
        <w:rPr>
          <w:color w:val="000000"/>
          <w:sz w:val="24"/>
          <w:szCs w:val="24"/>
        </w:rPr>
        <w:t xml:space="preserve">For the purposes of section 28 of the Act, </w:t>
      </w:r>
      <w:proofErr w:type="gramStart"/>
      <w:r w:rsidRPr="006674B5">
        <w:rPr>
          <w:color w:val="000000"/>
          <w:sz w:val="24"/>
          <w:szCs w:val="24"/>
        </w:rPr>
        <w:t>a number of</w:t>
      </w:r>
      <w:proofErr w:type="gramEnd"/>
      <w:r w:rsidRPr="006674B5">
        <w:rPr>
          <w:color w:val="000000"/>
          <w:sz w:val="24"/>
          <w:szCs w:val="24"/>
        </w:rPr>
        <w:t xml:space="preserve"> assets and liabilities are to be treated as assets or liabilities in Australia which would not be treated </w:t>
      </w:r>
      <w:r>
        <w:rPr>
          <w:color w:val="000000"/>
          <w:sz w:val="24"/>
          <w:szCs w:val="24"/>
        </w:rPr>
        <w:t xml:space="preserve">as such under the common law. </w:t>
      </w:r>
      <w:r w:rsidRPr="006674B5">
        <w:rPr>
          <w:color w:val="000000"/>
          <w:sz w:val="24"/>
          <w:szCs w:val="24"/>
        </w:rPr>
        <w:t xml:space="preserve">Further, GPS 120 specifies certain assets, which are assets in Australia under the common law, that are not to be counted as </w:t>
      </w:r>
      <w:r w:rsidRPr="006674B5">
        <w:rPr>
          <w:rFonts w:eastAsia="MS Mincho"/>
          <w:color w:val="000000"/>
          <w:sz w:val="24"/>
          <w:szCs w:val="24"/>
        </w:rPr>
        <w:t>‘</w:t>
      </w:r>
      <w:r w:rsidRPr="006674B5">
        <w:rPr>
          <w:color w:val="000000"/>
          <w:sz w:val="24"/>
          <w:szCs w:val="24"/>
        </w:rPr>
        <w:t>assets in Australia</w:t>
      </w:r>
      <w:r w:rsidRPr="006674B5">
        <w:rPr>
          <w:rFonts w:eastAsia="MS Mincho"/>
          <w:color w:val="000000"/>
          <w:sz w:val="24"/>
          <w:szCs w:val="24"/>
        </w:rPr>
        <w:t>’</w:t>
      </w:r>
      <w:r w:rsidRPr="006674B5">
        <w:rPr>
          <w:color w:val="000000"/>
          <w:sz w:val="24"/>
          <w:szCs w:val="24"/>
        </w:rPr>
        <w:t xml:space="preserve"> for the purposes of section 28 of the Act. Apart from these exceptions whether an asset or a liability is an asset or a liability in Australia will otherwise turn on its character under the common law. </w:t>
      </w:r>
    </w:p>
    <w:p w14:paraId="04D3FC01" w14:textId="77777777" w:rsidR="000F3CF8" w:rsidRDefault="000F3CF8" w:rsidP="00832CC3">
      <w:pPr>
        <w:spacing w:after="240"/>
        <w:jc w:val="both"/>
        <w:rPr>
          <w:sz w:val="24"/>
          <w:szCs w:val="24"/>
        </w:rPr>
      </w:pPr>
      <w:r w:rsidRPr="006674B5">
        <w:rPr>
          <w:sz w:val="24"/>
          <w:szCs w:val="24"/>
        </w:rPr>
        <w:t xml:space="preserve">GPS 120 excludes certain assets which would otherwise fall within the definition of </w:t>
      </w:r>
      <w:r w:rsidRPr="006674B5">
        <w:rPr>
          <w:rFonts w:eastAsia="MS Mincho"/>
          <w:sz w:val="24"/>
          <w:szCs w:val="24"/>
        </w:rPr>
        <w:t>‘</w:t>
      </w:r>
      <w:r w:rsidRPr="006674B5">
        <w:rPr>
          <w:sz w:val="24"/>
          <w:szCs w:val="24"/>
        </w:rPr>
        <w:t>assets in Australia</w:t>
      </w:r>
      <w:r w:rsidRPr="006674B5">
        <w:rPr>
          <w:rFonts w:eastAsia="MS Mincho"/>
          <w:sz w:val="24"/>
          <w:szCs w:val="24"/>
        </w:rPr>
        <w:t>’</w:t>
      </w:r>
      <w:r w:rsidRPr="006674B5">
        <w:rPr>
          <w:sz w:val="24"/>
          <w:szCs w:val="24"/>
        </w:rPr>
        <w:t xml:space="preserve"> under section 28 of the Act but which APRA considers </w:t>
      </w:r>
      <w:proofErr w:type="gramStart"/>
      <w:r w:rsidRPr="006674B5">
        <w:rPr>
          <w:sz w:val="24"/>
          <w:szCs w:val="24"/>
        </w:rPr>
        <w:t>to have</w:t>
      </w:r>
      <w:proofErr w:type="gramEnd"/>
      <w:r w:rsidRPr="006674B5">
        <w:rPr>
          <w:sz w:val="24"/>
          <w:szCs w:val="24"/>
        </w:rPr>
        <w:t xml:space="preserve"> doubtful value in the event of an insurer becoming insolvent.</w:t>
      </w:r>
    </w:p>
    <w:p w14:paraId="378C1D14" w14:textId="34FF0861" w:rsidR="00860DB8" w:rsidRDefault="00626FEC" w:rsidP="00832CC3">
      <w:pPr>
        <w:pStyle w:val="ListParagraph"/>
        <w:numPr>
          <w:ilvl w:val="1"/>
          <w:numId w:val="13"/>
        </w:numPr>
        <w:spacing w:before="120" w:after="240"/>
        <w:ind w:left="709" w:hanging="709"/>
        <w:contextualSpacing w:val="0"/>
        <w:jc w:val="both"/>
        <w:rPr>
          <w:rFonts w:ascii="Arial" w:hAnsi="Arial" w:cs="Arial"/>
          <w:b/>
          <w:sz w:val="24"/>
          <w:szCs w:val="24"/>
        </w:rPr>
      </w:pPr>
      <w:r>
        <w:rPr>
          <w:rFonts w:ascii="Arial" w:hAnsi="Arial" w:cs="Arial"/>
          <w:b/>
          <w:sz w:val="24"/>
          <w:szCs w:val="24"/>
        </w:rPr>
        <w:t>Outside Australia</w:t>
      </w:r>
    </w:p>
    <w:p w14:paraId="71F90AFE" w14:textId="613ED6EB" w:rsidR="00626FEC" w:rsidRPr="006C51D4" w:rsidRDefault="00860DB8" w:rsidP="00832CC3">
      <w:pPr>
        <w:pStyle w:val="ListParagraph"/>
        <w:spacing w:before="120" w:after="240"/>
        <w:ind w:left="0"/>
        <w:contextualSpacing w:val="0"/>
        <w:jc w:val="both"/>
        <w:rPr>
          <w:sz w:val="24"/>
          <w:szCs w:val="24"/>
        </w:rPr>
      </w:pPr>
      <w:r w:rsidRPr="006C51D4">
        <w:rPr>
          <w:sz w:val="24"/>
          <w:szCs w:val="24"/>
        </w:rPr>
        <w:lastRenderedPageBreak/>
        <w:t xml:space="preserve">The information required to be reported is in relation to assets and liabilities of the reporting insurer that </w:t>
      </w:r>
      <w:r w:rsidR="002D24C8">
        <w:rPr>
          <w:sz w:val="24"/>
          <w:szCs w:val="24"/>
        </w:rPr>
        <w:t xml:space="preserve">are </w:t>
      </w:r>
      <w:r w:rsidR="00114673">
        <w:rPr>
          <w:sz w:val="24"/>
          <w:szCs w:val="24"/>
        </w:rPr>
        <w:t>not</w:t>
      </w:r>
      <w:r w:rsidRPr="006C51D4">
        <w:rPr>
          <w:sz w:val="24"/>
          <w:szCs w:val="24"/>
        </w:rPr>
        <w:t xml:space="preserve"> considered</w:t>
      </w:r>
      <w:r w:rsidR="00114673">
        <w:rPr>
          <w:sz w:val="24"/>
          <w:szCs w:val="24"/>
        </w:rPr>
        <w:t xml:space="preserve"> as being</w:t>
      </w:r>
      <w:r w:rsidRPr="006C51D4">
        <w:rPr>
          <w:sz w:val="24"/>
          <w:szCs w:val="24"/>
        </w:rPr>
        <w:t xml:space="preserve"> </w:t>
      </w:r>
      <w:r w:rsidR="002837D1" w:rsidRPr="006C51D4">
        <w:rPr>
          <w:sz w:val="24"/>
          <w:szCs w:val="24"/>
        </w:rPr>
        <w:t>“inside Australia” under the Act</w:t>
      </w:r>
      <w:r w:rsidRPr="006C51D4">
        <w:rPr>
          <w:sz w:val="24"/>
          <w:szCs w:val="24"/>
        </w:rPr>
        <w:t>.</w:t>
      </w:r>
    </w:p>
    <w:p w14:paraId="7061493A" w14:textId="0F47824C" w:rsidR="000F3CF8" w:rsidRPr="006B45BC"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6B45BC">
        <w:rPr>
          <w:rFonts w:ascii="Arial" w:hAnsi="Arial" w:cs="Arial"/>
          <w:b/>
          <w:sz w:val="24"/>
          <w:szCs w:val="24"/>
        </w:rPr>
        <w:t>Securities transacted not settled (</w:t>
      </w:r>
      <w:proofErr w:type="gramStart"/>
      <w:r w:rsidRPr="006B45BC">
        <w:rPr>
          <w:rFonts w:ascii="Arial" w:hAnsi="Arial" w:cs="Arial"/>
          <w:b/>
          <w:sz w:val="24"/>
          <w:szCs w:val="24"/>
        </w:rPr>
        <w:t>i.e.</w:t>
      </w:r>
      <w:proofErr w:type="gramEnd"/>
      <w:r w:rsidRPr="006B45BC">
        <w:rPr>
          <w:rFonts w:ascii="Arial" w:hAnsi="Arial" w:cs="Arial"/>
          <w:b/>
          <w:sz w:val="24"/>
          <w:szCs w:val="24"/>
        </w:rPr>
        <w:t xml:space="preserve"> trade date accounting) </w:t>
      </w:r>
    </w:p>
    <w:p w14:paraId="5F432CE8" w14:textId="320674CE" w:rsidR="000F3CF8" w:rsidRDefault="000F3CF8" w:rsidP="00832CC3">
      <w:pPr>
        <w:autoSpaceDE w:val="0"/>
        <w:autoSpaceDN w:val="0"/>
        <w:adjustRightInd w:val="0"/>
        <w:spacing w:after="240"/>
        <w:jc w:val="both"/>
        <w:rPr>
          <w:iCs/>
          <w:color w:val="000000"/>
          <w:sz w:val="24"/>
          <w:szCs w:val="24"/>
        </w:rPr>
      </w:pPr>
      <w:proofErr w:type="gramStart"/>
      <w:r w:rsidRPr="00ED0878">
        <w:rPr>
          <w:color w:val="000000"/>
          <w:sz w:val="24"/>
          <w:szCs w:val="24"/>
        </w:rPr>
        <w:t>For the purpose of</w:t>
      </w:r>
      <w:proofErr w:type="gramEnd"/>
      <w:r w:rsidRPr="00ED0878">
        <w:rPr>
          <w:color w:val="000000"/>
          <w:sz w:val="24"/>
          <w:szCs w:val="24"/>
        </w:rPr>
        <w:t xml:space="preserve"> </w:t>
      </w:r>
      <w:r w:rsidR="002D4F1A">
        <w:rPr>
          <w:color w:val="000000"/>
          <w:sz w:val="24"/>
          <w:szCs w:val="24"/>
        </w:rPr>
        <w:t xml:space="preserve">reporting under </w:t>
      </w:r>
      <w:r w:rsidRPr="00ED0878">
        <w:rPr>
          <w:color w:val="000000"/>
          <w:sz w:val="24"/>
          <w:szCs w:val="24"/>
        </w:rPr>
        <w:t xml:space="preserve">the reporting </w:t>
      </w:r>
      <w:r w:rsidR="00B001D0">
        <w:rPr>
          <w:color w:val="000000"/>
          <w:sz w:val="24"/>
          <w:szCs w:val="24"/>
        </w:rPr>
        <w:t>standard</w:t>
      </w:r>
      <w:r w:rsidR="00B001D0" w:rsidRPr="00ED0878">
        <w:rPr>
          <w:color w:val="000000"/>
          <w:sz w:val="24"/>
          <w:szCs w:val="24"/>
        </w:rPr>
        <w:t>s</w:t>
      </w:r>
      <w:r w:rsidRPr="00ED0878">
        <w:rPr>
          <w:color w:val="000000"/>
          <w:sz w:val="24"/>
          <w:szCs w:val="24"/>
        </w:rPr>
        <w:t xml:space="preserve">, include market related securities that are recorded on a trade date basis and transacted in accordance with accepted financial market settlements periods. Such securities are to be included in the respective investments </w:t>
      </w:r>
      <w:r w:rsidR="00B001D0">
        <w:rPr>
          <w:color w:val="000000"/>
          <w:sz w:val="24"/>
          <w:szCs w:val="24"/>
        </w:rPr>
        <w:t>reporting standards</w:t>
      </w:r>
      <w:r w:rsidRPr="00ED0878">
        <w:rPr>
          <w:color w:val="000000"/>
          <w:sz w:val="24"/>
          <w:szCs w:val="24"/>
        </w:rPr>
        <w:t xml:space="preserve">. These do not constitute forward asset purchases for the purposes of the </w:t>
      </w:r>
      <w:r w:rsidRPr="00ED0878">
        <w:rPr>
          <w:iCs/>
          <w:color w:val="000000"/>
          <w:sz w:val="24"/>
          <w:szCs w:val="24"/>
        </w:rPr>
        <w:t>GR</w:t>
      </w:r>
      <w:r w:rsidR="009575EB">
        <w:rPr>
          <w:iCs/>
          <w:color w:val="000000"/>
          <w:sz w:val="24"/>
          <w:szCs w:val="24"/>
        </w:rPr>
        <w:t>S</w:t>
      </w:r>
      <w:r w:rsidRPr="00ED0878">
        <w:rPr>
          <w:iCs/>
          <w:color w:val="000000"/>
          <w:sz w:val="24"/>
          <w:szCs w:val="24"/>
        </w:rPr>
        <w:t xml:space="preserve"> 114 series.</w:t>
      </w:r>
    </w:p>
    <w:p w14:paraId="2F1E9D6B"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iCs/>
          <w:color w:val="000000"/>
          <w:sz w:val="24"/>
          <w:szCs w:val="24"/>
        </w:rPr>
        <w:t>Securities listed on a recognised exchange</w:t>
      </w:r>
    </w:p>
    <w:p w14:paraId="4489E33E" w14:textId="77777777" w:rsidR="000F3CF8" w:rsidRDefault="000F3CF8" w:rsidP="00832CC3">
      <w:pPr>
        <w:pStyle w:val="Default"/>
        <w:spacing w:after="240"/>
        <w:jc w:val="both"/>
      </w:pPr>
      <w:r w:rsidRPr="00ED0878">
        <w:t xml:space="preserve">It will generally be appropriate to treat an exchange organisation as ‘recognised’ where it meets the following criteria: </w:t>
      </w:r>
    </w:p>
    <w:p w14:paraId="78DFA566" w14:textId="77777777" w:rsidR="000F3CF8" w:rsidRDefault="000F3CF8" w:rsidP="00832CC3">
      <w:pPr>
        <w:pStyle w:val="Default"/>
        <w:numPr>
          <w:ilvl w:val="0"/>
          <w:numId w:val="11"/>
        </w:numPr>
        <w:tabs>
          <w:tab w:val="left" w:pos="567"/>
        </w:tabs>
        <w:spacing w:after="240"/>
        <w:ind w:left="567" w:hanging="567"/>
        <w:jc w:val="both"/>
      </w:pPr>
      <w:r w:rsidRPr="00ED0878">
        <w:t xml:space="preserve">it is subject to authorisation, licensing or other means of recognition by a government or other competent </w:t>
      </w:r>
      <w:proofErr w:type="gramStart"/>
      <w:r w:rsidRPr="00ED0878">
        <w:t>authority;</w:t>
      </w:r>
      <w:proofErr w:type="gramEnd"/>
      <w:r w:rsidRPr="00ED0878">
        <w:t xml:space="preserve"> </w:t>
      </w:r>
    </w:p>
    <w:p w14:paraId="36D93F21" w14:textId="77777777" w:rsidR="000F3CF8" w:rsidRDefault="000F3CF8" w:rsidP="00832CC3">
      <w:pPr>
        <w:pStyle w:val="Default"/>
        <w:numPr>
          <w:ilvl w:val="0"/>
          <w:numId w:val="11"/>
        </w:numPr>
        <w:tabs>
          <w:tab w:val="left" w:pos="567"/>
        </w:tabs>
        <w:spacing w:after="240"/>
        <w:ind w:left="567" w:hanging="567"/>
        <w:jc w:val="both"/>
      </w:pPr>
      <w:r w:rsidRPr="00ED0878">
        <w:t xml:space="preserve">it has rules, </w:t>
      </w:r>
      <w:proofErr w:type="gramStart"/>
      <w:r w:rsidRPr="00ED0878">
        <w:t>issued</w:t>
      </w:r>
      <w:proofErr w:type="gramEnd"/>
      <w:r w:rsidRPr="00ED0878">
        <w:t xml:space="preserve"> or approved, by the government or other competent authority defining the conditions: </w:t>
      </w:r>
    </w:p>
    <w:p w14:paraId="47579F3E" w14:textId="77777777" w:rsidR="000F3CF8" w:rsidRDefault="000F3CF8" w:rsidP="00832CC3">
      <w:pPr>
        <w:pStyle w:val="Default"/>
        <w:numPr>
          <w:ilvl w:val="2"/>
          <w:numId w:val="14"/>
        </w:numPr>
        <w:tabs>
          <w:tab w:val="left" w:pos="567"/>
        </w:tabs>
        <w:spacing w:after="240"/>
        <w:ind w:left="567" w:hanging="567"/>
        <w:jc w:val="both"/>
      </w:pPr>
      <w:r w:rsidRPr="00ED0878">
        <w:t xml:space="preserve">for the operation of the </w:t>
      </w:r>
      <w:proofErr w:type="gramStart"/>
      <w:r w:rsidRPr="00ED0878">
        <w:t>exchange;</w:t>
      </w:r>
      <w:proofErr w:type="gramEnd"/>
      <w:r w:rsidRPr="00ED0878">
        <w:t xml:space="preserve"> </w:t>
      </w:r>
    </w:p>
    <w:p w14:paraId="0784E797" w14:textId="77777777" w:rsidR="000F3CF8" w:rsidRDefault="000F3CF8" w:rsidP="00832CC3">
      <w:pPr>
        <w:pStyle w:val="Default"/>
        <w:numPr>
          <w:ilvl w:val="2"/>
          <w:numId w:val="15"/>
        </w:numPr>
        <w:tabs>
          <w:tab w:val="left" w:pos="567"/>
        </w:tabs>
        <w:spacing w:after="240"/>
        <w:ind w:left="567" w:hanging="567"/>
        <w:jc w:val="both"/>
      </w:pPr>
      <w:r w:rsidRPr="00ED0878">
        <w:t xml:space="preserve">for access to the exchange; and </w:t>
      </w:r>
    </w:p>
    <w:p w14:paraId="10B54C12" w14:textId="77777777" w:rsidR="000F3CF8" w:rsidRDefault="000F3CF8" w:rsidP="00832CC3">
      <w:pPr>
        <w:pStyle w:val="Default"/>
        <w:numPr>
          <w:ilvl w:val="2"/>
          <w:numId w:val="15"/>
        </w:numPr>
        <w:tabs>
          <w:tab w:val="left" w:pos="567"/>
        </w:tabs>
        <w:spacing w:after="240"/>
        <w:ind w:left="567" w:hanging="567"/>
        <w:jc w:val="both"/>
      </w:pPr>
      <w:r w:rsidRPr="00ED0878">
        <w:t xml:space="preserve">that must be satisfied by a contract before it can be executed on the </w:t>
      </w:r>
      <w:proofErr w:type="gramStart"/>
      <w:r w:rsidRPr="00ED0878">
        <w:t>exchange;</w:t>
      </w:r>
      <w:proofErr w:type="gramEnd"/>
      <w:r w:rsidRPr="00ED0878">
        <w:t xml:space="preserve"> </w:t>
      </w:r>
    </w:p>
    <w:p w14:paraId="16341B91" w14:textId="77777777" w:rsidR="000F3CF8" w:rsidRDefault="000F3CF8" w:rsidP="00832CC3">
      <w:pPr>
        <w:pStyle w:val="Default"/>
        <w:numPr>
          <w:ilvl w:val="0"/>
          <w:numId w:val="11"/>
        </w:numPr>
        <w:tabs>
          <w:tab w:val="left" w:pos="567"/>
        </w:tabs>
        <w:spacing w:after="240"/>
        <w:ind w:left="567" w:hanging="567"/>
        <w:jc w:val="both"/>
      </w:pPr>
      <w:r w:rsidRPr="00ED0878">
        <w:t xml:space="preserve">it has a mechanism that provides clearing services for contracts executed through the </w:t>
      </w:r>
      <w:proofErr w:type="gramStart"/>
      <w:r w:rsidRPr="00ED0878">
        <w:t>exchange;</w:t>
      </w:r>
      <w:proofErr w:type="gramEnd"/>
      <w:r w:rsidRPr="00ED0878">
        <w:t xml:space="preserve"> </w:t>
      </w:r>
    </w:p>
    <w:p w14:paraId="68125906" w14:textId="77777777" w:rsidR="000F3CF8" w:rsidRDefault="000F3CF8" w:rsidP="00832CC3">
      <w:pPr>
        <w:pStyle w:val="Default"/>
        <w:numPr>
          <w:ilvl w:val="0"/>
          <w:numId w:val="11"/>
        </w:numPr>
        <w:tabs>
          <w:tab w:val="left" w:pos="567"/>
        </w:tabs>
        <w:spacing w:after="240"/>
        <w:ind w:left="567" w:hanging="567"/>
        <w:jc w:val="both"/>
      </w:pPr>
      <w:r w:rsidRPr="00ED0878">
        <w:t xml:space="preserve">it functions </w:t>
      </w:r>
      <w:proofErr w:type="gramStart"/>
      <w:r w:rsidRPr="00ED0878">
        <w:t>regularly;</w:t>
      </w:r>
      <w:proofErr w:type="gramEnd"/>
      <w:r w:rsidRPr="00ED0878">
        <w:t xml:space="preserve"> </w:t>
      </w:r>
    </w:p>
    <w:p w14:paraId="22EE22BC" w14:textId="77777777" w:rsidR="000F3CF8" w:rsidRDefault="000F3CF8" w:rsidP="00832CC3">
      <w:pPr>
        <w:pStyle w:val="Default"/>
        <w:numPr>
          <w:ilvl w:val="0"/>
          <w:numId w:val="11"/>
        </w:numPr>
        <w:tabs>
          <w:tab w:val="left" w:pos="567"/>
        </w:tabs>
        <w:spacing w:after="240"/>
        <w:ind w:left="567" w:hanging="567"/>
        <w:jc w:val="both"/>
      </w:pPr>
      <w:r w:rsidRPr="00ED0878">
        <w:t xml:space="preserve">the exchange has a prudent and frequent margining system where </w:t>
      </w:r>
      <w:proofErr w:type="gramStart"/>
      <w:r w:rsidRPr="00ED0878">
        <w:t>relevant;</w:t>
      </w:r>
      <w:proofErr w:type="gramEnd"/>
      <w:r w:rsidRPr="00ED0878">
        <w:t xml:space="preserve"> </w:t>
      </w:r>
    </w:p>
    <w:p w14:paraId="24B73AD3" w14:textId="77777777" w:rsidR="000F3CF8" w:rsidRDefault="000F3CF8" w:rsidP="00832CC3">
      <w:pPr>
        <w:pStyle w:val="Default"/>
        <w:numPr>
          <w:ilvl w:val="0"/>
          <w:numId w:val="11"/>
        </w:numPr>
        <w:tabs>
          <w:tab w:val="left" w:pos="567"/>
        </w:tabs>
        <w:spacing w:after="240"/>
        <w:ind w:left="567" w:hanging="567"/>
        <w:jc w:val="both"/>
      </w:pPr>
      <w:r w:rsidRPr="00ED0878">
        <w:t xml:space="preserve">the exchange requires settlement on a particular day as </w:t>
      </w:r>
      <w:proofErr w:type="gramStart"/>
      <w:r w:rsidRPr="00ED0878">
        <w:t>applicable;</w:t>
      </w:r>
      <w:proofErr w:type="gramEnd"/>
      <w:r w:rsidRPr="00ED0878">
        <w:t xml:space="preserve"> </w:t>
      </w:r>
    </w:p>
    <w:p w14:paraId="245870CB" w14:textId="77777777" w:rsidR="000F3CF8" w:rsidRDefault="000F3CF8" w:rsidP="00832CC3">
      <w:pPr>
        <w:pStyle w:val="Default"/>
        <w:numPr>
          <w:ilvl w:val="0"/>
          <w:numId w:val="11"/>
        </w:numPr>
        <w:tabs>
          <w:tab w:val="left" w:pos="567"/>
        </w:tabs>
        <w:spacing w:after="240"/>
        <w:ind w:left="567" w:hanging="567"/>
        <w:jc w:val="both"/>
      </w:pPr>
      <w:r w:rsidRPr="00ED0878">
        <w:t xml:space="preserve">members of the exchange are themselves subject to supervision by the exchange or a competent authority; and </w:t>
      </w:r>
    </w:p>
    <w:p w14:paraId="6FEBE1CD" w14:textId="77777777" w:rsidR="000F3CF8" w:rsidRDefault="000F3CF8" w:rsidP="00832CC3">
      <w:pPr>
        <w:pStyle w:val="Default"/>
        <w:numPr>
          <w:ilvl w:val="0"/>
          <w:numId w:val="11"/>
        </w:numPr>
        <w:tabs>
          <w:tab w:val="left" w:pos="567"/>
        </w:tabs>
        <w:spacing w:after="240"/>
        <w:ind w:left="567" w:hanging="567"/>
        <w:jc w:val="both"/>
      </w:pPr>
      <w:r w:rsidRPr="00ED0878">
        <w:t xml:space="preserve">the operations of the exchange in turn are supervised by government or other competent authority. </w:t>
      </w:r>
    </w:p>
    <w:p w14:paraId="47426F4E"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Limited risk transfer arrangements</w:t>
      </w:r>
    </w:p>
    <w:p w14:paraId="5AB4EAA9" w14:textId="77777777" w:rsidR="000F3CF8" w:rsidRDefault="000F3CF8" w:rsidP="00832CC3">
      <w:pPr>
        <w:pStyle w:val="Default"/>
        <w:spacing w:after="240"/>
        <w:jc w:val="both"/>
      </w:pPr>
      <w:r w:rsidRPr="00ED0878">
        <w:t xml:space="preserve">An insurer must submit to APRA details of all proposed limited risk transfer arrangements for approval prior to </w:t>
      </w:r>
      <w:proofErr w:type="gramStart"/>
      <w:r w:rsidRPr="00ED0878">
        <w:t>entering into</w:t>
      </w:r>
      <w:proofErr w:type="gramEnd"/>
      <w:r w:rsidRPr="00ED0878">
        <w:t xml:space="preserve"> such arrangements. APRA may approve a limited risk transfer arrangement as either a reinsurance arrangement or a financing arrangement. </w:t>
      </w:r>
    </w:p>
    <w:p w14:paraId="699B41BD" w14:textId="77777777" w:rsidR="000F3CF8" w:rsidRDefault="000F3CF8" w:rsidP="00832CC3">
      <w:pPr>
        <w:pStyle w:val="Default"/>
        <w:spacing w:after="240"/>
        <w:jc w:val="both"/>
      </w:pPr>
      <w:r w:rsidRPr="00ED0878">
        <w:t xml:space="preserve">APRA will generally consider a limited risk transfer arrangement to be a reinsurance arrangement where the purpose and effect of the arrangement is to genuinely transfer significant insurance risk from the insurer to another re(insurer). </w:t>
      </w:r>
    </w:p>
    <w:p w14:paraId="0435E287" w14:textId="77777777" w:rsidR="000F3CF8" w:rsidRDefault="000F3CF8" w:rsidP="00832CC3">
      <w:pPr>
        <w:pStyle w:val="Default"/>
        <w:spacing w:after="240"/>
        <w:jc w:val="both"/>
      </w:pPr>
      <w:r w:rsidRPr="00ED0878">
        <w:lastRenderedPageBreak/>
        <w:t xml:space="preserve">A limited risk transfer arrangement that is approved by APRA as a reinsurance arrangement must be treated accordingly by the insurer for prudential purposes. </w:t>
      </w:r>
    </w:p>
    <w:p w14:paraId="224019FB" w14:textId="77777777" w:rsidR="000F3CF8" w:rsidRDefault="000F3CF8" w:rsidP="00832CC3">
      <w:pPr>
        <w:pStyle w:val="Default"/>
        <w:spacing w:after="240"/>
        <w:jc w:val="both"/>
      </w:pPr>
      <w:r w:rsidRPr="00ED0878">
        <w:t xml:space="preserve">A limited risk transfer arrangement that is approved by APRA as a financing arrangement must be accounted for by the insurer so that: </w:t>
      </w:r>
    </w:p>
    <w:p w14:paraId="103169DC" w14:textId="77777777" w:rsidR="000F3CF8" w:rsidRDefault="000F3CF8" w:rsidP="00832CC3">
      <w:pPr>
        <w:pStyle w:val="Default"/>
        <w:numPr>
          <w:ilvl w:val="0"/>
          <w:numId w:val="12"/>
        </w:numPr>
        <w:tabs>
          <w:tab w:val="left" w:pos="567"/>
        </w:tabs>
        <w:spacing w:after="240"/>
        <w:ind w:left="567" w:hanging="567"/>
        <w:jc w:val="both"/>
      </w:pPr>
      <w:r w:rsidRPr="00ED0878">
        <w:t xml:space="preserve">the arrangement has a legitimate purpose and effect; and </w:t>
      </w:r>
    </w:p>
    <w:p w14:paraId="52B6CED3" w14:textId="42C7ED7B" w:rsidR="000F3CF8" w:rsidRDefault="000F3CF8" w:rsidP="00832CC3">
      <w:pPr>
        <w:pStyle w:val="Default"/>
        <w:numPr>
          <w:ilvl w:val="0"/>
          <w:numId w:val="12"/>
        </w:numPr>
        <w:tabs>
          <w:tab w:val="left" w:pos="567"/>
        </w:tabs>
        <w:spacing w:after="240"/>
        <w:ind w:left="567" w:hanging="567"/>
        <w:jc w:val="both"/>
      </w:pPr>
      <w:r w:rsidRPr="00ED0878">
        <w:t xml:space="preserve">the arrangement will not misrepresent, or is not designed to disguise, a material risk to the insurer’s current or continuing profitability, </w:t>
      </w:r>
      <w:proofErr w:type="gramStart"/>
      <w:r w:rsidRPr="00ED0878">
        <w:t>solvency</w:t>
      </w:r>
      <w:proofErr w:type="gramEnd"/>
      <w:r w:rsidRPr="00ED0878">
        <w:t xml:space="preserve"> or capital adequacy so as to mislead or be likely to mislead any party. </w:t>
      </w:r>
    </w:p>
    <w:p w14:paraId="4A294D71" w14:textId="77777777" w:rsidR="000F3CF8" w:rsidRDefault="000F3CF8" w:rsidP="00832CC3">
      <w:pPr>
        <w:pStyle w:val="Default"/>
        <w:spacing w:after="240"/>
        <w:jc w:val="both"/>
      </w:pPr>
      <w:r w:rsidRPr="00ED0878">
        <w:t xml:space="preserve">The terms and conditions of the financing arrangement will determine the appropriate accounting treatment for prudential purposes. </w:t>
      </w:r>
    </w:p>
    <w:p w14:paraId="2D8CCB42" w14:textId="77777777" w:rsidR="000F3CF8" w:rsidRDefault="000F3CF8" w:rsidP="00832CC3">
      <w:pPr>
        <w:pStyle w:val="Default"/>
        <w:spacing w:after="240"/>
        <w:jc w:val="both"/>
      </w:pPr>
      <w:r w:rsidRPr="00ED0878">
        <w:t>Where APRA determines that a limited risk transfer arrangement is to be treated as a financing arrangement, the insurer must not treat the arrangement as reinsurance for the purpose of determining the Prudential Capital Requirement under the Prudential Standards or as reinsurance for any other purpose.</w:t>
      </w:r>
    </w:p>
    <w:p w14:paraId="3D4A7F0A" w14:textId="77777777" w:rsidR="000F3CF8" w:rsidRDefault="000F3CF8" w:rsidP="00832CC3">
      <w:pPr>
        <w:pStyle w:val="ListParagraph"/>
        <w:numPr>
          <w:ilvl w:val="0"/>
          <w:numId w:val="13"/>
        </w:numPr>
        <w:tabs>
          <w:tab w:val="left" w:pos="709"/>
        </w:tabs>
        <w:spacing w:before="120" w:after="240"/>
        <w:ind w:left="567" w:hanging="567"/>
        <w:contextualSpacing w:val="0"/>
        <w:jc w:val="both"/>
        <w:rPr>
          <w:rFonts w:ascii="Arial" w:hAnsi="Arial" w:cs="Arial"/>
          <w:b/>
          <w:sz w:val="24"/>
          <w:szCs w:val="24"/>
        </w:rPr>
      </w:pPr>
      <w:r w:rsidRPr="00473B6E">
        <w:rPr>
          <w:rFonts w:ascii="Arial" w:hAnsi="Arial" w:cs="Arial"/>
          <w:b/>
          <w:sz w:val="24"/>
          <w:szCs w:val="24"/>
        </w:rPr>
        <w:t>Specific instructions for Level 2 groups</w:t>
      </w:r>
    </w:p>
    <w:p w14:paraId="6DF87042" w14:textId="77777777" w:rsidR="000F3CF8" w:rsidRDefault="000F3CF8" w:rsidP="00832CC3">
      <w:pPr>
        <w:spacing w:after="240"/>
        <w:ind w:left="709" w:hanging="709"/>
        <w:jc w:val="both"/>
        <w:rPr>
          <w:sz w:val="24"/>
          <w:szCs w:val="24"/>
        </w:rPr>
      </w:pPr>
      <w:r w:rsidRPr="00ED0878">
        <w:rPr>
          <w:sz w:val="24"/>
          <w:szCs w:val="24"/>
        </w:rPr>
        <w:t>This section is applicable to Level 2 groups only.</w:t>
      </w:r>
    </w:p>
    <w:p w14:paraId="6EF774B5" w14:textId="7D3C973D" w:rsidR="000F3CF8" w:rsidRDefault="000F3CF8" w:rsidP="00832CC3">
      <w:pPr>
        <w:pStyle w:val="Default"/>
        <w:numPr>
          <w:ilvl w:val="1"/>
          <w:numId w:val="13"/>
        </w:numPr>
        <w:spacing w:before="120" w:after="240"/>
        <w:ind w:left="709" w:hanging="709"/>
        <w:rPr>
          <w:rFonts w:ascii="Arial" w:hAnsi="Arial" w:cs="Arial"/>
          <w:b/>
        </w:rPr>
      </w:pPr>
      <w:r w:rsidRPr="00473B6E">
        <w:rPr>
          <w:rFonts w:ascii="Arial" w:hAnsi="Arial" w:cs="Arial"/>
          <w:b/>
        </w:rPr>
        <w:t xml:space="preserve">Completion of reporting </w:t>
      </w:r>
      <w:r w:rsidR="00B94BF8">
        <w:rPr>
          <w:rFonts w:ascii="Arial" w:hAnsi="Arial" w:cs="Arial"/>
          <w:b/>
        </w:rPr>
        <w:t>tables</w:t>
      </w:r>
    </w:p>
    <w:p w14:paraId="264530C7" w14:textId="3CBBCB24" w:rsidR="000F3CF8" w:rsidRDefault="000F3CF8" w:rsidP="00832CC3">
      <w:pPr>
        <w:spacing w:after="240"/>
        <w:jc w:val="both"/>
        <w:rPr>
          <w:sz w:val="24"/>
          <w:szCs w:val="24"/>
        </w:rPr>
      </w:pPr>
      <w:r w:rsidRPr="00ED0878">
        <w:rPr>
          <w:sz w:val="24"/>
          <w:szCs w:val="24"/>
        </w:rPr>
        <w:t xml:space="preserve">The reporting </w:t>
      </w:r>
      <w:r w:rsidR="00B94BF8">
        <w:rPr>
          <w:sz w:val="24"/>
          <w:szCs w:val="24"/>
        </w:rPr>
        <w:t>tables</w:t>
      </w:r>
      <w:r w:rsidR="00B94BF8" w:rsidRPr="00ED0878">
        <w:rPr>
          <w:sz w:val="24"/>
          <w:szCs w:val="24"/>
        </w:rPr>
        <w:t xml:space="preserve"> </w:t>
      </w:r>
      <w:r w:rsidRPr="00ED0878">
        <w:rPr>
          <w:sz w:val="24"/>
          <w:szCs w:val="24"/>
        </w:rPr>
        <w:t xml:space="preserve">for Level 2 insurance groups are to be completed by the parent entity of a Level 2 insurance group as defined under </w:t>
      </w:r>
      <w:r w:rsidRPr="005C04A8">
        <w:rPr>
          <w:i/>
          <w:sz w:val="24"/>
          <w:szCs w:val="24"/>
        </w:rPr>
        <w:t>Prudential Standard GPS 001 Definitions</w:t>
      </w:r>
      <w:r w:rsidRPr="00ED0878">
        <w:rPr>
          <w:sz w:val="24"/>
          <w:szCs w:val="24"/>
        </w:rPr>
        <w:t xml:space="preserve"> (GPS 001). Consolidation at Level 2 </w:t>
      </w:r>
      <w:r w:rsidR="008710CD">
        <w:rPr>
          <w:sz w:val="24"/>
          <w:szCs w:val="24"/>
        </w:rPr>
        <w:t xml:space="preserve">must </w:t>
      </w:r>
      <w:r w:rsidRPr="00ED0878">
        <w:rPr>
          <w:sz w:val="24"/>
          <w:szCs w:val="24"/>
        </w:rPr>
        <w:t>cover the Level 2 insurance group as defined under GPS 001.</w:t>
      </w:r>
    </w:p>
    <w:p w14:paraId="476D00DC"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 xml:space="preserve">Definition of ‘Australian Business’ and ‘International Business’ </w:t>
      </w:r>
    </w:p>
    <w:p w14:paraId="3BC6C519" w14:textId="77777777" w:rsidR="000F3CF8" w:rsidRDefault="000F3CF8" w:rsidP="00832CC3">
      <w:pPr>
        <w:spacing w:after="240"/>
        <w:jc w:val="both"/>
        <w:rPr>
          <w:sz w:val="24"/>
          <w:szCs w:val="24"/>
        </w:rPr>
      </w:pPr>
      <w:r w:rsidRPr="00ED0878">
        <w:rPr>
          <w:sz w:val="24"/>
          <w:szCs w:val="24"/>
        </w:rPr>
        <w:t>Level 2 groups are required to report financial data on both Australian and international exposures. ‘Australian Business’ is defined in GPS 001</w:t>
      </w:r>
      <w:r w:rsidRPr="00ED0878">
        <w:rPr>
          <w:i/>
          <w:sz w:val="24"/>
          <w:szCs w:val="24"/>
        </w:rPr>
        <w:t xml:space="preserve"> </w:t>
      </w:r>
      <w:r w:rsidRPr="00ED0878">
        <w:rPr>
          <w:sz w:val="24"/>
          <w:szCs w:val="24"/>
        </w:rPr>
        <w:t xml:space="preserve">and means insurance business carried on by any Level 1 insurer within a Level 2 group. </w:t>
      </w:r>
    </w:p>
    <w:p w14:paraId="53842D5E" w14:textId="0B6D08C9" w:rsidR="000F3CF8" w:rsidRDefault="000F3CF8" w:rsidP="00832CC3">
      <w:pPr>
        <w:spacing w:after="240"/>
        <w:jc w:val="both"/>
        <w:rPr>
          <w:sz w:val="24"/>
          <w:szCs w:val="24"/>
        </w:rPr>
      </w:pPr>
      <w:r w:rsidRPr="00ED0878">
        <w:rPr>
          <w:sz w:val="24"/>
          <w:szCs w:val="24"/>
        </w:rPr>
        <w:t xml:space="preserve">‘International Business’ is also defined in GPS 001 and means insurance business carried on by an entity within the group that is not authorised under the </w:t>
      </w:r>
      <w:r w:rsidR="00D800E7">
        <w:rPr>
          <w:sz w:val="24"/>
          <w:szCs w:val="24"/>
        </w:rPr>
        <w:t>Act</w:t>
      </w:r>
      <w:r w:rsidRPr="00ED0878">
        <w:rPr>
          <w:sz w:val="24"/>
          <w:szCs w:val="24"/>
        </w:rPr>
        <w:t xml:space="preserve">. Therefore, for the purposes of prudential reporting, all insurance business written by Level 1 insurers (as defined in GPS 001) is deemed to be Australian business. This treatment is different to the requirements of </w:t>
      </w:r>
      <w:r w:rsidRPr="0049013A">
        <w:rPr>
          <w:i/>
          <w:sz w:val="24"/>
          <w:szCs w:val="24"/>
        </w:rPr>
        <w:t xml:space="preserve">AASB </w:t>
      </w:r>
      <w:r w:rsidR="00D448EE" w:rsidRPr="0049013A">
        <w:rPr>
          <w:i/>
          <w:sz w:val="24"/>
          <w:szCs w:val="24"/>
        </w:rPr>
        <w:t>17</w:t>
      </w:r>
      <w:r w:rsidR="00D448EE" w:rsidRPr="00ED0878">
        <w:rPr>
          <w:sz w:val="24"/>
          <w:szCs w:val="24"/>
        </w:rPr>
        <w:t xml:space="preserve"> </w:t>
      </w:r>
      <w:r w:rsidR="001179D4" w:rsidRPr="006C51D4">
        <w:rPr>
          <w:i/>
          <w:sz w:val="24"/>
          <w:szCs w:val="24"/>
        </w:rPr>
        <w:t>Insurance Contracts</w:t>
      </w:r>
      <w:r w:rsidR="001179D4">
        <w:rPr>
          <w:sz w:val="24"/>
          <w:szCs w:val="24"/>
        </w:rPr>
        <w:t xml:space="preserve"> </w:t>
      </w:r>
      <w:r w:rsidRPr="00ED0878">
        <w:rPr>
          <w:sz w:val="24"/>
          <w:szCs w:val="24"/>
        </w:rPr>
        <w:t xml:space="preserve">and other Australian </w:t>
      </w:r>
      <w:r w:rsidR="000A0EBF">
        <w:rPr>
          <w:sz w:val="24"/>
          <w:szCs w:val="24"/>
        </w:rPr>
        <w:t>A</w:t>
      </w:r>
      <w:r w:rsidR="000A0EBF" w:rsidRPr="00ED0878">
        <w:rPr>
          <w:sz w:val="24"/>
          <w:szCs w:val="24"/>
        </w:rPr>
        <w:t xml:space="preserve">ccounting </w:t>
      </w:r>
      <w:r w:rsidR="000A0EBF">
        <w:rPr>
          <w:sz w:val="24"/>
          <w:szCs w:val="24"/>
        </w:rPr>
        <w:t>S</w:t>
      </w:r>
      <w:r w:rsidR="000A0EBF" w:rsidRPr="00ED0878">
        <w:rPr>
          <w:sz w:val="24"/>
          <w:szCs w:val="24"/>
        </w:rPr>
        <w:t>tandards</w:t>
      </w:r>
      <w:r w:rsidRPr="00ED0878">
        <w:rPr>
          <w:sz w:val="24"/>
          <w:szCs w:val="24"/>
        </w:rPr>
        <w:t>.</w:t>
      </w:r>
    </w:p>
    <w:p w14:paraId="10CD4E76" w14:textId="70F6BF4A" w:rsidR="000F3CF8" w:rsidRDefault="000F3CF8" w:rsidP="00832CC3">
      <w:pPr>
        <w:spacing w:after="240"/>
        <w:jc w:val="both"/>
        <w:rPr>
          <w:sz w:val="24"/>
          <w:szCs w:val="24"/>
        </w:rPr>
      </w:pPr>
      <w:r w:rsidRPr="00ED0878">
        <w:rPr>
          <w:sz w:val="24"/>
          <w:szCs w:val="24"/>
        </w:rPr>
        <w:t xml:space="preserve">For entities which are not insurers within the Level 2 group, items </w:t>
      </w:r>
      <w:r w:rsidR="008710CD">
        <w:rPr>
          <w:sz w:val="24"/>
          <w:szCs w:val="24"/>
        </w:rPr>
        <w:t>must</w:t>
      </w:r>
      <w:r w:rsidR="008710CD" w:rsidRPr="00ED0878">
        <w:rPr>
          <w:sz w:val="24"/>
          <w:szCs w:val="24"/>
        </w:rPr>
        <w:t xml:space="preserve"> </w:t>
      </w:r>
      <w:r w:rsidRPr="00ED0878">
        <w:rPr>
          <w:sz w:val="24"/>
          <w:szCs w:val="24"/>
        </w:rPr>
        <w:t xml:space="preserve">be reported as: </w:t>
      </w:r>
    </w:p>
    <w:p w14:paraId="2F47BA24" w14:textId="77777777" w:rsidR="000F3CF8" w:rsidRDefault="000F3CF8" w:rsidP="00832CC3">
      <w:pPr>
        <w:pStyle w:val="ListParagraph"/>
        <w:numPr>
          <w:ilvl w:val="0"/>
          <w:numId w:val="10"/>
        </w:numPr>
        <w:tabs>
          <w:tab w:val="left" w:pos="567"/>
        </w:tabs>
        <w:spacing w:after="240"/>
        <w:ind w:left="567" w:hanging="567"/>
        <w:contextualSpacing w:val="0"/>
        <w:jc w:val="both"/>
        <w:rPr>
          <w:sz w:val="24"/>
          <w:szCs w:val="24"/>
        </w:rPr>
      </w:pPr>
      <w:r w:rsidRPr="00ED0878">
        <w:rPr>
          <w:sz w:val="24"/>
          <w:szCs w:val="24"/>
        </w:rPr>
        <w:t xml:space="preserve">‘Australian Business’ when they relate to an entity incorporated in Australia; and </w:t>
      </w:r>
    </w:p>
    <w:p w14:paraId="6DBCD689" w14:textId="77777777" w:rsidR="000F3CF8" w:rsidRDefault="000F3CF8" w:rsidP="00832CC3">
      <w:pPr>
        <w:pStyle w:val="ListParagraph"/>
        <w:numPr>
          <w:ilvl w:val="0"/>
          <w:numId w:val="10"/>
        </w:numPr>
        <w:tabs>
          <w:tab w:val="left" w:pos="567"/>
        </w:tabs>
        <w:spacing w:after="240"/>
        <w:ind w:left="567" w:hanging="567"/>
        <w:contextualSpacing w:val="0"/>
        <w:jc w:val="both"/>
        <w:rPr>
          <w:sz w:val="24"/>
          <w:szCs w:val="24"/>
        </w:rPr>
      </w:pPr>
      <w:r w:rsidRPr="00ED0878">
        <w:rPr>
          <w:sz w:val="24"/>
          <w:szCs w:val="24"/>
        </w:rPr>
        <w:t xml:space="preserve">The international region that most appropriately reflects the business and / or operational segments of the group, when they relate to an entity incorporated outside of Australia. </w:t>
      </w:r>
    </w:p>
    <w:p w14:paraId="007F2F59" w14:textId="17DF6FE2" w:rsidR="000F3CF8" w:rsidRDefault="000F3CF8" w:rsidP="00832CC3">
      <w:pPr>
        <w:spacing w:after="240"/>
        <w:jc w:val="both"/>
        <w:rPr>
          <w:sz w:val="24"/>
          <w:szCs w:val="24"/>
        </w:rPr>
      </w:pPr>
      <w:r w:rsidRPr="00ED0878">
        <w:rPr>
          <w:sz w:val="24"/>
          <w:szCs w:val="24"/>
        </w:rPr>
        <w:t xml:space="preserve">Level 2 groups may apply to APRA to be exempt from having to report international business according to the format specified in some reporting </w:t>
      </w:r>
      <w:r w:rsidR="00D448EE">
        <w:rPr>
          <w:sz w:val="24"/>
          <w:szCs w:val="24"/>
        </w:rPr>
        <w:t>tables</w:t>
      </w:r>
      <w:r w:rsidRPr="00ED0878">
        <w:rPr>
          <w:sz w:val="24"/>
          <w:szCs w:val="24"/>
        </w:rPr>
        <w:t xml:space="preserve">. This exemption, however, will be </w:t>
      </w:r>
      <w:r w:rsidRPr="00ED0878">
        <w:rPr>
          <w:sz w:val="24"/>
          <w:szCs w:val="24"/>
        </w:rPr>
        <w:lastRenderedPageBreak/>
        <w:t>subject to the group providing information to APRA in another suitable and agreed upon format.</w:t>
      </w:r>
    </w:p>
    <w:p w14:paraId="2A481A43" w14:textId="77777777" w:rsidR="000F3CF8" w:rsidRDefault="000F3CF8" w:rsidP="00832CC3">
      <w:pPr>
        <w:pStyle w:val="ListParagraph"/>
        <w:keepNext/>
        <w:numPr>
          <w:ilvl w:val="2"/>
          <w:numId w:val="13"/>
        </w:numPr>
        <w:spacing w:before="120" w:after="240"/>
        <w:ind w:left="851" w:hanging="851"/>
        <w:contextualSpacing w:val="0"/>
        <w:jc w:val="both"/>
        <w:rPr>
          <w:rFonts w:ascii="Arial" w:hAnsi="Arial" w:cs="Arial"/>
          <w:b/>
          <w:sz w:val="24"/>
          <w:szCs w:val="24"/>
        </w:rPr>
      </w:pPr>
      <w:r w:rsidRPr="00ED0878">
        <w:rPr>
          <w:rFonts w:ascii="Arial" w:hAnsi="Arial" w:cs="Arial"/>
          <w:b/>
          <w:sz w:val="24"/>
          <w:szCs w:val="24"/>
        </w:rPr>
        <w:t>Australian business</w:t>
      </w:r>
    </w:p>
    <w:p w14:paraId="2B244745" w14:textId="77777777" w:rsidR="000F3CF8" w:rsidRDefault="000F3CF8" w:rsidP="00832CC3">
      <w:pPr>
        <w:keepNext/>
        <w:spacing w:after="240"/>
        <w:jc w:val="both"/>
        <w:rPr>
          <w:sz w:val="24"/>
          <w:szCs w:val="24"/>
        </w:rPr>
      </w:pPr>
      <w:r w:rsidRPr="00ED0878">
        <w:rPr>
          <w:sz w:val="24"/>
          <w:szCs w:val="24"/>
        </w:rPr>
        <w:t xml:space="preserve">Australian business of a Level 2 group is as per the definition in GPS 001. </w:t>
      </w:r>
    </w:p>
    <w:p w14:paraId="29CEF99F" w14:textId="77777777" w:rsidR="000F3CF8" w:rsidRDefault="000F3CF8" w:rsidP="00832CC3">
      <w:pPr>
        <w:pStyle w:val="ListParagraph"/>
        <w:numPr>
          <w:ilvl w:val="2"/>
          <w:numId w:val="13"/>
        </w:numPr>
        <w:spacing w:before="120" w:after="240"/>
        <w:ind w:left="851" w:hanging="851"/>
        <w:contextualSpacing w:val="0"/>
        <w:jc w:val="both"/>
        <w:rPr>
          <w:rFonts w:ascii="Arial" w:hAnsi="Arial" w:cs="Arial"/>
          <w:b/>
          <w:sz w:val="24"/>
          <w:szCs w:val="24"/>
        </w:rPr>
      </w:pPr>
      <w:r w:rsidRPr="00473B6E">
        <w:rPr>
          <w:rFonts w:ascii="Arial" w:hAnsi="Arial" w:cs="Arial"/>
          <w:b/>
          <w:sz w:val="24"/>
          <w:szCs w:val="24"/>
        </w:rPr>
        <w:t>International business</w:t>
      </w:r>
    </w:p>
    <w:p w14:paraId="044B18E7" w14:textId="77777777" w:rsidR="000F3CF8" w:rsidRDefault="000F3CF8" w:rsidP="00832CC3">
      <w:pPr>
        <w:spacing w:after="240"/>
        <w:jc w:val="both"/>
        <w:rPr>
          <w:sz w:val="24"/>
          <w:szCs w:val="24"/>
        </w:rPr>
      </w:pPr>
      <w:r w:rsidRPr="00ED0878">
        <w:rPr>
          <w:sz w:val="24"/>
          <w:szCs w:val="24"/>
        </w:rPr>
        <w:t>For the international operations of a Level 2 group, only report insurance business deemed to be general insurance business</w:t>
      </w:r>
      <w:r w:rsidRPr="00ED0878">
        <w:rPr>
          <w:rStyle w:val="FootnoteReference"/>
          <w:sz w:val="24"/>
          <w:szCs w:val="24"/>
        </w:rPr>
        <w:footnoteReference w:id="2"/>
      </w:r>
      <w:r w:rsidRPr="00ED0878">
        <w:rPr>
          <w:sz w:val="24"/>
          <w:szCs w:val="24"/>
        </w:rPr>
        <w:t xml:space="preserve">.  </w:t>
      </w:r>
    </w:p>
    <w:p w14:paraId="5007005D" w14:textId="70D0ACA2" w:rsidR="000F3CF8" w:rsidRDefault="000F3CF8" w:rsidP="00832CC3">
      <w:pPr>
        <w:spacing w:after="240"/>
        <w:jc w:val="both"/>
        <w:rPr>
          <w:sz w:val="24"/>
          <w:szCs w:val="24"/>
        </w:rPr>
      </w:pPr>
      <w:r w:rsidRPr="00ED0878">
        <w:rPr>
          <w:sz w:val="24"/>
          <w:szCs w:val="24"/>
        </w:rPr>
        <w:t xml:space="preserve">International business is to be reported according to the following geographical regions and these regions </w:t>
      </w:r>
      <w:r w:rsidR="008710CD">
        <w:rPr>
          <w:sz w:val="24"/>
          <w:szCs w:val="24"/>
        </w:rPr>
        <w:t xml:space="preserve">must </w:t>
      </w:r>
      <w:r w:rsidRPr="00ED0878">
        <w:rPr>
          <w:sz w:val="24"/>
          <w:szCs w:val="24"/>
        </w:rPr>
        <w:t xml:space="preserve">be defined consistently across all the Level 2 reporting </w:t>
      </w:r>
      <w:r w:rsidR="00D448EE">
        <w:rPr>
          <w:sz w:val="24"/>
          <w:szCs w:val="24"/>
        </w:rPr>
        <w:t>tables</w:t>
      </w:r>
      <w:r w:rsidR="00D448EE" w:rsidRPr="00ED0878">
        <w:rPr>
          <w:sz w:val="24"/>
          <w:szCs w:val="24"/>
        </w:rPr>
        <w:t xml:space="preserve"> </w:t>
      </w:r>
      <w:r w:rsidRPr="00ED0878">
        <w:rPr>
          <w:sz w:val="24"/>
          <w:szCs w:val="24"/>
        </w:rPr>
        <w:t>that require data to be split by international region:</w:t>
      </w:r>
    </w:p>
    <w:p w14:paraId="37A5D8F3" w14:textId="77777777" w:rsidR="000F3CF8" w:rsidRDefault="000F3CF8" w:rsidP="00832CC3">
      <w:pPr>
        <w:pStyle w:val="Default"/>
        <w:numPr>
          <w:ilvl w:val="2"/>
          <w:numId w:val="15"/>
        </w:numPr>
        <w:tabs>
          <w:tab w:val="left" w:pos="567"/>
        </w:tabs>
        <w:spacing w:after="240"/>
        <w:ind w:left="567" w:hanging="567"/>
        <w:jc w:val="both"/>
      </w:pPr>
      <w:r w:rsidRPr="00ED0878">
        <w:t xml:space="preserve">New </w:t>
      </w:r>
      <w:proofErr w:type="gramStart"/>
      <w:r w:rsidRPr="00ED0878">
        <w:t>Zealand;</w:t>
      </w:r>
      <w:proofErr w:type="gramEnd"/>
      <w:r w:rsidRPr="00ED0878">
        <w:t xml:space="preserve"> </w:t>
      </w:r>
    </w:p>
    <w:p w14:paraId="7080A64F" w14:textId="77777777" w:rsidR="000F3CF8" w:rsidRDefault="000F3CF8" w:rsidP="00832CC3">
      <w:pPr>
        <w:pStyle w:val="Default"/>
        <w:numPr>
          <w:ilvl w:val="2"/>
          <w:numId w:val="15"/>
        </w:numPr>
        <w:tabs>
          <w:tab w:val="left" w:pos="567"/>
        </w:tabs>
        <w:spacing w:after="240"/>
        <w:ind w:left="567" w:hanging="567"/>
        <w:jc w:val="both"/>
      </w:pPr>
      <w:proofErr w:type="gramStart"/>
      <w:r w:rsidRPr="00ED0878">
        <w:t>South East</w:t>
      </w:r>
      <w:proofErr w:type="gramEnd"/>
      <w:r w:rsidRPr="00ED0878">
        <w:t xml:space="preserve"> Asia; </w:t>
      </w:r>
    </w:p>
    <w:p w14:paraId="12792235" w14:textId="77777777" w:rsidR="000F3CF8" w:rsidRDefault="000F3CF8" w:rsidP="00832CC3">
      <w:pPr>
        <w:pStyle w:val="Default"/>
        <w:numPr>
          <w:ilvl w:val="2"/>
          <w:numId w:val="15"/>
        </w:numPr>
        <w:tabs>
          <w:tab w:val="left" w:pos="567"/>
        </w:tabs>
        <w:spacing w:after="240"/>
        <w:ind w:left="567" w:hanging="567"/>
        <w:jc w:val="both"/>
      </w:pPr>
      <w:r w:rsidRPr="00ED0878">
        <w:t xml:space="preserve">Asia </w:t>
      </w:r>
      <w:proofErr w:type="gramStart"/>
      <w:r w:rsidRPr="00ED0878">
        <w:t>Pacific;</w:t>
      </w:r>
      <w:proofErr w:type="gramEnd"/>
      <w:r w:rsidRPr="00ED0878">
        <w:t xml:space="preserve"> </w:t>
      </w:r>
    </w:p>
    <w:p w14:paraId="4C220852" w14:textId="77777777" w:rsidR="000F3CF8" w:rsidRDefault="000F3CF8" w:rsidP="00832CC3">
      <w:pPr>
        <w:pStyle w:val="Default"/>
        <w:numPr>
          <w:ilvl w:val="2"/>
          <w:numId w:val="15"/>
        </w:numPr>
        <w:tabs>
          <w:tab w:val="left" w:pos="567"/>
        </w:tabs>
        <w:spacing w:after="240"/>
        <w:ind w:left="567" w:hanging="567"/>
        <w:jc w:val="both"/>
      </w:pPr>
      <w:proofErr w:type="gramStart"/>
      <w:r w:rsidRPr="00ED0878">
        <w:t>USA;</w:t>
      </w:r>
      <w:proofErr w:type="gramEnd"/>
      <w:r w:rsidRPr="00ED0878">
        <w:t xml:space="preserve"> </w:t>
      </w:r>
    </w:p>
    <w:p w14:paraId="50A60D0D" w14:textId="77777777" w:rsidR="000F3CF8" w:rsidRDefault="000F3CF8" w:rsidP="00832CC3">
      <w:pPr>
        <w:pStyle w:val="Default"/>
        <w:numPr>
          <w:ilvl w:val="2"/>
          <w:numId w:val="15"/>
        </w:numPr>
        <w:tabs>
          <w:tab w:val="left" w:pos="567"/>
        </w:tabs>
        <w:spacing w:after="240"/>
        <w:ind w:left="567" w:hanging="567"/>
        <w:jc w:val="both"/>
      </w:pPr>
      <w:proofErr w:type="gramStart"/>
      <w:r w:rsidRPr="00ED0878">
        <w:t>Americas;</w:t>
      </w:r>
      <w:proofErr w:type="gramEnd"/>
      <w:r w:rsidRPr="00ED0878">
        <w:t xml:space="preserve"> </w:t>
      </w:r>
    </w:p>
    <w:p w14:paraId="0D4F8EB5" w14:textId="77777777" w:rsidR="000F3CF8" w:rsidRDefault="000F3CF8" w:rsidP="00832CC3">
      <w:pPr>
        <w:pStyle w:val="Default"/>
        <w:numPr>
          <w:ilvl w:val="2"/>
          <w:numId w:val="15"/>
        </w:numPr>
        <w:tabs>
          <w:tab w:val="left" w:pos="567"/>
        </w:tabs>
        <w:spacing w:after="240"/>
        <w:ind w:left="567" w:hanging="567"/>
        <w:jc w:val="both"/>
      </w:pPr>
      <w:r w:rsidRPr="00ED0878">
        <w:t xml:space="preserve">UK/Europe; and </w:t>
      </w:r>
    </w:p>
    <w:p w14:paraId="40226735" w14:textId="77777777" w:rsidR="000F3CF8" w:rsidRDefault="000F3CF8" w:rsidP="00832CC3">
      <w:pPr>
        <w:pStyle w:val="Default"/>
        <w:numPr>
          <w:ilvl w:val="2"/>
          <w:numId w:val="15"/>
        </w:numPr>
        <w:tabs>
          <w:tab w:val="left" w:pos="567"/>
        </w:tabs>
        <w:spacing w:after="240"/>
        <w:ind w:left="567" w:hanging="567"/>
        <w:jc w:val="both"/>
      </w:pPr>
      <w:r w:rsidRPr="00ED0878">
        <w:t xml:space="preserve">Other. </w:t>
      </w:r>
    </w:p>
    <w:p w14:paraId="02DE319A" w14:textId="107BAC81" w:rsidR="000F3CF8" w:rsidRDefault="000F3CF8" w:rsidP="00832CC3">
      <w:pPr>
        <w:spacing w:after="240"/>
        <w:jc w:val="both"/>
        <w:rPr>
          <w:sz w:val="24"/>
          <w:szCs w:val="24"/>
        </w:rPr>
      </w:pPr>
      <w:r w:rsidRPr="00ED0878">
        <w:rPr>
          <w:sz w:val="24"/>
          <w:szCs w:val="24"/>
        </w:rPr>
        <w:t xml:space="preserve">Amounts reported for Australia and other regions </w:t>
      </w:r>
      <w:r w:rsidR="008710CD">
        <w:rPr>
          <w:sz w:val="24"/>
          <w:szCs w:val="24"/>
        </w:rPr>
        <w:t>must</w:t>
      </w:r>
      <w:r w:rsidR="008710CD" w:rsidRPr="00ED0878">
        <w:rPr>
          <w:sz w:val="24"/>
          <w:szCs w:val="24"/>
        </w:rPr>
        <w:t xml:space="preserve"> </w:t>
      </w:r>
      <w:r w:rsidRPr="00ED0878">
        <w:rPr>
          <w:sz w:val="24"/>
          <w:szCs w:val="24"/>
        </w:rPr>
        <w:t xml:space="preserve">be reported on the basis that these entities (or regions) are separate from the group before consolidation. </w:t>
      </w:r>
    </w:p>
    <w:p w14:paraId="21219027" w14:textId="739588D5" w:rsidR="000F3CF8" w:rsidRDefault="000F3CF8" w:rsidP="00832CC3">
      <w:pPr>
        <w:spacing w:after="240"/>
        <w:jc w:val="both"/>
        <w:rPr>
          <w:sz w:val="24"/>
          <w:szCs w:val="24"/>
        </w:rPr>
      </w:pPr>
      <w:r w:rsidRPr="00ED0878">
        <w:rPr>
          <w:sz w:val="24"/>
          <w:szCs w:val="24"/>
        </w:rPr>
        <w:t xml:space="preserve">Once regions are defined, they </w:t>
      </w:r>
      <w:r w:rsidR="008710CD">
        <w:rPr>
          <w:sz w:val="24"/>
          <w:szCs w:val="24"/>
        </w:rPr>
        <w:t>must</w:t>
      </w:r>
      <w:r w:rsidR="008710CD" w:rsidRPr="00ED0878">
        <w:rPr>
          <w:sz w:val="24"/>
          <w:szCs w:val="24"/>
        </w:rPr>
        <w:t xml:space="preserve"> </w:t>
      </w:r>
      <w:r w:rsidRPr="00ED0878">
        <w:rPr>
          <w:sz w:val="24"/>
          <w:szCs w:val="24"/>
        </w:rPr>
        <w:t xml:space="preserve">generally be maintained thereafter for consistency. However, this does not prevent the Level 2 group from altering its reporting regions where necessary, provided APRA is notified of any change. </w:t>
      </w:r>
    </w:p>
    <w:p w14:paraId="1FA3EC48" w14:textId="77777777" w:rsidR="000F3CF8" w:rsidRDefault="000F3CF8" w:rsidP="00832CC3">
      <w:pPr>
        <w:pStyle w:val="ListParagraph"/>
        <w:numPr>
          <w:ilvl w:val="2"/>
          <w:numId w:val="13"/>
        </w:numPr>
        <w:spacing w:before="120" w:after="240"/>
        <w:ind w:left="851" w:hanging="851"/>
        <w:contextualSpacing w:val="0"/>
        <w:jc w:val="both"/>
        <w:rPr>
          <w:rFonts w:ascii="Arial" w:hAnsi="Arial" w:cs="Arial"/>
          <w:b/>
          <w:sz w:val="24"/>
          <w:szCs w:val="24"/>
        </w:rPr>
      </w:pPr>
      <w:r w:rsidRPr="00473B6E">
        <w:rPr>
          <w:rFonts w:ascii="Arial" w:hAnsi="Arial" w:cs="Arial"/>
          <w:b/>
          <w:sz w:val="24"/>
          <w:szCs w:val="24"/>
        </w:rPr>
        <w:t>Inter-region eliminations</w:t>
      </w:r>
    </w:p>
    <w:p w14:paraId="6EAC54E7" w14:textId="698F7B95" w:rsidR="000F3CF8" w:rsidRDefault="000F3CF8" w:rsidP="00832CC3">
      <w:pPr>
        <w:spacing w:after="240"/>
        <w:jc w:val="both"/>
        <w:rPr>
          <w:sz w:val="24"/>
          <w:szCs w:val="24"/>
        </w:rPr>
      </w:pPr>
      <w:r w:rsidRPr="00ED0878">
        <w:rPr>
          <w:sz w:val="24"/>
          <w:szCs w:val="24"/>
        </w:rPr>
        <w:t xml:space="preserve">The value of inter-region transactions, which are eliminated on consolidation, need to be reported under ‘Inter-region elimination’. </w:t>
      </w:r>
      <w:r w:rsidR="002C2C07">
        <w:rPr>
          <w:sz w:val="24"/>
          <w:szCs w:val="24"/>
        </w:rPr>
        <w:t xml:space="preserve">These </w:t>
      </w:r>
      <w:r w:rsidR="002C2C07" w:rsidRPr="002C2C07">
        <w:rPr>
          <w:sz w:val="24"/>
          <w:szCs w:val="24"/>
        </w:rPr>
        <w:t>transactions must be removed to eliminate double counting</w:t>
      </w:r>
      <w:r w:rsidR="002C2C07">
        <w:rPr>
          <w:sz w:val="24"/>
          <w:szCs w:val="24"/>
        </w:rPr>
        <w:t>.</w:t>
      </w:r>
    </w:p>
    <w:p w14:paraId="528ACB2C"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bCs/>
          <w:color w:val="000000"/>
          <w:sz w:val="24"/>
          <w:szCs w:val="24"/>
        </w:rPr>
        <w:t xml:space="preserve">Measurement of assets </w:t>
      </w:r>
    </w:p>
    <w:p w14:paraId="31A14A43" w14:textId="7CC38523" w:rsidR="000F3CF8" w:rsidRDefault="000F3CF8" w:rsidP="00832CC3">
      <w:pPr>
        <w:autoSpaceDE w:val="0"/>
        <w:autoSpaceDN w:val="0"/>
        <w:adjustRightInd w:val="0"/>
        <w:spacing w:after="240"/>
        <w:jc w:val="both"/>
        <w:rPr>
          <w:color w:val="000000"/>
          <w:sz w:val="24"/>
          <w:szCs w:val="24"/>
        </w:rPr>
      </w:pPr>
      <w:r w:rsidRPr="00ED0878">
        <w:rPr>
          <w:color w:val="000000"/>
          <w:sz w:val="24"/>
          <w:szCs w:val="24"/>
        </w:rPr>
        <w:t xml:space="preserve">The measurement of assets is </w:t>
      </w:r>
      <w:r w:rsidR="00F412B5">
        <w:rPr>
          <w:color w:val="000000"/>
          <w:sz w:val="24"/>
          <w:szCs w:val="24"/>
        </w:rPr>
        <w:t>in accordance with the requirements in</w:t>
      </w:r>
      <w:r w:rsidRPr="00ED0878">
        <w:rPr>
          <w:color w:val="000000"/>
          <w:sz w:val="24"/>
          <w:szCs w:val="24"/>
        </w:rPr>
        <w:t xml:space="preserve"> AASB </w:t>
      </w:r>
      <w:r w:rsidR="002611D8">
        <w:rPr>
          <w:color w:val="000000"/>
          <w:sz w:val="24"/>
          <w:szCs w:val="24"/>
        </w:rPr>
        <w:t>17</w:t>
      </w:r>
      <w:r w:rsidR="00025307">
        <w:rPr>
          <w:color w:val="000000"/>
          <w:sz w:val="24"/>
          <w:szCs w:val="24"/>
        </w:rPr>
        <w:t>, AASB 13</w:t>
      </w:r>
      <w:r w:rsidR="002611D8">
        <w:rPr>
          <w:color w:val="000000"/>
          <w:sz w:val="24"/>
          <w:szCs w:val="24"/>
        </w:rPr>
        <w:t xml:space="preserve"> </w:t>
      </w:r>
      <w:r w:rsidRPr="00ED0878">
        <w:rPr>
          <w:color w:val="000000"/>
          <w:sz w:val="24"/>
          <w:szCs w:val="24"/>
        </w:rPr>
        <w:t>and other</w:t>
      </w:r>
      <w:r w:rsidR="00F412B5">
        <w:rPr>
          <w:color w:val="000000"/>
          <w:sz w:val="24"/>
          <w:szCs w:val="24"/>
        </w:rPr>
        <w:t xml:space="preserve"> relevant</w:t>
      </w:r>
      <w:r w:rsidRPr="00ED0878">
        <w:rPr>
          <w:color w:val="000000"/>
          <w:sz w:val="24"/>
          <w:szCs w:val="24"/>
        </w:rPr>
        <w:t xml:space="preserve"> </w:t>
      </w:r>
      <w:r w:rsidR="0000369E">
        <w:rPr>
          <w:color w:val="000000"/>
          <w:sz w:val="24"/>
          <w:szCs w:val="24"/>
        </w:rPr>
        <w:t>Australian Accounting Standards</w:t>
      </w:r>
      <w:r w:rsidRPr="00ED0878">
        <w:rPr>
          <w:color w:val="000000"/>
          <w:sz w:val="24"/>
          <w:szCs w:val="24"/>
        </w:rPr>
        <w:t xml:space="preserve">. For Level 1 insurers, APRA requires that </w:t>
      </w:r>
      <w:r w:rsidR="00A074BE">
        <w:rPr>
          <w:color w:val="000000"/>
          <w:sz w:val="24"/>
          <w:szCs w:val="24"/>
        </w:rPr>
        <w:t xml:space="preserve">assets classified as </w:t>
      </w:r>
      <w:r w:rsidRPr="00ED0878">
        <w:rPr>
          <w:color w:val="000000"/>
          <w:sz w:val="24"/>
          <w:szCs w:val="24"/>
        </w:rPr>
        <w:t>assets backing insurance liabilities</w:t>
      </w:r>
      <w:r w:rsidR="00A074BE">
        <w:rPr>
          <w:color w:val="000000"/>
          <w:sz w:val="24"/>
          <w:szCs w:val="24"/>
        </w:rPr>
        <w:t xml:space="preserve"> for statutory reporting purposes</w:t>
      </w:r>
      <w:r w:rsidRPr="00ED0878">
        <w:rPr>
          <w:color w:val="000000"/>
          <w:sz w:val="24"/>
          <w:szCs w:val="24"/>
        </w:rPr>
        <w:t xml:space="preserve"> must be measured at fair value for regulatory reporting pur</w:t>
      </w:r>
      <w:r w:rsidRPr="005C4E22">
        <w:rPr>
          <w:color w:val="000000"/>
          <w:sz w:val="24"/>
          <w:szCs w:val="24"/>
        </w:rPr>
        <w:t>poses</w:t>
      </w:r>
      <w:r w:rsidR="002611D8" w:rsidRPr="005C4E22">
        <w:rPr>
          <w:color w:val="000000"/>
          <w:sz w:val="24"/>
          <w:szCs w:val="24"/>
        </w:rPr>
        <w:t xml:space="preserve"> as per the requirements of GPS 112</w:t>
      </w:r>
      <w:r w:rsidRPr="005C4E22">
        <w:rPr>
          <w:color w:val="000000"/>
          <w:sz w:val="24"/>
          <w:szCs w:val="24"/>
        </w:rPr>
        <w:t>.</w:t>
      </w:r>
      <w:r w:rsidRPr="00ED0878">
        <w:rPr>
          <w:color w:val="000000"/>
          <w:sz w:val="24"/>
          <w:szCs w:val="24"/>
        </w:rPr>
        <w:t xml:space="preserve"> </w:t>
      </w:r>
    </w:p>
    <w:p w14:paraId="13AAC475" w14:textId="77777777" w:rsidR="000F3CF8" w:rsidRDefault="000F3CF8" w:rsidP="00832CC3">
      <w:pPr>
        <w:autoSpaceDE w:val="0"/>
        <w:autoSpaceDN w:val="0"/>
        <w:adjustRightInd w:val="0"/>
        <w:spacing w:after="240"/>
        <w:jc w:val="both"/>
        <w:rPr>
          <w:color w:val="000000"/>
          <w:sz w:val="24"/>
          <w:szCs w:val="24"/>
        </w:rPr>
      </w:pPr>
      <w:r w:rsidRPr="00ED0878">
        <w:rPr>
          <w:color w:val="000000"/>
          <w:sz w:val="24"/>
          <w:szCs w:val="24"/>
        </w:rPr>
        <w:lastRenderedPageBreak/>
        <w:t>Unlike for Level 1 insurers, APRA will accept the notion of assets backing insurance liabilities for the Level 2 group, provided these assets represent all assets controlled and managed by the group to support insurance liabilities. Investments backing general insurance liabilities must be measured at fair value.</w:t>
      </w:r>
    </w:p>
    <w:p w14:paraId="193F875C" w14:textId="77777777" w:rsidR="000F3CF8" w:rsidRDefault="000F3CF8" w:rsidP="00832CC3">
      <w:pPr>
        <w:pStyle w:val="ListParagraph"/>
        <w:numPr>
          <w:ilvl w:val="1"/>
          <w:numId w:val="13"/>
        </w:numPr>
        <w:spacing w:before="120" w:after="240"/>
        <w:ind w:left="709" w:hanging="709"/>
        <w:contextualSpacing w:val="0"/>
        <w:jc w:val="both"/>
        <w:rPr>
          <w:rFonts w:ascii="Arial" w:hAnsi="Arial" w:cs="Arial"/>
          <w:b/>
          <w:sz w:val="24"/>
          <w:szCs w:val="24"/>
        </w:rPr>
      </w:pPr>
      <w:r w:rsidRPr="00473B6E">
        <w:rPr>
          <w:rFonts w:ascii="Arial" w:hAnsi="Arial" w:cs="Arial"/>
          <w:b/>
          <w:sz w:val="24"/>
          <w:szCs w:val="24"/>
        </w:rPr>
        <w:t>Reporting Supplement</w:t>
      </w:r>
    </w:p>
    <w:p w14:paraId="35389982" w14:textId="73D77DEE" w:rsidR="000F3CF8" w:rsidRPr="008A5868" w:rsidRDefault="000F3CF8" w:rsidP="00832CC3">
      <w:pPr>
        <w:spacing w:after="240"/>
        <w:jc w:val="both"/>
        <w:rPr>
          <w:sz w:val="24"/>
          <w:szCs w:val="24"/>
        </w:rPr>
      </w:pPr>
      <w:r w:rsidRPr="00ED0878">
        <w:rPr>
          <w:color w:val="000000"/>
          <w:sz w:val="24"/>
          <w:szCs w:val="24"/>
        </w:rPr>
        <w:t xml:space="preserve">Level 2 groups are currently required to submit separate information to APRA as supporting </w:t>
      </w:r>
      <w:r w:rsidRPr="008A5868">
        <w:rPr>
          <w:sz w:val="24"/>
          <w:szCs w:val="24"/>
        </w:rPr>
        <w:t xml:space="preserve">documentation for completing the reporting </w:t>
      </w:r>
      <w:r w:rsidR="002611D8" w:rsidRPr="008A5868">
        <w:rPr>
          <w:sz w:val="24"/>
          <w:szCs w:val="24"/>
        </w:rPr>
        <w:t>tables</w:t>
      </w:r>
      <w:r w:rsidRPr="008A5868">
        <w:rPr>
          <w:sz w:val="24"/>
          <w:szCs w:val="24"/>
        </w:rPr>
        <w:t>. These reporting supplements will continue to be required to be submitted to the Level 2 group’s APRA Responsible Supervisor</w:t>
      </w:r>
      <w:r w:rsidRPr="00ED0878">
        <w:rPr>
          <w:sz w:val="24"/>
          <w:szCs w:val="24"/>
        </w:rPr>
        <w:t>.</w:t>
      </w:r>
    </w:p>
    <w:p w14:paraId="0BA83DD7" w14:textId="33D25FF6" w:rsidR="00D87B26" w:rsidRDefault="00D87B26" w:rsidP="00832CC3">
      <w:pPr>
        <w:pStyle w:val="ListParagraph"/>
        <w:numPr>
          <w:ilvl w:val="0"/>
          <w:numId w:val="13"/>
        </w:numPr>
        <w:tabs>
          <w:tab w:val="left" w:pos="709"/>
        </w:tabs>
        <w:spacing w:before="120" w:after="240"/>
        <w:ind w:left="993" w:hanging="993"/>
        <w:contextualSpacing w:val="0"/>
        <w:jc w:val="both"/>
        <w:rPr>
          <w:rFonts w:ascii="Arial" w:hAnsi="Arial" w:cs="Arial"/>
          <w:b/>
          <w:sz w:val="24"/>
          <w:szCs w:val="24"/>
        </w:rPr>
      </w:pPr>
      <w:r>
        <w:rPr>
          <w:rFonts w:ascii="Arial" w:hAnsi="Arial" w:cs="Arial"/>
          <w:b/>
          <w:sz w:val="24"/>
          <w:szCs w:val="24"/>
        </w:rPr>
        <w:t>Allocation principles</w:t>
      </w:r>
    </w:p>
    <w:p w14:paraId="01042BCF" w14:textId="2E5C11AA" w:rsidR="001A28CE" w:rsidRPr="008A5868" w:rsidRDefault="001A28CE" w:rsidP="00832CC3">
      <w:pPr>
        <w:spacing w:after="240"/>
        <w:jc w:val="both"/>
        <w:rPr>
          <w:sz w:val="24"/>
          <w:szCs w:val="24"/>
        </w:rPr>
      </w:pPr>
      <w:r w:rsidRPr="008A5868">
        <w:rPr>
          <w:sz w:val="24"/>
          <w:szCs w:val="24"/>
        </w:rPr>
        <w:t>General insurers are to apply the allocation principles (outlined below) to allocate AASB 17 numbers to APRA classes of business where it is not possible to clearly identify AASB 17 numbers and assign it to specific APRA classes of business.</w:t>
      </w:r>
    </w:p>
    <w:p w14:paraId="7D3C8EBC" w14:textId="27B0AE7D" w:rsidR="004E5207" w:rsidRPr="004E5207" w:rsidRDefault="004E5207" w:rsidP="00832CC3">
      <w:pPr>
        <w:pStyle w:val="Default"/>
        <w:numPr>
          <w:ilvl w:val="2"/>
          <w:numId w:val="15"/>
        </w:numPr>
        <w:tabs>
          <w:tab w:val="left" w:pos="567"/>
        </w:tabs>
        <w:spacing w:after="240"/>
        <w:ind w:left="567" w:hanging="567"/>
        <w:jc w:val="both"/>
      </w:pPr>
      <w:r w:rsidRPr="00321554">
        <w:t>Principle 1:</w:t>
      </w:r>
      <w:r w:rsidRPr="004E5207">
        <w:t xml:space="preserve"> To the extent that AASB 17 balance sheet and income statement items can</w:t>
      </w:r>
      <w:r>
        <w:t xml:space="preserve"> </w:t>
      </w:r>
      <w:r w:rsidRPr="004E5207">
        <w:t xml:space="preserve">be readily allocated to APRA </w:t>
      </w:r>
      <w:r w:rsidR="00986EA8">
        <w:t>classes of business</w:t>
      </w:r>
      <w:r w:rsidRPr="004E5207">
        <w:t>, they must be so allocated. Otherwise, the</w:t>
      </w:r>
      <w:r>
        <w:t xml:space="preserve"> </w:t>
      </w:r>
      <w:r w:rsidRPr="004E5207">
        <w:t>items (including CSM and / or loss component) are to be allocated using allocation</w:t>
      </w:r>
      <w:r>
        <w:t xml:space="preserve"> </w:t>
      </w:r>
      <w:r w:rsidRPr="004E5207">
        <w:t>approaches. The allocation approaches are to reflect allocation drivers determined based on accounting and / or actuarial judgments.</w:t>
      </w:r>
      <w:r>
        <w:t xml:space="preserve"> </w:t>
      </w:r>
      <w:r w:rsidRPr="004E5207">
        <w:t>For example, an insurer may decide to determine annual premium income and / or expected claims to be the allocation drivers to allocate AASB 17 items using proportions and / or ratios.</w:t>
      </w:r>
    </w:p>
    <w:p w14:paraId="227E3C80" w14:textId="6706D283" w:rsidR="004E5207" w:rsidRPr="004E5207" w:rsidRDefault="004E5207" w:rsidP="008A5868">
      <w:pPr>
        <w:pStyle w:val="Default"/>
        <w:numPr>
          <w:ilvl w:val="2"/>
          <w:numId w:val="15"/>
        </w:numPr>
        <w:tabs>
          <w:tab w:val="left" w:pos="567"/>
        </w:tabs>
        <w:spacing w:after="240"/>
        <w:ind w:left="567" w:hanging="567"/>
        <w:jc w:val="both"/>
      </w:pPr>
      <w:r w:rsidRPr="004E5207">
        <w:t xml:space="preserve">Principle 2: A systematic and rational approach </w:t>
      </w:r>
      <w:r w:rsidR="008710CD">
        <w:t xml:space="preserve">must </w:t>
      </w:r>
      <w:r w:rsidRPr="004E5207">
        <w:t>be applied.</w:t>
      </w:r>
    </w:p>
    <w:p w14:paraId="2888C837" w14:textId="0BC6C9EE" w:rsidR="004E5207" w:rsidRPr="004E5207" w:rsidRDefault="004E5207" w:rsidP="008A5868">
      <w:pPr>
        <w:pStyle w:val="Default"/>
        <w:numPr>
          <w:ilvl w:val="2"/>
          <w:numId w:val="15"/>
        </w:numPr>
        <w:tabs>
          <w:tab w:val="left" w:pos="567"/>
        </w:tabs>
        <w:spacing w:after="240"/>
        <w:ind w:left="567" w:hanging="567"/>
        <w:jc w:val="both"/>
      </w:pPr>
      <w:r w:rsidRPr="004E5207">
        <w:t xml:space="preserve">Principle 3: The approach </w:t>
      </w:r>
      <w:r w:rsidR="008710CD">
        <w:t xml:space="preserve">must </w:t>
      </w:r>
      <w:r w:rsidRPr="004E5207">
        <w:t>be consistent over time. However, an insurer may change the approach if it views that the approach is no longer appropriate based on accounting and / or actuarial judgements.</w:t>
      </w:r>
    </w:p>
    <w:p w14:paraId="01FF9D3B" w14:textId="643D56DF" w:rsidR="004E5207" w:rsidRPr="004E5207" w:rsidRDefault="004E5207" w:rsidP="008A5868">
      <w:pPr>
        <w:pStyle w:val="Default"/>
        <w:numPr>
          <w:ilvl w:val="2"/>
          <w:numId w:val="15"/>
        </w:numPr>
        <w:tabs>
          <w:tab w:val="left" w:pos="567"/>
        </w:tabs>
        <w:spacing w:after="240"/>
        <w:ind w:left="567" w:hanging="567"/>
        <w:jc w:val="both"/>
      </w:pPr>
      <w:r w:rsidRPr="004E5207">
        <w:t xml:space="preserve">Principle 4: The aggregate of the allocated numbers across APRA </w:t>
      </w:r>
      <w:r w:rsidR="00986EA8">
        <w:t xml:space="preserve">classes of business </w:t>
      </w:r>
      <w:r w:rsidR="008710CD">
        <w:t xml:space="preserve">must </w:t>
      </w:r>
      <w:r w:rsidRPr="004E5207">
        <w:t>be consistent with AASB 17 numbers reported on a statutory basis.</w:t>
      </w:r>
    </w:p>
    <w:p w14:paraId="463F921C" w14:textId="77777777" w:rsidR="004E5207" w:rsidRPr="004E5207" w:rsidRDefault="004E5207" w:rsidP="008A5868">
      <w:pPr>
        <w:pStyle w:val="Default"/>
        <w:numPr>
          <w:ilvl w:val="2"/>
          <w:numId w:val="15"/>
        </w:numPr>
        <w:tabs>
          <w:tab w:val="left" w:pos="567"/>
        </w:tabs>
        <w:spacing w:after="240"/>
        <w:ind w:left="567" w:hanging="567"/>
        <w:jc w:val="both"/>
      </w:pPr>
      <w:r w:rsidRPr="004E5207">
        <w:t>Principle 5: A single allocation approach need not necessarily be applied.</w:t>
      </w:r>
    </w:p>
    <w:p w14:paraId="2C62C149" w14:textId="7161B5A3" w:rsidR="00D87B26" w:rsidRPr="00321554" w:rsidRDefault="004E5207" w:rsidP="008A5868">
      <w:pPr>
        <w:spacing w:after="240"/>
        <w:jc w:val="both"/>
        <w:rPr>
          <w:sz w:val="24"/>
          <w:szCs w:val="24"/>
        </w:rPr>
      </w:pPr>
      <w:r w:rsidRPr="008A5868">
        <w:rPr>
          <w:sz w:val="24"/>
          <w:szCs w:val="24"/>
        </w:rPr>
        <w:t xml:space="preserve">Allocation approaches and allocation drivers </w:t>
      </w:r>
      <w:r w:rsidR="00986EA8" w:rsidRPr="008A5868">
        <w:rPr>
          <w:sz w:val="24"/>
          <w:szCs w:val="24"/>
        </w:rPr>
        <w:t>must</w:t>
      </w:r>
      <w:r w:rsidRPr="008A5868">
        <w:rPr>
          <w:sz w:val="24"/>
          <w:szCs w:val="24"/>
        </w:rPr>
        <w:t xml:space="preserve"> be clearly documented. This would support clarity and consistent application of the approaches and drivers for APRA </w:t>
      </w:r>
      <w:r w:rsidR="00986EA8" w:rsidRPr="008A5868">
        <w:rPr>
          <w:sz w:val="24"/>
          <w:szCs w:val="24"/>
        </w:rPr>
        <w:t>classes of business</w:t>
      </w:r>
      <w:r w:rsidRPr="008A5868">
        <w:rPr>
          <w:sz w:val="24"/>
          <w:szCs w:val="24"/>
        </w:rPr>
        <w:t xml:space="preserve"> reporting over time. </w:t>
      </w:r>
      <w:r w:rsidR="0081369E" w:rsidRPr="008A5868">
        <w:rPr>
          <w:sz w:val="24"/>
          <w:szCs w:val="24"/>
        </w:rPr>
        <w:t>I</w:t>
      </w:r>
      <w:r w:rsidR="001A28CE" w:rsidRPr="008A5868">
        <w:rPr>
          <w:sz w:val="24"/>
          <w:szCs w:val="24"/>
        </w:rPr>
        <w:t xml:space="preserve">nsurers </w:t>
      </w:r>
      <w:r w:rsidR="0081369E" w:rsidRPr="008A5868">
        <w:rPr>
          <w:sz w:val="24"/>
          <w:szCs w:val="24"/>
        </w:rPr>
        <w:t xml:space="preserve">must </w:t>
      </w:r>
      <w:r w:rsidR="001A28CE" w:rsidRPr="008A5868">
        <w:rPr>
          <w:sz w:val="24"/>
          <w:szCs w:val="24"/>
        </w:rPr>
        <w:t xml:space="preserve">prepare a document outlining how they have applied the allocation principles to allocate AASB 17 items to APRA classes of business for APRA reporting. </w:t>
      </w:r>
    </w:p>
    <w:p w14:paraId="78C942C3" w14:textId="77777777" w:rsidR="004050F5" w:rsidRPr="004F34AF" w:rsidRDefault="004050F5" w:rsidP="005A2E03">
      <w:pPr>
        <w:spacing w:after="240"/>
        <w:jc w:val="both"/>
        <w:rPr>
          <w:color w:val="000000"/>
          <w:szCs w:val="24"/>
        </w:rPr>
      </w:pPr>
    </w:p>
    <w:sectPr w:rsidR="004050F5" w:rsidRPr="004F34AF" w:rsidSect="00FB6658">
      <w:headerReference w:type="default" r:id="rId16"/>
      <w:footerReference w:type="default" r:id="rId17"/>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EF2E" w14:textId="77777777" w:rsidR="007412AC" w:rsidRDefault="007412AC" w:rsidP="00CC70E3">
      <w:r>
        <w:separator/>
      </w:r>
    </w:p>
  </w:endnote>
  <w:endnote w:type="continuationSeparator" w:id="0">
    <w:p w14:paraId="79756BFE" w14:textId="77777777" w:rsidR="007412AC" w:rsidRDefault="007412AC" w:rsidP="00CC70E3">
      <w:r>
        <w:continuationSeparator/>
      </w:r>
    </w:p>
  </w:endnote>
  <w:endnote w:type="continuationNotice" w:id="1">
    <w:p w14:paraId="710B6635" w14:textId="77777777" w:rsidR="007412AC" w:rsidRDefault="00741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DD5C" w14:textId="4AB8EDBF" w:rsidR="00342D20" w:rsidRPr="004112FB" w:rsidRDefault="00342D20" w:rsidP="00184147">
    <w:pPr>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63B5" w14:textId="77777777" w:rsidR="00A825CE" w:rsidRPr="004112FB" w:rsidRDefault="00A825CE" w:rsidP="00184147">
    <w:pPr>
      <w:jc w:val="right"/>
      <w:rPr>
        <w:sz w:val="24"/>
        <w:szCs w:val="24"/>
      </w:rPr>
    </w:pPr>
    <w:r w:rsidRPr="004112FB">
      <w:rPr>
        <w:sz w:val="24"/>
        <w:szCs w:val="24"/>
      </w:rPr>
      <w:t xml:space="preserve">GRS 001 - </w:t>
    </w:r>
    <w:r w:rsidRPr="004112FB">
      <w:rPr>
        <w:sz w:val="24"/>
        <w:szCs w:val="24"/>
      </w:rPr>
      <w:fldChar w:fldCharType="begin"/>
    </w:r>
    <w:r w:rsidRPr="004112FB">
      <w:rPr>
        <w:sz w:val="24"/>
        <w:szCs w:val="24"/>
      </w:rPr>
      <w:instrText xml:space="preserve"> PAGE   \* MERGEFORMAT </w:instrText>
    </w:r>
    <w:r w:rsidRPr="004112FB">
      <w:rPr>
        <w:sz w:val="24"/>
        <w:szCs w:val="24"/>
      </w:rPr>
      <w:fldChar w:fldCharType="separate"/>
    </w:r>
    <w:r w:rsidRPr="004112FB">
      <w:rPr>
        <w:sz w:val="24"/>
        <w:szCs w:val="24"/>
      </w:rPr>
      <w:t>1</w:t>
    </w:r>
    <w:r w:rsidRPr="004112FB">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3091" w14:textId="077C632D" w:rsidR="00AA7EFB" w:rsidRPr="00AC0841" w:rsidRDefault="00AA7EFB" w:rsidP="009C73B4">
    <w:pPr>
      <w:pStyle w:val="Footer"/>
      <w:tabs>
        <w:tab w:val="right" w:pos="8931"/>
      </w:tabs>
      <w:ind w:right="-51"/>
      <w:jc w:val="right"/>
      <w:rPr>
        <w:sz w:val="24"/>
        <w:szCs w:val="24"/>
      </w:rPr>
    </w:pPr>
    <w:r w:rsidRPr="00AC0841">
      <w:rPr>
        <w:sz w:val="24"/>
        <w:szCs w:val="24"/>
      </w:rPr>
      <w:t>GRS 001</w:t>
    </w:r>
    <w:r w:rsidR="006B0098">
      <w:rPr>
        <w:sz w:val="24"/>
        <w:szCs w:val="24"/>
      </w:rPr>
      <w:t xml:space="preserve"> Instructions</w:t>
    </w:r>
    <w:r w:rsidRPr="00AC0841">
      <w:rPr>
        <w:sz w:val="24"/>
        <w:szCs w:val="24"/>
      </w:rPr>
      <w:t xml:space="preserve"> - </w:t>
    </w:r>
    <w:r w:rsidRPr="00AC0841">
      <w:rPr>
        <w:sz w:val="24"/>
        <w:szCs w:val="24"/>
      </w:rPr>
      <w:fldChar w:fldCharType="begin"/>
    </w:r>
    <w:r w:rsidRPr="00AC0841">
      <w:rPr>
        <w:sz w:val="24"/>
        <w:szCs w:val="24"/>
      </w:rPr>
      <w:instrText xml:space="preserve"> PAGE  \* Arabic  \* MERGEFORMAT </w:instrText>
    </w:r>
    <w:r w:rsidRPr="00AC0841">
      <w:rPr>
        <w:sz w:val="24"/>
        <w:szCs w:val="24"/>
      </w:rPr>
      <w:fldChar w:fldCharType="separate"/>
    </w:r>
    <w:r w:rsidRPr="00AC0841">
      <w:rPr>
        <w:noProof/>
        <w:sz w:val="24"/>
        <w:szCs w:val="24"/>
      </w:rPr>
      <w:t>12</w:t>
    </w:r>
    <w:r w:rsidRPr="00AC084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B96D" w14:textId="77777777" w:rsidR="007412AC" w:rsidRDefault="007412AC" w:rsidP="00CC70E3">
      <w:r>
        <w:separator/>
      </w:r>
    </w:p>
  </w:footnote>
  <w:footnote w:type="continuationSeparator" w:id="0">
    <w:p w14:paraId="44749FCE" w14:textId="77777777" w:rsidR="007412AC" w:rsidRDefault="007412AC" w:rsidP="00CC70E3">
      <w:r>
        <w:continuationSeparator/>
      </w:r>
    </w:p>
  </w:footnote>
  <w:footnote w:type="continuationNotice" w:id="1">
    <w:p w14:paraId="707A96F5" w14:textId="77777777" w:rsidR="007412AC" w:rsidRDefault="007412AC"/>
  </w:footnote>
  <w:footnote w:id="2">
    <w:p w14:paraId="6F512057" w14:textId="77777777" w:rsidR="00AA7EFB" w:rsidRPr="007B6809" w:rsidRDefault="00AA7EFB" w:rsidP="000F3CF8">
      <w:pPr>
        <w:pStyle w:val="FootnoteText"/>
        <w:jc w:val="both"/>
      </w:pPr>
      <w:r w:rsidRPr="007B6809">
        <w:rPr>
          <w:rStyle w:val="FootnoteReference"/>
        </w:rPr>
        <w:footnoteRef/>
      </w:r>
      <w:r w:rsidRPr="007B6809">
        <w:t xml:space="preserve"> For the purposes of reporting, Lloyd’s syndicates </w:t>
      </w:r>
      <w:r>
        <w:t>business is</w:t>
      </w:r>
      <w:r w:rsidRPr="007B6809">
        <w:t xml:space="preserve"> to be reported as international business.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DEDA" w14:textId="33858DCE" w:rsidR="00342D20" w:rsidRPr="004112FB" w:rsidRDefault="00342D20" w:rsidP="00184147">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1B32" w14:textId="77777777" w:rsidR="00A825CE" w:rsidRPr="004112FB" w:rsidRDefault="00A825CE" w:rsidP="00184147">
    <w:pPr>
      <w:pStyle w:val="Header"/>
      <w:jc w:val="right"/>
      <w:rPr>
        <w:sz w:val="24"/>
        <w:szCs w:val="24"/>
      </w:rPr>
    </w:pPr>
    <w:r w:rsidRPr="004112FB">
      <w:rPr>
        <w:sz w:val="24"/>
        <w:szCs w:val="24"/>
      </w:rP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DA6E" w14:textId="797D39A4" w:rsidR="00AA7EFB" w:rsidRPr="00F063F2" w:rsidRDefault="00F17264" w:rsidP="00F17264">
    <w:pPr>
      <w:pStyle w:val="Header"/>
      <w:tabs>
        <w:tab w:val="clear" w:pos="4320"/>
        <w:tab w:val="clear" w:pos="8640"/>
        <w:tab w:val="center" w:pos="4513"/>
        <w:tab w:val="right" w:pos="9027"/>
      </w:tabs>
      <w:jc w:val="right"/>
      <w:rPr>
        <w:sz w:val="24"/>
        <w:szCs w:val="24"/>
      </w:rPr>
    </w:pPr>
    <w:r w:rsidRPr="00F17264">
      <w:rPr>
        <w:sz w:val="24"/>
        <w:szCs w:val="24"/>
      </w:rPr>
      <w:tab/>
    </w:r>
    <w:r w:rsidRPr="00F17264">
      <w:rPr>
        <w:sz w:val="24"/>
        <w:szCs w:val="24"/>
      </w:rPr>
      <w:tab/>
    </w:r>
    <w:r w:rsidR="00511D98">
      <w:rPr>
        <w:sz w:val="24"/>
        <w:szCs w:val="24"/>
      </w:rPr>
      <w:t>July</w:t>
    </w:r>
    <w:r>
      <w:rPr>
        <w:sz w:val="24"/>
        <w:szCs w:val="24"/>
      </w:rPr>
      <w:t xml:space="preserve"> 202</w:t>
    </w:r>
    <w:r w:rsidR="00511D98">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8603B6"/>
    <w:multiLevelType w:val="hybridMultilevel"/>
    <w:tmpl w:val="12F6BB5A"/>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BB7003"/>
    <w:multiLevelType w:val="hybridMultilevel"/>
    <w:tmpl w:val="CBFA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D6FA8"/>
    <w:multiLevelType w:val="hybridMultilevel"/>
    <w:tmpl w:val="B7329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17B24601"/>
    <w:multiLevelType w:val="hybridMultilevel"/>
    <w:tmpl w:val="7CEAB3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D1B71"/>
    <w:multiLevelType w:val="hybridMultilevel"/>
    <w:tmpl w:val="678A7EC0"/>
    <w:lvl w:ilvl="0" w:tplc="05B2F3AC">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2500301E"/>
    <w:multiLevelType w:val="hybridMultilevel"/>
    <w:tmpl w:val="339E9D1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1"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136AEB"/>
    <w:multiLevelType w:val="hybridMultilevel"/>
    <w:tmpl w:val="3044F038"/>
    <w:lvl w:ilvl="0" w:tplc="4FC6CD72">
      <w:start w:val="1"/>
      <w:numFmt w:val="lowerLetter"/>
      <w:lvlText w:val="(%1)"/>
      <w:lvlJc w:val="left"/>
      <w:pPr>
        <w:tabs>
          <w:tab w:val="num" w:pos="1135"/>
        </w:tabs>
        <w:ind w:left="1135" w:hanging="567"/>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EE76D5"/>
    <w:multiLevelType w:val="hybridMultilevel"/>
    <w:tmpl w:val="684C81F4"/>
    <w:lvl w:ilvl="0" w:tplc="E222BA7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49F3C04"/>
    <w:multiLevelType w:val="multilevel"/>
    <w:tmpl w:val="E3222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A50A23"/>
    <w:multiLevelType w:val="hybridMultilevel"/>
    <w:tmpl w:val="0E90E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242EC"/>
    <w:multiLevelType w:val="hybridMultilevel"/>
    <w:tmpl w:val="53BA5BD4"/>
    <w:lvl w:ilvl="0" w:tplc="DB829EF2">
      <w:start w:val="1"/>
      <w:numFmt w:val="decimal"/>
      <w:lvlText w:val="%1."/>
      <w:lvlJc w:val="left"/>
      <w:pPr>
        <w:tabs>
          <w:tab w:val="num" w:pos="567"/>
        </w:tabs>
        <w:ind w:left="567" w:hanging="567"/>
      </w:pPr>
      <w:rPr>
        <w:rFonts w:hint="default"/>
      </w:rPr>
    </w:lvl>
    <w:lvl w:ilvl="1" w:tplc="0C090019">
      <w:start w:val="1"/>
      <w:numFmt w:val="lowerRoman"/>
      <w:lvlText w:val="(%2)"/>
      <w:lvlJc w:val="left"/>
      <w:pPr>
        <w:tabs>
          <w:tab w:val="num" w:pos="1701"/>
        </w:tabs>
        <w:ind w:left="1701" w:hanging="567"/>
      </w:pPr>
      <w:rPr>
        <w:rFonts w:hint="default"/>
      </w:rPr>
    </w:lvl>
    <w:lvl w:ilvl="2" w:tplc="0C09001B">
      <w:start w:val="1"/>
      <w:numFmt w:val="lowerLetter"/>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475FDC"/>
    <w:multiLevelType w:val="hybridMultilevel"/>
    <w:tmpl w:val="88A827B4"/>
    <w:lvl w:ilvl="0" w:tplc="0C090003">
      <w:start w:val="1"/>
      <w:numFmt w:val="bullet"/>
      <w:lvlText w:val="o"/>
      <w:lvlJc w:val="left"/>
      <w:pPr>
        <w:ind w:left="1713" w:hanging="360"/>
      </w:pPr>
      <w:rPr>
        <w:rFonts w:ascii="Courier New" w:hAnsi="Courier New" w:cs="Courier New"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5" w15:restartNumberingAfterBreak="0">
    <w:nsid w:val="6FE7480E"/>
    <w:multiLevelType w:val="hybridMultilevel"/>
    <w:tmpl w:val="31200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6B2430"/>
    <w:multiLevelType w:val="hybridMultilevel"/>
    <w:tmpl w:val="8B6C35E4"/>
    <w:lvl w:ilvl="0" w:tplc="E81628E6">
      <w:start w:val="1"/>
      <w:numFmt w:val="decimal"/>
      <w:lvlText w:val="%1."/>
      <w:lvlJc w:val="left"/>
      <w:pPr>
        <w:tabs>
          <w:tab w:val="num" w:pos="567"/>
        </w:tabs>
        <w:ind w:left="567" w:hanging="567"/>
      </w:pPr>
      <w:rPr>
        <w:rFonts w:hint="default"/>
        <w:sz w:val="24"/>
        <w:szCs w:val="24"/>
      </w:rPr>
    </w:lvl>
    <w:lvl w:ilvl="1" w:tplc="0C090019">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E403A4F"/>
    <w:multiLevelType w:val="hybridMultilevel"/>
    <w:tmpl w:val="65CA790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5">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num w:numId="1" w16cid:durableId="909005036">
    <w:abstractNumId w:val="18"/>
  </w:num>
  <w:num w:numId="2" w16cid:durableId="2133550257">
    <w:abstractNumId w:val="22"/>
  </w:num>
  <w:num w:numId="3" w16cid:durableId="399404930">
    <w:abstractNumId w:val="26"/>
  </w:num>
  <w:num w:numId="4" w16cid:durableId="1676961484">
    <w:abstractNumId w:val="1"/>
  </w:num>
  <w:num w:numId="5" w16cid:durableId="1731729384">
    <w:abstractNumId w:val="0"/>
  </w:num>
  <w:num w:numId="6" w16cid:durableId="1715344601">
    <w:abstractNumId w:val="25"/>
  </w:num>
  <w:num w:numId="7" w16cid:durableId="1661272805">
    <w:abstractNumId w:val="20"/>
  </w:num>
  <w:num w:numId="8" w16cid:durableId="387075866">
    <w:abstractNumId w:val="8"/>
  </w:num>
  <w:num w:numId="9" w16cid:durableId="334577343">
    <w:abstractNumId w:val="14"/>
  </w:num>
  <w:num w:numId="10" w16cid:durableId="1283803901">
    <w:abstractNumId w:val="21"/>
  </w:num>
  <w:num w:numId="11" w16cid:durableId="1330602052">
    <w:abstractNumId w:val="27"/>
  </w:num>
  <w:num w:numId="12" w16cid:durableId="281151533">
    <w:abstractNumId w:val="17"/>
  </w:num>
  <w:num w:numId="13" w16cid:durableId="1500462747">
    <w:abstractNumId w:val="19"/>
  </w:num>
  <w:num w:numId="14" w16cid:durableId="53286598">
    <w:abstractNumId w:val="10"/>
  </w:num>
  <w:num w:numId="15" w16cid:durableId="635794320">
    <w:abstractNumId w:val="6"/>
  </w:num>
  <w:num w:numId="16" w16cid:durableId="349380740">
    <w:abstractNumId w:val="13"/>
  </w:num>
  <w:num w:numId="17" w16cid:durableId="990866878">
    <w:abstractNumId w:val="16"/>
  </w:num>
  <w:num w:numId="18" w16cid:durableId="2112239293">
    <w:abstractNumId w:val="2"/>
  </w:num>
  <w:num w:numId="19" w16cid:durableId="31465554">
    <w:abstractNumId w:val="11"/>
  </w:num>
  <w:num w:numId="20" w16cid:durableId="144586128">
    <w:abstractNumId w:val="24"/>
  </w:num>
  <w:num w:numId="21" w16cid:durableId="297692074">
    <w:abstractNumId w:val="3"/>
  </w:num>
  <w:num w:numId="22" w16cid:durableId="183783675">
    <w:abstractNumId w:val="5"/>
  </w:num>
  <w:num w:numId="23" w16cid:durableId="85735932">
    <w:abstractNumId w:val="4"/>
  </w:num>
  <w:num w:numId="24" w16cid:durableId="2089883677">
    <w:abstractNumId w:val="7"/>
  </w:num>
  <w:num w:numId="25" w16cid:durableId="90206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7663927">
    <w:abstractNumId w:val="9"/>
  </w:num>
  <w:num w:numId="27" w16cid:durableId="465927798">
    <w:abstractNumId w:val="15"/>
  </w:num>
  <w:num w:numId="28" w16cid:durableId="12342687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1213"/>
    <w:rsid w:val="00002098"/>
    <w:rsid w:val="000021F1"/>
    <w:rsid w:val="0000369E"/>
    <w:rsid w:val="00004255"/>
    <w:rsid w:val="000049BC"/>
    <w:rsid w:val="00004D12"/>
    <w:rsid w:val="00005748"/>
    <w:rsid w:val="00007121"/>
    <w:rsid w:val="0001087C"/>
    <w:rsid w:val="00010AC6"/>
    <w:rsid w:val="00010F5B"/>
    <w:rsid w:val="000119BB"/>
    <w:rsid w:val="000123E4"/>
    <w:rsid w:val="00012A64"/>
    <w:rsid w:val="00012F74"/>
    <w:rsid w:val="00012FC5"/>
    <w:rsid w:val="000130D8"/>
    <w:rsid w:val="00013743"/>
    <w:rsid w:val="00014204"/>
    <w:rsid w:val="000143A7"/>
    <w:rsid w:val="00014E23"/>
    <w:rsid w:val="00016CAC"/>
    <w:rsid w:val="00016D48"/>
    <w:rsid w:val="00016D50"/>
    <w:rsid w:val="00017190"/>
    <w:rsid w:val="00017AD0"/>
    <w:rsid w:val="000207C6"/>
    <w:rsid w:val="00021622"/>
    <w:rsid w:val="000216EA"/>
    <w:rsid w:val="00022160"/>
    <w:rsid w:val="00022A25"/>
    <w:rsid w:val="00022ADD"/>
    <w:rsid w:val="00022F1C"/>
    <w:rsid w:val="00023364"/>
    <w:rsid w:val="000236DF"/>
    <w:rsid w:val="00023997"/>
    <w:rsid w:val="00023B1F"/>
    <w:rsid w:val="00025307"/>
    <w:rsid w:val="0002530F"/>
    <w:rsid w:val="00025B10"/>
    <w:rsid w:val="000266CF"/>
    <w:rsid w:val="00027720"/>
    <w:rsid w:val="00027E58"/>
    <w:rsid w:val="00030BA7"/>
    <w:rsid w:val="000312EF"/>
    <w:rsid w:val="00031312"/>
    <w:rsid w:val="0003139F"/>
    <w:rsid w:val="00031703"/>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874"/>
    <w:rsid w:val="00072B28"/>
    <w:rsid w:val="000737B7"/>
    <w:rsid w:val="00073D2B"/>
    <w:rsid w:val="0007450A"/>
    <w:rsid w:val="000762D3"/>
    <w:rsid w:val="000765D8"/>
    <w:rsid w:val="000768A6"/>
    <w:rsid w:val="00077487"/>
    <w:rsid w:val="00077600"/>
    <w:rsid w:val="00082470"/>
    <w:rsid w:val="00083E52"/>
    <w:rsid w:val="00083F1D"/>
    <w:rsid w:val="000840D5"/>
    <w:rsid w:val="00084AB0"/>
    <w:rsid w:val="000854EA"/>
    <w:rsid w:val="00086338"/>
    <w:rsid w:val="00086628"/>
    <w:rsid w:val="00086B20"/>
    <w:rsid w:val="000877CB"/>
    <w:rsid w:val="000909AC"/>
    <w:rsid w:val="00090A6F"/>
    <w:rsid w:val="00090EDC"/>
    <w:rsid w:val="000918AD"/>
    <w:rsid w:val="00093237"/>
    <w:rsid w:val="0009423B"/>
    <w:rsid w:val="0009457D"/>
    <w:rsid w:val="00094812"/>
    <w:rsid w:val="000970FC"/>
    <w:rsid w:val="00097479"/>
    <w:rsid w:val="0009753A"/>
    <w:rsid w:val="000A00A4"/>
    <w:rsid w:val="000A0E53"/>
    <w:rsid w:val="000A0EBF"/>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505"/>
    <w:rsid w:val="000E4943"/>
    <w:rsid w:val="000E74CE"/>
    <w:rsid w:val="000E75DA"/>
    <w:rsid w:val="000E7836"/>
    <w:rsid w:val="000F03CD"/>
    <w:rsid w:val="000F09A5"/>
    <w:rsid w:val="000F1C00"/>
    <w:rsid w:val="000F2621"/>
    <w:rsid w:val="000F2761"/>
    <w:rsid w:val="000F2808"/>
    <w:rsid w:val="000F3118"/>
    <w:rsid w:val="000F3CF8"/>
    <w:rsid w:val="000F3FBC"/>
    <w:rsid w:val="000F4442"/>
    <w:rsid w:val="000F52F6"/>
    <w:rsid w:val="000F567D"/>
    <w:rsid w:val="000F65C6"/>
    <w:rsid w:val="000F6BBC"/>
    <w:rsid w:val="0010071F"/>
    <w:rsid w:val="0010091A"/>
    <w:rsid w:val="00101ABA"/>
    <w:rsid w:val="00101AC8"/>
    <w:rsid w:val="00102521"/>
    <w:rsid w:val="00102A7E"/>
    <w:rsid w:val="0010346D"/>
    <w:rsid w:val="00103718"/>
    <w:rsid w:val="00103BF1"/>
    <w:rsid w:val="00104F5C"/>
    <w:rsid w:val="001054E8"/>
    <w:rsid w:val="00106068"/>
    <w:rsid w:val="00106232"/>
    <w:rsid w:val="001062D4"/>
    <w:rsid w:val="00106B40"/>
    <w:rsid w:val="001073C8"/>
    <w:rsid w:val="00111630"/>
    <w:rsid w:val="00112049"/>
    <w:rsid w:val="001121BB"/>
    <w:rsid w:val="00112966"/>
    <w:rsid w:val="00112AE1"/>
    <w:rsid w:val="0011351C"/>
    <w:rsid w:val="00114673"/>
    <w:rsid w:val="00114E2D"/>
    <w:rsid w:val="0011502C"/>
    <w:rsid w:val="001179D4"/>
    <w:rsid w:val="00120A46"/>
    <w:rsid w:val="00120B40"/>
    <w:rsid w:val="00120DB9"/>
    <w:rsid w:val="0012111F"/>
    <w:rsid w:val="00121BD3"/>
    <w:rsid w:val="00121F85"/>
    <w:rsid w:val="00122484"/>
    <w:rsid w:val="00122577"/>
    <w:rsid w:val="00122D9C"/>
    <w:rsid w:val="0012356C"/>
    <w:rsid w:val="001239B6"/>
    <w:rsid w:val="001241DB"/>
    <w:rsid w:val="00124330"/>
    <w:rsid w:val="001248AA"/>
    <w:rsid w:val="00124C49"/>
    <w:rsid w:val="00125462"/>
    <w:rsid w:val="00125555"/>
    <w:rsid w:val="00126F06"/>
    <w:rsid w:val="00127B3B"/>
    <w:rsid w:val="00127EBA"/>
    <w:rsid w:val="0013050F"/>
    <w:rsid w:val="0013060A"/>
    <w:rsid w:val="00132476"/>
    <w:rsid w:val="001325B0"/>
    <w:rsid w:val="001329E4"/>
    <w:rsid w:val="00133188"/>
    <w:rsid w:val="001335F5"/>
    <w:rsid w:val="001337B9"/>
    <w:rsid w:val="00133D68"/>
    <w:rsid w:val="001345D8"/>
    <w:rsid w:val="00134AAD"/>
    <w:rsid w:val="00134DAF"/>
    <w:rsid w:val="00135479"/>
    <w:rsid w:val="00135D3A"/>
    <w:rsid w:val="00135F0F"/>
    <w:rsid w:val="00136DF6"/>
    <w:rsid w:val="00136F85"/>
    <w:rsid w:val="001375BD"/>
    <w:rsid w:val="00137941"/>
    <w:rsid w:val="00137D7B"/>
    <w:rsid w:val="001401EB"/>
    <w:rsid w:val="00140779"/>
    <w:rsid w:val="001408CB"/>
    <w:rsid w:val="0014174B"/>
    <w:rsid w:val="00141B90"/>
    <w:rsid w:val="00143147"/>
    <w:rsid w:val="0014399D"/>
    <w:rsid w:val="00143D70"/>
    <w:rsid w:val="00144A9F"/>
    <w:rsid w:val="001452C6"/>
    <w:rsid w:val="0014537B"/>
    <w:rsid w:val="00145F63"/>
    <w:rsid w:val="001468CA"/>
    <w:rsid w:val="001469CF"/>
    <w:rsid w:val="00147B72"/>
    <w:rsid w:val="00147C75"/>
    <w:rsid w:val="00150C31"/>
    <w:rsid w:val="00151656"/>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622"/>
    <w:rsid w:val="00170A5E"/>
    <w:rsid w:val="00170EBA"/>
    <w:rsid w:val="001719AF"/>
    <w:rsid w:val="001728E9"/>
    <w:rsid w:val="001729BC"/>
    <w:rsid w:val="001740D6"/>
    <w:rsid w:val="0017483D"/>
    <w:rsid w:val="00175BDB"/>
    <w:rsid w:val="001762A3"/>
    <w:rsid w:val="00176D54"/>
    <w:rsid w:val="00181E05"/>
    <w:rsid w:val="001827B2"/>
    <w:rsid w:val="00182DF9"/>
    <w:rsid w:val="00184627"/>
    <w:rsid w:val="00185185"/>
    <w:rsid w:val="00185348"/>
    <w:rsid w:val="00186CFD"/>
    <w:rsid w:val="0018747E"/>
    <w:rsid w:val="00187BBD"/>
    <w:rsid w:val="00190929"/>
    <w:rsid w:val="00190E52"/>
    <w:rsid w:val="001911C6"/>
    <w:rsid w:val="0019152B"/>
    <w:rsid w:val="00195905"/>
    <w:rsid w:val="00195960"/>
    <w:rsid w:val="001968FE"/>
    <w:rsid w:val="00196E2F"/>
    <w:rsid w:val="001970E2"/>
    <w:rsid w:val="001A195F"/>
    <w:rsid w:val="001A28CE"/>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ABA"/>
    <w:rsid w:val="001D6E16"/>
    <w:rsid w:val="001D6EB1"/>
    <w:rsid w:val="001D6F75"/>
    <w:rsid w:val="001E0135"/>
    <w:rsid w:val="001E0803"/>
    <w:rsid w:val="001E09B9"/>
    <w:rsid w:val="001E13FC"/>
    <w:rsid w:val="001E1899"/>
    <w:rsid w:val="001E1C09"/>
    <w:rsid w:val="001E2E53"/>
    <w:rsid w:val="001E3071"/>
    <w:rsid w:val="001E3481"/>
    <w:rsid w:val="001E34C6"/>
    <w:rsid w:val="001E372D"/>
    <w:rsid w:val="001E3E3B"/>
    <w:rsid w:val="001E40E5"/>
    <w:rsid w:val="001E4E64"/>
    <w:rsid w:val="001E524E"/>
    <w:rsid w:val="001E5D24"/>
    <w:rsid w:val="001E773F"/>
    <w:rsid w:val="001E7906"/>
    <w:rsid w:val="001F00C8"/>
    <w:rsid w:val="001F00FE"/>
    <w:rsid w:val="001F074C"/>
    <w:rsid w:val="001F097C"/>
    <w:rsid w:val="001F0C1F"/>
    <w:rsid w:val="001F69BE"/>
    <w:rsid w:val="002012E7"/>
    <w:rsid w:val="00203251"/>
    <w:rsid w:val="002035DB"/>
    <w:rsid w:val="00203A94"/>
    <w:rsid w:val="00204468"/>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1DFA"/>
    <w:rsid w:val="00223665"/>
    <w:rsid w:val="00224A40"/>
    <w:rsid w:val="0022560D"/>
    <w:rsid w:val="00225A9B"/>
    <w:rsid w:val="00225D6F"/>
    <w:rsid w:val="00226ADC"/>
    <w:rsid w:val="00226B89"/>
    <w:rsid w:val="00230CDC"/>
    <w:rsid w:val="00232996"/>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3CE6"/>
    <w:rsid w:val="002449EA"/>
    <w:rsid w:val="002457E3"/>
    <w:rsid w:val="00245AFD"/>
    <w:rsid w:val="00246129"/>
    <w:rsid w:val="0024667E"/>
    <w:rsid w:val="00246CDE"/>
    <w:rsid w:val="00246DAB"/>
    <w:rsid w:val="00247C4D"/>
    <w:rsid w:val="00250ED1"/>
    <w:rsid w:val="00250EE7"/>
    <w:rsid w:val="00251431"/>
    <w:rsid w:val="00251867"/>
    <w:rsid w:val="0025262B"/>
    <w:rsid w:val="00252F5C"/>
    <w:rsid w:val="002540D5"/>
    <w:rsid w:val="002547EC"/>
    <w:rsid w:val="002569EE"/>
    <w:rsid w:val="00256A08"/>
    <w:rsid w:val="00260593"/>
    <w:rsid w:val="002611D8"/>
    <w:rsid w:val="00261CF1"/>
    <w:rsid w:val="00262486"/>
    <w:rsid w:val="00262A6D"/>
    <w:rsid w:val="002638BF"/>
    <w:rsid w:val="00265151"/>
    <w:rsid w:val="00266235"/>
    <w:rsid w:val="002664D2"/>
    <w:rsid w:val="002670BB"/>
    <w:rsid w:val="00267C4B"/>
    <w:rsid w:val="00267EE2"/>
    <w:rsid w:val="00270ADE"/>
    <w:rsid w:val="00271F28"/>
    <w:rsid w:val="00271F93"/>
    <w:rsid w:val="00272212"/>
    <w:rsid w:val="002730F9"/>
    <w:rsid w:val="00273388"/>
    <w:rsid w:val="0027339A"/>
    <w:rsid w:val="002734AB"/>
    <w:rsid w:val="00273513"/>
    <w:rsid w:val="00274293"/>
    <w:rsid w:val="00274721"/>
    <w:rsid w:val="002749C1"/>
    <w:rsid w:val="0027588C"/>
    <w:rsid w:val="00275919"/>
    <w:rsid w:val="00275B24"/>
    <w:rsid w:val="00276216"/>
    <w:rsid w:val="0027626D"/>
    <w:rsid w:val="00276BD5"/>
    <w:rsid w:val="00276E23"/>
    <w:rsid w:val="00277156"/>
    <w:rsid w:val="00277765"/>
    <w:rsid w:val="0027777B"/>
    <w:rsid w:val="00277F01"/>
    <w:rsid w:val="002808DC"/>
    <w:rsid w:val="00280910"/>
    <w:rsid w:val="00281A3F"/>
    <w:rsid w:val="00281F03"/>
    <w:rsid w:val="00282816"/>
    <w:rsid w:val="0028330A"/>
    <w:rsid w:val="002837D1"/>
    <w:rsid w:val="00283BAF"/>
    <w:rsid w:val="00283E4B"/>
    <w:rsid w:val="00284611"/>
    <w:rsid w:val="002848EC"/>
    <w:rsid w:val="00284CFE"/>
    <w:rsid w:val="00285F2B"/>
    <w:rsid w:val="002868A3"/>
    <w:rsid w:val="00287E20"/>
    <w:rsid w:val="00291C33"/>
    <w:rsid w:val="00293181"/>
    <w:rsid w:val="00293648"/>
    <w:rsid w:val="00294BAC"/>
    <w:rsid w:val="00294DF9"/>
    <w:rsid w:val="002956F1"/>
    <w:rsid w:val="00296326"/>
    <w:rsid w:val="002965F5"/>
    <w:rsid w:val="0029671C"/>
    <w:rsid w:val="00296895"/>
    <w:rsid w:val="002975C9"/>
    <w:rsid w:val="0029768C"/>
    <w:rsid w:val="00297D30"/>
    <w:rsid w:val="002A1199"/>
    <w:rsid w:val="002A3A26"/>
    <w:rsid w:val="002A3A90"/>
    <w:rsid w:val="002A3DF3"/>
    <w:rsid w:val="002A3E2D"/>
    <w:rsid w:val="002A513F"/>
    <w:rsid w:val="002A56B2"/>
    <w:rsid w:val="002A5B4C"/>
    <w:rsid w:val="002A66F9"/>
    <w:rsid w:val="002A7F0A"/>
    <w:rsid w:val="002B0341"/>
    <w:rsid w:val="002B0A06"/>
    <w:rsid w:val="002B0FAA"/>
    <w:rsid w:val="002B0FD1"/>
    <w:rsid w:val="002B182A"/>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2C07"/>
    <w:rsid w:val="002C35A6"/>
    <w:rsid w:val="002C4B7B"/>
    <w:rsid w:val="002C64BB"/>
    <w:rsid w:val="002C679C"/>
    <w:rsid w:val="002C6C26"/>
    <w:rsid w:val="002C6D9C"/>
    <w:rsid w:val="002D0022"/>
    <w:rsid w:val="002D1727"/>
    <w:rsid w:val="002D17AE"/>
    <w:rsid w:val="002D23C1"/>
    <w:rsid w:val="002D24C8"/>
    <w:rsid w:val="002D2A38"/>
    <w:rsid w:val="002D2B05"/>
    <w:rsid w:val="002D3058"/>
    <w:rsid w:val="002D3198"/>
    <w:rsid w:val="002D375B"/>
    <w:rsid w:val="002D4094"/>
    <w:rsid w:val="002D49C0"/>
    <w:rsid w:val="002D4F1A"/>
    <w:rsid w:val="002D5472"/>
    <w:rsid w:val="002D5AE1"/>
    <w:rsid w:val="002D61D4"/>
    <w:rsid w:val="002D7016"/>
    <w:rsid w:val="002D7B30"/>
    <w:rsid w:val="002E0E23"/>
    <w:rsid w:val="002E1366"/>
    <w:rsid w:val="002E1B4A"/>
    <w:rsid w:val="002E2077"/>
    <w:rsid w:val="002E2DD6"/>
    <w:rsid w:val="002E4CAF"/>
    <w:rsid w:val="002E54E2"/>
    <w:rsid w:val="002E56A2"/>
    <w:rsid w:val="002E5968"/>
    <w:rsid w:val="002E6B9D"/>
    <w:rsid w:val="002F04D9"/>
    <w:rsid w:val="002F1766"/>
    <w:rsid w:val="002F1A94"/>
    <w:rsid w:val="002F1CC9"/>
    <w:rsid w:val="002F3FD6"/>
    <w:rsid w:val="002F53FF"/>
    <w:rsid w:val="002F5C89"/>
    <w:rsid w:val="002F6144"/>
    <w:rsid w:val="00300C9E"/>
    <w:rsid w:val="00300D7F"/>
    <w:rsid w:val="003020B3"/>
    <w:rsid w:val="003027A8"/>
    <w:rsid w:val="00303209"/>
    <w:rsid w:val="00306179"/>
    <w:rsid w:val="00306961"/>
    <w:rsid w:val="00306F0F"/>
    <w:rsid w:val="00312583"/>
    <w:rsid w:val="003134B8"/>
    <w:rsid w:val="00313B1C"/>
    <w:rsid w:val="00313C83"/>
    <w:rsid w:val="0031458D"/>
    <w:rsid w:val="00315589"/>
    <w:rsid w:val="0031620F"/>
    <w:rsid w:val="00316C2C"/>
    <w:rsid w:val="00316D19"/>
    <w:rsid w:val="00316F02"/>
    <w:rsid w:val="003175EB"/>
    <w:rsid w:val="003202A4"/>
    <w:rsid w:val="003205D6"/>
    <w:rsid w:val="00320CCF"/>
    <w:rsid w:val="00321554"/>
    <w:rsid w:val="00322B74"/>
    <w:rsid w:val="00323FFE"/>
    <w:rsid w:val="00324900"/>
    <w:rsid w:val="00325CC4"/>
    <w:rsid w:val="00326A17"/>
    <w:rsid w:val="00326AAB"/>
    <w:rsid w:val="003308E1"/>
    <w:rsid w:val="003314E3"/>
    <w:rsid w:val="003321C5"/>
    <w:rsid w:val="003326D8"/>
    <w:rsid w:val="0033278E"/>
    <w:rsid w:val="00332D5D"/>
    <w:rsid w:val="0033325D"/>
    <w:rsid w:val="00333A90"/>
    <w:rsid w:val="00333CB2"/>
    <w:rsid w:val="00334F40"/>
    <w:rsid w:val="0033577E"/>
    <w:rsid w:val="003358CF"/>
    <w:rsid w:val="0033709A"/>
    <w:rsid w:val="003376DA"/>
    <w:rsid w:val="00337C53"/>
    <w:rsid w:val="003403F0"/>
    <w:rsid w:val="00342439"/>
    <w:rsid w:val="00342D1D"/>
    <w:rsid w:val="00342D20"/>
    <w:rsid w:val="00344522"/>
    <w:rsid w:val="00344583"/>
    <w:rsid w:val="00344BEF"/>
    <w:rsid w:val="00344D91"/>
    <w:rsid w:val="003460F5"/>
    <w:rsid w:val="00346C39"/>
    <w:rsid w:val="00350FB0"/>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B15"/>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032"/>
    <w:rsid w:val="003B025C"/>
    <w:rsid w:val="003B0ECA"/>
    <w:rsid w:val="003B1A3E"/>
    <w:rsid w:val="003B3BEF"/>
    <w:rsid w:val="003B5EEB"/>
    <w:rsid w:val="003B5F51"/>
    <w:rsid w:val="003B64D6"/>
    <w:rsid w:val="003B7FE8"/>
    <w:rsid w:val="003C0214"/>
    <w:rsid w:val="003C03D4"/>
    <w:rsid w:val="003C0C65"/>
    <w:rsid w:val="003C2009"/>
    <w:rsid w:val="003C21CD"/>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5A11"/>
    <w:rsid w:val="003D5A1E"/>
    <w:rsid w:val="003D663C"/>
    <w:rsid w:val="003D712C"/>
    <w:rsid w:val="003D7197"/>
    <w:rsid w:val="003D7348"/>
    <w:rsid w:val="003D7555"/>
    <w:rsid w:val="003E0500"/>
    <w:rsid w:val="003E0C74"/>
    <w:rsid w:val="003E1128"/>
    <w:rsid w:val="003E2755"/>
    <w:rsid w:val="003E2948"/>
    <w:rsid w:val="003E29F7"/>
    <w:rsid w:val="003E2FEC"/>
    <w:rsid w:val="003E414B"/>
    <w:rsid w:val="003E43F6"/>
    <w:rsid w:val="003E4831"/>
    <w:rsid w:val="003E5883"/>
    <w:rsid w:val="003E6BF3"/>
    <w:rsid w:val="003E724A"/>
    <w:rsid w:val="003F0487"/>
    <w:rsid w:val="003F0586"/>
    <w:rsid w:val="003F0672"/>
    <w:rsid w:val="003F11B6"/>
    <w:rsid w:val="003F1713"/>
    <w:rsid w:val="003F187B"/>
    <w:rsid w:val="003F243D"/>
    <w:rsid w:val="003F27A1"/>
    <w:rsid w:val="003F29B7"/>
    <w:rsid w:val="003F3091"/>
    <w:rsid w:val="003F31F5"/>
    <w:rsid w:val="003F383D"/>
    <w:rsid w:val="003F3DCC"/>
    <w:rsid w:val="003F4D84"/>
    <w:rsid w:val="003F4DF8"/>
    <w:rsid w:val="003F5FE0"/>
    <w:rsid w:val="003F6351"/>
    <w:rsid w:val="003F6522"/>
    <w:rsid w:val="003F6899"/>
    <w:rsid w:val="003F6FF4"/>
    <w:rsid w:val="003F7BA4"/>
    <w:rsid w:val="003F7DE9"/>
    <w:rsid w:val="0040056A"/>
    <w:rsid w:val="00400D44"/>
    <w:rsid w:val="004021CC"/>
    <w:rsid w:val="0040377F"/>
    <w:rsid w:val="00404028"/>
    <w:rsid w:val="004050F5"/>
    <w:rsid w:val="00405EC1"/>
    <w:rsid w:val="0040687A"/>
    <w:rsid w:val="004072CD"/>
    <w:rsid w:val="00407628"/>
    <w:rsid w:val="004101D3"/>
    <w:rsid w:val="00410FE4"/>
    <w:rsid w:val="004112FB"/>
    <w:rsid w:val="004166DB"/>
    <w:rsid w:val="00416957"/>
    <w:rsid w:val="004209B5"/>
    <w:rsid w:val="00422A6D"/>
    <w:rsid w:val="00422E52"/>
    <w:rsid w:val="00422FBB"/>
    <w:rsid w:val="0042346C"/>
    <w:rsid w:val="0042371C"/>
    <w:rsid w:val="00423E35"/>
    <w:rsid w:val="00424DD4"/>
    <w:rsid w:val="00425364"/>
    <w:rsid w:val="00425BB8"/>
    <w:rsid w:val="0042675F"/>
    <w:rsid w:val="00427719"/>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116"/>
    <w:rsid w:val="00465A1B"/>
    <w:rsid w:val="0046789D"/>
    <w:rsid w:val="004700D6"/>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053"/>
    <w:rsid w:val="0048414A"/>
    <w:rsid w:val="00484384"/>
    <w:rsid w:val="00484739"/>
    <w:rsid w:val="0048504A"/>
    <w:rsid w:val="00485A1C"/>
    <w:rsid w:val="00486EB6"/>
    <w:rsid w:val="004874B6"/>
    <w:rsid w:val="004876D6"/>
    <w:rsid w:val="00487F5E"/>
    <w:rsid w:val="00487F92"/>
    <w:rsid w:val="0049013A"/>
    <w:rsid w:val="004916D3"/>
    <w:rsid w:val="0049174B"/>
    <w:rsid w:val="004943BF"/>
    <w:rsid w:val="00494C8E"/>
    <w:rsid w:val="0049525C"/>
    <w:rsid w:val="004960A9"/>
    <w:rsid w:val="0049787E"/>
    <w:rsid w:val="004A0234"/>
    <w:rsid w:val="004A04ED"/>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5E38"/>
    <w:rsid w:val="004C73EA"/>
    <w:rsid w:val="004C7A81"/>
    <w:rsid w:val="004D01C8"/>
    <w:rsid w:val="004D066E"/>
    <w:rsid w:val="004D0F27"/>
    <w:rsid w:val="004D106A"/>
    <w:rsid w:val="004D185B"/>
    <w:rsid w:val="004D1A5C"/>
    <w:rsid w:val="004D27EA"/>
    <w:rsid w:val="004D43C3"/>
    <w:rsid w:val="004D4E16"/>
    <w:rsid w:val="004D4FDC"/>
    <w:rsid w:val="004D5F43"/>
    <w:rsid w:val="004D6371"/>
    <w:rsid w:val="004D65CF"/>
    <w:rsid w:val="004D65EC"/>
    <w:rsid w:val="004D7666"/>
    <w:rsid w:val="004D7B0C"/>
    <w:rsid w:val="004E00FB"/>
    <w:rsid w:val="004E071F"/>
    <w:rsid w:val="004E085C"/>
    <w:rsid w:val="004E0EFB"/>
    <w:rsid w:val="004E0F88"/>
    <w:rsid w:val="004E1491"/>
    <w:rsid w:val="004E1A82"/>
    <w:rsid w:val="004E1F15"/>
    <w:rsid w:val="004E29D5"/>
    <w:rsid w:val="004E3AD0"/>
    <w:rsid w:val="004E42D6"/>
    <w:rsid w:val="004E5207"/>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0E11"/>
    <w:rsid w:val="00501268"/>
    <w:rsid w:val="005014A1"/>
    <w:rsid w:val="005015CE"/>
    <w:rsid w:val="0050242A"/>
    <w:rsid w:val="005024B0"/>
    <w:rsid w:val="005034EC"/>
    <w:rsid w:val="00503698"/>
    <w:rsid w:val="00503AEB"/>
    <w:rsid w:val="00504042"/>
    <w:rsid w:val="005043F2"/>
    <w:rsid w:val="00504911"/>
    <w:rsid w:val="00505B1C"/>
    <w:rsid w:val="0050654B"/>
    <w:rsid w:val="00510416"/>
    <w:rsid w:val="00510567"/>
    <w:rsid w:val="00510A65"/>
    <w:rsid w:val="0051128D"/>
    <w:rsid w:val="005117DC"/>
    <w:rsid w:val="00511D98"/>
    <w:rsid w:val="005126A6"/>
    <w:rsid w:val="0051277B"/>
    <w:rsid w:val="00512DC0"/>
    <w:rsid w:val="0051320E"/>
    <w:rsid w:val="00513413"/>
    <w:rsid w:val="00515118"/>
    <w:rsid w:val="0051715A"/>
    <w:rsid w:val="005174F5"/>
    <w:rsid w:val="005176C2"/>
    <w:rsid w:val="00517DCF"/>
    <w:rsid w:val="00520F78"/>
    <w:rsid w:val="00521B06"/>
    <w:rsid w:val="00523BC3"/>
    <w:rsid w:val="00523C1A"/>
    <w:rsid w:val="0052411F"/>
    <w:rsid w:val="00524EE1"/>
    <w:rsid w:val="005258EF"/>
    <w:rsid w:val="00527502"/>
    <w:rsid w:val="00527756"/>
    <w:rsid w:val="00527854"/>
    <w:rsid w:val="005314EA"/>
    <w:rsid w:val="00531FE3"/>
    <w:rsid w:val="00533594"/>
    <w:rsid w:val="005360BE"/>
    <w:rsid w:val="005362DB"/>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8B1"/>
    <w:rsid w:val="00546970"/>
    <w:rsid w:val="00546A35"/>
    <w:rsid w:val="00550114"/>
    <w:rsid w:val="00551348"/>
    <w:rsid w:val="00551628"/>
    <w:rsid w:val="005520B1"/>
    <w:rsid w:val="00552597"/>
    <w:rsid w:val="0055415B"/>
    <w:rsid w:val="005547F5"/>
    <w:rsid w:val="00554BD8"/>
    <w:rsid w:val="00555316"/>
    <w:rsid w:val="00555355"/>
    <w:rsid w:val="0055598E"/>
    <w:rsid w:val="005568EC"/>
    <w:rsid w:val="00557B49"/>
    <w:rsid w:val="00561488"/>
    <w:rsid w:val="00561D48"/>
    <w:rsid w:val="00562F3D"/>
    <w:rsid w:val="00562F68"/>
    <w:rsid w:val="00563537"/>
    <w:rsid w:val="0056411D"/>
    <w:rsid w:val="005658CD"/>
    <w:rsid w:val="00565F26"/>
    <w:rsid w:val="005660A5"/>
    <w:rsid w:val="0056690F"/>
    <w:rsid w:val="00566FA8"/>
    <w:rsid w:val="00567250"/>
    <w:rsid w:val="0057093F"/>
    <w:rsid w:val="00570BC6"/>
    <w:rsid w:val="005712CA"/>
    <w:rsid w:val="005718F7"/>
    <w:rsid w:val="00571D85"/>
    <w:rsid w:val="00573800"/>
    <w:rsid w:val="00573ACE"/>
    <w:rsid w:val="00576633"/>
    <w:rsid w:val="005766D3"/>
    <w:rsid w:val="00577979"/>
    <w:rsid w:val="00577A64"/>
    <w:rsid w:val="00581FD6"/>
    <w:rsid w:val="00582236"/>
    <w:rsid w:val="00582395"/>
    <w:rsid w:val="0058240C"/>
    <w:rsid w:val="0058260F"/>
    <w:rsid w:val="005827C1"/>
    <w:rsid w:val="00582E39"/>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2E6"/>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A46"/>
    <w:rsid w:val="005B6D7F"/>
    <w:rsid w:val="005C04A8"/>
    <w:rsid w:val="005C106A"/>
    <w:rsid w:val="005C1104"/>
    <w:rsid w:val="005C2C7B"/>
    <w:rsid w:val="005C30CF"/>
    <w:rsid w:val="005C4249"/>
    <w:rsid w:val="005C4E22"/>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461A"/>
    <w:rsid w:val="005D56FD"/>
    <w:rsid w:val="005D7398"/>
    <w:rsid w:val="005D7DE3"/>
    <w:rsid w:val="005E03B6"/>
    <w:rsid w:val="005E12A9"/>
    <w:rsid w:val="005E20B6"/>
    <w:rsid w:val="005E237A"/>
    <w:rsid w:val="005E29EB"/>
    <w:rsid w:val="005E2D8A"/>
    <w:rsid w:val="005E42FC"/>
    <w:rsid w:val="005E6BFE"/>
    <w:rsid w:val="005E6C3D"/>
    <w:rsid w:val="005E71C1"/>
    <w:rsid w:val="005E799D"/>
    <w:rsid w:val="005F001E"/>
    <w:rsid w:val="005F11DE"/>
    <w:rsid w:val="005F218A"/>
    <w:rsid w:val="005F26E6"/>
    <w:rsid w:val="005F2F93"/>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2E26"/>
    <w:rsid w:val="006242CF"/>
    <w:rsid w:val="00624A50"/>
    <w:rsid w:val="00624E33"/>
    <w:rsid w:val="00625570"/>
    <w:rsid w:val="006257B8"/>
    <w:rsid w:val="00625A2E"/>
    <w:rsid w:val="00625AC6"/>
    <w:rsid w:val="00625D87"/>
    <w:rsid w:val="00625FD2"/>
    <w:rsid w:val="006266DE"/>
    <w:rsid w:val="00626FEC"/>
    <w:rsid w:val="00627431"/>
    <w:rsid w:val="006301BF"/>
    <w:rsid w:val="006320FF"/>
    <w:rsid w:val="0063259B"/>
    <w:rsid w:val="00633840"/>
    <w:rsid w:val="00634EC0"/>
    <w:rsid w:val="00635F73"/>
    <w:rsid w:val="006370F1"/>
    <w:rsid w:val="006376D4"/>
    <w:rsid w:val="006377B9"/>
    <w:rsid w:val="006377D3"/>
    <w:rsid w:val="00637BDB"/>
    <w:rsid w:val="00640692"/>
    <w:rsid w:val="00640758"/>
    <w:rsid w:val="00640AD2"/>
    <w:rsid w:val="006417A1"/>
    <w:rsid w:val="00643A29"/>
    <w:rsid w:val="00644A6E"/>
    <w:rsid w:val="00647227"/>
    <w:rsid w:val="00650CA9"/>
    <w:rsid w:val="0065160B"/>
    <w:rsid w:val="00652023"/>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6D03"/>
    <w:rsid w:val="0066706F"/>
    <w:rsid w:val="006678E5"/>
    <w:rsid w:val="00670259"/>
    <w:rsid w:val="00670741"/>
    <w:rsid w:val="006710B1"/>
    <w:rsid w:val="00671647"/>
    <w:rsid w:val="00672A2A"/>
    <w:rsid w:val="00674946"/>
    <w:rsid w:val="00674E17"/>
    <w:rsid w:val="00675A0F"/>
    <w:rsid w:val="0067723D"/>
    <w:rsid w:val="00677A74"/>
    <w:rsid w:val="00677AF7"/>
    <w:rsid w:val="00677D32"/>
    <w:rsid w:val="00677F0F"/>
    <w:rsid w:val="006808CE"/>
    <w:rsid w:val="006816C7"/>
    <w:rsid w:val="00681858"/>
    <w:rsid w:val="006824E0"/>
    <w:rsid w:val="006830A4"/>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098"/>
    <w:rsid w:val="006B0694"/>
    <w:rsid w:val="006B0831"/>
    <w:rsid w:val="006B0DAA"/>
    <w:rsid w:val="006B11E0"/>
    <w:rsid w:val="006B1366"/>
    <w:rsid w:val="006B23CA"/>
    <w:rsid w:val="006B23D9"/>
    <w:rsid w:val="006B2B14"/>
    <w:rsid w:val="006B3B8E"/>
    <w:rsid w:val="006B45BC"/>
    <w:rsid w:val="006B5847"/>
    <w:rsid w:val="006B6AEA"/>
    <w:rsid w:val="006B7A02"/>
    <w:rsid w:val="006B7B6F"/>
    <w:rsid w:val="006C086C"/>
    <w:rsid w:val="006C11B5"/>
    <w:rsid w:val="006C386E"/>
    <w:rsid w:val="006C51D4"/>
    <w:rsid w:val="006C533C"/>
    <w:rsid w:val="006C5582"/>
    <w:rsid w:val="006C5634"/>
    <w:rsid w:val="006C5F6F"/>
    <w:rsid w:val="006C61EE"/>
    <w:rsid w:val="006C6793"/>
    <w:rsid w:val="006C767E"/>
    <w:rsid w:val="006C7FD4"/>
    <w:rsid w:val="006D0885"/>
    <w:rsid w:val="006D09D9"/>
    <w:rsid w:val="006D0A2E"/>
    <w:rsid w:val="006D1B9F"/>
    <w:rsid w:val="006D2447"/>
    <w:rsid w:val="006D3CA1"/>
    <w:rsid w:val="006D4674"/>
    <w:rsid w:val="006D4B39"/>
    <w:rsid w:val="006D4F8C"/>
    <w:rsid w:val="006D57B4"/>
    <w:rsid w:val="006D5B7C"/>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1B2E"/>
    <w:rsid w:val="006F304A"/>
    <w:rsid w:val="006F329D"/>
    <w:rsid w:val="006F39F1"/>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669"/>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41B"/>
    <w:rsid w:val="00723861"/>
    <w:rsid w:val="00723C37"/>
    <w:rsid w:val="00724BF5"/>
    <w:rsid w:val="0072502B"/>
    <w:rsid w:val="007255A9"/>
    <w:rsid w:val="00725B7D"/>
    <w:rsid w:val="00726E72"/>
    <w:rsid w:val="00726FFF"/>
    <w:rsid w:val="007273DC"/>
    <w:rsid w:val="00730453"/>
    <w:rsid w:val="00730B47"/>
    <w:rsid w:val="0073120D"/>
    <w:rsid w:val="0073157F"/>
    <w:rsid w:val="00731878"/>
    <w:rsid w:val="007335BD"/>
    <w:rsid w:val="00733755"/>
    <w:rsid w:val="00734B7F"/>
    <w:rsid w:val="00734FD7"/>
    <w:rsid w:val="007351D2"/>
    <w:rsid w:val="0073529C"/>
    <w:rsid w:val="007353E4"/>
    <w:rsid w:val="00735951"/>
    <w:rsid w:val="007412AC"/>
    <w:rsid w:val="007413AA"/>
    <w:rsid w:val="0074241F"/>
    <w:rsid w:val="0074297F"/>
    <w:rsid w:val="007435CD"/>
    <w:rsid w:val="00743BA0"/>
    <w:rsid w:val="00743D6D"/>
    <w:rsid w:val="007457CE"/>
    <w:rsid w:val="00745A42"/>
    <w:rsid w:val="00745C78"/>
    <w:rsid w:val="00750D79"/>
    <w:rsid w:val="00751858"/>
    <w:rsid w:val="007527DD"/>
    <w:rsid w:val="00753F55"/>
    <w:rsid w:val="007557FF"/>
    <w:rsid w:val="00755A5F"/>
    <w:rsid w:val="00755B95"/>
    <w:rsid w:val="00755D66"/>
    <w:rsid w:val="00756791"/>
    <w:rsid w:val="00756B26"/>
    <w:rsid w:val="00756F06"/>
    <w:rsid w:val="0075749E"/>
    <w:rsid w:val="007578B6"/>
    <w:rsid w:val="007579DD"/>
    <w:rsid w:val="00760AC5"/>
    <w:rsid w:val="00761374"/>
    <w:rsid w:val="00761845"/>
    <w:rsid w:val="0076216A"/>
    <w:rsid w:val="007628F6"/>
    <w:rsid w:val="0076381F"/>
    <w:rsid w:val="00763C98"/>
    <w:rsid w:val="00763CE6"/>
    <w:rsid w:val="00765192"/>
    <w:rsid w:val="0076519D"/>
    <w:rsid w:val="00766365"/>
    <w:rsid w:val="00766960"/>
    <w:rsid w:val="00766ADC"/>
    <w:rsid w:val="00766E42"/>
    <w:rsid w:val="00767675"/>
    <w:rsid w:val="007707C9"/>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5A0"/>
    <w:rsid w:val="00795AE0"/>
    <w:rsid w:val="0079673A"/>
    <w:rsid w:val="0079678C"/>
    <w:rsid w:val="0079738C"/>
    <w:rsid w:val="007A125F"/>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B5B1A"/>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F0C"/>
    <w:rsid w:val="007E10EE"/>
    <w:rsid w:val="007E1120"/>
    <w:rsid w:val="007E1F24"/>
    <w:rsid w:val="007E298F"/>
    <w:rsid w:val="007E34C2"/>
    <w:rsid w:val="007E40E1"/>
    <w:rsid w:val="007E46FC"/>
    <w:rsid w:val="007E641E"/>
    <w:rsid w:val="007E653E"/>
    <w:rsid w:val="007E6555"/>
    <w:rsid w:val="007E66CA"/>
    <w:rsid w:val="007E67FC"/>
    <w:rsid w:val="007E6F09"/>
    <w:rsid w:val="007E6F2B"/>
    <w:rsid w:val="007F18D0"/>
    <w:rsid w:val="007F19C1"/>
    <w:rsid w:val="007F283B"/>
    <w:rsid w:val="007F341B"/>
    <w:rsid w:val="007F5833"/>
    <w:rsid w:val="007F5AED"/>
    <w:rsid w:val="007F5BE1"/>
    <w:rsid w:val="007F618F"/>
    <w:rsid w:val="007F6413"/>
    <w:rsid w:val="007F72A3"/>
    <w:rsid w:val="008005FD"/>
    <w:rsid w:val="0080085E"/>
    <w:rsid w:val="0080087B"/>
    <w:rsid w:val="008009C9"/>
    <w:rsid w:val="00800A7F"/>
    <w:rsid w:val="0080244F"/>
    <w:rsid w:val="008027CF"/>
    <w:rsid w:val="00802E36"/>
    <w:rsid w:val="00803FA0"/>
    <w:rsid w:val="008041CB"/>
    <w:rsid w:val="00804B22"/>
    <w:rsid w:val="00805CAF"/>
    <w:rsid w:val="0080653A"/>
    <w:rsid w:val="00806BF8"/>
    <w:rsid w:val="008109E9"/>
    <w:rsid w:val="00810B88"/>
    <w:rsid w:val="00811DEA"/>
    <w:rsid w:val="00812C19"/>
    <w:rsid w:val="0081369E"/>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2CC3"/>
    <w:rsid w:val="00833140"/>
    <w:rsid w:val="0083355C"/>
    <w:rsid w:val="00833846"/>
    <w:rsid w:val="00833C4A"/>
    <w:rsid w:val="00834BD7"/>
    <w:rsid w:val="00835397"/>
    <w:rsid w:val="0083594E"/>
    <w:rsid w:val="00836DAF"/>
    <w:rsid w:val="00837B6A"/>
    <w:rsid w:val="00837EC8"/>
    <w:rsid w:val="00837FBB"/>
    <w:rsid w:val="00840B37"/>
    <w:rsid w:val="00842081"/>
    <w:rsid w:val="008424ED"/>
    <w:rsid w:val="008430DF"/>
    <w:rsid w:val="00843986"/>
    <w:rsid w:val="00843FF0"/>
    <w:rsid w:val="008452E3"/>
    <w:rsid w:val="00846283"/>
    <w:rsid w:val="008473BC"/>
    <w:rsid w:val="00847465"/>
    <w:rsid w:val="008515C7"/>
    <w:rsid w:val="00851910"/>
    <w:rsid w:val="008556D6"/>
    <w:rsid w:val="008559BC"/>
    <w:rsid w:val="00855C83"/>
    <w:rsid w:val="00857212"/>
    <w:rsid w:val="008577AF"/>
    <w:rsid w:val="00857B12"/>
    <w:rsid w:val="0086001A"/>
    <w:rsid w:val="0086078F"/>
    <w:rsid w:val="00860DB8"/>
    <w:rsid w:val="00861CC9"/>
    <w:rsid w:val="00862313"/>
    <w:rsid w:val="00862984"/>
    <w:rsid w:val="00863191"/>
    <w:rsid w:val="00863320"/>
    <w:rsid w:val="0086342F"/>
    <w:rsid w:val="0086444C"/>
    <w:rsid w:val="008654FB"/>
    <w:rsid w:val="00866F5C"/>
    <w:rsid w:val="00866FAC"/>
    <w:rsid w:val="008707FB"/>
    <w:rsid w:val="00870811"/>
    <w:rsid w:val="008710CD"/>
    <w:rsid w:val="008714DC"/>
    <w:rsid w:val="0087185D"/>
    <w:rsid w:val="00871C0D"/>
    <w:rsid w:val="00871F24"/>
    <w:rsid w:val="0087296B"/>
    <w:rsid w:val="0087370F"/>
    <w:rsid w:val="0087393E"/>
    <w:rsid w:val="00873BB8"/>
    <w:rsid w:val="00873DEC"/>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685"/>
    <w:rsid w:val="00885F70"/>
    <w:rsid w:val="008901D8"/>
    <w:rsid w:val="0089220E"/>
    <w:rsid w:val="008928F8"/>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5868"/>
    <w:rsid w:val="008A64E0"/>
    <w:rsid w:val="008A6B12"/>
    <w:rsid w:val="008A70CD"/>
    <w:rsid w:val="008A76FC"/>
    <w:rsid w:val="008A7D2D"/>
    <w:rsid w:val="008B02B3"/>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A6C"/>
    <w:rsid w:val="008C1D74"/>
    <w:rsid w:val="008C1FCF"/>
    <w:rsid w:val="008C2A1E"/>
    <w:rsid w:val="008C38E5"/>
    <w:rsid w:val="008C39CE"/>
    <w:rsid w:val="008C45E6"/>
    <w:rsid w:val="008C5893"/>
    <w:rsid w:val="008C6031"/>
    <w:rsid w:val="008C740C"/>
    <w:rsid w:val="008D19D4"/>
    <w:rsid w:val="008D2637"/>
    <w:rsid w:val="008D34FF"/>
    <w:rsid w:val="008D45E1"/>
    <w:rsid w:val="008D4607"/>
    <w:rsid w:val="008D466D"/>
    <w:rsid w:val="008D473B"/>
    <w:rsid w:val="008D4A52"/>
    <w:rsid w:val="008D4F60"/>
    <w:rsid w:val="008D5543"/>
    <w:rsid w:val="008D584F"/>
    <w:rsid w:val="008E126B"/>
    <w:rsid w:val="008E17BE"/>
    <w:rsid w:val="008E254C"/>
    <w:rsid w:val="008E2F41"/>
    <w:rsid w:val="008E319D"/>
    <w:rsid w:val="008E324F"/>
    <w:rsid w:val="008E3FDA"/>
    <w:rsid w:val="008E4704"/>
    <w:rsid w:val="008E4814"/>
    <w:rsid w:val="008E4DC1"/>
    <w:rsid w:val="008E51E5"/>
    <w:rsid w:val="008E6D32"/>
    <w:rsid w:val="008E719C"/>
    <w:rsid w:val="008E7E60"/>
    <w:rsid w:val="008F0560"/>
    <w:rsid w:val="008F10E9"/>
    <w:rsid w:val="008F2A1C"/>
    <w:rsid w:val="008F30AB"/>
    <w:rsid w:val="008F3F2A"/>
    <w:rsid w:val="008F47D1"/>
    <w:rsid w:val="008F5040"/>
    <w:rsid w:val="008F586C"/>
    <w:rsid w:val="008F71BD"/>
    <w:rsid w:val="008F75EF"/>
    <w:rsid w:val="00900010"/>
    <w:rsid w:val="00900FB0"/>
    <w:rsid w:val="00900FF1"/>
    <w:rsid w:val="00901564"/>
    <w:rsid w:val="00901DD2"/>
    <w:rsid w:val="00901E1B"/>
    <w:rsid w:val="00902589"/>
    <w:rsid w:val="009028DB"/>
    <w:rsid w:val="00903632"/>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5367"/>
    <w:rsid w:val="00925913"/>
    <w:rsid w:val="009261AA"/>
    <w:rsid w:val="00926206"/>
    <w:rsid w:val="00926AA9"/>
    <w:rsid w:val="00926DC0"/>
    <w:rsid w:val="00927ACA"/>
    <w:rsid w:val="00930E52"/>
    <w:rsid w:val="00931811"/>
    <w:rsid w:val="009324F4"/>
    <w:rsid w:val="00932F3B"/>
    <w:rsid w:val="00932F57"/>
    <w:rsid w:val="009331A4"/>
    <w:rsid w:val="0093384C"/>
    <w:rsid w:val="00934EB3"/>
    <w:rsid w:val="0093515C"/>
    <w:rsid w:val="009351A9"/>
    <w:rsid w:val="009351F1"/>
    <w:rsid w:val="00935FB1"/>
    <w:rsid w:val="00936502"/>
    <w:rsid w:val="00936904"/>
    <w:rsid w:val="00937EB2"/>
    <w:rsid w:val="009402CC"/>
    <w:rsid w:val="00941EE1"/>
    <w:rsid w:val="00942743"/>
    <w:rsid w:val="00942B2F"/>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5D10"/>
    <w:rsid w:val="00956444"/>
    <w:rsid w:val="009566FD"/>
    <w:rsid w:val="009575EB"/>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623"/>
    <w:rsid w:val="00970782"/>
    <w:rsid w:val="009718F5"/>
    <w:rsid w:val="00972272"/>
    <w:rsid w:val="00972F4C"/>
    <w:rsid w:val="009741C5"/>
    <w:rsid w:val="00974C4D"/>
    <w:rsid w:val="00975C57"/>
    <w:rsid w:val="00976837"/>
    <w:rsid w:val="009773C2"/>
    <w:rsid w:val="00977A7D"/>
    <w:rsid w:val="00977EB0"/>
    <w:rsid w:val="00980F6B"/>
    <w:rsid w:val="00981BFE"/>
    <w:rsid w:val="009833C1"/>
    <w:rsid w:val="00983EC0"/>
    <w:rsid w:val="00983F9C"/>
    <w:rsid w:val="00984620"/>
    <w:rsid w:val="0098498E"/>
    <w:rsid w:val="00984BFC"/>
    <w:rsid w:val="00986EA8"/>
    <w:rsid w:val="00990478"/>
    <w:rsid w:val="00992221"/>
    <w:rsid w:val="009930BC"/>
    <w:rsid w:val="0099379B"/>
    <w:rsid w:val="00995BD0"/>
    <w:rsid w:val="00995BD5"/>
    <w:rsid w:val="00996A3E"/>
    <w:rsid w:val="00996E1F"/>
    <w:rsid w:val="00996EA5"/>
    <w:rsid w:val="00996FD0"/>
    <w:rsid w:val="00997435"/>
    <w:rsid w:val="009A335E"/>
    <w:rsid w:val="009A40A9"/>
    <w:rsid w:val="009A43DB"/>
    <w:rsid w:val="009A4429"/>
    <w:rsid w:val="009A47D6"/>
    <w:rsid w:val="009A5661"/>
    <w:rsid w:val="009B10CB"/>
    <w:rsid w:val="009B29FB"/>
    <w:rsid w:val="009B2D6A"/>
    <w:rsid w:val="009B36C8"/>
    <w:rsid w:val="009B4D25"/>
    <w:rsid w:val="009B65BB"/>
    <w:rsid w:val="009B6D18"/>
    <w:rsid w:val="009B6D94"/>
    <w:rsid w:val="009B7178"/>
    <w:rsid w:val="009B71E0"/>
    <w:rsid w:val="009B7525"/>
    <w:rsid w:val="009C1022"/>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6667"/>
    <w:rsid w:val="009E7B1A"/>
    <w:rsid w:val="009E7E04"/>
    <w:rsid w:val="009F04D9"/>
    <w:rsid w:val="009F08E9"/>
    <w:rsid w:val="009F0DD6"/>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264"/>
    <w:rsid w:val="009F7737"/>
    <w:rsid w:val="00A00C58"/>
    <w:rsid w:val="00A01261"/>
    <w:rsid w:val="00A02710"/>
    <w:rsid w:val="00A03AD6"/>
    <w:rsid w:val="00A04338"/>
    <w:rsid w:val="00A04B74"/>
    <w:rsid w:val="00A054D1"/>
    <w:rsid w:val="00A05A7C"/>
    <w:rsid w:val="00A06028"/>
    <w:rsid w:val="00A070D4"/>
    <w:rsid w:val="00A074BE"/>
    <w:rsid w:val="00A07AF7"/>
    <w:rsid w:val="00A07CAE"/>
    <w:rsid w:val="00A105BF"/>
    <w:rsid w:val="00A107AE"/>
    <w:rsid w:val="00A10D8A"/>
    <w:rsid w:val="00A11B0C"/>
    <w:rsid w:val="00A11FAA"/>
    <w:rsid w:val="00A12310"/>
    <w:rsid w:val="00A125D6"/>
    <w:rsid w:val="00A12A24"/>
    <w:rsid w:val="00A130CB"/>
    <w:rsid w:val="00A15246"/>
    <w:rsid w:val="00A15632"/>
    <w:rsid w:val="00A16882"/>
    <w:rsid w:val="00A17B24"/>
    <w:rsid w:val="00A17B5E"/>
    <w:rsid w:val="00A22262"/>
    <w:rsid w:val="00A222A6"/>
    <w:rsid w:val="00A22619"/>
    <w:rsid w:val="00A22791"/>
    <w:rsid w:val="00A22942"/>
    <w:rsid w:val="00A22C04"/>
    <w:rsid w:val="00A22EA3"/>
    <w:rsid w:val="00A24D64"/>
    <w:rsid w:val="00A25696"/>
    <w:rsid w:val="00A25C16"/>
    <w:rsid w:val="00A26EDE"/>
    <w:rsid w:val="00A27817"/>
    <w:rsid w:val="00A31310"/>
    <w:rsid w:val="00A31578"/>
    <w:rsid w:val="00A31735"/>
    <w:rsid w:val="00A317A2"/>
    <w:rsid w:val="00A3227B"/>
    <w:rsid w:val="00A32B35"/>
    <w:rsid w:val="00A32CF9"/>
    <w:rsid w:val="00A33536"/>
    <w:rsid w:val="00A33671"/>
    <w:rsid w:val="00A3389D"/>
    <w:rsid w:val="00A3395A"/>
    <w:rsid w:val="00A3428B"/>
    <w:rsid w:val="00A34687"/>
    <w:rsid w:val="00A348BB"/>
    <w:rsid w:val="00A368BA"/>
    <w:rsid w:val="00A37397"/>
    <w:rsid w:val="00A4001C"/>
    <w:rsid w:val="00A401FA"/>
    <w:rsid w:val="00A402F5"/>
    <w:rsid w:val="00A40797"/>
    <w:rsid w:val="00A4132C"/>
    <w:rsid w:val="00A41874"/>
    <w:rsid w:val="00A42987"/>
    <w:rsid w:val="00A42ACB"/>
    <w:rsid w:val="00A42B85"/>
    <w:rsid w:val="00A42BE0"/>
    <w:rsid w:val="00A42BEE"/>
    <w:rsid w:val="00A433AF"/>
    <w:rsid w:val="00A44F63"/>
    <w:rsid w:val="00A457BF"/>
    <w:rsid w:val="00A45B37"/>
    <w:rsid w:val="00A464BD"/>
    <w:rsid w:val="00A46E53"/>
    <w:rsid w:val="00A47AF8"/>
    <w:rsid w:val="00A507EF"/>
    <w:rsid w:val="00A51949"/>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B8F"/>
    <w:rsid w:val="00A70DFE"/>
    <w:rsid w:val="00A70F9F"/>
    <w:rsid w:val="00A7163B"/>
    <w:rsid w:val="00A71A33"/>
    <w:rsid w:val="00A7233E"/>
    <w:rsid w:val="00A725A0"/>
    <w:rsid w:val="00A74903"/>
    <w:rsid w:val="00A74D2B"/>
    <w:rsid w:val="00A74E1B"/>
    <w:rsid w:val="00A74EE6"/>
    <w:rsid w:val="00A75AF8"/>
    <w:rsid w:val="00A76EDC"/>
    <w:rsid w:val="00A77705"/>
    <w:rsid w:val="00A77FAE"/>
    <w:rsid w:val="00A80A8F"/>
    <w:rsid w:val="00A81805"/>
    <w:rsid w:val="00A825CE"/>
    <w:rsid w:val="00A829D1"/>
    <w:rsid w:val="00A82F6A"/>
    <w:rsid w:val="00A84123"/>
    <w:rsid w:val="00A846C6"/>
    <w:rsid w:val="00A85196"/>
    <w:rsid w:val="00A8592E"/>
    <w:rsid w:val="00A86A15"/>
    <w:rsid w:val="00A87259"/>
    <w:rsid w:val="00A877BD"/>
    <w:rsid w:val="00A877FF"/>
    <w:rsid w:val="00A87AB2"/>
    <w:rsid w:val="00A87C49"/>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A6BD3"/>
    <w:rsid w:val="00AA7EFB"/>
    <w:rsid w:val="00AB0876"/>
    <w:rsid w:val="00AB11F8"/>
    <w:rsid w:val="00AB1EC4"/>
    <w:rsid w:val="00AB40F4"/>
    <w:rsid w:val="00AB42A3"/>
    <w:rsid w:val="00AB4EA9"/>
    <w:rsid w:val="00AB5E1B"/>
    <w:rsid w:val="00AB6E57"/>
    <w:rsid w:val="00AB6EF1"/>
    <w:rsid w:val="00AB7105"/>
    <w:rsid w:val="00AB753B"/>
    <w:rsid w:val="00AB7576"/>
    <w:rsid w:val="00AB79CE"/>
    <w:rsid w:val="00AC04F2"/>
    <w:rsid w:val="00AC0841"/>
    <w:rsid w:val="00AC0B36"/>
    <w:rsid w:val="00AC0C8A"/>
    <w:rsid w:val="00AC20C5"/>
    <w:rsid w:val="00AC2325"/>
    <w:rsid w:val="00AC2514"/>
    <w:rsid w:val="00AC251E"/>
    <w:rsid w:val="00AC33D2"/>
    <w:rsid w:val="00AC3EF4"/>
    <w:rsid w:val="00AC41F5"/>
    <w:rsid w:val="00AC58CD"/>
    <w:rsid w:val="00AC67DB"/>
    <w:rsid w:val="00AC6DA0"/>
    <w:rsid w:val="00AC6F68"/>
    <w:rsid w:val="00AC7742"/>
    <w:rsid w:val="00AC7F8D"/>
    <w:rsid w:val="00AD060F"/>
    <w:rsid w:val="00AD11D8"/>
    <w:rsid w:val="00AD242F"/>
    <w:rsid w:val="00AD268A"/>
    <w:rsid w:val="00AD330B"/>
    <w:rsid w:val="00AD3C87"/>
    <w:rsid w:val="00AD3FA2"/>
    <w:rsid w:val="00AD48B7"/>
    <w:rsid w:val="00AD4B36"/>
    <w:rsid w:val="00AD4EEA"/>
    <w:rsid w:val="00AD6984"/>
    <w:rsid w:val="00AD69B2"/>
    <w:rsid w:val="00AE0B59"/>
    <w:rsid w:val="00AE0F28"/>
    <w:rsid w:val="00AE1AC4"/>
    <w:rsid w:val="00AE1B6F"/>
    <w:rsid w:val="00AE2588"/>
    <w:rsid w:val="00AE2BFE"/>
    <w:rsid w:val="00AE315F"/>
    <w:rsid w:val="00AE3E9E"/>
    <w:rsid w:val="00AE4689"/>
    <w:rsid w:val="00AE4B47"/>
    <w:rsid w:val="00AE5516"/>
    <w:rsid w:val="00AE55F6"/>
    <w:rsid w:val="00AE6961"/>
    <w:rsid w:val="00AF25A5"/>
    <w:rsid w:val="00AF30CC"/>
    <w:rsid w:val="00AF382A"/>
    <w:rsid w:val="00AF3A38"/>
    <w:rsid w:val="00AF3FBB"/>
    <w:rsid w:val="00AF40AA"/>
    <w:rsid w:val="00AF6DFF"/>
    <w:rsid w:val="00B001D0"/>
    <w:rsid w:val="00B013D7"/>
    <w:rsid w:val="00B04468"/>
    <w:rsid w:val="00B04699"/>
    <w:rsid w:val="00B051F3"/>
    <w:rsid w:val="00B05964"/>
    <w:rsid w:val="00B05BD5"/>
    <w:rsid w:val="00B076B7"/>
    <w:rsid w:val="00B115BD"/>
    <w:rsid w:val="00B12392"/>
    <w:rsid w:val="00B12C25"/>
    <w:rsid w:val="00B13E49"/>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DB9"/>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6BD2"/>
    <w:rsid w:val="00B474ED"/>
    <w:rsid w:val="00B479F1"/>
    <w:rsid w:val="00B47BA9"/>
    <w:rsid w:val="00B50EE4"/>
    <w:rsid w:val="00B5181E"/>
    <w:rsid w:val="00B520C1"/>
    <w:rsid w:val="00B52900"/>
    <w:rsid w:val="00B54216"/>
    <w:rsid w:val="00B54244"/>
    <w:rsid w:val="00B543C5"/>
    <w:rsid w:val="00B54C2D"/>
    <w:rsid w:val="00B54CD2"/>
    <w:rsid w:val="00B55D10"/>
    <w:rsid w:val="00B56FBD"/>
    <w:rsid w:val="00B574F0"/>
    <w:rsid w:val="00B57530"/>
    <w:rsid w:val="00B57854"/>
    <w:rsid w:val="00B57911"/>
    <w:rsid w:val="00B6003D"/>
    <w:rsid w:val="00B601EF"/>
    <w:rsid w:val="00B617E8"/>
    <w:rsid w:val="00B62468"/>
    <w:rsid w:val="00B62AF8"/>
    <w:rsid w:val="00B62ED3"/>
    <w:rsid w:val="00B63948"/>
    <w:rsid w:val="00B64371"/>
    <w:rsid w:val="00B65032"/>
    <w:rsid w:val="00B66324"/>
    <w:rsid w:val="00B668AB"/>
    <w:rsid w:val="00B66AE2"/>
    <w:rsid w:val="00B6709D"/>
    <w:rsid w:val="00B67419"/>
    <w:rsid w:val="00B7040A"/>
    <w:rsid w:val="00B71415"/>
    <w:rsid w:val="00B7307B"/>
    <w:rsid w:val="00B737CE"/>
    <w:rsid w:val="00B74723"/>
    <w:rsid w:val="00B748FB"/>
    <w:rsid w:val="00B749B9"/>
    <w:rsid w:val="00B754FE"/>
    <w:rsid w:val="00B75C9D"/>
    <w:rsid w:val="00B75F33"/>
    <w:rsid w:val="00B769AB"/>
    <w:rsid w:val="00B772A4"/>
    <w:rsid w:val="00B80A45"/>
    <w:rsid w:val="00B80A63"/>
    <w:rsid w:val="00B80CC1"/>
    <w:rsid w:val="00B826D0"/>
    <w:rsid w:val="00B82737"/>
    <w:rsid w:val="00B827A8"/>
    <w:rsid w:val="00B84410"/>
    <w:rsid w:val="00B84449"/>
    <w:rsid w:val="00B857B8"/>
    <w:rsid w:val="00B85B75"/>
    <w:rsid w:val="00B8615A"/>
    <w:rsid w:val="00B87934"/>
    <w:rsid w:val="00B9008D"/>
    <w:rsid w:val="00B90307"/>
    <w:rsid w:val="00B90BFC"/>
    <w:rsid w:val="00B92D15"/>
    <w:rsid w:val="00B93242"/>
    <w:rsid w:val="00B93482"/>
    <w:rsid w:val="00B93968"/>
    <w:rsid w:val="00B944B5"/>
    <w:rsid w:val="00B94961"/>
    <w:rsid w:val="00B94A80"/>
    <w:rsid w:val="00B94AAA"/>
    <w:rsid w:val="00B94BF8"/>
    <w:rsid w:val="00B95F97"/>
    <w:rsid w:val="00B961D7"/>
    <w:rsid w:val="00B963FD"/>
    <w:rsid w:val="00B96E6E"/>
    <w:rsid w:val="00B97194"/>
    <w:rsid w:val="00B97526"/>
    <w:rsid w:val="00BA0DD6"/>
    <w:rsid w:val="00BA12D3"/>
    <w:rsid w:val="00BA177E"/>
    <w:rsid w:val="00BA1A30"/>
    <w:rsid w:val="00BA1AF4"/>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C6A56"/>
    <w:rsid w:val="00BD039A"/>
    <w:rsid w:val="00BD08ED"/>
    <w:rsid w:val="00BD0BEC"/>
    <w:rsid w:val="00BD0D85"/>
    <w:rsid w:val="00BD1106"/>
    <w:rsid w:val="00BD1A03"/>
    <w:rsid w:val="00BD1BF5"/>
    <w:rsid w:val="00BD2884"/>
    <w:rsid w:val="00BD297E"/>
    <w:rsid w:val="00BD32F5"/>
    <w:rsid w:val="00BD3696"/>
    <w:rsid w:val="00BD3C40"/>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E4C"/>
    <w:rsid w:val="00BF4FEE"/>
    <w:rsid w:val="00BF685D"/>
    <w:rsid w:val="00BF6A24"/>
    <w:rsid w:val="00BF6E49"/>
    <w:rsid w:val="00BF78C7"/>
    <w:rsid w:val="00C004F0"/>
    <w:rsid w:val="00C00CE2"/>
    <w:rsid w:val="00C010A7"/>
    <w:rsid w:val="00C015C9"/>
    <w:rsid w:val="00C015CC"/>
    <w:rsid w:val="00C019E1"/>
    <w:rsid w:val="00C03A2E"/>
    <w:rsid w:val="00C03AD3"/>
    <w:rsid w:val="00C03F87"/>
    <w:rsid w:val="00C04155"/>
    <w:rsid w:val="00C049E7"/>
    <w:rsid w:val="00C04C36"/>
    <w:rsid w:val="00C04EB8"/>
    <w:rsid w:val="00C05478"/>
    <w:rsid w:val="00C05AC4"/>
    <w:rsid w:val="00C05C4E"/>
    <w:rsid w:val="00C06496"/>
    <w:rsid w:val="00C064AC"/>
    <w:rsid w:val="00C10812"/>
    <w:rsid w:val="00C10CBE"/>
    <w:rsid w:val="00C1111D"/>
    <w:rsid w:val="00C111A1"/>
    <w:rsid w:val="00C11988"/>
    <w:rsid w:val="00C11B70"/>
    <w:rsid w:val="00C11D6E"/>
    <w:rsid w:val="00C1233C"/>
    <w:rsid w:val="00C13751"/>
    <w:rsid w:val="00C138AB"/>
    <w:rsid w:val="00C14365"/>
    <w:rsid w:val="00C14FD6"/>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37ACB"/>
    <w:rsid w:val="00C4065E"/>
    <w:rsid w:val="00C40FF8"/>
    <w:rsid w:val="00C41751"/>
    <w:rsid w:val="00C42367"/>
    <w:rsid w:val="00C424FF"/>
    <w:rsid w:val="00C42666"/>
    <w:rsid w:val="00C432BA"/>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13C"/>
    <w:rsid w:val="00C61612"/>
    <w:rsid w:val="00C6191D"/>
    <w:rsid w:val="00C6192E"/>
    <w:rsid w:val="00C623AA"/>
    <w:rsid w:val="00C62597"/>
    <w:rsid w:val="00C6278B"/>
    <w:rsid w:val="00C62C80"/>
    <w:rsid w:val="00C638F6"/>
    <w:rsid w:val="00C64C82"/>
    <w:rsid w:val="00C66645"/>
    <w:rsid w:val="00C66679"/>
    <w:rsid w:val="00C67E42"/>
    <w:rsid w:val="00C706E7"/>
    <w:rsid w:val="00C70C2E"/>
    <w:rsid w:val="00C71B71"/>
    <w:rsid w:val="00C72408"/>
    <w:rsid w:val="00C737FA"/>
    <w:rsid w:val="00C73A10"/>
    <w:rsid w:val="00C75C9B"/>
    <w:rsid w:val="00C760B3"/>
    <w:rsid w:val="00C76112"/>
    <w:rsid w:val="00C770C9"/>
    <w:rsid w:val="00C80EA9"/>
    <w:rsid w:val="00C81AAE"/>
    <w:rsid w:val="00C829A2"/>
    <w:rsid w:val="00C82CD3"/>
    <w:rsid w:val="00C8367A"/>
    <w:rsid w:val="00C842FD"/>
    <w:rsid w:val="00C843D2"/>
    <w:rsid w:val="00C84A55"/>
    <w:rsid w:val="00C85423"/>
    <w:rsid w:val="00C854E0"/>
    <w:rsid w:val="00C85A2F"/>
    <w:rsid w:val="00C85FF0"/>
    <w:rsid w:val="00C865BE"/>
    <w:rsid w:val="00C86862"/>
    <w:rsid w:val="00C86E23"/>
    <w:rsid w:val="00C876DB"/>
    <w:rsid w:val="00C904EC"/>
    <w:rsid w:val="00C916D3"/>
    <w:rsid w:val="00C92149"/>
    <w:rsid w:val="00C92AC9"/>
    <w:rsid w:val="00C93381"/>
    <w:rsid w:val="00C93B27"/>
    <w:rsid w:val="00C94B71"/>
    <w:rsid w:val="00C94CEC"/>
    <w:rsid w:val="00C95276"/>
    <w:rsid w:val="00C961BF"/>
    <w:rsid w:val="00C96CF7"/>
    <w:rsid w:val="00C97938"/>
    <w:rsid w:val="00CA02EA"/>
    <w:rsid w:val="00CA061D"/>
    <w:rsid w:val="00CA0880"/>
    <w:rsid w:val="00CA1E55"/>
    <w:rsid w:val="00CA38E5"/>
    <w:rsid w:val="00CA6652"/>
    <w:rsid w:val="00CA7313"/>
    <w:rsid w:val="00CA7611"/>
    <w:rsid w:val="00CA7B5C"/>
    <w:rsid w:val="00CB03C3"/>
    <w:rsid w:val="00CB1AE1"/>
    <w:rsid w:val="00CB21FE"/>
    <w:rsid w:val="00CB2F05"/>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2CCD"/>
    <w:rsid w:val="00CC2FAD"/>
    <w:rsid w:val="00CC3DCB"/>
    <w:rsid w:val="00CC4DD7"/>
    <w:rsid w:val="00CC6469"/>
    <w:rsid w:val="00CC70E3"/>
    <w:rsid w:val="00CC7979"/>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2EE9"/>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4F88"/>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6798"/>
    <w:rsid w:val="00D16E80"/>
    <w:rsid w:val="00D17F9F"/>
    <w:rsid w:val="00D2007C"/>
    <w:rsid w:val="00D206F8"/>
    <w:rsid w:val="00D20CC0"/>
    <w:rsid w:val="00D22C3C"/>
    <w:rsid w:val="00D230F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48EE"/>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C4E"/>
    <w:rsid w:val="00D72DF9"/>
    <w:rsid w:val="00D72E0B"/>
    <w:rsid w:val="00D73CAB"/>
    <w:rsid w:val="00D7414D"/>
    <w:rsid w:val="00D74353"/>
    <w:rsid w:val="00D74691"/>
    <w:rsid w:val="00D74E98"/>
    <w:rsid w:val="00D77268"/>
    <w:rsid w:val="00D800E7"/>
    <w:rsid w:val="00D808F6"/>
    <w:rsid w:val="00D8091A"/>
    <w:rsid w:val="00D81A8D"/>
    <w:rsid w:val="00D81EBD"/>
    <w:rsid w:val="00D821B0"/>
    <w:rsid w:val="00D836D1"/>
    <w:rsid w:val="00D844C5"/>
    <w:rsid w:val="00D85347"/>
    <w:rsid w:val="00D8579B"/>
    <w:rsid w:val="00D85BE1"/>
    <w:rsid w:val="00D868A2"/>
    <w:rsid w:val="00D868B9"/>
    <w:rsid w:val="00D87B26"/>
    <w:rsid w:val="00D92229"/>
    <w:rsid w:val="00D9223B"/>
    <w:rsid w:val="00D938DE"/>
    <w:rsid w:val="00D94F34"/>
    <w:rsid w:val="00D950FC"/>
    <w:rsid w:val="00D955F1"/>
    <w:rsid w:val="00D9662E"/>
    <w:rsid w:val="00D9691B"/>
    <w:rsid w:val="00D9700F"/>
    <w:rsid w:val="00D97C8C"/>
    <w:rsid w:val="00DA1518"/>
    <w:rsid w:val="00DA1666"/>
    <w:rsid w:val="00DA18D6"/>
    <w:rsid w:val="00DA19B6"/>
    <w:rsid w:val="00DA3356"/>
    <w:rsid w:val="00DA3A2B"/>
    <w:rsid w:val="00DA3F3D"/>
    <w:rsid w:val="00DA3FEE"/>
    <w:rsid w:val="00DA43A3"/>
    <w:rsid w:val="00DA5359"/>
    <w:rsid w:val="00DA58A3"/>
    <w:rsid w:val="00DA5BAB"/>
    <w:rsid w:val="00DA5DFE"/>
    <w:rsid w:val="00DA66E1"/>
    <w:rsid w:val="00DA7042"/>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617"/>
    <w:rsid w:val="00DC5AC2"/>
    <w:rsid w:val="00DC63D3"/>
    <w:rsid w:val="00DC6E36"/>
    <w:rsid w:val="00DD2D6D"/>
    <w:rsid w:val="00DD2DD8"/>
    <w:rsid w:val="00DD2FDC"/>
    <w:rsid w:val="00DD381B"/>
    <w:rsid w:val="00DD422A"/>
    <w:rsid w:val="00DD4715"/>
    <w:rsid w:val="00DD514F"/>
    <w:rsid w:val="00DD7040"/>
    <w:rsid w:val="00DD7AFF"/>
    <w:rsid w:val="00DE0895"/>
    <w:rsid w:val="00DE10A7"/>
    <w:rsid w:val="00DE2F70"/>
    <w:rsid w:val="00DE347D"/>
    <w:rsid w:val="00DE3D51"/>
    <w:rsid w:val="00DE4794"/>
    <w:rsid w:val="00DE4886"/>
    <w:rsid w:val="00DE4FBA"/>
    <w:rsid w:val="00DE53CA"/>
    <w:rsid w:val="00DE54E2"/>
    <w:rsid w:val="00DE5913"/>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287"/>
    <w:rsid w:val="00E04B50"/>
    <w:rsid w:val="00E0701E"/>
    <w:rsid w:val="00E07620"/>
    <w:rsid w:val="00E0771F"/>
    <w:rsid w:val="00E103F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10D9"/>
    <w:rsid w:val="00E22BCF"/>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B1C"/>
    <w:rsid w:val="00E349E1"/>
    <w:rsid w:val="00E35019"/>
    <w:rsid w:val="00E35B89"/>
    <w:rsid w:val="00E35CAD"/>
    <w:rsid w:val="00E361E2"/>
    <w:rsid w:val="00E369D3"/>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2B8"/>
    <w:rsid w:val="00E6789E"/>
    <w:rsid w:val="00E70628"/>
    <w:rsid w:val="00E7083B"/>
    <w:rsid w:val="00E70C18"/>
    <w:rsid w:val="00E70CCB"/>
    <w:rsid w:val="00E72199"/>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37FE"/>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D9D"/>
    <w:rsid w:val="00EB6F7E"/>
    <w:rsid w:val="00EB7287"/>
    <w:rsid w:val="00EC1516"/>
    <w:rsid w:val="00EC15F0"/>
    <w:rsid w:val="00EC1C4A"/>
    <w:rsid w:val="00EC2093"/>
    <w:rsid w:val="00EC2333"/>
    <w:rsid w:val="00EC23E4"/>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3D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E7C68"/>
    <w:rsid w:val="00EF0FB1"/>
    <w:rsid w:val="00EF1415"/>
    <w:rsid w:val="00EF18F3"/>
    <w:rsid w:val="00EF1C33"/>
    <w:rsid w:val="00EF2327"/>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896"/>
    <w:rsid w:val="00F0399B"/>
    <w:rsid w:val="00F039C7"/>
    <w:rsid w:val="00F03CFD"/>
    <w:rsid w:val="00F04564"/>
    <w:rsid w:val="00F0471C"/>
    <w:rsid w:val="00F047D2"/>
    <w:rsid w:val="00F05354"/>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264"/>
    <w:rsid w:val="00F17E0B"/>
    <w:rsid w:val="00F20540"/>
    <w:rsid w:val="00F2065D"/>
    <w:rsid w:val="00F20A27"/>
    <w:rsid w:val="00F20EC5"/>
    <w:rsid w:val="00F21157"/>
    <w:rsid w:val="00F22360"/>
    <w:rsid w:val="00F2394E"/>
    <w:rsid w:val="00F23F55"/>
    <w:rsid w:val="00F2571B"/>
    <w:rsid w:val="00F2726A"/>
    <w:rsid w:val="00F27B00"/>
    <w:rsid w:val="00F308ED"/>
    <w:rsid w:val="00F30E71"/>
    <w:rsid w:val="00F31BE9"/>
    <w:rsid w:val="00F3219A"/>
    <w:rsid w:val="00F34056"/>
    <w:rsid w:val="00F35403"/>
    <w:rsid w:val="00F35DC9"/>
    <w:rsid w:val="00F36110"/>
    <w:rsid w:val="00F40CBC"/>
    <w:rsid w:val="00F412B5"/>
    <w:rsid w:val="00F415E6"/>
    <w:rsid w:val="00F42853"/>
    <w:rsid w:val="00F42F14"/>
    <w:rsid w:val="00F4381E"/>
    <w:rsid w:val="00F44BC1"/>
    <w:rsid w:val="00F45D1F"/>
    <w:rsid w:val="00F50285"/>
    <w:rsid w:val="00F51FE2"/>
    <w:rsid w:val="00F549E8"/>
    <w:rsid w:val="00F54BE2"/>
    <w:rsid w:val="00F55038"/>
    <w:rsid w:val="00F55144"/>
    <w:rsid w:val="00F55416"/>
    <w:rsid w:val="00F55D10"/>
    <w:rsid w:val="00F56665"/>
    <w:rsid w:val="00F56B40"/>
    <w:rsid w:val="00F57407"/>
    <w:rsid w:val="00F57DC8"/>
    <w:rsid w:val="00F60690"/>
    <w:rsid w:val="00F61200"/>
    <w:rsid w:val="00F6136C"/>
    <w:rsid w:val="00F62024"/>
    <w:rsid w:val="00F6292F"/>
    <w:rsid w:val="00F638D7"/>
    <w:rsid w:val="00F64BA6"/>
    <w:rsid w:val="00F6510A"/>
    <w:rsid w:val="00F65452"/>
    <w:rsid w:val="00F659A3"/>
    <w:rsid w:val="00F65D90"/>
    <w:rsid w:val="00F6620D"/>
    <w:rsid w:val="00F66953"/>
    <w:rsid w:val="00F66C10"/>
    <w:rsid w:val="00F67176"/>
    <w:rsid w:val="00F67C87"/>
    <w:rsid w:val="00F7083C"/>
    <w:rsid w:val="00F718ED"/>
    <w:rsid w:val="00F7327F"/>
    <w:rsid w:val="00F73861"/>
    <w:rsid w:val="00F7424A"/>
    <w:rsid w:val="00F748B1"/>
    <w:rsid w:val="00F74D5C"/>
    <w:rsid w:val="00F750C3"/>
    <w:rsid w:val="00F755A0"/>
    <w:rsid w:val="00F7697A"/>
    <w:rsid w:val="00F811B3"/>
    <w:rsid w:val="00F81404"/>
    <w:rsid w:val="00F81D2E"/>
    <w:rsid w:val="00F82ADB"/>
    <w:rsid w:val="00F82E3E"/>
    <w:rsid w:val="00F83161"/>
    <w:rsid w:val="00F83474"/>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469"/>
    <w:rsid w:val="00FA5EB0"/>
    <w:rsid w:val="00FA740C"/>
    <w:rsid w:val="00FA7A68"/>
    <w:rsid w:val="00FB00DB"/>
    <w:rsid w:val="00FB074D"/>
    <w:rsid w:val="00FB1727"/>
    <w:rsid w:val="00FB3884"/>
    <w:rsid w:val="00FB3B81"/>
    <w:rsid w:val="00FB3C88"/>
    <w:rsid w:val="00FB479A"/>
    <w:rsid w:val="00FB548F"/>
    <w:rsid w:val="00FB5E42"/>
    <w:rsid w:val="00FB6658"/>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3FC9"/>
    <w:rsid w:val="00FD4635"/>
    <w:rsid w:val="00FD4836"/>
    <w:rsid w:val="00FD53E2"/>
    <w:rsid w:val="00FD5762"/>
    <w:rsid w:val="00FD616B"/>
    <w:rsid w:val="00FD7378"/>
    <w:rsid w:val="00FD76B3"/>
    <w:rsid w:val="00FD7868"/>
    <w:rsid w:val="00FE102C"/>
    <w:rsid w:val="00FE1613"/>
    <w:rsid w:val="00FE1B5D"/>
    <w:rsid w:val="00FE24FD"/>
    <w:rsid w:val="00FE2EEA"/>
    <w:rsid w:val="00FE341C"/>
    <w:rsid w:val="00FE44DA"/>
    <w:rsid w:val="00FE458D"/>
    <w:rsid w:val="00FE4979"/>
    <w:rsid w:val="00FE4A1C"/>
    <w:rsid w:val="00FE4E82"/>
    <w:rsid w:val="00FE5501"/>
    <w:rsid w:val="00FE64C6"/>
    <w:rsid w:val="00FE6879"/>
    <w:rsid w:val="00FE68B8"/>
    <w:rsid w:val="00FE6B72"/>
    <w:rsid w:val="00FE6B7C"/>
    <w:rsid w:val="00FE78C2"/>
    <w:rsid w:val="00FF17CB"/>
    <w:rsid w:val="00FF257A"/>
    <w:rsid w:val="00FF3096"/>
    <w:rsid w:val="00FF3741"/>
    <w:rsid w:val="00FF3933"/>
    <w:rsid w:val="00FF4118"/>
    <w:rsid w:val="00FF4513"/>
    <w:rsid w:val="00FF5571"/>
    <w:rsid w:val="00FF62B7"/>
    <w:rsid w:val="00FF6321"/>
    <w:rsid w:val="00FF6BE2"/>
    <w:rsid w:val="00FF71A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02051"/>
  <w15:chartTrackingRefBased/>
  <w15:docId w15:val="{B2808262-86C4-4A6C-8766-1E97B3D8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uiPriority w:val="99"/>
    <w:rsid w:val="00B115BD"/>
    <w:pPr>
      <w:tabs>
        <w:tab w:val="center" w:pos="4320"/>
        <w:tab w:val="right" w:pos="8640"/>
      </w:tabs>
    </w:pPr>
  </w:style>
  <w:style w:type="character" w:customStyle="1" w:styleId="HeaderChar">
    <w:name w:val="Header Char"/>
    <w:link w:val="Header"/>
    <w:uiPriority w:val="99"/>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uiPriority w:val="99"/>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7C3C92"/>
    <w:rPr>
      <w:rFonts w:ascii="Arial" w:hAnsi="Arial"/>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character" w:styleId="UnresolvedMention">
    <w:name w:val="Unresolved Mention"/>
    <w:uiPriority w:val="99"/>
    <w:semiHidden/>
    <w:unhideWhenUsed/>
    <w:rsid w:val="00AA7EFB"/>
    <w:rPr>
      <w:color w:val="605E5C"/>
      <w:shd w:val="clear" w:color="auto" w:fill="E1DFDD"/>
    </w:rPr>
  </w:style>
  <w:style w:type="character" w:styleId="FollowedHyperlink">
    <w:name w:val="FollowedHyperlink"/>
    <w:uiPriority w:val="99"/>
    <w:semiHidden/>
    <w:unhideWhenUsed/>
    <w:rsid w:val="00C80EA9"/>
    <w:rPr>
      <w:color w:val="954F72"/>
      <w:u w:val="single"/>
    </w:rPr>
  </w:style>
  <w:style w:type="character" w:customStyle="1" w:styleId="ListParagraphChar">
    <w:name w:val="List Paragraph Char"/>
    <w:link w:val="ListParagraph"/>
    <w:uiPriority w:val="34"/>
    <w:rsid w:val="0008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128738033">
      <w:bodyDiv w:val="1"/>
      <w:marLeft w:val="0"/>
      <w:marRight w:val="0"/>
      <w:marTop w:val="0"/>
      <w:marBottom w:val="0"/>
      <w:divBdr>
        <w:top w:val="none" w:sz="0" w:space="0" w:color="auto"/>
        <w:left w:val="none" w:sz="0" w:space="0" w:color="auto"/>
        <w:bottom w:val="none" w:sz="0" w:space="0" w:color="auto"/>
        <w:right w:val="none" w:sz="0" w:space="0" w:color="auto"/>
      </w:divBdr>
    </w:div>
    <w:div w:id="1156649093">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214F2-6A35-4365-8533-6D3B4C6DC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C2EDE-35BA-4237-BBC1-C2E6132AFF8C}">
  <ds:schemaRefs>
    <ds:schemaRef ds:uri="http://schemas.microsoft.com/sharepoint/v3/contenttype/forms"/>
  </ds:schemaRefs>
</ds:datastoreItem>
</file>

<file path=customXml/itemProps3.xml><?xml version="1.0" encoding="utf-8"?>
<ds:datastoreItem xmlns:ds="http://schemas.openxmlformats.org/officeDocument/2006/customXml" ds:itemID="{C5B450F4-9F0F-4B89-98EE-A82BFB9EAB79}">
  <ds:schemaRefs>
    <ds:schemaRef ds:uri="http://schemas.openxmlformats.org/officeDocument/2006/bibliography"/>
  </ds:schemaRefs>
</ds:datastoreItem>
</file>

<file path=customXml/itemProps4.xml><?xml version="1.0" encoding="utf-8"?>
<ds:datastoreItem xmlns:ds="http://schemas.openxmlformats.org/officeDocument/2006/customXml" ds:itemID="{F2F4593B-279B-47D3-8786-D407FC319ECA}">
  <ds:schemaRefs>
    <ds:schemaRef ds:uri="0873f81f-5545-4105-9cf3-1e567ff68fe4"/>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5e7d1d2f-1d1d-4328-b1c4-d23268d860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3283</Words>
  <Characters>17995</Characters>
  <Application>Microsoft Office Word</Application>
  <DocSecurity>0</DocSecurity>
  <Lines>352</Lines>
  <Paragraphs>195</Paragraphs>
  <ScaleCrop>false</ScaleCrop>
  <HeadingPairs>
    <vt:vector size="2" baseType="variant">
      <vt:variant>
        <vt:lpstr>Title</vt:lpstr>
      </vt:variant>
      <vt:variant>
        <vt:i4>1</vt:i4>
      </vt:variant>
    </vt:vector>
  </HeadingPairs>
  <TitlesOfParts>
    <vt:vector size="1" baseType="lpstr">
      <vt:lpstr>GRS 001 - Reporting Requirements.docx</vt:lpstr>
    </vt:vector>
  </TitlesOfParts>
  <Company>APRA</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001 - Reporting Requirements.docx</dc:title>
  <dc:subject/>
  <dc:creator>APRA</dc:creator>
  <cp:keywords>[SEC=OFFICIAL]</cp:keywords>
  <cp:lastModifiedBy>Tiffany Say</cp:lastModifiedBy>
  <cp:revision>2</cp:revision>
  <cp:lastPrinted>2023-05-19T06:52:00Z</cp:lastPrinted>
  <dcterms:created xsi:type="dcterms:W3CDTF">2023-05-23T01:09:00Z</dcterms:created>
  <dcterms:modified xsi:type="dcterms:W3CDTF">2023-05-23T01:09:00Z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PM_ProtectiveMarkingValue_Header">
    <vt:lpwstr>OFFICIAL</vt:lpwstr>
  </property>
  <property fmtid="{D5CDD505-2E9C-101B-9397-08002B2CF9AE}" pid="11" name="PM_Originating_FileId">
    <vt:lpwstr>1DA2DD6A6B894AF2AF42419E76AB82A6</vt:lpwstr>
  </property>
  <property fmtid="{D5CDD505-2E9C-101B-9397-08002B2CF9AE}" pid="12" name="PM_ProtectiveMarkingValue_Footer">
    <vt:lpwstr>OFFICIAL</vt:lpwstr>
  </property>
  <property fmtid="{D5CDD505-2E9C-101B-9397-08002B2CF9AE}" pid="13" name="PM_ProtectiveMarkingImage_Header">
    <vt:lpwstr>C:\Program Files\Common Files\janusNET Shared\janusSEAL\Images\DocumentSlashBlue.png</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Note">
    <vt:lpwstr/>
  </property>
  <property fmtid="{D5CDD505-2E9C-101B-9397-08002B2CF9AE}" pid="18" name="PM_Markers">
    <vt:lpwstr/>
  </property>
  <property fmtid="{D5CDD505-2E9C-101B-9397-08002B2CF9AE}" pid="19" name="ContentTypeId">
    <vt:lpwstr>0x01010055938772D2D18A4A95DEC4D9E6BF9669</vt:lpwstr>
  </property>
  <property fmtid="{D5CDD505-2E9C-101B-9397-08002B2CF9AE}" pid="20" name="APRAExternalOrganisation">
    <vt:lpwstr/>
  </property>
  <property fmtid="{D5CDD505-2E9C-101B-9397-08002B2CF9AE}" pid="21" name="APRAIRTR">
    <vt:lpwstr/>
  </property>
  <property fmtid="{D5CDD505-2E9C-101B-9397-08002B2CF9AE}" pid="22" name="APRAPeriod">
    <vt:lpwstr/>
  </property>
  <property fmtid="{D5CDD505-2E9C-101B-9397-08002B2CF9AE}" pid="23" name="APRACostCentre">
    <vt:lpwstr/>
  </property>
  <property fmtid="{D5CDD505-2E9C-101B-9397-08002B2CF9AE}" pid="24" name="IT system type">
    <vt:lpwstr/>
  </property>
  <property fmtid="{D5CDD505-2E9C-101B-9397-08002B2CF9AE}" pid="25" name="APRACategory">
    <vt:lpwstr/>
  </property>
  <property fmtid="{D5CDD505-2E9C-101B-9397-08002B2CF9AE}" pid="26" name="APRAPRSG">
    <vt:lpwstr/>
  </property>
  <property fmtid="{D5CDD505-2E9C-101B-9397-08002B2CF9AE}" pid="27" name="APRAStatus">
    <vt:lpwstr>Draft</vt:lpwstr>
  </property>
  <property fmtid="{D5CDD505-2E9C-101B-9397-08002B2CF9AE}" pid="28" name="APRADocumentType">
    <vt:lpwstr>Reporting standard</vt:lpwstr>
  </property>
  <property fmtid="{D5CDD505-2E9C-101B-9397-08002B2CF9AE}" pid="29" name="APRAActivity">
    <vt:lpwstr>Data collection; Development</vt:lpwstr>
  </property>
  <property fmtid="{D5CDD505-2E9C-101B-9397-08002B2CF9AE}" pid="30" name="APRAEntityAdviceSupport">
    <vt:lpwstr/>
  </property>
  <property fmtid="{D5CDD505-2E9C-101B-9397-08002B2CF9AE}" pid="31" name="APRALegislation">
    <vt:lpwstr/>
  </property>
  <property fmtid="{D5CDD505-2E9C-101B-9397-08002B2CF9AE}" pid="32" name="APRAYear">
    <vt:lpwstr/>
  </property>
  <property fmtid="{D5CDD505-2E9C-101B-9397-08002B2CF9AE}" pid="33" name="APRAIndustry">
    <vt:lpwstr/>
  </property>
  <property fmtid="{D5CDD505-2E9C-101B-9397-08002B2CF9AE}" pid="34" name="_dlc_DocIdItemGuid">
    <vt:lpwstr>51fd85b8-77dc-4edf-8ab7-5a938eef987f</vt:lpwstr>
  </property>
  <property fmtid="{D5CDD505-2E9C-101B-9397-08002B2CF9AE}" pid="35" name="RecordPoint_WorkflowType">
    <vt:lpwstr>ActiveSubmitStub</vt:lpwstr>
  </property>
  <property fmtid="{D5CDD505-2E9C-101B-9397-08002B2CF9AE}" pid="36" name="RecordPoint_ActiveItemSiteId">
    <vt:lpwstr>{99f7d170-f886-4b78-8389-87e4657e4bc8}</vt:lpwstr>
  </property>
  <property fmtid="{D5CDD505-2E9C-101B-9397-08002B2CF9AE}" pid="37" name="RecordPoint_ActiveItemListId">
    <vt:lpwstr>{61fbfb6e-bac9-459c-9569-360598f35847}</vt:lpwstr>
  </property>
  <property fmtid="{D5CDD505-2E9C-101B-9397-08002B2CF9AE}" pid="38" name="RecordPoint_ActiveItemUniqueId">
    <vt:lpwstr>{51fd85b8-77dc-4edf-8ab7-5a938eef987f}</vt:lpwstr>
  </property>
  <property fmtid="{D5CDD505-2E9C-101B-9397-08002B2CF9AE}" pid="39" name="RecordPoint_ActiveItemWebId">
    <vt:lpwstr>{ad6dddf9-383b-42a4-9cb2-33e024a97839}</vt:lpwstr>
  </property>
  <property fmtid="{D5CDD505-2E9C-101B-9397-08002B2CF9AE}" pid="40" name="RecordPoint_RecordNumberSubmitted">
    <vt:lpwstr>R0001442942</vt:lpwstr>
  </property>
  <property fmtid="{D5CDD505-2E9C-101B-9397-08002B2CF9AE}" pid="41" name="PM_Display">
    <vt:lpwstr>OFFICIAL</vt:lpwstr>
  </property>
  <property fmtid="{D5CDD505-2E9C-101B-9397-08002B2CF9AE}" pid="42" name="PM_OriginatorDomainName_SHA256">
    <vt:lpwstr>ECBDE2B44A971754412B3FB70606937A119CC0D4B6C1B658A40FBD41C30BE3EC</vt:lpwstr>
  </property>
  <property fmtid="{D5CDD505-2E9C-101B-9397-08002B2CF9AE}" pid="43" name="IsLocked">
    <vt:lpwstr>False</vt:lpwstr>
  </property>
  <property fmtid="{D5CDD505-2E9C-101B-9397-08002B2CF9AE}" pid="44" name="PMUuid">
    <vt:lpwstr>v=2022.2;d=gov.au;g=46DD6D7C-8107-577B-BC6E-F348953B2E44</vt:lpwstr>
  </property>
  <property fmtid="{D5CDD505-2E9C-101B-9397-08002B2CF9AE}" pid="45" name="MSIP_Label_c0129afb-6481-4f92-bc9f-5a4a6346364d_Name">
    <vt:lpwstr>OFFICIAL</vt:lpwstr>
  </property>
  <property fmtid="{D5CDD505-2E9C-101B-9397-08002B2CF9AE}" pid="46" name="MSIP_Label_c0129afb-6481-4f92-bc9f-5a4a6346364d_SiteId">
    <vt:lpwstr>c05e3ffd-b491-4431-9809-e61d4dc78816</vt:lpwstr>
  </property>
  <property fmtid="{D5CDD505-2E9C-101B-9397-08002B2CF9AE}" pid="47" name="MSIP_Label_c0129afb-6481-4f92-bc9f-5a4a6346364d_Enabled">
    <vt:lpwstr>true</vt:lpwstr>
  </property>
  <property fmtid="{D5CDD505-2E9C-101B-9397-08002B2CF9AE}" pid="48" name="PM_Originator_Hash_SHA1">
    <vt:lpwstr>C3AD57350F36D8E1BD75F8F67CB06D435C9C43CA</vt:lpwstr>
  </property>
  <property fmtid="{D5CDD505-2E9C-101B-9397-08002B2CF9AE}" pid="49" name="PM_OriginatorUserAccountName_SHA256">
    <vt:lpwstr>6E3018F28A186D2E5FF5207C041E7A82E907C3008E071057026A53705873B72E</vt:lpwstr>
  </property>
  <property fmtid="{D5CDD505-2E9C-101B-9397-08002B2CF9AE}" pid="50" name="PM_Hash_SHA1">
    <vt:lpwstr>112052175302BF3A63A0B6BE93982516472451ED</vt:lpwstr>
  </property>
  <property fmtid="{D5CDD505-2E9C-101B-9397-08002B2CF9AE}" pid="51" name="PM_Hash_Salt">
    <vt:lpwstr>FB9BCD2BD5AED123016308FE8A3BE766</vt:lpwstr>
  </property>
  <property fmtid="{D5CDD505-2E9C-101B-9397-08002B2CF9AE}" pid="52" name="PM_Hash_Salt_Prev">
    <vt:lpwstr>88DC1F58BE7E5E90635120B3F1FB3805</vt:lpwstr>
  </property>
  <property fmtid="{D5CDD505-2E9C-101B-9397-08002B2CF9AE}" pid="53" name="PM_OriginationTimeStamp">
    <vt:lpwstr>2022-09-08T06:53:06Z</vt:lpwstr>
  </property>
  <property fmtid="{D5CDD505-2E9C-101B-9397-08002B2CF9AE}" pid="54" name="RecordPoint_SubmissionCompleted">
    <vt:lpwstr>2023-01-25T11:32:56.2061810+11:00</vt:lpwstr>
  </property>
  <property fmtid="{D5CDD505-2E9C-101B-9397-08002B2CF9AE}" pid="55" name="MSIP_Label_c0129afb-6481-4f92-bc9f-5a4a6346364d_SetDate">
    <vt:lpwstr>2022-09-08T06:53:06Z</vt:lpwstr>
  </property>
  <property fmtid="{D5CDD505-2E9C-101B-9397-08002B2CF9AE}" pid="56" name="PMHMAC">
    <vt:lpwstr>v=2022.1;a=SHA256;h=F981D8665E1FB4B32644E93A31F5C2F711D978A6FBE7AA4A355C4F1F92A5F431</vt:lpwstr>
  </property>
  <property fmtid="{D5CDD505-2E9C-101B-9397-08002B2CF9AE}" pid="57" name="MSIP_Label_c0129afb-6481-4f92-bc9f-5a4a6346364d_Method">
    <vt:lpwstr>Privileged</vt:lpwstr>
  </property>
  <property fmtid="{D5CDD505-2E9C-101B-9397-08002B2CF9AE}" pid="58" name="MSIP_Label_c0129afb-6481-4f92-bc9f-5a4a6346364d_ContentBits">
    <vt:lpwstr>0</vt:lpwstr>
  </property>
  <property fmtid="{D5CDD505-2E9C-101B-9397-08002B2CF9AE}" pid="59" name="MSIP_Label_c0129afb-6481-4f92-bc9f-5a4a6346364d_ActionId">
    <vt:lpwstr>b583091105944f5981f1d96ed5109fdc</vt:lpwstr>
  </property>
  <property fmtid="{D5CDD505-2E9C-101B-9397-08002B2CF9AE}" pid="60" name="APRASecurityClassification">
    <vt:lpwstr>OFFICIAL</vt:lpwstr>
  </property>
  <property fmtid="{D5CDD505-2E9C-101B-9397-08002B2CF9AE}" pid="61" name="DocumentSetDescription">
    <vt:lpwstr/>
  </property>
  <property fmtid="{D5CDD505-2E9C-101B-9397-08002B2CF9AE}" pid="62" name="MediaServiceImageTags">
    <vt:lpwstr/>
  </property>
  <property fmtid="{D5CDD505-2E9C-101B-9397-08002B2CF9AE}" pid="63" name="_ExtendedDescription">
    <vt:lpwstr/>
  </property>
  <property fmtid="{D5CDD505-2E9C-101B-9397-08002B2CF9AE}" pid="64" name="URL">
    <vt:lpwstr/>
  </property>
</Properties>
</file>