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4421AF93" w:rsidR="00955175" w:rsidRPr="00C2108C" w:rsidRDefault="00C55B3B" w:rsidP="00E2168B">
      <w:pPr>
        <w:spacing w:before="280" w:after="240"/>
        <w:rPr>
          <w:b/>
          <w:sz w:val="32"/>
          <w:szCs w:val="32"/>
        </w:rPr>
      </w:pPr>
      <w:r w:rsidRPr="00C2108C">
        <w:rPr>
          <w:noProof/>
        </w:rPr>
        <w:drawing>
          <wp:anchor distT="0" distB="0" distL="114300" distR="114300" simplePos="0" relativeHeight="251658240" behindDoc="0" locked="0" layoutInCell="1" allowOverlap="1" wp14:anchorId="7F506AFA" wp14:editId="0277AC82">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C2108C" w:rsidRDefault="00955175" w:rsidP="00955175">
      <w:pPr>
        <w:pStyle w:val="LI-Title"/>
        <w:pBdr>
          <w:top w:val="none" w:sz="0" w:space="0" w:color="auto"/>
        </w:pBdr>
        <w:jc w:val="center"/>
      </w:pPr>
    </w:p>
    <w:p w14:paraId="5B8D4084" w14:textId="77777777" w:rsidR="00955175" w:rsidRPr="00C2108C" w:rsidRDefault="00955175" w:rsidP="00955175">
      <w:pPr>
        <w:pStyle w:val="LI-Title"/>
        <w:pBdr>
          <w:top w:val="none" w:sz="0" w:space="0" w:color="auto"/>
        </w:pBdr>
        <w:jc w:val="center"/>
      </w:pPr>
      <w:r w:rsidRPr="00C2108C">
        <w:t>Explanatory Statement</w:t>
      </w:r>
    </w:p>
    <w:p w14:paraId="54F0DD85" w14:textId="77777777" w:rsidR="00955175" w:rsidRPr="00C2108C" w:rsidRDefault="00955175" w:rsidP="00955175">
      <w:pPr>
        <w:rPr>
          <w:lang w:eastAsia="en-AU"/>
        </w:rPr>
      </w:pPr>
    </w:p>
    <w:p w14:paraId="376F21CA" w14:textId="4171434A" w:rsidR="00C4170B" w:rsidRPr="00C2108C" w:rsidRDefault="00B5007C" w:rsidP="00C4170B">
      <w:pPr>
        <w:jc w:val="center"/>
        <w:rPr>
          <w:b/>
          <w:i/>
          <w:sz w:val="28"/>
          <w:szCs w:val="28"/>
          <w:lang w:eastAsia="en-AU"/>
        </w:rPr>
      </w:pPr>
      <w:r w:rsidRPr="00C2108C">
        <w:rPr>
          <w:b/>
          <w:i/>
          <w:sz w:val="28"/>
          <w:szCs w:val="28"/>
          <w:lang w:eastAsia="en-AU"/>
        </w:rPr>
        <w:t>ASIC Corporations (Amendment) Instrument 2023/368</w:t>
      </w:r>
    </w:p>
    <w:p w14:paraId="3D70207E" w14:textId="37B2D7AE" w:rsidR="00863657" w:rsidRPr="00C2108C" w:rsidRDefault="00F800C9" w:rsidP="00F800C9">
      <w:pPr>
        <w:pStyle w:val="LI-BodyTextParaa"/>
        <w:ind w:left="0" w:firstLine="0"/>
      </w:pPr>
      <w:r w:rsidRPr="00C2108C">
        <w:t xml:space="preserve">This is the Explanatory Statement for </w:t>
      </w:r>
      <w:r w:rsidR="00B5007C" w:rsidRPr="00C2108C">
        <w:rPr>
          <w:i/>
          <w:iCs/>
        </w:rPr>
        <w:t>ASIC Corporations (Amendment) Instrument 2023/368</w:t>
      </w:r>
      <w:r w:rsidR="00F819D1" w:rsidRPr="00C2108C">
        <w:rPr>
          <w:i/>
          <w:iCs/>
        </w:rPr>
        <w:t xml:space="preserve"> </w:t>
      </w:r>
      <w:r w:rsidR="00F819D1" w:rsidRPr="00C2108C">
        <w:t xml:space="preserve">(the </w:t>
      </w:r>
      <w:r w:rsidR="00F819D1" w:rsidRPr="00C2108C">
        <w:rPr>
          <w:b/>
          <w:bCs/>
          <w:i/>
          <w:iCs/>
        </w:rPr>
        <w:t>Instrument</w:t>
      </w:r>
      <w:r w:rsidR="00F819D1" w:rsidRPr="00C2108C">
        <w:t>)</w:t>
      </w:r>
      <w:r w:rsidR="00B5007C" w:rsidRPr="00C2108C">
        <w:t>.</w:t>
      </w:r>
    </w:p>
    <w:p w14:paraId="119B6103" w14:textId="77777777" w:rsidR="00F800C9" w:rsidRPr="00C2108C" w:rsidRDefault="00863657" w:rsidP="00F800C9">
      <w:pPr>
        <w:pStyle w:val="LI-BodyTextParaa"/>
        <w:ind w:left="0" w:firstLine="0"/>
      </w:pPr>
      <w:r w:rsidRPr="00C2108C">
        <w:t>Th</w:t>
      </w:r>
      <w:r w:rsidR="00F800C9" w:rsidRPr="00C2108C">
        <w:t>e</w:t>
      </w:r>
      <w:r w:rsidRPr="00C2108C">
        <w:t xml:space="preserve"> </w:t>
      </w:r>
      <w:r w:rsidR="00F800C9" w:rsidRPr="00C2108C">
        <w:t>Explanatory Statement is approved by the Australian Securities and Investments Commission (</w:t>
      </w:r>
      <w:r w:rsidR="00F800C9" w:rsidRPr="00C2108C">
        <w:rPr>
          <w:b/>
          <w:i/>
        </w:rPr>
        <w:t>ASIC</w:t>
      </w:r>
      <w:r w:rsidR="00F800C9" w:rsidRPr="00C2108C">
        <w:t>).</w:t>
      </w:r>
    </w:p>
    <w:p w14:paraId="10E55E66" w14:textId="77777777" w:rsidR="00F800C9" w:rsidRPr="00C2108C" w:rsidRDefault="005D1FEA" w:rsidP="006D6079">
      <w:pPr>
        <w:pStyle w:val="LI-BodyTextNumbered"/>
        <w:keepNext/>
        <w:ind w:left="0" w:firstLine="0"/>
        <w:rPr>
          <w:b/>
        </w:rPr>
      </w:pPr>
      <w:r w:rsidRPr="00C2108C">
        <w:rPr>
          <w:b/>
        </w:rPr>
        <w:t>Summary</w:t>
      </w:r>
    </w:p>
    <w:p w14:paraId="4A632C45" w14:textId="13B10B77" w:rsidR="00F800C9" w:rsidRPr="004716B3" w:rsidRDefault="00F800C9" w:rsidP="00F800C9">
      <w:pPr>
        <w:pStyle w:val="LI-BodyTextParaa"/>
        <w:ind w:left="567"/>
      </w:pPr>
      <w:r w:rsidRPr="00C2108C">
        <w:t>1</w:t>
      </w:r>
      <w:r w:rsidR="005D1FEA" w:rsidRPr="00C2108C">
        <w:t>.</w:t>
      </w:r>
      <w:r w:rsidRPr="00C2108C">
        <w:tab/>
      </w:r>
      <w:r w:rsidR="007D76D3" w:rsidRPr="00C2108C">
        <w:t xml:space="preserve">This Instrument amends the </w:t>
      </w:r>
      <w:r w:rsidR="007D76D3" w:rsidRPr="00C2108C">
        <w:rPr>
          <w:i/>
          <w:iCs/>
          <w:color w:val="000000"/>
          <w:shd w:val="clear" w:color="auto" w:fill="FFFFFF"/>
        </w:rPr>
        <w:t xml:space="preserve">Corporations (CS Facility Exemption) Instrument 2023/18 </w:t>
      </w:r>
      <w:r w:rsidR="007D76D3" w:rsidRPr="00C2108C">
        <w:rPr>
          <w:color w:val="000000"/>
          <w:shd w:val="clear" w:color="auto" w:fill="FFFFFF"/>
        </w:rPr>
        <w:t>(</w:t>
      </w:r>
      <w:r w:rsidR="007D76D3" w:rsidRPr="00C2108C">
        <w:rPr>
          <w:b/>
          <w:bCs/>
          <w:i/>
          <w:iCs/>
          <w:color w:val="000000"/>
          <w:shd w:val="clear" w:color="auto" w:fill="FFFFFF"/>
        </w:rPr>
        <w:t>Exemption</w:t>
      </w:r>
      <w:r w:rsidR="007D76D3" w:rsidRPr="004716B3">
        <w:rPr>
          <w:b/>
          <w:bCs/>
          <w:i/>
          <w:iCs/>
          <w:color w:val="000000"/>
          <w:shd w:val="clear" w:color="auto" w:fill="FFFFFF"/>
        </w:rPr>
        <w:t xml:space="preserve"> Instrument</w:t>
      </w:r>
      <w:r w:rsidR="007D76D3" w:rsidRPr="004716B3">
        <w:rPr>
          <w:color w:val="000000"/>
          <w:shd w:val="clear" w:color="auto" w:fill="FFFFFF"/>
        </w:rPr>
        <w:t>) under s</w:t>
      </w:r>
      <w:r w:rsidR="0056730E" w:rsidRPr="004716B3">
        <w:rPr>
          <w:color w:val="000000"/>
          <w:shd w:val="clear" w:color="auto" w:fill="FFFFFF"/>
        </w:rPr>
        <w:t xml:space="preserve">ubsection </w:t>
      </w:r>
      <w:r w:rsidR="007D76D3" w:rsidRPr="004716B3">
        <w:rPr>
          <w:color w:val="000000"/>
          <w:shd w:val="clear" w:color="auto" w:fill="FFFFFF"/>
        </w:rPr>
        <w:t xml:space="preserve">820C(2) of the </w:t>
      </w:r>
      <w:r w:rsidR="007D76D3" w:rsidRPr="004716B3">
        <w:rPr>
          <w:i/>
          <w:iCs/>
          <w:color w:val="000000"/>
          <w:shd w:val="clear" w:color="auto" w:fill="FFFFFF"/>
        </w:rPr>
        <w:t>Corporations Act 2001</w:t>
      </w:r>
      <w:r w:rsidR="007D76D3" w:rsidRPr="004716B3">
        <w:rPr>
          <w:color w:val="000000"/>
          <w:shd w:val="clear" w:color="auto" w:fill="FFFFFF"/>
        </w:rPr>
        <w:t xml:space="preserve"> (the </w:t>
      </w:r>
      <w:r w:rsidR="007D76D3" w:rsidRPr="004716B3">
        <w:rPr>
          <w:b/>
          <w:bCs/>
          <w:i/>
          <w:iCs/>
          <w:color w:val="000000"/>
          <w:shd w:val="clear" w:color="auto" w:fill="FFFFFF"/>
        </w:rPr>
        <w:t>Act</w:t>
      </w:r>
      <w:r w:rsidR="007D76D3" w:rsidRPr="004716B3">
        <w:rPr>
          <w:color w:val="000000"/>
          <w:shd w:val="clear" w:color="auto" w:fill="FFFFFF"/>
        </w:rPr>
        <w:t>) to extend the operation of the Exemption Instrument until the start of 1 August 2023.</w:t>
      </w:r>
    </w:p>
    <w:p w14:paraId="5962D771" w14:textId="1831C4C1" w:rsidR="005D1FEA" w:rsidRPr="004716B3" w:rsidRDefault="005D1FEA" w:rsidP="007D76D3">
      <w:pPr>
        <w:pStyle w:val="LI-BodyTextNumbered"/>
        <w:keepNext/>
        <w:ind w:left="0" w:firstLine="0"/>
        <w:rPr>
          <w:b/>
        </w:rPr>
      </w:pPr>
      <w:r w:rsidRPr="004716B3">
        <w:rPr>
          <w:b/>
        </w:rPr>
        <w:t>Purpose of the instrument</w:t>
      </w:r>
    </w:p>
    <w:p w14:paraId="0A46EB43" w14:textId="2D0B9332" w:rsidR="007D76D3" w:rsidRPr="007D76D3" w:rsidRDefault="00E76E1F" w:rsidP="007D76D3">
      <w:pPr>
        <w:pStyle w:val="LI-BodyTextParaa"/>
        <w:ind w:left="567"/>
        <w:rPr>
          <w:color w:val="000000"/>
          <w:shd w:val="clear" w:color="auto" w:fill="FFFFFF"/>
        </w:rPr>
      </w:pPr>
      <w:r w:rsidRPr="004716B3">
        <w:rPr>
          <w:color w:val="000000"/>
          <w:shd w:val="clear" w:color="auto" w:fill="FFFFFF"/>
        </w:rPr>
        <w:t>2</w:t>
      </w:r>
      <w:r w:rsidR="007D76D3" w:rsidRPr="004716B3">
        <w:rPr>
          <w:color w:val="000000"/>
          <w:shd w:val="clear" w:color="auto" w:fill="FFFFFF"/>
        </w:rPr>
        <w:t>.</w:t>
      </w:r>
      <w:r w:rsidR="007D76D3" w:rsidRPr="004716B3">
        <w:rPr>
          <w:color w:val="000000"/>
          <w:sz w:val="14"/>
          <w:szCs w:val="14"/>
          <w:shd w:val="clear" w:color="auto" w:fill="FFFFFF"/>
        </w:rPr>
        <w:t>           </w:t>
      </w:r>
      <w:r w:rsidR="007D76D3" w:rsidRPr="004716B3">
        <w:rPr>
          <w:color w:val="000000"/>
          <w:shd w:val="clear" w:color="auto" w:fill="FFFFFF"/>
        </w:rPr>
        <w:t>The purpose of the Instrument is to extend the operation of the Exemption Instrument to accommodate</w:t>
      </w:r>
      <w:r w:rsidR="007D76D3" w:rsidRPr="0057626E">
        <w:rPr>
          <w:color w:val="000000"/>
          <w:shd w:val="clear" w:color="auto" w:fill="FFFFFF"/>
        </w:rPr>
        <w:t xml:space="preserve"> for the increased duration of the CBDC Pilot. The Exemption Instrument</w:t>
      </w:r>
      <w:r w:rsidR="007D76D3">
        <w:rPr>
          <w:color w:val="000000"/>
          <w:shd w:val="clear" w:color="auto" w:fill="FFFFFF"/>
        </w:rPr>
        <w:t xml:space="preserve"> exempts use case platforms in the CBDC Pilot involving the operation of a clearing and settlement facility from the </w:t>
      </w:r>
      <w:r w:rsidR="00DE2527">
        <w:rPr>
          <w:color w:val="000000"/>
          <w:shd w:val="clear" w:color="auto" w:fill="FFFFFF"/>
        </w:rPr>
        <w:t>provisions</w:t>
      </w:r>
      <w:r w:rsidR="007D76D3">
        <w:rPr>
          <w:color w:val="000000"/>
          <w:shd w:val="clear" w:color="auto" w:fill="FFFFFF"/>
        </w:rPr>
        <w:t xml:space="preserve"> of Part 7.3 of the Act, subject to the conditions set out in the </w:t>
      </w:r>
      <w:r w:rsidR="00102A4C">
        <w:rPr>
          <w:color w:val="000000"/>
          <w:shd w:val="clear" w:color="auto" w:fill="FFFFFF"/>
        </w:rPr>
        <w:t xml:space="preserve">Exemption </w:t>
      </w:r>
      <w:r w:rsidR="007D76D3">
        <w:rPr>
          <w:color w:val="000000"/>
          <w:shd w:val="clear" w:color="auto" w:fill="FFFFFF"/>
        </w:rPr>
        <w:t>Instrument.</w:t>
      </w:r>
    </w:p>
    <w:p w14:paraId="3FEFE29E" w14:textId="77777777" w:rsidR="009A3F74" w:rsidRDefault="009A3F74" w:rsidP="006D6079">
      <w:pPr>
        <w:pStyle w:val="LI-BodyTextNumbered"/>
        <w:keepNext/>
        <w:ind w:left="0" w:firstLine="0"/>
        <w:rPr>
          <w:b/>
        </w:rPr>
      </w:pPr>
      <w:bookmarkStart w:id="0" w:name="_Hlk534291624"/>
      <w:r>
        <w:rPr>
          <w:b/>
        </w:rPr>
        <w:t>Consultation</w:t>
      </w:r>
    </w:p>
    <w:p w14:paraId="70D595B2" w14:textId="2071039A" w:rsidR="009A3F74" w:rsidRDefault="00863657" w:rsidP="009A3F74">
      <w:pPr>
        <w:pStyle w:val="LI-BodyTextParaa"/>
        <w:ind w:left="567"/>
      </w:pPr>
      <w:r>
        <w:t>3</w:t>
      </w:r>
      <w:r w:rsidR="009A3F74">
        <w:t>.</w:t>
      </w:r>
      <w:r w:rsidR="009A3F74">
        <w:tab/>
      </w:r>
      <w:r w:rsidR="00F819D1">
        <w:t>In making th</w:t>
      </w:r>
      <w:r w:rsidR="00FE4820">
        <w:t xml:space="preserve">e Instrument, ASIC has consulted with the operator of each clearing and settlement facility known to be covered by the Exemption Instrument. For completeness, ASIC has </w:t>
      </w:r>
      <w:r w:rsidR="008579BC">
        <w:t xml:space="preserve">also </w:t>
      </w:r>
      <w:r w:rsidR="00FE4820">
        <w:t xml:space="preserve">consulted with </w:t>
      </w:r>
      <w:r w:rsidR="00E22564">
        <w:t xml:space="preserve">operators </w:t>
      </w:r>
      <w:r w:rsidR="00FE4820">
        <w:t xml:space="preserve">that </w:t>
      </w:r>
      <w:r w:rsidR="00824DD2">
        <w:t>intend to utilise the relief provided by the Exemption Instrument but</w:t>
      </w:r>
      <w:r w:rsidR="00FE4820">
        <w:t xml:space="preserve"> have not yet provided an opt-in notice under the Exemption Instrument</w:t>
      </w:r>
      <w:r w:rsidR="00824DD2">
        <w:t>.</w:t>
      </w:r>
    </w:p>
    <w:p w14:paraId="5FE77FCE" w14:textId="66D03CBD" w:rsidR="00FE4820" w:rsidRDefault="00FE4820" w:rsidP="009A3F74">
      <w:pPr>
        <w:pStyle w:val="LI-BodyTextParaa"/>
        <w:ind w:left="567"/>
      </w:pPr>
      <w:r>
        <w:t>4.</w:t>
      </w:r>
      <w:r>
        <w:tab/>
        <w:t xml:space="preserve">Further, ASIC has published a notice on the </w:t>
      </w:r>
      <w:hyperlink r:id="rId15" w:history="1">
        <w:r w:rsidRPr="00FE4820">
          <w:rPr>
            <w:rStyle w:val="Hyperlink"/>
          </w:rPr>
          <w:t>Exempt clearing and settlement facilities operating in Australia</w:t>
        </w:r>
      </w:hyperlink>
      <w:r>
        <w:t xml:space="preserve"> webpage allowing a reasonable period within which the operator of each clearing and settlement facility covered by the Exemption Instrument may make submissions on the proposed action to amend the Exemption Instrument.</w:t>
      </w:r>
    </w:p>
    <w:p w14:paraId="5DB7199E" w14:textId="49D63283" w:rsidR="00B05BC9" w:rsidRPr="00FE2FB8" w:rsidRDefault="00B05BC9" w:rsidP="009A3F74">
      <w:pPr>
        <w:pStyle w:val="LI-BodyTextParaa"/>
        <w:ind w:left="567"/>
        <w:rPr>
          <w:bCs/>
        </w:rPr>
      </w:pPr>
      <w:r>
        <w:t>5.</w:t>
      </w:r>
      <w:r>
        <w:tab/>
      </w:r>
      <w:r w:rsidR="00070D5A">
        <w:rPr>
          <w:color w:val="000000"/>
          <w:shd w:val="clear" w:color="auto" w:fill="FFFFFF"/>
        </w:rPr>
        <w:t>ASIC has consulted with the Office of Impact Analysis (</w:t>
      </w:r>
      <w:r w:rsidR="00070D5A">
        <w:rPr>
          <w:b/>
          <w:bCs/>
          <w:i/>
          <w:iCs/>
          <w:color w:val="000000"/>
          <w:shd w:val="clear" w:color="auto" w:fill="FFFFFF"/>
        </w:rPr>
        <w:t>OIA</w:t>
      </w:r>
      <w:r w:rsidR="00070D5A">
        <w:rPr>
          <w:color w:val="000000"/>
          <w:shd w:val="clear" w:color="auto" w:fill="FFFFFF"/>
        </w:rPr>
        <w:t>) in relation to whether an Impact Analysis (</w:t>
      </w:r>
      <w:r w:rsidR="00070D5A">
        <w:rPr>
          <w:b/>
          <w:bCs/>
          <w:i/>
          <w:iCs/>
          <w:color w:val="000000"/>
          <w:shd w:val="clear" w:color="auto" w:fill="FFFFFF"/>
        </w:rPr>
        <w:t>IA</w:t>
      </w:r>
      <w:r w:rsidR="00070D5A">
        <w:rPr>
          <w:i/>
          <w:iCs/>
          <w:color w:val="000000"/>
          <w:shd w:val="clear" w:color="auto" w:fill="FFFFFF"/>
        </w:rPr>
        <w:t>)</w:t>
      </w:r>
      <w:r w:rsidR="00070D5A">
        <w:rPr>
          <w:color w:val="000000"/>
          <w:shd w:val="clear" w:color="auto" w:fill="FFFFFF"/>
        </w:rPr>
        <w:t xml:space="preserve"> is required for this proposed change. OIA advised that the preparation of an IA was not required because the proposal is still considered no more than </w:t>
      </w:r>
      <w:r w:rsidR="00521C3F">
        <w:rPr>
          <w:color w:val="000000"/>
          <w:shd w:val="clear" w:color="auto" w:fill="FFFFFF"/>
        </w:rPr>
        <w:t>minor,</w:t>
      </w:r>
      <w:r w:rsidR="00070D5A">
        <w:rPr>
          <w:color w:val="000000"/>
          <w:shd w:val="clear" w:color="auto" w:fill="FFFFFF"/>
        </w:rPr>
        <w:t xml:space="preserve"> and their advice remained current. </w:t>
      </w:r>
    </w:p>
    <w:p w14:paraId="4CDCC6BF" w14:textId="37E93AA1" w:rsidR="005D1FEA" w:rsidRDefault="005D1FEA" w:rsidP="006D6079">
      <w:pPr>
        <w:pStyle w:val="LI-BodyTextNumbered"/>
        <w:keepNext/>
        <w:ind w:left="0" w:firstLine="0"/>
        <w:rPr>
          <w:b/>
        </w:rPr>
      </w:pPr>
      <w:r>
        <w:rPr>
          <w:b/>
        </w:rPr>
        <w:lastRenderedPageBreak/>
        <w:t>Operation of the instrument</w:t>
      </w:r>
    </w:p>
    <w:p w14:paraId="65384348" w14:textId="77777777" w:rsidR="00A257D5" w:rsidRDefault="00A257D5" w:rsidP="00A257D5">
      <w:pPr>
        <w:pStyle w:val="li-bodytextnumbered0"/>
        <w:shd w:val="clear" w:color="auto" w:fill="FFFFFF"/>
        <w:spacing w:before="240" w:beforeAutospacing="0" w:after="0" w:afterAutospacing="0"/>
        <w:rPr>
          <w:color w:val="000000"/>
        </w:rPr>
      </w:pPr>
      <w:r>
        <w:rPr>
          <w:b/>
          <w:bCs/>
          <w:color w:val="000000"/>
        </w:rPr>
        <w:t>Part 1 – Preliminary</w:t>
      </w:r>
    </w:p>
    <w:p w14:paraId="3A79FD65" w14:textId="77777777" w:rsidR="00A257D5" w:rsidRDefault="00A257D5" w:rsidP="00A257D5">
      <w:pPr>
        <w:pStyle w:val="li-bodytextnumbered0"/>
        <w:shd w:val="clear" w:color="auto" w:fill="FFFFFF"/>
        <w:spacing w:before="240" w:beforeAutospacing="0" w:after="0" w:afterAutospacing="0"/>
        <w:rPr>
          <w:color w:val="000000"/>
        </w:rPr>
      </w:pPr>
      <w:r>
        <w:rPr>
          <w:b/>
          <w:bCs/>
          <w:i/>
          <w:iCs/>
          <w:color w:val="000000"/>
        </w:rPr>
        <w:t>Commencement</w:t>
      </w:r>
    </w:p>
    <w:p w14:paraId="74FAD62B" w14:textId="5CD73284" w:rsidR="00A257D5" w:rsidRDefault="00E76E1F" w:rsidP="00A257D5">
      <w:pPr>
        <w:pStyle w:val="li-bodytextnumbered0"/>
        <w:shd w:val="clear" w:color="auto" w:fill="FFFFFF"/>
        <w:spacing w:before="240" w:beforeAutospacing="0" w:after="0" w:afterAutospacing="0"/>
        <w:ind w:left="567" w:hanging="567"/>
        <w:rPr>
          <w:color w:val="000000"/>
        </w:rPr>
      </w:pPr>
      <w:r>
        <w:rPr>
          <w:color w:val="000000"/>
        </w:rPr>
        <w:t>6</w:t>
      </w:r>
      <w:r w:rsidR="00A257D5">
        <w:rPr>
          <w:color w:val="000000"/>
        </w:rPr>
        <w:t>.</w:t>
      </w:r>
      <w:r w:rsidR="00A257D5">
        <w:rPr>
          <w:color w:val="000000"/>
          <w:sz w:val="14"/>
          <w:szCs w:val="14"/>
        </w:rPr>
        <w:t>           </w:t>
      </w:r>
      <w:r w:rsidR="00A257D5">
        <w:rPr>
          <w:color w:val="000000"/>
        </w:rPr>
        <w:t>Section 2 of the Instrument provides that the Instrument commences on the day after it is registered on the Federal Register of Legislation.</w:t>
      </w:r>
    </w:p>
    <w:p w14:paraId="55F71E97" w14:textId="77777777" w:rsidR="00A257D5" w:rsidRDefault="00A257D5" w:rsidP="00A257D5">
      <w:pPr>
        <w:pStyle w:val="li-bodytextnumbered0"/>
        <w:shd w:val="clear" w:color="auto" w:fill="FFFFFF"/>
        <w:spacing w:before="240" w:beforeAutospacing="0" w:after="0" w:afterAutospacing="0"/>
        <w:rPr>
          <w:color w:val="000000"/>
        </w:rPr>
      </w:pPr>
      <w:r>
        <w:rPr>
          <w:b/>
          <w:bCs/>
          <w:i/>
          <w:iCs/>
          <w:color w:val="000000"/>
        </w:rPr>
        <w:t>Authority</w:t>
      </w:r>
    </w:p>
    <w:p w14:paraId="045D6126" w14:textId="0A866DDE" w:rsidR="00A257D5" w:rsidRDefault="00E76E1F" w:rsidP="00A257D5">
      <w:pPr>
        <w:pStyle w:val="li-bodytextnumbered0"/>
        <w:shd w:val="clear" w:color="auto" w:fill="FFFFFF"/>
        <w:spacing w:before="240" w:beforeAutospacing="0" w:after="0" w:afterAutospacing="0"/>
        <w:ind w:left="567" w:hanging="567"/>
        <w:rPr>
          <w:color w:val="000000"/>
        </w:rPr>
      </w:pPr>
      <w:r>
        <w:rPr>
          <w:color w:val="000000"/>
        </w:rPr>
        <w:t>7</w:t>
      </w:r>
      <w:r w:rsidR="00A257D5">
        <w:rPr>
          <w:color w:val="000000"/>
        </w:rPr>
        <w:t>.</w:t>
      </w:r>
      <w:r w:rsidR="00A257D5">
        <w:rPr>
          <w:color w:val="000000"/>
          <w:sz w:val="14"/>
          <w:szCs w:val="14"/>
        </w:rPr>
        <w:t>         </w:t>
      </w:r>
      <w:r w:rsidR="00CA72D8">
        <w:rPr>
          <w:color w:val="000000"/>
          <w:sz w:val="14"/>
          <w:szCs w:val="14"/>
        </w:rPr>
        <w:tab/>
      </w:r>
      <w:r w:rsidR="00A257D5">
        <w:rPr>
          <w:color w:val="000000"/>
        </w:rPr>
        <w:t>Section 3 of the Instrument provides that the Instrument is made under subsection 820C(2) of the Act.</w:t>
      </w:r>
    </w:p>
    <w:p w14:paraId="097B0B6F" w14:textId="0563BEC8" w:rsidR="00A257D5" w:rsidRDefault="00A257D5" w:rsidP="006D6079">
      <w:pPr>
        <w:pStyle w:val="LI-BodyTextNumbered"/>
        <w:keepNext/>
        <w:ind w:left="0" w:firstLine="0"/>
        <w:rPr>
          <w:b/>
          <w:bCs/>
          <w:color w:val="000000"/>
          <w:shd w:val="clear" w:color="auto" w:fill="FFFFFF"/>
        </w:rPr>
      </w:pPr>
      <w:r>
        <w:rPr>
          <w:b/>
          <w:bCs/>
          <w:color w:val="000000"/>
          <w:shd w:val="clear" w:color="auto" w:fill="FFFFFF"/>
        </w:rPr>
        <w:t>Schedule 1 – Amendments</w:t>
      </w:r>
    </w:p>
    <w:p w14:paraId="5E9AB640" w14:textId="1B670603" w:rsidR="00A257D5" w:rsidRDefault="00A257D5" w:rsidP="006D6079">
      <w:pPr>
        <w:pStyle w:val="LI-BodyTextNumbered"/>
        <w:keepNext/>
        <w:ind w:left="0" w:firstLine="0"/>
        <w:rPr>
          <w:b/>
          <w:i/>
          <w:iCs/>
        </w:rPr>
      </w:pPr>
      <w:r w:rsidRPr="00A257D5">
        <w:rPr>
          <w:b/>
          <w:i/>
          <w:iCs/>
        </w:rPr>
        <w:t>Corporations (CS Facility Exemption) Instrument 2023/18</w:t>
      </w:r>
    </w:p>
    <w:p w14:paraId="33FAEDAD" w14:textId="323B846D" w:rsidR="00474B52" w:rsidRPr="00B4355C" w:rsidRDefault="00E76E1F" w:rsidP="00B4355C">
      <w:pPr>
        <w:pStyle w:val="li-bodytextnumbered0"/>
        <w:shd w:val="clear" w:color="auto" w:fill="FFFFFF"/>
        <w:spacing w:before="240" w:beforeAutospacing="0" w:after="0" w:afterAutospacing="0"/>
        <w:ind w:left="567" w:hanging="567"/>
        <w:rPr>
          <w:color w:val="000000"/>
        </w:rPr>
      </w:pPr>
      <w:r>
        <w:rPr>
          <w:color w:val="000000"/>
        </w:rPr>
        <w:t>8</w:t>
      </w:r>
      <w:r w:rsidR="00A257D5">
        <w:rPr>
          <w:color w:val="000000"/>
        </w:rPr>
        <w:t>.</w:t>
      </w:r>
      <w:r w:rsidR="00A257D5">
        <w:rPr>
          <w:color w:val="000000"/>
          <w:sz w:val="14"/>
          <w:szCs w:val="14"/>
        </w:rPr>
        <w:t>        </w:t>
      </w:r>
      <w:r w:rsidR="008651E7">
        <w:rPr>
          <w:color w:val="000000"/>
          <w:sz w:val="14"/>
          <w:szCs w:val="14"/>
        </w:rPr>
        <w:tab/>
      </w:r>
      <w:r w:rsidR="00A257D5">
        <w:rPr>
          <w:color w:val="000000"/>
        </w:rPr>
        <w:t xml:space="preserve">Item 1 of Schedule 1 omits “1 June 2023” and substitutes “1 August 2023”, which changes the repeal date of the Exemption Instrument from the start of 1 June 2023 to the start of 1 August 2023. </w:t>
      </w:r>
    </w:p>
    <w:p w14:paraId="57A93CEC"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6DD094F0" w14:textId="2FE6FC12" w:rsidR="00B4355C" w:rsidRDefault="00E76E1F" w:rsidP="00B4355C">
      <w:pPr>
        <w:pStyle w:val="li-bodytextparaa0"/>
        <w:shd w:val="clear" w:color="auto" w:fill="FFFFFF"/>
        <w:spacing w:before="240" w:beforeAutospacing="0" w:after="0" w:afterAutospacing="0"/>
        <w:ind w:left="567" w:hanging="567"/>
        <w:rPr>
          <w:color w:val="000000"/>
        </w:rPr>
      </w:pPr>
      <w:r>
        <w:t>9</w:t>
      </w:r>
      <w:r w:rsidR="00C52E7C">
        <w:t>.</w:t>
      </w:r>
      <w:r w:rsidR="00C52E7C">
        <w:tab/>
      </w:r>
      <w:r w:rsidR="00B4355C">
        <w:rPr>
          <w:color w:val="000000"/>
        </w:rPr>
        <w:t>The subject matter and policy implemented by this Instrument is more appropriate for a legislative instrument rather than primary legislation because:</w:t>
      </w:r>
    </w:p>
    <w:p w14:paraId="75EE9C11" w14:textId="4BC36CD8" w:rsidR="00B4355C" w:rsidRDefault="00B4355C" w:rsidP="00B4355C">
      <w:pPr>
        <w:pStyle w:val="li-bodytextparaa0"/>
        <w:shd w:val="clear" w:color="auto" w:fill="FFFFFF"/>
        <w:spacing w:before="240" w:beforeAutospacing="0" w:after="0" w:afterAutospacing="0"/>
        <w:ind w:left="1134" w:hanging="567"/>
        <w:rPr>
          <w:color w:val="000000"/>
        </w:rPr>
      </w:pPr>
      <w:r>
        <w:rPr>
          <w:color w:val="000000"/>
        </w:rPr>
        <w:t xml:space="preserve">(a)     The matters contained in the Instrument only affect a relatively small subset of entities, namely those participating in the CBDC Pilot. The Instrument amends the Exemption Instrument to extend administrative relief in circumstances where strict compliance with the primary legislation produces a significant regulatory burden. On this basis, it is appropriate for the delegate of the Minister to </w:t>
      </w:r>
      <w:r w:rsidR="003B0B7B">
        <w:rPr>
          <w:color w:val="000000"/>
        </w:rPr>
        <w:t>amend the Exemption Instrument to extend</w:t>
      </w:r>
      <w:r>
        <w:rPr>
          <w:color w:val="000000"/>
        </w:rPr>
        <w:t xml:space="preserve"> exemptive relief, as the matters contained in this particular instrument are of a highly specific and temporary nature which are more appropriate for a legislative instrument rather than primary legislation.</w:t>
      </w:r>
    </w:p>
    <w:p w14:paraId="690D63FB" w14:textId="4B4BEFE4" w:rsidR="00C52E7C" w:rsidRPr="00E37468" w:rsidRDefault="00B4355C" w:rsidP="00E37468">
      <w:pPr>
        <w:pStyle w:val="li-bodytextparaa0"/>
        <w:shd w:val="clear" w:color="auto" w:fill="FFFFFF"/>
        <w:spacing w:before="240" w:beforeAutospacing="0" w:after="0" w:afterAutospacing="0"/>
        <w:ind w:left="1134" w:hanging="567"/>
        <w:rPr>
          <w:color w:val="000000"/>
        </w:rPr>
      </w:pPr>
      <w:r>
        <w:rPr>
          <w:color w:val="000000"/>
        </w:rPr>
        <w:t>(b)     There is a need to move more quickly than Parliamentary processes allow due to the timeline of the CBDC Pilot.</w:t>
      </w:r>
    </w:p>
    <w:bookmarkEnd w:id="0"/>
    <w:p w14:paraId="6E228E05" w14:textId="77777777" w:rsidR="00F03BB5" w:rsidRDefault="00474B52" w:rsidP="006D6079">
      <w:pPr>
        <w:pStyle w:val="LI-BodyTextNumbered"/>
        <w:keepNext/>
        <w:ind w:left="0" w:firstLine="0"/>
        <w:rPr>
          <w:b/>
        </w:rPr>
      </w:pPr>
      <w:r>
        <w:rPr>
          <w:b/>
        </w:rPr>
        <w:t>Legislative authority</w:t>
      </w:r>
    </w:p>
    <w:p w14:paraId="0CA766D4" w14:textId="66C5F4D9" w:rsidR="00654574" w:rsidRDefault="00863657" w:rsidP="00F03BB5">
      <w:pPr>
        <w:pStyle w:val="LI-BodyTextParaa"/>
        <w:ind w:left="567"/>
      </w:pPr>
      <w:r>
        <w:t>1</w:t>
      </w:r>
      <w:r w:rsidR="00E76E1F">
        <w:t>0</w:t>
      </w:r>
      <w:r w:rsidR="00F03BB5">
        <w:t>.</w:t>
      </w:r>
      <w:r w:rsidR="00F03BB5">
        <w:tab/>
      </w:r>
      <w:r w:rsidR="00E37468">
        <w:t>The delegate of the Minister makes the Instrument under subsection 820C(2) of the Act. Under subsection 820C(2) of the Act, the Minister may</w:t>
      </w:r>
      <w:r w:rsidR="00654574">
        <w:t>,</w:t>
      </w:r>
      <w:r w:rsidR="00E37468">
        <w:t xml:space="preserve"> at any time</w:t>
      </w:r>
      <w:r w:rsidR="00654574">
        <w:t>,</w:t>
      </w:r>
      <w:r w:rsidR="00E37468">
        <w:t xml:space="preserve"> vary an exemption or revoke an exemption.</w:t>
      </w:r>
      <w:r w:rsidR="00654574">
        <w:t xml:space="preserve"> </w:t>
      </w:r>
    </w:p>
    <w:p w14:paraId="5A362443" w14:textId="6916D735" w:rsidR="00654574" w:rsidRDefault="009A3F74" w:rsidP="00654574">
      <w:pPr>
        <w:pStyle w:val="LI-BodyTextParaa"/>
        <w:ind w:left="567"/>
      </w:pPr>
      <w:r>
        <w:t>1</w:t>
      </w:r>
      <w:r w:rsidR="00E76E1F">
        <w:t>1</w:t>
      </w:r>
      <w:r>
        <w:t>.</w:t>
      </w:r>
      <w:r>
        <w:tab/>
      </w:r>
      <w:r w:rsidR="007A5EA7">
        <w:t>U</w:t>
      </w:r>
      <w:r w:rsidR="00654574">
        <w:t xml:space="preserve">nder subsection 820C(3) of the Act, the Minister may only </w:t>
      </w:r>
      <w:proofErr w:type="gramStart"/>
      <w:r w:rsidR="00654574">
        <w:t>take action</w:t>
      </w:r>
      <w:proofErr w:type="gramEnd"/>
      <w:r w:rsidR="00654574">
        <w:t xml:space="preserve"> under subsection 820C(2) after:</w:t>
      </w:r>
    </w:p>
    <w:p w14:paraId="78A1F4B3" w14:textId="7F18612E" w:rsidR="00654574" w:rsidRDefault="00555FCF" w:rsidP="00555FCF">
      <w:pPr>
        <w:pStyle w:val="LI-BodyTextParaa"/>
        <w:ind w:left="1134"/>
      </w:pPr>
      <w:r>
        <w:rPr>
          <w:color w:val="000000"/>
        </w:rPr>
        <w:lastRenderedPageBreak/>
        <w:t>(a)</w:t>
      </w:r>
      <w:r>
        <w:rPr>
          <w:color w:val="000000"/>
        </w:rPr>
        <w:tab/>
      </w:r>
      <w:r w:rsidR="00654574" w:rsidRPr="00654574">
        <w:t>giving notice, and an opportunity to make submissions on the proposed</w:t>
      </w:r>
      <w:r>
        <w:t xml:space="preserve"> </w:t>
      </w:r>
      <w:r w:rsidR="00654574" w:rsidRPr="00654574">
        <w:t>action, to the operator of each clearing and settlement facility known by the Minister to be covered by the exemption; and</w:t>
      </w:r>
    </w:p>
    <w:p w14:paraId="629E87F3" w14:textId="6ED8B062" w:rsidR="009A3F74" w:rsidRDefault="00654574" w:rsidP="00555FCF">
      <w:pPr>
        <w:pStyle w:val="LI-BodyTextParaa"/>
        <w:ind w:left="1134"/>
      </w:pPr>
      <w:r>
        <w:t>(</w:t>
      </w:r>
      <w:r w:rsidRPr="00654574">
        <w:t>b)</w:t>
      </w:r>
      <w:r w:rsidR="00555FCF">
        <w:tab/>
      </w:r>
      <w:r w:rsidRPr="00654574">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14:paraId="09F388E1" w14:textId="10DCA383" w:rsidR="00E36CE5" w:rsidRDefault="00E36CE5" w:rsidP="00E36CE5">
      <w:pPr>
        <w:pStyle w:val="LI-BodyTextParaa"/>
        <w:ind w:left="567"/>
      </w:pPr>
      <w:r>
        <w:t>1</w:t>
      </w:r>
      <w:r w:rsidR="00E76E1F">
        <w:t>2</w:t>
      </w:r>
      <w:r>
        <w:t>.</w:t>
      </w:r>
      <w:r>
        <w:tab/>
        <w:t>The requirements under subsection 820C(3) of the Act ha</w:t>
      </w:r>
      <w:r w:rsidR="00C65E2D">
        <w:t>ve</w:t>
      </w:r>
      <w:r>
        <w:t xml:space="preserve"> been satisfied, </w:t>
      </w:r>
      <w:r w:rsidR="00FB6033">
        <w:t>as ASIC has provided notice</w:t>
      </w:r>
      <w:r w:rsidR="00866642">
        <w:t>,</w:t>
      </w:r>
      <w:r w:rsidR="00FB6033">
        <w:t xml:space="preserve"> and an opportunity to make submissions to operators of each clearing and settlement facility known to be covered by the Exemption Instrument. A notice has also been published on ASIC’s website allowing a reasonable period within which the operator of each clearing and settlement facility covered by the exemption may make submissions on the proposed ac</w:t>
      </w:r>
      <w:r w:rsidR="00593E9E">
        <w:t>t</w:t>
      </w:r>
      <w:r w:rsidR="00FB6033">
        <w:t>ion.</w:t>
      </w:r>
    </w:p>
    <w:p w14:paraId="7D3AA32E" w14:textId="6027AE60" w:rsidR="00435EEF" w:rsidRDefault="00946759" w:rsidP="00435EEF">
      <w:pPr>
        <w:pStyle w:val="LI-BodyTextParaa"/>
        <w:ind w:left="567"/>
      </w:pPr>
      <w:r>
        <w:t>1</w:t>
      </w:r>
      <w:r w:rsidR="00E501A5">
        <w:t>3</w:t>
      </w:r>
      <w:r>
        <w:t>.</w:t>
      </w:r>
      <w:r>
        <w:tab/>
      </w:r>
      <w:r w:rsidR="00112C08" w:rsidRPr="00112C08">
        <w:t>This legislative instrument is disallowable under section 42 of the Legislation Act 2003.</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4F300A3D" w:rsidR="00223DCF" w:rsidRPr="00EA17A6" w:rsidRDefault="00223DCF" w:rsidP="00435EEF">
      <w:pPr>
        <w:pStyle w:val="LI-BodyTextParaa"/>
        <w:ind w:left="567"/>
      </w:pPr>
      <w:r w:rsidRPr="00EA17A6">
        <w:t>1</w:t>
      </w:r>
      <w:r w:rsidR="00E501A5">
        <w:t>4</w:t>
      </w:r>
      <w:r w:rsidRPr="00EA17A6">
        <w:t>.</w:t>
      </w:r>
      <w:r w:rsidRPr="00EA17A6">
        <w:tab/>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1"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2" w:name="_Hlk4054932"/>
      <w:r w:rsidRPr="00EA17A6">
        <w:rPr>
          <w:iCs/>
        </w:rPr>
        <w:t xml:space="preserve">the </w:t>
      </w:r>
      <w:r w:rsidRPr="00EA17A6">
        <w:rPr>
          <w:i/>
          <w:iCs/>
        </w:rPr>
        <w:t>Human Rights (Parliamentary Scrutiny) Act 2011</w:t>
      </w:r>
      <w:bookmarkEnd w:id="2"/>
      <w:r w:rsidRPr="00EA17A6">
        <w:rPr>
          <w:iCs/>
        </w:rPr>
        <w:t xml:space="preserve">.   </w:t>
      </w:r>
    </w:p>
    <w:p w14:paraId="4B154A7D" w14:textId="0BB51FD2" w:rsidR="00223DCF" w:rsidRPr="00EA17A6" w:rsidRDefault="00D544F2" w:rsidP="00223DCF">
      <w:pPr>
        <w:pStyle w:val="LI-BodyTextNumbered"/>
        <w:ind w:left="0" w:firstLine="0"/>
        <w:rPr>
          <w:b/>
          <w:i/>
        </w:rPr>
      </w:pPr>
      <w:r w:rsidRPr="00D544F2">
        <w:rPr>
          <w:b/>
          <w:i/>
        </w:rPr>
        <w:t>ASIC Corporations (Amendment) Instrument 2023/368</w:t>
      </w:r>
    </w:p>
    <w:p w14:paraId="0AD76C9D" w14:textId="77777777" w:rsidR="00223DCF" w:rsidRPr="00EA17A6" w:rsidRDefault="00223DCF" w:rsidP="001872DC">
      <w:pPr>
        <w:pStyle w:val="LI-BodyTextNumbered"/>
        <w:ind w:left="567"/>
        <w:rPr>
          <w:u w:val="single"/>
        </w:rPr>
      </w:pPr>
      <w:r w:rsidRPr="00EA17A6">
        <w:rPr>
          <w:u w:val="single"/>
        </w:rPr>
        <w:t>Overview</w:t>
      </w:r>
    </w:p>
    <w:p w14:paraId="056E764A" w14:textId="57088995" w:rsidR="00CB2D96" w:rsidRPr="00EA17A6"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D544F2" w:rsidRPr="00D544F2">
        <w:rPr>
          <w:rFonts w:eastAsia="Times New Roman"/>
          <w:sz w:val="24"/>
          <w:szCs w:val="24"/>
          <w:lang w:eastAsia="en-AU"/>
        </w:rPr>
        <w:t xml:space="preserve">This Instrument amends the </w:t>
      </w:r>
      <w:r w:rsidR="00D544F2" w:rsidRPr="00BD4F81">
        <w:rPr>
          <w:rFonts w:eastAsia="Times New Roman"/>
          <w:i/>
          <w:sz w:val="24"/>
          <w:szCs w:val="24"/>
          <w:lang w:eastAsia="en-AU"/>
        </w:rPr>
        <w:t>Corporations (CS Facility Exemption) Instrument 2023/18</w:t>
      </w:r>
      <w:r w:rsidR="00D544F2" w:rsidRPr="00D544F2">
        <w:rPr>
          <w:rFonts w:eastAsia="Times New Roman"/>
          <w:sz w:val="24"/>
          <w:szCs w:val="24"/>
          <w:lang w:eastAsia="en-AU"/>
        </w:rPr>
        <w:t xml:space="preserve"> (Exemption Instrument) under s</w:t>
      </w:r>
      <w:r w:rsidR="00DD081A">
        <w:rPr>
          <w:rFonts w:eastAsia="Times New Roman"/>
          <w:sz w:val="24"/>
          <w:szCs w:val="24"/>
          <w:lang w:eastAsia="en-AU"/>
        </w:rPr>
        <w:t xml:space="preserve">ubsection </w:t>
      </w:r>
      <w:r w:rsidR="00D544F2" w:rsidRPr="00D544F2">
        <w:rPr>
          <w:rFonts w:eastAsia="Times New Roman"/>
          <w:sz w:val="24"/>
          <w:szCs w:val="24"/>
          <w:lang w:eastAsia="en-AU"/>
        </w:rPr>
        <w:t>820C(2) of the Corporations Act 2001 (the Act) to extend the operation of the Exemption Instrument until the start of 1 August 2023.</w:t>
      </w:r>
    </w:p>
    <w:p w14:paraId="79BCB1A5" w14:textId="77777777" w:rsidR="001872DC" w:rsidRPr="00EA17A6" w:rsidRDefault="001872DC" w:rsidP="001872DC">
      <w:pPr>
        <w:pStyle w:val="LI-BodyTextNumbered"/>
        <w:ind w:left="567"/>
        <w:rPr>
          <w:u w:val="single"/>
        </w:rPr>
      </w:pPr>
      <w:bookmarkStart w:id="3" w:name="_Hlk534286807"/>
      <w:bookmarkEnd w:id="1"/>
      <w:r w:rsidRPr="00EA17A6">
        <w:rPr>
          <w:u w:val="single"/>
        </w:rPr>
        <w:t>Assessment of human rights implications</w:t>
      </w:r>
    </w:p>
    <w:p w14:paraId="56F8130E" w14:textId="0D395B58" w:rsidR="00946759" w:rsidRPr="00EA17A6" w:rsidRDefault="00CB2D96" w:rsidP="00D306F8">
      <w:pPr>
        <w:pStyle w:val="LI-BodyTextNumbered"/>
        <w:ind w:left="567"/>
      </w:pPr>
      <w:r w:rsidRPr="00EA17A6">
        <w:t>2</w:t>
      </w:r>
      <w:r w:rsidR="001872DC" w:rsidRPr="00EA17A6">
        <w:t>.</w:t>
      </w:r>
      <w:r w:rsidR="001872DC" w:rsidRPr="00EA17A6">
        <w:tab/>
      </w:r>
      <w:bookmarkEnd w:id="3"/>
      <w:r w:rsidR="001872DC" w:rsidRPr="00EA17A6">
        <w:t xml:space="preserve">This instrument </w:t>
      </w:r>
      <w:r w:rsidR="00D306F8" w:rsidRPr="00EA17A6">
        <w:t>does not engage any of the applicable rights or freedoms</w:t>
      </w:r>
      <w:r w:rsidR="00D544F2">
        <w:t>.</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77777777" w:rsidR="00CB2D96" w:rsidRPr="00EA17A6" w:rsidRDefault="00CB2D96" w:rsidP="00CB2D9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6"/>
      <w:headerReference w:type="default" r:id="rId17"/>
      <w:footerReference w:type="default" r:id="rId18"/>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B9E6" w14:textId="77777777" w:rsidR="00A559B3" w:rsidRDefault="00A559B3" w:rsidP="00715914">
      <w:pPr>
        <w:spacing w:line="240" w:lineRule="auto"/>
      </w:pPr>
      <w:r>
        <w:separator/>
      </w:r>
    </w:p>
  </w:endnote>
  <w:endnote w:type="continuationSeparator" w:id="0">
    <w:p w14:paraId="666D6832" w14:textId="77777777" w:rsidR="00A559B3" w:rsidRDefault="00A559B3" w:rsidP="00715914">
      <w:pPr>
        <w:spacing w:line="240" w:lineRule="auto"/>
      </w:pPr>
      <w:r>
        <w:continuationSeparator/>
      </w:r>
    </w:p>
  </w:endnote>
  <w:endnote w:type="continuationNotice" w:id="1">
    <w:p w14:paraId="45E99614" w14:textId="77777777" w:rsidR="001C52E2" w:rsidRDefault="001C52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2D5C" w14:textId="77777777" w:rsidR="00A559B3" w:rsidRDefault="00A559B3" w:rsidP="00715914">
      <w:pPr>
        <w:spacing w:line="240" w:lineRule="auto"/>
      </w:pPr>
      <w:r>
        <w:separator/>
      </w:r>
    </w:p>
  </w:footnote>
  <w:footnote w:type="continuationSeparator" w:id="0">
    <w:p w14:paraId="2C1DDAF8" w14:textId="77777777" w:rsidR="00A559B3" w:rsidRDefault="00A559B3" w:rsidP="00715914">
      <w:pPr>
        <w:spacing w:line="240" w:lineRule="auto"/>
      </w:pPr>
      <w:r>
        <w:continuationSeparator/>
      </w:r>
    </w:p>
  </w:footnote>
  <w:footnote w:type="continuationNotice" w:id="1">
    <w:p w14:paraId="383C1105" w14:textId="77777777" w:rsidR="001C52E2" w:rsidRDefault="001C52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1234596">
    <w:abstractNumId w:val="9"/>
  </w:num>
  <w:num w:numId="2" w16cid:durableId="157310711">
    <w:abstractNumId w:val="7"/>
  </w:num>
  <w:num w:numId="3" w16cid:durableId="1477143507">
    <w:abstractNumId w:val="6"/>
  </w:num>
  <w:num w:numId="4" w16cid:durableId="286549930">
    <w:abstractNumId w:val="5"/>
  </w:num>
  <w:num w:numId="5" w16cid:durableId="168519535">
    <w:abstractNumId w:val="4"/>
  </w:num>
  <w:num w:numId="6" w16cid:durableId="1221089135">
    <w:abstractNumId w:val="8"/>
  </w:num>
  <w:num w:numId="7" w16cid:durableId="490297126">
    <w:abstractNumId w:val="3"/>
  </w:num>
  <w:num w:numId="8" w16cid:durableId="1137534114">
    <w:abstractNumId w:val="2"/>
  </w:num>
  <w:num w:numId="9" w16cid:durableId="1984044716">
    <w:abstractNumId w:val="1"/>
  </w:num>
  <w:num w:numId="10" w16cid:durableId="842017604">
    <w:abstractNumId w:val="0"/>
  </w:num>
  <w:num w:numId="11" w16cid:durableId="1821386068">
    <w:abstractNumId w:val="12"/>
  </w:num>
  <w:num w:numId="12" w16cid:durableId="1064062057">
    <w:abstractNumId w:val="10"/>
  </w:num>
  <w:num w:numId="13" w16cid:durableId="1316029963">
    <w:abstractNumId w:val="11"/>
  </w:num>
  <w:num w:numId="14" w16cid:durableId="1931504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7C1"/>
    <w:rsid w:val="0005365D"/>
    <w:rsid w:val="000614BF"/>
    <w:rsid w:val="0006250C"/>
    <w:rsid w:val="00070D5A"/>
    <w:rsid w:val="00081794"/>
    <w:rsid w:val="00081BCA"/>
    <w:rsid w:val="00084FF4"/>
    <w:rsid w:val="00092922"/>
    <w:rsid w:val="000A142F"/>
    <w:rsid w:val="000A6C39"/>
    <w:rsid w:val="000B4F43"/>
    <w:rsid w:val="000B58FA"/>
    <w:rsid w:val="000C55A0"/>
    <w:rsid w:val="000D041F"/>
    <w:rsid w:val="000D05EF"/>
    <w:rsid w:val="000E0782"/>
    <w:rsid w:val="000E2261"/>
    <w:rsid w:val="000E3C2E"/>
    <w:rsid w:val="000F21C1"/>
    <w:rsid w:val="00102A4C"/>
    <w:rsid w:val="00102CA6"/>
    <w:rsid w:val="0010745C"/>
    <w:rsid w:val="00112C08"/>
    <w:rsid w:val="00125141"/>
    <w:rsid w:val="001326E7"/>
    <w:rsid w:val="00132CEB"/>
    <w:rsid w:val="00142B62"/>
    <w:rsid w:val="00153B32"/>
    <w:rsid w:val="00157B8B"/>
    <w:rsid w:val="001624E1"/>
    <w:rsid w:val="00166C2F"/>
    <w:rsid w:val="00171A6E"/>
    <w:rsid w:val="001809D7"/>
    <w:rsid w:val="001863C3"/>
    <w:rsid w:val="0018659E"/>
    <w:rsid w:val="001872DC"/>
    <w:rsid w:val="001939E1"/>
    <w:rsid w:val="00194C3E"/>
    <w:rsid w:val="00195382"/>
    <w:rsid w:val="00195BD4"/>
    <w:rsid w:val="001C52E2"/>
    <w:rsid w:val="001C61C5"/>
    <w:rsid w:val="001C69C4"/>
    <w:rsid w:val="001D37EF"/>
    <w:rsid w:val="001E3590"/>
    <w:rsid w:val="001E7407"/>
    <w:rsid w:val="001E77ED"/>
    <w:rsid w:val="001E7E2B"/>
    <w:rsid w:val="001F02B1"/>
    <w:rsid w:val="001F5D5E"/>
    <w:rsid w:val="001F6219"/>
    <w:rsid w:val="001F6CD4"/>
    <w:rsid w:val="00206C4D"/>
    <w:rsid w:val="0021053C"/>
    <w:rsid w:val="00215AF1"/>
    <w:rsid w:val="0022087F"/>
    <w:rsid w:val="00220A36"/>
    <w:rsid w:val="00223DCF"/>
    <w:rsid w:val="002321E8"/>
    <w:rsid w:val="00236EEC"/>
    <w:rsid w:val="0024010F"/>
    <w:rsid w:val="00240749"/>
    <w:rsid w:val="00243018"/>
    <w:rsid w:val="002439BA"/>
    <w:rsid w:val="00243EC0"/>
    <w:rsid w:val="00244742"/>
    <w:rsid w:val="002564A4"/>
    <w:rsid w:val="00263BB3"/>
    <w:rsid w:val="0026736C"/>
    <w:rsid w:val="00281308"/>
    <w:rsid w:val="00281813"/>
    <w:rsid w:val="00284719"/>
    <w:rsid w:val="00297ECB"/>
    <w:rsid w:val="002A7328"/>
    <w:rsid w:val="002A7BCF"/>
    <w:rsid w:val="002B19F3"/>
    <w:rsid w:val="002B1A91"/>
    <w:rsid w:val="002B1B77"/>
    <w:rsid w:val="002B4A0D"/>
    <w:rsid w:val="002C14B4"/>
    <w:rsid w:val="002C7B6F"/>
    <w:rsid w:val="002D043A"/>
    <w:rsid w:val="002D6224"/>
    <w:rsid w:val="002E3F4B"/>
    <w:rsid w:val="002F6A3E"/>
    <w:rsid w:val="002F7160"/>
    <w:rsid w:val="00304F8B"/>
    <w:rsid w:val="00327DDF"/>
    <w:rsid w:val="003354D2"/>
    <w:rsid w:val="00335BC6"/>
    <w:rsid w:val="003415D3"/>
    <w:rsid w:val="00344701"/>
    <w:rsid w:val="003528DA"/>
    <w:rsid w:val="00352B0F"/>
    <w:rsid w:val="00356690"/>
    <w:rsid w:val="00357DD0"/>
    <w:rsid w:val="00360459"/>
    <w:rsid w:val="00363733"/>
    <w:rsid w:val="00365497"/>
    <w:rsid w:val="00387A96"/>
    <w:rsid w:val="003A2178"/>
    <w:rsid w:val="003A2A48"/>
    <w:rsid w:val="003B0B7B"/>
    <w:rsid w:val="003B28C3"/>
    <w:rsid w:val="003B732F"/>
    <w:rsid w:val="003C6231"/>
    <w:rsid w:val="003D0BFE"/>
    <w:rsid w:val="003D5700"/>
    <w:rsid w:val="003E0F99"/>
    <w:rsid w:val="003E341B"/>
    <w:rsid w:val="003F3EFD"/>
    <w:rsid w:val="0040053F"/>
    <w:rsid w:val="004116CD"/>
    <w:rsid w:val="004144EC"/>
    <w:rsid w:val="00417EB9"/>
    <w:rsid w:val="00424CA9"/>
    <w:rsid w:val="00431E9B"/>
    <w:rsid w:val="004334E6"/>
    <w:rsid w:val="00435EEF"/>
    <w:rsid w:val="004379E3"/>
    <w:rsid w:val="0044015E"/>
    <w:rsid w:val="0044291A"/>
    <w:rsid w:val="00444ABD"/>
    <w:rsid w:val="00447DB4"/>
    <w:rsid w:val="0045007F"/>
    <w:rsid w:val="00460F1D"/>
    <w:rsid w:val="00465DC1"/>
    <w:rsid w:val="00467661"/>
    <w:rsid w:val="004705B7"/>
    <w:rsid w:val="004716B3"/>
    <w:rsid w:val="00472DBE"/>
    <w:rsid w:val="00474A19"/>
    <w:rsid w:val="00474B52"/>
    <w:rsid w:val="00481C24"/>
    <w:rsid w:val="00481F6A"/>
    <w:rsid w:val="004823C0"/>
    <w:rsid w:val="0048276B"/>
    <w:rsid w:val="00493D20"/>
    <w:rsid w:val="00495D4D"/>
    <w:rsid w:val="00496B5F"/>
    <w:rsid w:val="00496F97"/>
    <w:rsid w:val="004A44FC"/>
    <w:rsid w:val="004B5B44"/>
    <w:rsid w:val="004C1CB1"/>
    <w:rsid w:val="004D7E7F"/>
    <w:rsid w:val="004E063A"/>
    <w:rsid w:val="004E7BEC"/>
    <w:rsid w:val="0050044F"/>
    <w:rsid w:val="00505D3D"/>
    <w:rsid w:val="00506AF6"/>
    <w:rsid w:val="00507335"/>
    <w:rsid w:val="00516B8D"/>
    <w:rsid w:val="00517E56"/>
    <w:rsid w:val="00521C3F"/>
    <w:rsid w:val="00532049"/>
    <w:rsid w:val="005356A7"/>
    <w:rsid w:val="00536184"/>
    <w:rsid w:val="00537FBC"/>
    <w:rsid w:val="00555FCF"/>
    <w:rsid w:val="005574D1"/>
    <w:rsid w:val="00561ABB"/>
    <w:rsid w:val="005657FE"/>
    <w:rsid w:val="0056730E"/>
    <w:rsid w:val="00572BB1"/>
    <w:rsid w:val="0057626E"/>
    <w:rsid w:val="0057670F"/>
    <w:rsid w:val="0058140E"/>
    <w:rsid w:val="00584811"/>
    <w:rsid w:val="00585784"/>
    <w:rsid w:val="00593AA6"/>
    <w:rsid w:val="00593E9E"/>
    <w:rsid w:val="00594161"/>
    <w:rsid w:val="00594749"/>
    <w:rsid w:val="005B4067"/>
    <w:rsid w:val="005B780C"/>
    <w:rsid w:val="005C3F41"/>
    <w:rsid w:val="005D0489"/>
    <w:rsid w:val="005D1770"/>
    <w:rsid w:val="005D1FEA"/>
    <w:rsid w:val="005D2D09"/>
    <w:rsid w:val="005D3D41"/>
    <w:rsid w:val="005E4810"/>
    <w:rsid w:val="005F1DB6"/>
    <w:rsid w:val="005F4140"/>
    <w:rsid w:val="005F65CD"/>
    <w:rsid w:val="00600219"/>
    <w:rsid w:val="00601955"/>
    <w:rsid w:val="00603DC4"/>
    <w:rsid w:val="00607A71"/>
    <w:rsid w:val="00610709"/>
    <w:rsid w:val="006117CB"/>
    <w:rsid w:val="00617AD9"/>
    <w:rsid w:val="00620076"/>
    <w:rsid w:val="00625DA7"/>
    <w:rsid w:val="0063325C"/>
    <w:rsid w:val="00634044"/>
    <w:rsid w:val="00640161"/>
    <w:rsid w:val="00652769"/>
    <w:rsid w:val="00654574"/>
    <w:rsid w:val="0065542F"/>
    <w:rsid w:val="006554FF"/>
    <w:rsid w:val="00670752"/>
    <w:rsid w:val="00670EA1"/>
    <w:rsid w:val="006776E3"/>
    <w:rsid w:val="00677CC2"/>
    <w:rsid w:val="00680C4A"/>
    <w:rsid w:val="006905DE"/>
    <w:rsid w:val="0069207B"/>
    <w:rsid w:val="00693E51"/>
    <w:rsid w:val="00693F29"/>
    <w:rsid w:val="006B5789"/>
    <w:rsid w:val="006C30C5"/>
    <w:rsid w:val="006C48FA"/>
    <w:rsid w:val="006C7F8C"/>
    <w:rsid w:val="006D6079"/>
    <w:rsid w:val="006E5320"/>
    <w:rsid w:val="006E6246"/>
    <w:rsid w:val="006F318F"/>
    <w:rsid w:val="006F4226"/>
    <w:rsid w:val="0070017E"/>
    <w:rsid w:val="00700B2C"/>
    <w:rsid w:val="00702EFD"/>
    <w:rsid w:val="007050A2"/>
    <w:rsid w:val="00713084"/>
    <w:rsid w:val="0071399B"/>
    <w:rsid w:val="00714F20"/>
    <w:rsid w:val="007152B2"/>
    <w:rsid w:val="0071590F"/>
    <w:rsid w:val="00715914"/>
    <w:rsid w:val="00731E00"/>
    <w:rsid w:val="00741EE8"/>
    <w:rsid w:val="007440B7"/>
    <w:rsid w:val="007500C8"/>
    <w:rsid w:val="00756272"/>
    <w:rsid w:val="00765001"/>
    <w:rsid w:val="007662B5"/>
    <w:rsid w:val="0076681A"/>
    <w:rsid w:val="007715C9"/>
    <w:rsid w:val="00771613"/>
    <w:rsid w:val="00774EDD"/>
    <w:rsid w:val="0077506D"/>
    <w:rsid w:val="007757EC"/>
    <w:rsid w:val="00783E89"/>
    <w:rsid w:val="007842CE"/>
    <w:rsid w:val="00785A9E"/>
    <w:rsid w:val="00793915"/>
    <w:rsid w:val="007A5EA7"/>
    <w:rsid w:val="007B4C4F"/>
    <w:rsid w:val="007C2253"/>
    <w:rsid w:val="007D230B"/>
    <w:rsid w:val="007D76D3"/>
    <w:rsid w:val="007E163D"/>
    <w:rsid w:val="007E667A"/>
    <w:rsid w:val="007F28C9"/>
    <w:rsid w:val="00801067"/>
    <w:rsid w:val="0080312D"/>
    <w:rsid w:val="00803587"/>
    <w:rsid w:val="008112A1"/>
    <w:rsid w:val="008117E9"/>
    <w:rsid w:val="00824498"/>
    <w:rsid w:val="00824DD2"/>
    <w:rsid w:val="008346A0"/>
    <w:rsid w:val="00835179"/>
    <w:rsid w:val="008356AC"/>
    <w:rsid w:val="00840442"/>
    <w:rsid w:val="008527C0"/>
    <w:rsid w:val="00856A31"/>
    <w:rsid w:val="008579BC"/>
    <w:rsid w:val="00860B58"/>
    <w:rsid w:val="00863657"/>
    <w:rsid w:val="008651E7"/>
    <w:rsid w:val="00866642"/>
    <w:rsid w:val="00867B37"/>
    <w:rsid w:val="008718DD"/>
    <w:rsid w:val="008754D0"/>
    <w:rsid w:val="008855C9"/>
    <w:rsid w:val="00886456"/>
    <w:rsid w:val="008945E0"/>
    <w:rsid w:val="0089527F"/>
    <w:rsid w:val="008A362B"/>
    <w:rsid w:val="008A46E1"/>
    <w:rsid w:val="008A4F43"/>
    <w:rsid w:val="008B2706"/>
    <w:rsid w:val="008C0F29"/>
    <w:rsid w:val="008D0EE0"/>
    <w:rsid w:val="008D3422"/>
    <w:rsid w:val="008E6067"/>
    <w:rsid w:val="008F54E7"/>
    <w:rsid w:val="009016BE"/>
    <w:rsid w:val="00903422"/>
    <w:rsid w:val="00912A58"/>
    <w:rsid w:val="009157B9"/>
    <w:rsid w:val="00915DF9"/>
    <w:rsid w:val="009254C3"/>
    <w:rsid w:val="00926940"/>
    <w:rsid w:val="00930A0A"/>
    <w:rsid w:val="00932377"/>
    <w:rsid w:val="009460DC"/>
    <w:rsid w:val="00946759"/>
    <w:rsid w:val="00947D5A"/>
    <w:rsid w:val="009532A5"/>
    <w:rsid w:val="00955175"/>
    <w:rsid w:val="0095528E"/>
    <w:rsid w:val="0096753E"/>
    <w:rsid w:val="00982242"/>
    <w:rsid w:val="009868E9"/>
    <w:rsid w:val="00992A46"/>
    <w:rsid w:val="009944E6"/>
    <w:rsid w:val="009A2319"/>
    <w:rsid w:val="009A3A6F"/>
    <w:rsid w:val="009A3F74"/>
    <w:rsid w:val="009A49C9"/>
    <w:rsid w:val="009C2791"/>
    <w:rsid w:val="009C4225"/>
    <w:rsid w:val="009D1818"/>
    <w:rsid w:val="009D195A"/>
    <w:rsid w:val="009D7993"/>
    <w:rsid w:val="009E5CFC"/>
    <w:rsid w:val="009E75A7"/>
    <w:rsid w:val="00A03AF1"/>
    <w:rsid w:val="00A079CB"/>
    <w:rsid w:val="00A12128"/>
    <w:rsid w:val="00A12F48"/>
    <w:rsid w:val="00A14F6A"/>
    <w:rsid w:val="00A15512"/>
    <w:rsid w:val="00A22C98"/>
    <w:rsid w:val="00A231E2"/>
    <w:rsid w:val="00A257D5"/>
    <w:rsid w:val="00A33D55"/>
    <w:rsid w:val="00A34412"/>
    <w:rsid w:val="00A40424"/>
    <w:rsid w:val="00A44C99"/>
    <w:rsid w:val="00A52B0F"/>
    <w:rsid w:val="00A559B3"/>
    <w:rsid w:val="00A5632E"/>
    <w:rsid w:val="00A64912"/>
    <w:rsid w:val="00A70A74"/>
    <w:rsid w:val="00A91966"/>
    <w:rsid w:val="00AA48C8"/>
    <w:rsid w:val="00AA66AC"/>
    <w:rsid w:val="00AB1DE8"/>
    <w:rsid w:val="00AB69D9"/>
    <w:rsid w:val="00AC0886"/>
    <w:rsid w:val="00AD02B8"/>
    <w:rsid w:val="00AD1F73"/>
    <w:rsid w:val="00AD5315"/>
    <w:rsid w:val="00AD5641"/>
    <w:rsid w:val="00AD57D1"/>
    <w:rsid w:val="00AD7889"/>
    <w:rsid w:val="00AE787B"/>
    <w:rsid w:val="00AF021B"/>
    <w:rsid w:val="00AF06CF"/>
    <w:rsid w:val="00AF20DB"/>
    <w:rsid w:val="00B04305"/>
    <w:rsid w:val="00B05BC9"/>
    <w:rsid w:val="00B07CDB"/>
    <w:rsid w:val="00B16A31"/>
    <w:rsid w:val="00B17DFD"/>
    <w:rsid w:val="00B2118F"/>
    <w:rsid w:val="00B2799D"/>
    <w:rsid w:val="00B308FE"/>
    <w:rsid w:val="00B33709"/>
    <w:rsid w:val="00B33B3C"/>
    <w:rsid w:val="00B33BD1"/>
    <w:rsid w:val="00B4355C"/>
    <w:rsid w:val="00B436FB"/>
    <w:rsid w:val="00B5007C"/>
    <w:rsid w:val="00B50ADC"/>
    <w:rsid w:val="00B5259F"/>
    <w:rsid w:val="00B566B1"/>
    <w:rsid w:val="00B577C8"/>
    <w:rsid w:val="00B63834"/>
    <w:rsid w:val="00B72734"/>
    <w:rsid w:val="00B80199"/>
    <w:rsid w:val="00B82D81"/>
    <w:rsid w:val="00B83204"/>
    <w:rsid w:val="00B9126E"/>
    <w:rsid w:val="00BA0D3B"/>
    <w:rsid w:val="00BA220B"/>
    <w:rsid w:val="00BA3A57"/>
    <w:rsid w:val="00BB4DB6"/>
    <w:rsid w:val="00BB4E1A"/>
    <w:rsid w:val="00BB5C17"/>
    <w:rsid w:val="00BC015E"/>
    <w:rsid w:val="00BC7183"/>
    <w:rsid w:val="00BC76AC"/>
    <w:rsid w:val="00BD0ECB"/>
    <w:rsid w:val="00BD4F81"/>
    <w:rsid w:val="00BE12BE"/>
    <w:rsid w:val="00BE2155"/>
    <w:rsid w:val="00BE2213"/>
    <w:rsid w:val="00BE3878"/>
    <w:rsid w:val="00BE6EF9"/>
    <w:rsid w:val="00BE719A"/>
    <w:rsid w:val="00BE720A"/>
    <w:rsid w:val="00BF0D73"/>
    <w:rsid w:val="00BF2465"/>
    <w:rsid w:val="00BF75C9"/>
    <w:rsid w:val="00C0544A"/>
    <w:rsid w:val="00C06AC9"/>
    <w:rsid w:val="00C11452"/>
    <w:rsid w:val="00C17457"/>
    <w:rsid w:val="00C2108C"/>
    <w:rsid w:val="00C25E7F"/>
    <w:rsid w:val="00C2746F"/>
    <w:rsid w:val="00C324A0"/>
    <w:rsid w:val="00C3300F"/>
    <w:rsid w:val="00C34E77"/>
    <w:rsid w:val="00C35875"/>
    <w:rsid w:val="00C35DAF"/>
    <w:rsid w:val="00C4170B"/>
    <w:rsid w:val="00C42BF8"/>
    <w:rsid w:val="00C45171"/>
    <w:rsid w:val="00C47D01"/>
    <w:rsid w:val="00C50043"/>
    <w:rsid w:val="00C50B97"/>
    <w:rsid w:val="00C52E7C"/>
    <w:rsid w:val="00C55B3B"/>
    <w:rsid w:val="00C6434E"/>
    <w:rsid w:val="00C65E2D"/>
    <w:rsid w:val="00C70CA8"/>
    <w:rsid w:val="00C7573B"/>
    <w:rsid w:val="00C7761F"/>
    <w:rsid w:val="00C86B32"/>
    <w:rsid w:val="00C93C03"/>
    <w:rsid w:val="00CA66DC"/>
    <w:rsid w:val="00CA72D8"/>
    <w:rsid w:val="00CB2C8E"/>
    <w:rsid w:val="00CB2D96"/>
    <w:rsid w:val="00CB602E"/>
    <w:rsid w:val="00CC3AEC"/>
    <w:rsid w:val="00CD2E90"/>
    <w:rsid w:val="00CE0149"/>
    <w:rsid w:val="00CE051D"/>
    <w:rsid w:val="00CE1335"/>
    <w:rsid w:val="00CE32F6"/>
    <w:rsid w:val="00CE3D2A"/>
    <w:rsid w:val="00CE493D"/>
    <w:rsid w:val="00CE541A"/>
    <w:rsid w:val="00CE6D42"/>
    <w:rsid w:val="00CF07FA"/>
    <w:rsid w:val="00CF0BB2"/>
    <w:rsid w:val="00CF3EE8"/>
    <w:rsid w:val="00CF5313"/>
    <w:rsid w:val="00D050E6"/>
    <w:rsid w:val="00D13441"/>
    <w:rsid w:val="00D150E7"/>
    <w:rsid w:val="00D17938"/>
    <w:rsid w:val="00D20A4B"/>
    <w:rsid w:val="00D306F8"/>
    <w:rsid w:val="00D32F65"/>
    <w:rsid w:val="00D341C4"/>
    <w:rsid w:val="00D41A47"/>
    <w:rsid w:val="00D442A2"/>
    <w:rsid w:val="00D52DC2"/>
    <w:rsid w:val="00D53BCC"/>
    <w:rsid w:val="00D544F2"/>
    <w:rsid w:val="00D648BB"/>
    <w:rsid w:val="00D702DE"/>
    <w:rsid w:val="00D70DFB"/>
    <w:rsid w:val="00D732EC"/>
    <w:rsid w:val="00D73C22"/>
    <w:rsid w:val="00D766DF"/>
    <w:rsid w:val="00DA186E"/>
    <w:rsid w:val="00DA4116"/>
    <w:rsid w:val="00DB251C"/>
    <w:rsid w:val="00DB38AD"/>
    <w:rsid w:val="00DB4630"/>
    <w:rsid w:val="00DB51FD"/>
    <w:rsid w:val="00DC1135"/>
    <w:rsid w:val="00DC4445"/>
    <w:rsid w:val="00DC4F88"/>
    <w:rsid w:val="00DD081A"/>
    <w:rsid w:val="00DE0A85"/>
    <w:rsid w:val="00DE2527"/>
    <w:rsid w:val="00DE79F9"/>
    <w:rsid w:val="00E05704"/>
    <w:rsid w:val="00E06A13"/>
    <w:rsid w:val="00E06CC3"/>
    <w:rsid w:val="00E11E44"/>
    <w:rsid w:val="00E13AFA"/>
    <w:rsid w:val="00E2168B"/>
    <w:rsid w:val="00E21F03"/>
    <w:rsid w:val="00E22564"/>
    <w:rsid w:val="00E338EF"/>
    <w:rsid w:val="00E36CE5"/>
    <w:rsid w:val="00E37468"/>
    <w:rsid w:val="00E40FF8"/>
    <w:rsid w:val="00E501A5"/>
    <w:rsid w:val="00E544BB"/>
    <w:rsid w:val="00E578EC"/>
    <w:rsid w:val="00E60423"/>
    <w:rsid w:val="00E62CFC"/>
    <w:rsid w:val="00E63451"/>
    <w:rsid w:val="00E63BBB"/>
    <w:rsid w:val="00E649D7"/>
    <w:rsid w:val="00E662CB"/>
    <w:rsid w:val="00E70CA2"/>
    <w:rsid w:val="00E74DC7"/>
    <w:rsid w:val="00E76E1F"/>
    <w:rsid w:val="00E8075A"/>
    <w:rsid w:val="00E818A6"/>
    <w:rsid w:val="00E85A91"/>
    <w:rsid w:val="00E87718"/>
    <w:rsid w:val="00E94D5E"/>
    <w:rsid w:val="00EA0BF6"/>
    <w:rsid w:val="00EA17A6"/>
    <w:rsid w:val="00EA7100"/>
    <w:rsid w:val="00EA7F9F"/>
    <w:rsid w:val="00EB0E70"/>
    <w:rsid w:val="00EB1274"/>
    <w:rsid w:val="00EC4757"/>
    <w:rsid w:val="00EC7EDB"/>
    <w:rsid w:val="00ED14FB"/>
    <w:rsid w:val="00ED2BB6"/>
    <w:rsid w:val="00ED34E1"/>
    <w:rsid w:val="00ED3B8D"/>
    <w:rsid w:val="00ED796D"/>
    <w:rsid w:val="00EF15D3"/>
    <w:rsid w:val="00EF2E3A"/>
    <w:rsid w:val="00F02EF9"/>
    <w:rsid w:val="00F03BB5"/>
    <w:rsid w:val="00F047D8"/>
    <w:rsid w:val="00F072A7"/>
    <w:rsid w:val="00F078DC"/>
    <w:rsid w:val="00F14593"/>
    <w:rsid w:val="00F171A1"/>
    <w:rsid w:val="00F32BA8"/>
    <w:rsid w:val="00F349F1"/>
    <w:rsid w:val="00F4215A"/>
    <w:rsid w:val="00F4350D"/>
    <w:rsid w:val="00F45C97"/>
    <w:rsid w:val="00F46947"/>
    <w:rsid w:val="00F50532"/>
    <w:rsid w:val="00F52CA6"/>
    <w:rsid w:val="00F567F7"/>
    <w:rsid w:val="00F61A66"/>
    <w:rsid w:val="00F61B09"/>
    <w:rsid w:val="00F62036"/>
    <w:rsid w:val="00F65B52"/>
    <w:rsid w:val="00F67BCA"/>
    <w:rsid w:val="00F73BD6"/>
    <w:rsid w:val="00F800C9"/>
    <w:rsid w:val="00F819D1"/>
    <w:rsid w:val="00F83989"/>
    <w:rsid w:val="00F85099"/>
    <w:rsid w:val="00F87E83"/>
    <w:rsid w:val="00F9379C"/>
    <w:rsid w:val="00F9632C"/>
    <w:rsid w:val="00F96ACC"/>
    <w:rsid w:val="00FA117C"/>
    <w:rsid w:val="00FA13A8"/>
    <w:rsid w:val="00FA1E52"/>
    <w:rsid w:val="00FA31DE"/>
    <w:rsid w:val="00FA7D17"/>
    <w:rsid w:val="00FB6033"/>
    <w:rsid w:val="00FC3EB8"/>
    <w:rsid w:val="00FC7D25"/>
    <w:rsid w:val="00FD13CC"/>
    <w:rsid w:val="00FD2E53"/>
    <w:rsid w:val="00FE2FB8"/>
    <w:rsid w:val="00FE4688"/>
    <w:rsid w:val="00FE4820"/>
    <w:rsid w:val="00FE72D6"/>
    <w:rsid w:val="00FE79D0"/>
    <w:rsid w:val="00FF38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03A39DB"/>
  <w15:chartTrackingRefBased/>
  <w15:docId w15:val="{E701D4CC-6F97-4604-8B6C-2DA07572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styleId="UnresolvedMention">
    <w:name w:val="Unresolved Mention"/>
    <w:basedOn w:val="DefaultParagraphFont"/>
    <w:uiPriority w:val="99"/>
    <w:semiHidden/>
    <w:unhideWhenUsed/>
    <w:rsid w:val="00FE4820"/>
    <w:rPr>
      <w:color w:val="605E5C"/>
      <w:shd w:val="clear" w:color="auto" w:fill="E1DFDD"/>
    </w:rPr>
  </w:style>
  <w:style w:type="paragraph" w:customStyle="1" w:styleId="li-bodytextnumbered0">
    <w:name w:val="li-bodytextnumbered"/>
    <w:basedOn w:val="Normal"/>
    <w:rsid w:val="00A257D5"/>
    <w:pPr>
      <w:spacing w:before="100" w:beforeAutospacing="1" w:after="100" w:afterAutospacing="1" w:line="240" w:lineRule="auto"/>
    </w:pPr>
    <w:rPr>
      <w:rFonts w:eastAsia="Times New Roman"/>
      <w:sz w:val="24"/>
      <w:szCs w:val="24"/>
      <w:lang w:eastAsia="en-AU"/>
    </w:rPr>
  </w:style>
  <w:style w:type="paragraph" w:customStyle="1" w:styleId="li-bodytextparaa0">
    <w:name w:val="li-bodytextparaa"/>
    <w:basedOn w:val="Normal"/>
    <w:rsid w:val="00B4355C"/>
    <w:pPr>
      <w:spacing w:before="100" w:beforeAutospacing="1" w:after="100" w:afterAutospacing="1" w:line="240" w:lineRule="auto"/>
    </w:pPr>
    <w:rPr>
      <w:rFonts w:eastAsia="Times New Roman"/>
      <w:sz w:val="24"/>
      <w:szCs w:val="24"/>
      <w:lang w:eastAsia="en-AU"/>
    </w:rPr>
  </w:style>
  <w:style w:type="paragraph" w:styleId="NormalWeb">
    <w:name w:val="Normal (Web)"/>
    <w:basedOn w:val="Normal"/>
    <w:uiPriority w:val="99"/>
    <w:semiHidden/>
    <w:unhideWhenUsed/>
    <w:rsid w:val="00654574"/>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2C14B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00773239">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192306045">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4752771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asic.gov.au/regulatory-resources/markets/market-structure/licensed-and-exempt-clearing-and-settlement-facilities/exempt-clearing-and-settlement-facilities-operating-in-australia/"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4D3DD86AC31AE44826091E02F989FB4" ma:contentTypeVersion="19" ma:contentTypeDescription="" ma:contentTypeScope="" ma:versionID="7e29acf1710b1486742bf65ee010d8ac">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81055301ac431c2c0d9b536e2ec3fe68"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e81710-c2b0-4baf-b4f9-5c22eaea1a1e}"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e81710-c2b0-4baf-b4f9-5c22eaea1a1e}"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eb44715b-cd74-4c79-92c4-f0e9f1a86440">001029-1948038060-419</_dlc_DocId>
    <_dlc_DocIdUrl xmlns="eb44715b-cd74-4c79-92c4-f0e9f1a86440">
      <Url>https://asiclink.sharepoint.com/teams/001029/_layouts/15/DocIdRedir.aspx?ID=001029-1948038060-419</Url>
      <Description>001029-1948038060-419</Description>
    </_dlc_DocIdUrl>
    <TaxCatchAll xmlns="db2b92ca-6ed0-4085-802d-4c686a2e8c3f">
      <Value>3</Value>
    </TaxCatchAl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324F5DC1-A02E-475B-BAF3-72A7D9D2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3.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4.xml><?xml version="1.0" encoding="utf-8"?>
<ds:datastoreItem xmlns:ds="http://schemas.openxmlformats.org/officeDocument/2006/customXml" ds:itemID="{A954CD4F-4ADE-45EC-8760-0728E2692B40}">
  <ds:schemaRefs>
    <ds:schemaRef ds:uri="http://purl.org/dc/elements/1.1/"/>
    <ds:schemaRef ds:uri="http://schemas.microsoft.com/office/2006/metadata/propertie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b92ca-6ed0-4085-802d-4c686a2e8c3f"/>
    <ds:schemaRef ds:uri="http://www.w3.org/XML/1998/namespace"/>
    <ds:schemaRef ds:uri="http://purl.org/dc/dcmitype/"/>
  </ds:schemaRefs>
</ds:datastoreItem>
</file>

<file path=customXml/itemProps5.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6.xml><?xml version="1.0" encoding="utf-8"?>
<ds:datastoreItem xmlns:ds="http://schemas.openxmlformats.org/officeDocument/2006/customXml" ds:itemID="{A520C121-FA46-480C-A5D8-55469B97D95C}">
  <ds:schemaRefs>
    <ds:schemaRef ds:uri="Microsoft.SharePoint.Taxonomy.ContentTypeSync"/>
  </ds:schemaRefs>
</ds:datastoreItem>
</file>

<file path=customXml/itemProps7.xml><?xml version="1.0" encoding="utf-8"?>
<ds:datastoreItem xmlns:ds="http://schemas.openxmlformats.org/officeDocument/2006/customXml" ds:itemID="{EC2CD127-6EAB-4961-8E42-673CBFAC5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4</Pages>
  <Words>950</Words>
  <Characters>5415</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6353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Explanatory Statement - ASIC Corporations (Amendment) Instrument 2023-368</dc:title>
  <dc:subject/>
  <dc:creator>Liang Chen</dc:creator>
  <cp:keywords/>
  <cp:lastModifiedBy>Narelle Kane</cp:lastModifiedBy>
  <cp:revision>4</cp:revision>
  <cp:lastPrinted>2019-01-03T21:56:00Z</cp:lastPrinted>
  <dcterms:created xsi:type="dcterms:W3CDTF">2023-05-24T04:11:00Z</dcterms:created>
  <dcterms:modified xsi:type="dcterms:W3CDTF">2023-05-24T04:17:00Z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bdf9f13e-42d6-47a3-9163-e1ec100f68a8</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0x010100B5F685A1365F544391EF8C813B164F3A0064D3DD86AC31AE44826091E02F989FB4</vt:lpwstr>
  </property>
  <property fmtid="{D5CDD505-2E9C-101B-9397-08002B2CF9AE}" pid="65" name="MarketEntity">
    <vt:lpwstr/>
  </property>
  <property fmtid="{D5CDD505-2E9C-101B-9397-08002B2CF9AE}" pid="66" name="CategoryofSupervision">
    <vt:lpwstr/>
  </property>
  <property fmtid="{D5CDD505-2E9C-101B-9397-08002B2CF9AE}" pid="67" name="hb5cf2776cb244fb86c547dd8da508c2">
    <vt:lpwstr/>
  </property>
  <property fmtid="{D5CDD505-2E9C-101B-9397-08002B2CF9AE}" pid="68" name="gf4a8c3070f44bdaa4b7c781e9258adf">
    <vt:lpwstr/>
  </property>
  <property fmtid="{D5CDD505-2E9C-101B-9397-08002B2CF9AE}" pid="69" name="MSIP_Label_a6aead41-07f8-4767-ac8e-ef1c9c793766_Enabled">
    <vt:lpwstr>true</vt:lpwstr>
  </property>
  <property fmtid="{D5CDD505-2E9C-101B-9397-08002B2CF9AE}" pid="70" name="MSIP_Label_a6aead41-07f8-4767-ac8e-ef1c9c793766_SetDate">
    <vt:lpwstr>2023-05-23T05:22:43Z</vt:lpwstr>
  </property>
  <property fmtid="{D5CDD505-2E9C-101B-9397-08002B2CF9AE}" pid="71" name="MSIP_Label_a6aead41-07f8-4767-ac8e-ef1c9c793766_Method">
    <vt:lpwstr>Standard</vt:lpwstr>
  </property>
  <property fmtid="{D5CDD505-2E9C-101B-9397-08002B2CF9AE}" pid="72" name="MSIP_Label_a6aead41-07f8-4767-ac8e-ef1c9c793766_Name">
    <vt:lpwstr>OFFICIAL</vt:lpwstr>
  </property>
  <property fmtid="{D5CDD505-2E9C-101B-9397-08002B2CF9AE}" pid="73" name="MSIP_Label_a6aead41-07f8-4767-ac8e-ef1c9c793766_SiteId">
    <vt:lpwstr>5f1de7c6-55cd-4bb2-902d-514c78cf10f4</vt:lpwstr>
  </property>
  <property fmtid="{D5CDD505-2E9C-101B-9397-08002B2CF9AE}" pid="74" name="MSIP_Label_a6aead41-07f8-4767-ac8e-ef1c9c793766_ActionId">
    <vt:lpwstr>092a774a-0616-4690-961a-bf8b8ddddca5</vt:lpwstr>
  </property>
  <property fmtid="{D5CDD505-2E9C-101B-9397-08002B2CF9AE}" pid="75" name="MSIP_Label_a6aead41-07f8-4767-ac8e-ef1c9c793766_ContentBits">
    <vt:lpwstr>0</vt:lpwstr>
  </property>
</Properties>
</file>