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8A558" w14:textId="32BEF33F" w:rsidR="00854C33" w:rsidRPr="00613F01" w:rsidRDefault="00854C33" w:rsidP="00854C33">
      <w:pPr>
        <w:pStyle w:val="Heading"/>
        <w:spacing w:after="240"/>
        <w:jc w:val="center"/>
        <w:rPr>
          <w:sz w:val="24"/>
          <w:szCs w:val="24"/>
        </w:rPr>
      </w:pPr>
      <w:r w:rsidRPr="00613F01">
        <w:rPr>
          <w:sz w:val="24"/>
          <w:szCs w:val="24"/>
        </w:rPr>
        <w:t>Financial Sector (Collection of Data</w:t>
      </w:r>
      <w:r w:rsidRPr="003F1335">
        <w:rPr>
          <w:sz w:val="24"/>
          <w:szCs w:val="24"/>
        </w:rPr>
        <w:t xml:space="preserve">) (reporting standard) </w:t>
      </w:r>
      <w:r w:rsidRPr="008234D8">
        <w:rPr>
          <w:sz w:val="24"/>
          <w:szCs w:val="24"/>
        </w:rPr>
        <w:t xml:space="preserve">determination </w:t>
      </w:r>
      <w:r w:rsidRPr="00B3614E">
        <w:rPr>
          <w:sz w:val="24"/>
          <w:szCs w:val="24"/>
        </w:rPr>
        <w:t>No.</w:t>
      </w:r>
      <w:r w:rsidR="0072386D">
        <w:rPr>
          <w:sz w:val="24"/>
          <w:szCs w:val="24"/>
        </w:rPr>
        <w:t xml:space="preserve"> </w:t>
      </w:r>
      <w:r w:rsidR="005B13BC">
        <w:rPr>
          <w:sz w:val="24"/>
          <w:szCs w:val="24"/>
        </w:rPr>
        <w:t>4</w:t>
      </w:r>
      <w:r w:rsidR="0058225D">
        <w:rPr>
          <w:sz w:val="24"/>
          <w:szCs w:val="24"/>
        </w:rPr>
        <w:t>5</w:t>
      </w:r>
      <w:r w:rsidRPr="00B3614E">
        <w:rPr>
          <w:sz w:val="24"/>
          <w:szCs w:val="24"/>
        </w:rPr>
        <w:t xml:space="preserve"> of 202</w:t>
      </w:r>
      <w:r w:rsidR="00F13B96" w:rsidRPr="00B3614E">
        <w:rPr>
          <w:sz w:val="24"/>
          <w:szCs w:val="24"/>
        </w:rPr>
        <w:t>3</w:t>
      </w:r>
    </w:p>
    <w:p w14:paraId="121BFB7C" w14:textId="77777777" w:rsidR="00854C33" w:rsidRPr="002C6D26" w:rsidRDefault="00854C33" w:rsidP="00854C33">
      <w:pPr>
        <w:pStyle w:val="Heading"/>
        <w:tabs>
          <w:tab w:val="left" w:pos="360"/>
        </w:tabs>
        <w:spacing w:after="240"/>
        <w:jc w:val="center"/>
        <w:rPr>
          <w:sz w:val="24"/>
          <w:szCs w:val="24"/>
          <w:u w:val="single"/>
        </w:rPr>
      </w:pPr>
      <w:bookmarkStart w:id="0" w:name="bkInstrumentSubTitle"/>
      <w:bookmarkEnd w:id="0"/>
      <w:r w:rsidRPr="002C6D26">
        <w:rPr>
          <w:sz w:val="24"/>
          <w:szCs w:val="24"/>
          <w:u w:val="single"/>
        </w:rPr>
        <w:t>EXPLANATORY STATEMENT</w:t>
      </w:r>
    </w:p>
    <w:p w14:paraId="568B87B5" w14:textId="77777777" w:rsidR="00854C33" w:rsidRPr="002C6D26" w:rsidRDefault="00854C33" w:rsidP="00854C33">
      <w:pPr>
        <w:pStyle w:val="Heading"/>
        <w:spacing w:after="240"/>
        <w:jc w:val="center"/>
        <w:rPr>
          <w:sz w:val="24"/>
          <w:szCs w:val="24"/>
        </w:rPr>
      </w:pPr>
      <w:r w:rsidRPr="002C6D26">
        <w:rPr>
          <w:sz w:val="24"/>
          <w:szCs w:val="24"/>
        </w:rPr>
        <w:t>Prepared by the Australian Prudential Regulation Authority (APRA)</w:t>
      </w:r>
    </w:p>
    <w:p w14:paraId="41E2056B" w14:textId="77777777" w:rsidR="00854C33" w:rsidRDefault="00854C33" w:rsidP="00854C33">
      <w:pPr>
        <w:pStyle w:val="heading0"/>
        <w:spacing w:before="0" w:beforeAutospacing="0" w:after="240" w:afterAutospacing="0"/>
        <w:jc w:val="center"/>
      </w:pPr>
      <w:r>
        <w:rPr>
          <w:i/>
          <w:iCs/>
        </w:rPr>
        <w:t>Financial Sector (Collection of Data) Act 2001</w:t>
      </w:r>
      <w:r>
        <w:t>, sections 13 and 15</w:t>
      </w:r>
    </w:p>
    <w:p w14:paraId="16F6AB79" w14:textId="77777777" w:rsidR="00854C33" w:rsidRDefault="00854C33" w:rsidP="00854C33">
      <w:pPr>
        <w:pStyle w:val="heading0"/>
        <w:spacing w:before="0" w:beforeAutospacing="0" w:after="240" w:afterAutospacing="0"/>
        <w:jc w:val="center"/>
      </w:pPr>
      <w:r w:rsidRPr="00380068">
        <w:rPr>
          <w:i/>
        </w:rPr>
        <w:t>Acts Interpretation Act 1901</w:t>
      </w:r>
      <w:r>
        <w:t>, section 33</w:t>
      </w:r>
    </w:p>
    <w:p w14:paraId="101CED05" w14:textId="77777777" w:rsidR="00854C33" w:rsidRPr="00B33A8A" w:rsidRDefault="00854C33" w:rsidP="00854C33">
      <w:pPr>
        <w:widowControl w:val="0"/>
        <w:rPr>
          <w:rFonts w:ascii="Times New Roman" w:hAnsi="Times New Roman"/>
          <w:sz w:val="24"/>
          <w:szCs w:val="24"/>
        </w:rPr>
      </w:pPr>
      <w:bookmarkStart w:id="1" w:name="bkAct"/>
      <w:bookmarkStart w:id="2" w:name="bkExplanatory"/>
      <w:bookmarkEnd w:id="1"/>
      <w:bookmarkEnd w:id="2"/>
      <w:r w:rsidRPr="002C6D26">
        <w:rPr>
          <w:rFonts w:ascii="Times New Roman" w:hAnsi="Times New Roman"/>
          <w:sz w:val="24"/>
          <w:szCs w:val="24"/>
        </w:rPr>
        <w:t xml:space="preserve">Under subsection </w:t>
      </w:r>
      <w:r>
        <w:rPr>
          <w:rFonts w:ascii="Times New Roman" w:hAnsi="Times New Roman"/>
          <w:sz w:val="24"/>
          <w:szCs w:val="24"/>
        </w:rPr>
        <w:t>13</w:t>
      </w:r>
      <w:r w:rsidRPr="002C6D26">
        <w:rPr>
          <w:rFonts w:ascii="Times New Roman" w:hAnsi="Times New Roman"/>
          <w:sz w:val="24"/>
          <w:szCs w:val="24"/>
        </w:rPr>
        <w:t xml:space="preserve">(1) of the </w:t>
      </w:r>
      <w:r w:rsidRPr="001A2ADB">
        <w:rPr>
          <w:rFonts w:ascii="Times New Roman" w:hAnsi="Times New Roman"/>
          <w:i/>
          <w:sz w:val="24"/>
          <w:szCs w:val="24"/>
        </w:rPr>
        <w:t>Financial Sector (Collection of Data) Act 2001</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w:t>
      </w:r>
      <w:r w:rsidRPr="001A2ADB">
        <w:rPr>
          <w:rFonts w:ascii="Times New Roman" w:hAnsi="Times New Roman"/>
          <w:sz w:val="24"/>
          <w:szCs w:val="24"/>
        </w:rPr>
        <w:t>has the power to determine reporting standards, in writing, with which financia</w:t>
      </w:r>
      <w:r>
        <w:rPr>
          <w:rFonts w:ascii="Times New Roman" w:hAnsi="Times New Roman"/>
          <w:sz w:val="24"/>
          <w:szCs w:val="24"/>
        </w:rPr>
        <w:t xml:space="preserve">l sector entities must comply. </w:t>
      </w:r>
      <w:r w:rsidRPr="001A2ADB">
        <w:rPr>
          <w:rFonts w:ascii="Times New Roman" w:hAnsi="Times New Roman"/>
          <w:sz w:val="24"/>
          <w:szCs w:val="24"/>
        </w:rPr>
        <w:t>Such standards relate to reporting financial or accounting data and other information regarding the business or activities of the entities.</w:t>
      </w:r>
      <w:r>
        <w:rPr>
          <w:rFonts w:ascii="Times New Roman" w:hAnsi="Times New Roman"/>
          <w:sz w:val="24"/>
          <w:szCs w:val="24"/>
        </w:rPr>
        <w:t xml:space="preserve"> </w:t>
      </w:r>
      <w:r w:rsidRPr="00BD6360">
        <w:rPr>
          <w:rFonts w:ascii="Times New Roman" w:hAnsi="Times New Roman"/>
          <w:sz w:val="24"/>
          <w:szCs w:val="24"/>
        </w:rPr>
        <w:t>Subsection</w:t>
      </w:r>
      <w:r>
        <w:rPr>
          <w:rFonts w:ascii="Times New Roman" w:hAnsi="Times New Roman"/>
          <w:sz w:val="24"/>
          <w:szCs w:val="24"/>
        </w:rPr>
        <w:t> </w:t>
      </w:r>
      <w:r w:rsidRPr="00BD6360">
        <w:rPr>
          <w:rFonts w:ascii="Times New Roman" w:hAnsi="Times New Roman"/>
          <w:sz w:val="24"/>
          <w:szCs w:val="24"/>
        </w:rPr>
        <w:t xml:space="preserve">33(3) of the </w:t>
      </w:r>
      <w:r w:rsidRPr="00BD6360">
        <w:rPr>
          <w:rFonts w:ascii="Times New Roman" w:hAnsi="Times New Roman"/>
          <w:i/>
          <w:sz w:val="24"/>
          <w:szCs w:val="24"/>
        </w:rPr>
        <w:t>Acts Interpretation Act 1901</w:t>
      </w:r>
      <w:r w:rsidRPr="00BD6360">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w:t>
      </w:r>
      <w:r w:rsidRPr="00AF72B8">
        <w:rPr>
          <w:rFonts w:ascii="Times New Roman" w:hAnsi="Times New Roman"/>
          <w:sz w:val="24"/>
          <w:szCs w:val="24"/>
        </w:rPr>
        <w:t xml:space="preserve">if any) to revoke any such </w:t>
      </w:r>
      <w:r w:rsidRPr="00B33A8A">
        <w:rPr>
          <w:rFonts w:ascii="Times New Roman" w:hAnsi="Times New Roman"/>
          <w:sz w:val="24"/>
          <w:szCs w:val="24"/>
        </w:rPr>
        <w:t>instrument.</w:t>
      </w:r>
    </w:p>
    <w:p w14:paraId="40BD84CD" w14:textId="77777777" w:rsidR="00854C33" w:rsidRPr="007D1955" w:rsidRDefault="00854C33" w:rsidP="00854C33">
      <w:pPr>
        <w:widowControl w:val="0"/>
        <w:rPr>
          <w:rFonts w:ascii="Times New Roman" w:hAnsi="Times New Roman"/>
          <w:sz w:val="24"/>
          <w:szCs w:val="24"/>
        </w:rPr>
      </w:pPr>
      <w:bookmarkStart w:id="3" w:name="_Hlk67156972"/>
      <w:r w:rsidRPr="00B33A8A">
        <w:rPr>
          <w:rFonts w:ascii="Times New Roman" w:hAnsi="Times New Roman"/>
          <w:sz w:val="24"/>
          <w:szCs w:val="24"/>
        </w:rPr>
        <w:t xml:space="preserve">Subsection 15(1) of the Act provides that APRA may declare a day on and after which the </w:t>
      </w:r>
      <w:r w:rsidRPr="007D1955">
        <w:rPr>
          <w:rFonts w:ascii="Times New Roman" w:hAnsi="Times New Roman"/>
          <w:sz w:val="24"/>
          <w:szCs w:val="24"/>
        </w:rPr>
        <w:t xml:space="preserve">reporting standards are to apply. </w:t>
      </w:r>
    </w:p>
    <w:bookmarkEnd w:id="3"/>
    <w:p w14:paraId="3C5D9939" w14:textId="7956D373" w:rsidR="00211AFD" w:rsidRDefault="00211AFD" w:rsidP="00211AFD">
      <w:pPr>
        <w:numPr>
          <w:ilvl w:val="0"/>
          <w:numId w:val="0"/>
        </w:numPr>
        <w:rPr>
          <w:rFonts w:ascii="Times New Roman" w:hAnsi="Times New Roman" w:cs="Times New Roman"/>
          <w:sz w:val="24"/>
          <w:szCs w:val="24"/>
        </w:rPr>
      </w:pPr>
      <w:r w:rsidRPr="007D1955">
        <w:rPr>
          <w:rFonts w:ascii="Times New Roman" w:hAnsi="Times New Roman" w:cs="Times New Roman"/>
          <w:sz w:val="24"/>
          <w:szCs w:val="24"/>
        </w:rPr>
        <w:t>On</w:t>
      </w:r>
      <w:r w:rsidR="00F41BD7" w:rsidRPr="007D1955">
        <w:rPr>
          <w:rFonts w:ascii="Times New Roman" w:hAnsi="Times New Roman" w:cs="Times New Roman"/>
          <w:sz w:val="24"/>
          <w:szCs w:val="24"/>
        </w:rPr>
        <w:t xml:space="preserve"> </w:t>
      </w:r>
      <w:r w:rsidR="00C81305">
        <w:rPr>
          <w:rFonts w:ascii="Times New Roman" w:hAnsi="Times New Roman" w:cs="Times New Roman"/>
          <w:sz w:val="24"/>
          <w:szCs w:val="24"/>
        </w:rPr>
        <w:t>2</w:t>
      </w:r>
      <w:r w:rsidR="0084751F">
        <w:rPr>
          <w:rFonts w:ascii="Times New Roman" w:hAnsi="Times New Roman" w:cs="Times New Roman"/>
          <w:sz w:val="24"/>
          <w:szCs w:val="24"/>
        </w:rPr>
        <w:t>3</w:t>
      </w:r>
      <w:r w:rsidR="00901745">
        <w:rPr>
          <w:rFonts w:ascii="Times New Roman" w:hAnsi="Times New Roman" w:cs="Times New Roman"/>
          <w:sz w:val="24"/>
          <w:szCs w:val="24"/>
        </w:rPr>
        <w:t xml:space="preserve"> May</w:t>
      </w:r>
      <w:r w:rsidR="00B83763">
        <w:rPr>
          <w:rFonts w:ascii="Times New Roman" w:hAnsi="Times New Roman" w:cs="Times New Roman"/>
          <w:sz w:val="24"/>
          <w:szCs w:val="24"/>
        </w:rPr>
        <w:t xml:space="preserve"> 2023</w:t>
      </w:r>
      <w:r w:rsidRPr="007D1955">
        <w:rPr>
          <w:rFonts w:ascii="Times New Roman" w:hAnsi="Times New Roman" w:cs="Times New Roman"/>
          <w:sz w:val="24"/>
          <w:szCs w:val="24"/>
        </w:rPr>
        <w:t>,</w:t>
      </w:r>
      <w:r w:rsidRPr="00B33A8A">
        <w:rPr>
          <w:rFonts w:ascii="Times New Roman" w:hAnsi="Times New Roman" w:cs="Times New Roman"/>
          <w:sz w:val="24"/>
          <w:szCs w:val="24"/>
        </w:rPr>
        <w:t xml:space="preserve"> APRA made</w:t>
      </w:r>
      <w:r w:rsidR="00321646">
        <w:rPr>
          <w:rFonts w:ascii="Times New Roman" w:hAnsi="Times New Roman" w:cs="Times New Roman"/>
          <w:sz w:val="24"/>
          <w:szCs w:val="24"/>
        </w:rPr>
        <w:t>:</w:t>
      </w:r>
    </w:p>
    <w:p w14:paraId="33BF77BC" w14:textId="7DAD0282" w:rsidR="005B13BC" w:rsidRPr="003B21E1" w:rsidRDefault="005B13BC" w:rsidP="005B13BC">
      <w:pPr>
        <w:pStyle w:val="ListParagraph"/>
        <w:numPr>
          <w:ilvl w:val="0"/>
          <w:numId w:val="19"/>
        </w:numPr>
        <w:tabs>
          <w:tab w:val="clear" w:pos="425"/>
          <w:tab w:val="clear" w:pos="851"/>
        </w:tabs>
        <w:ind w:left="567" w:hanging="567"/>
        <w:contextualSpacing w:val="0"/>
        <w:rPr>
          <w:rFonts w:ascii="Times New Roman" w:hAnsi="Times New Roman"/>
          <w:sz w:val="24"/>
          <w:szCs w:val="24"/>
        </w:rPr>
      </w:pPr>
      <w:r w:rsidRPr="003B21E1">
        <w:rPr>
          <w:rFonts w:ascii="Times New Roman" w:hAnsi="Times New Roman"/>
          <w:sz w:val="24"/>
          <w:szCs w:val="24"/>
        </w:rPr>
        <w:t>Financial Sector (Collection of Data) (reporting standard) determination No. 4</w:t>
      </w:r>
      <w:r w:rsidR="0058225D">
        <w:rPr>
          <w:rFonts w:ascii="Times New Roman" w:hAnsi="Times New Roman"/>
          <w:sz w:val="24"/>
          <w:szCs w:val="24"/>
        </w:rPr>
        <w:t>5</w:t>
      </w:r>
      <w:r w:rsidRPr="003B21E1">
        <w:rPr>
          <w:rFonts w:ascii="Times New Roman" w:hAnsi="Times New Roman"/>
          <w:sz w:val="24"/>
          <w:szCs w:val="24"/>
        </w:rPr>
        <w:t xml:space="preserve"> of 2023 which:</w:t>
      </w:r>
    </w:p>
    <w:p w14:paraId="536129AF" w14:textId="27F01E67" w:rsidR="005B13BC" w:rsidRPr="003B21E1" w:rsidRDefault="005B13BC" w:rsidP="005B13BC">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3B21E1">
        <w:rPr>
          <w:rFonts w:ascii="Times New Roman" w:hAnsi="Times New Roman"/>
          <w:sz w:val="24"/>
          <w:szCs w:val="24"/>
        </w:rPr>
        <w:t xml:space="preserve">revokes </w:t>
      </w:r>
      <w:r w:rsidR="00543F21" w:rsidRPr="00016EF4">
        <w:rPr>
          <w:rFonts w:ascii="Times New Roman" w:hAnsi="Times New Roman"/>
          <w:i/>
          <w:sz w:val="24"/>
          <w:szCs w:val="24"/>
        </w:rPr>
        <w:t xml:space="preserve">Reporting Standard SRS </w:t>
      </w:r>
      <w:r w:rsidR="0058225D">
        <w:rPr>
          <w:rFonts w:ascii="Times New Roman" w:hAnsi="Times New Roman"/>
          <w:i/>
          <w:sz w:val="24"/>
          <w:szCs w:val="24"/>
        </w:rPr>
        <w:t>7</w:t>
      </w:r>
      <w:r w:rsidR="000B7972">
        <w:rPr>
          <w:rFonts w:ascii="Times New Roman" w:hAnsi="Times New Roman"/>
          <w:i/>
          <w:sz w:val="24"/>
          <w:szCs w:val="24"/>
        </w:rPr>
        <w:t>05</w:t>
      </w:r>
      <w:r w:rsidR="00543F21" w:rsidRPr="00016EF4">
        <w:rPr>
          <w:rFonts w:ascii="Times New Roman" w:hAnsi="Times New Roman"/>
          <w:i/>
          <w:sz w:val="24"/>
          <w:szCs w:val="24"/>
        </w:rPr>
        <w:t>.0</w:t>
      </w:r>
      <w:r w:rsidR="00543F21">
        <w:rPr>
          <w:rFonts w:ascii="Times New Roman" w:hAnsi="Times New Roman"/>
          <w:sz w:val="24"/>
          <w:szCs w:val="24"/>
        </w:rPr>
        <w:t xml:space="preserve"> </w:t>
      </w:r>
      <w:r w:rsidR="0011188F">
        <w:rPr>
          <w:rFonts w:ascii="Times New Roman" w:hAnsi="Times New Roman"/>
          <w:i/>
          <w:sz w:val="24"/>
          <w:szCs w:val="24"/>
        </w:rPr>
        <w:t>Components of Net Return</w:t>
      </w:r>
      <w:r w:rsidR="0040505E">
        <w:rPr>
          <w:rFonts w:ascii="Times New Roman" w:hAnsi="Times New Roman"/>
          <w:sz w:val="24"/>
          <w:szCs w:val="24"/>
        </w:rPr>
        <w:t xml:space="preserve"> </w:t>
      </w:r>
      <w:r w:rsidR="00543F21" w:rsidRPr="006203E0">
        <w:rPr>
          <w:rFonts w:ascii="Times New Roman" w:hAnsi="Times New Roman"/>
          <w:sz w:val="24"/>
          <w:szCs w:val="24"/>
        </w:rPr>
        <w:t xml:space="preserve">(SRS </w:t>
      </w:r>
      <w:r w:rsidR="0058225D">
        <w:rPr>
          <w:rFonts w:ascii="Times New Roman" w:hAnsi="Times New Roman"/>
          <w:sz w:val="24"/>
          <w:szCs w:val="24"/>
        </w:rPr>
        <w:t>7</w:t>
      </w:r>
      <w:r w:rsidR="000B7972">
        <w:rPr>
          <w:rFonts w:ascii="Times New Roman" w:hAnsi="Times New Roman"/>
          <w:sz w:val="24"/>
          <w:szCs w:val="24"/>
        </w:rPr>
        <w:t>05</w:t>
      </w:r>
      <w:r w:rsidR="00543F21" w:rsidRPr="006203E0">
        <w:rPr>
          <w:rFonts w:ascii="Times New Roman" w:hAnsi="Times New Roman"/>
          <w:sz w:val="24"/>
          <w:szCs w:val="24"/>
        </w:rPr>
        <w:t>.0)</w:t>
      </w:r>
      <w:r w:rsidRPr="003B21E1">
        <w:rPr>
          <w:rFonts w:ascii="Times New Roman" w:hAnsi="Times New Roman"/>
          <w:sz w:val="24"/>
          <w:szCs w:val="24"/>
        </w:rPr>
        <w:t xml:space="preserve"> made under Financial Sector (Collection of Data) (reporting standard) determination No. </w:t>
      </w:r>
      <w:r w:rsidR="0058225D">
        <w:rPr>
          <w:rFonts w:ascii="Times New Roman" w:hAnsi="Times New Roman"/>
          <w:sz w:val="24"/>
          <w:szCs w:val="24"/>
        </w:rPr>
        <w:t>20</w:t>
      </w:r>
      <w:r w:rsidRPr="003B21E1">
        <w:rPr>
          <w:rFonts w:ascii="Times New Roman" w:hAnsi="Times New Roman"/>
          <w:sz w:val="24"/>
          <w:szCs w:val="24"/>
        </w:rPr>
        <w:t xml:space="preserve"> of 2021; and</w:t>
      </w:r>
    </w:p>
    <w:p w14:paraId="5188F5DD" w14:textId="2982186E" w:rsidR="005B13BC" w:rsidRPr="003B21E1" w:rsidRDefault="005B13BC" w:rsidP="005B13BC">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3B21E1">
        <w:rPr>
          <w:rFonts w:ascii="Times New Roman" w:hAnsi="Times New Roman"/>
          <w:sz w:val="24"/>
          <w:szCs w:val="24"/>
        </w:rPr>
        <w:t xml:space="preserve">determines a new version of SRS </w:t>
      </w:r>
      <w:r w:rsidR="0058225D">
        <w:rPr>
          <w:rFonts w:ascii="Times New Roman" w:hAnsi="Times New Roman"/>
          <w:sz w:val="24"/>
          <w:szCs w:val="24"/>
        </w:rPr>
        <w:t>7</w:t>
      </w:r>
      <w:r w:rsidR="000B7972">
        <w:rPr>
          <w:rFonts w:ascii="Times New Roman" w:hAnsi="Times New Roman"/>
          <w:sz w:val="24"/>
          <w:szCs w:val="24"/>
        </w:rPr>
        <w:t>05</w:t>
      </w:r>
      <w:r w:rsidRPr="003B21E1">
        <w:rPr>
          <w:rFonts w:ascii="Times New Roman" w:hAnsi="Times New Roman"/>
          <w:sz w:val="24"/>
          <w:szCs w:val="24"/>
        </w:rPr>
        <w:t>.0.</w:t>
      </w:r>
    </w:p>
    <w:p w14:paraId="0E4D1095" w14:textId="77777777" w:rsidR="005B13BC" w:rsidRDefault="005B13BC" w:rsidP="005B13BC">
      <w:pPr>
        <w:rPr>
          <w:rFonts w:ascii="Times New Roman" w:hAnsi="Times New Roman"/>
          <w:sz w:val="24"/>
          <w:szCs w:val="24"/>
        </w:rPr>
      </w:pPr>
      <w:r w:rsidRPr="00BA70F4">
        <w:rPr>
          <w:rFonts w:ascii="Times New Roman" w:hAnsi="Times New Roman"/>
          <w:sz w:val="24"/>
          <w:szCs w:val="24"/>
        </w:rPr>
        <w:t xml:space="preserve">The instrument commences upon registration on the Federal Register of Legislation. </w:t>
      </w:r>
    </w:p>
    <w:p w14:paraId="040288FF" w14:textId="77777777" w:rsidR="00204AA8" w:rsidRPr="009535CD" w:rsidRDefault="00204AA8" w:rsidP="00204AA8">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1.</w:t>
      </w:r>
      <w:r w:rsidRPr="00BC1E70">
        <w:rPr>
          <w:rFonts w:ascii="Times New Roman" w:hAnsi="Times New Roman" w:cs="Times New Roman"/>
          <w:b/>
          <w:sz w:val="24"/>
          <w:szCs w:val="24"/>
        </w:rPr>
        <w:tab/>
        <w:t>Background</w:t>
      </w:r>
    </w:p>
    <w:p w14:paraId="704E564E" w14:textId="77777777" w:rsidR="00204AA8" w:rsidRPr="00B0008B" w:rsidRDefault="00204AA8" w:rsidP="00204AA8">
      <w:pPr>
        <w:numPr>
          <w:ilvl w:val="0"/>
          <w:numId w:val="0"/>
        </w:numPr>
        <w:rPr>
          <w:rFonts w:ascii="Times New Roman" w:hAnsi="Times New Roman" w:cs="Times New Roman"/>
          <w:sz w:val="24"/>
          <w:szCs w:val="24"/>
        </w:rPr>
      </w:pPr>
      <w:r w:rsidRPr="00B0008B">
        <w:rPr>
          <w:rFonts w:ascii="Times New Roman" w:hAnsi="Times New Roman" w:cs="Times New Roman"/>
          <w:sz w:val="24"/>
          <w:szCs w:val="24"/>
        </w:rPr>
        <w:t xml:space="preserve">APRA is empowered to make reporting standards under the Act, which require regulated institutions, including RSE licensees, to submit specified data through various reporting forms. Data from these forms is used by APRA to assist with APRA’s supervisory functions, </w:t>
      </w:r>
      <w:proofErr w:type="gramStart"/>
      <w:r w:rsidRPr="00B0008B">
        <w:rPr>
          <w:rFonts w:ascii="Times New Roman" w:hAnsi="Times New Roman" w:cs="Times New Roman"/>
          <w:sz w:val="24"/>
          <w:szCs w:val="24"/>
        </w:rPr>
        <w:t>and also</w:t>
      </w:r>
      <w:proofErr w:type="gramEnd"/>
      <w:r w:rsidRPr="00B0008B">
        <w:rPr>
          <w:rFonts w:ascii="Times New Roman" w:hAnsi="Times New Roman" w:cs="Times New Roman"/>
          <w:sz w:val="24"/>
          <w:szCs w:val="24"/>
        </w:rPr>
        <w:t xml:space="preserve"> by Government and other agencies such as the Australian Bureau of Statistics and the Australian Securities and Investments Commission.</w:t>
      </w:r>
    </w:p>
    <w:p w14:paraId="0851ECF8" w14:textId="77777777" w:rsidR="00204AA8" w:rsidRPr="00B0008B" w:rsidRDefault="00204AA8" w:rsidP="00204AA8">
      <w:pPr>
        <w:numPr>
          <w:ilvl w:val="0"/>
          <w:numId w:val="0"/>
        </w:numPr>
        <w:rPr>
          <w:rFonts w:ascii="Times New Roman" w:hAnsi="Times New Roman" w:cs="Times New Roman"/>
          <w:sz w:val="24"/>
          <w:szCs w:val="24"/>
        </w:rPr>
      </w:pPr>
      <w:r w:rsidRPr="00B0008B">
        <w:rPr>
          <w:rFonts w:ascii="Times New Roman" w:hAnsi="Times New Roman" w:cs="Times New Roman"/>
          <w:sz w:val="24"/>
          <w:szCs w:val="24"/>
        </w:rPr>
        <w:t xml:space="preserve">It is crucial that RSE licensees, government, regulatory agencies, superannuation members and other interested stakeholders have access to high quality and consistent data to assess industry performance and the outcomes delivered for superannuation members. APRA identified the need to address gaps in the coverage and quality of the superannuation data collection and commenced the Superannuation Data Transformation (SDT) project in 2019.  In September 2021, APRA determined ten new superannuation reporting standards. The superannuation reporting standards addressed critical data gaps in the previous reporting framework and the highest priority areas impacting member outcomes including: the expansion of the data collection to include all products and investment options; and improved data in relation to </w:t>
      </w:r>
      <w:r w:rsidRPr="00B0008B">
        <w:rPr>
          <w:rFonts w:ascii="Times New Roman" w:hAnsi="Times New Roman" w:cs="Times New Roman"/>
          <w:sz w:val="24"/>
          <w:szCs w:val="24"/>
        </w:rPr>
        <w:lastRenderedPageBreak/>
        <w:t xml:space="preserve">performance, fees and costs, insurance arrangements, expenses, member demographics and asset allocation classifications. </w:t>
      </w:r>
    </w:p>
    <w:p w14:paraId="49FC98AC" w14:textId="77777777" w:rsidR="00204AA8" w:rsidRPr="00B0008B" w:rsidRDefault="00204AA8" w:rsidP="00204AA8">
      <w:pPr>
        <w:numPr>
          <w:ilvl w:val="0"/>
          <w:numId w:val="0"/>
        </w:numPr>
        <w:rPr>
          <w:rFonts w:ascii="Times New Roman" w:hAnsi="Times New Roman" w:cs="Times New Roman"/>
          <w:sz w:val="24"/>
          <w:szCs w:val="24"/>
        </w:rPr>
      </w:pPr>
      <w:r w:rsidRPr="00B0008B">
        <w:rPr>
          <w:rFonts w:ascii="Times New Roman" w:hAnsi="Times New Roman" w:cs="Times New Roman"/>
          <w:sz w:val="24"/>
          <w:szCs w:val="24"/>
        </w:rPr>
        <w:t xml:space="preserve">The new reporting standard will enable APRA to meet its new legislative obligations set out in the </w:t>
      </w:r>
      <w:r w:rsidRPr="00B0008B">
        <w:rPr>
          <w:rFonts w:ascii="Times New Roman" w:hAnsi="Times New Roman" w:cs="Times New Roman"/>
          <w:i/>
          <w:sz w:val="24"/>
          <w:szCs w:val="24"/>
        </w:rPr>
        <w:t>Superannuation Industry (Supervision) Act 1993</w:t>
      </w:r>
      <w:r w:rsidRPr="00B0008B">
        <w:rPr>
          <w:rFonts w:ascii="Times New Roman" w:hAnsi="Times New Roman" w:cs="Times New Roman"/>
          <w:sz w:val="24"/>
          <w:szCs w:val="24"/>
        </w:rPr>
        <w:t xml:space="preserve"> (SIS Act) (including administering the performance test under paragraph 60C of the SIS Act for trustee directed products) and to strengthen its prudential oversight of the superannuation industry. The data will support APRA’s ongoing supervision activities that seek to ensure adequate focus by RSE licensees on improving member </w:t>
      </w:r>
      <w:proofErr w:type="gramStart"/>
      <w:r w:rsidRPr="00B0008B">
        <w:rPr>
          <w:rFonts w:ascii="Times New Roman" w:hAnsi="Times New Roman" w:cs="Times New Roman"/>
          <w:sz w:val="24"/>
          <w:szCs w:val="24"/>
        </w:rPr>
        <w:t>outcomes,</w:t>
      </w:r>
      <w:r>
        <w:rPr>
          <w:rFonts w:ascii="Times New Roman" w:hAnsi="Times New Roman" w:cs="Times New Roman"/>
          <w:sz w:val="24"/>
          <w:szCs w:val="24"/>
        </w:rPr>
        <w:t xml:space="preserve"> </w:t>
      </w:r>
      <w:r w:rsidRPr="00B0008B">
        <w:rPr>
          <w:rFonts w:ascii="Times New Roman" w:hAnsi="Times New Roman" w:cs="Times New Roman"/>
          <w:sz w:val="24"/>
          <w:szCs w:val="24"/>
        </w:rPr>
        <w:t>and</w:t>
      </w:r>
      <w:proofErr w:type="gramEnd"/>
      <w:r w:rsidRPr="00B0008B">
        <w:rPr>
          <w:rFonts w:ascii="Times New Roman" w:hAnsi="Times New Roman" w:cs="Times New Roman"/>
          <w:sz w:val="24"/>
          <w:szCs w:val="24"/>
        </w:rPr>
        <w:t xml:space="preserve"> will also assist APRA in promoting transparency and comparability within the superannuation industry.</w:t>
      </w:r>
    </w:p>
    <w:p w14:paraId="7A79C942" w14:textId="77777777" w:rsidR="00204AA8" w:rsidRDefault="00204AA8" w:rsidP="00204AA8">
      <w:pPr>
        <w:numPr>
          <w:ilvl w:val="0"/>
          <w:numId w:val="0"/>
        </w:numPr>
        <w:rPr>
          <w:rFonts w:ascii="Times New Roman" w:hAnsi="Times New Roman" w:cs="Times New Roman"/>
          <w:sz w:val="24"/>
          <w:szCs w:val="24"/>
        </w:rPr>
      </w:pPr>
      <w:r w:rsidRPr="00B0008B">
        <w:rPr>
          <w:rFonts w:ascii="Times New Roman" w:hAnsi="Times New Roman" w:cs="Times New Roman"/>
          <w:sz w:val="24"/>
          <w:szCs w:val="24"/>
        </w:rPr>
        <w:t>Following the implementation of the new standards, APRA further released minor amendments to nine of the reporting standards. These minor amendments aim to clarify aspects of the standards based on industry feedback.</w:t>
      </w:r>
    </w:p>
    <w:p w14:paraId="2D2AF3D2" w14:textId="77777777" w:rsidR="00204AA8" w:rsidRPr="00BC1E70" w:rsidRDefault="00204AA8" w:rsidP="00204AA8">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2.</w:t>
      </w:r>
      <w:r w:rsidRPr="00BC1E70">
        <w:rPr>
          <w:rFonts w:ascii="Times New Roman" w:hAnsi="Times New Roman" w:cs="Times New Roman"/>
          <w:b/>
          <w:sz w:val="24"/>
          <w:szCs w:val="24"/>
        </w:rPr>
        <w:tab/>
        <w:t>Purpose and operation of the instrument</w:t>
      </w:r>
    </w:p>
    <w:p w14:paraId="547B216A" w14:textId="7A105B0D" w:rsidR="00204AA8" w:rsidRPr="00204AA8" w:rsidRDefault="00204AA8" w:rsidP="00204AA8">
      <w:pPr>
        <w:rPr>
          <w:rFonts w:ascii="Times New Roman" w:hAnsi="Times New Roman" w:cs="Times New Roman"/>
          <w:sz w:val="24"/>
          <w:szCs w:val="24"/>
        </w:rPr>
      </w:pPr>
      <w:r w:rsidRPr="00DA4844">
        <w:rPr>
          <w:rFonts w:ascii="Times New Roman" w:hAnsi="Times New Roman" w:cs="Times New Roman"/>
          <w:sz w:val="24"/>
          <w:szCs w:val="24"/>
        </w:rPr>
        <w:t xml:space="preserve">The purpose of the instrument is to </w:t>
      </w:r>
      <w:r w:rsidRPr="00204AA8">
        <w:rPr>
          <w:rFonts w:ascii="Times New Roman" w:hAnsi="Times New Roman" w:cs="Times New Roman"/>
          <w:sz w:val="24"/>
          <w:szCs w:val="24"/>
        </w:rPr>
        <w:t xml:space="preserve">revoke </w:t>
      </w:r>
      <w:r w:rsidRPr="00204AA8">
        <w:rPr>
          <w:rFonts w:ascii="Times New Roman" w:hAnsi="Times New Roman"/>
          <w:i/>
          <w:sz w:val="24"/>
          <w:szCs w:val="24"/>
        </w:rPr>
        <w:t>Reporting Standard SRS 705.0 Components of Net Return</w:t>
      </w:r>
      <w:r w:rsidR="00475667">
        <w:rPr>
          <w:rFonts w:ascii="Times New Roman" w:hAnsi="Times New Roman"/>
          <w:i/>
          <w:sz w:val="24"/>
          <w:szCs w:val="24"/>
        </w:rPr>
        <w:t xml:space="preserve"> </w:t>
      </w:r>
      <w:r w:rsidR="00475667">
        <w:rPr>
          <w:rFonts w:ascii="Times New Roman" w:hAnsi="Times New Roman"/>
          <w:sz w:val="24"/>
          <w:szCs w:val="24"/>
        </w:rPr>
        <w:t>a replace it with a new standard</w:t>
      </w:r>
      <w:r w:rsidRPr="00204AA8">
        <w:rPr>
          <w:rFonts w:ascii="Times New Roman" w:hAnsi="Times New Roman"/>
          <w:i/>
          <w:sz w:val="24"/>
          <w:szCs w:val="24"/>
        </w:rPr>
        <w:t>.</w:t>
      </w:r>
      <w:r w:rsidRPr="00204AA8">
        <w:rPr>
          <w:rFonts w:ascii="Times New Roman" w:hAnsi="Times New Roman"/>
          <w:sz w:val="24"/>
          <w:szCs w:val="24"/>
        </w:rPr>
        <w:t xml:space="preserve"> T</w:t>
      </w:r>
      <w:r w:rsidRPr="00204AA8">
        <w:rPr>
          <w:rFonts w:ascii="Times New Roman" w:hAnsi="Times New Roman" w:cs="Times New Roman"/>
          <w:sz w:val="24"/>
          <w:szCs w:val="24"/>
        </w:rPr>
        <w:t>he reporting standard outlines the requirements for the provision of information to APRA relating to the performance of all superannuation products, investment menus and investment options of RSE licensees.</w:t>
      </w:r>
    </w:p>
    <w:p w14:paraId="05103457" w14:textId="0D5DE4FF" w:rsidR="00204AA8" w:rsidRDefault="00204AA8" w:rsidP="00204AA8">
      <w:pPr>
        <w:numPr>
          <w:ilvl w:val="0"/>
          <w:numId w:val="0"/>
        </w:numPr>
        <w:rPr>
          <w:rFonts w:ascii="Times New Roman" w:hAnsi="Times New Roman" w:cs="Times New Roman"/>
          <w:sz w:val="24"/>
          <w:szCs w:val="24"/>
        </w:rPr>
      </w:pPr>
      <w:r w:rsidRPr="00DA4844">
        <w:rPr>
          <w:rFonts w:ascii="Times New Roman" w:hAnsi="Times New Roman" w:cs="Times New Roman"/>
          <w:sz w:val="24"/>
          <w:szCs w:val="24"/>
        </w:rPr>
        <w:t xml:space="preserve">RSEs will be required to provide data to APRA in accordance with the new standard, which will enable APRA </w:t>
      </w:r>
      <w:r w:rsidR="004627CE">
        <w:rPr>
          <w:rFonts w:ascii="Times New Roman" w:hAnsi="Times New Roman" w:cs="Times New Roman"/>
          <w:sz w:val="24"/>
          <w:szCs w:val="24"/>
        </w:rPr>
        <w:t xml:space="preserve">to </w:t>
      </w:r>
      <w:r w:rsidRPr="00DA4844">
        <w:rPr>
          <w:rFonts w:ascii="Times New Roman" w:hAnsi="Times New Roman" w:cs="Times New Roman"/>
          <w:sz w:val="24"/>
          <w:szCs w:val="24"/>
        </w:rPr>
        <w:t xml:space="preserve">provide better informed supervision decisions </w:t>
      </w:r>
      <w:proofErr w:type="gramStart"/>
      <w:r w:rsidRPr="00DA4844">
        <w:rPr>
          <w:rFonts w:ascii="Times New Roman" w:hAnsi="Times New Roman" w:cs="Times New Roman"/>
          <w:sz w:val="24"/>
          <w:szCs w:val="24"/>
        </w:rPr>
        <w:t>through the use of</w:t>
      </w:r>
      <w:proofErr w:type="gramEnd"/>
      <w:r w:rsidRPr="00DA4844">
        <w:rPr>
          <w:rFonts w:ascii="Times New Roman" w:hAnsi="Times New Roman" w:cs="Times New Roman"/>
          <w:sz w:val="24"/>
          <w:szCs w:val="24"/>
        </w:rPr>
        <w:t xml:space="preserve"> more granular and higher quality data.</w:t>
      </w:r>
    </w:p>
    <w:p w14:paraId="59B4A02E" w14:textId="77777777" w:rsidR="00204AA8" w:rsidRPr="000F06C1" w:rsidRDefault="00204AA8" w:rsidP="00204AA8">
      <w:pPr>
        <w:pStyle w:val="Heading5"/>
      </w:pPr>
      <w:r w:rsidRPr="000F06C1">
        <w:t xml:space="preserve">Explanation of </w:t>
      </w:r>
      <w:r>
        <w:t>each provision in the instrument</w:t>
      </w:r>
    </w:p>
    <w:p w14:paraId="0171F5DB" w14:textId="77777777" w:rsidR="00204AA8" w:rsidRPr="00504FC5" w:rsidRDefault="00204AA8" w:rsidP="00204AA8">
      <w:pPr>
        <w:pStyle w:val="Heading6"/>
      </w:pPr>
      <w:r w:rsidRPr="00C25989">
        <w:t xml:space="preserve">Authority – </w:t>
      </w:r>
      <w:r w:rsidRPr="00504FC5">
        <w:t>paragraph 1</w:t>
      </w:r>
    </w:p>
    <w:p w14:paraId="0BF190AD" w14:textId="77777777" w:rsidR="00204AA8" w:rsidRPr="00504FC5" w:rsidRDefault="00204AA8" w:rsidP="00204AA8">
      <w:pPr>
        <w:rPr>
          <w:rFonts w:ascii="Times New Roman" w:hAnsi="Times New Roman" w:cs="Times New Roman"/>
          <w:sz w:val="24"/>
          <w:szCs w:val="24"/>
        </w:rPr>
      </w:pPr>
      <w:r w:rsidRPr="00504FC5">
        <w:rPr>
          <w:rFonts w:ascii="Times New Roman" w:hAnsi="Times New Roman" w:cs="Times New Roman"/>
          <w:sz w:val="24"/>
          <w:szCs w:val="24"/>
        </w:rPr>
        <w:t>This paragraph outlines APRA’s authority to determine reporting standards that are required to be complied with by financial sector entities under section 13 of the Act.</w:t>
      </w:r>
    </w:p>
    <w:p w14:paraId="4D480694" w14:textId="77777777" w:rsidR="00204AA8" w:rsidRPr="00C25989" w:rsidRDefault="00204AA8" w:rsidP="00204AA8">
      <w:pPr>
        <w:pStyle w:val="Heading6"/>
      </w:pPr>
      <w:r w:rsidRPr="00504FC5">
        <w:t>Purpose – paragraph 2</w:t>
      </w:r>
    </w:p>
    <w:p w14:paraId="5F3136EA" w14:textId="77777777" w:rsidR="00204AA8" w:rsidRPr="007A694F" w:rsidRDefault="00204AA8" w:rsidP="00204AA8">
      <w:pPr>
        <w:rPr>
          <w:rFonts w:ascii="Times New Roman" w:hAnsi="Times New Roman" w:cs="Times New Roman"/>
          <w:sz w:val="24"/>
          <w:szCs w:val="24"/>
        </w:rPr>
      </w:pPr>
      <w:r w:rsidRPr="007A694F">
        <w:rPr>
          <w:rFonts w:ascii="Times New Roman" w:hAnsi="Times New Roman" w:cs="Times New Roman"/>
          <w:sz w:val="24"/>
          <w:szCs w:val="24"/>
        </w:rPr>
        <w:t>This paragraph explains the purpose of APRA’s collection of information under the reporting standard. Information collected under this reporting standard will be used by APRA for the purpose of prudential supervision</w:t>
      </w:r>
      <w:r w:rsidRPr="00CF5102">
        <w:t xml:space="preserve"> </w:t>
      </w:r>
      <w:r w:rsidRPr="00CF5102">
        <w:rPr>
          <w:rFonts w:ascii="Times New Roman" w:hAnsi="Times New Roman" w:cs="Times New Roman"/>
          <w:sz w:val="24"/>
          <w:szCs w:val="24"/>
        </w:rPr>
        <w:t>and publication. It may also be used by the Australian Securities and Investments Commission</w:t>
      </w:r>
      <w:r w:rsidRPr="007A694F">
        <w:rPr>
          <w:rFonts w:ascii="Times New Roman" w:hAnsi="Times New Roman" w:cs="Times New Roman"/>
          <w:sz w:val="24"/>
          <w:szCs w:val="24"/>
        </w:rPr>
        <w:t>.</w:t>
      </w:r>
    </w:p>
    <w:p w14:paraId="7E149AC0" w14:textId="77777777" w:rsidR="00204AA8" w:rsidRPr="00C25989" w:rsidRDefault="00204AA8" w:rsidP="00204AA8">
      <w:pPr>
        <w:pStyle w:val="Heading6"/>
      </w:pPr>
      <w:r w:rsidRPr="00C25989">
        <w:t>Application</w:t>
      </w:r>
      <w:r>
        <w:t xml:space="preserve"> </w:t>
      </w:r>
      <w:r w:rsidRPr="00C25989">
        <w:t>– paragraph 3</w:t>
      </w:r>
    </w:p>
    <w:p w14:paraId="7781BF98" w14:textId="77777777" w:rsidR="00204AA8" w:rsidRDefault="00204AA8" w:rsidP="00204AA8">
      <w:pPr>
        <w:rPr>
          <w:rFonts w:ascii="Times New Roman" w:hAnsi="Times New Roman" w:cs="Times New Roman"/>
          <w:sz w:val="24"/>
          <w:szCs w:val="24"/>
        </w:rPr>
      </w:pPr>
      <w:r w:rsidRPr="001141D8">
        <w:rPr>
          <w:rFonts w:ascii="Times New Roman" w:hAnsi="Times New Roman" w:cs="Times New Roman"/>
          <w:sz w:val="24"/>
          <w:szCs w:val="24"/>
        </w:rPr>
        <w:t>This p</w:t>
      </w:r>
      <w:r>
        <w:rPr>
          <w:rFonts w:ascii="Times New Roman" w:hAnsi="Times New Roman" w:cs="Times New Roman"/>
          <w:sz w:val="24"/>
          <w:szCs w:val="24"/>
        </w:rPr>
        <w:t>rovision states which financial sector entities must comply with the reporting standard, as provided for in section 15 of the Act.</w:t>
      </w:r>
    </w:p>
    <w:p w14:paraId="47A01032" w14:textId="77777777" w:rsidR="00204AA8" w:rsidRDefault="00204AA8" w:rsidP="00204AA8">
      <w:pPr>
        <w:pStyle w:val="Heading6"/>
      </w:pPr>
      <w:r>
        <w:t>Commencement – paragraph 4</w:t>
      </w:r>
    </w:p>
    <w:p w14:paraId="629A303E" w14:textId="77777777" w:rsidR="00204AA8" w:rsidRPr="004A7416" w:rsidRDefault="00204AA8" w:rsidP="00204AA8">
      <w:pPr>
        <w:rPr>
          <w:rFonts w:ascii="Times New Roman" w:hAnsi="Times New Roman" w:cs="Times New Roman"/>
          <w:sz w:val="24"/>
          <w:szCs w:val="24"/>
        </w:rPr>
      </w:pPr>
      <w:r w:rsidRPr="001141D8">
        <w:rPr>
          <w:rFonts w:ascii="Times New Roman" w:hAnsi="Times New Roman" w:cs="Times New Roman"/>
          <w:sz w:val="24"/>
          <w:szCs w:val="24"/>
        </w:rPr>
        <w:t>This p</w:t>
      </w:r>
      <w:r>
        <w:rPr>
          <w:rFonts w:ascii="Times New Roman" w:hAnsi="Times New Roman" w:cs="Times New Roman"/>
          <w:sz w:val="24"/>
          <w:szCs w:val="24"/>
        </w:rPr>
        <w:t xml:space="preserve">rovision states when the reporting standard commences as provided for in section 15 of </w:t>
      </w:r>
      <w:r w:rsidRPr="004A7416">
        <w:rPr>
          <w:rFonts w:ascii="Times New Roman" w:hAnsi="Times New Roman" w:cs="Times New Roman"/>
          <w:sz w:val="24"/>
          <w:szCs w:val="24"/>
        </w:rPr>
        <w:t>the Act.</w:t>
      </w:r>
    </w:p>
    <w:p w14:paraId="5D3037FE" w14:textId="77777777" w:rsidR="007A39AB" w:rsidRDefault="007A39AB" w:rsidP="00204AA8">
      <w:pPr>
        <w:pStyle w:val="Heading6"/>
      </w:pPr>
    </w:p>
    <w:p w14:paraId="5C544692" w14:textId="77777777" w:rsidR="007A39AB" w:rsidRDefault="007A39AB" w:rsidP="00204AA8">
      <w:pPr>
        <w:pStyle w:val="Heading6"/>
      </w:pPr>
    </w:p>
    <w:p w14:paraId="5039B1CF" w14:textId="1DE1039C" w:rsidR="00204AA8" w:rsidRDefault="00204AA8" w:rsidP="00204AA8">
      <w:pPr>
        <w:pStyle w:val="Heading6"/>
      </w:pPr>
      <w:r>
        <w:lastRenderedPageBreak/>
        <w:t xml:space="preserve">Reporting </w:t>
      </w:r>
      <w:proofErr w:type="gramStart"/>
      <w:r>
        <w:t>periods  –</w:t>
      </w:r>
      <w:proofErr w:type="gramEnd"/>
      <w:r>
        <w:t xml:space="preserve"> paragraph 5</w:t>
      </w:r>
    </w:p>
    <w:p w14:paraId="506732A2" w14:textId="77777777" w:rsidR="00204AA8" w:rsidRPr="00EC6209" w:rsidRDefault="00204AA8" w:rsidP="00204AA8">
      <w:pPr>
        <w:pStyle w:val="Heading6"/>
        <w:numPr>
          <w:ilvl w:val="0"/>
          <w:numId w:val="5"/>
        </w:numPr>
        <w:rPr>
          <w:i w:val="0"/>
        </w:rPr>
      </w:pPr>
      <w:r w:rsidRPr="00DE4029">
        <w:rPr>
          <w:i w:val="0"/>
        </w:rPr>
        <w:t xml:space="preserve">Paragraph 13(2)(d) of the Act permits reporting standards determined by APRA to include </w:t>
      </w:r>
      <w:r w:rsidRPr="00EC6209">
        <w:rPr>
          <w:i w:val="0"/>
        </w:rPr>
        <w:t xml:space="preserve">matters related to the times as at which, or the periods to which, the information in reporting documents is to relate. </w:t>
      </w:r>
    </w:p>
    <w:p w14:paraId="220E41ED" w14:textId="7D2755EE" w:rsidR="00204AA8" w:rsidRPr="007232A4" w:rsidRDefault="00204AA8" w:rsidP="00204AA8">
      <w:r w:rsidRPr="008E440F">
        <w:rPr>
          <w:rFonts w:ascii="Times New Roman" w:hAnsi="Times New Roman" w:cs="Times New Roman"/>
          <w:sz w:val="24"/>
          <w:szCs w:val="24"/>
        </w:rPr>
        <w:t xml:space="preserve">Paragraph 5 relies on this provision. Paragraph 5 states that RSE licensees are to provide the information required by this Reporting Standard in respect of each </w:t>
      </w:r>
      <w:r w:rsidR="00EA2DD0">
        <w:rPr>
          <w:rFonts w:ascii="Times New Roman" w:hAnsi="Times New Roman" w:cs="Times New Roman"/>
          <w:sz w:val="24"/>
          <w:szCs w:val="24"/>
        </w:rPr>
        <w:t xml:space="preserve">calendar quarter and each </w:t>
      </w:r>
      <w:r w:rsidRPr="008E440F">
        <w:rPr>
          <w:rFonts w:ascii="Times New Roman" w:hAnsi="Times New Roman" w:cs="Times New Roman"/>
          <w:sz w:val="24"/>
          <w:szCs w:val="24"/>
        </w:rPr>
        <w:t>year ending 30 June.</w:t>
      </w:r>
    </w:p>
    <w:p w14:paraId="1803E91B" w14:textId="77777777" w:rsidR="00204AA8" w:rsidRDefault="00204AA8" w:rsidP="00204AA8">
      <w:pPr>
        <w:pStyle w:val="Heading6"/>
      </w:pPr>
      <w:r>
        <w:t xml:space="preserve">Information required – paragraph 6 – 8 </w:t>
      </w:r>
    </w:p>
    <w:p w14:paraId="691279A3" w14:textId="77777777" w:rsidR="00204AA8" w:rsidRDefault="00204AA8" w:rsidP="00204AA8">
      <w:pPr>
        <w:rPr>
          <w:rFonts w:ascii="Times New Roman" w:hAnsi="Times New Roman" w:cs="Times New Roman"/>
          <w:sz w:val="24"/>
          <w:szCs w:val="24"/>
        </w:rPr>
      </w:pPr>
      <w:r>
        <w:rPr>
          <w:rFonts w:ascii="Times New Roman" w:hAnsi="Times New Roman" w:cs="Times New Roman"/>
          <w:sz w:val="24"/>
          <w:szCs w:val="24"/>
        </w:rPr>
        <w:t xml:space="preserve">Paragraphs </w:t>
      </w:r>
      <w:r w:rsidRPr="003E72CD">
        <w:rPr>
          <w:rFonts w:ascii="Times New Roman" w:hAnsi="Times New Roman" w:cs="Times New Roman"/>
          <w:sz w:val="24"/>
          <w:szCs w:val="24"/>
        </w:rPr>
        <w:t>13(2)(d)</w:t>
      </w:r>
      <w:r>
        <w:rPr>
          <w:rFonts w:ascii="Times New Roman" w:hAnsi="Times New Roman" w:cs="Times New Roman"/>
          <w:sz w:val="24"/>
          <w:szCs w:val="24"/>
        </w:rPr>
        <w:t xml:space="preserve"> and (e)</w:t>
      </w:r>
      <w:r w:rsidRPr="003E72CD">
        <w:rPr>
          <w:rFonts w:ascii="Times New Roman" w:hAnsi="Times New Roman" w:cs="Times New Roman"/>
          <w:sz w:val="24"/>
          <w:szCs w:val="24"/>
        </w:rPr>
        <w:t xml:space="preserve"> of the Ac</w:t>
      </w:r>
      <w:r>
        <w:rPr>
          <w:rFonts w:ascii="Times New Roman" w:hAnsi="Times New Roman" w:cs="Times New Roman"/>
          <w:sz w:val="24"/>
          <w:szCs w:val="24"/>
        </w:rPr>
        <w:t xml:space="preserve">t </w:t>
      </w:r>
      <w:r w:rsidRPr="7A72B820">
        <w:rPr>
          <w:rFonts w:ascii="Times New Roman" w:hAnsi="Times New Roman" w:cs="Times New Roman"/>
          <w:sz w:val="24"/>
          <w:szCs w:val="24"/>
        </w:rPr>
        <w:t>permit</w:t>
      </w:r>
      <w:r>
        <w:rPr>
          <w:rFonts w:ascii="Times New Roman" w:hAnsi="Times New Roman" w:cs="Times New Roman"/>
          <w:sz w:val="24"/>
          <w:szCs w:val="24"/>
        </w:rPr>
        <w:t xml:space="preserve">s reporting standards determined by APRA to include matters related to the times as at which, or the periods to which, the information in reporting documents is to relate, the giving of reporting documents to APRA, and when they should be provided. </w:t>
      </w:r>
    </w:p>
    <w:p w14:paraId="04D15156" w14:textId="4B84BE9B" w:rsidR="00204AA8" w:rsidRDefault="00204AA8" w:rsidP="00204AA8">
      <w:pPr>
        <w:rPr>
          <w:rFonts w:ascii="Times New Roman" w:hAnsi="Times New Roman" w:cs="Times New Roman"/>
          <w:sz w:val="24"/>
          <w:szCs w:val="24"/>
        </w:rPr>
      </w:pPr>
      <w:r>
        <w:rPr>
          <w:rFonts w:ascii="Times New Roman" w:hAnsi="Times New Roman" w:cs="Times New Roman"/>
          <w:sz w:val="24"/>
          <w:szCs w:val="24"/>
        </w:rPr>
        <w:t xml:space="preserve">Paragraphs 6 – 8 rely on these provisions. Paragraph 6 states that information required by this reporting standard must be provided </w:t>
      </w:r>
      <w:r w:rsidRPr="0038452B">
        <w:rPr>
          <w:rFonts w:ascii="Times New Roman" w:hAnsi="Times New Roman" w:cs="Times New Roman"/>
          <w:sz w:val="24"/>
          <w:szCs w:val="24"/>
        </w:rPr>
        <w:t xml:space="preserve">for reporting periods ending on or after 30 </w:t>
      </w:r>
      <w:r w:rsidR="00967FEC">
        <w:rPr>
          <w:rFonts w:ascii="Times New Roman" w:hAnsi="Times New Roman" w:cs="Times New Roman"/>
          <w:sz w:val="24"/>
          <w:szCs w:val="24"/>
        </w:rPr>
        <w:t>September</w:t>
      </w:r>
      <w:r w:rsidRPr="0038452B">
        <w:rPr>
          <w:rFonts w:ascii="Times New Roman" w:hAnsi="Times New Roman" w:cs="Times New Roman"/>
          <w:sz w:val="24"/>
          <w:szCs w:val="24"/>
        </w:rPr>
        <w:t xml:space="preserve"> 2023.</w:t>
      </w:r>
    </w:p>
    <w:p w14:paraId="6D2A1207" w14:textId="05E57D63" w:rsidR="00204AA8" w:rsidRDefault="00204AA8" w:rsidP="00204AA8">
      <w:pPr>
        <w:pStyle w:val="BodyText"/>
        <w:widowControl w:val="0"/>
        <w:numPr>
          <w:ilvl w:val="0"/>
          <w:numId w:val="0"/>
        </w:numPr>
        <w:autoSpaceDE w:val="0"/>
        <w:autoSpaceDN w:val="0"/>
        <w:spacing w:before="120"/>
        <w:rPr>
          <w:rFonts w:ascii="Times New Roman" w:hAnsi="Times New Roman" w:cs="Times New Roman"/>
          <w:sz w:val="24"/>
          <w:szCs w:val="24"/>
        </w:rPr>
      </w:pPr>
      <w:r>
        <w:rPr>
          <w:rFonts w:ascii="Times New Roman" w:hAnsi="Times New Roman" w:cs="Times New Roman"/>
          <w:sz w:val="24"/>
          <w:szCs w:val="24"/>
        </w:rPr>
        <w:t>Paragraph 7 states that</w:t>
      </w:r>
      <w:r w:rsidR="00AC4375">
        <w:rPr>
          <w:rFonts w:ascii="Times New Roman" w:hAnsi="Times New Roman" w:cs="Times New Roman"/>
          <w:sz w:val="24"/>
          <w:szCs w:val="24"/>
        </w:rPr>
        <w:t xml:space="preserve"> </w:t>
      </w:r>
      <w:r w:rsidR="00495434" w:rsidRPr="0038452B">
        <w:rPr>
          <w:rFonts w:ascii="Times New Roman" w:hAnsi="Times New Roman" w:cs="Times New Roman"/>
          <w:sz w:val="24"/>
          <w:szCs w:val="24"/>
        </w:rPr>
        <w:t xml:space="preserve">RSE licensees must provide </w:t>
      </w:r>
      <w:r w:rsidR="00AC4375">
        <w:rPr>
          <w:rFonts w:ascii="Times New Roman" w:hAnsi="Times New Roman" w:cs="Times New Roman"/>
          <w:sz w:val="24"/>
          <w:szCs w:val="24"/>
        </w:rPr>
        <w:t>quarterly</w:t>
      </w:r>
      <w:r>
        <w:rPr>
          <w:rFonts w:ascii="Times New Roman" w:hAnsi="Times New Roman" w:cs="Times New Roman"/>
          <w:sz w:val="24"/>
          <w:szCs w:val="24"/>
        </w:rPr>
        <w:t xml:space="preserve"> </w:t>
      </w:r>
      <w:r w:rsidRPr="00E71246">
        <w:rPr>
          <w:rFonts w:ascii="Times New Roman" w:hAnsi="Times New Roman" w:cs="Times New Roman"/>
          <w:sz w:val="24"/>
          <w:szCs w:val="24"/>
        </w:rPr>
        <w:t xml:space="preserve">information </w:t>
      </w:r>
      <w:r>
        <w:rPr>
          <w:rFonts w:ascii="Times New Roman" w:hAnsi="Times New Roman" w:cs="Times New Roman"/>
          <w:sz w:val="24"/>
          <w:szCs w:val="24"/>
        </w:rPr>
        <w:t>r</w:t>
      </w:r>
      <w:r w:rsidRPr="00E71246">
        <w:rPr>
          <w:rFonts w:ascii="Times New Roman" w:hAnsi="Times New Roman" w:cs="Times New Roman"/>
          <w:sz w:val="24"/>
          <w:szCs w:val="24"/>
        </w:rPr>
        <w:t>equired under</w:t>
      </w:r>
      <w:r w:rsidR="00495434">
        <w:rPr>
          <w:rFonts w:ascii="Times New Roman" w:hAnsi="Times New Roman" w:cs="Times New Roman"/>
          <w:sz w:val="24"/>
          <w:szCs w:val="24"/>
        </w:rPr>
        <w:t xml:space="preserve"> this reporting standard</w:t>
      </w:r>
      <w:r w:rsidRPr="00E71246">
        <w:rPr>
          <w:rFonts w:ascii="Times New Roman" w:hAnsi="Times New Roman" w:cs="Times New Roman"/>
          <w:sz w:val="24"/>
          <w:szCs w:val="24"/>
        </w:rPr>
        <w:t xml:space="preserve"> </w:t>
      </w:r>
      <w:r w:rsidR="00AC4375">
        <w:rPr>
          <w:rFonts w:ascii="Times New Roman" w:hAnsi="Times New Roman" w:cs="Times New Roman"/>
          <w:sz w:val="24"/>
          <w:szCs w:val="24"/>
        </w:rPr>
        <w:t>within 28 days after the end of the relevant reporting period.</w:t>
      </w:r>
    </w:p>
    <w:p w14:paraId="020282D2" w14:textId="0E181B42" w:rsidR="00204AA8" w:rsidRPr="00E71246" w:rsidRDefault="00204AA8" w:rsidP="00204AA8">
      <w:pPr>
        <w:rPr>
          <w:rFonts w:ascii="Times New Roman" w:hAnsi="Times New Roman" w:cs="Times New Roman"/>
          <w:sz w:val="24"/>
          <w:szCs w:val="24"/>
        </w:rPr>
      </w:pPr>
      <w:r>
        <w:rPr>
          <w:rFonts w:ascii="Times New Roman" w:hAnsi="Times New Roman" w:cs="Times New Roman"/>
          <w:sz w:val="24"/>
          <w:szCs w:val="24"/>
        </w:rPr>
        <w:t>Para</w:t>
      </w:r>
      <w:r w:rsidRPr="0038452B">
        <w:rPr>
          <w:rFonts w:ascii="Times New Roman" w:hAnsi="Times New Roman" w:cs="Times New Roman"/>
          <w:sz w:val="24"/>
          <w:szCs w:val="24"/>
        </w:rPr>
        <w:t xml:space="preserve">graph </w:t>
      </w:r>
      <w:r>
        <w:rPr>
          <w:rFonts w:ascii="Times New Roman" w:hAnsi="Times New Roman" w:cs="Times New Roman"/>
          <w:sz w:val="24"/>
          <w:szCs w:val="24"/>
        </w:rPr>
        <w:t>8</w:t>
      </w:r>
      <w:r w:rsidRPr="0038452B">
        <w:rPr>
          <w:rFonts w:ascii="Times New Roman" w:hAnsi="Times New Roman" w:cs="Times New Roman"/>
          <w:sz w:val="24"/>
          <w:szCs w:val="24"/>
        </w:rPr>
        <w:t xml:space="preserve"> states that RSE licensees must provide </w:t>
      </w:r>
      <w:r w:rsidR="00495434">
        <w:rPr>
          <w:rFonts w:ascii="Times New Roman" w:hAnsi="Times New Roman" w:cs="Times New Roman"/>
          <w:sz w:val="24"/>
          <w:szCs w:val="24"/>
        </w:rPr>
        <w:t xml:space="preserve">annual </w:t>
      </w:r>
      <w:r w:rsidRPr="0038452B">
        <w:rPr>
          <w:rFonts w:ascii="Times New Roman" w:hAnsi="Times New Roman" w:cs="Times New Roman"/>
          <w:sz w:val="24"/>
          <w:szCs w:val="24"/>
        </w:rPr>
        <w:t>information required by this reporting standard within 3 months after the end of the relevant reporting period.</w:t>
      </w:r>
    </w:p>
    <w:p w14:paraId="35615189" w14:textId="77777777" w:rsidR="00204AA8" w:rsidRDefault="00204AA8" w:rsidP="00204AA8">
      <w:pPr>
        <w:pStyle w:val="Heading6"/>
      </w:pPr>
      <w:proofErr w:type="gramStart"/>
      <w:r>
        <w:t>Notices  –</w:t>
      </w:r>
      <w:proofErr w:type="gramEnd"/>
      <w:r>
        <w:t xml:space="preserve"> paragraphs 9 – 11</w:t>
      </w:r>
    </w:p>
    <w:p w14:paraId="7181C4CB" w14:textId="77777777" w:rsidR="00204AA8" w:rsidRPr="004C6889" w:rsidRDefault="00204AA8" w:rsidP="00204AA8">
      <w:r w:rsidRPr="004C6889">
        <w:rPr>
          <w:rFonts w:ascii="Times New Roman" w:hAnsi="Times New Roman" w:cs="Times New Roman"/>
          <w:sz w:val="24"/>
          <w:szCs w:val="24"/>
        </w:rPr>
        <w:t xml:space="preserve">Paragraphs 13(2)(d)-(f) of the Act permits reporting standards determined by APRA to include matters related to the times as at which, or the periods to which, the information in reporting documents is to relate, the giving of reporting documents to APRA, and when they should be provided, and the discretion of APRA, in particular cases, to vary reporting standards, including, but not limited to, the discretion to vary when entities are to provide documents. </w:t>
      </w:r>
    </w:p>
    <w:p w14:paraId="1A67904B" w14:textId="77777777" w:rsidR="00204AA8" w:rsidRPr="004C6889" w:rsidRDefault="00204AA8" w:rsidP="00204AA8">
      <w:pPr>
        <w:rPr>
          <w:rFonts w:ascii="Times New Roman" w:hAnsi="Times New Roman" w:cs="Times New Roman"/>
          <w:sz w:val="24"/>
          <w:szCs w:val="24"/>
        </w:rPr>
      </w:pPr>
      <w:r w:rsidRPr="004C6889">
        <w:rPr>
          <w:rFonts w:ascii="Times New Roman" w:hAnsi="Times New Roman" w:cs="Times New Roman"/>
          <w:sz w:val="24"/>
          <w:szCs w:val="24"/>
        </w:rPr>
        <w:t xml:space="preserve">Paragraph 9 provides for APRA to vary the reporting periods mentioned in paragraph 5 in writing, if, having regard to the </w:t>
      </w:r>
      <w:proofErr w:type="gramStart"/>
      <w:r w:rsidRPr="004C6889">
        <w:rPr>
          <w:rFonts w:ascii="Times New Roman" w:hAnsi="Times New Roman" w:cs="Times New Roman"/>
          <w:sz w:val="24"/>
          <w:szCs w:val="24"/>
        </w:rPr>
        <w:t>particular circumstances</w:t>
      </w:r>
      <w:proofErr w:type="gramEnd"/>
      <w:r w:rsidRPr="004C6889">
        <w:rPr>
          <w:rFonts w:ascii="Times New Roman" w:hAnsi="Times New Roman" w:cs="Times New Roman"/>
          <w:sz w:val="24"/>
          <w:szCs w:val="24"/>
        </w:rPr>
        <w:t xml:space="preserve"> of a financial sector entity, APRA considers it necessary or desirable to obtain information at a different frequency than stated in paragraph 5. Paragraph 10 also states that in the case of information provided in accordance with paragraph 9, the due date will be as stated on the written notice. Paragraph 11 states that APRA may grant an extension of a due date in writing.</w:t>
      </w:r>
    </w:p>
    <w:p w14:paraId="12173A22" w14:textId="77777777" w:rsidR="00204AA8" w:rsidRPr="00401252" w:rsidRDefault="00204AA8" w:rsidP="00204AA8">
      <w:pPr>
        <w:pStyle w:val="Heading6"/>
      </w:pPr>
      <w:r>
        <w:t xml:space="preserve">Form and method of submission – </w:t>
      </w:r>
      <w:r w:rsidRPr="00401252">
        <w:t>paragraph 12</w:t>
      </w:r>
    </w:p>
    <w:p w14:paraId="201DD643" w14:textId="77777777" w:rsidR="00204AA8" w:rsidRPr="00401252" w:rsidRDefault="00204AA8" w:rsidP="00204AA8">
      <w:pPr>
        <w:rPr>
          <w:rFonts w:ascii="Times New Roman" w:hAnsi="Times New Roman" w:cs="Times New Roman"/>
          <w:sz w:val="24"/>
          <w:szCs w:val="24"/>
        </w:rPr>
      </w:pPr>
      <w:r w:rsidRPr="00401252">
        <w:rPr>
          <w:rFonts w:ascii="Times New Roman" w:hAnsi="Times New Roman" w:cs="Times New Roman"/>
          <w:sz w:val="24"/>
          <w:szCs w:val="24"/>
        </w:rPr>
        <w:t>This provision specifies how information required by the reporting standard must be given to APRA as provided for in paragraph 13(2)(e) of the Act.</w:t>
      </w:r>
    </w:p>
    <w:p w14:paraId="33B18CC0" w14:textId="77777777" w:rsidR="00204AA8" w:rsidRDefault="00204AA8" w:rsidP="00204AA8">
      <w:pPr>
        <w:pStyle w:val="Heading6"/>
      </w:pPr>
      <w:r w:rsidRPr="00401252">
        <w:t>Quality control – paragraphs 13-14</w:t>
      </w:r>
    </w:p>
    <w:p w14:paraId="3D71755F" w14:textId="77777777" w:rsidR="00204AA8" w:rsidRPr="00217286" w:rsidRDefault="00204AA8" w:rsidP="00204AA8">
      <w:pPr>
        <w:rPr>
          <w:rFonts w:ascii="Times New Roman" w:hAnsi="Times New Roman" w:cs="Times New Roman"/>
          <w:sz w:val="24"/>
          <w:szCs w:val="24"/>
        </w:rPr>
      </w:pPr>
      <w:r w:rsidRPr="00217286">
        <w:rPr>
          <w:rFonts w:ascii="Times New Roman" w:hAnsi="Times New Roman" w:cs="Times New Roman"/>
          <w:sz w:val="24"/>
          <w:szCs w:val="24"/>
        </w:rPr>
        <w:t>Paragraph 1</w:t>
      </w:r>
      <w:r>
        <w:rPr>
          <w:rFonts w:ascii="Times New Roman" w:hAnsi="Times New Roman" w:cs="Times New Roman"/>
          <w:sz w:val="24"/>
          <w:szCs w:val="24"/>
        </w:rPr>
        <w:t>3</w:t>
      </w:r>
      <w:r w:rsidRPr="00217286">
        <w:rPr>
          <w:rFonts w:ascii="Times New Roman" w:hAnsi="Times New Roman" w:cs="Times New Roman"/>
          <w:sz w:val="24"/>
          <w:szCs w:val="24"/>
        </w:rPr>
        <w:t xml:space="preserve"> states that information provided to APRA under this reporting standard must be the product of systems, processes and controls that have been reviewed and tested by the </w:t>
      </w:r>
      <w:r w:rsidRPr="009815E0">
        <w:rPr>
          <w:rFonts w:ascii="Times New Roman" w:hAnsi="Times New Roman" w:cs="Times New Roman"/>
          <w:sz w:val="24"/>
          <w:szCs w:val="24"/>
        </w:rPr>
        <w:t>RSE auditor of the RSE, or defined benefit RSE to which the information relates</w:t>
      </w:r>
      <w:r w:rsidRPr="00217286">
        <w:rPr>
          <w:rFonts w:ascii="Times New Roman" w:hAnsi="Times New Roman" w:cs="Times New Roman"/>
          <w:sz w:val="24"/>
          <w:szCs w:val="24"/>
        </w:rPr>
        <w:t>.</w:t>
      </w:r>
    </w:p>
    <w:p w14:paraId="44B08C43" w14:textId="77777777" w:rsidR="00204AA8" w:rsidRDefault="00204AA8" w:rsidP="00204AA8">
      <w:pPr>
        <w:rPr>
          <w:rFonts w:ascii="Times New Roman" w:hAnsi="Times New Roman" w:cs="Times New Roman"/>
          <w:sz w:val="24"/>
          <w:szCs w:val="24"/>
        </w:rPr>
      </w:pPr>
      <w:r w:rsidRPr="00217286">
        <w:rPr>
          <w:rFonts w:ascii="Times New Roman" w:hAnsi="Times New Roman" w:cs="Times New Roman"/>
          <w:sz w:val="24"/>
          <w:szCs w:val="24"/>
        </w:rPr>
        <w:lastRenderedPageBreak/>
        <w:t>Paragraph 1</w:t>
      </w:r>
      <w:r>
        <w:rPr>
          <w:rFonts w:ascii="Times New Roman" w:hAnsi="Times New Roman" w:cs="Times New Roman"/>
          <w:sz w:val="24"/>
          <w:szCs w:val="24"/>
        </w:rPr>
        <w:t>4</w:t>
      </w:r>
      <w:r w:rsidRPr="00217286">
        <w:rPr>
          <w:rFonts w:ascii="Times New Roman" w:hAnsi="Times New Roman" w:cs="Times New Roman"/>
          <w:sz w:val="24"/>
          <w:szCs w:val="24"/>
        </w:rPr>
        <w:t xml:space="preserve"> states that information provided under this reporting standard must be subject to systems, processes and controls</w:t>
      </w:r>
      <w:r w:rsidRPr="008A55D4">
        <w:rPr>
          <w:rFonts w:ascii="Times New Roman" w:hAnsi="Times New Roman" w:cs="Times New Roman"/>
          <w:sz w:val="24"/>
          <w:szCs w:val="24"/>
        </w:rPr>
        <w:t xml:space="preserve"> developed by the </w:t>
      </w:r>
      <w:r>
        <w:rPr>
          <w:rFonts w:ascii="Times New Roman" w:hAnsi="Times New Roman" w:cs="Times New Roman"/>
          <w:sz w:val="24"/>
          <w:szCs w:val="24"/>
        </w:rPr>
        <w:t>entity</w:t>
      </w:r>
      <w:r w:rsidRPr="008A55D4">
        <w:rPr>
          <w:rFonts w:ascii="Times New Roman" w:hAnsi="Times New Roman" w:cs="Times New Roman"/>
          <w:sz w:val="24"/>
          <w:szCs w:val="24"/>
        </w:rPr>
        <w:t xml:space="preserve"> for the internal review and authorisation of that information</w:t>
      </w:r>
      <w:r>
        <w:rPr>
          <w:rFonts w:ascii="Times New Roman" w:hAnsi="Times New Roman" w:cs="Times New Roman"/>
          <w:sz w:val="24"/>
          <w:szCs w:val="24"/>
        </w:rPr>
        <w:t>.</w:t>
      </w:r>
    </w:p>
    <w:p w14:paraId="4401BC82" w14:textId="77777777" w:rsidR="00204AA8" w:rsidRDefault="00204AA8" w:rsidP="00204AA8">
      <w:pPr>
        <w:pStyle w:val="Heading6"/>
      </w:pPr>
      <w:r>
        <w:t>Authorisation – paragraphs 15 – 17</w:t>
      </w:r>
    </w:p>
    <w:p w14:paraId="11A99CB9" w14:textId="3A965624" w:rsidR="00204AA8" w:rsidRPr="00625918" w:rsidRDefault="00204AA8" w:rsidP="00204AA8">
      <w:pPr>
        <w:rPr>
          <w:rFonts w:ascii="Times New Roman" w:hAnsi="Times New Roman" w:cs="Times New Roman"/>
          <w:sz w:val="24"/>
          <w:szCs w:val="24"/>
        </w:rPr>
      </w:pPr>
      <w:r w:rsidRPr="00DC4928">
        <w:rPr>
          <w:rFonts w:ascii="Times New Roman" w:hAnsi="Times New Roman" w:cs="Times New Roman"/>
          <w:sz w:val="24"/>
          <w:szCs w:val="24"/>
        </w:rPr>
        <w:t>Paragraphs 1</w:t>
      </w:r>
      <w:r>
        <w:rPr>
          <w:rFonts w:ascii="Times New Roman" w:hAnsi="Times New Roman" w:cs="Times New Roman"/>
          <w:sz w:val="24"/>
          <w:szCs w:val="24"/>
        </w:rPr>
        <w:t>5 – 17</w:t>
      </w:r>
      <w:r w:rsidRPr="00DC4928">
        <w:rPr>
          <w:rFonts w:ascii="Times New Roman" w:hAnsi="Times New Roman" w:cs="Times New Roman"/>
          <w:sz w:val="24"/>
          <w:szCs w:val="24"/>
        </w:rPr>
        <w:t xml:space="preserve"> </w:t>
      </w:r>
      <w:proofErr w:type="gramStart"/>
      <w:r w:rsidRPr="00DC4928">
        <w:rPr>
          <w:rFonts w:ascii="Times New Roman" w:hAnsi="Times New Roman" w:cs="Times New Roman"/>
          <w:sz w:val="24"/>
          <w:szCs w:val="24"/>
        </w:rPr>
        <w:t>state</w:t>
      </w:r>
      <w:proofErr w:type="gramEnd"/>
      <w:r>
        <w:rPr>
          <w:rFonts w:ascii="Times New Roman" w:hAnsi="Times New Roman" w:cs="Times New Roman"/>
          <w:sz w:val="24"/>
          <w:szCs w:val="24"/>
        </w:rPr>
        <w:t xml:space="preserve"> how information provided to APRA should be authenticated and who is authorised to provide information to APRA </w:t>
      </w:r>
      <w:r w:rsidRPr="00625918">
        <w:rPr>
          <w:rFonts w:ascii="Times New Roman" w:hAnsi="Times New Roman" w:cs="Times New Roman"/>
          <w:sz w:val="24"/>
          <w:szCs w:val="24"/>
        </w:rPr>
        <w:t>for a financial sector entity</w:t>
      </w:r>
      <w:r w:rsidR="005B488A">
        <w:rPr>
          <w:rFonts w:ascii="Times New Roman" w:hAnsi="Times New Roman" w:cs="Times New Roman"/>
          <w:color w:val="auto"/>
          <w:sz w:val="24"/>
          <w:szCs w:val="24"/>
        </w:rPr>
        <w:t>, and a requirement for RSE licensees to retain a copy of any information provided to APRA on their behalf</w:t>
      </w:r>
      <w:r w:rsidRPr="00625918">
        <w:rPr>
          <w:rFonts w:ascii="Times New Roman" w:hAnsi="Times New Roman" w:cs="Times New Roman"/>
          <w:sz w:val="24"/>
          <w:szCs w:val="24"/>
        </w:rPr>
        <w:t>.</w:t>
      </w:r>
    </w:p>
    <w:p w14:paraId="32EE225A" w14:textId="77777777" w:rsidR="00204AA8" w:rsidRPr="00625918" w:rsidRDefault="00204AA8" w:rsidP="00204AA8">
      <w:pPr>
        <w:pStyle w:val="Heading6"/>
      </w:pPr>
      <w:r w:rsidRPr="00625918">
        <w:t>Minor alterations to forms and instructions – paragraph</w:t>
      </w:r>
      <w:r>
        <w:t>s</w:t>
      </w:r>
      <w:r w:rsidRPr="00625918">
        <w:t xml:space="preserve"> </w:t>
      </w:r>
      <w:r>
        <w:t>18 – 19</w:t>
      </w:r>
    </w:p>
    <w:p w14:paraId="74A8928F" w14:textId="77777777" w:rsidR="00204AA8" w:rsidRDefault="00204AA8" w:rsidP="00204AA8">
      <w:pPr>
        <w:rPr>
          <w:rFonts w:ascii="Times New Roman" w:hAnsi="Times New Roman" w:cs="Times New Roman"/>
          <w:sz w:val="24"/>
          <w:szCs w:val="24"/>
        </w:rPr>
      </w:pPr>
      <w:r w:rsidRPr="00625918">
        <w:rPr>
          <w:rFonts w:ascii="Times New Roman" w:hAnsi="Times New Roman" w:cs="Times New Roman"/>
          <w:sz w:val="24"/>
          <w:szCs w:val="24"/>
        </w:rPr>
        <w:t xml:space="preserve">Paragraph </w:t>
      </w:r>
      <w:r>
        <w:rPr>
          <w:rFonts w:ascii="Times New Roman" w:hAnsi="Times New Roman" w:cs="Times New Roman"/>
          <w:sz w:val="24"/>
          <w:szCs w:val="24"/>
        </w:rPr>
        <w:t>18</w:t>
      </w:r>
      <w:r w:rsidRPr="00625918">
        <w:rPr>
          <w:rFonts w:ascii="Times New Roman" w:hAnsi="Times New Roman" w:cs="Times New Roman"/>
          <w:sz w:val="24"/>
          <w:szCs w:val="24"/>
        </w:rPr>
        <w:t xml:space="preserve"> states that APRA may vary the requirements of this reporting standard in relation to a financial sector entity in writing, as provided for in paragraph 13(2)(f) of the Act. Paragraph </w:t>
      </w:r>
      <w:r>
        <w:rPr>
          <w:rFonts w:ascii="Times New Roman" w:hAnsi="Times New Roman" w:cs="Times New Roman"/>
          <w:sz w:val="24"/>
          <w:szCs w:val="24"/>
        </w:rPr>
        <w:t>19</w:t>
      </w:r>
      <w:r w:rsidRPr="00625918">
        <w:rPr>
          <w:rFonts w:ascii="Times New Roman" w:hAnsi="Times New Roman" w:cs="Times New Roman"/>
          <w:sz w:val="24"/>
          <w:szCs w:val="24"/>
        </w:rPr>
        <w:t xml:space="preserve"> states APRA must notify entities if it makes such a variation.</w:t>
      </w:r>
      <w:r>
        <w:rPr>
          <w:rFonts w:ascii="Times New Roman" w:hAnsi="Times New Roman" w:cs="Times New Roman"/>
          <w:sz w:val="24"/>
          <w:szCs w:val="24"/>
        </w:rPr>
        <w:t xml:space="preserve"> </w:t>
      </w:r>
    </w:p>
    <w:p w14:paraId="020B7D2D" w14:textId="77777777" w:rsidR="00204AA8" w:rsidRDefault="00204AA8" w:rsidP="00204AA8">
      <w:pPr>
        <w:pStyle w:val="Heading6"/>
      </w:pPr>
      <w:r>
        <w:t>Transition – paragraph 20</w:t>
      </w:r>
    </w:p>
    <w:p w14:paraId="0DCDD954" w14:textId="4992C210" w:rsidR="00204AA8" w:rsidRPr="0066151F" w:rsidRDefault="00204AA8" w:rsidP="00204AA8">
      <w:pPr>
        <w:rPr>
          <w:rFonts w:ascii="Times New Roman" w:hAnsi="Times New Roman" w:cs="Times New Roman"/>
          <w:sz w:val="24"/>
          <w:szCs w:val="24"/>
        </w:rPr>
      </w:pPr>
      <w:r w:rsidRPr="0066151F">
        <w:rPr>
          <w:rFonts w:ascii="Times New Roman" w:hAnsi="Times New Roman" w:cs="Times New Roman"/>
          <w:sz w:val="24"/>
          <w:szCs w:val="24"/>
        </w:rPr>
        <w:t xml:space="preserve">Paragraphs 13(2)(d)-(e) of the Act provide for APRA to include matters relating to times and periods to which information in reporting documents is to relate, the provision of documents to APRA, and the time periods for provision of these documents to APRA. Paragraph 20 states that financial sector entities must report data under the reporting standard revoked in the determination making this reporting standard for reporting periods that ended </w:t>
      </w:r>
      <w:r w:rsidR="0023058C">
        <w:rPr>
          <w:rFonts w:ascii="Times New Roman" w:hAnsi="Times New Roman" w:cs="Times New Roman"/>
          <w:sz w:val="24"/>
          <w:szCs w:val="24"/>
        </w:rPr>
        <w:t>before 30 September 2023</w:t>
      </w:r>
      <w:r w:rsidRPr="0066151F">
        <w:rPr>
          <w:rFonts w:ascii="Times New Roman" w:hAnsi="Times New Roman" w:cs="Times New Roman"/>
          <w:sz w:val="24"/>
          <w:szCs w:val="24"/>
        </w:rPr>
        <w:t xml:space="preserve">. </w:t>
      </w:r>
    </w:p>
    <w:p w14:paraId="2D1724EA" w14:textId="77777777" w:rsidR="00204AA8" w:rsidRDefault="00204AA8" w:rsidP="00204AA8">
      <w:pPr>
        <w:pStyle w:val="Heading6"/>
      </w:pPr>
      <w:r>
        <w:t>Interpretation – paragraphs 21 – 23</w:t>
      </w:r>
    </w:p>
    <w:p w14:paraId="6BEFF4BB" w14:textId="14CFB5D5" w:rsidR="00204AA8" w:rsidRPr="001569EC" w:rsidRDefault="00204AA8" w:rsidP="00204AA8">
      <w:r>
        <w:rPr>
          <w:rFonts w:ascii="Times New Roman" w:hAnsi="Times New Roman" w:cs="Times New Roman"/>
          <w:sz w:val="24"/>
          <w:szCs w:val="24"/>
        </w:rPr>
        <w:t xml:space="preserve">Paragraph 21 provides </w:t>
      </w:r>
      <w:r w:rsidRPr="001569EC">
        <w:rPr>
          <w:rFonts w:ascii="Times New Roman" w:hAnsi="Times New Roman" w:cs="Times New Roman"/>
          <w:sz w:val="24"/>
          <w:szCs w:val="24"/>
        </w:rPr>
        <w:t>definitions of common terms used throughout this reporting standard. Paragraph 2</w:t>
      </w:r>
      <w:r>
        <w:rPr>
          <w:rFonts w:ascii="Times New Roman" w:hAnsi="Times New Roman" w:cs="Times New Roman"/>
          <w:sz w:val="24"/>
          <w:szCs w:val="24"/>
        </w:rPr>
        <w:t>2</w:t>
      </w:r>
      <w:r w:rsidRPr="001569EC">
        <w:rPr>
          <w:rFonts w:ascii="Times New Roman" w:hAnsi="Times New Roman" w:cs="Times New Roman"/>
          <w:sz w:val="24"/>
          <w:szCs w:val="24"/>
        </w:rPr>
        <w:t xml:space="preserve"> states that unless the contrary intention appears, a reference to an Act, Prudential Standard, Reporting Standard, Australian Accounting or Auditing Standard is a reference to the instrument as in force from time to time. Paragraph 2</w:t>
      </w:r>
      <w:r>
        <w:rPr>
          <w:rFonts w:ascii="Times New Roman" w:hAnsi="Times New Roman" w:cs="Times New Roman"/>
          <w:sz w:val="24"/>
          <w:szCs w:val="24"/>
        </w:rPr>
        <w:t>3</w:t>
      </w:r>
      <w:r w:rsidRPr="001569EC">
        <w:rPr>
          <w:rFonts w:ascii="Times New Roman" w:hAnsi="Times New Roman" w:cs="Times New Roman"/>
          <w:sz w:val="24"/>
          <w:szCs w:val="24"/>
        </w:rPr>
        <w:t xml:space="preserve"> outlines where this Reporting Standard provides APRA to exercise a power or discretion, the power or discretion is to be exercised in writing</w:t>
      </w:r>
      <w:r w:rsidR="007E013E">
        <w:rPr>
          <w:rFonts w:ascii="Times New Roman" w:hAnsi="Times New Roman" w:cs="Times New Roman"/>
          <w:sz w:val="24"/>
          <w:szCs w:val="24"/>
        </w:rPr>
        <w:t>.</w:t>
      </w:r>
    </w:p>
    <w:p w14:paraId="6F8C8DF6" w14:textId="77777777" w:rsidR="00204AA8" w:rsidRDefault="00204AA8" w:rsidP="00204AA8">
      <w:pPr>
        <w:pStyle w:val="Heading6"/>
      </w:pPr>
      <w:r>
        <w:t>General instructions</w:t>
      </w:r>
    </w:p>
    <w:p w14:paraId="7E2F0316" w14:textId="77777777" w:rsidR="00204AA8" w:rsidRDefault="00204AA8" w:rsidP="00204AA8">
      <w:pPr>
        <w:rPr>
          <w:rFonts w:ascii="Times New Roman" w:hAnsi="Times New Roman" w:cs="Times New Roman"/>
          <w:sz w:val="24"/>
          <w:szCs w:val="24"/>
        </w:rPr>
      </w:pPr>
      <w:r w:rsidRPr="00267C9C">
        <w:rPr>
          <w:rFonts w:ascii="Times New Roman" w:hAnsi="Times New Roman" w:cs="Times New Roman"/>
          <w:sz w:val="24"/>
          <w:szCs w:val="24"/>
        </w:rPr>
        <w:t xml:space="preserve">The general instructions </w:t>
      </w:r>
      <w:r>
        <w:rPr>
          <w:rFonts w:ascii="Times New Roman" w:hAnsi="Times New Roman" w:cs="Times New Roman"/>
          <w:sz w:val="24"/>
          <w:szCs w:val="24"/>
        </w:rPr>
        <w:t>contain details on the data to be reported to APRA under this reporting standard. Information in the general instructions applies to all data items in this reporting standard. This information includes definitions of terms that relate to the data reported to APRA under this reporting standard, and instructions on how to interpret the reporting tables.</w:t>
      </w:r>
    </w:p>
    <w:p w14:paraId="6C965268" w14:textId="77777777" w:rsidR="00204AA8" w:rsidRDefault="00204AA8" w:rsidP="00204AA8">
      <w:pPr>
        <w:pStyle w:val="Heading6"/>
      </w:pPr>
      <w:r>
        <w:t>Specific instructions</w:t>
      </w:r>
    </w:p>
    <w:p w14:paraId="5DE463E1" w14:textId="77777777" w:rsidR="00204AA8" w:rsidRPr="004E5263" w:rsidRDefault="00204AA8" w:rsidP="00204AA8">
      <w:pPr>
        <w:rPr>
          <w:rFonts w:ascii="Times New Roman" w:hAnsi="Times New Roman" w:cs="Times New Roman"/>
          <w:sz w:val="24"/>
          <w:szCs w:val="24"/>
        </w:rPr>
      </w:pPr>
      <w:r w:rsidRPr="001541A7">
        <w:rPr>
          <w:rFonts w:ascii="Times New Roman" w:hAnsi="Times New Roman" w:cs="Times New Roman"/>
          <w:sz w:val="24"/>
          <w:szCs w:val="24"/>
        </w:rPr>
        <w:t xml:space="preserve">The specific instructions </w:t>
      </w:r>
      <w:r>
        <w:rPr>
          <w:rFonts w:ascii="Times New Roman" w:hAnsi="Times New Roman" w:cs="Times New Roman"/>
          <w:sz w:val="24"/>
          <w:szCs w:val="24"/>
        </w:rPr>
        <w:t>list the specific data items that must be reported to APRA and how financial sector entities should determine these items.</w:t>
      </w:r>
    </w:p>
    <w:p w14:paraId="1DD89192" w14:textId="77777777" w:rsidR="00204AA8" w:rsidRPr="009D1DFD" w:rsidRDefault="00204AA8" w:rsidP="00204AA8">
      <w:pPr>
        <w:pStyle w:val="Heading5"/>
      </w:pPr>
      <w:r w:rsidRPr="009D1DFD">
        <w:t>Documents incorporated by reference</w:t>
      </w:r>
    </w:p>
    <w:p w14:paraId="185557EC" w14:textId="77777777" w:rsidR="00204AA8" w:rsidRPr="009D1DFD" w:rsidRDefault="00204AA8" w:rsidP="00204AA8">
      <w:pPr>
        <w:rPr>
          <w:rFonts w:ascii="Times New Roman" w:hAnsi="Times New Roman" w:cs="Times New Roman"/>
          <w:sz w:val="24"/>
          <w:szCs w:val="24"/>
        </w:rPr>
      </w:pPr>
      <w:r w:rsidRPr="009D1DFD">
        <w:rPr>
          <w:rFonts w:ascii="Times New Roman" w:hAnsi="Times New Roman" w:cs="Times New Roman"/>
          <w:sz w:val="24"/>
          <w:szCs w:val="24"/>
        </w:rPr>
        <w:t xml:space="preserve">Under section 14(1)(a) of the </w:t>
      </w:r>
      <w:r w:rsidRPr="009D1DFD">
        <w:rPr>
          <w:rFonts w:ascii="Times New Roman" w:hAnsi="Times New Roman" w:cs="Times New Roman"/>
          <w:i/>
          <w:sz w:val="24"/>
          <w:szCs w:val="24"/>
        </w:rPr>
        <w:t>Legislation Act 2003</w:t>
      </w:r>
      <w:r w:rsidRPr="009D1DFD">
        <w:rPr>
          <w:rFonts w:ascii="Times New Roman" w:hAnsi="Times New Roman" w:cs="Times New Roman"/>
          <w:sz w:val="24"/>
          <w:szCs w:val="24"/>
        </w:rPr>
        <w:t xml:space="preserve">, the standard incorporates by reference as in force from time to time: </w:t>
      </w:r>
    </w:p>
    <w:p w14:paraId="1D1AAFF6" w14:textId="70B84B05" w:rsidR="00204AA8" w:rsidRPr="00E21EB0" w:rsidRDefault="00204AA8" w:rsidP="00204AA8">
      <w:pPr>
        <w:numPr>
          <w:ilvl w:val="0"/>
          <w:numId w:val="22"/>
        </w:numPr>
        <w:rPr>
          <w:rFonts w:ascii="Times New Roman" w:hAnsi="Times New Roman" w:cs="Times New Roman"/>
          <w:sz w:val="24"/>
          <w:szCs w:val="24"/>
        </w:rPr>
      </w:pPr>
      <w:r w:rsidRPr="00E21EB0">
        <w:rPr>
          <w:rFonts w:ascii="Times New Roman" w:hAnsi="Times New Roman" w:cs="Times New Roman"/>
          <w:sz w:val="24"/>
          <w:szCs w:val="24"/>
        </w:rPr>
        <w:t xml:space="preserve">Acts of Parliament and associated delegated </w:t>
      </w:r>
      <w:proofErr w:type="gramStart"/>
      <w:r w:rsidRPr="00E21EB0">
        <w:rPr>
          <w:rFonts w:ascii="Times New Roman" w:hAnsi="Times New Roman" w:cs="Times New Roman"/>
          <w:sz w:val="24"/>
          <w:szCs w:val="24"/>
        </w:rPr>
        <w:t>l</w:t>
      </w:r>
      <w:r w:rsidR="006151DC">
        <w:rPr>
          <w:rFonts w:ascii="Times New Roman" w:hAnsi="Times New Roman" w:cs="Times New Roman"/>
          <w:sz w:val="24"/>
          <w:szCs w:val="24"/>
        </w:rPr>
        <w:t>egislation</w:t>
      </w:r>
      <w:r w:rsidRPr="00E21EB0">
        <w:rPr>
          <w:rFonts w:ascii="Times New Roman" w:hAnsi="Times New Roman" w:cs="Times New Roman"/>
          <w:sz w:val="24"/>
          <w:szCs w:val="24"/>
        </w:rPr>
        <w:t>;</w:t>
      </w:r>
      <w:proofErr w:type="gramEnd"/>
    </w:p>
    <w:p w14:paraId="23DD1ED3" w14:textId="77777777" w:rsidR="00204AA8" w:rsidRPr="00285F94" w:rsidRDefault="00204AA8" w:rsidP="00204AA8">
      <w:pPr>
        <w:numPr>
          <w:ilvl w:val="0"/>
          <w:numId w:val="22"/>
        </w:numPr>
        <w:rPr>
          <w:rFonts w:ascii="Times New Roman" w:hAnsi="Times New Roman" w:cs="Times New Roman"/>
          <w:sz w:val="24"/>
          <w:szCs w:val="24"/>
        </w:rPr>
      </w:pPr>
      <w:r w:rsidRPr="00285F94">
        <w:rPr>
          <w:rFonts w:ascii="Times New Roman" w:hAnsi="Times New Roman" w:cs="Times New Roman"/>
          <w:sz w:val="24"/>
          <w:szCs w:val="24"/>
        </w:rPr>
        <w:lastRenderedPageBreak/>
        <w:t>Prudential Standards determined by APRA under subsection 34</w:t>
      </w:r>
      <w:proofErr w:type="gramStart"/>
      <w:r w:rsidRPr="00285F94">
        <w:rPr>
          <w:rFonts w:ascii="Times New Roman" w:hAnsi="Times New Roman" w:cs="Times New Roman"/>
          <w:sz w:val="24"/>
          <w:szCs w:val="24"/>
        </w:rPr>
        <w:t>C(</w:t>
      </w:r>
      <w:proofErr w:type="gramEnd"/>
      <w:r w:rsidRPr="00285F94">
        <w:rPr>
          <w:rFonts w:ascii="Times New Roman" w:hAnsi="Times New Roman" w:cs="Times New Roman"/>
          <w:sz w:val="24"/>
          <w:szCs w:val="24"/>
        </w:rPr>
        <w:t xml:space="preserve">1) of the </w:t>
      </w:r>
      <w:r w:rsidRPr="00285F94">
        <w:rPr>
          <w:rFonts w:ascii="Times New Roman" w:hAnsi="Times New Roman" w:cs="Times New Roman"/>
          <w:i/>
          <w:sz w:val="24"/>
          <w:szCs w:val="24"/>
        </w:rPr>
        <w:t>Superannuation Industry (Supervision Act) 1993</w:t>
      </w:r>
      <w:r w:rsidRPr="00285F94">
        <w:rPr>
          <w:rFonts w:ascii="Times New Roman" w:hAnsi="Times New Roman" w:cs="Times New Roman"/>
          <w:sz w:val="24"/>
          <w:szCs w:val="24"/>
        </w:rPr>
        <w:t>; and</w:t>
      </w:r>
    </w:p>
    <w:p w14:paraId="582D91ED" w14:textId="44C3EAE7" w:rsidR="007B1DC4" w:rsidRPr="009608B6" w:rsidRDefault="00204AA8" w:rsidP="009608B6">
      <w:pPr>
        <w:numPr>
          <w:ilvl w:val="0"/>
          <w:numId w:val="22"/>
        </w:numPr>
        <w:rPr>
          <w:rFonts w:ascii="Times New Roman" w:hAnsi="Times New Roman" w:cs="Times New Roman"/>
          <w:i/>
          <w:iCs/>
          <w:sz w:val="24"/>
          <w:szCs w:val="24"/>
        </w:rPr>
      </w:pPr>
      <w:r w:rsidRPr="00285F94">
        <w:rPr>
          <w:rFonts w:ascii="Times New Roman" w:hAnsi="Times New Roman" w:cs="Times New Roman"/>
          <w:sz w:val="24"/>
          <w:szCs w:val="24"/>
        </w:rPr>
        <w:t xml:space="preserve">Reporting Standards determined by APRA under subsection 13(1) of the </w:t>
      </w:r>
      <w:proofErr w:type="gramStart"/>
      <w:r w:rsidRPr="00285F94">
        <w:rPr>
          <w:rFonts w:ascii="Times New Roman" w:hAnsi="Times New Roman" w:cs="Times New Roman"/>
          <w:sz w:val="24"/>
          <w:szCs w:val="24"/>
        </w:rPr>
        <w:t>Act</w:t>
      </w:r>
      <w:r w:rsidRPr="00285F94">
        <w:rPr>
          <w:rFonts w:ascii="Times New Roman" w:hAnsi="Times New Roman" w:cs="Times New Roman"/>
          <w:iCs/>
          <w:sz w:val="24"/>
          <w:szCs w:val="24"/>
          <w:lang w:val="en-US"/>
        </w:rPr>
        <w:t>;</w:t>
      </w:r>
      <w:proofErr w:type="gramEnd"/>
    </w:p>
    <w:p w14:paraId="1347FA02" w14:textId="72324633" w:rsidR="00FA3CD9" w:rsidRDefault="00204AA8" w:rsidP="00204AA8">
      <w:pPr>
        <w:numPr>
          <w:ilvl w:val="0"/>
          <w:numId w:val="0"/>
        </w:numPr>
        <w:rPr>
          <w:rFonts w:ascii="Times New Roman" w:hAnsi="Times New Roman" w:cs="Times New Roman"/>
          <w:sz w:val="24"/>
          <w:szCs w:val="24"/>
        </w:rPr>
      </w:pPr>
      <w:r w:rsidRPr="00285F94">
        <w:rPr>
          <w:rFonts w:ascii="Times New Roman" w:hAnsi="Times New Roman" w:cs="Times New Roman"/>
          <w:sz w:val="24"/>
          <w:szCs w:val="24"/>
        </w:rPr>
        <w:t>These documents</w:t>
      </w:r>
      <w:r w:rsidRPr="009D1DFD">
        <w:rPr>
          <w:rFonts w:ascii="Times New Roman" w:hAnsi="Times New Roman" w:cs="Times New Roman"/>
          <w:sz w:val="24"/>
          <w:szCs w:val="24"/>
        </w:rPr>
        <w:t xml:space="preserve"> may be freely obtained at </w:t>
      </w:r>
      <w:hyperlink r:id="rId11" w:history="1">
        <w:r w:rsidRPr="009D1DFD">
          <w:rPr>
            <w:rStyle w:val="Hyperlink"/>
            <w:rFonts w:ascii="Times New Roman" w:hAnsi="Times New Roman" w:cs="Times New Roman"/>
            <w:sz w:val="24"/>
            <w:szCs w:val="24"/>
          </w:rPr>
          <w:t>www.legislation.gov.au</w:t>
        </w:r>
      </w:hyperlink>
      <w:r>
        <w:rPr>
          <w:rStyle w:val="Hyperlink"/>
          <w:rFonts w:ascii="Times New Roman" w:hAnsi="Times New Roman" w:cs="Times New Roman"/>
          <w:sz w:val="24"/>
          <w:szCs w:val="24"/>
        </w:rPr>
        <w:t>.</w:t>
      </w:r>
      <w:r w:rsidRPr="009D1DFD">
        <w:rPr>
          <w:rFonts w:ascii="Times New Roman" w:hAnsi="Times New Roman" w:cs="Times New Roman"/>
          <w:sz w:val="24"/>
          <w:szCs w:val="24"/>
        </w:rPr>
        <w:t xml:space="preserve"> </w:t>
      </w:r>
    </w:p>
    <w:p w14:paraId="2D184159" w14:textId="77777777" w:rsidR="00FA3CD9" w:rsidRDefault="00FA3CD9" w:rsidP="00FA3CD9">
      <w:pPr>
        <w:rPr>
          <w:rFonts w:ascii="Times New Roman" w:hAnsi="Times New Roman" w:cs="Times New Roman"/>
          <w:sz w:val="24"/>
          <w:szCs w:val="24"/>
        </w:rPr>
      </w:pPr>
      <w:r>
        <w:rPr>
          <w:rFonts w:ascii="Times New Roman" w:hAnsi="Times New Roman" w:cs="Times New Roman"/>
          <w:sz w:val="24"/>
          <w:szCs w:val="24"/>
        </w:rPr>
        <w:t xml:space="preserve">Under section 14(1)(b) of the Legislation Act, the standard incorporates: </w:t>
      </w:r>
    </w:p>
    <w:p w14:paraId="1A1074FE" w14:textId="3D85B75C" w:rsidR="003A200E" w:rsidRPr="007120F2" w:rsidRDefault="1BFD22D7" w:rsidP="6284B381">
      <w:pPr>
        <w:pStyle w:val="ListParagraph"/>
        <w:numPr>
          <w:ilvl w:val="0"/>
          <w:numId w:val="28"/>
        </w:numPr>
        <w:tabs>
          <w:tab w:val="clear" w:pos="425"/>
        </w:tabs>
        <w:rPr>
          <w:rStyle w:val="Hyperlink"/>
          <w:rFonts w:ascii="Times New Roman" w:eastAsia="Times New Roman" w:hAnsi="Times New Roman" w:cs="Times New Roman"/>
          <w:color w:val="auto"/>
          <w:sz w:val="24"/>
          <w:szCs w:val="24"/>
          <w:u w:val="none"/>
        </w:rPr>
      </w:pPr>
      <w:r w:rsidRPr="007120F2">
        <w:rPr>
          <w:rFonts w:ascii="Times New Roman" w:eastAsia="Times New Roman" w:hAnsi="Times New Roman" w:cs="Times New Roman"/>
          <w:color w:val="auto"/>
          <w:sz w:val="24"/>
          <w:szCs w:val="24"/>
        </w:rPr>
        <w:t>Prudential Standards determined by APRA under subsection 34</w:t>
      </w:r>
      <w:proofErr w:type="gramStart"/>
      <w:r w:rsidRPr="007120F2">
        <w:rPr>
          <w:rFonts w:ascii="Times New Roman" w:eastAsia="Times New Roman" w:hAnsi="Times New Roman" w:cs="Times New Roman"/>
          <w:color w:val="auto"/>
          <w:sz w:val="24"/>
          <w:szCs w:val="24"/>
        </w:rPr>
        <w:t>C(</w:t>
      </w:r>
      <w:proofErr w:type="gramEnd"/>
      <w:r w:rsidRPr="007120F2">
        <w:rPr>
          <w:rFonts w:ascii="Times New Roman" w:eastAsia="Times New Roman" w:hAnsi="Times New Roman" w:cs="Times New Roman"/>
          <w:color w:val="auto"/>
          <w:sz w:val="24"/>
          <w:szCs w:val="24"/>
        </w:rPr>
        <w:t xml:space="preserve">1) of the </w:t>
      </w:r>
      <w:r w:rsidRPr="007120F2">
        <w:rPr>
          <w:rFonts w:ascii="Times New Roman" w:eastAsia="Times New Roman" w:hAnsi="Times New Roman" w:cs="Times New Roman"/>
          <w:i/>
          <w:iCs/>
          <w:color w:val="auto"/>
          <w:sz w:val="24"/>
          <w:szCs w:val="24"/>
        </w:rPr>
        <w:t xml:space="preserve">Superannuation Industry (Supervision Act) 1993 that relate to superannuation. </w:t>
      </w:r>
      <w:r w:rsidRPr="007120F2">
        <w:rPr>
          <w:rFonts w:ascii="Times New Roman" w:eastAsia="Times New Roman" w:hAnsi="Times New Roman" w:cs="Times New Roman"/>
          <w:color w:val="auto"/>
          <w:sz w:val="24"/>
          <w:szCs w:val="24"/>
        </w:rPr>
        <w:t xml:space="preserve">These documents may be freely obtained at </w:t>
      </w:r>
      <w:hyperlink r:id="rId12">
        <w:r w:rsidRPr="007120F2">
          <w:rPr>
            <w:rStyle w:val="Hyperlink"/>
            <w:rFonts w:ascii="Times New Roman" w:hAnsi="Times New Roman" w:cs="Times New Roman"/>
            <w:sz w:val="24"/>
            <w:szCs w:val="24"/>
          </w:rPr>
          <w:t>www.legislation.gov.au</w:t>
        </w:r>
        <w:r w:rsidRPr="007120F2">
          <w:rPr>
            <w:rStyle w:val="Hyperlink"/>
            <w:rFonts w:ascii="Times New Roman" w:eastAsia="Times New Roman" w:hAnsi="Times New Roman" w:cs="Times New Roman"/>
            <w:color w:val="auto"/>
            <w:sz w:val="24"/>
            <w:szCs w:val="24"/>
            <w:u w:val="none"/>
          </w:rPr>
          <w:t>;</w:t>
        </w:r>
      </w:hyperlink>
    </w:p>
    <w:p w14:paraId="0FCADFB2" w14:textId="77777777" w:rsidR="007A39AB" w:rsidRPr="007A39AB" w:rsidRDefault="007A39AB" w:rsidP="007A39AB">
      <w:pPr>
        <w:pStyle w:val="ListParagraph"/>
        <w:tabs>
          <w:tab w:val="clear" w:pos="425"/>
        </w:tabs>
        <w:ind w:left="720"/>
        <w:rPr>
          <w:rFonts w:ascii="Times New Roman" w:hAnsi="Times New Roman"/>
          <w:i/>
          <w:iCs/>
          <w:color w:val="auto"/>
          <w:sz w:val="24"/>
          <w:szCs w:val="24"/>
        </w:rPr>
      </w:pPr>
    </w:p>
    <w:p w14:paraId="04F87B68" w14:textId="386FE3FD" w:rsidR="003A200E" w:rsidRPr="007120F2" w:rsidRDefault="1BFD22D7" w:rsidP="6284B381">
      <w:pPr>
        <w:pStyle w:val="ListParagraph"/>
        <w:numPr>
          <w:ilvl w:val="0"/>
          <w:numId w:val="28"/>
        </w:numPr>
        <w:tabs>
          <w:tab w:val="clear" w:pos="425"/>
        </w:tabs>
        <w:rPr>
          <w:rFonts w:ascii="Times New Roman" w:hAnsi="Times New Roman"/>
          <w:i/>
          <w:iCs/>
          <w:color w:val="auto"/>
          <w:sz w:val="24"/>
          <w:szCs w:val="24"/>
        </w:rPr>
      </w:pPr>
      <w:r w:rsidRPr="007120F2">
        <w:rPr>
          <w:rFonts w:ascii="Times New Roman" w:eastAsia="Times New Roman" w:hAnsi="Times New Roman" w:cs="Times New Roman"/>
          <w:color w:val="auto"/>
          <w:sz w:val="24"/>
          <w:szCs w:val="24"/>
        </w:rPr>
        <w:t xml:space="preserve">Reporting Standards determined by APRA under subsection 13(1) of the Act that relate to superannuation. These documents may be freely obtained at </w:t>
      </w:r>
      <w:hyperlink>
        <w:r w:rsidRPr="007120F2">
          <w:rPr>
            <w:rStyle w:val="Hyperlink"/>
            <w:rFonts w:ascii="Times New Roman" w:hAnsi="Times New Roman" w:cs="Times New Roman"/>
            <w:sz w:val="24"/>
            <w:szCs w:val="24"/>
          </w:rPr>
          <w:t>www.legislation.gov.au;</w:t>
        </w:r>
      </w:hyperlink>
      <w:r w:rsidRPr="007120F2">
        <w:rPr>
          <w:rFonts w:ascii="Times New Roman" w:eastAsia="Times New Roman" w:hAnsi="Times New Roman" w:cs="Times New Roman"/>
          <w:color w:val="auto"/>
          <w:sz w:val="24"/>
          <w:szCs w:val="24"/>
        </w:rPr>
        <w:t xml:space="preserve"> </w:t>
      </w:r>
      <w:r w:rsidR="007A39AB">
        <w:rPr>
          <w:rFonts w:ascii="Times New Roman" w:eastAsia="Times New Roman" w:hAnsi="Times New Roman" w:cs="Times New Roman"/>
          <w:color w:val="auto"/>
          <w:sz w:val="24"/>
          <w:szCs w:val="24"/>
        </w:rPr>
        <w:t>and</w:t>
      </w:r>
    </w:p>
    <w:p w14:paraId="75B4D187" w14:textId="77777777" w:rsidR="007A39AB" w:rsidRPr="007A39AB" w:rsidRDefault="007A39AB" w:rsidP="007A39AB">
      <w:pPr>
        <w:pStyle w:val="ListParagraph"/>
        <w:ind w:left="720"/>
        <w:rPr>
          <w:rFonts w:cs="Times New Roman"/>
          <w:color w:val="0000FF"/>
          <w:u w:val="single"/>
        </w:rPr>
      </w:pPr>
    </w:p>
    <w:p w14:paraId="36C98C6A" w14:textId="4CE5AA75" w:rsidR="003A200E" w:rsidRPr="007120F2" w:rsidRDefault="00FA3CD9" w:rsidP="6284B381">
      <w:pPr>
        <w:pStyle w:val="ListParagraph"/>
        <w:numPr>
          <w:ilvl w:val="0"/>
          <w:numId w:val="28"/>
        </w:numPr>
        <w:rPr>
          <w:rStyle w:val="Hyperlink"/>
          <w:rFonts w:cs="Times New Roman"/>
        </w:rPr>
      </w:pPr>
      <w:r w:rsidRPr="007120F2">
        <w:rPr>
          <w:rFonts w:ascii="Times New Roman" w:hAnsi="Times New Roman"/>
          <w:i/>
          <w:color w:val="auto"/>
          <w:sz w:val="24"/>
          <w:szCs w:val="24"/>
        </w:rPr>
        <w:t>AS</w:t>
      </w:r>
      <w:r w:rsidR="007A39AB">
        <w:rPr>
          <w:rFonts w:ascii="Times New Roman" w:hAnsi="Times New Roman"/>
          <w:i/>
          <w:color w:val="auto"/>
          <w:sz w:val="24"/>
          <w:szCs w:val="24"/>
        </w:rPr>
        <w:t>I</w:t>
      </w:r>
      <w:r w:rsidRPr="007120F2">
        <w:rPr>
          <w:rFonts w:ascii="Times New Roman" w:hAnsi="Times New Roman"/>
          <w:i/>
          <w:color w:val="auto"/>
          <w:sz w:val="24"/>
          <w:szCs w:val="24"/>
        </w:rPr>
        <w:t>C Corporations (Disclosure of Fees and Costs) Instrument 2019/1070</w:t>
      </w:r>
      <w:r w:rsidR="00A60E86" w:rsidRPr="007120F2">
        <w:rPr>
          <w:rStyle w:val="Hyperlink"/>
          <w:rFonts w:ascii="Times New Roman" w:hAnsi="Times New Roman"/>
          <w:i/>
          <w:color w:val="auto"/>
          <w:sz w:val="24"/>
          <w:szCs w:val="24"/>
          <w:u w:val="none"/>
        </w:rPr>
        <w:t>:</w:t>
      </w:r>
      <w:r w:rsidR="009608B6" w:rsidRPr="007120F2">
        <w:rPr>
          <w:rStyle w:val="Hyperlink"/>
          <w:rFonts w:ascii="Times New Roman" w:hAnsi="Times New Roman"/>
          <w:i/>
          <w:color w:val="auto"/>
          <w:sz w:val="24"/>
          <w:szCs w:val="24"/>
          <w:u w:val="none"/>
        </w:rPr>
        <w:t xml:space="preserve"> </w:t>
      </w:r>
      <w:r w:rsidR="009608B6" w:rsidRPr="007120F2">
        <w:rPr>
          <w:rStyle w:val="Hyperlink"/>
          <w:rFonts w:ascii="Times New Roman" w:hAnsi="Times New Roman"/>
          <w:color w:val="auto"/>
          <w:sz w:val="24"/>
          <w:szCs w:val="24"/>
          <w:u w:val="none"/>
        </w:rPr>
        <w:t xml:space="preserve">This instrument modifies the requirements that govern the disclosure of fees and costs in Product Disclosure Statements and periodic statements for superannuation products and collective investment products covered by Division 4C of Part 7.9 of the </w:t>
      </w:r>
      <w:r w:rsidR="009608B6" w:rsidRPr="007120F2">
        <w:rPr>
          <w:rStyle w:val="Hyperlink"/>
          <w:rFonts w:ascii="Times New Roman" w:hAnsi="Times New Roman"/>
          <w:i/>
          <w:color w:val="auto"/>
          <w:sz w:val="24"/>
          <w:szCs w:val="24"/>
          <w:u w:val="none"/>
        </w:rPr>
        <w:t>Corporations Regulations 2001</w:t>
      </w:r>
      <w:r w:rsidR="009608B6" w:rsidRPr="007120F2">
        <w:rPr>
          <w:rStyle w:val="Hyperlink"/>
          <w:rFonts w:ascii="Times New Roman" w:hAnsi="Times New Roman"/>
          <w:color w:val="auto"/>
          <w:sz w:val="24"/>
          <w:szCs w:val="24"/>
          <w:u w:val="none"/>
        </w:rPr>
        <w:t xml:space="preserve">. The instrument gives effect to proposals for changes to these fees and costs disclosure requirements that emerged following ASIC Report 581 and ASIC Consultation Paper 308 </w:t>
      </w:r>
      <w:r w:rsidRPr="007120F2">
        <w:rPr>
          <w:rFonts w:ascii="Times New Roman" w:hAnsi="Times New Roman" w:cs="Times New Roman"/>
          <w:color w:val="auto"/>
          <w:sz w:val="24"/>
          <w:szCs w:val="24"/>
        </w:rPr>
        <w:t xml:space="preserve">and can be freely accessed and used by members of the public at: </w:t>
      </w:r>
      <w:hyperlink r:id="rId13">
        <w:r w:rsidR="009608B6" w:rsidRPr="007120F2">
          <w:rPr>
            <w:rStyle w:val="Hyperlink"/>
            <w:rFonts w:ascii="Times New Roman" w:hAnsi="Times New Roman" w:cs="Times New Roman"/>
            <w:sz w:val="24"/>
            <w:szCs w:val="24"/>
          </w:rPr>
          <w:t>https://www.legislation.gov.au/Details/F2019L01525</w:t>
        </w:r>
      </w:hyperlink>
    </w:p>
    <w:p w14:paraId="1B8EB163" w14:textId="77777777" w:rsidR="00204AA8" w:rsidRPr="007120F2" w:rsidRDefault="00204AA8" w:rsidP="00204AA8">
      <w:pPr>
        <w:pStyle w:val="Heading5"/>
        <w:rPr>
          <w:color w:val="auto"/>
        </w:rPr>
      </w:pPr>
      <w:r w:rsidRPr="007120F2">
        <w:rPr>
          <w:color w:val="auto"/>
        </w:rPr>
        <w:t>Review of decisions</w:t>
      </w:r>
    </w:p>
    <w:p w14:paraId="4C37DC0F" w14:textId="77777777" w:rsidR="00204AA8" w:rsidRPr="006C1876" w:rsidRDefault="00204AA8" w:rsidP="00204AA8">
      <w:pPr>
        <w:numPr>
          <w:ilvl w:val="0"/>
          <w:numId w:val="0"/>
        </w:numPr>
        <w:rPr>
          <w:rFonts w:ascii="Times New Roman" w:hAnsi="Times New Roman" w:cs="Times New Roman"/>
          <w:sz w:val="24"/>
          <w:szCs w:val="24"/>
        </w:rPr>
      </w:pPr>
      <w:r w:rsidRPr="009D1DFD">
        <w:rPr>
          <w:rFonts w:ascii="Times New Roman" w:hAnsi="Times New Roman" w:cs="Times New Roman"/>
          <w:sz w:val="24"/>
          <w:szCs w:val="24"/>
        </w:rPr>
        <w:t xml:space="preserve">There are a number of powers that may be exercised by APRA in reporting standards that involve an element of </w:t>
      </w:r>
      <w:proofErr w:type="gramStart"/>
      <w:r w:rsidRPr="009D1DFD">
        <w:rPr>
          <w:rFonts w:ascii="Times New Roman" w:hAnsi="Times New Roman" w:cs="Times New Roman"/>
          <w:sz w:val="24"/>
          <w:szCs w:val="24"/>
        </w:rPr>
        <w:t>discretion</w:t>
      </w:r>
      <w:proofErr w:type="gramEnd"/>
      <w:r w:rsidRPr="009D1DFD">
        <w:rPr>
          <w:rFonts w:ascii="Times New Roman" w:hAnsi="Times New Roman" w:cs="Times New Roman"/>
          <w:sz w:val="24"/>
          <w:szCs w:val="24"/>
        </w:rPr>
        <w:t xml:space="preserve"> and</w:t>
      </w:r>
      <w:r w:rsidRPr="00DE3389">
        <w:rPr>
          <w:rFonts w:ascii="Times New Roman" w:hAnsi="Times New Roman" w:cs="Times New Roman"/>
          <w:sz w:val="24"/>
          <w:szCs w:val="24"/>
        </w:rPr>
        <w:t xml:space="preserve"> which may impact the interests of the </w:t>
      </w:r>
      <w:r>
        <w:rPr>
          <w:rFonts w:ascii="Times New Roman" w:hAnsi="Times New Roman" w:cs="Times New Roman"/>
          <w:sz w:val="24"/>
          <w:szCs w:val="24"/>
        </w:rPr>
        <w:t>RSE licensees</w:t>
      </w:r>
      <w:r w:rsidRPr="00DE3389">
        <w:rPr>
          <w:rFonts w:ascii="Times New Roman" w:hAnsi="Times New Roman" w:cs="Times New Roman"/>
          <w:sz w:val="24"/>
          <w:szCs w:val="24"/>
        </w:rPr>
        <w:t xml:space="preserve"> to which the reporting standards apply. These decisions include APRA </w:t>
      </w:r>
      <w:r w:rsidRPr="00FE6D9B">
        <w:rPr>
          <w:rFonts w:ascii="Times New Roman" w:hAnsi="Times New Roman" w:cs="Times New Roman"/>
          <w:sz w:val="24"/>
          <w:szCs w:val="24"/>
        </w:rPr>
        <w:t xml:space="preserve">changing a reporting period or due date for </w:t>
      </w:r>
      <w:r>
        <w:rPr>
          <w:rFonts w:ascii="Times New Roman" w:hAnsi="Times New Roman" w:cs="Times New Roman"/>
          <w:sz w:val="24"/>
          <w:szCs w:val="24"/>
        </w:rPr>
        <w:t>an RSE licensee</w:t>
      </w:r>
      <w:r w:rsidRPr="00FE6D9B">
        <w:rPr>
          <w:rFonts w:ascii="Times New Roman" w:hAnsi="Times New Roman" w:cs="Times New Roman"/>
          <w:sz w:val="24"/>
          <w:szCs w:val="24"/>
        </w:rPr>
        <w:t xml:space="preserve"> to provide information required by each of the instruments. Decisions made by APRA exercising those powers are not subject to merits review. These discretions</w:t>
      </w:r>
      <w:r>
        <w:rPr>
          <w:rFonts w:ascii="Times New Roman" w:hAnsi="Times New Roman" w:cs="Times New Roman"/>
          <w:sz w:val="24"/>
          <w:szCs w:val="24"/>
        </w:rPr>
        <w:t xml:space="preserve"> have not been amended and are consistent with discretions included in the reporting standards being revoked by the instruments. </w:t>
      </w:r>
    </w:p>
    <w:p w14:paraId="16021507" w14:textId="77777777" w:rsidR="00204AA8" w:rsidRPr="006C1876" w:rsidRDefault="00204AA8" w:rsidP="00204AA8">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 considers decisions made by APRA exercising discretions under its reporting standards should not be subject to merits review as they are financial decisions with a significant public interest element.</w:t>
      </w:r>
    </w:p>
    <w:p w14:paraId="68ED5E65" w14:textId="576ED93B" w:rsidR="00204AA8" w:rsidRDefault="00204AA8" w:rsidP="00204AA8">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APRA’s reporting standards collect financial data from regulated entities. This data contains critical indicators of a regulated entity’s financial wellbeing. APRA relies heavily on this financial data to inform its supervisory actions towards its regulated entities. Without timely and complete data, APRA may miss indicators that a</w:t>
      </w:r>
      <w:r>
        <w:rPr>
          <w:rFonts w:ascii="Times New Roman" w:hAnsi="Times New Roman" w:cs="Times New Roman"/>
          <w:sz w:val="24"/>
          <w:szCs w:val="24"/>
        </w:rPr>
        <w:t xml:space="preserve">n </w:t>
      </w:r>
      <w:r w:rsidR="008F33F3">
        <w:rPr>
          <w:rFonts w:ascii="Times New Roman" w:hAnsi="Times New Roman" w:cs="Times New Roman"/>
          <w:sz w:val="24"/>
          <w:szCs w:val="24"/>
        </w:rPr>
        <w:t>RSE licensee</w:t>
      </w:r>
      <w:r>
        <w:rPr>
          <w:rFonts w:ascii="Times New Roman" w:hAnsi="Times New Roman" w:cs="Times New Roman"/>
          <w:sz w:val="24"/>
          <w:szCs w:val="24"/>
        </w:rPr>
        <w:t xml:space="preserve"> </w:t>
      </w:r>
      <w:r w:rsidRPr="006C1876">
        <w:rPr>
          <w:rFonts w:ascii="Times New Roman" w:hAnsi="Times New Roman" w:cs="Times New Roman"/>
          <w:sz w:val="24"/>
          <w:szCs w:val="24"/>
        </w:rPr>
        <w:t>is taking on imprudent risk or is in distress. APRA’s supervisory decisions may be jeopardised if its receipt of data is unreliable due to entities seeking merits review under its reporting standards.</w:t>
      </w:r>
    </w:p>
    <w:p w14:paraId="425B24E3" w14:textId="77777777" w:rsidR="007A39AB" w:rsidRDefault="007A39AB" w:rsidP="00204AA8">
      <w:pPr>
        <w:numPr>
          <w:ilvl w:val="0"/>
          <w:numId w:val="0"/>
        </w:numPr>
        <w:rPr>
          <w:rFonts w:ascii="Times New Roman" w:hAnsi="Times New Roman" w:cs="Times New Roman"/>
          <w:sz w:val="24"/>
          <w:szCs w:val="24"/>
        </w:rPr>
      </w:pPr>
    </w:p>
    <w:p w14:paraId="2F6749D0" w14:textId="77777777" w:rsidR="007A39AB" w:rsidRDefault="007A39AB" w:rsidP="00204AA8">
      <w:pPr>
        <w:numPr>
          <w:ilvl w:val="0"/>
          <w:numId w:val="0"/>
        </w:numPr>
        <w:rPr>
          <w:rFonts w:ascii="Times New Roman" w:hAnsi="Times New Roman" w:cs="Times New Roman"/>
          <w:sz w:val="24"/>
          <w:szCs w:val="24"/>
        </w:rPr>
      </w:pPr>
    </w:p>
    <w:p w14:paraId="6E043A91" w14:textId="77777777" w:rsidR="007A39AB" w:rsidRPr="006C1876" w:rsidRDefault="007A39AB" w:rsidP="00204AA8">
      <w:pPr>
        <w:numPr>
          <w:ilvl w:val="0"/>
          <w:numId w:val="0"/>
        </w:numPr>
        <w:rPr>
          <w:rFonts w:ascii="Times New Roman" w:hAnsi="Times New Roman" w:cs="Times New Roman"/>
          <w:sz w:val="24"/>
          <w:szCs w:val="24"/>
        </w:rPr>
      </w:pPr>
    </w:p>
    <w:p w14:paraId="754B3303" w14:textId="77777777" w:rsidR="00204AA8" w:rsidRDefault="00204AA8" w:rsidP="00204AA8">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lastRenderedPageBreak/>
        <w:t>3.</w:t>
      </w:r>
      <w:r w:rsidRPr="00BC1E70">
        <w:rPr>
          <w:rFonts w:ascii="Times New Roman" w:hAnsi="Times New Roman" w:cs="Times New Roman"/>
          <w:b/>
          <w:sz w:val="24"/>
          <w:szCs w:val="24"/>
        </w:rPr>
        <w:tab/>
        <w:t>Consultation</w:t>
      </w:r>
    </w:p>
    <w:p w14:paraId="434C23DB" w14:textId="54B8469B" w:rsidR="007120F2" w:rsidRPr="007120F2" w:rsidRDefault="0084751F" w:rsidP="007120F2">
      <w:pPr>
        <w:rPr>
          <w:rFonts w:ascii="Times New Roman" w:eastAsia="Times New Roman" w:hAnsi="Times New Roman" w:cs="Times New Roman"/>
          <w:color w:val="000000" w:themeColor="text1"/>
          <w:sz w:val="24"/>
          <w:szCs w:val="24"/>
        </w:rPr>
      </w:pPr>
      <w:r>
        <w:rPr>
          <w:rFonts w:ascii="Times New Roman" w:hAnsi="Times New Roman"/>
          <w:sz w:val="24"/>
          <w:szCs w:val="24"/>
        </w:rPr>
        <w:t xml:space="preserve">In November 2022, </w:t>
      </w:r>
      <w:r w:rsidRPr="00C829E7">
        <w:rPr>
          <w:rFonts w:ascii="Times New Roman" w:eastAsia="Times New Roman" w:hAnsi="Times New Roman" w:cs="Times New Roman"/>
          <w:color w:val="000000" w:themeColor="text1"/>
          <w:sz w:val="24"/>
          <w:szCs w:val="24"/>
        </w:rPr>
        <w:t>APRA released publicly, the consultation package on reporting requirements for the minor amendments to SDT Phase 1 reporting</w:t>
      </w:r>
      <w:r>
        <w:rPr>
          <w:rFonts w:ascii="Times New Roman" w:eastAsia="Times New Roman" w:hAnsi="Times New Roman" w:cs="Times New Roman"/>
          <w:color w:val="000000" w:themeColor="text1"/>
          <w:sz w:val="24"/>
          <w:szCs w:val="24"/>
        </w:rPr>
        <w:t xml:space="preserve"> </w:t>
      </w:r>
      <w:r>
        <w:rPr>
          <w:rStyle w:val="FootnoteReference"/>
          <w:rFonts w:ascii="Times New Roman" w:eastAsia="Times New Roman" w:hAnsi="Times New Roman" w:cs="Times New Roman"/>
          <w:color w:val="000000" w:themeColor="text1"/>
          <w:szCs w:val="24"/>
        </w:rPr>
        <w:footnoteReference w:id="2"/>
      </w:r>
    </w:p>
    <w:p w14:paraId="35A6120D" w14:textId="77777777" w:rsidR="0084751F" w:rsidRPr="00444162" w:rsidRDefault="0084751F" w:rsidP="0084751F">
      <w:pPr>
        <w:pStyle w:val="Heading"/>
        <w:keepNext w:val="0"/>
        <w:spacing w:before="0" w:after="240"/>
        <w:jc w:val="both"/>
        <w:outlineLvl w:val="9"/>
        <w:rPr>
          <w:b w:val="0"/>
          <w:sz w:val="24"/>
          <w:szCs w:val="24"/>
        </w:rPr>
      </w:pPr>
      <w:r w:rsidRPr="00C829E7">
        <w:rPr>
          <w:rFonts w:cs="Times New Roman"/>
          <w:b w:val="0"/>
          <w:color w:val="000000" w:themeColor="text1"/>
          <w:kern w:val="0"/>
          <w:sz w:val="24"/>
          <w:szCs w:val="24"/>
        </w:rPr>
        <w:t>APRA held two roundtable consultation sessions</w:t>
      </w:r>
      <w:r>
        <w:rPr>
          <w:rFonts w:cs="Times New Roman"/>
          <w:b w:val="0"/>
          <w:color w:val="000000" w:themeColor="text1"/>
          <w:kern w:val="0"/>
          <w:sz w:val="24"/>
          <w:szCs w:val="24"/>
        </w:rPr>
        <w:t>,</w:t>
      </w:r>
      <w:r w:rsidRPr="00C829E7">
        <w:rPr>
          <w:rFonts w:cs="Times New Roman"/>
          <w:b w:val="0"/>
          <w:color w:val="000000" w:themeColor="text1"/>
          <w:kern w:val="0"/>
          <w:sz w:val="24"/>
          <w:szCs w:val="24"/>
        </w:rPr>
        <w:t xml:space="preserve"> two working group meetings with industry,</w:t>
      </w:r>
      <w:r>
        <w:rPr>
          <w:rFonts w:cs="Times New Roman"/>
          <w:b w:val="0"/>
          <w:color w:val="000000" w:themeColor="text1"/>
          <w:kern w:val="0"/>
          <w:sz w:val="24"/>
          <w:szCs w:val="24"/>
        </w:rPr>
        <w:t xml:space="preserve"> </w:t>
      </w:r>
      <w:r w:rsidRPr="00C829E7">
        <w:rPr>
          <w:rFonts w:cs="Times New Roman"/>
          <w:b w:val="0"/>
          <w:color w:val="000000" w:themeColor="text1"/>
          <w:kern w:val="0"/>
          <w:sz w:val="24"/>
          <w:szCs w:val="24"/>
        </w:rPr>
        <w:t>informal meetings with RSE licensees and released frequently asked questions (FAQs) and worked examples to address and provide clarification on issues</w:t>
      </w:r>
      <w:r w:rsidRPr="00444162">
        <w:rPr>
          <w:b w:val="0"/>
          <w:sz w:val="24"/>
          <w:szCs w:val="24"/>
        </w:rPr>
        <w:t xml:space="preserve"> raised by industry stakeholders.</w:t>
      </w:r>
    </w:p>
    <w:p w14:paraId="3F0F439B" w14:textId="77777777" w:rsidR="0084751F" w:rsidRDefault="0084751F" w:rsidP="0084751F">
      <w:pPr>
        <w:pStyle w:val="Heading"/>
        <w:keepNext w:val="0"/>
        <w:tabs>
          <w:tab w:val="left" w:pos="360"/>
        </w:tabs>
        <w:spacing w:before="0" w:after="240"/>
        <w:jc w:val="both"/>
        <w:outlineLvl w:val="9"/>
      </w:pPr>
      <w:r>
        <w:rPr>
          <w:b w:val="0"/>
          <w:sz w:val="24"/>
          <w:szCs w:val="24"/>
        </w:rPr>
        <w:t>Submissions were received from RSE licensees and industry bodies in response to the consultation package.</w:t>
      </w:r>
      <w:r w:rsidRPr="004015E8">
        <w:rPr>
          <w:b w:val="0"/>
          <w:sz w:val="24"/>
          <w:szCs w:val="24"/>
        </w:rPr>
        <w:t xml:space="preserve"> These</w:t>
      </w:r>
      <w:r>
        <w:rPr>
          <w:b w:val="0"/>
          <w:sz w:val="24"/>
          <w:szCs w:val="24"/>
        </w:rPr>
        <w:t xml:space="preserve"> were</w:t>
      </w:r>
      <w:r w:rsidRPr="004015E8">
        <w:rPr>
          <w:b w:val="0"/>
          <w:sz w:val="24"/>
          <w:szCs w:val="24"/>
        </w:rPr>
        <w:t xml:space="preserve"> valuable in assessing whether the data w</w:t>
      </w:r>
      <w:r>
        <w:rPr>
          <w:b w:val="0"/>
          <w:sz w:val="24"/>
          <w:szCs w:val="24"/>
        </w:rPr>
        <w:t>ould</w:t>
      </w:r>
      <w:r w:rsidRPr="004015E8">
        <w:rPr>
          <w:b w:val="0"/>
          <w:sz w:val="24"/>
          <w:szCs w:val="24"/>
        </w:rPr>
        <w:t xml:space="preserve"> meet the objectives of the SDT project, highlighting the practical issues that RSE licensees may experience in reporting and where additional guidance or improvements to definitions were requir</w:t>
      </w:r>
      <w:r>
        <w:rPr>
          <w:b w:val="0"/>
          <w:sz w:val="24"/>
          <w:szCs w:val="24"/>
        </w:rPr>
        <w:t>ed.</w:t>
      </w:r>
    </w:p>
    <w:p w14:paraId="47A164B4" w14:textId="77777777" w:rsidR="0084751F" w:rsidRDefault="0084751F" w:rsidP="0084751F">
      <w:pPr>
        <w:pStyle w:val="Heading"/>
        <w:keepNext w:val="0"/>
        <w:tabs>
          <w:tab w:val="left" w:pos="360"/>
        </w:tabs>
        <w:spacing w:before="0" w:after="240"/>
        <w:jc w:val="both"/>
        <w:outlineLvl w:val="9"/>
        <w:rPr>
          <w:b w:val="0"/>
          <w:sz w:val="24"/>
          <w:szCs w:val="24"/>
        </w:rPr>
      </w:pPr>
      <w:r>
        <w:rPr>
          <w:b w:val="0"/>
          <w:sz w:val="24"/>
          <w:szCs w:val="24"/>
        </w:rPr>
        <w:t xml:space="preserve">In March 2023, </w:t>
      </w:r>
      <w:r w:rsidRPr="00E62237">
        <w:rPr>
          <w:b w:val="0"/>
          <w:sz w:val="24"/>
          <w:szCs w:val="24"/>
        </w:rPr>
        <w:t xml:space="preserve">APRA </w:t>
      </w:r>
      <w:r>
        <w:rPr>
          <w:b w:val="0"/>
          <w:sz w:val="24"/>
          <w:szCs w:val="24"/>
        </w:rPr>
        <w:t xml:space="preserve">released a response to consultation, </w:t>
      </w:r>
      <w:r w:rsidRPr="00E62237">
        <w:rPr>
          <w:b w:val="0"/>
          <w:sz w:val="24"/>
          <w:szCs w:val="24"/>
        </w:rPr>
        <w:t>incorporat</w:t>
      </w:r>
      <w:r>
        <w:rPr>
          <w:b w:val="0"/>
          <w:sz w:val="24"/>
          <w:szCs w:val="24"/>
        </w:rPr>
        <w:t>ing</w:t>
      </w:r>
      <w:r w:rsidRPr="00E62237">
        <w:rPr>
          <w:b w:val="0"/>
          <w:sz w:val="24"/>
          <w:szCs w:val="24"/>
        </w:rPr>
        <w:t xml:space="preserve"> </w:t>
      </w:r>
      <w:r>
        <w:rPr>
          <w:b w:val="0"/>
          <w:sz w:val="24"/>
          <w:szCs w:val="24"/>
        </w:rPr>
        <w:t xml:space="preserve">the </w:t>
      </w:r>
      <w:r w:rsidRPr="00E62237">
        <w:rPr>
          <w:b w:val="0"/>
          <w:sz w:val="24"/>
          <w:szCs w:val="24"/>
        </w:rPr>
        <w:t xml:space="preserve">feedback received </w:t>
      </w:r>
      <w:r>
        <w:rPr>
          <w:b w:val="0"/>
          <w:sz w:val="24"/>
          <w:szCs w:val="24"/>
        </w:rPr>
        <w:t xml:space="preserve">from industry </w:t>
      </w:r>
      <w:r w:rsidRPr="00E62237">
        <w:rPr>
          <w:b w:val="0"/>
          <w:sz w:val="24"/>
          <w:szCs w:val="24"/>
        </w:rPr>
        <w:t>into the final versions of the reporting standards, adding clarification to reporting instructions and forms, and simplifying some reporting requirement</w:t>
      </w:r>
      <w:r>
        <w:rPr>
          <w:b w:val="0"/>
          <w:sz w:val="24"/>
          <w:szCs w:val="24"/>
        </w:rPr>
        <w:t>s.</w:t>
      </w:r>
    </w:p>
    <w:p w14:paraId="15A12D9A" w14:textId="77777777" w:rsidR="0084751F" w:rsidRDefault="0084751F" w:rsidP="0084751F">
      <w:pPr>
        <w:rPr>
          <w:rFonts w:ascii="Times New Roman" w:eastAsia="Times New Roman" w:hAnsi="Times New Roman" w:cs="Arial"/>
          <w:color w:val="auto"/>
          <w:kern w:val="32"/>
          <w:sz w:val="24"/>
          <w:szCs w:val="24"/>
        </w:rPr>
      </w:pPr>
      <w:r w:rsidRPr="009D33FC">
        <w:rPr>
          <w:rFonts w:ascii="Times New Roman" w:eastAsia="Times New Roman" w:hAnsi="Times New Roman" w:cs="Arial"/>
          <w:color w:val="auto"/>
          <w:kern w:val="32"/>
          <w:sz w:val="24"/>
          <w:szCs w:val="24"/>
        </w:rPr>
        <w:t>APRA is satisfied the consultation was appropriate and reasonably practicable.</w:t>
      </w:r>
    </w:p>
    <w:p w14:paraId="354D90D0" w14:textId="77777777" w:rsidR="00204AA8" w:rsidRDefault="00204AA8" w:rsidP="00204AA8">
      <w:pPr>
        <w:numPr>
          <w:ilvl w:val="0"/>
          <w:numId w:val="0"/>
        </w:numPr>
        <w:rPr>
          <w:rFonts w:ascii="Times New Roman" w:hAnsi="Times New Roman" w:cs="Times New Roman"/>
          <w:b/>
          <w:sz w:val="24"/>
          <w:szCs w:val="24"/>
        </w:rPr>
      </w:pPr>
      <w:r w:rsidRPr="00A50B51">
        <w:rPr>
          <w:rFonts w:ascii="Times New Roman" w:hAnsi="Times New Roman" w:cs="Times New Roman"/>
          <w:b/>
          <w:sz w:val="24"/>
          <w:szCs w:val="24"/>
        </w:rPr>
        <w:t>4.</w:t>
      </w:r>
      <w:r w:rsidRPr="00A50B51">
        <w:rPr>
          <w:rFonts w:ascii="Times New Roman" w:hAnsi="Times New Roman" w:cs="Times New Roman"/>
          <w:b/>
          <w:sz w:val="24"/>
          <w:szCs w:val="24"/>
        </w:rPr>
        <w:tab/>
        <w:t>Regulation Impact Statement</w:t>
      </w:r>
    </w:p>
    <w:p w14:paraId="7BB95433" w14:textId="77777777" w:rsidR="00204AA8" w:rsidRPr="00C01CF4" w:rsidRDefault="00204AA8" w:rsidP="00204AA8">
      <w:pPr>
        <w:numPr>
          <w:ilvl w:val="0"/>
          <w:numId w:val="0"/>
        </w:numPr>
        <w:rPr>
          <w:rFonts w:ascii="Times New Roman" w:hAnsi="Times New Roman"/>
          <w:sz w:val="24"/>
          <w:szCs w:val="24"/>
        </w:rPr>
      </w:pPr>
      <w:r w:rsidRPr="00C01CF4">
        <w:rPr>
          <w:rFonts w:ascii="Times New Roman" w:hAnsi="Times New Roman"/>
          <w:sz w:val="24"/>
          <w:szCs w:val="24"/>
        </w:rPr>
        <w:t>The Office of Impact Analysis advised that a Regulatory Impact Statement was not required for the SDT minor amendments to Phase 1 reporting standards.</w:t>
      </w:r>
    </w:p>
    <w:p w14:paraId="0FE0242A" w14:textId="77777777" w:rsidR="00204AA8" w:rsidRPr="00DE1106" w:rsidRDefault="00204AA8" w:rsidP="00204AA8">
      <w:pPr>
        <w:pStyle w:val="Heading"/>
        <w:spacing w:before="0" w:after="240"/>
        <w:jc w:val="both"/>
        <w:rPr>
          <w:rFonts w:cs="Times New Roman"/>
          <w:i/>
          <w:sz w:val="24"/>
          <w:szCs w:val="24"/>
        </w:rPr>
      </w:pPr>
      <w:r w:rsidRPr="00BC1E70">
        <w:rPr>
          <w:rFonts w:cs="Times New Roman"/>
          <w:sz w:val="24"/>
          <w:szCs w:val="24"/>
        </w:rPr>
        <w:t>5.</w:t>
      </w:r>
      <w:r w:rsidRPr="00BC1E70">
        <w:rPr>
          <w:rFonts w:cs="Times New Roman"/>
          <w:sz w:val="24"/>
          <w:szCs w:val="24"/>
        </w:rPr>
        <w:tab/>
        <w:t xml:space="preserve">Statement of compatibility prepared in accordance with Part 3 of the </w:t>
      </w:r>
      <w:r w:rsidRPr="00BC1E70">
        <w:rPr>
          <w:rFonts w:cs="Times New Roman"/>
          <w:i/>
          <w:sz w:val="24"/>
          <w:szCs w:val="24"/>
        </w:rPr>
        <w:t>Human Right</w:t>
      </w:r>
      <w:r w:rsidRPr="00DE1106">
        <w:rPr>
          <w:rFonts w:cs="Times New Roman"/>
          <w:i/>
          <w:sz w:val="24"/>
          <w:szCs w:val="24"/>
        </w:rPr>
        <w:t>s (Parliamentary Scrutiny) Act 2011</w:t>
      </w:r>
    </w:p>
    <w:p w14:paraId="24D807A5" w14:textId="77777777" w:rsidR="00204AA8" w:rsidRPr="00D5162F" w:rsidRDefault="00204AA8" w:rsidP="00204AA8">
      <w:pPr>
        <w:pStyle w:val="Heading"/>
        <w:spacing w:before="0" w:after="240"/>
        <w:jc w:val="both"/>
        <w:rPr>
          <w:rFonts w:cs="Times New Roman"/>
          <w:b w:val="0"/>
          <w:kern w:val="0"/>
          <w:sz w:val="24"/>
          <w:szCs w:val="24"/>
          <w:lang w:val="en-GB"/>
        </w:rPr>
      </w:pPr>
      <w:r w:rsidRPr="00D5162F">
        <w:rPr>
          <w:rFonts w:cs="Times New Roman"/>
          <w:b w:val="0"/>
          <w:kern w:val="0"/>
          <w:sz w:val="24"/>
          <w:szCs w:val="24"/>
          <w:lang w:val="en-GB"/>
        </w:rPr>
        <w:t xml:space="preserve">A Statement of compatibility prepared in accordance with Part 3 of the </w:t>
      </w:r>
      <w:r w:rsidRPr="00D5162F">
        <w:rPr>
          <w:rFonts w:cs="Times New Roman"/>
          <w:b w:val="0"/>
          <w:i/>
          <w:sz w:val="24"/>
          <w:szCs w:val="24"/>
          <w:lang w:val="en-GB"/>
        </w:rPr>
        <w:t>Human Rights (Parliamentary Scrutiny) Act 2011</w:t>
      </w:r>
      <w:r w:rsidRPr="00D5162F">
        <w:rPr>
          <w:rFonts w:cs="Times New Roman"/>
          <w:b w:val="0"/>
          <w:kern w:val="0"/>
          <w:sz w:val="24"/>
          <w:szCs w:val="24"/>
          <w:lang w:val="en-GB"/>
        </w:rPr>
        <w:t xml:space="preserve"> is provided at Attachment A to this Explanatory Statement.</w:t>
      </w:r>
    </w:p>
    <w:p w14:paraId="4FDC4D06" w14:textId="77777777" w:rsidR="00930927" w:rsidRPr="00027DDB" w:rsidRDefault="00930927" w:rsidP="00930927">
      <w:pPr>
        <w:numPr>
          <w:ilvl w:val="0"/>
          <w:numId w:val="0"/>
        </w:numPr>
        <w:rPr>
          <w:rFonts w:ascii="Times New Roman" w:hAnsi="Times New Roman" w:cs="Times New Roman"/>
          <w:b/>
          <w:sz w:val="24"/>
          <w:szCs w:val="24"/>
        </w:rPr>
      </w:pPr>
      <w:r>
        <w:rPr>
          <w:rFonts w:ascii="Times New Roman" w:hAnsi="Times New Roman" w:cs="Times New Roman"/>
          <w:b/>
          <w:sz w:val="24"/>
          <w:szCs w:val="24"/>
        </w:rPr>
        <w:t>6</w:t>
      </w:r>
      <w:r w:rsidRPr="00BC1E70">
        <w:rPr>
          <w:rFonts w:ascii="Times New Roman" w:hAnsi="Times New Roman" w:cs="Times New Roman"/>
          <w:b/>
          <w:sz w:val="24"/>
          <w:szCs w:val="24"/>
        </w:rPr>
        <w:t>.</w:t>
      </w:r>
      <w:r w:rsidRPr="00BC1E70">
        <w:rPr>
          <w:rFonts w:ascii="Times New Roman" w:hAnsi="Times New Roman" w:cs="Times New Roman"/>
          <w:b/>
          <w:sz w:val="24"/>
          <w:szCs w:val="24"/>
        </w:rPr>
        <w:tab/>
      </w:r>
      <w:r w:rsidRPr="00027DDB">
        <w:rPr>
          <w:rFonts w:ascii="Times New Roman" w:hAnsi="Times New Roman" w:cs="Times New Roman"/>
          <w:b/>
          <w:color w:val="auto"/>
          <w:sz w:val="24"/>
          <w:szCs w:val="24"/>
        </w:rPr>
        <w:t>Legislative instruments – disallowance and sunsetting</w:t>
      </w:r>
    </w:p>
    <w:p w14:paraId="5183C754" w14:textId="47DB206D" w:rsidR="00930927" w:rsidRPr="00C72A0F" w:rsidRDefault="00930927" w:rsidP="00930927">
      <w:pPr>
        <w:pStyle w:val="Heading"/>
        <w:spacing w:before="0" w:after="240"/>
        <w:jc w:val="both"/>
        <w:rPr>
          <w:rFonts w:cs="Times New Roman"/>
          <w:b w:val="0"/>
          <w:sz w:val="24"/>
          <w:szCs w:val="24"/>
        </w:rPr>
      </w:pPr>
      <w:r w:rsidRPr="00C72A0F">
        <w:rPr>
          <w:rFonts w:cs="Times New Roman"/>
          <w:b w:val="0"/>
          <w:sz w:val="24"/>
          <w:szCs w:val="24"/>
        </w:rPr>
        <w:t>The instrument is a legislative instrument for the purposes of the </w:t>
      </w:r>
      <w:r w:rsidRPr="6284B381">
        <w:rPr>
          <w:rFonts w:cs="Times New Roman"/>
          <w:b w:val="0"/>
          <w:i/>
          <w:sz w:val="24"/>
          <w:szCs w:val="24"/>
        </w:rPr>
        <w:t xml:space="preserve">Legislation Act </w:t>
      </w:r>
      <w:r w:rsidRPr="007A39AB">
        <w:rPr>
          <w:rFonts w:cs="Times New Roman"/>
          <w:b w:val="0"/>
          <w:i/>
          <w:sz w:val="24"/>
          <w:szCs w:val="24"/>
        </w:rPr>
        <w:t>2003</w:t>
      </w:r>
      <w:r w:rsidRPr="007A39AB">
        <w:rPr>
          <w:rFonts w:cs="Times New Roman"/>
          <w:b w:val="0"/>
          <w:sz w:val="24"/>
          <w:szCs w:val="24"/>
        </w:rPr>
        <w:t> (Legislation Act). In accordance with section 44 of the Legislation Act and item 3 in paragraphs 9 and item 6 in paragraph 11 of the </w:t>
      </w:r>
      <w:bookmarkStart w:id="4" w:name="_Hlk103856226"/>
      <w:r w:rsidRPr="007A39AB">
        <w:rPr>
          <w:rFonts w:cs="Times New Roman"/>
          <w:b w:val="0"/>
          <w:i/>
          <w:sz w:val="24"/>
          <w:szCs w:val="24"/>
        </w:rPr>
        <w:t>Legislation (Exemptions and Other Matters) Regulation 2015</w:t>
      </w:r>
      <w:r w:rsidRPr="007A39AB">
        <w:rPr>
          <w:rFonts w:cs="Times New Roman"/>
          <w:b w:val="0"/>
          <w:sz w:val="24"/>
          <w:szCs w:val="24"/>
        </w:rPr>
        <w:t> </w:t>
      </w:r>
      <w:bookmarkEnd w:id="4"/>
      <w:r w:rsidRPr="007A39AB">
        <w:rPr>
          <w:rFonts w:cs="Times New Roman"/>
          <w:b w:val="0"/>
          <w:sz w:val="24"/>
          <w:szCs w:val="24"/>
        </w:rPr>
        <w:t xml:space="preserve">(Legislation Regulation), the instrument </w:t>
      </w:r>
      <w:r w:rsidR="5D6D1569" w:rsidRPr="007A39AB">
        <w:rPr>
          <w:rFonts w:cs="Times New Roman"/>
          <w:b w:val="0"/>
          <w:sz w:val="24"/>
          <w:szCs w:val="24"/>
        </w:rPr>
        <w:t>is</w:t>
      </w:r>
      <w:r w:rsidRPr="007A39AB">
        <w:rPr>
          <w:rFonts w:cs="Times New Roman"/>
          <w:b w:val="0"/>
          <w:sz w:val="24"/>
          <w:szCs w:val="24"/>
        </w:rPr>
        <w:t xml:space="preserve"> not subject to disallowance or sunsetting under the Legislation Act on the grounds that the instrument relate</w:t>
      </w:r>
      <w:r w:rsidR="260952E0" w:rsidRPr="007A39AB">
        <w:rPr>
          <w:rFonts w:cs="Times New Roman"/>
          <w:b w:val="0"/>
          <w:sz w:val="24"/>
          <w:szCs w:val="24"/>
        </w:rPr>
        <w:t>s</w:t>
      </w:r>
      <w:r w:rsidRPr="007A39AB">
        <w:rPr>
          <w:rFonts w:cs="Times New Roman"/>
          <w:b w:val="0"/>
          <w:sz w:val="24"/>
          <w:szCs w:val="24"/>
        </w:rPr>
        <w:t xml:space="preserve"> to superannuation. The instrument </w:t>
      </w:r>
      <w:r w:rsidR="7DF791F2" w:rsidRPr="007A39AB">
        <w:rPr>
          <w:rFonts w:cs="Times New Roman"/>
          <w:b w:val="0"/>
          <w:sz w:val="24"/>
          <w:szCs w:val="24"/>
        </w:rPr>
        <w:t>is a</w:t>
      </w:r>
      <w:r w:rsidRPr="007A39AB">
        <w:rPr>
          <w:rFonts w:cs="Times New Roman"/>
          <w:b w:val="0"/>
          <w:sz w:val="24"/>
          <w:szCs w:val="24"/>
        </w:rPr>
        <w:t xml:space="preserve"> reporting standard, which require</w:t>
      </w:r>
      <w:r w:rsidR="10A722FD" w:rsidRPr="007A39AB">
        <w:rPr>
          <w:rFonts w:cs="Times New Roman"/>
          <w:b w:val="0"/>
          <w:sz w:val="24"/>
          <w:szCs w:val="24"/>
        </w:rPr>
        <w:t>s</w:t>
      </w:r>
      <w:r w:rsidRPr="007A39AB">
        <w:rPr>
          <w:rFonts w:cs="Times New Roman"/>
          <w:b w:val="0"/>
          <w:sz w:val="24"/>
          <w:szCs w:val="24"/>
        </w:rPr>
        <w:t xml:space="preserve"> registrable superannuation entity (RSE) licensees to provide information to APRA about their superannuation businesses and activities. The</w:t>
      </w:r>
      <w:r w:rsidRPr="00C72A0F">
        <w:rPr>
          <w:rFonts w:cs="Times New Roman"/>
          <w:b w:val="0"/>
          <w:sz w:val="24"/>
          <w:szCs w:val="24"/>
        </w:rPr>
        <w:t xml:space="preserve"> Explanatory Statement to the Legislation Regulation states:</w:t>
      </w:r>
    </w:p>
    <w:p w14:paraId="4782CDC9" w14:textId="77777777" w:rsidR="00930927" w:rsidRPr="00713D80" w:rsidRDefault="00930927" w:rsidP="6284B381">
      <w:pPr>
        <w:pStyle w:val="Heading"/>
        <w:spacing w:before="0" w:after="240"/>
        <w:ind w:left="425"/>
        <w:jc w:val="both"/>
        <w:rPr>
          <w:rFonts w:cs="Times New Roman"/>
          <w:b w:val="0"/>
          <w:i/>
          <w:sz w:val="24"/>
          <w:szCs w:val="24"/>
        </w:rPr>
      </w:pPr>
      <w:r w:rsidRPr="00713D80">
        <w:rPr>
          <w:rFonts w:cs="Times New Roman"/>
          <w:b w:val="0"/>
          <w:i/>
          <w:sz w:val="24"/>
          <w:szCs w:val="24"/>
        </w:rPr>
        <w:t xml:space="preserve">“Item 3 is an instrument (other than regulations) relating to superannuation. This item preserves the exemption in item 39 of the table in subsection 44(2) of the Legislative Instruments Act. This exemption exists because exposure of superannuation instruments to disallowance would cause commercial uncertainty, as well as uncertainty for </w:t>
      </w:r>
      <w:r w:rsidRPr="00713D80">
        <w:rPr>
          <w:rFonts w:cs="Times New Roman"/>
          <w:b w:val="0"/>
          <w:i/>
          <w:sz w:val="24"/>
          <w:szCs w:val="24"/>
        </w:rPr>
        <w:lastRenderedPageBreak/>
        <w:t>superannuation fund members and providers. These instruments are intended to have enduring operation and are not suitable for the disallowance process.”</w:t>
      </w:r>
    </w:p>
    <w:p w14:paraId="001D83EC" w14:textId="77777777" w:rsidR="00930927" w:rsidRPr="00713D80" w:rsidRDefault="00930927" w:rsidP="6284B381">
      <w:pPr>
        <w:pStyle w:val="Heading"/>
        <w:spacing w:before="0" w:after="240"/>
        <w:ind w:left="425"/>
        <w:jc w:val="both"/>
        <w:rPr>
          <w:rFonts w:cs="Times New Roman"/>
          <w:b w:val="0"/>
          <w:i/>
          <w:sz w:val="24"/>
          <w:szCs w:val="24"/>
        </w:rPr>
      </w:pPr>
      <w:r w:rsidRPr="00713D80">
        <w:rPr>
          <w:rFonts w:cs="Times New Roman"/>
          <w:b w:val="0"/>
          <w:i/>
          <w:sz w:val="24"/>
          <w:szCs w:val="24"/>
        </w:rPr>
        <w:t>“Item 6 is an instrument (other than a regulation) relating to superannuation. This item preserves the exemption in item 42 of the table in subsection 54(2) of the Legislative Instruments Act. Sunsetting of instruments relating to superannuation could cause commercial uncertainty, as well as uncertainty for superannuation fund members and providers. These instruments are intended to have enduring operation and it would not be appropriate to subject them to sunsetting.”</w:t>
      </w:r>
    </w:p>
    <w:p w14:paraId="0EAA1B1D" w14:textId="0E373443" w:rsidR="00204AA8" w:rsidRDefault="00930927" w:rsidP="00930927">
      <w:pPr>
        <w:pStyle w:val="Heading"/>
        <w:spacing w:before="0" w:after="240"/>
        <w:jc w:val="both"/>
        <w:rPr>
          <w:rFonts w:cs="Times New Roman"/>
          <w:b w:val="0"/>
          <w:sz w:val="24"/>
          <w:szCs w:val="24"/>
        </w:rPr>
      </w:pPr>
      <w:r w:rsidRPr="00C72A0F">
        <w:rPr>
          <w:rFonts w:cs="Times New Roman"/>
          <w:b w:val="0"/>
          <w:sz w:val="24"/>
          <w:szCs w:val="24"/>
        </w:rPr>
        <w:t>As detailed above, extensive consultation with industry stakeholders occurred prior to the finalisation of the instrument. APRA conducts regular reviews on its reporting standards, which range from post-implementation reviews to targeted reviews of specific standards or aspects of standards. </w:t>
      </w:r>
    </w:p>
    <w:p w14:paraId="06190B02" w14:textId="34819669" w:rsidR="00B670E9" w:rsidRPr="000A1A15" w:rsidRDefault="00B670E9" w:rsidP="00920BDA">
      <w:pPr>
        <w:numPr>
          <w:ilvl w:val="0"/>
          <w:numId w:val="0"/>
        </w:numPr>
        <w:rPr>
          <w:rFonts w:ascii="Times New Roman" w:hAnsi="Times New Roman" w:cs="Times New Roman"/>
          <w:sz w:val="24"/>
          <w:szCs w:val="24"/>
        </w:rPr>
      </w:pPr>
      <w:r w:rsidRPr="000A1A15">
        <w:rPr>
          <w:rFonts w:ascii="Times New Roman" w:hAnsi="Times New Roman" w:cs="Times New Roman"/>
          <w:sz w:val="24"/>
          <w:szCs w:val="24"/>
        </w:rPr>
        <w:br w:type="page"/>
      </w:r>
    </w:p>
    <w:p w14:paraId="00B6ED2A" w14:textId="77777777" w:rsidR="00B670E9" w:rsidRPr="00BC1E70" w:rsidRDefault="00B670E9" w:rsidP="00B670E9">
      <w:pPr>
        <w:pStyle w:val="Heading"/>
        <w:keepNext w:val="0"/>
        <w:spacing w:before="0" w:after="240"/>
        <w:jc w:val="center"/>
        <w:rPr>
          <w:rFonts w:cs="Times New Roman"/>
          <w:sz w:val="24"/>
          <w:szCs w:val="24"/>
        </w:rPr>
      </w:pPr>
      <w:r w:rsidRPr="00BC1E70">
        <w:rPr>
          <w:rFonts w:cs="Times New Roman"/>
          <w:sz w:val="24"/>
          <w:szCs w:val="24"/>
          <w:lang w:val="en-GB"/>
        </w:rPr>
        <w:lastRenderedPageBreak/>
        <w:t>ATTACHMENT A</w:t>
      </w:r>
    </w:p>
    <w:p w14:paraId="04B51A0F" w14:textId="77777777" w:rsidR="00B670E9" w:rsidRPr="00D5162F" w:rsidRDefault="00B670E9" w:rsidP="00B670E9">
      <w:pPr>
        <w:pStyle w:val="Heading"/>
        <w:keepNext w:val="0"/>
        <w:spacing w:before="0" w:after="240"/>
        <w:jc w:val="center"/>
        <w:rPr>
          <w:rFonts w:cs="Times New Roman"/>
          <w:sz w:val="24"/>
          <w:szCs w:val="24"/>
        </w:rPr>
      </w:pPr>
      <w:r w:rsidRPr="00D5162F">
        <w:rPr>
          <w:rFonts w:cs="Times New Roman"/>
          <w:sz w:val="24"/>
          <w:szCs w:val="24"/>
        </w:rPr>
        <w:t>Statement of Compatibility with Human Rights</w:t>
      </w:r>
    </w:p>
    <w:p w14:paraId="32B574F6" w14:textId="77777777" w:rsidR="00B670E9" w:rsidRPr="008234D8" w:rsidRDefault="00B670E9" w:rsidP="00B670E9">
      <w:pPr>
        <w:pStyle w:val="Heading1"/>
        <w:jc w:val="center"/>
        <w:rPr>
          <w:rFonts w:ascii="Times New Roman" w:hAnsi="Times New Roman" w:cs="Times New Roman"/>
          <w:b w:val="0"/>
          <w:i/>
          <w:sz w:val="24"/>
          <w:szCs w:val="24"/>
        </w:rPr>
      </w:pPr>
      <w:r w:rsidRPr="00D615C7">
        <w:rPr>
          <w:rFonts w:ascii="Times New Roman" w:hAnsi="Times New Roman" w:cs="Times New Roman"/>
          <w:b w:val="0"/>
          <w:sz w:val="24"/>
          <w:szCs w:val="24"/>
        </w:rPr>
        <w:t xml:space="preserve">Prepared in accordance with Part 3 of the </w:t>
      </w:r>
      <w:r w:rsidRPr="00D615C7">
        <w:rPr>
          <w:rFonts w:ascii="Times New Roman" w:hAnsi="Times New Roman" w:cs="Times New Roman"/>
          <w:b w:val="0"/>
          <w:i/>
          <w:sz w:val="24"/>
          <w:szCs w:val="24"/>
        </w:rPr>
        <w:t xml:space="preserve">Human Rights (Parliamentary </w:t>
      </w:r>
      <w:r w:rsidRPr="008234D8">
        <w:rPr>
          <w:rFonts w:ascii="Times New Roman" w:hAnsi="Times New Roman" w:cs="Times New Roman"/>
          <w:b w:val="0"/>
          <w:i/>
          <w:sz w:val="24"/>
          <w:szCs w:val="24"/>
        </w:rPr>
        <w:t>Scrutiny) Act 2011</w:t>
      </w:r>
    </w:p>
    <w:p w14:paraId="083CA20E" w14:textId="1A50F531" w:rsidR="00D0248E" w:rsidRPr="00920BDA" w:rsidRDefault="00D0248E" w:rsidP="00D0248E">
      <w:pPr>
        <w:jc w:val="center"/>
        <w:rPr>
          <w:rFonts w:ascii="Times New Roman" w:hAnsi="Times New Roman" w:cs="Times New Roman"/>
          <w:sz w:val="24"/>
          <w:szCs w:val="24"/>
        </w:rPr>
      </w:pPr>
      <w:r w:rsidRPr="008234D8">
        <w:rPr>
          <w:rFonts w:ascii="Times New Roman" w:eastAsia="Times New Roman" w:hAnsi="Times New Roman" w:cs="Times New Roman"/>
          <w:b/>
          <w:sz w:val="24"/>
          <w:szCs w:val="24"/>
          <w:lang w:eastAsia="en-AU"/>
        </w:rPr>
        <w:t xml:space="preserve">Financial Sector (Collection of Data) (reporting standard) determination </w:t>
      </w:r>
      <w:r w:rsidRPr="00920BDA">
        <w:rPr>
          <w:rFonts w:ascii="Times New Roman" w:eastAsia="Times New Roman" w:hAnsi="Times New Roman" w:cs="Times New Roman"/>
          <w:b/>
          <w:sz w:val="24"/>
          <w:szCs w:val="24"/>
          <w:lang w:eastAsia="en-AU"/>
        </w:rPr>
        <w:t>No.</w:t>
      </w:r>
      <w:r w:rsidR="00920BDA" w:rsidRPr="00920BDA">
        <w:rPr>
          <w:rFonts w:ascii="Times New Roman" w:eastAsia="Times New Roman" w:hAnsi="Times New Roman" w:cs="Times New Roman"/>
          <w:b/>
          <w:sz w:val="24"/>
          <w:szCs w:val="24"/>
          <w:lang w:eastAsia="en-AU"/>
        </w:rPr>
        <w:t xml:space="preserve"> </w:t>
      </w:r>
      <w:r w:rsidR="005B13BC" w:rsidRPr="00920BDA">
        <w:rPr>
          <w:rFonts w:ascii="Times New Roman" w:eastAsia="Times New Roman" w:hAnsi="Times New Roman" w:cs="Times New Roman"/>
          <w:b/>
          <w:sz w:val="24"/>
          <w:szCs w:val="24"/>
          <w:lang w:eastAsia="en-AU"/>
        </w:rPr>
        <w:t>4</w:t>
      </w:r>
      <w:r w:rsidR="00AF0FC3" w:rsidRPr="00920BDA">
        <w:rPr>
          <w:rFonts w:ascii="Times New Roman" w:eastAsia="Times New Roman" w:hAnsi="Times New Roman" w:cs="Times New Roman"/>
          <w:b/>
          <w:sz w:val="24"/>
          <w:szCs w:val="24"/>
          <w:lang w:eastAsia="en-AU"/>
        </w:rPr>
        <w:t>5</w:t>
      </w:r>
      <w:r w:rsidRPr="00920BDA">
        <w:rPr>
          <w:rFonts w:ascii="Times New Roman" w:eastAsia="Times New Roman" w:hAnsi="Times New Roman" w:cs="Times New Roman"/>
          <w:b/>
          <w:sz w:val="24"/>
          <w:szCs w:val="24"/>
          <w:lang w:eastAsia="en-AU"/>
        </w:rPr>
        <w:t xml:space="preserve"> of 202</w:t>
      </w:r>
      <w:r w:rsidR="006B76C6" w:rsidRPr="00920BDA">
        <w:rPr>
          <w:rFonts w:ascii="Times New Roman" w:eastAsia="Times New Roman" w:hAnsi="Times New Roman" w:cs="Times New Roman"/>
          <w:b/>
          <w:sz w:val="24"/>
          <w:szCs w:val="24"/>
          <w:lang w:eastAsia="en-AU"/>
        </w:rPr>
        <w:t>3</w:t>
      </w:r>
    </w:p>
    <w:p w14:paraId="06CCC3E0" w14:textId="515E3391" w:rsidR="00B670E9" w:rsidRPr="00CC30A1" w:rsidRDefault="00B670E9" w:rsidP="00B670E9">
      <w:pPr>
        <w:rPr>
          <w:rFonts w:ascii="Times New Roman" w:hAnsi="Times New Roman" w:cs="Times New Roman"/>
          <w:sz w:val="24"/>
          <w:szCs w:val="24"/>
        </w:rPr>
      </w:pPr>
      <w:r w:rsidRPr="008234D8">
        <w:rPr>
          <w:rFonts w:ascii="Times New Roman" w:hAnsi="Times New Roman" w:cs="Times New Roman"/>
          <w:sz w:val="24"/>
          <w:szCs w:val="24"/>
        </w:rPr>
        <w:t>Th</w:t>
      </w:r>
      <w:r w:rsidR="006E0FB8">
        <w:rPr>
          <w:rFonts w:ascii="Times New Roman" w:hAnsi="Times New Roman" w:cs="Times New Roman"/>
          <w:sz w:val="24"/>
          <w:szCs w:val="24"/>
        </w:rPr>
        <w:t>i</w:t>
      </w:r>
      <w:r w:rsidRPr="008234D8">
        <w:rPr>
          <w:rFonts w:ascii="Times New Roman" w:hAnsi="Times New Roman" w:cs="Times New Roman"/>
          <w:sz w:val="24"/>
          <w:szCs w:val="24"/>
        </w:rPr>
        <w:t xml:space="preserve">s Legislative Instrument </w:t>
      </w:r>
      <w:r w:rsidR="006E0FB8">
        <w:rPr>
          <w:rFonts w:ascii="Times New Roman" w:hAnsi="Times New Roman" w:cs="Times New Roman"/>
          <w:sz w:val="24"/>
          <w:szCs w:val="24"/>
        </w:rPr>
        <w:t>is</w:t>
      </w:r>
      <w:r w:rsidRPr="008234D8">
        <w:rPr>
          <w:rFonts w:ascii="Times New Roman" w:hAnsi="Times New Roman" w:cs="Times New Roman"/>
          <w:sz w:val="24"/>
          <w:szCs w:val="24"/>
        </w:rPr>
        <w:t xml:space="preserve"> compatible with the human rights and freedoms recognised</w:t>
      </w:r>
      <w:r w:rsidRPr="005921A3">
        <w:rPr>
          <w:rFonts w:ascii="Times New Roman" w:hAnsi="Times New Roman" w:cs="Times New Roman"/>
          <w:sz w:val="24"/>
          <w:szCs w:val="24"/>
        </w:rPr>
        <w:t xml:space="preserve"> or declared in the international instrument listed in section 3 of the </w:t>
      </w:r>
      <w:r w:rsidRPr="00FC071B">
        <w:rPr>
          <w:rFonts w:ascii="Times New Roman" w:hAnsi="Times New Roman" w:cs="Times New Roman"/>
          <w:i/>
          <w:sz w:val="24"/>
          <w:szCs w:val="24"/>
        </w:rPr>
        <w:t>Human Rights (Parliamentary Scrutiny) Act 2011</w:t>
      </w:r>
      <w:r w:rsidRPr="00CC30A1">
        <w:rPr>
          <w:rFonts w:ascii="Times New Roman" w:hAnsi="Times New Roman" w:cs="Times New Roman"/>
          <w:sz w:val="24"/>
          <w:szCs w:val="24"/>
        </w:rPr>
        <w:t xml:space="preserve"> (HRPS Act).</w:t>
      </w:r>
    </w:p>
    <w:p w14:paraId="78831E52" w14:textId="394E8EC7" w:rsidR="00B670E9" w:rsidRPr="00DE1106" w:rsidRDefault="00B670E9" w:rsidP="00B670E9">
      <w:pPr>
        <w:rPr>
          <w:rFonts w:ascii="Times New Roman" w:hAnsi="Times New Roman" w:cs="Times New Roman"/>
          <w:sz w:val="24"/>
          <w:szCs w:val="24"/>
        </w:rPr>
      </w:pPr>
      <w:r w:rsidRPr="00BC1E70">
        <w:rPr>
          <w:rFonts w:ascii="Times New Roman" w:hAnsi="Times New Roman" w:cs="Times New Roman"/>
          <w:b/>
          <w:sz w:val="24"/>
          <w:szCs w:val="24"/>
        </w:rPr>
        <w:t>Overview of the Legislative Instrument</w:t>
      </w:r>
    </w:p>
    <w:p w14:paraId="751DCF46" w14:textId="3A36934C" w:rsidR="00CD1253" w:rsidRPr="00204AA8" w:rsidRDefault="00CD1253" w:rsidP="00D56D61">
      <w:pPr>
        <w:rPr>
          <w:rFonts w:ascii="Times New Roman" w:hAnsi="Times New Roman" w:cs="Times New Roman"/>
          <w:sz w:val="24"/>
          <w:szCs w:val="24"/>
        </w:rPr>
      </w:pPr>
      <w:r w:rsidRPr="00AA555F">
        <w:rPr>
          <w:rFonts w:ascii="Times New Roman" w:hAnsi="Times New Roman" w:cs="Times New Roman"/>
          <w:sz w:val="24"/>
          <w:szCs w:val="24"/>
        </w:rPr>
        <w:t>The</w:t>
      </w:r>
      <w:r w:rsidR="00142132" w:rsidRPr="00AA555F">
        <w:rPr>
          <w:rFonts w:ascii="Times New Roman" w:hAnsi="Times New Roman" w:cs="Times New Roman"/>
          <w:sz w:val="24"/>
          <w:szCs w:val="24"/>
        </w:rPr>
        <w:t xml:space="preserve"> </w:t>
      </w:r>
      <w:r w:rsidRPr="00AA555F">
        <w:rPr>
          <w:rFonts w:ascii="Times New Roman" w:hAnsi="Times New Roman" w:cs="Times New Roman"/>
          <w:sz w:val="24"/>
          <w:szCs w:val="24"/>
        </w:rPr>
        <w:t xml:space="preserve">purpose </w:t>
      </w:r>
      <w:r w:rsidR="009136D0" w:rsidRPr="00AA555F">
        <w:rPr>
          <w:rFonts w:ascii="Times New Roman" w:hAnsi="Times New Roman" w:cs="Times New Roman"/>
          <w:sz w:val="24"/>
          <w:szCs w:val="24"/>
        </w:rPr>
        <w:t xml:space="preserve">of the Legislative Instrument </w:t>
      </w:r>
      <w:r w:rsidRPr="00AA555F">
        <w:rPr>
          <w:rFonts w:ascii="Times New Roman" w:hAnsi="Times New Roman" w:cs="Times New Roman"/>
          <w:sz w:val="24"/>
          <w:szCs w:val="24"/>
        </w:rPr>
        <w:t xml:space="preserve">is to </w:t>
      </w:r>
      <w:r w:rsidR="00D56D61">
        <w:rPr>
          <w:rFonts w:ascii="Times New Roman" w:hAnsi="Times New Roman" w:cs="Times New Roman"/>
          <w:sz w:val="24"/>
          <w:szCs w:val="24"/>
        </w:rPr>
        <w:t xml:space="preserve">determine </w:t>
      </w:r>
      <w:r w:rsidR="00574BA1" w:rsidRPr="00204AA8">
        <w:rPr>
          <w:rFonts w:ascii="Times New Roman" w:hAnsi="Times New Roman" w:cs="Times New Roman"/>
          <w:sz w:val="24"/>
          <w:szCs w:val="24"/>
        </w:rPr>
        <w:t xml:space="preserve">a </w:t>
      </w:r>
      <w:r w:rsidR="00D56D61" w:rsidRPr="00204AA8">
        <w:rPr>
          <w:rFonts w:ascii="Times New Roman" w:hAnsi="Times New Roman" w:cs="Times New Roman"/>
          <w:sz w:val="24"/>
          <w:szCs w:val="24"/>
        </w:rPr>
        <w:t xml:space="preserve">new </w:t>
      </w:r>
      <w:r w:rsidR="005B13BC" w:rsidRPr="00204AA8">
        <w:rPr>
          <w:rFonts w:ascii="Times New Roman" w:hAnsi="Times New Roman"/>
          <w:i/>
          <w:sz w:val="24"/>
          <w:szCs w:val="24"/>
        </w:rPr>
        <w:t xml:space="preserve">Reporting Standard SRS </w:t>
      </w:r>
      <w:r w:rsidR="005465D2" w:rsidRPr="00204AA8">
        <w:rPr>
          <w:rFonts w:ascii="Times New Roman" w:hAnsi="Times New Roman"/>
          <w:i/>
          <w:sz w:val="24"/>
          <w:szCs w:val="24"/>
        </w:rPr>
        <w:t>7</w:t>
      </w:r>
      <w:r w:rsidR="005B2042" w:rsidRPr="00204AA8">
        <w:rPr>
          <w:rFonts w:ascii="Times New Roman" w:hAnsi="Times New Roman"/>
          <w:i/>
          <w:sz w:val="24"/>
          <w:szCs w:val="24"/>
        </w:rPr>
        <w:t>05</w:t>
      </w:r>
      <w:r w:rsidR="005B13BC" w:rsidRPr="00204AA8">
        <w:rPr>
          <w:rFonts w:ascii="Times New Roman" w:hAnsi="Times New Roman"/>
          <w:i/>
          <w:sz w:val="24"/>
          <w:szCs w:val="24"/>
        </w:rPr>
        <w:t>.0</w:t>
      </w:r>
      <w:r w:rsidR="00AD2FF5" w:rsidRPr="00204AA8">
        <w:rPr>
          <w:rFonts w:ascii="Times New Roman" w:hAnsi="Times New Roman"/>
          <w:i/>
          <w:sz w:val="24"/>
          <w:szCs w:val="24"/>
        </w:rPr>
        <w:t xml:space="preserve"> </w:t>
      </w:r>
      <w:r w:rsidR="005465D2" w:rsidRPr="00204AA8">
        <w:rPr>
          <w:rFonts w:ascii="Times New Roman" w:hAnsi="Times New Roman"/>
          <w:i/>
          <w:sz w:val="24"/>
          <w:szCs w:val="24"/>
        </w:rPr>
        <w:t>Components of Net Return</w:t>
      </w:r>
      <w:r w:rsidR="004F16BB" w:rsidRPr="00204AA8">
        <w:rPr>
          <w:rFonts w:ascii="Times New Roman" w:hAnsi="Times New Roman"/>
          <w:i/>
          <w:sz w:val="24"/>
          <w:szCs w:val="24"/>
        </w:rPr>
        <w:t>.</w:t>
      </w:r>
      <w:r w:rsidR="005B13BC" w:rsidRPr="00204AA8">
        <w:rPr>
          <w:rFonts w:ascii="Times New Roman" w:hAnsi="Times New Roman"/>
          <w:sz w:val="24"/>
          <w:szCs w:val="24"/>
        </w:rPr>
        <w:t xml:space="preserve"> </w:t>
      </w:r>
      <w:r w:rsidR="004F16BB" w:rsidRPr="00204AA8">
        <w:rPr>
          <w:rFonts w:ascii="Times New Roman" w:hAnsi="Times New Roman"/>
          <w:sz w:val="24"/>
          <w:szCs w:val="24"/>
        </w:rPr>
        <w:t>T</w:t>
      </w:r>
      <w:r w:rsidR="004F16BB" w:rsidRPr="00204AA8">
        <w:rPr>
          <w:rFonts w:ascii="Times New Roman" w:hAnsi="Times New Roman" w:cs="Times New Roman"/>
          <w:sz w:val="24"/>
          <w:szCs w:val="24"/>
        </w:rPr>
        <w:t>he reporting standard outlines the requirements for the provision of information to APRA relating to the performance of all superannuation products, investment menus and investment options of RSE licensees.</w:t>
      </w:r>
    </w:p>
    <w:p w14:paraId="010F0382" w14:textId="77777777" w:rsidR="00B670E9" w:rsidRPr="00D615C7" w:rsidRDefault="00B670E9" w:rsidP="00B670E9">
      <w:pPr>
        <w:rPr>
          <w:rFonts w:ascii="Times New Roman" w:hAnsi="Times New Roman" w:cs="Times New Roman"/>
          <w:sz w:val="24"/>
          <w:szCs w:val="24"/>
        </w:rPr>
      </w:pPr>
      <w:r w:rsidRPr="00D615C7">
        <w:rPr>
          <w:rFonts w:ascii="Times New Roman" w:hAnsi="Times New Roman" w:cs="Times New Roman"/>
          <w:b/>
          <w:sz w:val="24"/>
          <w:szCs w:val="24"/>
        </w:rPr>
        <w:t>Human rights implications</w:t>
      </w:r>
    </w:p>
    <w:p w14:paraId="23D2FE0E" w14:textId="18A70798" w:rsidR="009136D0" w:rsidRPr="000A1A15" w:rsidRDefault="009136D0" w:rsidP="00B670E9">
      <w:pPr>
        <w:rPr>
          <w:rFonts w:ascii="Times New Roman" w:eastAsia="Times New Roman" w:hAnsi="Times New Roman" w:cs="Times New Roman"/>
          <w:iCs/>
          <w:sz w:val="24"/>
          <w:szCs w:val="24"/>
          <w:lang w:eastAsia="en-AU"/>
        </w:rPr>
      </w:pPr>
      <w:r w:rsidRPr="000A1A15">
        <w:rPr>
          <w:rFonts w:ascii="Times New Roman" w:eastAsia="Times New Roman" w:hAnsi="Times New Roman" w:cs="Times New Roman"/>
          <w:iCs/>
          <w:sz w:val="24"/>
          <w:szCs w:val="24"/>
          <w:lang w:eastAsia="en-AU"/>
        </w:rPr>
        <w:t xml:space="preserve">APRA has assessed the </w:t>
      </w:r>
      <w:r w:rsidRPr="00BC1E70">
        <w:rPr>
          <w:rFonts w:ascii="Times New Roman" w:eastAsia="Times New Roman" w:hAnsi="Times New Roman" w:cs="Times New Roman"/>
          <w:iCs/>
          <w:sz w:val="24"/>
          <w:szCs w:val="24"/>
          <w:lang w:eastAsia="en-AU"/>
        </w:rPr>
        <w:t xml:space="preserve">Legislative </w:t>
      </w:r>
      <w:r w:rsidRPr="000A1A15">
        <w:rPr>
          <w:rFonts w:ascii="Times New Roman" w:eastAsia="Times New Roman" w:hAnsi="Times New Roman" w:cs="Times New Roman"/>
          <w:iCs/>
          <w:sz w:val="24"/>
          <w:szCs w:val="24"/>
          <w:lang w:eastAsia="en-AU"/>
        </w:rPr>
        <w:t xml:space="preserve">Instrument and is of the view that </w:t>
      </w:r>
      <w:r w:rsidR="006212E3">
        <w:rPr>
          <w:rFonts w:ascii="Times New Roman" w:eastAsia="Times New Roman" w:hAnsi="Times New Roman" w:cs="Times New Roman"/>
          <w:iCs/>
          <w:sz w:val="24"/>
          <w:szCs w:val="24"/>
          <w:lang w:eastAsia="en-AU"/>
        </w:rPr>
        <w:t>it</w:t>
      </w:r>
      <w:r w:rsidRPr="000A1A15">
        <w:rPr>
          <w:rFonts w:ascii="Times New Roman" w:eastAsia="Times New Roman" w:hAnsi="Times New Roman" w:cs="Times New Roman"/>
          <w:iCs/>
          <w:sz w:val="24"/>
          <w:szCs w:val="24"/>
          <w:lang w:eastAsia="en-AU"/>
        </w:rPr>
        <w:t xml:space="preserve"> do</w:t>
      </w:r>
      <w:r w:rsidR="006212E3">
        <w:rPr>
          <w:rFonts w:ascii="Times New Roman" w:eastAsia="Times New Roman" w:hAnsi="Times New Roman" w:cs="Times New Roman"/>
          <w:iCs/>
          <w:sz w:val="24"/>
          <w:szCs w:val="24"/>
          <w:lang w:eastAsia="en-AU"/>
        </w:rPr>
        <w:t>es</w:t>
      </w:r>
      <w:r w:rsidRPr="000A1A15">
        <w:rPr>
          <w:rFonts w:ascii="Times New Roman" w:eastAsia="Times New Roman" w:hAnsi="Times New Roman" w:cs="Times New Roman"/>
          <w:iCs/>
          <w:sz w:val="24"/>
          <w:szCs w:val="24"/>
          <w:lang w:eastAsia="en-AU"/>
        </w:rPr>
        <w:t xml:space="preserve"> not engage any of the applicable rights or freedoms recognised or declared in the international instruments listed in section 3 of the HRPS Act. Accordingly, in APRA's assessment, the Instrument </w:t>
      </w:r>
      <w:r w:rsidR="006212E3">
        <w:rPr>
          <w:rFonts w:ascii="Times New Roman" w:eastAsia="Times New Roman" w:hAnsi="Times New Roman" w:cs="Times New Roman"/>
          <w:iCs/>
          <w:sz w:val="24"/>
          <w:szCs w:val="24"/>
          <w:lang w:eastAsia="en-AU"/>
        </w:rPr>
        <w:t>is</w:t>
      </w:r>
      <w:r w:rsidRPr="000A1A15">
        <w:rPr>
          <w:rFonts w:ascii="Times New Roman" w:eastAsia="Times New Roman" w:hAnsi="Times New Roman" w:cs="Times New Roman"/>
          <w:iCs/>
          <w:sz w:val="24"/>
          <w:szCs w:val="24"/>
          <w:lang w:eastAsia="en-AU"/>
        </w:rPr>
        <w:t xml:space="preserve"> compatible with human rights. </w:t>
      </w:r>
    </w:p>
    <w:p w14:paraId="64D4EEBE" w14:textId="77777777" w:rsidR="00B670E9" w:rsidRPr="000A1A15" w:rsidRDefault="00B670E9" w:rsidP="00B670E9">
      <w:pPr>
        <w:rPr>
          <w:rFonts w:ascii="Times New Roman" w:hAnsi="Times New Roman" w:cs="Times New Roman"/>
          <w:b/>
          <w:sz w:val="24"/>
          <w:szCs w:val="24"/>
        </w:rPr>
      </w:pPr>
      <w:r w:rsidRPr="000A1A15">
        <w:rPr>
          <w:rFonts w:ascii="Times New Roman" w:hAnsi="Times New Roman" w:cs="Times New Roman"/>
          <w:b/>
          <w:sz w:val="24"/>
          <w:szCs w:val="24"/>
        </w:rPr>
        <w:t>Conclusion</w:t>
      </w:r>
    </w:p>
    <w:p w14:paraId="57D7D167" w14:textId="7C020371" w:rsidR="00B670E9" w:rsidRPr="000A1A15" w:rsidRDefault="00B670E9" w:rsidP="00B670E9">
      <w:pPr>
        <w:rPr>
          <w:rFonts w:ascii="Times New Roman" w:hAnsi="Times New Roman" w:cs="Times New Roman"/>
          <w:sz w:val="24"/>
          <w:szCs w:val="24"/>
        </w:rPr>
      </w:pPr>
      <w:r w:rsidRPr="000A1A15">
        <w:rPr>
          <w:rFonts w:ascii="Times New Roman" w:hAnsi="Times New Roman" w:cs="Times New Roman"/>
          <w:sz w:val="24"/>
          <w:szCs w:val="24"/>
        </w:rPr>
        <w:t>Th</w:t>
      </w:r>
      <w:r w:rsidR="006212E3">
        <w:rPr>
          <w:rFonts w:ascii="Times New Roman" w:hAnsi="Times New Roman" w:cs="Times New Roman"/>
          <w:sz w:val="24"/>
          <w:szCs w:val="24"/>
        </w:rPr>
        <w:t>i</w:t>
      </w:r>
      <w:r w:rsidRPr="000A1A15">
        <w:rPr>
          <w:rFonts w:ascii="Times New Roman" w:hAnsi="Times New Roman" w:cs="Times New Roman"/>
          <w:sz w:val="24"/>
          <w:szCs w:val="24"/>
        </w:rPr>
        <w:t xml:space="preserve">s Legislative Instrument </w:t>
      </w:r>
      <w:r w:rsidR="006212E3">
        <w:rPr>
          <w:rFonts w:ascii="Times New Roman" w:hAnsi="Times New Roman" w:cs="Times New Roman"/>
          <w:sz w:val="24"/>
          <w:szCs w:val="24"/>
        </w:rPr>
        <w:t>is</w:t>
      </w:r>
      <w:r w:rsidRPr="000A1A15">
        <w:rPr>
          <w:rFonts w:ascii="Times New Roman" w:hAnsi="Times New Roman" w:cs="Times New Roman"/>
          <w:sz w:val="24"/>
          <w:szCs w:val="24"/>
        </w:rPr>
        <w:t xml:space="preserve"> compatible with human rights as </w:t>
      </w:r>
      <w:r w:rsidR="006212E3">
        <w:rPr>
          <w:rFonts w:ascii="Times New Roman" w:hAnsi="Times New Roman" w:cs="Times New Roman"/>
          <w:sz w:val="24"/>
          <w:szCs w:val="24"/>
        </w:rPr>
        <w:t>it</w:t>
      </w:r>
      <w:r w:rsidRPr="000A1A15">
        <w:rPr>
          <w:rFonts w:ascii="Times New Roman" w:hAnsi="Times New Roman" w:cs="Times New Roman"/>
          <w:sz w:val="24"/>
          <w:szCs w:val="24"/>
        </w:rPr>
        <w:t xml:space="preserve"> do</w:t>
      </w:r>
      <w:r w:rsidR="006212E3">
        <w:rPr>
          <w:rFonts w:ascii="Times New Roman" w:hAnsi="Times New Roman" w:cs="Times New Roman"/>
          <w:sz w:val="24"/>
          <w:szCs w:val="24"/>
        </w:rPr>
        <w:t>es</w:t>
      </w:r>
      <w:r w:rsidRPr="000A1A15">
        <w:rPr>
          <w:rFonts w:ascii="Times New Roman" w:hAnsi="Times New Roman" w:cs="Times New Roman"/>
          <w:sz w:val="24"/>
          <w:szCs w:val="24"/>
        </w:rPr>
        <w:t xml:space="preserve"> not raise any human rights issues.</w:t>
      </w:r>
    </w:p>
    <w:p w14:paraId="6A740A2A" w14:textId="77777777" w:rsidR="00211AFD" w:rsidRPr="00B06E21" w:rsidRDefault="00211AFD" w:rsidP="00A34ADD">
      <w:pPr>
        <w:rPr>
          <w:rFonts w:ascii="Times New Roman" w:hAnsi="Times New Roman" w:cs="Times New Roman"/>
        </w:rPr>
      </w:pPr>
    </w:p>
    <w:sectPr w:rsidR="00211AFD" w:rsidRPr="00B06E21" w:rsidSect="00B06E21">
      <w:footerReference w:type="default" r:id="rId14"/>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55771" w14:textId="77777777" w:rsidR="00704E28" w:rsidRPr="000D4EDE" w:rsidRDefault="00704E28" w:rsidP="000D4EDE">
      <w:r>
        <w:separator/>
      </w:r>
    </w:p>
  </w:endnote>
  <w:endnote w:type="continuationSeparator" w:id="0">
    <w:p w14:paraId="0615FAB1" w14:textId="77777777" w:rsidR="00704E28" w:rsidRPr="000D4EDE" w:rsidRDefault="00704E28" w:rsidP="000D4EDE">
      <w:r>
        <w:continuationSeparator/>
      </w:r>
    </w:p>
  </w:endnote>
  <w:endnote w:type="continuationNotice" w:id="1">
    <w:p w14:paraId="4F0D417C" w14:textId="77777777" w:rsidR="00704E28" w:rsidRDefault="00704E2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414941314"/>
      <w:docPartObj>
        <w:docPartGallery w:val="Page Numbers (Bottom of Page)"/>
        <w:docPartUnique/>
      </w:docPartObj>
    </w:sdtPr>
    <w:sdtEndPr>
      <w:rPr>
        <w:noProof/>
      </w:rPr>
    </w:sdtEndPr>
    <w:sdtContent>
      <w:p w14:paraId="15352337" w14:textId="0D0428EC" w:rsidR="00117794" w:rsidRPr="00117794" w:rsidRDefault="00117794">
        <w:pPr>
          <w:pStyle w:val="Footer"/>
          <w:jc w:val="right"/>
          <w:rPr>
            <w:rFonts w:ascii="Times New Roman" w:hAnsi="Times New Roman" w:cs="Times New Roman"/>
            <w:sz w:val="24"/>
            <w:szCs w:val="24"/>
          </w:rPr>
        </w:pPr>
        <w:r w:rsidRPr="00117794">
          <w:rPr>
            <w:rFonts w:ascii="Times New Roman" w:hAnsi="Times New Roman" w:cs="Times New Roman"/>
            <w:sz w:val="24"/>
            <w:szCs w:val="24"/>
          </w:rPr>
          <w:fldChar w:fldCharType="begin"/>
        </w:r>
        <w:r w:rsidRPr="00117794">
          <w:rPr>
            <w:rFonts w:ascii="Times New Roman" w:hAnsi="Times New Roman" w:cs="Times New Roman"/>
            <w:sz w:val="24"/>
            <w:szCs w:val="24"/>
          </w:rPr>
          <w:instrText xml:space="preserve"> PAGE   \* MERGEFORMAT </w:instrText>
        </w:r>
        <w:r w:rsidRPr="00117794">
          <w:rPr>
            <w:rFonts w:ascii="Times New Roman" w:hAnsi="Times New Roman" w:cs="Times New Roman"/>
            <w:sz w:val="24"/>
            <w:szCs w:val="24"/>
          </w:rPr>
          <w:fldChar w:fldCharType="separate"/>
        </w:r>
        <w:r w:rsidRPr="00117794">
          <w:rPr>
            <w:rFonts w:ascii="Times New Roman" w:hAnsi="Times New Roman" w:cs="Times New Roman"/>
            <w:noProof/>
            <w:sz w:val="24"/>
            <w:szCs w:val="24"/>
          </w:rPr>
          <w:t>2</w:t>
        </w:r>
        <w:r w:rsidRPr="00117794">
          <w:rPr>
            <w:rFonts w:ascii="Times New Roman" w:hAnsi="Times New Roman" w:cs="Times New Roman"/>
            <w:noProof/>
            <w:sz w:val="24"/>
            <w:szCs w:val="24"/>
          </w:rPr>
          <w:fldChar w:fldCharType="end"/>
        </w:r>
      </w:p>
    </w:sdtContent>
  </w:sdt>
  <w:p w14:paraId="5B809C9B" w14:textId="77777777" w:rsidR="00117794" w:rsidRDefault="001177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C7780" w14:textId="77777777" w:rsidR="00704E28" w:rsidRPr="000D4EDE" w:rsidRDefault="00704E28" w:rsidP="000D4EDE">
      <w:r>
        <w:separator/>
      </w:r>
    </w:p>
  </w:footnote>
  <w:footnote w:type="continuationSeparator" w:id="0">
    <w:p w14:paraId="130506A8" w14:textId="77777777" w:rsidR="00704E28" w:rsidRPr="000D4EDE" w:rsidRDefault="00704E28" w:rsidP="000D4EDE">
      <w:r>
        <w:continuationSeparator/>
      </w:r>
    </w:p>
  </w:footnote>
  <w:footnote w:type="continuationNotice" w:id="1">
    <w:p w14:paraId="3859A22E" w14:textId="77777777" w:rsidR="00704E28" w:rsidRDefault="00704E28">
      <w:pPr>
        <w:spacing w:after="0"/>
      </w:pPr>
    </w:p>
  </w:footnote>
  <w:footnote w:id="2">
    <w:p w14:paraId="635F291C" w14:textId="77777777" w:rsidR="0084751F" w:rsidRPr="00A60393" w:rsidRDefault="0084751F" w:rsidP="0084751F">
      <w:pPr>
        <w:pStyle w:val="FootnoteText"/>
        <w:rPr>
          <w:rFonts w:ascii="Times New Roman" w:hAnsi="Times New Roman"/>
          <w:sz w:val="20"/>
          <w:szCs w:val="20"/>
        </w:rPr>
      </w:pPr>
      <w:r>
        <w:rPr>
          <w:rStyle w:val="FootnoteReference"/>
        </w:rPr>
        <w:footnoteRef/>
      </w:r>
      <w:r>
        <w:rPr>
          <w:rFonts w:ascii="Times New Roman" w:hAnsi="Times New Roman"/>
          <w:sz w:val="20"/>
          <w:szCs w:val="20"/>
        </w:rPr>
        <w:t xml:space="preserve"> </w:t>
      </w:r>
      <w:r w:rsidRPr="00CC238B">
        <w:rPr>
          <w:rFonts w:ascii="Times New Roman" w:hAnsi="Times New Roman"/>
          <w:sz w:val="20"/>
          <w:szCs w:val="20"/>
        </w:rPr>
        <w:t xml:space="preserve">The discussion paper, topic papers and response to consultation together with proposed reporting standards are available on APRA’s website at </w:t>
      </w:r>
      <w:hyperlink r:id="rId1" w:history="1">
        <w:r w:rsidRPr="00CC238B">
          <w:rPr>
            <w:rStyle w:val="Hyperlink"/>
            <w:rFonts w:ascii="Times New Roman" w:hAnsi="Times New Roman"/>
            <w:sz w:val="20"/>
            <w:szCs w:val="20"/>
          </w:rPr>
          <w:t>Consultation on APRAs Superannuation Data Transformation</w:t>
        </w:r>
      </w:hyperlink>
      <w:r>
        <w:rPr>
          <w:rStyle w:val="Hyperlink"/>
          <w:rFonts w:ascii="Times New Roman" w:hAnsi="Times New Roman"/>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0">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4027259"/>
    <w:multiLevelType w:val="hybridMultilevel"/>
    <w:tmpl w:val="2350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166DF073"/>
    <w:multiLevelType w:val="hybridMultilevel"/>
    <w:tmpl w:val="7E087932"/>
    <w:lvl w:ilvl="0" w:tplc="0C00B5CA">
      <w:start w:val="1"/>
      <w:numFmt w:val="bullet"/>
      <w:lvlText w:val=""/>
      <w:lvlJc w:val="left"/>
      <w:pPr>
        <w:ind w:left="720" w:hanging="360"/>
      </w:pPr>
      <w:rPr>
        <w:rFonts w:ascii="Symbol" w:hAnsi="Symbol" w:hint="default"/>
        <w:color w:val="auto"/>
      </w:rPr>
    </w:lvl>
    <w:lvl w:ilvl="1" w:tplc="AE905932">
      <w:start w:val="1"/>
      <w:numFmt w:val="bullet"/>
      <w:lvlText w:val="o"/>
      <w:lvlJc w:val="left"/>
      <w:pPr>
        <w:ind w:left="1440" w:hanging="360"/>
      </w:pPr>
      <w:rPr>
        <w:rFonts w:ascii="Courier New" w:hAnsi="Courier New" w:hint="default"/>
      </w:rPr>
    </w:lvl>
    <w:lvl w:ilvl="2" w:tplc="45B829E4">
      <w:start w:val="1"/>
      <w:numFmt w:val="bullet"/>
      <w:lvlText w:val=""/>
      <w:lvlJc w:val="left"/>
      <w:pPr>
        <w:ind w:left="2160" w:hanging="360"/>
      </w:pPr>
      <w:rPr>
        <w:rFonts w:ascii="Wingdings" w:hAnsi="Wingdings" w:hint="default"/>
      </w:rPr>
    </w:lvl>
    <w:lvl w:ilvl="3" w:tplc="7AAEED18">
      <w:start w:val="1"/>
      <w:numFmt w:val="bullet"/>
      <w:lvlText w:val=""/>
      <w:lvlJc w:val="left"/>
      <w:pPr>
        <w:ind w:left="2880" w:hanging="360"/>
      </w:pPr>
      <w:rPr>
        <w:rFonts w:ascii="Symbol" w:hAnsi="Symbol" w:hint="default"/>
      </w:rPr>
    </w:lvl>
    <w:lvl w:ilvl="4" w:tplc="460205EE">
      <w:start w:val="1"/>
      <w:numFmt w:val="bullet"/>
      <w:lvlText w:val="o"/>
      <w:lvlJc w:val="left"/>
      <w:pPr>
        <w:ind w:left="3600" w:hanging="360"/>
      </w:pPr>
      <w:rPr>
        <w:rFonts w:ascii="Courier New" w:hAnsi="Courier New" w:hint="default"/>
      </w:rPr>
    </w:lvl>
    <w:lvl w:ilvl="5" w:tplc="E482FC7E">
      <w:start w:val="1"/>
      <w:numFmt w:val="bullet"/>
      <w:lvlText w:val=""/>
      <w:lvlJc w:val="left"/>
      <w:pPr>
        <w:ind w:left="4320" w:hanging="360"/>
      </w:pPr>
      <w:rPr>
        <w:rFonts w:ascii="Wingdings" w:hAnsi="Wingdings" w:hint="default"/>
      </w:rPr>
    </w:lvl>
    <w:lvl w:ilvl="6" w:tplc="0ACEDFA4">
      <w:start w:val="1"/>
      <w:numFmt w:val="bullet"/>
      <w:lvlText w:val=""/>
      <w:lvlJc w:val="left"/>
      <w:pPr>
        <w:ind w:left="5040" w:hanging="360"/>
      </w:pPr>
      <w:rPr>
        <w:rFonts w:ascii="Symbol" w:hAnsi="Symbol" w:hint="default"/>
      </w:rPr>
    </w:lvl>
    <w:lvl w:ilvl="7" w:tplc="4FCCB308">
      <w:start w:val="1"/>
      <w:numFmt w:val="bullet"/>
      <w:lvlText w:val="o"/>
      <w:lvlJc w:val="left"/>
      <w:pPr>
        <w:ind w:left="5760" w:hanging="360"/>
      </w:pPr>
      <w:rPr>
        <w:rFonts w:ascii="Courier New" w:hAnsi="Courier New" w:hint="default"/>
      </w:rPr>
    </w:lvl>
    <w:lvl w:ilvl="8" w:tplc="C4A46EA2">
      <w:start w:val="1"/>
      <w:numFmt w:val="bullet"/>
      <w:lvlText w:val=""/>
      <w:lvlJc w:val="left"/>
      <w:pPr>
        <w:ind w:left="6480" w:hanging="360"/>
      </w:pPr>
      <w:rPr>
        <w:rFonts w:ascii="Wingdings" w:hAnsi="Wingdings" w:hint="default"/>
      </w:rPr>
    </w:lvl>
  </w:abstractNum>
  <w:abstractNum w:abstractNumId="9" w15:restartNumberingAfterBreak="0">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1" w15:restartNumberingAfterBreak="0">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476557"/>
    <w:multiLevelType w:val="hybridMultilevel"/>
    <w:tmpl w:val="10587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54E0CC9B"/>
    <w:multiLevelType w:val="multilevel"/>
    <w:tmpl w:val="124E8A8E"/>
    <w:lvl w:ilvl="0">
      <w:start w:val="4"/>
      <w:numFmt w:val="decimal"/>
      <w:lvlText w:val=""/>
      <w:lvlJc w:val="left"/>
      <w:pPr>
        <w:ind w:left="0" w:firstLine="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904092D"/>
    <w:multiLevelType w:val="multilevel"/>
    <w:tmpl w:val="ED64C802"/>
    <w:lvl w:ilvl="0">
      <w:start w:val="3"/>
      <w:numFmt w:val="decimal"/>
      <w:lvlText w:val=""/>
      <w:lvlJc w:val="left"/>
      <w:pPr>
        <w:ind w:left="0" w:firstLine="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6B86665"/>
    <w:multiLevelType w:val="hybridMultilevel"/>
    <w:tmpl w:val="54DE21E6"/>
    <w:lvl w:ilvl="0" w:tplc="E8F49B64">
      <w:start w:val="1"/>
      <w:numFmt w:val="bullet"/>
      <w:lvlText w:val=""/>
      <w:lvlJc w:val="left"/>
      <w:pPr>
        <w:ind w:left="720" w:hanging="360"/>
      </w:pPr>
      <w:rPr>
        <w:rFonts w:ascii="Symbol" w:hAnsi="Symbol" w:hint="default"/>
      </w:rPr>
    </w:lvl>
    <w:lvl w:ilvl="1" w:tplc="E9ECC278">
      <w:start w:val="1"/>
      <w:numFmt w:val="bullet"/>
      <w:lvlText w:val="o"/>
      <w:lvlJc w:val="left"/>
      <w:pPr>
        <w:ind w:left="1440" w:hanging="360"/>
      </w:pPr>
      <w:rPr>
        <w:rFonts w:ascii="Courier New" w:hAnsi="Courier New" w:hint="default"/>
      </w:rPr>
    </w:lvl>
    <w:lvl w:ilvl="2" w:tplc="EB50013C">
      <w:start w:val="1"/>
      <w:numFmt w:val="bullet"/>
      <w:lvlText w:val=""/>
      <w:lvlJc w:val="left"/>
      <w:pPr>
        <w:ind w:left="2160" w:hanging="360"/>
      </w:pPr>
      <w:rPr>
        <w:rFonts w:ascii="Wingdings" w:hAnsi="Wingdings" w:hint="default"/>
      </w:rPr>
    </w:lvl>
    <w:lvl w:ilvl="3" w:tplc="AA8C4DF2">
      <w:start w:val="1"/>
      <w:numFmt w:val="bullet"/>
      <w:lvlText w:val=""/>
      <w:lvlJc w:val="left"/>
      <w:pPr>
        <w:ind w:left="2880" w:hanging="360"/>
      </w:pPr>
      <w:rPr>
        <w:rFonts w:ascii="Symbol" w:hAnsi="Symbol" w:hint="default"/>
      </w:rPr>
    </w:lvl>
    <w:lvl w:ilvl="4" w:tplc="A2D8A946">
      <w:start w:val="1"/>
      <w:numFmt w:val="bullet"/>
      <w:lvlText w:val="o"/>
      <w:lvlJc w:val="left"/>
      <w:pPr>
        <w:ind w:left="3600" w:hanging="360"/>
      </w:pPr>
      <w:rPr>
        <w:rFonts w:ascii="Courier New" w:hAnsi="Courier New" w:hint="default"/>
      </w:rPr>
    </w:lvl>
    <w:lvl w:ilvl="5" w:tplc="5B928430">
      <w:start w:val="1"/>
      <w:numFmt w:val="bullet"/>
      <w:lvlText w:val=""/>
      <w:lvlJc w:val="left"/>
      <w:pPr>
        <w:ind w:left="4320" w:hanging="360"/>
      </w:pPr>
      <w:rPr>
        <w:rFonts w:ascii="Wingdings" w:hAnsi="Wingdings" w:hint="default"/>
      </w:rPr>
    </w:lvl>
    <w:lvl w:ilvl="6" w:tplc="8A0EC092">
      <w:start w:val="1"/>
      <w:numFmt w:val="bullet"/>
      <w:lvlText w:val=""/>
      <w:lvlJc w:val="left"/>
      <w:pPr>
        <w:ind w:left="5040" w:hanging="360"/>
      </w:pPr>
      <w:rPr>
        <w:rFonts w:ascii="Symbol" w:hAnsi="Symbol" w:hint="default"/>
      </w:rPr>
    </w:lvl>
    <w:lvl w:ilvl="7" w:tplc="1A56D90A">
      <w:start w:val="1"/>
      <w:numFmt w:val="bullet"/>
      <w:lvlText w:val="o"/>
      <w:lvlJc w:val="left"/>
      <w:pPr>
        <w:ind w:left="5760" w:hanging="360"/>
      </w:pPr>
      <w:rPr>
        <w:rFonts w:ascii="Courier New" w:hAnsi="Courier New" w:hint="default"/>
      </w:rPr>
    </w:lvl>
    <w:lvl w:ilvl="8" w:tplc="D3F042F6">
      <w:start w:val="1"/>
      <w:numFmt w:val="bullet"/>
      <w:lvlText w:val=""/>
      <w:lvlJc w:val="left"/>
      <w:pPr>
        <w:ind w:left="6480" w:hanging="360"/>
      </w:pPr>
      <w:rPr>
        <w:rFonts w:ascii="Wingdings" w:hAnsi="Wingdings" w:hint="default"/>
      </w:rPr>
    </w:lvl>
  </w:abstractNum>
  <w:num w:numId="1" w16cid:durableId="1829248692">
    <w:abstractNumId w:val="1"/>
  </w:num>
  <w:num w:numId="2" w16cid:durableId="602110262">
    <w:abstractNumId w:val="0"/>
  </w:num>
  <w:num w:numId="3" w16cid:durableId="1339314048">
    <w:abstractNumId w:val="6"/>
  </w:num>
  <w:num w:numId="4" w16cid:durableId="2042590614">
    <w:abstractNumId w:val="17"/>
  </w:num>
  <w:num w:numId="5" w16cid:durableId="521478323">
    <w:abstractNumId w:val="22"/>
  </w:num>
  <w:num w:numId="6" w16cid:durableId="288823805">
    <w:abstractNumId w:val="14"/>
  </w:num>
  <w:num w:numId="7" w16cid:durableId="13809367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6478035">
    <w:abstractNumId w:val="10"/>
  </w:num>
  <w:num w:numId="9" w16cid:durableId="398133406">
    <w:abstractNumId w:val="2"/>
  </w:num>
  <w:num w:numId="10" w16cid:durableId="1790781280">
    <w:abstractNumId w:val="7"/>
  </w:num>
  <w:num w:numId="11" w16cid:durableId="785537199">
    <w:abstractNumId w:val="4"/>
  </w:num>
  <w:num w:numId="12" w16cid:durableId="2035961868">
    <w:abstractNumId w:val="3"/>
  </w:num>
  <w:num w:numId="13" w16cid:durableId="1725759766">
    <w:abstractNumId w:val="23"/>
  </w:num>
  <w:num w:numId="14" w16cid:durableId="168563981">
    <w:abstractNumId w:val="13"/>
  </w:num>
  <w:num w:numId="15" w16cid:durableId="2008093173">
    <w:abstractNumId w:val="9"/>
  </w:num>
  <w:num w:numId="16" w16cid:durableId="844632474">
    <w:abstractNumId w:val="11"/>
  </w:num>
  <w:num w:numId="17" w16cid:durableId="1251620339">
    <w:abstractNumId w:val="19"/>
  </w:num>
  <w:num w:numId="18" w16cid:durableId="1893076358">
    <w:abstractNumId w:val="20"/>
  </w:num>
  <w:num w:numId="19" w16cid:durableId="1667436918">
    <w:abstractNumId w:val="15"/>
  </w:num>
  <w:num w:numId="20" w16cid:durableId="351035494">
    <w:abstractNumId w:val="5"/>
  </w:num>
  <w:num w:numId="21" w16cid:durableId="12404062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08621560">
    <w:abstractNumId w:val="12"/>
  </w:num>
  <w:num w:numId="23" w16cid:durableId="778112549">
    <w:abstractNumId w:val="12"/>
  </w:num>
  <w:num w:numId="24" w16cid:durableId="2030524326">
    <w:abstractNumId w:val="16"/>
  </w:num>
  <w:num w:numId="25" w16cid:durableId="1352220750">
    <w:abstractNumId w:val="18"/>
  </w:num>
  <w:num w:numId="26" w16cid:durableId="961032402">
    <w:abstractNumId w:val="21"/>
  </w:num>
  <w:num w:numId="27" w16cid:durableId="539630234">
    <w:abstractNumId w:val="24"/>
  </w:num>
  <w:num w:numId="28" w16cid:durableId="1329283521">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4ED1"/>
    <w:rsid w:val="00005D98"/>
    <w:rsid w:val="00005F96"/>
    <w:rsid w:val="00007262"/>
    <w:rsid w:val="00010789"/>
    <w:rsid w:val="00011C96"/>
    <w:rsid w:val="000141B9"/>
    <w:rsid w:val="00014E49"/>
    <w:rsid w:val="00017604"/>
    <w:rsid w:val="00020E4C"/>
    <w:rsid w:val="000229BB"/>
    <w:rsid w:val="00023CE3"/>
    <w:rsid w:val="00026AFE"/>
    <w:rsid w:val="00034A19"/>
    <w:rsid w:val="00036F9E"/>
    <w:rsid w:val="000413B3"/>
    <w:rsid w:val="0004484D"/>
    <w:rsid w:val="000453D9"/>
    <w:rsid w:val="00045D7D"/>
    <w:rsid w:val="000470ED"/>
    <w:rsid w:val="00054774"/>
    <w:rsid w:val="000573E5"/>
    <w:rsid w:val="0005750C"/>
    <w:rsid w:val="00057B71"/>
    <w:rsid w:val="0006371C"/>
    <w:rsid w:val="0006638F"/>
    <w:rsid w:val="0007202C"/>
    <w:rsid w:val="00072B30"/>
    <w:rsid w:val="0007319C"/>
    <w:rsid w:val="000732AA"/>
    <w:rsid w:val="00073978"/>
    <w:rsid w:val="00073D9D"/>
    <w:rsid w:val="00073F77"/>
    <w:rsid w:val="000767DD"/>
    <w:rsid w:val="0008011A"/>
    <w:rsid w:val="00084F8B"/>
    <w:rsid w:val="000851D0"/>
    <w:rsid w:val="00086D07"/>
    <w:rsid w:val="00086F71"/>
    <w:rsid w:val="00093915"/>
    <w:rsid w:val="000949AD"/>
    <w:rsid w:val="00095109"/>
    <w:rsid w:val="00096B0F"/>
    <w:rsid w:val="000A1A15"/>
    <w:rsid w:val="000A490E"/>
    <w:rsid w:val="000B04C5"/>
    <w:rsid w:val="000B63CA"/>
    <w:rsid w:val="000B752A"/>
    <w:rsid w:val="000B7972"/>
    <w:rsid w:val="000C14D9"/>
    <w:rsid w:val="000C15C7"/>
    <w:rsid w:val="000D4EDE"/>
    <w:rsid w:val="000E2460"/>
    <w:rsid w:val="000E43AC"/>
    <w:rsid w:val="000E49C1"/>
    <w:rsid w:val="000E5809"/>
    <w:rsid w:val="000E6E37"/>
    <w:rsid w:val="000F06C1"/>
    <w:rsid w:val="000F0E6F"/>
    <w:rsid w:val="000F30FC"/>
    <w:rsid w:val="000F62C5"/>
    <w:rsid w:val="001018A5"/>
    <w:rsid w:val="00101B9C"/>
    <w:rsid w:val="001050D9"/>
    <w:rsid w:val="001068BA"/>
    <w:rsid w:val="00106F56"/>
    <w:rsid w:val="0011188F"/>
    <w:rsid w:val="001141D8"/>
    <w:rsid w:val="00115A39"/>
    <w:rsid w:val="00116AEF"/>
    <w:rsid w:val="00117479"/>
    <w:rsid w:val="00117794"/>
    <w:rsid w:val="00123576"/>
    <w:rsid w:val="001241CB"/>
    <w:rsid w:val="00124B21"/>
    <w:rsid w:val="00126295"/>
    <w:rsid w:val="001327B8"/>
    <w:rsid w:val="0013471B"/>
    <w:rsid w:val="00134B76"/>
    <w:rsid w:val="001352D4"/>
    <w:rsid w:val="001367EE"/>
    <w:rsid w:val="00140969"/>
    <w:rsid w:val="00142132"/>
    <w:rsid w:val="00147967"/>
    <w:rsid w:val="001530BC"/>
    <w:rsid w:val="001541A7"/>
    <w:rsid w:val="00155789"/>
    <w:rsid w:val="00157C98"/>
    <w:rsid w:val="00162EFE"/>
    <w:rsid w:val="00163E00"/>
    <w:rsid w:val="001653B6"/>
    <w:rsid w:val="00165BF6"/>
    <w:rsid w:val="00174039"/>
    <w:rsid w:val="00174B0F"/>
    <w:rsid w:val="00180361"/>
    <w:rsid w:val="0018235E"/>
    <w:rsid w:val="00183CC1"/>
    <w:rsid w:val="00184187"/>
    <w:rsid w:val="00184B1B"/>
    <w:rsid w:val="001877AB"/>
    <w:rsid w:val="001A4EA4"/>
    <w:rsid w:val="001A5432"/>
    <w:rsid w:val="001A664F"/>
    <w:rsid w:val="001A74A7"/>
    <w:rsid w:val="001B193C"/>
    <w:rsid w:val="001B2DB7"/>
    <w:rsid w:val="001B31E2"/>
    <w:rsid w:val="001B3A9F"/>
    <w:rsid w:val="001B602C"/>
    <w:rsid w:val="001C0C09"/>
    <w:rsid w:val="001C276D"/>
    <w:rsid w:val="001C3BA9"/>
    <w:rsid w:val="001D0C02"/>
    <w:rsid w:val="001D3D43"/>
    <w:rsid w:val="001E0F51"/>
    <w:rsid w:val="001E55BF"/>
    <w:rsid w:val="001E6BCB"/>
    <w:rsid w:val="001F6E1A"/>
    <w:rsid w:val="001F780A"/>
    <w:rsid w:val="001F7917"/>
    <w:rsid w:val="00200613"/>
    <w:rsid w:val="00204AA8"/>
    <w:rsid w:val="0020751F"/>
    <w:rsid w:val="00211AFD"/>
    <w:rsid w:val="002136CB"/>
    <w:rsid w:val="002143E2"/>
    <w:rsid w:val="00214883"/>
    <w:rsid w:val="002156F6"/>
    <w:rsid w:val="00220550"/>
    <w:rsid w:val="00220D70"/>
    <w:rsid w:val="00222497"/>
    <w:rsid w:val="002301A2"/>
    <w:rsid w:val="0023058C"/>
    <w:rsid w:val="00236C2D"/>
    <w:rsid w:val="00237201"/>
    <w:rsid w:val="002374B7"/>
    <w:rsid w:val="00240126"/>
    <w:rsid w:val="00241277"/>
    <w:rsid w:val="00241D16"/>
    <w:rsid w:val="00242384"/>
    <w:rsid w:val="0024304D"/>
    <w:rsid w:val="00244826"/>
    <w:rsid w:val="00244B0A"/>
    <w:rsid w:val="00247ACA"/>
    <w:rsid w:val="00247FF5"/>
    <w:rsid w:val="00252604"/>
    <w:rsid w:val="0025287F"/>
    <w:rsid w:val="00252E6A"/>
    <w:rsid w:val="00253DD2"/>
    <w:rsid w:val="00255A20"/>
    <w:rsid w:val="0025782A"/>
    <w:rsid w:val="00263414"/>
    <w:rsid w:val="002661A6"/>
    <w:rsid w:val="00266C23"/>
    <w:rsid w:val="00267C9C"/>
    <w:rsid w:val="00277D6C"/>
    <w:rsid w:val="00286EAD"/>
    <w:rsid w:val="00290789"/>
    <w:rsid w:val="00292A60"/>
    <w:rsid w:val="0029389B"/>
    <w:rsid w:val="00293DD7"/>
    <w:rsid w:val="002964BF"/>
    <w:rsid w:val="002A1894"/>
    <w:rsid w:val="002A2188"/>
    <w:rsid w:val="002A36F2"/>
    <w:rsid w:val="002A4E77"/>
    <w:rsid w:val="002A5C73"/>
    <w:rsid w:val="002A7D14"/>
    <w:rsid w:val="002B0913"/>
    <w:rsid w:val="002B28E4"/>
    <w:rsid w:val="002B49A3"/>
    <w:rsid w:val="002B5EBC"/>
    <w:rsid w:val="002B7504"/>
    <w:rsid w:val="002C0D97"/>
    <w:rsid w:val="002C66D1"/>
    <w:rsid w:val="002C7065"/>
    <w:rsid w:val="002C7D73"/>
    <w:rsid w:val="002C7F4A"/>
    <w:rsid w:val="002D1765"/>
    <w:rsid w:val="002D2804"/>
    <w:rsid w:val="002D4B6C"/>
    <w:rsid w:val="002D5274"/>
    <w:rsid w:val="002E0C86"/>
    <w:rsid w:val="002E1EE3"/>
    <w:rsid w:val="002E447D"/>
    <w:rsid w:val="002E56BC"/>
    <w:rsid w:val="002F0135"/>
    <w:rsid w:val="002F0C2C"/>
    <w:rsid w:val="00300655"/>
    <w:rsid w:val="0030075D"/>
    <w:rsid w:val="00301BB1"/>
    <w:rsid w:val="00303D18"/>
    <w:rsid w:val="00307ADD"/>
    <w:rsid w:val="00307E55"/>
    <w:rsid w:val="00312A66"/>
    <w:rsid w:val="003130CA"/>
    <w:rsid w:val="003163CB"/>
    <w:rsid w:val="00316C40"/>
    <w:rsid w:val="00321180"/>
    <w:rsid w:val="00321646"/>
    <w:rsid w:val="0032180D"/>
    <w:rsid w:val="00324D88"/>
    <w:rsid w:val="003306A5"/>
    <w:rsid w:val="00331DB9"/>
    <w:rsid w:val="00344BFF"/>
    <w:rsid w:val="003454BC"/>
    <w:rsid w:val="00355D40"/>
    <w:rsid w:val="00360C79"/>
    <w:rsid w:val="0036239F"/>
    <w:rsid w:val="00371AAC"/>
    <w:rsid w:val="00371F54"/>
    <w:rsid w:val="00374612"/>
    <w:rsid w:val="0037770C"/>
    <w:rsid w:val="00377C8B"/>
    <w:rsid w:val="00383A95"/>
    <w:rsid w:val="00385CA0"/>
    <w:rsid w:val="00392BC0"/>
    <w:rsid w:val="0039585F"/>
    <w:rsid w:val="003A08B8"/>
    <w:rsid w:val="003A200E"/>
    <w:rsid w:val="003A2733"/>
    <w:rsid w:val="003A3021"/>
    <w:rsid w:val="003A3B8F"/>
    <w:rsid w:val="003A4483"/>
    <w:rsid w:val="003A4D41"/>
    <w:rsid w:val="003A627E"/>
    <w:rsid w:val="003A79EE"/>
    <w:rsid w:val="003B1BD8"/>
    <w:rsid w:val="003B45AB"/>
    <w:rsid w:val="003B5039"/>
    <w:rsid w:val="003B6E16"/>
    <w:rsid w:val="003C180A"/>
    <w:rsid w:val="003C1E25"/>
    <w:rsid w:val="003C46DF"/>
    <w:rsid w:val="003C76D4"/>
    <w:rsid w:val="003D27CB"/>
    <w:rsid w:val="003D292C"/>
    <w:rsid w:val="003D329D"/>
    <w:rsid w:val="003E1863"/>
    <w:rsid w:val="003E1BB3"/>
    <w:rsid w:val="003E204A"/>
    <w:rsid w:val="003E6BF6"/>
    <w:rsid w:val="003E72CD"/>
    <w:rsid w:val="003F0F0D"/>
    <w:rsid w:val="00400776"/>
    <w:rsid w:val="0040173E"/>
    <w:rsid w:val="0040505E"/>
    <w:rsid w:val="00421C7F"/>
    <w:rsid w:val="0042373F"/>
    <w:rsid w:val="00426426"/>
    <w:rsid w:val="00431A99"/>
    <w:rsid w:val="0043361E"/>
    <w:rsid w:val="00434A5B"/>
    <w:rsid w:val="00435339"/>
    <w:rsid w:val="004410DC"/>
    <w:rsid w:val="0044447D"/>
    <w:rsid w:val="0044482D"/>
    <w:rsid w:val="00450B4D"/>
    <w:rsid w:val="00450C67"/>
    <w:rsid w:val="00452279"/>
    <w:rsid w:val="0046020A"/>
    <w:rsid w:val="00460CF7"/>
    <w:rsid w:val="00462459"/>
    <w:rsid w:val="004627CE"/>
    <w:rsid w:val="00463FA8"/>
    <w:rsid w:val="00464196"/>
    <w:rsid w:val="00466648"/>
    <w:rsid w:val="00472CBC"/>
    <w:rsid w:val="0047492D"/>
    <w:rsid w:val="00475667"/>
    <w:rsid w:val="004765B3"/>
    <w:rsid w:val="004843CA"/>
    <w:rsid w:val="00485AD2"/>
    <w:rsid w:val="00493DAA"/>
    <w:rsid w:val="00494335"/>
    <w:rsid w:val="00495434"/>
    <w:rsid w:val="00495A4C"/>
    <w:rsid w:val="004964A9"/>
    <w:rsid w:val="004967A1"/>
    <w:rsid w:val="004A0FE7"/>
    <w:rsid w:val="004A1269"/>
    <w:rsid w:val="004A1AB5"/>
    <w:rsid w:val="004A29F6"/>
    <w:rsid w:val="004A484B"/>
    <w:rsid w:val="004A6D37"/>
    <w:rsid w:val="004B0ECE"/>
    <w:rsid w:val="004B584E"/>
    <w:rsid w:val="004C1106"/>
    <w:rsid w:val="004C6D4B"/>
    <w:rsid w:val="004C766B"/>
    <w:rsid w:val="004D16C6"/>
    <w:rsid w:val="004D23C3"/>
    <w:rsid w:val="004D2DDE"/>
    <w:rsid w:val="004D33E3"/>
    <w:rsid w:val="004D76C1"/>
    <w:rsid w:val="004D7C22"/>
    <w:rsid w:val="004E2269"/>
    <w:rsid w:val="004E451A"/>
    <w:rsid w:val="004F0E3E"/>
    <w:rsid w:val="004F16BB"/>
    <w:rsid w:val="004F277D"/>
    <w:rsid w:val="004F3339"/>
    <w:rsid w:val="004F72A2"/>
    <w:rsid w:val="004F78E5"/>
    <w:rsid w:val="005020B3"/>
    <w:rsid w:val="005026D4"/>
    <w:rsid w:val="00503A51"/>
    <w:rsid w:val="005052F0"/>
    <w:rsid w:val="00506774"/>
    <w:rsid w:val="00512309"/>
    <w:rsid w:val="00514042"/>
    <w:rsid w:val="00541D54"/>
    <w:rsid w:val="00542522"/>
    <w:rsid w:val="00543472"/>
    <w:rsid w:val="00543F21"/>
    <w:rsid w:val="0054526E"/>
    <w:rsid w:val="00545CE1"/>
    <w:rsid w:val="00546297"/>
    <w:rsid w:val="005465D2"/>
    <w:rsid w:val="005476B5"/>
    <w:rsid w:val="005510C2"/>
    <w:rsid w:val="005549D7"/>
    <w:rsid w:val="005602DA"/>
    <w:rsid w:val="00560CAF"/>
    <w:rsid w:val="00562087"/>
    <w:rsid w:val="005628DB"/>
    <w:rsid w:val="005678FC"/>
    <w:rsid w:val="0057138A"/>
    <w:rsid w:val="00573327"/>
    <w:rsid w:val="00573F5D"/>
    <w:rsid w:val="00574BA1"/>
    <w:rsid w:val="00577D9B"/>
    <w:rsid w:val="0058225D"/>
    <w:rsid w:val="005846EC"/>
    <w:rsid w:val="005921A3"/>
    <w:rsid w:val="00592F64"/>
    <w:rsid w:val="00593A9D"/>
    <w:rsid w:val="005A3F63"/>
    <w:rsid w:val="005A59D0"/>
    <w:rsid w:val="005B073E"/>
    <w:rsid w:val="005B0749"/>
    <w:rsid w:val="005B13BC"/>
    <w:rsid w:val="005B2042"/>
    <w:rsid w:val="005B227F"/>
    <w:rsid w:val="005B488A"/>
    <w:rsid w:val="005B7801"/>
    <w:rsid w:val="005C0F32"/>
    <w:rsid w:val="005C5891"/>
    <w:rsid w:val="005C641B"/>
    <w:rsid w:val="005C731B"/>
    <w:rsid w:val="005D04CC"/>
    <w:rsid w:val="005D5FAE"/>
    <w:rsid w:val="005E4BC9"/>
    <w:rsid w:val="005E6D81"/>
    <w:rsid w:val="005E7C32"/>
    <w:rsid w:val="005F0C9F"/>
    <w:rsid w:val="005F29B7"/>
    <w:rsid w:val="005F7EC5"/>
    <w:rsid w:val="00600114"/>
    <w:rsid w:val="00601D70"/>
    <w:rsid w:val="0060250D"/>
    <w:rsid w:val="00606EB5"/>
    <w:rsid w:val="00606FC8"/>
    <w:rsid w:val="006151DC"/>
    <w:rsid w:val="00616C90"/>
    <w:rsid w:val="00617FDA"/>
    <w:rsid w:val="0062116F"/>
    <w:rsid w:val="006212E3"/>
    <w:rsid w:val="00623FD7"/>
    <w:rsid w:val="00626087"/>
    <w:rsid w:val="00634E4C"/>
    <w:rsid w:val="00636B8B"/>
    <w:rsid w:val="00641EAA"/>
    <w:rsid w:val="006427FE"/>
    <w:rsid w:val="006506C1"/>
    <w:rsid w:val="00657410"/>
    <w:rsid w:val="00657459"/>
    <w:rsid w:val="0065747A"/>
    <w:rsid w:val="00662E28"/>
    <w:rsid w:val="00663820"/>
    <w:rsid w:val="00665987"/>
    <w:rsid w:val="0066674D"/>
    <w:rsid w:val="00666A78"/>
    <w:rsid w:val="00670B59"/>
    <w:rsid w:val="006750DC"/>
    <w:rsid w:val="0067555E"/>
    <w:rsid w:val="00676C12"/>
    <w:rsid w:val="00683006"/>
    <w:rsid w:val="00687AED"/>
    <w:rsid w:val="0069375D"/>
    <w:rsid w:val="0069407C"/>
    <w:rsid w:val="0069574E"/>
    <w:rsid w:val="006969C0"/>
    <w:rsid w:val="006A1921"/>
    <w:rsid w:val="006A1B8B"/>
    <w:rsid w:val="006A2303"/>
    <w:rsid w:val="006A2C82"/>
    <w:rsid w:val="006A4F92"/>
    <w:rsid w:val="006A555E"/>
    <w:rsid w:val="006B5592"/>
    <w:rsid w:val="006B76C6"/>
    <w:rsid w:val="006C1876"/>
    <w:rsid w:val="006D2A45"/>
    <w:rsid w:val="006D315C"/>
    <w:rsid w:val="006D71B8"/>
    <w:rsid w:val="006E0FB8"/>
    <w:rsid w:val="006E4272"/>
    <w:rsid w:val="006E62BE"/>
    <w:rsid w:val="006F145A"/>
    <w:rsid w:val="006F27CB"/>
    <w:rsid w:val="006F359B"/>
    <w:rsid w:val="006F4962"/>
    <w:rsid w:val="006F5564"/>
    <w:rsid w:val="006F5865"/>
    <w:rsid w:val="00701EC6"/>
    <w:rsid w:val="00704E28"/>
    <w:rsid w:val="00705F10"/>
    <w:rsid w:val="00706179"/>
    <w:rsid w:val="007120F2"/>
    <w:rsid w:val="00714F78"/>
    <w:rsid w:val="007152B0"/>
    <w:rsid w:val="007170F7"/>
    <w:rsid w:val="00717589"/>
    <w:rsid w:val="00721156"/>
    <w:rsid w:val="00722073"/>
    <w:rsid w:val="00722F9F"/>
    <w:rsid w:val="0072386D"/>
    <w:rsid w:val="007253B8"/>
    <w:rsid w:val="00730D33"/>
    <w:rsid w:val="00736E7D"/>
    <w:rsid w:val="00737627"/>
    <w:rsid w:val="00741EDB"/>
    <w:rsid w:val="00743AE5"/>
    <w:rsid w:val="00747AA9"/>
    <w:rsid w:val="007509A6"/>
    <w:rsid w:val="00753F83"/>
    <w:rsid w:val="007541B0"/>
    <w:rsid w:val="0075469B"/>
    <w:rsid w:val="00755163"/>
    <w:rsid w:val="00756AAB"/>
    <w:rsid w:val="00756AAD"/>
    <w:rsid w:val="00757F63"/>
    <w:rsid w:val="007605EB"/>
    <w:rsid w:val="007645AE"/>
    <w:rsid w:val="00764992"/>
    <w:rsid w:val="00765749"/>
    <w:rsid w:val="007672AE"/>
    <w:rsid w:val="00771075"/>
    <w:rsid w:val="007720F8"/>
    <w:rsid w:val="0077507F"/>
    <w:rsid w:val="00775AA0"/>
    <w:rsid w:val="007770FA"/>
    <w:rsid w:val="00785A6B"/>
    <w:rsid w:val="00791738"/>
    <w:rsid w:val="00791780"/>
    <w:rsid w:val="00792D37"/>
    <w:rsid w:val="0079390C"/>
    <w:rsid w:val="007A0EB7"/>
    <w:rsid w:val="007A1BED"/>
    <w:rsid w:val="007A39AB"/>
    <w:rsid w:val="007A5448"/>
    <w:rsid w:val="007A694F"/>
    <w:rsid w:val="007A719D"/>
    <w:rsid w:val="007B1DC4"/>
    <w:rsid w:val="007B2C90"/>
    <w:rsid w:val="007B35CD"/>
    <w:rsid w:val="007B578F"/>
    <w:rsid w:val="007B6871"/>
    <w:rsid w:val="007B7899"/>
    <w:rsid w:val="007C08B1"/>
    <w:rsid w:val="007C12B0"/>
    <w:rsid w:val="007C2CC2"/>
    <w:rsid w:val="007C38BD"/>
    <w:rsid w:val="007C7001"/>
    <w:rsid w:val="007C79AA"/>
    <w:rsid w:val="007D1955"/>
    <w:rsid w:val="007D31DA"/>
    <w:rsid w:val="007D5899"/>
    <w:rsid w:val="007D72C5"/>
    <w:rsid w:val="007E013E"/>
    <w:rsid w:val="007E1D1C"/>
    <w:rsid w:val="007E525D"/>
    <w:rsid w:val="007E5A0D"/>
    <w:rsid w:val="007E7735"/>
    <w:rsid w:val="007F0323"/>
    <w:rsid w:val="007F379E"/>
    <w:rsid w:val="007F471C"/>
    <w:rsid w:val="00800C90"/>
    <w:rsid w:val="008125F8"/>
    <w:rsid w:val="008208A8"/>
    <w:rsid w:val="00821EFD"/>
    <w:rsid w:val="008234D8"/>
    <w:rsid w:val="008236C0"/>
    <w:rsid w:val="00826012"/>
    <w:rsid w:val="00834CE0"/>
    <w:rsid w:val="0084110F"/>
    <w:rsid w:val="008435C8"/>
    <w:rsid w:val="00844B1D"/>
    <w:rsid w:val="00844F5C"/>
    <w:rsid w:val="00845843"/>
    <w:rsid w:val="00846D34"/>
    <w:rsid w:val="0084751F"/>
    <w:rsid w:val="00847646"/>
    <w:rsid w:val="008515C1"/>
    <w:rsid w:val="00854C33"/>
    <w:rsid w:val="008567D0"/>
    <w:rsid w:val="00863020"/>
    <w:rsid w:val="008637EC"/>
    <w:rsid w:val="00870BC6"/>
    <w:rsid w:val="00873384"/>
    <w:rsid w:val="00875DAD"/>
    <w:rsid w:val="00876761"/>
    <w:rsid w:val="00877B84"/>
    <w:rsid w:val="00877E5F"/>
    <w:rsid w:val="0088036D"/>
    <w:rsid w:val="00881155"/>
    <w:rsid w:val="00882892"/>
    <w:rsid w:val="00882BA8"/>
    <w:rsid w:val="00885A14"/>
    <w:rsid w:val="0088689B"/>
    <w:rsid w:val="00890FA0"/>
    <w:rsid w:val="008947BF"/>
    <w:rsid w:val="008A0CAB"/>
    <w:rsid w:val="008A0CBE"/>
    <w:rsid w:val="008A1CA8"/>
    <w:rsid w:val="008A214D"/>
    <w:rsid w:val="008A55D4"/>
    <w:rsid w:val="008A6F4A"/>
    <w:rsid w:val="008A72D2"/>
    <w:rsid w:val="008A74A3"/>
    <w:rsid w:val="008B6868"/>
    <w:rsid w:val="008B6D24"/>
    <w:rsid w:val="008C34F7"/>
    <w:rsid w:val="008C6A43"/>
    <w:rsid w:val="008D080C"/>
    <w:rsid w:val="008D1867"/>
    <w:rsid w:val="008D213B"/>
    <w:rsid w:val="008D6437"/>
    <w:rsid w:val="008D6EDF"/>
    <w:rsid w:val="008E3EF5"/>
    <w:rsid w:val="008E712A"/>
    <w:rsid w:val="008F33B5"/>
    <w:rsid w:val="008F33F3"/>
    <w:rsid w:val="008F77AA"/>
    <w:rsid w:val="00901414"/>
    <w:rsid w:val="00901526"/>
    <w:rsid w:val="00901745"/>
    <w:rsid w:val="00904CC7"/>
    <w:rsid w:val="00905EEA"/>
    <w:rsid w:val="00906799"/>
    <w:rsid w:val="009129C3"/>
    <w:rsid w:val="009136D0"/>
    <w:rsid w:val="009205B7"/>
    <w:rsid w:val="00920BDA"/>
    <w:rsid w:val="00921181"/>
    <w:rsid w:val="00922193"/>
    <w:rsid w:val="00922C7C"/>
    <w:rsid w:val="00924152"/>
    <w:rsid w:val="00930927"/>
    <w:rsid w:val="0093194D"/>
    <w:rsid w:val="00932D10"/>
    <w:rsid w:val="00934C3F"/>
    <w:rsid w:val="00937846"/>
    <w:rsid w:val="00937D36"/>
    <w:rsid w:val="009417AE"/>
    <w:rsid w:val="00943AA5"/>
    <w:rsid w:val="00945B3F"/>
    <w:rsid w:val="009464ED"/>
    <w:rsid w:val="00950DCB"/>
    <w:rsid w:val="00952D47"/>
    <w:rsid w:val="00952D4C"/>
    <w:rsid w:val="009535CD"/>
    <w:rsid w:val="00960246"/>
    <w:rsid w:val="009608B6"/>
    <w:rsid w:val="00967FEC"/>
    <w:rsid w:val="00970AF2"/>
    <w:rsid w:val="009720E1"/>
    <w:rsid w:val="00974F0E"/>
    <w:rsid w:val="00975CD7"/>
    <w:rsid w:val="00980CA1"/>
    <w:rsid w:val="00985D42"/>
    <w:rsid w:val="00985E70"/>
    <w:rsid w:val="0098783B"/>
    <w:rsid w:val="00993C2B"/>
    <w:rsid w:val="00996086"/>
    <w:rsid w:val="00996AF6"/>
    <w:rsid w:val="0099798A"/>
    <w:rsid w:val="009979F4"/>
    <w:rsid w:val="009A246D"/>
    <w:rsid w:val="009A45B2"/>
    <w:rsid w:val="009A5585"/>
    <w:rsid w:val="009A59D5"/>
    <w:rsid w:val="009B161B"/>
    <w:rsid w:val="009B2CB7"/>
    <w:rsid w:val="009C2198"/>
    <w:rsid w:val="009D2DDD"/>
    <w:rsid w:val="009D2F27"/>
    <w:rsid w:val="009D3024"/>
    <w:rsid w:val="009D4911"/>
    <w:rsid w:val="009D54FD"/>
    <w:rsid w:val="009E0C10"/>
    <w:rsid w:val="009E0FAF"/>
    <w:rsid w:val="009E275D"/>
    <w:rsid w:val="009E4116"/>
    <w:rsid w:val="009E529F"/>
    <w:rsid w:val="00A10DA6"/>
    <w:rsid w:val="00A151E9"/>
    <w:rsid w:val="00A15DBB"/>
    <w:rsid w:val="00A15F09"/>
    <w:rsid w:val="00A259F2"/>
    <w:rsid w:val="00A2758A"/>
    <w:rsid w:val="00A33802"/>
    <w:rsid w:val="00A34ADD"/>
    <w:rsid w:val="00A37162"/>
    <w:rsid w:val="00A37E51"/>
    <w:rsid w:val="00A4042C"/>
    <w:rsid w:val="00A42646"/>
    <w:rsid w:val="00A503F1"/>
    <w:rsid w:val="00A50B51"/>
    <w:rsid w:val="00A51E2D"/>
    <w:rsid w:val="00A5319F"/>
    <w:rsid w:val="00A533A9"/>
    <w:rsid w:val="00A53690"/>
    <w:rsid w:val="00A54193"/>
    <w:rsid w:val="00A60E86"/>
    <w:rsid w:val="00A62D31"/>
    <w:rsid w:val="00A63380"/>
    <w:rsid w:val="00A8129D"/>
    <w:rsid w:val="00A82188"/>
    <w:rsid w:val="00A865C7"/>
    <w:rsid w:val="00A909CC"/>
    <w:rsid w:val="00A9123F"/>
    <w:rsid w:val="00A942CA"/>
    <w:rsid w:val="00A964A5"/>
    <w:rsid w:val="00A97D1D"/>
    <w:rsid w:val="00A97E3B"/>
    <w:rsid w:val="00AA00CB"/>
    <w:rsid w:val="00AA20A1"/>
    <w:rsid w:val="00AA330D"/>
    <w:rsid w:val="00AA41F2"/>
    <w:rsid w:val="00AA555F"/>
    <w:rsid w:val="00AA6372"/>
    <w:rsid w:val="00AA6D98"/>
    <w:rsid w:val="00AB039E"/>
    <w:rsid w:val="00AB1362"/>
    <w:rsid w:val="00AB2FFA"/>
    <w:rsid w:val="00AB4206"/>
    <w:rsid w:val="00AB556C"/>
    <w:rsid w:val="00AB6D78"/>
    <w:rsid w:val="00AC1727"/>
    <w:rsid w:val="00AC4375"/>
    <w:rsid w:val="00AC6B54"/>
    <w:rsid w:val="00AC7E54"/>
    <w:rsid w:val="00AD11AC"/>
    <w:rsid w:val="00AD2FF5"/>
    <w:rsid w:val="00AD51FB"/>
    <w:rsid w:val="00AD60CE"/>
    <w:rsid w:val="00AD72D9"/>
    <w:rsid w:val="00AE43C8"/>
    <w:rsid w:val="00AE6A4E"/>
    <w:rsid w:val="00AE7B98"/>
    <w:rsid w:val="00AF0F1B"/>
    <w:rsid w:val="00AF0FC3"/>
    <w:rsid w:val="00AF129F"/>
    <w:rsid w:val="00AF47EF"/>
    <w:rsid w:val="00AF4E7F"/>
    <w:rsid w:val="00AF67D4"/>
    <w:rsid w:val="00B06E21"/>
    <w:rsid w:val="00B07F39"/>
    <w:rsid w:val="00B1133D"/>
    <w:rsid w:val="00B12DC9"/>
    <w:rsid w:val="00B13F84"/>
    <w:rsid w:val="00B14604"/>
    <w:rsid w:val="00B1471C"/>
    <w:rsid w:val="00B155D3"/>
    <w:rsid w:val="00B15ABA"/>
    <w:rsid w:val="00B20FA0"/>
    <w:rsid w:val="00B24DD4"/>
    <w:rsid w:val="00B33A8A"/>
    <w:rsid w:val="00B34339"/>
    <w:rsid w:val="00B3614E"/>
    <w:rsid w:val="00B40B7D"/>
    <w:rsid w:val="00B42B2F"/>
    <w:rsid w:val="00B44900"/>
    <w:rsid w:val="00B467F6"/>
    <w:rsid w:val="00B472E1"/>
    <w:rsid w:val="00B52821"/>
    <w:rsid w:val="00B54455"/>
    <w:rsid w:val="00B56C63"/>
    <w:rsid w:val="00B66146"/>
    <w:rsid w:val="00B664C7"/>
    <w:rsid w:val="00B666A7"/>
    <w:rsid w:val="00B670E9"/>
    <w:rsid w:val="00B71170"/>
    <w:rsid w:val="00B739A1"/>
    <w:rsid w:val="00B7451B"/>
    <w:rsid w:val="00B77A80"/>
    <w:rsid w:val="00B80BCE"/>
    <w:rsid w:val="00B81524"/>
    <w:rsid w:val="00B81740"/>
    <w:rsid w:val="00B82726"/>
    <w:rsid w:val="00B83542"/>
    <w:rsid w:val="00B83763"/>
    <w:rsid w:val="00B83E7C"/>
    <w:rsid w:val="00B85D7B"/>
    <w:rsid w:val="00B900EA"/>
    <w:rsid w:val="00B91069"/>
    <w:rsid w:val="00B92842"/>
    <w:rsid w:val="00BA2713"/>
    <w:rsid w:val="00BA2941"/>
    <w:rsid w:val="00BA4C61"/>
    <w:rsid w:val="00BA627A"/>
    <w:rsid w:val="00BB22FA"/>
    <w:rsid w:val="00BC0D2F"/>
    <w:rsid w:val="00BC1E70"/>
    <w:rsid w:val="00BC3948"/>
    <w:rsid w:val="00BD12A1"/>
    <w:rsid w:val="00BD1D09"/>
    <w:rsid w:val="00BD7B83"/>
    <w:rsid w:val="00BE0662"/>
    <w:rsid w:val="00BE0C04"/>
    <w:rsid w:val="00BE625B"/>
    <w:rsid w:val="00BF094F"/>
    <w:rsid w:val="00BF12D1"/>
    <w:rsid w:val="00BF17C6"/>
    <w:rsid w:val="00BF6F09"/>
    <w:rsid w:val="00BF7527"/>
    <w:rsid w:val="00C00FDA"/>
    <w:rsid w:val="00C02EB9"/>
    <w:rsid w:val="00C0373C"/>
    <w:rsid w:val="00C04E4B"/>
    <w:rsid w:val="00C11531"/>
    <w:rsid w:val="00C119C6"/>
    <w:rsid w:val="00C11B56"/>
    <w:rsid w:val="00C14C04"/>
    <w:rsid w:val="00C1529E"/>
    <w:rsid w:val="00C16045"/>
    <w:rsid w:val="00C16050"/>
    <w:rsid w:val="00C175CC"/>
    <w:rsid w:val="00C21E27"/>
    <w:rsid w:val="00C2332A"/>
    <w:rsid w:val="00C25989"/>
    <w:rsid w:val="00C307EB"/>
    <w:rsid w:val="00C3446D"/>
    <w:rsid w:val="00C3686B"/>
    <w:rsid w:val="00C42EA5"/>
    <w:rsid w:val="00C45FAA"/>
    <w:rsid w:val="00C5097B"/>
    <w:rsid w:val="00C62BF5"/>
    <w:rsid w:val="00C636DA"/>
    <w:rsid w:val="00C67E22"/>
    <w:rsid w:val="00C72271"/>
    <w:rsid w:val="00C72A17"/>
    <w:rsid w:val="00C81305"/>
    <w:rsid w:val="00C81356"/>
    <w:rsid w:val="00C813CD"/>
    <w:rsid w:val="00C821EF"/>
    <w:rsid w:val="00C858D9"/>
    <w:rsid w:val="00C86A64"/>
    <w:rsid w:val="00C87DA0"/>
    <w:rsid w:val="00C915DA"/>
    <w:rsid w:val="00C96BDA"/>
    <w:rsid w:val="00C96E33"/>
    <w:rsid w:val="00CA4E4D"/>
    <w:rsid w:val="00CA6FF9"/>
    <w:rsid w:val="00CA73DA"/>
    <w:rsid w:val="00CB2A53"/>
    <w:rsid w:val="00CB2E3D"/>
    <w:rsid w:val="00CB4238"/>
    <w:rsid w:val="00CB5938"/>
    <w:rsid w:val="00CB5B27"/>
    <w:rsid w:val="00CC13F5"/>
    <w:rsid w:val="00CC1A64"/>
    <w:rsid w:val="00CC2929"/>
    <w:rsid w:val="00CC30A1"/>
    <w:rsid w:val="00CC34EB"/>
    <w:rsid w:val="00CC4C58"/>
    <w:rsid w:val="00CC66EA"/>
    <w:rsid w:val="00CD1253"/>
    <w:rsid w:val="00CD3C17"/>
    <w:rsid w:val="00CD6284"/>
    <w:rsid w:val="00CE1E15"/>
    <w:rsid w:val="00CE1F9C"/>
    <w:rsid w:val="00CE2E48"/>
    <w:rsid w:val="00CF0184"/>
    <w:rsid w:val="00CF3E83"/>
    <w:rsid w:val="00CF55F6"/>
    <w:rsid w:val="00CF59E0"/>
    <w:rsid w:val="00CF6672"/>
    <w:rsid w:val="00D006F4"/>
    <w:rsid w:val="00D021F7"/>
    <w:rsid w:val="00D0248E"/>
    <w:rsid w:val="00D069C7"/>
    <w:rsid w:val="00D078A2"/>
    <w:rsid w:val="00D21123"/>
    <w:rsid w:val="00D21142"/>
    <w:rsid w:val="00D22ED5"/>
    <w:rsid w:val="00D233D2"/>
    <w:rsid w:val="00D26BB7"/>
    <w:rsid w:val="00D34D98"/>
    <w:rsid w:val="00D366D6"/>
    <w:rsid w:val="00D367EB"/>
    <w:rsid w:val="00D36C91"/>
    <w:rsid w:val="00D41871"/>
    <w:rsid w:val="00D45954"/>
    <w:rsid w:val="00D4613B"/>
    <w:rsid w:val="00D461C2"/>
    <w:rsid w:val="00D5162F"/>
    <w:rsid w:val="00D55593"/>
    <w:rsid w:val="00D55B27"/>
    <w:rsid w:val="00D56D61"/>
    <w:rsid w:val="00D572B9"/>
    <w:rsid w:val="00D575EC"/>
    <w:rsid w:val="00D615C7"/>
    <w:rsid w:val="00D61AAE"/>
    <w:rsid w:val="00D64CB8"/>
    <w:rsid w:val="00D67BB9"/>
    <w:rsid w:val="00D720AE"/>
    <w:rsid w:val="00D72FD8"/>
    <w:rsid w:val="00D819F6"/>
    <w:rsid w:val="00D82BB4"/>
    <w:rsid w:val="00D8361B"/>
    <w:rsid w:val="00D87A18"/>
    <w:rsid w:val="00D92A45"/>
    <w:rsid w:val="00D93F21"/>
    <w:rsid w:val="00D95236"/>
    <w:rsid w:val="00D9697A"/>
    <w:rsid w:val="00DA0C85"/>
    <w:rsid w:val="00DA2432"/>
    <w:rsid w:val="00DA2B14"/>
    <w:rsid w:val="00DA3023"/>
    <w:rsid w:val="00DA4C48"/>
    <w:rsid w:val="00DA727D"/>
    <w:rsid w:val="00DB53A7"/>
    <w:rsid w:val="00DC3F26"/>
    <w:rsid w:val="00DC4928"/>
    <w:rsid w:val="00DC4B8F"/>
    <w:rsid w:val="00DD0D8A"/>
    <w:rsid w:val="00DD170F"/>
    <w:rsid w:val="00DD7F67"/>
    <w:rsid w:val="00DE0A8A"/>
    <w:rsid w:val="00DE1106"/>
    <w:rsid w:val="00DE3389"/>
    <w:rsid w:val="00DF2F8B"/>
    <w:rsid w:val="00DF5EA6"/>
    <w:rsid w:val="00DF6837"/>
    <w:rsid w:val="00DF68E4"/>
    <w:rsid w:val="00DF6E54"/>
    <w:rsid w:val="00DF7DCC"/>
    <w:rsid w:val="00E04228"/>
    <w:rsid w:val="00E04457"/>
    <w:rsid w:val="00E04BBC"/>
    <w:rsid w:val="00E10450"/>
    <w:rsid w:val="00E1158A"/>
    <w:rsid w:val="00E1478E"/>
    <w:rsid w:val="00E159D7"/>
    <w:rsid w:val="00E169BF"/>
    <w:rsid w:val="00E213AB"/>
    <w:rsid w:val="00E21653"/>
    <w:rsid w:val="00E21869"/>
    <w:rsid w:val="00E21C94"/>
    <w:rsid w:val="00E21C9B"/>
    <w:rsid w:val="00E22FD8"/>
    <w:rsid w:val="00E2414E"/>
    <w:rsid w:val="00E25B43"/>
    <w:rsid w:val="00E25E14"/>
    <w:rsid w:val="00E26830"/>
    <w:rsid w:val="00E26FAF"/>
    <w:rsid w:val="00E40B36"/>
    <w:rsid w:val="00E51672"/>
    <w:rsid w:val="00E51C2C"/>
    <w:rsid w:val="00E522FC"/>
    <w:rsid w:val="00E55EE5"/>
    <w:rsid w:val="00E60921"/>
    <w:rsid w:val="00E61784"/>
    <w:rsid w:val="00E625B3"/>
    <w:rsid w:val="00E64743"/>
    <w:rsid w:val="00E66512"/>
    <w:rsid w:val="00E71ED2"/>
    <w:rsid w:val="00E7257D"/>
    <w:rsid w:val="00E728CB"/>
    <w:rsid w:val="00E7336F"/>
    <w:rsid w:val="00E746F2"/>
    <w:rsid w:val="00E74F3B"/>
    <w:rsid w:val="00E76262"/>
    <w:rsid w:val="00E764D3"/>
    <w:rsid w:val="00E840A4"/>
    <w:rsid w:val="00E84A6B"/>
    <w:rsid w:val="00E92385"/>
    <w:rsid w:val="00E9359A"/>
    <w:rsid w:val="00E93F74"/>
    <w:rsid w:val="00E95C96"/>
    <w:rsid w:val="00E96DEA"/>
    <w:rsid w:val="00EA1585"/>
    <w:rsid w:val="00EA2DD0"/>
    <w:rsid w:val="00EA332C"/>
    <w:rsid w:val="00EA48AE"/>
    <w:rsid w:val="00EB09E2"/>
    <w:rsid w:val="00EB15A6"/>
    <w:rsid w:val="00EB74A5"/>
    <w:rsid w:val="00EC453D"/>
    <w:rsid w:val="00EC67E3"/>
    <w:rsid w:val="00ED4C82"/>
    <w:rsid w:val="00EE0126"/>
    <w:rsid w:val="00EE0C89"/>
    <w:rsid w:val="00EE47FE"/>
    <w:rsid w:val="00EE4F0F"/>
    <w:rsid w:val="00EE50C6"/>
    <w:rsid w:val="00EE5D41"/>
    <w:rsid w:val="00EE766D"/>
    <w:rsid w:val="00EF2A15"/>
    <w:rsid w:val="00EF3BAB"/>
    <w:rsid w:val="00EF5BFD"/>
    <w:rsid w:val="00EF6717"/>
    <w:rsid w:val="00EF7B33"/>
    <w:rsid w:val="00F00211"/>
    <w:rsid w:val="00F00470"/>
    <w:rsid w:val="00F01C6F"/>
    <w:rsid w:val="00F0509B"/>
    <w:rsid w:val="00F06EE2"/>
    <w:rsid w:val="00F074DC"/>
    <w:rsid w:val="00F13B96"/>
    <w:rsid w:val="00F15632"/>
    <w:rsid w:val="00F16191"/>
    <w:rsid w:val="00F17535"/>
    <w:rsid w:val="00F20949"/>
    <w:rsid w:val="00F20B97"/>
    <w:rsid w:val="00F24F8F"/>
    <w:rsid w:val="00F303B2"/>
    <w:rsid w:val="00F307E0"/>
    <w:rsid w:val="00F3383E"/>
    <w:rsid w:val="00F34D63"/>
    <w:rsid w:val="00F41BD7"/>
    <w:rsid w:val="00F47052"/>
    <w:rsid w:val="00F57F7A"/>
    <w:rsid w:val="00F617F5"/>
    <w:rsid w:val="00F62D33"/>
    <w:rsid w:val="00F64AB3"/>
    <w:rsid w:val="00F655AA"/>
    <w:rsid w:val="00F6570B"/>
    <w:rsid w:val="00F66681"/>
    <w:rsid w:val="00F66FEA"/>
    <w:rsid w:val="00F67615"/>
    <w:rsid w:val="00F74209"/>
    <w:rsid w:val="00F76C98"/>
    <w:rsid w:val="00F804CD"/>
    <w:rsid w:val="00F80750"/>
    <w:rsid w:val="00F826F6"/>
    <w:rsid w:val="00F85F59"/>
    <w:rsid w:val="00F86538"/>
    <w:rsid w:val="00F86717"/>
    <w:rsid w:val="00F86DD4"/>
    <w:rsid w:val="00F921A4"/>
    <w:rsid w:val="00F97C7A"/>
    <w:rsid w:val="00FA2909"/>
    <w:rsid w:val="00FA2BF6"/>
    <w:rsid w:val="00FA3CD9"/>
    <w:rsid w:val="00FA3CEC"/>
    <w:rsid w:val="00FB0E4C"/>
    <w:rsid w:val="00FB3AE6"/>
    <w:rsid w:val="00FB4CF2"/>
    <w:rsid w:val="00FC071B"/>
    <w:rsid w:val="00FC3A8B"/>
    <w:rsid w:val="00FC4845"/>
    <w:rsid w:val="00FC6B03"/>
    <w:rsid w:val="00FD06D5"/>
    <w:rsid w:val="00FD28FF"/>
    <w:rsid w:val="00FD68A1"/>
    <w:rsid w:val="00FE0985"/>
    <w:rsid w:val="00FE419E"/>
    <w:rsid w:val="00FE6A8A"/>
    <w:rsid w:val="00FF2484"/>
    <w:rsid w:val="00FF4201"/>
    <w:rsid w:val="00FF6E17"/>
    <w:rsid w:val="10A722FD"/>
    <w:rsid w:val="123F66A9"/>
    <w:rsid w:val="1BFD22D7"/>
    <w:rsid w:val="260952E0"/>
    <w:rsid w:val="30BEA305"/>
    <w:rsid w:val="5C602A68"/>
    <w:rsid w:val="5D6D1569"/>
    <w:rsid w:val="6284B381"/>
    <w:rsid w:val="6FB5DC7A"/>
    <w:rsid w:val="7DF791F2"/>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8DD4A"/>
  <w15:chartTrackingRefBased/>
  <w15:docId w15:val="{F2F67522-6D66-450A-9094-3EA41D33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0F06C1"/>
    <w:pPr>
      <w:numPr>
        <w:numId w:val="0"/>
      </w:numPr>
      <w:outlineLvl w:val="4"/>
    </w:pPr>
    <w:rPr>
      <w:rFonts w:ascii="Times New Roman" w:hAnsi="Times New Roman" w:cs="Times New Roman"/>
      <w:b/>
      <w:i/>
      <w:sz w:val="24"/>
      <w:szCs w:val="24"/>
    </w:rPr>
  </w:style>
  <w:style w:type="paragraph" w:styleId="Heading6">
    <w:name w:val="heading 6"/>
    <w:basedOn w:val="Normal"/>
    <w:next w:val="Normal"/>
    <w:link w:val="Heading6Char"/>
    <w:uiPriority w:val="9"/>
    <w:qFormat/>
    <w:rsid w:val="005510C2"/>
    <w:pPr>
      <w:numPr>
        <w:numId w:val="0"/>
      </w:numPr>
      <w:outlineLvl w:val="5"/>
    </w:pPr>
    <w:rPr>
      <w:rFonts w:ascii="Times New Roman" w:hAnsi="Times New Roman" w:cs="Times New Roman"/>
      <w:i/>
      <w:sz w:val="24"/>
      <w:szCs w:val="24"/>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1"/>
    <w:unhideWhenUsed/>
    <w:qFormat/>
    <w:locked/>
    <w:rsid w:val="00F80750"/>
  </w:style>
  <w:style w:type="character" w:customStyle="1" w:styleId="BodyTextChar">
    <w:name w:val="Body Text Char"/>
    <w:basedOn w:val="DefaultParagraphFont"/>
    <w:link w:val="BodyText"/>
    <w:uiPriority w:val="1"/>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0F06C1"/>
    <w:rPr>
      <w:rFonts w:ascii="Times New Roman" w:hAnsi="Times New Roman" w:cs="Times New Roman"/>
      <w:b/>
      <w:i/>
      <w:sz w:val="24"/>
      <w:szCs w:val="24"/>
    </w:rPr>
  </w:style>
  <w:style w:type="character" w:customStyle="1" w:styleId="Heading6Char">
    <w:name w:val="Heading 6 Char"/>
    <w:basedOn w:val="DefaultParagraphFont"/>
    <w:link w:val="Heading6"/>
    <w:uiPriority w:val="9"/>
    <w:rsid w:val="005510C2"/>
    <w:rPr>
      <w:rFonts w:ascii="Times New Roman" w:hAnsi="Times New Roman" w:cs="Times New Roman"/>
      <w:i/>
      <w:sz w:val="24"/>
      <w:szCs w:val="24"/>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854C33"/>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560CAF"/>
    <w:pPr>
      <w:spacing w:after="0"/>
      <w:jc w:val="left"/>
    </w:pPr>
  </w:style>
  <w:style w:type="character" w:styleId="UnresolvedMention">
    <w:name w:val="Unresolved Mention"/>
    <w:basedOn w:val="DefaultParagraphFont"/>
    <w:uiPriority w:val="99"/>
    <w:semiHidden/>
    <w:unhideWhenUsed/>
    <w:locked/>
    <w:rsid w:val="006A555E"/>
    <w:rPr>
      <w:color w:val="605E5C"/>
      <w:shd w:val="clear" w:color="auto" w:fill="E1DFDD"/>
    </w:rPr>
  </w:style>
  <w:style w:type="character" w:customStyle="1" w:styleId="normaltextrun">
    <w:name w:val="normaltextrun"/>
    <w:basedOn w:val="DefaultParagraphFont"/>
    <w:rsid w:val="004F16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12874537">
      <w:bodyDiv w:val="1"/>
      <w:marLeft w:val="0"/>
      <w:marRight w:val="0"/>
      <w:marTop w:val="0"/>
      <w:marBottom w:val="0"/>
      <w:divBdr>
        <w:top w:val="none" w:sz="0" w:space="0" w:color="auto"/>
        <w:left w:val="none" w:sz="0" w:space="0" w:color="auto"/>
        <w:bottom w:val="none" w:sz="0" w:space="0" w:color="auto"/>
        <w:right w:val="none" w:sz="0" w:space="0" w:color="auto"/>
      </w:divBdr>
    </w:div>
    <w:div w:id="964235639">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135491522">
      <w:bodyDiv w:val="1"/>
      <w:marLeft w:val="0"/>
      <w:marRight w:val="0"/>
      <w:marTop w:val="0"/>
      <w:marBottom w:val="0"/>
      <w:divBdr>
        <w:top w:val="none" w:sz="0" w:space="0" w:color="auto"/>
        <w:left w:val="none" w:sz="0" w:space="0" w:color="auto"/>
        <w:bottom w:val="none" w:sz="0" w:space="0" w:color="auto"/>
        <w:right w:val="none" w:sz="0" w:space="0" w:color="auto"/>
      </w:divBdr>
    </w:div>
    <w:div w:id="1458833766">
      <w:bodyDiv w:val="1"/>
      <w:marLeft w:val="0"/>
      <w:marRight w:val="0"/>
      <w:marTop w:val="0"/>
      <w:marBottom w:val="0"/>
      <w:divBdr>
        <w:top w:val="none" w:sz="0" w:space="0" w:color="auto"/>
        <w:left w:val="none" w:sz="0" w:space="0" w:color="auto"/>
        <w:bottom w:val="none" w:sz="0" w:space="0" w:color="auto"/>
        <w:right w:val="none" w:sz="0" w:space="0" w:color="auto"/>
      </w:divBdr>
    </w:div>
    <w:div w:id="1488284757">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685859922">
      <w:bodyDiv w:val="1"/>
      <w:marLeft w:val="0"/>
      <w:marRight w:val="0"/>
      <w:marTop w:val="0"/>
      <w:marBottom w:val="0"/>
      <w:divBdr>
        <w:top w:val="none" w:sz="0" w:space="0" w:color="auto"/>
        <w:left w:val="none" w:sz="0" w:space="0" w:color="auto"/>
        <w:bottom w:val="none" w:sz="0" w:space="0" w:color="auto"/>
        <w:right w:val="none" w:sz="0" w:space="0" w:color="auto"/>
      </w:divBdr>
    </w:div>
    <w:div w:id="187761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Details/F2019L01525"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gislation.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apra.gov.au/consultation-on-apras-superannuation-data-transformation" TargetMode="Externa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SharedWithUsers xmlns="0873f81f-5545-4105-9cf3-1e567ff68fe4">
      <UserInfo>
        <DisplayName>David Sullivan</DisplayName>
        <AccountId>480</AccountId>
        <AccountType/>
      </UserInfo>
      <UserInfo>
        <DisplayName>Gurveen Singh</DisplayName>
        <AccountId>189</AccountId>
        <AccountType/>
      </UserInfo>
    </SharedWithUsers>
    <_Flow_SignoffStatus xmlns="5e7d1d2f-1d1d-4328-b1c4-d23268d8602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3" ma:contentTypeDescription="Create a new document." ma:contentTypeScope="" ma:versionID="7fafe8677cf6653b801dc42f4c4ea9f3">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63804def8ae17406e9d5689385dd02cb"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customXml/itemProps2.xml><?xml version="1.0" encoding="utf-8"?>
<ds:datastoreItem xmlns:ds="http://schemas.openxmlformats.org/officeDocument/2006/customXml" ds:itemID="{EF8A39F2-5068-45BF-85CC-A816CCABDD3E}">
  <ds:schemaRefs>
    <ds:schemaRef ds:uri="http://schemas.microsoft.com/office/2006/metadata/properties"/>
    <ds:schemaRef ds:uri="5e7d1d2f-1d1d-4328-b1c4-d23268d86024"/>
    <ds:schemaRef ds:uri="http://purl.org/dc/terms/"/>
    <ds:schemaRef ds:uri="0873f81f-5545-4105-9cf3-1e567ff68fe4"/>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F99F6737-CFE8-42D7-AD31-851C77546D6D}">
  <ds:schemaRefs>
    <ds:schemaRef ds:uri="http://schemas.microsoft.com/sharepoint/v3/contenttype/forms"/>
  </ds:schemaRefs>
</ds:datastoreItem>
</file>

<file path=customXml/itemProps4.xml><?xml version="1.0" encoding="utf-8"?>
<ds:datastoreItem xmlns:ds="http://schemas.openxmlformats.org/officeDocument/2006/customXml" ds:itemID="{A6BB4953-31A0-4A2D-BBA6-A8A68E3D9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2742</Words>
  <Characters>15690</Characters>
  <Application>Microsoft Office Word</Application>
  <DocSecurity>4</DocSecurity>
  <Lines>265</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18317</CharactersWithSpaces>
  <SharedDoc>false</SharedDoc>
  <HLinks>
    <vt:vector size="54" baseType="variant">
      <vt:variant>
        <vt:i4>2556013</vt:i4>
      </vt:variant>
      <vt:variant>
        <vt:i4>6</vt:i4>
      </vt:variant>
      <vt:variant>
        <vt:i4>0</vt:i4>
      </vt:variant>
      <vt:variant>
        <vt:i4>5</vt:i4>
      </vt:variant>
      <vt:variant>
        <vt:lpwstr>https://auasb.gov.au/standards-guidance/auasb-standards/auditing-standards/</vt:lpwstr>
      </vt:variant>
      <vt:variant>
        <vt:lpwstr/>
      </vt:variant>
      <vt:variant>
        <vt:i4>1966102</vt:i4>
      </vt:variant>
      <vt:variant>
        <vt:i4>3</vt:i4>
      </vt:variant>
      <vt:variant>
        <vt:i4>0</vt:i4>
      </vt:variant>
      <vt:variant>
        <vt:i4>5</vt:i4>
      </vt:variant>
      <vt:variant>
        <vt:lpwstr>https://www.aasb.gov.au/pronouncements/accounting-standards/</vt:lpwstr>
      </vt:variant>
      <vt:variant>
        <vt:lpwstr/>
      </vt:variant>
      <vt:variant>
        <vt:i4>6946865</vt:i4>
      </vt:variant>
      <vt:variant>
        <vt:i4>0</vt:i4>
      </vt:variant>
      <vt:variant>
        <vt:i4>0</vt:i4>
      </vt:variant>
      <vt:variant>
        <vt:i4>5</vt:i4>
      </vt:variant>
      <vt:variant>
        <vt:lpwstr>http://www.legislation.gov.au/</vt:lpwstr>
      </vt:variant>
      <vt:variant>
        <vt:lpwstr/>
      </vt:variant>
      <vt:variant>
        <vt:i4>4849729</vt:i4>
      </vt:variant>
      <vt:variant>
        <vt:i4>12</vt:i4>
      </vt:variant>
      <vt:variant>
        <vt:i4>0</vt:i4>
      </vt:variant>
      <vt:variant>
        <vt:i4>5</vt:i4>
      </vt:variant>
      <vt:variant>
        <vt:lpwstr>https://www.apra.gov.au/new-accounting-standard-%E2%80%93-aasb-17-insurance-contracts</vt:lpwstr>
      </vt:variant>
      <vt:variant>
        <vt:lpwstr/>
      </vt:variant>
      <vt:variant>
        <vt:i4>4849729</vt:i4>
      </vt:variant>
      <vt:variant>
        <vt:i4>9</vt:i4>
      </vt:variant>
      <vt:variant>
        <vt:i4>0</vt:i4>
      </vt:variant>
      <vt:variant>
        <vt:i4>5</vt:i4>
      </vt:variant>
      <vt:variant>
        <vt:lpwstr>https://www.apra.gov.au/new-accounting-standard-%E2%80%93-aasb-17-insurance-contracts</vt:lpwstr>
      </vt:variant>
      <vt:variant>
        <vt:lpwstr/>
      </vt:variant>
      <vt:variant>
        <vt:i4>4915218</vt:i4>
      </vt:variant>
      <vt:variant>
        <vt:i4>6</vt:i4>
      </vt:variant>
      <vt:variant>
        <vt:i4>0</vt:i4>
      </vt:variant>
      <vt:variant>
        <vt:i4>5</vt:i4>
      </vt:variant>
      <vt:variant>
        <vt:lpwstr>https://www.apra.gov.au/round-two-%E2%80%93-discussion-paper-%E2%80%93-integrating-aasb-17-into-capital-and-reporting-frameworks-for</vt:lpwstr>
      </vt:variant>
      <vt:variant>
        <vt:lpwstr/>
      </vt:variant>
      <vt:variant>
        <vt:i4>4849729</vt:i4>
      </vt:variant>
      <vt:variant>
        <vt:i4>3</vt:i4>
      </vt:variant>
      <vt:variant>
        <vt:i4>0</vt:i4>
      </vt:variant>
      <vt:variant>
        <vt:i4>5</vt:i4>
      </vt:variant>
      <vt:variant>
        <vt:lpwstr>https://www.apra.gov.au/new-accounting-standard-%E2%80%93-aasb-17-insurance-contracts</vt:lpwstr>
      </vt:variant>
      <vt:variant>
        <vt:lpwstr/>
      </vt:variant>
      <vt:variant>
        <vt:i4>8061038</vt:i4>
      </vt:variant>
      <vt:variant>
        <vt:i4>0</vt:i4>
      </vt:variant>
      <vt:variant>
        <vt:i4>0</vt:i4>
      </vt:variant>
      <vt:variant>
        <vt:i4>5</vt:i4>
      </vt:variant>
      <vt:variant>
        <vt:lpwstr>https://www.iso.org/iso-3166-country-codes.html</vt:lpwstr>
      </vt:variant>
      <vt:variant>
        <vt:lpwstr/>
      </vt:variant>
      <vt:variant>
        <vt:i4>3735612</vt:i4>
      </vt:variant>
      <vt:variant>
        <vt:i4>0</vt:i4>
      </vt:variant>
      <vt:variant>
        <vt:i4>0</vt:i4>
      </vt:variant>
      <vt:variant>
        <vt:i4>5</vt:i4>
      </vt:variant>
      <vt:variant>
        <vt:lpwstr>https://apragovau0.sharepoint.com/sites/im-team-da/Shared Documents/Public Workspace/Data Frameworks Team Page/DCA - BAU Collection Builds In Flight/AASB17/Reporting Standards - GI/Final amendments post Sept 2022 release/GRS 110.0 - Prescribed Capital Amount.docx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Earl</dc:creator>
  <cp:keywords>[SEC=OFFICIAL]</cp:keywords>
  <dc:description/>
  <cp:lastModifiedBy>Toni Michalis</cp:lastModifiedBy>
  <cp:revision>2</cp:revision>
  <cp:lastPrinted>2014-02-02T12:10:00Z</cp:lastPrinted>
  <dcterms:created xsi:type="dcterms:W3CDTF">2023-06-23T02:32:00Z</dcterms:created>
  <dcterms:modified xsi:type="dcterms:W3CDTF">2023-06-23T02:32:00Z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v=2022.2;d=gov.au;g=46DD6D7C-8107-577B-BC6E-F348953B2E44</vt:lpwstr>
  </property>
  <property fmtid="{D5CDD505-2E9C-101B-9397-08002B2CF9AE}" pid="18" name="PM_Hash_Version">
    <vt:lpwstr>2022.1</vt:lpwstr>
  </property>
  <property fmtid="{D5CDD505-2E9C-101B-9397-08002B2CF9AE}" pid="19" name="PM_OriginatorDomainName_SHA256">
    <vt:lpwstr>ECBDE2B44A971754412B3FB70606937A119CC0D4B6C1B658A40FBD41C30BE3EC</vt:lpwstr>
  </property>
  <property fmtid="{D5CDD505-2E9C-101B-9397-08002B2CF9AE}" pid="20" name="ContentTypeId">
    <vt:lpwstr>0x01010055938772D2D18A4A95DEC4D9E6BF9669</vt:lpwstr>
  </property>
  <property fmtid="{D5CDD505-2E9C-101B-9397-08002B2CF9AE}" pid="21" name="APRAPeriod">
    <vt:lpwstr/>
  </property>
  <property fmtid="{D5CDD505-2E9C-101B-9397-08002B2CF9AE}" pid="22" name="APRAPRSG">
    <vt:lpwstr/>
  </property>
  <property fmtid="{D5CDD505-2E9C-101B-9397-08002B2CF9AE}" pid="23" name="APRAYear">
    <vt:lpwstr/>
  </property>
  <property fmtid="{D5CDD505-2E9C-101B-9397-08002B2CF9AE}" pid="24" name="APRAIndustry">
    <vt:lpwstr/>
  </property>
  <property fmtid="{D5CDD505-2E9C-101B-9397-08002B2CF9AE}" pid="25" name="_dlc_DocIdItemGuid">
    <vt:lpwstr>7a1e16a1-e190-4f1d-9499-4b26a8773b3d</vt:lpwstr>
  </property>
  <property fmtid="{D5CDD505-2E9C-101B-9397-08002B2CF9AE}" pid="26" name="IsLocked">
    <vt:lpwstr>Yes</vt:lpwstr>
  </property>
  <property fmtid="{D5CDD505-2E9C-101B-9397-08002B2CF9AE}" pid="27" name="APRACostCentre">
    <vt:lpwstr>68;#Legal - ADI|652d8d2a-ab45-47b4-ac6e-fe6ac9299b39</vt:lpwstr>
  </property>
  <property fmtid="{D5CDD505-2E9C-101B-9397-08002B2CF9AE}" pid="28" name="IT system type">
    <vt:lpwstr/>
  </property>
  <property fmtid="{D5CDD505-2E9C-101B-9397-08002B2CF9AE}" pid="29" name="APRACategory">
    <vt:lpwstr/>
  </property>
  <property fmtid="{D5CDD505-2E9C-101B-9397-08002B2CF9AE}" pid="30" name="APRADocumentType">
    <vt:lpwstr>206;#Explanatory statement|b22f2e2f-3f73-411b-9a7c-34264d26fa25</vt:lpwstr>
  </property>
  <property fmtid="{D5CDD505-2E9C-101B-9397-08002B2CF9AE}" pid="31" name="APRAStatus">
    <vt:lpwstr>4;#Final|84d6b2d0-8498-4d62-bf46-bab38babbe9e</vt:lpwstr>
  </property>
  <property fmtid="{D5CDD505-2E9C-101B-9397-08002B2CF9AE}" pid="32" name="APRAActivity">
    <vt:lpwstr>63;#Registration|390476ce-d76d-4e8d-905f-28e32d2df127;#291;#Statutory instrument|fe68928c-5a9c-4caf-bc8c-6c18cedcb17f</vt:lpwstr>
  </property>
  <property fmtid="{D5CDD505-2E9C-101B-9397-08002B2CF9AE}" pid="33" name="APRAEntityAdviceSupport">
    <vt:lpwstr/>
  </property>
  <property fmtid="{D5CDD505-2E9C-101B-9397-08002B2CF9AE}" pid="34" name="APRALegislation">
    <vt:lpwstr/>
  </property>
  <property fmtid="{D5CDD505-2E9C-101B-9397-08002B2CF9AE}" pid="35" name="APRAExternalOrganisation">
    <vt:lpwstr/>
  </property>
  <property fmtid="{D5CDD505-2E9C-101B-9397-08002B2CF9AE}" pid="36" name="APRAIRTR">
    <vt:lpwstr/>
  </property>
  <property fmtid="{D5CDD505-2E9C-101B-9397-08002B2CF9AE}" pid="37" name="RecordPoint_WorkflowType">
    <vt:lpwstr>ActiveSubmitStub</vt:lpwstr>
  </property>
  <property fmtid="{D5CDD505-2E9C-101B-9397-08002B2CF9AE}" pid="38" name="RecordPoint_ActiveItemSiteId">
    <vt:lpwstr>{99f7d170-f886-4b78-8389-87e4657e4bc8}</vt:lpwstr>
  </property>
  <property fmtid="{D5CDD505-2E9C-101B-9397-08002B2CF9AE}" pid="39" name="RecordPoint_ActiveItemListId">
    <vt:lpwstr>{61fbfb6e-bac9-459c-9569-360598f35847}</vt:lpwstr>
  </property>
  <property fmtid="{D5CDD505-2E9C-101B-9397-08002B2CF9AE}" pid="40" name="RecordPoint_ActiveItemUniqueId">
    <vt:lpwstr>{7a1e16a1-e190-4f1d-9499-4b26a8773b3d}</vt:lpwstr>
  </property>
  <property fmtid="{D5CDD505-2E9C-101B-9397-08002B2CF9AE}" pid="41" name="RecordPoint_ActiveItemWebId">
    <vt:lpwstr>{ad6dddf9-383b-42a4-9cb2-33e024a97839}</vt:lpwstr>
  </property>
  <property fmtid="{D5CDD505-2E9C-101B-9397-08002B2CF9AE}" pid="42" name="RecordPoint_RecordNumberSubmitted">
    <vt:lpwstr/>
  </property>
  <property fmtid="{D5CDD505-2E9C-101B-9397-08002B2CF9AE}" pid="43" name="RecordPoint_SubmissionCompleted">
    <vt:lpwstr/>
  </property>
  <property fmtid="{D5CDD505-2E9C-101B-9397-08002B2CF9AE}" pid="44" name="PM_SecurityClassification_Prev">
    <vt:lpwstr>OFFICIAL</vt:lpwstr>
  </property>
  <property fmtid="{D5CDD505-2E9C-101B-9397-08002B2CF9AE}" pid="45" name="PM_Qualifier_Prev">
    <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PM_OriginationTimeStamp">
    <vt:lpwstr>2022-10-12T04:54:32Z</vt:lpwstr>
  </property>
  <property fmtid="{D5CDD505-2E9C-101B-9397-08002B2CF9AE}" pid="53" name="MSIP_Label_c0129afb-6481-4f92-bc9f-5a4a6346364d_SetDate">
    <vt:lpwstr>2022-10-12T04:54:32Z</vt:lpwstr>
  </property>
  <property fmtid="{D5CDD505-2E9C-101B-9397-08002B2CF9AE}" pid="54" name="MSIP_Label_c0129afb-6481-4f92-bc9f-5a4a6346364d_Method">
    <vt:lpwstr>Privileged</vt:lpwstr>
  </property>
  <property fmtid="{D5CDD505-2E9C-101B-9397-08002B2CF9AE}" pid="55" name="MSIP_Label_c0129afb-6481-4f92-bc9f-5a4a6346364d_ContentBits">
    <vt:lpwstr>0</vt:lpwstr>
  </property>
  <property fmtid="{D5CDD505-2E9C-101B-9397-08002B2CF9AE}" pid="56" name="Order">
    <vt:r8>4000</vt:r8>
  </property>
  <property fmtid="{D5CDD505-2E9C-101B-9397-08002B2CF9AE}" pid="57" name="ComplianceAssetId">
    <vt:lpwstr/>
  </property>
  <property fmtid="{D5CDD505-2E9C-101B-9397-08002B2CF9AE}" pid="58" name="_ExtendedDescription">
    <vt:lpwstr/>
  </property>
  <property fmtid="{D5CDD505-2E9C-101B-9397-08002B2CF9AE}" pid="59" name="TriggerFlowInfo">
    <vt:lpwstr/>
  </property>
  <property fmtid="{D5CDD505-2E9C-101B-9397-08002B2CF9AE}" pid="60" name="MediaServiceImageTags">
    <vt:lpwstr/>
  </property>
  <property fmtid="{D5CDD505-2E9C-101B-9397-08002B2CF9AE}" pid="61" name="PM_Originator_Hash_SHA1">
    <vt:lpwstr>C3AD57350F36D8E1BD75F8F67CB06D435C9C43CA</vt:lpwstr>
  </property>
  <property fmtid="{D5CDD505-2E9C-101B-9397-08002B2CF9AE}" pid="62" name="PM_OriginatorUserAccountName_SHA256">
    <vt:lpwstr>6E3018F28A186D2E5FF5207C041E7A82E907C3008E071057026A53705873B72E</vt:lpwstr>
  </property>
  <property fmtid="{D5CDD505-2E9C-101B-9397-08002B2CF9AE}" pid="63" name="PM_Hash_Salt_Prev">
    <vt:lpwstr>B591AFA93254297A69F0EB1B1293B62C</vt:lpwstr>
  </property>
  <property fmtid="{D5CDD505-2E9C-101B-9397-08002B2CF9AE}" pid="64" name="PM_Hash_Salt">
    <vt:lpwstr>253BC25EB14ED8F83BDE772FDC71C396</vt:lpwstr>
  </property>
  <property fmtid="{D5CDD505-2E9C-101B-9397-08002B2CF9AE}" pid="65" name="PM_Hash_SHA1">
    <vt:lpwstr>408A992186B851725F3F9D7D3614017D6351B779</vt:lpwstr>
  </property>
  <property fmtid="{D5CDD505-2E9C-101B-9397-08002B2CF9AE}" pid="66" name="PMHMAC">
    <vt:lpwstr>v=2022.1;a=SHA256;h=97FE8A3C599E10A0C85CBB2156B805914D078CB7DB29A4480AE9C949BDA51B87</vt:lpwstr>
  </property>
  <property fmtid="{D5CDD505-2E9C-101B-9397-08002B2CF9AE}" pid="67" name="MSIP_Label_c0129afb-6481-4f92-bc9f-5a4a6346364d_ActionId">
    <vt:lpwstr>a2cc42661a5e45a382f8dfec59381cb1</vt:lpwstr>
  </property>
</Properties>
</file>