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E6EF" w14:textId="77777777" w:rsidR="00C739FB" w:rsidRPr="000C2925" w:rsidRDefault="00C739FB" w:rsidP="002853E9">
      <w:pPr>
        <w:spacing w:after="120" w:line="240" w:lineRule="auto"/>
        <w:jc w:val="center"/>
        <w:rPr>
          <w:rFonts w:ascii="Times New Roman" w:eastAsia="Times New Roman" w:hAnsi="Times New Roman" w:cs="Times New Roman"/>
          <w:sz w:val="24"/>
          <w:szCs w:val="24"/>
          <w:lang w:val="en-US" w:eastAsia="en-AU"/>
        </w:rPr>
      </w:pPr>
      <w:r w:rsidRPr="000C2925">
        <w:rPr>
          <w:rFonts w:ascii="Times New Roman" w:eastAsia="Times New Roman" w:hAnsi="Times New Roman" w:cs="Times New Roman"/>
          <w:sz w:val="24"/>
          <w:szCs w:val="24"/>
          <w:u w:val="single"/>
          <w:lang w:eastAsia="en-AU"/>
        </w:rPr>
        <w:t>EXPLANATORY STATEMENT</w:t>
      </w:r>
    </w:p>
    <w:p w14:paraId="44B010A7" w14:textId="6EFF8815" w:rsidR="00C739FB" w:rsidRPr="000C2925" w:rsidRDefault="00C739FB" w:rsidP="002853E9">
      <w:pPr>
        <w:spacing w:after="120" w:line="240" w:lineRule="auto"/>
        <w:jc w:val="center"/>
        <w:rPr>
          <w:rFonts w:ascii="Times New Roman" w:eastAsia="Times New Roman" w:hAnsi="Times New Roman" w:cs="Times New Roman"/>
          <w:sz w:val="24"/>
          <w:szCs w:val="24"/>
          <w:lang w:val="en-US" w:eastAsia="en-AU"/>
        </w:rPr>
      </w:pPr>
      <w:r w:rsidRPr="000C2925">
        <w:rPr>
          <w:rFonts w:ascii="Times New Roman" w:eastAsia="Times New Roman" w:hAnsi="Times New Roman" w:cs="Times New Roman"/>
          <w:sz w:val="24"/>
          <w:szCs w:val="24"/>
          <w:u w:val="single"/>
          <w:lang w:eastAsia="en-AU"/>
        </w:rPr>
        <w:t>FAMILY LAW (SUPERANNUATION) (INTEREST RATE FOR ADJUS</w:t>
      </w:r>
      <w:r>
        <w:rPr>
          <w:rFonts w:ascii="Times New Roman" w:eastAsia="Times New Roman" w:hAnsi="Times New Roman" w:cs="Times New Roman"/>
          <w:sz w:val="24"/>
          <w:szCs w:val="24"/>
          <w:u w:val="single"/>
          <w:lang w:eastAsia="en-AU"/>
        </w:rPr>
        <w:t>TMENT PERIOD) DETERMINATION 20</w:t>
      </w:r>
      <w:r w:rsidR="00531581">
        <w:rPr>
          <w:rFonts w:ascii="Times New Roman" w:eastAsia="Times New Roman" w:hAnsi="Times New Roman" w:cs="Times New Roman"/>
          <w:sz w:val="24"/>
          <w:szCs w:val="24"/>
          <w:u w:val="single"/>
          <w:lang w:eastAsia="en-AU"/>
        </w:rPr>
        <w:t>2</w:t>
      </w:r>
      <w:r w:rsidR="00C62D20">
        <w:rPr>
          <w:rFonts w:ascii="Times New Roman" w:eastAsia="Times New Roman" w:hAnsi="Times New Roman" w:cs="Times New Roman"/>
          <w:sz w:val="24"/>
          <w:szCs w:val="24"/>
          <w:u w:val="single"/>
          <w:lang w:eastAsia="en-AU"/>
        </w:rPr>
        <w:t>3</w:t>
      </w:r>
    </w:p>
    <w:p w14:paraId="317BA87E" w14:textId="77777777" w:rsidR="00C739FB" w:rsidRPr="0089028E" w:rsidRDefault="00C739FB" w:rsidP="002853E9">
      <w:pPr>
        <w:spacing w:after="120" w:line="240" w:lineRule="auto"/>
        <w:jc w:val="center"/>
        <w:rPr>
          <w:rFonts w:ascii="Times New Roman" w:eastAsia="Times New Roman" w:hAnsi="Times New Roman" w:cs="Times New Roman"/>
          <w:sz w:val="24"/>
          <w:szCs w:val="24"/>
          <w:u w:val="single"/>
          <w:lang w:eastAsia="en-AU"/>
        </w:rPr>
      </w:pPr>
      <w:r w:rsidRPr="000C2925">
        <w:rPr>
          <w:rFonts w:ascii="Times New Roman" w:eastAsia="Times New Roman" w:hAnsi="Times New Roman" w:cs="Times New Roman"/>
          <w:sz w:val="24"/>
          <w:szCs w:val="24"/>
          <w:u w:val="single"/>
          <w:lang w:eastAsia="en-AU"/>
        </w:rPr>
        <w:t>ISSUED BY AUTHORITY OF THE AUSTRALIAN GOVERNMENT ACTUARY</w:t>
      </w:r>
    </w:p>
    <w:p w14:paraId="6FFBAABC" w14:textId="55980AB6" w:rsidR="006B622F" w:rsidRPr="006B622F" w:rsidRDefault="00C739FB" w:rsidP="002853E9">
      <w:pPr>
        <w:pStyle w:val="Numberedparagraph"/>
        <w:spacing w:before="0" w:after="120"/>
      </w:pPr>
      <w:r w:rsidRPr="006B622F">
        <w:rPr>
          <w:rFonts w:eastAsia="Times New Roman"/>
          <w:sz w:val="24"/>
          <w:szCs w:val="24"/>
          <w:lang w:eastAsia="en-AU"/>
        </w:rPr>
        <w:t xml:space="preserve">In this instrument the Australian Government Actuary made a number of determinations </w:t>
      </w:r>
      <w:r w:rsidRPr="008F2E06">
        <w:rPr>
          <w:rFonts w:eastAsia="Times New Roman"/>
          <w:sz w:val="24"/>
          <w:szCs w:val="24"/>
          <w:lang w:eastAsia="en-AU"/>
        </w:rPr>
        <w:t xml:space="preserve">under regulation 45D of the </w:t>
      </w:r>
      <w:r w:rsidRPr="008F2E06">
        <w:rPr>
          <w:rFonts w:eastAsia="Times New Roman"/>
          <w:i/>
          <w:iCs/>
          <w:sz w:val="24"/>
          <w:szCs w:val="24"/>
          <w:lang w:eastAsia="en-AU"/>
        </w:rPr>
        <w:t>Family Law (Superannuation) Regulations 2001</w:t>
      </w:r>
      <w:r w:rsidRPr="008F2E06">
        <w:rPr>
          <w:rFonts w:eastAsia="Times New Roman"/>
          <w:sz w:val="24"/>
          <w:szCs w:val="24"/>
          <w:lang w:eastAsia="en-AU"/>
        </w:rPr>
        <w:t xml:space="preserve"> (FLS Regulations). The determinations relate to the adjustment of superannuation entitlements of separated and divorced spouses, and of separated de </w:t>
      </w:r>
      <w:r w:rsidRPr="000D7946">
        <w:rPr>
          <w:rFonts w:eastAsia="Times New Roman"/>
          <w:sz w:val="24"/>
          <w:szCs w:val="24"/>
          <w:lang w:eastAsia="en-AU"/>
        </w:rPr>
        <w:t>facto couples . The entitlements are provided under certain orders or agreements that split particular kinds of future</w:t>
      </w:r>
      <w:r w:rsidRPr="008F2E06">
        <w:rPr>
          <w:rFonts w:eastAsia="Times New Roman"/>
          <w:sz w:val="24"/>
          <w:szCs w:val="24"/>
          <w:lang w:eastAsia="en-AU"/>
        </w:rPr>
        <w:t xml:space="preserve"> superannuation benefits made in property settlements under the </w:t>
      </w:r>
      <w:r w:rsidRPr="008F2E06">
        <w:rPr>
          <w:rFonts w:eastAsia="Times New Roman"/>
          <w:i/>
          <w:iCs/>
          <w:sz w:val="24"/>
          <w:szCs w:val="24"/>
          <w:lang w:eastAsia="en-AU"/>
        </w:rPr>
        <w:t>Family Law Act 1975</w:t>
      </w:r>
      <w:r w:rsidRPr="008F2E06">
        <w:rPr>
          <w:rFonts w:eastAsia="Times New Roman"/>
          <w:sz w:val="24"/>
          <w:szCs w:val="24"/>
          <w:lang w:eastAsia="en-AU"/>
        </w:rPr>
        <w:t xml:space="preserve"> (Family Law Act). The determinations relate to orders or agreements providing for a base amount split of future superannuation benefits (one of two kinds of splits that can be made under the Family Law Act of most types of superannuation), payable in respect of a defined benefit</w:t>
      </w:r>
      <w:r w:rsidRPr="006B622F">
        <w:rPr>
          <w:rFonts w:eastAsia="Times New Roman"/>
          <w:sz w:val="24"/>
          <w:szCs w:val="24"/>
          <w:lang w:eastAsia="en-AU"/>
        </w:rPr>
        <w:t xml:space="preserve"> superannuation interest or an interest in a self-managed superannuation fund.</w:t>
      </w:r>
    </w:p>
    <w:p w14:paraId="24D1DAA5" w14:textId="77777777" w:rsidR="006B622F" w:rsidRPr="006B622F" w:rsidRDefault="00C739FB" w:rsidP="002853E9">
      <w:pPr>
        <w:pStyle w:val="Numberedparagraph"/>
        <w:spacing w:before="0" w:after="120"/>
      </w:pPr>
      <w:r w:rsidRPr="006B622F">
        <w:rPr>
          <w:rFonts w:eastAsia="Times New Roman"/>
          <w:sz w:val="24"/>
          <w:szCs w:val="24"/>
          <w:lang w:eastAsia="en-AU"/>
        </w:rPr>
        <w:t>Under a base amount split, a base amount is:</w:t>
      </w:r>
    </w:p>
    <w:p w14:paraId="21BDB898" w14:textId="77777777" w:rsidR="00C739FB" w:rsidRPr="0089028E" w:rsidRDefault="00C739FB" w:rsidP="002853E9">
      <w:pPr>
        <w:pStyle w:val="ListParagraph"/>
        <w:numPr>
          <w:ilvl w:val="0"/>
          <w:numId w:val="3"/>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allocated by the court before making an order; or</w:t>
      </w:r>
    </w:p>
    <w:p w14:paraId="065F7218" w14:textId="77777777" w:rsidR="00C739FB" w:rsidRPr="0089028E" w:rsidRDefault="00C739FB" w:rsidP="002853E9">
      <w:pPr>
        <w:pStyle w:val="ListParagraph"/>
        <w:numPr>
          <w:ilvl w:val="0"/>
          <w:numId w:val="3"/>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specified in the agreement by the spouses;</w:t>
      </w:r>
    </w:p>
    <w:p w14:paraId="16A8B227" w14:textId="77777777" w:rsidR="00C739FB" w:rsidRPr="000C2925" w:rsidRDefault="00C739FB" w:rsidP="002853E9">
      <w:pPr>
        <w:spacing w:after="120" w:line="240" w:lineRule="auto"/>
        <w:ind w:firstLine="360"/>
        <w:rPr>
          <w:rFonts w:ascii="Times New Roman" w:eastAsia="Times New Roman" w:hAnsi="Times New Roman" w:cs="Times New Roman"/>
          <w:sz w:val="24"/>
          <w:szCs w:val="24"/>
          <w:lang w:val="en-US" w:eastAsia="en-AU"/>
        </w:rPr>
      </w:pPr>
      <w:r w:rsidRPr="000C2925">
        <w:rPr>
          <w:rFonts w:ascii="Times New Roman" w:eastAsia="Times New Roman" w:hAnsi="Times New Roman" w:cs="Times New Roman"/>
          <w:sz w:val="24"/>
          <w:szCs w:val="24"/>
          <w:lang w:eastAsia="en-AU"/>
        </w:rPr>
        <w:t>and is then adjusted, on an annual basis (or for a part year, where necessary), until:</w:t>
      </w:r>
    </w:p>
    <w:p w14:paraId="60C734D1" w14:textId="77777777" w:rsidR="00C739FB" w:rsidRPr="0089028E" w:rsidRDefault="00C739FB" w:rsidP="002853E9">
      <w:pPr>
        <w:pStyle w:val="ListParagraph"/>
        <w:numPr>
          <w:ilvl w:val="0"/>
          <w:numId w:val="4"/>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superannuation benefits are payable to the spouse who has the superannuation interest (‘the member spouse’); or</w:t>
      </w:r>
    </w:p>
    <w:p w14:paraId="55422E09" w14:textId="77777777" w:rsidR="006B622F" w:rsidRPr="006B622F" w:rsidRDefault="00C739FB" w:rsidP="002853E9">
      <w:pPr>
        <w:pStyle w:val="ListParagraph"/>
        <w:numPr>
          <w:ilvl w:val="0"/>
          <w:numId w:val="4"/>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 xml:space="preserve">the member spouse’s interest is split, at some earlier time, under the </w:t>
      </w:r>
      <w:r w:rsidRPr="0089028E">
        <w:rPr>
          <w:rFonts w:ascii="Times New Roman" w:eastAsia="Times New Roman" w:hAnsi="Times New Roman" w:cs="Times New Roman"/>
          <w:i/>
          <w:iCs/>
          <w:sz w:val="24"/>
          <w:szCs w:val="24"/>
          <w:lang w:eastAsia="en-AU"/>
        </w:rPr>
        <w:t>Superannuation Industry (Supervision) Regulations 1994</w:t>
      </w:r>
      <w:r w:rsidRPr="0089028E">
        <w:rPr>
          <w:rFonts w:ascii="Times New Roman" w:eastAsia="Times New Roman" w:hAnsi="Times New Roman" w:cs="Times New Roman"/>
          <w:sz w:val="24"/>
          <w:szCs w:val="24"/>
          <w:lang w:eastAsia="en-AU"/>
        </w:rPr>
        <w:t xml:space="preserve">, the </w:t>
      </w:r>
      <w:r w:rsidRPr="0089028E">
        <w:rPr>
          <w:rFonts w:ascii="Times New Roman" w:eastAsia="Times New Roman" w:hAnsi="Times New Roman" w:cs="Times New Roman"/>
          <w:i/>
          <w:iCs/>
          <w:sz w:val="24"/>
          <w:szCs w:val="24"/>
          <w:lang w:eastAsia="en-AU"/>
        </w:rPr>
        <w:t>Retirement Savings Regulations 1997</w:t>
      </w:r>
      <w:r w:rsidRPr="0089028E">
        <w:rPr>
          <w:rFonts w:ascii="Times New Roman" w:eastAsia="Times New Roman" w:hAnsi="Times New Roman" w:cs="Times New Roman"/>
          <w:sz w:val="24"/>
          <w:szCs w:val="24"/>
          <w:lang w:eastAsia="en-AU"/>
        </w:rPr>
        <w:t>, or pursuant to the governing rules of the relevant superannuation fund or scheme in accordance with regulation 14G of the FLS Regulations.</w:t>
      </w:r>
    </w:p>
    <w:p w14:paraId="66ECEFA0" w14:textId="7777777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entitlement of the non-member spouse for whose benefit the order or agreement has been made, when any of those events occurs, is linked to the adjusted base amount under the order or agreement at that time.</w:t>
      </w:r>
    </w:p>
    <w:p w14:paraId="2AB1BD98" w14:textId="7777777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A defined benefit superannuation interest is one which satisfies the definition at regulation 5 of the FLS Regulations. It is typically one where the benefits payable in respect of the interest are linked to the member’s period of membership and salary on cessation of membership of the fund or scheme in which the interest is held.</w:t>
      </w:r>
    </w:p>
    <w:p w14:paraId="7FC33C58" w14:textId="1257C9B2"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 xml:space="preserve">A self managed superannuation fund is a fund with fewer than </w:t>
      </w:r>
      <w:r w:rsidR="00EB5DCF">
        <w:rPr>
          <w:rFonts w:eastAsia="Times New Roman"/>
          <w:sz w:val="24"/>
          <w:szCs w:val="24"/>
          <w:lang w:eastAsia="en-AU"/>
        </w:rPr>
        <w:t>7</w:t>
      </w:r>
      <w:r w:rsidRPr="006B622F">
        <w:rPr>
          <w:rFonts w:eastAsia="Times New Roman"/>
          <w:sz w:val="24"/>
          <w:szCs w:val="24"/>
          <w:lang w:eastAsia="en-AU"/>
        </w:rPr>
        <w:t xml:space="preserve"> members</w:t>
      </w:r>
      <w:r w:rsidR="008F2E06">
        <w:rPr>
          <w:rFonts w:eastAsia="Times New Roman"/>
          <w:sz w:val="24"/>
          <w:szCs w:val="24"/>
          <w:lang w:eastAsia="en-AU"/>
        </w:rPr>
        <w:t xml:space="preserve"> </w:t>
      </w:r>
      <w:r w:rsidRPr="006B622F">
        <w:rPr>
          <w:rFonts w:eastAsia="Times New Roman"/>
          <w:sz w:val="24"/>
          <w:szCs w:val="24"/>
          <w:lang w:eastAsia="en-AU"/>
        </w:rPr>
        <w:t xml:space="preserve">that satisfies certain conditions under the </w:t>
      </w:r>
      <w:r w:rsidRPr="006B622F">
        <w:rPr>
          <w:rFonts w:eastAsia="Times New Roman"/>
          <w:i/>
          <w:iCs/>
          <w:sz w:val="24"/>
          <w:szCs w:val="24"/>
          <w:lang w:eastAsia="en-AU"/>
        </w:rPr>
        <w:t>Superannuation Industry (Supervision) Act 1993</w:t>
      </w:r>
      <w:r w:rsidRPr="006B622F">
        <w:rPr>
          <w:rFonts w:eastAsia="Times New Roman"/>
          <w:sz w:val="24"/>
          <w:szCs w:val="24"/>
          <w:lang w:eastAsia="en-AU"/>
        </w:rPr>
        <w:t>.</w:t>
      </w:r>
    </w:p>
    <w:p w14:paraId="7FEEEAC9" w14:textId="77777777" w:rsidR="00C739FB"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Where the interest that is subject to an order or agreement is a defined benefit superannuation interest or an interest in a self managed superannuation fund, regulation 45D of the FLS Regulations provides for the Australian Government Actuary to determine:</w:t>
      </w:r>
    </w:p>
    <w:p w14:paraId="0BB213BD" w14:textId="77777777" w:rsidR="00C739FB" w:rsidRPr="0089028E" w:rsidRDefault="00C739FB" w:rsidP="002853E9">
      <w:pPr>
        <w:pStyle w:val="ListParagraph"/>
        <w:numPr>
          <w:ilvl w:val="0"/>
          <w:numId w:val="2"/>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the interest rate for the adjustment of a base amount for any 12 month adjustment period that is a financial year (subregulation 45D(3));</w:t>
      </w:r>
    </w:p>
    <w:p w14:paraId="49ABF0BB" w14:textId="77777777" w:rsidR="00C739FB" w:rsidRPr="0089028E" w:rsidRDefault="00C739FB" w:rsidP="002853E9">
      <w:pPr>
        <w:pStyle w:val="ListParagraph"/>
        <w:numPr>
          <w:ilvl w:val="0"/>
          <w:numId w:val="2"/>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the method by which the interest rate is to be calculated for any adjustment period that is less than 12 months that begins and ends within a financial year (subregulation 45D(4)); and</w:t>
      </w:r>
    </w:p>
    <w:p w14:paraId="643F232D" w14:textId="77777777" w:rsidR="006B622F" w:rsidRPr="006B622F" w:rsidRDefault="00C739FB" w:rsidP="002853E9">
      <w:pPr>
        <w:pStyle w:val="ListParagraph"/>
        <w:numPr>
          <w:ilvl w:val="0"/>
          <w:numId w:val="2"/>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14"/>
          <w:szCs w:val="14"/>
          <w:lang w:eastAsia="en-AU"/>
        </w:rPr>
        <w:lastRenderedPageBreak/>
        <w:t xml:space="preserve"> </w:t>
      </w:r>
      <w:r w:rsidRPr="0089028E">
        <w:rPr>
          <w:rFonts w:ascii="Times New Roman" w:eastAsia="Times New Roman" w:hAnsi="Times New Roman" w:cs="Times New Roman"/>
          <w:sz w:val="24"/>
          <w:szCs w:val="24"/>
          <w:lang w:eastAsia="en-AU"/>
        </w:rPr>
        <w:t>the method by which the interest rate is to be calculated for any adjustment period that begins in one financial year and ends in the following financial year (subregulation 45D(6)).</w:t>
      </w:r>
    </w:p>
    <w:p w14:paraId="65356F1B" w14:textId="77777777" w:rsidR="006B622F" w:rsidRPr="006B622F" w:rsidRDefault="00C739FB" w:rsidP="002853E9">
      <w:pPr>
        <w:pStyle w:val="Numberedparagraph"/>
        <w:spacing w:before="0" w:after="120"/>
        <w:rPr>
          <w:rFonts w:eastAsia="Times New Roman"/>
          <w:sz w:val="24"/>
          <w:szCs w:val="24"/>
          <w:lang w:val="en-US" w:eastAsia="en-AU"/>
        </w:rPr>
      </w:pPr>
      <w:r w:rsidRPr="000C2925">
        <w:rPr>
          <w:rFonts w:eastAsia="Times New Roman"/>
          <w:sz w:val="24"/>
          <w:szCs w:val="24"/>
          <w:lang w:eastAsia="en-AU"/>
        </w:rPr>
        <w:t xml:space="preserve">Consultation on the content of the instrument was undertaken under section 17 of the </w:t>
      </w:r>
      <w:r w:rsidRPr="000C2925">
        <w:rPr>
          <w:rFonts w:eastAsia="Times New Roman"/>
          <w:i/>
          <w:iCs/>
          <w:sz w:val="24"/>
          <w:szCs w:val="24"/>
          <w:lang w:eastAsia="en-AU"/>
        </w:rPr>
        <w:t>Legi</w:t>
      </w:r>
      <w:r w:rsidR="004531FD">
        <w:rPr>
          <w:rFonts w:eastAsia="Times New Roman"/>
          <w:i/>
          <w:iCs/>
          <w:sz w:val="24"/>
          <w:szCs w:val="24"/>
          <w:lang w:eastAsia="en-AU"/>
        </w:rPr>
        <w:t>slation</w:t>
      </w:r>
      <w:r w:rsidRPr="000C2925">
        <w:rPr>
          <w:rFonts w:eastAsia="Times New Roman"/>
          <w:i/>
          <w:iCs/>
          <w:sz w:val="24"/>
          <w:szCs w:val="24"/>
          <w:lang w:eastAsia="en-AU"/>
        </w:rPr>
        <w:t xml:space="preserve"> Act 2003</w:t>
      </w:r>
      <w:r w:rsidR="004531FD">
        <w:rPr>
          <w:rFonts w:eastAsia="Times New Roman"/>
          <w:sz w:val="24"/>
          <w:szCs w:val="24"/>
          <w:lang w:eastAsia="en-AU"/>
        </w:rPr>
        <w:t xml:space="preserve"> (L</w:t>
      </w:r>
      <w:r w:rsidRPr="000C2925">
        <w:rPr>
          <w:rFonts w:eastAsia="Times New Roman"/>
          <w:sz w:val="24"/>
          <w:szCs w:val="24"/>
          <w:lang w:eastAsia="en-AU"/>
        </w:rPr>
        <w:t>A) with the Attorney-General’s Department by way of exchange of correspondence and discussions.</w:t>
      </w:r>
    </w:p>
    <w:p w14:paraId="4DF43F04" w14:textId="41A3502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Determination commenced on 1 July 20</w:t>
      </w:r>
      <w:r w:rsidR="00531581">
        <w:rPr>
          <w:rFonts w:eastAsia="Times New Roman"/>
          <w:sz w:val="24"/>
          <w:szCs w:val="24"/>
          <w:lang w:eastAsia="en-AU"/>
        </w:rPr>
        <w:t>2</w:t>
      </w:r>
      <w:r w:rsidR="00C62D20">
        <w:rPr>
          <w:rFonts w:eastAsia="Times New Roman"/>
          <w:sz w:val="24"/>
          <w:szCs w:val="24"/>
          <w:lang w:eastAsia="en-AU"/>
        </w:rPr>
        <w:t>3</w:t>
      </w:r>
      <w:r w:rsidRPr="006B622F">
        <w:rPr>
          <w:rFonts w:eastAsia="Times New Roman"/>
          <w:sz w:val="24"/>
          <w:szCs w:val="24"/>
          <w:lang w:eastAsia="en-AU"/>
        </w:rPr>
        <w:t>.</w:t>
      </w:r>
    </w:p>
    <w:p w14:paraId="2E225EFC" w14:textId="77777777" w:rsidR="00165AB6"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Determination is a legislative instr</w:t>
      </w:r>
      <w:r w:rsidR="004531FD">
        <w:rPr>
          <w:rFonts w:eastAsia="Times New Roman"/>
          <w:sz w:val="24"/>
          <w:szCs w:val="24"/>
          <w:lang w:eastAsia="en-AU"/>
        </w:rPr>
        <w:t>ument for the purposes of the L</w:t>
      </w:r>
      <w:r w:rsidRPr="006B622F">
        <w:rPr>
          <w:rFonts w:eastAsia="Times New Roman"/>
          <w:sz w:val="24"/>
          <w:szCs w:val="24"/>
          <w:lang w:eastAsia="en-AU"/>
        </w:rPr>
        <w:t>A.</w:t>
      </w:r>
    </w:p>
    <w:p w14:paraId="77A2BDEA" w14:textId="6DEB9ECB" w:rsidR="00165AB6" w:rsidRPr="00F04A92" w:rsidRDefault="00165AB6" w:rsidP="002853E9">
      <w:pPr>
        <w:pStyle w:val="Numberedparagraph"/>
        <w:spacing w:before="0" w:after="120"/>
        <w:rPr>
          <w:rFonts w:eastAsia="Times New Roman"/>
          <w:sz w:val="24"/>
          <w:szCs w:val="24"/>
          <w:lang w:val="en-US" w:eastAsia="en-AU"/>
        </w:rPr>
      </w:pPr>
      <w:r>
        <w:rPr>
          <w:rFonts w:eastAsia="Times New Roman"/>
          <w:sz w:val="24"/>
          <w:szCs w:val="24"/>
          <w:lang w:val="en-US" w:eastAsia="en-AU"/>
        </w:rPr>
        <w:t xml:space="preserve">In </w:t>
      </w:r>
      <w:r>
        <w:rPr>
          <w:sz w:val="24"/>
          <w:szCs w:val="24"/>
        </w:rPr>
        <w:t xml:space="preserve">accordance with table item 3 in section 9 of the </w:t>
      </w:r>
      <w:r w:rsidRPr="00271DC1">
        <w:rPr>
          <w:i/>
          <w:sz w:val="24"/>
          <w:szCs w:val="24"/>
        </w:rPr>
        <w:t>Legislation (Exemptions and Other Matters) Regulation 2015</w:t>
      </w:r>
      <w:r>
        <w:rPr>
          <w:sz w:val="24"/>
          <w:szCs w:val="24"/>
        </w:rPr>
        <w:t>, the Determination is not subject to disallowance, as it is an instrument (other than a regulation) relating to superannuation.</w:t>
      </w:r>
    </w:p>
    <w:p w14:paraId="0337C930" w14:textId="71C74FF5" w:rsidR="00F04A92" w:rsidRPr="004B6CB5" w:rsidRDefault="00F04A92" w:rsidP="004B6CB5">
      <w:pPr>
        <w:pStyle w:val="Numberedparagraph"/>
        <w:spacing w:before="0" w:after="120"/>
        <w:rPr>
          <w:rFonts w:eastAsia="Times New Roman"/>
          <w:sz w:val="24"/>
          <w:szCs w:val="24"/>
          <w:lang w:val="en-US" w:eastAsia="en-AU"/>
        </w:rPr>
      </w:pPr>
      <w:r>
        <w:rPr>
          <w:rFonts w:eastAsia="Times New Roman"/>
          <w:sz w:val="24"/>
          <w:szCs w:val="24"/>
          <w:lang w:val="en-US" w:eastAsia="en-AU"/>
        </w:rPr>
        <w:t xml:space="preserve">In accordance with table item 6 in section 11 of the </w:t>
      </w:r>
      <w:r w:rsidRPr="00271DC1">
        <w:rPr>
          <w:i/>
          <w:sz w:val="24"/>
          <w:szCs w:val="24"/>
        </w:rPr>
        <w:t>Legislation (Exemptions and Other Matters) Regulation 2015</w:t>
      </w:r>
      <w:r>
        <w:rPr>
          <w:i/>
          <w:sz w:val="24"/>
          <w:szCs w:val="24"/>
        </w:rPr>
        <w:t>,</w:t>
      </w:r>
      <w:r>
        <w:rPr>
          <w:sz w:val="24"/>
          <w:szCs w:val="24"/>
        </w:rPr>
        <w:t xml:space="preserve"> the Determination is not subject to sunsetting, as it is an instrument (other than a regulation) relating to superannuation.</w:t>
      </w:r>
    </w:p>
    <w:p w14:paraId="395CA814" w14:textId="77777777" w:rsidR="006B622F" w:rsidRPr="002853E9"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Details of the Determination are as follows:</w:t>
      </w:r>
    </w:p>
    <w:p w14:paraId="32A8DAA9"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1 — Name of Determination</w:t>
      </w:r>
    </w:p>
    <w:p w14:paraId="12D9659B" w14:textId="0330D7E2"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 xml:space="preserve">Section 1 provides that the title of the instrument is the </w:t>
      </w:r>
      <w:r w:rsidRPr="006B622F">
        <w:rPr>
          <w:rFonts w:eastAsia="Times New Roman"/>
          <w:i/>
          <w:sz w:val="24"/>
          <w:szCs w:val="24"/>
          <w:lang w:eastAsia="en-AU"/>
        </w:rPr>
        <w:t>Family Law (Superannuation) (Interest Rate for Adjustment Period) Determination 20</w:t>
      </w:r>
      <w:r w:rsidR="00531581">
        <w:rPr>
          <w:rFonts w:eastAsia="Times New Roman"/>
          <w:i/>
          <w:sz w:val="24"/>
          <w:szCs w:val="24"/>
          <w:lang w:eastAsia="en-AU"/>
        </w:rPr>
        <w:t>2</w:t>
      </w:r>
      <w:r w:rsidR="00FC33B3">
        <w:rPr>
          <w:rFonts w:eastAsia="Times New Roman"/>
          <w:i/>
          <w:sz w:val="24"/>
          <w:szCs w:val="24"/>
          <w:lang w:eastAsia="en-AU"/>
        </w:rPr>
        <w:t>3</w:t>
      </w:r>
      <w:r w:rsidRPr="006B622F">
        <w:rPr>
          <w:rFonts w:eastAsia="Times New Roman"/>
          <w:sz w:val="24"/>
          <w:szCs w:val="24"/>
          <w:lang w:eastAsia="en-AU"/>
        </w:rPr>
        <w:t>.</w:t>
      </w:r>
    </w:p>
    <w:p w14:paraId="391BA77A"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2 — Commencement</w:t>
      </w:r>
    </w:p>
    <w:p w14:paraId="74F4C7B0" w14:textId="5B79D487"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Section 2 provides that the instrument commences on 1 July 20</w:t>
      </w:r>
      <w:r w:rsidR="00531581">
        <w:rPr>
          <w:rFonts w:eastAsia="Times New Roman"/>
          <w:sz w:val="24"/>
          <w:szCs w:val="24"/>
          <w:lang w:eastAsia="en-AU"/>
        </w:rPr>
        <w:t>2</w:t>
      </w:r>
      <w:r w:rsidR="00FC33B3">
        <w:rPr>
          <w:rFonts w:eastAsia="Times New Roman"/>
          <w:sz w:val="24"/>
          <w:szCs w:val="24"/>
          <w:lang w:eastAsia="en-AU"/>
        </w:rPr>
        <w:t>3</w:t>
      </w:r>
      <w:r w:rsidRPr="006B622F">
        <w:rPr>
          <w:rFonts w:eastAsia="Times New Roman"/>
          <w:sz w:val="24"/>
          <w:szCs w:val="24"/>
          <w:lang w:eastAsia="en-AU"/>
        </w:rPr>
        <w:t>.</w:t>
      </w:r>
    </w:p>
    <w:p w14:paraId="6D9D9901"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3 – Authority</w:t>
      </w:r>
    </w:p>
    <w:p w14:paraId="5203B51F" w14:textId="77777777"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 xml:space="preserve">Section 3 provides that the instrument is made under regulation 45D of the </w:t>
      </w:r>
      <w:r w:rsidRPr="006B622F">
        <w:rPr>
          <w:rFonts w:eastAsia="Times New Roman"/>
          <w:i/>
          <w:sz w:val="24"/>
          <w:szCs w:val="24"/>
          <w:lang w:eastAsia="en-AU"/>
        </w:rPr>
        <w:t xml:space="preserve">Family Law (Superannuation) Regulations 2001 </w:t>
      </w:r>
      <w:r w:rsidRPr="006B622F">
        <w:rPr>
          <w:rFonts w:eastAsia="Times New Roman"/>
          <w:sz w:val="24"/>
          <w:szCs w:val="24"/>
          <w:lang w:eastAsia="en-AU"/>
        </w:rPr>
        <w:t xml:space="preserve">(the FLS Regulations). </w:t>
      </w:r>
    </w:p>
    <w:p w14:paraId="7348468B"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4 — Definition</w:t>
      </w:r>
    </w:p>
    <w:p w14:paraId="36C72BFF" w14:textId="77777777"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Section 4 provides that in this instrument where the term</w:t>
      </w:r>
      <w:r w:rsidRPr="006B622F">
        <w:rPr>
          <w:rFonts w:eastAsia="Times New Roman"/>
          <w:b/>
          <w:i/>
          <w:sz w:val="24"/>
          <w:szCs w:val="24"/>
          <w:lang w:eastAsia="en-AU"/>
        </w:rPr>
        <w:t xml:space="preserve"> regulations</w:t>
      </w:r>
      <w:r w:rsidRPr="006B622F">
        <w:rPr>
          <w:rFonts w:eastAsia="Times New Roman"/>
          <w:sz w:val="24"/>
          <w:szCs w:val="24"/>
          <w:lang w:eastAsia="en-AU"/>
        </w:rPr>
        <w:t xml:space="preserve"> is used it means the FLS Regulations.</w:t>
      </w:r>
    </w:p>
    <w:p w14:paraId="11EFA5E3"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5 — Adjustment period – financial year</w:t>
      </w:r>
    </w:p>
    <w:p w14:paraId="31BBBD8C" w14:textId="09DC6957" w:rsidR="00C739FB" w:rsidRPr="006B622F"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ection 5 of the instrument, the Australian Government Actuary determines, under subregulation 45D(3) of the FLS Regulations, that the interest rate is 0.0</w:t>
      </w:r>
      <w:r w:rsidR="00FC33B3">
        <w:rPr>
          <w:rFonts w:eastAsia="Times New Roman"/>
          <w:sz w:val="24"/>
          <w:szCs w:val="24"/>
          <w:lang w:eastAsia="en-AU"/>
        </w:rPr>
        <w:t>59</w:t>
      </w:r>
      <w:r w:rsidR="00C739FB" w:rsidRPr="006B622F">
        <w:rPr>
          <w:rFonts w:eastAsia="Times New Roman"/>
          <w:sz w:val="24"/>
          <w:szCs w:val="24"/>
          <w:lang w:eastAsia="en-AU"/>
        </w:rPr>
        <w:t xml:space="preserve"> where the adjustment period is the financial year beginning on 1 July 20</w:t>
      </w:r>
      <w:r w:rsidR="00531581">
        <w:rPr>
          <w:rFonts w:eastAsia="Times New Roman"/>
          <w:sz w:val="24"/>
          <w:szCs w:val="24"/>
          <w:lang w:eastAsia="en-AU"/>
        </w:rPr>
        <w:t>2</w:t>
      </w:r>
      <w:r w:rsidR="00FC33B3">
        <w:rPr>
          <w:rFonts w:eastAsia="Times New Roman"/>
          <w:sz w:val="24"/>
          <w:szCs w:val="24"/>
          <w:lang w:eastAsia="en-AU"/>
        </w:rPr>
        <w:t>3</w:t>
      </w:r>
      <w:r w:rsidR="00C739FB" w:rsidRPr="006B622F">
        <w:rPr>
          <w:rFonts w:eastAsia="Times New Roman"/>
          <w:sz w:val="24"/>
          <w:szCs w:val="24"/>
          <w:lang w:eastAsia="en-AU"/>
        </w:rPr>
        <w:t xml:space="preserve">. This rate is 2.5 percentage points above the percentage change in the original estimate of full-time adult ordinary time earnings for all persons in Australia as published by the Australian Bureau of Statistics for the year ending with the </w:t>
      </w:r>
      <w:r w:rsidR="00C739FB" w:rsidRPr="00EA6B5A">
        <w:rPr>
          <w:rFonts w:eastAsia="Times New Roman"/>
          <w:sz w:val="24"/>
          <w:szCs w:val="24"/>
          <w:lang w:eastAsia="en-AU"/>
        </w:rPr>
        <w:t>November 20</w:t>
      </w:r>
      <w:r w:rsidR="00DF5859">
        <w:rPr>
          <w:rFonts w:eastAsia="Times New Roman"/>
          <w:sz w:val="24"/>
          <w:szCs w:val="24"/>
          <w:lang w:eastAsia="en-AU"/>
        </w:rPr>
        <w:t>2</w:t>
      </w:r>
      <w:r w:rsidR="00FC33B3">
        <w:rPr>
          <w:rFonts w:eastAsia="Times New Roman"/>
          <w:sz w:val="24"/>
          <w:szCs w:val="24"/>
          <w:lang w:eastAsia="en-AU"/>
        </w:rPr>
        <w:t>2</w:t>
      </w:r>
      <w:r w:rsidR="00C739FB" w:rsidRPr="00EA6B5A">
        <w:rPr>
          <w:rFonts w:eastAsia="Times New Roman"/>
          <w:sz w:val="24"/>
          <w:szCs w:val="24"/>
          <w:lang w:eastAsia="en-AU"/>
        </w:rPr>
        <w:t xml:space="preserve"> </w:t>
      </w:r>
      <w:r w:rsidR="00F83416" w:rsidRPr="00EA6B5A">
        <w:rPr>
          <w:sz w:val="24"/>
          <w:szCs w:val="24"/>
        </w:rPr>
        <w:t>reference period</w:t>
      </w:r>
      <w:r w:rsidR="00C739FB" w:rsidRPr="00EA6B5A">
        <w:rPr>
          <w:rFonts w:eastAsia="Times New Roman"/>
          <w:sz w:val="24"/>
          <w:szCs w:val="24"/>
          <w:lang w:eastAsia="en-AU"/>
        </w:rPr>
        <w:t>.</w:t>
      </w:r>
    </w:p>
    <w:p w14:paraId="0A6373A9" w14:textId="77777777" w:rsidR="00C739FB" w:rsidRPr="000C2925" w:rsidRDefault="00C739FB" w:rsidP="002853E9">
      <w:pPr>
        <w:keepNext/>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6 — Adjustment period – less than 12 months within financial year</w:t>
      </w:r>
    </w:p>
    <w:p w14:paraId="2458DF08" w14:textId="26A2397E" w:rsidR="00C739FB" w:rsidRPr="00EA6B5A"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ection 6 of the instrument, the Australian Government Actuary determines, under subregulation 45D(4) of the FLS Regulations, the method for calculating the interest rate where the adjustment period is less than 12 months and begins and ends in the financial year beginning on 1 July 20</w:t>
      </w:r>
      <w:r w:rsidR="009E2D97">
        <w:rPr>
          <w:rFonts w:eastAsia="Times New Roman"/>
          <w:sz w:val="24"/>
          <w:szCs w:val="24"/>
          <w:lang w:eastAsia="en-AU"/>
        </w:rPr>
        <w:t>2</w:t>
      </w:r>
      <w:r w:rsidR="00FC33B3">
        <w:rPr>
          <w:rFonts w:eastAsia="Times New Roman"/>
          <w:sz w:val="24"/>
          <w:szCs w:val="24"/>
          <w:lang w:eastAsia="en-AU"/>
        </w:rPr>
        <w:t>3</w:t>
      </w:r>
      <w:r w:rsidR="00C739FB" w:rsidRPr="006B622F">
        <w:rPr>
          <w:rFonts w:eastAsia="Times New Roman"/>
          <w:sz w:val="24"/>
          <w:szCs w:val="24"/>
          <w:lang w:eastAsia="en-AU"/>
        </w:rPr>
        <w:t>. The method provides for the calculation of a rate by reference to a rate that is 2.5 percentage points above the percentage change in the original estimate of full</w:t>
      </w:r>
      <w:r w:rsidR="00C739FB" w:rsidRPr="006B622F">
        <w:rPr>
          <w:rFonts w:eastAsia="Times New Roman"/>
          <w:sz w:val="24"/>
          <w:szCs w:val="24"/>
          <w:lang w:eastAsia="en-AU"/>
        </w:rPr>
        <w:noBreakHyphen/>
        <w:t xml:space="preserve">time adult ordinary time earnings for all persons in Australia as published by the Australian Bureau of Statistics for the year ending with the </w:t>
      </w:r>
      <w:r w:rsidR="00C739FB" w:rsidRPr="00B613C8">
        <w:rPr>
          <w:rFonts w:eastAsia="Times New Roman"/>
          <w:sz w:val="24"/>
          <w:szCs w:val="24"/>
          <w:lang w:eastAsia="en-AU"/>
        </w:rPr>
        <w:t xml:space="preserve">November </w:t>
      </w:r>
      <w:r w:rsidR="00C739FB" w:rsidRPr="00EA6B5A">
        <w:rPr>
          <w:rFonts w:eastAsia="Times New Roman"/>
          <w:sz w:val="24"/>
          <w:szCs w:val="24"/>
          <w:lang w:eastAsia="en-AU"/>
        </w:rPr>
        <w:t>20</w:t>
      </w:r>
      <w:r w:rsidR="00DF5859">
        <w:rPr>
          <w:rFonts w:eastAsia="Times New Roman"/>
          <w:sz w:val="24"/>
          <w:szCs w:val="24"/>
          <w:lang w:eastAsia="en-AU"/>
        </w:rPr>
        <w:t>2</w:t>
      </w:r>
      <w:r w:rsidR="00FC33B3">
        <w:rPr>
          <w:rFonts w:eastAsia="Times New Roman"/>
          <w:sz w:val="24"/>
          <w:szCs w:val="24"/>
          <w:lang w:eastAsia="en-AU"/>
        </w:rPr>
        <w:t>2</w:t>
      </w:r>
      <w:r w:rsidR="00C739FB" w:rsidRPr="00EA6B5A">
        <w:rPr>
          <w:rFonts w:eastAsia="Times New Roman"/>
          <w:sz w:val="24"/>
          <w:szCs w:val="24"/>
          <w:lang w:eastAsia="en-AU"/>
        </w:rPr>
        <w:t xml:space="preserve"> </w:t>
      </w:r>
      <w:r w:rsidR="00F83416" w:rsidRPr="00EA6B5A">
        <w:rPr>
          <w:sz w:val="24"/>
          <w:szCs w:val="24"/>
        </w:rPr>
        <w:t>reference period</w:t>
      </w:r>
      <w:r w:rsidR="00C739FB" w:rsidRPr="00EA6B5A">
        <w:rPr>
          <w:rFonts w:eastAsia="Times New Roman"/>
          <w:sz w:val="24"/>
          <w:szCs w:val="24"/>
          <w:lang w:eastAsia="en-AU"/>
        </w:rPr>
        <w:t>.</w:t>
      </w:r>
    </w:p>
    <w:p w14:paraId="1079BECA" w14:textId="77777777" w:rsidR="00314EEA" w:rsidRDefault="00314EEA" w:rsidP="002853E9">
      <w:pPr>
        <w:spacing w:after="120" w:line="240" w:lineRule="auto"/>
        <w:rPr>
          <w:rFonts w:ascii="Times New Roman" w:eastAsia="Times New Roman" w:hAnsi="Times New Roman" w:cs="Times New Roman"/>
          <w:b/>
          <w:i/>
          <w:sz w:val="24"/>
          <w:szCs w:val="24"/>
          <w:lang w:eastAsia="en-AU"/>
        </w:rPr>
      </w:pPr>
    </w:p>
    <w:p w14:paraId="0070F812" w14:textId="35FB9B18"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lastRenderedPageBreak/>
        <w:t>Section 7 — Adjustment period – 12 months not within financial year</w:t>
      </w:r>
    </w:p>
    <w:p w14:paraId="08E98CEE" w14:textId="4A001B6C" w:rsidR="00C739FB" w:rsidRPr="006B622F"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ection 7 of the instrument, the Australian Government Actuary determines, under subregulation 45D(6) of the FLS Regulations, the method for calculating the interest rate where the adjustment period is exactly 12 months and begins in the financial year beginning on 1 July 20</w:t>
      </w:r>
      <w:r w:rsidR="00946DC9">
        <w:rPr>
          <w:rFonts w:eastAsia="Times New Roman"/>
          <w:sz w:val="24"/>
          <w:szCs w:val="24"/>
          <w:lang w:eastAsia="en-AU"/>
        </w:rPr>
        <w:t>2</w:t>
      </w:r>
      <w:r w:rsidR="00FC33B3">
        <w:rPr>
          <w:rFonts w:eastAsia="Times New Roman"/>
          <w:sz w:val="24"/>
          <w:szCs w:val="24"/>
          <w:lang w:eastAsia="en-AU"/>
        </w:rPr>
        <w:t>2</w:t>
      </w:r>
      <w:r w:rsidR="00C739FB" w:rsidRPr="006B622F">
        <w:rPr>
          <w:rFonts w:eastAsia="Times New Roman"/>
          <w:sz w:val="24"/>
          <w:szCs w:val="24"/>
          <w:lang w:eastAsia="en-AU"/>
        </w:rPr>
        <w:t xml:space="preserve"> and ends in the financial year beginning on 1 July 20</w:t>
      </w:r>
      <w:r w:rsidR="009E2D97">
        <w:rPr>
          <w:rFonts w:eastAsia="Times New Roman"/>
          <w:sz w:val="24"/>
          <w:szCs w:val="24"/>
          <w:lang w:eastAsia="en-AU"/>
        </w:rPr>
        <w:t>2</w:t>
      </w:r>
      <w:r w:rsidR="00FC33B3">
        <w:rPr>
          <w:rFonts w:eastAsia="Times New Roman"/>
          <w:sz w:val="24"/>
          <w:szCs w:val="24"/>
          <w:lang w:eastAsia="en-AU"/>
        </w:rPr>
        <w:t>3</w:t>
      </w:r>
      <w:r w:rsidR="00C739FB" w:rsidRPr="006B622F">
        <w:rPr>
          <w:rFonts w:eastAsia="Times New Roman"/>
          <w:sz w:val="24"/>
          <w:szCs w:val="24"/>
          <w:lang w:eastAsia="en-AU"/>
        </w:rPr>
        <w:t>.</w:t>
      </w:r>
    </w:p>
    <w:p w14:paraId="02D03765" w14:textId="77777777" w:rsidR="00C739FB" w:rsidRPr="000C2925" w:rsidRDefault="00C739FB" w:rsidP="002853E9">
      <w:pPr>
        <w:keepNext/>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8 — Adjustment period – less than 12 months not within financial year</w:t>
      </w:r>
    </w:p>
    <w:p w14:paraId="08E9CDC3" w14:textId="5D7FF163" w:rsidR="006B622F" w:rsidRPr="006B622F"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ection 8 of the instrument, the Australian Government Actuary determines, under subregulation 45D(6) of the FLS Regulations, the method for calculating the interest rate where the adjustment period is less than 12 months and begins in the financial year beginning on 1 July 20</w:t>
      </w:r>
      <w:r w:rsidR="00DF5859">
        <w:rPr>
          <w:rFonts w:eastAsia="Times New Roman"/>
          <w:sz w:val="24"/>
          <w:szCs w:val="24"/>
          <w:lang w:eastAsia="en-AU"/>
        </w:rPr>
        <w:t>2</w:t>
      </w:r>
      <w:r w:rsidR="00FC33B3">
        <w:rPr>
          <w:rFonts w:eastAsia="Times New Roman"/>
          <w:sz w:val="24"/>
          <w:szCs w:val="24"/>
          <w:lang w:eastAsia="en-AU"/>
        </w:rPr>
        <w:t>2</w:t>
      </w:r>
      <w:r w:rsidR="00C739FB" w:rsidRPr="006B622F">
        <w:rPr>
          <w:rFonts w:eastAsia="Times New Roman"/>
          <w:sz w:val="24"/>
          <w:szCs w:val="24"/>
          <w:lang w:eastAsia="en-AU"/>
        </w:rPr>
        <w:t xml:space="preserve"> and ends in the financial year beginning on 1 July 20</w:t>
      </w:r>
      <w:r w:rsidR="00176D24">
        <w:rPr>
          <w:rFonts w:eastAsia="Times New Roman"/>
          <w:sz w:val="24"/>
          <w:szCs w:val="24"/>
          <w:lang w:eastAsia="en-AU"/>
        </w:rPr>
        <w:t>2</w:t>
      </w:r>
      <w:r w:rsidR="00FC33B3">
        <w:rPr>
          <w:rFonts w:eastAsia="Times New Roman"/>
          <w:sz w:val="24"/>
          <w:szCs w:val="24"/>
          <w:lang w:eastAsia="en-AU"/>
        </w:rPr>
        <w:t>3</w:t>
      </w:r>
      <w:r w:rsidR="00C739FB" w:rsidRPr="006B622F">
        <w:rPr>
          <w:rFonts w:eastAsia="Times New Roman"/>
          <w:sz w:val="24"/>
          <w:szCs w:val="24"/>
          <w:lang w:eastAsia="en-AU"/>
        </w:rPr>
        <w:t>.</w:t>
      </w:r>
    </w:p>
    <w:p w14:paraId="0C87662F" w14:textId="77777777" w:rsidR="00C739FB"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methods determined under subregulation 45D(6) of the FLS Regulations provide for the calculation of rates by reference to the following rates:</w:t>
      </w:r>
    </w:p>
    <w:p w14:paraId="4167CB9B" w14:textId="0635D85D" w:rsidR="00C739FB" w:rsidRPr="00744004" w:rsidRDefault="00C739FB" w:rsidP="002853E9">
      <w:pPr>
        <w:pStyle w:val="ListParagraph"/>
        <w:numPr>
          <w:ilvl w:val="0"/>
          <w:numId w:val="5"/>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 xml:space="preserve">a rate that is 2.5 percentage points </w:t>
      </w:r>
      <w:r w:rsidR="00F323B8">
        <w:rPr>
          <w:rFonts w:ascii="Times New Roman" w:eastAsia="Times New Roman" w:hAnsi="Times New Roman" w:cs="Times New Roman"/>
          <w:sz w:val="24"/>
          <w:szCs w:val="24"/>
          <w:lang w:eastAsia="en-AU"/>
        </w:rPr>
        <w:t xml:space="preserve">above </w:t>
      </w:r>
      <w:r w:rsidRPr="0089028E">
        <w:rPr>
          <w:rFonts w:ascii="Times New Roman" w:eastAsia="Times New Roman" w:hAnsi="Times New Roman" w:cs="Times New Roman"/>
          <w:sz w:val="24"/>
          <w:szCs w:val="24"/>
          <w:lang w:eastAsia="en-AU"/>
        </w:rPr>
        <w:t>the percentage change in the original estimate of full-time adult ordinary time earnings for all persons in Australia as published by the Australian Bureau of Statistics for the year ending with the November 20</w:t>
      </w:r>
      <w:r w:rsidR="0087029B">
        <w:rPr>
          <w:rFonts w:ascii="Times New Roman" w:eastAsia="Times New Roman" w:hAnsi="Times New Roman" w:cs="Times New Roman"/>
          <w:sz w:val="24"/>
          <w:szCs w:val="24"/>
          <w:lang w:eastAsia="en-AU"/>
        </w:rPr>
        <w:t>2</w:t>
      </w:r>
      <w:r w:rsidR="00FC33B3">
        <w:rPr>
          <w:rFonts w:ascii="Times New Roman" w:eastAsia="Times New Roman" w:hAnsi="Times New Roman" w:cs="Times New Roman"/>
          <w:sz w:val="24"/>
          <w:szCs w:val="24"/>
          <w:lang w:eastAsia="en-AU"/>
        </w:rPr>
        <w:t>1</w:t>
      </w:r>
      <w:r w:rsidRPr="0089028E">
        <w:rPr>
          <w:rFonts w:ascii="Times New Roman" w:eastAsia="Times New Roman" w:hAnsi="Times New Roman" w:cs="Times New Roman"/>
          <w:sz w:val="24"/>
          <w:szCs w:val="24"/>
          <w:lang w:eastAsia="en-AU"/>
        </w:rPr>
        <w:t xml:space="preserve"> reference period. This rate applies for that part of the adjustment period that is in the financial year beginning on 1 July 20</w:t>
      </w:r>
      <w:r w:rsidR="00DF5859">
        <w:rPr>
          <w:rFonts w:ascii="Times New Roman" w:eastAsia="Times New Roman" w:hAnsi="Times New Roman" w:cs="Times New Roman"/>
          <w:sz w:val="24"/>
          <w:szCs w:val="24"/>
          <w:lang w:eastAsia="en-AU"/>
        </w:rPr>
        <w:t>2</w:t>
      </w:r>
      <w:r w:rsidR="00FC33B3">
        <w:rPr>
          <w:rFonts w:ascii="Times New Roman" w:eastAsia="Times New Roman" w:hAnsi="Times New Roman" w:cs="Times New Roman"/>
          <w:sz w:val="24"/>
          <w:szCs w:val="24"/>
          <w:lang w:eastAsia="en-AU"/>
        </w:rPr>
        <w:t>2</w:t>
      </w:r>
      <w:r w:rsidRPr="0089028E">
        <w:rPr>
          <w:rFonts w:ascii="Times New Roman" w:eastAsia="Times New Roman" w:hAnsi="Times New Roman" w:cs="Times New Roman"/>
          <w:sz w:val="24"/>
          <w:szCs w:val="24"/>
          <w:lang w:eastAsia="en-AU"/>
        </w:rPr>
        <w:t>; and</w:t>
      </w:r>
    </w:p>
    <w:p w14:paraId="45FAC487" w14:textId="6B67699F" w:rsidR="00744004" w:rsidRPr="0089028E" w:rsidRDefault="00744004" w:rsidP="002853E9">
      <w:pPr>
        <w:pStyle w:val="ListParagraph"/>
        <w:numPr>
          <w:ilvl w:val="0"/>
          <w:numId w:val="5"/>
        </w:numPr>
        <w:spacing w:after="120" w:line="240" w:lineRule="auto"/>
        <w:contextualSpacing w:val="0"/>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a </w:t>
      </w:r>
      <w:r w:rsidRPr="00C1379D">
        <w:rPr>
          <w:rFonts w:ascii="Times New Roman" w:eastAsia="Times New Roman" w:hAnsi="Times New Roman" w:cs="Times New Roman"/>
          <w:sz w:val="24"/>
          <w:szCs w:val="24"/>
          <w:lang w:eastAsia="en-AU"/>
        </w:rPr>
        <w:t>rate that is 2.5 percentage points above the percentage change in the original estimate of full-time adult ordinary time earnings for all persons in Australia as published by the Australian Bureau of Statistics for the year ending with the November 20</w:t>
      </w:r>
      <w:r w:rsidR="00DF5859">
        <w:rPr>
          <w:rFonts w:ascii="Times New Roman" w:eastAsia="Times New Roman" w:hAnsi="Times New Roman" w:cs="Times New Roman"/>
          <w:sz w:val="24"/>
          <w:szCs w:val="24"/>
          <w:lang w:eastAsia="en-AU"/>
        </w:rPr>
        <w:t>2</w:t>
      </w:r>
      <w:r w:rsidR="00FC33B3">
        <w:rPr>
          <w:rFonts w:ascii="Times New Roman" w:eastAsia="Times New Roman" w:hAnsi="Times New Roman" w:cs="Times New Roman"/>
          <w:sz w:val="24"/>
          <w:szCs w:val="24"/>
          <w:lang w:eastAsia="en-AU"/>
        </w:rPr>
        <w:t>2</w:t>
      </w:r>
      <w:r w:rsidRPr="00C1379D">
        <w:rPr>
          <w:rFonts w:ascii="Times New Roman" w:eastAsia="Times New Roman" w:hAnsi="Times New Roman" w:cs="Times New Roman"/>
          <w:sz w:val="24"/>
          <w:szCs w:val="24"/>
          <w:lang w:eastAsia="en-AU"/>
        </w:rPr>
        <w:t xml:space="preserve"> reference period. This rate applies for that part of the adjustment period that is in the financial year beginning on 1 July 20</w:t>
      </w:r>
      <w:r>
        <w:rPr>
          <w:rFonts w:ascii="Times New Roman" w:eastAsia="Times New Roman" w:hAnsi="Times New Roman" w:cs="Times New Roman"/>
          <w:sz w:val="24"/>
          <w:szCs w:val="24"/>
          <w:lang w:eastAsia="en-AU"/>
        </w:rPr>
        <w:t>2</w:t>
      </w:r>
      <w:r w:rsidR="00FC33B3">
        <w:rPr>
          <w:rFonts w:ascii="Times New Roman" w:eastAsia="Times New Roman" w:hAnsi="Times New Roman" w:cs="Times New Roman"/>
          <w:sz w:val="24"/>
          <w:szCs w:val="24"/>
          <w:lang w:eastAsia="en-AU"/>
        </w:rPr>
        <w:t>3</w:t>
      </w:r>
      <w:r>
        <w:rPr>
          <w:rFonts w:ascii="Times New Roman" w:eastAsia="Times New Roman" w:hAnsi="Times New Roman" w:cs="Times New Roman"/>
          <w:sz w:val="24"/>
          <w:szCs w:val="24"/>
          <w:lang w:eastAsia="en-AU"/>
        </w:rPr>
        <w:t>.</w:t>
      </w:r>
    </w:p>
    <w:p w14:paraId="405247AF" w14:textId="77777777" w:rsidR="00C93218" w:rsidRPr="006C227E" w:rsidRDefault="00C93218" w:rsidP="006C227E">
      <w:pPr>
        <w:spacing w:after="120" w:line="240" w:lineRule="auto"/>
        <w:rPr>
          <w:rFonts w:ascii="Times New Roman" w:hAnsi="Times New Roman" w:cs="Times New Roman"/>
          <w:b/>
        </w:rPr>
      </w:pPr>
    </w:p>
    <w:sectPr w:rsidR="00C93218" w:rsidRPr="006C227E" w:rsidSect="002853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85E1" w14:textId="77777777" w:rsidR="00AD1DDC" w:rsidRDefault="00AD1DDC" w:rsidP="006B622F">
      <w:pPr>
        <w:spacing w:after="0" w:line="240" w:lineRule="auto"/>
      </w:pPr>
      <w:r>
        <w:separator/>
      </w:r>
    </w:p>
  </w:endnote>
  <w:endnote w:type="continuationSeparator" w:id="0">
    <w:p w14:paraId="139894D7" w14:textId="77777777" w:rsidR="00AD1DDC" w:rsidRDefault="00AD1DDC" w:rsidP="006B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5069" w14:textId="194A3659" w:rsidR="00476967" w:rsidRPr="006B622F" w:rsidRDefault="00476967" w:rsidP="002853E9">
    <w:pPr>
      <w:pStyle w:val="Footer"/>
      <w:jc w:val="both"/>
      <w:rPr>
        <w:rFonts w:ascii="Times New Roman" w:hAnsi="Times New Roman" w:cs="Times New Roman"/>
        <w:sz w:val="18"/>
        <w:szCs w:val="18"/>
      </w:rPr>
    </w:pPr>
    <w:r w:rsidRPr="006B622F">
      <w:rPr>
        <w:rFonts w:ascii="Times New Roman" w:hAnsi="Times New Roman" w:cs="Times New Roman"/>
        <w:sz w:val="18"/>
        <w:szCs w:val="18"/>
      </w:rPr>
      <w:t>Family Law (Superannuation) (Interest Rate for Adju</w:t>
    </w:r>
    <w:r w:rsidR="00531581">
      <w:rPr>
        <w:rFonts w:ascii="Times New Roman" w:hAnsi="Times New Roman" w:cs="Times New Roman"/>
        <w:sz w:val="18"/>
        <w:szCs w:val="18"/>
      </w:rPr>
      <w:t>stment Period) Determination 202</w:t>
    </w:r>
    <w:r w:rsidR="00C62D20">
      <w:rPr>
        <w:rFonts w:ascii="Times New Roman" w:hAnsi="Times New Roman" w:cs="Times New Roman"/>
        <w:sz w:val="18"/>
        <w:szCs w:val="18"/>
      </w:rPr>
      <w:t>3</w:t>
    </w:r>
    <w:r w:rsidRPr="006B622F">
      <w:rPr>
        <w:rFonts w:ascii="Times New Roman" w:hAnsi="Times New Roman" w:cs="Times New Roman"/>
        <w:sz w:val="18"/>
        <w:szCs w:val="18"/>
      </w:rPr>
      <w:t xml:space="preserve">—Explanatory Statement </w:t>
    </w:r>
  </w:p>
  <w:p w14:paraId="39BAAEC0" w14:textId="77777777" w:rsidR="00476967" w:rsidRPr="006B622F" w:rsidRDefault="00476967" w:rsidP="006B622F">
    <w:pPr>
      <w:pStyle w:val="Footer"/>
      <w:jc w:val="right"/>
      <w:rPr>
        <w:rFonts w:ascii="Times New Roman" w:hAnsi="Times New Roman" w:cs="Times New Roman"/>
      </w:rPr>
    </w:pPr>
    <w:r>
      <w:rPr>
        <w:rFonts w:ascii="Times New Roman" w:hAnsi="Times New Roman" w:cs="Times New Roman"/>
      </w:rPr>
      <w:ptab w:relativeTo="margin" w:alignment="right" w:leader="none"/>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D7946">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0523" w14:textId="77777777" w:rsidR="00AD1DDC" w:rsidRDefault="00AD1DDC" w:rsidP="006B622F">
      <w:pPr>
        <w:spacing w:after="0" w:line="240" w:lineRule="auto"/>
      </w:pPr>
      <w:r>
        <w:separator/>
      </w:r>
    </w:p>
  </w:footnote>
  <w:footnote w:type="continuationSeparator" w:id="0">
    <w:p w14:paraId="7877B4D5" w14:textId="77777777" w:rsidR="00AD1DDC" w:rsidRDefault="00AD1DDC" w:rsidP="006B6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C0"/>
    <w:multiLevelType w:val="hybridMultilevel"/>
    <w:tmpl w:val="90D02448"/>
    <w:lvl w:ilvl="0" w:tplc="5B240CFC">
      <w:start w:val="8"/>
      <w:numFmt w:val="bullet"/>
      <w:lvlText w:val=""/>
      <w:lvlJc w:val="left"/>
      <w:pPr>
        <w:ind w:left="840" w:hanging="360"/>
      </w:pPr>
      <w:rPr>
        <w:rFonts w:ascii="Symbol" w:eastAsia="Times New Roman" w:hAnsi="Symbol"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36EF1E66"/>
    <w:multiLevelType w:val="hybridMultilevel"/>
    <w:tmpl w:val="AAC26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C06312"/>
    <w:multiLevelType w:val="hybridMultilevel"/>
    <w:tmpl w:val="F4DE7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860EAB"/>
    <w:multiLevelType w:val="hybridMultilevel"/>
    <w:tmpl w:val="B02E3FC4"/>
    <w:lvl w:ilvl="0" w:tplc="9C66650C">
      <w:start w:val="1"/>
      <w:numFmt w:val="decimal"/>
      <w:pStyle w:val="Numberedparagraph"/>
      <w:lvlText w:val="%1."/>
      <w:lvlJc w:val="left"/>
      <w:pPr>
        <w:ind w:left="36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9957C03"/>
    <w:multiLevelType w:val="hybridMultilevel"/>
    <w:tmpl w:val="ACFA7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64FC5"/>
    <w:multiLevelType w:val="hybridMultilevel"/>
    <w:tmpl w:val="10A27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464921"/>
    <w:multiLevelType w:val="hybridMultilevel"/>
    <w:tmpl w:val="79F06E4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7" w15:restartNumberingAfterBreak="0">
    <w:nsid w:val="7C9121B1"/>
    <w:multiLevelType w:val="hybridMultilevel"/>
    <w:tmpl w:val="729E7B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792753285">
    <w:abstractNumId w:val="0"/>
  </w:num>
  <w:num w:numId="2" w16cid:durableId="1357803597">
    <w:abstractNumId w:val="1"/>
  </w:num>
  <w:num w:numId="3" w16cid:durableId="159545748">
    <w:abstractNumId w:val="2"/>
  </w:num>
  <w:num w:numId="4" w16cid:durableId="272127246">
    <w:abstractNumId w:val="4"/>
  </w:num>
  <w:num w:numId="5" w16cid:durableId="1941527058">
    <w:abstractNumId w:val="6"/>
  </w:num>
  <w:num w:numId="6" w16cid:durableId="2111467521">
    <w:abstractNumId w:val="5"/>
  </w:num>
  <w:num w:numId="7" w16cid:durableId="985931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2522006">
    <w:abstractNumId w:val="3"/>
  </w:num>
  <w:num w:numId="9" w16cid:durableId="1852254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0D"/>
    <w:rsid w:val="00040613"/>
    <w:rsid w:val="00044160"/>
    <w:rsid w:val="00065610"/>
    <w:rsid w:val="000811CA"/>
    <w:rsid w:val="00083F48"/>
    <w:rsid w:val="000A7684"/>
    <w:rsid w:val="000C2925"/>
    <w:rsid w:val="000D7946"/>
    <w:rsid w:val="00122048"/>
    <w:rsid w:val="00165AB6"/>
    <w:rsid w:val="00176D24"/>
    <w:rsid w:val="00193887"/>
    <w:rsid w:val="00194B4C"/>
    <w:rsid w:val="001C311A"/>
    <w:rsid w:val="001D1712"/>
    <w:rsid w:val="001E4411"/>
    <w:rsid w:val="002547DE"/>
    <w:rsid w:val="002853E9"/>
    <w:rsid w:val="00290633"/>
    <w:rsid w:val="002B29CF"/>
    <w:rsid w:val="002C089A"/>
    <w:rsid w:val="002D75E4"/>
    <w:rsid w:val="00311777"/>
    <w:rsid w:val="00314EEA"/>
    <w:rsid w:val="00370A8A"/>
    <w:rsid w:val="00385B54"/>
    <w:rsid w:val="003959EA"/>
    <w:rsid w:val="003B559E"/>
    <w:rsid w:val="003C7CDD"/>
    <w:rsid w:val="0041516D"/>
    <w:rsid w:val="00432540"/>
    <w:rsid w:val="004519D6"/>
    <w:rsid w:val="004531FD"/>
    <w:rsid w:val="00476967"/>
    <w:rsid w:val="004B6CB5"/>
    <w:rsid w:val="00531581"/>
    <w:rsid w:val="005519A8"/>
    <w:rsid w:val="005D37ED"/>
    <w:rsid w:val="006006D6"/>
    <w:rsid w:val="0062685F"/>
    <w:rsid w:val="00632C69"/>
    <w:rsid w:val="00667267"/>
    <w:rsid w:val="0068670A"/>
    <w:rsid w:val="00686BB2"/>
    <w:rsid w:val="006A27E2"/>
    <w:rsid w:val="006B622F"/>
    <w:rsid w:val="006C227E"/>
    <w:rsid w:val="006C5AE0"/>
    <w:rsid w:val="006E6B70"/>
    <w:rsid w:val="00700BF2"/>
    <w:rsid w:val="00720270"/>
    <w:rsid w:val="0073467A"/>
    <w:rsid w:val="00744004"/>
    <w:rsid w:val="007451F6"/>
    <w:rsid w:val="0078666D"/>
    <w:rsid w:val="00825E70"/>
    <w:rsid w:val="00847DA8"/>
    <w:rsid w:val="0085684B"/>
    <w:rsid w:val="0087029B"/>
    <w:rsid w:val="0089028E"/>
    <w:rsid w:val="008B516D"/>
    <w:rsid w:val="008E1A8A"/>
    <w:rsid w:val="008F2E06"/>
    <w:rsid w:val="00907B8C"/>
    <w:rsid w:val="00946DC9"/>
    <w:rsid w:val="00963C40"/>
    <w:rsid w:val="00980972"/>
    <w:rsid w:val="009B5174"/>
    <w:rsid w:val="009E2D97"/>
    <w:rsid w:val="009F1E27"/>
    <w:rsid w:val="009F2601"/>
    <w:rsid w:val="00A054E9"/>
    <w:rsid w:val="00A16DBE"/>
    <w:rsid w:val="00A27821"/>
    <w:rsid w:val="00A320EA"/>
    <w:rsid w:val="00A37DA0"/>
    <w:rsid w:val="00A55508"/>
    <w:rsid w:val="00A55C84"/>
    <w:rsid w:val="00AB410A"/>
    <w:rsid w:val="00AD0D5D"/>
    <w:rsid w:val="00AD1DDC"/>
    <w:rsid w:val="00AF7159"/>
    <w:rsid w:val="00B5644D"/>
    <w:rsid w:val="00B613C8"/>
    <w:rsid w:val="00B70006"/>
    <w:rsid w:val="00B840FC"/>
    <w:rsid w:val="00B935A4"/>
    <w:rsid w:val="00B96560"/>
    <w:rsid w:val="00BF2366"/>
    <w:rsid w:val="00C1379D"/>
    <w:rsid w:val="00C24E38"/>
    <w:rsid w:val="00C319CE"/>
    <w:rsid w:val="00C45C55"/>
    <w:rsid w:val="00C62D20"/>
    <w:rsid w:val="00C739FB"/>
    <w:rsid w:val="00C93218"/>
    <w:rsid w:val="00CA5E10"/>
    <w:rsid w:val="00CB285D"/>
    <w:rsid w:val="00CC51DC"/>
    <w:rsid w:val="00CF0B68"/>
    <w:rsid w:val="00D264EF"/>
    <w:rsid w:val="00D3114A"/>
    <w:rsid w:val="00D337CD"/>
    <w:rsid w:val="00D6310D"/>
    <w:rsid w:val="00D65339"/>
    <w:rsid w:val="00D71FD8"/>
    <w:rsid w:val="00D857AA"/>
    <w:rsid w:val="00D94D82"/>
    <w:rsid w:val="00DC29BE"/>
    <w:rsid w:val="00DD3F33"/>
    <w:rsid w:val="00DE46F1"/>
    <w:rsid w:val="00DF5859"/>
    <w:rsid w:val="00E52E89"/>
    <w:rsid w:val="00E55DE6"/>
    <w:rsid w:val="00E91DF3"/>
    <w:rsid w:val="00E95A17"/>
    <w:rsid w:val="00EA6B5A"/>
    <w:rsid w:val="00EB33CA"/>
    <w:rsid w:val="00EB5DCF"/>
    <w:rsid w:val="00EB7FF1"/>
    <w:rsid w:val="00EE2752"/>
    <w:rsid w:val="00EF56AF"/>
    <w:rsid w:val="00F04A92"/>
    <w:rsid w:val="00F05898"/>
    <w:rsid w:val="00F06B53"/>
    <w:rsid w:val="00F323B8"/>
    <w:rsid w:val="00F754B6"/>
    <w:rsid w:val="00F83416"/>
    <w:rsid w:val="00F87F72"/>
    <w:rsid w:val="00F93D94"/>
    <w:rsid w:val="00FC21AC"/>
    <w:rsid w:val="00FC33B3"/>
    <w:rsid w:val="00FF5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0A39B"/>
  <w15:docId w15:val="{55F51680-752F-440A-BB6E-D89AE38C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bered">
    <w:name w:val="heading2numbered"/>
    <w:basedOn w:val="Normal"/>
    <w:rsid w:val="000C29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C29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93218"/>
    <w:pPr>
      <w:ind w:left="720"/>
      <w:contextualSpacing/>
    </w:pPr>
  </w:style>
  <w:style w:type="paragraph" w:styleId="BalloonText">
    <w:name w:val="Balloon Text"/>
    <w:basedOn w:val="Normal"/>
    <w:link w:val="BalloonTextChar"/>
    <w:uiPriority w:val="99"/>
    <w:semiHidden/>
    <w:unhideWhenUsed/>
    <w:rsid w:val="00122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048"/>
    <w:rPr>
      <w:rFonts w:ascii="Tahoma" w:hAnsi="Tahoma" w:cs="Tahoma"/>
      <w:sz w:val="16"/>
      <w:szCs w:val="16"/>
    </w:rPr>
  </w:style>
  <w:style w:type="paragraph" w:styleId="Header">
    <w:name w:val="header"/>
    <w:basedOn w:val="Normal"/>
    <w:link w:val="HeaderChar"/>
    <w:uiPriority w:val="99"/>
    <w:unhideWhenUsed/>
    <w:rsid w:val="006B6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22F"/>
  </w:style>
  <w:style w:type="paragraph" w:styleId="Footer">
    <w:name w:val="footer"/>
    <w:basedOn w:val="Normal"/>
    <w:link w:val="FooterChar"/>
    <w:uiPriority w:val="99"/>
    <w:unhideWhenUsed/>
    <w:rsid w:val="006B6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22F"/>
  </w:style>
  <w:style w:type="paragraph" w:customStyle="1" w:styleId="Numberedparagraph">
    <w:name w:val="Numbered paragraph"/>
    <w:basedOn w:val="Normal"/>
    <w:rsid w:val="006B622F"/>
    <w:pPr>
      <w:numPr>
        <w:numId w:val="7"/>
      </w:numPr>
      <w:spacing w:before="180" w:after="0" w:line="240" w:lineRule="auto"/>
      <w:ind w:left="0" w:firstLine="0"/>
    </w:pPr>
    <w:rPr>
      <w:rFonts w:ascii="Times New Roman" w:eastAsia="Calibri" w:hAnsi="Times New Roman" w:cs="Times New Roman"/>
      <w:bCs/>
      <w:szCs w:val="20"/>
    </w:rPr>
  </w:style>
  <w:style w:type="character" w:styleId="CommentReference">
    <w:name w:val="annotation reference"/>
    <w:basedOn w:val="DefaultParagraphFont"/>
    <w:uiPriority w:val="99"/>
    <w:semiHidden/>
    <w:unhideWhenUsed/>
    <w:rsid w:val="002547DE"/>
    <w:rPr>
      <w:sz w:val="16"/>
      <w:szCs w:val="16"/>
    </w:rPr>
  </w:style>
  <w:style w:type="paragraph" w:styleId="CommentText">
    <w:name w:val="annotation text"/>
    <w:basedOn w:val="Normal"/>
    <w:link w:val="CommentTextChar"/>
    <w:uiPriority w:val="99"/>
    <w:semiHidden/>
    <w:unhideWhenUsed/>
    <w:rsid w:val="002547DE"/>
    <w:pPr>
      <w:spacing w:line="240" w:lineRule="auto"/>
    </w:pPr>
    <w:rPr>
      <w:sz w:val="20"/>
      <w:szCs w:val="20"/>
    </w:rPr>
  </w:style>
  <w:style w:type="character" w:customStyle="1" w:styleId="CommentTextChar">
    <w:name w:val="Comment Text Char"/>
    <w:basedOn w:val="DefaultParagraphFont"/>
    <w:link w:val="CommentText"/>
    <w:uiPriority w:val="99"/>
    <w:semiHidden/>
    <w:rsid w:val="002547DE"/>
    <w:rPr>
      <w:sz w:val="20"/>
      <w:szCs w:val="20"/>
    </w:rPr>
  </w:style>
  <w:style w:type="paragraph" w:styleId="CommentSubject">
    <w:name w:val="annotation subject"/>
    <w:basedOn w:val="CommentText"/>
    <w:next w:val="CommentText"/>
    <w:link w:val="CommentSubjectChar"/>
    <w:uiPriority w:val="99"/>
    <w:semiHidden/>
    <w:unhideWhenUsed/>
    <w:rsid w:val="002547DE"/>
    <w:rPr>
      <w:b/>
      <w:bCs/>
    </w:rPr>
  </w:style>
  <w:style w:type="character" w:customStyle="1" w:styleId="CommentSubjectChar">
    <w:name w:val="Comment Subject Char"/>
    <w:basedOn w:val="CommentTextChar"/>
    <w:link w:val="CommentSubject"/>
    <w:uiPriority w:val="99"/>
    <w:semiHidden/>
    <w:rsid w:val="002547DE"/>
    <w:rPr>
      <w:b/>
      <w:bCs/>
      <w:sz w:val="20"/>
      <w:szCs w:val="20"/>
    </w:rPr>
  </w:style>
  <w:style w:type="paragraph" w:styleId="Revision">
    <w:name w:val="Revision"/>
    <w:hidden/>
    <w:uiPriority w:val="99"/>
    <w:semiHidden/>
    <w:rsid w:val="008F2E06"/>
    <w:pPr>
      <w:spacing w:after="0" w:line="240" w:lineRule="auto"/>
    </w:pPr>
  </w:style>
  <w:style w:type="character" w:styleId="Hyperlink">
    <w:name w:val="Hyperlink"/>
    <w:basedOn w:val="DefaultParagraphFont"/>
    <w:uiPriority w:val="99"/>
    <w:semiHidden/>
    <w:unhideWhenUsed/>
    <w:rsid w:val="00C31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3210">
      <w:bodyDiv w:val="1"/>
      <w:marLeft w:val="0"/>
      <w:marRight w:val="0"/>
      <w:marTop w:val="0"/>
      <w:marBottom w:val="0"/>
      <w:divBdr>
        <w:top w:val="none" w:sz="0" w:space="0" w:color="auto"/>
        <w:left w:val="none" w:sz="0" w:space="0" w:color="auto"/>
        <w:bottom w:val="none" w:sz="0" w:space="0" w:color="auto"/>
        <w:right w:val="none" w:sz="0" w:space="0" w:color="auto"/>
      </w:divBdr>
    </w:div>
    <w:div w:id="316374596">
      <w:bodyDiv w:val="1"/>
      <w:marLeft w:val="0"/>
      <w:marRight w:val="0"/>
      <w:marTop w:val="0"/>
      <w:marBottom w:val="0"/>
      <w:divBdr>
        <w:top w:val="none" w:sz="0" w:space="0" w:color="auto"/>
        <w:left w:val="none" w:sz="0" w:space="0" w:color="auto"/>
        <w:bottom w:val="none" w:sz="0" w:space="0" w:color="auto"/>
        <w:right w:val="none" w:sz="0" w:space="0" w:color="auto"/>
      </w:divBdr>
    </w:div>
    <w:div w:id="342629752">
      <w:bodyDiv w:val="1"/>
      <w:marLeft w:val="0"/>
      <w:marRight w:val="0"/>
      <w:marTop w:val="0"/>
      <w:marBottom w:val="0"/>
      <w:divBdr>
        <w:top w:val="none" w:sz="0" w:space="0" w:color="auto"/>
        <w:left w:val="none" w:sz="0" w:space="0" w:color="auto"/>
        <w:bottom w:val="none" w:sz="0" w:space="0" w:color="auto"/>
        <w:right w:val="none" w:sz="0" w:space="0" w:color="auto"/>
      </w:divBdr>
      <w:divsChild>
        <w:div w:id="281763086">
          <w:marLeft w:val="0"/>
          <w:marRight w:val="0"/>
          <w:marTop w:val="0"/>
          <w:marBottom w:val="0"/>
          <w:divBdr>
            <w:top w:val="none" w:sz="0" w:space="0" w:color="auto"/>
            <w:left w:val="none" w:sz="0" w:space="0" w:color="auto"/>
            <w:bottom w:val="none" w:sz="0" w:space="0" w:color="auto"/>
            <w:right w:val="none" w:sz="0" w:space="0" w:color="auto"/>
          </w:divBdr>
          <w:divsChild>
            <w:div w:id="660620493">
              <w:marLeft w:val="0"/>
              <w:marRight w:val="0"/>
              <w:marTop w:val="0"/>
              <w:marBottom w:val="0"/>
              <w:divBdr>
                <w:top w:val="none" w:sz="0" w:space="0" w:color="auto"/>
                <w:left w:val="none" w:sz="0" w:space="0" w:color="auto"/>
                <w:bottom w:val="none" w:sz="0" w:space="0" w:color="auto"/>
                <w:right w:val="none" w:sz="0" w:space="0" w:color="auto"/>
              </w:divBdr>
              <w:divsChild>
                <w:div w:id="140968167">
                  <w:marLeft w:val="0"/>
                  <w:marRight w:val="0"/>
                  <w:marTop w:val="0"/>
                  <w:marBottom w:val="0"/>
                  <w:divBdr>
                    <w:top w:val="none" w:sz="0" w:space="0" w:color="auto"/>
                    <w:left w:val="none" w:sz="0" w:space="0" w:color="auto"/>
                    <w:bottom w:val="none" w:sz="0" w:space="0" w:color="auto"/>
                    <w:right w:val="none" w:sz="0" w:space="0" w:color="auto"/>
                  </w:divBdr>
                  <w:divsChild>
                    <w:div w:id="46225614">
                      <w:marLeft w:val="0"/>
                      <w:marRight w:val="0"/>
                      <w:marTop w:val="0"/>
                      <w:marBottom w:val="0"/>
                      <w:divBdr>
                        <w:top w:val="none" w:sz="0" w:space="0" w:color="auto"/>
                        <w:left w:val="none" w:sz="0" w:space="0" w:color="auto"/>
                        <w:bottom w:val="none" w:sz="0" w:space="0" w:color="auto"/>
                        <w:right w:val="none" w:sz="0" w:space="0" w:color="auto"/>
                      </w:divBdr>
                      <w:divsChild>
                        <w:div w:id="338048114">
                          <w:marLeft w:val="0"/>
                          <w:marRight w:val="0"/>
                          <w:marTop w:val="0"/>
                          <w:marBottom w:val="0"/>
                          <w:divBdr>
                            <w:top w:val="none" w:sz="0" w:space="0" w:color="auto"/>
                            <w:left w:val="none" w:sz="0" w:space="0" w:color="auto"/>
                            <w:bottom w:val="none" w:sz="0" w:space="0" w:color="auto"/>
                            <w:right w:val="none" w:sz="0" w:space="0" w:color="auto"/>
                          </w:divBdr>
                          <w:divsChild>
                            <w:div w:id="943339277">
                              <w:marLeft w:val="0"/>
                              <w:marRight w:val="0"/>
                              <w:marTop w:val="0"/>
                              <w:marBottom w:val="0"/>
                              <w:divBdr>
                                <w:top w:val="single" w:sz="6" w:space="0" w:color="828282"/>
                                <w:left w:val="single" w:sz="6" w:space="0" w:color="828282"/>
                                <w:bottom w:val="single" w:sz="6" w:space="0" w:color="828282"/>
                                <w:right w:val="single" w:sz="6" w:space="0" w:color="828282"/>
                              </w:divBdr>
                              <w:divsChild>
                                <w:div w:id="1658025110">
                                  <w:marLeft w:val="0"/>
                                  <w:marRight w:val="0"/>
                                  <w:marTop w:val="0"/>
                                  <w:marBottom w:val="0"/>
                                  <w:divBdr>
                                    <w:top w:val="none" w:sz="0" w:space="0" w:color="auto"/>
                                    <w:left w:val="none" w:sz="0" w:space="0" w:color="auto"/>
                                    <w:bottom w:val="none" w:sz="0" w:space="0" w:color="auto"/>
                                    <w:right w:val="none" w:sz="0" w:space="0" w:color="auto"/>
                                  </w:divBdr>
                                  <w:divsChild>
                                    <w:div w:id="292756404">
                                      <w:marLeft w:val="0"/>
                                      <w:marRight w:val="0"/>
                                      <w:marTop w:val="0"/>
                                      <w:marBottom w:val="0"/>
                                      <w:divBdr>
                                        <w:top w:val="none" w:sz="0" w:space="0" w:color="auto"/>
                                        <w:left w:val="none" w:sz="0" w:space="0" w:color="auto"/>
                                        <w:bottom w:val="none" w:sz="0" w:space="0" w:color="auto"/>
                                        <w:right w:val="none" w:sz="0" w:space="0" w:color="auto"/>
                                      </w:divBdr>
                                      <w:divsChild>
                                        <w:div w:id="2088379261">
                                          <w:marLeft w:val="0"/>
                                          <w:marRight w:val="0"/>
                                          <w:marTop w:val="0"/>
                                          <w:marBottom w:val="0"/>
                                          <w:divBdr>
                                            <w:top w:val="none" w:sz="0" w:space="0" w:color="auto"/>
                                            <w:left w:val="none" w:sz="0" w:space="0" w:color="auto"/>
                                            <w:bottom w:val="none" w:sz="0" w:space="0" w:color="auto"/>
                                            <w:right w:val="none" w:sz="0" w:space="0" w:color="auto"/>
                                          </w:divBdr>
                                          <w:divsChild>
                                            <w:div w:id="815491019">
                                              <w:marLeft w:val="0"/>
                                              <w:marRight w:val="0"/>
                                              <w:marTop w:val="0"/>
                                              <w:marBottom w:val="0"/>
                                              <w:divBdr>
                                                <w:top w:val="none" w:sz="0" w:space="0" w:color="auto"/>
                                                <w:left w:val="none" w:sz="0" w:space="0" w:color="auto"/>
                                                <w:bottom w:val="none" w:sz="0" w:space="0" w:color="auto"/>
                                                <w:right w:val="none" w:sz="0" w:space="0" w:color="auto"/>
                                              </w:divBdr>
                                              <w:divsChild>
                                                <w:div w:id="166988071">
                                                  <w:marLeft w:val="0"/>
                                                  <w:marRight w:val="0"/>
                                                  <w:marTop w:val="0"/>
                                                  <w:marBottom w:val="0"/>
                                                  <w:divBdr>
                                                    <w:top w:val="none" w:sz="0" w:space="0" w:color="auto"/>
                                                    <w:left w:val="none" w:sz="0" w:space="0" w:color="auto"/>
                                                    <w:bottom w:val="none" w:sz="0" w:space="0" w:color="auto"/>
                                                    <w:right w:val="none" w:sz="0" w:space="0" w:color="auto"/>
                                                  </w:divBdr>
                                                  <w:divsChild>
                                                    <w:div w:id="1992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943898">
      <w:bodyDiv w:val="1"/>
      <w:marLeft w:val="0"/>
      <w:marRight w:val="0"/>
      <w:marTop w:val="0"/>
      <w:marBottom w:val="0"/>
      <w:divBdr>
        <w:top w:val="none" w:sz="0" w:space="0" w:color="auto"/>
        <w:left w:val="none" w:sz="0" w:space="0" w:color="auto"/>
        <w:bottom w:val="none" w:sz="0" w:space="0" w:color="auto"/>
        <w:right w:val="none" w:sz="0" w:space="0" w:color="auto"/>
      </w:divBdr>
    </w:div>
    <w:div w:id="478690429">
      <w:bodyDiv w:val="1"/>
      <w:marLeft w:val="0"/>
      <w:marRight w:val="0"/>
      <w:marTop w:val="0"/>
      <w:marBottom w:val="0"/>
      <w:divBdr>
        <w:top w:val="none" w:sz="0" w:space="0" w:color="auto"/>
        <w:left w:val="none" w:sz="0" w:space="0" w:color="auto"/>
        <w:bottom w:val="none" w:sz="0" w:space="0" w:color="auto"/>
        <w:right w:val="none" w:sz="0" w:space="0" w:color="auto"/>
      </w:divBdr>
    </w:div>
    <w:div w:id="692071383">
      <w:bodyDiv w:val="1"/>
      <w:marLeft w:val="0"/>
      <w:marRight w:val="0"/>
      <w:marTop w:val="0"/>
      <w:marBottom w:val="0"/>
      <w:divBdr>
        <w:top w:val="none" w:sz="0" w:space="0" w:color="auto"/>
        <w:left w:val="none" w:sz="0" w:space="0" w:color="auto"/>
        <w:bottom w:val="none" w:sz="0" w:space="0" w:color="auto"/>
        <w:right w:val="none" w:sz="0" w:space="0" w:color="auto"/>
      </w:divBdr>
    </w:div>
    <w:div w:id="765348985">
      <w:bodyDiv w:val="1"/>
      <w:marLeft w:val="0"/>
      <w:marRight w:val="0"/>
      <w:marTop w:val="0"/>
      <w:marBottom w:val="0"/>
      <w:divBdr>
        <w:top w:val="none" w:sz="0" w:space="0" w:color="auto"/>
        <w:left w:val="none" w:sz="0" w:space="0" w:color="auto"/>
        <w:bottom w:val="none" w:sz="0" w:space="0" w:color="auto"/>
        <w:right w:val="none" w:sz="0" w:space="0" w:color="auto"/>
      </w:divBdr>
    </w:div>
    <w:div w:id="836655640">
      <w:bodyDiv w:val="1"/>
      <w:marLeft w:val="0"/>
      <w:marRight w:val="0"/>
      <w:marTop w:val="0"/>
      <w:marBottom w:val="0"/>
      <w:divBdr>
        <w:top w:val="none" w:sz="0" w:space="0" w:color="auto"/>
        <w:left w:val="none" w:sz="0" w:space="0" w:color="auto"/>
        <w:bottom w:val="none" w:sz="0" w:space="0" w:color="auto"/>
        <w:right w:val="none" w:sz="0" w:space="0" w:color="auto"/>
      </w:divBdr>
    </w:div>
    <w:div w:id="967051626">
      <w:bodyDiv w:val="1"/>
      <w:marLeft w:val="0"/>
      <w:marRight w:val="0"/>
      <w:marTop w:val="0"/>
      <w:marBottom w:val="0"/>
      <w:divBdr>
        <w:top w:val="none" w:sz="0" w:space="0" w:color="auto"/>
        <w:left w:val="none" w:sz="0" w:space="0" w:color="auto"/>
        <w:bottom w:val="none" w:sz="0" w:space="0" w:color="auto"/>
        <w:right w:val="none" w:sz="0" w:space="0" w:color="auto"/>
      </w:divBdr>
    </w:div>
    <w:div w:id="1340812956">
      <w:bodyDiv w:val="1"/>
      <w:marLeft w:val="0"/>
      <w:marRight w:val="0"/>
      <w:marTop w:val="0"/>
      <w:marBottom w:val="0"/>
      <w:divBdr>
        <w:top w:val="none" w:sz="0" w:space="0" w:color="auto"/>
        <w:left w:val="none" w:sz="0" w:space="0" w:color="auto"/>
        <w:bottom w:val="none" w:sz="0" w:space="0" w:color="auto"/>
        <w:right w:val="none" w:sz="0" w:space="0" w:color="auto"/>
      </w:divBdr>
    </w:div>
    <w:div w:id="1345473526">
      <w:bodyDiv w:val="1"/>
      <w:marLeft w:val="0"/>
      <w:marRight w:val="0"/>
      <w:marTop w:val="0"/>
      <w:marBottom w:val="0"/>
      <w:divBdr>
        <w:top w:val="none" w:sz="0" w:space="0" w:color="auto"/>
        <w:left w:val="none" w:sz="0" w:space="0" w:color="auto"/>
        <w:bottom w:val="none" w:sz="0" w:space="0" w:color="auto"/>
        <w:right w:val="none" w:sz="0" w:space="0" w:color="auto"/>
      </w:divBdr>
    </w:div>
    <w:div w:id="1653673939">
      <w:bodyDiv w:val="1"/>
      <w:marLeft w:val="0"/>
      <w:marRight w:val="0"/>
      <w:marTop w:val="0"/>
      <w:marBottom w:val="0"/>
      <w:divBdr>
        <w:top w:val="none" w:sz="0" w:space="0" w:color="auto"/>
        <w:left w:val="none" w:sz="0" w:space="0" w:color="auto"/>
        <w:bottom w:val="none" w:sz="0" w:space="0" w:color="auto"/>
        <w:right w:val="none" w:sz="0" w:space="0" w:color="auto"/>
      </w:divBdr>
    </w:div>
    <w:div w:id="1846286622">
      <w:bodyDiv w:val="1"/>
      <w:marLeft w:val="0"/>
      <w:marRight w:val="0"/>
      <w:marTop w:val="0"/>
      <w:marBottom w:val="0"/>
      <w:divBdr>
        <w:top w:val="none" w:sz="0" w:space="0" w:color="auto"/>
        <w:left w:val="none" w:sz="0" w:space="0" w:color="auto"/>
        <w:bottom w:val="none" w:sz="0" w:space="0" w:color="auto"/>
        <w:right w:val="none" w:sz="0" w:space="0" w:color="auto"/>
      </w:divBdr>
    </w:div>
    <w:div w:id="1871334587">
      <w:bodyDiv w:val="1"/>
      <w:marLeft w:val="0"/>
      <w:marRight w:val="0"/>
      <w:marTop w:val="0"/>
      <w:marBottom w:val="0"/>
      <w:divBdr>
        <w:top w:val="none" w:sz="0" w:space="0" w:color="auto"/>
        <w:left w:val="none" w:sz="0" w:space="0" w:color="auto"/>
        <w:bottom w:val="none" w:sz="0" w:space="0" w:color="auto"/>
        <w:right w:val="none" w:sz="0" w:space="0" w:color="auto"/>
      </w:divBdr>
    </w:div>
    <w:div w:id="1925331769">
      <w:bodyDiv w:val="1"/>
      <w:marLeft w:val="0"/>
      <w:marRight w:val="0"/>
      <w:marTop w:val="0"/>
      <w:marBottom w:val="0"/>
      <w:divBdr>
        <w:top w:val="none" w:sz="0" w:space="0" w:color="auto"/>
        <w:left w:val="none" w:sz="0" w:space="0" w:color="auto"/>
        <w:bottom w:val="none" w:sz="0" w:space="0" w:color="auto"/>
        <w:right w:val="none" w:sz="0" w:space="0" w:color="auto"/>
      </w:divBdr>
    </w:div>
    <w:div w:id="2015985277">
      <w:bodyDiv w:val="1"/>
      <w:marLeft w:val="0"/>
      <w:marRight w:val="0"/>
      <w:marTop w:val="0"/>
      <w:marBottom w:val="0"/>
      <w:divBdr>
        <w:top w:val="none" w:sz="0" w:space="0" w:color="auto"/>
        <w:left w:val="none" w:sz="0" w:space="0" w:color="auto"/>
        <w:bottom w:val="none" w:sz="0" w:space="0" w:color="auto"/>
        <w:right w:val="none" w:sz="0" w:space="0" w:color="auto"/>
      </w:divBdr>
    </w:div>
    <w:div w:id="2032874050">
      <w:bodyDiv w:val="1"/>
      <w:marLeft w:val="0"/>
      <w:marRight w:val="0"/>
      <w:marTop w:val="0"/>
      <w:marBottom w:val="0"/>
      <w:divBdr>
        <w:top w:val="none" w:sz="0" w:space="0" w:color="auto"/>
        <w:left w:val="none" w:sz="0" w:space="0" w:color="auto"/>
        <w:bottom w:val="none" w:sz="0" w:space="0" w:color="auto"/>
        <w:right w:val="none" w:sz="0" w:space="0" w:color="auto"/>
      </w:divBdr>
    </w:div>
    <w:div w:id="20789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17C2-A01F-4689-A014-CD002669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mcdrac</dc:creator>
  <cp:lastModifiedBy>Young, Richard</cp:lastModifiedBy>
  <cp:revision>8</cp:revision>
  <cp:lastPrinted>2021-05-10T22:04:00Z</cp:lastPrinted>
  <dcterms:created xsi:type="dcterms:W3CDTF">2023-05-23T05:59:00Z</dcterms:created>
  <dcterms:modified xsi:type="dcterms:W3CDTF">2023-05-25T00:52:00Z</dcterms:modified>
</cp:coreProperties>
</file>