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C38EB" w14:textId="77777777" w:rsidR="0048364F" w:rsidRPr="00DB7496" w:rsidRDefault="00193461" w:rsidP="0020300C">
      <w:pPr>
        <w:rPr>
          <w:sz w:val="28"/>
        </w:rPr>
      </w:pPr>
      <w:r w:rsidRPr="00DB7496">
        <w:rPr>
          <w:noProof/>
          <w:lang w:eastAsia="en-AU"/>
        </w:rPr>
        <w:drawing>
          <wp:inline distT="0" distB="0" distL="0" distR="0" wp14:anchorId="326BE1B2" wp14:editId="6FBE2C7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6708289" w14:textId="77777777" w:rsidR="0048364F" w:rsidRPr="00DB7496" w:rsidRDefault="0048364F" w:rsidP="0048364F">
      <w:pPr>
        <w:rPr>
          <w:sz w:val="19"/>
        </w:rPr>
      </w:pPr>
    </w:p>
    <w:p w14:paraId="054CA295" w14:textId="77777777" w:rsidR="0048364F" w:rsidRPr="00DB7496" w:rsidRDefault="00E9376B" w:rsidP="0048364F">
      <w:pPr>
        <w:pStyle w:val="ShortT"/>
      </w:pPr>
      <w:bookmarkStart w:id="0" w:name="_Hlk129251370"/>
      <w:bookmarkStart w:id="1" w:name="_Hlk129262541"/>
      <w:bookmarkStart w:id="2" w:name="_Hlk133919797"/>
      <w:r w:rsidRPr="00DB7496">
        <w:t xml:space="preserve">Fair Work </w:t>
      </w:r>
      <w:r w:rsidR="00F87447" w:rsidRPr="00DB7496">
        <w:t xml:space="preserve">and Other </w:t>
      </w:r>
      <w:r w:rsidRPr="00DB7496">
        <w:t xml:space="preserve">Legislation Amendment (Secure Jobs, Better Pay) </w:t>
      </w:r>
      <w:bookmarkEnd w:id="0"/>
      <w:bookmarkEnd w:id="1"/>
      <w:r w:rsidR="00DB7496" w:rsidRPr="00DB7496">
        <w:t>Regulations 2</w:t>
      </w:r>
      <w:r w:rsidRPr="00DB7496">
        <w:t>023</w:t>
      </w:r>
      <w:bookmarkEnd w:id="2"/>
    </w:p>
    <w:p w14:paraId="6805D550" w14:textId="77777777" w:rsidR="00E9376B" w:rsidRPr="00DB7496" w:rsidRDefault="00E9376B" w:rsidP="000510C7">
      <w:pPr>
        <w:pStyle w:val="SignCoverPageStart"/>
        <w:spacing w:before="240"/>
        <w:rPr>
          <w:szCs w:val="22"/>
        </w:rPr>
      </w:pPr>
      <w:r w:rsidRPr="00DB7496">
        <w:rPr>
          <w:szCs w:val="22"/>
        </w:rPr>
        <w:t>I, General the Honourable David Hurley AC DSC (</w:t>
      </w:r>
      <w:proofErr w:type="spellStart"/>
      <w:r w:rsidRPr="00DB7496">
        <w:rPr>
          <w:szCs w:val="22"/>
        </w:rPr>
        <w:t>Retd</w:t>
      </w:r>
      <w:proofErr w:type="spellEnd"/>
      <w:r w:rsidRPr="00DB7496">
        <w:rPr>
          <w:szCs w:val="22"/>
        </w:rPr>
        <w:t>), Governor</w:t>
      </w:r>
      <w:r w:rsidR="00DB7496">
        <w:rPr>
          <w:szCs w:val="22"/>
        </w:rPr>
        <w:noBreakHyphen/>
      </w:r>
      <w:r w:rsidRPr="00DB7496">
        <w:rPr>
          <w:szCs w:val="22"/>
        </w:rPr>
        <w:t>General of the Commonwealth of Australia, acting with the advice of the Federal Executive Council, make the following regulations.</w:t>
      </w:r>
    </w:p>
    <w:p w14:paraId="42D55E31" w14:textId="54BABC0A" w:rsidR="00E9376B" w:rsidRPr="00DB7496" w:rsidRDefault="00E9376B" w:rsidP="000510C7">
      <w:pPr>
        <w:keepNext/>
        <w:spacing w:before="720" w:line="240" w:lineRule="atLeast"/>
        <w:ind w:right="397"/>
        <w:jc w:val="both"/>
        <w:rPr>
          <w:szCs w:val="22"/>
        </w:rPr>
      </w:pPr>
      <w:r w:rsidRPr="00DB7496">
        <w:rPr>
          <w:szCs w:val="22"/>
        </w:rPr>
        <w:t xml:space="preserve">Dated </w:t>
      </w:r>
      <w:r w:rsidRPr="00DB7496">
        <w:rPr>
          <w:szCs w:val="22"/>
        </w:rPr>
        <w:tab/>
      </w:r>
      <w:r w:rsidRPr="00DB7496">
        <w:rPr>
          <w:szCs w:val="22"/>
        </w:rPr>
        <w:tab/>
      </w:r>
      <w:r w:rsidR="007A1229">
        <w:rPr>
          <w:szCs w:val="22"/>
        </w:rPr>
        <w:t>25 May</w:t>
      </w:r>
      <w:r w:rsidRPr="00DB7496">
        <w:rPr>
          <w:szCs w:val="22"/>
        </w:rPr>
        <w:tab/>
      </w:r>
      <w:r w:rsidRPr="00DB7496">
        <w:rPr>
          <w:szCs w:val="22"/>
        </w:rPr>
        <w:tab/>
      </w:r>
      <w:r w:rsidRPr="00DB7496">
        <w:rPr>
          <w:szCs w:val="22"/>
        </w:rPr>
        <w:fldChar w:fldCharType="begin"/>
      </w:r>
      <w:r w:rsidRPr="00DB7496">
        <w:rPr>
          <w:szCs w:val="22"/>
        </w:rPr>
        <w:instrText xml:space="preserve"> DOCPROPERTY  DateMade </w:instrText>
      </w:r>
      <w:r w:rsidRPr="00DB7496">
        <w:rPr>
          <w:szCs w:val="22"/>
        </w:rPr>
        <w:fldChar w:fldCharType="separate"/>
      </w:r>
      <w:r w:rsidR="00DB6749">
        <w:rPr>
          <w:szCs w:val="22"/>
        </w:rPr>
        <w:t>2023</w:t>
      </w:r>
      <w:r w:rsidRPr="00DB7496">
        <w:rPr>
          <w:szCs w:val="22"/>
        </w:rPr>
        <w:fldChar w:fldCharType="end"/>
      </w:r>
    </w:p>
    <w:p w14:paraId="0E8B4882" w14:textId="77777777" w:rsidR="00E9376B" w:rsidRPr="00DB7496" w:rsidRDefault="00E9376B" w:rsidP="000510C7">
      <w:pPr>
        <w:keepNext/>
        <w:tabs>
          <w:tab w:val="left" w:pos="3402"/>
        </w:tabs>
        <w:spacing w:before="1080" w:line="300" w:lineRule="atLeast"/>
        <w:ind w:left="397" w:right="397"/>
        <w:jc w:val="right"/>
        <w:rPr>
          <w:szCs w:val="22"/>
        </w:rPr>
      </w:pPr>
      <w:r w:rsidRPr="00DB7496">
        <w:rPr>
          <w:szCs w:val="22"/>
        </w:rPr>
        <w:t>David Hurley</w:t>
      </w:r>
    </w:p>
    <w:p w14:paraId="10695A61" w14:textId="77777777" w:rsidR="00E9376B" w:rsidRPr="00DB7496" w:rsidRDefault="00E9376B" w:rsidP="000510C7">
      <w:pPr>
        <w:keepNext/>
        <w:tabs>
          <w:tab w:val="left" w:pos="3402"/>
        </w:tabs>
        <w:spacing w:line="300" w:lineRule="atLeast"/>
        <w:ind w:left="397" w:right="397"/>
        <w:jc w:val="right"/>
        <w:rPr>
          <w:szCs w:val="22"/>
        </w:rPr>
      </w:pPr>
      <w:r w:rsidRPr="00DB7496">
        <w:rPr>
          <w:szCs w:val="22"/>
        </w:rPr>
        <w:t>Governor</w:t>
      </w:r>
      <w:r w:rsidR="00DB7496">
        <w:rPr>
          <w:szCs w:val="22"/>
        </w:rPr>
        <w:noBreakHyphen/>
      </w:r>
      <w:r w:rsidRPr="00DB7496">
        <w:rPr>
          <w:szCs w:val="22"/>
        </w:rPr>
        <w:t>General</w:t>
      </w:r>
    </w:p>
    <w:p w14:paraId="34BCE2BA" w14:textId="77777777" w:rsidR="00E9376B" w:rsidRPr="00DB7496" w:rsidRDefault="00E9376B" w:rsidP="000510C7">
      <w:pPr>
        <w:keepNext/>
        <w:tabs>
          <w:tab w:val="left" w:pos="3402"/>
        </w:tabs>
        <w:spacing w:before="840" w:after="1080" w:line="300" w:lineRule="atLeast"/>
        <w:ind w:right="397"/>
        <w:rPr>
          <w:szCs w:val="22"/>
        </w:rPr>
      </w:pPr>
      <w:r w:rsidRPr="00DB7496">
        <w:rPr>
          <w:szCs w:val="22"/>
        </w:rPr>
        <w:t>By His Excellency’s Command</w:t>
      </w:r>
    </w:p>
    <w:p w14:paraId="4D52C8D8" w14:textId="77777777" w:rsidR="00E9376B" w:rsidRPr="00DB7496" w:rsidRDefault="00E9376B" w:rsidP="000510C7">
      <w:pPr>
        <w:keepNext/>
        <w:tabs>
          <w:tab w:val="left" w:pos="3402"/>
        </w:tabs>
        <w:spacing w:before="480" w:line="300" w:lineRule="atLeast"/>
        <w:ind w:right="397"/>
        <w:rPr>
          <w:szCs w:val="22"/>
        </w:rPr>
      </w:pPr>
      <w:r w:rsidRPr="00DB7496">
        <w:rPr>
          <w:szCs w:val="22"/>
        </w:rPr>
        <w:t>Tony Burke</w:t>
      </w:r>
    </w:p>
    <w:p w14:paraId="7BEFE70C" w14:textId="77777777" w:rsidR="00E9376B" w:rsidRPr="00DB7496" w:rsidRDefault="00E9376B" w:rsidP="000510C7">
      <w:pPr>
        <w:pStyle w:val="SignCoverPageEnd"/>
        <w:rPr>
          <w:szCs w:val="22"/>
        </w:rPr>
      </w:pPr>
      <w:r w:rsidRPr="00DB7496">
        <w:rPr>
          <w:szCs w:val="22"/>
        </w:rPr>
        <w:t>Minister for Employment and Workplace Relations</w:t>
      </w:r>
    </w:p>
    <w:p w14:paraId="3D7FBCBB" w14:textId="77777777" w:rsidR="00E9376B" w:rsidRPr="00DB7496" w:rsidRDefault="00E9376B" w:rsidP="000510C7"/>
    <w:p w14:paraId="6878380F" w14:textId="77777777" w:rsidR="00E9376B" w:rsidRPr="00DB7496" w:rsidRDefault="00E9376B" w:rsidP="000510C7"/>
    <w:p w14:paraId="670B8764" w14:textId="77777777" w:rsidR="00E9376B" w:rsidRPr="00DB7496" w:rsidRDefault="00E9376B" w:rsidP="000510C7"/>
    <w:p w14:paraId="4055EF67" w14:textId="77777777" w:rsidR="0048364F" w:rsidRPr="00DE1BCA" w:rsidRDefault="0048364F" w:rsidP="0048364F">
      <w:pPr>
        <w:pStyle w:val="Header"/>
        <w:tabs>
          <w:tab w:val="clear" w:pos="4150"/>
          <w:tab w:val="clear" w:pos="8307"/>
        </w:tabs>
      </w:pPr>
      <w:r w:rsidRPr="00DE1BCA">
        <w:rPr>
          <w:rStyle w:val="CharAmSchNo"/>
        </w:rPr>
        <w:t xml:space="preserve"> </w:t>
      </w:r>
      <w:r w:rsidRPr="00DE1BCA">
        <w:rPr>
          <w:rStyle w:val="CharAmSchText"/>
        </w:rPr>
        <w:t xml:space="preserve"> </w:t>
      </w:r>
    </w:p>
    <w:p w14:paraId="3BCE27B9" w14:textId="77777777" w:rsidR="0048364F" w:rsidRPr="00DE1BCA" w:rsidRDefault="0048364F" w:rsidP="0048364F">
      <w:pPr>
        <w:pStyle w:val="Header"/>
        <w:tabs>
          <w:tab w:val="clear" w:pos="4150"/>
          <w:tab w:val="clear" w:pos="8307"/>
        </w:tabs>
      </w:pPr>
      <w:r w:rsidRPr="00DE1BCA">
        <w:rPr>
          <w:rStyle w:val="CharAmPartNo"/>
        </w:rPr>
        <w:t xml:space="preserve"> </w:t>
      </w:r>
      <w:r w:rsidRPr="00DE1BCA">
        <w:rPr>
          <w:rStyle w:val="CharAmPartText"/>
        </w:rPr>
        <w:t xml:space="preserve"> </w:t>
      </w:r>
    </w:p>
    <w:p w14:paraId="6ED6ADDC" w14:textId="77777777" w:rsidR="0048364F" w:rsidRPr="00DB7496" w:rsidRDefault="0048364F" w:rsidP="0048364F">
      <w:pPr>
        <w:sectPr w:rsidR="0048364F" w:rsidRPr="00DB7496" w:rsidSect="00E84269">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3CD8BFF7" w14:textId="77777777" w:rsidR="00220A0C" w:rsidRPr="00DB7496" w:rsidRDefault="0048364F" w:rsidP="0048364F">
      <w:pPr>
        <w:outlineLvl w:val="0"/>
        <w:rPr>
          <w:sz w:val="36"/>
        </w:rPr>
      </w:pPr>
      <w:r w:rsidRPr="00DB7496">
        <w:rPr>
          <w:sz w:val="36"/>
        </w:rPr>
        <w:lastRenderedPageBreak/>
        <w:t>Contents</w:t>
      </w:r>
    </w:p>
    <w:p w14:paraId="62494810" w14:textId="7A61F471" w:rsidR="00DB7496" w:rsidRDefault="00DB7496">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DB7496">
        <w:rPr>
          <w:noProof/>
        </w:rPr>
        <w:tab/>
      </w:r>
      <w:r w:rsidRPr="00DB7496">
        <w:rPr>
          <w:noProof/>
        </w:rPr>
        <w:fldChar w:fldCharType="begin"/>
      </w:r>
      <w:r w:rsidRPr="00DB7496">
        <w:rPr>
          <w:noProof/>
        </w:rPr>
        <w:instrText xml:space="preserve"> PAGEREF _Toc135234378 \h </w:instrText>
      </w:r>
      <w:r w:rsidRPr="00DB7496">
        <w:rPr>
          <w:noProof/>
        </w:rPr>
      </w:r>
      <w:r w:rsidRPr="00DB7496">
        <w:rPr>
          <w:noProof/>
        </w:rPr>
        <w:fldChar w:fldCharType="separate"/>
      </w:r>
      <w:r w:rsidR="003D1359">
        <w:rPr>
          <w:noProof/>
        </w:rPr>
        <w:t>1</w:t>
      </w:r>
      <w:r w:rsidRPr="00DB7496">
        <w:rPr>
          <w:noProof/>
        </w:rPr>
        <w:fldChar w:fldCharType="end"/>
      </w:r>
    </w:p>
    <w:p w14:paraId="305E65C8" w14:textId="59D07E1E" w:rsidR="00DB7496" w:rsidRDefault="00DB7496">
      <w:pPr>
        <w:pStyle w:val="TOC5"/>
        <w:rPr>
          <w:rFonts w:asciiTheme="minorHAnsi" w:eastAsiaTheme="minorEastAsia" w:hAnsiTheme="minorHAnsi" w:cstheme="minorBidi"/>
          <w:noProof/>
          <w:kern w:val="0"/>
          <w:sz w:val="22"/>
          <w:szCs w:val="22"/>
        </w:rPr>
      </w:pPr>
      <w:r>
        <w:rPr>
          <w:noProof/>
        </w:rPr>
        <w:t>2</w:t>
      </w:r>
      <w:r>
        <w:rPr>
          <w:noProof/>
        </w:rPr>
        <w:tab/>
        <w:t>Commencement</w:t>
      </w:r>
      <w:r w:rsidRPr="00DB7496">
        <w:rPr>
          <w:noProof/>
        </w:rPr>
        <w:tab/>
      </w:r>
      <w:r w:rsidRPr="00DB7496">
        <w:rPr>
          <w:noProof/>
        </w:rPr>
        <w:fldChar w:fldCharType="begin"/>
      </w:r>
      <w:r w:rsidRPr="00DB7496">
        <w:rPr>
          <w:noProof/>
        </w:rPr>
        <w:instrText xml:space="preserve"> PAGEREF _Toc135234379 \h </w:instrText>
      </w:r>
      <w:r w:rsidRPr="00DB7496">
        <w:rPr>
          <w:noProof/>
        </w:rPr>
      </w:r>
      <w:r w:rsidRPr="00DB7496">
        <w:rPr>
          <w:noProof/>
        </w:rPr>
        <w:fldChar w:fldCharType="separate"/>
      </w:r>
      <w:r w:rsidR="003D1359">
        <w:rPr>
          <w:noProof/>
        </w:rPr>
        <w:t>1</w:t>
      </w:r>
      <w:r w:rsidRPr="00DB7496">
        <w:rPr>
          <w:noProof/>
        </w:rPr>
        <w:fldChar w:fldCharType="end"/>
      </w:r>
    </w:p>
    <w:p w14:paraId="30736693" w14:textId="7AC88197" w:rsidR="00DB7496" w:rsidRDefault="00DB7496">
      <w:pPr>
        <w:pStyle w:val="TOC5"/>
        <w:rPr>
          <w:rFonts w:asciiTheme="minorHAnsi" w:eastAsiaTheme="minorEastAsia" w:hAnsiTheme="minorHAnsi" w:cstheme="minorBidi"/>
          <w:noProof/>
          <w:kern w:val="0"/>
          <w:sz w:val="22"/>
          <w:szCs w:val="22"/>
        </w:rPr>
      </w:pPr>
      <w:r>
        <w:rPr>
          <w:noProof/>
        </w:rPr>
        <w:t>3</w:t>
      </w:r>
      <w:r>
        <w:rPr>
          <w:noProof/>
        </w:rPr>
        <w:tab/>
        <w:t>Authority</w:t>
      </w:r>
      <w:r w:rsidRPr="00DB7496">
        <w:rPr>
          <w:noProof/>
        </w:rPr>
        <w:tab/>
      </w:r>
      <w:r w:rsidRPr="00DB7496">
        <w:rPr>
          <w:noProof/>
        </w:rPr>
        <w:fldChar w:fldCharType="begin"/>
      </w:r>
      <w:r w:rsidRPr="00DB7496">
        <w:rPr>
          <w:noProof/>
        </w:rPr>
        <w:instrText xml:space="preserve"> PAGEREF _Toc135234380 \h </w:instrText>
      </w:r>
      <w:r w:rsidRPr="00DB7496">
        <w:rPr>
          <w:noProof/>
        </w:rPr>
      </w:r>
      <w:r w:rsidRPr="00DB7496">
        <w:rPr>
          <w:noProof/>
        </w:rPr>
        <w:fldChar w:fldCharType="separate"/>
      </w:r>
      <w:r w:rsidR="003D1359">
        <w:rPr>
          <w:noProof/>
        </w:rPr>
        <w:t>1</w:t>
      </w:r>
      <w:r w:rsidRPr="00DB7496">
        <w:rPr>
          <w:noProof/>
        </w:rPr>
        <w:fldChar w:fldCharType="end"/>
      </w:r>
    </w:p>
    <w:p w14:paraId="5632E2BA" w14:textId="6F6E2D29" w:rsidR="00DB7496" w:rsidRDefault="00DB7496">
      <w:pPr>
        <w:pStyle w:val="TOC5"/>
        <w:rPr>
          <w:rFonts w:asciiTheme="minorHAnsi" w:eastAsiaTheme="minorEastAsia" w:hAnsiTheme="minorHAnsi" w:cstheme="minorBidi"/>
          <w:noProof/>
          <w:kern w:val="0"/>
          <w:sz w:val="22"/>
          <w:szCs w:val="22"/>
        </w:rPr>
      </w:pPr>
      <w:r>
        <w:rPr>
          <w:noProof/>
        </w:rPr>
        <w:t>4</w:t>
      </w:r>
      <w:r>
        <w:rPr>
          <w:noProof/>
        </w:rPr>
        <w:tab/>
        <w:t>Schedules</w:t>
      </w:r>
      <w:r w:rsidRPr="00DB7496">
        <w:rPr>
          <w:noProof/>
        </w:rPr>
        <w:tab/>
      </w:r>
      <w:r w:rsidRPr="00DB7496">
        <w:rPr>
          <w:noProof/>
        </w:rPr>
        <w:fldChar w:fldCharType="begin"/>
      </w:r>
      <w:r w:rsidRPr="00DB7496">
        <w:rPr>
          <w:noProof/>
        </w:rPr>
        <w:instrText xml:space="preserve"> PAGEREF _Toc135234381 \h </w:instrText>
      </w:r>
      <w:r w:rsidRPr="00DB7496">
        <w:rPr>
          <w:noProof/>
        </w:rPr>
      </w:r>
      <w:r w:rsidRPr="00DB7496">
        <w:rPr>
          <w:noProof/>
        </w:rPr>
        <w:fldChar w:fldCharType="separate"/>
      </w:r>
      <w:r w:rsidR="003D1359">
        <w:rPr>
          <w:noProof/>
        </w:rPr>
        <w:t>2</w:t>
      </w:r>
      <w:r w:rsidRPr="00DB7496">
        <w:rPr>
          <w:noProof/>
        </w:rPr>
        <w:fldChar w:fldCharType="end"/>
      </w:r>
    </w:p>
    <w:p w14:paraId="7930E4CA" w14:textId="2E9F6974" w:rsidR="00DB7496" w:rsidRDefault="00DB7496">
      <w:pPr>
        <w:pStyle w:val="TOC6"/>
        <w:rPr>
          <w:rFonts w:asciiTheme="minorHAnsi" w:eastAsiaTheme="minorEastAsia" w:hAnsiTheme="minorHAnsi" w:cstheme="minorBidi"/>
          <w:b w:val="0"/>
          <w:noProof/>
          <w:kern w:val="0"/>
          <w:sz w:val="22"/>
          <w:szCs w:val="22"/>
        </w:rPr>
      </w:pPr>
      <w:r>
        <w:rPr>
          <w:noProof/>
        </w:rPr>
        <w:t>Schedule 1—Amendments</w:t>
      </w:r>
      <w:r w:rsidRPr="00DB7496">
        <w:rPr>
          <w:b w:val="0"/>
          <w:noProof/>
          <w:sz w:val="18"/>
        </w:rPr>
        <w:tab/>
      </w:r>
      <w:r w:rsidRPr="00DB7496">
        <w:rPr>
          <w:b w:val="0"/>
          <w:noProof/>
          <w:sz w:val="18"/>
        </w:rPr>
        <w:fldChar w:fldCharType="begin"/>
      </w:r>
      <w:r w:rsidRPr="00DB7496">
        <w:rPr>
          <w:b w:val="0"/>
          <w:noProof/>
          <w:sz w:val="18"/>
        </w:rPr>
        <w:instrText xml:space="preserve"> PAGEREF _Toc135234382 \h </w:instrText>
      </w:r>
      <w:r w:rsidRPr="00DB7496">
        <w:rPr>
          <w:b w:val="0"/>
          <w:noProof/>
          <w:sz w:val="18"/>
        </w:rPr>
      </w:r>
      <w:r w:rsidRPr="00DB7496">
        <w:rPr>
          <w:b w:val="0"/>
          <w:noProof/>
          <w:sz w:val="18"/>
        </w:rPr>
        <w:fldChar w:fldCharType="separate"/>
      </w:r>
      <w:r w:rsidR="003D1359">
        <w:rPr>
          <w:b w:val="0"/>
          <w:noProof/>
          <w:sz w:val="18"/>
        </w:rPr>
        <w:t>3</w:t>
      </w:r>
      <w:r w:rsidRPr="00DB7496">
        <w:rPr>
          <w:b w:val="0"/>
          <w:noProof/>
          <w:sz w:val="18"/>
        </w:rPr>
        <w:fldChar w:fldCharType="end"/>
      </w:r>
    </w:p>
    <w:p w14:paraId="63C616D0" w14:textId="128D66A8" w:rsidR="00DB7496" w:rsidRDefault="00DB7496">
      <w:pPr>
        <w:pStyle w:val="TOC7"/>
        <w:rPr>
          <w:rFonts w:asciiTheme="minorHAnsi" w:eastAsiaTheme="minorEastAsia" w:hAnsiTheme="minorHAnsi" w:cstheme="minorBidi"/>
          <w:noProof/>
          <w:kern w:val="0"/>
          <w:sz w:val="22"/>
          <w:szCs w:val="22"/>
        </w:rPr>
      </w:pPr>
      <w:r>
        <w:rPr>
          <w:noProof/>
        </w:rPr>
        <w:t>Part 1—Industrial action</w:t>
      </w:r>
      <w:r w:rsidRPr="00DB7496">
        <w:rPr>
          <w:noProof/>
          <w:sz w:val="18"/>
        </w:rPr>
        <w:tab/>
      </w:r>
      <w:r w:rsidRPr="00DB7496">
        <w:rPr>
          <w:noProof/>
          <w:sz w:val="18"/>
        </w:rPr>
        <w:fldChar w:fldCharType="begin"/>
      </w:r>
      <w:r w:rsidRPr="00DB7496">
        <w:rPr>
          <w:noProof/>
          <w:sz w:val="18"/>
        </w:rPr>
        <w:instrText xml:space="preserve"> PAGEREF _Toc135234383 \h </w:instrText>
      </w:r>
      <w:r w:rsidRPr="00DB7496">
        <w:rPr>
          <w:noProof/>
          <w:sz w:val="18"/>
        </w:rPr>
      </w:r>
      <w:r w:rsidRPr="00DB7496">
        <w:rPr>
          <w:noProof/>
          <w:sz w:val="18"/>
        </w:rPr>
        <w:fldChar w:fldCharType="separate"/>
      </w:r>
      <w:r w:rsidR="003D1359">
        <w:rPr>
          <w:noProof/>
          <w:sz w:val="18"/>
        </w:rPr>
        <w:t>3</w:t>
      </w:r>
      <w:r w:rsidRPr="00DB7496">
        <w:rPr>
          <w:noProof/>
          <w:sz w:val="18"/>
        </w:rPr>
        <w:fldChar w:fldCharType="end"/>
      </w:r>
    </w:p>
    <w:p w14:paraId="41660619" w14:textId="250B9332" w:rsidR="00DB7496" w:rsidRDefault="00DB7496">
      <w:pPr>
        <w:pStyle w:val="TOC9"/>
        <w:rPr>
          <w:rFonts w:asciiTheme="minorHAnsi" w:eastAsiaTheme="minorEastAsia" w:hAnsiTheme="minorHAnsi" w:cstheme="minorBidi"/>
          <w:i w:val="0"/>
          <w:noProof/>
          <w:kern w:val="0"/>
          <w:sz w:val="22"/>
          <w:szCs w:val="22"/>
        </w:rPr>
      </w:pPr>
      <w:r>
        <w:rPr>
          <w:noProof/>
        </w:rPr>
        <w:t>Fair Work Regulations 2009</w:t>
      </w:r>
      <w:r w:rsidRPr="00DB7496">
        <w:rPr>
          <w:i w:val="0"/>
          <w:noProof/>
          <w:sz w:val="18"/>
        </w:rPr>
        <w:tab/>
      </w:r>
      <w:r w:rsidRPr="00DB7496">
        <w:rPr>
          <w:i w:val="0"/>
          <w:noProof/>
          <w:sz w:val="18"/>
        </w:rPr>
        <w:fldChar w:fldCharType="begin"/>
      </w:r>
      <w:r w:rsidRPr="00DB7496">
        <w:rPr>
          <w:i w:val="0"/>
          <w:noProof/>
          <w:sz w:val="18"/>
        </w:rPr>
        <w:instrText xml:space="preserve"> PAGEREF _Toc135234384 \h </w:instrText>
      </w:r>
      <w:r w:rsidRPr="00DB7496">
        <w:rPr>
          <w:i w:val="0"/>
          <w:noProof/>
          <w:sz w:val="18"/>
        </w:rPr>
      </w:r>
      <w:r w:rsidRPr="00DB7496">
        <w:rPr>
          <w:i w:val="0"/>
          <w:noProof/>
          <w:sz w:val="18"/>
        </w:rPr>
        <w:fldChar w:fldCharType="separate"/>
      </w:r>
      <w:r w:rsidR="003D1359">
        <w:rPr>
          <w:i w:val="0"/>
          <w:noProof/>
          <w:sz w:val="18"/>
        </w:rPr>
        <w:t>3</w:t>
      </w:r>
      <w:r w:rsidRPr="00DB7496">
        <w:rPr>
          <w:i w:val="0"/>
          <w:noProof/>
          <w:sz w:val="18"/>
        </w:rPr>
        <w:fldChar w:fldCharType="end"/>
      </w:r>
    </w:p>
    <w:p w14:paraId="0204D370" w14:textId="4260FA97" w:rsidR="00DB7496" w:rsidRDefault="00DB7496">
      <w:pPr>
        <w:pStyle w:val="TOC7"/>
        <w:rPr>
          <w:rFonts w:asciiTheme="minorHAnsi" w:eastAsiaTheme="minorEastAsia" w:hAnsiTheme="minorHAnsi" w:cstheme="minorBidi"/>
          <w:noProof/>
          <w:kern w:val="0"/>
          <w:sz w:val="22"/>
          <w:szCs w:val="22"/>
        </w:rPr>
      </w:pPr>
      <w:r>
        <w:rPr>
          <w:noProof/>
        </w:rPr>
        <w:t>Part 2—Enhancing the small claims process</w:t>
      </w:r>
      <w:r w:rsidRPr="00DB7496">
        <w:rPr>
          <w:noProof/>
          <w:sz w:val="18"/>
        </w:rPr>
        <w:tab/>
      </w:r>
      <w:r w:rsidRPr="00DB7496">
        <w:rPr>
          <w:noProof/>
          <w:sz w:val="18"/>
        </w:rPr>
        <w:fldChar w:fldCharType="begin"/>
      </w:r>
      <w:r w:rsidRPr="00DB7496">
        <w:rPr>
          <w:noProof/>
          <w:sz w:val="18"/>
        </w:rPr>
        <w:instrText xml:space="preserve"> PAGEREF _Toc135234387 \h </w:instrText>
      </w:r>
      <w:r w:rsidRPr="00DB7496">
        <w:rPr>
          <w:noProof/>
          <w:sz w:val="18"/>
        </w:rPr>
      </w:r>
      <w:r w:rsidRPr="00DB7496">
        <w:rPr>
          <w:noProof/>
          <w:sz w:val="18"/>
        </w:rPr>
        <w:fldChar w:fldCharType="separate"/>
      </w:r>
      <w:r w:rsidR="003D1359">
        <w:rPr>
          <w:noProof/>
          <w:sz w:val="18"/>
        </w:rPr>
        <w:t>4</w:t>
      </w:r>
      <w:r w:rsidRPr="00DB7496">
        <w:rPr>
          <w:noProof/>
          <w:sz w:val="18"/>
        </w:rPr>
        <w:fldChar w:fldCharType="end"/>
      </w:r>
    </w:p>
    <w:p w14:paraId="0E3027D0" w14:textId="79024D24" w:rsidR="00DB7496" w:rsidRDefault="00DB7496">
      <w:pPr>
        <w:pStyle w:val="TOC8"/>
        <w:rPr>
          <w:rFonts w:asciiTheme="minorHAnsi" w:eastAsiaTheme="minorEastAsia" w:hAnsiTheme="minorHAnsi" w:cstheme="minorBidi"/>
          <w:noProof/>
          <w:kern w:val="0"/>
          <w:sz w:val="22"/>
          <w:szCs w:val="22"/>
        </w:rPr>
      </w:pPr>
      <w:r>
        <w:rPr>
          <w:noProof/>
        </w:rPr>
        <w:t>Division 1—Amendments</w:t>
      </w:r>
      <w:r w:rsidRPr="00DB7496">
        <w:rPr>
          <w:noProof/>
          <w:sz w:val="18"/>
        </w:rPr>
        <w:tab/>
      </w:r>
      <w:r w:rsidRPr="00DB7496">
        <w:rPr>
          <w:noProof/>
          <w:sz w:val="18"/>
        </w:rPr>
        <w:fldChar w:fldCharType="begin"/>
      </w:r>
      <w:r w:rsidRPr="00DB7496">
        <w:rPr>
          <w:noProof/>
          <w:sz w:val="18"/>
        </w:rPr>
        <w:instrText xml:space="preserve"> PAGEREF _Toc135234388 \h </w:instrText>
      </w:r>
      <w:r w:rsidRPr="00DB7496">
        <w:rPr>
          <w:noProof/>
          <w:sz w:val="18"/>
        </w:rPr>
      </w:r>
      <w:r w:rsidRPr="00DB7496">
        <w:rPr>
          <w:noProof/>
          <w:sz w:val="18"/>
        </w:rPr>
        <w:fldChar w:fldCharType="separate"/>
      </w:r>
      <w:r w:rsidR="003D1359">
        <w:rPr>
          <w:noProof/>
          <w:sz w:val="18"/>
        </w:rPr>
        <w:t>4</w:t>
      </w:r>
      <w:r w:rsidRPr="00DB7496">
        <w:rPr>
          <w:noProof/>
          <w:sz w:val="18"/>
        </w:rPr>
        <w:fldChar w:fldCharType="end"/>
      </w:r>
    </w:p>
    <w:p w14:paraId="68740BE9" w14:textId="5499BFD5" w:rsidR="00DB7496" w:rsidRDefault="00DB7496">
      <w:pPr>
        <w:pStyle w:val="TOC9"/>
        <w:rPr>
          <w:rFonts w:asciiTheme="minorHAnsi" w:eastAsiaTheme="minorEastAsia" w:hAnsiTheme="minorHAnsi" w:cstheme="minorBidi"/>
          <w:i w:val="0"/>
          <w:noProof/>
          <w:kern w:val="0"/>
          <w:sz w:val="22"/>
          <w:szCs w:val="22"/>
        </w:rPr>
      </w:pPr>
      <w:r>
        <w:rPr>
          <w:noProof/>
        </w:rPr>
        <w:t>Federal Court and Federal Circuit and Family Court Regulations 2022</w:t>
      </w:r>
      <w:r w:rsidRPr="00DB7496">
        <w:rPr>
          <w:i w:val="0"/>
          <w:noProof/>
          <w:sz w:val="18"/>
        </w:rPr>
        <w:tab/>
      </w:r>
      <w:r w:rsidRPr="00DB7496">
        <w:rPr>
          <w:i w:val="0"/>
          <w:noProof/>
          <w:sz w:val="18"/>
        </w:rPr>
        <w:fldChar w:fldCharType="begin"/>
      </w:r>
      <w:r w:rsidRPr="00DB7496">
        <w:rPr>
          <w:i w:val="0"/>
          <w:noProof/>
          <w:sz w:val="18"/>
        </w:rPr>
        <w:instrText xml:space="preserve"> PAGEREF _Toc135234389 \h </w:instrText>
      </w:r>
      <w:r w:rsidRPr="00DB7496">
        <w:rPr>
          <w:i w:val="0"/>
          <w:noProof/>
          <w:sz w:val="18"/>
        </w:rPr>
      </w:r>
      <w:r w:rsidRPr="00DB7496">
        <w:rPr>
          <w:i w:val="0"/>
          <w:noProof/>
          <w:sz w:val="18"/>
        </w:rPr>
        <w:fldChar w:fldCharType="separate"/>
      </w:r>
      <w:r w:rsidR="003D1359">
        <w:rPr>
          <w:i w:val="0"/>
          <w:noProof/>
          <w:sz w:val="18"/>
        </w:rPr>
        <w:t>4</w:t>
      </w:r>
      <w:r w:rsidRPr="00DB7496">
        <w:rPr>
          <w:i w:val="0"/>
          <w:noProof/>
          <w:sz w:val="18"/>
        </w:rPr>
        <w:fldChar w:fldCharType="end"/>
      </w:r>
    </w:p>
    <w:p w14:paraId="46F9E713" w14:textId="11E8C025" w:rsidR="00DB7496" w:rsidRDefault="00DB7496">
      <w:pPr>
        <w:pStyle w:val="TOC8"/>
        <w:rPr>
          <w:rFonts w:asciiTheme="minorHAnsi" w:eastAsiaTheme="minorEastAsia" w:hAnsiTheme="minorHAnsi" w:cstheme="minorBidi"/>
          <w:noProof/>
          <w:kern w:val="0"/>
          <w:sz w:val="22"/>
          <w:szCs w:val="22"/>
        </w:rPr>
      </w:pPr>
      <w:r>
        <w:rPr>
          <w:noProof/>
        </w:rPr>
        <w:t>Division 2—Transitional provisions</w:t>
      </w:r>
      <w:r w:rsidRPr="00DB7496">
        <w:rPr>
          <w:noProof/>
          <w:sz w:val="18"/>
        </w:rPr>
        <w:tab/>
      </w:r>
      <w:r w:rsidRPr="00DB7496">
        <w:rPr>
          <w:noProof/>
          <w:sz w:val="18"/>
        </w:rPr>
        <w:fldChar w:fldCharType="begin"/>
      </w:r>
      <w:r w:rsidRPr="00DB7496">
        <w:rPr>
          <w:noProof/>
          <w:sz w:val="18"/>
        </w:rPr>
        <w:instrText xml:space="preserve"> PAGEREF _Toc135234390 \h </w:instrText>
      </w:r>
      <w:r w:rsidRPr="00DB7496">
        <w:rPr>
          <w:noProof/>
          <w:sz w:val="18"/>
        </w:rPr>
      </w:r>
      <w:r w:rsidRPr="00DB7496">
        <w:rPr>
          <w:noProof/>
          <w:sz w:val="18"/>
        </w:rPr>
        <w:fldChar w:fldCharType="separate"/>
      </w:r>
      <w:r w:rsidR="003D1359">
        <w:rPr>
          <w:noProof/>
          <w:sz w:val="18"/>
        </w:rPr>
        <w:t>4</w:t>
      </w:r>
      <w:r w:rsidRPr="00DB7496">
        <w:rPr>
          <w:noProof/>
          <w:sz w:val="18"/>
        </w:rPr>
        <w:fldChar w:fldCharType="end"/>
      </w:r>
    </w:p>
    <w:p w14:paraId="7C22A049" w14:textId="4C832388" w:rsidR="00DB7496" w:rsidRDefault="00DB7496">
      <w:pPr>
        <w:pStyle w:val="TOC9"/>
        <w:rPr>
          <w:rFonts w:asciiTheme="minorHAnsi" w:eastAsiaTheme="minorEastAsia" w:hAnsiTheme="minorHAnsi" w:cstheme="minorBidi"/>
          <w:i w:val="0"/>
          <w:noProof/>
          <w:kern w:val="0"/>
          <w:sz w:val="22"/>
          <w:szCs w:val="22"/>
        </w:rPr>
      </w:pPr>
      <w:r>
        <w:rPr>
          <w:noProof/>
        </w:rPr>
        <w:t>Federal Court and Federal Circuit and Family Court Regulations 2022</w:t>
      </w:r>
      <w:r w:rsidRPr="00DB7496">
        <w:rPr>
          <w:i w:val="0"/>
          <w:noProof/>
          <w:sz w:val="18"/>
        </w:rPr>
        <w:tab/>
      </w:r>
      <w:r w:rsidRPr="00DB7496">
        <w:rPr>
          <w:i w:val="0"/>
          <w:noProof/>
          <w:sz w:val="18"/>
        </w:rPr>
        <w:fldChar w:fldCharType="begin"/>
      </w:r>
      <w:r w:rsidRPr="00DB7496">
        <w:rPr>
          <w:i w:val="0"/>
          <w:noProof/>
          <w:sz w:val="18"/>
        </w:rPr>
        <w:instrText xml:space="preserve"> PAGEREF _Toc135234391 \h </w:instrText>
      </w:r>
      <w:r w:rsidRPr="00DB7496">
        <w:rPr>
          <w:i w:val="0"/>
          <w:noProof/>
          <w:sz w:val="18"/>
        </w:rPr>
      </w:r>
      <w:r w:rsidRPr="00DB7496">
        <w:rPr>
          <w:i w:val="0"/>
          <w:noProof/>
          <w:sz w:val="18"/>
        </w:rPr>
        <w:fldChar w:fldCharType="separate"/>
      </w:r>
      <w:r w:rsidR="003D1359">
        <w:rPr>
          <w:i w:val="0"/>
          <w:noProof/>
          <w:sz w:val="18"/>
        </w:rPr>
        <w:t>4</w:t>
      </w:r>
      <w:r w:rsidRPr="00DB7496">
        <w:rPr>
          <w:i w:val="0"/>
          <w:noProof/>
          <w:sz w:val="18"/>
        </w:rPr>
        <w:fldChar w:fldCharType="end"/>
      </w:r>
    </w:p>
    <w:p w14:paraId="576C0F4C" w14:textId="682DB03C" w:rsidR="00DB7496" w:rsidRDefault="00DB7496">
      <w:pPr>
        <w:pStyle w:val="TOC7"/>
        <w:rPr>
          <w:rFonts w:asciiTheme="minorHAnsi" w:eastAsiaTheme="minorEastAsia" w:hAnsiTheme="minorHAnsi" w:cstheme="minorBidi"/>
          <w:noProof/>
          <w:kern w:val="0"/>
          <w:sz w:val="22"/>
          <w:szCs w:val="22"/>
        </w:rPr>
      </w:pPr>
      <w:r>
        <w:rPr>
          <w:noProof/>
        </w:rPr>
        <w:t>Part 3—National Construction Industry Forum</w:t>
      </w:r>
      <w:r w:rsidRPr="00DB7496">
        <w:rPr>
          <w:noProof/>
          <w:sz w:val="18"/>
        </w:rPr>
        <w:tab/>
      </w:r>
      <w:r w:rsidRPr="00DB7496">
        <w:rPr>
          <w:noProof/>
          <w:sz w:val="18"/>
        </w:rPr>
        <w:fldChar w:fldCharType="begin"/>
      </w:r>
      <w:r w:rsidRPr="00DB7496">
        <w:rPr>
          <w:noProof/>
          <w:sz w:val="18"/>
        </w:rPr>
        <w:instrText xml:space="preserve"> PAGEREF _Toc135234394 \h </w:instrText>
      </w:r>
      <w:r w:rsidRPr="00DB7496">
        <w:rPr>
          <w:noProof/>
          <w:sz w:val="18"/>
        </w:rPr>
      </w:r>
      <w:r w:rsidRPr="00DB7496">
        <w:rPr>
          <w:noProof/>
          <w:sz w:val="18"/>
        </w:rPr>
        <w:fldChar w:fldCharType="separate"/>
      </w:r>
      <w:r w:rsidR="003D1359">
        <w:rPr>
          <w:noProof/>
          <w:sz w:val="18"/>
        </w:rPr>
        <w:t>5</w:t>
      </w:r>
      <w:r w:rsidRPr="00DB7496">
        <w:rPr>
          <w:noProof/>
          <w:sz w:val="18"/>
        </w:rPr>
        <w:fldChar w:fldCharType="end"/>
      </w:r>
    </w:p>
    <w:p w14:paraId="6793BD55" w14:textId="0976CB3D" w:rsidR="00DB7496" w:rsidRDefault="00DB7496">
      <w:pPr>
        <w:pStyle w:val="TOC9"/>
        <w:rPr>
          <w:rFonts w:asciiTheme="minorHAnsi" w:eastAsiaTheme="minorEastAsia" w:hAnsiTheme="minorHAnsi" w:cstheme="minorBidi"/>
          <w:i w:val="0"/>
          <w:noProof/>
          <w:kern w:val="0"/>
          <w:sz w:val="22"/>
          <w:szCs w:val="22"/>
        </w:rPr>
      </w:pPr>
      <w:r>
        <w:rPr>
          <w:noProof/>
        </w:rPr>
        <w:t>Fair Work Regulations 2009</w:t>
      </w:r>
      <w:r w:rsidRPr="00DB7496">
        <w:rPr>
          <w:i w:val="0"/>
          <w:noProof/>
          <w:sz w:val="18"/>
        </w:rPr>
        <w:tab/>
      </w:r>
      <w:r w:rsidRPr="00DB7496">
        <w:rPr>
          <w:i w:val="0"/>
          <w:noProof/>
          <w:sz w:val="18"/>
        </w:rPr>
        <w:fldChar w:fldCharType="begin"/>
      </w:r>
      <w:r w:rsidRPr="00DB7496">
        <w:rPr>
          <w:i w:val="0"/>
          <w:noProof/>
          <w:sz w:val="18"/>
        </w:rPr>
        <w:instrText xml:space="preserve"> PAGEREF _Toc135234395 \h </w:instrText>
      </w:r>
      <w:r w:rsidRPr="00DB7496">
        <w:rPr>
          <w:i w:val="0"/>
          <w:noProof/>
          <w:sz w:val="18"/>
        </w:rPr>
      </w:r>
      <w:r w:rsidRPr="00DB7496">
        <w:rPr>
          <w:i w:val="0"/>
          <w:noProof/>
          <w:sz w:val="18"/>
        </w:rPr>
        <w:fldChar w:fldCharType="separate"/>
      </w:r>
      <w:r w:rsidR="003D1359">
        <w:rPr>
          <w:i w:val="0"/>
          <w:noProof/>
          <w:sz w:val="18"/>
        </w:rPr>
        <w:t>5</w:t>
      </w:r>
      <w:r w:rsidRPr="00DB7496">
        <w:rPr>
          <w:i w:val="0"/>
          <w:noProof/>
          <w:sz w:val="18"/>
        </w:rPr>
        <w:fldChar w:fldCharType="end"/>
      </w:r>
    </w:p>
    <w:p w14:paraId="29D36735" w14:textId="4A2DB9D7" w:rsidR="00DB7496" w:rsidRDefault="00DB7496">
      <w:pPr>
        <w:pStyle w:val="TOC7"/>
        <w:rPr>
          <w:rFonts w:asciiTheme="minorHAnsi" w:eastAsiaTheme="minorEastAsia" w:hAnsiTheme="minorHAnsi" w:cstheme="minorBidi"/>
          <w:noProof/>
          <w:kern w:val="0"/>
          <w:sz w:val="22"/>
          <w:szCs w:val="22"/>
        </w:rPr>
      </w:pPr>
      <w:r>
        <w:rPr>
          <w:noProof/>
        </w:rPr>
        <w:t>Part 4—Enterprise agreements</w:t>
      </w:r>
      <w:r w:rsidRPr="00DB7496">
        <w:rPr>
          <w:noProof/>
          <w:sz w:val="18"/>
        </w:rPr>
        <w:tab/>
      </w:r>
      <w:r w:rsidRPr="00DB7496">
        <w:rPr>
          <w:noProof/>
          <w:sz w:val="18"/>
        </w:rPr>
        <w:fldChar w:fldCharType="begin"/>
      </w:r>
      <w:r w:rsidRPr="00DB7496">
        <w:rPr>
          <w:noProof/>
          <w:sz w:val="18"/>
        </w:rPr>
        <w:instrText xml:space="preserve"> PAGEREF _Toc135234398 \h </w:instrText>
      </w:r>
      <w:r w:rsidRPr="00DB7496">
        <w:rPr>
          <w:noProof/>
          <w:sz w:val="18"/>
        </w:rPr>
      </w:r>
      <w:r w:rsidRPr="00DB7496">
        <w:rPr>
          <w:noProof/>
          <w:sz w:val="18"/>
        </w:rPr>
        <w:fldChar w:fldCharType="separate"/>
      </w:r>
      <w:r w:rsidR="003D1359">
        <w:rPr>
          <w:noProof/>
          <w:sz w:val="18"/>
        </w:rPr>
        <w:t>6</w:t>
      </w:r>
      <w:r w:rsidRPr="00DB7496">
        <w:rPr>
          <w:noProof/>
          <w:sz w:val="18"/>
        </w:rPr>
        <w:fldChar w:fldCharType="end"/>
      </w:r>
    </w:p>
    <w:p w14:paraId="2E2B235D" w14:textId="30DC6BBC" w:rsidR="00DB7496" w:rsidRDefault="00DB7496">
      <w:pPr>
        <w:pStyle w:val="TOC8"/>
        <w:rPr>
          <w:rFonts w:asciiTheme="minorHAnsi" w:eastAsiaTheme="minorEastAsia" w:hAnsiTheme="minorHAnsi" w:cstheme="minorBidi"/>
          <w:noProof/>
          <w:kern w:val="0"/>
          <w:sz w:val="22"/>
          <w:szCs w:val="22"/>
        </w:rPr>
      </w:pPr>
      <w:r>
        <w:rPr>
          <w:noProof/>
        </w:rPr>
        <w:t>Division 1—Amendments commencing day after registration</w:t>
      </w:r>
      <w:r w:rsidRPr="00DB7496">
        <w:rPr>
          <w:noProof/>
          <w:sz w:val="18"/>
        </w:rPr>
        <w:tab/>
      </w:r>
      <w:r w:rsidRPr="00DB7496">
        <w:rPr>
          <w:noProof/>
          <w:sz w:val="18"/>
        </w:rPr>
        <w:fldChar w:fldCharType="begin"/>
      </w:r>
      <w:r w:rsidRPr="00DB7496">
        <w:rPr>
          <w:noProof/>
          <w:sz w:val="18"/>
        </w:rPr>
        <w:instrText xml:space="preserve"> PAGEREF _Toc135234399 \h </w:instrText>
      </w:r>
      <w:r w:rsidRPr="00DB7496">
        <w:rPr>
          <w:noProof/>
          <w:sz w:val="18"/>
        </w:rPr>
      </w:r>
      <w:r w:rsidRPr="00DB7496">
        <w:rPr>
          <w:noProof/>
          <w:sz w:val="18"/>
        </w:rPr>
        <w:fldChar w:fldCharType="separate"/>
      </w:r>
      <w:r w:rsidR="003D1359">
        <w:rPr>
          <w:noProof/>
          <w:sz w:val="18"/>
        </w:rPr>
        <w:t>6</w:t>
      </w:r>
      <w:r w:rsidRPr="00DB7496">
        <w:rPr>
          <w:noProof/>
          <w:sz w:val="18"/>
        </w:rPr>
        <w:fldChar w:fldCharType="end"/>
      </w:r>
    </w:p>
    <w:p w14:paraId="47F868B9" w14:textId="7B84F18D" w:rsidR="00DB7496" w:rsidRDefault="00DB7496">
      <w:pPr>
        <w:pStyle w:val="TOC9"/>
        <w:rPr>
          <w:rFonts w:asciiTheme="minorHAnsi" w:eastAsiaTheme="minorEastAsia" w:hAnsiTheme="minorHAnsi" w:cstheme="minorBidi"/>
          <w:i w:val="0"/>
          <w:noProof/>
          <w:kern w:val="0"/>
          <w:sz w:val="22"/>
          <w:szCs w:val="22"/>
        </w:rPr>
      </w:pPr>
      <w:r>
        <w:rPr>
          <w:noProof/>
        </w:rPr>
        <w:t>Fair Work Regulations 2009</w:t>
      </w:r>
      <w:r w:rsidRPr="00DB7496">
        <w:rPr>
          <w:i w:val="0"/>
          <w:noProof/>
          <w:sz w:val="18"/>
        </w:rPr>
        <w:tab/>
      </w:r>
      <w:r w:rsidRPr="00DB7496">
        <w:rPr>
          <w:i w:val="0"/>
          <w:noProof/>
          <w:sz w:val="18"/>
        </w:rPr>
        <w:fldChar w:fldCharType="begin"/>
      </w:r>
      <w:r w:rsidRPr="00DB7496">
        <w:rPr>
          <w:i w:val="0"/>
          <w:noProof/>
          <w:sz w:val="18"/>
        </w:rPr>
        <w:instrText xml:space="preserve"> PAGEREF _Toc135234400 \h </w:instrText>
      </w:r>
      <w:r w:rsidRPr="00DB7496">
        <w:rPr>
          <w:i w:val="0"/>
          <w:noProof/>
          <w:sz w:val="18"/>
        </w:rPr>
      </w:r>
      <w:r w:rsidRPr="00DB7496">
        <w:rPr>
          <w:i w:val="0"/>
          <w:noProof/>
          <w:sz w:val="18"/>
        </w:rPr>
        <w:fldChar w:fldCharType="separate"/>
      </w:r>
      <w:r w:rsidR="003D1359">
        <w:rPr>
          <w:i w:val="0"/>
          <w:noProof/>
          <w:sz w:val="18"/>
        </w:rPr>
        <w:t>6</w:t>
      </w:r>
      <w:r w:rsidRPr="00DB7496">
        <w:rPr>
          <w:i w:val="0"/>
          <w:noProof/>
          <w:sz w:val="18"/>
        </w:rPr>
        <w:fldChar w:fldCharType="end"/>
      </w:r>
    </w:p>
    <w:p w14:paraId="1FD6550E" w14:textId="745BE3EF" w:rsidR="00DB7496" w:rsidRDefault="00DB7496">
      <w:pPr>
        <w:pStyle w:val="TOC8"/>
        <w:rPr>
          <w:rFonts w:asciiTheme="minorHAnsi" w:eastAsiaTheme="minorEastAsia" w:hAnsiTheme="minorHAnsi" w:cstheme="minorBidi"/>
          <w:noProof/>
          <w:kern w:val="0"/>
          <w:sz w:val="22"/>
          <w:szCs w:val="22"/>
        </w:rPr>
      </w:pPr>
      <w:r>
        <w:rPr>
          <w:noProof/>
        </w:rPr>
        <w:t>Division 2—Amendments commencing later</w:t>
      </w:r>
      <w:r w:rsidRPr="00DB7496">
        <w:rPr>
          <w:noProof/>
          <w:sz w:val="18"/>
        </w:rPr>
        <w:tab/>
      </w:r>
      <w:r w:rsidRPr="00DB7496">
        <w:rPr>
          <w:noProof/>
          <w:sz w:val="18"/>
        </w:rPr>
        <w:fldChar w:fldCharType="begin"/>
      </w:r>
      <w:r w:rsidRPr="00DB7496">
        <w:rPr>
          <w:noProof/>
          <w:sz w:val="18"/>
        </w:rPr>
        <w:instrText xml:space="preserve"> PAGEREF _Toc135234405 \h </w:instrText>
      </w:r>
      <w:r w:rsidRPr="00DB7496">
        <w:rPr>
          <w:noProof/>
          <w:sz w:val="18"/>
        </w:rPr>
      </w:r>
      <w:r w:rsidRPr="00DB7496">
        <w:rPr>
          <w:noProof/>
          <w:sz w:val="18"/>
        </w:rPr>
        <w:fldChar w:fldCharType="separate"/>
      </w:r>
      <w:r w:rsidR="003D1359">
        <w:rPr>
          <w:noProof/>
          <w:sz w:val="18"/>
        </w:rPr>
        <w:t>7</w:t>
      </w:r>
      <w:r w:rsidRPr="00DB7496">
        <w:rPr>
          <w:noProof/>
          <w:sz w:val="18"/>
        </w:rPr>
        <w:fldChar w:fldCharType="end"/>
      </w:r>
    </w:p>
    <w:p w14:paraId="7C89B760" w14:textId="4B2A1F40" w:rsidR="00DB7496" w:rsidRDefault="00DB7496">
      <w:pPr>
        <w:pStyle w:val="TOC9"/>
        <w:rPr>
          <w:rFonts w:asciiTheme="minorHAnsi" w:eastAsiaTheme="minorEastAsia" w:hAnsiTheme="minorHAnsi" w:cstheme="minorBidi"/>
          <w:i w:val="0"/>
          <w:noProof/>
          <w:kern w:val="0"/>
          <w:sz w:val="22"/>
          <w:szCs w:val="22"/>
        </w:rPr>
      </w:pPr>
      <w:r>
        <w:rPr>
          <w:noProof/>
        </w:rPr>
        <w:t>Fair Work Regulations 2009</w:t>
      </w:r>
      <w:r w:rsidRPr="00DB7496">
        <w:rPr>
          <w:i w:val="0"/>
          <w:noProof/>
          <w:sz w:val="18"/>
        </w:rPr>
        <w:tab/>
      </w:r>
      <w:r w:rsidRPr="00DB7496">
        <w:rPr>
          <w:i w:val="0"/>
          <w:noProof/>
          <w:sz w:val="18"/>
        </w:rPr>
        <w:fldChar w:fldCharType="begin"/>
      </w:r>
      <w:r w:rsidRPr="00DB7496">
        <w:rPr>
          <w:i w:val="0"/>
          <w:noProof/>
          <w:sz w:val="18"/>
        </w:rPr>
        <w:instrText xml:space="preserve"> PAGEREF _Toc135234406 \h </w:instrText>
      </w:r>
      <w:r w:rsidRPr="00DB7496">
        <w:rPr>
          <w:i w:val="0"/>
          <w:noProof/>
          <w:sz w:val="18"/>
        </w:rPr>
      </w:r>
      <w:r w:rsidRPr="00DB7496">
        <w:rPr>
          <w:i w:val="0"/>
          <w:noProof/>
          <w:sz w:val="18"/>
        </w:rPr>
        <w:fldChar w:fldCharType="separate"/>
      </w:r>
      <w:r w:rsidR="003D1359">
        <w:rPr>
          <w:i w:val="0"/>
          <w:noProof/>
          <w:sz w:val="18"/>
        </w:rPr>
        <w:t>7</w:t>
      </w:r>
      <w:r w:rsidRPr="00DB7496">
        <w:rPr>
          <w:i w:val="0"/>
          <w:noProof/>
          <w:sz w:val="18"/>
        </w:rPr>
        <w:fldChar w:fldCharType="end"/>
      </w:r>
    </w:p>
    <w:p w14:paraId="4A4CCE0B" w14:textId="077F2AAD" w:rsidR="00DB7496" w:rsidRDefault="00DB7496">
      <w:pPr>
        <w:pStyle w:val="TOC7"/>
        <w:rPr>
          <w:rFonts w:asciiTheme="minorHAnsi" w:eastAsiaTheme="minorEastAsia" w:hAnsiTheme="minorHAnsi" w:cstheme="minorBidi"/>
          <w:noProof/>
          <w:kern w:val="0"/>
          <w:sz w:val="22"/>
          <w:szCs w:val="22"/>
        </w:rPr>
      </w:pPr>
      <w:r>
        <w:rPr>
          <w:noProof/>
        </w:rPr>
        <w:t>Part 5—Abolition of the Australian Building and Construction Commission</w:t>
      </w:r>
      <w:r w:rsidRPr="00DB7496">
        <w:rPr>
          <w:noProof/>
          <w:sz w:val="18"/>
        </w:rPr>
        <w:tab/>
      </w:r>
      <w:r w:rsidRPr="00DB7496">
        <w:rPr>
          <w:noProof/>
          <w:sz w:val="18"/>
        </w:rPr>
        <w:fldChar w:fldCharType="begin"/>
      </w:r>
      <w:r w:rsidRPr="00DB7496">
        <w:rPr>
          <w:noProof/>
          <w:sz w:val="18"/>
        </w:rPr>
        <w:instrText xml:space="preserve"> PAGEREF _Toc135234419 \h </w:instrText>
      </w:r>
      <w:r w:rsidRPr="00DB7496">
        <w:rPr>
          <w:noProof/>
          <w:sz w:val="18"/>
        </w:rPr>
      </w:r>
      <w:r w:rsidRPr="00DB7496">
        <w:rPr>
          <w:noProof/>
          <w:sz w:val="18"/>
        </w:rPr>
        <w:fldChar w:fldCharType="separate"/>
      </w:r>
      <w:r w:rsidR="003D1359">
        <w:rPr>
          <w:noProof/>
          <w:sz w:val="18"/>
        </w:rPr>
        <w:t>14</w:t>
      </w:r>
      <w:r w:rsidRPr="00DB7496">
        <w:rPr>
          <w:noProof/>
          <w:sz w:val="18"/>
        </w:rPr>
        <w:fldChar w:fldCharType="end"/>
      </w:r>
    </w:p>
    <w:p w14:paraId="7F8952AF" w14:textId="4C73D614" w:rsidR="00DB7496" w:rsidRDefault="00DB7496">
      <w:pPr>
        <w:pStyle w:val="TOC8"/>
        <w:rPr>
          <w:rFonts w:asciiTheme="minorHAnsi" w:eastAsiaTheme="minorEastAsia" w:hAnsiTheme="minorHAnsi" w:cstheme="minorBidi"/>
          <w:noProof/>
          <w:kern w:val="0"/>
          <w:sz w:val="22"/>
          <w:szCs w:val="22"/>
        </w:rPr>
      </w:pPr>
      <w:r>
        <w:rPr>
          <w:noProof/>
        </w:rPr>
        <w:t>Division 1—Consequential amendments</w:t>
      </w:r>
      <w:r w:rsidRPr="00DB7496">
        <w:rPr>
          <w:noProof/>
          <w:sz w:val="18"/>
        </w:rPr>
        <w:tab/>
      </w:r>
      <w:r w:rsidRPr="00DB7496">
        <w:rPr>
          <w:noProof/>
          <w:sz w:val="18"/>
        </w:rPr>
        <w:fldChar w:fldCharType="begin"/>
      </w:r>
      <w:r w:rsidRPr="00DB7496">
        <w:rPr>
          <w:noProof/>
          <w:sz w:val="18"/>
        </w:rPr>
        <w:instrText xml:space="preserve"> PAGEREF _Toc135234420 \h </w:instrText>
      </w:r>
      <w:r w:rsidRPr="00DB7496">
        <w:rPr>
          <w:noProof/>
          <w:sz w:val="18"/>
        </w:rPr>
      </w:r>
      <w:r w:rsidRPr="00DB7496">
        <w:rPr>
          <w:noProof/>
          <w:sz w:val="18"/>
        </w:rPr>
        <w:fldChar w:fldCharType="separate"/>
      </w:r>
      <w:r w:rsidR="003D1359">
        <w:rPr>
          <w:noProof/>
          <w:sz w:val="18"/>
        </w:rPr>
        <w:t>14</w:t>
      </w:r>
      <w:r w:rsidRPr="00DB7496">
        <w:rPr>
          <w:noProof/>
          <w:sz w:val="18"/>
        </w:rPr>
        <w:fldChar w:fldCharType="end"/>
      </w:r>
    </w:p>
    <w:p w14:paraId="523609D8" w14:textId="7ECBE60E" w:rsidR="00DB7496" w:rsidRDefault="00DB7496">
      <w:pPr>
        <w:pStyle w:val="TOC9"/>
        <w:rPr>
          <w:rFonts w:asciiTheme="minorHAnsi" w:eastAsiaTheme="minorEastAsia" w:hAnsiTheme="minorHAnsi" w:cstheme="minorBidi"/>
          <w:i w:val="0"/>
          <w:noProof/>
          <w:kern w:val="0"/>
          <w:sz w:val="22"/>
          <w:szCs w:val="22"/>
        </w:rPr>
      </w:pPr>
      <w:r>
        <w:rPr>
          <w:noProof/>
        </w:rPr>
        <w:t>Corporations Regulations 2001</w:t>
      </w:r>
      <w:r w:rsidRPr="00DB7496">
        <w:rPr>
          <w:i w:val="0"/>
          <w:noProof/>
          <w:sz w:val="18"/>
        </w:rPr>
        <w:tab/>
      </w:r>
      <w:r w:rsidRPr="00DB7496">
        <w:rPr>
          <w:i w:val="0"/>
          <w:noProof/>
          <w:sz w:val="18"/>
        </w:rPr>
        <w:fldChar w:fldCharType="begin"/>
      </w:r>
      <w:r w:rsidRPr="00DB7496">
        <w:rPr>
          <w:i w:val="0"/>
          <w:noProof/>
          <w:sz w:val="18"/>
        </w:rPr>
        <w:instrText xml:space="preserve"> PAGEREF _Toc135234421 \h </w:instrText>
      </w:r>
      <w:r w:rsidRPr="00DB7496">
        <w:rPr>
          <w:i w:val="0"/>
          <w:noProof/>
          <w:sz w:val="18"/>
        </w:rPr>
      </w:r>
      <w:r w:rsidRPr="00DB7496">
        <w:rPr>
          <w:i w:val="0"/>
          <w:noProof/>
          <w:sz w:val="18"/>
        </w:rPr>
        <w:fldChar w:fldCharType="separate"/>
      </w:r>
      <w:r w:rsidR="003D1359">
        <w:rPr>
          <w:i w:val="0"/>
          <w:noProof/>
          <w:sz w:val="18"/>
        </w:rPr>
        <w:t>14</w:t>
      </w:r>
      <w:r w:rsidRPr="00DB7496">
        <w:rPr>
          <w:i w:val="0"/>
          <w:noProof/>
          <w:sz w:val="18"/>
        </w:rPr>
        <w:fldChar w:fldCharType="end"/>
      </w:r>
    </w:p>
    <w:p w14:paraId="7E24907C" w14:textId="5FB961D6" w:rsidR="00DB7496" w:rsidRDefault="00DB7496">
      <w:pPr>
        <w:pStyle w:val="TOC9"/>
        <w:rPr>
          <w:rFonts w:asciiTheme="minorHAnsi" w:eastAsiaTheme="minorEastAsia" w:hAnsiTheme="minorHAnsi" w:cstheme="minorBidi"/>
          <w:i w:val="0"/>
          <w:noProof/>
          <w:kern w:val="0"/>
          <w:sz w:val="22"/>
          <w:szCs w:val="22"/>
        </w:rPr>
      </w:pPr>
      <w:r>
        <w:rPr>
          <w:noProof/>
        </w:rPr>
        <w:t>Data Availability and Transparency Regulations 2022</w:t>
      </w:r>
      <w:r w:rsidRPr="00DB7496">
        <w:rPr>
          <w:i w:val="0"/>
          <w:noProof/>
          <w:sz w:val="18"/>
        </w:rPr>
        <w:tab/>
      </w:r>
      <w:r w:rsidRPr="00DB7496">
        <w:rPr>
          <w:i w:val="0"/>
          <w:noProof/>
          <w:sz w:val="18"/>
        </w:rPr>
        <w:fldChar w:fldCharType="begin"/>
      </w:r>
      <w:r w:rsidRPr="00DB7496">
        <w:rPr>
          <w:i w:val="0"/>
          <w:noProof/>
          <w:sz w:val="18"/>
        </w:rPr>
        <w:instrText xml:space="preserve"> PAGEREF _Toc135234422 \h </w:instrText>
      </w:r>
      <w:r w:rsidRPr="00DB7496">
        <w:rPr>
          <w:i w:val="0"/>
          <w:noProof/>
          <w:sz w:val="18"/>
        </w:rPr>
      </w:r>
      <w:r w:rsidRPr="00DB7496">
        <w:rPr>
          <w:i w:val="0"/>
          <w:noProof/>
          <w:sz w:val="18"/>
        </w:rPr>
        <w:fldChar w:fldCharType="separate"/>
      </w:r>
      <w:r w:rsidR="003D1359">
        <w:rPr>
          <w:i w:val="0"/>
          <w:noProof/>
          <w:sz w:val="18"/>
        </w:rPr>
        <w:t>14</w:t>
      </w:r>
      <w:r w:rsidRPr="00DB7496">
        <w:rPr>
          <w:i w:val="0"/>
          <w:noProof/>
          <w:sz w:val="18"/>
        </w:rPr>
        <w:fldChar w:fldCharType="end"/>
      </w:r>
    </w:p>
    <w:p w14:paraId="5BC7F043" w14:textId="0B131BB3" w:rsidR="00DB7496" w:rsidRDefault="00DB7496">
      <w:pPr>
        <w:pStyle w:val="TOC9"/>
        <w:rPr>
          <w:rFonts w:asciiTheme="minorHAnsi" w:eastAsiaTheme="minorEastAsia" w:hAnsiTheme="minorHAnsi" w:cstheme="minorBidi"/>
          <w:i w:val="0"/>
          <w:noProof/>
          <w:kern w:val="0"/>
          <w:sz w:val="22"/>
          <w:szCs w:val="22"/>
        </w:rPr>
      </w:pPr>
      <w:r>
        <w:rPr>
          <w:noProof/>
        </w:rPr>
        <w:t>Jury Exemption Regulations 2019</w:t>
      </w:r>
      <w:r w:rsidRPr="00DB7496">
        <w:rPr>
          <w:i w:val="0"/>
          <w:noProof/>
          <w:sz w:val="18"/>
        </w:rPr>
        <w:tab/>
      </w:r>
      <w:r w:rsidRPr="00DB7496">
        <w:rPr>
          <w:i w:val="0"/>
          <w:noProof/>
          <w:sz w:val="18"/>
        </w:rPr>
        <w:fldChar w:fldCharType="begin"/>
      </w:r>
      <w:r w:rsidRPr="00DB7496">
        <w:rPr>
          <w:i w:val="0"/>
          <w:noProof/>
          <w:sz w:val="18"/>
        </w:rPr>
        <w:instrText xml:space="preserve"> PAGEREF _Toc135234423 \h </w:instrText>
      </w:r>
      <w:r w:rsidRPr="00DB7496">
        <w:rPr>
          <w:i w:val="0"/>
          <w:noProof/>
          <w:sz w:val="18"/>
        </w:rPr>
      </w:r>
      <w:r w:rsidRPr="00DB7496">
        <w:rPr>
          <w:i w:val="0"/>
          <w:noProof/>
          <w:sz w:val="18"/>
        </w:rPr>
        <w:fldChar w:fldCharType="separate"/>
      </w:r>
      <w:r w:rsidR="003D1359">
        <w:rPr>
          <w:i w:val="0"/>
          <w:noProof/>
          <w:sz w:val="18"/>
        </w:rPr>
        <w:t>14</w:t>
      </w:r>
      <w:r w:rsidRPr="00DB7496">
        <w:rPr>
          <w:i w:val="0"/>
          <w:noProof/>
          <w:sz w:val="18"/>
        </w:rPr>
        <w:fldChar w:fldCharType="end"/>
      </w:r>
    </w:p>
    <w:p w14:paraId="20592710" w14:textId="48044AE6" w:rsidR="00DB7496" w:rsidRDefault="00DB7496">
      <w:pPr>
        <w:pStyle w:val="TOC8"/>
        <w:rPr>
          <w:rFonts w:asciiTheme="minorHAnsi" w:eastAsiaTheme="minorEastAsia" w:hAnsiTheme="minorHAnsi" w:cstheme="minorBidi"/>
          <w:noProof/>
          <w:kern w:val="0"/>
          <w:sz w:val="22"/>
          <w:szCs w:val="22"/>
        </w:rPr>
      </w:pPr>
      <w:r>
        <w:rPr>
          <w:noProof/>
        </w:rPr>
        <w:t>Division 2—Repeals</w:t>
      </w:r>
      <w:r w:rsidRPr="00DB7496">
        <w:rPr>
          <w:noProof/>
          <w:sz w:val="18"/>
        </w:rPr>
        <w:tab/>
      </w:r>
      <w:r w:rsidRPr="00DB7496">
        <w:rPr>
          <w:noProof/>
          <w:sz w:val="18"/>
        </w:rPr>
        <w:fldChar w:fldCharType="begin"/>
      </w:r>
      <w:r w:rsidRPr="00DB7496">
        <w:rPr>
          <w:noProof/>
          <w:sz w:val="18"/>
        </w:rPr>
        <w:instrText xml:space="preserve"> PAGEREF _Toc135234424 \h </w:instrText>
      </w:r>
      <w:r w:rsidRPr="00DB7496">
        <w:rPr>
          <w:noProof/>
          <w:sz w:val="18"/>
        </w:rPr>
      </w:r>
      <w:r w:rsidRPr="00DB7496">
        <w:rPr>
          <w:noProof/>
          <w:sz w:val="18"/>
        </w:rPr>
        <w:fldChar w:fldCharType="separate"/>
      </w:r>
      <w:r w:rsidR="003D1359">
        <w:rPr>
          <w:noProof/>
          <w:sz w:val="18"/>
        </w:rPr>
        <w:t>14</w:t>
      </w:r>
      <w:r w:rsidRPr="00DB7496">
        <w:rPr>
          <w:noProof/>
          <w:sz w:val="18"/>
        </w:rPr>
        <w:fldChar w:fldCharType="end"/>
      </w:r>
    </w:p>
    <w:p w14:paraId="173C59CC" w14:textId="6C1089D8" w:rsidR="00DB7496" w:rsidRDefault="00DB7496">
      <w:pPr>
        <w:pStyle w:val="TOC9"/>
        <w:rPr>
          <w:rFonts w:asciiTheme="minorHAnsi" w:eastAsiaTheme="minorEastAsia" w:hAnsiTheme="minorHAnsi" w:cstheme="minorBidi"/>
          <w:i w:val="0"/>
          <w:noProof/>
          <w:kern w:val="0"/>
          <w:sz w:val="22"/>
          <w:szCs w:val="22"/>
        </w:rPr>
      </w:pPr>
      <w:r>
        <w:rPr>
          <w:noProof/>
        </w:rPr>
        <w:t>Building and Construction Industry (Improving Productivity) Regulations 2017</w:t>
      </w:r>
      <w:r w:rsidRPr="00DB7496">
        <w:rPr>
          <w:i w:val="0"/>
          <w:noProof/>
          <w:sz w:val="18"/>
        </w:rPr>
        <w:tab/>
      </w:r>
      <w:r w:rsidRPr="00DB7496">
        <w:rPr>
          <w:i w:val="0"/>
          <w:noProof/>
          <w:sz w:val="18"/>
        </w:rPr>
        <w:fldChar w:fldCharType="begin"/>
      </w:r>
      <w:r w:rsidRPr="00DB7496">
        <w:rPr>
          <w:i w:val="0"/>
          <w:noProof/>
          <w:sz w:val="18"/>
        </w:rPr>
        <w:instrText xml:space="preserve"> PAGEREF _Toc135234425 \h </w:instrText>
      </w:r>
      <w:r w:rsidRPr="00DB7496">
        <w:rPr>
          <w:i w:val="0"/>
          <w:noProof/>
          <w:sz w:val="18"/>
        </w:rPr>
      </w:r>
      <w:r w:rsidRPr="00DB7496">
        <w:rPr>
          <w:i w:val="0"/>
          <w:noProof/>
          <w:sz w:val="18"/>
        </w:rPr>
        <w:fldChar w:fldCharType="separate"/>
      </w:r>
      <w:r w:rsidR="003D1359">
        <w:rPr>
          <w:i w:val="0"/>
          <w:noProof/>
          <w:sz w:val="18"/>
        </w:rPr>
        <w:t>14</w:t>
      </w:r>
      <w:r w:rsidRPr="00DB7496">
        <w:rPr>
          <w:i w:val="0"/>
          <w:noProof/>
          <w:sz w:val="18"/>
        </w:rPr>
        <w:fldChar w:fldCharType="end"/>
      </w:r>
    </w:p>
    <w:p w14:paraId="014D9771" w14:textId="7BD30DEF" w:rsidR="00DB7496" w:rsidRDefault="00DB7496">
      <w:pPr>
        <w:pStyle w:val="TOC7"/>
        <w:rPr>
          <w:rFonts w:asciiTheme="minorHAnsi" w:eastAsiaTheme="minorEastAsia" w:hAnsiTheme="minorHAnsi" w:cstheme="minorBidi"/>
          <w:noProof/>
          <w:kern w:val="0"/>
          <w:sz w:val="22"/>
          <w:szCs w:val="22"/>
        </w:rPr>
      </w:pPr>
      <w:r>
        <w:rPr>
          <w:noProof/>
        </w:rPr>
        <w:t>Part 6—Application and transitional provisions</w:t>
      </w:r>
      <w:r w:rsidRPr="00DB7496">
        <w:rPr>
          <w:noProof/>
          <w:sz w:val="18"/>
        </w:rPr>
        <w:tab/>
      </w:r>
      <w:r w:rsidRPr="00DB7496">
        <w:rPr>
          <w:noProof/>
          <w:sz w:val="18"/>
        </w:rPr>
        <w:fldChar w:fldCharType="begin"/>
      </w:r>
      <w:r w:rsidRPr="00DB7496">
        <w:rPr>
          <w:noProof/>
          <w:sz w:val="18"/>
        </w:rPr>
        <w:instrText xml:space="preserve"> PAGEREF _Toc135234426 \h </w:instrText>
      </w:r>
      <w:r w:rsidRPr="00DB7496">
        <w:rPr>
          <w:noProof/>
          <w:sz w:val="18"/>
        </w:rPr>
      </w:r>
      <w:r w:rsidRPr="00DB7496">
        <w:rPr>
          <w:noProof/>
          <w:sz w:val="18"/>
        </w:rPr>
        <w:fldChar w:fldCharType="separate"/>
      </w:r>
      <w:r w:rsidR="003D1359">
        <w:rPr>
          <w:noProof/>
          <w:sz w:val="18"/>
        </w:rPr>
        <w:t>15</w:t>
      </w:r>
      <w:r w:rsidRPr="00DB7496">
        <w:rPr>
          <w:noProof/>
          <w:sz w:val="18"/>
        </w:rPr>
        <w:fldChar w:fldCharType="end"/>
      </w:r>
    </w:p>
    <w:p w14:paraId="18B78399" w14:textId="77AAD9E0" w:rsidR="00DB7496" w:rsidRDefault="00DB7496">
      <w:pPr>
        <w:pStyle w:val="TOC9"/>
        <w:rPr>
          <w:rFonts w:asciiTheme="minorHAnsi" w:eastAsiaTheme="minorEastAsia" w:hAnsiTheme="minorHAnsi" w:cstheme="minorBidi"/>
          <w:i w:val="0"/>
          <w:noProof/>
          <w:kern w:val="0"/>
          <w:sz w:val="22"/>
          <w:szCs w:val="22"/>
        </w:rPr>
      </w:pPr>
      <w:r>
        <w:rPr>
          <w:noProof/>
        </w:rPr>
        <w:t>Fair Work Regulations 2009</w:t>
      </w:r>
      <w:r w:rsidRPr="00DB7496">
        <w:rPr>
          <w:i w:val="0"/>
          <w:noProof/>
          <w:sz w:val="18"/>
        </w:rPr>
        <w:tab/>
      </w:r>
      <w:r w:rsidRPr="00DB7496">
        <w:rPr>
          <w:i w:val="0"/>
          <w:noProof/>
          <w:sz w:val="18"/>
        </w:rPr>
        <w:fldChar w:fldCharType="begin"/>
      </w:r>
      <w:r w:rsidRPr="00DB7496">
        <w:rPr>
          <w:i w:val="0"/>
          <w:noProof/>
          <w:sz w:val="18"/>
        </w:rPr>
        <w:instrText xml:space="preserve"> PAGEREF _Toc135234427 \h </w:instrText>
      </w:r>
      <w:r w:rsidRPr="00DB7496">
        <w:rPr>
          <w:i w:val="0"/>
          <w:noProof/>
          <w:sz w:val="18"/>
        </w:rPr>
      </w:r>
      <w:r w:rsidRPr="00DB7496">
        <w:rPr>
          <w:i w:val="0"/>
          <w:noProof/>
          <w:sz w:val="18"/>
        </w:rPr>
        <w:fldChar w:fldCharType="separate"/>
      </w:r>
      <w:r w:rsidR="003D1359">
        <w:rPr>
          <w:i w:val="0"/>
          <w:noProof/>
          <w:sz w:val="18"/>
        </w:rPr>
        <w:t>15</w:t>
      </w:r>
      <w:r w:rsidRPr="00DB7496">
        <w:rPr>
          <w:i w:val="0"/>
          <w:noProof/>
          <w:sz w:val="18"/>
        </w:rPr>
        <w:fldChar w:fldCharType="end"/>
      </w:r>
    </w:p>
    <w:p w14:paraId="53404B3D" w14:textId="77777777" w:rsidR="0048364F" w:rsidRPr="00DB7496" w:rsidRDefault="00DB7496" w:rsidP="0048364F">
      <w:r>
        <w:fldChar w:fldCharType="end"/>
      </w:r>
    </w:p>
    <w:p w14:paraId="64935383" w14:textId="77777777" w:rsidR="0048364F" w:rsidRPr="00DB7496" w:rsidRDefault="0048364F" w:rsidP="0048364F">
      <w:pPr>
        <w:sectPr w:rsidR="0048364F" w:rsidRPr="00DB7496" w:rsidSect="00E84269">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02F7C3C7" w14:textId="77777777" w:rsidR="0048364F" w:rsidRPr="00DB7496" w:rsidRDefault="0048364F" w:rsidP="0048364F">
      <w:pPr>
        <w:pStyle w:val="ActHead5"/>
      </w:pPr>
      <w:bookmarkStart w:id="3" w:name="_Toc135234378"/>
      <w:r w:rsidRPr="00DE1BCA">
        <w:rPr>
          <w:rStyle w:val="CharSectno"/>
        </w:rPr>
        <w:lastRenderedPageBreak/>
        <w:t>1</w:t>
      </w:r>
      <w:r w:rsidRPr="00DB7496">
        <w:t xml:space="preserve">  </w:t>
      </w:r>
      <w:r w:rsidR="004F676E" w:rsidRPr="00DB7496">
        <w:t>Name</w:t>
      </w:r>
      <w:bookmarkEnd w:id="3"/>
    </w:p>
    <w:p w14:paraId="761E4E14" w14:textId="77777777" w:rsidR="0048364F" w:rsidRPr="00DB7496" w:rsidRDefault="0048364F" w:rsidP="0048364F">
      <w:pPr>
        <w:pStyle w:val="subsection"/>
      </w:pPr>
      <w:r w:rsidRPr="00DB7496">
        <w:tab/>
      </w:r>
      <w:r w:rsidRPr="00DB7496">
        <w:tab/>
      </w:r>
      <w:r w:rsidR="00E9376B" w:rsidRPr="00DB7496">
        <w:t>This instrument is</w:t>
      </w:r>
      <w:r w:rsidRPr="00DB7496">
        <w:t xml:space="preserve"> the </w:t>
      </w:r>
      <w:r w:rsidR="00DB7496" w:rsidRPr="00DB7496">
        <w:rPr>
          <w:i/>
          <w:noProof/>
        </w:rPr>
        <w:t>Fair Work and Other Legislation Amendment (Secure Jobs, Better Pay) Regulations 2023</w:t>
      </w:r>
      <w:r w:rsidRPr="00DB7496">
        <w:t>.</w:t>
      </w:r>
    </w:p>
    <w:p w14:paraId="03A65C98" w14:textId="77777777" w:rsidR="000510C7" w:rsidRPr="00DB7496" w:rsidRDefault="000510C7" w:rsidP="000510C7">
      <w:pPr>
        <w:pStyle w:val="ActHead5"/>
      </w:pPr>
      <w:bookmarkStart w:id="4" w:name="_Toc135234379"/>
      <w:r w:rsidRPr="00DE1BCA">
        <w:rPr>
          <w:rStyle w:val="CharSectno"/>
        </w:rPr>
        <w:t>2</w:t>
      </w:r>
      <w:r w:rsidRPr="00DB7496">
        <w:t xml:space="preserve">  Commencement</w:t>
      </w:r>
      <w:bookmarkEnd w:id="4"/>
    </w:p>
    <w:p w14:paraId="203AD90F" w14:textId="77777777" w:rsidR="000510C7" w:rsidRPr="00DB7496" w:rsidRDefault="000510C7" w:rsidP="000510C7">
      <w:pPr>
        <w:pStyle w:val="subsection"/>
      </w:pPr>
      <w:r w:rsidRPr="00DB7496">
        <w:tab/>
        <w:t>(1)</w:t>
      </w:r>
      <w:r w:rsidRPr="00DB7496">
        <w:tab/>
        <w:t>Each provision of this instrument specified in column 1 of the table commences, or is taken to have commenced, in accordance with column 2 of the table. Any other statement in column 2 has effect according to its terms.</w:t>
      </w:r>
    </w:p>
    <w:p w14:paraId="0CA5E3E0" w14:textId="77777777" w:rsidR="000510C7" w:rsidRPr="00DB7496" w:rsidRDefault="000510C7" w:rsidP="000510C7">
      <w:pPr>
        <w:pStyle w:val="Tabletext"/>
      </w:pPr>
    </w:p>
    <w:tbl>
      <w:tblPr>
        <w:tblW w:w="5000" w:type="pct"/>
        <w:tblCellMar>
          <w:left w:w="107" w:type="dxa"/>
          <w:right w:w="107" w:type="dxa"/>
        </w:tblCellMar>
        <w:tblLook w:val="04A0" w:firstRow="1" w:lastRow="0" w:firstColumn="1" w:lastColumn="0" w:noHBand="0" w:noVBand="1"/>
      </w:tblPr>
      <w:tblGrid>
        <w:gridCol w:w="1988"/>
        <w:gridCol w:w="4476"/>
        <w:gridCol w:w="1849"/>
      </w:tblGrid>
      <w:tr w:rsidR="000510C7" w:rsidRPr="00DB7496" w14:paraId="2003C82D" w14:textId="77777777" w:rsidTr="000510C7">
        <w:trPr>
          <w:cantSplit/>
          <w:tblHeader/>
        </w:trPr>
        <w:tc>
          <w:tcPr>
            <w:tcW w:w="5000" w:type="pct"/>
            <w:gridSpan w:val="3"/>
            <w:tcBorders>
              <w:top w:val="single" w:sz="12" w:space="0" w:color="auto"/>
              <w:left w:val="nil"/>
              <w:bottom w:val="single" w:sz="6" w:space="0" w:color="auto"/>
              <w:right w:val="nil"/>
            </w:tcBorders>
            <w:hideMark/>
          </w:tcPr>
          <w:p w14:paraId="5323D088" w14:textId="77777777" w:rsidR="000510C7" w:rsidRPr="00DB7496" w:rsidRDefault="000510C7" w:rsidP="000510C7">
            <w:pPr>
              <w:pStyle w:val="TableHeading"/>
            </w:pPr>
            <w:r w:rsidRPr="00DB7496">
              <w:t>Commencement information</w:t>
            </w:r>
          </w:p>
        </w:tc>
      </w:tr>
      <w:tr w:rsidR="000510C7" w:rsidRPr="00DB7496" w14:paraId="29D11814" w14:textId="77777777" w:rsidTr="000510C7">
        <w:trPr>
          <w:cantSplit/>
          <w:tblHeader/>
        </w:trPr>
        <w:tc>
          <w:tcPr>
            <w:tcW w:w="1196" w:type="pct"/>
            <w:tcBorders>
              <w:top w:val="single" w:sz="6" w:space="0" w:color="auto"/>
              <w:left w:val="nil"/>
              <w:bottom w:val="single" w:sz="6" w:space="0" w:color="auto"/>
              <w:right w:val="nil"/>
            </w:tcBorders>
            <w:hideMark/>
          </w:tcPr>
          <w:p w14:paraId="4C2326DC" w14:textId="77777777" w:rsidR="000510C7" w:rsidRPr="00DB7496" w:rsidRDefault="000510C7" w:rsidP="000510C7">
            <w:pPr>
              <w:pStyle w:val="TableHeading"/>
            </w:pPr>
            <w:r w:rsidRPr="00DB7496">
              <w:t>Column 1</w:t>
            </w:r>
          </w:p>
        </w:tc>
        <w:tc>
          <w:tcPr>
            <w:tcW w:w="2692" w:type="pct"/>
            <w:tcBorders>
              <w:top w:val="single" w:sz="6" w:space="0" w:color="auto"/>
              <w:left w:val="nil"/>
              <w:bottom w:val="single" w:sz="6" w:space="0" w:color="auto"/>
              <w:right w:val="nil"/>
            </w:tcBorders>
            <w:hideMark/>
          </w:tcPr>
          <w:p w14:paraId="7B96AED1" w14:textId="77777777" w:rsidR="000510C7" w:rsidRPr="00DB7496" w:rsidRDefault="000510C7" w:rsidP="000510C7">
            <w:pPr>
              <w:pStyle w:val="TableHeading"/>
            </w:pPr>
            <w:r w:rsidRPr="00DB7496">
              <w:t>Column 2</w:t>
            </w:r>
          </w:p>
        </w:tc>
        <w:tc>
          <w:tcPr>
            <w:tcW w:w="1112" w:type="pct"/>
            <w:tcBorders>
              <w:top w:val="single" w:sz="6" w:space="0" w:color="auto"/>
              <w:left w:val="nil"/>
              <w:bottom w:val="single" w:sz="6" w:space="0" w:color="auto"/>
              <w:right w:val="nil"/>
            </w:tcBorders>
            <w:hideMark/>
          </w:tcPr>
          <w:p w14:paraId="5EBD9384" w14:textId="77777777" w:rsidR="000510C7" w:rsidRPr="00DB7496" w:rsidRDefault="000510C7" w:rsidP="000510C7">
            <w:pPr>
              <w:pStyle w:val="TableHeading"/>
            </w:pPr>
            <w:r w:rsidRPr="00DB7496">
              <w:t>Column 3</w:t>
            </w:r>
          </w:p>
        </w:tc>
      </w:tr>
      <w:tr w:rsidR="000510C7" w:rsidRPr="00DB7496" w14:paraId="2D91C8B4" w14:textId="77777777" w:rsidTr="000510C7">
        <w:trPr>
          <w:cantSplit/>
          <w:tblHeader/>
        </w:trPr>
        <w:tc>
          <w:tcPr>
            <w:tcW w:w="1196" w:type="pct"/>
            <w:tcBorders>
              <w:top w:val="single" w:sz="6" w:space="0" w:color="auto"/>
              <w:left w:val="nil"/>
              <w:bottom w:val="single" w:sz="12" w:space="0" w:color="auto"/>
              <w:right w:val="nil"/>
            </w:tcBorders>
            <w:hideMark/>
          </w:tcPr>
          <w:p w14:paraId="55958B09" w14:textId="77777777" w:rsidR="000510C7" w:rsidRPr="00DB7496" w:rsidRDefault="000510C7" w:rsidP="000510C7">
            <w:pPr>
              <w:pStyle w:val="TableHeading"/>
            </w:pPr>
            <w:r w:rsidRPr="00DB7496">
              <w:t>Provisions</w:t>
            </w:r>
          </w:p>
        </w:tc>
        <w:tc>
          <w:tcPr>
            <w:tcW w:w="2692" w:type="pct"/>
            <w:tcBorders>
              <w:top w:val="single" w:sz="6" w:space="0" w:color="auto"/>
              <w:left w:val="nil"/>
              <w:bottom w:val="single" w:sz="12" w:space="0" w:color="auto"/>
              <w:right w:val="nil"/>
            </w:tcBorders>
            <w:hideMark/>
          </w:tcPr>
          <w:p w14:paraId="6503B4F4" w14:textId="77777777" w:rsidR="000510C7" w:rsidRPr="00DB7496" w:rsidRDefault="000510C7" w:rsidP="000510C7">
            <w:pPr>
              <w:pStyle w:val="TableHeading"/>
            </w:pPr>
            <w:r w:rsidRPr="00DB7496">
              <w:t>Commencement</w:t>
            </w:r>
          </w:p>
        </w:tc>
        <w:tc>
          <w:tcPr>
            <w:tcW w:w="1112" w:type="pct"/>
            <w:tcBorders>
              <w:top w:val="single" w:sz="6" w:space="0" w:color="auto"/>
              <w:left w:val="nil"/>
              <w:bottom w:val="single" w:sz="12" w:space="0" w:color="auto"/>
              <w:right w:val="nil"/>
            </w:tcBorders>
            <w:hideMark/>
          </w:tcPr>
          <w:p w14:paraId="5A41E8EE" w14:textId="77777777" w:rsidR="000510C7" w:rsidRPr="00DB7496" w:rsidRDefault="000510C7" w:rsidP="000510C7">
            <w:pPr>
              <w:pStyle w:val="TableHeading"/>
            </w:pPr>
            <w:r w:rsidRPr="00DB7496">
              <w:t>Date/Details</w:t>
            </w:r>
          </w:p>
        </w:tc>
      </w:tr>
      <w:tr w:rsidR="000510C7" w:rsidRPr="00DB7496" w14:paraId="2786B2DA" w14:textId="77777777" w:rsidTr="000510C7">
        <w:trPr>
          <w:cantSplit/>
        </w:trPr>
        <w:tc>
          <w:tcPr>
            <w:tcW w:w="1196" w:type="pct"/>
            <w:tcBorders>
              <w:top w:val="single" w:sz="12" w:space="0" w:color="auto"/>
              <w:left w:val="nil"/>
              <w:bottom w:val="single" w:sz="2" w:space="0" w:color="auto"/>
              <w:right w:val="nil"/>
            </w:tcBorders>
            <w:hideMark/>
          </w:tcPr>
          <w:p w14:paraId="4CCD7DDA" w14:textId="77777777" w:rsidR="000510C7" w:rsidRPr="00DB7496" w:rsidRDefault="000510C7" w:rsidP="000510C7">
            <w:pPr>
              <w:pStyle w:val="Tabletext"/>
            </w:pPr>
            <w:r w:rsidRPr="00DB7496">
              <w:t xml:space="preserve">1.  </w:t>
            </w:r>
            <w:r w:rsidR="00475FBA" w:rsidRPr="00DB7496">
              <w:t>Sections 1</w:t>
            </w:r>
            <w:r w:rsidRPr="00DB7496">
              <w:t xml:space="preserve"> to 4 and anything in this instrument not elsewhere covered by this table</w:t>
            </w:r>
          </w:p>
        </w:tc>
        <w:tc>
          <w:tcPr>
            <w:tcW w:w="2692" w:type="pct"/>
            <w:tcBorders>
              <w:top w:val="single" w:sz="12" w:space="0" w:color="auto"/>
              <w:left w:val="nil"/>
              <w:bottom w:val="single" w:sz="2" w:space="0" w:color="auto"/>
              <w:right w:val="nil"/>
            </w:tcBorders>
            <w:hideMark/>
          </w:tcPr>
          <w:p w14:paraId="0261F395" w14:textId="77777777" w:rsidR="000510C7" w:rsidRPr="00DB7496" w:rsidRDefault="000510C7" w:rsidP="000510C7">
            <w:pPr>
              <w:pStyle w:val="Tabletext"/>
            </w:pPr>
            <w:r w:rsidRPr="00DB7496">
              <w:t>The day after this instrument is regis</w:t>
            </w:r>
            <w:bookmarkStart w:id="5" w:name="_GoBack"/>
            <w:bookmarkEnd w:id="5"/>
            <w:r w:rsidRPr="00DB7496">
              <w:t>tered.</w:t>
            </w:r>
          </w:p>
        </w:tc>
        <w:tc>
          <w:tcPr>
            <w:tcW w:w="1112" w:type="pct"/>
            <w:tcBorders>
              <w:top w:val="single" w:sz="12" w:space="0" w:color="auto"/>
              <w:left w:val="nil"/>
              <w:bottom w:val="single" w:sz="2" w:space="0" w:color="auto"/>
              <w:right w:val="nil"/>
            </w:tcBorders>
          </w:tcPr>
          <w:p w14:paraId="02CA5760" w14:textId="2D70E1B1" w:rsidR="000510C7" w:rsidRPr="00DB7496" w:rsidRDefault="00702D51" w:rsidP="000510C7">
            <w:pPr>
              <w:pStyle w:val="Tabletext"/>
            </w:pPr>
            <w:r>
              <w:t>31 May 2023</w:t>
            </w:r>
          </w:p>
        </w:tc>
      </w:tr>
      <w:tr w:rsidR="009B7FAB" w:rsidRPr="00DB7496" w14:paraId="64EACD3E" w14:textId="77777777" w:rsidTr="00B130BD">
        <w:trPr>
          <w:cantSplit/>
        </w:trPr>
        <w:tc>
          <w:tcPr>
            <w:tcW w:w="1196" w:type="pct"/>
            <w:tcBorders>
              <w:top w:val="single" w:sz="2" w:space="0" w:color="auto"/>
              <w:left w:val="nil"/>
              <w:bottom w:val="single" w:sz="2" w:space="0" w:color="auto"/>
              <w:right w:val="nil"/>
            </w:tcBorders>
          </w:tcPr>
          <w:p w14:paraId="75882FC7" w14:textId="77777777" w:rsidR="009B7FAB" w:rsidRPr="00DB7496" w:rsidRDefault="009B7FAB" w:rsidP="009B7FAB">
            <w:pPr>
              <w:pStyle w:val="Tabletext"/>
            </w:pPr>
            <w:bookmarkStart w:id="6" w:name="_Hlk129251456"/>
            <w:r w:rsidRPr="00DB7496">
              <w:t xml:space="preserve">2.  </w:t>
            </w:r>
            <w:r w:rsidR="003E1627" w:rsidRPr="00DB7496">
              <w:t>Schedule 1</w:t>
            </w:r>
            <w:r w:rsidRPr="00DB7496">
              <w:t xml:space="preserve">, </w:t>
            </w:r>
            <w:r w:rsidR="0064537B" w:rsidRPr="00DB7496">
              <w:t>Part 1</w:t>
            </w:r>
          </w:p>
        </w:tc>
        <w:tc>
          <w:tcPr>
            <w:tcW w:w="2692" w:type="pct"/>
            <w:tcBorders>
              <w:top w:val="single" w:sz="2" w:space="0" w:color="auto"/>
              <w:left w:val="nil"/>
              <w:bottom w:val="single" w:sz="2" w:space="0" w:color="auto"/>
              <w:right w:val="nil"/>
            </w:tcBorders>
          </w:tcPr>
          <w:p w14:paraId="049DCEA5" w14:textId="77777777" w:rsidR="00F07C16" w:rsidRPr="00DB7496" w:rsidRDefault="00F07C16" w:rsidP="00F07C16">
            <w:pPr>
              <w:pStyle w:val="Tabletext"/>
            </w:pPr>
            <w:r w:rsidRPr="00DB7496">
              <w:t>The later of:</w:t>
            </w:r>
          </w:p>
          <w:p w14:paraId="350D5267" w14:textId="77777777" w:rsidR="00F07C16" w:rsidRPr="00DB7496" w:rsidRDefault="00F07C16" w:rsidP="00F07C16">
            <w:pPr>
              <w:pStyle w:val="Tablea"/>
            </w:pPr>
            <w:r w:rsidRPr="00DB7496">
              <w:t>(a) the start of the day after this instrument is registered; and</w:t>
            </w:r>
          </w:p>
          <w:p w14:paraId="5B1F17AD" w14:textId="77777777" w:rsidR="009B7FAB" w:rsidRPr="00DB7496" w:rsidRDefault="00F07C16" w:rsidP="00976688">
            <w:pPr>
              <w:pStyle w:val="Tablea"/>
            </w:pPr>
            <w:r w:rsidRPr="00DB7496">
              <w:t xml:space="preserve">(b) immediately after the commencement of </w:t>
            </w:r>
            <w:r w:rsidR="0064537B" w:rsidRPr="00DB7496">
              <w:t>Part 1</w:t>
            </w:r>
            <w:r w:rsidRPr="00DB7496">
              <w:t xml:space="preserve">9 of </w:t>
            </w:r>
            <w:r w:rsidR="003E1627" w:rsidRPr="00DB7496">
              <w:t>Schedule 1</w:t>
            </w:r>
            <w:r w:rsidRPr="00DB7496">
              <w:t xml:space="preserve"> to the </w:t>
            </w:r>
            <w:r w:rsidRPr="00DB7496">
              <w:rPr>
                <w:i/>
              </w:rPr>
              <w:t>Fair Work Legislation Amendment (Secure Jobs, Better Pay) Act 2022</w:t>
            </w:r>
            <w:r w:rsidRPr="00DB7496">
              <w:t>.</w:t>
            </w:r>
          </w:p>
        </w:tc>
        <w:tc>
          <w:tcPr>
            <w:tcW w:w="1112" w:type="pct"/>
            <w:tcBorders>
              <w:top w:val="single" w:sz="2" w:space="0" w:color="auto"/>
              <w:left w:val="nil"/>
              <w:bottom w:val="single" w:sz="2" w:space="0" w:color="auto"/>
              <w:right w:val="nil"/>
            </w:tcBorders>
          </w:tcPr>
          <w:p w14:paraId="73D44309" w14:textId="77777777" w:rsidR="009B7FAB" w:rsidRDefault="0030766D" w:rsidP="009B7FAB">
            <w:pPr>
              <w:pStyle w:val="Tabletext"/>
            </w:pPr>
            <w:r>
              <w:t>6 June 2023</w:t>
            </w:r>
          </w:p>
          <w:p w14:paraId="52DC3504" w14:textId="1301E625" w:rsidR="0030766D" w:rsidRPr="00DB7496" w:rsidRDefault="0030766D" w:rsidP="009B7FAB">
            <w:pPr>
              <w:pStyle w:val="Tabletext"/>
            </w:pPr>
            <w:r>
              <w:t>(paragraph (b) applies)</w:t>
            </w:r>
          </w:p>
        </w:tc>
      </w:tr>
      <w:bookmarkEnd w:id="6"/>
      <w:tr w:rsidR="009B7FAB" w:rsidRPr="00DB7496" w14:paraId="4893D2CE" w14:textId="77777777" w:rsidTr="000510C7">
        <w:trPr>
          <w:cantSplit/>
        </w:trPr>
        <w:tc>
          <w:tcPr>
            <w:tcW w:w="1196" w:type="pct"/>
            <w:tcBorders>
              <w:top w:val="single" w:sz="2" w:space="0" w:color="auto"/>
              <w:left w:val="nil"/>
              <w:bottom w:val="single" w:sz="2" w:space="0" w:color="auto"/>
              <w:right w:val="nil"/>
            </w:tcBorders>
            <w:hideMark/>
          </w:tcPr>
          <w:p w14:paraId="1ED0A7DB" w14:textId="77777777" w:rsidR="009B7FAB" w:rsidRPr="00DB7496" w:rsidRDefault="009B7FAB" w:rsidP="009B7FAB">
            <w:pPr>
              <w:pStyle w:val="Tabletext"/>
            </w:pPr>
            <w:r w:rsidRPr="00DB7496">
              <w:t xml:space="preserve">3.  </w:t>
            </w:r>
            <w:r w:rsidR="003E1627" w:rsidRPr="00DB7496">
              <w:t>Schedule 1</w:t>
            </w:r>
            <w:r w:rsidRPr="00DB7496">
              <w:t>, Parts 2 and 3</w:t>
            </w:r>
          </w:p>
        </w:tc>
        <w:tc>
          <w:tcPr>
            <w:tcW w:w="2692" w:type="pct"/>
            <w:tcBorders>
              <w:top w:val="single" w:sz="2" w:space="0" w:color="auto"/>
              <w:left w:val="nil"/>
              <w:bottom w:val="single" w:sz="2" w:space="0" w:color="auto"/>
              <w:right w:val="nil"/>
            </w:tcBorders>
          </w:tcPr>
          <w:p w14:paraId="45C4385A" w14:textId="77777777" w:rsidR="009B7FAB" w:rsidRPr="00DB7496" w:rsidRDefault="009B7FAB" w:rsidP="009B7FAB">
            <w:pPr>
              <w:pStyle w:val="Tabletext"/>
            </w:pPr>
            <w:r w:rsidRPr="00DB7496">
              <w:t>1 July 2023.</w:t>
            </w:r>
          </w:p>
        </w:tc>
        <w:tc>
          <w:tcPr>
            <w:tcW w:w="1112" w:type="pct"/>
            <w:tcBorders>
              <w:top w:val="single" w:sz="2" w:space="0" w:color="auto"/>
              <w:left w:val="nil"/>
              <w:bottom w:val="single" w:sz="2" w:space="0" w:color="auto"/>
              <w:right w:val="nil"/>
            </w:tcBorders>
          </w:tcPr>
          <w:p w14:paraId="13B2AC97" w14:textId="77777777" w:rsidR="009B7FAB" w:rsidRPr="00DB7496" w:rsidRDefault="009B7FAB" w:rsidP="009B7FAB">
            <w:pPr>
              <w:pStyle w:val="Tabletext"/>
            </w:pPr>
            <w:r w:rsidRPr="00DB7496">
              <w:t>1 July 2023</w:t>
            </w:r>
          </w:p>
        </w:tc>
      </w:tr>
      <w:tr w:rsidR="009B7FAB" w:rsidRPr="00DB7496" w14:paraId="61AF5A44" w14:textId="77777777" w:rsidTr="000510C7">
        <w:trPr>
          <w:cantSplit/>
        </w:trPr>
        <w:tc>
          <w:tcPr>
            <w:tcW w:w="1196" w:type="pct"/>
            <w:tcBorders>
              <w:top w:val="single" w:sz="2" w:space="0" w:color="auto"/>
              <w:left w:val="nil"/>
              <w:bottom w:val="single" w:sz="2" w:space="0" w:color="auto"/>
              <w:right w:val="nil"/>
            </w:tcBorders>
            <w:hideMark/>
          </w:tcPr>
          <w:p w14:paraId="6A0AFA48" w14:textId="77777777" w:rsidR="009B7FAB" w:rsidRPr="00DB7496" w:rsidRDefault="009B7FAB" w:rsidP="009B7FAB">
            <w:pPr>
              <w:pStyle w:val="Tabletext"/>
            </w:pPr>
            <w:r w:rsidRPr="00DB7496">
              <w:t xml:space="preserve">4.  </w:t>
            </w:r>
            <w:r w:rsidR="003E1627" w:rsidRPr="00DB7496">
              <w:t>Schedule 1</w:t>
            </w:r>
            <w:r w:rsidR="00976688" w:rsidRPr="00DB7496">
              <w:t xml:space="preserve">, </w:t>
            </w:r>
            <w:r w:rsidR="003E1627" w:rsidRPr="00DB7496">
              <w:t>Part 4</w:t>
            </w:r>
            <w:r w:rsidR="00976688" w:rsidRPr="00DB7496">
              <w:t>, Division 1</w:t>
            </w:r>
          </w:p>
        </w:tc>
        <w:tc>
          <w:tcPr>
            <w:tcW w:w="2692" w:type="pct"/>
            <w:tcBorders>
              <w:top w:val="single" w:sz="2" w:space="0" w:color="auto"/>
              <w:left w:val="nil"/>
              <w:bottom w:val="single" w:sz="2" w:space="0" w:color="auto"/>
              <w:right w:val="nil"/>
            </w:tcBorders>
          </w:tcPr>
          <w:p w14:paraId="42308701" w14:textId="77777777" w:rsidR="009B7FAB" w:rsidRPr="00DB7496" w:rsidRDefault="00976688" w:rsidP="009B7FAB">
            <w:pPr>
              <w:pStyle w:val="Tabletext"/>
            </w:pPr>
            <w:r w:rsidRPr="00DB7496">
              <w:t>The day after this instrument is registered.</w:t>
            </w:r>
          </w:p>
        </w:tc>
        <w:tc>
          <w:tcPr>
            <w:tcW w:w="1112" w:type="pct"/>
            <w:tcBorders>
              <w:top w:val="single" w:sz="2" w:space="0" w:color="auto"/>
              <w:left w:val="nil"/>
              <w:bottom w:val="single" w:sz="2" w:space="0" w:color="auto"/>
              <w:right w:val="nil"/>
            </w:tcBorders>
          </w:tcPr>
          <w:p w14:paraId="5AB80BF3" w14:textId="5BB8FC79" w:rsidR="009B7FAB" w:rsidRPr="00DB7496" w:rsidRDefault="00702D51" w:rsidP="009B7FAB">
            <w:pPr>
              <w:pStyle w:val="Tabletext"/>
            </w:pPr>
            <w:r>
              <w:t>31 May 2023</w:t>
            </w:r>
          </w:p>
        </w:tc>
      </w:tr>
      <w:tr w:rsidR="00976688" w:rsidRPr="00DB7496" w14:paraId="731AE5E6" w14:textId="77777777" w:rsidTr="000510C7">
        <w:trPr>
          <w:cantSplit/>
        </w:trPr>
        <w:tc>
          <w:tcPr>
            <w:tcW w:w="1196" w:type="pct"/>
            <w:tcBorders>
              <w:top w:val="single" w:sz="2" w:space="0" w:color="auto"/>
              <w:left w:val="nil"/>
              <w:bottom w:val="single" w:sz="2" w:space="0" w:color="auto"/>
              <w:right w:val="nil"/>
            </w:tcBorders>
          </w:tcPr>
          <w:p w14:paraId="1F26DF9C" w14:textId="77777777" w:rsidR="00976688" w:rsidRPr="00DB7496" w:rsidRDefault="00976688" w:rsidP="009B7FAB">
            <w:pPr>
              <w:pStyle w:val="Tabletext"/>
            </w:pPr>
            <w:r w:rsidRPr="00DB7496">
              <w:t xml:space="preserve">5.  </w:t>
            </w:r>
            <w:r w:rsidR="003E1627" w:rsidRPr="00DB7496">
              <w:t>Schedule 1</w:t>
            </w:r>
            <w:r w:rsidRPr="00DB7496">
              <w:t xml:space="preserve">, </w:t>
            </w:r>
            <w:r w:rsidR="003E1627" w:rsidRPr="00DB7496">
              <w:t>Part 4</w:t>
            </w:r>
            <w:r w:rsidRPr="00DB7496">
              <w:t xml:space="preserve">, </w:t>
            </w:r>
            <w:r w:rsidR="003E1627" w:rsidRPr="00DB7496">
              <w:t>Division 2</w:t>
            </w:r>
          </w:p>
        </w:tc>
        <w:tc>
          <w:tcPr>
            <w:tcW w:w="2692" w:type="pct"/>
            <w:tcBorders>
              <w:top w:val="single" w:sz="2" w:space="0" w:color="auto"/>
              <w:left w:val="nil"/>
              <w:bottom w:val="single" w:sz="2" w:space="0" w:color="auto"/>
              <w:right w:val="nil"/>
            </w:tcBorders>
          </w:tcPr>
          <w:p w14:paraId="315D35A5" w14:textId="77777777" w:rsidR="00976688" w:rsidRPr="00DB7496" w:rsidRDefault="00976688" w:rsidP="00976688">
            <w:pPr>
              <w:pStyle w:val="Tabletext"/>
            </w:pPr>
            <w:r w:rsidRPr="00DB7496">
              <w:t>The later of:</w:t>
            </w:r>
          </w:p>
          <w:p w14:paraId="5FDFC9D7" w14:textId="77777777" w:rsidR="00976688" w:rsidRPr="00DB7496" w:rsidRDefault="00976688" w:rsidP="00976688">
            <w:pPr>
              <w:pStyle w:val="Tablea"/>
            </w:pPr>
            <w:r w:rsidRPr="00DB7496">
              <w:t>(a) immediately after the provisions covered by table item </w:t>
            </w:r>
            <w:r w:rsidR="00652426" w:rsidRPr="00DB7496">
              <w:t>4</w:t>
            </w:r>
            <w:r w:rsidRPr="00DB7496">
              <w:t>; and</w:t>
            </w:r>
          </w:p>
          <w:p w14:paraId="274F2136" w14:textId="77777777" w:rsidR="00976688" w:rsidRPr="00DB7496" w:rsidRDefault="00976688" w:rsidP="00976688">
            <w:pPr>
              <w:pStyle w:val="Tablea"/>
            </w:pPr>
            <w:r w:rsidRPr="00DB7496">
              <w:t xml:space="preserve">(b) immediately after the commencement of </w:t>
            </w:r>
            <w:r w:rsidR="00DE5B61" w:rsidRPr="00DB7496">
              <w:t>Part 2</w:t>
            </w:r>
            <w:r w:rsidRPr="00DB7496">
              <w:t xml:space="preserve">0 of </w:t>
            </w:r>
            <w:r w:rsidR="003E1627" w:rsidRPr="00DB7496">
              <w:t>Schedule 1</w:t>
            </w:r>
            <w:r w:rsidRPr="00DB7496">
              <w:t xml:space="preserve"> to the </w:t>
            </w:r>
            <w:r w:rsidRPr="00DB7496">
              <w:rPr>
                <w:i/>
              </w:rPr>
              <w:t>Fair Work Legislation Amendment (Secure Jobs, Better Pay) Act 2022</w:t>
            </w:r>
            <w:r w:rsidRPr="00DB7496">
              <w:t>.</w:t>
            </w:r>
          </w:p>
        </w:tc>
        <w:tc>
          <w:tcPr>
            <w:tcW w:w="1112" w:type="pct"/>
            <w:tcBorders>
              <w:top w:val="single" w:sz="2" w:space="0" w:color="auto"/>
              <w:left w:val="nil"/>
              <w:bottom w:val="single" w:sz="2" w:space="0" w:color="auto"/>
              <w:right w:val="nil"/>
            </w:tcBorders>
          </w:tcPr>
          <w:p w14:paraId="3D242556" w14:textId="77777777" w:rsidR="00976688" w:rsidRDefault="0030766D" w:rsidP="009B7FAB">
            <w:pPr>
              <w:pStyle w:val="Tabletext"/>
            </w:pPr>
            <w:r>
              <w:t>6 June 2023</w:t>
            </w:r>
          </w:p>
          <w:p w14:paraId="21B9E1DF" w14:textId="2CC2C28D" w:rsidR="0030766D" w:rsidRPr="00DB7496" w:rsidRDefault="0030766D" w:rsidP="009B7FAB">
            <w:pPr>
              <w:pStyle w:val="Tabletext"/>
            </w:pPr>
            <w:r>
              <w:t>(paragraph (b) applies)</w:t>
            </w:r>
          </w:p>
        </w:tc>
      </w:tr>
      <w:tr w:rsidR="009B7FAB" w:rsidRPr="00DB7496" w14:paraId="554C24EE" w14:textId="77777777" w:rsidTr="000510C7">
        <w:trPr>
          <w:cantSplit/>
        </w:trPr>
        <w:tc>
          <w:tcPr>
            <w:tcW w:w="1196" w:type="pct"/>
            <w:tcBorders>
              <w:top w:val="single" w:sz="2" w:space="0" w:color="auto"/>
              <w:left w:val="nil"/>
              <w:bottom w:val="single" w:sz="12" w:space="0" w:color="auto"/>
              <w:right w:val="nil"/>
            </w:tcBorders>
            <w:hideMark/>
          </w:tcPr>
          <w:p w14:paraId="69F2AA1A" w14:textId="77777777" w:rsidR="009B7FAB" w:rsidRPr="00DB7496" w:rsidRDefault="00976688" w:rsidP="009B7FAB">
            <w:pPr>
              <w:pStyle w:val="Tabletext"/>
            </w:pPr>
            <w:r w:rsidRPr="00DB7496">
              <w:t>6</w:t>
            </w:r>
            <w:r w:rsidR="009B7FAB" w:rsidRPr="00DB7496">
              <w:t xml:space="preserve">.  </w:t>
            </w:r>
            <w:r w:rsidR="003E1627" w:rsidRPr="00DB7496">
              <w:t>Schedule 1</w:t>
            </w:r>
            <w:r w:rsidR="00546E11" w:rsidRPr="00DB7496">
              <w:t xml:space="preserve">, </w:t>
            </w:r>
            <w:r w:rsidRPr="00DB7496">
              <w:t>Part</w:t>
            </w:r>
            <w:r w:rsidR="00702C5E" w:rsidRPr="00DB7496">
              <w:t>s</w:t>
            </w:r>
            <w:r w:rsidRPr="00DB7496">
              <w:t> 5</w:t>
            </w:r>
            <w:r w:rsidR="00702C5E" w:rsidRPr="00DB7496">
              <w:t xml:space="preserve"> </w:t>
            </w:r>
            <w:r w:rsidR="003210F4" w:rsidRPr="00DB7496">
              <w:t>and</w:t>
            </w:r>
            <w:r w:rsidR="00702C5E" w:rsidRPr="00DB7496">
              <w:t xml:space="preserve"> </w:t>
            </w:r>
            <w:r w:rsidR="005F4D70" w:rsidRPr="00DB7496">
              <w:t>6</w:t>
            </w:r>
          </w:p>
        </w:tc>
        <w:tc>
          <w:tcPr>
            <w:tcW w:w="2692" w:type="pct"/>
            <w:tcBorders>
              <w:top w:val="single" w:sz="2" w:space="0" w:color="auto"/>
              <w:left w:val="nil"/>
              <w:bottom w:val="single" w:sz="12" w:space="0" w:color="auto"/>
              <w:right w:val="nil"/>
            </w:tcBorders>
          </w:tcPr>
          <w:p w14:paraId="1D74A9E6" w14:textId="77777777" w:rsidR="009B7FAB" w:rsidRPr="00DB7496" w:rsidRDefault="00546E11" w:rsidP="009B7FAB">
            <w:pPr>
              <w:pStyle w:val="Tabletext"/>
            </w:pPr>
            <w:r w:rsidRPr="00DB7496">
              <w:t>The day after this instrument is registered.</w:t>
            </w:r>
          </w:p>
        </w:tc>
        <w:tc>
          <w:tcPr>
            <w:tcW w:w="1112" w:type="pct"/>
            <w:tcBorders>
              <w:top w:val="single" w:sz="2" w:space="0" w:color="auto"/>
              <w:left w:val="nil"/>
              <w:bottom w:val="single" w:sz="12" w:space="0" w:color="auto"/>
              <w:right w:val="nil"/>
            </w:tcBorders>
          </w:tcPr>
          <w:p w14:paraId="1FA69919" w14:textId="0EDE474B" w:rsidR="009B7FAB" w:rsidRPr="00DB7496" w:rsidRDefault="00702D51" w:rsidP="009B7FAB">
            <w:pPr>
              <w:pStyle w:val="Tabletext"/>
            </w:pPr>
            <w:r>
              <w:t>31 May 2023</w:t>
            </w:r>
          </w:p>
        </w:tc>
      </w:tr>
    </w:tbl>
    <w:p w14:paraId="653197EC" w14:textId="77777777" w:rsidR="000510C7" w:rsidRPr="00DB7496" w:rsidRDefault="000510C7" w:rsidP="000510C7">
      <w:pPr>
        <w:pStyle w:val="notetext"/>
      </w:pPr>
      <w:r w:rsidRPr="00DB7496">
        <w:rPr>
          <w:snapToGrid w:val="0"/>
          <w:lang w:eastAsia="en-US"/>
        </w:rPr>
        <w:t>Note:</w:t>
      </w:r>
      <w:r w:rsidRPr="00DB7496">
        <w:rPr>
          <w:snapToGrid w:val="0"/>
          <w:lang w:eastAsia="en-US"/>
        </w:rPr>
        <w:tab/>
        <w:t xml:space="preserve">This table relates only to the provisions of this </w:t>
      </w:r>
      <w:r w:rsidRPr="00DB7496">
        <w:t xml:space="preserve">instrument </w:t>
      </w:r>
      <w:r w:rsidRPr="00DB7496">
        <w:rPr>
          <w:snapToGrid w:val="0"/>
          <w:lang w:eastAsia="en-US"/>
        </w:rPr>
        <w:t xml:space="preserve">as originally made. It will not be amended to deal with any later amendments of this </w:t>
      </w:r>
      <w:r w:rsidRPr="00DB7496">
        <w:t>instrument</w:t>
      </w:r>
      <w:r w:rsidRPr="00DB7496">
        <w:rPr>
          <w:snapToGrid w:val="0"/>
          <w:lang w:eastAsia="en-US"/>
        </w:rPr>
        <w:t>.</w:t>
      </w:r>
    </w:p>
    <w:p w14:paraId="3A9E344B" w14:textId="77777777" w:rsidR="000510C7" w:rsidRPr="00DB7496" w:rsidRDefault="000510C7" w:rsidP="000510C7">
      <w:pPr>
        <w:pStyle w:val="subsection"/>
      </w:pPr>
      <w:r w:rsidRPr="00DB7496">
        <w:tab/>
        <w:t>(2)</w:t>
      </w:r>
      <w:r w:rsidRPr="00DB7496">
        <w:tab/>
        <w:t>Any information in column 3 of the table is not part of this instrument. Information may be inserted in this column, or information in it may be edited, in any published version of this instrument.</w:t>
      </w:r>
    </w:p>
    <w:p w14:paraId="6248E8E0" w14:textId="77777777" w:rsidR="00BF6650" w:rsidRPr="00DB7496" w:rsidRDefault="00BF6650" w:rsidP="00BF6650">
      <w:pPr>
        <w:pStyle w:val="ActHead5"/>
      </w:pPr>
      <w:bookmarkStart w:id="7" w:name="_Toc135234380"/>
      <w:r w:rsidRPr="00DE1BCA">
        <w:rPr>
          <w:rStyle w:val="CharSectno"/>
        </w:rPr>
        <w:t>3</w:t>
      </w:r>
      <w:r w:rsidRPr="00DB7496">
        <w:t xml:space="preserve">  Authority</w:t>
      </w:r>
      <w:bookmarkEnd w:id="7"/>
    </w:p>
    <w:p w14:paraId="221ACC18" w14:textId="77777777" w:rsidR="00BF6650" w:rsidRPr="00DB7496" w:rsidRDefault="00BF6650" w:rsidP="00BF6650">
      <w:pPr>
        <w:pStyle w:val="subsection"/>
      </w:pPr>
      <w:r w:rsidRPr="00DB7496">
        <w:tab/>
      </w:r>
      <w:r w:rsidRPr="00DB7496">
        <w:tab/>
      </w:r>
      <w:r w:rsidR="00E9376B" w:rsidRPr="00DB7496">
        <w:t>This instrument is</w:t>
      </w:r>
      <w:r w:rsidRPr="00DB7496">
        <w:t xml:space="preserve"> made under the </w:t>
      </w:r>
      <w:r w:rsidR="006263FA" w:rsidRPr="00DB7496">
        <w:t>following:</w:t>
      </w:r>
    </w:p>
    <w:p w14:paraId="79146BB7" w14:textId="77777777" w:rsidR="00B278E9" w:rsidRPr="00DB7496" w:rsidRDefault="006263FA" w:rsidP="006263FA">
      <w:pPr>
        <w:pStyle w:val="paragraph"/>
      </w:pPr>
      <w:r w:rsidRPr="00DB7496">
        <w:tab/>
        <w:t>(a)</w:t>
      </w:r>
      <w:r w:rsidRPr="00DB7496">
        <w:tab/>
      </w:r>
      <w:r w:rsidR="00B278E9" w:rsidRPr="00DB7496">
        <w:t xml:space="preserve">the </w:t>
      </w:r>
      <w:r w:rsidR="00B278E9" w:rsidRPr="00DB7496">
        <w:rPr>
          <w:i/>
        </w:rPr>
        <w:t>Corporations Act 2001</w:t>
      </w:r>
      <w:r w:rsidR="00B278E9" w:rsidRPr="00DB7496">
        <w:t>;</w:t>
      </w:r>
    </w:p>
    <w:p w14:paraId="1F7531C3" w14:textId="77777777" w:rsidR="00B278E9" w:rsidRPr="00DB7496" w:rsidRDefault="00B278E9" w:rsidP="006263FA">
      <w:pPr>
        <w:pStyle w:val="paragraph"/>
      </w:pPr>
      <w:r w:rsidRPr="00DB7496">
        <w:tab/>
        <w:t>(</w:t>
      </w:r>
      <w:r w:rsidR="00BF7734" w:rsidRPr="00DB7496">
        <w:t>b</w:t>
      </w:r>
      <w:r w:rsidRPr="00DB7496">
        <w:t>)</w:t>
      </w:r>
      <w:r w:rsidRPr="00DB7496">
        <w:tab/>
        <w:t xml:space="preserve">the </w:t>
      </w:r>
      <w:r w:rsidRPr="00DB7496">
        <w:rPr>
          <w:i/>
        </w:rPr>
        <w:t>Data Availability and Transparency Act 2022</w:t>
      </w:r>
      <w:r w:rsidRPr="00DB7496">
        <w:t>;</w:t>
      </w:r>
    </w:p>
    <w:p w14:paraId="6E02B711" w14:textId="77777777" w:rsidR="006263FA" w:rsidRPr="00DB7496" w:rsidRDefault="00B278E9" w:rsidP="006263FA">
      <w:pPr>
        <w:pStyle w:val="paragraph"/>
      </w:pPr>
      <w:r w:rsidRPr="00DB7496">
        <w:lastRenderedPageBreak/>
        <w:tab/>
        <w:t>(</w:t>
      </w:r>
      <w:r w:rsidR="00BF7734" w:rsidRPr="00DB7496">
        <w:t>c</w:t>
      </w:r>
      <w:r w:rsidRPr="00DB7496">
        <w:t>)</w:t>
      </w:r>
      <w:r w:rsidRPr="00DB7496">
        <w:tab/>
      </w:r>
      <w:r w:rsidR="006263FA" w:rsidRPr="00DB7496">
        <w:t xml:space="preserve">the </w:t>
      </w:r>
      <w:r w:rsidR="006263FA" w:rsidRPr="00DB7496">
        <w:rPr>
          <w:i/>
        </w:rPr>
        <w:t>Fair Work Act 2009</w:t>
      </w:r>
      <w:r w:rsidR="006263FA" w:rsidRPr="00DB7496">
        <w:t>;</w:t>
      </w:r>
    </w:p>
    <w:p w14:paraId="7935EDF9" w14:textId="77777777" w:rsidR="006263FA" w:rsidRPr="00DB7496" w:rsidRDefault="006263FA" w:rsidP="006263FA">
      <w:pPr>
        <w:pStyle w:val="paragraph"/>
      </w:pPr>
      <w:r w:rsidRPr="00DB7496">
        <w:tab/>
        <w:t>(</w:t>
      </w:r>
      <w:r w:rsidR="00BF7734" w:rsidRPr="00DB7496">
        <w:t>d</w:t>
      </w:r>
      <w:r w:rsidRPr="00DB7496">
        <w:t>)</w:t>
      </w:r>
      <w:r w:rsidRPr="00DB7496">
        <w:tab/>
      </w:r>
      <w:r w:rsidR="00B278E9" w:rsidRPr="00DB7496">
        <w:t xml:space="preserve">the </w:t>
      </w:r>
      <w:r w:rsidR="00B278E9" w:rsidRPr="00DB7496">
        <w:rPr>
          <w:i/>
        </w:rPr>
        <w:t>Federal Circuit and Family Court of Australia Act 2021</w:t>
      </w:r>
      <w:r w:rsidR="00B278E9" w:rsidRPr="00DB7496">
        <w:t>;</w:t>
      </w:r>
    </w:p>
    <w:p w14:paraId="24F771C1" w14:textId="77777777" w:rsidR="005B3C43" w:rsidRPr="00DB7496" w:rsidRDefault="005B3C43" w:rsidP="006263FA">
      <w:pPr>
        <w:pStyle w:val="paragraph"/>
      </w:pPr>
      <w:r w:rsidRPr="00DB7496">
        <w:tab/>
        <w:t>(</w:t>
      </w:r>
      <w:r w:rsidR="00010BAB" w:rsidRPr="00DB7496">
        <w:t>e</w:t>
      </w:r>
      <w:r w:rsidRPr="00DB7496">
        <w:t>)</w:t>
      </w:r>
      <w:r w:rsidRPr="00DB7496">
        <w:tab/>
        <w:t xml:space="preserve">the </w:t>
      </w:r>
      <w:r w:rsidRPr="00DB7496">
        <w:rPr>
          <w:i/>
        </w:rPr>
        <w:t xml:space="preserve">Federal Safety </w:t>
      </w:r>
      <w:r w:rsidR="00BF7734" w:rsidRPr="00DB7496">
        <w:rPr>
          <w:i/>
        </w:rPr>
        <w:t>Commissioner Act 2022</w:t>
      </w:r>
      <w:r w:rsidR="00BF7734" w:rsidRPr="00DB7496">
        <w:t>;</w:t>
      </w:r>
    </w:p>
    <w:p w14:paraId="43D3BC2D" w14:textId="77777777" w:rsidR="00B278E9" w:rsidRPr="00DB7496" w:rsidRDefault="00B278E9" w:rsidP="006263FA">
      <w:pPr>
        <w:pStyle w:val="paragraph"/>
      </w:pPr>
      <w:r w:rsidRPr="00DB7496">
        <w:tab/>
        <w:t>(</w:t>
      </w:r>
      <w:r w:rsidR="00010BAB" w:rsidRPr="00DB7496">
        <w:t>f</w:t>
      </w:r>
      <w:r w:rsidRPr="00DB7496">
        <w:t>)</w:t>
      </w:r>
      <w:r w:rsidRPr="00DB7496">
        <w:tab/>
        <w:t xml:space="preserve">the </w:t>
      </w:r>
      <w:r w:rsidRPr="00DB7496">
        <w:rPr>
          <w:i/>
        </w:rPr>
        <w:t>Jury Exemption Act 1965</w:t>
      </w:r>
      <w:r w:rsidR="00BF7734" w:rsidRPr="00DB7496">
        <w:t>.</w:t>
      </w:r>
    </w:p>
    <w:p w14:paraId="2CE6D3A1" w14:textId="77777777" w:rsidR="00557C7A" w:rsidRPr="00DB7496" w:rsidRDefault="00BF6650" w:rsidP="00557C7A">
      <w:pPr>
        <w:pStyle w:val="ActHead5"/>
      </w:pPr>
      <w:bookmarkStart w:id="8" w:name="_Toc135234381"/>
      <w:r w:rsidRPr="00DE1BCA">
        <w:rPr>
          <w:rStyle w:val="CharSectno"/>
        </w:rPr>
        <w:t>4</w:t>
      </w:r>
      <w:r w:rsidR="00557C7A" w:rsidRPr="00DB7496">
        <w:t xml:space="preserve">  </w:t>
      </w:r>
      <w:r w:rsidR="00083F48" w:rsidRPr="00DB7496">
        <w:t>Schedules</w:t>
      </w:r>
      <w:bookmarkEnd w:id="8"/>
    </w:p>
    <w:p w14:paraId="2E5193B1" w14:textId="77777777" w:rsidR="00557C7A" w:rsidRPr="00DB7496" w:rsidRDefault="00557C7A" w:rsidP="00557C7A">
      <w:pPr>
        <w:pStyle w:val="subsection"/>
      </w:pPr>
      <w:r w:rsidRPr="00DB7496">
        <w:tab/>
      </w:r>
      <w:r w:rsidRPr="00DB7496">
        <w:tab/>
      </w:r>
      <w:r w:rsidR="00083F48" w:rsidRPr="00DB7496">
        <w:t xml:space="preserve">Each </w:t>
      </w:r>
      <w:r w:rsidR="00160BD7" w:rsidRPr="00DB7496">
        <w:t>instrument</w:t>
      </w:r>
      <w:r w:rsidR="00083F48" w:rsidRPr="00DB7496">
        <w:t xml:space="preserve"> that is specified in a Schedule to </w:t>
      </w:r>
      <w:r w:rsidR="00E9376B" w:rsidRPr="00DB7496">
        <w:t>this instrument</w:t>
      </w:r>
      <w:r w:rsidR="00083F48" w:rsidRPr="00DB7496">
        <w:t xml:space="preserve"> is amended or repealed as set out in the applicable items in the Schedule concerned, and any other item in a Schedule to </w:t>
      </w:r>
      <w:r w:rsidR="00E9376B" w:rsidRPr="00DB7496">
        <w:t>this instrument</w:t>
      </w:r>
      <w:r w:rsidR="00083F48" w:rsidRPr="00DB7496">
        <w:t xml:space="preserve"> has effect according to its terms.</w:t>
      </w:r>
    </w:p>
    <w:p w14:paraId="0A9BBCBA" w14:textId="77777777" w:rsidR="0048364F" w:rsidRPr="00DB7496" w:rsidRDefault="003E1627" w:rsidP="009C5989">
      <w:pPr>
        <w:pStyle w:val="ActHead6"/>
        <w:pageBreakBefore/>
      </w:pPr>
      <w:bookmarkStart w:id="9" w:name="_Toc135234382"/>
      <w:bookmarkStart w:id="10" w:name="_Hlk129262646"/>
      <w:bookmarkStart w:id="11" w:name="_Hlk129251412"/>
      <w:r w:rsidRPr="00DE1BCA">
        <w:rPr>
          <w:rStyle w:val="CharAmSchNo"/>
        </w:rPr>
        <w:lastRenderedPageBreak/>
        <w:t>Schedule 1</w:t>
      </w:r>
      <w:r w:rsidR="0048364F" w:rsidRPr="00DB7496">
        <w:t>—</w:t>
      </w:r>
      <w:r w:rsidR="00460499" w:rsidRPr="00DE1BCA">
        <w:rPr>
          <w:rStyle w:val="CharAmSchText"/>
        </w:rPr>
        <w:t>Amendments</w:t>
      </w:r>
      <w:bookmarkEnd w:id="9"/>
    </w:p>
    <w:p w14:paraId="13A3F3BB" w14:textId="77777777" w:rsidR="00475FBA" w:rsidRPr="00DB7496" w:rsidRDefault="0064537B" w:rsidP="00B130BD">
      <w:pPr>
        <w:pStyle w:val="ActHead7"/>
      </w:pPr>
      <w:bookmarkStart w:id="12" w:name="_Toc135234383"/>
      <w:bookmarkStart w:id="13" w:name="_Hlk132190930"/>
      <w:bookmarkStart w:id="14" w:name="_Hlk129262622"/>
      <w:bookmarkEnd w:id="10"/>
      <w:bookmarkEnd w:id="11"/>
      <w:r w:rsidRPr="00DE1BCA">
        <w:rPr>
          <w:rStyle w:val="CharAmPartNo"/>
        </w:rPr>
        <w:t>Part 1</w:t>
      </w:r>
      <w:r w:rsidR="00475FBA" w:rsidRPr="00DB7496">
        <w:t>—</w:t>
      </w:r>
      <w:r w:rsidR="00057099" w:rsidRPr="00DE1BCA">
        <w:rPr>
          <w:rStyle w:val="CharAmPartText"/>
        </w:rPr>
        <w:t>Industrial action</w:t>
      </w:r>
      <w:bookmarkEnd w:id="12"/>
    </w:p>
    <w:p w14:paraId="13C9FD57" w14:textId="77777777" w:rsidR="00F07C16" w:rsidRPr="00DB7496" w:rsidRDefault="00F07C16" w:rsidP="00F07C16">
      <w:pPr>
        <w:pStyle w:val="ActHead9"/>
      </w:pPr>
      <w:bookmarkStart w:id="15" w:name="_Toc135234384"/>
      <w:r w:rsidRPr="00DB7496">
        <w:t xml:space="preserve">Fair Work </w:t>
      </w:r>
      <w:r w:rsidR="00DB7496" w:rsidRPr="00DB7496">
        <w:t>Regulations 2</w:t>
      </w:r>
      <w:r w:rsidRPr="00DB7496">
        <w:t>009</w:t>
      </w:r>
      <w:bookmarkEnd w:id="15"/>
    </w:p>
    <w:bookmarkEnd w:id="13"/>
    <w:p w14:paraId="4708B31E" w14:textId="77777777" w:rsidR="00F239E1" w:rsidRPr="00DB7496" w:rsidRDefault="00791B05" w:rsidP="00B30F9E">
      <w:pPr>
        <w:pStyle w:val="ItemHead"/>
      </w:pPr>
      <w:r w:rsidRPr="00DB7496">
        <w:t>1</w:t>
      </w:r>
      <w:r w:rsidR="00F239E1" w:rsidRPr="00DB7496">
        <w:t xml:space="preserve">  </w:t>
      </w:r>
      <w:r w:rsidR="003E1627" w:rsidRPr="00DB7496">
        <w:t>Regulation 3</w:t>
      </w:r>
      <w:r w:rsidR="00F239E1" w:rsidRPr="00DB7496">
        <w:t>.11</w:t>
      </w:r>
      <w:r w:rsidR="00826176" w:rsidRPr="00DB7496">
        <w:t xml:space="preserve"> (heading)</w:t>
      </w:r>
    </w:p>
    <w:p w14:paraId="33CC6ECD" w14:textId="77777777" w:rsidR="00F239E1" w:rsidRPr="00DB7496" w:rsidRDefault="00F239E1" w:rsidP="00F239E1">
      <w:pPr>
        <w:pStyle w:val="Item"/>
      </w:pPr>
      <w:r w:rsidRPr="00DB7496">
        <w:t xml:space="preserve">Repeal the </w:t>
      </w:r>
      <w:r w:rsidR="00826176" w:rsidRPr="00DB7496">
        <w:t>heading</w:t>
      </w:r>
      <w:r w:rsidRPr="00DB7496">
        <w:t>, substitute:</w:t>
      </w:r>
    </w:p>
    <w:p w14:paraId="44C36D56" w14:textId="77777777" w:rsidR="00F239E1" w:rsidRPr="00DB7496" w:rsidRDefault="00F239E1" w:rsidP="00F239E1">
      <w:pPr>
        <w:pStyle w:val="ActHead5"/>
      </w:pPr>
      <w:bookmarkStart w:id="16" w:name="_Toc135234385"/>
      <w:r w:rsidRPr="00DE1BCA">
        <w:rPr>
          <w:rStyle w:val="CharSectno"/>
        </w:rPr>
        <w:t>3.11</w:t>
      </w:r>
      <w:r w:rsidRPr="00DB7496">
        <w:t xml:space="preserve">  Requirem</w:t>
      </w:r>
      <w:r w:rsidR="00E47BF2" w:rsidRPr="00DB7496">
        <w:t>ents for protected action ballot agent</w:t>
      </w:r>
      <w:bookmarkEnd w:id="16"/>
    </w:p>
    <w:p w14:paraId="1846654B" w14:textId="77777777" w:rsidR="00826176" w:rsidRPr="00DB7496" w:rsidRDefault="00791B05" w:rsidP="00826176">
      <w:pPr>
        <w:pStyle w:val="ItemHead"/>
      </w:pPr>
      <w:r w:rsidRPr="00DB7496">
        <w:t>2</w:t>
      </w:r>
      <w:r w:rsidR="00826176" w:rsidRPr="00DB7496">
        <w:t xml:space="preserve">  </w:t>
      </w:r>
      <w:proofErr w:type="spellStart"/>
      <w:r w:rsidR="003E1627" w:rsidRPr="00DB7496">
        <w:t>Subregulation</w:t>
      </w:r>
      <w:proofErr w:type="spellEnd"/>
      <w:r w:rsidR="003E1627" w:rsidRPr="00DB7496">
        <w:t> 3</w:t>
      </w:r>
      <w:r w:rsidR="00826176" w:rsidRPr="00DB7496">
        <w:t>.11(1)</w:t>
      </w:r>
    </w:p>
    <w:p w14:paraId="5FA8BB0C" w14:textId="77777777" w:rsidR="00826176" w:rsidRPr="00DB7496" w:rsidRDefault="00826176" w:rsidP="00826176">
      <w:pPr>
        <w:pStyle w:val="Item"/>
      </w:pPr>
      <w:r w:rsidRPr="00DB7496">
        <w:t xml:space="preserve">Repeal the </w:t>
      </w:r>
      <w:proofErr w:type="spellStart"/>
      <w:r w:rsidRPr="00DB7496">
        <w:t>subregulation</w:t>
      </w:r>
      <w:proofErr w:type="spellEnd"/>
      <w:r w:rsidRPr="00DB7496">
        <w:t>, substitute:</w:t>
      </w:r>
    </w:p>
    <w:p w14:paraId="671C9C2A" w14:textId="77777777" w:rsidR="00826176" w:rsidRPr="00DB7496" w:rsidRDefault="00826176" w:rsidP="00D73D6A">
      <w:pPr>
        <w:pStyle w:val="subsection"/>
      </w:pPr>
      <w:r w:rsidRPr="00DB7496">
        <w:tab/>
        <w:t>(1)</w:t>
      </w:r>
      <w:r w:rsidRPr="00DB7496">
        <w:tab/>
        <w:t xml:space="preserve">For the purposes of </w:t>
      </w:r>
      <w:r w:rsidR="003E1627" w:rsidRPr="00DB7496">
        <w:t>paragraph 4</w:t>
      </w:r>
      <w:r w:rsidRPr="00DB7496">
        <w:t xml:space="preserve">44(1D)(c) of the Act, this regulation </w:t>
      </w:r>
      <w:r w:rsidR="009F0B5E" w:rsidRPr="00DB7496">
        <w:t xml:space="preserve">prescribes </w:t>
      </w:r>
      <w:r w:rsidRPr="00DB7496">
        <w:t xml:space="preserve">requirements that the </w:t>
      </w:r>
      <w:proofErr w:type="spellStart"/>
      <w:r w:rsidRPr="00DB7496">
        <w:t>FWC</w:t>
      </w:r>
      <w:proofErr w:type="spellEnd"/>
      <w:r w:rsidRPr="00DB7496">
        <w:t xml:space="preserve"> must be satisfied have been met before a person becomes the protected action ballot agent for a protected action ballot.</w:t>
      </w:r>
    </w:p>
    <w:p w14:paraId="4F9FEB2C" w14:textId="77777777" w:rsidR="00D73D6A" w:rsidRPr="00DB7496" w:rsidRDefault="00D73D6A" w:rsidP="00D73D6A">
      <w:pPr>
        <w:pStyle w:val="notetext"/>
      </w:pPr>
      <w:r w:rsidRPr="00DB7496">
        <w:t>Note:</w:t>
      </w:r>
      <w:r w:rsidRPr="00DB7496">
        <w:tab/>
      </w:r>
      <w:r w:rsidR="00EC095A" w:rsidRPr="00DB7496">
        <w:t>The person must also be a fit and proper person to conduct a protected action ballot.</w:t>
      </w:r>
    </w:p>
    <w:p w14:paraId="450DD0C0" w14:textId="77777777" w:rsidR="00765B33" w:rsidRPr="00DB7496" w:rsidRDefault="00791B05" w:rsidP="00D73D6A">
      <w:pPr>
        <w:pStyle w:val="ItemHead"/>
      </w:pPr>
      <w:r w:rsidRPr="00DB7496">
        <w:t>3</w:t>
      </w:r>
      <w:r w:rsidR="00765B33" w:rsidRPr="00DB7496">
        <w:t xml:space="preserve">  </w:t>
      </w:r>
      <w:r w:rsidR="003E1627" w:rsidRPr="00DB7496">
        <w:t>Regulation 3</w:t>
      </w:r>
      <w:r w:rsidR="00765B33" w:rsidRPr="00DB7496">
        <w:t>.14 (heading)</w:t>
      </w:r>
    </w:p>
    <w:p w14:paraId="3E0E2074" w14:textId="77777777" w:rsidR="00765B33" w:rsidRPr="00DB7496" w:rsidRDefault="00765B33" w:rsidP="00765B33">
      <w:pPr>
        <w:pStyle w:val="Item"/>
      </w:pPr>
      <w:r w:rsidRPr="00DB7496">
        <w:t>Repeal the heading, substitute:</w:t>
      </w:r>
    </w:p>
    <w:p w14:paraId="3EFFDFA7" w14:textId="77777777" w:rsidR="00765B33" w:rsidRPr="00DB7496" w:rsidRDefault="00765B33" w:rsidP="00765B33">
      <w:pPr>
        <w:pStyle w:val="ActHead5"/>
      </w:pPr>
      <w:bookmarkStart w:id="17" w:name="_Toc135234386"/>
      <w:r w:rsidRPr="00DE1BCA">
        <w:rPr>
          <w:rStyle w:val="CharSectno"/>
        </w:rPr>
        <w:t>3.14</w:t>
      </w:r>
      <w:r w:rsidRPr="00DB7496">
        <w:t xml:space="preserve">  </w:t>
      </w:r>
      <w:r w:rsidR="00EC095A" w:rsidRPr="00DB7496">
        <w:t>Conduct of protected action ballot—directions about ballot paper</w:t>
      </w:r>
      <w:bookmarkEnd w:id="17"/>
    </w:p>
    <w:p w14:paraId="7933D784" w14:textId="77777777" w:rsidR="00B30F9E" w:rsidRPr="00DB7496" w:rsidRDefault="00791B05" w:rsidP="00B30F9E">
      <w:pPr>
        <w:pStyle w:val="ItemHead"/>
      </w:pPr>
      <w:r w:rsidRPr="00DB7496">
        <w:t>4</w:t>
      </w:r>
      <w:r w:rsidR="00B30F9E" w:rsidRPr="00DB7496">
        <w:t xml:space="preserve">  </w:t>
      </w:r>
      <w:proofErr w:type="spellStart"/>
      <w:r w:rsidR="00DE5B61" w:rsidRPr="00DB7496">
        <w:t>Subregulation</w:t>
      </w:r>
      <w:proofErr w:type="spellEnd"/>
      <w:r w:rsidR="00DE5B61" w:rsidRPr="00DB7496">
        <w:t> 5</w:t>
      </w:r>
      <w:r w:rsidR="00B30F9E" w:rsidRPr="00DB7496">
        <w:t>.01(1)</w:t>
      </w:r>
    </w:p>
    <w:p w14:paraId="54DFD897" w14:textId="77777777" w:rsidR="00B30F9E" w:rsidRPr="00DB7496" w:rsidRDefault="005273F3" w:rsidP="00B30F9E">
      <w:pPr>
        <w:pStyle w:val="Item"/>
      </w:pPr>
      <w:r w:rsidRPr="00DB7496">
        <w:t xml:space="preserve">Repeal the </w:t>
      </w:r>
      <w:proofErr w:type="spellStart"/>
      <w:r w:rsidRPr="00DB7496">
        <w:t>subregulation</w:t>
      </w:r>
      <w:proofErr w:type="spellEnd"/>
      <w:r w:rsidRPr="00DB7496">
        <w:t>, substitute</w:t>
      </w:r>
      <w:r w:rsidR="00472283" w:rsidRPr="00DB7496">
        <w:t>:</w:t>
      </w:r>
    </w:p>
    <w:p w14:paraId="2A84F997" w14:textId="77777777" w:rsidR="005273F3" w:rsidRPr="00DB7496" w:rsidRDefault="005273F3" w:rsidP="005273F3">
      <w:pPr>
        <w:pStyle w:val="SubsectionHead"/>
      </w:pPr>
      <w:r w:rsidRPr="00DB7496">
        <w:t>Functions and powers in relation to protected action ballots</w:t>
      </w:r>
    </w:p>
    <w:p w14:paraId="4A67DC70" w14:textId="77777777" w:rsidR="005273F3" w:rsidRPr="00DB7496" w:rsidRDefault="00B30F9E" w:rsidP="00B30F9E">
      <w:pPr>
        <w:pStyle w:val="subsection"/>
      </w:pPr>
      <w:r w:rsidRPr="00DB7496">
        <w:tab/>
        <w:t>(1)</w:t>
      </w:r>
      <w:r w:rsidRPr="00DB7496">
        <w:tab/>
        <w:t xml:space="preserve">For the purposes of </w:t>
      </w:r>
      <w:r w:rsidR="00DE5B61" w:rsidRPr="00DB7496">
        <w:t>paragraph 6</w:t>
      </w:r>
      <w:r w:rsidRPr="00DB7496">
        <w:t>25(2)(</w:t>
      </w:r>
      <w:proofErr w:type="spellStart"/>
      <w:r w:rsidRPr="00DB7496">
        <w:t>i</w:t>
      </w:r>
      <w:proofErr w:type="spellEnd"/>
      <w:r w:rsidRPr="00DB7496">
        <w:t>) of the Act</w:t>
      </w:r>
      <w:r w:rsidR="00472283" w:rsidRPr="00DB7496">
        <w:t xml:space="preserve">, </w:t>
      </w:r>
      <w:r w:rsidR="005273F3" w:rsidRPr="00DB7496">
        <w:t>each of the following are prescribed functions or powers:</w:t>
      </w:r>
    </w:p>
    <w:p w14:paraId="0D809293" w14:textId="77777777" w:rsidR="005273F3" w:rsidRPr="00DB7496" w:rsidRDefault="005273F3" w:rsidP="005273F3">
      <w:pPr>
        <w:pStyle w:val="paragraph"/>
      </w:pPr>
      <w:r w:rsidRPr="00DB7496">
        <w:tab/>
        <w:t>(</w:t>
      </w:r>
      <w:r w:rsidR="009E6CF7" w:rsidRPr="00DB7496">
        <w:t>a</w:t>
      </w:r>
      <w:r w:rsidRPr="00DB7496">
        <w:t>)</w:t>
      </w:r>
      <w:r w:rsidRPr="00DB7496">
        <w:tab/>
        <w:t xml:space="preserve">giving a copy of a protected action ballot order to a person under </w:t>
      </w:r>
      <w:r w:rsidR="00DE5B61" w:rsidRPr="00DB7496">
        <w:t>section 4</w:t>
      </w:r>
      <w:r w:rsidRPr="00DB7496">
        <w:t>45 of the Act;</w:t>
      </w:r>
    </w:p>
    <w:p w14:paraId="1883DBBC" w14:textId="77777777" w:rsidR="00C4148F" w:rsidRPr="00DB7496" w:rsidRDefault="005273F3" w:rsidP="005273F3">
      <w:pPr>
        <w:pStyle w:val="paragraph"/>
      </w:pPr>
      <w:r w:rsidRPr="00DB7496">
        <w:tab/>
        <w:t>(</w:t>
      </w:r>
      <w:r w:rsidR="009E6CF7" w:rsidRPr="00DB7496">
        <w:t>b</w:t>
      </w:r>
      <w:r w:rsidRPr="00DB7496">
        <w:t>)</w:t>
      </w:r>
      <w:r w:rsidRPr="00DB7496">
        <w:tab/>
        <w:t>conducting</w:t>
      </w:r>
      <w:r w:rsidR="00472283" w:rsidRPr="00DB7496">
        <w:t xml:space="preserve"> a conference in accordance with </w:t>
      </w:r>
      <w:r w:rsidR="00DE5B61" w:rsidRPr="00DB7496">
        <w:t>section 4</w:t>
      </w:r>
      <w:r w:rsidR="00472283" w:rsidRPr="00DB7496">
        <w:t>48A of the Act</w:t>
      </w:r>
      <w:r w:rsidR="00057099" w:rsidRPr="00DB7496">
        <w:t>;</w:t>
      </w:r>
    </w:p>
    <w:p w14:paraId="159175F8" w14:textId="77777777" w:rsidR="00057099" w:rsidRPr="00DB7496" w:rsidRDefault="00057099" w:rsidP="005273F3">
      <w:pPr>
        <w:pStyle w:val="paragraph"/>
      </w:pPr>
      <w:r w:rsidRPr="00DB7496">
        <w:tab/>
        <w:t>(c)</w:t>
      </w:r>
      <w:r w:rsidRPr="00DB7496">
        <w:tab/>
        <w:t xml:space="preserve">approving a person as an eligible protected action ballot agent under </w:t>
      </w:r>
      <w:r w:rsidR="003E1627" w:rsidRPr="00DB7496">
        <w:t>subsection 4</w:t>
      </w:r>
      <w:r w:rsidRPr="00DB7496">
        <w:t>68A(2) of the Act;</w:t>
      </w:r>
    </w:p>
    <w:p w14:paraId="08676731" w14:textId="77777777" w:rsidR="00F239E1" w:rsidRPr="00DB7496" w:rsidRDefault="00057099" w:rsidP="009F0B5E">
      <w:pPr>
        <w:pStyle w:val="paragraph"/>
      </w:pPr>
      <w:r w:rsidRPr="00DB7496">
        <w:tab/>
        <w:t>(d)</w:t>
      </w:r>
      <w:r w:rsidRPr="00DB7496">
        <w:tab/>
      </w:r>
      <w:r w:rsidR="009F0B5E" w:rsidRPr="00DB7496">
        <w:t xml:space="preserve">the functions and powers conferred on the </w:t>
      </w:r>
      <w:proofErr w:type="spellStart"/>
      <w:r w:rsidR="009F0B5E" w:rsidRPr="00DB7496">
        <w:t>FWC</w:t>
      </w:r>
      <w:proofErr w:type="spellEnd"/>
      <w:r w:rsidR="009F0B5E" w:rsidRPr="00DB7496">
        <w:t xml:space="preserve"> by subsections 468A(4) and (5) of the Act (review of eligible protected action ballot agent’s approval, and actions on review).</w:t>
      </w:r>
    </w:p>
    <w:p w14:paraId="01EE69D8" w14:textId="77777777" w:rsidR="00472283" w:rsidRPr="00DB7496" w:rsidRDefault="00472283" w:rsidP="00472283">
      <w:pPr>
        <w:pStyle w:val="SubsectionHead"/>
      </w:pPr>
      <w:r w:rsidRPr="00DB7496">
        <w:t>Other functions and powers</w:t>
      </w:r>
    </w:p>
    <w:p w14:paraId="325F28EF" w14:textId="77777777" w:rsidR="0021551C" w:rsidRPr="00DB7496" w:rsidRDefault="00DE5B61" w:rsidP="00976688">
      <w:pPr>
        <w:pStyle w:val="ActHead7"/>
        <w:pageBreakBefore/>
      </w:pPr>
      <w:bookmarkStart w:id="18" w:name="_Toc135234387"/>
      <w:r w:rsidRPr="00DE1BCA">
        <w:rPr>
          <w:rStyle w:val="CharAmPartNo"/>
        </w:rPr>
        <w:lastRenderedPageBreak/>
        <w:t>Part 2</w:t>
      </w:r>
      <w:r w:rsidR="0021551C" w:rsidRPr="00DB7496">
        <w:t>—</w:t>
      </w:r>
      <w:r w:rsidR="0021551C" w:rsidRPr="00DE1BCA">
        <w:rPr>
          <w:rStyle w:val="CharAmPartText"/>
        </w:rPr>
        <w:t>Enhancing the small claims process</w:t>
      </w:r>
      <w:bookmarkEnd w:id="18"/>
    </w:p>
    <w:p w14:paraId="07B22BC7" w14:textId="77777777" w:rsidR="0021551C" w:rsidRPr="00DB7496" w:rsidRDefault="00976688" w:rsidP="0021551C">
      <w:pPr>
        <w:pStyle w:val="ActHead8"/>
      </w:pPr>
      <w:bookmarkStart w:id="19" w:name="_Toc135234388"/>
      <w:r w:rsidRPr="00DB7496">
        <w:t>Division 1</w:t>
      </w:r>
      <w:r w:rsidR="0021551C" w:rsidRPr="00DB7496">
        <w:t>—Amendments</w:t>
      </w:r>
      <w:bookmarkEnd w:id="19"/>
    </w:p>
    <w:p w14:paraId="59461854" w14:textId="77777777" w:rsidR="0021551C" w:rsidRPr="00DB7496" w:rsidRDefault="0021551C" w:rsidP="0021551C">
      <w:pPr>
        <w:pStyle w:val="ActHead9"/>
      </w:pPr>
      <w:bookmarkStart w:id="20" w:name="_Toc135234389"/>
      <w:r w:rsidRPr="00DB7496">
        <w:t xml:space="preserve">Federal Court and Federal Circuit and Family Court </w:t>
      </w:r>
      <w:r w:rsidR="00DB7496" w:rsidRPr="00DB7496">
        <w:t>Regulations 2</w:t>
      </w:r>
      <w:r w:rsidRPr="00DB7496">
        <w:t>022</w:t>
      </w:r>
      <w:bookmarkEnd w:id="20"/>
    </w:p>
    <w:p w14:paraId="712040B4" w14:textId="77777777" w:rsidR="0021551C" w:rsidRPr="00DB7496" w:rsidRDefault="00791B05" w:rsidP="0021551C">
      <w:pPr>
        <w:pStyle w:val="ItemHead"/>
      </w:pPr>
      <w:r w:rsidRPr="00DB7496">
        <w:t>5</w:t>
      </w:r>
      <w:r w:rsidR="0021551C" w:rsidRPr="00DB7496">
        <w:t xml:space="preserve">  </w:t>
      </w:r>
      <w:r w:rsidR="00DE5B61" w:rsidRPr="00DB7496">
        <w:t>Part 2</w:t>
      </w:r>
      <w:r w:rsidR="00420C9B" w:rsidRPr="00DB7496">
        <w:t xml:space="preserve"> of </w:t>
      </w:r>
      <w:r w:rsidR="003E1627" w:rsidRPr="00DB7496">
        <w:t>Schedule 1</w:t>
      </w:r>
      <w:r w:rsidR="0021551C" w:rsidRPr="00DB7496">
        <w:t xml:space="preserve"> (table </w:t>
      </w:r>
      <w:r w:rsidR="00976688" w:rsidRPr="00DB7496">
        <w:t>item 2</w:t>
      </w:r>
      <w:r w:rsidR="0021551C" w:rsidRPr="00DB7496">
        <w:t>12, column headed “</w:t>
      </w:r>
      <w:r w:rsidR="00C30F4C" w:rsidRPr="00DB7496">
        <w:t>D</w:t>
      </w:r>
      <w:r w:rsidR="0021551C" w:rsidRPr="00DB7496">
        <w:t xml:space="preserve">ocument or service”, </w:t>
      </w:r>
      <w:r w:rsidR="0064537B" w:rsidRPr="00DB7496">
        <w:t>paragraph (</w:t>
      </w:r>
      <w:r w:rsidR="0021551C" w:rsidRPr="00DB7496">
        <w:t>b))</w:t>
      </w:r>
    </w:p>
    <w:p w14:paraId="7D5F32B2" w14:textId="77777777" w:rsidR="0021551C" w:rsidRPr="00DB7496" w:rsidRDefault="0021551C" w:rsidP="0021551C">
      <w:pPr>
        <w:pStyle w:val="Item"/>
      </w:pPr>
      <w:r w:rsidRPr="00DB7496">
        <w:t>Omit “between $10,000 and $20,000”, substitute “$10,000 or more and less than $50,000”.</w:t>
      </w:r>
    </w:p>
    <w:p w14:paraId="4828D9DD" w14:textId="77777777" w:rsidR="0021551C" w:rsidRPr="00DB7496" w:rsidRDefault="00791B05" w:rsidP="0021551C">
      <w:pPr>
        <w:pStyle w:val="ItemHead"/>
      </w:pPr>
      <w:r w:rsidRPr="00DB7496">
        <w:t>6</w:t>
      </w:r>
      <w:r w:rsidR="0021551C" w:rsidRPr="00DB7496">
        <w:t xml:space="preserve">  </w:t>
      </w:r>
      <w:r w:rsidR="00DE5B61" w:rsidRPr="00DB7496">
        <w:t>Part 2</w:t>
      </w:r>
      <w:r w:rsidR="00420C9B" w:rsidRPr="00DB7496">
        <w:t xml:space="preserve"> of </w:t>
      </w:r>
      <w:r w:rsidR="003E1627" w:rsidRPr="00DB7496">
        <w:t>Schedule 1</w:t>
      </w:r>
      <w:r w:rsidR="0021551C" w:rsidRPr="00DB7496">
        <w:t xml:space="preserve"> (after table </w:t>
      </w:r>
      <w:r w:rsidR="00976688" w:rsidRPr="00DB7496">
        <w:t>item 2</w:t>
      </w:r>
      <w:r w:rsidR="0021551C" w:rsidRPr="00DB7496">
        <w:t>12)</w:t>
      </w:r>
    </w:p>
    <w:p w14:paraId="623ACF38" w14:textId="77777777" w:rsidR="0021551C" w:rsidRPr="00DB7496" w:rsidRDefault="0021551C" w:rsidP="0021551C">
      <w:pPr>
        <w:pStyle w:val="Item"/>
      </w:pPr>
      <w:r w:rsidRPr="00DB7496">
        <w:t>Insert:</w:t>
      </w:r>
    </w:p>
    <w:p w14:paraId="052C92AE" w14:textId="77777777" w:rsidR="0021551C" w:rsidRPr="00DB7496" w:rsidRDefault="0021551C" w:rsidP="0021551C">
      <w:pPr>
        <w:pStyle w:val="Tabletext"/>
      </w:pPr>
    </w:p>
    <w:tbl>
      <w:tblPr>
        <w:tblW w:w="5000" w:type="pct"/>
        <w:tblLook w:val="0000" w:firstRow="0" w:lastRow="0" w:firstColumn="0" w:lastColumn="0" w:noHBand="0" w:noVBand="0"/>
      </w:tblPr>
      <w:tblGrid>
        <w:gridCol w:w="805"/>
        <w:gridCol w:w="4332"/>
        <w:gridCol w:w="3176"/>
      </w:tblGrid>
      <w:tr w:rsidR="0021551C" w:rsidRPr="00DB7496" w14:paraId="73C6CAF3" w14:textId="77777777" w:rsidTr="0055720B">
        <w:tc>
          <w:tcPr>
            <w:tcW w:w="438" w:type="pct"/>
            <w:shd w:val="clear" w:color="auto" w:fill="auto"/>
          </w:tcPr>
          <w:p w14:paraId="1A03CFF1" w14:textId="77777777" w:rsidR="0021551C" w:rsidRPr="00DB7496" w:rsidRDefault="0021551C" w:rsidP="0055720B">
            <w:pPr>
              <w:pStyle w:val="Tabletext"/>
            </w:pPr>
            <w:r w:rsidRPr="00DB7496">
              <w:t>212AA</w:t>
            </w:r>
          </w:p>
        </w:tc>
        <w:tc>
          <w:tcPr>
            <w:tcW w:w="2629" w:type="pct"/>
            <w:shd w:val="clear" w:color="auto" w:fill="auto"/>
          </w:tcPr>
          <w:p w14:paraId="1F4D02E8" w14:textId="77777777" w:rsidR="0021551C" w:rsidRPr="00DB7496" w:rsidRDefault="0021551C" w:rsidP="0055720B">
            <w:pPr>
              <w:pStyle w:val="Tabletext"/>
            </w:pPr>
            <w:r w:rsidRPr="00DB7496">
              <w:t xml:space="preserve">Filing of an application under </w:t>
            </w:r>
            <w:r w:rsidR="00976688" w:rsidRPr="00DB7496">
              <w:t>section 5</w:t>
            </w:r>
            <w:r w:rsidRPr="00DB7496">
              <w:t xml:space="preserve">39 of the </w:t>
            </w:r>
            <w:r w:rsidRPr="00DB7496">
              <w:rPr>
                <w:i/>
              </w:rPr>
              <w:t>Fair Work Act 2009</w:t>
            </w:r>
            <w:r w:rsidRPr="00DB7496">
              <w:t xml:space="preserve"> if:</w:t>
            </w:r>
          </w:p>
          <w:p w14:paraId="68753427" w14:textId="77777777" w:rsidR="0021551C" w:rsidRPr="00DB7496" w:rsidRDefault="0021551C" w:rsidP="0055720B">
            <w:pPr>
              <w:pStyle w:val="Tablea"/>
            </w:pPr>
            <w:r w:rsidRPr="00DB7496">
              <w:t xml:space="preserve">(a) the applicant indicates that the applicant wants the small claims procedure under </w:t>
            </w:r>
            <w:r w:rsidR="00976688" w:rsidRPr="00DB7496">
              <w:t>section 5</w:t>
            </w:r>
            <w:r w:rsidRPr="00DB7496">
              <w:t>48 of that Act to apply; and</w:t>
            </w:r>
          </w:p>
          <w:p w14:paraId="735EAD02" w14:textId="77777777" w:rsidR="0021551C" w:rsidRPr="00DB7496" w:rsidRDefault="0021551C" w:rsidP="0055720B">
            <w:pPr>
              <w:pStyle w:val="Tablea"/>
            </w:pPr>
            <w:r w:rsidRPr="00DB7496">
              <w:t>(b) the claim is between $50,000 and $100,000</w:t>
            </w:r>
          </w:p>
        </w:tc>
        <w:tc>
          <w:tcPr>
            <w:tcW w:w="1933" w:type="pct"/>
            <w:shd w:val="clear" w:color="auto" w:fill="auto"/>
          </w:tcPr>
          <w:p w14:paraId="122014B3" w14:textId="77777777" w:rsidR="0021551C" w:rsidRPr="00DB7496" w:rsidRDefault="0021551C" w:rsidP="0055720B">
            <w:pPr>
              <w:pStyle w:val="Tabletext"/>
            </w:pPr>
            <w:r w:rsidRPr="00DB7496">
              <w:t>$525</w:t>
            </w:r>
          </w:p>
        </w:tc>
      </w:tr>
    </w:tbl>
    <w:p w14:paraId="2C64C7C3" w14:textId="77777777" w:rsidR="0021551C" w:rsidRPr="00DB7496" w:rsidRDefault="0021551C" w:rsidP="0021551C">
      <w:pPr>
        <w:pStyle w:val="Tabletext"/>
      </w:pPr>
    </w:p>
    <w:p w14:paraId="31504481" w14:textId="77777777" w:rsidR="0021551C" w:rsidRPr="00DB7496" w:rsidRDefault="00791B05" w:rsidP="0021551C">
      <w:pPr>
        <w:pStyle w:val="ItemHead"/>
      </w:pPr>
      <w:r w:rsidRPr="00DB7496">
        <w:t>7</w:t>
      </w:r>
      <w:r w:rsidR="0021551C" w:rsidRPr="00DB7496">
        <w:t xml:space="preserve">  </w:t>
      </w:r>
      <w:r w:rsidR="00DE5B61" w:rsidRPr="00DB7496">
        <w:t>Part 2</w:t>
      </w:r>
      <w:r w:rsidR="0021551C" w:rsidRPr="00DB7496">
        <w:t xml:space="preserve"> of </w:t>
      </w:r>
      <w:r w:rsidR="003E1627" w:rsidRPr="00DB7496">
        <w:t>Schedule 1</w:t>
      </w:r>
      <w:r w:rsidR="0021551C" w:rsidRPr="00DB7496">
        <w:t xml:space="preserve"> (table </w:t>
      </w:r>
      <w:r w:rsidR="00976688" w:rsidRPr="00DB7496">
        <w:t>item 2</w:t>
      </w:r>
      <w:r w:rsidR="0021551C" w:rsidRPr="00DB7496">
        <w:t>12A, column headed “</w:t>
      </w:r>
      <w:r w:rsidR="00C30F4C" w:rsidRPr="00DB7496">
        <w:t>D</w:t>
      </w:r>
      <w:r w:rsidR="0021551C" w:rsidRPr="00DB7496">
        <w:t>ocument or service”)</w:t>
      </w:r>
    </w:p>
    <w:p w14:paraId="6F60D955" w14:textId="77777777" w:rsidR="0021551C" w:rsidRPr="00DB7496" w:rsidRDefault="0021551C" w:rsidP="0021551C">
      <w:pPr>
        <w:pStyle w:val="Item"/>
      </w:pPr>
      <w:r w:rsidRPr="00DB7496">
        <w:t>After “</w:t>
      </w:r>
      <w:r w:rsidR="00976688" w:rsidRPr="00DB7496">
        <w:t>item 2</w:t>
      </w:r>
      <w:r w:rsidRPr="00DB7496">
        <w:t>12”, insert “or 212AA”.</w:t>
      </w:r>
    </w:p>
    <w:p w14:paraId="717E953A" w14:textId="77777777" w:rsidR="0021551C" w:rsidRPr="00DB7496" w:rsidRDefault="003E1627" w:rsidP="0021551C">
      <w:pPr>
        <w:pStyle w:val="ActHead8"/>
      </w:pPr>
      <w:bookmarkStart w:id="21" w:name="_Toc135234390"/>
      <w:r w:rsidRPr="00DB7496">
        <w:t>Division 2</w:t>
      </w:r>
      <w:r w:rsidR="0021551C" w:rsidRPr="00DB7496">
        <w:t>—Transitional provisions</w:t>
      </w:r>
      <w:bookmarkEnd w:id="21"/>
    </w:p>
    <w:p w14:paraId="202FBBF2" w14:textId="77777777" w:rsidR="0021551C" w:rsidRPr="00DB7496" w:rsidRDefault="0021551C" w:rsidP="0021551C">
      <w:pPr>
        <w:pStyle w:val="ActHead9"/>
      </w:pPr>
      <w:bookmarkStart w:id="22" w:name="_Toc135234391"/>
      <w:r w:rsidRPr="00DB7496">
        <w:t xml:space="preserve">Federal Court and Federal Circuit and Family Court </w:t>
      </w:r>
      <w:r w:rsidR="00DB7496" w:rsidRPr="00DB7496">
        <w:t>Regulations 2</w:t>
      </w:r>
      <w:r w:rsidRPr="00DB7496">
        <w:t>022</w:t>
      </w:r>
      <w:bookmarkEnd w:id="22"/>
    </w:p>
    <w:p w14:paraId="6249FFB7" w14:textId="77777777" w:rsidR="0021551C" w:rsidRPr="00DB7496" w:rsidRDefault="00791B05" w:rsidP="0021551C">
      <w:pPr>
        <w:pStyle w:val="ItemHead"/>
      </w:pPr>
      <w:r w:rsidRPr="00DB7496">
        <w:t>8</w:t>
      </w:r>
      <w:r w:rsidR="0021551C" w:rsidRPr="00DB7496">
        <w:t xml:space="preserve">  In the appropriate position in </w:t>
      </w:r>
      <w:r w:rsidR="009B7FAB" w:rsidRPr="00DB7496">
        <w:t>Part 5</w:t>
      </w:r>
    </w:p>
    <w:p w14:paraId="4BE3F04A" w14:textId="77777777" w:rsidR="0021551C" w:rsidRPr="00DB7496" w:rsidRDefault="0021551C" w:rsidP="0021551C">
      <w:pPr>
        <w:pStyle w:val="Item"/>
      </w:pPr>
      <w:r w:rsidRPr="00DB7496">
        <w:t>Insert:</w:t>
      </w:r>
    </w:p>
    <w:p w14:paraId="02861470" w14:textId="77777777" w:rsidR="0021551C" w:rsidRPr="00DB7496" w:rsidRDefault="009B7FAB" w:rsidP="0021551C">
      <w:pPr>
        <w:pStyle w:val="ActHead3"/>
      </w:pPr>
      <w:bookmarkStart w:id="23" w:name="_Toc135234392"/>
      <w:r w:rsidRPr="00DE1BCA">
        <w:rPr>
          <w:rStyle w:val="CharDivNo"/>
        </w:rPr>
        <w:t>Division 5</w:t>
      </w:r>
      <w:r w:rsidR="0021551C" w:rsidRPr="00DE1BCA">
        <w:rPr>
          <w:rStyle w:val="CharDivNo"/>
        </w:rPr>
        <w:t>.3</w:t>
      </w:r>
      <w:r w:rsidR="0021551C" w:rsidRPr="00DB7496">
        <w:t>—</w:t>
      </w:r>
      <w:r w:rsidR="0021551C" w:rsidRPr="00DE1BCA">
        <w:rPr>
          <w:rStyle w:val="CharDivText"/>
        </w:rPr>
        <w:t xml:space="preserve">Amendments made by the Fair Work and Other Legislation Amendment (Secure Jobs, Better Pay) </w:t>
      </w:r>
      <w:r w:rsidR="00DB7496" w:rsidRPr="00DE1BCA">
        <w:rPr>
          <w:rStyle w:val="CharDivText"/>
        </w:rPr>
        <w:t>Regulations 2</w:t>
      </w:r>
      <w:r w:rsidR="0021551C" w:rsidRPr="00DE1BCA">
        <w:rPr>
          <w:rStyle w:val="CharDivText"/>
        </w:rPr>
        <w:t>023</w:t>
      </w:r>
      <w:bookmarkEnd w:id="23"/>
    </w:p>
    <w:p w14:paraId="6CCAC016" w14:textId="77777777" w:rsidR="0021551C" w:rsidRPr="00DB7496" w:rsidRDefault="0021551C" w:rsidP="0021551C">
      <w:pPr>
        <w:pStyle w:val="ActHead5"/>
      </w:pPr>
      <w:bookmarkStart w:id="24" w:name="_Toc135234393"/>
      <w:r w:rsidRPr="00DE1BCA">
        <w:rPr>
          <w:rStyle w:val="CharSectno"/>
        </w:rPr>
        <w:t>5.07</w:t>
      </w:r>
      <w:r w:rsidRPr="00DB7496">
        <w:t xml:space="preserve">  Transitional provision—annual increase in fees</w:t>
      </w:r>
      <w:bookmarkEnd w:id="24"/>
    </w:p>
    <w:p w14:paraId="3937FD10" w14:textId="77777777" w:rsidR="0021551C" w:rsidRPr="00DB7496" w:rsidRDefault="0021551C" w:rsidP="0021551C">
      <w:pPr>
        <w:pStyle w:val="subsection"/>
      </w:pPr>
      <w:r w:rsidRPr="00DB7496">
        <w:tab/>
      </w:r>
      <w:r w:rsidRPr="00DB7496">
        <w:tab/>
        <w:t xml:space="preserve">Despite anything in </w:t>
      </w:r>
      <w:r w:rsidR="00DE5B61" w:rsidRPr="00DB7496">
        <w:t>subsection 2</w:t>
      </w:r>
      <w:r w:rsidRPr="00DB7496">
        <w:t xml:space="preserve">.20(1), the fee mentioned in </w:t>
      </w:r>
      <w:r w:rsidR="00976688" w:rsidRPr="00DB7496">
        <w:t>item 2</w:t>
      </w:r>
      <w:r w:rsidRPr="00DB7496">
        <w:t xml:space="preserve">12AA </w:t>
      </w:r>
      <w:r w:rsidR="00C30F4C" w:rsidRPr="00DB7496">
        <w:t>of</w:t>
      </w:r>
      <w:r w:rsidRPr="00DB7496">
        <w:t xml:space="preserve"> </w:t>
      </w:r>
      <w:r w:rsidR="00420C9B" w:rsidRPr="00DB7496">
        <w:t xml:space="preserve">the table in </w:t>
      </w:r>
      <w:r w:rsidR="00DE5B61" w:rsidRPr="00DB7496">
        <w:t>Part 2</w:t>
      </w:r>
      <w:r w:rsidR="00420C9B" w:rsidRPr="00DB7496">
        <w:t xml:space="preserve"> of </w:t>
      </w:r>
      <w:r w:rsidR="003E1627" w:rsidRPr="00DB7496">
        <w:t>Schedule 1</w:t>
      </w:r>
      <w:r w:rsidRPr="00DB7496">
        <w:t xml:space="preserve"> is not to be increased on </w:t>
      </w:r>
      <w:r w:rsidR="009B7FAB" w:rsidRPr="00DB7496">
        <w:t>1 July</w:t>
      </w:r>
      <w:r w:rsidRPr="00DB7496">
        <w:t xml:space="preserve"> 2023.</w:t>
      </w:r>
    </w:p>
    <w:p w14:paraId="33F41CF7" w14:textId="77777777" w:rsidR="00B130BD" w:rsidRPr="00DB7496" w:rsidRDefault="00976688" w:rsidP="00546E11">
      <w:pPr>
        <w:pStyle w:val="ActHead7"/>
        <w:pageBreakBefore/>
      </w:pPr>
      <w:bookmarkStart w:id="25" w:name="_Toc135234394"/>
      <w:r w:rsidRPr="00DE1BCA">
        <w:rPr>
          <w:rStyle w:val="CharAmPartNo"/>
        </w:rPr>
        <w:lastRenderedPageBreak/>
        <w:t>Part 3</w:t>
      </w:r>
      <w:r w:rsidR="00B130BD" w:rsidRPr="00DB7496">
        <w:t>—</w:t>
      </w:r>
      <w:bookmarkStart w:id="26" w:name="_Hlk129251389"/>
      <w:r w:rsidR="00B130BD" w:rsidRPr="00DE1BCA">
        <w:rPr>
          <w:rStyle w:val="CharAmPartText"/>
        </w:rPr>
        <w:t>National Construction Industry Forum</w:t>
      </w:r>
      <w:bookmarkEnd w:id="26"/>
      <w:bookmarkEnd w:id="25"/>
    </w:p>
    <w:p w14:paraId="3707F484" w14:textId="77777777" w:rsidR="00B130BD" w:rsidRPr="00DB7496" w:rsidRDefault="00B130BD" w:rsidP="00B130BD">
      <w:pPr>
        <w:pStyle w:val="ActHead9"/>
      </w:pPr>
      <w:bookmarkStart w:id="27" w:name="_Toc135234395"/>
      <w:r w:rsidRPr="00DB7496">
        <w:t xml:space="preserve">Fair Work </w:t>
      </w:r>
      <w:r w:rsidR="00DB7496" w:rsidRPr="00DB7496">
        <w:t>Regulations 2</w:t>
      </w:r>
      <w:r w:rsidRPr="00DB7496">
        <w:t>009</w:t>
      </w:r>
      <w:bookmarkEnd w:id="27"/>
    </w:p>
    <w:p w14:paraId="473C3C0D" w14:textId="77777777" w:rsidR="00416076" w:rsidRPr="00DB7496" w:rsidRDefault="00791B05" w:rsidP="00416076">
      <w:pPr>
        <w:pStyle w:val="ItemHead"/>
      </w:pPr>
      <w:r w:rsidRPr="00DB7496">
        <w:t>9</w:t>
      </w:r>
      <w:r w:rsidR="00416076" w:rsidRPr="00DB7496">
        <w:t xml:space="preserve">  After </w:t>
      </w:r>
      <w:r w:rsidR="0064537B" w:rsidRPr="00DB7496">
        <w:t>Part 6</w:t>
      </w:r>
      <w:r w:rsidR="00DB7496">
        <w:noBreakHyphen/>
      </w:r>
      <w:r w:rsidR="00416076" w:rsidRPr="00DB7496">
        <w:t>4C</w:t>
      </w:r>
    </w:p>
    <w:p w14:paraId="6CD89F3A" w14:textId="77777777" w:rsidR="00416076" w:rsidRPr="00DB7496" w:rsidRDefault="00416076" w:rsidP="00416076">
      <w:pPr>
        <w:pStyle w:val="Item"/>
      </w:pPr>
      <w:r w:rsidRPr="00DB7496">
        <w:t>Insert:</w:t>
      </w:r>
    </w:p>
    <w:p w14:paraId="4D617279" w14:textId="77777777" w:rsidR="00416076" w:rsidRPr="00DB7496" w:rsidRDefault="0064537B" w:rsidP="00416076">
      <w:pPr>
        <w:pStyle w:val="ActHead2"/>
      </w:pPr>
      <w:bookmarkStart w:id="28" w:name="_Toc135234396"/>
      <w:r w:rsidRPr="00DE1BCA">
        <w:rPr>
          <w:rStyle w:val="CharPartNo"/>
        </w:rPr>
        <w:t>Part 6</w:t>
      </w:r>
      <w:r w:rsidR="00DB7496" w:rsidRPr="00DE1BCA">
        <w:rPr>
          <w:rStyle w:val="CharPartNo"/>
        </w:rPr>
        <w:noBreakHyphen/>
      </w:r>
      <w:r w:rsidR="00416076" w:rsidRPr="00DE1BCA">
        <w:rPr>
          <w:rStyle w:val="CharPartNo"/>
        </w:rPr>
        <w:t>4D</w:t>
      </w:r>
      <w:r w:rsidR="00416076" w:rsidRPr="00DB7496">
        <w:t>—</w:t>
      </w:r>
      <w:r w:rsidR="00416076" w:rsidRPr="00DE1BCA">
        <w:rPr>
          <w:rStyle w:val="CharPartText"/>
        </w:rPr>
        <w:t>The National Construction Industry Forum</w:t>
      </w:r>
      <w:bookmarkEnd w:id="28"/>
    </w:p>
    <w:p w14:paraId="2E717648" w14:textId="77777777" w:rsidR="00416076" w:rsidRPr="00DE1BCA" w:rsidRDefault="00416076" w:rsidP="00416076">
      <w:pPr>
        <w:pStyle w:val="Header"/>
      </w:pPr>
      <w:r w:rsidRPr="00DE1BCA">
        <w:rPr>
          <w:rStyle w:val="CharDivNo"/>
        </w:rPr>
        <w:t xml:space="preserve"> </w:t>
      </w:r>
      <w:r w:rsidRPr="00DE1BCA">
        <w:rPr>
          <w:rStyle w:val="CharDivText"/>
        </w:rPr>
        <w:t xml:space="preserve"> </w:t>
      </w:r>
    </w:p>
    <w:p w14:paraId="51D37854" w14:textId="77777777" w:rsidR="00416076" w:rsidRPr="00DB7496" w:rsidRDefault="00416076" w:rsidP="00416076">
      <w:pPr>
        <w:pStyle w:val="ActHead5"/>
      </w:pPr>
      <w:bookmarkStart w:id="29" w:name="_Toc135234397"/>
      <w:r w:rsidRPr="00DE1BCA">
        <w:rPr>
          <w:rStyle w:val="CharSectno"/>
        </w:rPr>
        <w:t>6.07CA</w:t>
      </w:r>
      <w:r w:rsidRPr="00DB7496">
        <w:t xml:space="preserve">  Travel allowances—prescribed rates</w:t>
      </w:r>
      <w:bookmarkEnd w:id="29"/>
    </w:p>
    <w:p w14:paraId="38BC15FE" w14:textId="77777777" w:rsidR="00416076" w:rsidRPr="00DB7496" w:rsidRDefault="00416076" w:rsidP="00416076">
      <w:pPr>
        <w:pStyle w:val="subsection"/>
      </w:pPr>
      <w:r w:rsidRPr="00DB7496">
        <w:tab/>
        <w:t>(1)</w:t>
      </w:r>
      <w:r w:rsidRPr="00DB7496">
        <w:tab/>
        <w:t>For the purposes of subsection 789GZM(2) of the Act, this regulation sets out the rate of travel allowance that a member of the National Construction Industry Forum who is not a Minister or a member of the Parliament is entitled to be paid to attend a meeting of the Forum.</w:t>
      </w:r>
    </w:p>
    <w:p w14:paraId="22A48532" w14:textId="77777777" w:rsidR="00416076" w:rsidRPr="00DB7496" w:rsidRDefault="00416076" w:rsidP="00416076">
      <w:pPr>
        <w:pStyle w:val="notetext"/>
      </w:pPr>
      <w:r w:rsidRPr="00DB7496">
        <w:t>Note:</w:t>
      </w:r>
      <w:r w:rsidRPr="00DB7496">
        <w:tab/>
        <w:t>For the right or entitlement of a substitute member of the Forum, or a person invited to participate in a meeting of the Forum, to be paid the same rate of travel allowance to attend meetings of the Forum, see subsections 789GZK(3) and 789GZL(4) of the Act.</w:t>
      </w:r>
    </w:p>
    <w:p w14:paraId="1C96936D" w14:textId="77777777" w:rsidR="00416076" w:rsidRPr="00DB7496" w:rsidRDefault="00416076" w:rsidP="00416076">
      <w:pPr>
        <w:pStyle w:val="SubsectionHead"/>
      </w:pPr>
      <w:r w:rsidRPr="00DB7496">
        <w:t>Rates of travel allowance for travel</w:t>
      </w:r>
    </w:p>
    <w:p w14:paraId="57A28248" w14:textId="77777777" w:rsidR="00416076" w:rsidRPr="00DB7496" w:rsidRDefault="00416076" w:rsidP="00416076">
      <w:pPr>
        <w:pStyle w:val="subsection"/>
      </w:pPr>
      <w:r w:rsidRPr="00DB7496">
        <w:tab/>
        <w:t>(2)</w:t>
      </w:r>
      <w:r w:rsidRPr="00DB7496">
        <w:tab/>
        <w:t>The rates of travel allowance are as follows:</w:t>
      </w:r>
    </w:p>
    <w:p w14:paraId="106CDB27" w14:textId="77777777" w:rsidR="00416076" w:rsidRPr="00DB7496" w:rsidRDefault="00416076" w:rsidP="00416076">
      <w:pPr>
        <w:pStyle w:val="paragraph"/>
      </w:pPr>
      <w:r w:rsidRPr="00DB7496">
        <w:tab/>
        <w:t>(a)</w:t>
      </w:r>
      <w:r w:rsidRPr="00DB7496">
        <w:tab/>
        <w:t>for travel by air—the actual amount that is payable for the travel, but not exceeding the amount that is payable for the travel by business class;</w:t>
      </w:r>
    </w:p>
    <w:p w14:paraId="3B201639" w14:textId="77777777" w:rsidR="00416076" w:rsidRPr="00DB7496" w:rsidRDefault="00416076" w:rsidP="00416076">
      <w:pPr>
        <w:pStyle w:val="paragraph"/>
      </w:pPr>
      <w:r w:rsidRPr="00DB7496">
        <w:tab/>
        <w:t>(b)</w:t>
      </w:r>
      <w:r w:rsidRPr="00DB7496">
        <w:tab/>
        <w:t>for travel by the member’s private motor vehicle—the rate of $0.78 per kilometre;</w:t>
      </w:r>
    </w:p>
    <w:p w14:paraId="5901653E" w14:textId="77777777" w:rsidR="00416076" w:rsidRPr="00DB7496" w:rsidRDefault="00416076" w:rsidP="00416076">
      <w:pPr>
        <w:pStyle w:val="paragraph"/>
      </w:pPr>
      <w:r w:rsidRPr="00DB7496">
        <w:tab/>
        <w:t>(c)</w:t>
      </w:r>
      <w:r w:rsidRPr="00DB7496">
        <w:tab/>
        <w:t>for travel by public transport, taxi or similar means—the actual amount that is payable for the travel.</w:t>
      </w:r>
    </w:p>
    <w:p w14:paraId="2595E1E1" w14:textId="77777777" w:rsidR="00416076" w:rsidRPr="00DB7496" w:rsidRDefault="00416076" w:rsidP="00416076">
      <w:pPr>
        <w:pStyle w:val="subsection"/>
      </w:pPr>
      <w:r w:rsidRPr="00DB7496">
        <w:tab/>
        <w:t>(3)</w:t>
      </w:r>
      <w:r w:rsidRPr="00DB7496">
        <w:tab/>
        <w:t xml:space="preserve">However, the rate of travel allowance covered by </w:t>
      </w:r>
      <w:r w:rsidR="0064537B" w:rsidRPr="00DB7496">
        <w:t>paragraph (</w:t>
      </w:r>
      <w:r w:rsidRPr="00DB7496">
        <w:t>2)(c) to attend a meeting of the Forum must not exceed $300.</w:t>
      </w:r>
    </w:p>
    <w:p w14:paraId="02072CDD" w14:textId="77777777" w:rsidR="00416076" w:rsidRPr="00DB7496" w:rsidRDefault="00416076" w:rsidP="00416076">
      <w:pPr>
        <w:pStyle w:val="SubsectionHead"/>
      </w:pPr>
      <w:r w:rsidRPr="00DB7496">
        <w:t>Rates of travel allowance for overnight stays</w:t>
      </w:r>
    </w:p>
    <w:p w14:paraId="6850CFA2" w14:textId="77777777" w:rsidR="00416076" w:rsidRPr="00DB7496" w:rsidRDefault="00416076" w:rsidP="00416076">
      <w:pPr>
        <w:pStyle w:val="subsection"/>
      </w:pPr>
      <w:r w:rsidRPr="00DB7496">
        <w:tab/>
        <w:t>(4)</w:t>
      </w:r>
      <w:r w:rsidRPr="00DB7496">
        <w:tab/>
        <w:t>If the member is necessarily absent overnight from the member’s principal place of residence to attend the meeting of the Forum:</w:t>
      </w:r>
    </w:p>
    <w:p w14:paraId="7F3A6047" w14:textId="77777777" w:rsidR="00416076" w:rsidRPr="00DB7496" w:rsidRDefault="00416076" w:rsidP="00416076">
      <w:pPr>
        <w:pStyle w:val="paragraph"/>
      </w:pPr>
      <w:r w:rsidRPr="00DB7496">
        <w:tab/>
        <w:t>(a)</w:t>
      </w:r>
      <w:r w:rsidRPr="00DB7496">
        <w:tab/>
        <w:t xml:space="preserve">the member is entitled to travel allowance for each night of absence for accommodation, meals and expenses incidental to the travel (the </w:t>
      </w:r>
      <w:r w:rsidRPr="00DB7496">
        <w:rPr>
          <w:b/>
          <w:i/>
        </w:rPr>
        <w:t>travel expenses</w:t>
      </w:r>
      <w:r w:rsidRPr="00DB7496">
        <w:t>); and</w:t>
      </w:r>
    </w:p>
    <w:p w14:paraId="7D8C803F" w14:textId="77777777" w:rsidR="00416076" w:rsidRPr="00DB7496" w:rsidRDefault="00416076" w:rsidP="00416076">
      <w:pPr>
        <w:pStyle w:val="paragraph"/>
      </w:pPr>
      <w:r w:rsidRPr="00DB7496">
        <w:tab/>
        <w:t>(b)</w:t>
      </w:r>
      <w:r w:rsidRPr="00DB7496">
        <w:tab/>
        <w:t>the rate of that allowance is the actual amount that is payable for the travel expenses, but not exceeding the amount worked out for the travel in accordance with the</w:t>
      </w:r>
      <w:r w:rsidRPr="00DB7496">
        <w:rPr>
          <w:i/>
        </w:rPr>
        <w:t xml:space="preserve"> </w:t>
      </w:r>
      <w:r w:rsidRPr="00DB7496">
        <w:t xml:space="preserve">determination titled </w:t>
      </w:r>
      <w:r w:rsidRPr="00DB7496">
        <w:rPr>
          <w:i/>
        </w:rPr>
        <w:t>TD 2022/10</w:t>
      </w:r>
      <w:r w:rsidRPr="00DB7496">
        <w:t xml:space="preserve"> (published by the Australian Taxation Office, as existing on 1 July 2023) as the reasonable amount for domestic travel expenses for a person with a salary between $133,451 and $237,520.</w:t>
      </w:r>
    </w:p>
    <w:p w14:paraId="1220E5DA" w14:textId="77777777" w:rsidR="00416076" w:rsidRPr="00DB7496" w:rsidRDefault="00416076" w:rsidP="00416076">
      <w:pPr>
        <w:pStyle w:val="notetext"/>
      </w:pPr>
      <w:r w:rsidRPr="00DB7496">
        <w:t>Note:</w:t>
      </w:r>
      <w:r w:rsidRPr="00DB7496">
        <w:tab/>
        <w:t>The determination could in 2023 be viewed on the Australian Taxation Office’s website (https://www.ato.gov.au).</w:t>
      </w:r>
    </w:p>
    <w:p w14:paraId="131EA481" w14:textId="77777777" w:rsidR="00416076" w:rsidRPr="00DB7496" w:rsidRDefault="00791B05" w:rsidP="00416076">
      <w:pPr>
        <w:pStyle w:val="ItemHead"/>
      </w:pPr>
      <w:r w:rsidRPr="00DB7496">
        <w:t>10</w:t>
      </w:r>
      <w:r w:rsidR="00416076" w:rsidRPr="00DB7496">
        <w:t xml:space="preserve">  </w:t>
      </w:r>
      <w:r w:rsidR="0064537B" w:rsidRPr="00DB7496">
        <w:t>Part 6</w:t>
      </w:r>
      <w:r w:rsidR="00DB7496">
        <w:noBreakHyphen/>
      </w:r>
      <w:r w:rsidR="00416076" w:rsidRPr="00DB7496">
        <w:t>4D</w:t>
      </w:r>
    </w:p>
    <w:p w14:paraId="1999A735" w14:textId="77777777" w:rsidR="00416076" w:rsidRPr="00DB7496" w:rsidRDefault="00416076" w:rsidP="00416076">
      <w:pPr>
        <w:pStyle w:val="Item"/>
      </w:pPr>
      <w:r w:rsidRPr="00DB7496">
        <w:t xml:space="preserve">Renumber as </w:t>
      </w:r>
      <w:r w:rsidR="0064537B" w:rsidRPr="00DB7496">
        <w:t>Part 6</w:t>
      </w:r>
      <w:r w:rsidR="00DB7496">
        <w:noBreakHyphen/>
      </w:r>
      <w:r w:rsidRPr="00DB7496">
        <w:t>4DA.</w:t>
      </w:r>
    </w:p>
    <w:p w14:paraId="36B05487" w14:textId="77777777" w:rsidR="00976688" w:rsidRPr="00DB7496" w:rsidRDefault="003E1627" w:rsidP="00976688">
      <w:pPr>
        <w:pStyle w:val="ActHead7"/>
        <w:pageBreakBefore/>
      </w:pPr>
      <w:bookmarkStart w:id="30" w:name="_Toc135234398"/>
      <w:r w:rsidRPr="00DE1BCA">
        <w:rPr>
          <w:rStyle w:val="CharAmPartNo"/>
        </w:rPr>
        <w:lastRenderedPageBreak/>
        <w:t>Part 4</w:t>
      </w:r>
      <w:r w:rsidR="00976688" w:rsidRPr="00DB7496">
        <w:t>—</w:t>
      </w:r>
      <w:r w:rsidR="00976688" w:rsidRPr="00DE1BCA">
        <w:rPr>
          <w:rStyle w:val="CharAmPartText"/>
        </w:rPr>
        <w:t>Enterprise agreements</w:t>
      </w:r>
      <w:bookmarkEnd w:id="30"/>
    </w:p>
    <w:p w14:paraId="25A78255" w14:textId="77777777" w:rsidR="00976688" w:rsidRPr="00DB7496" w:rsidRDefault="00976688" w:rsidP="00976688">
      <w:pPr>
        <w:pStyle w:val="ActHead8"/>
      </w:pPr>
      <w:bookmarkStart w:id="31" w:name="_Toc135234399"/>
      <w:r w:rsidRPr="00DB7496">
        <w:t>Division 1—Amendments commencing day after registration</w:t>
      </w:r>
      <w:bookmarkEnd w:id="31"/>
    </w:p>
    <w:p w14:paraId="263FAEB4" w14:textId="77777777" w:rsidR="00976688" w:rsidRPr="00DB7496" w:rsidRDefault="00976688" w:rsidP="00976688">
      <w:pPr>
        <w:pStyle w:val="ActHead9"/>
      </w:pPr>
      <w:bookmarkStart w:id="32" w:name="_Toc135234400"/>
      <w:r w:rsidRPr="00DB7496">
        <w:t xml:space="preserve">Fair Work </w:t>
      </w:r>
      <w:r w:rsidR="00DB7496" w:rsidRPr="00DB7496">
        <w:t>Regulations 2</w:t>
      </w:r>
      <w:r w:rsidRPr="00DB7496">
        <w:t>009</w:t>
      </w:r>
      <w:bookmarkEnd w:id="32"/>
    </w:p>
    <w:p w14:paraId="741DEF3A" w14:textId="77777777" w:rsidR="00976688" w:rsidRPr="00DB7496" w:rsidRDefault="00791B05" w:rsidP="00976688">
      <w:pPr>
        <w:pStyle w:val="ItemHead"/>
      </w:pPr>
      <w:r w:rsidRPr="00DB7496">
        <w:t>11</w:t>
      </w:r>
      <w:r w:rsidR="00976688" w:rsidRPr="00DB7496">
        <w:t xml:space="preserve">  After </w:t>
      </w:r>
      <w:r w:rsidR="00DE5B61" w:rsidRPr="00DB7496">
        <w:t>regulation 2</w:t>
      </w:r>
      <w:r w:rsidR="00C06138" w:rsidRPr="00DB7496">
        <w:t>.09</w:t>
      </w:r>
    </w:p>
    <w:p w14:paraId="3B6F7AFB" w14:textId="77777777" w:rsidR="00976688" w:rsidRPr="00DB7496" w:rsidRDefault="00976688" w:rsidP="00976688">
      <w:pPr>
        <w:pStyle w:val="Item"/>
      </w:pPr>
      <w:r w:rsidRPr="00DB7496">
        <w:t>Insert:</w:t>
      </w:r>
    </w:p>
    <w:p w14:paraId="3ECDD337" w14:textId="77777777" w:rsidR="00976688" w:rsidRPr="00DB7496" w:rsidRDefault="00976688" w:rsidP="00976688">
      <w:pPr>
        <w:pStyle w:val="ActHead3"/>
      </w:pPr>
      <w:bookmarkStart w:id="33" w:name="_Toc135234401"/>
      <w:r w:rsidRPr="00DE1BCA">
        <w:rPr>
          <w:rStyle w:val="CharDivNo"/>
        </w:rPr>
        <w:t>Division 7</w:t>
      </w:r>
      <w:r w:rsidRPr="00DB7496">
        <w:t>—</w:t>
      </w:r>
      <w:r w:rsidRPr="00DE1BCA">
        <w:rPr>
          <w:rStyle w:val="CharDivText"/>
        </w:rPr>
        <w:t>Variation and termination of enterprise agreements</w:t>
      </w:r>
      <w:bookmarkEnd w:id="33"/>
    </w:p>
    <w:p w14:paraId="792CAB43" w14:textId="77777777" w:rsidR="00DB58A4" w:rsidRPr="00DB7496" w:rsidRDefault="00C06138" w:rsidP="00DB58A4">
      <w:pPr>
        <w:pStyle w:val="ActHead4"/>
      </w:pPr>
      <w:bookmarkStart w:id="34" w:name="_Toc135234402"/>
      <w:r w:rsidRPr="00DE1BCA">
        <w:rPr>
          <w:rStyle w:val="CharSubdNo"/>
        </w:rPr>
        <w:t>Subdivision A</w:t>
      </w:r>
      <w:r w:rsidR="00DB58A4" w:rsidRPr="00DB7496">
        <w:t>—</w:t>
      </w:r>
      <w:r w:rsidR="00DB58A4" w:rsidRPr="00DE1BCA">
        <w:rPr>
          <w:rStyle w:val="CharSubdText"/>
        </w:rPr>
        <w:t>Variation of enterprise agreements by employers and employees: general circumstances</w:t>
      </w:r>
      <w:bookmarkEnd w:id="34"/>
    </w:p>
    <w:p w14:paraId="41B311B7" w14:textId="77777777" w:rsidR="00C06138" w:rsidRPr="00DB7496" w:rsidRDefault="00791B05" w:rsidP="00DB58A4">
      <w:pPr>
        <w:pStyle w:val="ItemHead"/>
      </w:pPr>
      <w:r w:rsidRPr="00DB7496">
        <w:t>12</w:t>
      </w:r>
      <w:r w:rsidR="00DB58A4" w:rsidRPr="00DB7496">
        <w:t xml:space="preserve">  After </w:t>
      </w:r>
      <w:r w:rsidR="00DE5B61" w:rsidRPr="00DB7496">
        <w:t>regulation 2</w:t>
      </w:r>
      <w:r w:rsidR="00DB58A4" w:rsidRPr="00DB7496">
        <w:t>.10</w:t>
      </w:r>
    </w:p>
    <w:p w14:paraId="0DBB745F" w14:textId="77777777" w:rsidR="00DB58A4" w:rsidRPr="00DB7496" w:rsidRDefault="00DB58A4" w:rsidP="00DB58A4">
      <w:pPr>
        <w:pStyle w:val="Item"/>
      </w:pPr>
      <w:r w:rsidRPr="00DB7496">
        <w:t>Insert:</w:t>
      </w:r>
    </w:p>
    <w:p w14:paraId="6B6C20A6" w14:textId="77777777" w:rsidR="00976688" w:rsidRPr="00DB7496" w:rsidRDefault="00976688" w:rsidP="00976688">
      <w:pPr>
        <w:pStyle w:val="ActHead4"/>
      </w:pPr>
      <w:bookmarkStart w:id="35" w:name="_Toc135234403"/>
      <w:r w:rsidRPr="00DE1BCA">
        <w:rPr>
          <w:rStyle w:val="CharSubdNo"/>
        </w:rPr>
        <w:t>Subdivision D</w:t>
      </w:r>
      <w:r w:rsidRPr="00DB7496">
        <w:t>—</w:t>
      </w:r>
      <w:r w:rsidRPr="00DE1BCA">
        <w:rPr>
          <w:rStyle w:val="CharSubdText"/>
        </w:rPr>
        <w:t>Termination of enterprise agreements after nominal expiry date</w:t>
      </w:r>
      <w:bookmarkEnd w:id="35"/>
    </w:p>
    <w:p w14:paraId="2E2D6CBA" w14:textId="77777777" w:rsidR="00976688" w:rsidRPr="00DB7496" w:rsidRDefault="00976688" w:rsidP="00976688">
      <w:pPr>
        <w:pStyle w:val="ActHead5"/>
      </w:pPr>
      <w:bookmarkStart w:id="36" w:name="_Toc135234404"/>
      <w:r w:rsidRPr="00DE1BCA">
        <w:rPr>
          <w:rStyle w:val="CharSectno"/>
        </w:rPr>
        <w:t>2.10</w:t>
      </w:r>
      <w:r w:rsidR="00CF2FC9" w:rsidRPr="00DE1BCA">
        <w:rPr>
          <w:rStyle w:val="CharSectno"/>
        </w:rPr>
        <w:t>H</w:t>
      </w:r>
      <w:r w:rsidRPr="00DB7496">
        <w:t xml:space="preserve">  Requirements for signing guarantee of termination entitlements</w:t>
      </w:r>
      <w:bookmarkEnd w:id="36"/>
    </w:p>
    <w:p w14:paraId="1FB0EF1E" w14:textId="77777777" w:rsidR="00976688" w:rsidRPr="00DB7496" w:rsidRDefault="00976688" w:rsidP="00976688">
      <w:pPr>
        <w:pStyle w:val="subsection"/>
      </w:pPr>
      <w:r w:rsidRPr="00DB7496">
        <w:tab/>
        <w:t>(1)</w:t>
      </w:r>
      <w:r w:rsidRPr="00DB7496">
        <w:tab/>
        <w:t xml:space="preserve">For the purposes of </w:t>
      </w:r>
      <w:r w:rsidR="00DE5B61" w:rsidRPr="00DB7496">
        <w:t>paragraph 2</w:t>
      </w:r>
      <w:r w:rsidRPr="00DB7496">
        <w:t>26A(1)(c) of the Act, this regulation prescribes requirements relating to the signing of a guarantee of termination entitlements given by an employer covered by an enterprise agreement.</w:t>
      </w:r>
    </w:p>
    <w:p w14:paraId="61D219AE" w14:textId="77777777" w:rsidR="00976688" w:rsidRPr="00DB7496" w:rsidRDefault="00976688" w:rsidP="00976688">
      <w:pPr>
        <w:pStyle w:val="subsection"/>
      </w:pPr>
      <w:r w:rsidRPr="00DB7496">
        <w:tab/>
        <w:t>(2)</w:t>
      </w:r>
      <w:r w:rsidRPr="00DB7496">
        <w:tab/>
        <w:t xml:space="preserve">The guarantee must </w:t>
      </w:r>
      <w:r w:rsidR="00D44754" w:rsidRPr="00DB7496">
        <w:t xml:space="preserve">be </w:t>
      </w:r>
      <w:r w:rsidRPr="00DB7496">
        <w:t>signed by the employer.</w:t>
      </w:r>
    </w:p>
    <w:p w14:paraId="54300280" w14:textId="77777777" w:rsidR="00976688" w:rsidRPr="00DB7496" w:rsidRDefault="00976688" w:rsidP="00976688">
      <w:pPr>
        <w:pStyle w:val="subsection"/>
      </w:pPr>
      <w:r w:rsidRPr="00DB7496">
        <w:tab/>
        <w:t>(3)</w:t>
      </w:r>
      <w:r w:rsidRPr="00DB7496">
        <w:tab/>
        <w:t>The guarantee must include, for each person who signs the guarantee:</w:t>
      </w:r>
    </w:p>
    <w:p w14:paraId="50DCBD9E" w14:textId="77777777" w:rsidR="00976688" w:rsidRPr="00DB7496" w:rsidRDefault="00976688" w:rsidP="00976688">
      <w:pPr>
        <w:pStyle w:val="paragraph"/>
      </w:pPr>
      <w:r w:rsidRPr="00DB7496">
        <w:tab/>
        <w:t>(a)</w:t>
      </w:r>
      <w:r w:rsidRPr="00DB7496">
        <w:tab/>
        <w:t>the full name and address of the person; and</w:t>
      </w:r>
    </w:p>
    <w:p w14:paraId="3F633D6D" w14:textId="77777777" w:rsidR="00976688" w:rsidRPr="00DB7496" w:rsidRDefault="00976688" w:rsidP="00976688">
      <w:pPr>
        <w:pStyle w:val="paragraph"/>
      </w:pPr>
      <w:r w:rsidRPr="00DB7496">
        <w:tab/>
        <w:t>(b)</w:t>
      </w:r>
      <w:r w:rsidRPr="00DB7496">
        <w:tab/>
        <w:t>an explanation of the person’s authority to sign the guarantee.</w:t>
      </w:r>
    </w:p>
    <w:p w14:paraId="5D384F12" w14:textId="77777777" w:rsidR="00976688" w:rsidRPr="00DB7496" w:rsidRDefault="003E1627" w:rsidP="00976688">
      <w:pPr>
        <w:pStyle w:val="ActHead8"/>
        <w:pageBreakBefore/>
      </w:pPr>
      <w:bookmarkStart w:id="37" w:name="_Toc135234405"/>
      <w:r w:rsidRPr="00DB7496">
        <w:lastRenderedPageBreak/>
        <w:t>Division 2</w:t>
      </w:r>
      <w:r w:rsidR="00976688" w:rsidRPr="00DB7496">
        <w:t>—Amendments commencing later</w:t>
      </w:r>
      <w:bookmarkEnd w:id="37"/>
    </w:p>
    <w:p w14:paraId="543E4286" w14:textId="77777777" w:rsidR="00976688" w:rsidRPr="00DB7496" w:rsidRDefault="00976688" w:rsidP="00976688">
      <w:pPr>
        <w:pStyle w:val="ActHead9"/>
      </w:pPr>
      <w:bookmarkStart w:id="38" w:name="_Toc135234406"/>
      <w:r w:rsidRPr="00DB7496">
        <w:t xml:space="preserve">Fair Work </w:t>
      </w:r>
      <w:r w:rsidR="00DB7496" w:rsidRPr="00DB7496">
        <w:t>Regulations 2</w:t>
      </w:r>
      <w:r w:rsidRPr="00DB7496">
        <w:t>009</w:t>
      </w:r>
      <w:bookmarkEnd w:id="38"/>
    </w:p>
    <w:p w14:paraId="738AF87A" w14:textId="77777777" w:rsidR="00976688" w:rsidRPr="00DB7496" w:rsidRDefault="00791B05" w:rsidP="00976688">
      <w:pPr>
        <w:pStyle w:val="ItemHead"/>
      </w:pPr>
      <w:r w:rsidRPr="00DB7496">
        <w:t>13</w:t>
      </w:r>
      <w:r w:rsidR="00976688" w:rsidRPr="00DB7496">
        <w:t xml:space="preserve">  Before Subdivision D of Division 7 of </w:t>
      </w:r>
      <w:r w:rsidR="00DE5B61" w:rsidRPr="00DB7496">
        <w:t>Part 2</w:t>
      </w:r>
      <w:r w:rsidR="00DB7496">
        <w:noBreakHyphen/>
      </w:r>
      <w:r w:rsidR="00976688" w:rsidRPr="00DB7496">
        <w:t>4</w:t>
      </w:r>
    </w:p>
    <w:p w14:paraId="356B4C71" w14:textId="77777777" w:rsidR="00976688" w:rsidRPr="00DB7496" w:rsidRDefault="00976688" w:rsidP="00976688">
      <w:pPr>
        <w:pStyle w:val="Item"/>
      </w:pPr>
      <w:r w:rsidRPr="00DB7496">
        <w:t>Insert:</w:t>
      </w:r>
    </w:p>
    <w:p w14:paraId="70606915" w14:textId="77777777" w:rsidR="004F7007" w:rsidRPr="00DB7496" w:rsidRDefault="004F7007" w:rsidP="004F7007">
      <w:pPr>
        <w:pStyle w:val="ActHead5"/>
      </w:pPr>
      <w:bookmarkStart w:id="39" w:name="_Toc135234407"/>
      <w:bookmarkStart w:id="40" w:name="_Hlk134635741"/>
      <w:r w:rsidRPr="00DE1BCA">
        <w:rPr>
          <w:rStyle w:val="CharSectno"/>
        </w:rPr>
        <w:t>2.10A</w:t>
      </w:r>
      <w:r w:rsidRPr="00DB7496">
        <w:t xml:space="preserve">  </w:t>
      </w:r>
      <w:r w:rsidR="002934E8" w:rsidRPr="00DB7496">
        <w:t>Approval of variations of enterprise agreements—m</w:t>
      </w:r>
      <w:r w:rsidRPr="00DB7496">
        <w:t xml:space="preserve">odification of requirement </w:t>
      </w:r>
      <w:r w:rsidR="004C0FF0" w:rsidRPr="00DB7496">
        <w:t>to take into account statement of principle</w:t>
      </w:r>
      <w:r w:rsidR="002934E8" w:rsidRPr="00DB7496">
        <w:t>s</w:t>
      </w:r>
      <w:r w:rsidR="00310F5E" w:rsidRPr="00DB7496">
        <w:t xml:space="preserve"> on genuine agreement</w:t>
      </w:r>
      <w:bookmarkEnd w:id="39"/>
    </w:p>
    <w:p w14:paraId="3DAC4942" w14:textId="77777777" w:rsidR="004C0FF0" w:rsidRPr="00DB7496" w:rsidRDefault="00530492" w:rsidP="00D02B91">
      <w:pPr>
        <w:pStyle w:val="subsection"/>
      </w:pPr>
      <w:r w:rsidRPr="00DB7496">
        <w:tab/>
        <w:t>(1)</w:t>
      </w:r>
      <w:r w:rsidRPr="00DB7496">
        <w:tab/>
        <w:t xml:space="preserve">For the purposes of </w:t>
      </w:r>
      <w:r w:rsidR="00DE5B61" w:rsidRPr="00DB7496">
        <w:t>subsection 2</w:t>
      </w:r>
      <w:r w:rsidR="00D02B91" w:rsidRPr="00DB7496">
        <w:t xml:space="preserve">11(6) of the Act, </w:t>
      </w:r>
      <w:r w:rsidR="00DE5B61" w:rsidRPr="00DB7496">
        <w:t>section 1</w:t>
      </w:r>
      <w:r w:rsidR="004C0FF0" w:rsidRPr="00DB7496">
        <w:t xml:space="preserve">88 of the Act has effect with the modifications prescribed by this regulation for the purpose of the </w:t>
      </w:r>
      <w:proofErr w:type="spellStart"/>
      <w:r w:rsidR="004C0FF0" w:rsidRPr="00DB7496">
        <w:t>FWC</w:t>
      </w:r>
      <w:proofErr w:type="spellEnd"/>
      <w:r w:rsidR="004C0FF0" w:rsidRPr="00DB7496">
        <w:t xml:space="preserve"> deciding</w:t>
      </w:r>
      <w:r w:rsidR="00A258A8" w:rsidRPr="00DB7496">
        <w:t>, in considering an application for the approval of a variation of an enterprise agreement,</w:t>
      </w:r>
      <w:r w:rsidR="004C0FF0" w:rsidRPr="00DB7496">
        <w:t xml:space="preserve"> whether it is satisfied of the matter referred to in </w:t>
      </w:r>
      <w:r w:rsidR="00DE5B61" w:rsidRPr="00DB7496">
        <w:t>paragraph 2</w:t>
      </w:r>
      <w:r w:rsidR="004C0FF0" w:rsidRPr="00DB7496">
        <w:t>11(1)(a) of the Act.</w:t>
      </w:r>
    </w:p>
    <w:p w14:paraId="158341EB" w14:textId="77777777" w:rsidR="00D02B91" w:rsidRPr="00DB7496" w:rsidRDefault="004C0FF0" w:rsidP="004C0FF0">
      <w:pPr>
        <w:pStyle w:val="subsection"/>
      </w:pPr>
      <w:r w:rsidRPr="00DB7496">
        <w:tab/>
      </w:r>
      <w:r w:rsidR="00D02B91" w:rsidRPr="00DB7496">
        <w:t>(2)</w:t>
      </w:r>
      <w:r w:rsidRPr="00DB7496">
        <w:tab/>
      </w:r>
      <w:r w:rsidR="00D02B91" w:rsidRPr="00DB7496">
        <w:t xml:space="preserve">In taking into account the statement of principles made under </w:t>
      </w:r>
      <w:r w:rsidR="00DE5B61" w:rsidRPr="00DB7496">
        <w:t>section 1</w:t>
      </w:r>
      <w:r w:rsidR="00D02B91" w:rsidRPr="00DB7496">
        <w:t>88B</w:t>
      </w:r>
      <w:r w:rsidRPr="00DB7496">
        <w:t xml:space="preserve"> of the Act</w:t>
      </w:r>
      <w:r w:rsidR="00D02B91" w:rsidRPr="00DB7496">
        <w:t>:</w:t>
      </w:r>
    </w:p>
    <w:p w14:paraId="67849F26" w14:textId="77777777" w:rsidR="00D02B91" w:rsidRPr="00DB7496" w:rsidRDefault="00D02B91" w:rsidP="00D02B91">
      <w:pPr>
        <w:pStyle w:val="paragraph"/>
      </w:pPr>
      <w:r w:rsidRPr="00DB7496">
        <w:tab/>
        <w:t>(a)</w:t>
      </w:r>
      <w:r w:rsidRPr="00DB7496">
        <w:tab/>
        <w:t xml:space="preserve">the </w:t>
      </w:r>
      <w:r w:rsidR="005F50DA">
        <w:t xml:space="preserve">matter </w:t>
      </w:r>
      <w:r w:rsidR="00CF31C0">
        <w:t>mentioned</w:t>
      </w:r>
      <w:r w:rsidR="00297CEF">
        <w:t xml:space="preserve"> in </w:t>
      </w:r>
      <w:r w:rsidRPr="00DB7496">
        <w:t>paragraph 188B(3)(b)</w:t>
      </w:r>
      <w:r w:rsidR="004C0FF0" w:rsidRPr="00DB7496">
        <w:t xml:space="preserve"> of the Act</w:t>
      </w:r>
      <w:r w:rsidR="006B149F">
        <w:t xml:space="preserve"> is taken to be a matter </w:t>
      </w:r>
      <w:r w:rsidR="006C7FB8">
        <w:t>relating</w:t>
      </w:r>
      <w:r w:rsidR="006B149F">
        <w:t xml:space="preserve"> to the </w:t>
      </w:r>
      <w:r w:rsidR="00CF31C0">
        <w:t>capacity</w:t>
      </w:r>
      <w:r w:rsidR="006B149F">
        <w:t xml:space="preserve"> of employees to be represented</w:t>
      </w:r>
      <w:r w:rsidR="00CF31C0">
        <w:t xml:space="preserve"> in relation to the proposed variation of the enterprise agreement</w:t>
      </w:r>
      <w:r w:rsidRPr="00DB7496">
        <w:t>; and</w:t>
      </w:r>
    </w:p>
    <w:p w14:paraId="65DA5948" w14:textId="77777777" w:rsidR="0037326B" w:rsidRPr="00DB7496" w:rsidRDefault="00D02B91" w:rsidP="0037326B">
      <w:pPr>
        <w:pStyle w:val="paragraph"/>
      </w:pPr>
      <w:r w:rsidRPr="00DB7496">
        <w:tab/>
        <w:t>(b)</w:t>
      </w:r>
      <w:r w:rsidRPr="00DB7496">
        <w:tab/>
        <w:t>the matters mentioned in paragraphs 188B(3)</w:t>
      </w:r>
      <w:r w:rsidR="00391740">
        <w:t xml:space="preserve">(a), </w:t>
      </w:r>
      <w:r w:rsidRPr="00DB7496">
        <w:t>(c)</w:t>
      </w:r>
      <w:r w:rsidR="0037326B" w:rsidRPr="00DB7496">
        <w:t xml:space="preserve">, </w:t>
      </w:r>
      <w:r w:rsidRPr="00DB7496">
        <w:t xml:space="preserve">(d) </w:t>
      </w:r>
      <w:r w:rsidR="0037326B" w:rsidRPr="00DB7496">
        <w:t xml:space="preserve">and (e) </w:t>
      </w:r>
      <w:r w:rsidR="004C0FF0" w:rsidRPr="00DB7496">
        <w:t xml:space="preserve">of the Act </w:t>
      </w:r>
      <w:r w:rsidRPr="00DB7496">
        <w:t xml:space="preserve">are taken to be matters relating to </w:t>
      </w:r>
      <w:r w:rsidR="00FD042E" w:rsidRPr="00DB7496">
        <w:t>the</w:t>
      </w:r>
      <w:r w:rsidRPr="00DB7496">
        <w:t xml:space="preserve"> </w:t>
      </w:r>
      <w:r w:rsidR="0037326B" w:rsidRPr="00DB7496">
        <w:t xml:space="preserve">proposed </w:t>
      </w:r>
      <w:r w:rsidR="00D55815" w:rsidRPr="00DB7496">
        <w:t>variation</w:t>
      </w:r>
      <w:r w:rsidR="00A520E0" w:rsidRPr="00DB7496">
        <w:t xml:space="preserve"> of the </w:t>
      </w:r>
      <w:r w:rsidR="00DD3610" w:rsidRPr="00DB7496">
        <w:t xml:space="preserve">enterprise </w:t>
      </w:r>
      <w:r w:rsidR="00A520E0" w:rsidRPr="00DB7496">
        <w:t>agreement</w:t>
      </w:r>
      <w:r w:rsidR="0037326B" w:rsidRPr="00DB7496">
        <w:t>.</w:t>
      </w:r>
    </w:p>
    <w:p w14:paraId="04A00F41" w14:textId="77777777" w:rsidR="00976688" w:rsidRPr="00DB7496" w:rsidRDefault="00976688" w:rsidP="00976688">
      <w:pPr>
        <w:pStyle w:val="ActHead4"/>
      </w:pPr>
      <w:bookmarkStart w:id="41" w:name="_Toc135234408"/>
      <w:bookmarkEnd w:id="40"/>
      <w:r w:rsidRPr="00DE1BCA">
        <w:rPr>
          <w:rStyle w:val="CharSubdNo"/>
        </w:rPr>
        <w:t>Subdivision AA</w:t>
      </w:r>
      <w:r w:rsidRPr="00DB7496">
        <w:t>—</w:t>
      </w:r>
      <w:r w:rsidRPr="00DE1BCA">
        <w:rPr>
          <w:rStyle w:val="CharSubdText"/>
        </w:rPr>
        <w:t>Variation of supported bargaining agreement to add employer and employees (with consent)</w:t>
      </w:r>
      <w:bookmarkEnd w:id="41"/>
    </w:p>
    <w:p w14:paraId="0B75D9E7" w14:textId="77777777" w:rsidR="00976688" w:rsidRPr="00DB7496" w:rsidRDefault="00976688" w:rsidP="00976688">
      <w:pPr>
        <w:pStyle w:val="ActHead5"/>
      </w:pPr>
      <w:bookmarkStart w:id="42" w:name="_Toc135234409"/>
      <w:r w:rsidRPr="00DE1BCA">
        <w:rPr>
          <w:rStyle w:val="CharSectno"/>
        </w:rPr>
        <w:t>2.10</w:t>
      </w:r>
      <w:r w:rsidR="00CF2FC9" w:rsidRPr="00DE1BCA">
        <w:rPr>
          <w:rStyle w:val="CharSectno"/>
        </w:rPr>
        <w:t>B</w:t>
      </w:r>
      <w:r w:rsidRPr="00DB7496">
        <w:t xml:space="preserve">  Requirements for signing variations of supported bargaining agreements to add employer and employees (with consent)</w:t>
      </w:r>
      <w:bookmarkEnd w:id="42"/>
    </w:p>
    <w:p w14:paraId="4335299E" w14:textId="77777777" w:rsidR="00976688" w:rsidRPr="00DB7496" w:rsidRDefault="00976688" w:rsidP="00976688">
      <w:pPr>
        <w:pStyle w:val="subsection"/>
      </w:pPr>
      <w:r w:rsidRPr="00DB7496">
        <w:tab/>
        <w:t>(1)</w:t>
      </w:r>
      <w:r w:rsidRPr="00DB7496">
        <w:tab/>
        <w:t xml:space="preserve">For the purposes of </w:t>
      </w:r>
      <w:r w:rsidR="00DE5B61" w:rsidRPr="00DB7496">
        <w:t>subsection 2</w:t>
      </w:r>
      <w:r w:rsidRPr="00DB7496">
        <w:t>16AA(4) of the Act, this regulation prescribes requirements relating to the signing of a variation of a supported bargaining agreement made jointly under section 216A of the Act by the employer who will be covered by the agreement if the variation is approved and the affected employees for the variation.</w:t>
      </w:r>
    </w:p>
    <w:p w14:paraId="698A5CCD" w14:textId="77777777" w:rsidR="00976688" w:rsidRPr="00DB7496" w:rsidRDefault="00976688" w:rsidP="00976688">
      <w:pPr>
        <w:pStyle w:val="notetext"/>
      </w:pPr>
      <w:r w:rsidRPr="00DB7496">
        <w:t>Note:</w:t>
      </w:r>
      <w:r w:rsidRPr="00DB7496">
        <w:tab/>
        <w:t xml:space="preserve">Paragraph 216AA(2)(a) of the Act requires an application for approval of </w:t>
      </w:r>
      <w:r w:rsidR="00372FC8" w:rsidRPr="00DB7496">
        <w:t>a</w:t>
      </w:r>
      <w:r w:rsidRPr="00DB7496">
        <w:t xml:space="preserve"> variation </w:t>
      </w:r>
      <w:r w:rsidR="00372FC8" w:rsidRPr="00DB7496">
        <w:t xml:space="preserve">of a supported bargaining agreement to add an employer and employees </w:t>
      </w:r>
      <w:r w:rsidRPr="00DB7496">
        <w:t>to be accompanied by a signed copy of the variation.</w:t>
      </w:r>
    </w:p>
    <w:p w14:paraId="7C170C78" w14:textId="77777777" w:rsidR="00976688" w:rsidRPr="00DB7496" w:rsidRDefault="00976688" w:rsidP="00976688">
      <w:pPr>
        <w:pStyle w:val="subsection"/>
      </w:pPr>
      <w:r w:rsidRPr="00DB7496">
        <w:tab/>
        <w:t>(2)</w:t>
      </w:r>
      <w:r w:rsidRPr="00DB7496">
        <w:tab/>
        <w:t>The variation must be signed by the following:</w:t>
      </w:r>
    </w:p>
    <w:p w14:paraId="1B465C4B" w14:textId="77777777" w:rsidR="00976688" w:rsidRPr="00DB7496" w:rsidRDefault="00976688" w:rsidP="00976688">
      <w:pPr>
        <w:pStyle w:val="paragraph"/>
      </w:pPr>
      <w:r w:rsidRPr="00DB7496">
        <w:tab/>
        <w:t>(a)</w:t>
      </w:r>
      <w:r w:rsidRPr="00DB7496">
        <w:tab/>
        <w:t>the employer</w:t>
      </w:r>
      <w:r w:rsidR="002F5147" w:rsidRPr="00DB7496">
        <w:t xml:space="preserve"> or a </w:t>
      </w:r>
      <w:r w:rsidR="008F30F3" w:rsidRPr="00DB7496">
        <w:t xml:space="preserve">person </w:t>
      </w:r>
      <w:r w:rsidR="009706BB">
        <w:t>authorised by the employer to sign the variation on the employer’s behalf</w:t>
      </w:r>
      <w:r w:rsidRPr="00DB7496">
        <w:t>;</w:t>
      </w:r>
    </w:p>
    <w:p w14:paraId="754F7718" w14:textId="77777777" w:rsidR="00976688" w:rsidRPr="00DB7496" w:rsidRDefault="00976688" w:rsidP="00976688">
      <w:pPr>
        <w:pStyle w:val="paragraph"/>
      </w:pPr>
      <w:r w:rsidRPr="00DB7496">
        <w:tab/>
        <w:t>(b)</w:t>
      </w:r>
      <w:r w:rsidRPr="00DB7496">
        <w:tab/>
        <w:t>at least 1 representative of the affected employees.</w:t>
      </w:r>
    </w:p>
    <w:p w14:paraId="0498C95C" w14:textId="77777777" w:rsidR="00976688" w:rsidRPr="00DB7496" w:rsidRDefault="00976688" w:rsidP="00976688">
      <w:pPr>
        <w:pStyle w:val="subsection"/>
      </w:pPr>
      <w:r w:rsidRPr="00DB7496">
        <w:tab/>
        <w:t>(3)</w:t>
      </w:r>
      <w:r w:rsidRPr="00DB7496">
        <w:tab/>
        <w:t>The variation must include, for each person who signs the variation:</w:t>
      </w:r>
    </w:p>
    <w:p w14:paraId="747188CA" w14:textId="77777777" w:rsidR="00976688" w:rsidRPr="00DB7496" w:rsidRDefault="00976688" w:rsidP="00976688">
      <w:pPr>
        <w:pStyle w:val="paragraph"/>
      </w:pPr>
      <w:r w:rsidRPr="00DB7496">
        <w:tab/>
        <w:t>(a)</w:t>
      </w:r>
      <w:r w:rsidRPr="00DB7496">
        <w:tab/>
        <w:t>the full name and address of the person; and</w:t>
      </w:r>
    </w:p>
    <w:p w14:paraId="42999A54" w14:textId="77777777" w:rsidR="00976688" w:rsidRPr="00DB7496" w:rsidRDefault="00976688" w:rsidP="00976688">
      <w:pPr>
        <w:pStyle w:val="paragraph"/>
      </w:pPr>
      <w:r w:rsidRPr="00DB7496">
        <w:tab/>
        <w:t>(b)</w:t>
      </w:r>
      <w:r w:rsidRPr="00DB7496">
        <w:tab/>
        <w:t>an explanation of the person’s authority to sign the variation.</w:t>
      </w:r>
    </w:p>
    <w:p w14:paraId="19C2668E" w14:textId="77777777" w:rsidR="003014E3" w:rsidRPr="00DB7496" w:rsidRDefault="003014E3" w:rsidP="003014E3">
      <w:pPr>
        <w:pStyle w:val="subsection"/>
      </w:pPr>
      <w:r w:rsidRPr="00DB7496">
        <w:lastRenderedPageBreak/>
        <w:tab/>
        <w:t>(4)</w:t>
      </w:r>
      <w:r w:rsidRPr="00DB7496">
        <w:tab/>
        <w:t>Unless the representative of the affected employees is an affected employee, the representative’s signature is not taken to indicate that the representative intends to be bound by the agreement as varied.</w:t>
      </w:r>
    </w:p>
    <w:p w14:paraId="51E5077D" w14:textId="77777777" w:rsidR="00976688" w:rsidRPr="00DB7496" w:rsidRDefault="00976688" w:rsidP="00976688">
      <w:pPr>
        <w:pStyle w:val="ActHead4"/>
      </w:pPr>
      <w:bookmarkStart w:id="43" w:name="_Toc135234410"/>
      <w:r w:rsidRPr="00DE1BCA">
        <w:rPr>
          <w:rStyle w:val="CharSubdNo"/>
        </w:rPr>
        <w:t>Subdivision AB</w:t>
      </w:r>
      <w:r w:rsidRPr="00DB7496">
        <w:t>—</w:t>
      </w:r>
      <w:r w:rsidRPr="00DE1BCA">
        <w:rPr>
          <w:rStyle w:val="CharSubdText"/>
        </w:rPr>
        <w:t>Variation of supported bargaining agreement to add employer and employees (without consent)</w:t>
      </w:r>
      <w:bookmarkEnd w:id="43"/>
    </w:p>
    <w:p w14:paraId="5A5D1F33" w14:textId="77777777" w:rsidR="00976688" w:rsidRPr="00DB7496" w:rsidRDefault="00976688" w:rsidP="00976688">
      <w:pPr>
        <w:pStyle w:val="ActHead5"/>
      </w:pPr>
      <w:bookmarkStart w:id="44" w:name="_Toc135234411"/>
      <w:r w:rsidRPr="00DE1BCA">
        <w:rPr>
          <w:rStyle w:val="CharSectno"/>
        </w:rPr>
        <w:t>2.10</w:t>
      </w:r>
      <w:r w:rsidR="00CF2FC9" w:rsidRPr="00DE1BCA">
        <w:rPr>
          <w:rStyle w:val="CharSectno"/>
        </w:rPr>
        <w:t>C</w:t>
      </w:r>
      <w:r w:rsidRPr="00DB7496">
        <w:t xml:space="preserve">  Requirements for signing variations of supported bargaining agreements to add employer and employees (without consent)</w:t>
      </w:r>
      <w:bookmarkEnd w:id="44"/>
    </w:p>
    <w:p w14:paraId="4182CABC" w14:textId="77777777" w:rsidR="00976688" w:rsidRPr="00DB7496" w:rsidRDefault="00976688" w:rsidP="00976688">
      <w:pPr>
        <w:pStyle w:val="subsection"/>
      </w:pPr>
      <w:r w:rsidRPr="00DB7496">
        <w:tab/>
        <w:t>(1)</w:t>
      </w:r>
      <w:r w:rsidRPr="00DB7496">
        <w:tab/>
        <w:t xml:space="preserve">For the purposes of </w:t>
      </w:r>
      <w:r w:rsidR="00DE5B61" w:rsidRPr="00DB7496">
        <w:t>subsection 2</w:t>
      </w:r>
      <w:r w:rsidRPr="00DB7496">
        <w:t>16B(3) of the Act, this regulation prescribes requirements relating to the signing of a variation of a supported bargaining agreement proposed by an employee organisation that is covered by the agreement.</w:t>
      </w:r>
    </w:p>
    <w:p w14:paraId="51A854A7" w14:textId="77777777" w:rsidR="00976688" w:rsidRPr="00DB7496" w:rsidRDefault="00976688" w:rsidP="00976688">
      <w:pPr>
        <w:pStyle w:val="notetext"/>
      </w:pPr>
      <w:r w:rsidRPr="00DB7496">
        <w:t>Note:</w:t>
      </w:r>
      <w:r w:rsidRPr="00DB7496">
        <w:tab/>
        <w:t xml:space="preserve">Paragraph 216B(2)(a) of the Act requires an application for approval of </w:t>
      </w:r>
      <w:r w:rsidR="00372FC8" w:rsidRPr="00DB7496">
        <w:t xml:space="preserve">a variation of a supported bargaining agreement to add an employer and employees </w:t>
      </w:r>
      <w:r w:rsidRPr="00DB7496">
        <w:t>to be accompanied by a signed copy of the variation.</w:t>
      </w:r>
    </w:p>
    <w:p w14:paraId="41C47A03" w14:textId="77777777" w:rsidR="00976688" w:rsidRPr="00DB7496" w:rsidRDefault="00976688" w:rsidP="00976688">
      <w:pPr>
        <w:pStyle w:val="subsection"/>
      </w:pPr>
      <w:r w:rsidRPr="00DB7496">
        <w:tab/>
        <w:t>(2)</w:t>
      </w:r>
      <w:r w:rsidRPr="00DB7496">
        <w:tab/>
        <w:t>The variation must be signed by the employee organisation.</w:t>
      </w:r>
    </w:p>
    <w:p w14:paraId="29899BC9" w14:textId="77777777" w:rsidR="00976688" w:rsidRPr="00DB7496" w:rsidRDefault="00976688" w:rsidP="00976688">
      <w:pPr>
        <w:pStyle w:val="subsection"/>
      </w:pPr>
      <w:r w:rsidRPr="00DB7496">
        <w:tab/>
        <w:t>(3)</w:t>
      </w:r>
      <w:r w:rsidRPr="00DB7496">
        <w:tab/>
        <w:t>The variation must include, for each person who signs the variation:</w:t>
      </w:r>
    </w:p>
    <w:p w14:paraId="1F2A2791" w14:textId="77777777" w:rsidR="00976688" w:rsidRPr="00DB7496" w:rsidRDefault="00976688" w:rsidP="00976688">
      <w:pPr>
        <w:pStyle w:val="paragraph"/>
      </w:pPr>
      <w:r w:rsidRPr="00DB7496">
        <w:tab/>
        <w:t>(a)</w:t>
      </w:r>
      <w:r w:rsidRPr="00DB7496">
        <w:tab/>
        <w:t>the full name and address of the person; and</w:t>
      </w:r>
    </w:p>
    <w:p w14:paraId="2F3CAC56" w14:textId="77777777" w:rsidR="00976688" w:rsidRPr="00DB7496" w:rsidRDefault="00976688" w:rsidP="00976688">
      <w:pPr>
        <w:pStyle w:val="paragraph"/>
      </w:pPr>
      <w:r w:rsidRPr="00DB7496">
        <w:tab/>
        <w:t>(b)</w:t>
      </w:r>
      <w:r w:rsidRPr="00DB7496">
        <w:tab/>
        <w:t>an explanation of the person’s authority to sign the variation.</w:t>
      </w:r>
    </w:p>
    <w:p w14:paraId="45AC1DBB" w14:textId="77777777" w:rsidR="00976688" w:rsidRPr="00DB7496" w:rsidRDefault="00976688" w:rsidP="00976688">
      <w:pPr>
        <w:pStyle w:val="ActHead4"/>
      </w:pPr>
      <w:bookmarkStart w:id="45" w:name="_Toc135234412"/>
      <w:r w:rsidRPr="00DE1BCA">
        <w:rPr>
          <w:rStyle w:val="CharSubdNo"/>
        </w:rPr>
        <w:t>Subdivision AC</w:t>
      </w:r>
      <w:r w:rsidRPr="00DB7496">
        <w:t>—</w:t>
      </w:r>
      <w:r w:rsidRPr="00DE1BCA">
        <w:rPr>
          <w:rStyle w:val="CharSubdText"/>
        </w:rPr>
        <w:t>Variation of cooperative workplace agreement to add employer and employees</w:t>
      </w:r>
      <w:bookmarkEnd w:id="45"/>
    </w:p>
    <w:p w14:paraId="76FD7B80" w14:textId="77777777" w:rsidR="00976688" w:rsidRPr="00DB7496" w:rsidRDefault="00976688" w:rsidP="00976688">
      <w:pPr>
        <w:pStyle w:val="ActHead5"/>
      </w:pPr>
      <w:bookmarkStart w:id="46" w:name="_Toc135234413"/>
      <w:r w:rsidRPr="00DE1BCA">
        <w:rPr>
          <w:rStyle w:val="CharSectno"/>
        </w:rPr>
        <w:t>2.10</w:t>
      </w:r>
      <w:r w:rsidR="00CF2FC9" w:rsidRPr="00DE1BCA">
        <w:rPr>
          <w:rStyle w:val="CharSectno"/>
        </w:rPr>
        <w:t>D</w:t>
      </w:r>
      <w:r w:rsidRPr="00DB7496">
        <w:t xml:space="preserve">  Requirements for signing variations of cooperative workplace agreements to add employer and employees</w:t>
      </w:r>
      <w:bookmarkEnd w:id="46"/>
    </w:p>
    <w:p w14:paraId="7577E544" w14:textId="77777777" w:rsidR="00976688" w:rsidRPr="00DB7496" w:rsidRDefault="00976688" w:rsidP="00976688">
      <w:pPr>
        <w:pStyle w:val="subsection"/>
      </w:pPr>
      <w:r w:rsidRPr="00DB7496">
        <w:tab/>
        <w:t>(1)</w:t>
      </w:r>
      <w:r w:rsidRPr="00DB7496">
        <w:tab/>
        <w:t xml:space="preserve">For the purposes of </w:t>
      </w:r>
      <w:r w:rsidR="00DE5B61" w:rsidRPr="00DB7496">
        <w:t>subsection 2</w:t>
      </w:r>
      <w:r w:rsidRPr="00DB7496">
        <w:t>16CA(4) of the Act, this regulation prescribes requirements relating to the signing of a variation of a cooperative workplace agreement made jointly under section 216C of the Act by the employer who will be covered by the agreement if the variation is approved and the affected employees for the variation.</w:t>
      </w:r>
    </w:p>
    <w:p w14:paraId="13A36701" w14:textId="77777777" w:rsidR="00976688" w:rsidRPr="00DB7496" w:rsidRDefault="00976688" w:rsidP="00976688">
      <w:pPr>
        <w:pStyle w:val="notetext"/>
      </w:pPr>
      <w:r w:rsidRPr="00DB7496">
        <w:t>Note:</w:t>
      </w:r>
      <w:r w:rsidRPr="00DB7496">
        <w:tab/>
        <w:t xml:space="preserve">Paragraph 216CA(2)(a) of the Act requires an application for approval of </w:t>
      </w:r>
      <w:r w:rsidR="002D33B9" w:rsidRPr="00DB7496">
        <w:t xml:space="preserve">a variation of a cooperative workplace agreement to add an employer and employees </w:t>
      </w:r>
      <w:r w:rsidRPr="00DB7496">
        <w:t>to be accompanied by a signed copy of the variation.</w:t>
      </w:r>
    </w:p>
    <w:p w14:paraId="7EB34A3B" w14:textId="77777777" w:rsidR="00976688" w:rsidRPr="00DB7496" w:rsidRDefault="00976688" w:rsidP="00976688">
      <w:pPr>
        <w:pStyle w:val="subsection"/>
      </w:pPr>
      <w:r w:rsidRPr="00DB7496">
        <w:tab/>
        <w:t>(2)</w:t>
      </w:r>
      <w:r w:rsidRPr="00DB7496">
        <w:tab/>
        <w:t>The variation must be signed by the following:</w:t>
      </w:r>
    </w:p>
    <w:p w14:paraId="3F33B477" w14:textId="77777777" w:rsidR="00976688" w:rsidRPr="00DB7496" w:rsidRDefault="00976688" w:rsidP="00976688">
      <w:pPr>
        <w:pStyle w:val="paragraph"/>
      </w:pPr>
      <w:r w:rsidRPr="00DB7496">
        <w:tab/>
        <w:t>(a)</w:t>
      </w:r>
      <w:r w:rsidRPr="00DB7496">
        <w:tab/>
      </w:r>
      <w:r w:rsidR="009706BB" w:rsidRPr="00DB7496">
        <w:t xml:space="preserve">the employer or a person </w:t>
      </w:r>
      <w:r w:rsidR="009706BB">
        <w:t>authorised by the employer to sign the variation on the employer’s behalf</w:t>
      </w:r>
      <w:r w:rsidR="009706BB" w:rsidRPr="00DB7496">
        <w:t>;</w:t>
      </w:r>
    </w:p>
    <w:p w14:paraId="3D9F1CF6" w14:textId="77777777" w:rsidR="00976688" w:rsidRPr="00DB7496" w:rsidRDefault="00976688" w:rsidP="00976688">
      <w:pPr>
        <w:pStyle w:val="paragraph"/>
      </w:pPr>
      <w:r w:rsidRPr="00DB7496">
        <w:tab/>
        <w:t>(b)</w:t>
      </w:r>
      <w:r w:rsidRPr="00DB7496">
        <w:tab/>
        <w:t>at least 1 representative of the affected employees.</w:t>
      </w:r>
    </w:p>
    <w:p w14:paraId="1C26DA24" w14:textId="77777777" w:rsidR="00976688" w:rsidRPr="00DB7496" w:rsidRDefault="00976688" w:rsidP="00976688">
      <w:pPr>
        <w:pStyle w:val="subsection"/>
      </w:pPr>
      <w:r w:rsidRPr="00DB7496">
        <w:tab/>
        <w:t>(3)</w:t>
      </w:r>
      <w:r w:rsidRPr="00DB7496">
        <w:tab/>
        <w:t>The variation must include, for each person who signs the variation:</w:t>
      </w:r>
    </w:p>
    <w:p w14:paraId="198B6994" w14:textId="77777777" w:rsidR="00976688" w:rsidRPr="00DB7496" w:rsidRDefault="00976688" w:rsidP="00976688">
      <w:pPr>
        <w:pStyle w:val="paragraph"/>
      </w:pPr>
      <w:r w:rsidRPr="00DB7496">
        <w:tab/>
        <w:t>(a)</w:t>
      </w:r>
      <w:r w:rsidRPr="00DB7496">
        <w:tab/>
        <w:t>the full name and address of the person; and</w:t>
      </w:r>
    </w:p>
    <w:p w14:paraId="145E05B8" w14:textId="77777777" w:rsidR="00976688" w:rsidRPr="00DB7496" w:rsidRDefault="00976688" w:rsidP="00976688">
      <w:pPr>
        <w:pStyle w:val="paragraph"/>
      </w:pPr>
      <w:r w:rsidRPr="00DB7496">
        <w:tab/>
        <w:t>(b)</w:t>
      </w:r>
      <w:r w:rsidRPr="00DB7496">
        <w:tab/>
        <w:t>an explanation of the person’s authority to sign the variation.</w:t>
      </w:r>
    </w:p>
    <w:p w14:paraId="760E2B19" w14:textId="77777777" w:rsidR="003014E3" w:rsidRPr="00DB7496" w:rsidRDefault="003014E3" w:rsidP="003014E3">
      <w:pPr>
        <w:pStyle w:val="subsection"/>
      </w:pPr>
      <w:r w:rsidRPr="00DB7496">
        <w:tab/>
        <w:t>(4)</w:t>
      </w:r>
      <w:r w:rsidRPr="00DB7496">
        <w:tab/>
        <w:t>Unless the representative of the affected employees is an affected employee, the representative’s signature is not taken to indicate that the representative intends to be bound by the agreement as varied.</w:t>
      </w:r>
    </w:p>
    <w:p w14:paraId="18985452" w14:textId="77777777" w:rsidR="00976688" w:rsidRPr="00DB7496" w:rsidRDefault="00976688" w:rsidP="00976688">
      <w:pPr>
        <w:pStyle w:val="ActHead4"/>
      </w:pPr>
      <w:bookmarkStart w:id="47" w:name="_Toc135234414"/>
      <w:r w:rsidRPr="00DE1BCA">
        <w:rPr>
          <w:rStyle w:val="CharSubdNo"/>
        </w:rPr>
        <w:lastRenderedPageBreak/>
        <w:t>Subdivision AD</w:t>
      </w:r>
      <w:r w:rsidRPr="00DB7496">
        <w:t>—</w:t>
      </w:r>
      <w:r w:rsidRPr="00DE1BCA">
        <w:rPr>
          <w:rStyle w:val="CharSubdText"/>
        </w:rPr>
        <w:t>Variation of single interest employer agreement to add employer and employees</w:t>
      </w:r>
      <w:bookmarkEnd w:id="47"/>
    </w:p>
    <w:p w14:paraId="26E7998B" w14:textId="77777777" w:rsidR="00976688" w:rsidRPr="00DB7496" w:rsidRDefault="00976688" w:rsidP="00976688">
      <w:pPr>
        <w:pStyle w:val="ActHead5"/>
      </w:pPr>
      <w:bookmarkStart w:id="48" w:name="_Toc135234415"/>
      <w:r w:rsidRPr="00DE1BCA">
        <w:rPr>
          <w:rStyle w:val="CharSectno"/>
        </w:rPr>
        <w:t>2.10</w:t>
      </w:r>
      <w:r w:rsidR="00CF2FC9" w:rsidRPr="00DE1BCA">
        <w:rPr>
          <w:rStyle w:val="CharSectno"/>
        </w:rPr>
        <w:t>E</w:t>
      </w:r>
      <w:r w:rsidRPr="00DB7496">
        <w:t xml:space="preserve">  Requirements for signing variations of single interest employer agreements to add employer and employees (with consent)</w:t>
      </w:r>
      <w:bookmarkEnd w:id="48"/>
    </w:p>
    <w:p w14:paraId="1DFA357A" w14:textId="77777777" w:rsidR="00976688" w:rsidRPr="00DB7496" w:rsidRDefault="00976688" w:rsidP="00976688">
      <w:pPr>
        <w:pStyle w:val="subsection"/>
      </w:pPr>
      <w:r w:rsidRPr="00DB7496">
        <w:tab/>
        <w:t>(1)</w:t>
      </w:r>
      <w:r w:rsidRPr="00DB7496">
        <w:tab/>
        <w:t xml:space="preserve">For the purposes of </w:t>
      </w:r>
      <w:r w:rsidR="00DE5B61" w:rsidRPr="00DB7496">
        <w:t>subsection 2</w:t>
      </w:r>
      <w:r w:rsidRPr="00DB7496">
        <w:t>16DA(4) of the Act, this regulation prescribes requirements relating to the signing of a variation of a single interest employer agreement made jointly under section 216D of the Act by the employer who will be covered by the agreement if the variation is approved and the affected employees for the variation.</w:t>
      </w:r>
    </w:p>
    <w:p w14:paraId="22E243D7" w14:textId="77777777" w:rsidR="00976688" w:rsidRPr="00DB7496" w:rsidRDefault="00976688" w:rsidP="00976688">
      <w:pPr>
        <w:pStyle w:val="notetext"/>
      </w:pPr>
      <w:r w:rsidRPr="00DB7496">
        <w:t>Note:</w:t>
      </w:r>
      <w:r w:rsidRPr="00DB7496">
        <w:tab/>
        <w:t xml:space="preserve">Paragraph 216DA(2)(a) of the Act requires an application for approval of </w:t>
      </w:r>
      <w:r w:rsidR="002D33B9" w:rsidRPr="00DB7496">
        <w:t>a variation of a single interest employer agreement to add an employer and employees</w:t>
      </w:r>
      <w:r w:rsidRPr="00DB7496">
        <w:t xml:space="preserve"> to be accompanied by a signed copy of the variation.</w:t>
      </w:r>
    </w:p>
    <w:p w14:paraId="5D5163A0" w14:textId="77777777" w:rsidR="00976688" w:rsidRPr="00DB7496" w:rsidRDefault="00976688" w:rsidP="00976688">
      <w:pPr>
        <w:pStyle w:val="subsection"/>
      </w:pPr>
      <w:r w:rsidRPr="00DB7496">
        <w:tab/>
        <w:t>(2)</w:t>
      </w:r>
      <w:r w:rsidRPr="00DB7496">
        <w:tab/>
        <w:t>The variation must be signed by the following:</w:t>
      </w:r>
    </w:p>
    <w:p w14:paraId="1667C6C5" w14:textId="77777777" w:rsidR="00976688" w:rsidRPr="00DB7496" w:rsidRDefault="00976688" w:rsidP="00976688">
      <w:pPr>
        <w:pStyle w:val="paragraph"/>
      </w:pPr>
      <w:r w:rsidRPr="00DB7496">
        <w:tab/>
        <w:t>(a)</w:t>
      </w:r>
      <w:r w:rsidRPr="00DB7496">
        <w:tab/>
      </w:r>
      <w:r w:rsidR="009706BB" w:rsidRPr="00DB7496">
        <w:t xml:space="preserve">the employer or a person </w:t>
      </w:r>
      <w:r w:rsidR="009706BB">
        <w:t>authorised by the employer to sign the variation on the employer’s behalf</w:t>
      </w:r>
      <w:r w:rsidR="009706BB" w:rsidRPr="00DB7496">
        <w:t>;</w:t>
      </w:r>
    </w:p>
    <w:p w14:paraId="26413EA5" w14:textId="77777777" w:rsidR="00976688" w:rsidRPr="00DB7496" w:rsidRDefault="00976688" w:rsidP="00976688">
      <w:pPr>
        <w:pStyle w:val="paragraph"/>
      </w:pPr>
      <w:r w:rsidRPr="00DB7496">
        <w:tab/>
        <w:t>(b)</w:t>
      </w:r>
      <w:r w:rsidRPr="00DB7496">
        <w:tab/>
        <w:t>at least 1 representative of the affected employees.</w:t>
      </w:r>
    </w:p>
    <w:p w14:paraId="300D19EE" w14:textId="77777777" w:rsidR="00976688" w:rsidRPr="00DB7496" w:rsidRDefault="00976688" w:rsidP="00976688">
      <w:pPr>
        <w:pStyle w:val="subsection"/>
      </w:pPr>
      <w:r w:rsidRPr="00DB7496">
        <w:tab/>
        <w:t>(3)</w:t>
      </w:r>
      <w:r w:rsidRPr="00DB7496">
        <w:tab/>
        <w:t>The variation must include, for each person who signs the variation:</w:t>
      </w:r>
    </w:p>
    <w:p w14:paraId="01A89F13" w14:textId="77777777" w:rsidR="00976688" w:rsidRPr="00DB7496" w:rsidRDefault="00976688" w:rsidP="00976688">
      <w:pPr>
        <w:pStyle w:val="paragraph"/>
      </w:pPr>
      <w:r w:rsidRPr="00DB7496">
        <w:tab/>
        <w:t>(a)</w:t>
      </w:r>
      <w:r w:rsidRPr="00DB7496">
        <w:tab/>
        <w:t>the full name and address of the person; and</w:t>
      </w:r>
    </w:p>
    <w:p w14:paraId="3CEB46B0" w14:textId="77777777" w:rsidR="00976688" w:rsidRPr="00DB7496" w:rsidRDefault="00976688" w:rsidP="00976688">
      <w:pPr>
        <w:pStyle w:val="paragraph"/>
      </w:pPr>
      <w:r w:rsidRPr="00DB7496">
        <w:tab/>
        <w:t>(b)</w:t>
      </w:r>
      <w:r w:rsidRPr="00DB7496">
        <w:tab/>
        <w:t>an explanation of the person’s authority to sign the variation.</w:t>
      </w:r>
    </w:p>
    <w:p w14:paraId="29039CEA" w14:textId="77777777" w:rsidR="003014E3" w:rsidRPr="00DB7496" w:rsidRDefault="003014E3" w:rsidP="003014E3">
      <w:pPr>
        <w:pStyle w:val="subsection"/>
      </w:pPr>
      <w:r w:rsidRPr="00DB7496">
        <w:tab/>
        <w:t>(4)</w:t>
      </w:r>
      <w:r w:rsidRPr="00DB7496">
        <w:tab/>
        <w:t>Unless the representative of the affected employees is an affected employee, the representative’s signature is not taken to indicate that the representative intends to be bound by the agreement as varied.</w:t>
      </w:r>
    </w:p>
    <w:p w14:paraId="0AA78D2F" w14:textId="77777777" w:rsidR="00976688" w:rsidRPr="00DB7496" w:rsidRDefault="00976688" w:rsidP="00976688">
      <w:pPr>
        <w:pStyle w:val="ActHead5"/>
      </w:pPr>
      <w:bookmarkStart w:id="49" w:name="_Toc135234416"/>
      <w:r w:rsidRPr="00DE1BCA">
        <w:rPr>
          <w:rStyle w:val="CharSectno"/>
        </w:rPr>
        <w:t>2.10</w:t>
      </w:r>
      <w:r w:rsidR="00CF2FC9" w:rsidRPr="00DE1BCA">
        <w:rPr>
          <w:rStyle w:val="CharSectno"/>
        </w:rPr>
        <w:t>F</w:t>
      </w:r>
      <w:r w:rsidRPr="00DB7496">
        <w:t xml:space="preserve">  Requirements for signing variations of single interest employer agreements to add employer and employees (without consent)</w:t>
      </w:r>
      <w:bookmarkEnd w:id="49"/>
    </w:p>
    <w:p w14:paraId="58E00530" w14:textId="77777777" w:rsidR="00976688" w:rsidRPr="00DB7496" w:rsidRDefault="00976688" w:rsidP="00976688">
      <w:pPr>
        <w:pStyle w:val="subsection"/>
      </w:pPr>
      <w:r w:rsidRPr="00DB7496">
        <w:tab/>
        <w:t>(1)</w:t>
      </w:r>
      <w:r w:rsidRPr="00DB7496">
        <w:tab/>
        <w:t xml:space="preserve">For the purposes of </w:t>
      </w:r>
      <w:r w:rsidR="00DE5B61" w:rsidRPr="00DB7496">
        <w:t>subsection 2</w:t>
      </w:r>
      <w:r w:rsidRPr="00DB7496">
        <w:t>16DB(3) of the Act, this regulation prescribes requirements relating to the signing of a variation of a single interest employer agreement proposed by an employee organisation that is covered by the agreement.</w:t>
      </w:r>
    </w:p>
    <w:p w14:paraId="2533D65C" w14:textId="77777777" w:rsidR="00976688" w:rsidRPr="00DB7496" w:rsidRDefault="00976688" w:rsidP="00976688">
      <w:pPr>
        <w:pStyle w:val="notetext"/>
      </w:pPr>
      <w:r w:rsidRPr="00DB7496">
        <w:t>Note:</w:t>
      </w:r>
      <w:r w:rsidRPr="00DB7496">
        <w:tab/>
        <w:t xml:space="preserve">Paragraph 216DB(2)(a) of the Act requires an application for approval of </w:t>
      </w:r>
      <w:r w:rsidR="002D33B9" w:rsidRPr="00DB7496">
        <w:t>a variation of a single interest employer agreement to add an employer and employees</w:t>
      </w:r>
      <w:r w:rsidRPr="00DB7496">
        <w:t xml:space="preserve"> to be accompanied by a signed copy of the variation.</w:t>
      </w:r>
    </w:p>
    <w:p w14:paraId="50B34BAE" w14:textId="77777777" w:rsidR="00976688" w:rsidRPr="00DB7496" w:rsidRDefault="00976688" w:rsidP="00976688">
      <w:pPr>
        <w:pStyle w:val="subsection"/>
      </w:pPr>
      <w:r w:rsidRPr="00DB7496">
        <w:tab/>
        <w:t>(2)</w:t>
      </w:r>
      <w:r w:rsidRPr="00DB7496">
        <w:tab/>
        <w:t>The variation must be signed by the employee organisation.</w:t>
      </w:r>
    </w:p>
    <w:p w14:paraId="096B3E43" w14:textId="77777777" w:rsidR="00976688" w:rsidRPr="00DB7496" w:rsidRDefault="00976688" w:rsidP="00976688">
      <w:pPr>
        <w:pStyle w:val="subsection"/>
      </w:pPr>
      <w:r w:rsidRPr="00DB7496">
        <w:tab/>
        <w:t>(3)</w:t>
      </w:r>
      <w:r w:rsidRPr="00DB7496">
        <w:tab/>
        <w:t>The variation must include, for each person who signs the variation:</w:t>
      </w:r>
    </w:p>
    <w:p w14:paraId="724040F7" w14:textId="77777777" w:rsidR="00976688" w:rsidRPr="00DB7496" w:rsidRDefault="00976688" w:rsidP="00976688">
      <w:pPr>
        <w:pStyle w:val="paragraph"/>
      </w:pPr>
      <w:r w:rsidRPr="00DB7496">
        <w:tab/>
        <w:t>(a)</w:t>
      </w:r>
      <w:r w:rsidRPr="00DB7496">
        <w:tab/>
        <w:t>the full name and address of the person; and</w:t>
      </w:r>
    </w:p>
    <w:p w14:paraId="26093F84" w14:textId="77777777" w:rsidR="00976688" w:rsidRPr="00DB7496" w:rsidRDefault="00976688" w:rsidP="00976688">
      <w:pPr>
        <w:pStyle w:val="paragraph"/>
      </w:pPr>
      <w:r w:rsidRPr="00DB7496">
        <w:tab/>
        <w:t>(b)</w:t>
      </w:r>
      <w:r w:rsidRPr="00DB7496">
        <w:tab/>
        <w:t>an explanation of the person’s authority to sign the variation.</w:t>
      </w:r>
    </w:p>
    <w:p w14:paraId="4BD66120" w14:textId="77777777" w:rsidR="00976688" w:rsidRPr="00DB7496" w:rsidRDefault="00976688" w:rsidP="00976688">
      <w:pPr>
        <w:pStyle w:val="ActHead4"/>
      </w:pPr>
      <w:bookmarkStart w:id="50" w:name="_Toc135234417"/>
      <w:r w:rsidRPr="00DE1BCA">
        <w:rPr>
          <w:rStyle w:val="CharSubdNo"/>
        </w:rPr>
        <w:t>Subdivision AE</w:t>
      </w:r>
      <w:r w:rsidRPr="00DB7496">
        <w:t>—</w:t>
      </w:r>
      <w:r w:rsidRPr="00DE1BCA">
        <w:rPr>
          <w:rStyle w:val="CharSubdText"/>
        </w:rPr>
        <w:t>Variation of multi</w:t>
      </w:r>
      <w:r w:rsidR="00DB7496" w:rsidRPr="00DE1BCA">
        <w:rPr>
          <w:rStyle w:val="CharSubdText"/>
        </w:rPr>
        <w:noBreakHyphen/>
      </w:r>
      <w:r w:rsidRPr="00DE1BCA">
        <w:rPr>
          <w:rStyle w:val="CharSubdText"/>
        </w:rPr>
        <w:t>enterprise agreement to remove employer and employees</w:t>
      </w:r>
      <w:bookmarkEnd w:id="50"/>
    </w:p>
    <w:p w14:paraId="7A58EEF9" w14:textId="77777777" w:rsidR="00976688" w:rsidRPr="00DB7496" w:rsidRDefault="00976688" w:rsidP="00976688">
      <w:pPr>
        <w:pStyle w:val="ActHead5"/>
      </w:pPr>
      <w:bookmarkStart w:id="51" w:name="_Toc135234418"/>
      <w:r w:rsidRPr="00DE1BCA">
        <w:rPr>
          <w:rStyle w:val="CharSectno"/>
        </w:rPr>
        <w:t>2.10</w:t>
      </w:r>
      <w:r w:rsidR="00CF2FC9" w:rsidRPr="00DE1BCA">
        <w:rPr>
          <w:rStyle w:val="CharSectno"/>
        </w:rPr>
        <w:t>G</w:t>
      </w:r>
      <w:r w:rsidRPr="00DB7496">
        <w:t xml:space="preserve">  Requirements for signing variations of multi</w:t>
      </w:r>
      <w:r w:rsidR="00DB7496">
        <w:noBreakHyphen/>
      </w:r>
      <w:r w:rsidRPr="00DB7496">
        <w:t>enterprise agreements to remove employer and employees (with consent)</w:t>
      </w:r>
      <w:bookmarkEnd w:id="51"/>
    </w:p>
    <w:p w14:paraId="40D4CB4E" w14:textId="77777777" w:rsidR="00976688" w:rsidRPr="00DB7496" w:rsidRDefault="00976688" w:rsidP="00976688">
      <w:pPr>
        <w:pStyle w:val="subsection"/>
      </w:pPr>
      <w:r w:rsidRPr="00DB7496">
        <w:tab/>
        <w:t>(1)</w:t>
      </w:r>
      <w:r w:rsidRPr="00DB7496">
        <w:tab/>
        <w:t xml:space="preserve">For the purposes of </w:t>
      </w:r>
      <w:r w:rsidR="00DE5B61" w:rsidRPr="00DB7496">
        <w:t>subsection 2</w:t>
      </w:r>
      <w:r w:rsidRPr="00DB7496">
        <w:t>16EA(4) of the Act, this regulation prescribes requirements relating to the signing of a variation of a multi</w:t>
      </w:r>
      <w:r w:rsidR="00DB7496">
        <w:noBreakHyphen/>
      </w:r>
      <w:r w:rsidRPr="00DB7496">
        <w:t xml:space="preserve">enterprise agreement </w:t>
      </w:r>
      <w:r w:rsidRPr="00DB7496">
        <w:lastRenderedPageBreak/>
        <w:t>made jointly under section 216E of the Act by an employer who will cease to be covered by the agreement if the variation is approved and the affected employees for the variation.</w:t>
      </w:r>
    </w:p>
    <w:p w14:paraId="3E884B20" w14:textId="77777777" w:rsidR="00976688" w:rsidRPr="00DB7496" w:rsidRDefault="00976688" w:rsidP="00976688">
      <w:pPr>
        <w:pStyle w:val="subsection"/>
      </w:pPr>
      <w:r w:rsidRPr="00DB7496">
        <w:tab/>
        <w:t>(2)</w:t>
      </w:r>
      <w:r w:rsidRPr="00DB7496">
        <w:tab/>
        <w:t>The variation must be signed by the following:</w:t>
      </w:r>
    </w:p>
    <w:p w14:paraId="0DB6D1A9" w14:textId="77777777" w:rsidR="00976688" w:rsidRPr="00DB7496" w:rsidRDefault="00976688" w:rsidP="00976688">
      <w:pPr>
        <w:pStyle w:val="paragraph"/>
      </w:pPr>
      <w:r w:rsidRPr="00DB7496">
        <w:tab/>
        <w:t>(a)</w:t>
      </w:r>
      <w:r w:rsidRPr="00DB7496">
        <w:tab/>
      </w:r>
      <w:r w:rsidR="009706BB" w:rsidRPr="00DB7496">
        <w:t xml:space="preserve">the employer or a person </w:t>
      </w:r>
      <w:r w:rsidR="009706BB">
        <w:t>authorised by the employer to sign the variation on the employer’s behalf</w:t>
      </w:r>
      <w:r w:rsidR="009706BB" w:rsidRPr="00DB7496">
        <w:t>;</w:t>
      </w:r>
    </w:p>
    <w:p w14:paraId="3995FB5D" w14:textId="77777777" w:rsidR="00374223" w:rsidRPr="00DB7496" w:rsidRDefault="00976688" w:rsidP="00976688">
      <w:pPr>
        <w:pStyle w:val="paragraph"/>
      </w:pPr>
      <w:r w:rsidRPr="00DB7496">
        <w:tab/>
        <w:t>(b)</w:t>
      </w:r>
      <w:r w:rsidRPr="00DB7496">
        <w:tab/>
        <w:t>at least 1 representative of the affected employees</w:t>
      </w:r>
      <w:r w:rsidR="00374223" w:rsidRPr="00DB7496">
        <w:t>.</w:t>
      </w:r>
    </w:p>
    <w:p w14:paraId="49D8F6C0" w14:textId="77777777" w:rsidR="00976688" w:rsidRPr="00DB7496" w:rsidRDefault="00976688" w:rsidP="00976688">
      <w:pPr>
        <w:pStyle w:val="subsection"/>
      </w:pPr>
      <w:r w:rsidRPr="00DB7496">
        <w:tab/>
        <w:t>(</w:t>
      </w:r>
      <w:r w:rsidR="00374223" w:rsidRPr="00DB7496">
        <w:t>3</w:t>
      </w:r>
      <w:r w:rsidRPr="00DB7496">
        <w:t>)</w:t>
      </w:r>
      <w:r w:rsidRPr="00DB7496">
        <w:tab/>
        <w:t>The variation must include, for each person who signs the variation:</w:t>
      </w:r>
    </w:p>
    <w:p w14:paraId="237F0708" w14:textId="77777777" w:rsidR="00976688" w:rsidRPr="00DB7496" w:rsidRDefault="00976688" w:rsidP="00976688">
      <w:pPr>
        <w:pStyle w:val="paragraph"/>
      </w:pPr>
      <w:r w:rsidRPr="00DB7496">
        <w:tab/>
        <w:t>(a)</w:t>
      </w:r>
      <w:r w:rsidRPr="00DB7496">
        <w:tab/>
        <w:t>the full name and address of the person; and</w:t>
      </w:r>
    </w:p>
    <w:p w14:paraId="5B3D8B3B" w14:textId="77777777" w:rsidR="00976688" w:rsidRPr="00DB7496" w:rsidRDefault="00976688" w:rsidP="00976688">
      <w:pPr>
        <w:pStyle w:val="paragraph"/>
      </w:pPr>
      <w:r w:rsidRPr="00DB7496">
        <w:tab/>
        <w:t>(b)</w:t>
      </w:r>
      <w:r w:rsidRPr="00DB7496">
        <w:tab/>
        <w:t>an explanation of the person’s authority to sign the variation.</w:t>
      </w:r>
    </w:p>
    <w:p w14:paraId="631341A7" w14:textId="77777777" w:rsidR="00976688" w:rsidRPr="00DB7496" w:rsidRDefault="00791B05" w:rsidP="00976688">
      <w:pPr>
        <w:pStyle w:val="ItemHead"/>
      </w:pPr>
      <w:r w:rsidRPr="00DB7496">
        <w:t>14</w:t>
      </w:r>
      <w:r w:rsidR="00976688" w:rsidRPr="00DB7496">
        <w:t xml:space="preserve">  </w:t>
      </w:r>
      <w:r w:rsidR="003E1627" w:rsidRPr="00DB7496">
        <w:t>Schedule 2</w:t>
      </w:r>
      <w:r w:rsidR="00976688" w:rsidRPr="00DB7496">
        <w:t>.1</w:t>
      </w:r>
    </w:p>
    <w:p w14:paraId="74CAA118" w14:textId="77777777" w:rsidR="00976688" w:rsidRPr="00DB7496" w:rsidRDefault="00976688" w:rsidP="00976688">
      <w:pPr>
        <w:pStyle w:val="Item"/>
      </w:pPr>
      <w:r w:rsidRPr="00DB7496">
        <w:t xml:space="preserve">Omit “an enterprise agreement </w:t>
      </w:r>
      <w:r w:rsidRPr="00DB7496">
        <w:rPr>
          <w:i/>
        </w:rPr>
        <w:t>([name of the proposed enterprise agreement])</w:t>
      </w:r>
      <w:r w:rsidRPr="00DB7496">
        <w:t>”, substitute “a single</w:t>
      </w:r>
      <w:r w:rsidR="00DB7496">
        <w:noBreakHyphen/>
      </w:r>
      <w:r w:rsidRPr="00DB7496">
        <w:t xml:space="preserve">enterprise agreement </w:t>
      </w:r>
      <w:r w:rsidRPr="00DB7496">
        <w:rPr>
          <w:i/>
        </w:rPr>
        <w:t>([name of the proposed single</w:t>
      </w:r>
      <w:r w:rsidR="00DB7496">
        <w:rPr>
          <w:i/>
        </w:rPr>
        <w:noBreakHyphen/>
      </w:r>
      <w:r w:rsidRPr="00DB7496">
        <w:rPr>
          <w:i/>
        </w:rPr>
        <w:t>enterprise agreement])</w:t>
      </w:r>
      <w:r w:rsidRPr="00DB7496">
        <w:t>”.</w:t>
      </w:r>
    </w:p>
    <w:p w14:paraId="1C931879" w14:textId="77777777" w:rsidR="00976688" w:rsidRPr="00DB7496" w:rsidRDefault="00791B05" w:rsidP="00976688">
      <w:pPr>
        <w:pStyle w:val="ItemHead"/>
      </w:pPr>
      <w:r w:rsidRPr="00DB7496">
        <w:t>15</w:t>
      </w:r>
      <w:r w:rsidR="00976688" w:rsidRPr="00DB7496">
        <w:t xml:space="preserve">  </w:t>
      </w:r>
      <w:r w:rsidR="003E1627" w:rsidRPr="00DB7496">
        <w:t>Schedule 2</w:t>
      </w:r>
      <w:r w:rsidR="00976688" w:rsidRPr="00DB7496">
        <w:t>.1</w:t>
      </w:r>
    </w:p>
    <w:p w14:paraId="521E8C15" w14:textId="77777777" w:rsidR="00976688" w:rsidRPr="00DB7496" w:rsidRDefault="00976688" w:rsidP="00976688">
      <w:pPr>
        <w:pStyle w:val="Item"/>
      </w:pPr>
      <w:r w:rsidRPr="00DB7496">
        <w:t>Omit “</w:t>
      </w:r>
      <w:r w:rsidRPr="00DB7496">
        <w:rPr>
          <w:b/>
        </w:rPr>
        <w:t>What is an enterprise</w:t>
      </w:r>
      <w:r w:rsidRPr="00DB7496">
        <w:t>”, substitute “</w:t>
      </w:r>
      <w:r w:rsidRPr="00DB7496">
        <w:rPr>
          <w:b/>
        </w:rPr>
        <w:t>What is a single</w:t>
      </w:r>
      <w:r w:rsidR="00DB7496">
        <w:rPr>
          <w:b/>
        </w:rPr>
        <w:noBreakHyphen/>
      </w:r>
      <w:r w:rsidRPr="00DB7496">
        <w:rPr>
          <w:b/>
        </w:rPr>
        <w:t>enterprise</w:t>
      </w:r>
      <w:r w:rsidRPr="00DB7496">
        <w:t>”.</w:t>
      </w:r>
    </w:p>
    <w:p w14:paraId="78F0EF52" w14:textId="77777777" w:rsidR="00976688" w:rsidRPr="00DB7496" w:rsidRDefault="00791B05" w:rsidP="00976688">
      <w:pPr>
        <w:pStyle w:val="ItemHead"/>
      </w:pPr>
      <w:r w:rsidRPr="00DB7496">
        <w:t>16</w:t>
      </w:r>
      <w:r w:rsidR="00976688" w:rsidRPr="00DB7496">
        <w:t xml:space="preserve">  </w:t>
      </w:r>
      <w:r w:rsidR="003E1627" w:rsidRPr="00DB7496">
        <w:t>Schedule 2</w:t>
      </w:r>
      <w:r w:rsidR="00976688" w:rsidRPr="00DB7496">
        <w:t>.1</w:t>
      </w:r>
    </w:p>
    <w:p w14:paraId="4E1A19FE" w14:textId="77777777" w:rsidR="00976688" w:rsidRPr="00DB7496" w:rsidRDefault="00976688" w:rsidP="00976688">
      <w:pPr>
        <w:pStyle w:val="Item"/>
      </w:pPr>
      <w:r w:rsidRPr="00DB7496">
        <w:t>Omit “An enterprise agreement is an”, substitute “A single</w:t>
      </w:r>
      <w:r w:rsidR="00DB7496">
        <w:noBreakHyphen/>
      </w:r>
      <w:r w:rsidRPr="00DB7496">
        <w:t>enterprise agreement is an”.</w:t>
      </w:r>
    </w:p>
    <w:p w14:paraId="5A641331" w14:textId="77777777" w:rsidR="00976688" w:rsidRPr="00DB7496" w:rsidRDefault="00791B05" w:rsidP="00976688">
      <w:pPr>
        <w:pStyle w:val="ItemHead"/>
      </w:pPr>
      <w:r w:rsidRPr="00DB7496">
        <w:t>17</w:t>
      </w:r>
      <w:r w:rsidR="00976688" w:rsidRPr="00DB7496">
        <w:t xml:space="preserve">  </w:t>
      </w:r>
      <w:r w:rsidR="003E1627" w:rsidRPr="00DB7496">
        <w:t>Schedule 2</w:t>
      </w:r>
      <w:r w:rsidR="00976688" w:rsidRPr="00DB7496">
        <w:t>.1</w:t>
      </w:r>
    </w:p>
    <w:p w14:paraId="4C412A8C" w14:textId="77777777" w:rsidR="00976688" w:rsidRPr="00DB7496" w:rsidRDefault="00976688" w:rsidP="00976688">
      <w:pPr>
        <w:pStyle w:val="Item"/>
      </w:pPr>
      <w:r w:rsidRPr="00DB7496">
        <w:t>Omit “before Fair Work Commission about bargaining for the agreement”, substitute “before the Fair Work Commission that relates to bargaining for the agreement”.</w:t>
      </w:r>
    </w:p>
    <w:p w14:paraId="7B0A1E56" w14:textId="77777777" w:rsidR="00976688" w:rsidRPr="00DB7496" w:rsidRDefault="00791B05" w:rsidP="00976688">
      <w:pPr>
        <w:pStyle w:val="ItemHead"/>
      </w:pPr>
      <w:r w:rsidRPr="00DB7496">
        <w:t>18</w:t>
      </w:r>
      <w:r w:rsidR="00976688" w:rsidRPr="00DB7496">
        <w:t xml:space="preserve">  </w:t>
      </w:r>
      <w:r w:rsidR="003E1627" w:rsidRPr="00DB7496">
        <w:t>Schedule 2</w:t>
      </w:r>
      <w:r w:rsidR="00976688" w:rsidRPr="00DB7496">
        <w:t>.1</w:t>
      </w:r>
    </w:p>
    <w:p w14:paraId="4E3AD582" w14:textId="77777777" w:rsidR="00976688" w:rsidRPr="00DB7496" w:rsidRDefault="00976688" w:rsidP="00976688">
      <w:pPr>
        <w:pStyle w:val="Item"/>
      </w:pPr>
      <w:r w:rsidRPr="00DB7496">
        <w:t>Omit “</w:t>
      </w:r>
      <w:r w:rsidRPr="00DB7496">
        <w:rPr>
          <w:i/>
        </w:rPr>
        <w:t>[If the agreement is not an agreement for which a low</w:t>
      </w:r>
      <w:r w:rsidR="00DB7496">
        <w:rPr>
          <w:i/>
        </w:rPr>
        <w:noBreakHyphen/>
      </w:r>
      <w:r w:rsidRPr="00DB7496">
        <w:rPr>
          <w:i/>
        </w:rPr>
        <w:t>paid authorisation applies—include:]</w:t>
      </w:r>
      <w:r w:rsidRPr="00DB7496">
        <w:t>”.</w:t>
      </w:r>
    </w:p>
    <w:p w14:paraId="421DB744" w14:textId="77777777" w:rsidR="00374223" w:rsidRPr="00DB7496" w:rsidRDefault="00791B05" w:rsidP="00374223">
      <w:pPr>
        <w:pStyle w:val="ItemHead"/>
      </w:pPr>
      <w:r w:rsidRPr="00DB7496">
        <w:t>19</w:t>
      </w:r>
      <w:r w:rsidR="00374223" w:rsidRPr="00DB7496">
        <w:t xml:space="preserve">  </w:t>
      </w:r>
      <w:r w:rsidR="003E1627" w:rsidRPr="00DB7496">
        <w:t>Schedule 2</w:t>
      </w:r>
      <w:r w:rsidR="00374223" w:rsidRPr="00DB7496">
        <w:t>.1</w:t>
      </w:r>
    </w:p>
    <w:p w14:paraId="090C79C8" w14:textId="77777777" w:rsidR="00374223" w:rsidRPr="00DB7496" w:rsidRDefault="00374223" w:rsidP="00374223">
      <w:pPr>
        <w:pStyle w:val="Item"/>
      </w:pPr>
      <w:r w:rsidRPr="00DB7496">
        <w:t>Omit “or you revoke the union’s status as your representative”</w:t>
      </w:r>
      <w:r w:rsidR="00B17A09" w:rsidRPr="00DB7496">
        <w:t xml:space="preserve"> (first occurring)</w:t>
      </w:r>
      <w:r w:rsidRPr="00DB7496">
        <w:t>.</w:t>
      </w:r>
    </w:p>
    <w:p w14:paraId="3EA8AB79" w14:textId="77777777" w:rsidR="00976688" w:rsidRPr="00DB7496" w:rsidRDefault="00791B05" w:rsidP="00976688">
      <w:pPr>
        <w:pStyle w:val="ItemHead"/>
      </w:pPr>
      <w:r w:rsidRPr="00DB7496">
        <w:t>20</w:t>
      </w:r>
      <w:r w:rsidR="00976688" w:rsidRPr="00DB7496">
        <w:t xml:space="preserve">  </w:t>
      </w:r>
      <w:r w:rsidR="003E1627" w:rsidRPr="00DB7496">
        <w:t>Schedule 2</w:t>
      </w:r>
      <w:r w:rsidR="00976688" w:rsidRPr="00DB7496">
        <w:t>.1</w:t>
      </w:r>
    </w:p>
    <w:p w14:paraId="67C7152D" w14:textId="77777777" w:rsidR="00976688" w:rsidRPr="00DB7496" w:rsidRDefault="00976688" w:rsidP="00976688">
      <w:pPr>
        <w:pStyle w:val="Item"/>
      </w:pPr>
      <w:r w:rsidRPr="00DB7496">
        <w:t>Omit all the words from and including “</w:t>
      </w:r>
      <w:r w:rsidRPr="00DB7496">
        <w:rPr>
          <w:i/>
        </w:rPr>
        <w:t>[If a low</w:t>
      </w:r>
      <w:r w:rsidR="00DB7496">
        <w:rPr>
          <w:i/>
        </w:rPr>
        <w:noBreakHyphen/>
      </w:r>
      <w:r w:rsidRPr="00DB7496">
        <w:rPr>
          <w:i/>
        </w:rPr>
        <w:t>paid authorisation</w:t>
      </w:r>
      <w:r w:rsidRPr="00DB7496">
        <w:t>” to and including “that also applied for the authorisation</w:t>
      </w:r>
      <w:r w:rsidR="00C30F4C" w:rsidRPr="00DB7496">
        <w:t>.</w:t>
      </w:r>
      <w:r w:rsidRPr="00DB7496">
        <w:t>”.</w:t>
      </w:r>
    </w:p>
    <w:p w14:paraId="5B843F7B" w14:textId="77777777" w:rsidR="00976688" w:rsidRPr="00DB7496" w:rsidRDefault="00791B05" w:rsidP="00976688">
      <w:pPr>
        <w:pStyle w:val="ItemHead"/>
      </w:pPr>
      <w:r w:rsidRPr="00DB7496">
        <w:t>21</w:t>
      </w:r>
      <w:r w:rsidR="00976688" w:rsidRPr="00DB7496">
        <w:t xml:space="preserve">  </w:t>
      </w:r>
      <w:r w:rsidR="003E1627" w:rsidRPr="00DB7496">
        <w:t>Schedule 2</w:t>
      </w:r>
      <w:r w:rsidR="00976688" w:rsidRPr="00DB7496">
        <w:t>.1</w:t>
      </w:r>
    </w:p>
    <w:p w14:paraId="7B842D3E" w14:textId="77777777" w:rsidR="00976688" w:rsidRPr="00DB7496" w:rsidRDefault="00976688" w:rsidP="00976688">
      <w:pPr>
        <w:pStyle w:val="Item"/>
      </w:pPr>
      <w:r w:rsidRPr="00DB7496">
        <w:t>Omit “</w:t>
      </w:r>
      <w:r w:rsidR="002968F9" w:rsidRPr="00DB7496">
        <w:rPr>
          <w:i/>
        </w:rPr>
        <w:t xml:space="preserve">[if the employee is covered by an </w:t>
      </w:r>
      <w:r w:rsidRPr="00DB7496">
        <w:rPr>
          <w:i/>
        </w:rPr>
        <w:t>individual</w:t>
      </w:r>
      <w:r w:rsidRPr="00DB7496">
        <w:t xml:space="preserve"> </w:t>
      </w:r>
      <w:r w:rsidRPr="00DB7496">
        <w:rPr>
          <w:i/>
        </w:rPr>
        <w:t>agreement</w:t>
      </w:r>
      <w:r w:rsidR="00DB7496">
        <w:rPr>
          <w:i/>
        </w:rPr>
        <w:noBreakHyphen/>
      </w:r>
      <w:r w:rsidRPr="00DB7496">
        <w:rPr>
          <w:i/>
        </w:rPr>
        <w:t>based transitional instrument</w:t>
      </w:r>
      <w:r w:rsidRPr="00DB7496">
        <w:t>”, substitute “</w:t>
      </w:r>
      <w:r w:rsidR="002968F9" w:rsidRPr="00DB7496">
        <w:rPr>
          <w:i/>
        </w:rPr>
        <w:t xml:space="preserve">[If the employee is covered by an </w:t>
      </w:r>
      <w:r w:rsidRPr="00DB7496">
        <w:rPr>
          <w:i/>
        </w:rPr>
        <w:t>individual agreement</w:t>
      </w:r>
      <w:r w:rsidRPr="00DB7496">
        <w:t>”.</w:t>
      </w:r>
    </w:p>
    <w:p w14:paraId="18C8A261" w14:textId="77777777" w:rsidR="00976688" w:rsidRPr="00DB7496" w:rsidRDefault="00791B05" w:rsidP="00976688">
      <w:pPr>
        <w:pStyle w:val="ItemHead"/>
      </w:pPr>
      <w:r w:rsidRPr="00DB7496">
        <w:t>22</w:t>
      </w:r>
      <w:r w:rsidR="00976688" w:rsidRPr="00DB7496">
        <w:t xml:space="preserve">  </w:t>
      </w:r>
      <w:r w:rsidR="003E1627" w:rsidRPr="00DB7496">
        <w:t>Schedule 2</w:t>
      </w:r>
      <w:r w:rsidR="00976688" w:rsidRPr="00DB7496">
        <w:t>.1</w:t>
      </w:r>
    </w:p>
    <w:p w14:paraId="640A2AA5" w14:textId="77777777" w:rsidR="00976688" w:rsidRPr="00DB7496" w:rsidRDefault="00976688" w:rsidP="00976688">
      <w:pPr>
        <w:pStyle w:val="Item"/>
      </w:pPr>
      <w:r w:rsidRPr="00DB7496">
        <w:t>Omit all the words from and including “If you are currently covered by” to and including “your individual agreement will terminate)</w:t>
      </w:r>
      <w:r w:rsidR="00C30F4C" w:rsidRPr="00DB7496">
        <w:t>.</w:t>
      </w:r>
      <w:r w:rsidRPr="00DB7496">
        <w:t>”, substitute:</w:t>
      </w:r>
    </w:p>
    <w:p w14:paraId="7512D9C0" w14:textId="77777777" w:rsidR="00976688" w:rsidRPr="00DB7496" w:rsidRDefault="00976688" w:rsidP="00976688">
      <w:pPr>
        <w:spacing w:before="180"/>
      </w:pPr>
      <w:r w:rsidRPr="00DB7496">
        <w:t>If you are currently covered by an individual agreement (Australian Workplace Agreement (AWA),</w:t>
      </w:r>
      <w:r w:rsidR="00374223" w:rsidRPr="00DB7496">
        <w:t xml:space="preserve"> pre</w:t>
      </w:r>
      <w:r w:rsidR="00DB7496">
        <w:noBreakHyphen/>
      </w:r>
      <w:r w:rsidR="00374223" w:rsidRPr="00DB7496">
        <w:t xml:space="preserve">reform AWA, </w:t>
      </w:r>
      <w:r w:rsidRPr="00DB7496">
        <w:t>individual transitional employment agreement (</w:t>
      </w:r>
      <w:proofErr w:type="spellStart"/>
      <w:r w:rsidRPr="00DB7496">
        <w:t>ITEA</w:t>
      </w:r>
      <w:proofErr w:type="spellEnd"/>
      <w:r w:rsidRPr="00DB7496">
        <w:t xml:space="preserve">), preserved </w:t>
      </w:r>
      <w:r w:rsidRPr="00DB7496">
        <w:lastRenderedPageBreak/>
        <w:t xml:space="preserve">individual State agreement or individual </w:t>
      </w:r>
      <w:r w:rsidR="003E1627" w:rsidRPr="00DB7496">
        <w:t>Division 2</w:t>
      </w:r>
      <w:r w:rsidRPr="00DB7496">
        <w:t>B State employment agreement)</w:t>
      </w:r>
      <w:r w:rsidR="00C30F4C" w:rsidRPr="00DB7496">
        <w:t>,</w:t>
      </w:r>
      <w:r w:rsidRPr="00DB7496">
        <w:t xml:space="preserve"> you may appoint a bargaining representative for the enterprise agreement.</w:t>
      </w:r>
    </w:p>
    <w:p w14:paraId="6F388479" w14:textId="77777777" w:rsidR="00976688" w:rsidRPr="00DB7496" w:rsidRDefault="00976688" w:rsidP="00976688">
      <w:pPr>
        <w:spacing w:before="180"/>
      </w:pPr>
      <w:r w:rsidRPr="00DB7496">
        <w:t>Individual agreements automatically sunset at the end of 6 December 2023, unless an application to extend the agreement is made to the Fair Work Commission.</w:t>
      </w:r>
    </w:p>
    <w:p w14:paraId="663EFB2F" w14:textId="77777777" w:rsidR="00976688" w:rsidRPr="00DB7496" w:rsidRDefault="00976688" w:rsidP="00976688">
      <w:pPr>
        <w:spacing w:before="180"/>
      </w:pPr>
      <w:r w:rsidRPr="00DB7496">
        <w:t>Individual agreements can also be terminated or a conditional termination can be made (which provides that if an enterprise agreement is approved, it will apply to you and your individual agreement will terminate).</w:t>
      </w:r>
    </w:p>
    <w:p w14:paraId="19372334" w14:textId="77777777" w:rsidR="00976688" w:rsidRPr="00DB7496" w:rsidRDefault="00791B05" w:rsidP="00976688">
      <w:pPr>
        <w:pStyle w:val="ItemHead"/>
      </w:pPr>
      <w:r w:rsidRPr="00DB7496">
        <w:t>23</w:t>
      </w:r>
      <w:r w:rsidR="00976688" w:rsidRPr="00DB7496">
        <w:t xml:space="preserve">  </w:t>
      </w:r>
      <w:r w:rsidR="0064537B" w:rsidRPr="00DB7496">
        <w:t>Part 1</w:t>
      </w:r>
      <w:r w:rsidR="00976688" w:rsidRPr="00DB7496">
        <w:t xml:space="preserve"> of </w:t>
      </w:r>
      <w:r w:rsidR="0064537B" w:rsidRPr="00DB7496">
        <w:t>Schedule 5</w:t>
      </w:r>
      <w:r w:rsidR="00976688" w:rsidRPr="00DB7496">
        <w:t>.2 (after table item 2.2)</w:t>
      </w:r>
    </w:p>
    <w:p w14:paraId="734E2F4B" w14:textId="77777777" w:rsidR="00976688" w:rsidRPr="00DB7496" w:rsidRDefault="00976688" w:rsidP="00976688">
      <w:pPr>
        <w:pStyle w:val="Item"/>
      </w:pPr>
      <w:r w:rsidRPr="00DB7496">
        <w:t>Insert:</w:t>
      </w:r>
    </w:p>
    <w:p w14:paraId="1979534C" w14:textId="77777777" w:rsidR="00976688" w:rsidRPr="00DB7496" w:rsidRDefault="00976688" w:rsidP="00976688">
      <w:pPr>
        <w:pStyle w:val="Tabletext"/>
      </w:pPr>
    </w:p>
    <w:tbl>
      <w:tblPr>
        <w:tblW w:w="5000" w:type="pct"/>
        <w:tblBorders>
          <w:bottom w:val="single" w:sz="2" w:space="0" w:color="auto"/>
          <w:insideH w:val="single" w:sz="2" w:space="0" w:color="auto"/>
        </w:tblBorders>
        <w:tblLook w:val="0000" w:firstRow="0" w:lastRow="0" w:firstColumn="0" w:lastColumn="0" w:noHBand="0" w:noVBand="0"/>
      </w:tblPr>
      <w:tblGrid>
        <w:gridCol w:w="930"/>
        <w:gridCol w:w="4517"/>
        <w:gridCol w:w="2866"/>
      </w:tblGrid>
      <w:tr w:rsidR="00976688" w:rsidRPr="00DB7496" w14:paraId="4AC989CF" w14:textId="77777777" w:rsidTr="00B278E9">
        <w:tc>
          <w:tcPr>
            <w:tcW w:w="559" w:type="pct"/>
            <w:tcBorders>
              <w:bottom w:val="single" w:sz="2" w:space="0" w:color="auto"/>
            </w:tcBorders>
            <w:shd w:val="clear" w:color="auto" w:fill="auto"/>
          </w:tcPr>
          <w:p w14:paraId="5E7D589C" w14:textId="77777777" w:rsidR="00976688" w:rsidRPr="00DB7496" w:rsidRDefault="00976688" w:rsidP="00B278E9">
            <w:pPr>
              <w:pStyle w:val="Tabletext"/>
            </w:pPr>
            <w:r w:rsidRPr="00DB7496">
              <w:t>2.2A</w:t>
            </w:r>
          </w:p>
        </w:tc>
        <w:tc>
          <w:tcPr>
            <w:tcW w:w="2717" w:type="pct"/>
            <w:tcBorders>
              <w:bottom w:val="single" w:sz="2" w:space="0" w:color="auto"/>
            </w:tcBorders>
            <w:shd w:val="clear" w:color="auto" w:fill="auto"/>
          </w:tcPr>
          <w:p w14:paraId="09BD35E3" w14:textId="77777777" w:rsidR="00976688" w:rsidRPr="00DB7496" w:rsidRDefault="00976688" w:rsidP="00B278E9">
            <w:pPr>
              <w:pStyle w:val="Tabletext"/>
            </w:pPr>
            <w:r w:rsidRPr="00DB7496">
              <w:t>The number of applications for variations of an enterprise agreement made in a quarter under section 216CA of the Act</w:t>
            </w:r>
          </w:p>
        </w:tc>
        <w:tc>
          <w:tcPr>
            <w:tcW w:w="1724" w:type="pct"/>
            <w:tcBorders>
              <w:bottom w:val="single" w:sz="2" w:space="0" w:color="auto"/>
            </w:tcBorders>
            <w:shd w:val="clear" w:color="auto" w:fill="auto"/>
          </w:tcPr>
          <w:p w14:paraId="3AC8F771" w14:textId="77777777" w:rsidR="00976688" w:rsidRPr="00DB7496" w:rsidRDefault="00976688" w:rsidP="00B278E9">
            <w:pPr>
              <w:pStyle w:val="Tabletext"/>
            </w:pPr>
            <w:r w:rsidRPr="00DB7496">
              <w:t>as soon as practicable after the end of the quarter</w:t>
            </w:r>
          </w:p>
        </w:tc>
      </w:tr>
      <w:tr w:rsidR="00976688" w:rsidRPr="00DB7496" w14:paraId="1D0C2DFE" w14:textId="77777777" w:rsidTr="00B278E9">
        <w:tc>
          <w:tcPr>
            <w:tcW w:w="559" w:type="pct"/>
            <w:tcBorders>
              <w:top w:val="single" w:sz="2" w:space="0" w:color="auto"/>
              <w:bottom w:val="nil"/>
            </w:tcBorders>
            <w:shd w:val="clear" w:color="auto" w:fill="auto"/>
          </w:tcPr>
          <w:p w14:paraId="30B8A949" w14:textId="77777777" w:rsidR="00976688" w:rsidRPr="00DB7496" w:rsidRDefault="00976688" w:rsidP="00B278E9">
            <w:pPr>
              <w:pStyle w:val="Tabletext"/>
            </w:pPr>
            <w:r w:rsidRPr="00DB7496">
              <w:t>2.2B</w:t>
            </w:r>
          </w:p>
        </w:tc>
        <w:tc>
          <w:tcPr>
            <w:tcW w:w="2717" w:type="pct"/>
            <w:tcBorders>
              <w:top w:val="single" w:sz="2" w:space="0" w:color="auto"/>
              <w:bottom w:val="nil"/>
            </w:tcBorders>
            <w:shd w:val="clear" w:color="auto" w:fill="auto"/>
          </w:tcPr>
          <w:p w14:paraId="37431C41" w14:textId="77777777" w:rsidR="00976688" w:rsidRPr="00DB7496" w:rsidRDefault="00976688" w:rsidP="00B278E9">
            <w:pPr>
              <w:pStyle w:val="Tabletext"/>
            </w:pPr>
            <w:r w:rsidRPr="00DB7496">
              <w:t>The number of applications for variations of an enterprise agreement made in a quarter under section 216EA of the Act</w:t>
            </w:r>
          </w:p>
        </w:tc>
        <w:tc>
          <w:tcPr>
            <w:tcW w:w="1724" w:type="pct"/>
            <w:tcBorders>
              <w:top w:val="single" w:sz="2" w:space="0" w:color="auto"/>
              <w:bottom w:val="nil"/>
            </w:tcBorders>
            <w:shd w:val="clear" w:color="auto" w:fill="auto"/>
          </w:tcPr>
          <w:p w14:paraId="249FAF13" w14:textId="77777777" w:rsidR="00976688" w:rsidRPr="00DB7496" w:rsidRDefault="00976688" w:rsidP="00B278E9">
            <w:pPr>
              <w:pStyle w:val="Tabletext"/>
            </w:pPr>
            <w:r w:rsidRPr="00DB7496">
              <w:t>as soon as practicable after the end of the quarter</w:t>
            </w:r>
          </w:p>
        </w:tc>
      </w:tr>
    </w:tbl>
    <w:p w14:paraId="774D24B0" w14:textId="77777777" w:rsidR="00976688" w:rsidRPr="00DB7496" w:rsidRDefault="00976688" w:rsidP="00976688">
      <w:pPr>
        <w:pStyle w:val="Tabletext"/>
      </w:pPr>
    </w:p>
    <w:p w14:paraId="658575B6" w14:textId="77777777" w:rsidR="00976688" w:rsidRPr="00DB7496" w:rsidRDefault="00791B05" w:rsidP="00976688">
      <w:pPr>
        <w:pStyle w:val="ItemHead"/>
      </w:pPr>
      <w:r w:rsidRPr="00DB7496">
        <w:t>24</w:t>
      </w:r>
      <w:r w:rsidR="00976688" w:rsidRPr="00DB7496">
        <w:t xml:space="preserve">  </w:t>
      </w:r>
      <w:r w:rsidR="0064537B" w:rsidRPr="00DB7496">
        <w:t>Part 1</w:t>
      </w:r>
      <w:r w:rsidR="00976688" w:rsidRPr="00DB7496">
        <w:t xml:space="preserve"> of </w:t>
      </w:r>
      <w:r w:rsidR="0064537B" w:rsidRPr="00DB7496">
        <w:t>Schedule 5</w:t>
      </w:r>
      <w:r w:rsidR="00976688" w:rsidRPr="00DB7496">
        <w:t>.2 (after table item 2.3)</w:t>
      </w:r>
    </w:p>
    <w:p w14:paraId="4C01B809" w14:textId="77777777" w:rsidR="00976688" w:rsidRPr="00DB7496" w:rsidRDefault="00976688" w:rsidP="00976688">
      <w:pPr>
        <w:pStyle w:val="Item"/>
      </w:pPr>
      <w:r w:rsidRPr="00DB7496">
        <w:t>Insert:</w:t>
      </w:r>
    </w:p>
    <w:p w14:paraId="78FE00D7" w14:textId="77777777" w:rsidR="00976688" w:rsidRPr="00DB7496" w:rsidRDefault="00976688" w:rsidP="00976688">
      <w:pPr>
        <w:pStyle w:val="Tabletext"/>
      </w:pPr>
    </w:p>
    <w:tbl>
      <w:tblPr>
        <w:tblW w:w="5000" w:type="pct"/>
        <w:tblLook w:val="0000" w:firstRow="0" w:lastRow="0" w:firstColumn="0" w:lastColumn="0" w:noHBand="0" w:noVBand="0"/>
      </w:tblPr>
      <w:tblGrid>
        <w:gridCol w:w="930"/>
        <w:gridCol w:w="4517"/>
        <w:gridCol w:w="2866"/>
      </w:tblGrid>
      <w:tr w:rsidR="00976688" w:rsidRPr="00DB7496" w14:paraId="11E6CCE6" w14:textId="77777777" w:rsidTr="00B278E9">
        <w:tc>
          <w:tcPr>
            <w:tcW w:w="559" w:type="pct"/>
            <w:shd w:val="clear" w:color="auto" w:fill="auto"/>
          </w:tcPr>
          <w:p w14:paraId="43733490" w14:textId="77777777" w:rsidR="00976688" w:rsidRPr="00DB7496" w:rsidRDefault="00976688" w:rsidP="00B278E9">
            <w:pPr>
              <w:pStyle w:val="Tabletext"/>
            </w:pPr>
            <w:r w:rsidRPr="00DB7496">
              <w:t>2.3A</w:t>
            </w:r>
          </w:p>
        </w:tc>
        <w:tc>
          <w:tcPr>
            <w:tcW w:w="2717" w:type="pct"/>
            <w:shd w:val="clear" w:color="auto" w:fill="auto"/>
          </w:tcPr>
          <w:p w14:paraId="35B446EA" w14:textId="77777777" w:rsidR="00976688" w:rsidRPr="00DB7496" w:rsidRDefault="00976688" w:rsidP="00B278E9">
            <w:pPr>
              <w:pStyle w:val="Tabletext"/>
            </w:pPr>
            <w:r w:rsidRPr="00DB7496">
              <w:t>The number of applications for reconsiderations of an enterprise agreement made in a quarter under section 227A of the Act</w:t>
            </w:r>
          </w:p>
        </w:tc>
        <w:tc>
          <w:tcPr>
            <w:tcW w:w="1724" w:type="pct"/>
            <w:shd w:val="clear" w:color="auto" w:fill="auto"/>
          </w:tcPr>
          <w:p w14:paraId="6011473D" w14:textId="77777777" w:rsidR="00976688" w:rsidRPr="00DB7496" w:rsidRDefault="00976688" w:rsidP="00B278E9">
            <w:pPr>
              <w:pStyle w:val="Tabletext"/>
            </w:pPr>
            <w:r w:rsidRPr="00DB7496">
              <w:t>as soon as practicable after the end of the quarter</w:t>
            </w:r>
          </w:p>
        </w:tc>
      </w:tr>
    </w:tbl>
    <w:p w14:paraId="5E4F4FF2" w14:textId="77777777" w:rsidR="00976688" w:rsidRPr="00DB7496" w:rsidRDefault="00976688" w:rsidP="00976688">
      <w:pPr>
        <w:pStyle w:val="Tabletext"/>
      </w:pPr>
    </w:p>
    <w:p w14:paraId="23BAE031" w14:textId="77777777" w:rsidR="00976688" w:rsidRPr="00DB7496" w:rsidRDefault="00791B05" w:rsidP="00976688">
      <w:pPr>
        <w:pStyle w:val="ItemHead"/>
      </w:pPr>
      <w:r w:rsidRPr="00DB7496">
        <w:t>25</w:t>
      </w:r>
      <w:r w:rsidR="00976688" w:rsidRPr="00DB7496">
        <w:t xml:space="preserve">  </w:t>
      </w:r>
      <w:r w:rsidR="0064537B" w:rsidRPr="00DB7496">
        <w:t>Part 1</w:t>
      </w:r>
      <w:r w:rsidR="00976688" w:rsidRPr="00DB7496">
        <w:t xml:space="preserve"> of </w:t>
      </w:r>
      <w:r w:rsidR="0064537B" w:rsidRPr="00DB7496">
        <w:t>Schedule 5</w:t>
      </w:r>
      <w:r w:rsidR="00976688" w:rsidRPr="00DB7496">
        <w:t>.2 (after table item 2.4)</w:t>
      </w:r>
    </w:p>
    <w:p w14:paraId="53377325" w14:textId="77777777" w:rsidR="00976688" w:rsidRPr="00DB7496" w:rsidRDefault="00976688" w:rsidP="00976688">
      <w:pPr>
        <w:pStyle w:val="Item"/>
      </w:pPr>
      <w:r w:rsidRPr="00DB7496">
        <w:t>Insert:</w:t>
      </w:r>
    </w:p>
    <w:p w14:paraId="114926E4" w14:textId="77777777" w:rsidR="00976688" w:rsidRPr="00DB7496" w:rsidRDefault="00976688" w:rsidP="00976688">
      <w:pPr>
        <w:pStyle w:val="Tabletext"/>
      </w:pPr>
    </w:p>
    <w:tbl>
      <w:tblPr>
        <w:tblW w:w="5000" w:type="pct"/>
        <w:tblLook w:val="0000" w:firstRow="0" w:lastRow="0" w:firstColumn="0" w:lastColumn="0" w:noHBand="0" w:noVBand="0"/>
      </w:tblPr>
      <w:tblGrid>
        <w:gridCol w:w="930"/>
        <w:gridCol w:w="4517"/>
        <w:gridCol w:w="2866"/>
      </w:tblGrid>
      <w:tr w:rsidR="00976688" w:rsidRPr="00DB7496" w14:paraId="3DA5DAE9" w14:textId="77777777" w:rsidTr="00B278E9">
        <w:tc>
          <w:tcPr>
            <w:tcW w:w="559" w:type="pct"/>
            <w:shd w:val="clear" w:color="auto" w:fill="auto"/>
          </w:tcPr>
          <w:p w14:paraId="3E65A124" w14:textId="77777777" w:rsidR="00976688" w:rsidRPr="00DB7496" w:rsidRDefault="00976688" w:rsidP="00B278E9">
            <w:pPr>
              <w:pStyle w:val="Tabletext"/>
            </w:pPr>
            <w:r w:rsidRPr="00DB7496">
              <w:t>2.4A</w:t>
            </w:r>
          </w:p>
        </w:tc>
        <w:tc>
          <w:tcPr>
            <w:tcW w:w="2717" w:type="pct"/>
            <w:shd w:val="clear" w:color="auto" w:fill="auto"/>
          </w:tcPr>
          <w:p w14:paraId="5BE3B147" w14:textId="77777777" w:rsidR="00976688" w:rsidRPr="00DB7496" w:rsidRDefault="00976688" w:rsidP="00B278E9">
            <w:pPr>
              <w:pStyle w:val="Tabletext"/>
            </w:pPr>
            <w:r w:rsidRPr="00DB7496">
              <w:t xml:space="preserve">The number of enterprise agreements approved in a quarter under </w:t>
            </w:r>
            <w:r w:rsidR="00DE5B61" w:rsidRPr="00DB7496">
              <w:t>section 1</w:t>
            </w:r>
            <w:r w:rsidRPr="00DB7496">
              <w:t xml:space="preserve">86 of the Act with amendments specified under </w:t>
            </w:r>
            <w:r w:rsidR="00DE5B61" w:rsidRPr="00DB7496">
              <w:t>section 1</w:t>
            </w:r>
            <w:r w:rsidRPr="00DB7496">
              <w:t>91A of the Act</w:t>
            </w:r>
          </w:p>
        </w:tc>
        <w:tc>
          <w:tcPr>
            <w:tcW w:w="1724" w:type="pct"/>
            <w:shd w:val="clear" w:color="auto" w:fill="auto"/>
          </w:tcPr>
          <w:p w14:paraId="4914CA68" w14:textId="77777777" w:rsidR="00976688" w:rsidRPr="00DB7496" w:rsidRDefault="00976688" w:rsidP="00B278E9">
            <w:pPr>
              <w:pStyle w:val="Tabletext"/>
            </w:pPr>
            <w:r w:rsidRPr="00DB7496">
              <w:t>as soon as practicable after the end of the quarter</w:t>
            </w:r>
          </w:p>
        </w:tc>
      </w:tr>
    </w:tbl>
    <w:p w14:paraId="1ECC0266" w14:textId="77777777" w:rsidR="00976688" w:rsidRPr="00DB7496" w:rsidRDefault="00976688" w:rsidP="00976688">
      <w:pPr>
        <w:pStyle w:val="Tabletext"/>
      </w:pPr>
    </w:p>
    <w:p w14:paraId="1384D029" w14:textId="77777777" w:rsidR="00976688" w:rsidRPr="00DB7496" w:rsidRDefault="00791B05" w:rsidP="00976688">
      <w:pPr>
        <w:pStyle w:val="ItemHead"/>
      </w:pPr>
      <w:r w:rsidRPr="00DB7496">
        <w:t>26</w:t>
      </w:r>
      <w:r w:rsidR="00976688" w:rsidRPr="00DB7496">
        <w:t xml:space="preserve">  </w:t>
      </w:r>
      <w:r w:rsidR="0064537B" w:rsidRPr="00DB7496">
        <w:t>Part 1</w:t>
      </w:r>
      <w:r w:rsidR="00976688" w:rsidRPr="00DB7496">
        <w:t xml:space="preserve"> of </w:t>
      </w:r>
      <w:r w:rsidR="0064537B" w:rsidRPr="00DB7496">
        <w:t>Schedule 5</w:t>
      </w:r>
      <w:r w:rsidR="00976688" w:rsidRPr="00DB7496">
        <w:t>.2 (after table item 2.5)</w:t>
      </w:r>
    </w:p>
    <w:p w14:paraId="693264D9" w14:textId="77777777" w:rsidR="00976688" w:rsidRPr="00DB7496" w:rsidRDefault="00976688" w:rsidP="00976688">
      <w:pPr>
        <w:pStyle w:val="Item"/>
      </w:pPr>
      <w:r w:rsidRPr="00DB7496">
        <w:t>Insert:</w:t>
      </w:r>
    </w:p>
    <w:p w14:paraId="4D53BC43" w14:textId="77777777" w:rsidR="00976688" w:rsidRPr="00DB7496" w:rsidRDefault="00976688" w:rsidP="00976688">
      <w:pPr>
        <w:pStyle w:val="Tabletext"/>
      </w:pPr>
    </w:p>
    <w:tbl>
      <w:tblPr>
        <w:tblW w:w="5000" w:type="pct"/>
        <w:tblLook w:val="0000" w:firstRow="0" w:lastRow="0" w:firstColumn="0" w:lastColumn="0" w:noHBand="0" w:noVBand="0"/>
      </w:tblPr>
      <w:tblGrid>
        <w:gridCol w:w="930"/>
        <w:gridCol w:w="4517"/>
        <w:gridCol w:w="2866"/>
      </w:tblGrid>
      <w:tr w:rsidR="00976688" w:rsidRPr="00DB7496" w14:paraId="0A78105B" w14:textId="77777777" w:rsidTr="00B278E9">
        <w:tc>
          <w:tcPr>
            <w:tcW w:w="559" w:type="pct"/>
            <w:shd w:val="clear" w:color="auto" w:fill="auto"/>
          </w:tcPr>
          <w:p w14:paraId="206A319B" w14:textId="77777777" w:rsidR="00976688" w:rsidRPr="00DB7496" w:rsidRDefault="00976688" w:rsidP="00B278E9">
            <w:pPr>
              <w:pStyle w:val="Tabletext"/>
            </w:pPr>
            <w:r w:rsidRPr="00DB7496">
              <w:t>2.5A</w:t>
            </w:r>
          </w:p>
        </w:tc>
        <w:tc>
          <w:tcPr>
            <w:tcW w:w="2717" w:type="pct"/>
            <w:shd w:val="clear" w:color="auto" w:fill="auto"/>
          </w:tcPr>
          <w:p w14:paraId="24FDC3ED" w14:textId="77777777" w:rsidR="00976688" w:rsidRPr="00DB7496" w:rsidRDefault="00976688" w:rsidP="00B278E9">
            <w:pPr>
              <w:pStyle w:val="Tabletext"/>
            </w:pPr>
            <w:r w:rsidRPr="00DB7496">
              <w:t xml:space="preserve">The number of </w:t>
            </w:r>
            <w:r w:rsidR="00FA256A" w:rsidRPr="00DB7496">
              <w:t>single</w:t>
            </w:r>
            <w:r w:rsidR="00DB7496">
              <w:noBreakHyphen/>
            </w:r>
            <w:r w:rsidRPr="00DB7496">
              <w:t xml:space="preserve">enterprise agreements approved in a quarter under </w:t>
            </w:r>
            <w:r w:rsidR="00DE5B61" w:rsidRPr="00DB7496">
              <w:t>section 1</w:t>
            </w:r>
            <w:r w:rsidR="00FA256A" w:rsidRPr="00DB7496">
              <w:t>86 of the</w:t>
            </w:r>
            <w:r w:rsidRPr="00DB7496">
              <w:t xml:space="preserve"> Act in respect of which an employer gave</w:t>
            </w:r>
            <w:r w:rsidRPr="00DB7496">
              <w:rPr>
                <w:i/>
              </w:rPr>
              <w:t xml:space="preserve"> </w:t>
            </w:r>
            <w:r w:rsidRPr="00DB7496">
              <w:t xml:space="preserve">a notice under </w:t>
            </w:r>
            <w:r w:rsidR="003E1627" w:rsidRPr="00DB7496">
              <w:t>subsection 1</w:t>
            </w:r>
            <w:r w:rsidRPr="00DB7496">
              <w:t>73(1) of the Act</w:t>
            </w:r>
          </w:p>
        </w:tc>
        <w:tc>
          <w:tcPr>
            <w:tcW w:w="1724" w:type="pct"/>
            <w:shd w:val="clear" w:color="auto" w:fill="auto"/>
          </w:tcPr>
          <w:p w14:paraId="365232EA" w14:textId="77777777" w:rsidR="00976688" w:rsidRPr="00DB7496" w:rsidRDefault="00976688" w:rsidP="00B278E9">
            <w:pPr>
              <w:pStyle w:val="Tabletext"/>
            </w:pPr>
            <w:r w:rsidRPr="00DB7496">
              <w:t>as soon as practicable after the end of the quarter</w:t>
            </w:r>
          </w:p>
        </w:tc>
      </w:tr>
    </w:tbl>
    <w:p w14:paraId="3B182244" w14:textId="77777777" w:rsidR="00976688" w:rsidRPr="00DB7496" w:rsidRDefault="00976688" w:rsidP="00976688">
      <w:pPr>
        <w:pStyle w:val="Tabletext"/>
      </w:pPr>
    </w:p>
    <w:p w14:paraId="27E74ED1" w14:textId="77777777" w:rsidR="00976688" w:rsidRPr="00DB7496" w:rsidRDefault="00791B05" w:rsidP="00976688">
      <w:pPr>
        <w:pStyle w:val="ItemHead"/>
      </w:pPr>
      <w:r w:rsidRPr="00DB7496">
        <w:t>27</w:t>
      </w:r>
      <w:r w:rsidR="00976688" w:rsidRPr="00DB7496">
        <w:t xml:space="preserve">  </w:t>
      </w:r>
      <w:r w:rsidR="0064537B" w:rsidRPr="00DB7496">
        <w:t>Part 1</w:t>
      </w:r>
      <w:r w:rsidR="00976688" w:rsidRPr="00DB7496">
        <w:t xml:space="preserve"> of </w:t>
      </w:r>
      <w:r w:rsidR="0064537B" w:rsidRPr="00DB7496">
        <w:t>Schedule 5</w:t>
      </w:r>
      <w:r w:rsidR="00976688" w:rsidRPr="00DB7496">
        <w:t>.2 (after table item 2.7)</w:t>
      </w:r>
    </w:p>
    <w:p w14:paraId="6FC75FAB" w14:textId="77777777" w:rsidR="00976688" w:rsidRPr="00DB7496" w:rsidRDefault="00976688" w:rsidP="00976688">
      <w:pPr>
        <w:pStyle w:val="Item"/>
      </w:pPr>
      <w:r w:rsidRPr="00DB7496">
        <w:t>Insert:</w:t>
      </w:r>
    </w:p>
    <w:p w14:paraId="4EAE28B8" w14:textId="77777777" w:rsidR="00976688" w:rsidRPr="00DB7496" w:rsidRDefault="00976688" w:rsidP="00976688">
      <w:pPr>
        <w:pStyle w:val="Tabletext"/>
      </w:pPr>
    </w:p>
    <w:tbl>
      <w:tblPr>
        <w:tblW w:w="5000" w:type="pct"/>
        <w:tblBorders>
          <w:bottom w:val="single" w:sz="2" w:space="0" w:color="auto"/>
          <w:insideH w:val="single" w:sz="2" w:space="0" w:color="auto"/>
        </w:tblBorders>
        <w:tblLook w:val="0000" w:firstRow="0" w:lastRow="0" w:firstColumn="0" w:lastColumn="0" w:noHBand="0" w:noVBand="0"/>
      </w:tblPr>
      <w:tblGrid>
        <w:gridCol w:w="930"/>
        <w:gridCol w:w="4517"/>
        <w:gridCol w:w="2866"/>
      </w:tblGrid>
      <w:tr w:rsidR="00976688" w:rsidRPr="00DB7496" w14:paraId="291E6D3B" w14:textId="77777777" w:rsidTr="00B278E9">
        <w:tc>
          <w:tcPr>
            <w:tcW w:w="559" w:type="pct"/>
            <w:shd w:val="clear" w:color="auto" w:fill="auto"/>
          </w:tcPr>
          <w:p w14:paraId="0A5CEF97" w14:textId="77777777" w:rsidR="00976688" w:rsidRPr="00DB7496" w:rsidRDefault="00976688" w:rsidP="00B278E9">
            <w:pPr>
              <w:pStyle w:val="Tabletext"/>
            </w:pPr>
            <w:r w:rsidRPr="00DB7496">
              <w:lastRenderedPageBreak/>
              <w:t>2.8</w:t>
            </w:r>
          </w:p>
        </w:tc>
        <w:tc>
          <w:tcPr>
            <w:tcW w:w="2717" w:type="pct"/>
            <w:shd w:val="clear" w:color="auto" w:fill="auto"/>
          </w:tcPr>
          <w:p w14:paraId="2A60380B" w14:textId="77777777" w:rsidR="00976688" w:rsidRPr="00DB7496" w:rsidRDefault="00976688" w:rsidP="00B278E9">
            <w:pPr>
              <w:pStyle w:val="Tabletext"/>
            </w:pPr>
            <w:r w:rsidRPr="00DB7496">
              <w:t>The number of variations of enterprise agreements made in a quarter under section 218A of the Act</w:t>
            </w:r>
          </w:p>
        </w:tc>
        <w:tc>
          <w:tcPr>
            <w:tcW w:w="1724" w:type="pct"/>
            <w:shd w:val="clear" w:color="auto" w:fill="auto"/>
          </w:tcPr>
          <w:p w14:paraId="4852BCB6" w14:textId="77777777" w:rsidR="00976688" w:rsidRPr="00DB7496" w:rsidRDefault="00976688" w:rsidP="00B278E9">
            <w:pPr>
              <w:pStyle w:val="Tabletext"/>
            </w:pPr>
            <w:r w:rsidRPr="00DB7496">
              <w:t>as soon as practicable after the end of the quarter</w:t>
            </w:r>
          </w:p>
        </w:tc>
      </w:tr>
      <w:tr w:rsidR="00976688" w:rsidRPr="00DB7496" w14:paraId="516851FD" w14:textId="77777777" w:rsidTr="00B278E9">
        <w:tc>
          <w:tcPr>
            <w:tcW w:w="559" w:type="pct"/>
            <w:shd w:val="clear" w:color="auto" w:fill="auto"/>
          </w:tcPr>
          <w:p w14:paraId="0F51457B" w14:textId="77777777" w:rsidR="00976688" w:rsidRPr="00DB7496" w:rsidRDefault="00976688" w:rsidP="00B278E9">
            <w:pPr>
              <w:pStyle w:val="Tabletext"/>
            </w:pPr>
            <w:r w:rsidRPr="00DB7496">
              <w:t>2.9</w:t>
            </w:r>
          </w:p>
        </w:tc>
        <w:tc>
          <w:tcPr>
            <w:tcW w:w="2717" w:type="pct"/>
            <w:shd w:val="clear" w:color="auto" w:fill="auto"/>
          </w:tcPr>
          <w:p w14:paraId="3BE33961" w14:textId="77777777" w:rsidR="00976688" w:rsidRPr="00DB7496" w:rsidRDefault="00976688" w:rsidP="00B278E9">
            <w:pPr>
              <w:pStyle w:val="Tabletext"/>
            </w:pPr>
            <w:r w:rsidRPr="00DB7496">
              <w:t>The number of enterprise agreements terminated in a quarter under section 226 of the Act</w:t>
            </w:r>
          </w:p>
        </w:tc>
        <w:tc>
          <w:tcPr>
            <w:tcW w:w="1724" w:type="pct"/>
            <w:shd w:val="clear" w:color="auto" w:fill="auto"/>
          </w:tcPr>
          <w:p w14:paraId="171D12D6" w14:textId="77777777" w:rsidR="00976688" w:rsidRPr="00DB7496" w:rsidRDefault="00976688" w:rsidP="00B278E9">
            <w:pPr>
              <w:pStyle w:val="Tabletext"/>
            </w:pPr>
            <w:r w:rsidRPr="00DB7496">
              <w:t>as soon as practicable after the end of the quarter</w:t>
            </w:r>
          </w:p>
        </w:tc>
      </w:tr>
      <w:tr w:rsidR="00976688" w:rsidRPr="00DB7496" w14:paraId="469BA412" w14:textId="77777777" w:rsidTr="00B278E9">
        <w:tc>
          <w:tcPr>
            <w:tcW w:w="559" w:type="pct"/>
            <w:tcBorders>
              <w:bottom w:val="single" w:sz="2" w:space="0" w:color="auto"/>
            </w:tcBorders>
            <w:shd w:val="clear" w:color="auto" w:fill="auto"/>
          </w:tcPr>
          <w:p w14:paraId="2A1E443B" w14:textId="77777777" w:rsidR="00976688" w:rsidRPr="00DB7496" w:rsidRDefault="00976688" w:rsidP="00B278E9">
            <w:pPr>
              <w:pStyle w:val="Tabletext"/>
            </w:pPr>
            <w:r w:rsidRPr="00DB7496">
              <w:t>2.10</w:t>
            </w:r>
          </w:p>
        </w:tc>
        <w:tc>
          <w:tcPr>
            <w:tcW w:w="2717" w:type="pct"/>
            <w:tcBorders>
              <w:bottom w:val="single" w:sz="2" w:space="0" w:color="auto"/>
            </w:tcBorders>
            <w:shd w:val="clear" w:color="auto" w:fill="auto"/>
          </w:tcPr>
          <w:p w14:paraId="662C65CC" w14:textId="77777777" w:rsidR="00976688" w:rsidRPr="00DB7496" w:rsidRDefault="00976688" w:rsidP="00B278E9">
            <w:pPr>
              <w:pStyle w:val="Tabletext"/>
            </w:pPr>
            <w:r w:rsidRPr="00DB7496">
              <w:t>The number of guarantees given in a quarter under section 226A of the Act in relation to the termination of an enterprise agreement</w:t>
            </w:r>
          </w:p>
        </w:tc>
        <w:tc>
          <w:tcPr>
            <w:tcW w:w="1724" w:type="pct"/>
            <w:tcBorders>
              <w:bottom w:val="single" w:sz="2" w:space="0" w:color="auto"/>
            </w:tcBorders>
            <w:shd w:val="clear" w:color="auto" w:fill="auto"/>
          </w:tcPr>
          <w:p w14:paraId="504A1F32" w14:textId="77777777" w:rsidR="00976688" w:rsidRPr="00DB7496" w:rsidRDefault="00976688" w:rsidP="00B278E9">
            <w:pPr>
              <w:pStyle w:val="Tabletext"/>
            </w:pPr>
            <w:r w:rsidRPr="00DB7496">
              <w:t>as soon as practicable after the end of the quarter</w:t>
            </w:r>
          </w:p>
        </w:tc>
      </w:tr>
      <w:tr w:rsidR="00976688" w:rsidRPr="00DB7496" w14:paraId="7B610D3C" w14:textId="77777777" w:rsidTr="00B278E9">
        <w:tc>
          <w:tcPr>
            <w:tcW w:w="559" w:type="pct"/>
            <w:tcBorders>
              <w:top w:val="single" w:sz="2" w:space="0" w:color="auto"/>
              <w:bottom w:val="nil"/>
            </w:tcBorders>
            <w:shd w:val="clear" w:color="auto" w:fill="auto"/>
          </w:tcPr>
          <w:p w14:paraId="5BF21763" w14:textId="77777777" w:rsidR="00976688" w:rsidRPr="00DB7496" w:rsidRDefault="00976688" w:rsidP="00B278E9">
            <w:pPr>
              <w:pStyle w:val="Tabletext"/>
            </w:pPr>
            <w:r w:rsidRPr="00DB7496">
              <w:t>2.11</w:t>
            </w:r>
          </w:p>
        </w:tc>
        <w:tc>
          <w:tcPr>
            <w:tcW w:w="2717" w:type="pct"/>
            <w:tcBorders>
              <w:top w:val="single" w:sz="2" w:space="0" w:color="auto"/>
              <w:bottom w:val="nil"/>
            </w:tcBorders>
            <w:shd w:val="clear" w:color="auto" w:fill="auto"/>
          </w:tcPr>
          <w:p w14:paraId="71780A6D" w14:textId="77777777" w:rsidR="00976688" w:rsidRPr="00DB7496" w:rsidRDefault="00976688" w:rsidP="00B278E9">
            <w:pPr>
              <w:pStyle w:val="Tabletext"/>
            </w:pPr>
            <w:r w:rsidRPr="00DB7496">
              <w:t>The number of enterprise agreements amended, or in respect of which undertakings were accepted, in a quarter under section 227B of the Act</w:t>
            </w:r>
          </w:p>
        </w:tc>
        <w:tc>
          <w:tcPr>
            <w:tcW w:w="1724" w:type="pct"/>
            <w:tcBorders>
              <w:top w:val="single" w:sz="2" w:space="0" w:color="auto"/>
              <w:bottom w:val="nil"/>
            </w:tcBorders>
            <w:shd w:val="clear" w:color="auto" w:fill="auto"/>
          </w:tcPr>
          <w:p w14:paraId="2534F328" w14:textId="77777777" w:rsidR="00976688" w:rsidRPr="00DB7496" w:rsidRDefault="00976688" w:rsidP="00B278E9">
            <w:pPr>
              <w:pStyle w:val="Tabletext"/>
            </w:pPr>
            <w:r w:rsidRPr="00DB7496">
              <w:t>as soon as practicable after the end of the quarter</w:t>
            </w:r>
          </w:p>
        </w:tc>
      </w:tr>
    </w:tbl>
    <w:p w14:paraId="5545B07B" w14:textId="77777777" w:rsidR="00976688" w:rsidRPr="00DB7496" w:rsidRDefault="00976688" w:rsidP="00976688">
      <w:pPr>
        <w:pStyle w:val="Tabletext"/>
      </w:pPr>
    </w:p>
    <w:p w14:paraId="6D9037EC" w14:textId="77777777" w:rsidR="00976688" w:rsidRPr="00DB7496" w:rsidRDefault="00791B05" w:rsidP="00976688">
      <w:pPr>
        <w:pStyle w:val="ItemHead"/>
      </w:pPr>
      <w:r w:rsidRPr="00DB7496">
        <w:t>28</w:t>
      </w:r>
      <w:r w:rsidR="00976688" w:rsidRPr="00DB7496">
        <w:t xml:space="preserve">  </w:t>
      </w:r>
      <w:r w:rsidR="0064537B" w:rsidRPr="00DB7496">
        <w:t>Part 1</w:t>
      </w:r>
      <w:r w:rsidR="00976688" w:rsidRPr="00DB7496">
        <w:t xml:space="preserve"> of </w:t>
      </w:r>
      <w:r w:rsidR="0064537B" w:rsidRPr="00DB7496">
        <w:t>Schedule 5</w:t>
      </w:r>
      <w:r w:rsidR="00976688" w:rsidRPr="00DB7496">
        <w:t xml:space="preserve">.2 (table </w:t>
      </w:r>
      <w:r w:rsidR="005C336C" w:rsidRPr="00DB7496">
        <w:t>items 3</w:t>
      </w:r>
      <w:r w:rsidR="00976688" w:rsidRPr="00DB7496">
        <w:t>.2 and 3.7)</w:t>
      </w:r>
    </w:p>
    <w:p w14:paraId="50BE3F63" w14:textId="77777777" w:rsidR="00976688" w:rsidRPr="00DB7496" w:rsidRDefault="00976688" w:rsidP="00976688">
      <w:pPr>
        <w:pStyle w:val="Item"/>
      </w:pPr>
      <w:r w:rsidRPr="00DB7496">
        <w:t>Omit “serious breach declarations”, substitute “intractable bargaining declarations”.</w:t>
      </w:r>
    </w:p>
    <w:p w14:paraId="2D928D1C" w14:textId="77777777" w:rsidR="00976688" w:rsidRPr="00DB7496" w:rsidRDefault="00791B05" w:rsidP="00976688">
      <w:pPr>
        <w:pStyle w:val="ItemHead"/>
      </w:pPr>
      <w:r w:rsidRPr="00DB7496">
        <w:t>29</w:t>
      </w:r>
      <w:r w:rsidR="00976688" w:rsidRPr="00DB7496">
        <w:t xml:space="preserve">  </w:t>
      </w:r>
      <w:r w:rsidR="0064537B" w:rsidRPr="00DB7496">
        <w:t>Part 1</w:t>
      </w:r>
      <w:r w:rsidR="00976688" w:rsidRPr="00DB7496">
        <w:t xml:space="preserve"> of </w:t>
      </w:r>
      <w:r w:rsidR="0064537B" w:rsidRPr="00DB7496">
        <w:t>Schedule 5</w:t>
      </w:r>
      <w:r w:rsidR="00976688" w:rsidRPr="00DB7496">
        <w:t>.2 (table item 4)</w:t>
      </w:r>
    </w:p>
    <w:p w14:paraId="6A3C4456" w14:textId="77777777" w:rsidR="00976688" w:rsidRPr="00DB7496" w:rsidRDefault="00976688" w:rsidP="00976688">
      <w:pPr>
        <w:pStyle w:val="Item"/>
      </w:pPr>
      <w:r w:rsidRPr="00DB7496">
        <w:t>Omit “</w:t>
      </w:r>
      <w:r w:rsidRPr="00DB7496">
        <w:rPr>
          <w:b/>
          <w:i/>
        </w:rPr>
        <w:t>Low</w:t>
      </w:r>
      <w:r w:rsidR="00DB7496">
        <w:rPr>
          <w:b/>
          <w:i/>
        </w:rPr>
        <w:noBreakHyphen/>
      </w:r>
      <w:r w:rsidRPr="00DB7496">
        <w:rPr>
          <w:b/>
          <w:i/>
        </w:rPr>
        <w:t>paid</w:t>
      </w:r>
      <w:r w:rsidRPr="00DB7496">
        <w:t>”, substitute “</w:t>
      </w:r>
      <w:r w:rsidRPr="00DB7496">
        <w:rPr>
          <w:b/>
          <w:i/>
        </w:rPr>
        <w:t>Supported</w:t>
      </w:r>
      <w:r w:rsidRPr="00DB7496">
        <w:t>”.</w:t>
      </w:r>
    </w:p>
    <w:p w14:paraId="251676ED" w14:textId="77777777" w:rsidR="00976688" w:rsidRPr="00DB7496" w:rsidRDefault="00791B05" w:rsidP="00976688">
      <w:pPr>
        <w:pStyle w:val="ItemHead"/>
      </w:pPr>
      <w:bookmarkStart w:id="52" w:name="_PageBreakInsert"/>
      <w:bookmarkEnd w:id="52"/>
      <w:r w:rsidRPr="00DB7496">
        <w:t>30</w:t>
      </w:r>
      <w:r w:rsidR="00976688" w:rsidRPr="00DB7496">
        <w:t xml:space="preserve">  </w:t>
      </w:r>
      <w:r w:rsidR="0064537B" w:rsidRPr="00DB7496">
        <w:t>Part 1</w:t>
      </w:r>
      <w:r w:rsidR="00976688" w:rsidRPr="00DB7496">
        <w:t xml:space="preserve"> of </w:t>
      </w:r>
      <w:r w:rsidR="0064537B" w:rsidRPr="00DB7496">
        <w:t>Schedule 5</w:t>
      </w:r>
      <w:r w:rsidR="00976688" w:rsidRPr="00DB7496">
        <w:t>.2 (before table item 4.1)</w:t>
      </w:r>
    </w:p>
    <w:p w14:paraId="69DD3A36" w14:textId="77777777" w:rsidR="00976688" w:rsidRPr="00DB7496" w:rsidRDefault="00976688" w:rsidP="00976688">
      <w:pPr>
        <w:pStyle w:val="Item"/>
      </w:pPr>
      <w:r w:rsidRPr="00DB7496">
        <w:t>Insert:</w:t>
      </w:r>
    </w:p>
    <w:p w14:paraId="670F1AD5" w14:textId="77777777" w:rsidR="00976688" w:rsidRPr="00DB7496" w:rsidRDefault="00976688" w:rsidP="00976688">
      <w:pPr>
        <w:pStyle w:val="Tabletext"/>
      </w:pPr>
    </w:p>
    <w:tbl>
      <w:tblPr>
        <w:tblW w:w="5000" w:type="pct"/>
        <w:tblBorders>
          <w:insideH w:val="single" w:sz="4" w:space="0" w:color="auto"/>
        </w:tblBorders>
        <w:tblLook w:val="0000" w:firstRow="0" w:lastRow="0" w:firstColumn="0" w:lastColumn="0" w:noHBand="0" w:noVBand="0"/>
      </w:tblPr>
      <w:tblGrid>
        <w:gridCol w:w="930"/>
        <w:gridCol w:w="4517"/>
        <w:gridCol w:w="2866"/>
      </w:tblGrid>
      <w:tr w:rsidR="00976688" w:rsidRPr="00DB7496" w14:paraId="0320AF59" w14:textId="77777777" w:rsidTr="00B278E9">
        <w:tc>
          <w:tcPr>
            <w:tcW w:w="559" w:type="pct"/>
            <w:shd w:val="clear" w:color="auto" w:fill="auto"/>
          </w:tcPr>
          <w:p w14:paraId="498548D3" w14:textId="77777777" w:rsidR="00976688" w:rsidRPr="00DB7496" w:rsidRDefault="00976688" w:rsidP="00B278E9">
            <w:pPr>
              <w:pStyle w:val="Tabletext"/>
            </w:pPr>
            <w:r w:rsidRPr="00DB7496">
              <w:t>4.1AA</w:t>
            </w:r>
          </w:p>
        </w:tc>
        <w:tc>
          <w:tcPr>
            <w:tcW w:w="2717" w:type="pct"/>
            <w:shd w:val="clear" w:color="auto" w:fill="auto"/>
          </w:tcPr>
          <w:p w14:paraId="1947B2A0" w14:textId="77777777" w:rsidR="00976688" w:rsidRPr="00DB7496" w:rsidRDefault="00976688" w:rsidP="00B278E9">
            <w:pPr>
              <w:pStyle w:val="Tabletext"/>
            </w:pPr>
            <w:r w:rsidRPr="00DB7496">
              <w:t>The number of applications for variations of a supported bargaining agreement made in a quarter under section 216AA of the Act</w:t>
            </w:r>
          </w:p>
        </w:tc>
        <w:tc>
          <w:tcPr>
            <w:tcW w:w="1724" w:type="pct"/>
            <w:shd w:val="clear" w:color="auto" w:fill="auto"/>
          </w:tcPr>
          <w:p w14:paraId="6E9C7425" w14:textId="77777777" w:rsidR="00976688" w:rsidRPr="00DB7496" w:rsidRDefault="00976688" w:rsidP="00B278E9">
            <w:pPr>
              <w:pStyle w:val="Tabletext"/>
            </w:pPr>
            <w:r w:rsidRPr="00DB7496">
              <w:t>as soon as practicable after the end of the quarter</w:t>
            </w:r>
          </w:p>
        </w:tc>
      </w:tr>
      <w:tr w:rsidR="00976688" w:rsidRPr="00DB7496" w14:paraId="000A826F" w14:textId="77777777" w:rsidTr="00B278E9">
        <w:tc>
          <w:tcPr>
            <w:tcW w:w="559" w:type="pct"/>
            <w:shd w:val="clear" w:color="auto" w:fill="auto"/>
          </w:tcPr>
          <w:p w14:paraId="17F39F35" w14:textId="77777777" w:rsidR="00976688" w:rsidRPr="00DB7496" w:rsidRDefault="00976688" w:rsidP="00B278E9">
            <w:pPr>
              <w:pStyle w:val="Tabletext"/>
            </w:pPr>
            <w:r w:rsidRPr="00DB7496">
              <w:t>4.1AB</w:t>
            </w:r>
          </w:p>
        </w:tc>
        <w:tc>
          <w:tcPr>
            <w:tcW w:w="2717" w:type="pct"/>
            <w:shd w:val="clear" w:color="auto" w:fill="auto"/>
          </w:tcPr>
          <w:p w14:paraId="782F7EBB" w14:textId="77777777" w:rsidR="00976688" w:rsidRPr="00DB7496" w:rsidRDefault="00976688" w:rsidP="00B278E9">
            <w:pPr>
              <w:pStyle w:val="Tabletext"/>
            </w:pPr>
            <w:r w:rsidRPr="00DB7496">
              <w:t>The number of applications for variations of a supported bargaining agreement made in a quarter under section 216B of the Act</w:t>
            </w:r>
          </w:p>
        </w:tc>
        <w:tc>
          <w:tcPr>
            <w:tcW w:w="1724" w:type="pct"/>
            <w:shd w:val="clear" w:color="auto" w:fill="auto"/>
          </w:tcPr>
          <w:p w14:paraId="511DD1E8" w14:textId="77777777" w:rsidR="00976688" w:rsidRPr="00DB7496" w:rsidRDefault="00976688" w:rsidP="00B278E9">
            <w:pPr>
              <w:pStyle w:val="Tabletext"/>
            </w:pPr>
            <w:r w:rsidRPr="00DB7496">
              <w:t>as soon as practicable after the end of the quarter</w:t>
            </w:r>
          </w:p>
        </w:tc>
      </w:tr>
    </w:tbl>
    <w:p w14:paraId="2E3A84F0" w14:textId="77777777" w:rsidR="00FA256A" w:rsidRPr="00DB7496" w:rsidRDefault="00FA256A" w:rsidP="00FA256A">
      <w:pPr>
        <w:pStyle w:val="Tabletext"/>
      </w:pPr>
    </w:p>
    <w:p w14:paraId="160AAFE7" w14:textId="77777777" w:rsidR="00FA256A" w:rsidRPr="00DB7496" w:rsidRDefault="00791B05" w:rsidP="00FA256A">
      <w:pPr>
        <w:pStyle w:val="ItemHead"/>
      </w:pPr>
      <w:r w:rsidRPr="00DB7496">
        <w:t>31</w:t>
      </w:r>
      <w:r w:rsidR="00FA256A" w:rsidRPr="00DB7496">
        <w:t xml:space="preserve">  </w:t>
      </w:r>
      <w:r w:rsidR="0064537B" w:rsidRPr="00DB7496">
        <w:t>Part 1</w:t>
      </w:r>
      <w:r w:rsidR="00FA256A" w:rsidRPr="00DB7496">
        <w:t xml:space="preserve"> of </w:t>
      </w:r>
      <w:r w:rsidR="0064537B" w:rsidRPr="00DB7496">
        <w:t>Schedule 5</w:t>
      </w:r>
      <w:r w:rsidR="00FA256A" w:rsidRPr="00DB7496">
        <w:t>.2 (table item 4.1)</w:t>
      </w:r>
    </w:p>
    <w:p w14:paraId="330AE153" w14:textId="77777777" w:rsidR="00FA256A" w:rsidRPr="00DB7496" w:rsidRDefault="00FA256A" w:rsidP="00FA256A">
      <w:pPr>
        <w:pStyle w:val="Item"/>
      </w:pPr>
      <w:r w:rsidRPr="00DB7496">
        <w:t>Omit “low</w:t>
      </w:r>
      <w:r w:rsidR="00DB7496">
        <w:noBreakHyphen/>
      </w:r>
      <w:r w:rsidRPr="00DB7496">
        <w:t>paid”, substitute “supported bargaining”.</w:t>
      </w:r>
    </w:p>
    <w:p w14:paraId="4372EDAA" w14:textId="77777777" w:rsidR="00FA256A" w:rsidRPr="00DB7496" w:rsidRDefault="00791B05" w:rsidP="00FA256A">
      <w:pPr>
        <w:pStyle w:val="ItemHead"/>
      </w:pPr>
      <w:r w:rsidRPr="00DB7496">
        <w:t>32</w:t>
      </w:r>
      <w:r w:rsidR="00FA256A" w:rsidRPr="00DB7496">
        <w:t xml:space="preserve">  </w:t>
      </w:r>
      <w:r w:rsidR="0064537B" w:rsidRPr="00DB7496">
        <w:t>Part 1</w:t>
      </w:r>
      <w:r w:rsidR="00FA256A" w:rsidRPr="00DB7496">
        <w:t xml:space="preserve"> of </w:t>
      </w:r>
      <w:r w:rsidR="0064537B" w:rsidRPr="00DB7496">
        <w:t>Schedule 5</w:t>
      </w:r>
      <w:r w:rsidR="00FA256A" w:rsidRPr="00DB7496">
        <w:t>.2 (after table item 4.1)</w:t>
      </w:r>
    </w:p>
    <w:p w14:paraId="2B147BA9" w14:textId="77777777" w:rsidR="00FA256A" w:rsidRPr="00DB7496" w:rsidRDefault="00FA256A" w:rsidP="00FA256A">
      <w:pPr>
        <w:pStyle w:val="Item"/>
      </w:pPr>
      <w:r w:rsidRPr="00DB7496">
        <w:t>Insert:</w:t>
      </w:r>
    </w:p>
    <w:p w14:paraId="4BD8C142" w14:textId="77777777" w:rsidR="00FA256A" w:rsidRPr="00DB7496" w:rsidRDefault="00FA256A" w:rsidP="00FA256A">
      <w:pPr>
        <w:pStyle w:val="Tabletext"/>
      </w:pPr>
    </w:p>
    <w:tbl>
      <w:tblPr>
        <w:tblW w:w="5000" w:type="pct"/>
        <w:tblLook w:val="0000" w:firstRow="0" w:lastRow="0" w:firstColumn="0" w:lastColumn="0" w:noHBand="0" w:noVBand="0"/>
      </w:tblPr>
      <w:tblGrid>
        <w:gridCol w:w="930"/>
        <w:gridCol w:w="4517"/>
        <w:gridCol w:w="2866"/>
      </w:tblGrid>
      <w:tr w:rsidR="00FA256A" w:rsidRPr="00DB7496" w14:paraId="404D62D8" w14:textId="77777777" w:rsidTr="00010BAB">
        <w:tc>
          <w:tcPr>
            <w:tcW w:w="559" w:type="pct"/>
            <w:shd w:val="clear" w:color="auto" w:fill="auto"/>
          </w:tcPr>
          <w:p w14:paraId="557AEA06" w14:textId="77777777" w:rsidR="00FA256A" w:rsidRPr="00DB7496" w:rsidRDefault="00FA256A" w:rsidP="00010BAB">
            <w:pPr>
              <w:pStyle w:val="Tabletext"/>
            </w:pPr>
            <w:r w:rsidRPr="00DB7496">
              <w:t>4.1A</w:t>
            </w:r>
          </w:p>
        </w:tc>
        <w:tc>
          <w:tcPr>
            <w:tcW w:w="2717" w:type="pct"/>
            <w:shd w:val="clear" w:color="auto" w:fill="auto"/>
          </w:tcPr>
          <w:p w14:paraId="6770DB58" w14:textId="77777777" w:rsidR="00FA256A" w:rsidRPr="00DB7496" w:rsidRDefault="00FA256A" w:rsidP="00010BAB">
            <w:pPr>
              <w:pStyle w:val="Tabletext"/>
            </w:pPr>
            <w:r w:rsidRPr="00DB7496">
              <w:t>The number of applications for variations of a supported bargaining authorisation made in a quarter under section 244 of the Act</w:t>
            </w:r>
          </w:p>
        </w:tc>
        <w:tc>
          <w:tcPr>
            <w:tcW w:w="1724" w:type="pct"/>
            <w:shd w:val="clear" w:color="auto" w:fill="auto"/>
          </w:tcPr>
          <w:p w14:paraId="6F9B9FC6" w14:textId="77777777" w:rsidR="00FA256A" w:rsidRPr="00DB7496" w:rsidRDefault="00FA256A" w:rsidP="00010BAB">
            <w:pPr>
              <w:pStyle w:val="Tabletext"/>
            </w:pPr>
            <w:r w:rsidRPr="00DB7496">
              <w:t>as soon as practicable after the end of the quarter</w:t>
            </w:r>
          </w:p>
        </w:tc>
      </w:tr>
    </w:tbl>
    <w:p w14:paraId="73D5D24E" w14:textId="77777777" w:rsidR="00FA256A" w:rsidRPr="00DB7496" w:rsidRDefault="00FA256A" w:rsidP="00FA256A">
      <w:pPr>
        <w:pStyle w:val="Tabletext"/>
      </w:pPr>
    </w:p>
    <w:p w14:paraId="6CF1F25E" w14:textId="77777777" w:rsidR="00FA256A" w:rsidRPr="00DB7496" w:rsidRDefault="00791B05" w:rsidP="00FA256A">
      <w:pPr>
        <w:pStyle w:val="ItemHead"/>
      </w:pPr>
      <w:r w:rsidRPr="00DB7496">
        <w:t>33</w:t>
      </w:r>
      <w:r w:rsidR="00FA256A" w:rsidRPr="00DB7496">
        <w:t xml:space="preserve">  </w:t>
      </w:r>
      <w:r w:rsidR="0064537B" w:rsidRPr="00DB7496">
        <w:t>Part 1</w:t>
      </w:r>
      <w:r w:rsidR="00FA256A" w:rsidRPr="00DB7496">
        <w:t xml:space="preserve"> of </w:t>
      </w:r>
      <w:r w:rsidR="0064537B" w:rsidRPr="00DB7496">
        <w:t>Schedule 5</w:t>
      </w:r>
      <w:r w:rsidR="00FA256A" w:rsidRPr="00DB7496">
        <w:t xml:space="preserve">.2 (table </w:t>
      </w:r>
      <w:r w:rsidR="005C336C" w:rsidRPr="00DB7496">
        <w:t>items 4</w:t>
      </w:r>
      <w:r w:rsidR="00FA256A" w:rsidRPr="00DB7496">
        <w:t>.2 and 4.3)</w:t>
      </w:r>
    </w:p>
    <w:p w14:paraId="18EC000E" w14:textId="77777777" w:rsidR="00FA256A" w:rsidRPr="00DB7496" w:rsidRDefault="00FA256A" w:rsidP="00FA256A">
      <w:pPr>
        <w:pStyle w:val="Item"/>
      </w:pPr>
      <w:r w:rsidRPr="00DB7496">
        <w:t>Omit “low</w:t>
      </w:r>
      <w:r w:rsidR="00DB7496">
        <w:noBreakHyphen/>
      </w:r>
      <w:r w:rsidRPr="00DB7496">
        <w:t>paid”, substitute “supported bargaining”.</w:t>
      </w:r>
    </w:p>
    <w:p w14:paraId="30CACEF6" w14:textId="77777777" w:rsidR="00FA256A" w:rsidRPr="00DB7496" w:rsidRDefault="00791B05" w:rsidP="00FA256A">
      <w:pPr>
        <w:pStyle w:val="ItemHead"/>
      </w:pPr>
      <w:r w:rsidRPr="00DB7496">
        <w:t>34</w:t>
      </w:r>
      <w:r w:rsidR="00FA256A" w:rsidRPr="00DB7496">
        <w:t xml:space="preserve">  </w:t>
      </w:r>
      <w:r w:rsidR="0064537B" w:rsidRPr="00DB7496">
        <w:t>Part 1</w:t>
      </w:r>
      <w:r w:rsidR="00FA256A" w:rsidRPr="00DB7496">
        <w:t xml:space="preserve"> of </w:t>
      </w:r>
      <w:r w:rsidR="0064537B" w:rsidRPr="00DB7496">
        <w:t>Schedule 5</w:t>
      </w:r>
      <w:r w:rsidR="00FA256A" w:rsidRPr="00DB7496">
        <w:t>.2 (table item 5)</w:t>
      </w:r>
    </w:p>
    <w:p w14:paraId="6F727DD8" w14:textId="77777777" w:rsidR="00FA256A" w:rsidRPr="00DB7496" w:rsidRDefault="00FA256A" w:rsidP="00FA256A">
      <w:pPr>
        <w:pStyle w:val="Item"/>
      </w:pPr>
      <w:r w:rsidRPr="00DB7496">
        <w:t>Omit “</w:t>
      </w:r>
      <w:r w:rsidRPr="00DB7496">
        <w:rPr>
          <w:b/>
          <w:i/>
        </w:rPr>
        <w:t>authorisations</w:t>
      </w:r>
      <w:r w:rsidRPr="00DB7496">
        <w:t>”, substitute “</w:t>
      </w:r>
      <w:r w:rsidRPr="00DB7496">
        <w:rPr>
          <w:b/>
          <w:i/>
        </w:rPr>
        <w:t>bargaining</w:t>
      </w:r>
      <w:r w:rsidRPr="00DB7496">
        <w:t>”.</w:t>
      </w:r>
    </w:p>
    <w:p w14:paraId="1652B671" w14:textId="77777777" w:rsidR="00FA256A" w:rsidRPr="00DB7496" w:rsidRDefault="00791B05" w:rsidP="00FA256A">
      <w:pPr>
        <w:pStyle w:val="ItemHead"/>
      </w:pPr>
      <w:r w:rsidRPr="00DB7496">
        <w:t>35</w:t>
      </w:r>
      <w:r w:rsidR="00FA256A" w:rsidRPr="00DB7496">
        <w:t xml:space="preserve">  </w:t>
      </w:r>
      <w:r w:rsidR="0064537B" w:rsidRPr="00DB7496">
        <w:t>Part 1</w:t>
      </w:r>
      <w:r w:rsidR="00FA256A" w:rsidRPr="00DB7496">
        <w:t xml:space="preserve"> of </w:t>
      </w:r>
      <w:r w:rsidR="0064537B" w:rsidRPr="00DB7496">
        <w:t>Schedule 5</w:t>
      </w:r>
      <w:r w:rsidR="00FA256A" w:rsidRPr="00DB7496">
        <w:t>.2 (after table item 5.1)</w:t>
      </w:r>
    </w:p>
    <w:p w14:paraId="7E2DC0F9" w14:textId="77777777" w:rsidR="00FA256A" w:rsidRPr="00DB7496" w:rsidRDefault="00FA256A" w:rsidP="00FA256A">
      <w:pPr>
        <w:pStyle w:val="Item"/>
      </w:pPr>
      <w:r w:rsidRPr="00DB7496">
        <w:t>Insert:</w:t>
      </w:r>
    </w:p>
    <w:p w14:paraId="3C510BF0" w14:textId="77777777" w:rsidR="00FA256A" w:rsidRPr="00DB7496" w:rsidRDefault="00FA256A" w:rsidP="00FA256A">
      <w:pPr>
        <w:pStyle w:val="Tabletext"/>
      </w:pPr>
    </w:p>
    <w:tbl>
      <w:tblPr>
        <w:tblW w:w="5000" w:type="pct"/>
        <w:tblBorders>
          <w:insideH w:val="single" w:sz="4" w:space="0" w:color="auto"/>
        </w:tblBorders>
        <w:tblLook w:val="0000" w:firstRow="0" w:lastRow="0" w:firstColumn="0" w:lastColumn="0" w:noHBand="0" w:noVBand="0"/>
      </w:tblPr>
      <w:tblGrid>
        <w:gridCol w:w="930"/>
        <w:gridCol w:w="4517"/>
        <w:gridCol w:w="2866"/>
      </w:tblGrid>
      <w:tr w:rsidR="00FA256A" w:rsidRPr="00DB7496" w14:paraId="1C41E76D" w14:textId="77777777" w:rsidTr="00010BAB">
        <w:tc>
          <w:tcPr>
            <w:tcW w:w="559" w:type="pct"/>
            <w:shd w:val="clear" w:color="auto" w:fill="auto"/>
          </w:tcPr>
          <w:p w14:paraId="0C43DD38" w14:textId="77777777" w:rsidR="00FA256A" w:rsidRPr="00DB7496" w:rsidRDefault="00FA256A" w:rsidP="00010BAB">
            <w:pPr>
              <w:pStyle w:val="Tabletext"/>
            </w:pPr>
            <w:r w:rsidRPr="00DB7496">
              <w:lastRenderedPageBreak/>
              <w:t>5.1A</w:t>
            </w:r>
          </w:p>
        </w:tc>
        <w:tc>
          <w:tcPr>
            <w:tcW w:w="2717" w:type="pct"/>
            <w:shd w:val="clear" w:color="auto" w:fill="auto"/>
          </w:tcPr>
          <w:p w14:paraId="228A5775" w14:textId="77777777" w:rsidR="00FA256A" w:rsidRPr="00DB7496" w:rsidRDefault="00FA256A" w:rsidP="00010BAB">
            <w:pPr>
              <w:pStyle w:val="Tabletext"/>
            </w:pPr>
            <w:r w:rsidRPr="00DB7496">
              <w:t>The number of applications for variations of single interest employer agreements made in a quarter under section 216DA of the Act</w:t>
            </w:r>
          </w:p>
        </w:tc>
        <w:tc>
          <w:tcPr>
            <w:tcW w:w="1724" w:type="pct"/>
            <w:shd w:val="clear" w:color="auto" w:fill="auto"/>
          </w:tcPr>
          <w:p w14:paraId="3049DA21" w14:textId="77777777" w:rsidR="00FA256A" w:rsidRPr="00DB7496" w:rsidRDefault="00FA256A" w:rsidP="00010BAB">
            <w:pPr>
              <w:pStyle w:val="Tabletext"/>
            </w:pPr>
            <w:r w:rsidRPr="00DB7496">
              <w:t>as soon as practicable after the end of the quarter</w:t>
            </w:r>
          </w:p>
        </w:tc>
      </w:tr>
      <w:tr w:rsidR="00FA256A" w:rsidRPr="00DB7496" w14:paraId="05F94986" w14:textId="77777777" w:rsidTr="00010BAB">
        <w:tc>
          <w:tcPr>
            <w:tcW w:w="559" w:type="pct"/>
            <w:shd w:val="clear" w:color="auto" w:fill="auto"/>
          </w:tcPr>
          <w:p w14:paraId="2758065C" w14:textId="77777777" w:rsidR="00FA256A" w:rsidRPr="00DB7496" w:rsidRDefault="00FA256A" w:rsidP="00010BAB">
            <w:pPr>
              <w:pStyle w:val="Tabletext"/>
            </w:pPr>
            <w:r w:rsidRPr="00DB7496">
              <w:t>5.1B</w:t>
            </w:r>
          </w:p>
        </w:tc>
        <w:tc>
          <w:tcPr>
            <w:tcW w:w="2717" w:type="pct"/>
            <w:shd w:val="clear" w:color="auto" w:fill="auto"/>
          </w:tcPr>
          <w:p w14:paraId="76F8AF04" w14:textId="77777777" w:rsidR="00FA256A" w:rsidRPr="00DB7496" w:rsidRDefault="00FA256A" w:rsidP="00010BAB">
            <w:pPr>
              <w:pStyle w:val="Tabletext"/>
            </w:pPr>
            <w:r w:rsidRPr="00DB7496">
              <w:t>The number of applications for variations of single interest employer agreements made in a quarter under section 216DB of the Act</w:t>
            </w:r>
          </w:p>
        </w:tc>
        <w:tc>
          <w:tcPr>
            <w:tcW w:w="1724" w:type="pct"/>
            <w:shd w:val="clear" w:color="auto" w:fill="auto"/>
          </w:tcPr>
          <w:p w14:paraId="3D5F241D" w14:textId="77777777" w:rsidR="00FA256A" w:rsidRPr="00DB7496" w:rsidRDefault="00FA256A" w:rsidP="00010BAB">
            <w:pPr>
              <w:pStyle w:val="Tabletext"/>
            </w:pPr>
            <w:r w:rsidRPr="00DB7496">
              <w:t>as soon as practicable after the end of the quarter</w:t>
            </w:r>
          </w:p>
        </w:tc>
      </w:tr>
    </w:tbl>
    <w:p w14:paraId="47865D1D" w14:textId="77777777" w:rsidR="00FA256A" w:rsidRPr="00DB7496" w:rsidRDefault="00FA256A" w:rsidP="00FA256A">
      <w:pPr>
        <w:pStyle w:val="Tabletext"/>
      </w:pPr>
    </w:p>
    <w:p w14:paraId="08AF0DA9" w14:textId="77777777" w:rsidR="00FA256A" w:rsidRPr="00DB7496" w:rsidRDefault="00791B05" w:rsidP="00FA256A">
      <w:pPr>
        <w:pStyle w:val="ItemHead"/>
      </w:pPr>
      <w:r w:rsidRPr="00DB7496">
        <w:t>36</w:t>
      </w:r>
      <w:r w:rsidR="00FA256A" w:rsidRPr="00DB7496">
        <w:t xml:space="preserve">  </w:t>
      </w:r>
      <w:r w:rsidR="0064537B" w:rsidRPr="00DB7496">
        <w:t>Part 1</w:t>
      </w:r>
      <w:r w:rsidR="00FA256A" w:rsidRPr="00DB7496">
        <w:t xml:space="preserve"> of </w:t>
      </w:r>
      <w:r w:rsidR="0064537B" w:rsidRPr="00DB7496">
        <w:t>Schedule 5</w:t>
      </w:r>
      <w:r w:rsidR="00FA256A" w:rsidRPr="00DB7496">
        <w:t>.2 (after table item 5.2)</w:t>
      </w:r>
    </w:p>
    <w:p w14:paraId="3EABC3FE" w14:textId="77777777" w:rsidR="00FA256A" w:rsidRPr="00DB7496" w:rsidRDefault="00FA256A" w:rsidP="00FA256A">
      <w:pPr>
        <w:pStyle w:val="Item"/>
      </w:pPr>
      <w:r w:rsidRPr="00DB7496">
        <w:t>Insert:</w:t>
      </w:r>
    </w:p>
    <w:p w14:paraId="5E8AB892" w14:textId="77777777" w:rsidR="00FA256A" w:rsidRPr="00DB7496" w:rsidRDefault="00FA256A" w:rsidP="00FA256A">
      <w:pPr>
        <w:pStyle w:val="Tabletext"/>
      </w:pPr>
    </w:p>
    <w:tbl>
      <w:tblPr>
        <w:tblW w:w="5000" w:type="pct"/>
        <w:tblLook w:val="0000" w:firstRow="0" w:lastRow="0" w:firstColumn="0" w:lastColumn="0" w:noHBand="0" w:noVBand="0"/>
      </w:tblPr>
      <w:tblGrid>
        <w:gridCol w:w="930"/>
        <w:gridCol w:w="4517"/>
        <w:gridCol w:w="2866"/>
      </w:tblGrid>
      <w:tr w:rsidR="00FA256A" w:rsidRPr="00DB7496" w14:paraId="19CEBA50" w14:textId="77777777" w:rsidTr="00010BAB">
        <w:tc>
          <w:tcPr>
            <w:tcW w:w="559" w:type="pct"/>
            <w:shd w:val="clear" w:color="auto" w:fill="auto"/>
          </w:tcPr>
          <w:p w14:paraId="0AD795F4" w14:textId="77777777" w:rsidR="00FA256A" w:rsidRPr="00DB7496" w:rsidRDefault="00FA256A" w:rsidP="00010BAB">
            <w:pPr>
              <w:pStyle w:val="Tabletext"/>
            </w:pPr>
            <w:r w:rsidRPr="00DB7496">
              <w:t>5.2A</w:t>
            </w:r>
          </w:p>
        </w:tc>
        <w:tc>
          <w:tcPr>
            <w:tcW w:w="2717" w:type="pct"/>
            <w:shd w:val="clear" w:color="auto" w:fill="auto"/>
          </w:tcPr>
          <w:p w14:paraId="0BA06E1C" w14:textId="77777777" w:rsidR="00FA256A" w:rsidRPr="00DB7496" w:rsidRDefault="00FA256A" w:rsidP="00010BAB">
            <w:pPr>
              <w:pStyle w:val="Tabletext"/>
            </w:pPr>
            <w:r w:rsidRPr="00DB7496">
              <w:t>The number of applications for variations of single interest employer authorisations to add an employer’s name to the authorisation made in a quarter under section 251 of the Act</w:t>
            </w:r>
          </w:p>
        </w:tc>
        <w:tc>
          <w:tcPr>
            <w:tcW w:w="1724" w:type="pct"/>
            <w:shd w:val="clear" w:color="auto" w:fill="auto"/>
          </w:tcPr>
          <w:p w14:paraId="24ACF20E" w14:textId="77777777" w:rsidR="00FA256A" w:rsidRPr="00DB7496" w:rsidRDefault="00FA256A" w:rsidP="00010BAB">
            <w:pPr>
              <w:pStyle w:val="Tabletext"/>
            </w:pPr>
            <w:r w:rsidRPr="00DB7496">
              <w:t>as soon as practicable after the end of the quarter</w:t>
            </w:r>
          </w:p>
        </w:tc>
      </w:tr>
    </w:tbl>
    <w:p w14:paraId="2ACE3D85" w14:textId="77777777" w:rsidR="00FA256A" w:rsidRPr="00DB7496" w:rsidRDefault="00FA256A" w:rsidP="00FA256A">
      <w:pPr>
        <w:pStyle w:val="Tabletext"/>
      </w:pPr>
    </w:p>
    <w:p w14:paraId="451AE278" w14:textId="77777777" w:rsidR="00FA256A" w:rsidRPr="00DB7496" w:rsidRDefault="00791B05" w:rsidP="00FA256A">
      <w:pPr>
        <w:pStyle w:val="ItemHead"/>
      </w:pPr>
      <w:r w:rsidRPr="00DB7496">
        <w:t>37</w:t>
      </w:r>
      <w:r w:rsidR="00FA256A" w:rsidRPr="00DB7496">
        <w:t xml:space="preserve">  </w:t>
      </w:r>
      <w:r w:rsidR="0064537B" w:rsidRPr="00DB7496">
        <w:t>Part 1</w:t>
      </w:r>
      <w:r w:rsidR="00FA256A" w:rsidRPr="00DB7496">
        <w:t xml:space="preserve"> of </w:t>
      </w:r>
      <w:r w:rsidR="0064537B" w:rsidRPr="00DB7496">
        <w:t>Schedule 5</w:t>
      </w:r>
      <w:r w:rsidR="00FA256A" w:rsidRPr="00DB7496">
        <w:t>.2 (after table item 5.5)</w:t>
      </w:r>
    </w:p>
    <w:p w14:paraId="336EF68D" w14:textId="77777777" w:rsidR="00FA256A" w:rsidRPr="00DB7496" w:rsidRDefault="00FA256A" w:rsidP="00FA256A">
      <w:pPr>
        <w:pStyle w:val="Item"/>
      </w:pPr>
      <w:r w:rsidRPr="00DB7496">
        <w:t>Insert:</w:t>
      </w:r>
    </w:p>
    <w:p w14:paraId="42F55AB6" w14:textId="77777777" w:rsidR="00FA256A" w:rsidRPr="00DB7496" w:rsidRDefault="00FA256A" w:rsidP="00FA256A">
      <w:pPr>
        <w:pStyle w:val="Tabletext"/>
      </w:pPr>
    </w:p>
    <w:tbl>
      <w:tblPr>
        <w:tblW w:w="5000" w:type="pct"/>
        <w:tblLook w:val="0000" w:firstRow="0" w:lastRow="0" w:firstColumn="0" w:lastColumn="0" w:noHBand="0" w:noVBand="0"/>
      </w:tblPr>
      <w:tblGrid>
        <w:gridCol w:w="930"/>
        <w:gridCol w:w="4517"/>
        <w:gridCol w:w="2866"/>
      </w:tblGrid>
      <w:tr w:rsidR="00FA256A" w:rsidRPr="00DB7496" w14:paraId="3D49F6E1" w14:textId="77777777" w:rsidTr="00010BAB">
        <w:tc>
          <w:tcPr>
            <w:tcW w:w="559" w:type="pct"/>
            <w:shd w:val="clear" w:color="auto" w:fill="auto"/>
          </w:tcPr>
          <w:p w14:paraId="59A5C9A3" w14:textId="77777777" w:rsidR="00FA256A" w:rsidRPr="00DB7496" w:rsidRDefault="00FA256A" w:rsidP="00010BAB">
            <w:pPr>
              <w:pStyle w:val="Tabletext"/>
            </w:pPr>
            <w:r w:rsidRPr="00DB7496">
              <w:t>5.5A</w:t>
            </w:r>
          </w:p>
        </w:tc>
        <w:tc>
          <w:tcPr>
            <w:tcW w:w="2717" w:type="pct"/>
            <w:shd w:val="clear" w:color="auto" w:fill="auto"/>
          </w:tcPr>
          <w:p w14:paraId="48356408" w14:textId="77777777" w:rsidR="00FA256A" w:rsidRPr="00DB7496" w:rsidRDefault="00FA256A" w:rsidP="00010BAB">
            <w:pPr>
              <w:pStyle w:val="Tabletext"/>
            </w:pPr>
            <w:r w:rsidRPr="00DB7496">
              <w:t>The number of single interest employer authorisations varied to add an employer’s name to the authorisation in a quarter under section 251 of the Act</w:t>
            </w:r>
          </w:p>
        </w:tc>
        <w:tc>
          <w:tcPr>
            <w:tcW w:w="1724" w:type="pct"/>
            <w:shd w:val="clear" w:color="auto" w:fill="auto"/>
          </w:tcPr>
          <w:p w14:paraId="434B5D60" w14:textId="77777777" w:rsidR="00FA256A" w:rsidRPr="00DB7496" w:rsidRDefault="00FA256A" w:rsidP="00010BAB">
            <w:pPr>
              <w:pStyle w:val="Tabletext"/>
            </w:pPr>
            <w:r w:rsidRPr="00DB7496">
              <w:t>as soon as practicable after the end of the quarter</w:t>
            </w:r>
          </w:p>
        </w:tc>
      </w:tr>
    </w:tbl>
    <w:p w14:paraId="5990E8C2" w14:textId="77777777" w:rsidR="00FA256A" w:rsidRPr="00DB7496" w:rsidRDefault="00FA256A" w:rsidP="00FA256A">
      <w:pPr>
        <w:pStyle w:val="Tabletext"/>
      </w:pPr>
    </w:p>
    <w:p w14:paraId="273E3E35" w14:textId="77777777" w:rsidR="00FA256A" w:rsidRPr="00DB7496" w:rsidRDefault="00791B05" w:rsidP="00FA256A">
      <w:pPr>
        <w:pStyle w:val="ItemHead"/>
      </w:pPr>
      <w:r w:rsidRPr="00DB7496">
        <w:t>38</w:t>
      </w:r>
      <w:r w:rsidR="00FA256A" w:rsidRPr="00DB7496">
        <w:t xml:space="preserve">  </w:t>
      </w:r>
      <w:r w:rsidR="0064537B" w:rsidRPr="00DB7496">
        <w:t>Part 1</w:t>
      </w:r>
      <w:r w:rsidR="00FA256A" w:rsidRPr="00DB7496">
        <w:t xml:space="preserve"> of </w:t>
      </w:r>
      <w:r w:rsidR="0064537B" w:rsidRPr="00DB7496">
        <w:t>Schedule 5</w:t>
      </w:r>
      <w:r w:rsidR="00FA256A" w:rsidRPr="00DB7496">
        <w:t xml:space="preserve">.2 (table </w:t>
      </w:r>
      <w:r w:rsidR="0064537B" w:rsidRPr="00DB7496">
        <w:t>items 6</w:t>
      </w:r>
      <w:r w:rsidR="00FA256A" w:rsidRPr="00DB7496">
        <w:t>.1 to 6.4)</w:t>
      </w:r>
    </w:p>
    <w:p w14:paraId="19E54807" w14:textId="77777777" w:rsidR="00FA256A" w:rsidRPr="00DB7496" w:rsidRDefault="00FA256A" w:rsidP="00FA256A">
      <w:pPr>
        <w:pStyle w:val="Item"/>
      </w:pPr>
      <w:r w:rsidRPr="00DB7496">
        <w:t>Repeal the items.</w:t>
      </w:r>
    </w:p>
    <w:p w14:paraId="0C09070B" w14:textId="77777777" w:rsidR="00FA256A" w:rsidRPr="00DB7496" w:rsidRDefault="00791B05" w:rsidP="00FA256A">
      <w:pPr>
        <w:pStyle w:val="ItemHead"/>
      </w:pPr>
      <w:r w:rsidRPr="00DB7496">
        <w:t>39</w:t>
      </w:r>
      <w:r w:rsidR="00FA256A" w:rsidRPr="00DB7496">
        <w:t xml:space="preserve">  </w:t>
      </w:r>
      <w:r w:rsidR="0064537B" w:rsidRPr="00DB7496">
        <w:t>Part 1</w:t>
      </w:r>
      <w:r w:rsidR="00FA256A" w:rsidRPr="00DB7496">
        <w:t xml:space="preserve"> of </w:t>
      </w:r>
      <w:r w:rsidR="0064537B" w:rsidRPr="00DB7496">
        <w:t>Schedule 5</w:t>
      </w:r>
      <w:r w:rsidR="00FA256A" w:rsidRPr="00DB7496">
        <w:t>.2 (table item 6.6)</w:t>
      </w:r>
    </w:p>
    <w:p w14:paraId="515FE3F2" w14:textId="77777777" w:rsidR="00FA256A" w:rsidRPr="00DB7496" w:rsidRDefault="00FA256A" w:rsidP="00FA256A">
      <w:pPr>
        <w:pStyle w:val="Item"/>
      </w:pPr>
      <w:r w:rsidRPr="00DB7496">
        <w:t>Omit “bargaining related”, substitute “intractable bargaining”.</w:t>
      </w:r>
    </w:p>
    <w:p w14:paraId="66B8A888" w14:textId="77777777" w:rsidR="00FA256A" w:rsidRPr="00DB7496" w:rsidRDefault="00791B05" w:rsidP="00FA256A">
      <w:pPr>
        <w:pStyle w:val="ItemHead"/>
      </w:pPr>
      <w:r w:rsidRPr="00DB7496">
        <w:t>40</w:t>
      </w:r>
      <w:r w:rsidR="00FA256A" w:rsidRPr="00DB7496">
        <w:t xml:space="preserve">  </w:t>
      </w:r>
      <w:r w:rsidR="0064537B" w:rsidRPr="00DB7496">
        <w:t>Part 1</w:t>
      </w:r>
      <w:r w:rsidR="00FA256A" w:rsidRPr="00DB7496">
        <w:t xml:space="preserve"> of </w:t>
      </w:r>
      <w:r w:rsidR="0064537B" w:rsidRPr="00DB7496">
        <w:t>Schedule 5</w:t>
      </w:r>
      <w:r w:rsidR="00FA256A" w:rsidRPr="00DB7496">
        <w:t xml:space="preserve">.2 (table </w:t>
      </w:r>
      <w:r w:rsidR="00DE5B61" w:rsidRPr="00DB7496">
        <w:t>item 1</w:t>
      </w:r>
      <w:r w:rsidR="00FA256A" w:rsidRPr="00DB7496">
        <w:t>5.1, column headed “This information or copy of a document</w:t>
      </w:r>
      <w:r w:rsidR="00B17A09" w:rsidRPr="00DB7496">
        <w:t xml:space="preserve"> </w:t>
      </w:r>
      <w:r w:rsidR="00FA256A" w:rsidRPr="00DB7496">
        <w:t xml:space="preserve">…”, </w:t>
      </w:r>
      <w:r w:rsidR="0064537B" w:rsidRPr="00DB7496">
        <w:t>paragraph (</w:t>
      </w:r>
      <w:r w:rsidR="00FA256A" w:rsidRPr="00DB7496">
        <w:t>o))</w:t>
      </w:r>
    </w:p>
    <w:p w14:paraId="55265FA4" w14:textId="77777777" w:rsidR="00FA256A" w:rsidRPr="00DB7496" w:rsidRDefault="00FA256A" w:rsidP="002D088D">
      <w:pPr>
        <w:pStyle w:val="Item"/>
      </w:pPr>
      <w:r w:rsidRPr="00DB7496">
        <w:t>Omit “low</w:t>
      </w:r>
      <w:r w:rsidR="00DB7496">
        <w:noBreakHyphen/>
      </w:r>
      <w:r w:rsidRPr="00DB7496">
        <w:t>paid”, substitute “supported”.</w:t>
      </w:r>
    </w:p>
    <w:p w14:paraId="3C30088B" w14:textId="77777777" w:rsidR="00546E11" w:rsidRPr="00DB7496" w:rsidRDefault="00976688" w:rsidP="00546E11">
      <w:pPr>
        <w:pStyle w:val="ActHead7"/>
        <w:pageBreakBefore/>
      </w:pPr>
      <w:bookmarkStart w:id="53" w:name="_Toc135234419"/>
      <w:r w:rsidRPr="00DE1BCA">
        <w:rPr>
          <w:rStyle w:val="CharAmPartNo"/>
        </w:rPr>
        <w:lastRenderedPageBreak/>
        <w:t>Part 5</w:t>
      </w:r>
      <w:r w:rsidR="00546E11" w:rsidRPr="00DB7496">
        <w:t>—</w:t>
      </w:r>
      <w:r w:rsidR="00546E11" w:rsidRPr="00DE1BCA">
        <w:rPr>
          <w:rStyle w:val="CharAmPartText"/>
        </w:rPr>
        <w:t>Abolition of the Australian Building and Construction Commission</w:t>
      </w:r>
      <w:bookmarkEnd w:id="53"/>
    </w:p>
    <w:p w14:paraId="19C4A0E7" w14:textId="77777777" w:rsidR="00546E11" w:rsidRPr="00DB7496" w:rsidRDefault="00976688" w:rsidP="00546E11">
      <w:pPr>
        <w:pStyle w:val="ActHead8"/>
      </w:pPr>
      <w:bookmarkStart w:id="54" w:name="_Toc135234420"/>
      <w:r w:rsidRPr="00DB7496">
        <w:t>Division 1</w:t>
      </w:r>
      <w:r w:rsidR="00546E11" w:rsidRPr="00DB7496">
        <w:t>—Consequential amendments</w:t>
      </w:r>
      <w:bookmarkEnd w:id="54"/>
    </w:p>
    <w:p w14:paraId="275D80AE" w14:textId="77777777" w:rsidR="00546E11" w:rsidRPr="00DB7496" w:rsidRDefault="00546E11" w:rsidP="00546E11">
      <w:pPr>
        <w:pStyle w:val="ActHead9"/>
      </w:pPr>
      <w:bookmarkStart w:id="55" w:name="_Toc135234421"/>
      <w:r w:rsidRPr="00DB7496">
        <w:t xml:space="preserve">Corporations </w:t>
      </w:r>
      <w:r w:rsidR="00DB7496" w:rsidRPr="00DB7496">
        <w:t>Regulations 2</w:t>
      </w:r>
      <w:r w:rsidRPr="00DB7496">
        <w:t>001</w:t>
      </w:r>
      <w:bookmarkEnd w:id="55"/>
    </w:p>
    <w:p w14:paraId="491E66FB" w14:textId="77777777" w:rsidR="00546E11" w:rsidRPr="00DB7496" w:rsidRDefault="00791B05" w:rsidP="00546E11">
      <w:pPr>
        <w:pStyle w:val="ItemHead"/>
      </w:pPr>
      <w:r w:rsidRPr="00DB7496">
        <w:t>41</w:t>
      </w:r>
      <w:r w:rsidR="00546E11" w:rsidRPr="00DB7496">
        <w:t xml:space="preserve">  Subparagraph 5.3A.50(2)(zo)(</w:t>
      </w:r>
      <w:proofErr w:type="spellStart"/>
      <w:r w:rsidR="00546E11" w:rsidRPr="00DB7496">
        <w:t>i</w:t>
      </w:r>
      <w:proofErr w:type="spellEnd"/>
      <w:r w:rsidR="00546E11" w:rsidRPr="00DB7496">
        <w:t>)</w:t>
      </w:r>
    </w:p>
    <w:p w14:paraId="2E6187DF" w14:textId="77777777" w:rsidR="00546E11" w:rsidRPr="00DB7496" w:rsidRDefault="00546E11" w:rsidP="00546E11">
      <w:pPr>
        <w:pStyle w:val="Item"/>
      </w:pPr>
      <w:r w:rsidRPr="00DB7496">
        <w:t>Omit “</w:t>
      </w:r>
      <w:r w:rsidRPr="00DB7496">
        <w:rPr>
          <w:i/>
        </w:rPr>
        <w:t>Building and Construction Industry (Improving Productivity) Act 2016</w:t>
      </w:r>
      <w:r w:rsidRPr="00DB7496">
        <w:t>”, substitute “</w:t>
      </w:r>
      <w:r w:rsidRPr="00DB7496">
        <w:rPr>
          <w:i/>
        </w:rPr>
        <w:t>Federal Safety Commissioner Act 2022</w:t>
      </w:r>
      <w:r w:rsidRPr="00DB7496">
        <w:t>”.</w:t>
      </w:r>
    </w:p>
    <w:p w14:paraId="6EA643EF" w14:textId="77777777" w:rsidR="00546E11" w:rsidRPr="00DB7496" w:rsidRDefault="00546E11" w:rsidP="00546E11">
      <w:pPr>
        <w:pStyle w:val="ActHead9"/>
      </w:pPr>
      <w:bookmarkStart w:id="56" w:name="_Toc135234422"/>
      <w:r w:rsidRPr="00DB7496">
        <w:t xml:space="preserve">Data Availability and Transparency </w:t>
      </w:r>
      <w:r w:rsidR="00DB7496" w:rsidRPr="00DB7496">
        <w:t>Regulations 2</w:t>
      </w:r>
      <w:r w:rsidRPr="00DB7496">
        <w:t>022</w:t>
      </w:r>
      <w:bookmarkEnd w:id="56"/>
    </w:p>
    <w:p w14:paraId="7B89246D" w14:textId="77777777" w:rsidR="00546E11" w:rsidRPr="00DB7496" w:rsidRDefault="00791B05" w:rsidP="00546E11">
      <w:pPr>
        <w:pStyle w:val="ItemHead"/>
      </w:pPr>
      <w:r w:rsidRPr="00DB7496">
        <w:t>42</w:t>
      </w:r>
      <w:r w:rsidR="00546E11" w:rsidRPr="00DB7496">
        <w:t xml:space="preserve">  Section 5 (table item dealing with the </w:t>
      </w:r>
      <w:r w:rsidR="00546E11" w:rsidRPr="00DB7496">
        <w:rPr>
          <w:i/>
        </w:rPr>
        <w:t>Building and Construction Industry (Improving Productivity) Act 2016</w:t>
      </w:r>
      <w:r w:rsidR="00546E11" w:rsidRPr="00DB7496">
        <w:t>)</w:t>
      </w:r>
    </w:p>
    <w:p w14:paraId="57476C7F" w14:textId="77777777" w:rsidR="00546E11" w:rsidRPr="00DB7496" w:rsidRDefault="00546E11" w:rsidP="00546E11">
      <w:pPr>
        <w:pStyle w:val="Item"/>
      </w:pPr>
      <w:r w:rsidRPr="00DB7496">
        <w:t>Repeal the item, substitute:</w:t>
      </w:r>
    </w:p>
    <w:p w14:paraId="6A1A2A90" w14:textId="77777777" w:rsidR="00546E11" w:rsidRPr="00DB7496" w:rsidRDefault="00546E11" w:rsidP="00546E11">
      <w:pPr>
        <w:pStyle w:val="Tabletext"/>
      </w:pPr>
    </w:p>
    <w:tbl>
      <w:tblPr>
        <w:tblW w:w="0" w:type="auto"/>
        <w:tblInd w:w="113" w:type="dxa"/>
        <w:tblLayout w:type="fixed"/>
        <w:tblLook w:val="0000" w:firstRow="0" w:lastRow="0" w:firstColumn="0" w:lastColumn="0" w:noHBand="0" w:noVBand="0"/>
      </w:tblPr>
      <w:tblGrid>
        <w:gridCol w:w="6232"/>
        <w:gridCol w:w="2080"/>
      </w:tblGrid>
      <w:tr w:rsidR="00546E11" w:rsidRPr="00DB7496" w14:paraId="673DC38C" w14:textId="77777777" w:rsidTr="00B278E9">
        <w:trPr>
          <w:trHeight w:val="54"/>
        </w:trPr>
        <w:tc>
          <w:tcPr>
            <w:tcW w:w="6232" w:type="dxa"/>
            <w:shd w:val="clear" w:color="auto" w:fill="auto"/>
          </w:tcPr>
          <w:p w14:paraId="08DFBBC5" w14:textId="77777777" w:rsidR="00546E11" w:rsidRPr="00DB7496" w:rsidRDefault="00546E11" w:rsidP="00B278E9">
            <w:pPr>
              <w:pStyle w:val="Tabletext"/>
              <w:shd w:val="clear" w:color="auto" w:fill="FFFFFF"/>
              <w:rPr>
                <w:i/>
              </w:rPr>
            </w:pPr>
            <w:r w:rsidRPr="00DB7496">
              <w:rPr>
                <w:i/>
              </w:rPr>
              <w:t>Building and Construction Industry (Improving Productivity) Act 2016</w:t>
            </w:r>
          </w:p>
        </w:tc>
        <w:tc>
          <w:tcPr>
            <w:tcW w:w="2080" w:type="dxa"/>
            <w:shd w:val="clear" w:color="auto" w:fill="auto"/>
          </w:tcPr>
          <w:p w14:paraId="0A3325CC" w14:textId="77777777" w:rsidR="00546E11" w:rsidRPr="00DB7496" w:rsidRDefault="00DE5B61" w:rsidP="00B278E9">
            <w:pPr>
              <w:pStyle w:val="Tabletext"/>
              <w:shd w:val="clear" w:color="auto" w:fill="FFFFFF"/>
            </w:pPr>
            <w:r w:rsidRPr="00DB7496">
              <w:t>section 1</w:t>
            </w:r>
            <w:r w:rsidR="00546E11" w:rsidRPr="00DB7496">
              <w:t xml:space="preserve">06, as that section continues to apply in accordance with item 330 of </w:t>
            </w:r>
            <w:r w:rsidR="003E1627" w:rsidRPr="00DB7496">
              <w:t>Schedule 1</w:t>
            </w:r>
            <w:r w:rsidR="00546E11" w:rsidRPr="00DB7496">
              <w:t xml:space="preserve"> to the </w:t>
            </w:r>
            <w:r w:rsidR="00546E11" w:rsidRPr="00DB7496">
              <w:rPr>
                <w:i/>
              </w:rPr>
              <w:t>Fair Work Legislation Amendment (Secure Jobs, Better Pay) Act 2022</w:t>
            </w:r>
          </w:p>
        </w:tc>
      </w:tr>
    </w:tbl>
    <w:p w14:paraId="4783B3CA" w14:textId="77777777" w:rsidR="00546E11" w:rsidRPr="00DB7496" w:rsidRDefault="00546E11" w:rsidP="00546E11">
      <w:pPr>
        <w:pStyle w:val="Tabletext"/>
      </w:pPr>
    </w:p>
    <w:p w14:paraId="229535BC" w14:textId="77777777" w:rsidR="00546E11" w:rsidRPr="00DB7496" w:rsidRDefault="00546E11" w:rsidP="00546E11">
      <w:pPr>
        <w:pStyle w:val="ActHead9"/>
      </w:pPr>
      <w:bookmarkStart w:id="57" w:name="_Toc135234423"/>
      <w:r w:rsidRPr="00DB7496">
        <w:t xml:space="preserve">Jury Exemption </w:t>
      </w:r>
      <w:r w:rsidR="00DB7496" w:rsidRPr="00DB7496">
        <w:t>Regulations 2</w:t>
      </w:r>
      <w:r w:rsidRPr="00DB7496">
        <w:t>019</w:t>
      </w:r>
      <w:bookmarkEnd w:id="57"/>
    </w:p>
    <w:p w14:paraId="513B2F9C" w14:textId="77777777" w:rsidR="00546E11" w:rsidRPr="00DB7496" w:rsidRDefault="00791B05" w:rsidP="00546E11">
      <w:pPr>
        <w:pStyle w:val="ItemHead"/>
      </w:pPr>
      <w:r w:rsidRPr="00DB7496">
        <w:t>43</w:t>
      </w:r>
      <w:r w:rsidR="00546E11" w:rsidRPr="00DB7496">
        <w:t xml:space="preserve">  Paragraphs 10(e) and (f)</w:t>
      </w:r>
    </w:p>
    <w:p w14:paraId="669E43FE" w14:textId="77777777" w:rsidR="00546E11" w:rsidRPr="00DB7496" w:rsidRDefault="00546E11" w:rsidP="00546E11">
      <w:pPr>
        <w:pStyle w:val="Item"/>
      </w:pPr>
      <w:r w:rsidRPr="00DB7496">
        <w:t>Repeal the paragraphs.</w:t>
      </w:r>
    </w:p>
    <w:p w14:paraId="60A35CAF" w14:textId="77777777" w:rsidR="00546E11" w:rsidRPr="00DB7496" w:rsidRDefault="003E1627" w:rsidP="00546E11">
      <w:pPr>
        <w:pStyle w:val="ActHead8"/>
      </w:pPr>
      <w:bookmarkStart w:id="58" w:name="_Toc135234424"/>
      <w:r w:rsidRPr="00DB7496">
        <w:t>Division 2</w:t>
      </w:r>
      <w:r w:rsidR="00546E11" w:rsidRPr="00DB7496">
        <w:t>—Repeals</w:t>
      </w:r>
      <w:bookmarkEnd w:id="58"/>
    </w:p>
    <w:p w14:paraId="7627979D" w14:textId="77777777" w:rsidR="00546E11" w:rsidRPr="00DB7496" w:rsidRDefault="00546E11" w:rsidP="00546E11">
      <w:pPr>
        <w:pStyle w:val="ActHead9"/>
      </w:pPr>
      <w:bookmarkStart w:id="59" w:name="_Toc135234425"/>
      <w:r w:rsidRPr="00DB7496">
        <w:t xml:space="preserve">Building and Construction Industry (Improving Productivity) </w:t>
      </w:r>
      <w:r w:rsidR="00DB7496" w:rsidRPr="00DB7496">
        <w:t>Regulations 2</w:t>
      </w:r>
      <w:r w:rsidRPr="00DB7496">
        <w:t>017</w:t>
      </w:r>
      <w:bookmarkEnd w:id="59"/>
    </w:p>
    <w:p w14:paraId="67F04D68" w14:textId="77777777" w:rsidR="00546E11" w:rsidRPr="00DB7496" w:rsidRDefault="00791B05" w:rsidP="00546E11">
      <w:pPr>
        <w:pStyle w:val="ItemHead"/>
      </w:pPr>
      <w:r w:rsidRPr="00DB7496">
        <w:t>44</w:t>
      </w:r>
      <w:r w:rsidR="00546E11" w:rsidRPr="00DB7496">
        <w:t xml:space="preserve">  The whole of the instrument</w:t>
      </w:r>
    </w:p>
    <w:p w14:paraId="08D673DD" w14:textId="77777777" w:rsidR="00475FBA" w:rsidRPr="00DB7496" w:rsidRDefault="00546E11" w:rsidP="00976688">
      <w:pPr>
        <w:pStyle w:val="Item"/>
      </w:pPr>
      <w:r w:rsidRPr="00DB7496">
        <w:t>Repeal the instrument.</w:t>
      </w:r>
      <w:bookmarkEnd w:id="14"/>
    </w:p>
    <w:p w14:paraId="26279A09" w14:textId="77777777" w:rsidR="002D088D" w:rsidRPr="00DB7496" w:rsidRDefault="0064537B" w:rsidP="002D088D">
      <w:pPr>
        <w:pStyle w:val="ActHead7"/>
        <w:pageBreakBefore/>
      </w:pPr>
      <w:bookmarkStart w:id="60" w:name="_Toc135234426"/>
      <w:r w:rsidRPr="00DE1BCA">
        <w:rPr>
          <w:rStyle w:val="CharAmPartNo"/>
        </w:rPr>
        <w:lastRenderedPageBreak/>
        <w:t>Part </w:t>
      </w:r>
      <w:r w:rsidR="00B63724" w:rsidRPr="00DE1BCA">
        <w:rPr>
          <w:rStyle w:val="CharAmPartNo"/>
        </w:rPr>
        <w:t>6</w:t>
      </w:r>
      <w:r w:rsidR="002D088D" w:rsidRPr="00DB7496">
        <w:t>—</w:t>
      </w:r>
      <w:r w:rsidR="002D088D" w:rsidRPr="00DE1BCA">
        <w:rPr>
          <w:rStyle w:val="CharAmPartText"/>
        </w:rPr>
        <w:t>Application and transitional provisions</w:t>
      </w:r>
      <w:bookmarkEnd w:id="60"/>
    </w:p>
    <w:p w14:paraId="584D2050" w14:textId="77777777" w:rsidR="00413FDE" w:rsidRPr="00DB7496" w:rsidRDefault="00413FDE" w:rsidP="00413FDE">
      <w:pPr>
        <w:pStyle w:val="ActHead9"/>
      </w:pPr>
      <w:bookmarkStart w:id="61" w:name="_Toc135234427"/>
      <w:r w:rsidRPr="00DB7496">
        <w:t xml:space="preserve">Fair Work </w:t>
      </w:r>
      <w:r w:rsidR="00DB7496" w:rsidRPr="00DB7496">
        <w:t>Regulations 2</w:t>
      </w:r>
      <w:r w:rsidRPr="00DB7496">
        <w:t>009</w:t>
      </w:r>
      <w:bookmarkEnd w:id="61"/>
    </w:p>
    <w:p w14:paraId="21DD7D1F" w14:textId="77777777" w:rsidR="002D088D" w:rsidRPr="00DB7496" w:rsidRDefault="00791B05" w:rsidP="002D088D">
      <w:pPr>
        <w:pStyle w:val="ItemHead"/>
      </w:pPr>
      <w:r w:rsidRPr="00DB7496">
        <w:t>45</w:t>
      </w:r>
      <w:r w:rsidR="002D088D" w:rsidRPr="00DB7496">
        <w:t xml:space="preserve">  In the appropriate position in Chapter 7</w:t>
      </w:r>
    </w:p>
    <w:p w14:paraId="4915E2DB" w14:textId="77777777" w:rsidR="002D088D" w:rsidRPr="00DB7496" w:rsidRDefault="002D088D" w:rsidP="002D088D">
      <w:pPr>
        <w:pStyle w:val="Item"/>
      </w:pPr>
      <w:r w:rsidRPr="00DB7496">
        <w:t>Insert:</w:t>
      </w:r>
    </w:p>
    <w:p w14:paraId="67ACC82B" w14:textId="77777777" w:rsidR="002D088D" w:rsidRPr="00DB7496" w:rsidRDefault="0064537B" w:rsidP="002D088D">
      <w:pPr>
        <w:pStyle w:val="ActHead2"/>
      </w:pPr>
      <w:bookmarkStart w:id="62" w:name="_Toc135234428"/>
      <w:r w:rsidRPr="00DE1BCA">
        <w:rPr>
          <w:rStyle w:val="CharPartNo"/>
        </w:rPr>
        <w:t>Part 7</w:t>
      </w:r>
      <w:r w:rsidR="00DB7496" w:rsidRPr="00DE1BCA">
        <w:rPr>
          <w:rStyle w:val="CharPartNo"/>
        </w:rPr>
        <w:noBreakHyphen/>
      </w:r>
      <w:r w:rsidR="002D088D" w:rsidRPr="00DE1BCA">
        <w:rPr>
          <w:rStyle w:val="CharPartNo"/>
        </w:rPr>
        <w:t>5</w:t>
      </w:r>
      <w:r w:rsidR="002D088D" w:rsidRPr="00DB7496">
        <w:t>—</w:t>
      </w:r>
      <w:r w:rsidR="002D088D" w:rsidRPr="00DE1BCA">
        <w:rPr>
          <w:rStyle w:val="CharPartText"/>
        </w:rPr>
        <w:t xml:space="preserve">Amendments made by the Fair Work and Other Legislation Amendment (Secure Jobs, Better Pay) </w:t>
      </w:r>
      <w:r w:rsidR="00DB7496" w:rsidRPr="00DE1BCA">
        <w:rPr>
          <w:rStyle w:val="CharPartText"/>
        </w:rPr>
        <w:t>Regulations 2</w:t>
      </w:r>
      <w:r w:rsidR="002D088D" w:rsidRPr="00DE1BCA">
        <w:rPr>
          <w:rStyle w:val="CharPartText"/>
        </w:rPr>
        <w:t>023</w:t>
      </w:r>
      <w:bookmarkEnd w:id="62"/>
    </w:p>
    <w:p w14:paraId="6A8806F0" w14:textId="77777777" w:rsidR="00B065E1" w:rsidRPr="00DE1BCA" w:rsidRDefault="00B065E1" w:rsidP="00B065E1">
      <w:pPr>
        <w:pStyle w:val="Header"/>
      </w:pPr>
      <w:r w:rsidRPr="00DE1BCA">
        <w:rPr>
          <w:rStyle w:val="CharDivNo"/>
        </w:rPr>
        <w:t xml:space="preserve"> </w:t>
      </w:r>
      <w:r w:rsidRPr="00DE1BCA">
        <w:rPr>
          <w:rStyle w:val="CharDivText"/>
        </w:rPr>
        <w:t xml:space="preserve"> </w:t>
      </w:r>
    </w:p>
    <w:p w14:paraId="7F7F25E9" w14:textId="77777777" w:rsidR="002D088D" w:rsidRPr="00DB7496" w:rsidRDefault="002D088D" w:rsidP="002D088D">
      <w:pPr>
        <w:pStyle w:val="ActHead5"/>
      </w:pPr>
      <w:bookmarkStart w:id="63" w:name="_Toc135234429"/>
      <w:r w:rsidRPr="00DE1BCA">
        <w:rPr>
          <w:rStyle w:val="CharSectno"/>
        </w:rPr>
        <w:t>7.07</w:t>
      </w:r>
      <w:r w:rsidRPr="00DB7496">
        <w:t xml:space="preserve">  Definitions for this Part</w:t>
      </w:r>
      <w:bookmarkEnd w:id="63"/>
    </w:p>
    <w:p w14:paraId="4BDE5E18" w14:textId="77777777" w:rsidR="002D088D" w:rsidRPr="00DB7496" w:rsidRDefault="002D088D" w:rsidP="002D088D">
      <w:pPr>
        <w:pStyle w:val="subsection"/>
      </w:pPr>
      <w:r w:rsidRPr="00DB7496">
        <w:tab/>
      </w:r>
      <w:r w:rsidRPr="00DB7496">
        <w:tab/>
        <w:t>In this Part:</w:t>
      </w:r>
    </w:p>
    <w:p w14:paraId="2CCCA1B3" w14:textId="77777777" w:rsidR="002D088D" w:rsidRPr="00DB7496" w:rsidRDefault="002D088D" w:rsidP="002D088D">
      <w:pPr>
        <w:pStyle w:val="Definition"/>
      </w:pPr>
      <w:r w:rsidRPr="00DB7496">
        <w:rPr>
          <w:b/>
          <w:i/>
        </w:rPr>
        <w:t>amending instrument</w:t>
      </w:r>
      <w:r w:rsidRPr="00DB7496">
        <w:t xml:space="preserve"> means the </w:t>
      </w:r>
      <w:r w:rsidRPr="00DB7496">
        <w:rPr>
          <w:i/>
        </w:rPr>
        <w:t xml:space="preserve">Fair Work and Other Legislation Amendment (Secure Jobs, Better Pay) </w:t>
      </w:r>
      <w:r w:rsidR="00DB7496" w:rsidRPr="00DB7496">
        <w:rPr>
          <w:i/>
        </w:rPr>
        <w:t>Regulations 2</w:t>
      </w:r>
      <w:r w:rsidRPr="00DB7496">
        <w:rPr>
          <w:i/>
        </w:rPr>
        <w:t>023</w:t>
      </w:r>
      <w:r w:rsidRPr="00DB7496">
        <w:t>.</w:t>
      </w:r>
    </w:p>
    <w:p w14:paraId="416427D8" w14:textId="77777777" w:rsidR="002D088D" w:rsidRPr="00DB7496" w:rsidRDefault="002D088D" w:rsidP="00D922D2">
      <w:pPr>
        <w:pStyle w:val="ActHead5"/>
      </w:pPr>
      <w:bookmarkStart w:id="64" w:name="_Toc135234430"/>
      <w:r w:rsidRPr="00DE1BCA">
        <w:rPr>
          <w:rStyle w:val="CharSectno"/>
        </w:rPr>
        <w:t>7.0</w:t>
      </w:r>
      <w:r w:rsidR="00C4148F" w:rsidRPr="00DE1BCA">
        <w:rPr>
          <w:rStyle w:val="CharSectno"/>
        </w:rPr>
        <w:t>8</w:t>
      </w:r>
      <w:r w:rsidRPr="00DB7496">
        <w:t xml:space="preserve"> </w:t>
      </w:r>
      <w:r w:rsidR="00B065E1" w:rsidRPr="00DB7496">
        <w:t xml:space="preserve"> </w:t>
      </w:r>
      <w:r w:rsidRPr="00DB7496">
        <w:t>Application of amendments—requirements for President to provide information to Minister</w:t>
      </w:r>
      <w:bookmarkEnd w:id="64"/>
    </w:p>
    <w:p w14:paraId="3A595ED0" w14:textId="77777777" w:rsidR="00300B93" w:rsidRPr="00DB7496" w:rsidRDefault="00300B93" w:rsidP="00300B93">
      <w:pPr>
        <w:pStyle w:val="subsection"/>
      </w:pPr>
      <w:r w:rsidRPr="00DB7496">
        <w:tab/>
        <w:t>(1)</w:t>
      </w:r>
      <w:r w:rsidRPr="00DB7496">
        <w:tab/>
        <w:t xml:space="preserve">For the quarter in which </w:t>
      </w:r>
      <w:r w:rsidR="003E1627" w:rsidRPr="00DB7496">
        <w:t>Division 2</w:t>
      </w:r>
      <w:r w:rsidRPr="00DB7496">
        <w:t xml:space="preserve"> of </w:t>
      </w:r>
      <w:r w:rsidR="003E1627" w:rsidRPr="00DB7496">
        <w:t>Part 4</w:t>
      </w:r>
      <w:r w:rsidRPr="00DB7496">
        <w:t xml:space="preserve"> of </w:t>
      </w:r>
      <w:r w:rsidR="003E1627" w:rsidRPr="00DB7496">
        <w:t>Schedule 1</w:t>
      </w:r>
      <w:r w:rsidRPr="00DB7496">
        <w:t xml:space="preserve"> to the amending instrument (the </w:t>
      </w:r>
      <w:r w:rsidRPr="00DB7496">
        <w:rPr>
          <w:b/>
          <w:i/>
        </w:rPr>
        <w:t>amending Division</w:t>
      </w:r>
      <w:r w:rsidRPr="00DB7496">
        <w:t xml:space="preserve">) commences, </w:t>
      </w:r>
      <w:r w:rsidR="00B17A09" w:rsidRPr="00DB7496">
        <w:t xml:space="preserve">table </w:t>
      </w:r>
      <w:r w:rsidR="005C336C" w:rsidRPr="00DB7496">
        <w:t>items 3</w:t>
      </w:r>
      <w:r w:rsidRPr="00DB7496">
        <w:t xml:space="preserve">.2, 3.7, </w:t>
      </w:r>
      <w:r w:rsidR="000155CC" w:rsidRPr="00DB7496">
        <w:t xml:space="preserve">4.1, 4.2, 4.3, </w:t>
      </w:r>
      <w:r w:rsidRPr="00DB7496">
        <w:t xml:space="preserve">6.6 and 15.1 of </w:t>
      </w:r>
      <w:r w:rsidR="0064537B" w:rsidRPr="00DB7496">
        <w:t>Part 1</w:t>
      </w:r>
      <w:r w:rsidRPr="00DB7496">
        <w:t xml:space="preserve"> of </w:t>
      </w:r>
      <w:r w:rsidR="0064537B" w:rsidRPr="00DB7496">
        <w:t>Schedule 5</w:t>
      </w:r>
      <w:r w:rsidRPr="00DB7496">
        <w:t>.2 apply both:</w:t>
      </w:r>
    </w:p>
    <w:p w14:paraId="11972722" w14:textId="77777777" w:rsidR="00300B93" w:rsidRPr="00DB7496" w:rsidRDefault="00300B93" w:rsidP="00300B93">
      <w:pPr>
        <w:pStyle w:val="paragraph"/>
      </w:pPr>
      <w:r w:rsidRPr="00DB7496">
        <w:tab/>
        <w:t>(a)</w:t>
      </w:r>
      <w:r w:rsidRPr="00DB7496">
        <w:tab/>
        <w:t>as in force immediately before the commencement of the amending Division; and</w:t>
      </w:r>
    </w:p>
    <w:p w14:paraId="6EC50775" w14:textId="77777777" w:rsidR="00300B93" w:rsidRPr="00DB7496" w:rsidRDefault="00300B93" w:rsidP="00300B93">
      <w:pPr>
        <w:pStyle w:val="paragraph"/>
      </w:pPr>
      <w:r w:rsidRPr="00DB7496">
        <w:tab/>
        <w:t>(b)</w:t>
      </w:r>
      <w:r w:rsidRPr="00DB7496">
        <w:tab/>
        <w:t>as amended by the amending Division.</w:t>
      </w:r>
    </w:p>
    <w:p w14:paraId="17BC17FB" w14:textId="77777777" w:rsidR="00300B93" w:rsidRPr="00DB7496" w:rsidRDefault="00300B93" w:rsidP="00300B93">
      <w:pPr>
        <w:pStyle w:val="subsection"/>
      </w:pPr>
      <w:r w:rsidRPr="00DB7496">
        <w:tab/>
        <w:t>(2)</w:t>
      </w:r>
      <w:r w:rsidRPr="00DB7496">
        <w:tab/>
        <w:t xml:space="preserve">Despite the repeal of </w:t>
      </w:r>
      <w:r w:rsidR="00B17A09" w:rsidRPr="00DB7496">
        <w:t xml:space="preserve">table </w:t>
      </w:r>
      <w:r w:rsidR="0064537B" w:rsidRPr="00DB7496">
        <w:t>items 6</w:t>
      </w:r>
      <w:r w:rsidRPr="00DB7496">
        <w:t xml:space="preserve">.1 to 6.4 of </w:t>
      </w:r>
      <w:r w:rsidR="0064537B" w:rsidRPr="00DB7496">
        <w:t>Part 1</w:t>
      </w:r>
      <w:r w:rsidRPr="00DB7496">
        <w:t xml:space="preserve"> of </w:t>
      </w:r>
      <w:r w:rsidR="0064537B" w:rsidRPr="00DB7496">
        <w:t>Schedule 5</w:t>
      </w:r>
      <w:r w:rsidRPr="00DB7496">
        <w:t>.2 by the amending Division, those items, as in force immediately before the commencement of the amending Division, apply in relation to the quarter in which the amending Division commences.</w:t>
      </w:r>
    </w:p>
    <w:p w14:paraId="25F0B10E" w14:textId="77777777" w:rsidR="00864E75" w:rsidRPr="00DB7496" w:rsidRDefault="00864E75" w:rsidP="00864E75">
      <w:pPr>
        <w:pStyle w:val="ActHead5"/>
      </w:pPr>
      <w:bookmarkStart w:id="65" w:name="_Toc135234431"/>
      <w:r w:rsidRPr="00DE1BCA">
        <w:rPr>
          <w:rStyle w:val="CharSectno"/>
        </w:rPr>
        <w:t>7.09</w:t>
      </w:r>
      <w:r w:rsidRPr="00DB7496">
        <w:t xml:space="preserve">  Application of amendments—notice of employee representational rights</w:t>
      </w:r>
      <w:bookmarkEnd w:id="65"/>
    </w:p>
    <w:p w14:paraId="1DC53AC2" w14:textId="77777777" w:rsidR="00864E75" w:rsidRPr="00DB7496" w:rsidRDefault="00864E75" w:rsidP="00864E75">
      <w:pPr>
        <w:pStyle w:val="subsection"/>
      </w:pPr>
      <w:r w:rsidRPr="00DB7496">
        <w:tab/>
      </w:r>
      <w:r w:rsidR="000E77FB" w:rsidRPr="00DB7496">
        <w:tab/>
        <w:t xml:space="preserve">The amendments of </w:t>
      </w:r>
      <w:r w:rsidR="003E1627" w:rsidRPr="00DB7496">
        <w:t>Schedule 2</w:t>
      </w:r>
      <w:r w:rsidR="000E77FB" w:rsidRPr="00DB7496">
        <w:t xml:space="preserve">.1 made by </w:t>
      </w:r>
      <w:r w:rsidR="003E1627" w:rsidRPr="00DB7496">
        <w:t>Division 2</w:t>
      </w:r>
      <w:r w:rsidR="000E77FB" w:rsidRPr="00DB7496">
        <w:t xml:space="preserve"> of </w:t>
      </w:r>
      <w:r w:rsidR="003E1627" w:rsidRPr="00DB7496">
        <w:t>Part 4</w:t>
      </w:r>
      <w:r w:rsidR="000E77FB" w:rsidRPr="00DB7496">
        <w:t xml:space="preserve"> of </w:t>
      </w:r>
      <w:r w:rsidR="003E1627" w:rsidRPr="00DB7496">
        <w:t>Schedule 1</w:t>
      </w:r>
      <w:r w:rsidR="000E77FB" w:rsidRPr="00DB7496">
        <w:t xml:space="preserve"> to the amending instrument apply in relation to a notice of employee representational rights given under </w:t>
      </w:r>
      <w:r w:rsidR="003E1627" w:rsidRPr="00DB7496">
        <w:t>subsection 1</w:t>
      </w:r>
      <w:r w:rsidR="000E77FB" w:rsidRPr="00DB7496">
        <w:t xml:space="preserve">73(1) of the Act after the </w:t>
      </w:r>
      <w:r w:rsidR="00EE47EE" w:rsidRPr="00DB7496">
        <w:t>commencement of that</w:t>
      </w:r>
      <w:r w:rsidR="000E77FB" w:rsidRPr="00DB7496">
        <w:t xml:space="preserve"> Division.</w:t>
      </w:r>
    </w:p>
    <w:sectPr w:rsidR="00864E75" w:rsidRPr="00DB7496" w:rsidSect="00E84269">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BA681" w14:textId="77777777" w:rsidR="00391740" w:rsidRDefault="00391740" w:rsidP="0048364F">
      <w:pPr>
        <w:spacing w:line="240" w:lineRule="auto"/>
      </w:pPr>
      <w:r>
        <w:separator/>
      </w:r>
    </w:p>
  </w:endnote>
  <w:endnote w:type="continuationSeparator" w:id="0">
    <w:p w14:paraId="683E0AE7" w14:textId="77777777" w:rsidR="00391740" w:rsidRDefault="0039174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27305" w14:textId="77777777" w:rsidR="00391740" w:rsidRPr="00E84269" w:rsidRDefault="00E84269" w:rsidP="00E84269">
    <w:pPr>
      <w:pStyle w:val="Footer"/>
      <w:tabs>
        <w:tab w:val="clear" w:pos="4153"/>
        <w:tab w:val="clear" w:pos="8306"/>
        <w:tab w:val="center" w:pos="4150"/>
        <w:tab w:val="right" w:pos="8307"/>
      </w:tabs>
      <w:spacing w:before="120"/>
      <w:rPr>
        <w:i/>
        <w:sz w:val="18"/>
      </w:rPr>
    </w:pPr>
    <w:r w:rsidRPr="00E84269">
      <w:rPr>
        <w:i/>
        <w:sz w:val="18"/>
      </w:rPr>
      <w:t>OPC66358 - 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09726" w14:textId="77777777" w:rsidR="00391740" w:rsidRDefault="00391740" w:rsidP="00E97334"/>
  <w:p w14:paraId="47634B72" w14:textId="77777777" w:rsidR="00391740" w:rsidRPr="00E84269" w:rsidRDefault="00E84269" w:rsidP="00E84269">
    <w:pPr>
      <w:rPr>
        <w:rFonts w:cs="Times New Roman"/>
        <w:i/>
        <w:sz w:val="18"/>
      </w:rPr>
    </w:pPr>
    <w:r w:rsidRPr="00E84269">
      <w:rPr>
        <w:rFonts w:cs="Times New Roman"/>
        <w:i/>
        <w:sz w:val="18"/>
      </w:rPr>
      <w:t>OPC66358 - 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61B76" w14:textId="77777777" w:rsidR="00391740" w:rsidRPr="00E84269" w:rsidRDefault="00E84269" w:rsidP="00E84269">
    <w:pPr>
      <w:pStyle w:val="Footer"/>
      <w:tabs>
        <w:tab w:val="clear" w:pos="4153"/>
        <w:tab w:val="clear" w:pos="8306"/>
        <w:tab w:val="center" w:pos="4150"/>
        <w:tab w:val="right" w:pos="8307"/>
      </w:tabs>
      <w:spacing w:before="120"/>
      <w:rPr>
        <w:i/>
        <w:sz w:val="18"/>
      </w:rPr>
    </w:pPr>
    <w:r w:rsidRPr="00E84269">
      <w:rPr>
        <w:i/>
        <w:sz w:val="18"/>
      </w:rPr>
      <w:t>OPC66358 - 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86EB0" w14:textId="77777777" w:rsidR="00391740" w:rsidRPr="00E33C1C" w:rsidRDefault="00391740"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91740" w14:paraId="2698FA90" w14:textId="77777777" w:rsidTr="00635A1E">
      <w:tc>
        <w:tcPr>
          <w:tcW w:w="709" w:type="dxa"/>
          <w:tcBorders>
            <w:top w:val="nil"/>
            <w:left w:val="nil"/>
            <w:bottom w:val="nil"/>
            <w:right w:val="nil"/>
          </w:tcBorders>
        </w:tcPr>
        <w:p w14:paraId="76DB38C4" w14:textId="77777777" w:rsidR="00391740" w:rsidRDefault="00391740" w:rsidP="000510C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531DA772" w14:textId="0C9B02E5" w:rsidR="00391740" w:rsidRDefault="00391740" w:rsidP="000510C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B6749">
            <w:rPr>
              <w:i/>
              <w:sz w:val="18"/>
            </w:rPr>
            <w:t>Fair Work and Other Legislation Amendment (Secure Jobs, Better Pay) Regulations 2023</w:t>
          </w:r>
          <w:r w:rsidRPr="007A1328">
            <w:rPr>
              <w:i/>
              <w:sz w:val="18"/>
            </w:rPr>
            <w:fldChar w:fldCharType="end"/>
          </w:r>
        </w:p>
      </w:tc>
      <w:tc>
        <w:tcPr>
          <w:tcW w:w="1384" w:type="dxa"/>
          <w:tcBorders>
            <w:top w:val="nil"/>
            <w:left w:val="nil"/>
            <w:bottom w:val="nil"/>
            <w:right w:val="nil"/>
          </w:tcBorders>
        </w:tcPr>
        <w:p w14:paraId="33AD9E27" w14:textId="77777777" w:rsidR="00391740" w:rsidRDefault="00391740" w:rsidP="000510C7">
          <w:pPr>
            <w:spacing w:line="0" w:lineRule="atLeast"/>
            <w:jc w:val="right"/>
            <w:rPr>
              <w:sz w:val="18"/>
            </w:rPr>
          </w:pPr>
        </w:p>
      </w:tc>
    </w:tr>
  </w:tbl>
  <w:p w14:paraId="55D12939" w14:textId="77777777" w:rsidR="00391740" w:rsidRPr="00E84269" w:rsidRDefault="00E84269" w:rsidP="00E84269">
    <w:pPr>
      <w:rPr>
        <w:rFonts w:cs="Times New Roman"/>
        <w:i/>
        <w:sz w:val="18"/>
      </w:rPr>
    </w:pPr>
    <w:r w:rsidRPr="00E84269">
      <w:rPr>
        <w:rFonts w:cs="Times New Roman"/>
        <w:i/>
        <w:sz w:val="18"/>
      </w:rPr>
      <w:t>OPC66358 - 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B23F5" w14:textId="77777777" w:rsidR="00391740" w:rsidRPr="00E33C1C" w:rsidRDefault="00391740"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391740" w14:paraId="5AD74CCA" w14:textId="77777777" w:rsidTr="00635A1E">
      <w:tc>
        <w:tcPr>
          <w:tcW w:w="1383" w:type="dxa"/>
          <w:tcBorders>
            <w:top w:val="nil"/>
            <w:left w:val="nil"/>
            <w:bottom w:val="nil"/>
            <w:right w:val="nil"/>
          </w:tcBorders>
        </w:tcPr>
        <w:p w14:paraId="404F1651" w14:textId="77777777" w:rsidR="00391740" w:rsidRDefault="00391740" w:rsidP="000510C7">
          <w:pPr>
            <w:spacing w:line="0" w:lineRule="atLeast"/>
            <w:rPr>
              <w:sz w:val="18"/>
            </w:rPr>
          </w:pPr>
        </w:p>
      </w:tc>
      <w:tc>
        <w:tcPr>
          <w:tcW w:w="6379" w:type="dxa"/>
          <w:tcBorders>
            <w:top w:val="nil"/>
            <w:left w:val="nil"/>
            <w:bottom w:val="nil"/>
            <w:right w:val="nil"/>
          </w:tcBorders>
        </w:tcPr>
        <w:p w14:paraId="3517F0A0" w14:textId="49C51A82" w:rsidR="00391740" w:rsidRDefault="00391740" w:rsidP="000510C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B6749">
            <w:rPr>
              <w:i/>
              <w:sz w:val="18"/>
            </w:rPr>
            <w:t>Fair Work and Other Legislation Amendment (Secure Jobs, Better Pay) Regulations 2023</w:t>
          </w:r>
          <w:r w:rsidRPr="007A1328">
            <w:rPr>
              <w:i/>
              <w:sz w:val="18"/>
            </w:rPr>
            <w:fldChar w:fldCharType="end"/>
          </w:r>
        </w:p>
      </w:tc>
      <w:tc>
        <w:tcPr>
          <w:tcW w:w="710" w:type="dxa"/>
          <w:tcBorders>
            <w:top w:val="nil"/>
            <w:left w:val="nil"/>
            <w:bottom w:val="nil"/>
            <w:right w:val="nil"/>
          </w:tcBorders>
        </w:tcPr>
        <w:p w14:paraId="727703BD" w14:textId="77777777" w:rsidR="00391740" w:rsidRDefault="00391740" w:rsidP="000510C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0A9C737" w14:textId="77777777" w:rsidR="00391740" w:rsidRPr="00E84269" w:rsidRDefault="00E84269" w:rsidP="00E84269">
    <w:pPr>
      <w:rPr>
        <w:rFonts w:cs="Times New Roman"/>
        <w:i/>
        <w:sz w:val="18"/>
      </w:rPr>
    </w:pPr>
    <w:r w:rsidRPr="00E84269">
      <w:rPr>
        <w:rFonts w:cs="Times New Roman"/>
        <w:i/>
        <w:sz w:val="18"/>
      </w:rPr>
      <w:t>OPC66358 - 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A39D4" w14:textId="77777777" w:rsidR="00391740" w:rsidRPr="00E33C1C" w:rsidRDefault="00391740"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91740" w14:paraId="6C50AB6E" w14:textId="77777777" w:rsidTr="00635A1E">
      <w:tc>
        <w:tcPr>
          <w:tcW w:w="709" w:type="dxa"/>
          <w:tcBorders>
            <w:top w:val="nil"/>
            <w:left w:val="nil"/>
            <w:bottom w:val="nil"/>
            <w:right w:val="nil"/>
          </w:tcBorders>
        </w:tcPr>
        <w:p w14:paraId="7BB971BF" w14:textId="77777777" w:rsidR="00391740" w:rsidRDefault="00391740" w:rsidP="000510C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144DB6C8" w14:textId="28CB566F" w:rsidR="00391740" w:rsidRDefault="00391740" w:rsidP="000510C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B6749">
            <w:rPr>
              <w:i/>
              <w:sz w:val="18"/>
            </w:rPr>
            <w:t>Fair Work and Other Legislation Amendment (Secure Jobs, Better Pay) Regulations 2023</w:t>
          </w:r>
          <w:r w:rsidRPr="007A1328">
            <w:rPr>
              <w:i/>
              <w:sz w:val="18"/>
            </w:rPr>
            <w:fldChar w:fldCharType="end"/>
          </w:r>
        </w:p>
      </w:tc>
      <w:tc>
        <w:tcPr>
          <w:tcW w:w="1384" w:type="dxa"/>
          <w:tcBorders>
            <w:top w:val="nil"/>
            <w:left w:val="nil"/>
            <w:bottom w:val="nil"/>
            <w:right w:val="nil"/>
          </w:tcBorders>
        </w:tcPr>
        <w:p w14:paraId="0469DD05" w14:textId="77777777" w:rsidR="00391740" w:rsidRDefault="00391740" w:rsidP="000510C7">
          <w:pPr>
            <w:spacing w:line="0" w:lineRule="atLeast"/>
            <w:jc w:val="right"/>
            <w:rPr>
              <w:sz w:val="18"/>
            </w:rPr>
          </w:pPr>
        </w:p>
      </w:tc>
    </w:tr>
  </w:tbl>
  <w:p w14:paraId="6DCD9804" w14:textId="77777777" w:rsidR="00391740" w:rsidRPr="00E84269" w:rsidRDefault="00E84269" w:rsidP="00E84269">
    <w:pPr>
      <w:rPr>
        <w:rFonts w:cs="Times New Roman"/>
        <w:i/>
        <w:sz w:val="18"/>
      </w:rPr>
    </w:pPr>
    <w:r w:rsidRPr="00E84269">
      <w:rPr>
        <w:rFonts w:cs="Times New Roman"/>
        <w:i/>
        <w:sz w:val="18"/>
      </w:rPr>
      <w:t>OPC66358 - 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CE363" w14:textId="77777777" w:rsidR="00391740" w:rsidRPr="00E33C1C" w:rsidRDefault="00391740"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391740" w14:paraId="63DBDF91" w14:textId="77777777" w:rsidTr="000510C7">
      <w:tc>
        <w:tcPr>
          <w:tcW w:w="1384" w:type="dxa"/>
          <w:tcBorders>
            <w:top w:val="nil"/>
            <w:left w:val="nil"/>
            <w:bottom w:val="nil"/>
            <w:right w:val="nil"/>
          </w:tcBorders>
        </w:tcPr>
        <w:p w14:paraId="5BCC34AB" w14:textId="77777777" w:rsidR="00391740" w:rsidRDefault="00391740" w:rsidP="000510C7">
          <w:pPr>
            <w:spacing w:line="0" w:lineRule="atLeast"/>
            <w:rPr>
              <w:sz w:val="18"/>
            </w:rPr>
          </w:pPr>
        </w:p>
      </w:tc>
      <w:tc>
        <w:tcPr>
          <w:tcW w:w="6379" w:type="dxa"/>
          <w:tcBorders>
            <w:top w:val="nil"/>
            <w:left w:val="nil"/>
            <w:bottom w:val="nil"/>
            <w:right w:val="nil"/>
          </w:tcBorders>
        </w:tcPr>
        <w:p w14:paraId="440D5D96" w14:textId="217E9B29" w:rsidR="00391740" w:rsidRDefault="00391740" w:rsidP="000510C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B6749">
            <w:rPr>
              <w:i/>
              <w:sz w:val="18"/>
            </w:rPr>
            <w:t>Fair Work and Other Legislation Amendment (Secure Jobs, Better Pay) Regulations 2023</w:t>
          </w:r>
          <w:r w:rsidRPr="007A1328">
            <w:rPr>
              <w:i/>
              <w:sz w:val="18"/>
            </w:rPr>
            <w:fldChar w:fldCharType="end"/>
          </w:r>
        </w:p>
      </w:tc>
      <w:tc>
        <w:tcPr>
          <w:tcW w:w="709" w:type="dxa"/>
          <w:tcBorders>
            <w:top w:val="nil"/>
            <w:left w:val="nil"/>
            <w:bottom w:val="nil"/>
            <w:right w:val="nil"/>
          </w:tcBorders>
        </w:tcPr>
        <w:p w14:paraId="4FCC18AF" w14:textId="77777777" w:rsidR="00391740" w:rsidRDefault="00391740" w:rsidP="000510C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051CB065" w14:textId="77777777" w:rsidR="00391740" w:rsidRPr="00E84269" w:rsidRDefault="00E84269" w:rsidP="00E84269">
    <w:pPr>
      <w:rPr>
        <w:rFonts w:cs="Times New Roman"/>
        <w:i/>
        <w:sz w:val="18"/>
      </w:rPr>
    </w:pPr>
    <w:r w:rsidRPr="00E84269">
      <w:rPr>
        <w:rFonts w:cs="Times New Roman"/>
        <w:i/>
        <w:sz w:val="18"/>
      </w:rPr>
      <w:t>OPC66358 - 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96BF8" w14:textId="77777777" w:rsidR="00391740" w:rsidRPr="00E33C1C" w:rsidRDefault="00391740"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391740" w14:paraId="62CB270B" w14:textId="77777777" w:rsidTr="007A6863">
      <w:tc>
        <w:tcPr>
          <w:tcW w:w="1384" w:type="dxa"/>
          <w:tcBorders>
            <w:top w:val="nil"/>
            <w:left w:val="nil"/>
            <w:bottom w:val="nil"/>
            <w:right w:val="nil"/>
          </w:tcBorders>
        </w:tcPr>
        <w:p w14:paraId="7C6FEF25" w14:textId="77777777" w:rsidR="00391740" w:rsidRDefault="00391740" w:rsidP="000510C7">
          <w:pPr>
            <w:spacing w:line="0" w:lineRule="atLeast"/>
            <w:rPr>
              <w:sz w:val="18"/>
            </w:rPr>
          </w:pPr>
        </w:p>
      </w:tc>
      <w:tc>
        <w:tcPr>
          <w:tcW w:w="6379" w:type="dxa"/>
          <w:tcBorders>
            <w:top w:val="nil"/>
            <w:left w:val="nil"/>
            <w:bottom w:val="nil"/>
            <w:right w:val="nil"/>
          </w:tcBorders>
        </w:tcPr>
        <w:p w14:paraId="6D364790" w14:textId="2B078913" w:rsidR="00391740" w:rsidRDefault="00391740" w:rsidP="000510C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B6749">
            <w:rPr>
              <w:i/>
              <w:sz w:val="18"/>
            </w:rPr>
            <w:t>Fair Work and Other Legislation Amendment (Secure Jobs, Better Pay) Regulations 2023</w:t>
          </w:r>
          <w:r w:rsidRPr="007A1328">
            <w:rPr>
              <w:i/>
              <w:sz w:val="18"/>
            </w:rPr>
            <w:fldChar w:fldCharType="end"/>
          </w:r>
        </w:p>
      </w:tc>
      <w:tc>
        <w:tcPr>
          <w:tcW w:w="709" w:type="dxa"/>
          <w:tcBorders>
            <w:top w:val="nil"/>
            <w:left w:val="nil"/>
            <w:bottom w:val="nil"/>
            <w:right w:val="nil"/>
          </w:tcBorders>
        </w:tcPr>
        <w:p w14:paraId="56645985" w14:textId="77777777" w:rsidR="00391740" w:rsidRDefault="00391740" w:rsidP="000510C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26A5C822" w14:textId="77777777" w:rsidR="00391740" w:rsidRPr="00E84269" w:rsidRDefault="00E84269" w:rsidP="00E84269">
    <w:pPr>
      <w:rPr>
        <w:rFonts w:cs="Times New Roman"/>
        <w:i/>
        <w:sz w:val="18"/>
      </w:rPr>
    </w:pPr>
    <w:r w:rsidRPr="00E84269">
      <w:rPr>
        <w:rFonts w:cs="Times New Roman"/>
        <w:i/>
        <w:sz w:val="18"/>
      </w:rPr>
      <w:t>OPC66358 -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34EBF" w14:textId="77777777" w:rsidR="00391740" w:rsidRDefault="00391740" w:rsidP="0048364F">
      <w:pPr>
        <w:spacing w:line="240" w:lineRule="auto"/>
      </w:pPr>
      <w:r>
        <w:separator/>
      </w:r>
    </w:p>
  </w:footnote>
  <w:footnote w:type="continuationSeparator" w:id="0">
    <w:p w14:paraId="08853838" w14:textId="77777777" w:rsidR="00391740" w:rsidRDefault="00391740"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8BE2D" w14:textId="77777777" w:rsidR="00391740" w:rsidRPr="005F1388" w:rsidRDefault="0039174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B28D9" w14:textId="77777777" w:rsidR="00391740" w:rsidRPr="005F1388" w:rsidRDefault="0039174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ACF1D" w14:textId="77777777" w:rsidR="00391740" w:rsidRPr="005F1388" w:rsidRDefault="0039174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AA64B" w14:textId="77777777" w:rsidR="00391740" w:rsidRPr="00ED79B6" w:rsidRDefault="00391740"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27153" w14:textId="77777777" w:rsidR="00391740" w:rsidRPr="00ED79B6" w:rsidRDefault="00391740"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AD022" w14:textId="77777777" w:rsidR="00391740" w:rsidRPr="00ED79B6" w:rsidRDefault="0039174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0B247" w14:textId="7DAEF701" w:rsidR="00391740" w:rsidRPr="00A961C4" w:rsidRDefault="00391740" w:rsidP="0048364F">
    <w:pPr>
      <w:rPr>
        <w:b/>
        <w:sz w:val="20"/>
      </w:rPr>
    </w:pPr>
    <w:r>
      <w:rPr>
        <w:b/>
        <w:sz w:val="20"/>
      </w:rPr>
      <w:fldChar w:fldCharType="begin"/>
    </w:r>
    <w:r>
      <w:rPr>
        <w:b/>
        <w:sz w:val="20"/>
      </w:rPr>
      <w:instrText xml:space="preserve"> STYLEREF CharAmSchNo </w:instrText>
    </w:r>
    <w:r w:rsidR="0030766D">
      <w:rPr>
        <w:b/>
        <w:sz w:val="20"/>
      </w:rPr>
      <w:fldChar w:fldCharType="separate"/>
    </w:r>
    <w:r w:rsidR="0030766D">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30766D">
      <w:rPr>
        <w:sz w:val="20"/>
      </w:rPr>
      <w:fldChar w:fldCharType="separate"/>
    </w:r>
    <w:r w:rsidR="0030766D">
      <w:rPr>
        <w:noProof/>
        <w:sz w:val="20"/>
      </w:rPr>
      <w:t>Amendments</w:t>
    </w:r>
    <w:r>
      <w:rPr>
        <w:sz w:val="20"/>
      </w:rPr>
      <w:fldChar w:fldCharType="end"/>
    </w:r>
  </w:p>
  <w:p w14:paraId="69A3F5CD" w14:textId="7E3CD030" w:rsidR="00391740" w:rsidRPr="00A961C4" w:rsidRDefault="00391740" w:rsidP="0048364F">
    <w:pPr>
      <w:rPr>
        <w:b/>
        <w:sz w:val="20"/>
      </w:rPr>
    </w:pPr>
    <w:r>
      <w:rPr>
        <w:b/>
        <w:sz w:val="20"/>
      </w:rPr>
      <w:fldChar w:fldCharType="begin"/>
    </w:r>
    <w:r>
      <w:rPr>
        <w:b/>
        <w:sz w:val="20"/>
      </w:rPr>
      <w:instrText xml:space="preserve"> STYLEREF CharAmPartNo </w:instrText>
    </w:r>
    <w:r w:rsidR="0030766D">
      <w:rPr>
        <w:b/>
        <w:sz w:val="20"/>
      </w:rPr>
      <w:fldChar w:fldCharType="separate"/>
    </w:r>
    <w:r w:rsidR="0030766D">
      <w:rPr>
        <w:b/>
        <w:noProof/>
        <w:sz w:val="20"/>
      </w:rPr>
      <w:t>Part 5</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30766D">
      <w:rPr>
        <w:sz w:val="20"/>
      </w:rPr>
      <w:fldChar w:fldCharType="separate"/>
    </w:r>
    <w:r w:rsidR="0030766D">
      <w:rPr>
        <w:noProof/>
        <w:sz w:val="20"/>
      </w:rPr>
      <w:t>Abolition of the Australian Building and Construction Commission</w:t>
    </w:r>
    <w:r>
      <w:rPr>
        <w:sz w:val="20"/>
      </w:rPr>
      <w:fldChar w:fldCharType="end"/>
    </w:r>
  </w:p>
  <w:p w14:paraId="5219B986" w14:textId="77777777" w:rsidR="00391740" w:rsidRPr="00A961C4" w:rsidRDefault="00391740"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23AEC" w14:textId="46AA743F" w:rsidR="00391740" w:rsidRPr="00A961C4" w:rsidRDefault="00391740" w:rsidP="0048364F">
    <w:pPr>
      <w:jc w:val="right"/>
      <w:rPr>
        <w:sz w:val="20"/>
      </w:rPr>
    </w:pPr>
    <w:r w:rsidRPr="00A961C4">
      <w:rPr>
        <w:sz w:val="20"/>
      </w:rPr>
      <w:fldChar w:fldCharType="begin"/>
    </w:r>
    <w:r w:rsidRPr="00A961C4">
      <w:rPr>
        <w:sz w:val="20"/>
      </w:rPr>
      <w:instrText xml:space="preserve"> STYLEREF CharAmSchText </w:instrText>
    </w:r>
    <w:r w:rsidR="0030766D">
      <w:rPr>
        <w:sz w:val="20"/>
      </w:rPr>
      <w:fldChar w:fldCharType="separate"/>
    </w:r>
    <w:r w:rsidR="0030766D">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30766D">
      <w:rPr>
        <w:b/>
        <w:sz w:val="20"/>
      </w:rPr>
      <w:fldChar w:fldCharType="separate"/>
    </w:r>
    <w:r w:rsidR="0030766D">
      <w:rPr>
        <w:b/>
        <w:noProof/>
        <w:sz w:val="20"/>
      </w:rPr>
      <w:t>Schedule 1</w:t>
    </w:r>
    <w:r>
      <w:rPr>
        <w:b/>
        <w:sz w:val="20"/>
      </w:rPr>
      <w:fldChar w:fldCharType="end"/>
    </w:r>
  </w:p>
  <w:p w14:paraId="28BB6393" w14:textId="3D913BAF" w:rsidR="00391740" w:rsidRPr="00A961C4" w:rsidRDefault="00391740" w:rsidP="0048364F">
    <w:pPr>
      <w:jc w:val="right"/>
      <w:rPr>
        <w:b/>
        <w:sz w:val="20"/>
      </w:rPr>
    </w:pPr>
    <w:r w:rsidRPr="00A961C4">
      <w:rPr>
        <w:sz w:val="20"/>
      </w:rPr>
      <w:fldChar w:fldCharType="begin"/>
    </w:r>
    <w:r w:rsidRPr="00A961C4">
      <w:rPr>
        <w:sz w:val="20"/>
      </w:rPr>
      <w:instrText xml:space="preserve"> STYLEREF CharAmPartText </w:instrText>
    </w:r>
    <w:r w:rsidR="0030766D">
      <w:rPr>
        <w:sz w:val="20"/>
      </w:rPr>
      <w:fldChar w:fldCharType="separate"/>
    </w:r>
    <w:r w:rsidR="0030766D">
      <w:rPr>
        <w:noProof/>
        <w:sz w:val="20"/>
      </w:rPr>
      <w:t>Application and transitional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30766D">
      <w:rPr>
        <w:b/>
        <w:sz w:val="20"/>
      </w:rPr>
      <w:fldChar w:fldCharType="separate"/>
    </w:r>
    <w:r w:rsidR="0030766D">
      <w:rPr>
        <w:b/>
        <w:noProof/>
        <w:sz w:val="20"/>
      </w:rPr>
      <w:t>Part 6</w:t>
    </w:r>
    <w:r w:rsidRPr="00A961C4">
      <w:rPr>
        <w:b/>
        <w:sz w:val="20"/>
      </w:rPr>
      <w:fldChar w:fldCharType="end"/>
    </w:r>
  </w:p>
  <w:p w14:paraId="37E7D133" w14:textId="77777777" w:rsidR="00391740" w:rsidRPr="00A961C4" w:rsidRDefault="00391740"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14B38" w14:textId="77777777" w:rsidR="00391740" w:rsidRPr="00A961C4" w:rsidRDefault="00391740"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4F163CB0"/>
    <w:multiLevelType w:val="hybridMultilevel"/>
    <w:tmpl w:val="DFF09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76B"/>
    <w:rsid w:val="00000263"/>
    <w:rsid w:val="00010BAB"/>
    <w:rsid w:val="000113BC"/>
    <w:rsid w:val="000136AF"/>
    <w:rsid w:val="00014B94"/>
    <w:rsid w:val="000155CC"/>
    <w:rsid w:val="00036E24"/>
    <w:rsid w:val="0004044E"/>
    <w:rsid w:val="00042020"/>
    <w:rsid w:val="000426D4"/>
    <w:rsid w:val="00046F47"/>
    <w:rsid w:val="00047815"/>
    <w:rsid w:val="000510C7"/>
    <w:rsid w:val="0005120E"/>
    <w:rsid w:val="00051A45"/>
    <w:rsid w:val="00054577"/>
    <w:rsid w:val="00056AAD"/>
    <w:rsid w:val="00057099"/>
    <w:rsid w:val="00060E87"/>
    <w:rsid w:val="000614BF"/>
    <w:rsid w:val="0006375A"/>
    <w:rsid w:val="000641F2"/>
    <w:rsid w:val="00066193"/>
    <w:rsid w:val="0007169C"/>
    <w:rsid w:val="00077593"/>
    <w:rsid w:val="00080A76"/>
    <w:rsid w:val="00083F48"/>
    <w:rsid w:val="00096B19"/>
    <w:rsid w:val="00096E56"/>
    <w:rsid w:val="000A4629"/>
    <w:rsid w:val="000A7DF9"/>
    <w:rsid w:val="000B4E70"/>
    <w:rsid w:val="000D05EF"/>
    <w:rsid w:val="000D5485"/>
    <w:rsid w:val="000E77FB"/>
    <w:rsid w:val="000F0A45"/>
    <w:rsid w:val="000F1B8A"/>
    <w:rsid w:val="000F21C1"/>
    <w:rsid w:val="000F21E9"/>
    <w:rsid w:val="000F3D06"/>
    <w:rsid w:val="00105D72"/>
    <w:rsid w:val="0010745C"/>
    <w:rsid w:val="00117277"/>
    <w:rsid w:val="00122097"/>
    <w:rsid w:val="00123AF4"/>
    <w:rsid w:val="00136A79"/>
    <w:rsid w:val="00136DFB"/>
    <w:rsid w:val="0015243E"/>
    <w:rsid w:val="00155873"/>
    <w:rsid w:val="0015667A"/>
    <w:rsid w:val="00160BD7"/>
    <w:rsid w:val="001631AF"/>
    <w:rsid w:val="001643C9"/>
    <w:rsid w:val="00165568"/>
    <w:rsid w:val="00166082"/>
    <w:rsid w:val="00166C2F"/>
    <w:rsid w:val="001716C9"/>
    <w:rsid w:val="00173E39"/>
    <w:rsid w:val="001757E2"/>
    <w:rsid w:val="001815A0"/>
    <w:rsid w:val="00182F78"/>
    <w:rsid w:val="00184261"/>
    <w:rsid w:val="00190BA1"/>
    <w:rsid w:val="00190DF5"/>
    <w:rsid w:val="00193461"/>
    <w:rsid w:val="001939E1"/>
    <w:rsid w:val="00195382"/>
    <w:rsid w:val="00195878"/>
    <w:rsid w:val="00196FBF"/>
    <w:rsid w:val="001A3A46"/>
    <w:rsid w:val="001A3B9F"/>
    <w:rsid w:val="001A4302"/>
    <w:rsid w:val="001A65C0"/>
    <w:rsid w:val="001B6456"/>
    <w:rsid w:val="001B6613"/>
    <w:rsid w:val="001B7A5D"/>
    <w:rsid w:val="001C2DE4"/>
    <w:rsid w:val="001C521D"/>
    <w:rsid w:val="001C69C4"/>
    <w:rsid w:val="001C7557"/>
    <w:rsid w:val="001D4EBF"/>
    <w:rsid w:val="001E0A8D"/>
    <w:rsid w:val="001E3590"/>
    <w:rsid w:val="001E719C"/>
    <w:rsid w:val="001E7407"/>
    <w:rsid w:val="00200D6B"/>
    <w:rsid w:val="00201D27"/>
    <w:rsid w:val="0020300C"/>
    <w:rsid w:val="00203FD0"/>
    <w:rsid w:val="00207103"/>
    <w:rsid w:val="0021551C"/>
    <w:rsid w:val="00220A0C"/>
    <w:rsid w:val="00223E4A"/>
    <w:rsid w:val="002302EA"/>
    <w:rsid w:val="002359FE"/>
    <w:rsid w:val="00240749"/>
    <w:rsid w:val="002468D7"/>
    <w:rsid w:val="00261EBD"/>
    <w:rsid w:val="00263886"/>
    <w:rsid w:val="002816DB"/>
    <w:rsid w:val="00281B89"/>
    <w:rsid w:val="0028209A"/>
    <w:rsid w:val="00285CDD"/>
    <w:rsid w:val="00287157"/>
    <w:rsid w:val="00291167"/>
    <w:rsid w:val="002934E8"/>
    <w:rsid w:val="00294E9C"/>
    <w:rsid w:val="002968F9"/>
    <w:rsid w:val="00297CEF"/>
    <w:rsid w:val="00297ECB"/>
    <w:rsid w:val="002A3674"/>
    <w:rsid w:val="002A6F3F"/>
    <w:rsid w:val="002C152A"/>
    <w:rsid w:val="002C57F2"/>
    <w:rsid w:val="002D043A"/>
    <w:rsid w:val="002D088D"/>
    <w:rsid w:val="002D2B7B"/>
    <w:rsid w:val="002D33B9"/>
    <w:rsid w:val="002F5147"/>
    <w:rsid w:val="00300B93"/>
    <w:rsid w:val="003014E3"/>
    <w:rsid w:val="0030766D"/>
    <w:rsid w:val="00310F5E"/>
    <w:rsid w:val="00311D67"/>
    <w:rsid w:val="00313C8F"/>
    <w:rsid w:val="0031713F"/>
    <w:rsid w:val="003210F4"/>
    <w:rsid w:val="00321913"/>
    <w:rsid w:val="00323630"/>
    <w:rsid w:val="00324EE6"/>
    <w:rsid w:val="003316DC"/>
    <w:rsid w:val="00332E0D"/>
    <w:rsid w:val="0033303C"/>
    <w:rsid w:val="00335AB9"/>
    <w:rsid w:val="003415D3"/>
    <w:rsid w:val="00341A2D"/>
    <w:rsid w:val="00346335"/>
    <w:rsid w:val="00347BB1"/>
    <w:rsid w:val="00352B0F"/>
    <w:rsid w:val="003561B0"/>
    <w:rsid w:val="00367960"/>
    <w:rsid w:val="00372FC8"/>
    <w:rsid w:val="0037326B"/>
    <w:rsid w:val="00374223"/>
    <w:rsid w:val="0037505B"/>
    <w:rsid w:val="00376006"/>
    <w:rsid w:val="0039156E"/>
    <w:rsid w:val="00391740"/>
    <w:rsid w:val="003A15AC"/>
    <w:rsid w:val="003A56EB"/>
    <w:rsid w:val="003A5FAF"/>
    <w:rsid w:val="003B04FA"/>
    <w:rsid w:val="003B0627"/>
    <w:rsid w:val="003C23CB"/>
    <w:rsid w:val="003C5F2B"/>
    <w:rsid w:val="003D0BFE"/>
    <w:rsid w:val="003D1359"/>
    <w:rsid w:val="003D5700"/>
    <w:rsid w:val="003E1627"/>
    <w:rsid w:val="003E1BFB"/>
    <w:rsid w:val="003F0F5A"/>
    <w:rsid w:val="00400A30"/>
    <w:rsid w:val="00401F6E"/>
    <w:rsid w:val="004022CA"/>
    <w:rsid w:val="004116CD"/>
    <w:rsid w:val="00413291"/>
    <w:rsid w:val="00413FDE"/>
    <w:rsid w:val="00414ADE"/>
    <w:rsid w:val="00415984"/>
    <w:rsid w:val="00416076"/>
    <w:rsid w:val="00420C9B"/>
    <w:rsid w:val="0042492B"/>
    <w:rsid w:val="00424CA9"/>
    <w:rsid w:val="004257BB"/>
    <w:rsid w:val="004257DD"/>
    <w:rsid w:val="004259A5"/>
    <w:rsid w:val="004261D9"/>
    <w:rsid w:val="00427292"/>
    <w:rsid w:val="00435ED4"/>
    <w:rsid w:val="0044291A"/>
    <w:rsid w:val="0044769B"/>
    <w:rsid w:val="00451AF3"/>
    <w:rsid w:val="00454FF8"/>
    <w:rsid w:val="00455317"/>
    <w:rsid w:val="00460499"/>
    <w:rsid w:val="0046439D"/>
    <w:rsid w:val="00472283"/>
    <w:rsid w:val="00474835"/>
    <w:rsid w:val="00474BF2"/>
    <w:rsid w:val="00475C30"/>
    <w:rsid w:val="00475FBA"/>
    <w:rsid w:val="004819C7"/>
    <w:rsid w:val="0048364F"/>
    <w:rsid w:val="00483E6E"/>
    <w:rsid w:val="00490F2E"/>
    <w:rsid w:val="00491E3D"/>
    <w:rsid w:val="00496DB3"/>
    <w:rsid w:val="00496F97"/>
    <w:rsid w:val="004A53EA"/>
    <w:rsid w:val="004A679B"/>
    <w:rsid w:val="004B46E3"/>
    <w:rsid w:val="004C0FF0"/>
    <w:rsid w:val="004D0BEF"/>
    <w:rsid w:val="004D49C9"/>
    <w:rsid w:val="004D69DB"/>
    <w:rsid w:val="004E02C8"/>
    <w:rsid w:val="004F1F96"/>
    <w:rsid w:val="004F1FAC"/>
    <w:rsid w:val="004F4D9C"/>
    <w:rsid w:val="004F676E"/>
    <w:rsid w:val="004F7007"/>
    <w:rsid w:val="00506753"/>
    <w:rsid w:val="005140BA"/>
    <w:rsid w:val="00515E52"/>
    <w:rsid w:val="00516B8D"/>
    <w:rsid w:val="0052686F"/>
    <w:rsid w:val="005273F3"/>
    <w:rsid w:val="0052756C"/>
    <w:rsid w:val="00530230"/>
    <w:rsid w:val="00530492"/>
    <w:rsid w:val="00530CC9"/>
    <w:rsid w:val="00533BF6"/>
    <w:rsid w:val="00534453"/>
    <w:rsid w:val="00537FBC"/>
    <w:rsid w:val="005402D4"/>
    <w:rsid w:val="00541D73"/>
    <w:rsid w:val="00543469"/>
    <w:rsid w:val="00544CBC"/>
    <w:rsid w:val="005452CC"/>
    <w:rsid w:val="00546E11"/>
    <w:rsid w:val="00546FA3"/>
    <w:rsid w:val="00551A8C"/>
    <w:rsid w:val="00552A67"/>
    <w:rsid w:val="00554243"/>
    <w:rsid w:val="0055720B"/>
    <w:rsid w:val="00557C7A"/>
    <w:rsid w:val="00562A58"/>
    <w:rsid w:val="00581211"/>
    <w:rsid w:val="00582DC3"/>
    <w:rsid w:val="005847E3"/>
    <w:rsid w:val="00584811"/>
    <w:rsid w:val="00593AA6"/>
    <w:rsid w:val="00594161"/>
    <w:rsid w:val="00594512"/>
    <w:rsid w:val="00594749"/>
    <w:rsid w:val="005A482B"/>
    <w:rsid w:val="005A6EFB"/>
    <w:rsid w:val="005B3C43"/>
    <w:rsid w:val="005B4067"/>
    <w:rsid w:val="005B5410"/>
    <w:rsid w:val="005C1FBA"/>
    <w:rsid w:val="005C336C"/>
    <w:rsid w:val="005C36E0"/>
    <w:rsid w:val="005C3F41"/>
    <w:rsid w:val="005C45D1"/>
    <w:rsid w:val="005D168D"/>
    <w:rsid w:val="005D3106"/>
    <w:rsid w:val="005D5EA1"/>
    <w:rsid w:val="005E4C59"/>
    <w:rsid w:val="005E61D3"/>
    <w:rsid w:val="005F4840"/>
    <w:rsid w:val="005F4D70"/>
    <w:rsid w:val="005F50DA"/>
    <w:rsid w:val="005F7227"/>
    <w:rsid w:val="005F7738"/>
    <w:rsid w:val="00600219"/>
    <w:rsid w:val="0060573B"/>
    <w:rsid w:val="00613EAD"/>
    <w:rsid w:val="006158AC"/>
    <w:rsid w:val="00624D5F"/>
    <w:rsid w:val="00626112"/>
    <w:rsid w:val="006263FA"/>
    <w:rsid w:val="0063023F"/>
    <w:rsid w:val="00635A1E"/>
    <w:rsid w:val="00640402"/>
    <w:rsid w:val="00640F78"/>
    <w:rsid w:val="0064537B"/>
    <w:rsid w:val="00646E7B"/>
    <w:rsid w:val="00650CE7"/>
    <w:rsid w:val="00652426"/>
    <w:rsid w:val="00655D6A"/>
    <w:rsid w:val="00656DE9"/>
    <w:rsid w:val="00666627"/>
    <w:rsid w:val="006707F0"/>
    <w:rsid w:val="00677CC2"/>
    <w:rsid w:val="00685F42"/>
    <w:rsid w:val="006866A1"/>
    <w:rsid w:val="00690833"/>
    <w:rsid w:val="0069207B"/>
    <w:rsid w:val="006A2B06"/>
    <w:rsid w:val="006A4309"/>
    <w:rsid w:val="006A51E4"/>
    <w:rsid w:val="006B0E55"/>
    <w:rsid w:val="006B149F"/>
    <w:rsid w:val="006B7006"/>
    <w:rsid w:val="006C2122"/>
    <w:rsid w:val="006C354F"/>
    <w:rsid w:val="006C36A4"/>
    <w:rsid w:val="006C7F8C"/>
    <w:rsid w:val="006C7FB8"/>
    <w:rsid w:val="006D7AB9"/>
    <w:rsid w:val="006E7A1E"/>
    <w:rsid w:val="00700B2C"/>
    <w:rsid w:val="00702C5E"/>
    <w:rsid w:val="00702D51"/>
    <w:rsid w:val="00706803"/>
    <w:rsid w:val="00713084"/>
    <w:rsid w:val="00713316"/>
    <w:rsid w:val="007135F5"/>
    <w:rsid w:val="00715CE4"/>
    <w:rsid w:val="00720EF4"/>
    <w:rsid w:val="00720FC2"/>
    <w:rsid w:val="007223F1"/>
    <w:rsid w:val="00731E00"/>
    <w:rsid w:val="00732E9D"/>
    <w:rsid w:val="0073491A"/>
    <w:rsid w:val="007440B7"/>
    <w:rsid w:val="00747993"/>
    <w:rsid w:val="00755318"/>
    <w:rsid w:val="00757927"/>
    <w:rsid w:val="007634AD"/>
    <w:rsid w:val="00765B33"/>
    <w:rsid w:val="007715C9"/>
    <w:rsid w:val="00773712"/>
    <w:rsid w:val="00774EDD"/>
    <w:rsid w:val="007757EC"/>
    <w:rsid w:val="00791B05"/>
    <w:rsid w:val="007966B9"/>
    <w:rsid w:val="00796E6A"/>
    <w:rsid w:val="007A115D"/>
    <w:rsid w:val="007A1229"/>
    <w:rsid w:val="007A2C04"/>
    <w:rsid w:val="007A35E6"/>
    <w:rsid w:val="007A6863"/>
    <w:rsid w:val="007B5EC9"/>
    <w:rsid w:val="007B715D"/>
    <w:rsid w:val="007B7B0D"/>
    <w:rsid w:val="007C30F9"/>
    <w:rsid w:val="007C4650"/>
    <w:rsid w:val="007C4800"/>
    <w:rsid w:val="007C4FC4"/>
    <w:rsid w:val="007D14C6"/>
    <w:rsid w:val="007D45C1"/>
    <w:rsid w:val="007D7EFB"/>
    <w:rsid w:val="007D7FBF"/>
    <w:rsid w:val="007E7D4A"/>
    <w:rsid w:val="007F48ED"/>
    <w:rsid w:val="007F6061"/>
    <w:rsid w:val="007F7947"/>
    <w:rsid w:val="008073F6"/>
    <w:rsid w:val="00812F45"/>
    <w:rsid w:val="00823B55"/>
    <w:rsid w:val="00826176"/>
    <w:rsid w:val="0084172C"/>
    <w:rsid w:val="0084702A"/>
    <w:rsid w:val="008549D7"/>
    <w:rsid w:val="00856A31"/>
    <w:rsid w:val="0086030D"/>
    <w:rsid w:val="00864E75"/>
    <w:rsid w:val="008718CF"/>
    <w:rsid w:val="00872187"/>
    <w:rsid w:val="008754D0"/>
    <w:rsid w:val="00877D02"/>
    <w:rsid w:val="00877D48"/>
    <w:rsid w:val="008816F0"/>
    <w:rsid w:val="0088345B"/>
    <w:rsid w:val="00885166"/>
    <w:rsid w:val="008864DD"/>
    <w:rsid w:val="008905F2"/>
    <w:rsid w:val="008A16A5"/>
    <w:rsid w:val="008A5129"/>
    <w:rsid w:val="008A53B5"/>
    <w:rsid w:val="008B1334"/>
    <w:rsid w:val="008B5D42"/>
    <w:rsid w:val="008C2B5D"/>
    <w:rsid w:val="008D0EE0"/>
    <w:rsid w:val="008D1033"/>
    <w:rsid w:val="008D32DA"/>
    <w:rsid w:val="008D5B99"/>
    <w:rsid w:val="008D7A27"/>
    <w:rsid w:val="008E1820"/>
    <w:rsid w:val="008E4702"/>
    <w:rsid w:val="008E69AA"/>
    <w:rsid w:val="008F0C29"/>
    <w:rsid w:val="008F30F3"/>
    <w:rsid w:val="008F4F1C"/>
    <w:rsid w:val="0091176F"/>
    <w:rsid w:val="00912266"/>
    <w:rsid w:val="00920380"/>
    <w:rsid w:val="00922764"/>
    <w:rsid w:val="009309B7"/>
    <w:rsid w:val="00932377"/>
    <w:rsid w:val="009408EA"/>
    <w:rsid w:val="00943102"/>
    <w:rsid w:val="0094454C"/>
    <w:rsid w:val="0094523D"/>
    <w:rsid w:val="009453E4"/>
    <w:rsid w:val="009559E6"/>
    <w:rsid w:val="0095607B"/>
    <w:rsid w:val="0096096E"/>
    <w:rsid w:val="009675B4"/>
    <w:rsid w:val="009706BB"/>
    <w:rsid w:val="00976688"/>
    <w:rsid w:val="00976A63"/>
    <w:rsid w:val="00980D68"/>
    <w:rsid w:val="00983419"/>
    <w:rsid w:val="009834C2"/>
    <w:rsid w:val="00992DC2"/>
    <w:rsid w:val="00993157"/>
    <w:rsid w:val="00994821"/>
    <w:rsid w:val="00995DED"/>
    <w:rsid w:val="009A4F02"/>
    <w:rsid w:val="009A5854"/>
    <w:rsid w:val="009B1300"/>
    <w:rsid w:val="009B7FAB"/>
    <w:rsid w:val="009C3431"/>
    <w:rsid w:val="009C4C35"/>
    <w:rsid w:val="009C5989"/>
    <w:rsid w:val="009D08DA"/>
    <w:rsid w:val="009E0F95"/>
    <w:rsid w:val="009E6CF7"/>
    <w:rsid w:val="009F0B5E"/>
    <w:rsid w:val="009F1923"/>
    <w:rsid w:val="00A01CD9"/>
    <w:rsid w:val="00A0213D"/>
    <w:rsid w:val="00A03081"/>
    <w:rsid w:val="00A06860"/>
    <w:rsid w:val="00A136F5"/>
    <w:rsid w:val="00A161A0"/>
    <w:rsid w:val="00A231E2"/>
    <w:rsid w:val="00A24A73"/>
    <w:rsid w:val="00A2550D"/>
    <w:rsid w:val="00A258A8"/>
    <w:rsid w:val="00A30F44"/>
    <w:rsid w:val="00A4002D"/>
    <w:rsid w:val="00A4169B"/>
    <w:rsid w:val="00A42502"/>
    <w:rsid w:val="00A445F2"/>
    <w:rsid w:val="00A50D55"/>
    <w:rsid w:val="00A5165B"/>
    <w:rsid w:val="00A520E0"/>
    <w:rsid w:val="00A52FDA"/>
    <w:rsid w:val="00A63ECB"/>
    <w:rsid w:val="00A64912"/>
    <w:rsid w:val="00A70A74"/>
    <w:rsid w:val="00A76793"/>
    <w:rsid w:val="00A85528"/>
    <w:rsid w:val="00A87BEE"/>
    <w:rsid w:val="00A90C94"/>
    <w:rsid w:val="00A90EA8"/>
    <w:rsid w:val="00AA0343"/>
    <w:rsid w:val="00AA2A5C"/>
    <w:rsid w:val="00AA4C97"/>
    <w:rsid w:val="00AB78E9"/>
    <w:rsid w:val="00AC43AA"/>
    <w:rsid w:val="00AD3467"/>
    <w:rsid w:val="00AD5641"/>
    <w:rsid w:val="00AD7252"/>
    <w:rsid w:val="00AE0F9B"/>
    <w:rsid w:val="00AE4284"/>
    <w:rsid w:val="00AE796A"/>
    <w:rsid w:val="00AF55FF"/>
    <w:rsid w:val="00B032D8"/>
    <w:rsid w:val="00B065E1"/>
    <w:rsid w:val="00B077C2"/>
    <w:rsid w:val="00B130BD"/>
    <w:rsid w:val="00B1766B"/>
    <w:rsid w:val="00B17A09"/>
    <w:rsid w:val="00B278E9"/>
    <w:rsid w:val="00B30F9E"/>
    <w:rsid w:val="00B32760"/>
    <w:rsid w:val="00B33B3C"/>
    <w:rsid w:val="00B40D74"/>
    <w:rsid w:val="00B455A7"/>
    <w:rsid w:val="00B47411"/>
    <w:rsid w:val="00B51696"/>
    <w:rsid w:val="00B52663"/>
    <w:rsid w:val="00B56DCB"/>
    <w:rsid w:val="00B63724"/>
    <w:rsid w:val="00B71B57"/>
    <w:rsid w:val="00B770D2"/>
    <w:rsid w:val="00B80B34"/>
    <w:rsid w:val="00B8482A"/>
    <w:rsid w:val="00B901CD"/>
    <w:rsid w:val="00B94F68"/>
    <w:rsid w:val="00BA47A3"/>
    <w:rsid w:val="00BA5026"/>
    <w:rsid w:val="00BB40AE"/>
    <w:rsid w:val="00BB53B3"/>
    <w:rsid w:val="00BB6E79"/>
    <w:rsid w:val="00BD1324"/>
    <w:rsid w:val="00BE3B31"/>
    <w:rsid w:val="00BE7120"/>
    <w:rsid w:val="00BE719A"/>
    <w:rsid w:val="00BE720A"/>
    <w:rsid w:val="00BF2FC2"/>
    <w:rsid w:val="00BF3688"/>
    <w:rsid w:val="00BF6650"/>
    <w:rsid w:val="00BF7734"/>
    <w:rsid w:val="00C06138"/>
    <w:rsid w:val="00C067E5"/>
    <w:rsid w:val="00C14D92"/>
    <w:rsid w:val="00C164CA"/>
    <w:rsid w:val="00C30F4C"/>
    <w:rsid w:val="00C4148F"/>
    <w:rsid w:val="00C42BF8"/>
    <w:rsid w:val="00C460AE"/>
    <w:rsid w:val="00C50043"/>
    <w:rsid w:val="00C50A0F"/>
    <w:rsid w:val="00C5283E"/>
    <w:rsid w:val="00C6252C"/>
    <w:rsid w:val="00C640E7"/>
    <w:rsid w:val="00C7573B"/>
    <w:rsid w:val="00C76916"/>
    <w:rsid w:val="00C76CF3"/>
    <w:rsid w:val="00C8123B"/>
    <w:rsid w:val="00C85256"/>
    <w:rsid w:val="00C86833"/>
    <w:rsid w:val="00C94F91"/>
    <w:rsid w:val="00C9775C"/>
    <w:rsid w:val="00CA7844"/>
    <w:rsid w:val="00CB2331"/>
    <w:rsid w:val="00CB58EF"/>
    <w:rsid w:val="00CD3DE8"/>
    <w:rsid w:val="00CD778E"/>
    <w:rsid w:val="00CE7D64"/>
    <w:rsid w:val="00CF0802"/>
    <w:rsid w:val="00CF0BB2"/>
    <w:rsid w:val="00CF2FC9"/>
    <w:rsid w:val="00CF31C0"/>
    <w:rsid w:val="00D00072"/>
    <w:rsid w:val="00D02B91"/>
    <w:rsid w:val="00D13441"/>
    <w:rsid w:val="00D13B06"/>
    <w:rsid w:val="00D154F8"/>
    <w:rsid w:val="00D20665"/>
    <w:rsid w:val="00D243A3"/>
    <w:rsid w:val="00D246D8"/>
    <w:rsid w:val="00D27417"/>
    <w:rsid w:val="00D3200B"/>
    <w:rsid w:val="00D33440"/>
    <w:rsid w:val="00D44754"/>
    <w:rsid w:val="00D52EFE"/>
    <w:rsid w:val="00D55815"/>
    <w:rsid w:val="00D56A0D"/>
    <w:rsid w:val="00D5767F"/>
    <w:rsid w:val="00D63EF6"/>
    <w:rsid w:val="00D66518"/>
    <w:rsid w:val="00D70DFB"/>
    <w:rsid w:val="00D7163D"/>
    <w:rsid w:val="00D71EEA"/>
    <w:rsid w:val="00D735CD"/>
    <w:rsid w:val="00D73D6A"/>
    <w:rsid w:val="00D766DF"/>
    <w:rsid w:val="00D76BD3"/>
    <w:rsid w:val="00D778D7"/>
    <w:rsid w:val="00D86CE3"/>
    <w:rsid w:val="00D90068"/>
    <w:rsid w:val="00D908A3"/>
    <w:rsid w:val="00D922D2"/>
    <w:rsid w:val="00D926FA"/>
    <w:rsid w:val="00D95891"/>
    <w:rsid w:val="00DA7CCC"/>
    <w:rsid w:val="00DB58A4"/>
    <w:rsid w:val="00DB5CB4"/>
    <w:rsid w:val="00DB6749"/>
    <w:rsid w:val="00DB7496"/>
    <w:rsid w:val="00DD3610"/>
    <w:rsid w:val="00DD4BE3"/>
    <w:rsid w:val="00DD6AB3"/>
    <w:rsid w:val="00DE149E"/>
    <w:rsid w:val="00DE1BCA"/>
    <w:rsid w:val="00DE5B61"/>
    <w:rsid w:val="00E05704"/>
    <w:rsid w:val="00E062AE"/>
    <w:rsid w:val="00E10978"/>
    <w:rsid w:val="00E10E76"/>
    <w:rsid w:val="00E12F1A"/>
    <w:rsid w:val="00E1394E"/>
    <w:rsid w:val="00E15561"/>
    <w:rsid w:val="00E1692E"/>
    <w:rsid w:val="00E21CFB"/>
    <w:rsid w:val="00E22935"/>
    <w:rsid w:val="00E36BC4"/>
    <w:rsid w:val="00E41AA5"/>
    <w:rsid w:val="00E41BD8"/>
    <w:rsid w:val="00E44914"/>
    <w:rsid w:val="00E47BF2"/>
    <w:rsid w:val="00E54292"/>
    <w:rsid w:val="00E60191"/>
    <w:rsid w:val="00E73002"/>
    <w:rsid w:val="00E74A73"/>
    <w:rsid w:val="00E74DC7"/>
    <w:rsid w:val="00E84269"/>
    <w:rsid w:val="00E87699"/>
    <w:rsid w:val="00E87933"/>
    <w:rsid w:val="00E91D1E"/>
    <w:rsid w:val="00E92E27"/>
    <w:rsid w:val="00E9376B"/>
    <w:rsid w:val="00E9586B"/>
    <w:rsid w:val="00E97334"/>
    <w:rsid w:val="00EA0D36"/>
    <w:rsid w:val="00EA19BD"/>
    <w:rsid w:val="00EB3E9A"/>
    <w:rsid w:val="00EB7729"/>
    <w:rsid w:val="00EC095A"/>
    <w:rsid w:val="00ED4928"/>
    <w:rsid w:val="00EE0B87"/>
    <w:rsid w:val="00EE3749"/>
    <w:rsid w:val="00EE47EE"/>
    <w:rsid w:val="00EE6190"/>
    <w:rsid w:val="00EE7233"/>
    <w:rsid w:val="00EF11FD"/>
    <w:rsid w:val="00EF2E3A"/>
    <w:rsid w:val="00EF6402"/>
    <w:rsid w:val="00EF7F19"/>
    <w:rsid w:val="00F025DF"/>
    <w:rsid w:val="00F047E2"/>
    <w:rsid w:val="00F04D57"/>
    <w:rsid w:val="00F078DC"/>
    <w:rsid w:val="00F07C16"/>
    <w:rsid w:val="00F13E86"/>
    <w:rsid w:val="00F172AE"/>
    <w:rsid w:val="00F239E1"/>
    <w:rsid w:val="00F241FC"/>
    <w:rsid w:val="00F30484"/>
    <w:rsid w:val="00F32FCB"/>
    <w:rsid w:val="00F417F0"/>
    <w:rsid w:val="00F4459F"/>
    <w:rsid w:val="00F524B0"/>
    <w:rsid w:val="00F666C8"/>
    <w:rsid w:val="00F6709F"/>
    <w:rsid w:val="00F677A9"/>
    <w:rsid w:val="00F723BD"/>
    <w:rsid w:val="00F732EA"/>
    <w:rsid w:val="00F76A68"/>
    <w:rsid w:val="00F84CF5"/>
    <w:rsid w:val="00F85747"/>
    <w:rsid w:val="00F8612E"/>
    <w:rsid w:val="00F87447"/>
    <w:rsid w:val="00F9755D"/>
    <w:rsid w:val="00FA256A"/>
    <w:rsid w:val="00FA420B"/>
    <w:rsid w:val="00FB2901"/>
    <w:rsid w:val="00FC1BA9"/>
    <w:rsid w:val="00FC56BB"/>
    <w:rsid w:val="00FC5FD7"/>
    <w:rsid w:val="00FC6177"/>
    <w:rsid w:val="00FD042E"/>
    <w:rsid w:val="00FE0781"/>
    <w:rsid w:val="00FE0B84"/>
    <w:rsid w:val="00FF229E"/>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7F7D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DB7496"/>
    <w:pPr>
      <w:spacing w:line="260" w:lineRule="atLeast"/>
    </w:pPr>
    <w:rPr>
      <w:sz w:val="22"/>
    </w:rPr>
  </w:style>
  <w:style w:type="paragraph" w:styleId="Heading1">
    <w:name w:val="heading 1"/>
    <w:basedOn w:val="Normal"/>
    <w:next w:val="Normal"/>
    <w:link w:val="Heading1Char"/>
    <w:uiPriority w:val="9"/>
    <w:qFormat/>
    <w:rsid w:val="00DB7496"/>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7496"/>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7496"/>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B7496"/>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B7496"/>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B7496"/>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B7496"/>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B7496"/>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DB7496"/>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B7496"/>
  </w:style>
  <w:style w:type="paragraph" w:customStyle="1" w:styleId="OPCParaBase">
    <w:name w:val="OPCParaBase"/>
    <w:qFormat/>
    <w:rsid w:val="00DB7496"/>
    <w:pPr>
      <w:spacing w:line="260" w:lineRule="atLeast"/>
    </w:pPr>
    <w:rPr>
      <w:rFonts w:eastAsia="Times New Roman" w:cs="Times New Roman"/>
      <w:sz w:val="22"/>
      <w:lang w:eastAsia="en-AU"/>
    </w:rPr>
  </w:style>
  <w:style w:type="paragraph" w:customStyle="1" w:styleId="ShortT">
    <w:name w:val="ShortT"/>
    <w:basedOn w:val="OPCParaBase"/>
    <w:next w:val="Normal"/>
    <w:qFormat/>
    <w:rsid w:val="00DB7496"/>
    <w:pPr>
      <w:spacing w:line="240" w:lineRule="auto"/>
    </w:pPr>
    <w:rPr>
      <w:b/>
      <w:sz w:val="40"/>
    </w:rPr>
  </w:style>
  <w:style w:type="paragraph" w:customStyle="1" w:styleId="ActHead1">
    <w:name w:val="ActHead 1"/>
    <w:aliases w:val="c"/>
    <w:basedOn w:val="OPCParaBase"/>
    <w:next w:val="Normal"/>
    <w:qFormat/>
    <w:rsid w:val="00DB749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B749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B749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B749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B749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B749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B749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B749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B749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B7496"/>
  </w:style>
  <w:style w:type="paragraph" w:customStyle="1" w:styleId="Blocks">
    <w:name w:val="Blocks"/>
    <w:aliases w:val="bb"/>
    <w:basedOn w:val="OPCParaBase"/>
    <w:qFormat/>
    <w:rsid w:val="00DB7496"/>
    <w:pPr>
      <w:spacing w:line="240" w:lineRule="auto"/>
    </w:pPr>
    <w:rPr>
      <w:sz w:val="24"/>
    </w:rPr>
  </w:style>
  <w:style w:type="paragraph" w:customStyle="1" w:styleId="BoxText">
    <w:name w:val="BoxText"/>
    <w:aliases w:val="bt"/>
    <w:basedOn w:val="OPCParaBase"/>
    <w:qFormat/>
    <w:rsid w:val="00DB749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B7496"/>
    <w:rPr>
      <w:b/>
    </w:rPr>
  </w:style>
  <w:style w:type="paragraph" w:customStyle="1" w:styleId="BoxHeadItalic">
    <w:name w:val="BoxHeadItalic"/>
    <w:aliases w:val="bhi"/>
    <w:basedOn w:val="BoxText"/>
    <w:next w:val="BoxStep"/>
    <w:qFormat/>
    <w:rsid w:val="00DB7496"/>
    <w:rPr>
      <w:i/>
    </w:rPr>
  </w:style>
  <w:style w:type="paragraph" w:customStyle="1" w:styleId="BoxList">
    <w:name w:val="BoxList"/>
    <w:aliases w:val="bl"/>
    <w:basedOn w:val="BoxText"/>
    <w:qFormat/>
    <w:rsid w:val="00DB7496"/>
    <w:pPr>
      <w:ind w:left="1559" w:hanging="425"/>
    </w:pPr>
  </w:style>
  <w:style w:type="paragraph" w:customStyle="1" w:styleId="BoxNote">
    <w:name w:val="BoxNote"/>
    <w:aliases w:val="bn"/>
    <w:basedOn w:val="BoxText"/>
    <w:qFormat/>
    <w:rsid w:val="00DB7496"/>
    <w:pPr>
      <w:tabs>
        <w:tab w:val="left" w:pos="1985"/>
      </w:tabs>
      <w:spacing w:before="122" w:line="198" w:lineRule="exact"/>
      <w:ind w:left="2948" w:hanging="1814"/>
    </w:pPr>
    <w:rPr>
      <w:sz w:val="18"/>
    </w:rPr>
  </w:style>
  <w:style w:type="paragraph" w:customStyle="1" w:styleId="BoxPara">
    <w:name w:val="BoxPara"/>
    <w:aliases w:val="bp"/>
    <w:basedOn w:val="BoxText"/>
    <w:qFormat/>
    <w:rsid w:val="00DB7496"/>
    <w:pPr>
      <w:tabs>
        <w:tab w:val="right" w:pos="2268"/>
      </w:tabs>
      <w:ind w:left="2552" w:hanging="1418"/>
    </w:pPr>
  </w:style>
  <w:style w:type="paragraph" w:customStyle="1" w:styleId="BoxStep">
    <w:name w:val="BoxStep"/>
    <w:aliases w:val="bs"/>
    <w:basedOn w:val="BoxText"/>
    <w:qFormat/>
    <w:rsid w:val="00DB7496"/>
    <w:pPr>
      <w:ind w:left="1985" w:hanging="851"/>
    </w:pPr>
  </w:style>
  <w:style w:type="character" w:customStyle="1" w:styleId="CharAmPartNo">
    <w:name w:val="CharAmPartNo"/>
    <w:basedOn w:val="OPCCharBase"/>
    <w:qFormat/>
    <w:rsid w:val="00DB7496"/>
  </w:style>
  <w:style w:type="character" w:customStyle="1" w:styleId="CharAmPartText">
    <w:name w:val="CharAmPartText"/>
    <w:basedOn w:val="OPCCharBase"/>
    <w:qFormat/>
    <w:rsid w:val="00DB7496"/>
  </w:style>
  <w:style w:type="character" w:customStyle="1" w:styleId="CharAmSchNo">
    <w:name w:val="CharAmSchNo"/>
    <w:basedOn w:val="OPCCharBase"/>
    <w:qFormat/>
    <w:rsid w:val="00DB7496"/>
  </w:style>
  <w:style w:type="character" w:customStyle="1" w:styleId="CharAmSchText">
    <w:name w:val="CharAmSchText"/>
    <w:basedOn w:val="OPCCharBase"/>
    <w:qFormat/>
    <w:rsid w:val="00DB7496"/>
  </w:style>
  <w:style w:type="character" w:customStyle="1" w:styleId="CharBoldItalic">
    <w:name w:val="CharBoldItalic"/>
    <w:basedOn w:val="OPCCharBase"/>
    <w:uiPriority w:val="1"/>
    <w:qFormat/>
    <w:rsid w:val="00DB7496"/>
    <w:rPr>
      <w:b/>
      <w:i/>
    </w:rPr>
  </w:style>
  <w:style w:type="character" w:customStyle="1" w:styleId="CharChapNo">
    <w:name w:val="CharChapNo"/>
    <w:basedOn w:val="OPCCharBase"/>
    <w:uiPriority w:val="1"/>
    <w:qFormat/>
    <w:rsid w:val="00DB7496"/>
  </w:style>
  <w:style w:type="character" w:customStyle="1" w:styleId="CharChapText">
    <w:name w:val="CharChapText"/>
    <w:basedOn w:val="OPCCharBase"/>
    <w:uiPriority w:val="1"/>
    <w:qFormat/>
    <w:rsid w:val="00DB7496"/>
  </w:style>
  <w:style w:type="character" w:customStyle="1" w:styleId="CharDivNo">
    <w:name w:val="CharDivNo"/>
    <w:basedOn w:val="OPCCharBase"/>
    <w:uiPriority w:val="1"/>
    <w:qFormat/>
    <w:rsid w:val="00DB7496"/>
  </w:style>
  <w:style w:type="character" w:customStyle="1" w:styleId="CharDivText">
    <w:name w:val="CharDivText"/>
    <w:basedOn w:val="OPCCharBase"/>
    <w:uiPriority w:val="1"/>
    <w:qFormat/>
    <w:rsid w:val="00DB7496"/>
  </w:style>
  <w:style w:type="character" w:customStyle="1" w:styleId="CharItalic">
    <w:name w:val="CharItalic"/>
    <w:basedOn w:val="OPCCharBase"/>
    <w:uiPriority w:val="1"/>
    <w:qFormat/>
    <w:rsid w:val="00DB7496"/>
    <w:rPr>
      <w:i/>
    </w:rPr>
  </w:style>
  <w:style w:type="character" w:customStyle="1" w:styleId="CharPartNo">
    <w:name w:val="CharPartNo"/>
    <w:basedOn w:val="OPCCharBase"/>
    <w:uiPriority w:val="1"/>
    <w:qFormat/>
    <w:rsid w:val="00DB7496"/>
  </w:style>
  <w:style w:type="character" w:customStyle="1" w:styleId="CharPartText">
    <w:name w:val="CharPartText"/>
    <w:basedOn w:val="OPCCharBase"/>
    <w:uiPriority w:val="1"/>
    <w:qFormat/>
    <w:rsid w:val="00DB7496"/>
  </w:style>
  <w:style w:type="character" w:customStyle="1" w:styleId="CharSectno">
    <w:name w:val="CharSectno"/>
    <w:basedOn w:val="OPCCharBase"/>
    <w:qFormat/>
    <w:rsid w:val="00DB7496"/>
  </w:style>
  <w:style w:type="character" w:customStyle="1" w:styleId="CharSubdNo">
    <w:name w:val="CharSubdNo"/>
    <w:basedOn w:val="OPCCharBase"/>
    <w:uiPriority w:val="1"/>
    <w:qFormat/>
    <w:rsid w:val="00DB7496"/>
  </w:style>
  <w:style w:type="character" w:customStyle="1" w:styleId="CharSubdText">
    <w:name w:val="CharSubdText"/>
    <w:basedOn w:val="OPCCharBase"/>
    <w:uiPriority w:val="1"/>
    <w:qFormat/>
    <w:rsid w:val="00DB7496"/>
  </w:style>
  <w:style w:type="paragraph" w:customStyle="1" w:styleId="CTA--">
    <w:name w:val="CTA --"/>
    <w:basedOn w:val="OPCParaBase"/>
    <w:next w:val="Normal"/>
    <w:rsid w:val="00DB7496"/>
    <w:pPr>
      <w:spacing w:before="60" w:line="240" w:lineRule="atLeast"/>
      <w:ind w:left="142" w:hanging="142"/>
    </w:pPr>
    <w:rPr>
      <w:sz w:val="20"/>
    </w:rPr>
  </w:style>
  <w:style w:type="paragraph" w:customStyle="1" w:styleId="CTA-">
    <w:name w:val="CTA -"/>
    <w:basedOn w:val="OPCParaBase"/>
    <w:rsid w:val="00DB7496"/>
    <w:pPr>
      <w:spacing w:before="60" w:line="240" w:lineRule="atLeast"/>
      <w:ind w:left="85" w:hanging="85"/>
    </w:pPr>
    <w:rPr>
      <w:sz w:val="20"/>
    </w:rPr>
  </w:style>
  <w:style w:type="paragraph" w:customStyle="1" w:styleId="CTA---">
    <w:name w:val="CTA ---"/>
    <w:basedOn w:val="OPCParaBase"/>
    <w:next w:val="Normal"/>
    <w:rsid w:val="00DB7496"/>
    <w:pPr>
      <w:spacing w:before="60" w:line="240" w:lineRule="atLeast"/>
      <w:ind w:left="198" w:hanging="198"/>
    </w:pPr>
    <w:rPr>
      <w:sz w:val="20"/>
    </w:rPr>
  </w:style>
  <w:style w:type="paragraph" w:customStyle="1" w:styleId="CTA----">
    <w:name w:val="CTA ----"/>
    <w:basedOn w:val="OPCParaBase"/>
    <w:next w:val="Normal"/>
    <w:rsid w:val="00DB7496"/>
    <w:pPr>
      <w:spacing w:before="60" w:line="240" w:lineRule="atLeast"/>
      <w:ind w:left="255" w:hanging="255"/>
    </w:pPr>
    <w:rPr>
      <w:sz w:val="20"/>
    </w:rPr>
  </w:style>
  <w:style w:type="paragraph" w:customStyle="1" w:styleId="CTA1a">
    <w:name w:val="CTA 1(a)"/>
    <w:basedOn w:val="OPCParaBase"/>
    <w:rsid w:val="00DB7496"/>
    <w:pPr>
      <w:tabs>
        <w:tab w:val="right" w:pos="414"/>
      </w:tabs>
      <w:spacing w:before="40" w:line="240" w:lineRule="atLeast"/>
      <w:ind w:left="675" w:hanging="675"/>
    </w:pPr>
    <w:rPr>
      <w:sz w:val="20"/>
    </w:rPr>
  </w:style>
  <w:style w:type="paragraph" w:customStyle="1" w:styleId="CTA1ai">
    <w:name w:val="CTA 1(a)(i)"/>
    <w:basedOn w:val="OPCParaBase"/>
    <w:rsid w:val="00DB7496"/>
    <w:pPr>
      <w:tabs>
        <w:tab w:val="right" w:pos="1004"/>
      </w:tabs>
      <w:spacing w:before="40" w:line="240" w:lineRule="atLeast"/>
      <w:ind w:left="1253" w:hanging="1253"/>
    </w:pPr>
    <w:rPr>
      <w:sz w:val="20"/>
    </w:rPr>
  </w:style>
  <w:style w:type="paragraph" w:customStyle="1" w:styleId="CTA2a">
    <w:name w:val="CTA 2(a)"/>
    <w:basedOn w:val="OPCParaBase"/>
    <w:rsid w:val="00DB7496"/>
    <w:pPr>
      <w:tabs>
        <w:tab w:val="right" w:pos="482"/>
      </w:tabs>
      <w:spacing w:before="40" w:line="240" w:lineRule="atLeast"/>
      <w:ind w:left="748" w:hanging="748"/>
    </w:pPr>
    <w:rPr>
      <w:sz w:val="20"/>
    </w:rPr>
  </w:style>
  <w:style w:type="paragraph" w:customStyle="1" w:styleId="CTA2ai">
    <w:name w:val="CTA 2(a)(i)"/>
    <w:basedOn w:val="OPCParaBase"/>
    <w:rsid w:val="00DB7496"/>
    <w:pPr>
      <w:tabs>
        <w:tab w:val="right" w:pos="1089"/>
      </w:tabs>
      <w:spacing w:before="40" w:line="240" w:lineRule="atLeast"/>
      <w:ind w:left="1327" w:hanging="1327"/>
    </w:pPr>
    <w:rPr>
      <w:sz w:val="20"/>
    </w:rPr>
  </w:style>
  <w:style w:type="paragraph" w:customStyle="1" w:styleId="CTA3a">
    <w:name w:val="CTA 3(a)"/>
    <w:basedOn w:val="OPCParaBase"/>
    <w:rsid w:val="00DB7496"/>
    <w:pPr>
      <w:tabs>
        <w:tab w:val="right" w:pos="556"/>
      </w:tabs>
      <w:spacing w:before="40" w:line="240" w:lineRule="atLeast"/>
      <w:ind w:left="805" w:hanging="805"/>
    </w:pPr>
    <w:rPr>
      <w:sz w:val="20"/>
    </w:rPr>
  </w:style>
  <w:style w:type="paragraph" w:customStyle="1" w:styleId="CTA3ai">
    <w:name w:val="CTA 3(a)(i)"/>
    <w:basedOn w:val="OPCParaBase"/>
    <w:rsid w:val="00DB7496"/>
    <w:pPr>
      <w:tabs>
        <w:tab w:val="right" w:pos="1140"/>
      </w:tabs>
      <w:spacing w:before="40" w:line="240" w:lineRule="atLeast"/>
      <w:ind w:left="1361" w:hanging="1361"/>
    </w:pPr>
    <w:rPr>
      <w:sz w:val="20"/>
    </w:rPr>
  </w:style>
  <w:style w:type="paragraph" w:customStyle="1" w:styleId="CTA4a">
    <w:name w:val="CTA 4(a)"/>
    <w:basedOn w:val="OPCParaBase"/>
    <w:rsid w:val="00DB7496"/>
    <w:pPr>
      <w:tabs>
        <w:tab w:val="right" w:pos="624"/>
      </w:tabs>
      <w:spacing w:before="40" w:line="240" w:lineRule="atLeast"/>
      <w:ind w:left="873" w:hanging="873"/>
    </w:pPr>
    <w:rPr>
      <w:sz w:val="20"/>
    </w:rPr>
  </w:style>
  <w:style w:type="paragraph" w:customStyle="1" w:styleId="CTA4ai">
    <w:name w:val="CTA 4(a)(i)"/>
    <w:basedOn w:val="OPCParaBase"/>
    <w:rsid w:val="00DB7496"/>
    <w:pPr>
      <w:tabs>
        <w:tab w:val="right" w:pos="1213"/>
      </w:tabs>
      <w:spacing w:before="40" w:line="240" w:lineRule="atLeast"/>
      <w:ind w:left="1452" w:hanging="1452"/>
    </w:pPr>
    <w:rPr>
      <w:sz w:val="20"/>
    </w:rPr>
  </w:style>
  <w:style w:type="paragraph" w:customStyle="1" w:styleId="CTACAPS">
    <w:name w:val="CTA CAPS"/>
    <w:basedOn w:val="OPCParaBase"/>
    <w:rsid w:val="00DB7496"/>
    <w:pPr>
      <w:spacing w:before="60" w:line="240" w:lineRule="atLeast"/>
    </w:pPr>
    <w:rPr>
      <w:sz w:val="20"/>
    </w:rPr>
  </w:style>
  <w:style w:type="paragraph" w:customStyle="1" w:styleId="CTAright">
    <w:name w:val="CTA right"/>
    <w:basedOn w:val="OPCParaBase"/>
    <w:rsid w:val="00DB7496"/>
    <w:pPr>
      <w:spacing w:before="60" w:line="240" w:lineRule="auto"/>
      <w:jc w:val="right"/>
    </w:pPr>
    <w:rPr>
      <w:sz w:val="20"/>
    </w:rPr>
  </w:style>
  <w:style w:type="paragraph" w:customStyle="1" w:styleId="subsection">
    <w:name w:val="subsection"/>
    <w:aliases w:val="ss"/>
    <w:basedOn w:val="OPCParaBase"/>
    <w:link w:val="subsectionChar"/>
    <w:rsid w:val="00DB7496"/>
    <w:pPr>
      <w:tabs>
        <w:tab w:val="right" w:pos="1021"/>
      </w:tabs>
      <w:spacing w:before="180" w:line="240" w:lineRule="auto"/>
      <w:ind w:left="1134" w:hanging="1134"/>
    </w:pPr>
  </w:style>
  <w:style w:type="paragraph" w:customStyle="1" w:styleId="Definition">
    <w:name w:val="Definition"/>
    <w:aliases w:val="dd"/>
    <w:basedOn w:val="OPCParaBase"/>
    <w:rsid w:val="00DB7496"/>
    <w:pPr>
      <w:spacing w:before="180" w:line="240" w:lineRule="auto"/>
      <w:ind w:left="1134"/>
    </w:pPr>
  </w:style>
  <w:style w:type="paragraph" w:customStyle="1" w:styleId="ETAsubitem">
    <w:name w:val="ETA(subitem)"/>
    <w:basedOn w:val="OPCParaBase"/>
    <w:rsid w:val="00DB7496"/>
    <w:pPr>
      <w:tabs>
        <w:tab w:val="right" w:pos="340"/>
      </w:tabs>
      <w:spacing w:before="60" w:line="240" w:lineRule="auto"/>
      <w:ind w:left="454" w:hanging="454"/>
    </w:pPr>
    <w:rPr>
      <w:sz w:val="20"/>
    </w:rPr>
  </w:style>
  <w:style w:type="paragraph" w:customStyle="1" w:styleId="ETApara">
    <w:name w:val="ETA(para)"/>
    <w:basedOn w:val="OPCParaBase"/>
    <w:rsid w:val="00DB7496"/>
    <w:pPr>
      <w:tabs>
        <w:tab w:val="right" w:pos="754"/>
      </w:tabs>
      <w:spacing w:before="60" w:line="240" w:lineRule="auto"/>
      <w:ind w:left="828" w:hanging="828"/>
    </w:pPr>
    <w:rPr>
      <w:sz w:val="20"/>
    </w:rPr>
  </w:style>
  <w:style w:type="paragraph" w:customStyle="1" w:styleId="ETAsubpara">
    <w:name w:val="ETA(subpara)"/>
    <w:basedOn w:val="OPCParaBase"/>
    <w:rsid w:val="00DB7496"/>
    <w:pPr>
      <w:tabs>
        <w:tab w:val="right" w:pos="1083"/>
      </w:tabs>
      <w:spacing w:before="60" w:line="240" w:lineRule="auto"/>
      <w:ind w:left="1191" w:hanging="1191"/>
    </w:pPr>
    <w:rPr>
      <w:sz w:val="20"/>
    </w:rPr>
  </w:style>
  <w:style w:type="paragraph" w:customStyle="1" w:styleId="ETAsub-subpara">
    <w:name w:val="ETA(sub-subpara)"/>
    <w:basedOn w:val="OPCParaBase"/>
    <w:rsid w:val="00DB7496"/>
    <w:pPr>
      <w:tabs>
        <w:tab w:val="right" w:pos="1412"/>
      </w:tabs>
      <w:spacing w:before="60" w:line="240" w:lineRule="auto"/>
      <w:ind w:left="1525" w:hanging="1525"/>
    </w:pPr>
    <w:rPr>
      <w:sz w:val="20"/>
    </w:rPr>
  </w:style>
  <w:style w:type="paragraph" w:customStyle="1" w:styleId="Formula">
    <w:name w:val="Formula"/>
    <w:basedOn w:val="OPCParaBase"/>
    <w:rsid w:val="00DB7496"/>
    <w:pPr>
      <w:spacing w:line="240" w:lineRule="auto"/>
      <w:ind w:left="1134"/>
    </w:pPr>
    <w:rPr>
      <w:sz w:val="20"/>
    </w:rPr>
  </w:style>
  <w:style w:type="paragraph" w:styleId="Header">
    <w:name w:val="header"/>
    <w:basedOn w:val="OPCParaBase"/>
    <w:link w:val="HeaderChar"/>
    <w:unhideWhenUsed/>
    <w:rsid w:val="00DB749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B7496"/>
    <w:rPr>
      <w:rFonts w:eastAsia="Times New Roman" w:cs="Times New Roman"/>
      <w:sz w:val="16"/>
      <w:lang w:eastAsia="en-AU"/>
    </w:rPr>
  </w:style>
  <w:style w:type="paragraph" w:customStyle="1" w:styleId="House">
    <w:name w:val="House"/>
    <w:basedOn w:val="OPCParaBase"/>
    <w:rsid w:val="00DB7496"/>
    <w:pPr>
      <w:spacing w:line="240" w:lineRule="auto"/>
    </w:pPr>
    <w:rPr>
      <w:sz w:val="28"/>
    </w:rPr>
  </w:style>
  <w:style w:type="paragraph" w:customStyle="1" w:styleId="Item">
    <w:name w:val="Item"/>
    <w:aliases w:val="i"/>
    <w:basedOn w:val="OPCParaBase"/>
    <w:next w:val="ItemHead"/>
    <w:rsid w:val="00DB7496"/>
    <w:pPr>
      <w:keepLines/>
      <w:spacing w:before="80" w:line="240" w:lineRule="auto"/>
      <w:ind w:left="709"/>
    </w:pPr>
  </w:style>
  <w:style w:type="paragraph" w:customStyle="1" w:styleId="ItemHead">
    <w:name w:val="ItemHead"/>
    <w:aliases w:val="ih"/>
    <w:basedOn w:val="OPCParaBase"/>
    <w:next w:val="Item"/>
    <w:rsid w:val="00DB749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B7496"/>
    <w:pPr>
      <w:spacing w:line="240" w:lineRule="auto"/>
    </w:pPr>
    <w:rPr>
      <w:b/>
      <w:sz w:val="32"/>
    </w:rPr>
  </w:style>
  <w:style w:type="paragraph" w:customStyle="1" w:styleId="notedraft">
    <w:name w:val="note(draft)"/>
    <w:aliases w:val="nd"/>
    <w:basedOn w:val="OPCParaBase"/>
    <w:rsid w:val="00DB7496"/>
    <w:pPr>
      <w:spacing w:before="240" w:line="240" w:lineRule="auto"/>
      <w:ind w:left="284" w:hanging="284"/>
    </w:pPr>
    <w:rPr>
      <w:i/>
      <w:sz w:val="24"/>
    </w:rPr>
  </w:style>
  <w:style w:type="paragraph" w:customStyle="1" w:styleId="notemargin">
    <w:name w:val="note(margin)"/>
    <w:aliases w:val="nm"/>
    <w:basedOn w:val="OPCParaBase"/>
    <w:rsid w:val="00DB7496"/>
    <w:pPr>
      <w:tabs>
        <w:tab w:val="left" w:pos="709"/>
      </w:tabs>
      <w:spacing w:before="122" w:line="198" w:lineRule="exact"/>
      <w:ind w:left="709" w:hanging="709"/>
    </w:pPr>
    <w:rPr>
      <w:sz w:val="18"/>
    </w:rPr>
  </w:style>
  <w:style w:type="paragraph" w:customStyle="1" w:styleId="noteToPara">
    <w:name w:val="noteToPara"/>
    <w:aliases w:val="ntp"/>
    <w:basedOn w:val="OPCParaBase"/>
    <w:rsid w:val="00DB7496"/>
    <w:pPr>
      <w:spacing w:before="122" w:line="198" w:lineRule="exact"/>
      <w:ind w:left="2353" w:hanging="709"/>
    </w:pPr>
    <w:rPr>
      <w:sz w:val="18"/>
    </w:rPr>
  </w:style>
  <w:style w:type="paragraph" w:customStyle="1" w:styleId="noteParlAmend">
    <w:name w:val="note(ParlAmend)"/>
    <w:aliases w:val="npp"/>
    <w:basedOn w:val="OPCParaBase"/>
    <w:next w:val="ParlAmend"/>
    <w:rsid w:val="00DB7496"/>
    <w:pPr>
      <w:spacing w:line="240" w:lineRule="auto"/>
      <w:jc w:val="right"/>
    </w:pPr>
    <w:rPr>
      <w:rFonts w:ascii="Arial" w:hAnsi="Arial"/>
      <w:b/>
      <w:i/>
    </w:rPr>
  </w:style>
  <w:style w:type="paragraph" w:customStyle="1" w:styleId="Page1">
    <w:name w:val="Page1"/>
    <w:basedOn w:val="OPCParaBase"/>
    <w:rsid w:val="00DB7496"/>
    <w:pPr>
      <w:spacing w:before="5600" w:line="240" w:lineRule="auto"/>
    </w:pPr>
    <w:rPr>
      <w:b/>
      <w:sz w:val="32"/>
    </w:rPr>
  </w:style>
  <w:style w:type="paragraph" w:customStyle="1" w:styleId="PageBreak">
    <w:name w:val="PageBreak"/>
    <w:aliases w:val="pb"/>
    <w:basedOn w:val="OPCParaBase"/>
    <w:rsid w:val="00DB7496"/>
    <w:pPr>
      <w:spacing w:line="240" w:lineRule="auto"/>
    </w:pPr>
    <w:rPr>
      <w:sz w:val="20"/>
    </w:rPr>
  </w:style>
  <w:style w:type="paragraph" w:customStyle="1" w:styleId="paragraphsub">
    <w:name w:val="paragraph(sub)"/>
    <w:aliases w:val="aa"/>
    <w:basedOn w:val="OPCParaBase"/>
    <w:rsid w:val="00DB7496"/>
    <w:pPr>
      <w:tabs>
        <w:tab w:val="right" w:pos="1985"/>
      </w:tabs>
      <w:spacing w:before="40" w:line="240" w:lineRule="auto"/>
      <w:ind w:left="2098" w:hanging="2098"/>
    </w:pPr>
  </w:style>
  <w:style w:type="paragraph" w:customStyle="1" w:styleId="paragraphsub-sub">
    <w:name w:val="paragraph(sub-sub)"/>
    <w:aliases w:val="aaa"/>
    <w:basedOn w:val="OPCParaBase"/>
    <w:rsid w:val="00DB7496"/>
    <w:pPr>
      <w:tabs>
        <w:tab w:val="right" w:pos="2722"/>
      </w:tabs>
      <w:spacing w:before="40" w:line="240" w:lineRule="auto"/>
      <w:ind w:left="2835" w:hanging="2835"/>
    </w:pPr>
  </w:style>
  <w:style w:type="paragraph" w:customStyle="1" w:styleId="paragraph">
    <w:name w:val="paragraph"/>
    <w:aliases w:val="a"/>
    <w:basedOn w:val="OPCParaBase"/>
    <w:rsid w:val="00DB7496"/>
    <w:pPr>
      <w:tabs>
        <w:tab w:val="right" w:pos="1531"/>
      </w:tabs>
      <w:spacing w:before="40" w:line="240" w:lineRule="auto"/>
      <w:ind w:left="1644" w:hanging="1644"/>
    </w:pPr>
  </w:style>
  <w:style w:type="paragraph" w:customStyle="1" w:styleId="ParlAmend">
    <w:name w:val="ParlAmend"/>
    <w:aliases w:val="pp"/>
    <w:basedOn w:val="OPCParaBase"/>
    <w:rsid w:val="00DB7496"/>
    <w:pPr>
      <w:spacing w:before="240" w:line="240" w:lineRule="atLeast"/>
      <w:ind w:hanging="567"/>
    </w:pPr>
    <w:rPr>
      <w:sz w:val="24"/>
    </w:rPr>
  </w:style>
  <w:style w:type="paragraph" w:customStyle="1" w:styleId="Penalty">
    <w:name w:val="Penalty"/>
    <w:basedOn w:val="OPCParaBase"/>
    <w:rsid w:val="00DB7496"/>
    <w:pPr>
      <w:tabs>
        <w:tab w:val="left" w:pos="2977"/>
      </w:tabs>
      <w:spacing w:before="180" w:line="240" w:lineRule="auto"/>
      <w:ind w:left="1985" w:hanging="851"/>
    </w:pPr>
  </w:style>
  <w:style w:type="paragraph" w:customStyle="1" w:styleId="Portfolio">
    <w:name w:val="Portfolio"/>
    <w:basedOn w:val="OPCParaBase"/>
    <w:rsid w:val="00DB7496"/>
    <w:pPr>
      <w:spacing w:line="240" w:lineRule="auto"/>
    </w:pPr>
    <w:rPr>
      <w:i/>
      <w:sz w:val="20"/>
    </w:rPr>
  </w:style>
  <w:style w:type="paragraph" w:customStyle="1" w:styleId="Preamble">
    <w:name w:val="Preamble"/>
    <w:basedOn w:val="OPCParaBase"/>
    <w:next w:val="Normal"/>
    <w:rsid w:val="00DB749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B7496"/>
    <w:pPr>
      <w:spacing w:line="240" w:lineRule="auto"/>
    </w:pPr>
    <w:rPr>
      <w:i/>
      <w:sz w:val="20"/>
    </w:rPr>
  </w:style>
  <w:style w:type="paragraph" w:customStyle="1" w:styleId="Session">
    <w:name w:val="Session"/>
    <w:basedOn w:val="OPCParaBase"/>
    <w:rsid w:val="00DB7496"/>
    <w:pPr>
      <w:spacing w:line="240" w:lineRule="auto"/>
    </w:pPr>
    <w:rPr>
      <w:sz w:val="28"/>
    </w:rPr>
  </w:style>
  <w:style w:type="paragraph" w:customStyle="1" w:styleId="Sponsor">
    <w:name w:val="Sponsor"/>
    <w:basedOn w:val="OPCParaBase"/>
    <w:rsid w:val="00DB7496"/>
    <w:pPr>
      <w:spacing w:line="240" w:lineRule="auto"/>
    </w:pPr>
    <w:rPr>
      <w:i/>
    </w:rPr>
  </w:style>
  <w:style w:type="paragraph" w:customStyle="1" w:styleId="Subitem">
    <w:name w:val="Subitem"/>
    <w:aliases w:val="iss"/>
    <w:basedOn w:val="OPCParaBase"/>
    <w:rsid w:val="00DB7496"/>
    <w:pPr>
      <w:spacing w:before="180" w:line="240" w:lineRule="auto"/>
      <w:ind w:left="709" w:hanging="709"/>
    </w:pPr>
  </w:style>
  <w:style w:type="paragraph" w:customStyle="1" w:styleId="SubitemHead">
    <w:name w:val="SubitemHead"/>
    <w:aliases w:val="issh"/>
    <w:basedOn w:val="OPCParaBase"/>
    <w:rsid w:val="00DB749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B7496"/>
    <w:pPr>
      <w:spacing w:before="40" w:line="240" w:lineRule="auto"/>
      <w:ind w:left="1134"/>
    </w:pPr>
  </w:style>
  <w:style w:type="paragraph" w:customStyle="1" w:styleId="SubsectionHead">
    <w:name w:val="SubsectionHead"/>
    <w:aliases w:val="ssh"/>
    <w:basedOn w:val="OPCParaBase"/>
    <w:next w:val="subsection"/>
    <w:rsid w:val="00DB7496"/>
    <w:pPr>
      <w:keepNext/>
      <w:keepLines/>
      <w:spacing w:before="240" w:line="240" w:lineRule="auto"/>
      <w:ind w:left="1134"/>
    </w:pPr>
    <w:rPr>
      <w:i/>
    </w:rPr>
  </w:style>
  <w:style w:type="paragraph" w:customStyle="1" w:styleId="Tablea">
    <w:name w:val="Table(a)"/>
    <w:aliases w:val="ta"/>
    <w:basedOn w:val="OPCParaBase"/>
    <w:rsid w:val="00DB7496"/>
    <w:pPr>
      <w:spacing w:before="60" w:line="240" w:lineRule="auto"/>
      <w:ind w:left="284" w:hanging="284"/>
    </w:pPr>
    <w:rPr>
      <w:sz w:val="20"/>
    </w:rPr>
  </w:style>
  <w:style w:type="paragraph" w:customStyle="1" w:styleId="TableAA">
    <w:name w:val="Table(AA)"/>
    <w:aliases w:val="taaa"/>
    <w:basedOn w:val="OPCParaBase"/>
    <w:rsid w:val="00DB749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B749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B7496"/>
    <w:pPr>
      <w:spacing w:before="60" w:line="240" w:lineRule="atLeast"/>
    </w:pPr>
    <w:rPr>
      <w:sz w:val="20"/>
    </w:rPr>
  </w:style>
  <w:style w:type="paragraph" w:customStyle="1" w:styleId="TLPBoxTextnote">
    <w:name w:val="TLPBoxText(note"/>
    <w:aliases w:val="right)"/>
    <w:basedOn w:val="OPCParaBase"/>
    <w:rsid w:val="00DB749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B749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B7496"/>
    <w:pPr>
      <w:spacing w:before="122" w:line="198" w:lineRule="exact"/>
      <w:ind w:left="1985" w:hanging="851"/>
      <w:jc w:val="right"/>
    </w:pPr>
    <w:rPr>
      <w:sz w:val="18"/>
    </w:rPr>
  </w:style>
  <w:style w:type="paragraph" w:customStyle="1" w:styleId="TLPTableBullet">
    <w:name w:val="TLPTableBullet"/>
    <w:aliases w:val="ttb"/>
    <w:basedOn w:val="OPCParaBase"/>
    <w:rsid w:val="00DB7496"/>
    <w:pPr>
      <w:spacing w:line="240" w:lineRule="exact"/>
      <w:ind w:left="284" w:hanging="284"/>
    </w:pPr>
    <w:rPr>
      <w:sz w:val="20"/>
    </w:rPr>
  </w:style>
  <w:style w:type="paragraph" w:styleId="TOC1">
    <w:name w:val="toc 1"/>
    <w:basedOn w:val="Normal"/>
    <w:next w:val="Normal"/>
    <w:uiPriority w:val="39"/>
    <w:unhideWhenUsed/>
    <w:rsid w:val="00DB749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DB749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DB749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DB749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DB749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DB749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DB749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DB749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DB749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DB7496"/>
    <w:pPr>
      <w:keepLines/>
      <w:spacing w:before="240" w:after="120" w:line="240" w:lineRule="auto"/>
      <w:ind w:left="794"/>
    </w:pPr>
    <w:rPr>
      <w:b/>
      <w:kern w:val="28"/>
      <w:sz w:val="20"/>
    </w:rPr>
  </w:style>
  <w:style w:type="paragraph" w:customStyle="1" w:styleId="TofSectsHeading">
    <w:name w:val="TofSects(Heading)"/>
    <w:basedOn w:val="OPCParaBase"/>
    <w:rsid w:val="00DB7496"/>
    <w:pPr>
      <w:spacing w:before="240" w:after="120" w:line="240" w:lineRule="auto"/>
    </w:pPr>
    <w:rPr>
      <w:b/>
      <w:sz w:val="24"/>
    </w:rPr>
  </w:style>
  <w:style w:type="paragraph" w:customStyle="1" w:styleId="TofSectsSection">
    <w:name w:val="TofSects(Section)"/>
    <w:basedOn w:val="OPCParaBase"/>
    <w:rsid w:val="00DB7496"/>
    <w:pPr>
      <w:keepLines/>
      <w:spacing w:before="40" w:line="240" w:lineRule="auto"/>
      <w:ind w:left="1588" w:hanging="794"/>
    </w:pPr>
    <w:rPr>
      <w:kern w:val="28"/>
      <w:sz w:val="18"/>
    </w:rPr>
  </w:style>
  <w:style w:type="paragraph" w:customStyle="1" w:styleId="TofSectsSubdiv">
    <w:name w:val="TofSects(Subdiv)"/>
    <w:basedOn w:val="OPCParaBase"/>
    <w:rsid w:val="00DB7496"/>
    <w:pPr>
      <w:keepLines/>
      <w:spacing w:before="80" w:line="240" w:lineRule="auto"/>
      <w:ind w:left="1588" w:hanging="794"/>
    </w:pPr>
    <w:rPr>
      <w:kern w:val="28"/>
    </w:rPr>
  </w:style>
  <w:style w:type="paragraph" w:customStyle="1" w:styleId="WRStyle">
    <w:name w:val="WR Style"/>
    <w:aliases w:val="WR"/>
    <w:basedOn w:val="OPCParaBase"/>
    <w:rsid w:val="00DB7496"/>
    <w:pPr>
      <w:spacing w:before="240" w:line="240" w:lineRule="auto"/>
      <w:ind w:left="284" w:hanging="284"/>
    </w:pPr>
    <w:rPr>
      <w:b/>
      <w:i/>
      <w:kern w:val="28"/>
      <w:sz w:val="24"/>
    </w:rPr>
  </w:style>
  <w:style w:type="paragraph" w:customStyle="1" w:styleId="notepara">
    <w:name w:val="note(para)"/>
    <w:aliases w:val="na"/>
    <w:basedOn w:val="OPCParaBase"/>
    <w:rsid w:val="00DB7496"/>
    <w:pPr>
      <w:spacing w:before="40" w:line="198" w:lineRule="exact"/>
      <w:ind w:left="2354" w:hanging="369"/>
    </w:pPr>
    <w:rPr>
      <w:sz w:val="18"/>
    </w:rPr>
  </w:style>
  <w:style w:type="paragraph" w:styleId="Footer">
    <w:name w:val="footer"/>
    <w:link w:val="FooterChar"/>
    <w:rsid w:val="00DB749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B7496"/>
    <w:rPr>
      <w:rFonts w:eastAsia="Times New Roman" w:cs="Times New Roman"/>
      <w:sz w:val="22"/>
      <w:szCs w:val="24"/>
      <w:lang w:eastAsia="en-AU"/>
    </w:rPr>
  </w:style>
  <w:style w:type="character" w:styleId="LineNumber">
    <w:name w:val="line number"/>
    <w:basedOn w:val="OPCCharBase"/>
    <w:uiPriority w:val="99"/>
    <w:unhideWhenUsed/>
    <w:rsid w:val="00DB7496"/>
    <w:rPr>
      <w:sz w:val="16"/>
    </w:rPr>
  </w:style>
  <w:style w:type="table" w:customStyle="1" w:styleId="CFlag">
    <w:name w:val="CFlag"/>
    <w:basedOn w:val="TableNormal"/>
    <w:uiPriority w:val="99"/>
    <w:rsid w:val="00DB7496"/>
    <w:rPr>
      <w:rFonts w:eastAsia="Times New Roman" w:cs="Times New Roman"/>
      <w:lang w:eastAsia="en-AU"/>
    </w:rPr>
    <w:tblPr/>
  </w:style>
  <w:style w:type="paragraph" w:styleId="BalloonText">
    <w:name w:val="Balloon Text"/>
    <w:basedOn w:val="Normal"/>
    <w:link w:val="BalloonTextChar"/>
    <w:uiPriority w:val="99"/>
    <w:unhideWhenUsed/>
    <w:rsid w:val="00DB74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B7496"/>
    <w:rPr>
      <w:rFonts w:ascii="Tahoma" w:hAnsi="Tahoma" w:cs="Tahoma"/>
      <w:sz w:val="16"/>
      <w:szCs w:val="16"/>
    </w:rPr>
  </w:style>
  <w:style w:type="table" w:styleId="TableGrid">
    <w:name w:val="Table Grid"/>
    <w:basedOn w:val="TableNormal"/>
    <w:uiPriority w:val="59"/>
    <w:rsid w:val="00DB7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B7496"/>
    <w:rPr>
      <w:b/>
      <w:sz w:val="28"/>
      <w:szCs w:val="32"/>
    </w:rPr>
  </w:style>
  <w:style w:type="paragraph" w:customStyle="1" w:styleId="LegislationMadeUnder">
    <w:name w:val="LegislationMadeUnder"/>
    <w:basedOn w:val="OPCParaBase"/>
    <w:next w:val="Normal"/>
    <w:rsid w:val="00DB7496"/>
    <w:rPr>
      <w:i/>
      <w:sz w:val="32"/>
      <w:szCs w:val="32"/>
    </w:rPr>
  </w:style>
  <w:style w:type="paragraph" w:customStyle="1" w:styleId="SignCoverPageEnd">
    <w:name w:val="SignCoverPageEnd"/>
    <w:basedOn w:val="OPCParaBase"/>
    <w:next w:val="Normal"/>
    <w:rsid w:val="00DB749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B7496"/>
    <w:pPr>
      <w:pBdr>
        <w:top w:val="single" w:sz="4" w:space="1" w:color="auto"/>
      </w:pBdr>
      <w:spacing w:before="360"/>
      <w:ind w:right="397"/>
      <w:jc w:val="both"/>
    </w:pPr>
  </w:style>
  <w:style w:type="paragraph" w:customStyle="1" w:styleId="NotesHeading1">
    <w:name w:val="NotesHeading 1"/>
    <w:basedOn w:val="OPCParaBase"/>
    <w:next w:val="Normal"/>
    <w:rsid w:val="00DB7496"/>
    <w:rPr>
      <w:b/>
      <w:sz w:val="28"/>
      <w:szCs w:val="28"/>
    </w:rPr>
  </w:style>
  <w:style w:type="paragraph" w:customStyle="1" w:styleId="NotesHeading2">
    <w:name w:val="NotesHeading 2"/>
    <w:basedOn w:val="OPCParaBase"/>
    <w:next w:val="Normal"/>
    <w:rsid w:val="00DB7496"/>
    <w:rPr>
      <w:b/>
      <w:sz w:val="28"/>
      <w:szCs w:val="28"/>
    </w:rPr>
  </w:style>
  <w:style w:type="paragraph" w:customStyle="1" w:styleId="ENotesText">
    <w:name w:val="ENotesText"/>
    <w:aliases w:val="Ent"/>
    <w:basedOn w:val="OPCParaBase"/>
    <w:next w:val="Normal"/>
    <w:rsid w:val="00DB7496"/>
    <w:pPr>
      <w:spacing w:before="120"/>
    </w:pPr>
  </w:style>
  <w:style w:type="paragraph" w:customStyle="1" w:styleId="CompiledActNo">
    <w:name w:val="CompiledActNo"/>
    <w:basedOn w:val="OPCParaBase"/>
    <w:next w:val="Normal"/>
    <w:rsid w:val="00DB7496"/>
    <w:rPr>
      <w:b/>
      <w:sz w:val="24"/>
      <w:szCs w:val="24"/>
    </w:rPr>
  </w:style>
  <w:style w:type="paragraph" w:customStyle="1" w:styleId="CompiledMadeUnder">
    <w:name w:val="CompiledMadeUnder"/>
    <w:basedOn w:val="OPCParaBase"/>
    <w:next w:val="Normal"/>
    <w:rsid w:val="00DB7496"/>
    <w:rPr>
      <w:i/>
      <w:sz w:val="24"/>
      <w:szCs w:val="24"/>
    </w:rPr>
  </w:style>
  <w:style w:type="paragraph" w:customStyle="1" w:styleId="Paragraphsub-sub-sub">
    <w:name w:val="Paragraph(sub-sub-sub)"/>
    <w:aliases w:val="aaaa"/>
    <w:basedOn w:val="OPCParaBase"/>
    <w:rsid w:val="00DB749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B749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B749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B749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B749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B7496"/>
    <w:pPr>
      <w:spacing w:before="60" w:line="240" w:lineRule="auto"/>
    </w:pPr>
    <w:rPr>
      <w:rFonts w:cs="Arial"/>
      <w:sz w:val="20"/>
      <w:szCs w:val="22"/>
    </w:rPr>
  </w:style>
  <w:style w:type="paragraph" w:customStyle="1" w:styleId="NoteToSubpara">
    <w:name w:val="NoteToSubpara"/>
    <w:aliases w:val="nts"/>
    <w:basedOn w:val="OPCParaBase"/>
    <w:rsid w:val="00DB7496"/>
    <w:pPr>
      <w:spacing w:before="40" w:line="198" w:lineRule="exact"/>
      <w:ind w:left="2835" w:hanging="709"/>
    </w:pPr>
    <w:rPr>
      <w:sz w:val="18"/>
    </w:rPr>
  </w:style>
  <w:style w:type="paragraph" w:customStyle="1" w:styleId="ENoteTableHeading">
    <w:name w:val="ENoteTableHeading"/>
    <w:aliases w:val="enth"/>
    <w:basedOn w:val="OPCParaBase"/>
    <w:rsid w:val="00DB7496"/>
    <w:pPr>
      <w:keepNext/>
      <w:spacing w:before="60" w:line="240" w:lineRule="atLeast"/>
    </w:pPr>
    <w:rPr>
      <w:rFonts w:ascii="Arial" w:hAnsi="Arial"/>
      <w:b/>
      <w:sz w:val="16"/>
    </w:rPr>
  </w:style>
  <w:style w:type="paragraph" w:customStyle="1" w:styleId="ENoteTTi">
    <w:name w:val="ENoteTTi"/>
    <w:aliases w:val="entti"/>
    <w:basedOn w:val="OPCParaBase"/>
    <w:rsid w:val="00DB7496"/>
    <w:pPr>
      <w:keepNext/>
      <w:spacing w:before="60" w:line="240" w:lineRule="atLeast"/>
      <w:ind w:left="170"/>
    </w:pPr>
    <w:rPr>
      <w:sz w:val="16"/>
    </w:rPr>
  </w:style>
  <w:style w:type="paragraph" w:customStyle="1" w:styleId="ENotesHeading1">
    <w:name w:val="ENotesHeading 1"/>
    <w:aliases w:val="Enh1"/>
    <w:basedOn w:val="OPCParaBase"/>
    <w:next w:val="Normal"/>
    <w:rsid w:val="00DB7496"/>
    <w:pPr>
      <w:spacing w:before="120"/>
      <w:outlineLvl w:val="1"/>
    </w:pPr>
    <w:rPr>
      <w:b/>
      <w:sz w:val="28"/>
      <w:szCs w:val="28"/>
    </w:rPr>
  </w:style>
  <w:style w:type="paragraph" w:customStyle="1" w:styleId="ENotesHeading2">
    <w:name w:val="ENotesHeading 2"/>
    <w:aliases w:val="Enh2"/>
    <w:basedOn w:val="OPCParaBase"/>
    <w:next w:val="Normal"/>
    <w:rsid w:val="00DB7496"/>
    <w:pPr>
      <w:spacing w:before="120" w:after="120"/>
      <w:outlineLvl w:val="2"/>
    </w:pPr>
    <w:rPr>
      <w:b/>
      <w:sz w:val="24"/>
      <w:szCs w:val="28"/>
    </w:rPr>
  </w:style>
  <w:style w:type="paragraph" w:customStyle="1" w:styleId="ENoteTTIndentHeading">
    <w:name w:val="ENoteTTIndentHeading"/>
    <w:aliases w:val="enTTHi"/>
    <w:basedOn w:val="OPCParaBase"/>
    <w:rsid w:val="00DB749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B7496"/>
    <w:pPr>
      <w:spacing w:before="60" w:line="240" w:lineRule="atLeast"/>
    </w:pPr>
    <w:rPr>
      <w:sz w:val="16"/>
    </w:rPr>
  </w:style>
  <w:style w:type="paragraph" w:customStyle="1" w:styleId="MadeunderText">
    <w:name w:val="MadeunderText"/>
    <w:basedOn w:val="OPCParaBase"/>
    <w:next w:val="Normal"/>
    <w:rsid w:val="00DB7496"/>
    <w:pPr>
      <w:spacing w:before="240"/>
    </w:pPr>
    <w:rPr>
      <w:sz w:val="24"/>
      <w:szCs w:val="24"/>
    </w:rPr>
  </w:style>
  <w:style w:type="paragraph" w:customStyle="1" w:styleId="ENotesHeading3">
    <w:name w:val="ENotesHeading 3"/>
    <w:aliases w:val="Enh3"/>
    <w:basedOn w:val="OPCParaBase"/>
    <w:next w:val="Normal"/>
    <w:rsid w:val="00DB7496"/>
    <w:pPr>
      <w:keepNext/>
      <w:spacing w:before="120" w:line="240" w:lineRule="auto"/>
      <w:outlineLvl w:val="4"/>
    </w:pPr>
    <w:rPr>
      <w:b/>
      <w:szCs w:val="24"/>
    </w:rPr>
  </w:style>
  <w:style w:type="character" w:customStyle="1" w:styleId="CharSubPartTextCASA">
    <w:name w:val="CharSubPartText(CASA)"/>
    <w:basedOn w:val="OPCCharBase"/>
    <w:uiPriority w:val="1"/>
    <w:rsid w:val="00DB7496"/>
  </w:style>
  <w:style w:type="character" w:customStyle="1" w:styleId="CharSubPartNoCASA">
    <w:name w:val="CharSubPartNo(CASA)"/>
    <w:basedOn w:val="OPCCharBase"/>
    <w:uiPriority w:val="1"/>
    <w:rsid w:val="00DB7496"/>
  </w:style>
  <w:style w:type="paragraph" w:customStyle="1" w:styleId="ENoteTTIndentHeadingSub">
    <w:name w:val="ENoteTTIndentHeadingSub"/>
    <w:aliases w:val="enTTHis"/>
    <w:basedOn w:val="OPCParaBase"/>
    <w:rsid w:val="00DB7496"/>
    <w:pPr>
      <w:keepNext/>
      <w:spacing w:before="60" w:line="240" w:lineRule="atLeast"/>
      <w:ind w:left="340"/>
    </w:pPr>
    <w:rPr>
      <w:b/>
      <w:sz w:val="16"/>
    </w:rPr>
  </w:style>
  <w:style w:type="paragraph" w:customStyle="1" w:styleId="ENoteTTiSub">
    <w:name w:val="ENoteTTiSub"/>
    <w:aliases w:val="enttis"/>
    <w:basedOn w:val="OPCParaBase"/>
    <w:rsid w:val="00DB7496"/>
    <w:pPr>
      <w:keepNext/>
      <w:spacing w:before="60" w:line="240" w:lineRule="atLeast"/>
      <w:ind w:left="340"/>
    </w:pPr>
    <w:rPr>
      <w:sz w:val="16"/>
    </w:rPr>
  </w:style>
  <w:style w:type="paragraph" w:customStyle="1" w:styleId="SubDivisionMigration">
    <w:name w:val="SubDivisionMigration"/>
    <w:aliases w:val="sdm"/>
    <w:basedOn w:val="OPCParaBase"/>
    <w:rsid w:val="00DB749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B749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B7496"/>
    <w:pPr>
      <w:spacing w:before="122" w:line="240" w:lineRule="auto"/>
      <w:ind w:left="1985" w:hanging="851"/>
    </w:pPr>
    <w:rPr>
      <w:sz w:val="18"/>
    </w:rPr>
  </w:style>
  <w:style w:type="paragraph" w:customStyle="1" w:styleId="FreeForm">
    <w:name w:val="FreeForm"/>
    <w:rsid w:val="00DB7496"/>
    <w:rPr>
      <w:rFonts w:ascii="Arial" w:hAnsi="Arial"/>
      <w:sz w:val="22"/>
    </w:rPr>
  </w:style>
  <w:style w:type="paragraph" w:customStyle="1" w:styleId="SOText">
    <w:name w:val="SO Text"/>
    <w:aliases w:val="sot"/>
    <w:link w:val="SOTextChar"/>
    <w:rsid w:val="00DB749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B7496"/>
    <w:rPr>
      <w:sz w:val="22"/>
    </w:rPr>
  </w:style>
  <w:style w:type="paragraph" w:customStyle="1" w:styleId="SOTextNote">
    <w:name w:val="SO TextNote"/>
    <w:aliases w:val="sont"/>
    <w:basedOn w:val="SOText"/>
    <w:qFormat/>
    <w:rsid w:val="00DB7496"/>
    <w:pPr>
      <w:spacing w:before="122" w:line="198" w:lineRule="exact"/>
      <w:ind w:left="1843" w:hanging="709"/>
    </w:pPr>
    <w:rPr>
      <w:sz w:val="18"/>
    </w:rPr>
  </w:style>
  <w:style w:type="paragraph" w:customStyle="1" w:styleId="SOPara">
    <w:name w:val="SO Para"/>
    <w:aliases w:val="soa"/>
    <w:basedOn w:val="SOText"/>
    <w:link w:val="SOParaChar"/>
    <w:qFormat/>
    <w:rsid w:val="00DB7496"/>
    <w:pPr>
      <w:tabs>
        <w:tab w:val="right" w:pos="1786"/>
      </w:tabs>
      <w:spacing w:before="40"/>
      <w:ind w:left="2070" w:hanging="936"/>
    </w:pPr>
  </w:style>
  <w:style w:type="character" w:customStyle="1" w:styleId="SOParaChar">
    <w:name w:val="SO Para Char"/>
    <w:aliases w:val="soa Char"/>
    <w:basedOn w:val="DefaultParagraphFont"/>
    <w:link w:val="SOPara"/>
    <w:rsid w:val="00DB7496"/>
    <w:rPr>
      <w:sz w:val="22"/>
    </w:rPr>
  </w:style>
  <w:style w:type="paragraph" w:customStyle="1" w:styleId="FileName">
    <w:name w:val="FileName"/>
    <w:basedOn w:val="Normal"/>
    <w:rsid w:val="00DB7496"/>
  </w:style>
  <w:style w:type="paragraph" w:customStyle="1" w:styleId="TableHeading">
    <w:name w:val="TableHeading"/>
    <w:aliases w:val="th"/>
    <w:basedOn w:val="OPCParaBase"/>
    <w:next w:val="Tabletext"/>
    <w:rsid w:val="00DB7496"/>
    <w:pPr>
      <w:keepNext/>
      <w:spacing w:before="60" w:line="240" w:lineRule="atLeast"/>
    </w:pPr>
    <w:rPr>
      <w:b/>
      <w:sz w:val="20"/>
    </w:rPr>
  </w:style>
  <w:style w:type="paragraph" w:customStyle="1" w:styleId="SOHeadBold">
    <w:name w:val="SO HeadBold"/>
    <w:aliases w:val="sohb"/>
    <w:basedOn w:val="SOText"/>
    <w:next w:val="SOText"/>
    <w:link w:val="SOHeadBoldChar"/>
    <w:qFormat/>
    <w:rsid w:val="00DB7496"/>
    <w:rPr>
      <w:b/>
    </w:rPr>
  </w:style>
  <w:style w:type="character" w:customStyle="1" w:styleId="SOHeadBoldChar">
    <w:name w:val="SO HeadBold Char"/>
    <w:aliases w:val="sohb Char"/>
    <w:basedOn w:val="DefaultParagraphFont"/>
    <w:link w:val="SOHeadBold"/>
    <w:rsid w:val="00DB7496"/>
    <w:rPr>
      <w:b/>
      <w:sz w:val="22"/>
    </w:rPr>
  </w:style>
  <w:style w:type="paragraph" w:customStyle="1" w:styleId="SOHeadItalic">
    <w:name w:val="SO HeadItalic"/>
    <w:aliases w:val="sohi"/>
    <w:basedOn w:val="SOText"/>
    <w:next w:val="SOText"/>
    <w:link w:val="SOHeadItalicChar"/>
    <w:qFormat/>
    <w:rsid w:val="00DB7496"/>
    <w:rPr>
      <w:i/>
    </w:rPr>
  </w:style>
  <w:style w:type="character" w:customStyle="1" w:styleId="SOHeadItalicChar">
    <w:name w:val="SO HeadItalic Char"/>
    <w:aliases w:val="sohi Char"/>
    <w:basedOn w:val="DefaultParagraphFont"/>
    <w:link w:val="SOHeadItalic"/>
    <w:rsid w:val="00DB7496"/>
    <w:rPr>
      <w:i/>
      <w:sz w:val="22"/>
    </w:rPr>
  </w:style>
  <w:style w:type="paragraph" w:customStyle="1" w:styleId="SOBullet">
    <w:name w:val="SO Bullet"/>
    <w:aliases w:val="sotb"/>
    <w:basedOn w:val="SOText"/>
    <w:link w:val="SOBulletChar"/>
    <w:qFormat/>
    <w:rsid w:val="00DB7496"/>
    <w:pPr>
      <w:ind w:left="1559" w:hanging="425"/>
    </w:pPr>
  </w:style>
  <w:style w:type="character" w:customStyle="1" w:styleId="SOBulletChar">
    <w:name w:val="SO Bullet Char"/>
    <w:aliases w:val="sotb Char"/>
    <w:basedOn w:val="DefaultParagraphFont"/>
    <w:link w:val="SOBullet"/>
    <w:rsid w:val="00DB7496"/>
    <w:rPr>
      <w:sz w:val="22"/>
    </w:rPr>
  </w:style>
  <w:style w:type="paragraph" w:customStyle="1" w:styleId="SOBulletNote">
    <w:name w:val="SO BulletNote"/>
    <w:aliases w:val="sonb"/>
    <w:basedOn w:val="SOTextNote"/>
    <w:link w:val="SOBulletNoteChar"/>
    <w:qFormat/>
    <w:rsid w:val="00DB7496"/>
    <w:pPr>
      <w:tabs>
        <w:tab w:val="left" w:pos="1560"/>
      </w:tabs>
      <w:ind w:left="2268" w:hanging="1134"/>
    </w:pPr>
  </w:style>
  <w:style w:type="character" w:customStyle="1" w:styleId="SOBulletNoteChar">
    <w:name w:val="SO BulletNote Char"/>
    <w:aliases w:val="sonb Char"/>
    <w:basedOn w:val="DefaultParagraphFont"/>
    <w:link w:val="SOBulletNote"/>
    <w:rsid w:val="00DB7496"/>
    <w:rPr>
      <w:sz w:val="18"/>
    </w:rPr>
  </w:style>
  <w:style w:type="paragraph" w:customStyle="1" w:styleId="SOText2">
    <w:name w:val="SO Text2"/>
    <w:aliases w:val="sot2"/>
    <w:basedOn w:val="Normal"/>
    <w:next w:val="SOText"/>
    <w:link w:val="SOText2Char"/>
    <w:rsid w:val="00DB749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B7496"/>
    <w:rPr>
      <w:sz w:val="22"/>
    </w:rPr>
  </w:style>
  <w:style w:type="paragraph" w:customStyle="1" w:styleId="SubPartCASA">
    <w:name w:val="SubPart(CASA)"/>
    <w:aliases w:val="csp"/>
    <w:basedOn w:val="OPCParaBase"/>
    <w:next w:val="ActHead3"/>
    <w:rsid w:val="00DB749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DB7496"/>
    <w:rPr>
      <w:rFonts w:eastAsia="Times New Roman" w:cs="Times New Roman"/>
      <w:sz w:val="22"/>
      <w:lang w:eastAsia="en-AU"/>
    </w:rPr>
  </w:style>
  <w:style w:type="character" w:customStyle="1" w:styleId="notetextChar">
    <w:name w:val="note(text) Char"/>
    <w:aliases w:val="n Char"/>
    <w:basedOn w:val="DefaultParagraphFont"/>
    <w:link w:val="notetext"/>
    <w:rsid w:val="00DB7496"/>
    <w:rPr>
      <w:rFonts w:eastAsia="Times New Roman" w:cs="Times New Roman"/>
      <w:sz w:val="18"/>
      <w:lang w:eastAsia="en-AU"/>
    </w:rPr>
  </w:style>
  <w:style w:type="character" w:customStyle="1" w:styleId="Heading1Char">
    <w:name w:val="Heading 1 Char"/>
    <w:basedOn w:val="DefaultParagraphFont"/>
    <w:link w:val="Heading1"/>
    <w:uiPriority w:val="9"/>
    <w:rsid w:val="00DB749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749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749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DB749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DB749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DB749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DB749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DB749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DB7496"/>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DB7496"/>
  </w:style>
  <w:style w:type="character" w:customStyle="1" w:styleId="charlegsubtitle1">
    <w:name w:val="charlegsubtitle1"/>
    <w:basedOn w:val="DefaultParagraphFont"/>
    <w:rsid w:val="00DB7496"/>
    <w:rPr>
      <w:rFonts w:ascii="Arial" w:hAnsi="Arial" w:cs="Arial" w:hint="default"/>
      <w:b/>
      <w:bCs/>
      <w:sz w:val="28"/>
      <w:szCs w:val="28"/>
    </w:rPr>
  </w:style>
  <w:style w:type="paragraph" w:styleId="Index1">
    <w:name w:val="index 1"/>
    <w:basedOn w:val="Normal"/>
    <w:next w:val="Normal"/>
    <w:autoRedefine/>
    <w:rsid w:val="00DB7496"/>
    <w:pPr>
      <w:ind w:left="240" w:hanging="240"/>
    </w:pPr>
  </w:style>
  <w:style w:type="paragraph" w:styleId="Index2">
    <w:name w:val="index 2"/>
    <w:basedOn w:val="Normal"/>
    <w:next w:val="Normal"/>
    <w:autoRedefine/>
    <w:rsid w:val="00DB7496"/>
    <w:pPr>
      <w:ind w:left="480" w:hanging="240"/>
    </w:pPr>
  </w:style>
  <w:style w:type="paragraph" w:styleId="Index3">
    <w:name w:val="index 3"/>
    <w:basedOn w:val="Normal"/>
    <w:next w:val="Normal"/>
    <w:autoRedefine/>
    <w:rsid w:val="00DB7496"/>
    <w:pPr>
      <w:ind w:left="720" w:hanging="240"/>
    </w:pPr>
  </w:style>
  <w:style w:type="paragraph" w:styleId="Index4">
    <w:name w:val="index 4"/>
    <w:basedOn w:val="Normal"/>
    <w:next w:val="Normal"/>
    <w:autoRedefine/>
    <w:rsid w:val="00DB7496"/>
    <w:pPr>
      <w:ind w:left="960" w:hanging="240"/>
    </w:pPr>
  </w:style>
  <w:style w:type="paragraph" w:styleId="Index5">
    <w:name w:val="index 5"/>
    <w:basedOn w:val="Normal"/>
    <w:next w:val="Normal"/>
    <w:autoRedefine/>
    <w:rsid w:val="00DB7496"/>
    <w:pPr>
      <w:ind w:left="1200" w:hanging="240"/>
    </w:pPr>
  </w:style>
  <w:style w:type="paragraph" w:styleId="Index6">
    <w:name w:val="index 6"/>
    <w:basedOn w:val="Normal"/>
    <w:next w:val="Normal"/>
    <w:autoRedefine/>
    <w:rsid w:val="00DB7496"/>
    <w:pPr>
      <w:ind w:left="1440" w:hanging="240"/>
    </w:pPr>
  </w:style>
  <w:style w:type="paragraph" w:styleId="Index7">
    <w:name w:val="index 7"/>
    <w:basedOn w:val="Normal"/>
    <w:next w:val="Normal"/>
    <w:autoRedefine/>
    <w:rsid w:val="00DB7496"/>
    <w:pPr>
      <w:ind w:left="1680" w:hanging="240"/>
    </w:pPr>
  </w:style>
  <w:style w:type="paragraph" w:styleId="Index8">
    <w:name w:val="index 8"/>
    <w:basedOn w:val="Normal"/>
    <w:next w:val="Normal"/>
    <w:autoRedefine/>
    <w:rsid w:val="00DB7496"/>
    <w:pPr>
      <w:ind w:left="1920" w:hanging="240"/>
    </w:pPr>
  </w:style>
  <w:style w:type="paragraph" w:styleId="Index9">
    <w:name w:val="index 9"/>
    <w:basedOn w:val="Normal"/>
    <w:next w:val="Normal"/>
    <w:autoRedefine/>
    <w:rsid w:val="00DB7496"/>
    <w:pPr>
      <w:ind w:left="2160" w:hanging="240"/>
    </w:pPr>
  </w:style>
  <w:style w:type="paragraph" w:styleId="NormalIndent">
    <w:name w:val="Normal Indent"/>
    <w:basedOn w:val="Normal"/>
    <w:rsid w:val="00DB7496"/>
    <w:pPr>
      <w:ind w:left="720"/>
    </w:pPr>
  </w:style>
  <w:style w:type="paragraph" w:styleId="FootnoteText">
    <w:name w:val="footnote text"/>
    <w:basedOn w:val="Normal"/>
    <w:link w:val="FootnoteTextChar"/>
    <w:rsid w:val="00DB7496"/>
    <w:rPr>
      <w:sz w:val="20"/>
    </w:rPr>
  </w:style>
  <w:style w:type="character" w:customStyle="1" w:styleId="FootnoteTextChar">
    <w:name w:val="Footnote Text Char"/>
    <w:basedOn w:val="DefaultParagraphFont"/>
    <w:link w:val="FootnoteText"/>
    <w:rsid w:val="00DB7496"/>
  </w:style>
  <w:style w:type="paragraph" w:styleId="CommentText">
    <w:name w:val="annotation text"/>
    <w:basedOn w:val="Normal"/>
    <w:link w:val="CommentTextChar"/>
    <w:rsid w:val="00DB7496"/>
    <w:rPr>
      <w:sz w:val="20"/>
    </w:rPr>
  </w:style>
  <w:style w:type="character" w:customStyle="1" w:styleId="CommentTextChar">
    <w:name w:val="Comment Text Char"/>
    <w:basedOn w:val="DefaultParagraphFont"/>
    <w:link w:val="CommentText"/>
    <w:rsid w:val="00DB7496"/>
  </w:style>
  <w:style w:type="paragraph" w:styleId="IndexHeading">
    <w:name w:val="index heading"/>
    <w:basedOn w:val="Normal"/>
    <w:next w:val="Index1"/>
    <w:rsid w:val="00DB7496"/>
    <w:rPr>
      <w:rFonts w:ascii="Arial" w:hAnsi="Arial" w:cs="Arial"/>
      <w:b/>
      <w:bCs/>
    </w:rPr>
  </w:style>
  <w:style w:type="paragraph" w:styleId="Caption">
    <w:name w:val="caption"/>
    <w:basedOn w:val="Normal"/>
    <w:next w:val="Normal"/>
    <w:qFormat/>
    <w:rsid w:val="00DB7496"/>
    <w:pPr>
      <w:spacing w:before="120" w:after="120"/>
    </w:pPr>
    <w:rPr>
      <w:b/>
      <w:bCs/>
      <w:sz w:val="20"/>
    </w:rPr>
  </w:style>
  <w:style w:type="paragraph" w:styleId="TableofFigures">
    <w:name w:val="table of figures"/>
    <w:basedOn w:val="Normal"/>
    <w:next w:val="Normal"/>
    <w:rsid w:val="00DB7496"/>
    <w:pPr>
      <w:ind w:left="480" w:hanging="480"/>
    </w:pPr>
  </w:style>
  <w:style w:type="paragraph" w:styleId="EnvelopeAddress">
    <w:name w:val="envelope address"/>
    <w:basedOn w:val="Normal"/>
    <w:rsid w:val="00DB749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B7496"/>
    <w:rPr>
      <w:rFonts w:ascii="Arial" w:hAnsi="Arial" w:cs="Arial"/>
      <w:sz w:val="20"/>
    </w:rPr>
  </w:style>
  <w:style w:type="character" w:styleId="FootnoteReference">
    <w:name w:val="footnote reference"/>
    <w:basedOn w:val="DefaultParagraphFont"/>
    <w:rsid w:val="00DB7496"/>
    <w:rPr>
      <w:rFonts w:ascii="Times New Roman" w:hAnsi="Times New Roman"/>
      <w:sz w:val="20"/>
      <w:vertAlign w:val="superscript"/>
    </w:rPr>
  </w:style>
  <w:style w:type="character" w:styleId="CommentReference">
    <w:name w:val="annotation reference"/>
    <w:basedOn w:val="DefaultParagraphFont"/>
    <w:rsid w:val="00DB7496"/>
    <w:rPr>
      <w:sz w:val="16"/>
      <w:szCs w:val="16"/>
    </w:rPr>
  </w:style>
  <w:style w:type="character" w:styleId="PageNumber">
    <w:name w:val="page number"/>
    <w:basedOn w:val="DefaultParagraphFont"/>
    <w:rsid w:val="00DB7496"/>
  </w:style>
  <w:style w:type="character" w:styleId="EndnoteReference">
    <w:name w:val="endnote reference"/>
    <w:basedOn w:val="DefaultParagraphFont"/>
    <w:rsid w:val="00DB7496"/>
    <w:rPr>
      <w:vertAlign w:val="superscript"/>
    </w:rPr>
  </w:style>
  <w:style w:type="paragraph" w:styleId="EndnoteText">
    <w:name w:val="endnote text"/>
    <w:basedOn w:val="Normal"/>
    <w:link w:val="EndnoteTextChar"/>
    <w:rsid w:val="00DB7496"/>
    <w:rPr>
      <w:sz w:val="20"/>
    </w:rPr>
  </w:style>
  <w:style w:type="character" w:customStyle="1" w:styleId="EndnoteTextChar">
    <w:name w:val="Endnote Text Char"/>
    <w:basedOn w:val="DefaultParagraphFont"/>
    <w:link w:val="EndnoteText"/>
    <w:rsid w:val="00DB7496"/>
  </w:style>
  <w:style w:type="paragraph" w:styleId="TableofAuthorities">
    <w:name w:val="table of authorities"/>
    <w:basedOn w:val="Normal"/>
    <w:next w:val="Normal"/>
    <w:rsid w:val="00DB7496"/>
    <w:pPr>
      <w:ind w:left="240" w:hanging="240"/>
    </w:pPr>
  </w:style>
  <w:style w:type="paragraph" w:styleId="MacroText">
    <w:name w:val="macro"/>
    <w:link w:val="MacroTextChar"/>
    <w:rsid w:val="00DB749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DB7496"/>
    <w:rPr>
      <w:rFonts w:ascii="Courier New" w:eastAsia="Times New Roman" w:hAnsi="Courier New" w:cs="Courier New"/>
      <w:lang w:eastAsia="en-AU"/>
    </w:rPr>
  </w:style>
  <w:style w:type="paragraph" w:styleId="TOAHeading">
    <w:name w:val="toa heading"/>
    <w:basedOn w:val="Normal"/>
    <w:next w:val="Normal"/>
    <w:rsid w:val="00DB7496"/>
    <w:pPr>
      <w:spacing w:before="120"/>
    </w:pPr>
    <w:rPr>
      <w:rFonts w:ascii="Arial" w:hAnsi="Arial" w:cs="Arial"/>
      <w:b/>
      <w:bCs/>
    </w:rPr>
  </w:style>
  <w:style w:type="paragraph" w:styleId="List">
    <w:name w:val="List"/>
    <w:basedOn w:val="Normal"/>
    <w:rsid w:val="00DB7496"/>
    <w:pPr>
      <w:ind w:left="283" w:hanging="283"/>
    </w:pPr>
  </w:style>
  <w:style w:type="paragraph" w:styleId="ListBullet">
    <w:name w:val="List Bullet"/>
    <w:basedOn w:val="Normal"/>
    <w:autoRedefine/>
    <w:rsid w:val="00DB7496"/>
    <w:pPr>
      <w:tabs>
        <w:tab w:val="num" w:pos="360"/>
      </w:tabs>
      <w:ind w:left="360" w:hanging="360"/>
    </w:pPr>
  </w:style>
  <w:style w:type="paragraph" w:styleId="ListNumber">
    <w:name w:val="List Number"/>
    <w:basedOn w:val="Normal"/>
    <w:rsid w:val="00DB7496"/>
    <w:pPr>
      <w:tabs>
        <w:tab w:val="num" w:pos="360"/>
      </w:tabs>
      <w:ind w:left="360" w:hanging="360"/>
    </w:pPr>
  </w:style>
  <w:style w:type="paragraph" w:styleId="List2">
    <w:name w:val="List 2"/>
    <w:basedOn w:val="Normal"/>
    <w:rsid w:val="00DB7496"/>
    <w:pPr>
      <w:ind w:left="566" w:hanging="283"/>
    </w:pPr>
  </w:style>
  <w:style w:type="paragraph" w:styleId="List3">
    <w:name w:val="List 3"/>
    <w:basedOn w:val="Normal"/>
    <w:rsid w:val="00DB7496"/>
    <w:pPr>
      <w:ind w:left="849" w:hanging="283"/>
    </w:pPr>
  </w:style>
  <w:style w:type="paragraph" w:styleId="List4">
    <w:name w:val="List 4"/>
    <w:basedOn w:val="Normal"/>
    <w:rsid w:val="00DB7496"/>
    <w:pPr>
      <w:ind w:left="1132" w:hanging="283"/>
    </w:pPr>
  </w:style>
  <w:style w:type="paragraph" w:styleId="List5">
    <w:name w:val="List 5"/>
    <w:basedOn w:val="Normal"/>
    <w:rsid w:val="00DB7496"/>
    <w:pPr>
      <w:ind w:left="1415" w:hanging="283"/>
    </w:pPr>
  </w:style>
  <w:style w:type="paragraph" w:styleId="ListBullet2">
    <w:name w:val="List Bullet 2"/>
    <w:basedOn w:val="Normal"/>
    <w:autoRedefine/>
    <w:rsid w:val="00DB7496"/>
    <w:pPr>
      <w:tabs>
        <w:tab w:val="num" w:pos="360"/>
      </w:tabs>
    </w:pPr>
  </w:style>
  <w:style w:type="paragraph" w:styleId="ListBullet3">
    <w:name w:val="List Bullet 3"/>
    <w:basedOn w:val="Normal"/>
    <w:autoRedefine/>
    <w:rsid w:val="00DB7496"/>
    <w:pPr>
      <w:tabs>
        <w:tab w:val="num" w:pos="926"/>
      </w:tabs>
      <w:ind w:left="926" w:hanging="360"/>
    </w:pPr>
  </w:style>
  <w:style w:type="paragraph" w:styleId="ListBullet4">
    <w:name w:val="List Bullet 4"/>
    <w:basedOn w:val="Normal"/>
    <w:autoRedefine/>
    <w:rsid w:val="00DB7496"/>
    <w:pPr>
      <w:tabs>
        <w:tab w:val="num" w:pos="1209"/>
      </w:tabs>
      <w:ind w:left="1209" w:hanging="360"/>
    </w:pPr>
  </w:style>
  <w:style w:type="paragraph" w:styleId="ListBullet5">
    <w:name w:val="List Bullet 5"/>
    <w:basedOn w:val="Normal"/>
    <w:autoRedefine/>
    <w:rsid w:val="00DB7496"/>
    <w:pPr>
      <w:tabs>
        <w:tab w:val="num" w:pos="1492"/>
      </w:tabs>
      <w:ind w:left="1492" w:hanging="360"/>
    </w:pPr>
  </w:style>
  <w:style w:type="paragraph" w:styleId="ListNumber2">
    <w:name w:val="List Number 2"/>
    <w:basedOn w:val="Normal"/>
    <w:rsid w:val="00DB7496"/>
    <w:pPr>
      <w:tabs>
        <w:tab w:val="num" w:pos="643"/>
      </w:tabs>
      <w:ind w:left="643" w:hanging="360"/>
    </w:pPr>
  </w:style>
  <w:style w:type="paragraph" w:styleId="ListNumber3">
    <w:name w:val="List Number 3"/>
    <w:basedOn w:val="Normal"/>
    <w:rsid w:val="00DB7496"/>
    <w:pPr>
      <w:tabs>
        <w:tab w:val="num" w:pos="926"/>
      </w:tabs>
      <w:ind w:left="926" w:hanging="360"/>
    </w:pPr>
  </w:style>
  <w:style w:type="paragraph" w:styleId="ListNumber4">
    <w:name w:val="List Number 4"/>
    <w:basedOn w:val="Normal"/>
    <w:rsid w:val="00DB7496"/>
    <w:pPr>
      <w:tabs>
        <w:tab w:val="num" w:pos="1209"/>
      </w:tabs>
      <w:ind w:left="1209" w:hanging="360"/>
    </w:pPr>
  </w:style>
  <w:style w:type="paragraph" w:styleId="ListNumber5">
    <w:name w:val="List Number 5"/>
    <w:basedOn w:val="Normal"/>
    <w:rsid w:val="00DB7496"/>
    <w:pPr>
      <w:tabs>
        <w:tab w:val="num" w:pos="1492"/>
      </w:tabs>
      <w:ind w:left="1492" w:hanging="360"/>
    </w:pPr>
  </w:style>
  <w:style w:type="paragraph" w:styleId="Title">
    <w:name w:val="Title"/>
    <w:basedOn w:val="Normal"/>
    <w:link w:val="TitleChar"/>
    <w:qFormat/>
    <w:rsid w:val="00DB7496"/>
    <w:pPr>
      <w:spacing w:before="240" w:after="60"/>
    </w:pPr>
    <w:rPr>
      <w:rFonts w:ascii="Arial" w:hAnsi="Arial" w:cs="Arial"/>
      <w:b/>
      <w:bCs/>
      <w:sz w:val="40"/>
      <w:szCs w:val="40"/>
    </w:rPr>
  </w:style>
  <w:style w:type="character" w:customStyle="1" w:styleId="TitleChar">
    <w:name w:val="Title Char"/>
    <w:basedOn w:val="DefaultParagraphFont"/>
    <w:link w:val="Title"/>
    <w:rsid w:val="00DB7496"/>
    <w:rPr>
      <w:rFonts w:ascii="Arial" w:hAnsi="Arial" w:cs="Arial"/>
      <w:b/>
      <w:bCs/>
      <w:sz w:val="40"/>
      <w:szCs w:val="40"/>
    </w:rPr>
  </w:style>
  <w:style w:type="paragraph" w:styleId="Closing">
    <w:name w:val="Closing"/>
    <w:basedOn w:val="Normal"/>
    <w:link w:val="ClosingChar"/>
    <w:rsid w:val="00DB7496"/>
    <w:pPr>
      <w:ind w:left="4252"/>
    </w:pPr>
  </w:style>
  <w:style w:type="character" w:customStyle="1" w:styleId="ClosingChar">
    <w:name w:val="Closing Char"/>
    <w:basedOn w:val="DefaultParagraphFont"/>
    <w:link w:val="Closing"/>
    <w:rsid w:val="00DB7496"/>
    <w:rPr>
      <w:sz w:val="22"/>
    </w:rPr>
  </w:style>
  <w:style w:type="paragraph" w:styleId="Signature">
    <w:name w:val="Signature"/>
    <w:basedOn w:val="Normal"/>
    <w:link w:val="SignatureChar"/>
    <w:rsid w:val="00DB7496"/>
    <w:pPr>
      <w:ind w:left="4252"/>
    </w:pPr>
  </w:style>
  <w:style w:type="character" w:customStyle="1" w:styleId="SignatureChar">
    <w:name w:val="Signature Char"/>
    <w:basedOn w:val="DefaultParagraphFont"/>
    <w:link w:val="Signature"/>
    <w:rsid w:val="00DB7496"/>
    <w:rPr>
      <w:sz w:val="22"/>
    </w:rPr>
  </w:style>
  <w:style w:type="paragraph" w:styleId="BodyText">
    <w:name w:val="Body Text"/>
    <w:basedOn w:val="Normal"/>
    <w:link w:val="BodyTextChar"/>
    <w:rsid w:val="00DB7496"/>
    <w:pPr>
      <w:spacing w:after="120"/>
    </w:pPr>
  </w:style>
  <w:style w:type="character" w:customStyle="1" w:styleId="BodyTextChar">
    <w:name w:val="Body Text Char"/>
    <w:basedOn w:val="DefaultParagraphFont"/>
    <w:link w:val="BodyText"/>
    <w:rsid w:val="00DB7496"/>
    <w:rPr>
      <w:sz w:val="22"/>
    </w:rPr>
  </w:style>
  <w:style w:type="paragraph" w:styleId="BodyTextIndent">
    <w:name w:val="Body Text Indent"/>
    <w:basedOn w:val="Normal"/>
    <w:link w:val="BodyTextIndentChar"/>
    <w:rsid w:val="00DB7496"/>
    <w:pPr>
      <w:spacing w:after="120"/>
      <w:ind w:left="283"/>
    </w:pPr>
  </w:style>
  <w:style w:type="character" w:customStyle="1" w:styleId="BodyTextIndentChar">
    <w:name w:val="Body Text Indent Char"/>
    <w:basedOn w:val="DefaultParagraphFont"/>
    <w:link w:val="BodyTextIndent"/>
    <w:rsid w:val="00DB7496"/>
    <w:rPr>
      <w:sz w:val="22"/>
    </w:rPr>
  </w:style>
  <w:style w:type="paragraph" w:styleId="ListContinue">
    <w:name w:val="List Continue"/>
    <w:basedOn w:val="Normal"/>
    <w:rsid w:val="00DB7496"/>
    <w:pPr>
      <w:spacing w:after="120"/>
      <w:ind w:left="283"/>
    </w:pPr>
  </w:style>
  <w:style w:type="paragraph" w:styleId="ListContinue2">
    <w:name w:val="List Continue 2"/>
    <w:basedOn w:val="Normal"/>
    <w:rsid w:val="00DB7496"/>
    <w:pPr>
      <w:spacing w:after="120"/>
      <w:ind w:left="566"/>
    </w:pPr>
  </w:style>
  <w:style w:type="paragraph" w:styleId="ListContinue3">
    <w:name w:val="List Continue 3"/>
    <w:basedOn w:val="Normal"/>
    <w:rsid w:val="00DB7496"/>
    <w:pPr>
      <w:spacing w:after="120"/>
      <w:ind w:left="849"/>
    </w:pPr>
  </w:style>
  <w:style w:type="paragraph" w:styleId="ListContinue4">
    <w:name w:val="List Continue 4"/>
    <w:basedOn w:val="Normal"/>
    <w:rsid w:val="00DB7496"/>
    <w:pPr>
      <w:spacing w:after="120"/>
      <w:ind w:left="1132"/>
    </w:pPr>
  </w:style>
  <w:style w:type="paragraph" w:styleId="ListContinue5">
    <w:name w:val="List Continue 5"/>
    <w:basedOn w:val="Normal"/>
    <w:rsid w:val="00DB7496"/>
    <w:pPr>
      <w:spacing w:after="120"/>
      <w:ind w:left="1415"/>
    </w:pPr>
  </w:style>
  <w:style w:type="paragraph" w:styleId="MessageHeader">
    <w:name w:val="Message Header"/>
    <w:basedOn w:val="Normal"/>
    <w:link w:val="MessageHeaderChar"/>
    <w:rsid w:val="00DB74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DB7496"/>
    <w:rPr>
      <w:rFonts w:ascii="Arial" w:hAnsi="Arial" w:cs="Arial"/>
      <w:sz w:val="22"/>
      <w:shd w:val="pct20" w:color="auto" w:fill="auto"/>
    </w:rPr>
  </w:style>
  <w:style w:type="paragraph" w:styleId="Subtitle">
    <w:name w:val="Subtitle"/>
    <w:basedOn w:val="Normal"/>
    <w:link w:val="SubtitleChar"/>
    <w:qFormat/>
    <w:rsid w:val="00DB7496"/>
    <w:pPr>
      <w:spacing w:after="60"/>
      <w:jc w:val="center"/>
      <w:outlineLvl w:val="1"/>
    </w:pPr>
    <w:rPr>
      <w:rFonts w:ascii="Arial" w:hAnsi="Arial" w:cs="Arial"/>
    </w:rPr>
  </w:style>
  <w:style w:type="character" w:customStyle="1" w:styleId="SubtitleChar">
    <w:name w:val="Subtitle Char"/>
    <w:basedOn w:val="DefaultParagraphFont"/>
    <w:link w:val="Subtitle"/>
    <w:rsid w:val="00DB7496"/>
    <w:rPr>
      <w:rFonts w:ascii="Arial" w:hAnsi="Arial" w:cs="Arial"/>
      <w:sz w:val="22"/>
    </w:rPr>
  </w:style>
  <w:style w:type="paragraph" w:styleId="Salutation">
    <w:name w:val="Salutation"/>
    <w:basedOn w:val="Normal"/>
    <w:next w:val="Normal"/>
    <w:link w:val="SalutationChar"/>
    <w:rsid w:val="00DB7496"/>
  </w:style>
  <w:style w:type="character" w:customStyle="1" w:styleId="SalutationChar">
    <w:name w:val="Salutation Char"/>
    <w:basedOn w:val="DefaultParagraphFont"/>
    <w:link w:val="Salutation"/>
    <w:rsid w:val="00DB7496"/>
    <w:rPr>
      <w:sz w:val="22"/>
    </w:rPr>
  </w:style>
  <w:style w:type="paragraph" w:styleId="Date">
    <w:name w:val="Date"/>
    <w:basedOn w:val="Normal"/>
    <w:next w:val="Normal"/>
    <w:link w:val="DateChar"/>
    <w:rsid w:val="00DB7496"/>
  </w:style>
  <w:style w:type="character" w:customStyle="1" w:styleId="DateChar">
    <w:name w:val="Date Char"/>
    <w:basedOn w:val="DefaultParagraphFont"/>
    <w:link w:val="Date"/>
    <w:rsid w:val="00DB7496"/>
    <w:rPr>
      <w:sz w:val="22"/>
    </w:rPr>
  </w:style>
  <w:style w:type="paragraph" w:styleId="BodyTextFirstIndent">
    <w:name w:val="Body Text First Indent"/>
    <w:basedOn w:val="BodyText"/>
    <w:link w:val="BodyTextFirstIndentChar"/>
    <w:rsid w:val="00DB7496"/>
    <w:pPr>
      <w:ind w:firstLine="210"/>
    </w:pPr>
  </w:style>
  <w:style w:type="character" w:customStyle="1" w:styleId="BodyTextFirstIndentChar">
    <w:name w:val="Body Text First Indent Char"/>
    <w:basedOn w:val="BodyTextChar"/>
    <w:link w:val="BodyTextFirstIndent"/>
    <w:rsid w:val="00DB7496"/>
    <w:rPr>
      <w:sz w:val="22"/>
    </w:rPr>
  </w:style>
  <w:style w:type="paragraph" w:styleId="BodyTextFirstIndent2">
    <w:name w:val="Body Text First Indent 2"/>
    <w:basedOn w:val="BodyTextIndent"/>
    <w:link w:val="BodyTextFirstIndent2Char"/>
    <w:rsid w:val="00DB7496"/>
    <w:pPr>
      <w:ind w:firstLine="210"/>
    </w:pPr>
  </w:style>
  <w:style w:type="character" w:customStyle="1" w:styleId="BodyTextFirstIndent2Char">
    <w:name w:val="Body Text First Indent 2 Char"/>
    <w:basedOn w:val="BodyTextIndentChar"/>
    <w:link w:val="BodyTextFirstIndent2"/>
    <w:rsid w:val="00DB7496"/>
    <w:rPr>
      <w:sz w:val="22"/>
    </w:rPr>
  </w:style>
  <w:style w:type="paragraph" w:styleId="BodyText2">
    <w:name w:val="Body Text 2"/>
    <w:basedOn w:val="Normal"/>
    <w:link w:val="BodyText2Char"/>
    <w:rsid w:val="00DB7496"/>
    <w:pPr>
      <w:spacing w:after="120" w:line="480" w:lineRule="auto"/>
    </w:pPr>
  </w:style>
  <w:style w:type="character" w:customStyle="1" w:styleId="BodyText2Char">
    <w:name w:val="Body Text 2 Char"/>
    <w:basedOn w:val="DefaultParagraphFont"/>
    <w:link w:val="BodyText2"/>
    <w:rsid w:val="00DB7496"/>
    <w:rPr>
      <w:sz w:val="22"/>
    </w:rPr>
  </w:style>
  <w:style w:type="paragraph" w:styleId="BodyText3">
    <w:name w:val="Body Text 3"/>
    <w:basedOn w:val="Normal"/>
    <w:link w:val="BodyText3Char"/>
    <w:rsid w:val="00DB7496"/>
    <w:pPr>
      <w:spacing w:after="120"/>
    </w:pPr>
    <w:rPr>
      <w:sz w:val="16"/>
      <w:szCs w:val="16"/>
    </w:rPr>
  </w:style>
  <w:style w:type="character" w:customStyle="1" w:styleId="BodyText3Char">
    <w:name w:val="Body Text 3 Char"/>
    <w:basedOn w:val="DefaultParagraphFont"/>
    <w:link w:val="BodyText3"/>
    <w:rsid w:val="00DB7496"/>
    <w:rPr>
      <w:sz w:val="16"/>
      <w:szCs w:val="16"/>
    </w:rPr>
  </w:style>
  <w:style w:type="paragraph" w:styleId="BodyTextIndent2">
    <w:name w:val="Body Text Indent 2"/>
    <w:basedOn w:val="Normal"/>
    <w:link w:val="BodyTextIndent2Char"/>
    <w:rsid w:val="00DB7496"/>
    <w:pPr>
      <w:spacing w:after="120" w:line="480" w:lineRule="auto"/>
      <w:ind w:left="283"/>
    </w:pPr>
  </w:style>
  <w:style w:type="character" w:customStyle="1" w:styleId="BodyTextIndent2Char">
    <w:name w:val="Body Text Indent 2 Char"/>
    <w:basedOn w:val="DefaultParagraphFont"/>
    <w:link w:val="BodyTextIndent2"/>
    <w:rsid w:val="00DB7496"/>
    <w:rPr>
      <w:sz w:val="22"/>
    </w:rPr>
  </w:style>
  <w:style w:type="paragraph" w:styleId="BodyTextIndent3">
    <w:name w:val="Body Text Indent 3"/>
    <w:basedOn w:val="Normal"/>
    <w:link w:val="BodyTextIndent3Char"/>
    <w:rsid w:val="00DB7496"/>
    <w:pPr>
      <w:spacing w:after="120"/>
      <w:ind w:left="283"/>
    </w:pPr>
    <w:rPr>
      <w:sz w:val="16"/>
      <w:szCs w:val="16"/>
    </w:rPr>
  </w:style>
  <w:style w:type="character" w:customStyle="1" w:styleId="BodyTextIndent3Char">
    <w:name w:val="Body Text Indent 3 Char"/>
    <w:basedOn w:val="DefaultParagraphFont"/>
    <w:link w:val="BodyTextIndent3"/>
    <w:rsid w:val="00DB7496"/>
    <w:rPr>
      <w:sz w:val="16"/>
      <w:szCs w:val="16"/>
    </w:rPr>
  </w:style>
  <w:style w:type="paragraph" w:styleId="BlockText">
    <w:name w:val="Block Text"/>
    <w:basedOn w:val="Normal"/>
    <w:rsid w:val="00DB7496"/>
    <w:pPr>
      <w:spacing w:after="120"/>
      <w:ind w:left="1440" w:right="1440"/>
    </w:pPr>
  </w:style>
  <w:style w:type="character" w:styleId="Hyperlink">
    <w:name w:val="Hyperlink"/>
    <w:basedOn w:val="DefaultParagraphFont"/>
    <w:rsid w:val="00DB7496"/>
    <w:rPr>
      <w:color w:val="0000FF"/>
      <w:u w:val="single"/>
    </w:rPr>
  </w:style>
  <w:style w:type="character" w:styleId="FollowedHyperlink">
    <w:name w:val="FollowedHyperlink"/>
    <w:basedOn w:val="DefaultParagraphFont"/>
    <w:rsid w:val="00DB7496"/>
    <w:rPr>
      <w:color w:val="800080"/>
      <w:u w:val="single"/>
    </w:rPr>
  </w:style>
  <w:style w:type="character" w:styleId="Strong">
    <w:name w:val="Strong"/>
    <w:basedOn w:val="DefaultParagraphFont"/>
    <w:qFormat/>
    <w:rsid w:val="00DB7496"/>
    <w:rPr>
      <w:b/>
      <w:bCs/>
    </w:rPr>
  </w:style>
  <w:style w:type="character" w:styleId="Emphasis">
    <w:name w:val="Emphasis"/>
    <w:basedOn w:val="DefaultParagraphFont"/>
    <w:qFormat/>
    <w:rsid w:val="00DB7496"/>
    <w:rPr>
      <w:i/>
      <w:iCs/>
    </w:rPr>
  </w:style>
  <w:style w:type="paragraph" w:styleId="DocumentMap">
    <w:name w:val="Document Map"/>
    <w:basedOn w:val="Normal"/>
    <w:link w:val="DocumentMapChar"/>
    <w:rsid w:val="00DB7496"/>
    <w:pPr>
      <w:shd w:val="clear" w:color="auto" w:fill="000080"/>
    </w:pPr>
    <w:rPr>
      <w:rFonts w:ascii="Tahoma" w:hAnsi="Tahoma" w:cs="Tahoma"/>
    </w:rPr>
  </w:style>
  <w:style w:type="character" w:customStyle="1" w:styleId="DocumentMapChar">
    <w:name w:val="Document Map Char"/>
    <w:basedOn w:val="DefaultParagraphFont"/>
    <w:link w:val="DocumentMap"/>
    <w:rsid w:val="00DB7496"/>
    <w:rPr>
      <w:rFonts w:ascii="Tahoma" w:hAnsi="Tahoma" w:cs="Tahoma"/>
      <w:sz w:val="22"/>
      <w:shd w:val="clear" w:color="auto" w:fill="000080"/>
    </w:rPr>
  </w:style>
  <w:style w:type="paragraph" w:styleId="PlainText">
    <w:name w:val="Plain Text"/>
    <w:basedOn w:val="Normal"/>
    <w:link w:val="PlainTextChar"/>
    <w:rsid w:val="00DB7496"/>
    <w:rPr>
      <w:rFonts w:ascii="Courier New" w:hAnsi="Courier New" w:cs="Courier New"/>
      <w:sz w:val="20"/>
    </w:rPr>
  </w:style>
  <w:style w:type="character" w:customStyle="1" w:styleId="PlainTextChar">
    <w:name w:val="Plain Text Char"/>
    <w:basedOn w:val="DefaultParagraphFont"/>
    <w:link w:val="PlainText"/>
    <w:rsid w:val="00DB7496"/>
    <w:rPr>
      <w:rFonts w:ascii="Courier New" w:hAnsi="Courier New" w:cs="Courier New"/>
    </w:rPr>
  </w:style>
  <w:style w:type="paragraph" w:styleId="E-mailSignature">
    <w:name w:val="E-mail Signature"/>
    <w:basedOn w:val="Normal"/>
    <w:link w:val="E-mailSignatureChar"/>
    <w:rsid w:val="00DB7496"/>
  </w:style>
  <w:style w:type="character" w:customStyle="1" w:styleId="E-mailSignatureChar">
    <w:name w:val="E-mail Signature Char"/>
    <w:basedOn w:val="DefaultParagraphFont"/>
    <w:link w:val="E-mailSignature"/>
    <w:rsid w:val="00DB7496"/>
    <w:rPr>
      <w:sz w:val="22"/>
    </w:rPr>
  </w:style>
  <w:style w:type="paragraph" w:styleId="NormalWeb">
    <w:name w:val="Normal (Web)"/>
    <w:basedOn w:val="Normal"/>
    <w:rsid w:val="00DB7496"/>
  </w:style>
  <w:style w:type="character" w:styleId="HTMLAcronym">
    <w:name w:val="HTML Acronym"/>
    <w:basedOn w:val="DefaultParagraphFont"/>
    <w:rsid w:val="00DB7496"/>
  </w:style>
  <w:style w:type="paragraph" w:styleId="HTMLAddress">
    <w:name w:val="HTML Address"/>
    <w:basedOn w:val="Normal"/>
    <w:link w:val="HTMLAddressChar"/>
    <w:rsid w:val="00DB7496"/>
    <w:rPr>
      <w:i/>
      <w:iCs/>
    </w:rPr>
  </w:style>
  <w:style w:type="character" w:customStyle="1" w:styleId="HTMLAddressChar">
    <w:name w:val="HTML Address Char"/>
    <w:basedOn w:val="DefaultParagraphFont"/>
    <w:link w:val="HTMLAddress"/>
    <w:rsid w:val="00DB7496"/>
    <w:rPr>
      <w:i/>
      <w:iCs/>
      <w:sz w:val="22"/>
    </w:rPr>
  </w:style>
  <w:style w:type="character" w:styleId="HTMLCite">
    <w:name w:val="HTML Cite"/>
    <w:basedOn w:val="DefaultParagraphFont"/>
    <w:rsid w:val="00DB7496"/>
    <w:rPr>
      <w:i/>
      <w:iCs/>
    </w:rPr>
  </w:style>
  <w:style w:type="character" w:styleId="HTMLCode">
    <w:name w:val="HTML Code"/>
    <w:basedOn w:val="DefaultParagraphFont"/>
    <w:rsid w:val="00DB7496"/>
    <w:rPr>
      <w:rFonts w:ascii="Courier New" w:hAnsi="Courier New" w:cs="Courier New"/>
      <w:sz w:val="20"/>
      <w:szCs w:val="20"/>
    </w:rPr>
  </w:style>
  <w:style w:type="character" w:styleId="HTMLDefinition">
    <w:name w:val="HTML Definition"/>
    <w:basedOn w:val="DefaultParagraphFont"/>
    <w:rsid w:val="00DB7496"/>
    <w:rPr>
      <w:i/>
      <w:iCs/>
    </w:rPr>
  </w:style>
  <w:style w:type="character" w:styleId="HTMLKeyboard">
    <w:name w:val="HTML Keyboard"/>
    <w:basedOn w:val="DefaultParagraphFont"/>
    <w:rsid w:val="00DB7496"/>
    <w:rPr>
      <w:rFonts w:ascii="Courier New" w:hAnsi="Courier New" w:cs="Courier New"/>
      <w:sz w:val="20"/>
      <w:szCs w:val="20"/>
    </w:rPr>
  </w:style>
  <w:style w:type="paragraph" w:styleId="HTMLPreformatted">
    <w:name w:val="HTML Preformatted"/>
    <w:basedOn w:val="Normal"/>
    <w:link w:val="HTMLPreformattedChar"/>
    <w:rsid w:val="00DB7496"/>
    <w:rPr>
      <w:rFonts w:ascii="Courier New" w:hAnsi="Courier New" w:cs="Courier New"/>
      <w:sz w:val="20"/>
    </w:rPr>
  </w:style>
  <w:style w:type="character" w:customStyle="1" w:styleId="HTMLPreformattedChar">
    <w:name w:val="HTML Preformatted Char"/>
    <w:basedOn w:val="DefaultParagraphFont"/>
    <w:link w:val="HTMLPreformatted"/>
    <w:rsid w:val="00DB7496"/>
    <w:rPr>
      <w:rFonts w:ascii="Courier New" w:hAnsi="Courier New" w:cs="Courier New"/>
    </w:rPr>
  </w:style>
  <w:style w:type="character" w:styleId="HTMLSample">
    <w:name w:val="HTML Sample"/>
    <w:basedOn w:val="DefaultParagraphFont"/>
    <w:rsid w:val="00DB7496"/>
    <w:rPr>
      <w:rFonts w:ascii="Courier New" w:hAnsi="Courier New" w:cs="Courier New"/>
    </w:rPr>
  </w:style>
  <w:style w:type="character" w:styleId="HTMLTypewriter">
    <w:name w:val="HTML Typewriter"/>
    <w:basedOn w:val="DefaultParagraphFont"/>
    <w:rsid w:val="00DB7496"/>
    <w:rPr>
      <w:rFonts w:ascii="Courier New" w:hAnsi="Courier New" w:cs="Courier New"/>
      <w:sz w:val="20"/>
      <w:szCs w:val="20"/>
    </w:rPr>
  </w:style>
  <w:style w:type="character" w:styleId="HTMLVariable">
    <w:name w:val="HTML Variable"/>
    <w:basedOn w:val="DefaultParagraphFont"/>
    <w:rsid w:val="00DB7496"/>
    <w:rPr>
      <w:i/>
      <w:iCs/>
    </w:rPr>
  </w:style>
  <w:style w:type="paragraph" w:styleId="CommentSubject">
    <w:name w:val="annotation subject"/>
    <w:basedOn w:val="CommentText"/>
    <w:next w:val="CommentText"/>
    <w:link w:val="CommentSubjectChar"/>
    <w:rsid w:val="00DB7496"/>
    <w:rPr>
      <w:b/>
      <w:bCs/>
    </w:rPr>
  </w:style>
  <w:style w:type="character" w:customStyle="1" w:styleId="CommentSubjectChar">
    <w:name w:val="Comment Subject Char"/>
    <w:basedOn w:val="CommentTextChar"/>
    <w:link w:val="CommentSubject"/>
    <w:rsid w:val="00DB7496"/>
    <w:rPr>
      <w:b/>
      <w:bCs/>
    </w:rPr>
  </w:style>
  <w:style w:type="numbering" w:styleId="1ai">
    <w:name w:val="Outline List 1"/>
    <w:basedOn w:val="NoList"/>
    <w:rsid w:val="00DB7496"/>
    <w:pPr>
      <w:numPr>
        <w:numId w:val="14"/>
      </w:numPr>
    </w:pPr>
  </w:style>
  <w:style w:type="numbering" w:styleId="111111">
    <w:name w:val="Outline List 2"/>
    <w:basedOn w:val="NoList"/>
    <w:rsid w:val="00DB7496"/>
    <w:pPr>
      <w:numPr>
        <w:numId w:val="15"/>
      </w:numPr>
    </w:pPr>
  </w:style>
  <w:style w:type="numbering" w:styleId="ArticleSection">
    <w:name w:val="Outline List 3"/>
    <w:basedOn w:val="NoList"/>
    <w:rsid w:val="00DB7496"/>
    <w:pPr>
      <w:numPr>
        <w:numId w:val="17"/>
      </w:numPr>
    </w:pPr>
  </w:style>
  <w:style w:type="table" w:styleId="TableSimple1">
    <w:name w:val="Table Simple 1"/>
    <w:basedOn w:val="TableNormal"/>
    <w:rsid w:val="00DB749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B749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B749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DB749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B749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B749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B749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B749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B749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B749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B749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B749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B749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B749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B749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DB749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B749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B749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B749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B749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B749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B749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B749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B749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B749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B749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B749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B749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B749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B749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B749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DB749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B749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B749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DB749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B749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DB749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B749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B749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B749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B749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B749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B749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DB7496"/>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516196">
      <w:bodyDiv w:val="1"/>
      <w:marLeft w:val="0"/>
      <w:marRight w:val="0"/>
      <w:marTop w:val="0"/>
      <w:marBottom w:val="0"/>
      <w:divBdr>
        <w:top w:val="none" w:sz="0" w:space="0" w:color="auto"/>
        <w:left w:val="none" w:sz="0" w:space="0" w:color="auto"/>
        <w:bottom w:val="none" w:sz="0" w:space="0" w:color="auto"/>
        <w:right w:val="none" w:sz="0" w:space="0" w:color="auto"/>
      </w:divBdr>
    </w:div>
    <w:div w:id="176896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19</Pages>
  <Words>4092</Words>
  <Characters>23326</Characters>
  <Application>Microsoft Office Word</Application>
  <DocSecurity>0</DocSecurity>
  <PresentationFormat/>
  <Lines>194</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27364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2023-05-30T02:44:00Z</dcterms:created>
  <dcterms:modified xsi:type="dcterms:W3CDTF">2023-06-13T01:04:00Z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Fair Work and Other Legislation Amendment (Secure Jobs, Better Pay) Regulations 2023</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2023</vt:lpwstr>
  </property>
  <property fmtid="{D5CDD505-2E9C-101B-9397-08002B2CF9AE}" pid="10" name="ID">
    <vt:lpwstr>OPC66358</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C</vt:lpwstr>
  </property>
  <property fmtid="{D5CDD505-2E9C-101B-9397-08002B2CF9AE}" pid="16" name="CounterSign">
    <vt:lpwstr/>
  </property>
</Properties>
</file>