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AD00" w14:textId="5AD54A87" w:rsidR="00234207" w:rsidRDefault="002436BD">
      <w:pPr>
        <w:pStyle w:val="Heading"/>
        <w:spacing w:before="120"/>
        <w:jc w:val="center"/>
        <w:rPr>
          <w:rFonts w:ascii="Times New Roman" w:hAnsi="Times New Roman"/>
          <w:sz w:val="24"/>
          <w:szCs w:val="24"/>
        </w:rPr>
      </w:pPr>
      <w:r w:rsidRPr="002C6D26">
        <w:rPr>
          <w:rFonts w:ascii="Times New Roman" w:hAnsi="Times New Roman"/>
          <w:sz w:val="24"/>
          <w:szCs w:val="24"/>
        </w:rPr>
        <w:t xml:space="preserve">Banking (prudential standard) determination </w:t>
      </w:r>
      <w:r w:rsidRPr="00E8578B">
        <w:rPr>
          <w:rFonts w:ascii="Times New Roman" w:hAnsi="Times New Roman"/>
          <w:sz w:val="24"/>
          <w:szCs w:val="24"/>
        </w:rPr>
        <w:t xml:space="preserve">No. </w:t>
      </w:r>
      <w:r w:rsidR="00A12E1F" w:rsidRPr="00E8578B">
        <w:rPr>
          <w:rFonts w:ascii="Times New Roman" w:hAnsi="Times New Roman"/>
          <w:sz w:val="24"/>
          <w:szCs w:val="24"/>
        </w:rPr>
        <w:t>3</w:t>
      </w:r>
      <w:r w:rsidR="005A0CC2" w:rsidRPr="00E8578B">
        <w:rPr>
          <w:rFonts w:ascii="Times New Roman" w:hAnsi="Times New Roman"/>
          <w:sz w:val="24"/>
          <w:szCs w:val="24"/>
        </w:rPr>
        <w:t xml:space="preserve"> </w:t>
      </w:r>
      <w:r w:rsidR="00940F92" w:rsidRPr="00E8578B">
        <w:rPr>
          <w:rFonts w:ascii="Times New Roman" w:hAnsi="Times New Roman"/>
          <w:sz w:val="24"/>
          <w:szCs w:val="24"/>
        </w:rPr>
        <w:t>of 20</w:t>
      </w:r>
      <w:r w:rsidR="005A0CC2" w:rsidRPr="00E8578B">
        <w:rPr>
          <w:rFonts w:ascii="Times New Roman" w:hAnsi="Times New Roman"/>
          <w:sz w:val="24"/>
          <w:szCs w:val="24"/>
        </w:rPr>
        <w:t>23</w:t>
      </w:r>
    </w:p>
    <w:p w14:paraId="6D2E8727" w14:textId="77777777" w:rsidR="00234207" w:rsidRDefault="002436BD">
      <w:pPr>
        <w:pStyle w:val="Heading"/>
        <w:tabs>
          <w:tab w:val="left" w:pos="360"/>
        </w:tabs>
        <w:spacing w:before="12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2D03DF2D" w14:textId="77777777" w:rsidR="00234207" w:rsidRDefault="002436BD">
      <w:pPr>
        <w:pStyle w:val="Heading"/>
        <w:spacing w:before="12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C3BEB74" w14:textId="6E3275E8" w:rsidR="002436BD" w:rsidRPr="002C6D26" w:rsidRDefault="002436BD" w:rsidP="00E8578B">
      <w:pPr>
        <w:pStyle w:val="Heading"/>
        <w:tabs>
          <w:tab w:val="left" w:pos="360"/>
        </w:tabs>
        <w:spacing w:before="120"/>
        <w:jc w:val="center"/>
        <w:rPr>
          <w:rFonts w:ascii="Times New Roman" w:hAnsi="Times New Roman"/>
          <w:b w:val="0"/>
          <w:color w:val="00000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51C4C2FE" w14:textId="3266BA60" w:rsidR="002436BD" w:rsidRDefault="00D12D91" w:rsidP="00E8578B">
      <w:pPr>
        <w:widowControl w:val="0"/>
        <w:spacing w:before="240" w:after="60"/>
        <w:jc w:val="both"/>
        <w:rPr>
          <w:rFonts w:ascii="Times New Roman" w:hAnsi="Times New Roman"/>
          <w:sz w:val="24"/>
          <w:szCs w:val="24"/>
        </w:rPr>
      </w:pPr>
      <w:bookmarkStart w:id="1" w:name="bkAct"/>
      <w:bookmarkStart w:id="2" w:name="bkExplanatory"/>
      <w:bookmarkEnd w:id="1"/>
      <w:bookmarkEnd w:id="2"/>
      <w:r w:rsidRPr="0063280E">
        <w:rPr>
          <w:rFonts w:ascii="Times New Roman" w:hAnsi="Times New Roman"/>
          <w:sz w:val="24"/>
          <w:szCs w:val="24"/>
        </w:rPr>
        <w:t xml:space="preserve">Under subsection 11AF(1) of the </w:t>
      </w:r>
      <w:r w:rsidRPr="0063280E">
        <w:rPr>
          <w:rFonts w:ascii="Times New Roman" w:hAnsi="Times New Roman"/>
          <w:i/>
          <w:sz w:val="24"/>
          <w:szCs w:val="24"/>
        </w:rPr>
        <w:t>Banking Act 1959</w:t>
      </w:r>
      <w:r w:rsidRPr="0063280E">
        <w:rPr>
          <w:rFonts w:ascii="Times New Roman" w:hAnsi="Times New Roman"/>
          <w:sz w:val="24"/>
          <w:szCs w:val="24"/>
        </w:rPr>
        <w:t xml:space="preserve"> (the</w:t>
      </w:r>
      <w:r w:rsidRPr="0063280E">
        <w:rPr>
          <w:rFonts w:ascii="Times New Roman" w:hAnsi="Times New Roman"/>
          <w:i/>
          <w:sz w:val="24"/>
          <w:szCs w:val="24"/>
        </w:rPr>
        <w:t xml:space="preserve"> </w:t>
      </w:r>
      <w:r w:rsidRPr="0063280E">
        <w:rPr>
          <w:rFonts w:ascii="Times New Roman" w:hAnsi="Times New Roman"/>
          <w:sz w:val="24"/>
          <w:szCs w:val="24"/>
        </w:rPr>
        <w:t>Act), APRA has the power to determine standards (prudential standards), in writing, in relation to prudential matters to be complied with by authorised deposit-taking institutions (ADIs)</w:t>
      </w:r>
      <w:r w:rsidR="00216449">
        <w:rPr>
          <w:rFonts w:ascii="Times New Roman" w:hAnsi="Times New Roman"/>
          <w:sz w:val="24"/>
          <w:szCs w:val="24"/>
        </w:rPr>
        <w:t xml:space="preserve"> </w:t>
      </w:r>
      <w:r w:rsidRPr="0063280E">
        <w:rPr>
          <w:rFonts w:ascii="Times New Roman" w:hAnsi="Times New Roman"/>
          <w:sz w:val="24"/>
          <w:szCs w:val="24"/>
        </w:rPr>
        <w:t>. Under subsection 11AF(3) of the Act, APRA may, in writing, vary or revoke a prudential standard.</w:t>
      </w:r>
      <w:r w:rsidR="002436BD" w:rsidRPr="0063280E">
        <w:rPr>
          <w:rFonts w:ascii="Times New Roman" w:hAnsi="Times New Roman"/>
          <w:sz w:val="24"/>
          <w:szCs w:val="24"/>
        </w:rPr>
        <w:t xml:space="preserve"> </w:t>
      </w:r>
    </w:p>
    <w:p w14:paraId="71E47E8E" w14:textId="1131BEC5" w:rsidR="0063280E" w:rsidRPr="0063280E" w:rsidRDefault="0063280E" w:rsidP="003771F3">
      <w:pPr>
        <w:widowControl w:val="0"/>
        <w:spacing w:before="120" w:after="60"/>
        <w:jc w:val="both"/>
        <w:rPr>
          <w:rFonts w:ascii="Times New Roman" w:hAnsi="Times New Roman"/>
          <w:sz w:val="24"/>
          <w:szCs w:val="24"/>
        </w:rPr>
      </w:pPr>
      <w:r w:rsidRPr="00FA7BD9">
        <w:rPr>
          <w:rFonts w:ascii="Times New Roman" w:hAnsi="Times New Roman"/>
          <w:sz w:val="24"/>
          <w:szCs w:val="24"/>
        </w:rPr>
        <w:t xml:space="preserve">On </w:t>
      </w:r>
      <w:r w:rsidR="00FA7BD9" w:rsidRPr="00FA7BD9">
        <w:rPr>
          <w:rFonts w:ascii="Times New Roman" w:hAnsi="Times New Roman"/>
          <w:sz w:val="24"/>
          <w:szCs w:val="24"/>
        </w:rPr>
        <w:t>11</w:t>
      </w:r>
      <w:r w:rsidRPr="00FA7BD9">
        <w:rPr>
          <w:rFonts w:ascii="Times New Roman" w:hAnsi="Times New Roman"/>
          <w:sz w:val="24"/>
          <w:szCs w:val="24"/>
        </w:rPr>
        <w:t xml:space="preserve"> </w:t>
      </w:r>
      <w:r w:rsidR="006A6A15" w:rsidRPr="00FA7BD9">
        <w:rPr>
          <w:rFonts w:ascii="Times New Roman" w:hAnsi="Times New Roman"/>
          <w:sz w:val="24"/>
          <w:szCs w:val="24"/>
        </w:rPr>
        <w:t xml:space="preserve">May </w:t>
      </w:r>
      <w:r w:rsidRPr="00FA7BD9">
        <w:rPr>
          <w:rFonts w:ascii="Times New Roman" w:hAnsi="Times New Roman"/>
          <w:sz w:val="24"/>
          <w:szCs w:val="24"/>
        </w:rPr>
        <w:t xml:space="preserve">2023, APRA made Banking (prudential standard) determination No. </w:t>
      </w:r>
      <w:r w:rsidR="00A12E1F" w:rsidRPr="00FA7BD9">
        <w:rPr>
          <w:rFonts w:ascii="Times New Roman" w:hAnsi="Times New Roman"/>
          <w:sz w:val="24"/>
          <w:szCs w:val="24"/>
        </w:rPr>
        <w:t>3</w:t>
      </w:r>
      <w:r w:rsidRPr="00FA7BD9">
        <w:rPr>
          <w:rFonts w:ascii="Times New Roman" w:hAnsi="Times New Roman"/>
          <w:sz w:val="24"/>
          <w:szCs w:val="24"/>
        </w:rPr>
        <w:t xml:space="preserve"> of</w:t>
      </w:r>
      <w:r>
        <w:rPr>
          <w:rFonts w:ascii="Times New Roman" w:hAnsi="Times New Roman"/>
          <w:sz w:val="24"/>
          <w:szCs w:val="24"/>
        </w:rPr>
        <w:t xml:space="preserve"> 2023 (the instrument), which revokes </w:t>
      </w:r>
      <w:r>
        <w:rPr>
          <w:rFonts w:ascii="Times New Roman" w:hAnsi="Times New Roman"/>
          <w:i/>
          <w:sz w:val="24"/>
          <w:szCs w:val="24"/>
        </w:rPr>
        <w:t xml:space="preserve">Prudential Standard APS 610 Prudential Requirements for Providers of Purchased Payment Facilities </w:t>
      </w:r>
      <w:r>
        <w:rPr>
          <w:rFonts w:ascii="Times New Roman" w:hAnsi="Times New Roman"/>
          <w:sz w:val="24"/>
          <w:szCs w:val="24"/>
        </w:rPr>
        <w:t xml:space="preserve">made under Banking (prudential standard) </w:t>
      </w:r>
      <w:r w:rsidRPr="001804E8">
        <w:rPr>
          <w:rFonts w:ascii="Times New Roman" w:hAnsi="Times New Roman"/>
          <w:sz w:val="24"/>
          <w:szCs w:val="24"/>
        </w:rPr>
        <w:t xml:space="preserve">determination </w:t>
      </w:r>
      <w:r w:rsidRPr="00E8578B">
        <w:rPr>
          <w:rFonts w:ascii="Times New Roman" w:hAnsi="Times New Roman"/>
          <w:sz w:val="24"/>
          <w:szCs w:val="24"/>
        </w:rPr>
        <w:t xml:space="preserve">No. </w:t>
      </w:r>
      <w:r w:rsidR="001804E8" w:rsidRPr="00E8578B">
        <w:rPr>
          <w:rFonts w:ascii="Times New Roman" w:hAnsi="Times New Roman"/>
          <w:sz w:val="24"/>
          <w:szCs w:val="24"/>
        </w:rPr>
        <w:t>6</w:t>
      </w:r>
      <w:r w:rsidRPr="00E8578B">
        <w:rPr>
          <w:rFonts w:ascii="Times New Roman" w:hAnsi="Times New Roman"/>
          <w:sz w:val="24"/>
          <w:szCs w:val="24"/>
        </w:rPr>
        <w:t xml:space="preserve"> of 2014</w:t>
      </w:r>
      <w:r>
        <w:rPr>
          <w:rFonts w:ascii="Times New Roman" w:hAnsi="Times New Roman"/>
          <w:sz w:val="24"/>
          <w:szCs w:val="24"/>
        </w:rPr>
        <w:t xml:space="preserve"> and determines a new </w:t>
      </w:r>
      <w:r>
        <w:rPr>
          <w:rFonts w:ascii="Times New Roman" w:hAnsi="Times New Roman"/>
          <w:i/>
          <w:sz w:val="24"/>
          <w:szCs w:val="24"/>
        </w:rPr>
        <w:t xml:space="preserve">Prudential Standard APS 610 Prudential Requirements for Providers of Purchased Payment Facilities </w:t>
      </w:r>
      <w:r>
        <w:rPr>
          <w:rFonts w:ascii="Times New Roman" w:hAnsi="Times New Roman"/>
          <w:sz w:val="24"/>
          <w:szCs w:val="24"/>
        </w:rPr>
        <w:t>(APS 610).</w:t>
      </w:r>
    </w:p>
    <w:p w14:paraId="5E155936" w14:textId="5DAA65DE" w:rsidR="00830245" w:rsidRDefault="00AC7A56" w:rsidP="003771F3">
      <w:pPr>
        <w:widowControl w:val="0"/>
        <w:spacing w:before="120" w:after="60"/>
        <w:jc w:val="both"/>
        <w:rPr>
          <w:rFonts w:ascii="Times New Roman" w:hAnsi="Times New Roman"/>
          <w:sz w:val="24"/>
          <w:szCs w:val="24"/>
        </w:rPr>
      </w:pPr>
      <w:r>
        <w:rPr>
          <w:rFonts w:ascii="Times New Roman" w:hAnsi="Times New Roman"/>
          <w:sz w:val="24"/>
          <w:szCs w:val="24"/>
        </w:rPr>
        <w:t>The instrument</w:t>
      </w:r>
      <w:r w:rsidR="0063280E">
        <w:rPr>
          <w:rFonts w:ascii="Times New Roman" w:hAnsi="Times New Roman"/>
          <w:sz w:val="24"/>
          <w:szCs w:val="24"/>
        </w:rPr>
        <w:t xml:space="preserve"> commences upon registration on the Federal Register of Legislation.</w:t>
      </w:r>
    </w:p>
    <w:p w14:paraId="740C67B9" w14:textId="6D12D51B" w:rsidR="002436BD" w:rsidRDefault="002436BD" w:rsidP="00D64A92">
      <w:pPr>
        <w:pStyle w:val="Heading"/>
        <w:keepNext/>
        <w:numPr>
          <w:ilvl w:val="0"/>
          <w:numId w:val="2"/>
        </w:numPr>
        <w:spacing w:before="240" w:after="60"/>
        <w:ind w:left="0" w:firstLine="0"/>
        <w:outlineLvl w:val="0"/>
        <w:rPr>
          <w:rFonts w:ascii="Times New Roman" w:hAnsi="Times New Roman"/>
          <w:sz w:val="24"/>
          <w:szCs w:val="24"/>
        </w:rPr>
      </w:pPr>
      <w:r w:rsidRPr="002C6D26">
        <w:rPr>
          <w:rFonts w:ascii="Times New Roman" w:hAnsi="Times New Roman"/>
          <w:sz w:val="24"/>
          <w:szCs w:val="24"/>
        </w:rPr>
        <w:t>Background</w:t>
      </w:r>
    </w:p>
    <w:p w14:paraId="3FA9296A" w14:textId="23B61D9B" w:rsidR="000F73ED" w:rsidRDefault="002A7F6A" w:rsidP="00E8578B">
      <w:pPr>
        <w:spacing w:before="240" w:after="240"/>
        <w:jc w:val="both"/>
        <w:rPr>
          <w:rFonts w:ascii="Times New Roman" w:hAnsi="Times New Roman"/>
          <w:sz w:val="24"/>
          <w:szCs w:val="24"/>
        </w:rPr>
      </w:pPr>
      <w:bookmarkStart w:id="3" w:name="bkBackground"/>
      <w:bookmarkEnd w:id="3"/>
      <w:r>
        <w:rPr>
          <w:rFonts w:ascii="Times New Roman" w:hAnsi="Times New Roman"/>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w:t>
      </w:r>
    </w:p>
    <w:p w14:paraId="6F258B9D" w14:textId="0F3727C2" w:rsidR="002A7F6A" w:rsidRPr="003615B4" w:rsidRDefault="002A7F6A" w:rsidP="002A7F6A">
      <w:pPr>
        <w:spacing w:before="240" w:after="240"/>
        <w:jc w:val="both"/>
        <w:rPr>
          <w:rFonts w:ascii="Times New Roman" w:eastAsiaTheme="minorEastAsia" w:hAnsi="Times New Roman"/>
          <w:sz w:val="24"/>
          <w:szCs w:val="24"/>
          <w:lang w:eastAsia="en-US"/>
        </w:rPr>
      </w:pPr>
      <w:r w:rsidRPr="003615B4">
        <w:rPr>
          <w:rFonts w:ascii="Times New Roman" w:eastAsiaTheme="minorEastAsia" w:hAnsi="Times New Roman"/>
          <w:sz w:val="24"/>
          <w:szCs w:val="24"/>
          <w:lang w:eastAsia="en-US"/>
        </w:rPr>
        <w:t xml:space="preserve">APRA carries out this mandate through a multi-layered prudential framework that encompasses licensing and supervision of institutions. In the case of the banking industry, APRA is empowered under the Act to issue legally binding prudential standards that set out specific prudential requirements with which ADIs must comply. </w:t>
      </w:r>
    </w:p>
    <w:p w14:paraId="326BEF9C" w14:textId="68D54AF1" w:rsidR="002A7F6A" w:rsidRDefault="002A7F6A" w:rsidP="0063280E">
      <w:pPr>
        <w:spacing w:after="240"/>
        <w:jc w:val="both"/>
        <w:rPr>
          <w:rFonts w:ascii="Times New Roman" w:hAnsi="Times New Roman"/>
          <w:sz w:val="24"/>
          <w:szCs w:val="24"/>
        </w:rPr>
      </w:pPr>
      <w:r>
        <w:rPr>
          <w:rFonts w:ascii="Times New Roman" w:hAnsi="Times New Roman"/>
          <w:sz w:val="24"/>
          <w:szCs w:val="24"/>
        </w:rPr>
        <w:t>APS 610 requires ADIs that have obtained an authority to provide purchased payment facilities (PPFs) to meet prudential requirements commensurate with their risk profile. These ADIs form a class of ADI known as purchased payment facility providers (PPF providers). They are not authorised to conduct general banking business.</w:t>
      </w:r>
    </w:p>
    <w:p w14:paraId="5542081E" w14:textId="426F01F8" w:rsidR="00C5320A" w:rsidRPr="00961084" w:rsidRDefault="002A7F6A" w:rsidP="0063280E">
      <w:pPr>
        <w:spacing w:after="240"/>
        <w:jc w:val="both"/>
        <w:rPr>
          <w:rFonts w:ascii="Times New Roman" w:hAnsi="Times New Roman"/>
          <w:sz w:val="24"/>
          <w:szCs w:val="24"/>
        </w:rPr>
      </w:pPr>
      <w:r>
        <w:rPr>
          <w:rFonts w:ascii="Times New Roman" w:hAnsi="Times New Roman"/>
          <w:sz w:val="24"/>
          <w:szCs w:val="24"/>
        </w:rPr>
        <w:t xml:space="preserve">On 14 November 2022, APRA initiated a public consultation on capital requirements for PPF providers, with the intention to align APS 610 with the broader capital framework for other APRA-regulated entities. </w:t>
      </w:r>
      <w:r w:rsidR="00B93FD7">
        <w:rPr>
          <w:rFonts w:ascii="Times New Roman" w:hAnsi="Times New Roman"/>
          <w:sz w:val="24"/>
          <w:szCs w:val="24"/>
        </w:rPr>
        <w:t>APS 610 incor</w:t>
      </w:r>
      <w:r w:rsidR="00E977FD">
        <w:rPr>
          <w:rFonts w:ascii="Times New Roman" w:hAnsi="Times New Roman"/>
          <w:sz w:val="24"/>
          <w:szCs w:val="24"/>
        </w:rPr>
        <w:t xml:space="preserve">porates these changes and some minor amendments </w:t>
      </w:r>
      <w:r w:rsidR="007851AC">
        <w:rPr>
          <w:rFonts w:ascii="Times New Roman" w:hAnsi="Times New Roman"/>
          <w:sz w:val="24"/>
          <w:szCs w:val="24"/>
        </w:rPr>
        <w:t xml:space="preserve">including those </w:t>
      </w:r>
      <w:r w:rsidR="00C272DF">
        <w:rPr>
          <w:rFonts w:ascii="Times New Roman" w:hAnsi="Times New Roman"/>
          <w:sz w:val="24"/>
          <w:szCs w:val="24"/>
        </w:rPr>
        <w:t>to update cross referencing, and to use the drafting style employed currently for APRA’s prudential standards.</w:t>
      </w:r>
      <w:r w:rsidR="00E977FD">
        <w:rPr>
          <w:rFonts w:ascii="Times New Roman" w:hAnsi="Times New Roman"/>
          <w:sz w:val="24"/>
          <w:szCs w:val="24"/>
        </w:rPr>
        <w:t xml:space="preserve"> </w:t>
      </w:r>
      <w:r w:rsidR="00B93FD7">
        <w:rPr>
          <w:rFonts w:ascii="Times New Roman" w:hAnsi="Times New Roman"/>
          <w:sz w:val="24"/>
          <w:szCs w:val="24"/>
        </w:rPr>
        <w:t xml:space="preserve"> </w:t>
      </w:r>
    </w:p>
    <w:p w14:paraId="00F1C644" w14:textId="70B14AF0" w:rsidR="002436BD" w:rsidRPr="009E2BD3" w:rsidRDefault="002436BD" w:rsidP="00594FBC">
      <w:pPr>
        <w:pStyle w:val="Heading"/>
        <w:keepNext/>
        <w:numPr>
          <w:ilvl w:val="0"/>
          <w:numId w:val="2"/>
        </w:numPr>
        <w:spacing w:before="240" w:after="60"/>
        <w:outlineLvl w:val="0"/>
        <w:rPr>
          <w:rFonts w:ascii="Times New Roman" w:hAnsi="Times New Roman"/>
          <w:sz w:val="24"/>
          <w:szCs w:val="24"/>
        </w:rPr>
      </w:pPr>
      <w:r w:rsidRPr="009E2BD3">
        <w:rPr>
          <w:rFonts w:ascii="Times New Roman" w:hAnsi="Times New Roman"/>
          <w:sz w:val="24"/>
          <w:szCs w:val="24"/>
        </w:rPr>
        <w:t xml:space="preserve">Purpose </w:t>
      </w:r>
      <w:r w:rsidR="00DF524E" w:rsidRPr="009E2BD3">
        <w:rPr>
          <w:rFonts w:ascii="Times New Roman" w:hAnsi="Times New Roman"/>
          <w:sz w:val="24"/>
          <w:szCs w:val="24"/>
        </w:rPr>
        <w:t xml:space="preserve">and operation </w:t>
      </w:r>
      <w:r w:rsidRPr="009E2BD3">
        <w:rPr>
          <w:rFonts w:ascii="Times New Roman" w:hAnsi="Times New Roman"/>
          <w:sz w:val="24"/>
          <w:szCs w:val="24"/>
        </w:rPr>
        <w:t>of the instrument</w:t>
      </w:r>
    </w:p>
    <w:p w14:paraId="666E86CB" w14:textId="2F069ACE" w:rsidR="00ED65D6" w:rsidRDefault="00ED65D6" w:rsidP="003B388A">
      <w:pPr>
        <w:pStyle w:val="Heading"/>
        <w:spacing w:before="240"/>
        <w:rPr>
          <w:rFonts w:ascii="Times New Roman" w:hAnsi="Times New Roman"/>
          <w:b w:val="0"/>
          <w:sz w:val="24"/>
          <w:szCs w:val="24"/>
          <w:highlight w:val="yellow"/>
        </w:rPr>
      </w:pPr>
      <w:bookmarkStart w:id="4" w:name="bkPurpose"/>
      <w:bookmarkEnd w:id="4"/>
      <w:r>
        <w:rPr>
          <w:rFonts w:ascii="Times New Roman" w:hAnsi="Times New Roman"/>
          <w:b w:val="0"/>
          <w:sz w:val="24"/>
          <w:szCs w:val="24"/>
        </w:rPr>
        <w:t xml:space="preserve">The purpose of the instrument is to revoke </w:t>
      </w:r>
      <w:r w:rsidR="00CB0388">
        <w:rPr>
          <w:rFonts w:ascii="Times New Roman" w:hAnsi="Times New Roman"/>
          <w:b w:val="0"/>
          <w:sz w:val="24"/>
          <w:szCs w:val="24"/>
        </w:rPr>
        <w:t xml:space="preserve">the existing </w:t>
      </w:r>
      <w:r>
        <w:rPr>
          <w:rFonts w:ascii="Times New Roman" w:hAnsi="Times New Roman"/>
          <w:b w:val="0"/>
          <w:sz w:val="24"/>
          <w:szCs w:val="24"/>
        </w:rPr>
        <w:t xml:space="preserve">APS 610 and to replace it with </w:t>
      </w:r>
      <w:r w:rsidR="00F15E43">
        <w:rPr>
          <w:rFonts w:ascii="Times New Roman" w:hAnsi="Times New Roman"/>
          <w:b w:val="0"/>
          <w:sz w:val="24"/>
          <w:szCs w:val="24"/>
        </w:rPr>
        <w:t xml:space="preserve">a </w:t>
      </w:r>
      <w:r>
        <w:rPr>
          <w:rFonts w:ascii="Times New Roman" w:hAnsi="Times New Roman"/>
          <w:b w:val="0"/>
          <w:sz w:val="24"/>
          <w:szCs w:val="24"/>
        </w:rPr>
        <w:t xml:space="preserve">new </w:t>
      </w:r>
      <w:r w:rsidR="00F15E43">
        <w:rPr>
          <w:rFonts w:ascii="Times New Roman" w:hAnsi="Times New Roman"/>
          <w:b w:val="0"/>
          <w:sz w:val="24"/>
          <w:szCs w:val="24"/>
        </w:rPr>
        <w:t xml:space="preserve">version of </w:t>
      </w:r>
      <w:r>
        <w:rPr>
          <w:rFonts w:ascii="Times New Roman" w:hAnsi="Times New Roman"/>
          <w:b w:val="0"/>
          <w:sz w:val="24"/>
          <w:szCs w:val="24"/>
        </w:rPr>
        <w:t>APS 610</w:t>
      </w:r>
      <w:r w:rsidR="004A0AE8">
        <w:rPr>
          <w:rFonts w:ascii="Times New Roman" w:hAnsi="Times New Roman"/>
          <w:b w:val="0"/>
          <w:sz w:val="24"/>
          <w:szCs w:val="24"/>
        </w:rPr>
        <w:t xml:space="preserve"> that updates capital requirements for providers of purchased payment facilities to align with the requirements for other APRA-regulated industries</w:t>
      </w:r>
      <w:r>
        <w:rPr>
          <w:rFonts w:ascii="Times New Roman" w:hAnsi="Times New Roman"/>
          <w:b w:val="0"/>
          <w:sz w:val="24"/>
          <w:szCs w:val="24"/>
        </w:rPr>
        <w:t>.</w:t>
      </w:r>
      <w:r w:rsidR="00744539">
        <w:rPr>
          <w:rFonts w:ascii="Times New Roman" w:hAnsi="Times New Roman"/>
          <w:b w:val="0"/>
          <w:sz w:val="24"/>
          <w:szCs w:val="24"/>
        </w:rPr>
        <w:t xml:space="preserve"> </w:t>
      </w:r>
    </w:p>
    <w:p w14:paraId="3936105C" w14:textId="77777777" w:rsidR="00ED65D6" w:rsidRDefault="00ED65D6" w:rsidP="003771F3">
      <w:pPr>
        <w:pStyle w:val="Heading"/>
        <w:rPr>
          <w:rFonts w:ascii="Times New Roman" w:hAnsi="Times New Roman"/>
          <w:b w:val="0"/>
          <w:sz w:val="24"/>
          <w:szCs w:val="24"/>
        </w:rPr>
      </w:pPr>
    </w:p>
    <w:p w14:paraId="6A1E6180" w14:textId="77777777" w:rsidR="00ED65D6" w:rsidRDefault="00280704" w:rsidP="003771F3">
      <w:pPr>
        <w:pStyle w:val="Heading"/>
        <w:rPr>
          <w:rFonts w:ascii="Times New Roman" w:hAnsi="Times New Roman"/>
          <w:b w:val="0"/>
          <w:sz w:val="24"/>
          <w:szCs w:val="24"/>
        </w:rPr>
      </w:pPr>
      <w:r>
        <w:rPr>
          <w:rFonts w:ascii="Times New Roman" w:hAnsi="Times New Roman"/>
          <w:b w:val="0"/>
          <w:sz w:val="24"/>
          <w:szCs w:val="24"/>
        </w:rPr>
        <w:t xml:space="preserve">APS 610 </w:t>
      </w:r>
      <w:r w:rsidRPr="00280704">
        <w:rPr>
          <w:rFonts w:ascii="Times New Roman" w:hAnsi="Times New Roman"/>
          <w:b w:val="0"/>
          <w:sz w:val="24"/>
          <w:szCs w:val="24"/>
          <w:lang w:val="en-US"/>
        </w:rPr>
        <w:t xml:space="preserve">requires </w:t>
      </w:r>
      <w:r w:rsidR="00CF12DF">
        <w:rPr>
          <w:rFonts w:ascii="Times New Roman" w:hAnsi="Times New Roman"/>
          <w:b w:val="0"/>
          <w:sz w:val="24"/>
          <w:szCs w:val="24"/>
          <w:lang w:val="en-US"/>
        </w:rPr>
        <w:t xml:space="preserve">an </w:t>
      </w:r>
      <w:r w:rsidRPr="00280704">
        <w:rPr>
          <w:rFonts w:ascii="Times New Roman" w:hAnsi="Times New Roman"/>
          <w:b w:val="0"/>
          <w:sz w:val="24"/>
          <w:szCs w:val="24"/>
          <w:lang w:val="en-US"/>
        </w:rPr>
        <w:t xml:space="preserve">ADI that </w:t>
      </w:r>
      <w:r w:rsidR="00352982" w:rsidRPr="00280704">
        <w:rPr>
          <w:rFonts w:ascii="Times New Roman" w:hAnsi="Times New Roman"/>
          <w:b w:val="0"/>
          <w:sz w:val="24"/>
          <w:szCs w:val="24"/>
          <w:lang w:val="en-US"/>
        </w:rPr>
        <w:t>ha</w:t>
      </w:r>
      <w:r w:rsidR="00352982">
        <w:rPr>
          <w:rFonts w:ascii="Times New Roman" w:hAnsi="Times New Roman"/>
          <w:b w:val="0"/>
          <w:sz w:val="24"/>
          <w:szCs w:val="24"/>
          <w:lang w:val="en-US"/>
        </w:rPr>
        <w:t>s</w:t>
      </w:r>
      <w:r w:rsidR="00352982" w:rsidRPr="00280704">
        <w:rPr>
          <w:rFonts w:ascii="Times New Roman" w:hAnsi="Times New Roman"/>
          <w:b w:val="0"/>
          <w:sz w:val="24"/>
          <w:szCs w:val="24"/>
          <w:lang w:val="en-US"/>
        </w:rPr>
        <w:t xml:space="preserve"> </w:t>
      </w:r>
      <w:r w:rsidRPr="00280704">
        <w:rPr>
          <w:rFonts w:ascii="Times New Roman" w:hAnsi="Times New Roman"/>
          <w:b w:val="0"/>
          <w:sz w:val="24"/>
          <w:szCs w:val="24"/>
          <w:lang w:val="en-US"/>
        </w:rPr>
        <w:t xml:space="preserve">an authority to provide purchased payment facilities to meet prudential requirements commensurate with </w:t>
      </w:r>
      <w:r w:rsidR="00CF12DF">
        <w:rPr>
          <w:rFonts w:ascii="Times New Roman" w:hAnsi="Times New Roman"/>
          <w:b w:val="0"/>
          <w:sz w:val="24"/>
          <w:szCs w:val="24"/>
          <w:lang w:val="en-US"/>
        </w:rPr>
        <w:t>its</w:t>
      </w:r>
      <w:r w:rsidRPr="00280704">
        <w:rPr>
          <w:rFonts w:ascii="Times New Roman" w:hAnsi="Times New Roman"/>
          <w:b w:val="0"/>
          <w:sz w:val="24"/>
          <w:szCs w:val="24"/>
          <w:lang w:val="en-US"/>
        </w:rPr>
        <w:t xml:space="preserve"> risk profile.</w:t>
      </w:r>
    </w:p>
    <w:p w14:paraId="2A8F61AA" w14:textId="77777777" w:rsidR="00ED65D6" w:rsidRDefault="00ED65D6" w:rsidP="003771F3">
      <w:pPr>
        <w:pStyle w:val="Heading"/>
        <w:rPr>
          <w:rFonts w:ascii="Times New Roman" w:hAnsi="Times New Roman"/>
          <w:b w:val="0"/>
          <w:sz w:val="24"/>
          <w:szCs w:val="24"/>
        </w:rPr>
      </w:pPr>
    </w:p>
    <w:p w14:paraId="15C049D8" w14:textId="0D5C0133" w:rsidR="004A0AE8" w:rsidRDefault="004A0AE8" w:rsidP="004A0AE8">
      <w:pPr>
        <w:pStyle w:val="Heading"/>
        <w:spacing w:after="240"/>
        <w:rPr>
          <w:rFonts w:ascii="Times New Roman" w:eastAsiaTheme="minorEastAsia" w:hAnsi="Times New Roman"/>
          <w:b w:val="0"/>
          <w:sz w:val="24"/>
          <w:szCs w:val="24"/>
        </w:rPr>
      </w:pPr>
      <w:r>
        <w:rPr>
          <w:rFonts w:ascii="Times New Roman" w:eastAsiaTheme="minorEastAsia" w:hAnsi="Times New Roman"/>
          <w:b w:val="0"/>
          <w:sz w:val="24"/>
          <w:szCs w:val="24"/>
        </w:rPr>
        <w:lastRenderedPageBreak/>
        <w:t>Where APS 610 refers to an Act, Regulation</w:t>
      </w:r>
      <w:r w:rsidR="007851AC">
        <w:rPr>
          <w:rFonts w:ascii="Times New Roman" w:eastAsiaTheme="minorEastAsia" w:hAnsi="Times New Roman"/>
          <w:b w:val="0"/>
          <w:sz w:val="24"/>
          <w:szCs w:val="24"/>
        </w:rPr>
        <w:t xml:space="preserve"> or</w:t>
      </w:r>
      <w:r>
        <w:rPr>
          <w:rFonts w:ascii="Times New Roman" w:eastAsiaTheme="minorEastAsia" w:hAnsi="Times New Roman"/>
          <w:b w:val="0"/>
          <w:sz w:val="24"/>
          <w:szCs w:val="24"/>
        </w:rPr>
        <w:t xml:space="preserve"> prudential standard, this is a reference to the instrument as in force from time to time, and which is available on the Federal Register of Legislation at </w:t>
      </w:r>
      <w:hyperlink r:id="rId11" w:history="1">
        <w:r w:rsidRPr="009E604B">
          <w:rPr>
            <w:rStyle w:val="Hyperlink"/>
            <w:rFonts w:ascii="Times New Roman" w:eastAsiaTheme="minorEastAsia" w:hAnsi="Times New Roman"/>
            <w:b w:val="0"/>
            <w:sz w:val="24"/>
            <w:szCs w:val="24"/>
          </w:rPr>
          <w:t>www.legislation.gov.au</w:t>
        </w:r>
      </w:hyperlink>
      <w:r>
        <w:rPr>
          <w:rFonts w:ascii="Times New Roman" w:eastAsiaTheme="minorEastAsia" w:hAnsi="Times New Roman"/>
          <w:b w:val="0"/>
          <w:sz w:val="24"/>
          <w:szCs w:val="24"/>
        </w:rPr>
        <w:t xml:space="preserve">. </w:t>
      </w:r>
    </w:p>
    <w:p w14:paraId="0DBD17B9" w14:textId="7AA880FF" w:rsidR="004A0AE8" w:rsidRDefault="004A0AE8" w:rsidP="004A0AE8">
      <w:pPr>
        <w:pStyle w:val="Heading"/>
        <w:rPr>
          <w:rFonts w:ascii="Times New Roman" w:hAnsi="Times New Roman"/>
          <w:b w:val="0"/>
          <w:sz w:val="24"/>
          <w:szCs w:val="24"/>
        </w:rPr>
      </w:pPr>
      <w:r>
        <w:rPr>
          <w:rFonts w:ascii="Times New Roman" w:hAnsi="Times New Roman"/>
          <w:b w:val="0"/>
          <w:sz w:val="24"/>
          <w:szCs w:val="24"/>
        </w:rPr>
        <w:t>APS 610 provides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2D69AEAC" w14:textId="4A5ED606" w:rsidR="004A0AE8" w:rsidRDefault="004A0AE8" w:rsidP="004A0AE8">
      <w:pPr>
        <w:pStyle w:val="Heading"/>
        <w:rPr>
          <w:rFonts w:ascii="Times New Roman" w:hAnsi="Times New Roman"/>
          <w:b w:val="0"/>
          <w:sz w:val="24"/>
          <w:szCs w:val="24"/>
        </w:rPr>
      </w:pPr>
    </w:p>
    <w:p w14:paraId="0C59737C" w14:textId="7D3E9A59" w:rsidR="004A0AE8" w:rsidRDefault="004A0AE8" w:rsidP="004A0AE8">
      <w:pPr>
        <w:pStyle w:val="Heading"/>
        <w:spacing w:after="240"/>
        <w:rPr>
          <w:rFonts w:ascii="Times New Roman" w:hAnsi="Times New Roman"/>
          <w:b w:val="0"/>
          <w:sz w:val="24"/>
          <w:szCs w:val="24"/>
        </w:rPr>
      </w:pPr>
      <w:r>
        <w:rPr>
          <w:rFonts w:ascii="Times New Roman" w:hAnsi="Times New Roman"/>
          <w:b w:val="0"/>
          <w:sz w:val="24"/>
          <w:szCs w:val="24"/>
        </w:rPr>
        <w:t>A</w:t>
      </w:r>
      <w:r w:rsidRPr="00A67708">
        <w:rPr>
          <w:rFonts w:ascii="Times New Roman" w:hAnsi="Times New Roman"/>
          <w:b w:val="0"/>
          <w:sz w:val="24"/>
          <w:szCs w:val="24"/>
        </w:rPr>
        <w:t xml:space="preserve"> breach of a prudential standard is </w:t>
      </w:r>
      <w:r>
        <w:rPr>
          <w:rFonts w:ascii="Times New Roman" w:hAnsi="Times New Roman"/>
          <w:b w:val="0"/>
          <w:sz w:val="24"/>
          <w:szCs w:val="24"/>
        </w:rPr>
        <w:t xml:space="preserve">also </w:t>
      </w:r>
      <w:r w:rsidRPr="00A67708">
        <w:rPr>
          <w:rFonts w:ascii="Times New Roman" w:hAnsi="Times New Roman"/>
          <w:b w:val="0"/>
          <w:sz w:val="24"/>
          <w:szCs w:val="24"/>
        </w:rPr>
        <w:t xml:space="preserve">a breach of the </w:t>
      </w:r>
      <w:r>
        <w:rPr>
          <w:rFonts w:ascii="Times New Roman" w:hAnsi="Times New Roman"/>
          <w:b w:val="0"/>
          <w:sz w:val="24"/>
          <w:szCs w:val="24"/>
        </w:rPr>
        <w:t>Act</w:t>
      </w:r>
      <w:r w:rsidRPr="00A67708">
        <w:rPr>
          <w:rFonts w:ascii="Times New Roman" w:hAnsi="Times New Roman"/>
          <w:b w:val="0"/>
          <w:sz w:val="24"/>
          <w:szCs w:val="24"/>
        </w:rPr>
        <w:t xml:space="preserve">, as </w:t>
      </w:r>
      <w:r w:rsidR="00635B6C">
        <w:rPr>
          <w:rFonts w:ascii="Times New Roman" w:hAnsi="Times New Roman"/>
          <w:b w:val="0"/>
          <w:sz w:val="24"/>
          <w:szCs w:val="24"/>
        </w:rPr>
        <w:t xml:space="preserve">section 11AG of the </w:t>
      </w:r>
      <w:r w:rsidRPr="00A67708">
        <w:rPr>
          <w:rFonts w:ascii="Times New Roman" w:hAnsi="Times New Roman"/>
          <w:b w:val="0"/>
          <w:sz w:val="24"/>
          <w:szCs w:val="24"/>
        </w:rPr>
        <w:t xml:space="preserve">Act provides that </w:t>
      </w:r>
      <w:r w:rsidR="007851AC">
        <w:rPr>
          <w:rFonts w:ascii="Times New Roman" w:hAnsi="Times New Roman"/>
          <w:b w:val="0"/>
          <w:sz w:val="24"/>
          <w:szCs w:val="24"/>
        </w:rPr>
        <w:t xml:space="preserve">ADIs </w:t>
      </w:r>
      <w:r w:rsidRPr="00A67708">
        <w:rPr>
          <w:rFonts w:ascii="Times New Roman" w:hAnsi="Times New Roman"/>
          <w:b w:val="0"/>
          <w:sz w:val="24"/>
          <w:szCs w:val="24"/>
        </w:rPr>
        <w:t xml:space="preserve">must comply with </w:t>
      </w:r>
      <w:r w:rsidR="00635B6C">
        <w:rPr>
          <w:rFonts w:ascii="Times New Roman" w:hAnsi="Times New Roman"/>
          <w:b w:val="0"/>
          <w:sz w:val="24"/>
          <w:szCs w:val="24"/>
        </w:rPr>
        <w:t>applicable prudential</w:t>
      </w:r>
      <w:r w:rsidRPr="00A67708">
        <w:rPr>
          <w:rFonts w:ascii="Times New Roman" w:hAnsi="Times New Roman"/>
          <w:b w:val="0"/>
          <w:sz w:val="24"/>
          <w:szCs w:val="24"/>
        </w:rPr>
        <w:t xml:space="preserve"> standard</w:t>
      </w:r>
      <w:r w:rsidR="00635B6C">
        <w:rPr>
          <w:rFonts w:ascii="Times New Roman" w:hAnsi="Times New Roman"/>
          <w:b w:val="0"/>
          <w:sz w:val="24"/>
          <w:szCs w:val="24"/>
        </w:rPr>
        <w:t>s</w:t>
      </w:r>
      <w:r w:rsidRPr="00A67708">
        <w:rPr>
          <w:rFonts w:ascii="Times New Roman" w:hAnsi="Times New Roman"/>
          <w:b w:val="0"/>
          <w:sz w:val="24"/>
          <w:szCs w:val="24"/>
        </w:rPr>
        <w:t xml:space="preserve">. However, there are no penalties prescribed for </w:t>
      </w:r>
      <w:r>
        <w:rPr>
          <w:rFonts w:ascii="Times New Roman" w:hAnsi="Times New Roman"/>
          <w:b w:val="0"/>
          <w:sz w:val="24"/>
          <w:szCs w:val="24"/>
        </w:rPr>
        <w:t xml:space="preserve">such </w:t>
      </w:r>
      <w:r w:rsidRPr="00A67708">
        <w:rPr>
          <w:rFonts w:ascii="Times New Roman" w:hAnsi="Times New Roman"/>
          <w:b w:val="0"/>
          <w:sz w:val="24"/>
          <w:szCs w:val="24"/>
        </w:rPr>
        <w:t>breach</w:t>
      </w:r>
      <w:r>
        <w:rPr>
          <w:rFonts w:ascii="Times New Roman" w:hAnsi="Times New Roman"/>
          <w:b w:val="0"/>
          <w:sz w:val="24"/>
          <w:szCs w:val="24"/>
        </w:rPr>
        <w:t>es</w:t>
      </w:r>
      <w:r w:rsidRPr="00A67708">
        <w:rPr>
          <w:rFonts w:ascii="Times New Roman" w:hAnsi="Times New Roman"/>
          <w:b w:val="0"/>
          <w:sz w:val="24"/>
          <w:szCs w:val="24"/>
        </w:rPr>
        <w:t>.</w:t>
      </w:r>
      <w:r w:rsidRPr="00D14060">
        <w:rPr>
          <w:rFonts w:ascii="Times New Roman" w:hAnsi="Times New Roman"/>
          <w:sz w:val="24"/>
          <w:szCs w:val="24"/>
        </w:rPr>
        <w:t xml:space="preserve"> </w:t>
      </w:r>
      <w:r>
        <w:rPr>
          <w:rFonts w:ascii="Times New Roman" w:hAnsi="Times New Roman"/>
          <w:b w:val="0"/>
          <w:sz w:val="24"/>
          <w:szCs w:val="24"/>
        </w:rPr>
        <w:t xml:space="preserve">Instead, an ADI’s breach of a provision in the Act is grounds for APRA to make further, substantive decisions under the Act in relation to the ADI. Those decisions are: </w:t>
      </w:r>
    </w:p>
    <w:p w14:paraId="5EB00269" w14:textId="77777777" w:rsidR="004A0AE8" w:rsidRDefault="004A0AE8" w:rsidP="004A0AE8">
      <w:pPr>
        <w:pStyle w:val="Heading"/>
        <w:numPr>
          <w:ilvl w:val="0"/>
          <w:numId w:val="19"/>
        </w:numPr>
        <w:spacing w:after="240"/>
        <w:ind w:left="360"/>
        <w:rPr>
          <w:rFonts w:ascii="Times New Roman" w:hAnsi="Times New Roman"/>
          <w:b w:val="0"/>
          <w:sz w:val="24"/>
          <w:szCs w:val="24"/>
        </w:rPr>
      </w:pPr>
      <w:r>
        <w:rPr>
          <w:rFonts w:ascii="Times New Roman" w:hAnsi="Times New Roman"/>
          <w:b w:val="0"/>
          <w:sz w:val="24"/>
          <w:szCs w:val="24"/>
        </w:rPr>
        <w:t>to revoke an authority to carry on banking business (section 9A of the Act); and</w:t>
      </w:r>
    </w:p>
    <w:p w14:paraId="21594FFC" w14:textId="77777777" w:rsidR="004A0AE8" w:rsidRDefault="004A0AE8" w:rsidP="004A0AE8">
      <w:pPr>
        <w:pStyle w:val="Heading"/>
        <w:numPr>
          <w:ilvl w:val="0"/>
          <w:numId w:val="19"/>
        </w:numPr>
        <w:spacing w:after="240"/>
        <w:ind w:left="360"/>
        <w:rPr>
          <w:rFonts w:ascii="Times New Roman" w:hAnsi="Times New Roman"/>
          <w:b w:val="0"/>
          <w:sz w:val="24"/>
          <w:szCs w:val="24"/>
        </w:rPr>
      </w:pPr>
      <w:r>
        <w:rPr>
          <w:rFonts w:ascii="Times New Roman" w:hAnsi="Times New Roman"/>
          <w:b w:val="0"/>
          <w:sz w:val="24"/>
          <w:szCs w:val="24"/>
        </w:rPr>
        <w:t>to issue a direction to the ADI, including a direction to comply with the whole or part of a prudential standard (section 11CA of the Act).</w:t>
      </w:r>
    </w:p>
    <w:p w14:paraId="7A5E4837" w14:textId="77777777" w:rsidR="004A0AE8" w:rsidRDefault="004A0AE8" w:rsidP="004A0AE8">
      <w:pPr>
        <w:spacing w:after="240"/>
        <w:jc w:val="both"/>
        <w:rPr>
          <w:rFonts w:ascii="Times New Roman" w:hAnsi="Times New Roman"/>
          <w:sz w:val="24"/>
          <w:szCs w:val="24"/>
        </w:rPr>
      </w:pPr>
      <w:r>
        <w:rPr>
          <w:rFonts w:ascii="Times New Roman" w:hAnsi="Times New Roman"/>
          <w:sz w:val="24"/>
          <w:szCs w:val="24"/>
        </w:rPr>
        <w:t>It is only at this stage that an ADI is exposed to a penalty: loss of its authority under section 9A or 50 penalty units if it breaches the direction (section 11CG of the Act). In nearly all cases</w:t>
      </w:r>
      <w:r>
        <w:rPr>
          <w:rStyle w:val="FootnoteReference"/>
          <w:rFonts w:ascii="Times New Roman" w:hAnsi="Times New Roman"/>
          <w:sz w:val="24"/>
          <w:szCs w:val="24"/>
        </w:rPr>
        <w:footnoteReference w:id="2"/>
      </w:r>
      <w:r>
        <w:rPr>
          <w:rFonts w:ascii="Times New Roman" w:hAnsi="Times New Roman"/>
          <w:sz w:val="24"/>
          <w:szCs w:val="24"/>
        </w:rPr>
        <w:t xml:space="preserve"> the decision is preceded by a full consultation with the ADI to raise any concerns it may have in relation to the decision.</w:t>
      </w:r>
      <w:r w:rsidRPr="00AA4795">
        <w:rPr>
          <w:rFonts w:ascii="Times New Roman" w:hAnsi="Times New Roman"/>
          <w:sz w:val="24"/>
          <w:szCs w:val="24"/>
        </w:rPr>
        <w:t xml:space="preserve"> </w:t>
      </w:r>
    </w:p>
    <w:p w14:paraId="0E0565BD" w14:textId="77777777" w:rsidR="004A0AE8" w:rsidRDefault="004A0AE8" w:rsidP="004A0AE8">
      <w:pPr>
        <w:spacing w:after="240"/>
        <w:jc w:val="both"/>
        <w:rPr>
          <w:rFonts w:ascii="Times New Roman" w:hAnsi="Times New Roman"/>
          <w:sz w:val="24"/>
          <w:szCs w:val="24"/>
        </w:rPr>
      </w:pPr>
      <w:r>
        <w:rPr>
          <w:rFonts w:ascii="Times New Roman" w:hAnsi="Times New Roman"/>
          <w:sz w:val="24"/>
          <w:szCs w:val="24"/>
        </w:rPr>
        <w:t xml:space="preserve">A </w:t>
      </w:r>
      <w:r w:rsidRPr="000E76C9">
        <w:rPr>
          <w:rFonts w:ascii="Times New Roman" w:hAnsi="Times New Roman"/>
          <w:sz w:val="24"/>
          <w:szCs w:val="24"/>
        </w:rPr>
        <w:t xml:space="preserve">decision of APRA to impose a direction </w:t>
      </w:r>
      <w:r>
        <w:rPr>
          <w:rFonts w:ascii="Times New Roman" w:hAnsi="Times New Roman"/>
          <w:sz w:val="24"/>
          <w:szCs w:val="24"/>
        </w:rPr>
        <w:t xml:space="preserve">is </w:t>
      </w:r>
      <w:r w:rsidRPr="000E76C9">
        <w:rPr>
          <w:rFonts w:ascii="Times New Roman" w:hAnsi="Times New Roman"/>
          <w:sz w:val="24"/>
          <w:szCs w:val="24"/>
        </w:rPr>
        <w:t xml:space="preserve">subject to merits review </w:t>
      </w:r>
      <w:r>
        <w:rPr>
          <w:rFonts w:ascii="Times New Roman" w:hAnsi="Times New Roman"/>
          <w:sz w:val="24"/>
          <w:szCs w:val="24"/>
        </w:rPr>
        <w:t xml:space="preserve">under </w:t>
      </w:r>
      <w:r w:rsidRPr="000E76C9">
        <w:rPr>
          <w:rFonts w:ascii="Times New Roman" w:hAnsi="Times New Roman"/>
          <w:sz w:val="24"/>
          <w:szCs w:val="24"/>
        </w:rPr>
        <w:t>s</w:t>
      </w:r>
      <w:r>
        <w:rPr>
          <w:rFonts w:ascii="Times New Roman" w:hAnsi="Times New Roman"/>
          <w:sz w:val="24"/>
          <w:szCs w:val="24"/>
        </w:rPr>
        <w:t xml:space="preserve">ection </w:t>
      </w:r>
      <w:r w:rsidRPr="000E76C9">
        <w:rPr>
          <w:rFonts w:ascii="Times New Roman" w:hAnsi="Times New Roman"/>
          <w:sz w:val="24"/>
          <w:szCs w:val="24"/>
        </w:rPr>
        <w:t xml:space="preserve">11CA </w:t>
      </w:r>
      <w:r>
        <w:rPr>
          <w:rFonts w:ascii="Times New Roman" w:hAnsi="Times New Roman"/>
          <w:sz w:val="24"/>
          <w:szCs w:val="24"/>
        </w:rPr>
        <w:t xml:space="preserve">of the </w:t>
      </w:r>
      <w:r w:rsidRPr="000E76C9">
        <w:rPr>
          <w:rFonts w:ascii="Times New Roman" w:hAnsi="Times New Roman"/>
          <w:sz w:val="24"/>
          <w:szCs w:val="24"/>
        </w:rPr>
        <w:t xml:space="preserve">Act, which is appropriately available at the point where an </w:t>
      </w:r>
      <w:r>
        <w:rPr>
          <w:rFonts w:ascii="Times New Roman" w:hAnsi="Times New Roman"/>
          <w:sz w:val="24"/>
          <w:szCs w:val="24"/>
        </w:rPr>
        <w:t>ADI</w:t>
      </w:r>
      <w:r w:rsidRPr="000E76C9">
        <w:rPr>
          <w:rFonts w:ascii="Times New Roman" w:hAnsi="Times New Roman"/>
          <w:sz w:val="24"/>
          <w:szCs w:val="24"/>
        </w:rPr>
        <w:t xml:space="preserve"> could be exposed to a penalty.</w:t>
      </w:r>
    </w:p>
    <w:p w14:paraId="001CAB9A" w14:textId="77777777" w:rsidR="004A0AE8" w:rsidRDefault="004A0AE8" w:rsidP="004A0AE8">
      <w:pPr>
        <w:spacing w:after="240"/>
        <w:jc w:val="both"/>
        <w:rPr>
          <w:rFonts w:ascii="Times New Roman" w:hAnsi="Times New Roman"/>
          <w:sz w:val="24"/>
          <w:szCs w:val="24"/>
        </w:rPr>
      </w:pPr>
      <w:r w:rsidRPr="002958BD">
        <w:rPr>
          <w:rFonts w:ascii="Times New Roman" w:hAnsi="Times New Roman"/>
          <w:sz w:val="24"/>
          <w:szCs w:val="24"/>
        </w:rPr>
        <w:t xml:space="preserve">A decision </w:t>
      </w:r>
      <w:r>
        <w:rPr>
          <w:rFonts w:ascii="Times New Roman" w:hAnsi="Times New Roman"/>
          <w:sz w:val="24"/>
          <w:szCs w:val="24"/>
        </w:rPr>
        <w:t xml:space="preserve">of APRA </w:t>
      </w:r>
      <w:r w:rsidRPr="002958BD">
        <w:rPr>
          <w:rFonts w:ascii="Times New Roman" w:hAnsi="Times New Roman"/>
          <w:sz w:val="24"/>
          <w:szCs w:val="24"/>
        </w:rPr>
        <w:t xml:space="preserve">to revoke </w:t>
      </w:r>
      <w:r>
        <w:rPr>
          <w:rFonts w:ascii="Times New Roman" w:hAnsi="Times New Roman"/>
          <w:sz w:val="24"/>
          <w:szCs w:val="24"/>
        </w:rPr>
        <w:t xml:space="preserve">an authority </w:t>
      </w:r>
      <w:r w:rsidRPr="002958BD">
        <w:rPr>
          <w:rFonts w:ascii="Times New Roman" w:hAnsi="Times New Roman"/>
          <w:sz w:val="24"/>
          <w:szCs w:val="24"/>
        </w:rPr>
        <w:t xml:space="preserve">under the Act </w:t>
      </w:r>
      <w:r>
        <w:rPr>
          <w:rFonts w:ascii="Times New Roman" w:hAnsi="Times New Roman"/>
          <w:sz w:val="24"/>
          <w:szCs w:val="24"/>
        </w:rPr>
        <w:t xml:space="preserve">is </w:t>
      </w:r>
      <w:r w:rsidRPr="002958BD">
        <w:rPr>
          <w:rFonts w:ascii="Times New Roman" w:hAnsi="Times New Roman"/>
          <w:sz w:val="24"/>
          <w:szCs w:val="24"/>
        </w:rPr>
        <w:t xml:space="preserve">subject to merits review, unless </w:t>
      </w:r>
      <w:r>
        <w:rPr>
          <w:rFonts w:ascii="Times New Roman" w:hAnsi="Times New Roman"/>
          <w:sz w:val="24"/>
          <w:szCs w:val="24"/>
        </w:rPr>
        <w:t>either:</w:t>
      </w:r>
    </w:p>
    <w:p w14:paraId="66EFDF4D" w14:textId="77777777" w:rsidR="004A0AE8" w:rsidRDefault="004A0AE8" w:rsidP="004A0AE8">
      <w:pPr>
        <w:pStyle w:val="ListParagraph"/>
        <w:numPr>
          <w:ilvl w:val="0"/>
          <w:numId w:val="21"/>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 xml:space="preserve">APRA has determined that access to natural justice and merits review is contrary to the national interest or contrary to the interests of depositors with the </w:t>
      </w:r>
      <w:r>
        <w:rPr>
          <w:rFonts w:ascii="Times New Roman" w:hAnsi="Times New Roman"/>
          <w:sz w:val="24"/>
          <w:szCs w:val="24"/>
        </w:rPr>
        <w:t>ADI</w:t>
      </w:r>
      <w:r w:rsidRPr="00641582">
        <w:rPr>
          <w:rFonts w:ascii="Times New Roman" w:hAnsi="Times New Roman"/>
          <w:sz w:val="24"/>
          <w:szCs w:val="24"/>
        </w:rPr>
        <w:t>; or</w:t>
      </w:r>
    </w:p>
    <w:p w14:paraId="3288FAF2" w14:textId="68CA7A4F" w:rsidR="00910312" w:rsidRPr="00DF1A24" w:rsidRDefault="004A0AE8" w:rsidP="00DF1A24">
      <w:pPr>
        <w:pStyle w:val="ListParagraph"/>
        <w:numPr>
          <w:ilvl w:val="0"/>
          <w:numId w:val="21"/>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the authority is an authority that is to cease to have effect on a day specified in the authority (</w:t>
      </w:r>
      <w:r w:rsidR="007B702C">
        <w:rPr>
          <w:rFonts w:ascii="Times New Roman" w:hAnsi="Times New Roman"/>
          <w:sz w:val="24"/>
          <w:szCs w:val="24"/>
        </w:rPr>
        <w:t>sub</w:t>
      </w:r>
      <w:r w:rsidRPr="00641582">
        <w:rPr>
          <w:rFonts w:ascii="Times New Roman" w:hAnsi="Times New Roman"/>
          <w:sz w:val="24"/>
          <w:szCs w:val="24"/>
        </w:rPr>
        <w:t>s</w:t>
      </w:r>
      <w:r>
        <w:rPr>
          <w:rFonts w:ascii="Times New Roman" w:hAnsi="Times New Roman"/>
          <w:sz w:val="24"/>
          <w:szCs w:val="24"/>
        </w:rPr>
        <w:t xml:space="preserve">ection </w:t>
      </w:r>
      <w:r w:rsidRPr="00641582">
        <w:rPr>
          <w:rFonts w:ascii="Times New Roman" w:hAnsi="Times New Roman"/>
          <w:sz w:val="24"/>
          <w:szCs w:val="24"/>
        </w:rPr>
        <w:t>9A(8)</w:t>
      </w:r>
      <w:r>
        <w:rPr>
          <w:rFonts w:ascii="Times New Roman" w:hAnsi="Times New Roman"/>
          <w:sz w:val="24"/>
          <w:szCs w:val="24"/>
        </w:rPr>
        <w:t xml:space="preserve"> of the Act</w:t>
      </w:r>
      <w:r w:rsidRPr="00641582">
        <w:rPr>
          <w:rFonts w:ascii="Times New Roman" w:hAnsi="Times New Roman"/>
          <w:sz w:val="24"/>
          <w:szCs w:val="24"/>
        </w:rPr>
        <w:t>).</w:t>
      </w:r>
    </w:p>
    <w:p w14:paraId="4C0FED35" w14:textId="77777777" w:rsidR="002436BD" w:rsidRDefault="002436BD" w:rsidP="00594FBC">
      <w:pPr>
        <w:pStyle w:val="Heading"/>
        <w:numPr>
          <w:ilvl w:val="0"/>
          <w:numId w:val="2"/>
        </w:numPr>
        <w:rPr>
          <w:rFonts w:ascii="Times New Roman" w:hAnsi="Times New Roman"/>
          <w:sz w:val="24"/>
          <w:szCs w:val="24"/>
        </w:rPr>
      </w:pPr>
      <w:bookmarkStart w:id="5" w:name="bkoperation"/>
      <w:bookmarkStart w:id="6" w:name="bkConsultationNo"/>
      <w:bookmarkEnd w:id="5"/>
      <w:bookmarkEnd w:id="6"/>
      <w:r w:rsidRPr="002C6D26">
        <w:rPr>
          <w:rFonts w:ascii="Times New Roman" w:hAnsi="Times New Roman"/>
          <w:sz w:val="24"/>
          <w:szCs w:val="24"/>
        </w:rPr>
        <w:t>Consultation</w:t>
      </w:r>
    </w:p>
    <w:p w14:paraId="7DBC0B79" w14:textId="52128E26" w:rsidR="00E644F0" w:rsidRDefault="00910312" w:rsidP="003B388A">
      <w:pPr>
        <w:pStyle w:val="Heading"/>
        <w:tabs>
          <w:tab w:val="left" w:pos="360"/>
        </w:tabs>
        <w:spacing w:before="240"/>
        <w:rPr>
          <w:rFonts w:ascii="Times New Roman" w:hAnsi="Times New Roman"/>
          <w:b w:val="0"/>
          <w:sz w:val="24"/>
          <w:szCs w:val="24"/>
        </w:rPr>
      </w:pPr>
      <w:r w:rsidRPr="00910312">
        <w:rPr>
          <w:rFonts w:ascii="Times New Roman" w:hAnsi="Times New Roman"/>
          <w:b w:val="0"/>
          <w:sz w:val="24"/>
          <w:szCs w:val="24"/>
          <w:lang w:val="en-GB" w:eastAsia="en-US"/>
        </w:rPr>
        <w:t xml:space="preserve">APRA undertook a </w:t>
      </w:r>
      <w:r w:rsidR="00055E08">
        <w:rPr>
          <w:rFonts w:ascii="Times New Roman" w:hAnsi="Times New Roman"/>
          <w:b w:val="0"/>
          <w:sz w:val="24"/>
          <w:szCs w:val="24"/>
          <w:lang w:val="en-GB" w:eastAsia="en-US"/>
        </w:rPr>
        <w:t>three-month</w:t>
      </w:r>
      <w:r w:rsidR="00CB0388">
        <w:rPr>
          <w:rFonts w:ascii="Times New Roman" w:hAnsi="Times New Roman"/>
          <w:b w:val="0"/>
          <w:sz w:val="24"/>
          <w:szCs w:val="24"/>
          <w:lang w:val="en-GB" w:eastAsia="en-US"/>
        </w:rPr>
        <w:t xml:space="preserve"> </w:t>
      </w:r>
      <w:r w:rsidRPr="00910312">
        <w:rPr>
          <w:rFonts w:ascii="Times New Roman" w:hAnsi="Times New Roman"/>
          <w:b w:val="0"/>
          <w:sz w:val="24"/>
          <w:szCs w:val="24"/>
          <w:lang w:val="en-GB" w:eastAsia="en-US"/>
        </w:rPr>
        <w:t>consultation on the proposed consequential changes</w:t>
      </w:r>
      <w:r w:rsidR="00846AE9">
        <w:rPr>
          <w:rFonts w:ascii="Times New Roman" w:hAnsi="Times New Roman"/>
          <w:b w:val="0"/>
          <w:sz w:val="24"/>
          <w:szCs w:val="24"/>
          <w:lang w:val="en-GB" w:eastAsia="en-US"/>
        </w:rPr>
        <w:t xml:space="preserve"> from </w:t>
      </w:r>
      <w:r w:rsidR="00CB0388">
        <w:rPr>
          <w:rFonts w:ascii="Times New Roman" w:hAnsi="Times New Roman"/>
          <w:b w:val="0"/>
          <w:sz w:val="24"/>
          <w:szCs w:val="24"/>
          <w:lang w:val="en-GB" w:eastAsia="en-US"/>
        </w:rPr>
        <w:t xml:space="preserve">November 2022 to February </w:t>
      </w:r>
      <w:r w:rsidR="00CB0388" w:rsidRPr="003B388A">
        <w:rPr>
          <w:rFonts w:ascii="Times New Roman" w:hAnsi="Times New Roman"/>
          <w:b w:val="0"/>
          <w:sz w:val="24"/>
          <w:szCs w:val="24"/>
          <w:lang w:val="en-GB" w:eastAsia="en-US"/>
        </w:rPr>
        <w:t>2023</w:t>
      </w:r>
      <w:r w:rsidRPr="003B388A">
        <w:rPr>
          <w:rFonts w:ascii="Times New Roman" w:hAnsi="Times New Roman"/>
          <w:b w:val="0"/>
          <w:sz w:val="24"/>
          <w:szCs w:val="24"/>
          <w:lang w:val="en-GB" w:eastAsia="en-US"/>
        </w:rPr>
        <w:t>.</w:t>
      </w:r>
      <w:r w:rsidR="00055E08" w:rsidRPr="003B388A">
        <w:rPr>
          <w:rStyle w:val="FootnoteReference"/>
          <w:rFonts w:ascii="Times New Roman" w:hAnsi="Times New Roman"/>
          <w:b w:val="0"/>
          <w:sz w:val="24"/>
          <w:szCs w:val="24"/>
          <w:lang w:val="en-GB" w:eastAsia="en-US"/>
        </w:rPr>
        <w:footnoteReference w:id="3"/>
      </w:r>
      <w:r w:rsidRPr="003B388A">
        <w:rPr>
          <w:rFonts w:ascii="Times New Roman" w:hAnsi="Times New Roman"/>
          <w:b w:val="0"/>
          <w:sz w:val="24"/>
          <w:szCs w:val="24"/>
          <w:lang w:val="en-GB" w:eastAsia="en-US"/>
        </w:rPr>
        <w:t xml:space="preserve"> </w:t>
      </w:r>
      <w:r w:rsidR="00747271" w:rsidRPr="003B388A">
        <w:rPr>
          <w:rFonts w:ascii="Times New Roman" w:hAnsi="Times New Roman"/>
          <w:b w:val="0"/>
          <w:sz w:val="24"/>
          <w:szCs w:val="24"/>
          <w:lang w:val="en-GB" w:eastAsia="en-US"/>
        </w:rPr>
        <w:t>Four s</w:t>
      </w:r>
      <w:r w:rsidR="00635B6C" w:rsidRPr="003B388A">
        <w:rPr>
          <w:rFonts w:ascii="Times New Roman" w:hAnsi="Times New Roman"/>
          <w:b w:val="0"/>
          <w:sz w:val="24"/>
          <w:szCs w:val="24"/>
          <w:lang w:val="en-GB" w:eastAsia="en-US"/>
        </w:rPr>
        <w:t>ubmissions were received</w:t>
      </w:r>
      <w:r w:rsidR="00747271" w:rsidRPr="003B388A">
        <w:rPr>
          <w:rFonts w:ascii="Times New Roman" w:hAnsi="Times New Roman"/>
          <w:b w:val="0"/>
          <w:sz w:val="24"/>
          <w:szCs w:val="24"/>
          <w:lang w:val="en-GB" w:eastAsia="en-US"/>
        </w:rPr>
        <w:t xml:space="preserve">. </w:t>
      </w:r>
      <w:r w:rsidR="00055E08" w:rsidRPr="003B388A">
        <w:rPr>
          <w:rFonts w:ascii="Times New Roman" w:hAnsi="Times New Roman"/>
          <w:b w:val="0"/>
          <w:sz w:val="24"/>
          <w:szCs w:val="24"/>
          <w:lang w:val="en-GB" w:eastAsia="en-US"/>
        </w:rPr>
        <w:t xml:space="preserve">APRA released a response to submissions on </w:t>
      </w:r>
      <w:r w:rsidR="007851AC" w:rsidRPr="003B388A">
        <w:rPr>
          <w:rFonts w:ascii="Times New Roman" w:hAnsi="Times New Roman"/>
          <w:b w:val="0"/>
          <w:sz w:val="24"/>
          <w:szCs w:val="24"/>
          <w:lang w:val="en-GB" w:eastAsia="en-US"/>
        </w:rPr>
        <w:t>19</w:t>
      </w:r>
      <w:r w:rsidR="00055E08" w:rsidRPr="003B388A">
        <w:rPr>
          <w:rFonts w:ascii="Times New Roman" w:hAnsi="Times New Roman"/>
          <w:b w:val="0"/>
          <w:sz w:val="24"/>
          <w:szCs w:val="24"/>
          <w:lang w:val="en-GB" w:eastAsia="en-US"/>
        </w:rPr>
        <w:t xml:space="preserve"> </w:t>
      </w:r>
      <w:r w:rsidR="006A6A15" w:rsidRPr="003B388A">
        <w:rPr>
          <w:rFonts w:ascii="Times New Roman" w:hAnsi="Times New Roman"/>
          <w:b w:val="0"/>
          <w:sz w:val="24"/>
          <w:szCs w:val="24"/>
          <w:lang w:val="en-GB" w:eastAsia="en-US"/>
        </w:rPr>
        <w:t xml:space="preserve">May </w:t>
      </w:r>
      <w:r w:rsidR="00055E08" w:rsidRPr="003B388A">
        <w:rPr>
          <w:rFonts w:ascii="Times New Roman" w:hAnsi="Times New Roman"/>
          <w:b w:val="0"/>
          <w:sz w:val="24"/>
          <w:szCs w:val="24"/>
          <w:lang w:val="en-GB" w:eastAsia="en-US"/>
        </w:rPr>
        <w:t>2023.</w:t>
      </w:r>
    </w:p>
    <w:p w14:paraId="6A63936A" w14:textId="77777777" w:rsidR="00055E08" w:rsidRPr="00055E08" w:rsidRDefault="00055E08" w:rsidP="00055E08">
      <w:pPr>
        <w:pStyle w:val="Heading"/>
        <w:rPr>
          <w:rFonts w:ascii="Times New Roman" w:hAnsi="Times New Roman"/>
          <w:b w:val="0"/>
          <w:sz w:val="24"/>
          <w:szCs w:val="24"/>
        </w:rPr>
      </w:pPr>
    </w:p>
    <w:p w14:paraId="321117B8" w14:textId="77777777" w:rsidR="002436BD" w:rsidRDefault="00DF524E" w:rsidP="003771F3">
      <w:pPr>
        <w:pStyle w:val="Heading"/>
        <w:tabs>
          <w:tab w:val="left" w:pos="360"/>
        </w:tabs>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9"/>
    <w:p w14:paraId="41ECD9BE" w14:textId="307E0DD8" w:rsidR="002436BD" w:rsidRDefault="004F09DF" w:rsidP="003B388A">
      <w:pPr>
        <w:pStyle w:val="Heading"/>
        <w:spacing w:before="240" w:after="240"/>
        <w:rPr>
          <w:rFonts w:ascii="Times New Roman" w:hAnsi="Times New Roman"/>
          <w:b w:val="0"/>
          <w:sz w:val="24"/>
          <w:szCs w:val="24"/>
        </w:rPr>
      </w:pPr>
      <w:r>
        <w:rPr>
          <w:rFonts w:ascii="Times New Roman" w:hAnsi="Times New Roman"/>
          <w:b w:val="0"/>
          <w:sz w:val="24"/>
          <w:szCs w:val="24"/>
        </w:rPr>
        <w:lastRenderedPageBreak/>
        <w:t xml:space="preserve">A Preliminary Assessment was submitted the Office of </w:t>
      </w:r>
      <w:r w:rsidR="00DF1A24">
        <w:rPr>
          <w:rFonts w:ascii="Times New Roman" w:hAnsi="Times New Roman"/>
          <w:b w:val="0"/>
          <w:sz w:val="24"/>
          <w:szCs w:val="24"/>
        </w:rPr>
        <w:t>Impact Analysis</w:t>
      </w:r>
      <w:r>
        <w:rPr>
          <w:rFonts w:ascii="Times New Roman" w:hAnsi="Times New Roman"/>
          <w:b w:val="0"/>
          <w:sz w:val="24"/>
          <w:szCs w:val="24"/>
        </w:rPr>
        <w:t xml:space="preserve"> who confirmed that a Regulation Impact Statement </w:t>
      </w:r>
      <w:r w:rsidR="00E94178">
        <w:rPr>
          <w:rFonts w:ascii="Times New Roman" w:hAnsi="Times New Roman"/>
          <w:b w:val="0"/>
          <w:sz w:val="24"/>
          <w:szCs w:val="24"/>
        </w:rPr>
        <w:t>i</w:t>
      </w:r>
      <w:r>
        <w:rPr>
          <w:rFonts w:ascii="Times New Roman" w:hAnsi="Times New Roman"/>
          <w:b w:val="0"/>
          <w:sz w:val="24"/>
          <w:szCs w:val="24"/>
        </w:rPr>
        <w:t xml:space="preserve">s not required. </w:t>
      </w:r>
    </w:p>
    <w:p w14:paraId="366A2FE1" w14:textId="77777777" w:rsidR="002436BD" w:rsidRPr="00B3165F" w:rsidRDefault="00DF524E" w:rsidP="003771F3">
      <w:pPr>
        <w:pStyle w:val="Heading"/>
        <w:tabs>
          <w:tab w:val="left" w:pos="360"/>
        </w:tabs>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22BBAD1F" w14:textId="77777777" w:rsidR="00B9109D" w:rsidRPr="00A11EA8" w:rsidRDefault="005B1CDA" w:rsidP="001B58CF">
      <w:pPr>
        <w:pStyle w:val="heading0"/>
      </w:pPr>
      <w:r w:rsidRPr="00A11EA8">
        <w:t xml:space="preserve">A Statement of compatibility prepared in accordance with Part 3 of the </w:t>
      </w:r>
      <w:r w:rsidRPr="00A11EA8">
        <w:rPr>
          <w:i/>
        </w:rPr>
        <w:t>Human Rights (Parliamentary Scrutiny) Act 2011</w:t>
      </w:r>
      <w:r w:rsidRPr="00A11EA8">
        <w:t xml:space="preserve"> is provided at Attachment A to this Explanatory Statement.</w:t>
      </w:r>
    </w:p>
    <w:p w14:paraId="14ED44B3" w14:textId="77777777" w:rsidR="00B9109D" w:rsidRDefault="00B9109D">
      <w:pPr>
        <w:rPr>
          <w:rFonts w:ascii="Times New Roman" w:hAnsi="Times New Roman"/>
          <w:b/>
          <w:sz w:val="24"/>
          <w:szCs w:val="24"/>
        </w:rPr>
      </w:pPr>
      <w:r>
        <w:rPr>
          <w:b/>
        </w:rPr>
        <w:br w:type="page"/>
      </w:r>
    </w:p>
    <w:p w14:paraId="6D71309C" w14:textId="77777777" w:rsidR="005B1CDA" w:rsidRPr="00D8647B" w:rsidRDefault="005B1CDA" w:rsidP="00D12261">
      <w:pPr>
        <w:pStyle w:val="heading0"/>
        <w:rPr>
          <w:b/>
        </w:rPr>
      </w:pPr>
      <w:r w:rsidRPr="00D8647B">
        <w:rPr>
          <w:b/>
        </w:rPr>
        <w:lastRenderedPageBreak/>
        <w:t xml:space="preserve">Attachment A </w:t>
      </w:r>
    </w:p>
    <w:p w14:paraId="2A62C99C" w14:textId="77777777" w:rsidR="005B1CDA" w:rsidRPr="00DA192B" w:rsidRDefault="005B1CDA" w:rsidP="001B58CF">
      <w:pPr>
        <w:pStyle w:val="heading0"/>
        <w:jc w:val="center"/>
        <w:rPr>
          <w:b/>
        </w:rPr>
      </w:pPr>
      <w:r w:rsidRPr="00DA192B">
        <w:rPr>
          <w:b/>
        </w:rPr>
        <w:t>Statement of Compatibility with Human Rights</w:t>
      </w:r>
    </w:p>
    <w:p w14:paraId="2ADD1FBE" w14:textId="77777777" w:rsidR="005B1CDA" w:rsidRPr="00DA192B" w:rsidRDefault="005B1CDA" w:rsidP="00A23D91">
      <w:pPr>
        <w:pStyle w:val="heading0"/>
        <w:jc w:val="center"/>
        <w:rPr>
          <w:i/>
        </w:rPr>
      </w:pPr>
      <w:r w:rsidRPr="00DA192B">
        <w:rPr>
          <w:i/>
        </w:rPr>
        <w:t>Prepared in accordance with Part 3 of the Human Rights (Parliamentary Scrutiny) Act 2011</w:t>
      </w:r>
    </w:p>
    <w:p w14:paraId="00178D1A" w14:textId="67B1FFBE" w:rsidR="00594FBC" w:rsidRPr="00B9109D" w:rsidRDefault="00594FBC" w:rsidP="00A23D91">
      <w:pPr>
        <w:pStyle w:val="heading0"/>
        <w:jc w:val="both"/>
      </w:pPr>
      <w:r w:rsidRPr="00B9109D">
        <w:rPr>
          <w:b/>
        </w:rPr>
        <w:t xml:space="preserve">Banking (prudential standard) determination </w:t>
      </w:r>
      <w:r w:rsidRPr="003B388A">
        <w:rPr>
          <w:b/>
        </w:rPr>
        <w:t xml:space="preserve">No. </w:t>
      </w:r>
      <w:r w:rsidR="00B968CB" w:rsidRPr="003B388A">
        <w:rPr>
          <w:b/>
        </w:rPr>
        <w:t>3</w:t>
      </w:r>
      <w:r w:rsidR="002F2DA7" w:rsidRPr="003B388A">
        <w:rPr>
          <w:b/>
        </w:rPr>
        <w:t xml:space="preserve"> </w:t>
      </w:r>
      <w:r w:rsidRPr="003B388A">
        <w:rPr>
          <w:b/>
        </w:rPr>
        <w:t>of 20</w:t>
      </w:r>
      <w:r w:rsidR="002F2DA7" w:rsidRPr="003B388A">
        <w:rPr>
          <w:b/>
        </w:rPr>
        <w:t>23</w:t>
      </w:r>
    </w:p>
    <w:p w14:paraId="228CC017" w14:textId="45E27483" w:rsidR="005B1CDA" w:rsidRPr="00DA192B" w:rsidRDefault="002F2DA7" w:rsidP="00A23D91">
      <w:pPr>
        <w:pStyle w:val="heading0"/>
        <w:jc w:val="both"/>
        <w:rPr>
          <w:i/>
        </w:rPr>
      </w:pPr>
      <w:r>
        <w:t xml:space="preserve">This legislative instrument is </w:t>
      </w:r>
      <w:r w:rsidR="005B1CDA" w:rsidRPr="00DA192B">
        <w:t xml:space="preserve">compatible with the human rights and freedoms recognised or declared in the international instruments listed in section 3 of the </w:t>
      </w:r>
      <w:r w:rsidR="005B1CDA" w:rsidRPr="00DA192B">
        <w:rPr>
          <w:i/>
        </w:rPr>
        <w:t>Human Rights (Parliamentary Scrutiny) Act 2011</w:t>
      </w:r>
      <w:r w:rsidR="00747271">
        <w:rPr>
          <w:i/>
        </w:rPr>
        <w:t xml:space="preserve"> </w:t>
      </w:r>
      <w:r w:rsidR="00747271">
        <w:t>(HRPS Act)</w:t>
      </w:r>
      <w:r w:rsidR="005B1CDA" w:rsidRPr="00DA192B">
        <w:rPr>
          <w:i/>
        </w:rPr>
        <w:t>.</w:t>
      </w:r>
    </w:p>
    <w:p w14:paraId="0CB1FB31" w14:textId="77777777" w:rsidR="005B1CDA" w:rsidRDefault="005B1CDA" w:rsidP="00A23D91">
      <w:pPr>
        <w:pStyle w:val="heading0"/>
        <w:jc w:val="both"/>
        <w:rPr>
          <w:b/>
        </w:rPr>
      </w:pPr>
      <w:r w:rsidRPr="00740541">
        <w:rPr>
          <w:b/>
        </w:rPr>
        <w:t>Overview of the Legislative Instrument</w:t>
      </w:r>
    </w:p>
    <w:p w14:paraId="7D107FEE" w14:textId="1002BF3A" w:rsidR="00A23D91" w:rsidRDefault="00A23D91" w:rsidP="00A23D91">
      <w:pPr>
        <w:pStyle w:val="heading0"/>
        <w:jc w:val="both"/>
      </w:pPr>
      <w:r>
        <w:t xml:space="preserve">The purpose of the instrument is to revoke </w:t>
      </w:r>
      <w:r w:rsidR="00B90D6D">
        <w:t xml:space="preserve">existing </w:t>
      </w:r>
      <w:r>
        <w:rPr>
          <w:i/>
        </w:rPr>
        <w:t xml:space="preserve">Prudential Standard APS 610 Prudential Requirements for Providers of Purchased Payment Facilities </w:t>
      </w:r>
      <w:r>
        <w:t xml:space="preserve">determined by APRA in 2014 and replace it with a new </w:t>
      </w:r>
      <w:r>
        <w:rPr>
          <w:i/>
        </w:rPr>
        <w:t xml:space="preserve">Prudential Standard APS 610 Prudential Requirements for Providers of Purchased Payment Facilities </w:t>
      </w:r>
      <w:r>
        <w:t xml:space="preserve">(new APS 610). </w:t>
      </w:r>
    </w:p>
    <w:p w14:paraId="0E6750F9" w14:textId="59B5A33E" w:rsidR="00A23D91" w:rsidRPr="00A23D91" w:rsidRDefault="00B90D6D" w:rsidP="00A23D91">
      <w:pPr>
        <w:pStyle w:val="heading0"/>
        <w:jc w:val="both"/>
      </w:pPr>
      <w:r>
        <w:t>The n</w:t>
      </w:r>
      <w:r w:rsidR="00A23D91">
        <w:t>ew APS 610 sets out new capital requirements for providers of purchased payment facilities, to align with the approach with other APRA-regulated industries.</w:t>
      </w:r>
    </w:p>
    <w:p w14:paraId="5ECDC0B0" w14:textId="77777777" w:rsidR="005B1CDA" w:rsidRDefault="005B1CDA" w:rsidP="00A23D91">
      <w:pPr>
        <w:pStyle w:val="heading0"/>
        <w:jc w:val="both"/>
        <w:rPr>
          <w:b/>
        </w:rPr>
      </w:pPr>
      <w:r>
        <w:rPr>
          <w:b/>
        </w:rPr>
        <w:t>Human rights implications</w:t>
      </w:r>
    </w:p>
    <w:p w14:paraId="1666070B" w14:textId="732C5664" w:rsidR="005B1CDA" w:rsidRDefault="005B1CDA" w:rsidP="00A23D91">
      <w:pPr>
        <w:pStyle w:val="heading0"/>
        <w:jc w:val="both"/>
      </w:pPr>
      <w:r>
        <w:t xml:space="preserve">APRA has assessed </w:t>
      </w:r>
      <w:r w:rsidR="00A23D91">
        <w:t xml:space="preserve">the </w:t>
      </w:r>
      <w:r w:rsidR="00A11EA8">
        <w:t>i</w:t>
      </w:r>
      <w:r>
        <w:t xml:space="preserve">nstrument and is of the view that </w:t>
      </w:r>
      <w:r w:rsidR="00744539">
        <w:t>it</w:t>
      </w:r>
      <w:r w:rsidR="00203935">
        <w:t xml:space="preserve"> do</w:t>
      </w:r>
      <w:r w:rsidR="00744539">
        <w:t>es</w:t>
      </w:r>
      <w:r>
        <w:t xml:space="preserve"> not engage any of the applicable rights or freedoms recognised or declared in the international instruments listed in section 3 of the</w:t>
      </w:r>
      <w:r w:rsidR="00747271">
        <w:t xml:space="preserve"> HRPS Act</w:t>
      </w:r>
      <w:r>
        <w:t xml:space="preserve">. Accordingly, in APRA’s assessment, the instrument </w:t>
      </w:r>
      <w:r w:rsidR="00747271">
        <w:t>is</w:t>
      </w:r>
      <w:r>
        <w:t xml:space="preserve"> compatible with human rights. </w:t>
      </w:r>
    </w:p>
    <w:p w14:paraId="6328E213" w14:textId="77777777" w:rsidR="005B1CDA" w:rsidRDefault="005B1CDA" w:rsidP="00A23D91">
      <w:pPr>
        <w:pStyle w:val="heading0"/>
        <w:jc w:val="both"/>
        <w:rPr>
          <w:b/>
        </w:rPr>
      </w:pPr>
      <w:r>
        <w:rPr>
          <w:b/>
        </w:rPr>
        <w:t>Conclusion</w:t>
      </w:r>
    </w:p>
    <w:p w14:paraId="3275CBC5" w14:textId="35D1EF52" w:rsidR="00E617B2" w:rsidRDefault="005B1CDA" w:rsidP="00A23D91">
      <w:pPr>
        <w:pStyle w:val="heading0"/>
        <w:jc w:val="both"/>
      </w:pPr>
      <w:r>
        <w:t>Th</w:t>
      </w:r>
      <w:r w:rsidR="004F4B36">
        <w:t>e</w:t>
      </w:r>
      <w:r>
        <w:t xml:space="preserve"> </w:t>
      </w:r>
      <w:r w:rsidR="00A11EA8">
        <w:t>i</w:t>
      </w:r>
      <w:r>
        <w:t xml:space="preserve">nstrument </w:t>
      </w:r>
      <w:r w:rsidR="00747271">
        <w:t>is</w:t>
      </w:r>
      <w:r>
        <w:t xml:space="preserve"> compatible with human rights as </w:t>
      </w:r>
      <w:r w:rsidR="00747271">
        <w:t>it</w:t>
      </w:r>
      <w:r w:rsidR="004F4B36">
        <w:t xml:space="preserve"> </w:t>
      </w:r>
      <w:r>
        <w:t>do</w:t>
      </w:r>
      <w:r w:rsidR="00747271">
        <w:t>es</w:t>
      </w:r>
      <w:r>
        <w:t xml:space="preserve"> not raise any human rights issues.</w:t>
      </w:r>
    </w:p>
    <w:sectPr w:rsidR="00E617B2" w:rsidSect="003D5032">
      <w:headerReference w:type="even" r:id="rId12"/>
      <w:headerReference w:type="default" r:id="rId13"/>
      <w:footerReference w:type="even" r:id="rId14"/>
      <w:footerReference w:type="default" r:id="rId15"/>
      <w:headerReference w:type="first" r:id="rId16"/>
      <w:footerReference w:type="first" r:id="rId17"/>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5512" w14:textId="77777777" w:rsidR="00F41ADD" w:rsidRDefault="00F41ADD" w:rsidP="00E617B2">
      <w:r>
        <w:separator/>
      </w:r>
    </w:p>
  </w:endnote>
  <w:endnote w:type="continuationSeparator" w:id="0">
    <w:p w14:paraId="4DFFDE2F" w14:textId="77777777" w:rsidR="00F41ADD" w:rsidRDefault="00F41ADD" w:rsidP="00E617B2">
      <w:r>
        <w:continuationSeparator/>
      </w:r>
    </w:p>
  </w:endnote>
  <w:endnote w:type="continuationNotice" w:id="1">
    <w:p w14:paraId="2BB6C890" w14:textId="77777777" w:rsidR="0076198D" w:rsidRDefault="00761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16BC" w14:textId="77777777" w:rsidR="005B1CDA" w:rsidRDefault="005B1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1ABF73E9" w14:textId="77777777" w:rsidR="005B1CDA" w:rsidRPr="00D85E77" w:rsidRDefault="005B1CDA" w:rsidP="0051245C">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CA1910">
          <w:rPr>
            <w:rFonts w:ascii="Times New Roman" w:hAnsi="Times New Roman"/>
            <w:bCs/>
            <w:noProof/>
            <w:sz w:val="24"/>
            <w:szCs w:val="24"/>
          </w:rPr>
          <w:t>6</w:t>
        </w:r>
        <w:r w:rsidRPr="00D85E77">
          <w:rPr>
            <w:rFonts w:ascii="Times New Roman" w:hAnsi="Times New Roman"/>
            <w:bCs/>
            <w:sz w:val="24"/>
            <w:szCs w:val="24"/>
          </w:rPr>
          <w:fldChar w:fldCharType="end"/>
        </w:r>
      </w:p>
    </w:sdtContent>
  </w:sdt>
  <w:p w14:paraId="3DCE753B" w14:textId="77777777" w:rsidR="005B1CDA" w:rsidRDefault="005B1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3657" w14:textId="77777777" w:rsidR="005B1CDA" w:rsidRDefault="005B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5BB8" w14:textId="77777777" w:rsidR="00F41ADD" w:rsidRDefault="00F41ADD" w:rsidP="00E617B2">
      <w:r>
        <w:separator/>
      </w:r>
    </w:p>
  </w:footnote>
  <w:footnote w:type="continuationSeparator" w:id="0">
    <w:p w14:paraId="267EC372" w14:textId="77777777" w:rsidR="00F41ADD" w:rsidRDefault="00F41ADD" w:rsidP="00E617B2">
      <w:r>
        <w:continuationSeparator/>
      </w:r>
    </w:p>
  </w:footnote>
  <w:footnote w:type="continuationNotice" w:id="1">
    <w:p w14:paraId="31B818E4" w14:textId="77777777" w:rsidR="0076198D" w:rsidRDefault="0076198D"/>
  </w:footnote>
  <w:footnote w:id="2">
    <w:p w14:paraId="5FC0F671" w14:textId="77777777" w:rsidR="004A0AE8" w:rsidRPr="00424934" w:rsidRDefault="004A0AE8" w:rsidP="004A0AE8">
      <w:pPr>
        <w:pStyle w:val="FootnoteText"/>
      </w:pPr>
      <w:r w:rsidRPr="001E4AB6">
        <w:rPr>
          <w:rStyle w:val="FootnoteReference"/>
        </w:rPr>
        <w:footnoteRef/>
      </w:r>
      <w:r w:rsidRPr="001E4AB6">
        <w:t xml:space="preserve"> </w:t>
      </w:r>
      <w:r w:rsidRPr="00424934">
        <w:t>Subsection 9A(4) of the Act specifically provides that APRA does not need to consult where APRA is satisfied that doing so could result in a delay in revocation that would be:</w:t>
      </w:r>
    </w:p>
    <w:p w14:paraId="08BB3F9F" w14:textId="77777777" w:rsidR="004A0AE8" w:rsidRPr="00424934" w:rsidRDefault="004A0AE8" w:rsidP="004A0AE8">
      <w:pPr>
        <w:pStyle w:val="FootnoteText"/>
        <w:numPr>
          <w:ilvl w:val="0"/>
          <w:numId w:val="20"/>
        </w:numPr>
        <w:ind w:left="360"/>
        <w:jc w:val="left"/>
      </w:pPr>
      <w:r w:rsidRPr="00424934">
        <w:t>contrary to the national interest; or</w:t>
      </w:r>
    </w:p>
    <w:p w14:paraId="12845FD3" w14:textId="77777777" w:rsidR="004A0AE8" w:rsidRPr="00424934" w:rsidRDefault="004A0AE8" w:rsidP="004A0AE8">
      <w:pPr>
        <w:pStyle w:val="FootnoteText"/>
        <w:numPr>
          <w:ilvl w:val="0"/>
          <w:numId w:val="20"/>
        </w:numPr>
        <w:ind w:left="360"/>
        <w:jc w:val="left"/>
      </w:pPr>
      <w:r w:rsidRPr="00424934">
        <w:t>contrary to the interests of depositors with the ADI.</w:t>
      </w:r>
    </w:p>
  </w:footnote>
  <w:footnote w:id="3">
    <w:p w14:paraId="38A4D56C" w14:textId="19C94D68" w:rsidR="00055E08" w:rsidRDefault="00055E08">
      <w:pPr>
        <w:pStyle w:val="FootnoteText"/>
      </w:pPr>
      <w:r>
        <w:rPr>
          <w:rStyle w:val="FootnoteReference"/>
        </w:rPr>
        <w:footnoteRef/>
      </w:r>
      <w:r>
        <w:t xml:space="preserve"> Refer to: </w:t>
      </w:r>
      <w:hyperlink r:id="rId1" w:history="1">
        <w:r w:rsidRPr="00AB0729">
          <w:rPr>
            <w:rStyle w:val="Hyperlink"/>
          </w:rPr>
          <w:t>https://www.apra.gov.au/consultation-on-minimum-capital-requirements-for-ppf-providers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BB46" w14:textId="77777777" w:rsidR="005B1CDA" w:rsidRDefault="005B1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5AB2" w14:textId="77777777" w:rsidR="005B1CDA" w:rsidRDefault="005B1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C3B4" w14:textId="77777777" w:rsidR="005B1CDA" w:rsidRDefault="005B1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1BB"/>
    <w:multiLevelType w:val="hybridMultilevel"/>
    <w:tmpl w:val="066C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B33673F"/>
    <w:multiLevelType w:val="hybridMultilevel"/>
    <w:tmpl w:val="39947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A81249"/>
    <w:multiLevelType w:val="hybridMultilevel"/>
    <w:tmpl w:val="EE4459DA"/>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BF12EE3"/>
    <w:multiLevelType w:val="hybridMultilevel"/>
    <w:tmpl w:val="F2A2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04899"/>
    <w:multiLevelType w:val="hybridMultilevel"/>
    <w:tmpl w:val="691CCA5C"/>
    <w:lvl w:ilvl="0" w:tplc="CBEEE58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0EF1E66"/>
    <w:multiLevelType w:val="hybridMultilevel"/>
    <w:tmpl w:val="D2E646E4"/>
    <w:lvl w:ilvl="0" w:tplc="6604337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73137"/>
    <w:multiLevelType w:val="hybridMultilevel"/>
    <w:tmpl w:val="9016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022BC2"/>
    <w:multiLevelType w:val="hybridMultilevel"/>
    <w:tmpl w:val="D228E4B4"/>
    <w:lvl w:ilvl="0" w:tplc="17706FA4">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D40B8"/>
    <w:multiLevelType w:val="hybridMultilevel"/>
    <w:tmpl w:val="220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CF5B70"/>
    <w:multiLevelType w:val="hybridMultilevel"/>
    <w:tmpl w:val="5B32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393E71"/>
    <w:multiLevelType w:val="hybridMultilevel"/>
    <w:tmpl w:val="5E32F7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65649C"/>
    <w:multiLevelType w:val="hybridMultilevel"/>
    <w:tmpl w:val="1528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86706"/>
    <w:multiLevelType w:val="hybridMultilevel"/>
    <w:tmpl w:val="42D2F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7161F4"/>
    <w:multiLevelType w:val="hybridMultilevel"/>
    <w:tmpl w:val="1D56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DA3D61"/>
    <w:multiLevelType w:val="hybridMultilevel"/>
    <w:tmpl w:val="842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9" w15:restartNumberingAfterBreak="0">
    <w:nsid w:val="69704B96"/>
    <w:multiLevelType w:val="hybridMultilevel"/>
    <w:tmpl w:val="46884B5A"/>
    <w:lvl w:ilvl="0" w:tplc="6604337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86B43"/>
    <w:multiLevelType w:val="hybridMultilevel"/>
    <w:tmpl w:val="62F6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626692">
    <w:abstractNumId w:val="13"/>
  </w:num>
  <w:num w:numId="2" w16cid:durableId="1861240235">
    <w:abstractNumId w:val="3"/>
  </w:num>
  <w:num w:numId="3" w16cid:durableId="205144118">
    <w:abstractNumId w:val="17"/>
  </w:num>
  <w:num w:numId="4" w16cid:durableId="971902158">
    <w:abstractNumId w:val="2"/>
  </w:num>
  <w:num w:numId="5" w16cid:durableId="809907151">
    <w:abstractNumId w:val="11"/>
  </w:num>
  <w:num w:numId="6" w16cid:durableId="1996176062">
    <w:abstractNumId w:val="5"/>
  </w:num>
  <w:num w:numId="7" w16cid:durableId="1685394896">
    <w:abstractNumId w:val="8"/>
  </w:num>
  <w:num w:numId="8" w16cid:durableId="1868836447">
    <w:abstractNumId w:val="20"/>
  </w:num>
  <w:num w:numId="9" w16cid:durableId="2075197615">
    <w:abstractNumId w:val="10"/>
  </w:num>
  <w:num w:numId="10" w16cid:durableId="1394502840">
    <w:abstractNumId w:val="9"/>
  </w:num>
  <w:num w:numId="11" w16cid:durableId="1475754004">
    <w:abstractNumId w:val="0"/>
  </w:num>
  <w:num w:numId="12" w16cid:durableId="824053670">
    <w:abstractNumId w:val="14"/>
  </w:num>
  <w:num w:numId="13" w16cid:durableId="1669282260">
    <w:abstractNumId w:val="4"/>
  </w:num>
  <w:num w:numId="14" w16cid:durableId="1975599868">
    <w:abstractNumId w:val="7"/>
  </w:num>
  <w:num w:numId="15" w16cid:durableId="641498103">
    <w:abstractNumId w:val="16"/>
  </w:num>
  <w:num w:numId="16" w16cid:durableId="985670173">
    <w:abstractNumId w:val="19"/>
  </w:num>
  <w:num w:numId="17" w16cid:durableId="2026899789">
    <w:abstractNumId w:val="6"/>
  </w:num>
  <w:num w:numId="18" w16cid:durableId="302085408">
    <w:abstractNumId w:val="15"/>
  </w:num>
  <w:num w:numId="19" w16cid:durableId="1778600485">
    <w:abstractNumId w:val="12"/>
  </w:num>
  <w:num w:numId="20" w16cid:durableId="1021276614">
    <w:abstractNumId w:val="1"/>
  </w:num>
  <w:num w:numId="21" w16cid:durableId="1076999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BD"/>
    <w:rsid w:val="000116A6"/>
    <w:rsid w:val="00026087"/>
    <w:rsid w:val="0002667E"/>
    <w:rsid w:val="00055E08"/>
    <w:rsid w:val="000565E9"/>
    <w:rsid w:val="00057378"/>
    <w:rsid w:val="00080DE1"/>
    <w:rsid w:val="000B2DE5"/>
    <w:rsid w:val="000B703B"/>
    <w:rsid w:val="000C1FC5"/>
    <w:rsid w:val="000D4421"/>
    <w:rsid w:val="000D7FA5"/>
    <w:rsid w:val="000E369C"/>
    <w:rsid w:val="000F73ED"/>
    <w:rsid w:val="000F7E64"/>
    <w:rsid w:val="001133B2"/>
    <w:rsid w:val="001141C7"/>
    <w:rsid w:val="00133431"/>
    <w:rsid w:val="00134D1D"/>
    <w:rsid w:val="00136A4E"/>
    <w:rsid w:val="001447E2"/>
    <w:rsid w:val="001504C8"/>
    <w:rsid w:val="001516C2"/>
    <w:rsid w:val="00153261"/>
    <w:rsid w:val="00160DDD"/>
    <w:rsid w:val="001804E8"/>
    <w:rsid w:val="00182FA1"/>
    <w:rsid w:val="001A4EFF"/>
    <w:rsid w:val="001B1867"/>
    <w:rsid w:val="001B58CF"/>
    <w:rsid w:val="001D7368"/>
    <w:rsid w:val="001E2641"/>
    <w:rsid w:val="001E750E"/>
    <w:rsid w:val="00203935"/>
    <w:rsid w:val="0020605F"/>
    <w:rsid w:val="00207E12"/>
    <w:rsid w:val="00210393"/>
    <w:rsid w:val="00216449"/>
    <w:rsid w:val="00234207"/>
    <w:rsid w:val="002436BD"/>
    <w:rsid w:val="00246723"/>
    <w:rsid w:val="00280704"/>
    <w:rsid w:val="00294D26"/>
    <w:rsid w:val="00296D2B"/>
    <w:rsid w:val="002A73BD"/>
    <w:rsid w:val="002A7F6A"/>
    <w:rsid w:val="002F2DA7"/>
    <w:rsid w:val="002F7092"/>
    <w:rsid w:val="00304C08"/>
    <w:rsid w:val="00322EBC"/>
    <w:rsid w:val="00333C85"/>
    <w:rsid w:val="003465FD"/>
    <w:rsid w:val="00351C82"/>
    <w:rsid w:val="00352982"/>
    <w:rsid w:val="00370575"/>
    <w:rsid w:val="003771F3"/>
    <w:rsid w:val="003A42E4"/>
    <w:rsid w:val="003B388A"/>
    <w:rsid w:val="003C780E"/>
    <w:rsid w:val="003D5032"/>
    <w:rsid w:val="003D6E3E"/>
    <w:rsid w:val="003F246A"/>
    <w:rsid w:val="00432BB0"/>
    <w:rsid w:val="00435ED5"/>
    <w:rsid w:val="00443A02"/>
    <w:rsid w:val="00445AC2"/>
    <w:rsid w:val="00450850"/>
    <w:rsid w:val="00457B08"/>
    <w:rsid w:val="004A0AE8"/>
    <w:rsid w:val="004A3F02"/>
    <w:rsid w:val="004C3D07"/>
    <w:rsid w:val="004E6D61"/>
    <w:rsid w:val="004F09DF"/>
    <w:rsid w:val="004F4B36"/>
    <w:rsid w:val="0051245C"/>
    <w:rsid w:val="0051565F"/>
    <w:rsid w:val="005170F9"/>
    <w:rsid w:val="00544BCB"/>
    <w:rsid w:val="005457E4"/>
    <w:rsid w:val="0056141D"/>
    <w:rsid w:val="00567401"/>
    <w:rsid w:val="00570116"/>
    <w:rsid w:val="00594FBC"/>
    <w:rsid w:val="005A0CC2"/>
    <w:rsid w:val="005B0A95"/>
    <w:rsid w:val="005B18BF"/>
    <w:rsid w:val="005B1CDA"/>
    <w:rsid w:val="005D2AB6"/>
    <w:rsid w:val="005D7ACC"/>
    <w:rsid w:val="005E5910"/>
    <w:rsid w:val="00601C9E"/>
    <w:rsid w:val="006021F2"/>
    <w:rsid w:val="00606983"/>
    <w:rsid w:val="00607C17"/>
    <w:rsid w:val="00610A76"/>
    <w:rsid w:val="00622480"/>
    <w:rsid w:val="00627A85"/>
    <w:rsid w:val="0063280E"/>
    <w:rsid w:val="00635B6C"/>
    <w:rsid w:val="00647D58"/>
    <w:rsid w:val="00657678"/>
    <w:rsid w:val="00662B87"/>
    <w:rsid w:val="00665533"/>
    <w:rsid w:val="00684F73"/>
    <w:rsid w:val="0068695E"/>
    <w:rsid w:val="006A29AF"/>
    <w:rsid w:val="006A6A15"/>
    <w:rsid w:val="006C2F24"/>
    <w:rsid w:val="006D5593"/>
    <w:rsid w:val="006F6FEF"/>
    <w:rsid w:val="007031F4"/>
    <w:rsid w:val="00714B71"/>
    <w:rsid w:val="00716212"/>
    <w:rsid w:val="00724168"/>
    <w:rsid w:val="007368AD"/>
    <w:rsid w:val="00744539"/>
    <w:rsid w:val="00747271"/>
    <w:rsid w:val="00747AFF"/>
    <w:rsid w:val="007535FC"/>
    <w:rsid w:val="0075710A"/>
    <w:rsid w:val="0076198D"/>
    <w:rsid w:val="007851AC"/>
    <w:rsid w:val="00785CDC"/>
    <w:rsid w:val="00791E6E"/>
    <w:rsid w:val="007A30FE"/>
    <w:rsid w:val="007B702C"/>
    <w:rsid w:val="007C7C72"/>
    <w:rsid w:val="007D12A0"/>
    <w:rsid w:val="007E4B2A"/>
    <w:rsid w:val="007F4406"/>
    <w:rsid w:val="00822AE4"/>
    <w:rsid w:val="00830245"/>
    <w:rsid w:val="00830B7D"/>
    <w:rsid w:val="00835444"/>
    <w:rsid w:val="008431B3"/>
    <w:rsid w:val="00846AE9"/>
    <w:rsid w:val="008509E6"/>
    <w:rsid w:val="00876305"/>
    <w:rsid w:val="00882D29"/>
    <w:rsid w:val="00885D18"/>
    <w:rsid w:val="008A5602"/>
    <w:rsid w:val="008B4518"/>
    <w:rsid w:val="009041F8"/>
    <w:rsid w:val="00910312"/>
    <w:rsid w:val="00924352"/>
    <w:rsid w:val="009262DE"/>
    <w:rsid w:val="00932EFA"/>
    <w:rsid w:val="00940F92"/>
    <w:rsid w:val="00950847"/>
    <w:rsid w:val="009531DE"/>
    <w:rsid w:val="0096030E"/>
    <w:rsid w:val="00961084"/>
    <w:rsid w:val="009725C5"/>
    <w:rsid w:val="0098386D"/>
    <w:rsid w:val="009A5858"/>
    <w:rsid w:val="009B6DFC"/>
    <w:rsid w:val="009B775A"/>
    <w:rsid w:val="009C1F5F"/>
    <w:rsid w:val="009C4A6E"/>
    <w:rsid w:val="009C5368"/>
    <w:rsid w:val="009C7E97"/>
    <w:rsid w:val="009E2BD3"/>
    <w:rsid w:val="009F4E29"/>
    <w:rsid w:val="00A01981"/>
    <w:rsid w:val="00A113D2"/>
    <w:rsid w:val="00A11517"/>
    <w:rsid w:val="00A11EA8"/>
    <w:rsid w:val="00A12E1F"/>
    <w:rsid w:val="00A17EC1"/>
    <w:rsid w:val="00A23D91"/>
    <w:rsid w:val="00A30170"/>
    <w:rsid w:val="00A4133B"/>
    <w:rsid w:val="00A47E64"/>
    <w:rsid w:val="00A63A2B"/>
    <w:rsid w:val="00A827B0"/>
    <w:rsid w:val="00A93DF9"/>
    <w:rsid w:val="00AC1F0F"/>
    <w:rsid w:val="00AC2517"/>
    <w:rsid w:val="00AC7A56"/>
    <w:rsid w:val="00AD3856"/>
    <w:rsid w:val="00AD4281"/>
    <w:rsid w:val="00AE098B"/>
    <w:rsid w:val="00AE5ADC"/>
    <w:rsid w:val="00AE6095"/>
    <w:rsid w:val="00AF15CC"/>
    <w:rsid w:val="00B04B20"/>
    <w:rsid w:val="00B246D7"/>
    <w:rsid w:val="00B33182"/>
    <w:rsid w:val="00B57BAC"/>
    <w:rsid w:val="00B63685"/>
    <w:rsid w:val="00B64B2E"/>
    <w:rsid w:val="00B713F5"/>
    <w:rsid w:val="00B73BA0"/>
    <w:rsid w:val="00B90D6D"/>
    <w:rsid w:val="00B9109D"/>
    <w:rsid w:val="00B930F9"/>
    <w:rsid w:val="00B935E1"/>
    <w:rsid w:val="00B93FD7"/>
    <w:rsid w:val="00B968CB"/>
    <w:rsid w:val="00BA1922"/>
    <w:rsid w:val="00BA3C4F"/>
    <w:rsid w:val="00BB1678"/>
    <w:rsid w:val="00BB17AE"/>
    <w:rsid w:val="00BB1F58"/>
    <w:rsid w:val="00BE72CA"/>
    <w:rsid w:val="00C23041"/>
    <w:rsid w:val="00C272DF"/>
    <w:rsid w:val="00C302FA"/>
    <w:rsid w:val="00C3432A"/>
    <w:rsid w:val="00C37326"/>
    <w:rsid w:val="00C37D19"/>
    <w:rsid w:val="00C42493"/>
    <w:rsid w:val="00C46FB7"/>
    <w:rsid w:val="00C5320A"/>
    <w:rsid w:val="00C61B21"/>
    <w:rsid w:val="00C67286"/>
    <w:rsid w:val="00C83F4B"/>
    <w:rsid w:val="00C85EAD"/>
    <w:rsid w:val="00C86E3E"/>
    <w:rsid w:val="00C948AA"/>
    <w:rsid w:val="00CA1910"/>
    <w:rsid w:val="00CA3FED"/>
    <w:rsid w:val="00CA6CB3"/>
    <w:rsid w:val="00CB0388"/>
    <w:rsid w:val="00CB08BD"/>
    <w:rsid w:val="00CC4809"/>
    <w:rsid w:val="00CD1947"/>
    <w:rsid w:val="00CD74CC"/>
    <w:rsid w:val="00CF12DF"/>
    <w:rsid w:val="00CF5B83"/>
    <w:rsid w:val="00D12261"/>
    <w:rsid w:val="00D12D91"/>
    <w:rsid w:val="00D13A66"/>
    <w:rsid w:val="00D17B97"/>
    <w:rsid w:val="00D34991"/>
    <w:rsid w:val="00D443F3"/>
    <w:rsid w:val="00D61CEB"/>
    <w:rsid w:val="00D64906"/>
    <w:rsid w:val="00D64A92"/>
    <w:rsid w:val="00D65051"/>
    <w:rsid w:val="00DA1244"/>
    <w:rsid w:val="00DA205D"/>
    <w:rsid w:val="00DB47DB"/>
    <w:rsid w:val="00DC0E20"/>
    <w:rsid w:val="00DF1A24"/>
    <w:rsid w:val="00DF524E"/>
    <w:rsid w:val="00E15497"/>
    <w:rsid w:val="00E16789"/>
    <w:rsid w:val="00E201A8"/>
    <w:rsid w:val="00E617B2"/>
    <w:rsid w:val="00E62122"/>
    <w:rsid w:val="00E644F0"/>
    <w:rsid w:val="00E7036E"/>
    <w:rsid w:val="00E72152"/>
    <w:rsid w:val="00E72DB8"/>
    <w:rsid w:val="00E7573F"/>
    <w:rsid w:val="00E8578B"/>
    <w:rsid w:val="00E90C89"/>
    <w:rsid w:val="00E94178"/>
    <w:rsid w:val="00E977FD"/>
    <w:rsid w:val="00E97988"/>
    <w:rsid w:val="00EB03E9"/>
    <w:rsid w:val="00EC0E16"/>
    <w:rsid w:val="00EC15DD"/>
    <w:rsid w:val="00EC1DFB"/>
    <w:rsid w:val="00EC4ABA"/>
    <w:rsid w:val="00EC5653"/>
    <w:rsid w:val="00ED0879"/>
    <w:rsid w:val="00ED2694"/>
    <w:rsid w:val="00ED65D6"/>
    <w:rsid w:val="00F00346"/>
    <w:rsid w:val="00F03176"/>
    <w:rsid w:val="00F15E43"/>
    <w:rsid w:val="00F26CB8"/>
    <w:rsid w:val="00F378EB"/>
    <w:rsid w:val="00F41ADD"/>
    <w:rsid w:val="00F4358D"/>
    <w:rsid w:val="00F436BC"/>
    <w:rsid w:val="00F53159"/>
    <w:rsid w:val="00F53CDE"/>
    <w:rsid w:val="00F72D45"/>
    <w:rsid w:val="00F7706D"/>
    <w:rsid w:val="00F77830"/>
    <w:rsid w:val="00F8106A"/>
    <w:rsid w:val="00F91BED"/>
    <w:rsid w:val="00F94480"/>
    <w:rsid w:val="00F94C1B"/>
    <w:rsid w:val="00FA5345"/>
    <w:rsid w:val="00FA7BD9"/>
    <w:rsid w:val="00FB5540"/>
    <w:rsid w:val="00FB60BA"/>
    <w:rsid w:val="00FC54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F68375"/>
  <w15:docId w15:val="{6C74F896-D44F-42C1-B65B-4BAE1BD3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basedOn w:val="DefaultParagraphFont"/>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basedOn w:val="DefaultParagraphFont"/>
    <w:unhideWhenUsed/>
    <w:rsid w:val="002436BD"/>
    <w:rPr>
      <w:sz w:val="16"/>
      <w:szCs w:val="16"/>
    </w:rPr>
  </w:style>
  <w:style w:type="paragraph" w:styleId="CommentText">
    <w:name w:val="annotation text"/>
    <w:basedOn w:val="Normal"/>
    <w:link w:val="CommentTextChar"/>
    <w:unhideWhenUsed/>
    <w:rsid w:val="002436BD"/>
    <w:rPr>
      <w:sz w:val="20"/>
    </w:rPr>
  </w:style>
  <w:style w:type="character" w:customStyle="1" w:styleId="CommentTextChar">
    <w:name w:val="Comment Text Char"/>
    <w:basedOn w:val="DefaultParagraphFont"/>
    <w:link w:val="CommentText"/>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basedOn w:val="CommentTextChar"/>
    <w:link w:val="CommentSubject"/>
    <w:uiPriority w:val="99"/>
    <w:semiHidden/>
    <w:rsid w:val="00B64B2E"/>
    <w:rPr>
      <w:rFonts w:ascii="Trebuchet MS" w:eastAsia="Times New Roman" w:hAnsi="Trebuchet MS" w:cs="Times New Roman"/>
      <w:b/>
      <w:bCs/>
      <w:sz w:val="20"/>
      <w:szCs w:val="20"/>
      <w:lang w:eastAsia="en-AU"/>
    </w:rPr>
  </w:style>
  <w:style w:type="character" w:styleId="Emphasis">
    <w:name w:val="Emphasis"/>
    <w:uiPriority w:val="20"/>
    <w:qFormat/>
    <w:rsid w:val="00280704"/>
    <w:rPr>
      <w:i/>
      <w:iCs/>
    </w:rPr>
  </w:style>
  <w:style w:type="paragraph" w:styleId="FootnoteText">
    <w:name w:val="footnote text"/>
    <w:aliases w:val=" Char,Char"/>
    <w:basedOn w:val="Normal"/>
    <w:link w:val="FootnoteTextChar"/>
    <w:uiPriority w:val="99"/>
    <w:rsid w:val="00E617B2"/>
    <w:pPr>
      <w:jc w:val="both"/>
    </w:pPr>
    <w:rPr>
      <w:rFonts w:ascii="Times New Roman" w:hAnsi="Times New Roman"/>
      <w:sz w:val="20"/>
    </w:rPr>
  </w:style>
  <w:style w:type="character" w:customStyle="1" w:styleId="FootnoteTextChar">
    <w:name w:val="Footnote Text Char"/>
    <w:aliases w:val=" Char Char,Char Char"/>
    <w:basedOn w:val="DefaultParagraphFont"/>
    <w:link w:val="FootnoteText"/>
    <w:uiPriority w:val="99"/>
    <w:rsid w:val="00E617B2"/>
    <w:rPr>
      <w:rFonts w:ascii="Times New Roman" w:eastAsia="Times New Roman" w:hAnsi="Times New Roman"/>
    </w:rPr>
  </w:style>
  <w:style w:type="character" w:styleId="FootnoteReference">
    <w:name w:val="footnote reference"/>
    <w:uiPriority w:val="99"/>
    <w:qFormat/>
    <w:rsid w:val="00E617B2"/>
    <w:rPr>
      <w:rFonts w:cs="Times New Roman"/>
      <w:vertAlign w:val="superscript"/>
    </w:rPr>
  </w:style>
  <w:style w:type="paragraph" w:styleId="Revision">
    <w:name w:val="Revision"/>
    <w:hidden/>
    <w:uiPriority w:val="99"/>
    <w:semiHidden/>
    <w:rsid w:val="00950847"/>
    <w:rPr>
      <w:rFonts w:ascii="Trebuchet MS" w:eastAsia="Times New Roman" w:hAnsi="Trebuchet MS"/>
      <w:sz w:val="22"/>
    </w:rPr>
  </w:style>
  <w:style w:type="paragraph" w:styleId="BodyText">
    <w:name w:val="Body Text"/>
    <w:basedOn w:val="Normal"/>
    <w:link w:val="BodyTextChar"/>
    <w:rsid w:val="005B1CDA"/>
    <w:pPr>
      <w:spacing w:after="240"/>
    </w:pPr>
    <w:rPr>
      <w:rFonts w:ascii="Times New Roman" w:hAnsi="Times New Roman"/>
      <w:sz w:val="24"/>
    </w:rPr>
  </w:style>
  <w:style w:type="character" w:customStyle="1" w:styleId="BodyTextChar">
    <w:name w:val="Body Text Char"/>
    <w:basedOn w:val="DefaultParagraphFont"/>
    <w:link w:val="BodyText"/>
    <w:rsid w:val="005B1CDA"/>
    <w:rPr>
      <w:rFonts w:ascii="Times New Roman" w:eastAsia="Times New Roman" w:hAnsi="Times New Roman"/>
      <w:sz w:val="24"/>
    </w:rPr>
  </w:style>
  <w:style w:type="paragraph" w:styleId="Title">
    <w:name w:val="Title"/>
    <w:basedOn w:val="Normal"/>
    <w:link w:val="TitleChar"/>
    <w:qFormat/>
    <w:rsid w:val="005B1CDA"/>
    <w:pPr>
      <w:jc w:val="center"/>
    </w:pPr>
    <w:rPr>
      <w:rFonts w:ascii="Times New Roman" w:hAnsi="Times New Roman"/>
      <w:b/>
      <w:sz w:val="24"/>
      <w:lang w:val="en-US"/>
    </w:rPr>
  </w:style>
  <w:style w:type="character" w:customStyle="1" w:styleId="TitleChar">
    <w:name w:val="Title Char"/>
    <w:basedOn w:val="DefaultParagraphFont"/>
    <w:link w:val="Title"/>
    <w:rsid w:val="005B1CDA"/>
    <w:rPr>
      <w:rFonts w:ascii="Times New Roman" w:eastAsia="Times New Roman" w:hAnsi="Times New Roman"/>
      <w:b/>
      <w:sz w:val="24"/>
      <w:lang w:val="en-US"/>
    </w:rPr>
  </w:style>
  <w:style w:type="paragraph" w:styleId="Header">
    <w:name w:val="header"/>
    <w:basedOn w:val="Normal"/>
    <w:link w:val="HeaderChar"/>
    <w:uiPriority w:val="99"/>
    <w:unhideWhenUsed/>
    <w:rsid w:val="005B1CDA"/>
    <w:pPr>
      <w:tabs>
        <w:tab w:val="center" w:pos="4513"/>
        <w:tab w:val="right" w:pos="9026"/>
      </w:tabs>
    </w:pPr>
  </w:style>
  <w:style w:type="character" w:customStyle="1" w:styleId="HeaderChar">
    <w:name w:val="Header Char"/>
    <w:basedOn w:val="DefaultParagraphFont"/>
    <w:link w:val="Header"/>
    <w:uiPriority w:val="99"/>
    <w:rsid w:val="005B1CDA"/>
    <w:rPr>
      <w:rFonts w:ascii="Trebuchet MS" w:eastAsia="Times New Roman" w:hAnsi="Trebuchet MS"/>
      <w:sz w:val="22"/>
    </w:rPr>
  </w:style>
  <w:style w:type="paragraph" w:styleId="Footer">
    <w:name w:val="footer"/>
    <w:basedOn w:val="Normal"/>
    <w:link w:val="FooterChar"/>
    <w:uiPriority w:val="99"/>
    <w:unhideWhenUsed/>
    <w:rsid w:val="005B1CDA"/>
    <w:pPr>
      <w:tabs>
        <w:tab w:val="center" w:pos="4513"/>
        <w:tab w:val="right" w:pos="9026"/>
      </w:tabs>
    </w:pPr>
  </w:style>
  <w:style w:type="character" w:customStyle="1" w:styleId="FooterChar">
    <w:name w:val="Footer Char"/>
    <w:basedOn w:val="DefaultParagraphFont"/>
    <w:link w:val="Footer"/>
    <w:uiPriority w:val="99"/>
    <w:rsid w:val="005B1CDA"/>
    <w:rPr>
      <w:rFonts w:ascii="Trebuchet MS" w:eastAsia="Times New Roman" w:hAnsi="Trebuchet MS"/>
      <w:sz w:val="22"/>
    </w:rPr>
  </w:style>
  <w:style w:type="paragraph" w:customStyle="1" w:styleId="heading0">
    <w:name w:val="heading"/>
    <w:basedOn w:val="Normal"/>
    <w:rsid w:val="00F8106A"/>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055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8119">
      <w:bodyDiv w:val="1"/>
      <w:marLeft w:val="0"/>
      <w:marRight w:val="0"/>
      <w:marTop w:val="0"/>
      <w:marBottom w:val="0"/>
      <w:divBdr>
        <w:top w:val="none" w:sz="0" w:space="0" w:color="auto"/>
        <w:left w:val="none" w:sz="0" w:space="0" w:color="auto"/>
        <w:bottom w:val="none" w:sz="0" w:space="0" w:color="auto"/>
        <w:right w:val="none" w:sz="0" w:space="0" w:color="auto"/>
      </w:divBdr>
    </w:div>
    <w:div w:id="1063288263">
      <w:bodyDiv w:val="1"/>
      <w:marLeft w:val="0"/>
      <w:marRight w:val="0"/>
      <w:marTop w:val="0"/>
      <w:marBottom w:val="0"/>
      <w:divBdr>
        <w:top w:val="none" w:sz="0" w:space="0" w:color="auto"/>
        <w:left w:val="none" w:sz="0" w:space="0" w:color="auto"/>
        <w:bottom w:val="none" w:sz="0" w:space="0" w:color="auto"/>
        <w:right w:val="none" w:sz="0" w:space="0" w:color="auto"/>
      </w:divBdr>
      <w:divsChild>
        <w:div w:id="2108038391">
          <w:marLeft w:val="0"/>
          <w:marRight w:val="0"/>
          <w:marTop w:val="0"/>
          <w:marBottom w:val="0"/>
          <w:divBdr>
            <w:top w:val="none" w:sz="0" w:space="0" w:color="auto"/>
            <w:left w:val="none" w:sz="0" w:space="0" w:color="auto"/>
            <w:bottom w:val="none" w:sz="0" w:space="0" w:color="auto"/>
            <w:right w:val="none" w:sz="0" w:space="0" w:color="auto"/>
          </w:divBdr>
          <w:divsChild>
            <w:div w:id="178541607">
              <w:marLeft w:val="0"/>
              <w:marRight w:val="0"/>
              <w:marTop w:val="0"/>
              <w:marBottom w:val="0"/>
              <w:divBdr>
                <w:top w:val="none" w:sz="0" w:space="0" w:color="auto"/>
                <w:left w:val="none" w:sz="0" w:space="0" w:color="auto"/>
                <w:bottom w:val="none" w:sz="0" w:space="0" w:color="auto"/>
                <w:right w:val="none" w:sz="0" w:space="0" w:color="auto"/>
              </w:divBdr>
              <w:divsChild>
                <w:div w:id="496727932">
                  <w:marLeft w:val="0"/>
                  <w:marRight w:val="0"/>
                  <w:marTop w:val="0"/>
                  <w:marBottom w:val="0"/>
                  <w:divBdr>
                    <w:top w:val="none" w:sz="0" w:space="0" w:color="auto"/>
                    <w:left w:val="none" w:sz="0" w:space="0" w:color="auto"/>
                    <w:bottom w:val="none" w:sz="0" w:space="0" w:color="auto"/>
                    <w:right w:val="none" w:sz="0" w:space="0" w:color="auto"/>
                  </w:divBdr>
                  <w:divsChild>
                    <w:div w:id="1750496762">
                      <w:marLeft w:val="0"/>
                      <w:marRight w:val="0"/>
                      <w:marTop w:val="0"/>
                      <w:marBottom w:val="0"/>
                      <w:divBdr>
                        <w:top w:val="none" w:sz="0" w:space="0" w:color="auto"/>
                        <w:left w:val="none" w:sz="0" w:space="0" w:color="auto"/>
                        <w:bottom w:val="none" w:sz="0" w:space="0" w:color="auto"/>
                        <w:right w:val="none" w:sz="0" w:space="0" w:color="auto"/>
                      </w:divBdr>
                      <w:divsChild>
                        <w:div w:id="338234285">
                          <w:marLeft w:val="0"/>
                          <w:marRight w:val="0"/>
                          <w:marTop w:val="0"/>
                          <w:marBottom w:val="0"/>
                          <w:divBdr>
                            <w:top w:val="single" w:sz="6" w:space="0" w:color="828282"/>
                            <w:left w:val="single" w:sz="6" w:space="0" w:color="828282"/>
                            <w:bottom w:val="single" w:sz="6" w:space="0" w:color="828282"/>
                            <w:right w:val="single" w:sz="6" w:space="0" w:color="828282"/>
                          </w:divBdr>
                          <w:divsChild>
                            <w:div w:id="1880584063">
                              <w:marLeft w:val="0"/>
                              <w:marRight w:val="0"/>
                              <w:marTop w:val="0"/>
                              <w:marBottom w:val="0"/>
                              <w:divBdr>
                                <w:top w:val="none" w:sz="0" w:space="0" w:color="auto"/>
                                <w:left w:val="none" w:sz="0" w:space="0" w:color="auto"/>
                                <w:bottom w:val="none" w:sz="0" w:space="0" w:color="auto"/>
                                <w:right w:val="none" w:sz="0" w:space="0" w:color="auto"/>
                              </w:divBdr>
                              <w:divsChild>
                                <w:div w:id="1922833506">
                                  <w:marLeft w:val="0"/>
                                  <w:marRight w:val="0"/>
                                  <w:marTop w:val="0"/>
                                  <w:marBottom w:val="0"/>
                                  <w:divBdr>
                                    <w:top w:val="none" w:sz="0" w:space="0" w:color="auto"/>
                                    <w:left w:val="none" w:sz="0" w:space="0" w:color="auto"/>
                                    <w:bottom w:val="none" w:sz="0" w:space="0" w:color="auto"/>
                                    <w:right w:val="none" w:sz="0" w:space="0" w:color="auto"/>
                                  </w:divBdr>
                                  <w:divsChild>
                                    <w:div w:id="332731455">
                                      <w:marLeft w:val="0"/>
                                      <w:marRight w:val="0"/>
                                      <w:marTop w:val="0"/>
                                      <w:marBottom w:val="0"/>
                                      <w:divBdr>
                                        <w:top w:val="none" w:sz="0" w:space="0" w:color="auto"/>
                                        <w:left w:val="none" w:sz="0" w:space="0" w:color="auto"/>
                                        <w:bottom w:val="none" w:sz="0" w:space="0" w:color="auto"/>
                                        <w:right w:val="none" w:sz="0" w:space="0" w:color="auto"/>
                                      </w:divBdr>
                                      <w:divsChild>
                                        <w:div w:id="1247422804">
                                          <w:marLeft w:val="0"/>
                                          <w:marRight w:val="0"/>
                                          <w:marTop w:val="0"/>
                                          <w:marBottom w:val="0"/>
                                          <w:divBdr>
                                            <w:top w:val="none" w:sz="0" w:space="0" w:color="auto"/>
                                            <w:left w:val="none" w:sz="0" w:space="0" w:color="auto"/>
                                            <w:bottom w:val="none" w:sz="0" w:space="0" w:color="auto"/>
                                            <w:right w:val="none" w:sz="0" w:space="0" w:color="auto"/>
                                          </w:divBdr>
                                          <w:divsChild>
                                            <w:div w:id="1829323389">
                                              <w:marLeft w:val="0"/>
                                              <w:marRight w:val="0"/>
                                              <w:marTop w:val="0"/>
                                              <w:marBottom w:val="0"/>
                                              <w:divBdr>
                                                <w:top w:val="none" w:sz="0" w:space="0" w:color="auto"/>
                                                <w:left w:val="none" w:sz="0" w:space="0" w:color="auto"/>
                                                <w:bottom w:val="none" w:sz="0" w:space="0" w:color="auto"/>
                                                <w:right w:val="none" w:sz="0" w:space="0" w:color="auto"/>
                                              </w:divBdr>
                                              <w:divsChild>
                                                <w:div w:id="8325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minimum-capital-requirements-for-ppf-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4" ma:contentTypeDescription="Create a new document." ma:contentTypeScope="" ma:versionID="762ce45f7b5c7705a7fc9364c9fb22c7">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3430af0d8ae7333d6d35ecbee2a2981a"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2A46F-94AD-481E-B85B-2095F9E88859}">
  <ds:schemaRefs>
    <ds:schemaRef ds:uri="http://schemas.microsoft.com/sharepoint/v3/contenttype/forms"/>
  </ds:schemaRefs>
</ds:datastoreItem>
</file>

<file path=customXml/itemProps2.xml><?xml version="1.0" encoding="utf-8"?>
<ds:datastoreItem xmlns:ds="http://schemas.openxmlformats.org/officeDocument/2006/customXml" ds:itemID="{CBCE68A7-10FE-434E-A8F6-33142F4CF92C}">
  <ds:schemaRefs>
    <ds:schemaRef ds:uri="http://schemas.openxmlformats.org/officeDocument/2006/bibliography"/>
  </ds:schemaRefs>
</ds:datastoreItem>
</file>

<file path=customXml/itemProps3.xml><?xml version="1.0" encoding="utf-8"?>
<ds:datastoreItem xmlns:ds="http://schemas.openxmlformats.org/officeDocument/2006/customXml" ds:itemID="{A84BA10F-E6C8-4D28-A09D-E698388FEC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AA55AC-1E9F-475E-B52B-2E23A3E10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5846</Characters>
  <Application>Microsoft Office Word</Application>
  <DocSecurity>0</DocSecurity>
  <Lines>108</Lines>
  <Paragraphs>50</Paragraphs>
  <ScaleCrop>false</ScaleCrop>
  <HeadingPairs>
    <vt:vector size="2" baseType="variant">
      <vt:variant>
        <vt:lpstr>Title</vt:lpstr>
      </vt:variant>
      <vt:variant>
        <vt:i4>1</vt:i4>
      </vt:variant>
    </vt:vector>
  </HeadingPairs>
  <TitlesOfParts>
    <vt:vector size="1" baseType="lpstr">
      <vt:lpstr>ES - Banking (prudential standard) determination No. 3 of 2023</vt:lpstr>
    </vt:vector>
  </TitlesOfParts>
  <Company>APRA</Company>
  <LinksUpToDate>false</LinksUpToDate>
  <CharactersWithSpaces>6876</CharactersWithSpaces>
  <SharedDoc>false</SharedDoc>
  <HLinks>
    <vt:vector size="12" baseType="variant">
      <vt:variant>
        <vt:i4>6946865</vt:i4>
      </vt:variant>
      <vt:variant>
        <vt:i4>0</vt:i4>
      </vt:variant>
      <vt:variant>
        <vt:i4>0</vt:i4>
      </vt:variant>
      <vt:variant>
        <vt:i4>5</vt:i4>
      </vt:variant>
      <vt:variant>
        <vt:lpwstr>http://www.legislation.gov.au/</vt:lpwstr>
      </vt:variant>
      <vt:variant>
        <vt:lpwstr/>
      </vt:variant>
      <vt:variant>
        <vt:i4>4063275</vt:i4>
      </vt:variant>
      <vt:variant>
        <vt:i4>0</vt:i4>
      </vt:variant>
      <vt:variant>
        <vt:i4>0</vt:i4>
      </vt:variant>
      <vt:variant>
        <vt:i4>5</vt:i4>
      </vt:variant>
      <vt:variant>
        <vt:lpwstr>https://www.apra.gov.au/consultation-on-minimum-capital-requirements-for-ppf-providers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3 of 2023</dc:title>
  <dc:subject/>
  <dc:creator>dcsull</dc:creator>
  <cp:keywords>[SEC=OFFICIAL]</cp:keywords>
  <cp:lastModifiedBy>Toni Michalis</cp:lastModifiedBy>
  <cp:revision>2</cp:revision>
  <cp:lastPrinted>2014-11-24T05:09:00Z</cp:lastPrinted>
  <dcterms:created xsi:type="dcterms:W3CDTF">2023-05-29T07:42:00Z</dcterms:created>
  <dcterms:modified xsi:type="dcterms:W3CDTF">2023-05-29T07:42:00Z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v=2022.1;a=SHA256;h=C1C269B3B8A456F0C000BB1C4C4C395831AE5EB9613F77206CD892F459BC984B</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2023-04-11T07:03:17Z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5369AFF06347F45CF22404DC287948BB</vt:lpwstr>
  </property>
  <property fmtid="{D5CDD505-2E9C-101B-9397-08002B2CF9AE}" pid="18" name="MSIP_Label_c0129afb-6481-4f92-bc9f-5a4a6346364d_SetDate">
    <vt:lpwstr>2023-04-11T07:03:17Z</vt:lpwstr>
  </property>
  <property fmtid="{D5CDD505-2E9C-101B-9397-08002B2CF9AE}" pid="19" name="MSIP_Label_c0129afb-6481-4f92-bc9f-5a4a6346364d_ActionId">
    <vt:lpwstr>e39a60926e144197b9bfe6b497080493</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803EC065AFD54ADEB861AB9A09D9C284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524BEA168C492FBCFF43065650F82CD5</vt:lpwstr>
  </property>
  <property fmtid="{D5CDD505-2E9C-101B-9397-08002B2CF9AE}" pid="33" name="PM_Hash_SHA1">
    <vt:lpwstr>DC277EAD2355E362CAACE870EB1079EF0F97F3BF</vt:lpwstr>
  </property>
  <property fmtid="{D5CDD505-2E9C-101B-9397-08002B2CF9AE}" pid="34" name="APRAPeriod">
    <vt:lpwstr/>
  </property>
  <property fmtid="{D5CDD505-2E9C-101B-9397-08002B2CF9AE}" pid="35" name="APRAPRSG">
    <vt:lpwstr/>
  </property>
  <property fmtid="{D5CDD505-2E9C-101B-9397-08002B2CF9AE}" pid="36" name="APRAActivity">
    <vt:lpwstr>97;#Licence|2aed903a-298f-4115-be87-146ea5d65053</vt:lpwstr>
  </property>
  <property fmtid="{D5CDD505-2E9C-101B-9397-08002B2CF9AE}" pid="37" name="APRAYear">
    <vt:lpwstr/>
  </property>
  <property fmtid="{D5CDD505-2E9C-101B-9397-08002B2CF9AE}" pid="38" name="APRAIndustry">
    <vt:lpwstr/>
  </property>
  <property fmtid="{D5CDD505-2E9C-101B-9397-08002B2CF9AE}" pid="39" name="_dlc_DocIdItemGuid">
    <vt:lpwstr>598c2fc2-f793-40f4-98e7-3a55d7602f5b</vt:lpwstr>
  </property>
  <property fmtid="{D5CDD505-2E9C-101B-9397-08002B2CF9AE}" pid="40" name="IsLocked">
    <vt:lpwstr>Yes</vt:lpwstr>
  </property>
  <property fmtid="{D5CDD505-2E9C-101B-9397-08002B2CF9AE}" pid="41" name="APRACostCentre">
    <vt:lpwstr/>
  </property>
  <property fmtid="{D5CDD505-2E9C-101B-9397-08002B2CF9AE}" pid="42" name="IT system type">
    <vt:lpwstr/>
  </property>
  <property fmtid="{D5CDD505-2E9C-101B-9397-08002B2CF9AE}" pid="43" name="APRACategory">
    <vt:lpwstr/>
  </property>
  <property fmtid="{D5CDD505-2E9C-101B-9397-08002B2CF9AE}" pid="44" name="APRADocumentType">
    <vt:lpwstr>57;#Statement|3f9d436a-dac1-4772-ac65-5fe4f7992385</vt:lpwstr>
  </property>
  <property fmtid="{D5CDD505-2E9C-101B-9397-08002B2CF9AE}" pid="45" name="APRAStatus">
    <vt:lpwstr>1;#Draft|0e1556d2-3fe8-443a-ada7-3620563b46b3</vt:lpwstr>
  </property>
  <property fmtid="{D5CDD505-2E9C-101B-9397-08002B2CF9AE}" pid="46" name="APRAEntityAdviceSupport">
    <vt:lpwstr/>
  </property>
  <property fmtid="{D5CDD505-2E9C-101B-9397-08002B2CF9AE}" pid="47" name="APRALegislation">
    <vt:lpwstr/>
  </property>
  <property fmtid="{D5CDD505-2E9C-101B-9397-08002B2CF9AE}" pid="48" name="APRAExternalOrganisation">
    <vt:lpwstr/>
  </property>
  <property fmtid="{D5CDD505-2E9C-101B-9397-08002B2CF9AE}" pid="49" name="APRAIRTR">
    <vt:lpwstr/>
  </property>
  <property fmtid="{D5CDD505-2E9C-101B-9397-08002B2CF9AE}" pid="50" name="RecordPoint_WorkflowType">
    <vt:lpwstr>ActiveSubmitStub</vt:lpwstr>
  </property>
  <property fmtid="{D5CDD505-2E9C-101B-9397-08002B2CF9AE}" pid="51" name="RecordPoint_ActiveItemSiteId">
    <vt:lpwstr>{88691c01-5bbb-4215-adc0-66cb7065b0af}</vt:lpwstr>
  </property>
  <property fmtid="{D5CDD505-2E9C-101B-9397-08002B2CF9AE}" pid="52" name="RecordPoint_ActiveItemListId">
    <vt:lpwstr>{8987d8f8-681a-4384-8d1b-abc41ebe4f5e}</vt:lpwstr>
  </property>
  <property fmtid="{D5CDD505-2E9C-101B-9397-08002B2CF9AE}" pid="53" name="RecordPoint_ActiveItemUniqueId">
    <vt:lpwstr>{598c2fc2-f793-40f4-98e7-3a55d7602f5b}</vt:lpwstr>
  </property>
  <property fmtid="{D5CDD505-2E9C-101B-9397-08002B2CF9AE}" pid="54" name="RecordPoint_ActiveItemWebId">
    <vt:lpwstr>{75a71c27-8d66-4282-ae60-1bfc22a83be1}</vt:lpwstr>
  </property>
  <property fmtid="{D5CDD505-2E9C-101B-9397-08002B2CF9AE}" pid="55" name="PM_SecurityClassification_Prev">
    <vt:lpwstr>OFFICIAL</vt:lpwstr>
  </property>
  <property fmtid="{D5CDD505-2E9C-101B-9397-08002B2CF9AE}" pid="56" name="PM_Qualifier_Prev">
    <vt:lpwstr/>
  </property>
  <property fmtid="{D5CDD505-2E9C-101B-9397-08002B2CF9AE}" pid="57" name="RecordPoint_SubmissionDate">
    <vt:lpwstr/>
  </property>
  <property fmtid="{D5CDD505-2E9C-101B-9397-08002B2CF9AE}" pid="58" name="RecordPoint_RecordNumberSubmitted">
    <vt:lpwstr/>
  </property>
  <property fmtid="{D5CDD505-2E9C-101B-9397-08002B2CF9AE}" pid="59" name="RecordPoint_ActiveItemMoved">
    <vt:lpwstr/>
  </property>
  <property fmtid="{D5CDD505-2E9C-101B-9397-08002B2CF9AE}" pid="60" name="RecordPoint_RecordFormat">
    <vt:lpwstr/>
  </property>
  <property fmtid="{D5CDD505-2E9C-101B-9397-08002B2CF9AE}" pid="61" name="RecordPoint_SubmissionCompleted">
    <vt:lpwstr/>
  </property>
  <property fmtid="{D5CDD505-2E9C-101B-9397-08002B2CF9AE}" pid="62" name="ContentTypeId">
    <vt:lpwstr>0x010100E5E831F15EEA47429C4A0837D916ED91</vt:lpwstr>
  </property>
</Properties>
</file>