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E1CD" w14:textId="77777777" w:rsidR="00614CE9" w:rsidRPr="00613F01" w:rsidRDefault="00614CE9"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62401">
        <w:rPr>
          <w:sz w:val="24"/>
          <w:szCs w:val="24"/>
        </w:rPr>
        <w:t xml:space="preserve">No. </w:t>
      </w:r>
      <w:r w:rsidRPr="001816C6">
        <w:rPr>
          <w:noProof/>
          <w:sz w:val="24"/>
          <w:szCs w:val="24"/>
        </w:rPr>
        <w:t>100</w:t>
      </w:r>
      <w:r>
        <w:rPr>
          <w:sz w:val="24"/>
          <w:szCs w:val="24"/>
        </w:rPr>
        <w:t xml:space="preserve"> </w:t>
      </w:r>
      <w:r w:rsidRPr="008234D8">
        <w:rPr>
          <w:sz w:val="24"/>
          <w:szCs w:val="24"/>
        </w:rPr>
        <w:t>of 202</w:t>
      </w:r>
      <w:r>
        <w:rPr>
          <w:sz w:val="24"/>
          <w:szCs w:val="24"/>
        </w:rPr>
        <w:t>3</w:t>
      </w:r>
    </w:p>
    <w:p w14:paraId="7C854112" w14:textId="77777777" w:rsidR="00614CE9" w:rsidRPr="002C6D26" w:rsidRDefault="00614CE9" w:rsidP="00854C33">
      <w:pPr>
        <w:pStyle w:val="Heading"/>
        <w:tabs>
          <w:tab w:val="left" w:pos="360"/>
        </w:tabs>
        <w:spacing w:after="240"/>
        <w:jc w:val="center"/>
        <w:rPr>
          <w:sz w:val="24"/>
          <w:szCs w:val="24"/>
          <w:u w:val="single"/>
        </w:rPr>
      </w:pPr>
      <w:r w:rsidRPr="002C6D26">
        <w:rPr>
          <w:sz w:val="24"/>
          <w:szCs w:val="24"/>
          <w:u w:val="single"/>
        </w:rPr>
        <w:t>EXPLANATORY STATEMENT</w:t>
      </w:r>
    </w:p>
    <w:p w14:paraId="1F1E5A4F" w14:textId="77777777" w:rsidR="00614CE9" w:rsidRPr="002C6D26" w:rsidRDefault="00614CE9" w:rsidP="00854C33">
      <w:pPr>
        <w:pStyle w:val="Heading"/>
        <w:spacing w:after="240"/>
        <w:jc w:val="center"/>
        <w:rPr>
          <w:sz w:val="24"/>
          <w:szCs w:val="24"/>
        </w:rPr>
      </w:pPr>
      <w:r w:rsidRPr="002C6D26">
        <w:rPr>
          <w:sz w:val="24"/>
          <w:szCs w:val="24"/>
        </w:rPr>
        <w:t>Prepared by the Australian Prudential Regulation Authority (APRA)</w:t>
      </w:r>
    </w:p>
    <w:p w14:paraId="6A7B4B75" w14:textId="77777777" w:rsidR="00614CE9" w:rsidRDefault="00614CE9" w:rsidP="00854C33">
      <w:pPr>
        <w:pStyle w:val="heading0"/>
        <w:spacing w:before="0" w:beforeAutospacing="0" w:after="240" w:afterAutospacing="0"/>
        <w:jc w:val="center"/>
      </w:pPr>
      <w:r>
        <w:rPr>
          <w:i/>
          <w:iCs/>
        </w:rPr>
        <w:t>Financial Sector (Collection of Data) Act 2001</w:t>
      </w:r>
      <w:r>
        <w:t>, sections 13 and 15</w:t>
      </w:r>
    </w:p>
    <w:p w14:paraId="170AC1A4" w14:textId="77777777" w:rsidR="00614CE9" w:rsidRDefault="00614CE9" w:rsidP="00854C33">
      <w:pPr>
        <w:pStyle w:val="heading0"/>
        <w:spacing w:before="0" w:beforeAutospacing="0" w:after="240" w:afterAutospacing="0"/>
        <w:jc w:val="center"/>
      </w:pPr>
      <w:r w:rsidRPr="00380068">
        <w:rPr>
          <w:i/>
        </w:rPr>
        <w:t>Acts Interpretation Act 1901</w:t>
      </w:r>
      <w:r>
        <w:t>, section 33</w:t>
      </w:r>
    </w:p>
    <w:p w14:paraId="12B366E7" w14:textId="77777777" w:rsidR="00614CE9" w:rsidRPr="00B33A8A" w:rsidRDefault="00614CE9"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077F79D9" w14:textId="77777777" w:rsidR="00614CE9" w:rsidRPr="007D1955" w:rsidRDefault="00614CE9"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407229B6" w14:textId="77777777" w:rsidR="00614CE9" w:rsidRDefault="00614CE9" w:rsidP="00211AFD">
      <w:pPr>
        <w:numPr>
          <w:ilvl w:val="0"/>
          <w:numId w:val="0"/>
        </w:numPr>
        <w:rPr>
          <w:rFonts w:ascii="Times New Roman" w:hAnsi="Times New Roman" w:cs="Times New Roman"/>
          <w:sz w:val="24"/>
          <w:szCs w:val="24"/>
        </w:rPr>
      </w:pPr>
      <w:r w:rsidRPr="00852FDA">
        <w:rPr>
          <w:rFonts w:ascii="Times New Roman" w:hAnsi="Times New Roman" w:cs="Times New Roman"/>
          <w:sz w:val="24"/>
          <w:szCs w:val="24"/>
        </w:rPr>
        <w:t xml:space="preserve">On </w:t>
      </w:r>
      <w:r>
        <w:rPr>
          <w:rFonts w:ascii="Times New Roman" w:hAnsi="Times New Roman" w:cs="Times New Roman"/>
          <w:noProof/>
          <w:sz w:val="24"/>
          <w:szCs w:val="24"/>
        </w:rPr>
        <w:t>26 May 2023</w:t>
      </w:r>
      <w:r w:rsidRPr="00852FDA">
        <w:rPr>
          <w:rFonts w:ascii="Times New Roman" w:hAnsi="Times New Roman" w:cs="Times New Roman"/>
          <w:sz w:val="24"/>
          <w:szCs w:val="24"/>
        </w:rPr>
        <w:t>, APRA</w:t>
      </w:r>
      <w:r w:rsidRPr="00B33A8A">
        <w:rPr>
          <w:rFonts w:ascii="Times New Roman" w:hAnsi="Times New Roman" w:cs="Times New Roman"/>
          <w:sz w:val="24"/>
          <w:szCs w:val="24"/>
        </w:rPr>
        <w:t xml:space="preserve"> made</w:t>
      </w:r>
      <w:r>
        <w:rPr>
          <w:rFonts w:ascii="Times New Roman" w:hAnsi="Times New Roman" w:cs="Times New Roman"/>
          <w:sz w:val="24"/>
          <w:szCs w:val="24"/>
        </w:rPr>
        <w:t>:</w:t>
      </w:r>
    </w:p>
    <w:p w14:paraId="76B70793" w14:textId="77777777" w:rsidR="00614CE9" w:rsidRPr="00DF2C01" w:rsidRDefault="00614CE9" w:rsidP="00B83763">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1816C6">
        <w:rPr>
          <w:rFonts w:ascii="Times New Roman" w:hAnsi="Times New Roman"/>
          <w:noProof/>
          <w:sz w:val="24"/>
          <w:szCs w:val="24"/>
        </w:rPr>
        <w:t>100</w:t>
      </w:r>
      <w:r w:rsidRPr="00DF2C01">
        <w:rPr>
          <w:rFonts w:ascii="Times New Roman" w:hAnsi="Times New Roman"/>
          <w:sz w:val="24"/>
          <w:szCs w:val="24"/>
        </w:rPr>
        <w:t xml:space="preserve"> of 202</w:t>
      </w:r>
      <w:r>
        <w:rPr>
          <w:rFonts w:ascii="Times New Roman" w:hAnsi="Times New Roman"/>
          <w:sz w:val="24"/>
          <w:szCs w:val="24"/>
        </w:rPr>
        <w:t>3</w:t>
      </w:r>
      <w:r w:rsidRPr="00DF2C01">
        <w:rPr>
          <w:rFonts w:ascii="Times New Roman" w:hAnsi="Times New Roman"/>
          <w:sz w:val="24"/>
          <w:szCs w:val="24"/>
        </w:rPr>
        <w:t xml:space="preserve"> which:</w:t>
      </w:r>
    </w:p>
    <w:p w14:paraId="66AA9826" w14:textId="77777777" w:rsidR="00614CE9" w:rsidRPr="00DF2C01" w:rsidRDefault="00614CE9" w:rsidP="00B83763">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determines a ne</w:t>
      </w:r>
      <w:r w:rsidRPr="0037223D">
        <w:rPr>
          <w:rFonts w:ascii="Times New Roman" w:hAnsi="Times New Roman"/>
          <w:sz w:val="24"/>
          <w:szCs w:val="24"/>
        </w:rPr>
        <w:t xml:space="preserve">w </w:t>
      </w:r>
      <w:r w:rsidRPr="00C017AF">
        <w:rPr>
          <w:rFonts w:ascii="Times New Roman" w:hAnsi="Times New Roman"/>
          <w:i/>
          <w:sz w:val="24"/>
          <w:szCs w:val="24"/>
        </w:rPr>
        <w:t>Reporting Standard</w:t>
      </w:r>
      <w:r w:rsidRPr="0037223D">
        <w:rPr>
          <w:rFonts w:ascii="Times New Roman" w:hAnsi="Times New Roman"/>
          <w:i/>
          <w:sz w:val="24"/>
          <w:szCs w:val="24"/>
        </w:rPr>
        <w:t xml:space="preserve"> </w:t>
      </w:r>
      <w:r w:rsidRPr="001816C6">
        <w:rPr>
          <w:rFonts w:ascii="Times New Roman" w:hAnsi="Times New Roman"/>
          <w:i/>
          <w:noProof/>
          <w:sz w:val="24"/>
          <w:szCs w:val="24"/>
        </w:rPr>
        <w:t>HRS 110.0 Prescribed Capital Amount</w:t>
      </w:r>
      <w:r w:rsidRPr="0041679C">
        <w:rPr>
          <w:rFonts w:ascii="Times New Roman" w:hAnsi="Times New Roman"/>
          <w:sz w:val="24"/>
          <w:szCs w:val="24"/>
        </w:rPr>
        <w:t>.</w:t>
      </w:r>
    </w:p>
    <w:p w14:paraId="399BCC7C" w14:textId="77777777" w:rsidR="00614CE9" w:rsidRPr="00CF46D3" w:rsidRDefault="00614CE9"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2900935B" w14:textId="77777777" w:rsidR="00614CE9" w:rsidRPr="009535CD" w:rsidRDefault="00614C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1621C987" w14:textId="77777777" w:rsidR="00614CE9" w:rsidRDefault="00614CE9" w:rsidP="00401627">
      <w:pPr>
        <w:numPr>
          <w:ilvl w:val="0"/>
          <w:numId w:val="0"/>
        </w:numPr>
        <w:rPr>
          <w:rFonts w:ascii="Times New Roman" w:hAnsi="Times New Roman" w:cs="Times New Roman"/>
          <w:sz w:val="24"/>
          <w:szCs w:val="24"/>
        </w:rPr>
      </w:pPr>
      <w:r w:rsidRPr="00401627">
        <w:rPr>
          <w:rFonts w:ascii="Times New Roman" w:hAnsi="Times New Roman" w:cs="Times New Roman"/>
          <w:sz w:val="24"/>
          <w:szCs w:val="24"/>
        </w:rPr>
        <w:t>Since assuming prudential regulatory responsibility for the private health insurance (PHI) industry in 2015, APRA has progressively reviewed and updated the prudential policy framework.</w:t>
      </w:r>
      <w:r>
        <w:rPr>
          <w:rFonts w:ascii="Times New Roman" w:hAnsi="Times New Roman" w:cs="Times New Roman"/>
          <w:sz w:val="24"/>
          <w:szCs w:val="24"/>
        </w:rPr>
        <w:t xml:space="preserve"> APRA released a PHI Roadmap in August 2016 outlining its plans to conduct a review of the PHI capital framework</w:t>
      </w:r>
      <w:r>
        <w:rPr>
          <w:rStyle w:val="FootnoteReference"/>
          <w:rFonts w:ascii="Times New Roman" w:hAnsi="Times New Roman" w:cs="Times New Roman"/>
          <w:szCs w:val="24"/>
        </w:rPr>
        <w:footnoteReference w:id="2"/>
      </w:r>
      <w:r>
        <w:rPr>
          <w:rFonts w:ascii="Times New Roman" w:hAnsi="Times New Roman" w:cs="Times New Roman"/>
          <w:sz w:val="24"/>
          <w:szCs w:val="24"/>
        </w:rPr>
        <w:t>. APRA commenced consultation on the reviewed PHI capital framework in December 2019, releasing finalised prudential and reporting standards that incorporated industry feedback in September 2022.</w:t>
      </w:r>
    </w:p>
    <w:p w14:paraId="293CEDC0" w14:textId="77777777" w:rsidR="00614CE9" w:rsidRPr="00743AE5" w:rsidRDefault="00614CE9" w:rsidP="00743AE5">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2179B0F3" w14:textId="77777777" w:rsidR="00614CE9" w:rsidRDefault="00614CE9" w:rsidP="009205B7">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private health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 xml:space="preserve">valuation reporting of insurance contracts. </w:t>
      </w:r>
      <w:r>
        <w:rPr>
          <w:rFonts w:ascii="Times New Roman" w:hAnsi="Times New Roman" w:cs="Times New Roman"/>
          <w:sz w:val="24"/>
          <w:szCs w:val="24"/>
        </w:rPr>
        <w:t>APRA developed the PHI capital and reporting standards based on AASB 17 concepts where possible and appropriate</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lastRenderedPageBreak/>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w:t>
      </w:r>
      <w:r>
        <w:rPr>
          <w:rFonts w:ascii="Times New Roman" w:hAnsi="Times New Roman" w:cs="Times New Roman"/>
          <w:sz w:val="24"/>
          <w:szCs w:val="24"/>
        </w:rPr>
        <w:t xml:space="preserve"> private health</w:t>
      </w:r>
      <w:r w:rsidRPr="009205B7">
        <w:rPr>
          <w:rFonts w:ascii="Times New Roman" w:hAnsi="Times New Roman" w:cs="Times New Roman"/>
          <w:sz w:val="24"/>
          <w:szCs w:val="24"/>
        </w:rPr>
        <w:t xml:space="preserve">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548617B8" w14:textId="77777777" w:rsidR="00614CE9" w:rsidRDefault="00614CE9"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3748C596" w14:textId="77777777" w:rsidR="00614CE9" w:rsidRPr="00BC1E70" w:rsidRDefault="00614C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7DD0D9DD" w14:textId="77777777" w:rsidR="00614CE9" w:rsidRPr="00BC1E70" w:rsidRDefault="00614CE9"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1816C6">
        <w:rPr>
          <w:rFonts w:ascii="Times New Roman" w:hAnsi="Times New Roman" w:cs="Times New Roman"/>
          <w:i/>
          <w:noProof/>
          <w:sz w:val="24"/>
          <w:szCs w:val="24"/>
        </w:rPr>
        <w:t>HRS 110.0 Prescribed Capital Amount</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1816C6">
        <w:rPr>
          <w:rFonts w:ascii="Times New Roman" w:hAnsi="Times New Roman" w:cs="Times New Roman"/>
          <w:noProof/>
          <w:sz w:val="24"/>
          <w:szCs w:val="24"/>
        </w:rPr>
        <w:t>This Reporting Standard sets out the requirements for the provision of information to APRA relating to a private health insurer’s prescribed capital amount.</w:t>
      </w:r>
    </w:p>
    <w:p w14:paraId="5042F356" w14:textId="77777777" w:rsidR="00614CE9" w:rsidRDefault="00614CE9" w:rsidP="00DE58B9">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Private health in</w:t>
      </w:r>
      <w:r w:rsidRPr="00087FC4">
        <w:rPr>
          <w:rFonts w:ascii="Times New Roman" w:hAnsi="Times New Roman" w:cs="Times New Roman"/>
          <w:sz w:val="24"/>
          <w:szCs w:val="24"/>
        </w:rPr>
        <w:t xml:space="preserve">surers 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337E146B" w14:textId="77777777" w:rsidR="00614CE9" w:rsidRPr="004B2060" w:rsidRDefault="00614CE9"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06E20F1D" w14:textId="77777777" w:rsidR="00614CE9" w:rsidRPr="002E123D" w:rsidRDefault="00614CE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296A6E87" w14:textId="77777777" w:rsidR="00614CE9" w:rsidRPr="002E123D" w:rsidRDefault="00614CE9"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731F0436" w14:textId="77777777" w:rsidR="00614CE9" w:rsidRPr="002E123D" w:rsidRDefault="00614CE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07F17D4A" w14:textId="77777777" w:rsidR="00614CE9" w:rsidRPr="002E123D" w:rsidRDefault="00614CE9"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56602220" w14:textId="77777777" w:rsidR="00614CE9" w:rsidRPr="002E123D" w:rsidRDefault="00614CE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4109FFD7" w14:textId="77777777" w:rsidR="00614CE9" w:rsidRPr="002E123D" w:rsidRDefault="00614CE9"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37A8A942" w14:textId="77777777" w:rsidR="00614CE9" w:rsidRPr="002E123D" w:rsidRDefault="00614CE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p>
    <w:p w14:paraId="5C720DC2" w14:textId="77777777" w:rsidR="00614CE9" w:rsidRPr="002E123D" w:rsidRDefault="00614CE9"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1E86C1F1" w14:textId="77777777" w:rsidR="00614CE9" w:rsidRPr="002E123D" w:rsidRDefault="00614CE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Method of submission – paragraph 5</w:t>
      </w:r>
    </w:p>
    <w:p w14:paraId="32CAF4B2" w14:textId="77777777" w:rsidR="00614CE9" w:rsidRPr="002E123D" w:rsidRDefault="00614CE9"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2F1A28B5" w14:textId="77777777" w:rsidR="00614CE9" w:rsidRPr="002E123D" w:rsidRDefault="00614CE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Reporting periods and due dates – paragraphs 6-9</w:t>
      </w:r>
    </w:p>
    <w:p w14:paraId="19986BA4" w14:textId="77777777" w:rsidR="00614CE9" w:rsidRPr="002E123D" w:rsidRDefault="00614CE9" w:rsidP="002E123D">
      <w:r w:rsidRPr="002E123D">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07663BC9" w14:textId="77777777" w:rsidR="00614CE9" w:rsidRPr="002E123D" w:rsidRDefault="00614CE9" w:rsidP="002E123D">
      <w:r w:rsidRPr="002E123D">
        <w:rPr>
          <w:rFonts w:ascii="Times New Roman" w:hAnsi="Times New Roman" w:cs="Times New Roman"/>
          <w:sz w:val="24"/>
          <w:szCs w:val="24"/>
        </w:rPr>
        <w:lastRenderedPageBreak/>
        <w:t xml:space="preserve">Paragraphs 6-9 rely on these provisions. Paragraph 6 states that </w:t>
      </w:r>
      <w:r>
        <w:rPr>
          <w:rFonts w:ascii="Times New Roman" w:hAnsi="Times New Roman" w:cs="Times New Roman"/>
          <w:sz w:val="24"/>
          <w:szCs w:val="24"/>
        </w:rPr>
        <w:t>private health</w:t>
      </w:r>
      <w:r w:rsidRPr="002E123D">
        <w:rPr>
          <w:rFonts w:ascii="Times New Roman" w:hAnsi="Times New Roman" w:cs="Times New Roman"/>
          <w:sz w:val="24"/>
          <w:szCs w:val="24"/>
        </w:rPr>
        <w:t xml:space="preserve"> insurers are to provide the information required by this reporting standard</w:t>
      </w:r>
      <w:r w:rsidRPr="002E123D">
        <w:rPr>
          <w:rFonts w:ascii="Times New Roman" w:hAnsi="Times New Roman" w:cs="Times New Roman"/>
          <w:i/>
          <w:sz w:val="24"/>
          <w:szCs w:val="24"/>
        </w:rPr>
        <w:t xml:space="preserve"> </w:t>
      </w:r>
      <w:r w:rsidRPr="001816C6">
        <w:rPr>
          <w:rFonts w:ascii="Times New Roman" w:hAnsi="Times New Roman" w:cs="Times New Roman"/>
          <w:noProof/>
          <w:sz w:val="24"/>
          <w:szCs w:val="24"/>
        </w:rPr>
        <w:t>in respect of each calendar quarter, and in respect of each year ending 30 June</w:t>
      </w:r>
      <w:r w:rsidRPr="002E123D">
        <w:rPr>
          <w:rFonts w:ascii="Times New Roman" w:hAnsi="Times New Roman" w:cs="Times New Roman"/>
          <w:sz w:val="24"/>
          <w:szCs w:val="24"/>
        </w:rPr>
        <w:t xml:space="preserve">. Paragraph 7 provides for APRA to vary the reporting periods mentioned in paragraph 6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w:t>
      </w:r>
      <w:r>
        <w:rPr>
          <w:rFonts w:ascii="Times New Roman" w:hAnsi="Times New Roman" w:cs="Times New Roman"/>
          <w:sz w:val="24"/>
          <w:szCs w:val="24"/>
        </w:rPr>
        <w:t xml:space="preserve"> </w:t>
      </w:r>
      <w:r w:rsidRPr="001816C6">
        <w:rPr>
          <w:rFonts w:ascii="Times New Roman" w:hAnsi="Times New Roman" w:cs="Times New Roman"/>
          <w:noProof/>
          <w:sz w:val="24"/>
          <w:szCs w:val="24"/>
        </w:rPr>
        <w:t>quarterly information must be provided to APRA within 28 calendar days after the end of the reporting period, and annual information by 30 September each year</w:t>
      </w:r>
      <w:r>
        <w:rPr>
          <w:rFonts w:ascii="Times New Roman" w:hAnsi="Times New Roman" w:cs="Times New Roman"/>
          <w:sz w:val="24"/>
          <w:szCs w:val="24"/>
        </w:rPr>
        <w:t>.</w:t>
      </w:r>
      <w:r w:rsidRPr="002E123D">
        <w:rPr>
          <w:rFonts w:ascii="Times New Roman" w:hAnsi="Times New Roman" w:cs="Times New Roman"/>
          <w:sz w:val="24"/>
          <w:szCs w:val="24"/>
        </w:rPr>
        <w:t xml:space="preserve"> Paragraph 8 also states that in the case of information provided in accordance with paragraph 7, the due date will be as stated on the written notice. Paragraph 9 states that APRA may grant an extension of a due date in paragraph 8 in writing.</w:t>
      </w:r>
    </w:p>
    <w:p w14:paraId="78105340" w14:textId="77777777" w:rsidR="00614CE9" w:rsidRPr="002E123D" w:rsidRDefault="00614CE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 10</w:t>
      </w:r>
    </w:p>
    <w:p w14:paraId="2556B829" w14:textId="77777777" w:rsidR="00614CE9" w:rsidRPr="002E123D" w:rsidRDefault="00614CE9"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0</w:t>
      </w:r>
      <w:r w:rsidRPr="002E123D">
        <w:rPr>
          <w:rFonts w:ascii="Times New Roman" w:hAnsi="Times New Roman" w:cs="Times New Roman"/>
          <w:sz w:val="24"/>
          <w:szCs w:val="24"/>
        </w:rPr>
        <w:t xml:space="preserve"> states that information provided under this reporting standard must be subject to systems, processes and controls developed by the entity for the internal review and authorisation of that information.</w:t>
      </w:r>
    </w:p>
    <w:p w14:paraId="0AE3C4C1" w14:textId="77777777" w:rsidR="00614CE9" w:rsidRDefault="00614CE9" w:rsidP="002E123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Annual audit requirements – paragraphs 11-14</w:t>
      </w:r>
    </w:p>
    <w:p w14:paraId="5EFFDB01" w14:textId="77777777" w:rsidR="00614CE9" w:rsidRDefault="00614CE9"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1881ACBA" w14:textId="77777777" w:rsidR="00614CE9" w:rsidRPr="00495F25" w:rsidRDefault="00614CE9"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Paragraphs 11-14 rely on these provisions. These paragraphs state which information is to be externally audited, due dates for audit certification and opinion, examination of matters in previous years’ auditor’s reports, and contents of the auditor’s report.</w:t>
      </w:r>
    </w:p>
    <w:p w14:paraId="41CC1C9C" w14:textId="77777777" w:rsidR="00614CE9" w:rsidRPr="002E123D" w:rsidRDefault="00614CE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 1</w:t>
      </w:r>
      <w:r w:rsidRPr="007134F8">
        <w:rPr>
          <w:rFonts w:ascii="Times New Roman" w:hAnsi="Times New Roman" w:cs="Times New Roman"/>
          <w:i/>
          <w:sz w:val="24"/>
          <w:szCs w:val="24"/>
        </w:rPr>
        <w:t>5</w:t>
      </w:r>
    </w:p>
    <w:p w14:paraId="4E72599F" w14:textId="77777777" w:rsidR="00614CE9" w:rsidRPr="002E123D" w:rsidRDefault="00614CE9"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w:t>
      </w:r>
      <w:r w:rsidRPr="007134F8">
        <w:rPr>
          <w:rFonts w:ascii="Times New Roman" w:hAnsi="Times New Roman" w:cs="Times New Roman"/>
          <w:sz w:val="24"/>
          <w:szCs w:val="24"/>
        </w:rPr>
        <w:t>s</w:t>
      </w:r>
      <w:r w:rsidRPr="002E123D">
        <w:rPr>
          <w:rFonts w:ascii="Times New Roman" w:hAnsi="Times New Roman" w:cs="Times New Roman"/>
          <w:sz w:val="24"/>
          <w:szCs w:val="24"/>
        </w:rPr>
        <w:t xml:space="preserve"> </w:t>
      </w:r>
      <w:r>
        <w:rPr>
          <w:rFonts w:ascii="Times New Roman" w:hAnsi="Times New Roman" w:cs="Times New Roman"/>
          <w:sz w:val="24"/>
          <w:szCs w:val="24"/>
        </w:rPr>
        <w:t>that a</w:t>
      </w:r>
      <w:r w:rsidRPr="00747A10">
        <w:rPr>
          <w:rFonts w:ascii="Times New Roman" w:hAnsi="Times New Roman" w:cs="Times New Roman"/>
          <w:sz w:val="24"/>
          <w:szCs w:val="24"/>
        </w:rPr>
        <w:t xml:space="preserve"> person who submits the information required under this Reporting Standard must be suitably authorised by an officer of the private health insurer</w:t>
      </w:r>
      <w:r w:rsidRPr="002E123D">
        <w:rPr>
          <w:rFonts w:ascii="Times New Roman" w:hAnsi="Times New Roman" w:cs="Times New Roman"/>
          <w:sz w:val="24"/>
          <w:szCs w:val="24"/>
        </w:rPr>
        <w:t>.</w:t>
      </w:r>
    </w:p>
    <w:p w14:paraId="13E51782" w14:textId="77777777" w:rsidR="00614CE9" w:rsidRPr="002E123D" w:rsidRDefault="00614CE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56C39B89" w14:textId="77777777" w:rsidR="00614CE9" w:rsidRPr="002E123D" w:rsidRDefault="00614CE9"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to a financial sector entity in writing, as permitted by paragraph 13(2)(f) of the Act.</w:t>
      </w:r>
    </w:p>
    <w:p w14:paraId="2932B149" w14:textId="77777777" w:rsidR="00614CE9" w:rsidRPr="002E123D" w:rsidRDefault="00614CE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17-18</w:t>
      </w:r>
    </w:p>
    <w:p w14:paraId="18C8012F" w14:textId="77777777" w:rsidR="00614CE9" w:rsidRPr="002E123D" w:rsidRDefault="00614CE9" w:rsidP="002E123D">
      <w:r w:rsidRPr="002E123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4BE21C60" w14:textId="77777777" w:rsidR="00614CE9" w:rsidRPr="004B2060" w:rsidRDefault="00614CE9"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3C676079" w14:textId="77777777" w:rsidR="00614CE9" w:rsidRPr="004B2060" w:rsidRDefault="00614CE9"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64ECD460" w14:textId="77777777" w:rsidR="00614CE9" w:rsidRPr="004B2060" w:rsidRDefault="00614CE9"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6C9C5F95" w14:textId="77777777" w:rsidR="00614CE9" w:rsidRPr="004B2060" w:rsidRDefault="00614CE9"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460BC8DF" w14:textId="77777777" w:rsidR="00614CE9" w:rsidRPr="004B2060" w:rsidRDefault="00614CE9"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4D25E2A9" w14:textId="77777777" w:rsidR="00614CE9" w:rsidRPr="003A08B8" w:rsidRDefault="00614CE9"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41754A75" w14:textId="77777777" w:rsidR="00614CE9" w:rsidRDefault="00614CE9"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Parliament and associated delegated </w:t>
      </w:r>
      <w:proofErr w:type="gramStart"/>
      <w:r>
        <w:rPr>
          <w:rFonts w:ascii="Times New Roman" w:hAnsi="Times New Roman" w:cs="Times New Roman"/>
          <w:sz w:val="24"/>
          <w:szCs w:val="24"/>
        </w:rPr>
        <w:t>legislation;</w:t>
      </w:r>
      <w:proofErr w:type="gramEnd"/>
    </w:p>
    <w:p w14:paraId="4BB634E8" w14:textId="4E965386" w:rsidR="00614CE9" w:rsidRPr="003A7F99" w:rsidRDefault="00614CE9"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subsection 92(1) of the </w:t>
      </w:r>
      <w:r w:rsidRPr="003A7F99">
        <w:rPr>
          <w:rFonts w:ascii="Times New Roman" w:hAnsi="Times New Roman" w:cs="Times New Roman"/>
          <w:i/>
          <w:iCs/>
          <w:sz w:val="24"/>
          <w:szCs w:val="24"/>
        </w:rPr>
        <w:t>Private Health Insurance (Prudential Supervision) Act 2015</w:t>
      </w:r>
      <w:r w:rsidRPr="003A7F99">
        <w:rPr>
          <w:rFonts w:ascii="Times New Roman" w:hAnsi="Times New Roman" w:cs="Times New Roman"/>
          <w:iCs/>
          <w:sz w:val="24"/>
          <w:szCs w:val="24"/>
        </w:rPr>
        <w:t>;</w:t>
      </w:r>
      <w:r w:rsidR="00890E4A">
        <w:rPr>
          <w:rFonts w:ascii="Times New Roman" w:hAnsi="Times New Roman" w:cs="Times New Roman"/>
          <w:iCs/>
          <w:sz w:val="24"/>
          <w:szCs w:val="24"/>
        </w:rPr>
        <w:t xml:space="preserve"> and</w:t>
      </w:r>
    </w:p>
    <w:p w14:paraId="5163F87D" w14:textId="42580045" w:rsidR="00614CE9" w:rsidRPr="00890E4A" w:rsidRDefault="00614CE9" w:rsidP="002D0332">
      <w:pPr>
        <w:numPr>
          <w:ilvl w:val="0"/>
          <w:numId w:val="21"/>
        </w:numPr>
        <w:rPr>
          <w:rFonts w:ascii="Times New Roman" w:hAnsi="Times New Roman" w:cs="Times New Roman"/>
          <w:i/>
          <w:iCs/>
          <w:sz w:val="24"/>
          <w:szCs w:val="24"/>
        </w:rPr>
      </w:pPr>
      <w:r w:rsidRPr="00890E4A">
        <w:rPr>
          <w:rFonts w:ascii="Times New Roman" w:hAnsi="Times New Roman" w:cs="Times New Roman"/>
          <w:sz w:val="24"/>
          <w:szCs w:val="24"/>
        </w:rPr>
        <w:t>Reporting Standards determined by APRA under subsection 13(1) of the Act.</w:t>
      </w:r>
    </w:p>
    <w:p w14:paraId="0340C78E" w14:textId="450F201F" w:rsidR="00614CE9" w:rsidRDefault="00614CE9"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67343487" w14:textId="77777777" w:rsidR="00614CE9" w:rsidRPr="00D274ED" w:rsidRDefault="00614CE9"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58D003BF" w14:textId="77777777" w:rsidR="00614CE9" w:rsidRPr="006C1876" w:rsidRDefault="00614CE9"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private health </w:t>
      </w:r>
      <w:r w:rsidRPr="00DE3389">
        <w:rPr>
          <w:rFonts w:ascii="Times New Roman" w:hAnsi="Times New Roman" w:cs="Times New Roman"/>
          <w:sz w:val="24"/>
          <w:szCs w:val="24"/>
        </w:rPr>
        <w:t xml:space="preserve">insurers 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private health </w:t>
      </w:r>
      <w:r w:rsidRPr="009D77B5">
        <w:rPr>
          <w:rFonts w:ascii="Times New Roman" w:hAnsi="Times New Roman" w:cs="Times New Roman"/>
          <w:sz w:val="24"/>
          <w:szCs w:val="24"/>
        </w:rPr>
        <w:t>insurer 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3F2CAC06" w14:textId="77777777" w:rsidR="00614CE9" w:rsidRPr="006C1876" w:rsidRDefault="00614CE9"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FD042C3" w14:textId="77777777" w:rsidR="00614CE9" w:rsidRPr="006C1876" w:rsidRDefault="00614CE9"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private health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639E11D9" w14:textId="77777777" w:rsidR="00614CE9" w:rsidRPr="00BC1E70" w:rsidRDefault="00614C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421F97F6" w14:textId="77777777" w:rsidR="00614CE9" w:rsidRDefault="00614CE9" w:rsidP="00E71ED2">
      <w:pPr>
        <w:numPr>
          <w:ilvl w:val="0"/>
          <w:numId w:val="0"/>
        </w:numPr>
        <w:rPr>
          <w:rFonts w:ascii="Times New Roman" w:hAnsi="Times New Roman" w:cs="Times New Roman"/>
          <w:sz w:val="24"/>
          <w:szCs w:val="24"/>
        </w:rPr>
      </w:pPr>
      <w:r>
        <w:rPr>
          <w:rFonts w:ascii="Times New Roman" w:hAnsi="Times New Roman" w:cs="Times New Roman"/>
          <w:sz w:val="24"/>
          <w:szCs w:val="24"/>
        </w:rPr>
        <w:t>APRA undertook public consultation on proposed updates to private health insurance reporting standards</w:t>
      </w:r>
      <w:r>
        <w:rPr>
          <w:rStyle w:val="FootnoteReference"/>
          <w:rFonts w:ascii="Times New Roman" w:hAnsi="Times New Roman" w:cs="Times New Roman"/>
          <w:szCs w:val="24"/>
        </w:rPr>
        <w:footnoteReference w:id="3"/>
      </w:r>
      <w:r>
        <w:rPr>
          <w:rFonts w:ascii="Times New Roman" w:hAnsi="Times New Roman" w:cs="Times New Roman"/>
          <w:sz w:val="24"/>
          <w:szCs w:val="24"/>
        </w:rPr>
        <w:t>. Further details on the consultation are provided below.</w:t>
      </w:r>
    </w:p>
    <w:p w14:paraId="511581F2" w14:textId="77777777" w:rsidR="00614CE9" w:rsidRDefault="00614CE9" w:rsidP="00E71ED2">
      <w:pPr>
        <w:numPr>
          <w:ilvl w:val="0"/>
          <w:numId w:val="0"/>
        </w:numPr>
        <w:rPr>
          <w:rFonts w:ascii="Times New Roman" w:hAnsi="Times New Roman" w:cs="Times New Roman"/>
          <w:sz w:val="24"/>
          <w:szCs w:val="24"/>
        </w:rPr>
      </w:pPr>
      <w:r w:rsidRPr="00F16191">
        <w:rPr>
          <w:rFonts w:ascii="Times New Roman" w:hAnsi="Times New Roman" w:cs="Times New Roman"/>
          <w:sz w:val="24"/>
          <w:szCs w:val="24"/>
        </w:rPr>
        <w:t>On 13 December 2021, APRA released draft</w:t>
      </w:r>
      <w:r>
        <w:rPr>
          <w:rFonts w:ascii="Times New Roman" w:hAnsi="Times New Roman" w:cs="Times New Roman"/>
          <w:sz w:val="24"/>
          <w:szCs w:val="24"/>
        </w:rPr>
        <w:t xml:space="preserve"> reporting</w:t>
      </w:r>
      <w:r w:rsidRPr="00F16191">
        <w:rPr>
          <w:rFonts w:ascii="Times New Roman" w:hAnsi="Times New Roman" w:cs="Times New Roman"/>
          <w:sz w:val="24"/>
          <w:szCs w:val="24"/>
        </w:rPr>
        <w:t xml:space="preserve"> standards </w:t>
      </w:r>
      <w:r>
        <w:rPr>
          <w:rFonts w:ascii="Times New Roman" w:hAnsi="Times New Roman" w:cs="Times New Roman"/>
          <w:sz w:val="24"/>
          <w:szCs w:val="24"/>
        </w:rPr>
        <w:t xml:space="preserve">for consultation that </w:t>
      </w:r>
      <w:r w:rsidRPr="00F16191">
        <w:rPr>
          <w:rFonts w:ascii="Times New Roman" w:hAnsi="Times New Roman" w:cs="Times New Roman"/>
          <w:sz w:val="24"/>
          <w:szCs w:val="24"/>
        </w:rPr>
        <w:t>integrat</w:t>
      </w:r>
      <w:r>
        <w:rPr>
          <w:rFonts w:ascii="Times New Roman" w:hAnsi="Times New Roman" w:cs="Times New Roman"/>
          <w:sz w:val="24"/>
          <w:szCs w:val="24"/>
        </w:rPr>
        <w:t>ed</w:t>
      </w:r>
      <w:r w:rsidRPr="00F16191">
        <w:rPr>
          <w:rFonts w:ascii="Times New Roman" w:hAnsi="Times New Roman" w:cs="Times New Roman"/>
          <w:sz w:val="24"/>
          <w:szCs w:val="24"/>
        </w:rPr>
        <w:t xml:space="preserve"> </w:t>
      </w:r>
      <w:r>
        <w:rPr>
          <w:rFonts w:ascii="Times New Roman" w:hAnsi="Times New Roman" w:cs="Times New Roman"/>
          <w:sz w:val="24"/>
          <w:szCs w:val="24"/>
        </w:rPr>
        <w:t xml:space="preserve">the transition to </w:t>
      </w:r>
      <w:r w:rsidRPr="00F16191">
        <w:rPr>
          <w:rFonts w:ascii="Times New Roman" w:hAnsi="Times New Roman" w:cs="Times New Roman"/>
          <w:sz w:val="24"/>
          <w:szCs w:val="24"/>
        </w:rPr>
        <w:t xml:space="preserve">AASB 17 and </w:t>
      </w:r>
      <w:r>
        <w:rPr>
          <w:rFonts w:ascii="Times New Roman" w:hAnsi="Times New Roman" w:cs="Times New Roman"/>
          <w:sz w:val="24"/>
          <w:szCs w:val="24"/>
        </w:rPr>
        <w:t>proposed updates to the private health insurance capital framework</w:t>
      </w:r>
      <w:r>
        <w:rPr>
          <w:rStyle w:val="FootnoteReference"/>
          <w:rFonts w:ascii="Times New Roman" w:hAnsi="Times New Roman" w:cs="Times New Roman"/>
          <w:szCs w:val="24"/>
        </w:rPr>
        <w:footnoteReference w:id="4"/>
      </w:r>
      <w:r>
        <w:rPr>
          <w:rFonts w:ascii="Times New Roman" w:hAnsi="Times New Roman" w:cs="Times New Roman"/>
          <w:sz w:val="24"/>
          <w:szCs w:val="24"/>
        </w:rPr>
        <w:t xml:space="preserve">. </w:t>
      </w:r>
      <w:r w:rsidRPr="00CF3E83">
        <w:rPr>
          <w:rFonts w:ascii="Times New Roman" w:hAnsi="Times New Roman" w:cs="Times New Roman"/>
          <w:sz w:val="24"/>
          <w:szCs w:val="24"/>
        </w:rPr>
        <w:t>On 6 April 2022, APRA released additional draft life and general insurance reporting standards impacted by the introduction of</w:t>
      </w:r>
      <w:r>
        <w:rPr>
          <w:rFonts w:ascii="Times New Roman" w:hAnsi="Times New Roman" w:cs="Times New Roman"/>
          <w:sz w:val="24"/>
          <w:szCs w:val="24"/>
        </w:rPr>
        <w:t xml:space="preserve"> AASB 17</w:t>
      </w:r>
      <w:r>
        <w:rPr>
          <w:rStyle w:val="FootnoteReference"/>
          <w:rFonts w:ascii="Times New Roman" w:hAnsi="Times New Roman" w:cs="Times New Roman"/>
          <w:szCs w:val="24"/>
        </w:rPr>
        <w:footnoteReference w:id="5"/>
      </w:r>
      <w:r>
        <w:rPr>
          <w:rFonts w:ascii="Times New Roman" w:hAnsi="Times New Roman" w:cs="Times New Roman"/>
          <w:sz w:val="24"/>
          <w:szCs w:val="24"/>
        </w:rPr>
        <w:t xml:space="preserve">. As part of the April 2022 </w:t>
      </w:r>
      <w:r>
        <w:rPr>
          <w:rFonts w:ascii="Times New Roman" w:hAnsi="Times New Roman" w:cs="Times New Roman"/>
          <w:sz w:val="24"/>
          <w:szCs w:val="24"/>
        </w:rPr>
        <w:lastRenderedPageBreak/>
        <w:t xml:space="preserve">consultation, APRA also </w:t>
      </w:r>
      <w:r w:rsidRPr="00CF3E83">
        <w:rPr>
          <w:rFonts w:ascii="Times New Roman" w:hAnsi="Times New Roman" w:cs="Times New Roman"/>
          <w:sz w:val="24"/>
          <w:szCs w:val="24"/>
        </w:rPr>
        <w:t>releas</w:t>
      </w:r>
      <w:r>
        <w:rPr>
          <w:rFonts w:ascii="Times New Roman" w:hAnsi="Times New Roman" w:cs="Times New Roman"/>
          <w:sz w:val="24"/>
          <w:szCs w:val="24"/>
        </w:rPr>
        <w:t xml:space="preserve">ed </w:t>
      </w:r>
      <w:proofErr w:type="gramStart"/>
      <w:r w:rsidRPr="00CF3E83">
        <w:rPr>
          <w:rFonts w:ascii="Times New Roman" w:hAnsi="Times New Roman" w:cs="Times New Roman"/>
          <w:sz w:val="24"/>
          <w:szCs w:val="24"/>
        </w:rPr>
        <w:t>a number of</w:t>
      </w:r>
      <w:proofErr w:type="gramEnd"/>
      <w:r w:rsidRPr="00CF3E83">
        <w:rPr>
          <w:rFonts w:ascii="Times New Roman" w:hAnsi="Times New Roman" w:cs="Times New Roman"/>
          <w:sz w:val="24"/>
          <w:szCs w:val="24"/>
        </w:rPr>
        <w:t xml:space="preserve"> updates and clarifications to reporting standards that were released in December 2021</w:t>
      </w:r>
      <w:r>
        <w:rPr>
          <w:rFonts w:ascii="Times New Roman" w:hAnsi="Times New Roman" w:cs="Times New Roman"/>
          <w:sz w:val="24"/>
          <w:szCs w:val="24"/>
        </w:rPr>
        <w:t xml:space="preserve"> in response to industry feedback</w:t>
      </w:r>
      <w:r w:rsidRPr="00CF3E83">
        <w:rPr>
          <w:rFonts w:ascii="Times New Roman" w:hAnsi="Times New Roman" w:cs="Times New Roman"/>
          <w:sz w:val="24"/>
          <w:szCs w:val="24"/>
        </w:rPr>
        <w:t>.</w:t>
      </w:r>
    </w:p>
    <w:p w14:paraId="412708FD" w14:textId="77777777" w:rsidR="00614CE9" w:rsidRDefault="00614CE9" w:rsidP="00E71ED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 xml:space="preserve">inalised changes to the reporting framework for </w:t>
      </w:r>
      <w:r>
        <w:rPr>
          <w:rFonts w:ascii="Times New Roman" w:hAnsi="Times New Roman" w:cs="Times New Roman"/>
          <w:sz w:val="24"/>
          <w:szCs w:val="24"/>
        </w:rPr>
        <w:t xml:space="preserve">private health </w:t>
      </w:r>
      <w:r w:rsidRPr="004A1269">
        <w:rPr>
          <w:rFonts w:ascii="Times New Roman" w:hAnsi="Times New Roman" w:cs="Times New Roman"/>
          <w:sz w:val="24"/>
          <w:szCs w:val="24"/>
        </w:rPr>
        <w:t>insur</w:t>
      </w:r>
      <w:r>
        <w:rPr>
          <w:rFonts w:ascii="Times New Roman" w:hAnsi="Times New Roman" w:cs="Times New Roman"/>
          <w:sz w:val="24"/>
          <w:szCs w:val="24"/>
        </w:rPr>
        <w:t>ers, including finalised reporting standards</w:t>
      </w:r>
      <w:r>
        <w:rPr>
          <w:rStyle w:val="FootnoteReference"/>
          <w:rFonts w:ascii="Times New Roman" w:hAnsi="Times New Roman" w:cs="Times New Roman"/>
          <w:szCs w:val="24"/>
        </w:rPr>
        <w:footnoteReference w:id="6"/>
      </w:r>
      <w:r>
        <w:rPr>
          <w:rFonts w:ascii="Times New Roman" w:hAnsi="Times New Roman" w:cs="Times New Roman"/>
          <w:sz w:val="24"/>
          <w:szCs w:val="24"/>
        </w:rPr>
        <w:t>.</w:t>
      </w:r>
    </w:p>
    <w:p w14:paraId="1190B737" w14:textId="77777777" w:rsidR="00614CE9" w:rsidRDefault="00614CE9" w:rsidP="0006638F">
      <w:pPr>
        <w:numPr>
          <w:ilvl w:val="0"/>
          <w:numId w:val="0"/>
        </w:numPr>
        <w:rPr>
          <w:rFonts w:ascii="Times New Roman" w:hAnsi="Times New Roman"/>
          <w:sz w:val="24"/>
          <w:szCs w:val="24"/>
        </w:rPr>
      </w:pPr>
      <w:r>
        <w:rPr>
          <w:rFonts w:ascii="Times New Roman" w:hAnsi="Times New Roman"/>
          <w:sz w:val="24"/>
          <w:szCs w:val="24"/>
        </w:rPr>
        <w:t>Submissions were received from private health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77D182A2" w14:textId="77777777" w:rsidR="00614CE9" w:rsidRPr="00662401" w:rsidRDefault="00614CE9" w:rsidP="00ED4C82">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3B8D6FE5" w14:textId="77777777" w:rsidR="00614CE9" w:rsidRPr="00F921A4" w:rsidRDefault="00614CE9"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3C0A8586" w14:textId="77777777" w:rsidR="00614CE9" w:rsidRPr="00F921A4" w:rsidRDefault="00614CE9"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7AB13DA4" w14:textId="77777777" w:rsidR="00614CE9" w:rsidRPr="00DE1106" w:rsidRDefault="00614C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C96C638" w14:textId="77777777" w:rsidR="00614CE9" w:rsidRPr="00D5162F" w:rsidRDefault="00614C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3F3F461C" w14:textId="77777777" w:rsidR="00614CE9" w:rsidRPr="000A1A15" w:rsidRDefault="00614C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79716C12" w14:textId="77777777" w:rsidR="00614CE9" w:rsidRPr="00BC1E70" w:rsidRDefault="00614C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F4BEED2" w14:textId="77777777" w:rsidR="00614CE9" w:rsidRPr="00D5162F" w:rsidRDefault="00614C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6F15A090" w14:textId="77777777" w:rsidR="00614CE9" w:rsidRPr="008234D8" w:rsidRDefault="00614C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2BBDAFF2" w14:textId="77777777" w:rsidR="00614CE9" w:rsidRPr="008234D8" w:rsidRDefault="00614CE9"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1816C6">
        <w:rPr>
          <w:rFonts w:ascii="Times New Roman" w:eastAsia="Times New Roman" w:hAnsi="Times New Roman" w:cs="Times New Roman"/>
          <w:b/>
          <w:noProof/>
          <w:sz w:val="24"/>
          <w:szCs w:val="24"/>
          <w:lang w:eastAsia="en-AU"/>
        </w:rPr>
        <w:t>100</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2713A5AA" w14:textId="77777777" w:rsidR="00614CE9" w:rsidRPr="00CC30A1" w:rsidRDefault="00614CE9"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37C740ED" w14:textId="77777777" w:rsidR="00614CE9" w:rsidRPr="00DE1106" w:rsidRDefault="00614C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2129997" w14:textId="77777777" w:rsidR="00614CE9" w:rsidRDefault="00614CE9"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cs="Times New Roman"/>
          <w:sz w:val="24"/>
          <w:szCs w:val="24"/>
        </w:rPr>
        <w:t xml:space="preserve">determine a new </w:t>
      </w:r>
      <w:r>
        <w:rPr>
          <w:rFonts w:ascii="Times New Roman" w:hAnsi="Times New Roman" w:cs="Times New Roman"/>
          <w:i/>
          <w:sz w:val="24"/>
          <w:szCs w:val="24"/>
        </w:rPr>
        <w:t xml:space="preserve">Reporting Standard </w:t>
      </w:r>
      <w:r w:rsidRPr="001816C6">
        <w:rPr>
          <w:rFonts w:ascii="Times New Roman" w:hAnsi="Times New Roman" w:cs="Times New Roman"/>
          <w:i/>
          <w:noProof/>
          <w:sz w:val="24"/>
          <w:szCs w:val="24"/>
        </w:rPr>
        <w:t>HRS 110.0 Prescribed Capital Amount</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private health insurers. </w:t>
      </w:r>
    </w:p>
    <w:p w14:paraId="4E9B195C" w14:textId="77777777" w:rsidR="00614CE9" w:rsidRPr="00D615C7" w:rsidRDefault="00614C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F28C0A7" w14:textId="77777777" w:rsidR="00614CE9" w:rsidRPr="000A1A15" w:rsidRDefault="00614CE9"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4973A587" w14:textId="77777777" w:rsidR="00614CE9" w:rsidRPr="000A1A15" w:rsidRDefault="00614C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74A2043B" w14:textId="77777777" w:rsidR="00614CE9" w:rsidRPr="000A1A15" w:rsidRDefault="00614CE9"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0689439F" w14:textId="77777777" w:rsidR="00614CE9" w:rsidRDefault="00614CE9" w:rsidP="00A34ADD">
      <w:pPr>
        <w:rPr>
          <w:rFonts w:ascii="Times New Roman" w:hAnsi="Times New Roman" w:cs="Times New Roman"/>
        </w:rPr>
        <w:sectPr w:rsidR="00614CE9" w:rsidSect="00B06E21">
          <w:footerReference w:type="default" r:id="rId12"/>
          <w:pgSz w:w="11906" w:h="16838" w:code="9"/>
          <w:pgMar w:top="993" w:right="1440" w:bottom="1440" w:left="1440" w:header="567" w:footer="567" w:gutter="0"/>
          <w:pgNumType w:start="1"/>
          <w:cols w:space="708"/>
          <w:docGrid w:linePitch="360"/>
        </w:sectPr>
      </w:pPr>
    </w:p>
    <w:p w14:paraId="5AF3EBB9" w14:textId="77777777" w:rsidR="00614CE9" w:rsidRPr="00B06E21" w:rsidRDefault="00614CE9" w:rsidP="00A34ADD">
      <w:pPr>
        <w:rPr>
          <w:rFonts w:ascii="Times New Roman" w:hAnsi="Times New Roman" w:cs="Times New Roman"/>
        </w:rPr>
      </w:pPr>
    </w:p>
    <w:sectPr w:rsidR="00614CE9" w:rsidRPr="00B06E21" w:rsidSect="00614CE9">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E49A" w14:textId="77777777" w:rsidR="00614CE9" w:rsidRPr="000D4EDE" w:rsidRDefault="00614CE9" w:rsidP="000D4EDE">
      <w:r>
        <w:separator/>
      </w:r>
    </w:p>
  </w:endnote>
  <w:endnote w:type="continuationSeparator" w:id="0">
    <w:p w14:paraId="0E5630DF" w14:textId="77777777" w:rsidR="00614CE9" w:rsidRPr="000D4EDE" w:rsidRDefault="00614CE9" w:rsidP="000D4EDE">
      <w:r>
        <w:continuationSeparator/>
      </w:r>
    </w:p>
  </w:endnote>
  <w:endnote w:type="continuationNotice" w:id="1">
    <w:p w14:paraId="07A6951E" w14:textId="77777777" w:rsidR="00614CE9" w:rsidRDefault="00614C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105648"/>
      <w:docPartObj>
        <w:docPartGallery w:val="Page Numbers (Bottom of Page)"/>
        <w:docPartUnique/>
      </w:docPartObj>
    </w:sdtPr>
    <w:sdtEndPr>
      <w:rPr>
        <w:rFonts w:ascii="Times New Roman" w:hAnsi="Times New Roman" w:cs="Times New Roman"/>
        <w:noProof/>
        <w:sz w:val="24"/>
        <w:szCs w:val="24"/>
      </w:rPr>
    </w:sdtEndPr>
    <w:sdtContent>
      <w:p w14:paraId="28CB81F1" w14:textId="77777777" w:rsidR="00614CE9" w:rsidRPr="001F63DA" w:rsidRDefault="00614CE9"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825"/>
      <w:docPartObj>
        <w:docPartGallery w:val="Page Numbers (Bottom of Page)"/>
        <w:docPartUnique/>
      </w:docPartObj>
    </w:sdtPr>
    <w:sdtEndPr>
      <w:rPr>
        <w:rFonts w:ascii="Times New Roman" w:hAnsi="Times New Roman" w:cs="Times New Roman"/>
        <w:noProof/>
        <w:sz w:val="24"/>
        <w:szCs w:val="24"/>
      </w:rPr>
    </w:sdtEndPr>
    <w:sdtContent>
      <w:p w14:paraId="43F6E49F" w14:textId="77777777" w:rsidR="001F63DA" w:rsidRPr="001F63DA" w:rsidRDefault="001F63DA"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8816" w14:textId="77777777" w:rsidR="00614CE9" w:rsidRPr="000D4EDE" w:rsidRDefault="00614CE9" w:rsidP="000D4EDE">
      <w:r>
        <w:separator/>
      </w:r>
    </w:p>
  </w:footnote>
  <w:footnote w:type="continuationSeparator" w:id="0">
    <w:p w14:paraId="470EB7EB" w14:textId="77777777" w:rsidR="00614CE9" w:rsidRPr="000D4EDE" w:rsidRDefault="00614CE9" w:rsidP="000D4EDE">
      <w:r>
        <w:continuationSeparator/>
      </w:r>
    </w:p>
  </w:footnote>
  <w:footnote w:type="continuationNotice" w:id="1">
    <w:p w14:paraId="4E8047E0" w14:textId="77777777" w:rsidR="00614CE9" w:rsidRDefault="00614CE9">
      <w:pPr>
        <w:spacing w:after="0"/>
      </w:pPr>
    </w:p>
  </w:footnote>
  <w:footnote w:id="2">
    <w:p w14:paraId="3000CB34" w14:textId="77777777" w:rsidR="00614CE9" w:rsidRPr="005A4E5D" w:rsidRDefault="00614CE9">
      <w:pPr>
        <w:pStyle w:val="FootnoteText"/>
        <w:rPr>
          <w:rFonts w:ascii="Times New Roman" w:hAnsi="Times New Roman" w:cs="Times New Roman"/>
        </w:rPr>
      </w:pPr>
      <w:r w:rsidRPr="005A4E5D">
        <w:rPr>
          <w:rStyle w:val="FootnoteReference"/>
          <w:rFonts w:ascii="Times New Roman" w:hAnsi="Times New Roman" w:cs="Times New Roman"/>
        </w:rPr>
        <w:footnoteRef/>
      </w:r>
      <w:r w:rsidRPr="005A4E5D">
        <w:rPr>
          <w:rFonts w:ascii="Times New Roman" w:hAnsi="Times New Roman" w:cs="Times New Roman"/>
        </w:rPr>
        <w:t xml:space="preserve"> </w:t>
      </w:r>
      <w:hyperlink r:id="rId1" w:history="1">
        <w:r w:rsidRPr="005A4E5D">
          <w:rPr>
            <w:rStyle w:val="Hyperlink"/>
            <w:rFonts w:ascii="Times New Roman" w:hAnsi="Times New Roman" w:cs="Times New Roman"/>
          </w:rPr>
          <w:t>Private health insurance (PHI): prudential policy outlook</w:t>
        </w:r>
      </w:hyperlink>
    </w:p>
  </w:footnote>
  <w:footnote w:id="3">
    <w:p w14:paraId="2980630F" w14:textId="77777777" w:rsidR="00614CE9" w:rsidRPr="00E320F1" w:rsidRDefault="00614CE9">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2" w:history="1">
        <w:r w:rsidRPr="00E320F1">
          <w:rPr>
            <w:rStyle w:val="Hyperlink"/>
            <w:rFonts w:ascii="Times New Roman" w:hAnsi="Times New Roman" w:cs="Times New Roman"/>
          </w:rPr>
          <w:t>Review of the private health insurance capital framework | APRA</w:t>
        </w:r>
      </w:hyperlink>
    </w:p>
  </w:footnote>
  <w:footnote w:id="4">
    <w:p w14:paraId="3D64EFC5" w14:textId="77777777" w:rsidR="00614CE9" w:rsidRPr="00E320F1" w:rsidRDefault="00614CE9">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r>
        <w:rPr>
          <w:rFonts w:ascii="Times New Roman" w:hAnsi="Times New Roman" w:cs="Times New Roman"/>
        </w:rPr>
        <w:t>see previous.</w:t>
      </w:r>
    </w:p>
  </w:footnote>
  <w:footnote w:id="5">
    <w:p w14:paraId="644F30AE" w14:textId="77777777" w:rsidR="00614CE9" w:rsidRDefault="00614CE9">
      <w:pPr>
        <w:pStyle w:val="FootnoteText"/>
      </w:pPr>
      <w:r>
        <w:rPr>
          <w:rStyle w:val="FootnoteReference"/>
        </w:rPr>
        <w:footnoteRef/>
      </w:r>
      <w:r>
        <w:t xml:space="preserve"> </w:t>
      </w:r>
      <w:r>
        <w:rPr>
          <w:rFonts w:ascii="Times New Roman" w:hAnsi="Times New Roman" w:cs="Times New Roman"/>
        </w:rPr>
        <w:t>see previous.</w:t>
      </w:r>
    </w:p>
  </w:footnote>
  <w:footnote w:id="6">
    <w:p w14:paraId="4D0B746D" w14:textId="77777777" w:rsidR="00614CE9" w:rsidRDefault="00614CE9">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Pr>
          <w:rFonts w:ascii="Times New Roman" w:hAnsi="Times New Roman" w:cs="Times New Roman"/>
        </w:rPr>
        <w:t>see previous.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269"/>
    <w:rsid w:val="000C14D9"/>
    <w:rsid w:val="000C15C7"/>
    <w:rsid w:val="000D4EDE"/>
    <w:rsid w:val="000E2460"/>
    <w:rsid w:val="000E43AC"/>
    <w:rsid w:val="000E6E37"/>
    <w:rsid w:val="000F05AD"/>
    <w:rsid w:val="000F0E6F"/>
    <w:rsid w:val="000F62C5"/>
    <w:rsid w:val="001018A5"/>
    <w:rsid w:val="00106F56"/>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D0C02"/>
    <w:rsid w:val="001D3008"/>
    <w:rsid w:val="001D3D43"/>
    <w:rsid w:val="001E0F51"/>
    <w:rsid w:val="001E55BF"/>
    <w:rsid w:val="001E6375"/>
    <w:rsid w:val="001E6BCB"/>
    <w:rsid w:val="001F63DA"/>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97292"/>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F0135"/>
    <w:rsid w:val="002F0C2C"/>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679C"/>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2060"/>
    <w:rsid w:val="004B2359"/>
    <w:rsid w:val="004B584E"/>
    <w:rsid w:val="004C1106"/>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E4D8B"/>
    <w:rsid w:val="005E63CD"/>
    <w:rsid w:val="005F0C9F"/>
    <w:rsid w:val="005F29B7"/>
    <w:rsid w:val="00606EB5"/>
    <w:rsid w:val="00606FC8"/>
    <w:rsid w:val="00614CE9"/>
    <w:rsid w:val="00616C90"/>
    <w:rsid w:val="00617FDA"/>
    <w:rsid w:val="0062116F"/>
    <w:rsid w:val="006212E3"/>
    <w:rsid w:val="00623FD7"/>
    <w:rsid w:val="00626087"/>
    <w:rsid w:val="00634E4C"/>
    <w:rsid w:val="00636B8B"/>
    <w:rsid w:val="00641EAA"/>
    <w:rsid w:val="006427FE"/>
    <w:rsid w:val="00644872"/>
    <w:rsid w:val="00644DD4"/>
    <w:rsid w:val="006506C1"/>
    <w:rsid w:val="00657459"/>
    <w:rsid w:val="0065747A"/>
    <w:rsid w:val="00657EAF"/>
    <w:rsid w:val="00662401"/>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34F8"/>
    <w:rsid w:val="00714F78"/>
    <w:rsid w:val="007152B0"/>
    <w:rsid w:val="007170F7"/>
    <w:rsid w:val="00717589"/>
    <w:rsid w:val="00722F9F"/>
    <w:rsid w:val="007253B8"/>
    <w:rsid w:val="0073543C"/>
    <w:rsid w:val="00736E7D"/>
    <w:rsid w:val="00741EDB"/>
    <w:rsid w:val="0074284B"/>
    <w:rsid w:val="00743AE5"/>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507F"/>
    <w:rsid w:val="00775AA0"/>
    <w:rsid w:val="007770FA"/>
    <w:rsid w:val="00787BAE"/>
    <w:rsid w:val="00791738"/>
    <w:rsid w:val="00791780"/>
    <w:rsid w:val="00792D37"/>
    <w:rsid w:val="0079390C"/>
    <w:rsid w:val="007A0EB7"/>
    <w:rsid w:val="007B2C90"/>
    <w:rsid w:val="007B2E49"/>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07453"/>
    <w:rsid w:val="008125F8"/>
    <w:rsid w:val="008208A8"/>
    <w:rsid w:val="00821EFD"/>
    <w:rsid w:val="008234D8"/>
    <w:rsid w:val="00826012"/>
    <w:rsid w:val="00834CE0"/>
    <w:rsid w:val="0084110F"/>
    <w:rsid w:val="008435C8"/>
    <w:rsid w:val="00844B1D"/>
    <w:rsid w:val="00844F5C"/>
    <w:rsid w:val="00845843"/>
    <w:rsid w:val="00846D34"/>
    <w:rsid w:val="00852FDA"/>
    <w:rsid w:val="00854C33"/>
    <w:rsid w:val="008567D0"/>
    <w:rsid w:val="0086016F"/>
    <w:rsid w:val="00863020"/>
    <w:rsid w:val="008637EC"/>
    <w:rsid w:val="00867F68"/>
    <w:rsid w:val="00870BC6"/>
    <w:rsid w:val="00873384"/>
    <w:rsid w:val="00873721"/>
    <w:rsid w:val="00875DAD"/>
    <w:rsid w:val="00876761"/>
    <w:rsid w:val="00877B84"/>
    <w:rsid w:val="00877E5F"/>
    <w:rsid w:val="0088036D"/>
    <w:rsid w:val="00881155"/>
    <w:rsid w:val="00882892"/>
    <w:rsid w:val="00885A14"/>
    <w:rsid w:val="0088689B"/>
    <w:rsid w:val="0088756A"/>
    <w:rsid w:val="00890E4A"/>
    <w:rsid w:val="00890FA0"/>
    <w:rsid w:val="008947BF"/>
    <w:rsid w:val="008A0CAB"/>
    <w:rsid w:val="008A0CBE"/>
    <w:rsid w:val="008A1CA8"/>
    <w:rsid w:val="008A214D"/>
    <w:rsid w:val="008A4A5B"/>
    <w:rsid w:val="008A6F4A"/>
    <w:rsid w:val="008A72D2"/>
    <w:rsid w:val="008A74A3"/>
    <w:rsid w:val="008B6868"/>
    <w:rsid w:val="008B6D24"/>
    <w:rsid w:val="008C34F7"/>
    <w:rsid w:val="008C51FA"/>
    <w:rsid w:val="008C6A43"/>
    <w:rsid w:val="008D080C"/>
    <w:rsid w:val="008D1867"/>
    <w:rsid w:val="008D6437"/>
    <w:rsid w:val="008D6EDF"/>
    <w:rsid w:val="008D7428"/>
    <w:rsid w:val="008E3EF5"/>
    <w:rsid w:val="008E712A"/>
    <w:rsid w:val="008F33B5"/>
    <w:rsid w:val="008F361D"/>
    <w:rsid w:val="00901414"/>
    <w:rsid w:val="00906799"/>
    <w:rsid w:val="009136D0"/>
    <w:rsid w:val="009205B7"/>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3B38"/>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3D76"/>
    <w:rsid w:val="00A54193"/>
    <w:rsid w:val="00A62D31"/>
    <w:rsid w:val="00A63380"/>
    <w:rsid w:val="00A8129D"/>
    <w:rsid w:val="00A82188"/>
    <w:rsid w:val="00A865C7"/>
    <w:rsid w:val="00A909CC"/>
    <w:rsid w:val="00A942CA"/>
    <w:rsid w:val="00A95D5F"/>
    <w:rsid w:val="00A964A5"/>
    <w:rsid w:val="00A97E3B"/>
    <w:rsid w:val="00AA00CB"/>
    <w:rsid w:val="00AA20A1"/>
    <w:rsid w:val="00AA41F2"/>
    <w:rsid w:val="00AA555F"/>
    <w:rsid w:val="00AB039E"/>
    <w:rsid w:val="00AB1362"/>
    <w:rsid w:val="00AB2FFA"/>
    <w:rsid w:val="00AB4206"/>
    <w:rsid w:val="00AB556C"/>
    <w:rsid w:val="00AC1727"/>
    <w:rsid w:val="00AC6415"/>
    <w:rsid w:val="00AC6B54"/>
    <w:rsid w:val="00AC7E54"/>
    <w:rsid w:val="00AD51FB"/>
    <w:rsid w:val="00AD72D9"/>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900"/>
    <w:rsid w:val="00B467F6"/>
    <w:rsid w:val="00B472E1"/>
    <w:rsid w:val="00B52821"/>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311"/>
    <w:rsid w:val="00BA2713"/>
    <w:rsid w:val="00BA2941"/>
    <w:rsid w:val="00BA3358"/>
    <w:rsid w:val="00BA4C61"/>
    <w:rsid w:val="00BA627A"/>
    <w:rsid w:val="00BB22FA"/>
    <w:rsid w:val="00BC1E70"/>
    <w:rsid w:val="00BD12A1"/>
    <w:rsid w:val="00BD1C66"/>
    <w:rsid w:val="00BD1D09"/>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32220"/>
    <w:rsid w:val="00C3686B"/>
    <w:rsid w:val="00C42EA5"/>
    <w:rsid w:val="00C53367"/>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D01494"/>
    <w:rsid w:val="00D021F7"/>
    <w:rsid w:val="00D0248E"/>
    <w:rsid w:val="00D069C7"/>
    <w:rsid w:val="00D078A2"/>
    <w:rsid w:val="00D13B29"/>
    <w:rsid w:val="00D21123"/>
    <w:rsid w:val="00D21142"/>
    <w:rsid w:val="00D233D2"/>
    <w:rsid w:val="00D24BAC"/>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20AE"/>
    <w:rsid w:val="00D72FD8"/>
    <w:rsid w:val="00D92A45"/>
    <w:rsid w:val="00D9697A"/>
    <w:rsid w:val="00DA2B14"/>
    <w:rsid w:val="00DA3023"/>
    <w:rsid w:val="00DA4C48"/>
    <w:rsid w:val="00DA5B10"/>
    <w:rsid w:val="00DA727D"/>
    <w:rsid w:val="00DB53A7"/>
    <w:rsid w:val="00DC0B42"/>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478E"/>
    <w:rsid w:val="00E159D7"/>
    <w:rsid w:val="00E169BF"/>
    <w:rsid w:val="00E173B3"/>
    <w:rsid w:val="00E213AB"/>
    <w:rsid w:val="00E21653"/>
    <w:rsid w:val="00E21869"/>
    <w:rsid w:val="00E21C9B"/>
    <w:rsid w:val="00E22FD8"/>
    <w:rsid w:val="00E2414E"/>
    <w:rsid w:val="00E25E14"/>
    <w:rsid w:val="00E26830"/>
    <w:rsid w:val="00E26FAF"/>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0FDC"/>
    <w:rsid w:val="00EB15A6"/>
    <w:rsid w:val="00EB74A5"/>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303B2"/>
    <w:rsid w:val="00F307E0"/>
    <w:rsid w:val="00F34D63"/>
    <w:rsid w:val="00F41BD7"/>
    <w:rsid w:val="00F570F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0F41F"/>
  <w15:chartTrackingRefBased/>
  <w15:docId w15:val="{D42690C1-3849-4DD1-B098-FA5E090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ew-of-private-health-insurance-capital-framework" TargetMode="External"/><Relationship Id="rId1" Type="http://schemas.openxmlformats.org/officeDocument/2006/relationships/hyperlink" Target="https://www.apra.gov.au/sites/default/files/160728%2520LTI%2520PHI%2520roadmap%2520-%25201%25200.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purl.org/dc/terms/"/>
    <ds:schemaRef ds:uri="5e7d1d2f-1d1d-4328-b1c4-d23268d86024"/>
    <ds:schemaRef ds:uri="http://schemas.openxmlformats.org/package/2006/metadata/core-properties"/>
    <ds:schemaRef ds:uri="http://schemas.microsoft.com/office/infopath/2007/PartnerControls"/>
    <ds:schemaRef ds:uri="0873f81f-5545-4105-9cf3-1e567ff68fe4"/>
  </ds:schemaRefs>
</ds:datastoreItem>
</file>

<file path=customXml/itemProps3.xml><?xml version="1.0" encoding="utf-8"?>
<ds:datastoreItem xmlns:ds="http://schemas.openxmlformats.org/officeDocument/2006/customXml" ds:itemID="{E9C92558-3B3D-45CB-B861-CA583BD92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1920</Words>
  <Characters>10969</Characters>
  <Application>Microsoft Office Word</Application>
  <DocSecurity>4</DocSecurity>
  <Lines>182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Links>
    <vt:vector size="24" baseType="variant">
      <vt:variant>
        <vt:i4>1966102</vt:i4>
      </vt:variant>
      <vt:variant>
        <vt:i4>27</vt:i4>
      </vt:variant>
      <vt:variant>
        <vt:i4>0</vt:i4>
      </vt:variant>
      <vt:variant>
        <vt:i4>5</vt:i4>
      </vt:variant>
      <vt:variant>
        <vt:lpwstr>https://www.aasb.gov.au/pronouncements/accounting-standards/</vt:lpwstr>
      </vt:variant>
      <vt:variant>
        <vt:lpwstr/>
      </vt:variant>
      <vt:variant>
        <vt:i4>6946865</vt:i4>
      </vt:variant>
      <vt:variant>
        <vt:i4>24</vt:i4>
      </vt:variant>
      <vt:variant>
        <vt:i4>0</vt:i4>
      </vt:variant>
      <vt:variant>
        <vt:i4>5</vt:i4>
      </vt:variant>
      <vt:variant>
        <vt:lpwstr>http://www.legislation.gov.au/</vt:lpwstr>
      </vt:variant>
      <vt:variant>
        <vt:lpwstr/>
      </vt:variant>
      <vt:variant>
        <vt:i4>852036</vt:i4>
      </vt:variant>
      <vt:variant>
        <vt:i4>3</vt:i4>
      </vt:variant>
      <vt:variant>
        <vt:i4>0</vt:i4>
      </vt:variant>
      <vt:variant>
        <vt:i4>5</vt:i4>
      </vt:variant>
      <vt:variant>
        <vt:lpwstr>https://www.apra.gov.au/review-of-private-health-insurance-capital-framework</vt:lpwstr>
      </vt:variant>
      <vt:variant>
        <vt:lpwstr/>
      </vt:variant>
      <vt:variant>
        <vt:i4>5242952</vt:i4>
      </vt:variant>
      <vt:variant>
        <vt:i4>0</vt:i4>
      </vt:variant>
      <vt:variant>
        <vt:i4>0</vt:i4>
      </vt:variant>
      <vt:variant>
        <vt:i4>5</vt:i4>
      </vt:variant>
      <vt:variant>
        <vt:lpwstr>https://www.apra.gov.au/sites/default/files/160728%2520LTI%2520PHI%2520roadmap%2520-%25201%25200.pdf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2023-05-26T10:25:00Z</dcterms:created>
  <dcterms:modified xsi:type="dcterms:W3CDTF">2023-05-26T10:25:00Z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F878A9394FDA122928A67CE9088C1277</vt:lpwstr>
  </property>
  <property fmtid="{D5CDD505-2E9C-101B-9397-08002B2CF9AE}" pid="63" name="PM_Hash_Salt">
    <vt:lpwstr>7D132433D7CE1F79207D75A690A6A152</vt:lpwstr>
  </property>
  <property fmtid="{D5CDD505-2E9C-101B-9397-08002B2CF9AE}" pid="64" name="PM_Hash_SHA1">
    <vt:lpwstr>576A0281A2A11DCD5D44814E3095072D4FA4AD4E</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v=2022.1;a=SHA256;h=3B80E1B2B23B06DEA934F799C2B28E4E03577C9C14914F34BF0B273D0D3F0C70</vt:lpwstr>
  </property>
  <property fmtid="{D5CDD505-2E9C-101B-9397-08002B2CF9AE}" pid="67" name="MSIP_Label_c0129afb-6481-4f92-bc9f-5a4a6346364d_ActionId">
    <vt:lpwstr>3f51a8f1e5cd44aeb638f7a61a46a69e</vt:lpwstr>
  </property>
</Properties>
</file>