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0EEB" w14:textId="77777777" w:rsidR="00273E35" w:rsidRPr="00D951A5" w:rsidRDefault="00273E3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0A65B5F7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</w:p>
    <w:p w14:paraId="7213E6D7" w14:textId="77777777" w:rsidR="00C74A16" w:rsidRPr="006A75AF" w:rsidRDefault="003A7F0E" w:rsidP="00C74A16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214CCE8B" w:rsidR="00E82AAF" w:rsidRPr="006A75AF" w:rsidRDefault="000F334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463B5A" w:rsidRPr="00082B17">
        <w:rPr>
          <w:i/>
          <w:sz w:val="24"/>
          <w:szCs w:val="24"/>
        </w:rPr>
        <w:t>Rewiring the Nation Special Account 2023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6C7716">
      <w:pPr>
        <w:pStyle w:val="Heading3"/>
        <w:spacing w:before="360"/>
        <w:jc w:val="both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1A6FF0B2" w14:textId="1140A61F" w:rsidR="00B15A58" w:rsidRPr="00B641B5" w:rsidRDefault="00633F46" w:rsidP="00B15A58">
      <w:pPr>
        <w:pStyle w:val="BodyText"/>
        <w:spacing w:after="120"/>
        <w:jc w:val="both"/>
        <w:rPr>
          <w:i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8A26C4" w:rsidRPr="006A75AF">
        <w:t> </w:t>
      </w:r>
      <w:r w:rsidR="00590036" w:rsidRPr="006A75AF">
        <w:t>78(1)</w:t>
      </w:r>
      <w:r w:rsidR="00D5023A">
        <w:t xml:space="preserve"> </w:t>
      </w:r>
      <w:r w:rsidR="00590036" w:rsidRPr="006A75AF">
        <w:t xml:space="preserve">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Act</w:t>
      </w:r>
      <w:r w:rsidR="00590036" w:rsidRPr="006A75AF">
        <w:t xml:space="preserve">) </w:t>
      </w:r>
      <w:r w:rsidR="008A26C4" w:rsidRPr="006A75AF">
        <w:t xml:space="preserve">to </w:t>
      </w:r>
      <w:r w:rsidR="0068716F" w:rsidRPr="006A75AF">
        <w:t xml:space="preserve">establish </w:t>
      </w:r>
      <w:r w:rsidR="0066293D" w:rsidRPr="006A75AF">
        <w:rPr>
          <w:szCs w:val="24"/>
        </w:rPr>
        <w:t>the</w:t>
      </w:r>
      <w:r w:rsidR="002D4968" w:rsidRPr="006A75AF">
        <w:rPr>
          <w:szCs w:val="24"/>
        </w:rPr>
        <w:t xml:space="preserve"> </w:t>
      </w:r>
      <w:r w:rsidR="00463B5A" w:rsidRPr="00082B17">
        <w:rPr>
          <w:i/>
          <w:szCs w:val="24"/>
        </w:rPr>
        <w:t>Rewiring the Nation Special Account 2023</w:t>
      </w:r>
      <w:r w:rsidR="00262038" w:rsidRPr="006A75AF">
        <w:t xml:space="preserve"> (</w:t>
      </w:r>
      <w:r w:rsidR="00B745E0" w:rsidRPr="008A4A9C">
        <w:rPr>
          <w:b/>
        </w:rPr>
        <w:t>the special account</w:t>
      </w:r>
      <w:r w:rsidR="000C18CF" w:rsidRPr="006A75AF">
        <w:t>)</w:t>
      </w:r>
      <w:r w:rsidR="00615013" w:rsidRPr="006A75AF">
        <w:t xml:space="preserve"> </w:t>
      </w:r>
      <w:r w:rsidR="00ED3DED" w:rsidRPr="00015C70">
        <w:t>for</w:t>
      </w:r>
      <w:r w:rsidR="008C31F8">
        <w:t xml:space="preserve"> the</w:t>
      </w:r>
      <w:r w:rsidR="00ED3DED" w:rsidRPr="00015C70">
        <w:t xml:space="preserve"> </w:t>
      </w:r>
      <w:r w:rsidR="00463B5A">
        <w:t>Department of Climate Change, Energy, the Environment and Water (</w:t>
      </w:r>
      <w:r w:rsidR="00463B5A">
        <w:rPr>
          <w:b/>
        </w:rPr>
        <w:t>the Department)</w:t>
      </w:r>
      <w:r w:rsidR="00463B5A" w:rsidRPr="00015C70">
        <w:t>.</w:t>
      </w:r>
    </w:p>
    <w:p w14:paraId="167D1C4A" w14:textId="1B67CDC7" w:rsidR="00463B5A" w:rsidRDefault="001D782F" w:rsidP="00615013">
      <w:pPr>
        <w:pStyle w:val="BodyText"/>
        <w:spacing w:after="120"/>
        <w:jc w:val="both"/>
      </w:pPr>
      <w:r w:rsidRPr="00015C70">
        <w:t xml:space="preserve">The special account </w:t>
      </w:r>
      <w:r w:rsidR="003E2BBB" w:rsidRPr="00015C70">
        <w:t>is being established to</w:t>
      </w:r>
      <w:r w:rsidR="00ED3DED" w:rsidRPr="00015C70">
        <w:t xml:space="preserve"> </w:t>
      </w:r>
      <w:r w:rsidR="00B27B09" w:rsidRPr="00015C70">
        <w:t xml:space="preserve">enable </w:t>
      </w:r>
      <w:r w:rsidR="00463B5A">
        <w:t>the Department to</w:t>
      </w:r>
      <w:r w:rsidR="00FB7F32" w:rsidRPr="00FB7F32">
        <w:t xml:space="preserve"> accelerate the transmission projects required to increase the share of renewable energy in the grid, support the decarbonisation of </w:t>
      </w:r>
      <w:r w:rsidR="008C354B">
        <w:t>Australia’s</w:t>
      </w:r>
      <w:r w:rsidR="00FB7F32" w:rsidRPr="00FB7F32">
        <w:t xml:space="preserve"> electricity system and put downward pressure on energy </w:t>
      </w:r>
      <w:r w:rsidR="00E1015C" w:rsidRPr="00FB7F32">
        <w:t>prices.</w:t>
      </w:r>
      <w:r w:rsidR="008C354B">
        <w:t xml:space="preserve"> Funding from the special account will </w:t>
      </w:r>
      <w:r w:rsidR="00082B17">
        <w:t xml:space="preserve">provide </w:t>
      </w:r>
      <w:r w:rsidR="00FB7F32">
        <w:t xml:space="preserve">financing, </w:t>
      </w:r>
      <w:r w:rsidR="00082B17">
        <w:t>equity investments</w:t>
      </w:r>
      <w:r w:rsidR="00A82595">
        <w:t xml:space="preserve"> and underwriting</w:t>
      </w:r>
      <w:r w:rsidR="00082B17">
        <w:t xml:space="preserve"> to rewiring the nation</w:t>
      </w:r>
      <w:r w:rsidR="00832CA7">
        <w:t xml:space="preserve"> (RTN)</w:t>
      </w:r>
      <w:r w:rsidR="00082B17">
        <w:t xml:space="preserve"> projects in accordance with the following objectives:</w:t>
      </w:r>
    </w:p>
    <w:p w14:paraId="713A0F80" w14:textId="36B22E0E" w:rsidR="00082B17" w:rsidRDefault="00FB7F32" w:rsidP="00472D62">
      <w:pPr>
        <w:pStyle w:val="BodyText"/>
        <w:numPr>
          <w:ilvl w:val="0"/>
          <w:numId w:val="38"/>
        </w:numPr>
        <w:spacing w:after="120"/>
        <w:jc w:val="both"/>
      </w:pPr>
      <w:r w:rsidRPr="00FB7F32">
        <w:t xml:space="preserve">to build or upgrade new or existing transmission infrastructure, storage and other grid supporting infrastructure within Australia, including but not limited to land based, undersea and offshore transmission towers, lines and </w:t>
      </w:r>
      <w:proofErr w:type="gramStart"/>
      <w:r w:rsidRPr="00FB7F32">
        <w:t>interconnectors</w:t>
      </w:r>
      <w:r w:rsidR="00832CA7">
        <w:t>;</w:t>
      </w:r>
      <w:proofErr w:type="gramEnd"/>
      <w:r w:rsidRPr="00FB7F32">
        <w:t xml:space="preserve"> </w:t>
      </w:r>
    </w:p>
    <w:p w14:paraId="2D2B3BDD" w14:textId="5692D3BD" w:rsidR="00E23C2B" w:rsidRDefault="00E23C2B" w:rsidP="00082B17">
      <w:pPr>
        <w:pStyle w:val="BodyText"/>
        <w:numPr>
          <w:ilvl w:val="0"/>
          <w:numId w:val="38"/>
        </w:numPr>
        <w:spacing w:after="120"/>
        <w:jc w:val="both"/>
      </w:pPr>
      <w:r>
        <w:t>to accelerate</w:t>
      </w:r>
      <w:r w:rsidRPr="00A82595">
        <w:t xml:space="preserve"> implementation of the Australian Energy Market Operator’s Integrated System Plan</w:t>
      </w:r>
      <w:r>
        <w:t>,</w:t>
      </w:r>
      <w:r w:rsidRPr="00A82595">
        <w:t xml:space="preserve"> </w:t>
      </w:r>
    </w:p>
    <w:p w14:paraId="7B0EC7DC" w14:textId="2702AE5B" w:rsidR="00E23C2B" w:rsidRDefault="00E23C2B" w:rsidP="00082B17">
      <w:pPr>
        <w:pStyle w:val="BodyText"/>
        <w:numPr>
          <w:ilvl w:val="0"/>
          <w:numId w:val="38"/>
        </w:numPr>
        <w:spacing w:after="120"/>
        <w:jc w:val="both"/>
      </w:pPr>
      <w:r>
        <w:t xml:space="preserve">to </w:t>
      </w:r>
      <w:r w:rsidRPr="00A82595">
        <w:t>modernise Australia’s electricity grids, and support grid investments</w:t>
      </w:r>
      <w:r>
        <w:t xml:space="preserve"> </w:t>
      </w:r>
      <w:r w:rsidR="00C10591">
        <w:t>throughout</w:t>
      </w:r>
      <w:r>
        <w:t xml:space="preserve"> Australia</w:t>
      </w:r>
      <w:r w:rsidR="009A10D9">
        <w:t xml:space="preserve">, including </w:t>
      </w:r>
      <w:r w:rsidR="00E6030B">
        <w:t xml:space="preserve">the </w:t>
      </w:r>
      <w:r w:rsidR="009A10D9">
        <w:t xml:space="preserve">Northern Territory </w:t>
      </w:r>
      <w:r w:rsidR="00E6030B">
        <w:t xml:space="preserve">and Western </w:t>
      </w:r>
      <w:proofErr w:type="gramStart"/>
      <w:r w:rsidR="00E6030B">
        <w:t>Australia</w:t>
      </w:r>
      <w:r w:rsidR="00C10591">
        <w:t>;</w:t>
      </w:r>
      <w:proofErr w:type="gramEnd"/>
      <w:r>
        <w:t xml:space="preserve"> </w:t>
      </w:r>
    </w:p>
    <w:p w14:paraId="5EBB8E2E" w14:textId="310C6B87" w:rsidR="00A82595" w:rsidRPr="00A82595" w:rsidRDefault="00326B1C" w:rsidP="00FB7F32">
      <w:pPr>
        <w:pStyle w:val="BodyText"/>
        <w:numPr>
          <w:ilvl w:val="0"/>
          <w:numId w:val="38"/>
        </w:numPr>
        <w:spacing w:after="120"/>
        <w:jc w:val="both"/>
      </w:pPr>
      <w:r>
        <w:t xml:space="preserve">to </w:t>
      </w:r>
      <w:r w:rsidR="00A82595" w:rsidRPr="00A82595">
        <w:t xml:space="preserve">lower the cost of electricity bills for consumers by providing low-cost finance to reduce the cost of upgrading Australia’s critical transmission </w:t>
      </w:r>
      <w:proofErr w:type="gramStart"/>
      <w:r w:rsidR="00A82595" w:rsidRPr="00A82595">
        <w:t>infrastructure;</w:t>
      </w:r>
      <w:proofErr w:type="gramEnd"/>
    </w:p>
    <w:p w14:paraId="33FAC419" w14:textId="6D0FB35C" w:rsidR="00A82595" w:rsidRDefault="00326B1C" w:rsidP="00082B17">
      <w:pPr>
        <w:pStyle w:val="BodyText"/>
        <w:numPr>
          <w:ilvl w:val="0"/>
          <w:numId w:val="38"/>
        </w:numPr>
        <w:spacing w:after="120"/>
        <w:jc w:val="both"/>
      </w:pPr>
      <w:r>
        <w:t xml:space="preserve">to </w:t>
      </w:r>
      <w:r w:rsidR="00A82595">
        <w:t xml:space="preserve">increase </w:t>
      </w:r>
      <w:r w:rsidR="00A82595" w:rsidRPr="00A82595">
        <w:t xml:space="preserve">renewables in the grid and in turn </w:t>
      </w:r>
      <w:r w:rsidR="0066556D">
        <w:t>to ensure</w:t>
      </w:r>
      <w:r w:rsidR="0066556D" w:rsidRPr="00A82595">
        <w:t xml:space="preserve"> </w:t>
      </w:r>
      <w:r w:rsidR="00A82595" w:rsidRPr="00A82595">
        <w:t xml:space="preserve">that Australia gets to net zero emissions by 2050, </w:t>
      </w:r>
      <w:r w:rsidR="00733807">
        <w:t xml:space="preserve">and to </w:t>
      </w:r>
      <w:r w:rsidR="00A82595" w:rsidRPr="00A82595">
        <w:t>reduc</w:t>
      </w:r>
      <w:r w:rsidR="00A82595">
        <w:t>e</w:t>
      </w:r>
      <w:r w:rsidR="00A82595" w:rsidRPr="00A82595">
        <w:t xml:space="preserve"> wholesale power prices and exposure to volatile international energy markets; and</w:t>
      </w:r>
    </w:p>
    <w:p w14:paraId="4DEF0614" w14:textId="7424C0FD" w:rsidR="00A82595" w:rsidRDefault="00326B1C" w:rsidP="00082B17">
      <w:pPr>
        <w:pStyle w:val="BodyText"/>
        <w:numPr>
          <w:ilvl w:val="0"/>
          <w:numId w:val="38"/>
        </w:numPr>
        <w:spacing w:after="120"/>
        <w:jc w:val="both"/>
      </w:pPr>
      <w:r>
        <w:t xml:space="preserve">to </w:t>
      </w:r>
      <w:r w:rsidR="00A82595" w:rsidRPr="00A82595">
        <w:t xml:space="preserve">help manage the electricity system in delivering cheaper and more reliable electricity from where it is created, to households and businesses in remote, </w:t>
      </w:r>
      <w:proofErr w:type="gramStart"/>
      <w:r w:rsidR="00A82595" w:rsidRPr="00A82595">
        <w:t>rural</w:t>
      </w:r>
      <w:proofErr w:type="gramEnd"/>
      <w:r w:rsidR="00A82595" w:rsidRPr="00A82595">
        <w:t xml:space="preserve"> and metropolitan areas.</w:t>
      </w:r>
    </w:p>
    <w:p w14:paraId="39141B36" w14:textId="0E60CAA2" w:rsidR="003B7905" w:rsidRDefault="003B7905" w:rsidP="00615013">
      <w:pPr>
        <w:pStyle w:val="BodyText"/>
        <w:spacing w:after="120"/>
        <w:jc w:val="both"/>
      </w:pPr>
      <w:r>
        <w:t>The special account will also allow the Commonwealth to jointly provide f</w:t>
      </w:r>
      <w:r w:rsidRPr="000E1CE9">
        <w:t>inancing, equity investments and underwriting to</w:t>
      </w:r>
      <w:r>
        <w:t xml:space="preserve"> RTN projects with </w:t>
      </w:r>
      <w:r w:rsidRPr="003B7905">
        <w:t>private entities</w:t>
      </w:r>
      <w:r w:rsidR="003719B2">
        <w:t xml:space="preserve"> or </w:t>
      </w:r>
      <w:r w:rsidRPr="003B7905">
        <w:t>state</w:t>
      </w:r>
      <w:r>
        <w:t xml:space="preserve"> or </w:t>
      </w:r>
      <w:r w:rsidRPr="003B7905">
        <w:t>territory governments</w:t>
      </w:r>
      <w:r>
        <w:t>.</w:t>
      </w:r>
    </w:p>
    <w:p w14:paraId="4F0292B8" w14:textId="230D3B63" w:rsidR="000E1CE9" w:rsidRDefault="008C6B94" w:rsidP="00615013">
      <w:pPr>
        <w:pStyle w:val="BodyText"/>
        <w:spacing w:after="120"/>
        <w:jc w:val="both"/>
      </w:pPr>
      <w:r w:rsidRPr="00015C70">
        <w:t xml:space="preserve">The </w:t>
      </w:r>
      <w:r w:rsidR="00832CA7">
        <w:t xml:space="preserve">RTN program was announced in the 2022-23 October Budget under </w:t>
      </w:r>
      <w:r w:rsidR="001D1F0A">
        <w:t xml:space="preserve">the </w:t>
      </w:r>
      <w:r w:rsidR="00832CA7">
        <w:t>measure ‘</w:t>
      </w:r>
      <w:r w:rsidR="00832CA7" w:rsidRPr="00832CA7">
        <w:rPr>
          <w:i/>
          <w:iCs/>
        </w:rPr>
        <w:t>Powering Australia – Rewiring the Nation</w:t>
      </w:r>
      <w:r w:rsidR="00832CA7">
        <w:t xml:space="preserve">’. It </w:t>
      </w:r>
      <w:r w:rsidR="00832CA7" w:rsidRPr="00832CA7">
        <w:t xml:space="preserve">will provide $20.0 billion in funding to provide concessional loans and equity to invest in transmission infrastructure projects that will help strengthen, </w:t>
      </w:r>
      <w:proofErr w:type="gramStart"/>
      <w:r w:rsidR="00832CA7" w:rsidRPr="00832CA7">
        <w:t>grow</w:t>
      </w:r>
      <w:proofErr w:type="gramEnd"/>
      <w:r w:rsidR="00832CA7" w:rsidRPr="00832CA7">
        <w:t xml:space="preserve"> and transition Australia’s electricity grids. Under the RTN program, $19.0 billion will be delivered via the</w:t>
      </w:r>
      <w:r w:rsidR="009C07DB">
        <w:t xml:space="preserve"> existing</w:t>
      </w:r>
      <w:r w:rsidR="00832CA7" w:rsidRPr="00832CA7">
        <w:t xml:space="preserve"> Clean Energy Finance Corporation </w:t>
      </w:r>
      <w:r w:rsidR="009C07DB">
        <w:t>S</w:t>
      </w:r>
      <w:r w:rsidR="00832CA7" w:rsidRPr="00832CA7">
        <w:t xml:space="preserve">pecial </w:t>
      </w:r>
      <w:r w:rsidR="009C07DB">
        <w:t>A</w:t>
      </w:r>
      <w:r w:rsidR="00832CA7" w:rsidRPr="00832CA7">
        <w:t xml:space="preserve">ccount by amending the </w:t>
      </w:r>
      <w:r w:rsidR="00832CA7" w:rsidRPr="00832CA7">
        <w:rPr>
          <w:i/>
          <w:iCs/>
        </w:rPr>
        <w:t>Clean Energy Finance Corporation Act 2012</w:t>
      </w:r>
      <w:r w:rsidR="00832CA7" w:rsidRPr="00832CA7">
        <w:t>.</w:t>
      </w:r>
      <w:r w:rsidR="004311C4">
        <w:t xml:space="preserve"> </w:t>
      </w:r>
      <w:r w:rsidR="00832CA7" w:rsidRPr="00832CA7">
        <w:t xml:space="preserve">$1.0 billion will be delivered via the </w:t>
      </w:r>
      <w:r w:rsidR="00832CA7">
        <w:t xml:space="preserve">RTN </w:t>
      </w:r>
      <w:r w:rsidR="00832CA7" w:rsidRPr="00832CA7">
        <w:t>special account</w:t>
      </w:r>
      <w:r w:rsidR="00832CA7">
        <w:t xml:space="preserve"> by the Department.</w:t>
      </w:r>
      <w:r w:rsidR="0079649F">
        <w:t xml:space="preserve"> </w:t>
      </w:r>
      <w:r w:rsidR="0079649F" w:rsidRPr="0079649F">
        <w:t>After commencement of the special account,</w:t>
      </w:r>
      <w:r w:rsidR="0079649F">
        <w:t xml:space="preserve"> $1.0 billion</w:t>
      </w:r>
      <w:r w:rsidR="00723253">
        <w:t xml:space="preserve"> in</w:t>
      </w:r>
      <w:r w:rsidR="004E408B">
        <w:t xml:space="preserve"> funding</w:t>
      </w:r>
      <w:r w:rsidR="0079649F">
        <w:t xml:space="preserve"> will be credited to the special account over three years</w:t>
      </w:r>
      <w:r w:rsidR="004E408B">
        <w:t xml:space="preserve"> from the Department’s annual appropriations. Proceeds from financing and equity investments made from the special account will be credited to the special account for reinvestment. </w:t>
      </w:r>
    </w:p>
    <w:p w14:paraId="6F32DF6A" w14:textId="61BDB10A" w:rsidR="006A4B17" w:rsidRDefault="00794E03" w:rsidP="00615013">
      <w:pPr>
        <w:pStyle w:val="BodyText"/>
        <w:spacing w:after="120"/>
        <w:jc w:val="both"/>
      </w:pPr>
      <w:r>
        <w:t xml:space="preserve">Underwriting from the special account to RTN projects will be in accordance with </w:t>
      </w:r>
      <w:r w:rsidR="006A4B17">
        <w:t>P</w:t>
      </w:r>
      <w:r>
        <w:t xml:space="preserve">art 6 of the </w:t>
      </w:r>
      <w:r w:rsidRPr="00794E03">
        <w:rPr>
          <w:i/>
          <w:iCs/>
        </w:rPr>
        <w:t xml:space="preserve">Public Governance, Performance and Accountability (Finance Minister to Accountable </w:t>
      </w:r>
      <w:r w:rsidRPr="00794E03">
        <w:rPr>
          <w:i/>
          <w:iCs/>
        </w:rPr>
        <w:lastRenderedPageBreak/>
        <w:t>Authorities of Non-Corporate Commonwealth Entities) Delegation 202</w:t>
      </w:r>
      <w:r w:rsidRPr="00794E03">
        <w:t>2</w:t>
      </w:r>
      <w:r w:rsidR="00121876">
        <w:t xml:space="preserve"> (PGPA Delegation)</w:t>
      </w:r>
      <w:r w:rsidR="00802215">
        <w:t>, where applicable,</w:t>
      </w:r>
      <w:r>
        <w:t xml:space="preserve"> and cannot exceed the balance of the special account at any time. </w:t>
      </w:r>
      <w:r w:rsidR="006A4B17">
        <w:t>Whether underwriting, in the instance of a specific Rewiring the Nation project, involves</w:t>
      </w:r>
      <w:r w:rsidR="003B643D">
        <w:t xml:space="preserve"> the granting of</w:t>
      </w:r>
      <w:r w:rsidR="006A4B17">
        <w:t xml:space="preserve"> an indemnity, guarantee </w:t>
      </w:r>
      <w:r w:rsidR="003B643D">
        <w:t xml:space="preserve">or warranty </w:t>
      </w:r>
      <w:r w:rsidR="00FF3255">
        <w:t>within the meaning of</w:t>
      </w:r>
      <w:r w:rsidR="006A4B17">
        <w:t xml:space="preserve"> s 60 of the PGPA Act (which is the power delegated under P</w:t>
      </w:r>
      <w:r w:rsidR="00121876">
        <w:t>ar</w:t>
      </w:r>
      <w:r w:rsidR="006A4B17">
        <w:t xml:space="preserve">t 6 of the PGPA Delegation) will be considered on a case-by-case basis. </w:t>
      </w:r>
    </w:p>
    <w:p w14:paraId="526C9FB7" w14:textId="0DB1C7D1" w:rsidR="00F653FD" w:rsidRPr="006A75AF" w:rsidRDefault="00832CA7" w:rsidP="00615013">
      <w:pPr>
        <w:pStyle w:val="BodyText"/>
        <w:spacing w:after="120"/>
        <w:jc w:val="both"/>
      </w:pPr>
      <w:r>
        <w:t xml:space="preserve">The </w:t>
      </w:r>
      <w:r w:rsidR="008C6B94" w:rsidRPr="00015C70">
        <w:t xml:space="preserve">balance of the special account may be reduced without making a real or notional payment, </w:t>
      </w:r>
      <w:r w:rsidR="000F6648">
        <w:t>which would have the effect of reducing the available appropriation for the purposes of the special account</w:t>
      </w:r>
      <w:r w:rsidR="008C6B94" w:rsidRPr="00C4119E">
        <w:t>.</w:t>
      </w:r>
    </w:p>
    <w:p w14:paraId="1A2B7508" w14:textId="77777777" w:rsidR="00273E35" w:rsidRPr="006A75AF" w:rsidRDefault="00737093" w:rsidP="006C7716">
      <w:pPr>
        <w:pStyle w:val="Heading3"/>
        <w:spacing w:before="360"/>
        <w:jc w:val="both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B2599A">
      <w:pPr>
        <w:pStyle w:val="BodyText"/>
        <w:spacing w:before="120" w:after="120"/>
        <w:jc w:val="both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AA4A0C">
      <w:pPr>
        <w:pStyle w:val="BodyText"/>
        <w:spacing w:before="120" w:after="120"/>
        <w:jc w:val="both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AA4A0C">
      <w:pPr>
        <w:pStyle w:val="BodyText"/>
        <w:spacing w:before="120" w:after="120"/>
        <w:jc w:val="both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B2599A">
      <w:pPr>
        <w:pStyle w:val="Heading3"/>
        <w:spacing w:before="360"/>
        <w:jc w:val="both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1D6307C1" w14:textId="5D9BFF0A" w:rsidR="0060562B" w:rsidRPr="001D75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 xml:space="preserve">. </w:t>
      </w:r>
      <w:bookmarkStart w:id="2" w:name="_Hlk126935732"/>
      <w:r w:rsidRPr="00FD3B3D">
        <w:rPr>
          <w:szCs w:val="24"/>
        </w:rPr>
        <w:t>Special account determination may be</w:t>
      </w:r>
      <w:r w:rsidR="00E57092" w:rsidRPr="00FD3B3D">
        <w:rPr>
          <w:szCs w:val="24"/>
        </w:rPr>
        <w:t xml:space="preserve"> </w:t>
      </w:r>
      <w:r w:rsidR="00F305DD" w:rsidRPr="00FD3B3D">
        <w:rPr>
          <w:szCs w:val="24"/>
        </w:rPr>
        <w:t xml:space="preserve">made </w:t>
      </w:r>
      <w:r w:rsidR="000C18CF" w:rsidRPr="00FD3B3D">
        <w:rPr>
          <w:szCs w:val="24"/>
        </w:rPr>
        <w:t>in accordance with subsection</w:t>
      </w:r>
      <w:r w:rsidR="004920D0" w:rsidRPr="00FD3B3D">
        <w:rPr>
          <w:szCs w:val="24"/>
        </w:rPr>
        <w:t> </w:t>
      </w:r>
      <w:r w:rsidR="004F69A4" w:rsidRPr="00FD3B3D">
        <w:rPr>
          <w:szCs w:val="24"/>
        </w:rPr>
        <w:t>78(</w:t>
      </w:r>
      <w:r w:rsidR="00E57092" w:rsidRPr="00FD3B3D">
        <w:rPr>
          <w:szCs w:val="24"/>
        </w:rPr>
        <w:t>1</w:t>
      </w:r>
      <w:r w:rsidR="004F69A4" w:rsidRPr="00FD3B3D">
        <w:rPr>
          <w:szCs w:val="24"/>
        </w:rPr>
        <w:t>)</w:t>
      </w:r>
      <w:r w:rsidR="000C18CF" w:rsidRPr="00FD3B3D">
        <w:rPr>
          <w:szCs w:val="24"/>
        </w:rPr>
        <w:t xml:space="preserve"> of the PGPA Act.</w:t>
      </w:r>
      <w:bookmarkEnd w:id="2"/>
    </w:p>
    <w:p w14:paraId="7B2D366D" w14:textId="77777777" w:rsidR="00DC085D" w:rsidRDefault="00370E0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</w:t>
      </w:r>
      <w:proofErr w:type="gramStart"/>
      <w:r w:rsidRPr="001D750E">
        <w:rPr>
          <w:sz w:val="24"/>
          <w:szCs w:val="24"/>
        </w:rPr>
        <w:t>Finance Minister</w:t>
      </w:r>
      <w:proofErr w:type="gramEnd"/>
      <w:r w:rsidRPr="001D750E">
        <w:rPr>
          <w:sz w:val="24"/>
          <w:szCs w:val="24"/>
        </w:rPr>
        <w:t xml:space="preserve">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</w:p>
    <w:p w14:paraId="108DE019" w14:textId="77777777" w:rsidR="00B2599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3CB71FBB" w:rsidR="00370E0A" w:rsidRPr="001D750E" w:rsidRDefault="00B2599A" w:rsidP="00370E0A">
      <w:pPr>
        <w:spacing w:before="120" w:after="120"/>
        <w:jc w:val="both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1D750E">
        <w:rPr>
          <w:sz w:val="24"/>
          <w:szCs w:val="24"/>
        </w:rPr>
        <w:t>a special account d</w:t>
      </w:r>
      <w:r w:rsidR="00370E0A" w:rsidRPr="001D750E">
        <w:rPr>
          <w:sz w:val="24"/>
          <w:szCs w:val="24"/>
        </w:rPr>
        <w:t xml:space="preserve">etermination, </w:t>
      </w:r>
      <w:r w:rsidR="002A7FD7" w:rsidRPr="001D750E">
        <w:rPr>
          <w:sz w:val="24"/>
          <w:szCs w:val="24"/>
        </w:rPr>
        <w:t>under subsection</w:t>
      </w:r>
      <w:r w:rsidR="004920D0">
        <w:rPr>
          <w:sz w:val="24"/>
          <w:szCs w:val="24"/>
        </w:rPr>
        <w:t> </w:t>
      </w:r>
      <w:r w:rsidR="002A7FD7" w:rsidRPr="001D750E">
        <w:rPr>
          <w:sz w:val="24"/>
          <w:szCs w:val="24"/>
        </w:rPr>
        <w:t xml:space="preserve">79(5) </w:t>
      </w:r>
      <w:r w:rsidR="00370E0A" w:rsidRPr="001D750E">
        <w:rPr>
          <w:sz w:val="24"/>
          <w:szCs w:val="24"/>
        </w:rPr>
        <w:t xml:space="preserve">it </w:t>
      </w:r>
      <w:r w:rsidR="00D5023A">
        <w:rPr>
          <w:sz w:val="24"/>
          <w:szCs w:val="24"/>
        </w:rPr>
        <w:t>commences</w:t>
      </w:r>
      <w:r w:rsidR="00370E0A" w:rsidRPr="001D750E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D5023A">
        <w:rPr>
          <w:sz w:val="24"/>
          <w:szCs w:val="24"/>
        </w:rPr>
        <w:t xml:space="preserve"> </w:t>
      </w:r>
      <w:r w:rsidR="00D5023A" w:rsidRPr="00E1015C">
        <w:rPr>
          <w:sz w:val="24"/>
          <w:szCs w:val="24"/>
        </w:rPr>
        <w:t xml:space="preserve">This determination </w:t>
      </w:r>
      <w:r w:rsidR="0081024F" w:rsidRPr="00E1015C">
        <w:rPr>
          <w:sz w:val="24"/>
          <w:szCs w:val="24"/>
        </w:rPr>
        <w:t>specifies that it will commence on the later of the day immediately after the last day on which it could have been disallowed</w:t>
      </w:r>
      <w:r w:rsidR="00E1015C">
        <w:rPr>
          <w:sz w:val="24"/>
          <w:szCs w:val="24"/>
        </w:rPr>
        <w:t xml:space="preserve"> and 1 July 2023.</w:t>
      </w:r>
      <w:bookmarkStart w:id="3" w:name="_Hlk126934047"/>
      <w:r w:rsidR="00A80B40">
        <w:rPr>
          <w:sz w:val="24"/>
          <w:szCs w:val="24"/>
        </w:rPr>
        <w:t xml:space="preserve"> </w:t>
      </w:r>
      <w:r w:rsidR="00ED1AE1" w:rsidRPr="00ED1AE1">
        <w:rPr>
          <w:sz w:val="24"/>
          <w:szCs w:val="24"/>
        </w:rPr>
        <w:t xml:space="preserve">The </w:t>
      </w:r>
      <w:r w:rsidR="0029170A">
        <w:rPr>
          <w:sz w:val="24"/>
          <w:szCs w:val="24"/>
        </w:rPr>
        <w:t>Secretary of the Department</w:t>
      </w:r>
      <w:r w:rsidR="00B15A58">
        <w:rPr>
          <w:sz w:val="24"/>
          <w:szCs w:val="24"/>
        </w:rPr>
        <w:t xml:space="preserve"> </w:t>
      </w:r>
      <w:r w:rsidR="00ED1AE1" w:rsidRPr="002E3959">
        <w:rPr>
          <w:sz w:val="24"/>
          <w:szCs w:val="24"/>
        </w:rPr>
        <w:t>will be the accountable authority responsible for the special account on commencement of this determination.</w:t>
      </w:r>
    </w:p>
    <w:bookmarkEnd w:id="3"/>
    <w:p w14:paraId="3EE38896" w14:textId="77777777" w:rsidR="002C1B86" w:rsidRPr="001D750E" w:rsidRDefault="002C1B86" w:rsidP="000F675C">
      <w:pPr>
        <w:pStyle w:val="Heading3"/>
        <w:keepLines/>
        <w:spacing w:before="360"/>
        <w:jc w:val="both"/>
        <w:rPr>
          <w:i/>
          <w:iCs/>
        </w:rPr>
      </w:pPr>
      <w:r w:rsidRPr="001D750E">
        <w:rPr>
          <w:i/>
          <w:iCs/>
        </w:rPr>
        <w:lastRenderedPageBreak/>
        <w:t>Human Rights</w:t>
      </w:r>
    </w:p>
    <w:p w14:paraId="39FBC147" w14:textId="77777777" w:rsidR="00844922" w:rsidRPr="001D750E" w:rsidRDefault="00844922" w:rsidP="000F675C">
      <w:pPr>
        <w:keepNext/>
        <w:keepLines/>
        <w:spacing w:before="120" w:after="120"/>
        <w:jc w:val="both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6C7716">
      <w:pPr>
        <w:pStyle w:val="Heading3"/>
        <w:spacing w:before="360"/>
        <w:jc w:val="both"/>
        <w:rPr>
          <w:i/>
        </w:rPr>
      </w:pPr>
      <w:r w:rsidRPr="001D750E">
        <w:rPr>
          <w:i/>
        </w:rPr>
        <w:t>Consultation</w:t>
      </w:r>
    </w:p>
    <w:p w14:paraId="51187965" w14:textId="7831A17D" w:rsidR="0068716F" w:rsidRDefault="00D91A86" w:rsidP="008D675F">
      <w:pPr>
        <w:pStyle w:val="BodyText"/>
        <w:spacing w:after="240"/>
        <w:jc w:val="both"/>
      </w:pPr>
      <w:r>
        <w:t xml:space="preserve">The </w:t>
      </w:r>
      <w:r w:rsidR="0029170A" w:rsidRPr="0029170A">
        <w:t xml:space="preserve">Department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17AB" w14:textId="77777777" w:rsidR="000142EB" w:rsidRDefault="000142EB">
      <w:r>
        <w:separator/>
      </w:r>
    </w:p>
  </w:endnote>
  <w:endnote w:type="continuationSeparator" w:id="0">
    <w:p w14:paraId="6BB00A2B" w14:textId="77777777" w:rsidR="000142EB" w:rsidRDefault="000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42761ABD" w:rsidR="00CE0AB2" w:rsidRPr="006D49FD" w:rsidRDefault="00C9605C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FA2A8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FA2A8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EAFC" w14:textId="77777777" w:rsidR="000142EB" w:rsidRDefault="000142EB">
      <w:r>
        <w:separator/>
      </w:r>
    </w:p>
  </w:footnote>
  <w:footnote w:type="continuationSeparator" w:id="0">
    <w:p w14:paraId="7B7C9327" w14:textId="77777777" w:rsidR="000142EB" w:rsidRDefault="000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B364C"/>
    <w:multiLevelType w:val="hybridMultilevel"/>
    <w:tmpl w:val="6AC44118"/>
    <w:lvl w:ilvl="0" w:tplc="DB5E3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3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7674">
    <w:abstractNumId w:val="1"/>
  </w:num>
  <w:num w:numId="2" w16cid:durableId="42604052">
    <w:abstractNumId w:val="16"/>
  </w:num>
  <w:num w:numId="3" w16cid:durableId="2059665910">
    <w:abstractNumId w:val="33"/>
  </w:num>
  <w:num w:numId="4" w16cid:durableId="698509926">
    <w:abstractNumId w:val="14"/>
  </w:num>
  <w:num w:numId="5" w16cid:durableId="1554198861">
    <w:abstractNumId w:val="19"/>
  </w:num>
  <w:num w:numId="6" w16cid:durableId="1192302855">
    <w:abstractNumId w:val="2"/>
  </w:num>
  <w:num w:numId="7" w16cid:durableId="1425540310">
    <w:abstractNumId w:val="21"/>
  </w:num>
  <w:num w:numId="8" w16cid:durableId="1365402807">
    <w:abstractNumId w:val="35"/>
  </w:num>
  <w:num w:numId="9" w16cid:durableId="1608778653">
    <w:abstractNumId w:val="20"/>
  </w:num>
  <w:num w:numId="10" w16cid:durableId="1324913">
    <w:abstractNumId w:val="36"/>
  </w:num>
  <w:num w:numId="11" w16cid:durableId="755443506">
    <w:abstractNumId w:val="10"/>
  </w:num>
  <w:num w:numId="12" w16cid:durableId="1512838051">
    <w:abstractNumId w:val="9"/>
  </w:num>
  <w:num w:numId="13" w16cid:durableId="264387568">
    <w:abstractNumId w:val="15"/>
  </w:num>
  <w:num w:numId="14" w16cid:durableId="2107576678">
    <w:abstractNumId w:val="5"/>
  </w:num>
  <w:num w:numId="15" w16cid:durableId="2060013090">
    <w:abstractNumId w:val="25"/>
  </w:num>
  <w:num w:numId="16" w16cid:durableId="460341757">
    <w:abstractNumId w:val="11"/>
  </w:num>
  <w:num w:numId="17" w16cid:durableId="1323197700">
    <w:abstractNumId w:val="23"/>
  </w:num>
  <w:num w:numId="18" w16cid:durableId="1215122980">
    <w:abstractNumId w:val="8"/>
  </w:num>
  <w:num w:numId="19" w16cid:durableId="202905060">
    <w:abstractNumId w:val="26"/>
  </w:num>
  <w:num w:numId="20" w16cid:durableId="202838294">
    <w:abstractNumId w:val="32"/>
  </w:num>
  <w:num w:numId="21" w16cid:durableId="266933169">
    <w:abstractNumId w:val="31"/>
  </w:num>
  <w:num w:numId="22" w16cid:durableId="2139761986">
    <w:abstractNumId w:val="17"/>
  </w:num>
  <w:num w:numId="23" w16cid:durableId="764612399">
    <w:abstractNumId w:val="28"/>
  </w:num>
  <w:num w:numId="24" w16cid:durableId="1500079717">
    <w:abstractNumId w:val="29"/>
  </w:num>
  <w:num w:numId="25" w16cid:durableId="1683432871">
    <w:abstractNumId w:val="24"/>
  </w:num>
  <w:num w:numId="26" w16cid:durableId="1387871927">
    <w:abstractNumId w:val="6"/>
  </w:num>
  <w:num w:numId="27" w16cid:durableId="59866835">
    <w:abstractNumId w:val="34"/>
  </w:num>
  <w:num w:numId="28" w16cid:durableId="1628002539">
    <w:abstractNumId w:val="7"/>
  </w:num>
  <w:num w:numId="29" w16cid:durableId="663976553">
    <w:abstractNumId w:val="18"/>
  </w:num>
  <w:num w:numId="30" w16cid:durableId="200560920">
    <w:abstractNumId w:val="27"/>
  </w:num>
  <w:num w:numId="31" w16cid:durableId="2080976910">
    <w:abstractNumId w:val="30"/>
  </w:num>
  <w:num w:numId="32" w16cid:durableId="15469273">
    <w:abstractNumId w:val="4"/>
  </w:num>
  <w:num w:numId="33" w16cid:durableId="1983777853">
    <w:abstractNumId w:val="37"/>
  </w:num>
  <w:num w:numId="34" w16cid:durableId="375664341">
    <w:abstractNumId w:val="13"/>
  </w:num>
  <w:num w:numId="35" w16cid:durableId="2026864402">
    <w:abstractNumId w:val="12"/>
  </w:num>
  <w:num w:numId="36" w16cid:durableId="330564467">
    <w:abstractNumId w:val="0"/>
  </w:num>
  <w:num w:numId="37" w16cid:durableId="483010059">
    <w:abstractNumId w:val="3"/>
  </w:num>
  <w:num w:numId="38" w16cid:durableId="8621307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2B17"/>
    <w:rsid w:val="00084971"/>
    <w:rsid w:val="000852B7"/>
    <w:rsid w:val="000852E0"/>
    <w:rsid w:val="0008621E"/>
    <w:rsid w:val="000902DE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1CE9"/>
    <w:rsid w:val="000E2E50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1876"/>
    <w:rsid w:val="00123EFB"/>
    <w:rsid w:val="001248A4"/>
    <w:rsid w:val="00124DFD"/>
    <w:rsid w:val="00125C71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57BD8"/>
    <w:rsid w:val="00167476"/>
    <w:rsid w:val="001676F1"/>
    <w:rsid w:val="00171DF1"/>
    <w:rsid w:val="00175F10"/>
    <w:rsid w:val="0017703D"/>
    <w:rsid w:val="00181305"/>
    <w:rsid w:val="0018276C"/>
    <w:rsid w:val="00187BC1"/>
    <w:rsid w:val="001919E4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1F0A"/>
    <w:rsid w:val="001D4657"/>
    <w:rsid w:val="001D52DF"/>
    <w:rsid w:val="001D5936"/>
    <w:rsid w:val="001D750E"/>
    <w:rsid w:val="001D782F"/>
    <w:rsid w:val="001E0BD9"/>
    <w:rsid w:val="001E169C"/>
    <w:rsid w:val="001E1A9A"/>
    <w:rsid w:val="001E1F94"/>
    <w:rsid w:val="001E1FEC"/>
    <w:rsid w:val="001E3D16"/>
    <w:rsid w:val="001E6DF8"/>
    <w:rsid w:val="001E7E8F"/>
    <w:rsid w:val="001F2C32"/>
    <w:rsid w:val="001F6A40"/>
    <w:rsid w:val="00202F51"/>
    <w:rsid w:val="00210897"/>
    <w:rsid w:val="00212DDB"/>
    <w:rsid w:val="00213BB6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0EA8"/>
    <w:rsid w:val="00271770"/>
    <w:rsid w:val="00273A40"/>
    <w:rsid w:val="00273E35"/>
    <w:rsid w:val="00275477"/>
    <w:rsid w:val="00282B13"/>
    <w:rsid w:val="00282B66"/>
    <w:rsid w:val="00283985"/>
    <w:rsid w:val="00290B74"/>
    <w:rsid w:val="0029170A"/>
    <w:rsid w:val="00293C23"/>
    <w:rsid w:val="00294916"/>
    <w:rsid w:val="002974EA"/>
    <w:rsid w:val="00297A0E"/>
    <w:rsid w:val="002A0851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B1C"/>
    <w:rsid w:val="00326C34"/>
    <w:rsid w:val="00327CCD"/>
    <w:rsid w:val="003300FB"/>
    <w:rsid w:val="003317F1"/>
    <w:rsid w:val="00335424"/>
    <w:rsid w:val="003432DA"/>
    <w:rsid w:val="00343AC3"/>
    <w:rsid w:val="00345E56"/>
    <w:rsid w:val="00346038"/>
    <w:rsid w:val="0035216B"/>
    <w:rsid w:val="00352735"/>
    <w:rsid w:val="00354554"/>
    <w:rsid w:val="00364593"/>
    <w:rsid w:val="00370479"/>
    <w:rsid w:val="00370E0A"/>
    <w:rsid w:val="003719B2"/>
    <w:rsid w:val="00373BDA"/>
    <w:rsid w:val="003811B3"/>
    <w:rsid w:val="003878DE"/>
    <w:rsid w:val="00387B28"/>
    <w:rsid w:val="00387EF7"/>
    <w:rsid w:val="0039137F"/>
    <w:rsid w:val="00391397"/>
    <w:rsid w:val="0039731B"/>
    <w:rsid w:val="003A1D30"/>
    <w:rsid w:val="003A5972"/>
    <w:rsid w:val="003A5CB9"/>
    <w:rsid w:val="003A5EAC"/>
    <w:rsid w:val="003A7F0E"/>
    <w:rsid w:val="003B43D3"/>
    <w:rsid w:val="003B59BB"/>
    <w:rsid w:val="003B643D"/>
    <w:rsid w:val="003B7905"/>
    <w:rsid w:val="003C2C49"/>
    <w:rsid w:val="003C4DCE"/>
    <w:rsid w:val="003D2902"/>
    <w:rsid w:val="003D3AE3"/>
    <w:rsid w:val="003D702D"/>
    <w:rsid w:val="003D7F26"/>
    <w:rsid w:val="003E2BBB"/>
    <w:rsid w:val="003E35F9"/>
    <w:rsid w:val="003F1223"/>
    <w:rsid w:val="003F6F38"/>
    <w:rsid w:val="003F7998"/>
    <w:rsid w:val="0040171D"/>
    <w:rsid w:val="00402FD8"/>
    <w:rsid w:val="004077C4"/>
    <w:rsid w:val="00421747"/>
    <w:rsid w:val="00421DE2"/>
    <w:rsid w:val="00423BAD"/>
    <w:rsid w:val="004260F8"/>
    <w:rsid w:val="00426532"/>
    <w:rsid w:val="00430105"/>
    <w:rsid w:val="004311C4"/>
    <w:rsid w:val="00434B14"/>
    <w:rsid w:val="004459DA"/>
    <w:rsid w:val="0045109E"/>
    <w:rsid w:val="004510A4"/>
    <w:rsid w:val="00453D35"/>
    <w:rsid w:val="0046173D"/>
    <w:rsid w:val="00461954"/>
    <w:rsid w:val="00463304"/>
    <w:rsid w:val="00463B5A"/>
    <w:rsid w:val="004641E6"/>
    <w:rsid w:val="00471068"/>
    <w:rsid w:val="0047260E"/>
    <w:rsid w:val="00472D62"/>
    <w:rsid w:val="0048239C"/>
    <w:rsid w:val="00486C03"/>
    <w:rsid w:val="00487551"/>
    <w:rsid w:val="004876C4"/>
    <w:rsid w:val="004903B3"/>
    <w:rsid w:val="0049102F"/>
    <w:rsid w:val="0049205A"/>
    <w:rsid w:val="004920D0"/>
    <w:rsid w:val="00492280"/>
    <w:rsid w:val="004A04AF"/>
    <w:rsid w:val="004A057F"/>
    <w:rsid w:val="004A31B6"/>
    <w:rsid w:val="004B1F89"/>
    <w:rsid w:val="004B379B"/>
    <w:rsid w:val="004B4939"/>
    <w:rsid w:val="004C4218"/>
    <w:rsid w:val="004C599B"/>
    <w:rsid w:val="004C5C3C"/>
    <w:rsid w:val="004C6029"/>
    <w:rsid w:val="004D2DA6"/>
    <w:rsid w:val="004D5DE2"/>
    <w:rsid w:val="004D6F68"/>
    <w:rsid w:val="004D795E"/>
    <w:rsid w:val="004E0AE7"/>
    <w:rsid w:val="004E408B"/>
    <w:rsid w:val="004F2250"/>
    <w:rsid w:val="004F3784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1D34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7360"/>
    <w:rsid w:val="005A201A"/>
    <w:rsid w:val="005A2E0A"/>
    <w:rsid w:val="005A660F"/>
    <w:rsid w:val="005A6C7F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E65F4"/>
    <w:rsid w:val="005F1F58"/>
    <w:rsid w:val="005F44C2"/>
    <w:rsid w:val="005F5322"/>
    <w:rsid w:val="00601970"/>
    <w:rsid w:val="00601B7F"/>
    <w:rsid w:val="00602BCE"/>
    <w:rsid w:val="00604E38"/>
    <w:rsid w:val="0060562B"/>
    <w:rsid w:val="0060592C"/>
    <w:rsid w:val="0060595D"/>
    <w:rsid w:val="00607E3D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56D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3D60"/>
    <w:rsid w:val="00684408"/>
    <w:rsid w:val="0068716F"/>
    <w:rsid w:val="00693C5D"/>
    <w:rsid w:val="006A1697"/>
    <w:rsid w:val="006A1A65"/>
    <w:rsid w:val="006A4B17"/>
    <w:rsid w:val="006A75AF"/>
    <w:rsid w:val="006B2496"/>
    <w:rsid w:val="006B4FDB"/>
    <w:rsid w:val="006B5D40"/>
    <w:rsid w:val="006B647A"/>
    <w:rsid w:val="006B6BF1"/>
    <w:rsid w:val="006C2518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704AB6"/>
    <w:rsid w:val="00706B09"/>
    <w:rsid w:val="00710F9F"/>
    <w:rsid w:val="00712340"/>
    <w:rsid w:val="007139A4"/>
    <w:rsid w:val="007167AD"/>
    <w:rsid w:val="0071716E"/>
    <w:rsid w:val="00717259"/>
    <w:rsid w:val="00720B83"/>
    <w:rsid w:val="00723253"/>
    <w:rsid w:val="00723DC3"/>
    <w:rsid w:val="007241F1"/>
    <w:rsid w:val="007272F2"/>
    <w:rsid w:val="00733807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57B2E"/>
    <w:rsid w:val="00761059"/>
    <w:rsid w:val="007645C5"/>
    <w:rsid w:val="0076491E"/>
    <w:rsid w:val="00765E95"/>
    <w:rsid w:val="00767335"/>
    <w:rsid w:val="00771543"/>
    <w:rsid w:val="00771EED"/>
    <w:rsid w:val="00772A5B"/>
    <w:rsid w:val="00780275"/>
    <w:rsid w:val="00782192"/>
    <w:rsid w:val="0078288C"/>
    <w:rsid w:val="0078297B"/>
    <w:rsid w:val="007831CF"/>
    <w:rsid w:val="00791256"/>
    <w:rsid w:val="007924AD"/>
    <w:rsid w:val="00794701"/>
    <w:rsid w:val="00794E03"/>
    <w:rsid w:val="0079649F"/>
    <w:rsid w:val="00797C3A"/>
    <w:rsid w:val="007A48F0"/>
    <w:rsid w:val="007A6852"/>
    <w:rsid w:val="007A6E74"/>
    <w:rsid w:val="007A78A9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F1B1E"/>
    <w:rsid w:val="007F29C6"/>
    <w:rsid w:val="007F5313"/>
    <w:rsid w:val="007F56BB"/>
    <w:rsid w:val="007F788A"/>
    <w:rsid w:val="0080100C"/>
    <w:rsid w:val="00801548"/>
    <w:rsid w:val="00802215"/>
    <w:rsid w:val="008027C0"/>
    <w:rsid w:val="00803E0A"/>
    <w:rsid w:val="00805FA7"/>
    <w:rsid w:val="00807A67"/>
    <w:rsid w:val="0081024F"/>
    <w:rsid w:val="00810CF0"/>
    <w:rsid w:val="00815222"/>
    <w:rsid w:val="00816C19"/>
    <w:rsid w:val="00820D2F"/>
    <w:rsid w:val="00823883"/>
    <w:rsid w:val="00832CA7"/>
    <w:rsid w:val="00834ECE"/>
    <w:rsid w:val="0083578F"/>
    <w:rsid w:val="00836FDD"/>
    <w:rsid w:val="00842E36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29C7"/>
    <w:rsid w:val="008C31F8"/>
    <w:rsid w:val="008C354B"/>
    <w:rsid w:val="008C4A8C"/>
    <w:rsid w:val="008C5565"/>
    <w:rsid w:val="008C5A70"/>
    <w:rsid w:val="008C6B94"/>
    <w:rsid w:val="008D0E3E"/>
    <w:rsid w:val="008D5547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19A3"/>
    <w:rsid w:val="0096309B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5EE1"/>
    <w:rsid w:val="0099768D"/>
    <w:rsid w:val="00997986"/>
    <w:rsid w:val="009A10D9"/>
    <w:rsid w:val="009B14C2"/>
    <w:rsid w:val="009B1885"/>
    <w:rsid w:val="009B6B2F"/>
    <w:rsid w:val="009C07DB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0B9F"/>
    <w:rsid w:val="00A121F2"/>
    <w:rsid w:val="00A12EF8"/>
    <w:rsid w:val="00A13142"/>
    <w:rsid w:val="00A15AD6"/>
    <w:rsid w:val="00A166B7"/>
    <w:rsid w:val="00A215BE"/>
    <w:rsid w:val="00A217E1"/>
    <w:rsid w:val="00A24856"/>
    <w:rsid w:val="00A24ADC"/>
    <w:rsid w:val="00A338A9"/>
    <w:rsid w:val="00A35C0B"/>
    <w:rsid w:val="00A369D5"/>
    <w:rsid w:val="00A44E95"/>
    <w:rsid w:val="00A47645"/>
    <w:rsid w:val="00A5114A"/>
    <w:rsid w:val="00A51503"/>
    <w:rsid w:val="00A5221C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0B40"/>
    <w:rsid w:val="00A8136C"/>
    <w:rsid w:val="00A819A9"/>
    <w:rsid w:val="00A81F6A"/>
    <w:rsid w:val="00A82595"/>
    <w:rsid w:val="00A8563A"/>
    <w:rsid w:val="00A86C5E"/>
    <w:rsid w:val="00A921AA"/>
    <w:rsid w:val="00A92F6F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1E9"/>
    <w:rsid w:val="00B37AFA"/>
    <w:rsid w:val="00B43064"/>
    <w:rsid w:val="00B43397"/>
    <w:rsid w:val="00B4613A"/>
    <w:rsid w:val="00B46B42"/>
    <w:rsid w:val="00B47A0D"/>
    <w:rsid w:val="00B53522"/>
    <w:rsid w:val="00B641B5"/>
    <w:rsid w:val="00B745E0"/>
    <w:rsid w:val="00B75889"/>
    <w:rsid w:val="00B766E7"/>
    <w:rsid w:val="00B828CD"/>
    <w:rsid w:val="00B833E9"/>
    <w:rsid w:val="00B8562B"/>
    <w:rsid w:val="00B91502"/>
    <w:rsid w:val="00B948DF"/>
    <w:rsid w:val="00B956D2"/>
    <w:rsid w:val="00B96461"/>
    <w:rsid w:val="00BA0B8D"/>
    <w:rsid w:val="00BB0035"/>
    <w:rsid w:val="00BB3704"/>
    <w:rsid w:val="00BB62C6"/>
    <w:rsid w:val="00BB73CB"/>
    <w:rsid w:val="00BC46F7"/>
    <w:rsid w:val="00BD0759"/>
    <w:rsid w:val="00BD0819"/>
    <w:rsid w:val="00BD2856"/>
    <w:rsid w:val="00BD376E"/>
    <w:rsid w:val="00BD66C3"/>
    <w:rsid w:val="00BE0A72"/>
    <w:rsid w:val="00BE62F5"/>
    <w:rsid w:val="00BF1493"/>
    <w:rsid w:val="00BF1ECF"/>
    <w:rsid w:val="00BF2411"/>
    <w:rsid w:val="00C0116D"/>
    <w:rsid w:val="00C03EB1"/>
    <w:rsid w:val="00C10591"/>
    <w:rsid w:val="00C108EE"/>
    <w:rsid w:val="00C1168D"/>
    <w:rsid w:val="00C133EA"/>
    <w:rsid w:val="00C1586E"/>
    <w:rsid w:val="00C174D5"/>
    <w:rsid w:val="00C207F3"/>
    <w:rsid w:val="00C20806"/>
    <w:rsid w:val="00C22DF4"/>
    <w:rsid w:val="00C2574C"/>
    <w:rsid w:val="00C2613A"/>
    <w:rsid w:val="00C34235"/>
    <w:rsid w:val="00C3697B"/>
    <w:rsid w:val="00C4119E"/>
    <w:rsid w:val="00C43E9E"/>
    <w:rsid w:val="00C441D0"/>
    <w:rsid w:val="00C44399"/>
    <w:rsid w:val="00C536EE"/>
    <w:rsid w:val="00C562EB"/>
    <w:rsid w:val="00C57C2C"/>
    <w:rsid w:val="00C655A3"/>
    <w:rsid w:val="00C6793A"/>
    <w:rsid w:val="00C70A2F"/>
    <w:rsid w:val="00C71080"/>
    <w:rsid w:val="00C73650"/>
    <w:rsid w:val="00C74A16"/>
    <w:rsid w:val="00C770BC"/>
    <w:rsid w:val="00C775C5"/>
    <w:rsid w:val="00C80E2C"/>
    <w:rsid w:val="00C82233"/>
    <w:rsid w:val="00C8365E"/>
    <w:rsid w:val="00C84220"/>
    <w:rsid w:val="00C92341"/>
    <w:rsid w:val="00C93D4D"/>
    <w:rsid w:val="00CA138D"/>
    <w:rsid w:val="00CA5542"/>
    <w:rsid w:val="00CB0645"/>
    <w:rsid w:val="00CB29EE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5803"/>
    <w:rsid w:val="00CE695B"/>
    <w:rsid w:val="00CF11B0"/>
    <w:rsid w:val="00CF3530"/>
    <w:rsid w:val="00CF4A4B"/>
    <w:rsid w:val="00CF6C67"/>
    <w:rsid w:val="00D10360"/>
    <w:rsid w:val="00D147FB"/>
    <w:rsid w:val="00D149EF"/>
    <w:rsid w:val="00D1572B"/>
    <w:rsid w:val="00D16FBB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2C5D"/>
    <w:rsid w:val="00D45F8A"/>
    <w:rsid w:val="00D46EFE"/>
    <w:rsid w:val="00D47861"/>
    <w:rsid w:val="00D47B34"/>
    <w:rsid w:val="00D47FE4"/>
    <w:rsid w:val="00D5023A"/>
    <w:rsid w:val="00D50569"/>
    <w:rsid w:val="00D50F0B"/>
    <w:rsid w:val="00D5114D"/>
    <w:rsid w:val="00D55CE5"/>
    <w:rsid w:val="00D63E96"/>
    <w:rsid w:val="00D67196"/>
    <w:rsid w:val="00D676E6"/>
    <w:rsid w:val="00D72328"/>
    <w:rsid w:val="00D76603"/>
    <w:rsid w:val="00D77EC0"/>
    <w:rsid w:val="00D81DD0"/>
    <w:rsid w:val="00D84098"/>
    <w:rsid w:val="00D84A97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D53"/>
    <w:rsid w:val="00DC4AA4"/>
    <w:rsid w:val="00DC7FBA"/>
    <w:rsid w:val="00DD06F0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E05127"/>
    <w:rsid w:val="00E10067"/>
    <w:rsid w:val="00E10086"/>
    <w:rsid w:val="00E1015C"/>
    <w:rsid w:val="00E10BA6"/>
    <w:rsid w:val="00E15C2C"/>
    <w:rsid w:val="00E1613C"/>
    <w:rsid w:val="00E23C2B"/>
    <w:rsid w:val="00E27BA7"/>
    <w:rsid w:val="00E311B1"/>
    <w:rsid w:val="00E33397"/>
    <w:rsid w:val="00E36420"/>
    <w:rsid w:val="00E4683B"/>
    <w:rsid w:val="00E51E57"/>
    <w:rsid w:val="00E53645"/>
    <w:rsid w:val="00E57092"/>
    <w:rsid w:val="00E6030B"/>
    <w:rsid w:val="00E63B54"/>
    <w:rsid w:val="00E64871"/>
    <w:rsid w:val="00E6594B"/>
    <w:rsid w:val="00E67A1A"/>
    <w:rsid w:val="00E72FFD"/>
    <w:rsid w:val="00E764D3"/>
    <w:rsid w:val="00E767FE"/>
    <w:rsid w:val="00E77909"/>
    <w:rsid w:val="00E8103D"/>
    <w:rsid w:val="00E82AAF"/>
    <w:rsid w:val="00E84816"/>
    <w:rsid w:val="00E86220"/>
    <w:rsid w:val="00E944A8"/>
    <w:rsid w:val="00E97340"/>
    <w:rsid w:val="00E97850"/>
    <w:rsid w:val="00EA0867"/>
    <w:rsid w:val="00EA2E8F"/>
    <w:rsid w:val="00EA39A5"/>
    <w:rsid w:val="00EA6E49"/>
    <w:rsid w:val="00EA784B"/>
    <w:rsid w:val="00EA7EEC"/>
    <w:rsid w:val="00EB0ADD"/>
    <w:rsid w:val="00EB352A"/>
    <w:rsid w:val="00EB501F"/>
    <w:rsid w:val="00EB7297"/>
    <w:rsid w:val="00EC15B1"/>
    <w:rsid w:val="00EC1C0A"/>
    <w:rsid w:val="00EC50BA"/>
    <w:rsid w:val="00ED1AE1"/>
    <w:rsid w:val="00ED26FC"/>
    <w:rsid w:val="00ED3447"/>
    <w:rsid w:val="00ED3DED"/>
    <w:rsid w:val="00ED6833"/>
    <w:rsid w:val="00EE0FAC"/>
    <w:rsid w:val="00EE0FB4"/>
    <w:rsid w:val="00EE1A1F"/>
    <w:rsid w:val="00EE53E0"/>
    <w:rsid w:val="00EE751B"/>
    <w:rsid w:val="00EE7F12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26727"/>
    <w:rsid w:val="00F27DD2"/>
    <w:rsid w:val="00F305DD"/>
    <w:rsid w:val="00F3518E"/>
    <w:rsid w:val="00F41325"/>
    <w:rsid w:val="00F51CA7"/>
    <w:rsid w:val="00F52567"/>
    <w:rsid w:val="00F53549"/>
    <w:rsid w:val="00F53752"/>
    <w:rsid w:val="00F55541"/>
    <w:rsid w:val="00F567DF"/>
    <w:rsid w:val="00F57643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69BC"/>
    <w:rsid w:val="00F86A8E"/>
    <w:rsid w:val="00F8778B"/>
    <w:rsid w:val="00F94382"/>
    <w:rsid w:val="00F94F71"/>
    <w:rsid w:val="00FA2A89"/>
    <w:rsid w:val="00FA355D"/>
    <w:rsid w:val="00FA62D0"/>
    <w:rsid w:val="00FB0D27"/>
    <w:rsid w:val="00FB237C"/>
    <w:rsid w:val="00FB3B80"/>
    <w:rsid w:val="00FB49B0"/>
    <w:rsid w:val="00FB6A7C"/>
    <w:rsid w:val="00FB6D64"/>
    <w:rsid w:val="00FB7F32"/>
    <w:rsid w:val="00FC195B"/>
    <w:rsid w:val="00FC5865"/>
    <w:rsid w:val="00FD3B3D"/>
    <w:rsid w:val="00FD5E7A"/>
    <w:rsid w:val="00FD6A09"/>
    <w:rsid w:val="00FE051A"/>
    <w:rsid w:val="00FF325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5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 D o c u m e n t s ! 4 7 7 4 2 9 8 0 . 3 < / d o c u m e n t i d >  
     < s e n d e r i d > M A C K I R < / s e n d e r i d >  
     < s e n d e r e m a i l > R O S E . M A C K I E @ A G S . G O V . A U < / s e n d e r e m a i l >  
     < l a s t m o d i f i e d > 2 0 2 3 - 0 4 - 2 7 T 1 1 : 4 5 : 0 0 . 0 0 0 0 0 0 0 + 1 0 : 0 0 < / l a s t m o d i f i e d >  
     < d a t a b a s e > D o c u m e n t s 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C2C37-A570-45A9-9064-649FC32E97C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9117950-ADF3-470D-8C16-3059515129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F3AEFF-3532-40D2-9DDC-7FC134DBACDC}"/>
</file>

<file path=customXml/itemProps4.xml><?xml version="1.0" encoding="utf-8"?>
<ds:datastoreItem xmlns:ds="http://schemas.openxmlformats.org/officeDocument/2006/customXml" ds:itemID="{F6BE6F2C-FD52-4824-9F81-1173D2D866BE}"/>
</file>

<file path=customXml/itemProps5.xml><?xml version="1.0" encoding="utf-8"?>
<ds:datastoreItem xmlns:ds="http://schemas.openxmlformats.org/officeDocument/2006/customXml" ds:itemID="{4EECA2EF-D807-4D4D-A415-DDE5503D4DDF}"/>
</file>

<file path=customXml/itemProps6.xml><?xml version="1.0" encoding="utf-8"?>
<ds:datastoreItem xmlns:ds="http://schemas.openxmlformats.org/officeDocument/2006/customXml" ds:itemID="{F4CFD382-0203-488C-80DA-9664EFA99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1080</Words>
  <Characters>5996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keywords>[SEC=OFFICIAL]</cp:keywords>
  <cp:lastModifiedBy>Wang, Bo</cp:lastModifiedBy>
  <cp:revision>4</cp:revision>
  <cp:lastPrinted>2022-05-22T23:39:00Z</cp:lastPrinted>
  <dcterms:created xsi:type="dcterms:W3CDTF">2023-05-17T23:38:00Z</dcterms:created>
  <dcterms:modified xsi:type="dcterms:W3CDTF">2023-05-17T23:49:00Z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E09396584E9347DEB3762354420A5B4D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398345BB3F6E1F30B7A0639F479617D8ED2EEC74</vt:lpwstr>
  </property>
  <property fmtid="{D5CDD505-2E9C-101B-9397-08002B2CF9AE}" pid="16" name="PM_OriginationTimeStamp">
    <vt:lpwstr>2023-02-22T04:38:38Z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_Markers">
    <vt:lpwstr/>
  </property>
  <property fmtid="{D5CDD505-2E9C-101B-9397-08002B2CF9AE}" pid="23" name="PM_Display">
    <vt:lpwstr>OFFICIAL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2143D8F2D9FBEB157A10CD81D2383061</vt:lpwstr>
  </property>
  <property fmtid="{D5CDD505-2E9C-101B-9397-08002B2CF9AE}" pid="27" name="PM_Hash_Salt">
    <vt:lpwstr>C41E95A593BC90DF805D08B941685417</vt:lpwstr>
  </property>
  <property fmtid="{D5CDD505-2E9C-101B-9397-08002B2CF9AE}" pid="28" name="PM_Hash_SHA1">
    <vt:lpwstr>21F4A2502B43753D76D854EAFC93E183C90C4057</vt:lpwstr>
  </property>
  <property fmtid="{D5CDD505-2E9C-101B-9397-08002B2CF9AE}" pid="29" name="MSIP_Label_87d6481e-ccdd-4ab6-8b26-05a0df5699e7_SetDate">
    <vt:lpwstr>2023-02-22T04:38:38Z</vt:lpwstr>
  </property>
  <property fmtid="{D5CDD505-2E9C-101B-9397-08002B2CF9AE}" pid="30" name="PM_OriginatorUserAccountName_SHA256">
    <vt:lpwstr>4B0D9B60B3CF86662D6A16F1D891F6569858FA3CD9D4EE6F75D416CAF5A7EF37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MSIP_Label_87d6481e-ccdd-4ab6-8b26-05a0df5699e7_Name">
    <vt:lpwstr>OFFICIAL</vt:lpwstr>
  </property>
  <property fmtid="{D5CDD505-2E9C-101B-9397-08002B2CF9AE}" pid="33" name="MSIP_Label_87d6481e-ccdd-4ab6-8b26-05a0df5699e7_SiteId">
    <vt:lpwstr>08954cee-4782-4ff6-9ad5-1997dccef4b0</vt:lpwstr>
  </property>
  <property fmtid="{D5CDD505-2E9C-101B-9397-08002B2CF9AE}" pid="34" name="MSIP_Label_87d6481e-ccdd-4ab6-8b26-05a0df5699e7_Enabled">
    <vt:lpwstr>true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PMHMAC">
    <vt:lpwstr>v=2022.1;a=SHA256;h=D0FD7EC8D9FF507417DDE671D8779534B9C56798D5A8F5A5B44CE1701DF88AEC</vt:lpwstr>
  </property>
  <property fmtid="{D5CDD505-2E9C-101B-9397-08002B2CF9AE}" pid="38" name="MSIP_Label_87d6481e-ccdd-4ab6-8b26-05a0df5699e7_Method">
    <vt:lpwstr>Privileged</vt:lpwstr>
  </property>
  <property fmtid="{D5CDD505-2E9C-101B-9397-08002B2CF9AE}" pid="39" name="MSIP_Label_87d6481e-ccdd-4ab6-8b26-05a0df5699e7_ContentBits">
    <vt:lpwstr>0</vt:lpwstr>
  </property>
  <property fmtid="{D5CDD505-2E9C-101B-9397-08002B2CF9AE}" pid="40" name="MSIP_Label_87d6481e-ccdd-4ab6-8b26-05a0df5699e7_ActionId">
    <vt:lpwstr>4e7cdbcfe1544848b55283e110eb678f</vt:lpwstr>
  </property>
</Properties>
</file>