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42D8" w14:textId="77777777" w:rsidR="00715914" w:rsidRPr="00CE103E" w:rsidRDefault="00001F57" w:rsidP="00B05CF4">
      <w:pPr>
        <w:rPr>
          <w:sz w:val="28"/>
        </w:rPr>
      </w:pPr>
      <w:r w:rsidRPr="002360A0">
        <w:rPr>
          <w:noProof/>
          <w:lang w:eastAsia="en-AU"/>
        </w:rPr>
        <w:drawing>
          <wp:inline distT="0" distB="0" distL="0" distR="0" wp14:anchorId="439899E1" wp14:editId="505422D5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1E73" w14:textId="77777777" w:rsidR="00715914" w:rsidRPr="00CE103E" w:rsidRDefault="00715914" w:rsidP="00715914">
      <w:pPr>
        <w:rPr>
          <w:sz w:val="19"/>
        </w:rPr>
      </w:pPr>
    </w:p>
    <w:p w14:paraId="22B314A5" w14:textId="71E59ADF" w:rsidR="00715914" w:rsidRPr="00AC3A72" w:rsidRDefault="003B0F4A" w:rsidP="00715914">
      <w:pPr>
        <w:pStyle w:val="ShortT"/>
      </w:pPr>
      <w:r w:rsidRPr="00470FCE">
        <w:t>PGPA</w:t>
      </w:r>
      <w:r w:rsidR="00272035" w:rsidRPr="00470FCE">
        <w:t xml:space="preserve"> Act</w:t>
      </w:r>
      <w:r w:rsidRPr="00470FCE">
        <w:t xml:space="preserve"> </w:t>
      </w:r>
      <w:r w:rsidR="000C521A" w:rsidRPr="00470FCE">
        <w:t xml:space="preserve">Determination </w:t>
      </w:r>
      <w:r w:rsidRPr="00470FCE">
        <w:t>(</w:t>
      </w:r>
      <w:r w:rsidR="00B629BE" w:rsidRPr="00AC3A72">
        <w:t>Rewiring the Nation</w:t>
      </w:r>
      <w:r w:rsidR="00084206" w:rsidRPr="00AC3A72">
        <w:t xml:space="preserve"> </w:t>
      </w:r>
      <w:r w:rsidRPr="00AC3A72">
        <w:t>Special Account</w:t>
      </w:r>
      <w:r w:rsidR="00E966CB" w:rsidRPr="00AC3A72">
        <w:t xml:space="preserve"> </w:t>
      </w:r>
      <w:r w:rsidR="00803BD2" w:rsidRPr="00AC3A72">
        <w:t>202</w:t>
      </w:r>
      <w:r w:rsidR="00B629BE" w:rsidRPr="00AC3A72">
        <w:t>3</w:t>
      </w:r>
      <w:r w:rsidRPr="00AC3A72">
        <w:t>)</w:t>
      </w:r>
    </w:p>
    <w:p w14:paraId="4B2BC2F3" w14:textId="1185A2DB" w:rsidR="003B0F4A" w:rsidRPr="00AC3A72" w:rsidRDefault="003B0F4A" w:rsidP="006A1137">
      <w:pPr>
        <w:pStyle w:val="SignCoverPageStart"/>
        <w:rPr>
          <w:szCs w:val="22"/>
        </w:rPr>
      </w:pPr>
      <w:r w:rsidRPr="00AC3A72">
        <w:rPr>
          <w:szCs w:val="22"/>
        </w:rPr>
        <w:t>I,</w:t>
      </w:r>
      <w:r w:rsidR="00096FEC" w:rsidRPr="00AC3A72">
        <w:rPr>
          <w:szCs w:val="22"/>
        </w:rPr>
        <w:t xml:space="preserve"> </w:t>
      </w:r>
      <w:r w:rsidR="00263C87" w:rsidRPr="00AC3A72">
        <w:rPr>
          <w:szCs w:val="22"/>
        </w:rPr>
        <w:t>KATY GALLAGHER</w:t>
      </w:r>
      <w:r w:rsidRPr="00AC3A72">
        <w:rPr>
          <w:szCs w:val="22"/>
        </w:rPr>
        <w:t>, Minister for Finance, make the following determination.</w:t>
      </w:r>
    </w:p>
    <w:p w14:paraId="68E2C947" w14:textId="06EF02A0" w:rsidR="003B0F4A" w:rsidRPr="00CE103E" w:rsidRDefault="003B0F4A" w:rsidP="006A1137">
      <w:pPr>
        <w:keepNext/>
        <w:spacing w:before="300" w:line="240" w:lineRule="atLeast"/>
        <w:ind w:right="397"/>
        <w:jc w:val="both"/>
        <w:rPr>
          <w:szCs w:val="22"/>
        </w:rPr>
      </w:pPr>
      <w:r w:rsidRPr="00AC3A72">
        <w:rPr>
          <w:szCs w:val="22"/>
        </w:rPr>
        <w:t>Dated</w:t>
      </w:r>
      <w:r w:rsidR="00A9199C" w:rsidRPr="00AC3A72">
        <w:rPr>
          <w:szCs w:val="22"/>
        </w:rPr>
        <w:t xml:space="preserve">   </w:t>
      </w:r>
      <w:r w:rsidR="00FE029D" w:rsidRPr="00AC3A72">
        <w:rPr>
          <w:szCs w:val="22"/>
        </w:rPr>
        <w:t xml:space="preserve">     </w:t>
      </w:r>
      <w:r w:rsidR="00803BD2" w:rsidRPr="00AC3A72">
        <w:rPr>
          <w:szCs w:val="22"/>
        </w:rPr>
        <w:t xml:space="preserve">  </w:t>
      </w:r>
      <w:r w:rsidR="00341062" w:rsidRPr="00AC3A72">
        <w:rPr>
          <w:szCs w:val="22"/>
        </w:rPr>
        <w:t xml:space="preserve"> </w:t>
      </w:r>
      <w:r w:rsidR="005B41DA">
        <w:rPr>
          <w:szCs w:val="22"/>
        </w:rPr>
        <w:t>25</w:t>
      </w:r>
      <w:r w:rsidR="00341062" w:rsidRPr="00AC3A72">
        <w:rPr>
          <w:szCs w:val="22"/>
        </w:rPr>
        <w:t xml:space="preserve"> </w:t>
      </w:r>
      <w:r w:rsidR="00AB5AF2" w:rsidRPr="00AC3A72">
        <w:rPr>
          <w:szCs w:val="22"/>
        </w:rPr>
        <w:t xml:space="preserve"> </w:t>
      </w:r>
      <w:r w:rsidR="00621EC9" w:rsidRPr="00AC3A72">
        <w:rPr>
          <w:szCs w:val="22"/>
        </w:rPr>
        <w:t xml:space="preserve"> </w:t>
      </w:r>
      <w:r w:rsidR="00C50915" w:rsidRPr="00AC3A72">
        <w:rPr>
          <w:szCs w:val="22"/>
        </w:rPr>
        <w:t xml:space="preserve">/ </w:t>
      </w:r>
      <w:r w:rsidR="00A9199C" w:rsidRPr="00AC3A72">
        <w:rPr>
          <w:szCs w:val="22"/>
        </w:rPr>
        <w:t xml:space="preserve">  </w:t>
      </w:r>
      <w:r w:rsidR="005B41DA">
        <w:rPr>
          <w:szCs w:val="22"/>
        </w:rPr>
        <w:t>05</w:t>
      </w:r>
      <w:r w:rsidR="00FB64F4" w:rsidRPr="00AC3A72">
        <w:rPr>
          <w:szCs w:val="22"/>
        </w:rPr>
        <w:t xml:space="preserve">   </w:t>
      </w:r>
      <w:r w:rsidR="00621EC9" w:rsidRPr="00AC3A72">
        <w:rPr>
          <w:szCs w:val="22"/>
        </w:rPr>
        <w:t xml:space="preserve"> </w:t>
      </w:r>
      <w:r w:rsidR="00C50915" w:rsidRPr="00AC3A72">
        <w:rPr>
          <w:szCs w:val="22"/>
        </w:rPr>
        <w:t xml:space="preserve"> / 20</w:t>
      </w:r>
      <w:bookmarkStart w:id="0" w:name="BKCheck15B_1"/>
      <w:bookmarkEnd w:id="0"/>
      <w:r w:rsidR="00671858" w:rsidRPr="00AC3A72">
        <w:rPr>
          <w:szCs w:val="22"/>
        </w:rPr>
        <w:t>23</w:t>
      </w:r>
    </w:p>
    <w:p w14:paraId="5F50A34D" w14:textId="024A2A19" w:rsidR="003B0F4A" w:rsidRPr="00CE103E" w:rsidRDefault="00263C87" w:rsidP="006A113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33959A23" w14:textId="77777777" w:rsidR="003B0F4A" w:rsidRPr="00CE103E" w:rsidRDefault="003B0F4A" w:rsidP="006A1137">
      <w:pPr>
        <w:pStyle w:val="SignCoverPageEnd"/>
        <w:rPr>
          <w:szCs w:val="22"/>
        </w:rPr>
      </w:pPr>
      <w:r w:rsidRPr="00CE103E">
        <w:rPr>
          <w:szCs w:val="22"/>
        </w:rPr>
        <w:t>Minister for Finance</w:t>
      </w:r>
    </w:p>
    <w:p w14:paraId="0D471067" w14:textId="77777777" w:rsidR="003B0F4A" w:rsidRPr="00CE103E" w:rsidRDefault="003B0F4A" w:rsidP="006A1137"/>
    <w:p w14:paraId="7A4CF12B" w14:textId="77777777" w:rsidR="003B0F4A" w:rsidRPr="00CE103E" w:rsidRDefault="003B0F4A" w:rsidP="003B0F4A"/>
    <w:p w14:paraId="74CCEFD6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ChapNo"/>
        </w:rPr>
        <w:t xml:space="preserve"> </w:t>
      </w:r>
      <w:r w:rsidRPr="00CE103E">
        <w:rPr>
          <w:rStyle w:val="CharChapText"/>
        </w:rPr>
        <w:t xml:space="preserve"> </w:t>
      </w:r>
    </w:p>
    <w:p w14:paraId="7519D043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PartNo"/>
        </w:rPr>
        <w:t xml:space="preserve"> </w:t>
      </w:r>
      <w:r w:rsidRPr="00CE103E">
        <w:rPr>
          <w:rStyle w:val="CharPartText"/>
        </w:rPr>
        <w:t xml:space="preserve"> </w:t>
      </w:r>
    </w:p>
    <w:p w14:paraId="7A578D5A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0BD6AF02" w14:textId="77777777" w:rsidR="00715914" w:rsidRPr="00CE103E" w:rsidRDefault="00715914" w:rsidP="00715914">
      <w:pPr>
        <w:sectPr w:rsidR="00715914" w:rsidRPr="00CE103E" w:rsidSect="00CE10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049633" w14:textId="77777777" w:rsidR="00F67BCA" w:rsidRPr="00CE103E" w:rsidRDefault="00715914" w:rsidP="00CE103E">
      <w:pPr>
        <w:rPr>
          <w:sz w:val="36"/>
        </w:rPr>
      </w:pPr>
      <w:r w:rsidRPr="00CE103E">
        <w:rPr>
          <w:sz w:val="36"/>
        </w:rPr>
        <w:lastRenderedPageBreak/>
        <w:t>Contents</w:t>
      </w:r>
    </w:p>
    <w:bookmarkStart w:id="1" w:name="BKCheck15B_2"/>
    <w:bookmarkEnd w:id="1"/>
    <w:p w14:paraId="3902FE64" w14:textId="1758E6AA" w:rsidR="0085168A" w:rsidRPr="0092344D" w:rsidRDefault="008A6F80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5168A">
        <w:rPr>
          <w:noProof/>
        </w:rPr>
        <w:t>Part 1—Establishment</w:t>
      </w:r>
      <w:r w:rsidR="0085168A">
        <w:rPr>
          <w:noProof/>
        </w:rPr>
        <w:tab/>
      </w:r>
      <w:r w:rsidR="0085168A">
        <w:rPr>
          <w:noProof/>
        </w:rPr>
        <w:fldChar w:fldCharType="begin"/>
      </w:r>
      <w:r w:rsidR="0085168A">
        <w:rPr>
          <w:noProof/>
        </w:rPr>
        <w:instrText xml:space="preserve"> PAGEREF _Toc62127975 \h </w:instrText>
      </w:r>
      <w:r w:rsidR="0085168A">
        <w:rPr>
          <w:noProof/>
        </w:rPr>
      </w:r>
      <w:r w:rsidR="0085168A">
        <w:rPr>
          <w:noProof/>
        </w:rPr>
        <w:fldChar w:fldCharType="separate"/>
      </w:r>
      <w:r w:rsidR="007107BC">
        <w:rPr>
          <w:noProof/>
        </w:rPr>
        <w:t>1</w:t>
      </w:r>
      <w:r w:rsidR="0085168A">
        <w:rPr>
          <w:noProof/>
        </w:rPr>
        <w:fldChar w:fldCharType="end"/>
      </w:r>
    </w:p>
    <w:p w14:paraId="42E61054" w14:textId="329BC5B6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6825AC">
        <w:rPr>
          <w:noProof/>
        </w:rPr>
        <w:t>..........................</w:t>
      </w:r>
      <w:r w:rsidR="006825AC">
        <w:rPr>
          <w:noProof/>
        </w:rPr>
        <w:tab/>
        <w:t>....</w:t>
      </w:r>
      <w:r>
        <w:rPr>
          <w:noProof/>
        </w:rPr>
        <w:fldChar w:fldCharType="begin"/>
      </w:r>
      <w:r>
        <w:rPr>
          <w:noProof/>
        </w:rPr>
        <w:instrText xml:space="preserve"> PAGEREF _Toc62127976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1</w:t>
      </w:r>
      <w:r>
        <w:rPr>
          <w:noProof/>
        </w:rPr>
        <w:fldChar w:fldCharType="end"/>
      </w:r>
    </w:p>
    <w:p w14:paraId="0F0D43BB" w14:textId="2523386B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_Toc62127977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1</w:t>
      </w:r>
      <w:r>
        <w:rPr>
          <w:noProof/>
        </w:rPr>
        <w:fldChar w:fldCharType="end"/>
      </w:r>
    </w:p>
    <w:p w14:paraId="0AEC0EEA" w14:textId="2DE3B8CB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_Toc62127978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1</w:t>
      </w:r>
      <w:r>
        <w:rPr>
          <w:noProof/>
        </w:rPr>
        <w:fldChar w:fldCharType="end"/>
      </w:r>
    </w:p>
    <w:p w14:paraId="1D04E068" w14:textId="519239A2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_Toc62127979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1</w:t>
      </w:r>
      <w:r>
        <w:rPr>
          <w:noProof/>
        </w:rPr>
        <w:fldChar w:fldCharType="end"/>
      </w:r>
    </w:p>
    <w:p w14:paraId="5F21AE80" w14:textId="02E5A65B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5  Establishment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_Toc62127980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1</w:t>
      </w:r>
      <w:r>
        <w:rPr>
          <w:noProof/>
        </w:rPr>
        <w:fldChar w:fldCharType="end"/>
      </w:r>
    </w:p>
    <w:p w14:paraId="2A305199" w14:textId="05968D01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6  Accountable authority responsible for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_Toc62127981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1</w:t>
      </w:r>
      <w:r>
        <w:rPr>
          <w:noProof/>
        </w:rPr>
        <w:fldChar w:fldCharType="end"/>
      </w:r>
    </w:p>
    <w:p w14:paraId="1AB7200B" w14:textId="1233811A" w:rsidR="0085168A" w:rsidRPr="0092344D" w:rsidRDefault="0085168A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2—Special account credits and debits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_Toc62127982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2</w:t>
      </w:r>
      <w:r>
        <w:rPr>
          <w:noProof/>
        </w:rPr>
        <w:fldChar w:fldCharType="end"/>
      </w:r>
    </w:p>
    <w:p w14:paraId="7E550814" w14:textId="76C52CC8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7  Amounts that may be credited to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_Toc62127983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2</w:t>
      </w:r>
      <w:r>
        <w:rPr>
          <w:noProof/>
        </w:rPr>
        <w:fldChar w:fldCharType="end"/>
      </w:r>
    </w:p>
    <w:p w14:paraId="1F23EF6A" w14:textId="00C8AEF7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8  Purposes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_Toc62127984 \h </w:instrText>
      </w:r>
      <w:r>
        <w:rPr>
          <w:noProof/>
        </w:rPr>
      </w:r>
      <w:r>
        <w:rPr>
          <w:noProof/>
        </w:rPr>
        <w:fldChar w:fldCharType="separate"/>
      </w:r>
      <w:r w:rsidR="007107BC">
        <w:rPr>
          <w:noProof/>
        </w:rPr>
        <w:t>2</w:t>
      </w:r>
      <w:r>
        <w:rPr>
          <w:noProof/>
        </w:rPr>
        <w:fldChar w:fldCharType="end"/>
      </w:r>
    </w:p>
    <w:p w14:paraId="2BAB0D0F" w14:textId="2123E3A9" w:rsidR="0085168A" w:rsidRPr="00671858" w:rsidRDefault="0085168A" w:rsidP="00671858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</w:p>
    <w:p w14:paraId="5C20CA6B" w14:textId="77777777" w:rsidR="00670EA1" w:rsidRPr="00CE103E" w:rsidRDefault="008A6F80" w:rsidP="00715914">
      <w:r>
        <w:fldChar w:fldCharType="end"/>
      </w:r>
    </w:p>
    <w:p w14:paraId="71026022" w14:textId="77777777" w:rsidR="00670EA1" w:rsidRPr="00CE103E" w:rsidRDefault="00670EA1" w:rsidP="00715914">
      <w:pPr>
        <w:sectPr w:rsidR="00670EA1" w:rsidRPr="00CE103E" w:rsidSect="00CE10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2EDC76" w14:textId="77777777" w:rsidR="005447C7" w:rsidRPr="00470FCE" w:rsidRDefault="005447C7" w:rsidP="005447C7">
      <w:pPr>
        <w:pStyle w:val="ActHead2"/>
      </w:pPr>
      <w:bookmarkStart w:id="2" w:name="_Toc62127975"/>
      <w:r w:rsidRPr="00470FCE">
        <w:rPr>
          <w:rStyle w:val="CharPartNo"/>
        </w:rPr>
        <w:lastRenderedPageBreak/>
        <w:t>Part</w:t>
      </w:r>
      <w:r w:rsidR="00CE103E" w:rsidRPr="00470FCE">
        <w:rPr>
          <w:rStyle w:val="CharPartNo"/>
        </w:rPr>
        <w:t> </w:t>
      </w:r>
      <w:r w:rsidRPr="00470FCE">
        <w:rPr>
          <w:rStyle w:val="CharPartNo"/>
        </w:rPr>
        <w:t>1</w:t>
      </w:r>
      <w:r w:rsidRPr="00470FCE">
        <w:t>—</w:t>
      </w:r>
      <w:r w:rsidR="003C1E6E" w:rsidRPr="00470FCE">
        <w:rPr>
          <w:rStyle w:val="CharPartText"/>
        </w:rPr>
        <w:t>Establishment</w:t>
      </w:r>
      <w:bookmarkEnd w:id="2"/>
    </w:p>
    <w:p w14:paraId="37CC41C1" w14:textId="77777777" w:rsidR="005447C7" w:rsidRPr="00470FCE" w:rsidRDefault="005447C7" w:rsidP="005447C7">
      <w:pPr>
        <w:pStyle w:val="Header"/>
      </w:pPr>
      <w:r w:rsidRPr="00470FCE">
        <w:rPr>
          <w:rStyle w:val="CharDivNo"/>
        </w:rPr>
        <w:t xml:space="preserve"> </w:t>
      </w:r>
      <w:r w:rsidRPr="00470FCE">
        <w:rPr>
          <w:rStyle w:val="CharDivText"/>
        </w:rPr>
        <w:t xml:space="preserve"> </w:t>
      </w:r>
    </w:p>
    <w:p w14:paraId="32036D5F" w14:textId="77777777" w:rsidR="00715914" w:rsidRPr="00470FCE" w:rsidRDefault="00715914" w:rsidP="00715914">
      <w:pPr>
        <w:pStyle w:val="ActHead5"/>
      </w:pPr>
      <w:bookmarkStart w:id="3" w:name="_Toc62127976"/>
      <w:r w:rsidRPr="00470FCE">
        <w:rPr>
          <w:rStyle w:val="CharSectno"/>
        </w:rPr>
        <w:t>1</w:t>
      </w:r>
      <w:r w:rsidRPr="00470FCE">
        <w:t xml:space="preserve">  </w:t>
      </w:r>
      <w:r w:rsidR="00CE493D" w:rsidRPr="00470FCE">
        <w:t>Name</w:t>
      </w:r>
      <w:bookmarkEnd w:id="3"/>
    </w:p>
    <w:p w14:paraId="4887A157" w14:textId="6DC82A4B" w:rsidR="00715914" w:rsidRPr="00470FCE" w:rsidRDefault="00715914" w:rsidP="00715914">
      <w:pPr>
        <w:pStyle w:val="subsection"/>
      </w:pPr>
      <w:r w:rsidRPr="00470FCE">
        <w:tab/>
      </w:r>
      <w:r w:rsidRPr="00470FCE">
        <w:tab/>
        <w:t>This</w:t>
      </w:r>
      <w:r w:rsidR="003B0F4A" w:rsidRPr="00470FCE">
        <w:t xml:space="preserve"> instrument</w:t>
      </w:r>
      <w:r w:rsidRPr="00470FCE">
        <w:t xml:space="preserve"> </w:t>
      </w:r>
      <w:r w:rsidR="00CE493D" w:rsidRPr="00470FCE">
        <w:t xml:space="preserve">is </w:t>
      </w:r>
      <w:r w:rsidR="00CE493D" w:rsidRPr="007C60A0">
        <w:t xml:space="preserve">the </w:t>
      </w:r>
      <w:bookmarkStart w:id="4" w:name="BKCheck15B_3"/>
      <w:bookmarkEnd w:id="4"/>
      <w:r w:rsidR="000C521A" w:rsidRPr="007C60A0">
        <w:rPr>
          <w:i/>
        </w:rPr>
        <w:t>PGPA Act Determination (</w:t>
      </w:r>
      <w:r w:rsidR="00B629BE" w:rsidRPr="00AC3A72">
        <w:rPr>
          <w:i/>
        </w:rPr>
        <w:t>Rewiring the Nation Special Account 2023</w:t>
      </w:r>
      <w:r w:rsidR="000C521A" w:rsidRPr="00AC3A72">
        <w:rPr>
          <w:i/>
        </w:rPr>
        <w:t>)</w:t>
      </w:r>
      <w:r w:rsidRPr="00AC3A72">
        <w:t>.</w:t>
      </w:r>
      <w:r w:rsidR="00DA5F6F" w:rsidRPr="00470FCE">
        <w:t xml:space="preserve"> </w:t>
      </w:r>
    </w:p>
    <w:p w14:paraId="1645598E" w14:textId="77777777" w:rsidR="000C521A" w:rsidRPr="00246399" w:rsidRDefault="000C521A" w:rsidP="000C521A">
      <w:pPr>
        <w:pStyle w:val="ActHead5"/>
        <w:rPr>
          <w:rStyle w:val="CharSectno"/>
        </w:rPr>
      </w:pPr>
      <w:bookmarkStart w:id="5" w:name="_Toc62127977"/>
      <w:r w:rsidRPr="00470FCE">
        <w:rPr>
          <w:rStyle w:val="CharSectno"/>
        </w:rPr>
        <w:t>2  Commencement</w:t>
      </w:r>
      <w:bookmarkEnd w:id="5"/>
    </w:p>
    <w:p w14:paraId="7D8952FB" w14:textId="77777777" w:rsidR="000C521A" w:rsidRPr="00CE103E" w:rsidRDefault="000C521A" w:rsidP="000C521A">
      <w:pPr>
        <w:pStyle w:val="subsection"/>
      </w:pPr>
      <w:r>
        <w:tab/>
        <w:t>(1)</w:t>
      </w:r>
      <w:r>
        <w:tab/>
      </w:r>
      <w:r w:rsidRPr="00CE103E">
        <w:t>Each provision of this</w:t>
      </w:r>
      <w:r w:rsidR="004D7DE7">
        <w:t xml:space="preserve"> instrument specified in column </w:t>
      </w:r>
      <w:r w:rsidRPr="00CE103E">
        <w:t>1 of the table commences, or is taken to have comme</w:t>
      </w:r>
      <w:r w:rsidR="004D7DE7">
        <w:t>nced, in accordance with column </w:t>
      </w:r>
      <w:r w:rsidRPr="00CE103E">
        <w:t>2 of the table</w:t>
      </w:r>
      <w:r w:rsidR="004D7DE7">
        <w:t>. Any other statement in column </w:t>
      </w:r>
      <w:r w:rsidRPr="00CE103E">
        <w:t>2 has effect according to its terms.</w:t>
      </w:r>
    </w:p>
    <w:p w14:paraId="18416272" w14:textId="77777777" w:rsidR="000C521A" w:rsidRPr="00CE103E" w:rsidRDefault="000C521A" w:rsidP="000C521A">
      <w:pPr>
        <w:pStyle w:val="Tabletext"/>
      </w:pPr>
    </w:p>
    <w:tbl>
      <w:tblPr>
        <w:tblW w:w="8216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68"/>
        <w:gridCol w:w="3661"/>
        <w:gridCol w:w="2687"/>
      </w:tblGrid>
      <w:tr w:rsidR="000C521A" w:rsidRPr="004257B1" w14:paraId="7207555E" w14:textId="77777777" w:rsidTr="00E760E5">
        <w:trPr>
          <w:trHeight w:val="263"/>
          <w:tblHeader/>
        </w:trPr>
        <w:tc>
          <w:tcPr>
            <w:tcW w:w="18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6A5B40" w14:textId="77777777" w:rsidR="000C521A" w:rsidRPr="00CE103E" w:rsidRDefault="000C521A" w:rsidP="00E760E5">
            <w:pPr>
              <w:pStyle w:val="TableHeading"/>
            </w:pPr>
            <w:r w:rsidRPr="00CE103E">
              <w:t>Column 1</w:t>
            </w:r>
          </w:p>
        </w:tc>
        <w:tc>
          <w:tcPr>
            <w:tcW w:w="3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3B63B1" w14:textId="77777777" w:rsidR="000C521A" w:rsidRPr="00CE103E" w:rsidRDefault="000C521A" w:rsidP="00E760E5">
            <w:pPr>
              <w:pStyle w:val="TableHeading"/>
            </w:pPr>
            <w:r w:rsidRPr="00CE103E">
              <w:t>Column 2</w:t>
            </w:r>
          </w:p>
        </w:tc>
        <w:tc>
          <w:tcPr>
            <w:tcW w:w="2687" w:type="dxa"/>
            <w:tcBorders>
              <w:top w:val="single" w:sz="2" w:space="0" w:color="auto"/>
              <w:bottom w:val="single" w:sz="2" w:space="0" w:color="auto"/>
            </w:tcBorders>
          </w:tcPr>
          <w:p w14:paraId="576C550A" w14:textId="77777777" w:rsidR="000C521A" w:rsidRPr="00CE103E" w:rsidRDefault="000C521A" w:rsidP="00E760E5">
            <w:pPr>
              <w:pStyle w:val="TableHeading"/>
            </w:pPr>
            <w:r w:rsidRPr="00CE103E">
              <w:t>Column 3</w:t>
            </w:r>
          </w:p>
        </w:tc>
      </w:tr>
      <w:tr w:rsidR="000C521A" w:rsidRPr="004257B1" w14:paraId="3E3629D8" w14:textId="77777777" w:rsidTr="00E760E5">
        <w:trPr>
          <w:trHeight w:val="256"/>
          <w:tblHeader/>
        </w:trPr>
        <w:tc>
          <w:tcPr>
            <w:tcW w:w="18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E62F734" w14:textId="77777777" w:rsidR="000C521A" w:rsidRPr="00CE103E" w:rsidRDefault="000C521A" w:rsidP="00E760E5">
            <w:pPr>
              <w:pStyle w:val="TableHeading"/>
            </w:pPr>
            <w:r w:rsidRPr="00CE103E">
              <w:t>Provisions</w:t>
            </w:r>
          </w:p>
        </w:tc>
        <w:tc>
          <w:tcPr>
            <w:tcW w:w="36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5B249B3" w14:textId="77777777" w:rsidR="000C521A" w:rsidRPr="00CE103E" w:rsidRDefault="000C521A" w:rsidP="00E760E5">
            <w:pPr>
              <w:pStyle w:val="TableHeading"/>
            </w:pPr>
            <w:r w:rsidRPr="00CE103E">
              <w:t>Commencement</w:t>
            </w:r>
          </w:p>
        </w:tc>
        <w:tc>
          <w:tcPr>
            <w:tcW w:w="2687" w:type="dxa"/>
            <w:tcBorders>
              <w:top w:val="single" w:sz="2" w:space="0" w:color="auto"/>
              <w:bottom w:val="single" w:sz="12" w:space="0" w:color="auto"/>
            </w:tcBorders>
          </w:tcPr>
          <w:p w14:paraId="33C240A1" w14:textId="77777777" w:rsidR="000C521A" w:rsidRPr="00CE103E" w:rsidRDefault="000C521A" w:rsidP="00E760E5">
            <w:pPr>
              <w:pStyle w:val="TableHeading"/>
            </w:pPr>
            <w:r w:rsidRPr="00CE103E">
              <w:t>Date/Details</w:t>
            </w:r>
          </w:p>
        </w:tc>
      </w:tr>
      <w:tr w:rsidR="000C521A" w:rsidRPr="004257B1" w14:paraId="5E58A418" w14:textId="77777777" w:rsidTr="003C1E6E">
        <w:trPr>
          <w:trHeight w:val="615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F016A4" w14:textId="77777777" w:rsidR="000C521A" w:rsidRPr="00CE103E" w:rsidRDefault="000C521A" w:rsidP="00E760E5">
            <w:pPr>
              <w:pStyle w:val="Tabletext"/>
            </w:pPr>
            <w:r w:rsidRPr="00CE103E">
              <w:t>The whole of this instrument</w:t>
            </w:r>
          </w:p>
        </w:tc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A15CE2" w14:textId="03BC60C2" w:rsidR="00C03949" w:rsidRPr="00CE103E" w:rsidRDefault="00E966CB" w:rsidP="004753BC">
            <w:pPr>
              <w:pStyle w:val="Tabletext"/>
            </w:pPr>
            <w:r>
              <w:t>T</w:t>
            </w:r>
            <w:r w:rsidRPr="00213422">
              <w:t xml:space="preserve">he </w:t>
            </w:r>
            <w:r w:rsidR="00D25529" w:rsidRPr="00D25529">
              <w:t xml:space="preserve">later of the </w:t>
            </w:r>
            <w:r w:rsidRPr="00213422">
              <w:t xml:space="preserve">day mentioned in </w:t>
            </w:r>
            <w:r>
              <w:t>paragraph</w:t>
            </w:r>
            <w:r w:rsidRPr="00213422">
              <w:t> </w:t>
            </w:r>
            <w:r w:rsidRPr="007C60A0">
              <w:t>79(5)(a)</w:t>
            </w:r>
            <w:r w:rsidRPr="00213422">
              <w:t xml:space="preserve"> of the Act</w:t>
            </w:r>
            <w:r w:rsidR="00D25529">
              <w:t xml:space="preserve"> </w:t>
            </w:r>
            <w:r w:rsidR="002508BB">
              <w:t>and</w:t>
            </w:r>
            <w:r w:rsidR="00D25529">
              <w:t xml:space="preserve"> </w:t>
            </w:r>
            <w:r w:rsidR="00671858" w:rsidRPr="00617929">
              <w:t>1</w:t>
            </w:r>
            <w:r w:rsidR="00D25529" w:rsidRPr="00617929">
              <w:t> </w:t>
            </w:r>
            <w:r w:rsidR="00671858" w:rsidRPr="00617929">
              <w:t>July 202</w:t>
            </w:r>
            <w:r w:rsidR="002508BB">
              <w:t>3.</w:t>
            </w:r>
            <w:r w:rsidR="00D25529">
              <w:t xml:space="preserve"> </w:t>
            </w:r>
            <w:r>
              <w:br/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</w:tcPr>
          <w:p w14:paraId="187512A3" w14:textId="77777777" w:rsidR="000C521A" w:rsidRPr="00CE103E" w:rsidRDefault="000C521A" w:rsidP="00E760E5">
            <w:pPr>
              <w:pStyle w:val="Tabletext"/>
            </w:pPr>
          </w:p>
        </w:tc>
      </w:tr>
    </w:tbl>
    <w:p w14:paraId="099C255B" w14:textId="77777777" w:rsidR="000C521A" w:rsidRPr="00CE103E" w:rsidRDefault="004D7DE7" w:rsidP="000C521A">
      <w:pPr>
        <w:pStyle w:val="subsection"/>
      </w:pPr>
      <w:r>
        <w:tab/>
        <w:t>(2)</w:t>
      </w:r>
      <w:r>
        <w:tab/>
        <w:t>Any information in column </w:t>
      </w:r>
      <w:r w:rsidR="000C521A" w:rsidRPr="00CE103E">
        <w:t>3 of the table is not part of this instrument. Information may be inserted in this column, or information in it may be edited, in any version of this instrument</w:t>
      </w:r>
      <w:r w:rsidR="000C521A">
        <w:t xml:space="preserve"> </w:t>
      </w:r>
      <w:r w:rsidR="000C521A" w:rsidRPr="00CE103E">
        <w:t>published</w:t>
      </w:r>
      <w:r w:rsidR="000C521A">
        <w:t xml:space="preserve"> on the Federal Register of Legislation</w:t>
      </w:r>
      <w:r w:rsidR="000C521A" w:rsidRPr="00CE103E">
        <w:t>.</w:t>
      </w:r>
    </w:p>
    <w:p w14:paraId="4651D878" w14:textId="77777777" w:rsidR="000C521A" w:rsidRPr="00CE103E" w:rsidRDefault="000C521A" w:rsidP="000C521A">
      <w:pPr>
        <w:pStyle w:val="ActHead5"/>
      </w:pPr>
      <w:bookmarkStart w:id="6" w:name="_Toc475974356"/>
      <w:bookmarkStart w:id="7" w:name="_Toc62127978"/>
      <w:r w:rsidRPr="00CE103E">
        <w:rPr>
          <w:rStyle w:val="CharSectno"/>
        </w:rPr>
        <w:t>3</w:t>
      </w:r>
      <w:r w:rsidRPr="00CE103E">
        <w:t xml:space="preserve">  Authority</w:t>
      </w:r>
      <w:bookmarkEnd w:id="6"/>
      <w:bookmarkEnd w:id="7"/>
    </w:p>
    <w:p w14:paraId="4CEA4737" w14:textId="6AAB682B" w:rsidR="000C521A" w:rsidRPr="00CE103E" w:rsidRDefault="000C521A" w:rsidP="000C521A">
      <w:pPr>
        <w:pStyle w:val="subsection"/>
      </w:pPr>
      <w:r w:rsidRPr="00CE103E">
        <w:tab/>
      </w:r>
      <w:r w:rsidRPr="00CE103E">
        <w:tab/>
        <w:t>This instrument is made under subsection </w:t>
      </w:r>
      <w:r w:rsidRPr="007C60A0">
        <w:t>78(1)</w:t>
      </w:r>
      <w:r w:rsidR="0086159B">
        <w:t xml:space="preserve"> </w:t>
      </w:r>
      <w:r w:rsidR="004D7DE7">
        <w:t>of the Act</w:t>
      </w:r>
      <w:r>
        <w:t>.</w:t>
      </w:r>
    </w:p>
    <w:p w14:paraId="52BAD7BB" w14:textId="77777777" w:rsidR="00501F7C" w:rsidRPr="00CE103E" w:rsidRDefault="00501F7C" w:rsidP="00501F7C">
      <w:pPr>
        <w:pStyle w:val="ActHead5"/>
      </w:pPr>
      <w:bookmarkStart w:id="8" w:name="_Toc62127979"/>
      <w:r w:rsidRPr="00CE103E">
        <w:rPr>
          <w:rStyle w:val="CharSectno"/>
        </w:rPr>
        <w:t>4</w:t>
      </w:r>
      <w:r w:rsidRPr="00CE103E">
        <w:t xml:space="preserve">  Definitions</w:t>
      </w:r>
      <w:bookmarkEnd w:id="8"/>
    </w:p>
    <w:p w14:paraId="64F2F719" w14:textId="77777777" w:rsidR="00501F7C" w:rsidRPr="00CE103E" w:rsidRDefault="00501F7C" w:rsidP="00501F7C">
      <w:pPr>
        <w:pStyle w:val="subsection"/>
      </w:pPr>
      <w:r w:rsidRPr="00CE103E">
        <w:tab/>
      </w:r>
      <w:r w:rsidRPr="00CE103E">
        <w:tab/>
        <w:t>In this instrument:</w:t>
      </w:r>
    </w:p>
    <w:p w14:paraId="212A1712" w14:textId="5F9635F2" w:rsidR="00DD7846" w:rsidRDefault="008418C5" w:rsidP="0011243A">
      <w:pPr>
        <w:pStyle w:val="Definition"/>
      </w:pPr>
      <w:r>
        <w:rPr>
          <w:b/>
          <w:i/>
        </w:rPr>
        <w:t>Act</w:t>
      </w:r>
      <w:r w:rsidRPr="008418C5">
        <w:t xml:space="preserve"> </w:t>
      </w:r>
      <w:r w:rsidRPr="00CE103E">
        <w:t xml:space="preserve">means the </w:t>
      </w:r>
      <w:r w:rsidRPr="00CE103E">
        <w:rPr>
          <w:i/>
        </w:rPr>
        <w:t>Public Governance, Performance and Accountability Act 2013</w:t>
      </w:r>
      <w:r w:rsidRPr="00CE103E">
        <w:t>.</w:t>
      </w:r>
    </w:p>
    <w:p w14:paraId="75395DC0" w14:textId="640E17EB" w:rsidR="00AD7631" w:rsidRPr="004D5B35" w:rsidRDefault="00AD7631" w:rsidP="005B7F20">
      <w:pPr>
        <w:pStyle w:val="Definition"/>
      </w:pPr>
      <w:r w:rsidRPr="004D5B35">
        <w:rPr>
          <w:b/>
          <w:i/>
        </w:rPr>
        <w:t xml:space="preserve">the special account </w:t>
      </w:r>
      <w:r w:rsidRPr="004D5B35">
        <w:t xml:space="preserve">means the </w:t>
      </w:r>
      <w:r w:rsidR="00B629BE" w:rsidRPr="004D5B35">
        <w:rPr>
          <w:i/>
        </w:rPr>
        <w:t xml:space="preserve">Rewiring the Nation Special Account 2023 </w:t>
      </w:r>
      <w:r w:rsidR="00C52497" w:rsidRPr="004D5B35">
        <w:t>established by this instrument</w:t>
      </w:r>
      <w:r w:rsidRPr="004D5B35">
        <w:t>.</w:t>
      </w:r>
    </w:p>
    <w:p w14:paraId="34CE9433" w14:textId="77777777" w:rsidR="003C1E6E" w:rsidRPr="00470FCE" w:rsidRDefault="003C1E6E" w:rsidP="003C1E6E">
      <w:pPr>
        <w:pStyle w:val="ActHead5"/>
      </w:pPr>
      <w:bookmarkStart w:id="9" w:name="_Toc62127980"/>
      <w:bookmarkStart w:id="10" w:name="_Toc499048314"/>
      <w:r w:rsidRPr="004D5B35">
        <w:rPr>
          <w:rStyle w:val="CharSectno"/>
        </w:rPr>
        <w:t>5</w:t>
      </w:r>
      <w:r w:rsidRPr="004D5B35">
        <w:t xml:space="preserve">  Establishment of the special account</w:t>
      </w:r>
      <w:bookmarkEnd w:id="9"/>
    </w:p>
    <w:p w14:paraId="74182F55" w14:textId="774BE59F" w:rsidR="003C1E6E" w:rsidRPr="00470FCE" w:rsidRDefault="003C1E6E" w:rsidP="003C1E6E">
      <w:pPr>
        <w:pStyle w:val="subsection"/>
      </w:pPr>
      <w:r w:rsidRPr="00470FCE">
        <w:tab/>
      </w:r>
      <w:r w:rsidRPr="00470FCE">
        <w:tab/>
        <w:t xml:space="preserve">For </w:t>
      </w:r>
      <w:r w:rsidR="0088445A">
        <w:t>paragraph</w:t>
      </w:r>
      <w:r w:rsidR="0088445A" w:rsidRPr="00470FCE">
        <w:t> </w:t>
      </w:r>
      <w:r w:rsidRPr="007C60A0">
        <w:t>78(1)(a)</w:t>
      </w:r>
      <w:r w:rsidRPr="00470FCE">
        <w:t xml:space="preserve"> of the</w:t>
      </w:r>
      <w:r w:rsidRPr="00470FCE">
        <w:rPr>
          <w:i/>
        </w:rPr>
        <w:t xml:space="preserve"> </w:t>
      </w:r>
      <w:r w:rsidR="00641D5C" w:rsidRPr="00390038">
        <w:t>Act,</w:t>
      </w:r>
      <w:r w:rsidR="00641D5C">
        <w:rPr>
          <w:i/>
        </w:rPr>
        <w:t xml:space="preserve"> </w:t>
      </w:r>
      <w:r w:rsidR="00641D5C" w:rsidRPr="00B96AD2">
        <w:t>the</w:t>
      </w:r>
      <w:r w:rsidR="00641D5C" w:rsidRPr="00B96AD2">
        <w:rPr>
          <w:i/>
        </w:rPr>
        <w:t xml:space="preserve"> </w:t>
      </w:r>
      <w:r w:rsidR="00B629BE" w:rsidRPr="00AC3A72">
        <w:rPr>
          <w:i/>
        </w:rPr>
        <w:t>Rewiring the Nation Special Account 2023</w:t>
      </w:r>
      <w:r w:rsidR="001F7FB2" w:rsidRPr="00B96AD2">
        <w:rPr>
          <w:i/>
        </w:rPr>
        <w:t xml:space="preserve"> </w:t>
      </w:r>
      <w:r w:rsidRPr="00B96AD2">
        <w:t>is established as a special</w:t>
      </w:r>
      <w:r w:rsidRPr="00470FCE">
        <w:t xml:space="preserve"> account.</w:t>
      </w:r>
    </w:p>
    <w:p w14:paraId="5EDCC2AB" w14:textId="77777777" w:rsidR="00F3295F" w:rsidRPr="00470FCE" w:rsidRDefault="003C1E6E" w:rsidP="00F3295F">
      <w:pPr>
        <w:pStyle w:val="ActHead5"/>
      </w:pPr>
      <w:bookmarkStart w:id="11" w:name="_Toc62127981"/>
      <w:r w:rsidRPr="00470FCE">
        <w:rPr>
          <w:rStyle w:val="CharSectno"/>
        </w:rPr>
        <w:t>6</w:t>
      </w:r>
      <w:r w:rsidR="00F3295F" w:rsidRPr="00470FCE">
        <w:t xml:space="preserve">  Accountable authority responsible for the special account</w:t>
      </w:r>
      <w:bookmarkEnd w:id="10"/>
      <w:bookmarkEnd w:id="11"/>
    </w:p>
    <w:p w14:paraId="644263EE" w14:textId="4E428409" w:rsidR="00513149" w:rsidRPr="00470FCE" w:rsidRDefault="00F3295F" w:rsidP="006C1F26">
      <w:pPr>
        <w:pStyle w:val="subsection"/>
      </w:pPr>
      <w:r w:rsidRPr="00470FCE">
        <w:tab/>
      </w:r>
      <w:r w:rsidRPr="00470FCE">
        <w:tab/>
        <w:t xml:space="preserve">For </w:t>
      </w:r>
      <w:r w:rsidR="0088445A">
        <w:t>paragraph</w:t>
      </w:r>
      <w:r w:rsidR="0088445A" w:rsidRPr="00470FCE">
        <w:t> </w:t>
      </w:r>
      <w:r w:rsidRPr="007C60A0">
        <w:t>78(1)(d)</w:t>
      </w:r>
      <w:r w:rsidRPr="00470FCE">
        <w:t xml:space="preserve"> of the Act, the accountable authority responsible for the special account is the</w:t>
      </w:r>
      <w:r w:rsidR="009A1A28">
        <w:t xml:space="preserve"> </w:t>
      </w:r>
      <w:r w:rsidR="00671858">
        <w:t>Secretary of the Department of Climate Change, Energy, the Environment and Water</w:t>
      </w:r>
      <w:r w:rsidR="00FB5693" w:rsidRPr="00470FCE">
        <w:t>.</w:t>
      </w:r>
    </w:p>
    <w:p w14:paraId="62009FB7" w14:textId="77777777" w:rsidR="00501F7C" w:rsidRPr="00CE103E" w:rsidRDefault="005447C7" w:rsidP="00513149">
      <w:pPr>
        <w:pStyle w:val="ActHead2"/>
      </w:pPr>
      <w:bookmarkStart w:id="12" w:name="f_Check_Lines_above"/>
      <w:bookmarkStart w:id="13" w:name="_Toc62127982"/>
      <w:bookmarkEnd w:id="12"/>
      <w:r w:rsidRPr="00470FCE">
        <w:rPr>
          <w:rStyle w:val="CharPartNo"/>
        </w:rPr>
        <w:lastRenderedPageBreak/>
        <w:t>Part</w:t>
      </w:r>
      <w:r w:rsidR="00CE103E" w:rsidRPr="00470FCE">
        <w:rPr>
          <w:rStyle w:val="CharPartNo"/>
        </w:rPr>
        <w:t> </w:t>
      </w:r>
      <w:r w:rsidRPr="00470FCE">
        <w:rPr>
          <w:rStyle w:val="CharPartNo"/>
        </w:rPr>
        <w:t>2</w:t>
      </w:r>
      <w:r w:rsidRPr="00470FCE">
        <w:t>—</w:t>
      </w:r>
      <w:r w:rsidR="003C1E6E" w:rsidRPr="00470FCE">
        <w:rPr>
          <w:rStyle w:val="CharPartText"/>
        </w:rPr>
        <w:t>S</w:t>
      </w:r>
      <w:r w:rsidRPr="00470FCE">
        <w:rPr>
          <w:rStyle w:val="CharPartText"/>
        </w:rPr>
        <w:t xml:space="preserve">pecial </w:t>
      </w:r>
      <w:r w:rsidR="00DA5F6F" w:rsidRPr="00470FCE">
        <w:rPr>
          <w:rStyle w:val="CharPartText"/>
        </w:rPr>
        <w:t>ac</w:t>
      </w:r>
      <w:r w:rsidRPr="00470FCE">
        <w:rPr>
          <w:rStyle w:val="CharPartText"/>
        </w:rPr>
        <w:t>count</w:t>
      </w:r>
      <w:r w:rsidR="003C1E6E" w:rsidRPr="00470FCE">
        <w:rPr>
          <w:rStyle w:val="CharPartText"/>
        </w:rPr>
        <w:t xml:space="preserve"> credits and debits</w:t>
      </w:r>
      <w:bookmarkEnd w:id="13"/>
    </w:p>
    <w:p w14:paraId="4CFC0BCB" w14:textId="77777777" w:rsidR="00DD0EE3" w:rsidRPr="00CE103E" w:rsidRDefault="00DD0EE3" w:rsidP="00DD0EE3">
      <w:pPr>
        <w:pStyle w:val="Header"/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7C5D3C31" w14:textId="77777777" w:rsidR="005447C7" w:rsidRPr="00CE103E" w:rsidRDefault="003C1E6E" w:rsidP="005447C7">
      <w:pPr>
        <w:pStyle w:val="ActHead5"/>
      </w:pPr>
      <w:bookmarkStart w:id="14" w:name="_Toc62127983"/>
      <w:r>
        <w:rPr>
          <w:rStyle w:val="CharSectno"/>
        </w:rPr>
        <w:t>7</w:t>
      </w:r>
      <w:r w:rsidR="005447C7" w:rsidRPr="00CE103E">
        <w:t xml:space="preserve">  Amounts </w:t>
      </w:r>
      <w:r w:rsidR="00C03949">
        <w:t xml:space="preserve">that may be </w:t>
      </w:r>
      <w:r w:rsidR="005447C7" w:rsidRPr="00CE103E">
        <w:t xml:space="preserve">credited to </w:t>
      </w:r>
      <w:r w:rsidR="006F51FF">
        <w:t xml:space="preserve">the </w:t>
      </w:r>
      <w:r w:rsidR="00455E1A">
        <w:t>special a</w:t>
      </w:r>
      <w:r w:rsidR="005447C7" w:rsidRPr="00CE103E">
        <w:t>ccount</w:t>
      </w:r>
      <w:bookmarkEnd w:id="14"/>
    </w:p>
    <w:p w14:paraId="1FDB0EA7" w14:textId="77777777" w:rsidR="005447C7" w:rsidRPr="00CE103E" w:rsidRDefault="005447C7" w:rsidP="005447C7">
      <w:pPr>
        <w:pStyle w:val="subsection"/>
      </w:pPr>
      <w:r w:rsidRPr="00CE103E">
        <w:tab/>
      </w:r>
      <w:r w:rsidRPr="00CE103E">
        <w:tab/>
        <w:t xml:space="preserve">For </w:t>
      </w:r>
      <w:r w:rsidR="0088445A">
        <w:t>paragraph</w:t>
      </w:r>
      <w:r w:rsidR="0088445A" w:rsidRPr="00CE103E">
        <w:t> </w:t>
      </w:r>
      <w:r w:rsidRPr="007C60A0">
        <w:t>78(1)(b)</w:t>
      </w:r>
      <w:r w:rsidRPr="00CE103E">
        <w:t xml:space="preserve"> of the Act, </w:t>
      </w:r>
      <w:r w:rsidR="009D4C29">
        <w:t>the following amounts</w:t>
      </w:r>
      <w:r w:rsidR="009A7429">
        <w:t xml:space="preserve"> </w:t>
      </w:r>
      <w:r w:rsidR="00CB1962">
        <w:t>may be credited to the special account</w:t>
      </w:r>
      <w:r w:rsidRPr="00CE103E">
        <w:t>:</w:t>
      </w:r>
    </w:p>
    <w:p w14:paraId="0B829673" w14:textId="6B08E129" w:rsidR="00617929" w:rsidRDefault="00AD7631" w:rsidP="006F3DD0">
      <w:pPr>
        <w:pStyle w:val="paragraph"/>
        <w:numPr>
          <w:ilvl w:val="0"/>
          <w:numId w:val="27"/>
        </w:numPr>
        <w:spacing w:before="120" w:after="120"/>
      </w:pPr>
      <w:r w:rsidRPr="00C953A0">
        <w:t xml:space="preserve">an amount </w:t>
      </w:r>
      <w:r w:rsidR="00617929" w:rsidRPr="00617929">
        <w:t>appropriated by the Parliament for the purposes of the special account;</w:t>
      </w:r>
    </w:p>
    <w:p w14:paraId="3FD96B90" w14:textId="416C359B" w:rsidR="00AD7631" w:rsidRDefault="00617929" w:rsidP="006F3DD0">
      <w:pPr>
        <w:pStyle w:val="paragraph"/>
        <w:numPr>
          <w:ilvl w:val="0"/>
          <w:numId w:val="27"/>
        </w:numPr>
        <w:spacing w:before="120" w:after="120"/>
      </w:pPr>
      <w:r>
        <w:t xml:space="preserve">an amount </w:t>
      </w:r>
      <w:r w:rsidR="00AD7631" w:rsidRPr="00C953A0">
        <w:t>received in the course of the performance of</w:t>
      </w:r>
      <w:r w:rsidR="00642F87" w:rsidRPr="00C953A0">
        <w:t xml:space="preserve"> functions that relate to one or more</w:t>
      </w:r>
      <w:r w:rsidR="00AD7631" w:rsidRPr="00C953A0">
        <w:t xml:space="preserve"> purpose</w:t>
      </w:r>
      <w:r w:rsidR="00642F87" w:rsidRPr="00C953A0">
        <w:t>s</w:t>
      </w:r>
      <w:r w:rsidR="00AD7631" w:rsidRPr="00C953A0">
        <w:t xml:space="preserve"> of the special account; </w:t>
      </w:r>
    </w:p>
    <w:p w14:paraId="60FC6F87" w14:textId="7408C8E3" w:rsidR="00C953A0" w:rsidRDefault="00C953A0" w:rsidP="006F3DD0">
      <w:pPr>
        <w:pStyle w:val="ListParagraph"/>
        <w:numPr>
          <w:ilvl w:val="0"/>
          <w:numId w:val="27"/>
        </w:numPr>
        <w:spacing w:before="120" w:after="120"/>
        <w:contextualSpacing w:val="0"/>
        <w:rPr>
          <w:rFonts w:eastAsia="Times New Roman"/>
          <w:lang w:eastAsia="en-AU"/>
        </w:rPr>
      </w:pPr>
      <w:r w:rsidRPr="00C953A0">
        <w:rPr>
          <w:rFonts w:eastAsia="Times New Roman"/>
          <w:lang w:eastAsia="en-AU"/>
        </w:rPr>
        <w:t>the proceeds of an investment of an amount debited from the special account;</w:t>
      </w:r>
    </w:p>
    <w:p w14:paraId="1300419E" w14:textId="6FCCCAA9" w:rsidR="00AD7631" w:rsidRPr="00E9787A" w:rsidRDefault="00E9787A" w:rsidP="00E9787A">
      <w:pPr>
        <w:pStyle w:val="ListParagraph"/>
        <w:numPr>
          <w:ilvl w:val="0"/>
          <w:numId w:val="27"/>
        </w:numPr>
        <w:spacing w:before="120" w:after="120"/>
        <w:contextualSpacing w:val="0"/>
        <w:rPr>
          <w:rFonts w:eastAsia="Times New Roman"/>
          <w:lang w:eastAsia="en-AU"/>
        </w:rPr>
      </w:pPr>
      <w:r w:rsidRPr="00C953A0">
        <w:t>an amount received from any person for one or more purposes of the special account</w:t>
      </w:r>
      <w:r>
        <w:t>.</w:t>
      </w:r>
    </w:p>
    <w:p w14:paraId="0B51904F" w14:textId="4BB51CC7" w:rsidR="00E90B39" w:rsidRDefault="006C6621" w:rsidP="00050135">
      <w:pPr>
        <w:pStyle w:val="Notepara0"/>
        <w:ind w:left="2160" w:hanging="1196"/>
      </w:pPr>
      <w:r>
        <w:rPr>
          <w:shd w:val="clear" w:color="auto" w:fill="FFFFFF"/>
        </w:rPr>
        <w:t>Note:</w:t>
      </w:r>
      <w:r>
        <w:rPr>
          <w:shd w:val="clear" w:color="auto" w:fill="FFFFFF"/>
        </w:rPr>
        <w:tab/>
        <w:t>Subsection 58(5) of the Act requires the proceeds of an investment (within the meaning of that provision) of an amount debited from a special account to be credited to that special account.</w:t>
      </w:r>
    </w:p>
    <w:p w14:paraId="0BE1F6C2" w14:textId="77777777" w:rsidR="00B8609A" w:rsidRPr="00AD7631" w:rsidRDefault="003C1E6E" w:rsidP="00AD7631">
      <w:pPr>
        <w:pStyle w:val="ActHead5"/>
        <w:rPr>
          <w:rStyle w:val="CharSectno"/>
        </w:rPr>
      </w:pPr>
      <w:bookmarkStart w:id="15" w:name="_Toc62127984"/>
      <w:r>
        <w:rPr>
          <w:rStyle w:val="CharSectno"/>
        </w:rPr>
        <w:t>8</w:t>
      </w:r>
      <w:r w:rsidR="00B8609A" w:rsidRPr="00AD7631">
        <w:rPr>
          <w:rStyle w:val="CharSectno"/>
        </w:rPr>
        <w:t xml:space="preserve">  Purposes of the </w:t>
      </w:r>
      <w:r w:rsidR="00455E1A" w:rsidRPr="00AD7631">
        <w:rPr>
          <w:rStyle w:val="CharSectno"/>
        </w:rPr>
        <w:t>special a</w:t>
      </w:r>
      <w:r w:rsidR="00B8609A" w:rsidRPr="00AD7631">
        <w:rPr>
          <w:rStyle w:val="CharSectno"/>
        </w:rPr>
        <w:t>ccount</w:t>
      </w:r>
      <w:bookmarkEnd w:id="15"/>
    </w:p>
    <w:p w14:paraId="76C43854" w14:textId="77777777" w:rsidR="00203427" w:rsidRPr="00CF6CDD" w:rsidRDefault="00C03949" w:rsidP="00C03949">
      <w:pPr>
        <w:pStyle w:val="subsection"/>
      </w:pPr>
      <w:r>
        <w:tab/>
      </w:r>
      <w:r>
        <w:tab/>
      </w:r>
      <w:r w:rsidR="00B8609A" w:rsidRPr="00CE103E">
        <w:t xml:space="preserve">For </w:t>
      </w:r>
      <w:r w:rsidR="0088445A">
        <w:t>paragraph</w:t>
      </w:r>
      <w:r w:rsidR="0006276B">
        <w:t xml:space="preserve"> </w:t>
      </w:r>
      <w:r w:rsidR="001B58AC" w:rsidRPr="007C60A0">
        <w:t>78(1)(c)</w:t>
      </w:r>
      <w:r w:rsidR="001B58AC">
        <w:t xml:space="preserve"> of the Act,</w:t>
      </w:r>
      <w:r w:rsidR="00C07C8E" w:rsidRPr="00CE103E">
        <w:t xml:space="preserve"> </w:t>
      </w:r>
      <w:r w:rsidR="0074323C">
        <w:t xml:space="preserve">the purposes of the special account, in </w:t>
      </w:r>
      <w:r w:rsidR="0074323C" w:rsidRPr="00CF6CDD">
        <w:t xml:space="preserve">relation to which </w:t>
      </w:r>
      <w:r w:rsidRPr="00CF6CDD">
        <w:t>amount</w:t>
      </w:r>
      <w:r w:rsidR="0074323C" w:rsidRPr="00CF6CDD">
        <w:t>s</w:t>
      </w:r>
      <w:r w:rsidR="00203427" w:rsidRPr="00CF6CDD">
        <w:t xml:space="preserve"> may</w:t>
      </w:r>
      <w:r w:rsidR="00B8609A" w:rsidRPr="00CF6CDD">
        <w:t xml:space="preserve"> </w:t>
      </w:r>
      <w:r w:rsidRPr="00CF6CDD">
        <w:t xml:space="preserve">be </w:t>
      </w:r>
      <w:r w:rsidR="00B8609A" w:rsidRPr="00CF6CDD">
        <w:t>debit</w:t>
      </w:r>
      <w:r w:rsidRPr="00CF6CDD">
        <w:t>ed</w:t>
      </w:r>
      <w:r w:rsidR="00B8609A" w:rsidRPr="00CF6CDD">
        <w:t xml:space="preserve"> from the </w:t>
      </w:r>
      <w:r w:rsidR="00455E1A" w:rsidRPr="00CF6CDD">
        <w:t>special a</w:t>
      </w:r>
      <w:r w:rsidR="00B8609A" w:rsidRPr="00CF6CDD">
        <w:t>ccount</w:t>
      </w:r>
      <w:r w:rsidR="0074323C" w:rsidRPr="00CF6CDD">
        <w:t>, are</w:t>
      </w:r>
      <w:r w:rsidRPr="00CF6CDD">
        <w:t>:</w:t>
      </w:r>
    </w:p>
    <w:p w14:paraId="5CB038CD" w14:textId="33EFAAEA" w:rsidR="00C953A0" w:rsidRDefault="00AD7631" w:rsidP="006F3DD0">
      <w:pPr>
        <w:pStyle w:val="paragraph"/>
        <w:numPr>
          <w:ilvl w:val="0"/>
          <w:numId w:val="26"/>
        </w:numPr>
        <w:spacing w:before="120" w:after="120"/>
        <w:ind w:right="91"/>
      </w:pPr>
      <w:r w:rsidRPr="00C953A0">
        <w:t xml:space="preserve">to </w:t>
      </w:r>
      <w:r w:rsidR="00617929">
        <w:t>make</w:t>
      </w:r>
      <w:r w:rsidR="00C953A0">
        <w:t xml:space="preserve"> investments in </w:t>
      </w:r>
      <w:r w:rsidR="007F33C3">
        <w:t>relation</w:t>
      </w:r>
      <w:r w:rsidR="00C953A0">
        <w:t xml:space="preserve"> to:</w:t>
      </w:r>
    </w:p>
    <w:p w14:paraId="6F7FFF10" w14:textId="542E534E" w:rsidR="00C953A0" w:rsidRDefault="007F33C3" w:rsidP="006F3DD0">
      <w:pPr>
        <w:pStyle w:val="paragraph"/>
        <w:numPr>
          <w:ilvl w:val="0"/>
          <w:numId w:val="29"/>
        </w:numPr>
        <w:spacing w:before="120" w:after="120"/>
        <w:ind w:right="91"/>
      </w:pPr>
      <w:r>
        <w:t xml:space="preserve">activities to </w:t>
      </w:r>
      <w:r w:rsidR="00C953A0">
        <w:t>modernise Australia’s electricity grids;</w:t>
      </w:r>
    </w:p>
    <w:p w14:paraId="1C690CEA" w14:textId="5ABA0C9F" w:rsidR="00C953A0" w:rsidRDefault="007F33C3" w:rsidP="006F3DD0">
      <w:pPr>
        <w:pStyle w:val="paragraph"/>
        <w:numPr>
          <w:ilvl w:val="0"/>
          <w:numId w:val="29"/>
        </w:numPr>
        <w:spacing w:before="120" w:after="120"/>
        <w:ind w:right="91"/>
      </w:pPr>
      <w:r>
        <w:t xml:space="preserve">activities that </w:t>
      </w:r>
      <w:r w:rsidR="00C953A0">
        <w:t>contribute to energy system security, reliability, and affordability;</w:t>
      </w:r>
    </w:p>
    <w:p w14:paraId="0521297B" w14:textId="2653AE8E" w:rsidR="00C953A0" w:rsidRDefault="00C953A0" w:rsidP="006F3DD0">
      <w:pPr>
        <w:pStyle w:val="paragraph"/>
        <w:numPr>
          <w:ilvl w:val="0"/>
          <w:numId w:val="29"/>
        </w:numPr>
        <w:spacing w:before="120" w:after="120"/>
        <w:ind w:right="91"/>
      </w:pPr>
      <w:r>
        <w:t>renewable energy developments and decarbonisation of Australia’s electricity grids;</w:t>
      </w:r>
    </w:p>
    <w:p w14:paraId="735C39E7" w14:textId="394A82F4" w:rsidR="009812D1" w:rsidRDefault="009812D1" w:rsidP="006F3DD0">
      <w:pPr>
        <w:pStyle w:val="paragraph"/>
        <w:numPr>
          <w:ilvl w:val="0"/>
          <w:numId w:val="29"/>
        </w:numPr>
        <w:spacing w:before="120" w:after="120"/>
        <w:ind w:right="91"/>
      </w:pPr>
      <w:r>
        <w:t>large scale storage</w:t>
      </w:r>
      <w:r w:rsidR="002508BB">
        <w:t xml:space="preserve"> and </w:t>
      </w:r>
      <w:r>
        <w:t>associated transmission;</w:t>
      </w:r>
    </w:p>
    <w:p w14:paraId="60B1F622" w14:textId="593EA22D" w:rsidR="00AD7631" w:rsidRPr="009054AC" w:rsidRDefault="00C953A0" w:rsidP="006F3DD0">
      <w:pPr>
        <w:pStyle w:val="ListParagraph"/>
        <w:numPr>
          <w:ilvl w:val="0"/>
          <w:numId w:val="26"/>
        </w:numPr>
        <w:spacing w:before="120" w:after="120"/>
        <w:contextualSpacing w:val="0"/>
        <w:rPr>
          <w:rFonts w:eastAsia="Times New Roman"/>
          <w:lang w:eastAsia="en-AU"/>
        </w:rPr>
      </w:pPr>
      <w:r w:rsidRPr="00C953A0">
        <w:rPr>
          <w:rFonts w:eastAsia="Times New Roman"/>
          <w:lang w:eastAsia="en-AU"/>
        </w:rPr>
        <w:t xml:space="preserve">to provide underwriting </w:t>
      </w:r>
      <w:r w:rsidR="007F33C3">
        <w:rPr>
          <w:rFonts w:eastAsia="Times New Roman"/>
          <w:lang w:eastAsia="en-AU"/>
        </w:rPr>
        <w:t xml:space="preserve">for </w:t>
      </w:r>
      <w:r w:rsidRPr="00C953A0">
        <w:rPr>
          <w:rFonts w:eastAsia="Times New Roman"/>
          <w:lang w:eastAsia="en-AU"/>
        </w:rPr>
        <w:t xml:space="preserve">activities under paragraph (a), </w:t>
      </w:r>
      <w:r w:rsidR="007F33C3">
        <w:rPr>
          <w:rFonts w:eastAsia="Times New Roman"/>
          <w:lang w:eastAsia="en-AU"/>
        </w:rPr>
        <w:t xml:space="preserve">provided the value of the underwriting does not exceed </w:t>
      </w:r>
      <w:r w:rsidRPr="009054AC">
        <w:rPr>
          <w:rFonts w:eastAsia="Times New Roman"/>
          <w:lang w:eastAsia="en-AU"/>
        </w:rPr>
        <w:t xml:space="preserve">the balance of the special account at </w:t>
      </w:r>
      <w:r w:rsidR="008715D8" w:rsidRPr="009054AC">
        <w:rPr>
          <w:rFonts w:eastAsia="Times New Roman"/>
          <w:lang w:eastAsia="en-AU"/>
        </w:rPr>
        <w:t>any</w:t>
      </w:r>
      <w:r w:rsidR="008715D8">
        <w:rPr>
          <w:rFonts w:eastAsia="Times New Roman"/>
          <w:lang w:eastAsia="en-AU"/>
        </w:rPr>
        <w:t xml:space="preserve"> </w:t>
      </w:r>
      <w:r w:rsidR="008715D8" w:rsidRPr="009054AC">
        <w:rPr>
          <w:rFonts w:eastAsia="Times New Roman"/>
          <w:lang w:eastAsia="en-AU"/>
        </w:rPr>
        <w:t>time</w:t>
      </w:r>
      <w:r w:rsidRPr="009054AC">
        <w:rPr>
          <w:rFonts w:eastAsia="Times New Roman"/>
          <w:lang w:eastAsia="en-AU"/>
        </w:rPr>
        <w:t>;</w:t>
      </w:r>
    </w:p>
    <w:p w14:paraId="774F8642" w14:textId="5DB5B413" w:rsidR="00AD7631" w:rsidRPr="00C953A0" w:rsidRDefault="00AD7631" w:rsidP="006F3DD0">
      <w:pPr>
        <w:pStyle w:val="paragraph"/>
        <w:numPr>
          <w:ilvl w:val="0"/>
          <w:numId w:val="26"/>
        </w:numPr>
        <w:spacing w:before="120" w:after="120"/>
        <w:ind w:right="91"/>
      </w:pPr>
      <w:r w:rsidRPr="00C953A0">
        <w:t>to disburse an amount in connection with joint activities performed</w:t>
      </w:r>
      <w:r w:rsidR="000B007E" w:rsidRPr="00C953A0">
        <w:t xml:space="preserve"> for,</w:t>
      </w:r>
      <w:r w:rsidRPr="00C953A0">
        <w:t xml:space="preserve"> on behalf of</w:t>
      </w:r>
      <w:r w:rsidR="000B007E" w:rsidRPr="00C953A0">
        <w:t>, or together with,</w:t>
      </w:r>
      <w:r w:rsidRPr="00C953A0">
        <w:t xml:space="preserve"> a Commonwealth entity, Commonwealth company, government, organisation</w:t>
      </w:r>
      <w:r w:rsidR="00144EBE" w:rsidRPr="00C953A0">
        <w:t>, body</w:t>
      </w:r>
      <w:r w:rsidRPr="00C953A0">
        <w:t xml:space="preserve"> or person</w:t>
      </w:r>
      <w:r w:rsidR="007F33C3">
        <w:t xml:space="preserve"> in relation to the activities under paragraph (a)</w:t>
      </w:r>
      <w:r w:rsidRPr="00C953A0">
        <w:t>;</w:t>
      </w:r>
    </w:p>
    <w:p w14:paraId="40DE7D0D" w14:textId="11E912F5" w:rsidR="00AD7631" w:rsidRPr="00C953A0" w:rsidRDefault="00AD7631" w:rsidP="006F3DD0">
      <w:pPr>
        <w:pStyle w:val="paragraph"/>
        <w:numPr>
          <w:ilvl w:val="0"/>
          <w:numId w:val="26"/>
        </w:numPr>
        <w:spacing w:before="120" w:after="120"/>
        <w:ind w:right="91"/>
      </w:pPr>
      <w:r w:rsidRPr="00C953A0">
        <w:t xml:space="preserve">to disburse an amount in connection with an agreement between the Commonwealth and another </w:t>
      </w:r>
      <w:r w:rsidR="003D53F5">
        <w:t xml:space="preserve">person, organisation, body or </w:t>
      </w:r>
      <w:r w:rsidRPr="00C953A0">
        <w:t>government</w:t>
      </w:r>
      <w:r w:rsidR="003D53F5">
        <w:t xml:space="preserve"> in relation to the activities under paragraph (a)</w:t>
      </w:r>
      <w:r w:rsidRPr="00C953A0">
        <w:t>;</w:t>
      </w:r>
    </w:p>
    <w:p w14:paraId="327024EE" w14:textId="77777777" w:rsidR="00AD7631" w:rsidRPr="00C953A0" w:rsidRDefault="002164F2" w:rsidP="006F3DD0">
      <w:pPr>
        <w:pStyle w:val="paragraph"/>
        <w:numPr>
          <w:ilvl w:val="0"/>
          <w:numId w:val="26"/>
        </w:numPr>
        <w:spacing w:before="120" w:after="120"/>
        <w:ind w:right="91"/>
      </w:pPr>
      <w:r w:rsidRPr="00C953A0">
        <w:t>to repay an amount where a court order,</w:t>
      </w:r>
      <w:r w:rsidR="00AD7631" w:rsidRPr="00C953A0">
        <w:t xml:space="preserve"> Act or other law requires or permits the repayment of an amount received; and  </w:t>
      </w:r>
    </w:p>
    <w:p w14:paraId="12D3AB9D" w14:textId="37CF6E1B" w:rsidR="00E90B39" w:rsidRDefault="00AD7631" w:rsidP="00ED0565">
      <w:pPr>
        <w:pStyle w:val="paragraph"/>
        <w:numPr>
          <w:ilvl w:val="0"/>
          <w:numId w:val="26"/>
        </w:numPr>
        <w:spacing w:before="120" w:after="120"/>
        <w:ind w:right="-476"/>
      </w:pPr>
      <w:r w:rsidRPr="00C953A0">
        <w:t xml:space="preserve"> </w:t>
      </w:r>
      <w:r w:rsidRPr="00C953A0">
        <w:tab/>
        <w:t>to reduce the balance of the special account (and</w:t>
      </w:r>
      <w:r w:rsidR="00703090" w:rsidRPr="00C953A0">
        <w:t>, therefore,</w:t>
      </w:r>
      <w:r w:rsidRPr="00C953A0">
        <w:t xml:space="preserve"> the available appropriation</w:t>
      </w:r>
      <w:r w:rsidR="0080305B" w:rsidRPr="00C953A0">
        <w:t xml:space="preserve"> for the special account</w:t>
      </w:r>
      <w:r w:rsidRPr="00C953A0">
        <w:t>) without making a real or notional payment.</w:t>
      </w:r>
    </w:p>
    <w:sectPr w:rsidR="00E90B39" w:rsidSect="004977F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98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4699" w14:textId="77777777" w:rsidR="00D20C05" w:rsidRDefault="00D20C05" w:rsidP="00715914">
      <w:pPr>
        <w:spacing w:line="240" w:lineRule="auto"/>
      </w:pPr>
      <w:r>
        <w:separator/>
      </w:r>
    </w:p>
  </w:endnote>
  <w:endnote w:type="continuationSeparator" w:id="0">
    <w:p w14:paraId="0D92A8A3" w14:textId="77777777" w:rsidR="00D20C05" w:rsidRDefault="00D20C0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C9769E" w:rsidRPr="004257B1" w14:paraId="3BE4A742" w14:textId="77777777" w:rsidTr="004257B1">
      <w:tc>
        <w:tcPr>
          <w:tcW w:w="8472" w:type="dxa"/>
          <w:shd w:val="clear" w:color="auto" w:fill="auto"/>
        </w:tcPr>
        <w:p w14:paraId="37B87EC9" w14:textId="77777777" w:rsidR="00C9769E" w:rsidRPr="004257B1" w:rsidRDefault="00001F57" w:rsidP="004257B1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5D2E4D0" wp14:editId="26A0CDC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F4706" w14:textId="63C9839F" w:rsidR="00C9769E" w:rsidRPr="00284719" w:rsidRDefault="00C976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46984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No DLM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D2E4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kSXBZ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CBF4706" w14:textId="63C9839F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4698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C9769E" w:rsidRPr="004257B1">
            <w:rPr>
              <w:i/>
              <w:noProof/>
              <w:sz w:val="18"/>
            </w:rPr>
            <w:t>I17GN110.v03.docx</w:t>
          </w:r>
          <w:r w:rsidR="00C9769E" w:rsidRPr="004257B1">
            <w:rPr>
              <w:i/>
              <w:sz w:val="18"/>
            </w:rPr>
            <w:t xml:space="preserve"> </w:t>
          </w:r>
          <w:r w:rsidR="00C9769E" w:rsidRPr="004257B1">
            <w:rPr>
              <w:i/>
              <w:noProof/>
              <w:sz w:val="18"/>
            </w:rPr>
            <w:t>21/2/2017 10:16 AM</w:t>
          </w:r>
        </w:p>
      </w:tc>
    </w:tr>
  </w:tbl>
  <w:p w14:paraId="4DF15855" w14:textId="77777777" w:rsidR="00C9769E" w:rsidRPr="007500C8" w:rsidRDefault="00C976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2607" w14:textId="77777777" w:rsidR="00C9769E" w:rsidRDefault="00C9769E" w:rsidP="007500C8">
    <w:pPr>
      <w:pStyle w:val="Footer"/>
    </w:pPr>
  </w:p>
  <w:p w14:paraId="5075A313" w14:textId="77777777" w:rsidR="00C9769E" w:rsidRDefault="00C9769E" w:rsidP="007500C8">
    <w:pPr>
      <w:pStyle w:val="Footer"/>
    </w:pPr>
  </w:p>
  <w:p w14:paraId="4BFDE326" w14:textId="77777777" w:rsidR="00375FA8" w:rsidRPr="00375FA8" w:rsidRDefault="00375FA8" w:rsidP="00375FA8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8C57" w14:textId="77777777" w:rsidR="00C9769E" w:rsidRPr="00ED79B6" w:rsidRDefault="00C976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4D9E" w14:textId="77777777" w:rsidR="00C9769E" w:rsidRPr="00E33C1C" w:rsidRDefault="00001F5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DA632F" wp14:editId="661BED9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89D787" w14:textId="4F733A34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4698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A632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489D787" w14:textId="4F733A34" w:rsidR="00C9769E" w:rsidRPr="00284719" w:rsidRDefault="00C976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46984"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769E" w:rsidRPr="004257B1" w14:paraId="00AADE45" w14:textId="77777777" w:rsidTr="004257B1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887200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8A4E68" w14:textId="792D497D" w:rsidR="00C9769E" w:rsidRPr="004257B1" w:rsidRDefault="00C9769E" w:rsidP="004257B1">
          <w:pPr>
            <w:spacing w:line="0" w:lineRule="atLeast"/>
            <w:jc w:val="center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DOCPROPERTY ShortT </w:instrText>
          </w:r>
          <w:r w:rsidRPr="004257B1">
            <w:rPr>
              <w:i/>
              <w:sz w:val="18"/>
            </w:rPr>
            <w:fldChar w:fldCharType="separate"/>
          </w:r>
          <w:r w:rsidR="0094698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EEAE8C" w14:textId="7777777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</w:p>
      </w:tc>
    </w:tr>
    <w:tr w:rsidR="00C9769E" w:rsidRPr="004257B1" w14:paraId="2C77D142" w14:textId="77777777" w:rsidTr="004257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61DB364" w14:textId="77777777" w:rsidR="00C9769E" w:rsidRPr="004257B1" w:rsidRDefault="00C9769E" w:rsidP="004257B1">
          <w:pPr>
            <w:jc w:val="right"/>
            <w:rPr>
              <w:sz w:val="18"/>
            </w:rPr>
          </w:pP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0BA38C53" w14:textId="77777777" w:rsidR="00C9769E" w:rsidRPr="00ED79B6" w:rsidRDefault="00C9769E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9E7A" w14:textId="77777777" w:rsidR="00C9769E" w:rsidRPr="00E33C1C" w:rsidRDefault="00C9769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9769E" w:rsidRPr="004257B1" w14:paraId="663007CA" w14:textId="77777777" w:rsidTr="004257B1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C25728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967325" w14:textId="5AAB12C2" w:rsidR="00C9769E" w:rsidRPr="00470FCE" w:rsidRDefault="00C9769E" w:rsidP="00BC7AED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="00B32832">
            <w:rPr>
              <w:i/>
              <w:sz w:val="18"/>
            </w:rPr>
            <w:t>Rewiring the Nation</w:t>
          </w:r>
          <w:r w:rsidR="005A56E8" w:rsidRPr="00470FCE">
            <w:rPr>
              <w:i/>
              <w:sz w:val="18"/>
            </w:rPr>
            <w:t xml:space="preserve"> </w:t>
          </w:r>
          <w:r w:rsidR="00D15CBB" w:rsidRPr="00470FCE">
            <w:rPr>
              <w:i/>
              <w:sz w:val="18"/>
            </w:rPr>
            <w:t xml:space="preserve">Special Account </w:t>
          </w:r>
          <w:r w:rsidR="00B32832">
            <w:rPr>
              <w:i/>
              <w:sz w:val="18"/>
            </w:rPr>
            <w:t>2023</w:t>
          </w:r>
          <w:r w:rsidRPr="00470FCE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CC3592" w14:textId="16E85EC5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  <w:r w:rsidRPr="00470FCE">
            <w:rPr>
              <w:i/>
              <w:sz w:val="18"/>
            </w:rPr>
            <w:fldChar w:fldCharType="begin"/>
          </w:r>
          <w:r w:rsidRPr="00470FCE">
            <w:rPr>
              <w:i/>
              <w:sz w:val="18"/>
            </w:rPr>
            <w:instrText xml:space="preserve"> PAGE </w:instrText>
          </w:r>
          <w:r w:rsidRPr="00470FCE">
            <w:rPr>
              <w:i/>
              <w:sz w:val="18"/>
            </w:rPr>
            <w:fldChar w:fldCharType="separate"/>
          </w:r>
          <w:r w:rsidR="00671858">
            <w:rPr>
              <w:i/>
              <w:noProof/>
              <w:sz w:val="18"/>
            </w:rPr>
            <w:t>i</w:t>
          </w:r>
          <w:r w:rsidRPr="00470FCE">
            <w:rPr>
              <w:i/>
              <w:sz w:val="18"/>
            </w:rPr>
            <w:fldChar w:fldCharType="end"/>
          </w:r>
        </w:p>
      </w:tc>
    </w:tr>
  </w:tbl>
  <w:p w14:paraId="5BA7C3D9" w14:textId="77777777" w:rsidR="00C9769E" w:rsidRDefault="00C9769E" w:rsidP="007500C8">
    <w:pPr>
      <w:rPr>
        <w:i/>
        <w:sz w:val="18"/>
      </w:rPr>
    </w:pPr>
  </w:p>
  <w:p w14:paraId="4E113226" w14:textId="77777777" w:rsidR="00375FA8" w:rsidRPr="00375FA8" w:rsidRDefault="00375FA8" w:rsidP="00375FA8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C642" w14:textId="77777777" w:rsidR="00C9769E" w:rsidRPr="00E33C1C" w:rsidRDefault="00C9769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769E" w:rsidRPr="004257B1" w14:paraId="7CB34802" w14:textId="77777777" w:rsidTr="004A21C1">
      <w:trPr>
        <w:trHeight w:val="291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76AF43" w14:textId="4B78D171" w:rsidR="00C9769E" w:rsidRPr="004257B1" w:rsidRDefault="00C9769E" w:rsidP="004257B1">
          <w:pPr>
            <w:spacing w:line="0" w:lineRule="atLeas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="00671858">
            <w:rPr>
              <w:i/>
              <w:noProof/>
              <w:sz w:val="18"/>
            </w:rPr>
            <w:t>2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2E7CA5" w14:textId="50749C5B" w:rsidR="00C9769E" w:rsidRPr="00470FCE" w:rsidRDefault="00C9769E" w:rsidP="00EC44A1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="00B32832">
            <w:rPr>
              <w:i/>
              <w:sz w:val="18"/>
            </w:rPr>
            <w:t>Rewiring the Nation</w:t>
          </w:r>
          <w:r w:rsidR="00D15CBB" w:rsidRPr="00470FCE">
            <w:rPr>
              <w:i/>
              <w:sz w:val="18"/>
            </w:rPr>
            <w:t xml:space="preserve"> Special Account</w:t>
          </w:r>
          <w:r w:rsidR="00B32832">
            <w:rPr>
              <w:i/>
              <w:sz w:val="18"/>
            </w:rPr>
            <w:t xml:space="preserve"> 2023</w:t>
          </w:r>
          <w:r w:rsidRPr="00470FCE">
            <w:rPr>
              <w:i/>
              <w:sz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70C7F1" w14:textId="7777777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</w:p>
      </w:tc>
    </w:tr>
  </w:tbl>
  <w:p w14:paraId="04DE5E4E" w14:textId="77777777" w:rsidR="00C9769E" w:rsidRPr="00ED79B6" w:rsidRDefault="00C9769E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06A2" w14:textId="77777777" w:rsidR="00C9769E" w:rsidRPr="00E33C1C" w:rsidRDefault="00C9769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C9769E" w:rsidRPr="004257B1" w14:paraId="621F67BF" w14:textId="77777777" w:rsidTr="004257B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4940E7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4BC5C5" w14:textId="3CBAEB5C" w:rsidR="00C9769E" w:rsidRPr="00470FCE" w:rsidRDefault="00C9769E" w:rsidP="00EC44A1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="00B32832">
            <w:rPr>
              <w:i/>
              <w:sz w:val="18"/>
            </w:rPr>
            <w:t>Rewiring the Nation</w:t>
          </w:r>
          <w:r w:rsidR="005A56E8" w:rsidRPr="00470FCE">
            <w:rPr>
              <w:i/>
              <w:sz w:val="18"/>
            </w:rPr>
            <w:t xml:space="preserve"> </w:t>
          </w:r>
          <w:r w:rsidR="00D15CBB" w:rsidRPr="00470FCE">
            <w:rPr>
              <w:i/>
              <w:sz w:val="18"/>
            </w:rPr>
            <w:t xml:space="preserve">Special Account </w:t>
          </w:r>
          <w:r w:rsidR="00B32832">
            <w:rPr>
              <w:i/>
              <w:sz w:val="18"/>
            </w:rPr>
            <w:t>2023</w:t>
          </w:r>
          <w:r w:rsidRPr="00470FCE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EEE6F7" w14:textId="45FCA80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="00671858">
            <w:rPr>
              <w:i/>
              <w:noProof/>
              <w:sz w:val="18"/>
            </w:rPr>
            <w:t>1</w:t>
          </w:r>
          <w:r w:rsidRPr="004257B1">
            <w:rPr>
              <w:i/>
              <w:sz w:val="18"/>
            </w:rPr>
            <w:fldChar w:fldCharType="end"/>
          </w:r>
        </w:p>
      </w:tc>
    </w:tr>
  </w:tbl>
  <w:p w14:paraId="69DBF84E" w14:textId="77777777" w:rsidR="00C9769E" w:rsidRDefault="00C9769E" w:rsidP="00472DBE">
    <w:pPr>
      <w:rPr>
        <w:i/>
        <w:sz w:val="18"/>
      </w:rPr>
    </w:pPr>
  </w:p>
  <w:p w14:paraId="36D1B415" w14:textId="77777777" w:rsidR="00375FA8" w:rsidRPr="00375FA8" w:rsidRDefault="00375FA8" w:rsidP="00375FA8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E1B3" w14:textId="77777777" w:rsidR="00C9769E" w:rsidRPr="00E33C1C" w:rsidRDefault="00C9769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C9769E" w:rsidRPr="004257B1" w14:paraId="3F44EF8F" w14:textId="77777777" w:rsidTr="004257B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997B2D" w14:textId="77777777" w:rsidR="00C9769E" w:rsidRPr="004257B1" w:rsidRDefault="00C9769E" w:rsidP="00425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173D98" w14:textId="0BAA4C84" w:rsidR="00C9769E" w:rsidRPr="004257B1" w:rsidRDefault="00C9769E" w:rsidP="004257B1">
          <w:pPr>
            <w:spacing w:line="0" w:lineRule="atLeast"/>
            <w:jc w:val="center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DOCPROPERTY ShortT </w:instrText>
          </w:r>
          <w:r w:rsidRPr="004257B1">
            <w:rPr>
              <w:i/>
              <w:sz w:val="18"/>
            </w:rPr>
            <w:fldChar w:fldCharType="separate"/>
          </w:r>
          <w:r w:rsidR="0094698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A2DEA9" w14:textId="77777777" w:rsidR="00C9769E" w:rsidRPr="004257B1" w:rsidRDefault="00C9769E" w:rsidP="004257B1">
          <w:pPr>
            <w:spacing w:line="0" w:lineRule="atLeast"/>
            <w:jc w:val="righ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Pr="004257B1">
            <w:rPr>
              <w:i/>
              <w:noProof/>
              <w:sz w:val="18"/>
            </w:rPr>
            <w:t>4</w:t>
          </w:r>
          <w:r w:rsidRPr="004257B1">
            <w:rPr>
              <w:i/>
              <w:sz w:val="18"/>
            </w:rPr>
            <w:fldChar w:fldCharType="end"/>
          </w:r>
        </w:p>
      </w:tc>
    </w:tr>
    <w:tr w:rsidR="00C9769E" w:rsidRPr="004257B1" w14:paraId="6C90ED86" w14:textId="77777777" w:rsidTr="004257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2A705A8" w14:textId="77777777" w:rsidR="00C9769E" w:rsidRPr="004257B1" w:rsidRDefault="00C9769E" w:rsidP="006A1137">
          <w:pPr>
            <w:rPr>
              <w:sz w:val="18"/>
            </w:rPr>
          </w:pP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0EF51250" w14:textId="77777777" w:rsidR="00C9769E" w:rsidRPr="00ED79B6" w:rsidRDefault="00C9769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30F0" w14:textId="77777777" w:rsidR="00D20C05" w:rsidRDefault="00D20C05" w:rsidP="00715914">
      <w:pPr>
        <w:spacing w:line="240" w:lineRule="auto"/>
      </w:pPr>
      <w:r>
        <w:separator/>
      </w:r>
    </w:p>
  </w:footnote>
  <w:footnote w:type="continuationSeparator" w:id="0">
    <w:p w14:paraId="0CBE498F" w14:textId="77777777" w:rsidR="00D20C05" w:rsidRDefault="00D20C0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70BA" w14:textId="77777777" w:rsidR="00C9769E" w:rsidRPr="005F1388" w:rsidRDefault="00001F5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A8D070" wp14:editId="55512A5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876D328" w14:textId="60EC1263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4698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8D0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876D328" w14:textId="60EC1263" w:rsidR="00C9769E" w:rsidRPr="00284719" w:rsidRDefault="00C976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46984"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B93B" w14:textId="77777777" w:rsidR="00C9769E" w:rsidRPr="005F1388" w:rsidRDefault="00C976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F2AD" w14:textId="77777777" w:rsidR="00C9769E" w:rsidRPr="005F1388" w:rsidRDefault="00C976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2E5B" w14:textId="77777777" w:rsidR="00C9769E" w:rsidRPr="00ED79B6" w:rsidRDefault="00001F57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038A24" wp14:editId="5CD72CB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BF8128E" w14:textId="49ED61C0" w:rsidR="00C9769E" w:rsidRPr="00284719" w:rsidRDefault="00C976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46984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38A2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UfVgw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BF8128E" w14:textId="49ED61C0" w:rsidR="00C9769E" w:rsidRPr="00284719" w:rsidRDefault="00C976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46984"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EAA4" w14:textId="77777777" w:rsidR="00C9769E" w:rsidRPr="00ED79B6" w:rsidRDefault="00C9769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3C0E" w14:textId="77777777" w:rsidR="00C9769E" w:rsidRPr="00ED79B6" w:rsidRDefault="00C9769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C9DA" w14:textId="49F82C4C" w:rsidR="00C9769E" w:rsidRDefault="00C9769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A38B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</w:p>
  <w:p w14:paraId="22D98C83" w14:textId="77777777" w:rsidR="00C9769E" w:rsidRPr="007A1328" w:rsidRDefault="00C9769E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2081" w14:textId="0E6A0638" w:rsidR="00C9769E" w:rsidRPr="007A1328" w:rsidRDefault="00C9769E" w:rsidP="00715914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A38B5">
      <w:rPr>
        <w:b/>
        <w:sz w:val="20"/>
      </w:rPr>
      <w:fldChar w:fldCharType="separate"/>
    </w:r>
    <w:r w:rsidR="00AA38B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B54B779" w14:textId="77777777" w:rsidR="00C9769E" w:rsidRPr="007A1328" w:rsidRDefault="00C9769E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0C0F8928" w14:textId="77777777" w:rsidR="00C9769E" w:rsidRDefault="00C9769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F712" w14:textId="77777777" w:rsidR="00C9769E" w:rsidRPr="007A1328" w:rsidRDefault="00C9769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80F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C3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2C2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48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F64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85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56A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5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7C6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CC1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9687D"/>
    <w:multiLevelType w:val="hybridMultilevel"/>
    <w:tmpl w:val="0C740B6E"/>
    <w:lvl w:ilvl="0" w:tplc="CCF21A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C089D"/>
    <w:multiLevelType w:val="hybridMultilevel"/>
    <w:tmpl w:val="3398CA7A"/>
    <w:lvl w:ilvl="0" w:tplc="9E5E14B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12550098"/>
    <w:multiLevelType w:val="hybridMultilevel"/>
    <w:tmpl w:val="CDBC4268"/>
    <w:lvl w:ilvl="0" w:tplc="6096BE4C">
      <w:start w:val="1"/>
      <w:numFmt w:val="lowerLetter"/>
      <w:lvlText w:val="(%1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1EC81E79"/>
    <w:multiLevelType w:val="hybridMultilevel"/>
    <w:tmpl w:val="CB4E174A"/>
    <w:lvl w:ilvl="0" w:tplc="E1004F4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6172" w:hanging="360"/>
      </w:pPr>
    </w:lvl>
    <w:lvl w:ilvl="2" w:tplc="0C09001B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1F1E7CC5"/>
    <w:multiLevelType w:val="hybridMultilevel"/>
    <w:tmpl w:val="0C740B6E"/>
    <w:lvl w:ilvl="0" w:tplc="CCF21A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290447F5"/>
    <w:multiLevelType w:val="hybridMultilevel"/>
    <w:tmpl w:val="C00E7F4E"/>
    <w:lvl w:ilvl="0" w:tplc="E4F2986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35E6A6A"/>
    <w:multiLevelType w:val="hybridMultilevel"/>
    <w:tmpl w:val="5AF876A2"/>
    <w:lvl w:ilvl="0" w:tplc="3CD4180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9983C0F"/>
    <w:multiLevelType w:val="hybridMultilevel"/>
    <w:tmpl w:val="48E4B044"/>
    <w:lvl w:ilvl="0" w:tplc="0F885320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5B1C3E"/>
    <w:multiLevelType w:val="hybridMultilevel"/>
    <w:tmpl w:val="BFEC494C"/>
    <w:lvl w:ilvl="0" w:tplc="FBBC0C42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1" w15:restartNumberingAfterBreak="0">
    <w:nsid w:val="3E0A5246"/>
    <w:multiLevelType w:val="hybridMultilevel"/>
    <w:tmpl w:val="14486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24DC3"/>
    <w:multiLevelType w:val="hybridMultilevel"/>
    <w:tmpl w:val="1A62686E"/>
    <w:lvl w:ilvl="0" w:tplc="EC505310">
      <w:start w:val="1"/>
      <w:numFmt w:val="lowerLetter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8796F72"/>
    <w:multiLevelType w:val="hybridMultilevel"/>
    <w:tmpl w:val="68609CE0"/>
    <w:lvl w:ilvl="0" w:tplc="F33CDBF4">
      <w:start w:val="1"/>
      <w:numFmt w:val="lowerLetter"/>
      <w:lvlText w:val="(%1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603C3"/>
    <w:multiLevelType w:val="hybridMultilevel"/>
    <w:tmpl w:val="C36CB788"/>
    <w:lvl w:ilvl="0" w:tplc="F33CDBF4">
      <w:start w:val="1"/>
      <w:numFmt w:val="lowerLetter"/>
      <w:lvlText w:val="(%1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25" w15:restartNumberingAfterBreak="0">
    <w:nsid w:val="616E1436"/>
    <w:multiLevelType w:val="hybridMultilevel"/>
    <w:tmpl w:val="C1600C1E"/>
    <w:lvl w:ilvl="0" w:tplc="ED240AEE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C3E5988"/>
    <w:multiLevelType w:val="hybridMultilevel"/>
    <w:tmpl w:val="920ED192"/>
    <w:lvl w:ilvl="0" w:tplc="5300A80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75B85291"/>
    <w:multiLevelType w:val="hybridMultilevel"/>
    <w:tmpl w:val="66621F8E"/>
    <w:lvl w:ilvl="0" w:tplc="BBC4E8CC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7A777401"/>
    <w:multiLevelType w:val="hybridMultilevel"/>
    <w:tmpl w:val="9F807516"/>
    <w:lvl w:ilvl="0" w:tplc="CDE8C218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75337277">
    <w:abstractNumId w:val="9"/>
  </w:num>
  <w:num w:numId="2" w16cid:durableId="533200932">
    <w:abstractNumId w:val="7"/>
  </w:num>
  <w:num w:numId="3" w16cid:durableId="1512719678">
    <w:abstractNumId w:val="6"/>
  </w:num>
  <w:num w:numId="4" w16cid:durableId="1734964639">
    <w:abstractNumId w:val="5"/>
  </w:num>
  <w:num w:numId="5" w16cid:durableId="547030558">
    <w:abstractNumId w:val="4"/>
  </w:num>
  <w:num w:numId="6" w16cid:durableId="7564121">
    <w:abstractNumId w:val="8"/>
  </w:num>
  <w:num w:numId="7" w16cid:durableId="1872644465">
    <w:abstractNumId w:val="3"/>
  </w:num>
  <w:num w:numId="8" w16cid:durableId="1638562397">
    <w:abstractNumId w:val="2"/>
  </w:num>
  <w:num w:numId="9" w16cid:durableId="1521385061">
    <w:abstractNumId w:val="1"/>
  </w:num>
  <w:num w:numId="10" w16cid:durableId="652562252">
    <w:abstractNumId w:val="0"/>
  </w:num>
  <w:num w:numId="11" w16cid:durableId="1899315243">
    <w:abstractNumId w:val="19"/>
  </w:num>
  <w:num w:numId="12" w16cid:durableId="1457289818">
    <w:abstractNumId w:val="11"/>
  </w:num>
  <w:num w:numId="13" w16cid:durableId="549389087">
    <w:abstractNumId w:val="24"/>
  </w:num>
  <w:num w:numId="14" w16cid:durableId="209928849">
    <w:abstractNumId w:val="13"/>
  </w:num>
  <w:num w:numId="15" w16cid:durableId="654070554">
    <w:abstractNumId w:val="26"/>
  </w:num>
  <w:num w:numId="16" w16cid:durableId="1148548070">
    <w:abstractNumId w:val="25"/>
  </w:num>
  <w:num w:numId="17" w16cid:durableId="1825318436">
    <w:abstractNumId w:val="27"/>
  </w:num>
  <w:num w:numId="18" w16cid:durableId="770010223">
    <w:abstractNumId w:val="20"/>
  </w:num>
  <w:num w:numId="19" w16cid:durableId="1083602983">
    <w:abstractNumId w:val="23"/>
  </w:num>
  <w:num w:numId="20" w16cid:durableId="545989089">
    <w:abstractNumId w:val="21"/>
  </w:num>
  <w:num w:numId="21" w16cid:durableId="1165701084">
    <w:abstractNumId w:val="16"/>
  </w:num>
  <w:num w:numId="22" w16cid:durableId="1964842818">
    <w:abstractNumId w:val="17"/>
  </w:num>
  <w:num w:numId="23" w16cid:durableId="1867980801">
    <w:abstractNumId w:val="22"/>
  </w:num>
  <w:num w:numId="24" w16cid:durableId="1392655927">
    <w:abstractNumId w:val="15"/>
  </w:num>
  <w:num w:numId="25" w16cid:durableId="1425224978">
    <w:abstractNumId w:val="12"/>
  </w:num>
  <w:num w:numId="26" w16cid:durableId="650788945">
    <w:abstractNumId w:val="14"/>
  </w:num>
  <w:num w:numId="27" w16cid:durableId="927006966">
    <w:abstractNumId w:val="28"/>
  </w:num>
  <w:num w:numId="28" w16cid:durableId="378896270">
    <w:abstractNumId w:val="10"/>
  </w:num>
  <w:num w:numId="29" w16cid:durableId="554855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8"/>
  <w:removeDateAndTime/>
  <w:embedTrueTypeFonts/>
  <w:saveSubsetFonts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4A"/>
    <w:rsid w:val="00001F57"/>
    <w:rsid w:val="00004470"/>
    <w:rsid w:val="00010856"/>
    <w:rsid w:val="000136AF"/>
    <w:rsid w:val="000161D3"/>
    <w:rsid w:val="00016FB2"/>
    <w:rsid w:val="00021296"/>
    <w:rsid w:val="00022A28"/>
    <w:rsid w:val="0002393C"/>
    <w:rsid w:val="000337C4"/>
    <w:rsid w:val="00034643"/>
    <w:rsid w:val="000358D6"/>
    <w:rsid w:val="00041A74"/>
    <w:rsid w:val="00042DF8"/>
    <w:rsid w:val="00042E98"/>
    <w:rsid w:val="00042F5F"/>
    <w:rsid w:val="000437C1"/>
    <w:rsid w:val="00043838"/>
    <w:rsid w:val="00050135"/>
    <w:rsid w:val="000518B9"/>
    <w:rsid w:val="0005365D"/>
    <w:rsid w:val="00060769"/>
    <w:rsid w:val="000614BF"/>
    <w:rsid w:val="0006276B"/>
    <w:rsid w:val="00067C3E"/>
    <w:rsid w:val="00084206"/>
    <w:rsid w:val="00091B5F"/>
    <w:rsid w:val="000927FE"/>
    <w:rsid w:val="00094A33"/>
    <w:rsid w:val="00096FEC"/>
    <w:rsid w:val="000B007E"/>
    <w:rsid w:val="000B0425"/>
    <w:rsid w:val="000B58FA"/>
    <w:rsid w:val="000B6615"/>
    <w:rsid w:val="000B6BE1"/>
    <w:rsid w:val="000B7A40"/>
    <w:rsid w:val="000C521A"/>
    <w:rsid w:val="000D05EF"/>
    <w:rsid w:val="000D094B"/>
    <w:rsid w:val="000D3C39"/>
    <w:rsid w:val="000D4EC8"/>
    <w:rsid w:val="000D53DC"/>
    <w:rsid w:val="000D5D46"/>
    <w:rsid w:val="000E1074"/>
    <w:rsid w:val="000E2261"/>
    <w:rsid w:val="000E4C42"/>
    <w:rsid w:val="000E5C93"/>
    <w:rsid w:val="000F21C1"/>
    <w:rsid w:val="000F289C"/>
    <w:rsid w:val="001004C6"/>
    <w:rsid w:val="00104233"/>
    <w:rsid w:val="0010745C"/>
    <w:rsid w:val="00107DB4"/>
    <w:rsid w:val="0011243A"/>
    <w:rsid w:val="001144F7"/>
    <w:rsid w:val="00114752"/>
    <w:rsid w:val="00123EC9"/>
    <w:rsid w:val="00127A13"/>
    <w:rsid w:val="00132CEB"/>
    <w:rsid w:val="00134B40"/>
    <w:rsid w:val="001351B6"/>
    <w:rsid w:val="0013566B"/>
    <w:rsid w:val="001409D4"/>
    <w:rsid w:val="00142B62"/>
    <w:rsid w:val="00144EBE"/>
    <w:rsid w:val="0014539C"/>
    <w:rsid w:val="00147664"/>
    <w:rsid w:val="00154EE2"/>
    <w:rsid w:val="00157B8B"/>
    <w:rsid w:val="00157F11"/>
    <w:rsid w:val="00161B64"/>
    <w:rsid w:val="001648DD"/>
    <w:rsid w:val="001669C1"/>
    <w:rsid w:val="00166C2F"/>
    <w:rsid w:val="001673E6"/>
    <w:rsid w:val="00171CE6"/>
    <w:rsid w:val="00174428"/>
    <w:rsid w:val="00174AF7"/>
    <w:rsid w:val="00177ABD"/>
    <w:rsid w:val="001809D7"/>
    <w:rsid w:val="00191E96"/>
    <w:rsid w:val="001939E1"/>
    <w:rsid w:val="00194180"/>
    <w:rsid w:val="00194C3E"/>
    <w:rsid w:val="00195382"/>
    <w:rsid w:val="001A0E89"/>
    <w:rsid w:val="001A2BF0"/>
    <w:rsid w:val="001A3AA6"/>
    <w:rsid w:val="001A64B4"/>
    <w:rsid w:val="001B1FA5"/>
    <w:rsid w:val="001B3A9E"/>
    <w:rsid w:val="001B58AC"/>
    <w:rsid w:val="001C0434"/>
    <w:rsid w:val="001C61C5"/>
    <w:rsid w:val="001C69C4"/>
    <w:rsid w:val="001D37EF"/>
    <w:rsid w:val="001D3BF1"/>
    <w:rsid w:val="001E10FB"/>
    <w:rsid w:val="001E3590"/>
    <w:rsid w:val="001E7407"/>
    <w:rsid w:val="001F2291"/>
    <w:rsid w:val="001F34BD"/>
    <w:rsid w:val="001F4046"/>
    <w:rsid w:val="001F5D5E"/>
    <w:rsid w:val="001F6219"/>
    <w:rsid w:val="001F6CD4"/>
    <w:rsid w:val="001F7FB2"/>
    <w:rsid w:val="00203427"/>
    <w:rsid w:val="00204269"/>
    <w:rsid w:val="002047A3"/>
    <w:rsid w:val="002062D9"/>
    <w:rsid w:val="00206C4D"/>
    <w:rsid w:val="0021053C"/>
    <w:rsid w:val="00215AF1"/>
    <w:rsid w:val="002164F2"/>
    <w:rsid w:val="00216DB0"/>
    <w:rsid w:val="0022321B"/>
    <w:rsid w:val="00223CED"/>
    <w:rsid w:val="00231E65"/>
    <w:rsid w:val="002321E8"/>
    <w:rsid w:val="00235333"/>
    <w:rsid w:val="00235744"/>
    <w:rsid w:val="00236EEC"/>
    <w:rsid w:val="0024010F"/>
    <w:rsid w:val="00240749"/>
    <w:rsid w:val="00243018"/>
    <w:rsid w:val="00245EDC"/>
    <w:rsid w:val="002508BB"/>
    <w:rsid w:val="00252171"/>
    <w:rsid w:val="002564A4"/>
    <w:rsid w:val="002600F1"/>
    <w:rsid w:val="0026141F"/>
    <w:rsid w:val="00261BE9"/>
    <w:rsid w:val="00263C87"/>
    <w:rsid w:val="00264FDD"/>
    <w:rsid w:val="00265A8B"/>
    <w:rsid w:val="00266F7C"/>
    <w:rsid w:val="0026736C"/>
    <w:rsid w:val="00272035"/>
    <w:rsid w:val="00273886"/>
    <w:rsid w:val="002738A7"/>
    <w:rsid w:val="002768A3"/>
    <w:rsid w:val="002771F6"/>
    <w:rsid w:val="002805CA"/>
    <w:rsid w:val="00281308"/>
    <w:rsid w:val="00282F98"/>
    <w:rsid w:val="00284719"/>
    <w:rsid w:val="0029122A"/>
    <w:rsid w:val="00294B40"/>
    <w:rsid w:val="00297ECB"/>
    <w:rsid w:val="002A2329"/>
    <w:rsid w:val="002A7BCF"/>
    <w:rsid w:val="002B0F3D"/>
    <w:rsid w:val="002B14E4"/>
    <w:rsid w:val="002B27EF"/>
    <w:rsid w:val="002B40AA"/>
    <w:rsid w:val="002C07DE"/>
    <w:rsid w:val="002D043A"/>
    <w:rsid w:val="002D5C32"/>
    <w:rsid w:val="002D5FD6"/>
    <w:rsid w:val="002D6224"/>
    <w:rsid w:val="002E271A"/>
    <w:rsid w:val="002E3F4B"/>
    <w:rsid w:val="002E6196"/>
    <w:rsid w:val="002F44A4"/>
    <w:rsid w:val="002F713F"/>
    <w:rsid w:val="002F7A44"/>
    <w:rsid w:val="00301168"/>
    <w:rsid w:val="003026F7"/>
    <w:rsid w:val="00303A1C"/>
    <w:rsid w:val="00303EC6"/>
    <w:rsid w:val="00304288"/>
    <w:rsid w:val="00304364"/>
    <w:rsid w:val="00304F8B"/>
    <w:rsid w:val="003068F3"/>
    <w:rsid w:val="00306E95"/>
    <w:rsid w:val="00312FE7"/>
    <w:rsid w:val="00313495"/>
    <w:rsid w:val="00320519"/>
    <w:rsid w:val="00323396"/>
    <w:rsid w:val="003354D2"/>
    <w:rsid w:val="00335BC6"/>
    <w:rsid w:val="00341062"/>
    <w:rsid w:val="003415D3"/>
    <w:rsid w:val="00342ECD"/>
    <w:rsid w:val="00344701"/>
    <w:rsid w:val="00344A28"/>
    <w:rsid w:val="00346433"/>
    <w:rsid w:val="003478BB"/>
    <w:rsid w:val="00350434"/>
    <w:rsid w:val="003510A1"/>
    <w:rsid w:val="00352B0F"/>
    <w:rsid w:val="0035354E"/>
    <w:rsid w:val="00356690"/>
    <w:rsid w:val="00360459"/>
    <w:rsid w:val="003621C3"/>
    <w:rsid w:val="00364820"/>
    <w:rsid w:val="003731B2"/>
    <w:rsid w:val="003732D2"/>
    <w:rsid w:val="00374FB9"/>
    <w:rsid w:val="00375FA8"/>
    <w:rsid w:val="00382D91"/>
    <w:rsid w:val="00384D7D"/>
    <w:rsid w:val="00385D15"/>
    <w:rsid w:val="00386827"/>
    <w:rsid w:val="00390038"/>
    <w:rsid w:val="00393419"/>
    <w:rsid w:val="00395917"/>
    <w:rsid w:val="00396EFA"/>
    <w:rsid w:val="00397CED"/>
    <w:rsid w:val="003A6AC5"/>
    <w:rsid w:val="003A6F08"/>
    <w:rsid w:val="003B0F4A"/>
    <w:rsid w:val="003B29C0"/>
    <w:rsid w:val="003B6870"/>
    <w:rsid w:val="003B6C94"/>
    <w:rsid w:val="003C1E6E"/>
    <w:rsid w:val="003C46B2"/>
    <w:rsid w:val="003C5E8B"/>
    <w:rsid w:val="003C6231"/>
    <w:rsid w:val="003D0241"/>
    <w:rsid w:val="003D0BFE"/>
    <w:rsid w:val="003D104B"/>
    <w:rsid w:val="003D53F5"/>
    <w:rsid w:val="003D55D1"/>
    <w:rsid w:val="003D5700"/>
    <w:rsid w:val="003E32F2"/>
    <w:rsid w:val="003E341B"/>
    <w:rsid w:val="003E594D"/>
    <w:rsid w:val="003F4C36"/>
    <w:rsid w:val="003F6166"/>
    <w:rsid w:val="003F6730"/>
    <w:rsid w:val="003F75E6"/>
    <w:rsid w:val="00402838"/>
    <w:rsid w:val="00405500"/>
    <w:rsid w:val="00406FEB"/>
    <w:rsid w:val="00410195"/>
    <w:rsid w:val="0041030E"/>
    <w:rsid w:val="004116CD"/>
    <w:rsid w:val="004144EC"/>
    <w:rsid w:val="00415955"/>
    <w:rsid w:val="00415EAF"/>
    <w:rsid w:val="004176B8"/>
    <w:rsid w:val="00417EB9"/>
    <w:rsid w:val="00421EB2"/>
    <w:rsid w:val="00423A40"/>
    <w:rsid w:val="00424CA9"/>
    <w:rsid w:val="004257B1"/>
    <w:rsid w:val="00431E9B"/>
    <w:rsid w:val="00432BDD"/>
    <w:rsid w:val="004379E3"/>
    <w:rsid w:val="0044015E"/>
    <w:rsid w:val="0044291A"/>
    <w:rsid w:val="00444ABD"/>
    <w:rsid w:val="00450302"/>
    <w:rsid w:val="00455E1A"/>
    <w:rsid w:val="00456CB4"/>
    <w:rsid w:val="00461C81"/>
    <w:rsid w:val="00467661"/>
    <w:rsid w:val="00467FAA"/>
    <w:rsid w:val="004705B7"/>
    <w:rsid w:val="00470FCE"/>
    <w:rsid w:val="0047133A"/>
    <w:rsid w:val="00472DBE"/>
    <w:rsid w:val="00474A19"/>
    <w:rsid w:val="004753BC"/>
    <w:rsid w:val="00483A85"/>
    <w:rsid w:val="004903C7"/>
    <w:rsid w:val="00493A40"/>
    <w:rsid w:val="00493B41"/>
    <w:rsid w:val="0049539F"/>
    <w:rsid w:val="00496F97"/>
    <w:rsid w:val="004977FF"/>
    <w:rsid w:val="004A21C1"/>
    <w:rsid w:val="004B676C"/>
    <w:rsid w:val="004C139B"/>
    <w:rsid w:val="004C2040"/>
    <w:rsid w:val="004C6A72"/>
    <w:rsid w:val="004C6AE8"/>
    <w:rsid w:val="004D31F0"/>
    <w:rsid w:val="004D491D"/>
    <w:rsid w:val="004D5B35"/>
    <w:rsid w:val="004D7DE7"/>
    <w:rsid w:val="004E063A"/>
    <w:rsid w:val="004E0FE1"/>
    <w:rsid w:val="004E11D1"/>
    <w:rsid w:val="004E27BF"/>
    <w:rsid w:val="004E7BEC"/>
    <w:rsid w:val="004F0263"/>
    <w:rsid w:val="004F02DC"/>
    <w:rsid w:val="004F0C81"/>
    <w:rsid w:val="00501F7C"/>
    <w:rsid w:val="005049BF"/>
    <w:rsid w:val="00505D3D"/>
    <w:rsid w:val="00506AF6"/>
    <w:rsid w:val="00507DF8"/>
    <w:rsid w:val="00513149"/>
    <w:rsid w:val="00516093"/>
    <w:rsid w:val="00516B8D"/>
    <w:rsid w:val="005317E8"/>
    <w:rsid w:val="00535976"/>
    <w:rsid w:val="005363B5"/>
    <w:rsid w:val="00537A68"/>
    <w:rsid w:val="00537FBC"/>
    <w:rsid w:val="0054317A"/>
    <w:rsid w:val="005447C7"/>
    <w:rsid w:val="005450E1"/>
    <w:rsid w:val="00554703"/>
    <w:rsid w:val="00554710"/>
    <w:rsid w:val="0055674E"/>
    <w:rsid w:val="005574D1"/>
    <w:rsid w:val="0056581B"/>
    <w:rsid w:val="005661DE"/>
    <w:rsid w:val="005748B1"/>
    <w:rsid w:val="00576554"/>
    <w:rsid w:val="00577705"/>
    <w:rsid w:val="00582828"/>
    <w:rsid w:val="00582CF2"/>
    <w:rsid w:val="00584811"/>
    <w:rsid w:val="00585784"/>
    <w:rsid w:val="00593AA6"/>
    <w:rsid w:val="00594161"/>
    <w:rsid w:val="00594749"/>
    <w:rsid w:val="00595750"/>
    <w:rsid w:val="005A3A26"/>
    <w:rsid w:val="005A56E8"/>
    <w:rsid w:val="005B4067"/>
    <w:rsid w:val="005B41DA"/>
    <w:rsid w:val="005B6B80"/>
    <w:rsid w:val="005B7F20"/>
    <w:rsid w:val="005C3CBF"/>
    <w:rsid w:val="005C3F41"/>
    <w:rsid w:val="005C524F"/>
    <w:rsid w:val="005D2D09"/>
    <w:rsid w:val="005D43BB"/>
    <w:rsid w:val="005D4FFE"/>
    <w:rsid w:val="005E1C81"/>
    <w:rsid w:val="005F2096"/>
    <w:rsid w:val="005F71A2"/>
    <w:rsid w:val="00600219"/>
    <w:rsid w:val="00601F9A"/>
    <w:rsid w:val="00603DC4"/>
    <w:rsid w:val="00612830"/>
    <w:rsid w:val="00612DF7"/>
    <w:rsid w:val="00613AAF"/>
    <w:rsid w:val="00614718"/>
    <w:rsid w:val="00617929"/>
    <w:rsid w:val="00620076"/>
    <w:rsid w:val="00621EC9"/>
    <w:rsid w:val="00622DF6"/>
    <w:rsid w:val="00626BCB"/>
    <w:rsid w:val="006312D8"/>
    <w:rsid w:val="00632A00"/>
    <w:rsid w:val="0063701C"/>
    <w:rsid w:val="00641C6E"/>
    <w:rsid w:val="00641D5C"/>
    <w:rsid w:val="0064222D"/>
    <w:rsid w:val="00642F87"/>
    <w:rsid w:val="00643400"/>
    <w:rsid w:val="00645F1C"/>
    <w:rsid w:val="00647FF9"/>
    <w:rsid w:val="0065463F"/>
    <w:rsid w:val="00654FF2"/>
    <w:rsid w:val="0065789F"/>
    <w:rsid w:val="006605D9"/>
    <w:rsid w:val="00670772"/>
    <w:rsid w:val="00670EA1"/>
    <w:rsid w:val="00671858"/>
    <w:rsid w:val="00675E93"/>
    <w:rsid w:val="00677CC2"/>
    <w:rsid w:val="00680C60"/>
    <w:rsid w:val="006825AC"/>
    <w:rsid w:val="00685BF7"/>
    <w:rsid w:val="006905DE"/>
    <w:rsid w:val="0069207B"/>
    <w:rsid w:val="00693D6A"/>
    <w:rsid w:val="00694BA1"/>
    <w:rsid w:val="006A07B1"/>
    <w:rsid w:val="006A1137"/>
    <w:rsid w:val="006A399C"/>
    <w:rsid w:val="006A7CD4"/>
    <w:rsid w:val="006B30EA"/>
    <w:rsid w:val="006B5789"/>
    <w:rsid w:val="006B5FCC"/>
    <w:rsid w:val="006B661B"/>
    <w:rsid w:val="006B79DC"/>
    <w:rsid w:val="006C0B42"/>
    <w:rsid w:val="006C1F26"/>
    <w:rsid w:val="006C30C5"/>
    <w:rsid w:val="006C6621"/>
    <w:rsid w:val="006C7F8C"/>
    <w:rsid w:val="006D5DC1"/>
    <w:rsid w:val="006E113D"/>
    <w:rsid w:val="006E2327"/>
    <w:rsid w:val="006E31CA"/>
    <w:rsid w:val="006E56E9"/>
    <w:rsid w:val="006E6246"/>
    <w:rsid w:val="006E7299"/>
    <w:rsid w:val="006F318F"/>
    <w:rsid w:val="006F3DD0"/>
    <w:rsid w:val="006F4226"/>
    <w:rsid w:val="006F5104"/>
    <w:rsid w:val="006F51FF"/>
    <w:rsid w:val="0070017E"/>
    <w:rsid w:val="00700B2C"/>
    <w:rsid w:val="00703090"/>
    <w:rsid w:val="007050A2"/>
    <w:rsid w:val="007107BC"/>
    <w:rsid w:val="00713084"/>
    <w:rsid w:val="00714F20"/>
    <w:rsid w:val="0071590F"/>
    <w:rsid w:val="00715914"/>
    <w:rsid w:val="0071735D"/>
    <w:rsid w:val="00720528"/>
    <w:rsid w:val="00722434"/>
    <w:rsid w:val="00723075"/>
    <w:rsid w:val="007230A6"/>
    <w:rsid w:val="00723B0E"/>
    <w:rsid w:val="0073027F"/>
    <w:rsid w:val="00731D22"/>
    <w:rsid w:val="00731E00"/>
    <w:rsid w:val="00732174"/>
    <w:rsid w:val="007338C5"/>
    <w:rsid w:val="00735DD9"/>
    <w:rsid w:val="00736982"/>
    <w:rsid w:val="00742FFE"/>
    <w:rsid w:val="0074323C"/>
    <w:rsid w:val="007440B7"/>
    <w:rsid w:val="0074485F"/>
    <w:rsid w:val="007500C8"/>
    <w:rsid w:val="00751601"/>
    <w:rsid w:val="00755EC0"/>
    <w:rsid w:val="00756272"/>
    <w:rsid w:val="007604F8"/>
    <w:rsid w:val="0076681A"/>
    <w:rsid w:val="00766D59"/>
    <w:rsid w:val="007715C9"/>
    <w:rsid w:val="00771613"/>
    <w:rsid w:val="00774514"/>
    <w:rsid w:val="00774DC1"/>
    <w:rsid w:val="00774EDD"/>
    <w:rsid w:val="007757EC"/>
    <w:rsid w:val="007816E9"/>
    <w:rsid w:val="00783E89"/>
    <w:rsid w:val="00792160"/>
    <w:rsid w:val="007931F3"/>
    <w:rsid w:val="00793915"/>
    <w:rsid w:val="007A47C0"/>
    <w:rsid w:val="007B0E8C"/>
    <w:rsid w:val="007C2253"/>
    <w:rsid w:val="007C47B5"/>
    <w:rsid w:val="007C60A0"/>
    <w:rsid w:val="007D5A63"/>
    <w:rsid w:val="007D6F9E"/>
    <w:rsid w:val="007D7B81"/>
    <w:rsid w:val="007E163D"/>
    <w:rsid w:val="007E25D2"/>
    <w:rsid w:val="007E3510"/>
    <w:rsid w:val="007E667A"/>
    <w:rsid w:val="007F28C9"/>
    <w:rsid w:val="007F2C73"/>
    <w:rsid w:val="007F33C3"/>
    <w:rsid w:val="0080305B"/>
    <w:rsid w:val="00803587"/>
    <w:rsid w:val="00803BD2"/>
    <w:rsid w:val="00806280"/>
    <w:rsid w:val="008117E9"/>
    <w:rsid w:val="00813C01"/>
    <w:rsid w:val="008140D5"/>
    <w:rsid w:val="0081582C"/>
    <w:rsid w:val="00815CDF"/>
    <w:rsid w:val="00824498"/>
    <w:rsid w:val="008303BC"/>
    <w:rsid w:val="0083368E"/>
    <w:rsid w:val="008350DD"/>
    <w:rsid w:val="008418C5"/>
    <w:rsid w:val="00843FF2"/>
    <w:rsid w:val="00845326"/>
    <w:rsid w:val="00845B3A"/>
    <w:rsid w:val="00847444"/>
    <w:rsid w:val="0085168A"/>
    <w:rsid w:val="00856A31"/>
    <w:rsid w:val="0086159B"/>
    <w:rsid w:val="00864B24"/>
    <w:rsid w:val="00867B37"/>
    <w:rsid w:val="0087103D"/>
    <w:rsid w:val="008715D8"/>
    <w:rsid w:val="008754D0"/>
    <w:rsid w:val="008805F3"/>
    <w:rsid w:val="00880771"/>
    <w:rsid w:val="00883DA7"/>
    <w:rsid w:val="0088445A"/>
    <w:rsid w:val="008855C9"/>
    <w:rsid w:val="00886456"/>
    <w:rsid w:val="008A3606"/>
    <w:rsid w:val="008A46E1"/>
    <w:rsid w:val="008A4F43"/>
    <w:rsid w:val="008A6F80"/>
    <w:rsid w:val="008B04C5"/>
    <w:rsid w:val="008B0B32"/>
    <w:rsid w:val="008B2706"/>
    <w:rsid w:val="008C172C"/>
    <w:rsid w:val="008C2D8E"/>
    <w:rsid w:val="008C7D3A"/>
    <w:rsid w:val="008D094F"/>
    <w:rsid w:val="008D0EE0"/>
    <w:rsid w:val="008D72C1"/>
    <w:rsid w:val="008E10E1"/>
    <w:rsid w:val="008E4852"/>
    <w:rsid w:val="008E6067"/>
    <w:rsid w:val="008F20AA"/>
    <w:rsid w:val="008F2450"/>
    <w:rsid w:val="008F3B8B"/>
    <w:rsid w:val="008F49F6"/>
    <w:rsid w:val="008F54E7"/>
    <w:rsid w:val="00903422"/>
    <w:rsid w:val="009054AC"/>
    <w:rsid w:val="00907DEE"/>
    <w:rsid w:val="00912DC7"/>
    <w:rsid w:val="009133F8"/>
    <w:rsid w:val="00915DF9"/>
    <w:rsid w:val="00921577"/>
    <w:rsid w:val="0092344D"/>
    <w:rsid w:val="009254C3"/>
    <w:rsid w:val="00932377"/>
    <w:rsid w:val="00933AA5"/>
    <w:rsid w:val="009360A9"/>
    <w:rsid w:val="00941B07"/>
    <w:rsid w:val="00946984"/>
    <w:rsid w:val="00947266"/>
    <w:rsid w:val="0094730A"/>
    <w:rsid w:val="00947D5A"/>
    <w:rsid w:val="009532A5"/>
    <w:rsid w:val="009548F9"/>
    <w:rsid w:val="0097089D"/>
    <w:rsid w:val="009711B5"/>
    <w:rsid w:val="00972E92"/>
    <w:rsid w:val="00975713"/>
    <w:rsid w:val="00976187"/>
    <w:rsid w:val="009812D1"/>
    <w:rsid w:val="00982242"/>
    <w:rsid w:val="0098394C"/>
    <w:rsid w:val="009868E9"/>
    <w:rsid w:val="00992309"/>
    <w:rsid w:val="009A1A28"/>
    <w:rsid w:val="009A1C32"/>
    <w:rsid w:val="009A2BC9"/>
    <w:rsid w:val="009A7429"/>
    <w:rsid w:val="009B1EE4"/>
    <w:rsid w:val="009B2A78"/>
    <w:rsid w:val="009B454F"/>
    <w:rsid w:val="009B5C35"/>
    <w:rsid w:val="009C4506"/>
    <w:rsid w:val="009C4B35"/>
    <w:rsid w:val="009C767A"/>
    <w:rsid w:val="009D07C4"/>
    <w:rsid w:val="009D4C29"/>
    <w:rsid w:val="009D71FC"/>
    <w:rsid w:val="009D7D2F"/>
    <w:rsid w:val="009E5CFC"/>
    <w:rsid w:val="009F11CD"/>
    <w:rsid w:val="00A0633C"/>
    <w:rsid w:val="00A079CB"/>
    <w:rsid w:val="00A11C9F"/>
    <w:rsid w:val="00A12128"/>
    <w:rsid w:val="00A22C98"/>
    <w:rsid w:val="00A231E2"/>
    <w:rsid w:val="00A26C61"/>
    <w:rsid w:val="00A27D12"/>
    <w:rsid w:val="00A42F99"/>
    <w:rsid w:val="00A43F74"/>
    <w:rsid w:val="00A44328"/>
    <w:rsid w:val="00A5560D"/>
    <w:rsid w:val="00A57F2D"/>
    <w:rsid w:val="00A6161A"/>
    <w:rsid w:val="00A61E85"/>
    <w:rsid w:val="00A63883"/>
    <w:rsid w:val="00A64912"/>
    <w:rsid w:val="00A70A74"/>
    <w:rsid w:val="00A73557"/>
    <w:rsid w:val="00A775AA"/>
    <w:rsid w:val="00A9199C"/>
    <w:rsid w:val="00AA38B5"/>
    <w:rsid w:val="00AA7BC5"/>
    <w:rsid w:val="00AB5AF2"/>
    <w:rsid w:val="00AC3A72"/>
    <w:rsid w:val="00AC4C79"/>
    <w:rsid w:val="00AD5641"/>
    <w:rsid w:val="00AD7631"/>
    <w:rsid w:val="00AD7889"/>
    <w:rsid w:val="00AE6E37"/>
    <w:rsid w:val="00AF01A1"/>
    <w:rsid w:val="00AF021B"/>
    <w:rsid w:val="00AF06CF"/>
    <w:rsid w:val="00AF2CE5"/>
    <w:rsid w:val="00AF36FA"/>
    <w:rsid w:val="00AF48BE"/>
    <w:rsid w:val="00AF5FD2"/>
    <w:rsid w:val="00B02327"/>
    <w:rsid w:val="00B05CF4"/>
    <w:rsid w:val="00B07CDB"/>
    <w:rsid w:val="00B13BC7"/>
    <w:rsid w:val="00B16A31"/>
    <w:rsid w:val="00B17DFD"/>
    <w:rsid w:val="00B23C03"/>
    <w:rsid w:val="00B240C6"/>
    <w:rsid w:val="00B308FE"/>
    <w:rsid w:val="00B32832"/>
    <w:rsid w:val="00B33709"/>
    <w:rsid w:val="00B33B3C"/>
    <w:rsid w:val="00B33BC9"/>
    <w:rsid w:val="00B4169A"/>
    <w:rsid w:val="00B4499F"/>
    <w:rsid w:val="00B45788"/>
    <w:rsid w:val="00B4677A"/>
    <w:rsid w:val="00B467BF"/>
    <w:rsid w:val="00B50ADC"/>
    <w:rsid w:val="00B553BD"/>
    <w:rsid w:val="00B566B1"/>
    <w:rsid w:val="00B61CA0"/>
    <w:rsid w:val="00B629BE"/>
    <w:rsid w:val="00B63834"/>
    <w:rsid w:val="00B65662"/>
    <w:rsid w:val="00B67826"/>
    <w:rsid w:val="00B72730"/>
    <w:rsid w:val="00B72734"/>
    <w:rsid w:val="00B80199"/>
    <w:rsid w:val="00B83204"/>
    <w:rsid w:val="00B8609A"/>
    <w:rsid w:val="00B96AD2"/>
    <w:rsid w:val="00BA220B"/>
    <w:rsid w:val="00BA23F6"/>
    <w:rsid w:val="00BA3A57"/>
    <w:rsid w:val="00BA691F"/>
    <w:rsid w:val="00BB3CB8"/>
    <w:rsid w:val="00BB4E1A"/>
    <w:rsid w:val="00BB5376"/>
    <w:rsid w:val="00BC015E"/>
    <w:rsid w:val="00BC2854"/>
    <w:rsid w:val="00BC6622"/>
    <w:rsid w:val="00BC6FE0"/>
    <w:rsid w:val="00BC76AC"/>
    <w:rsid w:val="00BC7AED"/>
    <w:rsid w:val="00BD0ECB"/>
    <w:rsid w:val="00BD28A9"/>
    <w:rsid w:val="00BD4C4A"/>
    <w:rsid w:val="00BE2155"/>
    <w:rsid w:val="00BE2213"/>
    <w:rsid w:val="00BE5F84"/>
    <w:rsid w:val="00BE719A"/>
    <w:rsid w:val="00BE720A"/>
    <w:rsid w:val="00BF0D73"/>
    <w:rsid w:val="00BF2465"/>
    <w:rsid w:val="00BF6215"/>
    <w:rsid w:val="00C03949"/>
    <w:rsid w:val="00C03A04"/>
    <w:rsid w:val="00C045E4"/>
    <w:rsid w:val="00C04A3A"/>
    <w:rsid w:val="00C07C8E"/>
    <w:rsid w:val="00C202D1"/>
    <w:rsid w:val="00C23E04"/>
    <w:rsid w:val="00C24EC6"/>
    <w:rsid w:val="00C25E7F"/>
    <w:rsid w:val="00C27148"/>
    <w:rsid w:val="00C2746F"/>
    <w:rsid w:val="00C324A0"/>
    <w:rsid w:val="00C3300F"/>
    <w:rsid w:val="00C36DA6"/>
    <w:rsid w:val="00C42B8D"/>
    <w:rsid w:val="00C42BF8"/>
    <w:rsid w:val="00C50043"/>
    <w:rsid w:val="00C506BC"/>
    <w:rsid w:val="00C50915"/>
    <w:rsid w:val="00C521BC"/>
    <w:rsid w:val="00C52497"/>
    <w:rsid w:val="00C53945"/>
    <w:rsid w:val="00C63377"/>
    <w:rsid w:val="00C65B1E"/>
    <w:rsid w:val="00C67424"/>
    <w:rsid w:val="00C7392C"/>
    <w:rsid w:val="00C7573B"/>
    <w:rsid w:val="00C80007"/>
    <w:rsid w:val="00C80491"/>
    <w:rsid w:val="00C8526A"/>
    <w:rsid w:val="00C87FA2"/>
    <w:rsid w:val="00C93C03"/>
    <w:rsid w:val="00C953A0"/>
    <w:rsid w:val="00C9769E"/>
    <w:rsid w:val="00CA4F60"/>
    <w:rsid w:val="00CA6FCE"/>
    <w:rsid w:val="00CB1962"/>
    <w:rsid w:val="00CB1A66"/>
    <w:rsid w:val="00CB2C8E"/>
    <w:rsid w:val="00CB602E"/>
    <w:rsid w:val="00CD3B61"/>
    <w:rsid w:val="00CE051D"/>
    <w:rsid w:val="00CE0595"/>
    <w:rsid w:val="00CE103E"/>
    <w:rsid w:val="00CE1335"/>
    <w:rsid w:val="00CE493D"/>
    <w:rsid w:val="00CF07FA"/>
    <w:rsid w:val="00CF0A58"/>
    <w:rsid w:val="00CF0BB2"/>
    <w:rsid w:val="00CF3EE8"/>
    <w:rsid w:val="00CF6CDD"/>
    <w:rsid w:val="00D03FAA"/>
    <w:rsid w:val="00D050E6"/>
    <w:rsid w:val="00D13441"/>
    <w:rsid w:val="00D1474E"/>
    <w:rsid w:val="00D150E7"/>
    <w:rsid w:val="00D15CBB"/>
    <w:rsid w:val="00D20C05"/>
    <w:rsid w:val="00D24878"/>
    <w:rsid w:val="00D24FF9"/>
    <w:rsid w:val="00D25529"/>
    <w:rsid w:val="00D323B7"/>
    <w:rsid w:val="00D32F65"/>
    <w:rsid w:val="00D354C9"/>
    <w:rsid w:val="00D35628"/>
    <w:rsid w:val="00D35787"/>
    <w:rsid w:val="00D42A9A"/>
    <w:rsid w:val="00D43D26"/>
    <w:rsid w:val="00D45BDB"/>
    <w:rsid w:val="00D506E3"/>
    <w:rsid w:val="00D52DC2"/>
    <w:rsid w:val="00D53BCC"/>
    <w:rsid w:val="00D5568E"/>
    <w:rsid w:val="00D577D9"/>
    <w:rsid w:val="00D66D1C"/>
    <w:rsid w:val="00D70DFB"/>
    <w:rsid w:val="00D71CE2"/>
    <w:rsid w:val="00D762EA"/>
    <w:rsid w:val="00D766DF"/>
    <w:rsid w:val="00D76781"/>
    <w:rsid w:val="00D80E0E"/>
    <w:rsid w:val="00D861BC"/>
    <w:rsid w:val="00D87C84"/>
    <w:rsid w:val="00D90356"/>
    <w:rsid w:val="00D91C19"/>
    <w:rsid w:val="00D9596E"/>
    <w:rsid w:val="00D96941"/>
    <w:rsid w:val="00DA186E"/>
    <w:rsid w:val="00DA4116"/>
    <w:rsid w:val="00DA5F6F"/>
    <w:rsid w:val="00DB251C"/>
    <w:rsid w:val="00DB4630"/>
    <w:rsid w:val="00DB78D8"/>
    <w:rsid w:val="00DC0A5F"/>
    <w:rsid w:val="00DC4F88"/>
    <w:rsid w:val="00DD0EE3"/>
    <w:rsid w:val="00DD760F"/>
    <w:rsid w:val="00DD7846"/>
    <w:rsid w:val="00DE1F67"/>
    <w:rsid w:val="00DE4564"/>
    <w:rsid w:val="00DF236F"/>
    <w:rsid w:val="00E04156"/>
    <w:rsid w:val="00E04C78"/>
    <w:rsid w:val="00E05704"/>
    <w:rsid w:val="00E11E44"/>
    <w:rsid w:val="00E11FE5"/>
    <w:rsid w:val="00E14669"/>
    <w:rsid w:val="00E14D61"/>
    <w:rsid w:val="00E1674D"/>
    <w:rsid w:val="00E17310"/>
    <w:rsid w:val="00E22226"/>
    <w:rsid w:val="00E26E28"/>
    <w:rsid w:val="00E27962"/>
    <w:rsid w:val="00E30BD6"/>
    <w:rsid w:val="00E3270E"/>
    <w:rsid w:val="00E338EF"/>
    <w:rsid w:val="00E340D2"/>
    <w:rsid w:val="00E349BB"/>
    <w:rsid w:val="00E34C2B"/>
    <w:rsid w:val="00E34E0C"/>
    <w:rsid w:val="00E35250"/>
    <w:rsid w:val="00E50347"/>
    <w:rsid w:val="00E544BB"/>
    <w:rsid w:val="00E622D7"/>
    <w:rsid w:val="00E662CB"/>
    <w:rsid w:val="00E662F0"/>
    <w:rsid w:val="00E67597"/>
    <w:rsid w:val="00E71F39"/>
    <w:rsid w:val="00E740FA"/>
    <w:rsid w:val="00E74DC7"/>
    <w:rsid w:val="00E75D85"/>
    <w:rsid w:val="00E760E5"/>
    <w:rsid w:val="00E764F0"/>
    <w:rsid w:val="00E8075A"/>
    <w:rsid w:val="00E90B39"/>
    <w:rsid w:val="00E93F23"/>
    <w:rsid w:val="00E94D5E"/>
    <w:rsid w:val="00E966CB"/>
    <w:rsid w:val="00E9787A"/>
    <w:rsid w:val="00EA318B"/>
    <w:rsid w:val="00EA7100"/>
    <w:rsid w:val="00EA7E2A"/>
    <w:rsid w:val="00EA7F9F"/>
    <w:rsid w:val="00EB072F"/>
    <w:rsid w:val="00EB1274"/>
    <w:rsid w:val="00EB2741"/>
    <w:rsid w:val="00EB733B"/>
    <w:rsid w:val="00EC44A1"/>
    <w:rsid w:val="00EC787F"/>
    <w:rsid w:val="00ED0565"/>
    <w:rsid w:val="00ED11A7"/>
    <w:rsid w:val="00ED2BB6"/>
    <w:rsid w:val="00ED34E1"/>
    <w:rsid w:val="00ED3B8D"/>
    <w:rsid w:val="00ED41A6"/>
    <w:rsid w:val="00EF2E3A"/>
    <w:rsid w:val="00EF513D"/>
    <w:rsid w:val="00EF6526"/>
    <w:rsid w:val="00F065A8"/>
    <w:rsid w:val="00F072A7"/>
    <w:rsid w:val="00F078DC"/>
    <w:rsid w:val="00F113FA"/>
    <w:rsid w:val="00F14E9D"/>
    <w:rsid w:val="00F151E6"/>
    <w:rsid w:val="00F1604E"/>
    <w:rsid w:val="00F22000"/>
    <w:rsid w:val="00F26AFB"/>
    <w:rsid w:val="00F2793C"/>
    <w:rsid w:val="00F3295F"/>
    <w:rsid w:val="00F32BA8"/>
    <w:rsid w:val="00F32EE5"/>
    <w:rsid w:val="00F349F1"/>
    <w:rsid w:val="00F41DF9"/>
    <w:rsid w:val="00F43199"/>
    <w:rsid w:val="00F4350D"/>
    <w:rsid w:val="00F46D07"/>
    <w:rsid w:val="00F50FEE"/>
    <w:rsid w:val="00F567F7"/>
    <w:rsid w:val="00F60699"/>
    <w:rsid w:val="00F6114A"/>
    <w:rsid w:val="00F61933"/>
    <w:rsid w:val="00F62036"/>
    <w:rsid w:val="00F656D9"/>
    <w:rsid w:val="00F65B52"/>
    <w:rsid w:val="00F67BCA"/>
    <w:rsid w:val="00F715E6"/>
    <w:rsid w:val="00F73B2D"/>
    <w:rsid w:val="00F73BD6"/>
    <w:rsid w:val="00F73C1C"/>
    <w:rsid w:val="00F75292"/>
    <w:rsid w:val="00F774D9"/>
    <w:rsid w:val="00F77E56"/>
    <w:rsid w:val="00F83989"/>
    <w:rsid w:val="00F83B25"/>
    <w:rsid w:val="00F85099"/>
    <w:rsid w:val="00F9379C"/>
    <w:rsid w:val="00F9632C"/>
    <w:rsid w:val="00FA1E52"/>
    <w:rsid w:val="00FB05E9"/>
    <w:rsid w:val="00FB0EA8"/>
    <w:rsid w:val="00FB21CD"/>
    <w:rsid w:val="00FB5693"/>
    <w:rsid w:val="00FB5F88"/>
    <w:rsid w:val="00FB64F4"/>
    <w:rsid w:val="00FC2552"/>
    <w:rsid w:val="00FC28FB"/>
    <w:rsid w:val="00FC5001"/>
    <w:rsid w:val="00FD4E2A"/>
    <w:rsid w:val="00FD4E77"/>
    <w:rsid w:val="00FE029D"/>
    <w:rsid w:val="00FE3F14"/>
    <w:rsid w:val="00FE4688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4E3EE282"/>
  <w15:chartTrackingRefBased/>
  <w15:docId w15:val="{F055ACD9-BCE4-48FB-9A09-B50D8A1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826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F4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4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4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4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4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4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4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4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4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03E"/>
  </w:style>
  <w:style w:type="paragraph" w:customStyle="1" w:styleId="OPCParaBase">
    <w:name w:val="OPCParaBase"/>
    <w:qFormat/>
    <w:rsid w:val="00CE103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CE10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0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0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0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0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0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0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0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0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0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03E"/>
  </w:style>
  <w:style w:type="paragraph" w:customStyle="1" w:styleId="Blocks">
    <w:name w:val="Blocks"/>
    <w:aliases w:val="bb"/>
    <w:basedOn w:val="OPCParaBase"/>
    <w:qFormat/>
    <w:rsid w:val="00CE10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0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03E"/>
    <w:rPr>
      <w:i/>
    </w:rPr>
  </w:style>
  <w:style w:type="paragraph" w:customStyle="1" w:styleId="BoxList">
    <w:name w:val="BoxList"/>
    <w:aliases w:val="bl"/>
    <w:basedOn w:val="BoxText"/>
    <w:qFormat/>
    <w:rsid w:val="00CE10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0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0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03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E103E"/>
  </w:style>
  <w:style w:type="character" w:customStyle="1" w:styleId="CharAmPartText">
    <w:name w:val="CharAmPartText"/>
    <w:basedOn w:val="OPCCharBase"/>
    <w:uiPriority w:val="1"/>
    <w:qFormat/>
    <w:rsid w:val="00CE103E"/>
  </w:style>
  <w:style w:type="character" w:customStyle="1" w:styleId="CharAmSchNo">
    <w:name w:val="CharAmSchNo"/>
    <w:basedOn w:val="OPCCharBase"/>
    <w:uiPriority w:val="1"/>
    <w:qFormat/>
    <w:rsid w:val="00CE103E"/>
  </w:style>
  <w:style w:type="character" w:customStyle="1" w:styleId="CharAmSchText">
    <w:name w:val="CharAmSchText"/>
    <w:basedOn w:val="OPCCharBase"/>
    <w:uiPriority w:val="1"/>
    <w:qFormat/>
    <w:rsid w:val="00CE103E"/>
  </w:style>
  <w:style w:type="character" w:customStyle="1" w:styleId="CharBoldItalic">
    <w:name w:val="CharBoldItalic"/>
    <w:uiPriority w:val="1"/>
    <w:qFormat/>
    <w:rsid w:val="00CE103E"/>
    <w:rPr>
      <w:b/>
      <w:i/>
    </w:rPr>
  </w:style>
  <w:style w:type="character" w:customStyle="1" w:styleId="CharChapNo">
    <w:name w:val="CharChapNo"/>
    <w:basedOn w:val="OPCCharBase"/>
    <w:qFormat/>
    <w:rsid w:val="00CE103E"/>
  </w:style>
  <w:style w:type="character" w:customStyle="1" w:styleId="CharChapText">
    <w:name w:val="CharChapText"/>
    <w:basedOn w:val="OPCCharBase"/>
    <w:qFormat/>
    <w:rsid w:val="00CE103E"/>
  </w:style>
  <w:style w:type="character" w:customStyle="1" w:styleId="CharDivNo">
    <w:name w:val="CharDivNo"/>
    <w:basedOn w:val="OPCCharBase"/>
    <w:qFormat/>
    <w:rsid w:val="00CE103E"/>
  </w:style>
  <w:style w:type="character" w:customStyle="1" w:styleId="CharDivText">
    <w:name w:val="CharDivText"/>
    <w:basedOn w:val="OPCCharBase"/>
    <w:qFormat/>
    <w:rsid w:val="00CE103E"/>
  </w:style>
  <w:style w:type="character" w:customStyle="1" w:styleId="CharItalic">
    <w:name w:val="CharItalic"/>
    <w:uiPriority w:val="1"/>
    <w:qFormat/>
    <w:rsid w:val="00CE103E"/>
    <w:rPr>
      <w:i/>
    </w:rPr>
  </w:style>
  <w:style w:type="character" w:customStyle="1" w:styleId="CharPartNo">
    <w:name w:val="CharPartNo"/>
    <w:basedOn w:val="OPCCharBase"/>
    <w:qFormat/>
    <w:rsid w:val="00CE103E"/>
  </w:style>
  <w:style w:type="character" w:customStyle="1" w:styleId="CharPartText">
    <w:name w:val="CharPartText"/>
    <w:basedOn w:val="OPCCharBase"/>
    <w:qFormat/>
    <w:rsid w:val="00CE103E"/>
  </w:style>
  <w:style w:type="character" w:customStyle="1" w:styleId="CharSectno">
    <w:name w:val="CharSectno"/>
    <w:basedOn w:val="OPCCharBase"/>
    <w:qFormat/>
    <w:rsid w:val="00CE103E"/>
  </w:style>
  <w:style w:type="character" w:customStyle="1" w:styleId="CharSubdNo">
    <w:name w:val="CharSubdNo"/>
    <w:basedOn w:val="OPCCharBase"/>
    <w:uiPriority w:val="1"/>
    <w:qFormat/>
    <w:rsid w:val="00CE103E"/>
  </w:style>
  <w:style w:type="character" w:customStyle="1" w:styleId="CharSubdText">
    <w:name w:val="CharSubdText"/>
    <w:basedOn w:val="OPCCharBase"/>
    <w:uiPriority w:val="1"/>
    <w:qFormat/>
    <w:rsid w:val="00CE103E"/>
  </w:style>
  <w:style w:type="paragraph" w:customStyle="1" w:styleId="CTA--">
    <w:name w:val="CTA --"/>
    <w:basedOn w:val="OPCParaBase"/>
    <w:next w:val="Normal"/>
    <w:rsid w:val="00CE10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0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0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0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0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0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0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0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0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0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0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0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0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0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0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0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10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0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0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0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0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0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CE10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0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0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0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0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0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0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0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0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0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0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0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0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0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0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0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0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0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0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0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0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0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0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0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0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0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0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0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0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0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0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0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0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10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0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0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0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0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0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0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0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0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03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CE10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CE103E"/>
    <w:rPr>
      <w:sz w:val="16"/>
    </w:rPr>
  </w:style>
  <w:style w:type="table" w:customStyle="1" w:styleId="CFlag">
    <w:name w:val="CFlag"/>
    <w:basedOn w:val="TableNormal"/>
    <w:uiPriority w:val="99"/>
    <w:rsid w:val="00CE103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1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0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0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03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0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03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0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10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10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10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0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10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0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0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0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0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0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0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0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0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0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03E"/>
  </w:style>
  <w:style w:type="character" w:customStyle="1" w:styleId="CharSubPartNoCASA">
    <w:name w:val="CharSubPartNo(CASA)"/>
    <w:basedOn w:val="OPCCharBase"/>
    <w:uiPriority w:val="1"/>
    <w:rsid w:val="00CE103E"/>
  </w:style>
  <w:style w:type="paragraph" w:customStyle="1" w:styleId="ENoteTTIndentHeadingSub">
    <w:name w:val="ENoteTTIndentHeadingSub"/>
    <w:aliases w:val="enTTHis"/>
    <w:basedOn w:val="OPCParaBase"/>
    <w:rsid w:val="00CE10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0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0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0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0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E103E"/>
    <w:rPr>
      <w:sz w:val="22"/>
    </w:rPr>
  </w:style>
  <w:style w:type="paragraph" w:customStyle="1" w:styleId="SOTextNote">
    <w:name w:val="SO TextNote"/>
    <w:aliases w:val="sont"/>
    <w:basedOn w:val="SOText"/>
    <w:qFormat/>
    <w:rsid w:val="00CE10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0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CE103E"/>
    <w:rPr>
      <w:sz w:val="22"/>
    </w:rPr>
  </w:style>
  <w:style w:type="paragraph" w:customStyle="1" w:styleId="FileName">
    <w:name w:val="FileName"/>
    <w:basedOn w:val="Normal"/>
    <w:rsid w:val="00CE103E"/>
  </w:style>
  <w:style w:type="paragraph" w:customStyle="1" w:styleId="TableHeading">
    <w:name w:val="TableHeading"/>
    <w:aliases w:val="th"/>
    <w:basedOn w:val="OPCParaBase"/>
    <w:next w:val="Tabletext"/>
    <w:rsid w:val="00CE10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03E"/>
    <w:rPr>
      <w:b/>
    </w:rPr>
  </w:style>
  <w:style w:type="character" w:customStyle="1" w:styleId="SOHeadBoldChar">
    <w:name w:val="SO HeadBold Char"/>
    <w:aliases w:val="sohb Char"/>
    <w:link w:val="SOHeadBold"/>
    <w:rsid w:val="00CE10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03E"/>
    <w:rPr>
      <w:i/>
    </w:rPr>
  </w:style>
  <w:style w:type="character" w:customStyle="1" w:styleId="SOHeadItalicChar">
    <w:name w:val="SO HeadItalic Char"/>
    <w:aliases w:val="sohi Char"/>
    <w:link w:val="SOHeadItalic"/>
    <w:rsid w:val="00CE10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03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CE10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0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E10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CE10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0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3B0F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B0F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3B0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B0F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B0F4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3B0F4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3B0F4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3B0F4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3B0F4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3B0F4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3B0F4A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uiPriority w:val="99"/>
    <w:semiHidden/>
    <w:unhideWhenUsed/>
    <w:rsid w:val="001B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FA5"/>
    <w:rPr>
      <w:sz w:val="20"/>
    </w:rPr>
  </w:style>
  <w:style w:type="character" w:customStyle="1" w:styleId="CommentTextChar">
    <w:name w:val="Comment Text Char"/>
    <w:link w:val="CommentText"/>
    <w:uiPriority w:val="99"/>
    <w:rsid w:val="001B1F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FA5"/>
    <w:rPr>
      <w:b/>
      <w:bCs/>
      <w:lang w:eastAsia="en-US"/>
    </w:rPr>
  </w:style>
  <w:style w:type="paragraph" w:styleId="Revision">
    <w:name w:val="Revision"/>
    <w:hidden/>
    <w:uiPriority w:val="99"/>
    <w:semiHidden/>
    <w:rsid w:val="002600F1"/>
    <w:rPr>
      <w:sz w:val="22"/>
      <w:lang w:eastAsia="en-US"/>
    </w:rPr>
  </w:style>
  <w:style w:type="paragraph" w:customStyle="1" w:styleId="P1">
    <w:name w:val="P1"/>
    <w:aliases w:val="(a)"/>
    <w:basedOn w:val="Normal"/>
    <w:rsid w:val="006D5DC1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E90B3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Notepara0">
    <w:name w:val="Note para"/>
    <w:basedOn w:val="Normal"/>
    <w:rsid w:val="00E90B39"/>
    <w:pPr>
      <w:keepLines/>
      <w:spacing w:before="60" w:line="220" w:lineRule="exact"/>
      <w:ind w:left="1304" w:hanging="340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95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9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9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0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 D o c u m e n t s ! 4 7 7 4 2 9 7 6 . 3 < / d o c u m e n t i d >  
     < s e n d e r i d > M A C K I R < / s e n d e r i d >  
     < s e n d e r e m a i l > R O S E . M A C K I E @ A G S . G O V . A U < / s e n d e r e m a i l >  
     < l a s t m o d i f i e d > 2 0 2 3 - 0 4 - 2 7 T 1 1 : 3 8 : 0 0 . 0 0 0 0 0 0 0 + 1 0 : 0 0 < / l a s t m o d i f i e d >  
     < d a t a b a s e > D o c u m e n t s 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49D25762-C26E-4897-B11A-61C21958C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B5E65-D161-43FE-85E7-7F1C3D5B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BC4F9-8DE0-4D7A-A86C-2ECE4BEB53A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E4275E7-838B-4F27-8BBF-A4C01E6854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7204CA-9E6F-4020-BB30-D3651D9022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82980A-68F7-4E12-BF18-BC0ADA0D0B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669</Words>
  <Characters>3518</Characters>
  <Application>Microsoft Office Word</Application>
  <DocSecurity>2</DocSecurity>
  <PresentationFormat/>
  <Lines>109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</dc:creator>
  <cp:keywords>[SEC=OFFICIAL]</cp:keywords>
  <dc:description/>
  <cp:lastModifiedBy>Sebenzo, Lydia</cp:lastModifiedBy>
  <cp:revision>7</cp:revision>
  <cp:lastPrinted>2023-04-23T23:13:00Z</cp:lastPrinted>
  <dcterms:created xsi:type="dcterms:W3CDTF">2023-05-17T23:50:00Z</dcterms:created>
  <dcterms:modified xsi:type="dcterms:W3CDTF">2023-06-01T01:24:00Z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TitusGUID">
    <vt:lpwstr>a1a41fbe-c835-42e4-8a30-4225bb513424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WSFooter">
    <vt:lpwstr>40978441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Caveats_Count">
    <vt:lpwstr>0</vt:lpwstr>
  </property>
  <property fmtid="{D5CDD505-2E9C-101B-9397-08002B2CF9AE}" pid="12" name="PM_DisplayValueSecClassificationWithQualifier">
    <vt:lpwstr>OFFICIAL</vt:lpwstr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InsertionValue">
    <vt:lpwstr>OFFICIAL</vt:lpwstr>
  </property>
  <property fmtid="{D5CDD505-2E9C-101B-9397-08002B2CF9AE}" pid="16" name="PM_Originating_FileId">
    <vt:lpwstr>7D7FA1AF78F14D56838FF496ABAC7F2C</vt:lpwstr>
  </property>
  <property fmtid="{D5CDD505-2E9C-101B-9397-08002B2CF9AE}" pid="17" name="PM_ProtectiveMarkingValue_Footer">
    <vt:lpwstr>OFFICIAL</vt:lpwstr>
  </property>
  <property fmtid="{D5CDD505-2E9C-101B-9397-08002B2CF9AE}" pid="18" name="PM_Originator_Hash_SHA1">
    <vt:lpwstr>039994763583E99430D3B9FE3FC58C409F58EC75</vt:lpwstr>
  </property>
  <property fmtid="{D5CDD505-2E9C-101B-9397-08002B2CF9AE}" pid="19" name="PM_OriginationTimeStamp">
    <vt:lpwstr>2023-02-22T04:50:49Z</vt:lpwstr>
  </property>
  <property fmtid="{D5CDD505-2E9C-101B-9397-08002B2CF9AE}" pid="20" name="PM_ProtectiveMarkingValue_Header">
    <vt:lpwstr>OFFICIAL</vt:lpwstr>
  </property>
  <property fmtid="{D5CDD505-2E9C-101B-9397-08002B2CF9AE}" pid="21" name="PM_ProtectiveMarkingImage_Footer">
    <vt:lpwstr>C:\Program Files\Common Files\janusNET Shared\janusSEAL\Images\DocumentSlashBlue.png</vt:lpwstr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PM_Display">
    <vt:lpwstr>OFFICIAL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8A97C777612039F620D0FA358E8C9D47</vt:lpwstr>
  </property>
  <property fmtid="{D5CDD505-2E9C-101B-9397-08002B2CF9AE}" pid="30" name="PM_Hash_Salt">
    <vt:lpwstr>B8A141D2E9B4839F1A9A9DF4EAA66320</vt:lpwstr>
  </property>
  <property fmtid="{D5CDD505-2E9C-101B-9397-08002B2CF9AE}" pid="31" name="PM_Hash_SHA1">
    <vt:lpwstr>9EDF97CA4F2DD8C975D39F03D0D43A372B47C2D8</vt:lpwstr>
  </property>
  <property fmtid="{D5CDD505-2E9C-101B-9397-08002B2CF9AE}" pid="32" name="MSIP_Label_87d6481e-ccdd-4ab6-8b26-05a0df5699e7_SetDate">
    <vt:lpwstr>2023-02-22T04:50:49Z</vt:lpwstr>
  </property>
  <property fmtid="{D5CDD505-2E9C-101B-9397-08002B2CF9AE}" pid="33" name="PM_OriginatorUserAccountName_SHA256">
    <vt:lpwstr>EA989CE55679298798C5F6D78188DDD4643AC16E9809D547F032035AC3755BF8</vt:lpwstr>
  </property>
  <property fmtid="{D5CDD505-2E9C-101B-9397-08002B2CF9AE}" pid="34" name="PM_OriginatorDomainName_SHA256">
    <vt:lpwstr>325440F6CA31C4C3BCE4433552DC42928CAAD3E2731ABE35FDE729ECEB763AF0</vt:lpwstr>
  </property>
  <property fmtid="{D5CDD505-2E9C-101B-9397-08002B2CF9AE}" pid="35" name="MSIP_Label_87d6481e-ccdd-4ab6-8b26-05a0df5699e7_Name">
    <vt:lpwstr>OFFICIAL</vt:lpwstr>
  </property>
  <property fmtid="{D5CDD505-2E9C-101B-9397-08002B2CF9AE}" pid="36" name="MSIP_Label_87d6481e-ccdd-4ab6-8b26-05a0df5699e7_SiteId">
    <vt:lpwstr>08954cee-4782-4ff6-9ad5-1997dccef4b0</vt:lpwstr>
  </property>
  <property fmtid="{D5CDD505-2E9C-101B-9397-08002B2CF9AE}" pid="37" name="MSIP_Label_87d6481e-ccdd-4ab6-8b26-05a0df5699e7_Enabled">
    <vt:lpwstr>true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PMHMAC">
    <vt:lpwstr>v=2022.1;a=SHA256;h=D18B019E09CD793672FA2EE72608180886E925B8BF6DAC29E359AEC91643F5AE</vt:lpwstr>
  </property>
  <property fmtid="{D5CDD505-2E9C-101B-9397-08002B2CF9AE}" pid="41" name="MSIP_Label_87d6481e-ccdd-4ab6-8b26-05a0df5699e7_Method">
    <vt:lpwstr>Privileged</vt:lpwstr>
  </property>
  <property fmtid="{D5CDD505-2E9C-101B-9397-08002B2CF9AE}" pid="42" name="MSIP_Label_87d6481e-ccdd-4ab6-8b26-05a0df5699e7_ContentBits">
    <vt:lpwstr>0</vt:lpwstr>
  </property>
  <property fmtid="{D5CDD505-2E9C-101B-9397-08002B2CF9AE}" pid="43" name="MSIP_Label_87d6481e-ccdd-4ab6-8b26-05a0df5699e7_ActionId">
    <vt:lpwstr>ce391e2e48ec46a4baff0da909f9008a</vt:lpwstr>
  </property>
</Properties>
</file>