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2FF2" w14:textId="77777777" w:rsidR="00FA0133" w:rsidRDefault="00FA0133" w:rsidP="00FA0133">
      <w:pPr>
        <w:rPr>
          <w:rFonts w:ascii="Arial" w:hAnsi="Arial" w:cs="Arial"/>
        </w:rPr>
      </w:pPr>
      <w:bookmarkStart w:id="0" w:name="_Hlk134610298"/>
      <w:r>
        <w:rPr>
          <w:rFonts w:ascii="Arial" w:hAnsi="Arial" w:cs="Arial"/>
          <w:noProof/>
        </w:rPr>
        <w:drawing>
          <wp:inline distT="0" distB="0" distL="0" distR="0" wp14:anchorId="0272B1EE" wp14:editId="7F2915C3">
            <wp:extent cx="1423670" cy="1104265"/>
            <wp:effectExtent l="0" t="0" r="5080" b="635"/>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670" cy="1104265"/>
                    </a:xfrm>
                    <a:prstGeom prst="rect">
                      <a:avLst/>
                    </a:prstGeom>
                    <a:noFill/>
                    <a:ln>
                      <a:noFill/>
                    </a:ln>
                  </pic:spPr>
                </pic:pic>
              </a:graphicData>
            </a:graphic>
          </wp:inline>
        </w:drawing>
      </w:r>
    </w:p>
    <w:p w14:paraId="621B2942" w14:textId="77777777" w:rsidR="00FA0133" w:rsidRDefault="00FA0133" w:rsidP="00FA0133">
      <w:pPr>
        <w:pStyle w:val="Title"/>
        <w:spacing w:before="240" w:after="0"/>
        <w:jc w:val="both"/>
        <w:rPr>
          <w:rFonts w:ascii="Arial" w:hAnsi="Arial" w:cs="Arial"/>
          <w:color w:val="000000"/>
          <w:sz w:val="32"/>
          <w:szCs w:val="32"/>
        </w:rPr>
      </w:pPr>
      <w:r>
        <w:rPr>
          <w:rFonts w:ascii="Arial" w:hAnsi="Arial" w:cs="Arial"/>
          <w:color w:val="000000"/>
          <w:sz w:val="32"/>
          <w:szCs w:val="32"/>
        </w:rPr>
        <w:t>Insurance (prudential standard) determination</w:t>
      </w:r>
    </w:p>
    <w:p w14:paraId="470ABAB8" w14:textId="5C653FE4" w:rsidR="00FA0133" w:rsidRDefault="00FA0133" w:rsidP="00FA0133">
      <w:pPr>
        <w:pStyle w:val="Title"/>
        <w:spacing w:before="240" w:after="0"/>
        <w:jc w:val="both"/>
        <w:rPr>
          <w:rFonts w:ascii="Arial" w:hAnsi="Arial" w:cs="Arial"/>
          <w:color w:val="000000"/>
          <w:sz w:val="32"/>
          <w:szCs w:val="32"/>
        </w:rPr>
      </w:pPr>
      <w:r>
        <w:rPr>
          <w:rFonts w:ascii="Arial" w:hAnsi="Arial" w:cs="Arial"/>
          <w:color w:val="000000"/>
          <w:sz w:val="32"/>
          <w:szCs w:val="32"/>
        </w:rPr>
        <w:t xml:space="preserve">No. </w:t>
      </w:r>
      <w:r w:rsidR="00A5370E">
        <w:rPr>
          <w:rFonts w:ascii="Arial" w:hAnsi="Arial" w:cs="Arial"/>
          <w:color w:val="000000"/>
          <w:sz w:val="32"/>
          <w:szCs w:val="32"/>
        </w:rPr>
        <w:t>8</w:t>
      </w:r>
      <w:r>
        <w:rPr>
          <w:rFonts w:ascii="Arial" w:hAnsi="Arial" w:cs="Arial"/>
          <w:color w:val="000000"/>
          <w:sz w:val="32"/>
          <w:szCs w:val="32"/>
        </w:rPr>
        <w:t xml:space="preserve"> of 2023</w:t>
      </w:r>
    </w:p>
    <w:p w14:paraId="01A9F459" w14:textId="2D7782CB" w:rsidR="00FA0133" w:rsidRDefault="00EA6173" w:rsidP="00FA0133">
      <w:pPr>
        <w:pStyle w:val="Title"/>
        <w:spacing w:before="240" w:after="0"/>
        <w:rPr>
          <w:rFonts w:ascii="Arial" w:hAnsi="Arial" w:cs="Arial"/>
          <w:color w:val="000000"/>
          <w:sz w:val="32"/>
          <w:szCs w:val="32"/>
        </w:rPr>
      </w:pPr>
      <w:r w:rsidRPr="00EA6173">
        <w:rPr>
          <w:rFonts w:ascii="Arial" w:hAnsi="Arial" w:cs="Arial"/>
          <w:color w:val="000000"/>
          <w:sz w:val="28"/>
          <w:szCs w:val="28"/>
        </w:rPr>
        <w:t>Prudential Standard GPS 118 Capital Adequacy: Operational Risk Charge</w:t>
      </w:r>
    </w:p>
    <w:p w14:paraId="700FA317" w14:textId="34D2B07B" w:rsidR="00FA0133" w:rsidRDefault="00FA0133" w:rsidP="00FA0133">
      <w:pPr>
        <w:pStyle w:val="ActTitle"/>
        <w:spacing w:before="240"/>
        <w:rPr>
          <w:rFonts w:cs="Arial"/>
          <w:color w:val="000000"/>
        </w:rPr>
      </w:pPr>
      <w:r>
        <w:rPr>
          <w:rFonts w:cs="Arial"/>
          <w:color w:val="000000"/>
        </w:rPr>
        <w:t>Insurance Act 19</w:t>
      </w:r>
      <w:r w:rsidR="00A5370E">
        <w:rPr>
          <w:rFonts w:cs="Arial"/>
          <w:color w:val="000000"/>
        </w:rPr>
        <w:t>73</w:t>
      </w:r>
    </w:p>
    <w:p w14:paraId="22F0A25E" w14:textId="68A8BE40" w:rsidR="00FA0133" w:rsidRDefault="00FA0133" w:rsidP="00FA0133">
      <w:pPr>
        <w:pStyle w:val="IntroTo"/>
        <w:spacing w:before="100" w:beforeAutospacing="1" w:after="240"/>
        <w:jc w:val="both"/>
        <w:rPr>
          <w:rFonts w:ascii="Arial" w:hAnsi="Arial" w:cs="Arial"/>
          <w:color w:val="000000"/>
          <w:sz w:val="22"/>
          <w:szCs w:val="22"/>
        </w:rPr>
      </w:pPr>
      <w:r>
        <w:rPr>
          <w:rFonts w:ascii="Arial" w:hAnsi="Arial" w:cs="Arial"/>
          <w:sz w:val="22"/>
          <w:szCs w:val="22"/>
        </w:rPr>
        <w:t xml:space="preserve">I, </w:t>
      </w:r>
      <w:r w:rsidR="00A5370E">
        <w:rPr>
          <w:rFonts w:ascii="Arial" w:hAnsi="Arial" w:cs="Arial"/>
          <w:sz w:val="22"/>
          <w:szCs w:val="22"/>
        </w:rPr>
        <w:t>Helen Rowell</w:t>
      </w:r>
      <w:r>
        <w:rPr>
          <w:rFonts w:ascii="Arial" w:hAnsi="Arial" w:cs="Arial"/>
          <w:sz w:val="22"/>
          <w:szCs w:val="22"/>
        </w:rPr>
        <w:t>, a delegate of APRA:</w:t>
      </w:r>
    </w:p>
    <w:p w14:paraId="0491BCA7" w14:textId="0D3F8E1D" w:rsidR="00FA0133" w:rsidRDefault="00FA0133" w:rsidP="00FA0133">
      <w:pPr>
        <w:pStyle w:val="ListParagraph"/>
        <w:numPr>
          <w:ilvl w:val="0"/>
          <w:numId w:val="28"/>
        </w:numPr>
        <w:tabs>
          <w:tab w:val="left" w:pos="567"/>
        </w:tabs>
        <w:spacing w:after="240"/>
        <w:ind w:left="567" w:hanging="567"/>
        <w:rPr>
          <w:rFonts w:ascii="Arial" w:hAnsi="Arial" w:cs="Arial"/>
          <w:sz w:val="22"/>
          <w:szCs w:val="22"/>
        </w:rPr>
      </w:pPr>
      <w:r>
        <w:rPr>
          <w:rFonts w:ascii="Arial" w:hAnsi="Arial" w:cs="Arial"/>
          <w:sz w:val="22"/>
          <w:szCs w:val="22"/>
        </w:rPr>
        <w:t xml:space="preserve">under subsection 32(4) of the </w:t>
      </w:r>
      <w:r>
        <w:rPr>
          <w:rFonts w:ascii="Arial" w:hAnsi="Arial" w:cs="Arial"/>
          <w:i/>
          <w:sz w:val="22"/>
          <w:szCs w:val="22"/>
        </w:rPr>
        <w:t>Insurance Act 1973</w:t>
      </w:r>
      <w:r>
        <w:rPr>
          <w:rFonts w:ascii="Arial" w:hAnsi="Arial" w:cs="Arial"/>
          <w:sz w:val="22"/>
          <w:szCs w:val="22"/>
        </w:rPr>
        <w:t xml:space="preserve"> (the Act), revoke Insurance (prudential standard) determination No. </w:t>
      </w:r>
      <w:r w:rsidR="00EA6173">
        <w:rPr>
          <w:rFonts w:ascii="Arial" w:hAnsi="Arial" w:cs="Arial"/>
          <w:sz w:val="22"/>
          <w:szCs w:val="22"/>
        </w:rPr>
        <w:t>7</w:t>
      </w:r>
      <w:r>
        <w:rPr>
          <w:rFonts w:ascii="Arial" w:hAnsi="Arial" w:cs="Arial"/>
          <w:sz w:val="22"/>
          <w:szCs w:val="22"/>
        </w:rPr>
        <w:t xml:space="preserve"> of 20</w:t>
      </w:r>
      <w:r w:rsidR="00EA6173">
        <w:rPr>
          <w:rFonts w:ascii="Arial" w:hAnsi="Arial" w:cs="Arial"/>
          <w:sz w:val="22"/>
          <w:szCs w:val="22"/>
        </w:rPr>
        <w:t>19</w:t>
      </w:r>
      <w:r>
        <w:rPr>
          <w:rFonts w:ascii="Arial" w:hAnsi="Arial" w:cs="Arial"/>
          <w:sz w:val="22"/>
          <w:szCs w:val="22"/>
        </w:rPr>
        <w:t xml:space="preserve">, including </w:t>
      </w:r>
      <w:r w:rsidR="00A244FC" w:rsidRPr="00A244FC">
        <w:rPr>
          <w:rFonts w:ascii="Arial" w:hAnsi="Arial" w:cs="Arial"/>
          <w:i/>
          <w:sz w:val="22"/>
          <w:szCs w:val="22"/>
        </w:rPr>
        <w:t>Prudential Standard GPS 118 Capital Adequacy: Operational Risk Charge</w:t>
      </w:r>
      <w:r>
        <w:rPr>
          <w:rFonts w:ascii="Arial" w:hAnsi="Arial" w:cs="Arial"/>
          <w:i/>
          <w:sz w:val="22"/>
          <w:szCs w:val="22"/>
        </w:rPr>
        <w:t xml:space="preserve">, </w:t>
      </w:r>
      <w:r>
        <w:rPr>
          <w:rFonts w:ascii="Arial" w:hAnsi="Arial" w:cs="Arial"/>
          <w:sz w:val="22"/>
          <w:szCs w:val="22"/>
        </w:rPr>
        <w:t>made under that Determination; and</w:t>
      </w:r>
    </w:p>
    <w:p w14:paraId="65FF179A" w14:textId="77777777" w:rsidR="00FA0133" w:rsidRDefault="00FA0133" w:rsidP="00FA0133">
      <w:pPr>
        <w:pStyle w:val="ListParagraph"/>
        <w:tabs>
          <w:tab w:val="left" w:pos="567"/>
        </w:tabs>
        <w:ind w:left="567"/>
        <w:rPr>
          <w:rFonts w:ascii="Arial" w:hAnsi="Arial" w:cs="Arial"/>
          <w:sz w:val="22"/>
          <w:szCs w:val="22"/>
        </w:rPr>
      </w:pPr>
    </w:p>
    <w:p w14:paraId="06394CFC" w14:textId="69EAC500" w:rsidR="00FA0133" w:rsidRDefault="00FA0133" w:rsidP="00FA0133">
      <w:pPr>
        <w:pStyle w:val="ListParagraph"/>
        <w:numPr>
          <w:ilvl w:val="0"/>
          <w:numId w:val="28"/>
        </w:numPr>
        <w:tabs>
          <w:tab w:val="left" w:pos="567"/>
        </w:tabs>
        <w:spacing w:after="240"/>
        <w:ind w:left="567" w:hanging="567"/>
        <w:rPr>
          <w:rFonts w:ascii="Arial" w:hAnsi="Arial" w:cs="Arial"/>
          <w:sz w:val="22"/>
          <w:szCs w:val="22"/>
        </w:rPr>
      </w:pPr>
      <w:r>
        <w:rPr>
          <w:rFonts w:ascii="Arial" w:hAnsi="Arial" w:cs="Arial"/>
          <w:sz w:val="22"/>
          <w:szCs w:val="22"/>
        </w:rPr>
        <w:t xml:space="preserve">under subsection 32(1) of the Act determine </w:t>
      </w:r>
      <w:r w:rsidR="00A244FC" w:rsidRPr="00AC5549">
        <w:rPr>
          <w:rFonts w:ascii="Arial" w:hAnsi="Arial" w:cs="Arial"/>
          <w:i/>
          <w:sz w:val="22"/>
          <w:szCs w:val="22"/>
        </w:rPr>
        <w:t>Prudential Standard GPS 118 Capital Adequacy: Operational Risk Charge</w:t>
      </w:r>
      <w:r>
        <w:rPr>
          <w:rFonts w:ascii="Arial" w:hAnsi="Arial" w:cs="Arial"/>
          <w:sz w:val="22"/>
          <w:szCs w:val="22"/>
        </w:rPr>
        <w:t>, in the form set out in the Schedule, which applies to:</w:t>
      </w:r>
    </w:p>
    <w:p w14:paraId="5F4B1173" w14:textId="77777777" w:rsidR="00FA0133" w:rsidRDefault="00FA0133" w:rsidP="00FA0133">
      <w:pPr>
        <w:pStyle w:val="ListParagraph"/>
        <w:tabs>
          <w:tab w:val="left" w:pos="1276"/>
        </w:tabs>
        <w:ind w:left="1287"/>
        <w:rPr>
          <w:rFonts w:ascii="Arial" w:hAnsi="Arial" w:cs="Arial"/>
          <w:sz w:val="22"/>
          <w:szCs w:val="22"/>
        </w:rPr>
      </w:pPr>
    </w:p>
    <w:p w14:paraId="5DE94191" w14:textId="77777777" w:rsidR="00FA0133" w:rsidRDefault="00FA0133" w:rsidP="00FA0133">
      <w:pPr>
        <w:pStyle w:val="ListParagraph"/>
        <w:numPr>
          <w:ilvl w:val="0"/>
          <w:numId w:val="29"/>
        </w:numPr>
        <w:tabs>
          <w:tab w:val="left" w:pos="1276"/>
        </w:tabs>
        <w:spacing w:after="240"/>
        <w:rPr>
          <w:rFonts w:ascii="Arial" w:hAnsi="Arial" w:cs="Arial"/>
          <w:sz w:val="22"/>
          <w:szCs w:val="22"/>
        </w:rPr>
      </w:pPr>
      <w:r>
        <w:rPr>
          <w:rFonts w:ascii="Arial" w:hAnsi="Arial" w:cs="Arial"/>
          <w:sz w:val="22"/>
          <w:szCs w:val="22"/>
        </w:rPr>
        <w:t>all general insurers and authorised NOHCs; and</w:t>
      </w:r>
    </w:p>
    <w:p w14:paraId="58853AE1" w14:textId="77777777" w:rsidR="00FA0133" w:rsidRDefault="00FA0133" w:rsidP="00FA0133">
      <w:pPr>
        <w:pStyle w:val="ListParagraph"/>
        <w:tabs>
          <w:tab w:val="left" w:pos="1276"/>
        </w:tabs>
        <w:ind w:left="1134" w:hanging="567"/>
        <w:rPr>
          <w:rFonts w:ascii="Arial" w:hAnsi="Arial" w:cs="Arial"/>
          <w:sz w:val="22"/>
          <w:szCs w:val="22"/>
        </w:rPr>
      </w:pPr>
    </w:p>
    <w:p w14:paraId="0A30B676" w14:textId="77777777" w:rsidR="00FA0133" w:rsidRDefault="00FA0133" w:rsidP="00FA0133">
      <w:pPr>
        <w:pStyle w:val="ListParagraph"/>
        <w:numPr>
          <w:ilvl w:val="0"/>
          <w:numId w:val="29"/>
        </w:numPr>
        <w:tabs>
          <w:tab w:val="left" w:pos="1276"/>
        </w:tabs>
        <w:spacing w:after="240"/>
        <w:rPr>
          <w:rFonts w:ascii="Arial" w:hAnsi="Arial" w:cs="Arial"/>
          <w:sz w:val="22"/>
          <w:szCs w:val="22"/>
        </w:rPr>
      </w:pPr>
      <w:r>
        <w:rPr>
          <w:rFonts w:ascii="Arial" w:hAnsi="Arial" w:cs="Arial"/>
          <w:sz w:val="22"/>
          <w:szCs w:val="22"/>
        </w:rPr>
        <w:t>a subsidiary of a general insurer or authorised NOHC, where that subsidiary is a parent entity of a Level 2 insurance group.</w:t>
      </w:r>
    </w:p>
    <w:p w14:paraId="09D495DA" w14:textId="77777777" w:rsidR="00FA0133" w:rsidRDefault="00FA0133" w:rsidP="00FA0133">
      <w:pPr>
        <w:spacing w:before="100" w:beforeAutospacing="1"/>
        <w:jc w:val="both"/>
        <w:rPr>
          <w:rFonts w:ascii="Arial" w:hAnsi="Arial" w:cs="Arial"/>
          <w:sz w:val="22"/>
          <w:szCs w:val="22"/>
        </w:rPr>
      </w:pPr>
      <w:r>
        <w:rPr>
          <w:rFonts w:ascii="Arial" w:hAnsi="Arial" w:cs="Arial"/>
          <w:sz w:val="22"/>
          <w:szCs w:val="22"/>
        </w:rPr>
        <w:t>This instrument commences on 1 July 2023.</w:t>
      </w:r>
    </w:p>
    <w:p w14:paraId="3B857C86" w14:textId="7D6FEFFF" w:rsidR="00FA0133" w:rsidRDefault="00FA0133" w:rsidP="00FA0133">
      <w:pPr>
        <w:pStyle w:val="IntroTo"/>
        <w:jc w:val="both"/>
        <w:rPr>
          <w:rFonts w:ascii="Arial" w:hAnsi="Arial" w:cs="Arial"/>
          <w:sz w:val="22"/>
          <w:szCs w:val="22"/>
        </w:rPr>
      </w:pPr>
      <w:r>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D965FAC33A6E4320B2A9030620824A21"/>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834FACA5-FF25-44EB-9F22-13BC540CEFF1}"/>
          <w:date w:fullDate="2023-05-24T00:00:00Z">
            <w:dateFormat w:val="d MMMM yyyy"/>
            <w:lid w:val="en-AU"/>
            <w:storeMappedDataAs w:val="dateTime"/>
            <w:calendar w:val="gregorian"/>
          </w:date>
        </w:sdtPr>
        <w:sdtEndPr/>
        <w:sdtContent>
          <w:r w:rsidR="009E1766">
            <w:rPr>
              <w:rFonts w:ascii="Arial" w:hAnsi="Arial" w:cs="Arial"/>
              <w:sz w:val="22"/>
              <w:szCs w:val="22"/>
            </w:rPr>
            <w:t>24 May 2023</w:t>
          </w:r>
        </w:sdtContent>
      </w:sdt>
    </w:p>
    <w:p w14:paraId="0B070097" w14:textId="77777777" w:rsidR="00FA0133" w:rsidRDefault="00FA0133" w:rsidP="00FA0133">
      <w:pPr>
        <w:pStyle w:val="IntroTo"/>
        <w:rPr>
          <w:rFonts w:ascii="Arial" w:hAnsi="Arial" w:cs="Arial"/>
          <w:sz w:val="22"/>
          <w:szCs w:val="22"/>
        </w:rPr>
      </w:pPr>
    </w:p>
    <w:p w14:paraId="26AE6784" w14:textId="593627D5" w:rsidR="00FA0133" w:rsidRDefault="009E1766" w:rsidP="00FA0133">
      <w:pPr>
        <w:autoSpaceDE w:val="0"/>
        <w:autoSpaceDN w:val="0"/>
        <w:adjustRightInd w:val="0"/>
        <w:spacing w:after="0"/>
        <w:rPr>
          <w:rFonts w:ascii="Arial" w:hAnsi="Arial" w:cs="Arial"/>
          <w:sz w:val="22"/>
          <w:szCs w:val="22"/>
        </w:rPr>
      </w:pPr>
      <w:r>
        <w:rPr>
          <w:rFonts w:ascii="Arial" w:hAnsi="Arial" w:cs="Arial"/>
          <w:sz w:val="22"/>
          <w:szCs w:val="22"/>
        </w:rPr>
        <w:t>[Signed]</w:t>
      </w:r>
    </w:p>
    <w:p w14:paraId="00576360" w14:textId="77777777" w:rsidR="009E1766" w:rsidRDefault="009E1766" w:rsidP="00FA0133">
      <w:pPr>
        <w:autoSpaceDE w:val="0"/>
        <w:autoSpaceDN w:val="0"/>
        <w:adjustRightInd w:val="0"/>
        <w:spacing w:after="0"/>
        <w:rPr>
          <w:rFonts w:ascii="Arial" w:hAnsi="Arial" w:cs="Arial"/>
          <w:sz w:val="22"/>
          <w:szCs w:val="22"/>
        </w:rPr>
      </w:pPr>
    </w:p>
    <w:p w14:paraId="1CC65811" w14:textId="77777777" w:rsidR="00A5370E" w:rsidRDefault="00A5370E" w:rsidP="00FA0133">
      <w:pPr>
        <w:autoSpaceDE w:val="0"/>
        <w:autoSpaceDN w:val="0"/>
        <w:adjustRightInd w:val="0"/>
        <w:spacing w:after="0"/>
        <w:rPr>
          <w:rFonts w:ascii="Arial" w:hAnsi="Arial" w:cs="Arial"/>
          <w:sz w:val="22"/>
          <w:szCs w:val="22"/>
        </w:rPr>
      </w:pPr>
      <w:r>
        <w:rPr>
          <w:rFonts w:ascii="Arial" w:hAnsi="Arial" w:cs="Arial"/>
          <w:sz w:val="22"/>
          <w:szCs w:val="22"/>
        </w:rPr>
        <w:t xml:space="preserve">Helen Rowell </w:t>
      </w:r>
    </w:p>
    <w:p w14:paraId="13D67D2C" w14:textId="023C6BEC" w:rsidR="00FA0133" w:rsidRDefault="00A5370E" w:rsidP="00FA0133">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268CB98F" w14:textId="77777777" w:rsidR="00FA0133" w:rsidRDefault="00FA0133" w:rsidP="00FA0133">
      <w:pPr>
        <w:spacing w:before="480" w:after="0"/>
        <w:rPr>
          <w:rFonts w:ascii="Arial" w:hAnsi="Arial" w:cs="Arial"/>
          <w:b/>
        </w:rPr>
      </w:pPr>
      <w:r>
        <w:rPr>
          <w:rFonts w:ascii="Arial" w:hAnsi="Arial" w:cs="Arial"/>
          <w:b/>
        </w:rPr>
        <w:t>Interpretation</w:t>
      </w:r>
    </w:p>
    <w:p w14:paraId="7FB75BBE" w14:textId="77777777" w:rsidR="00FA0133" w:rsidRDefault="00FA0133" w:rsidP="00FA0133">
      <w:pPr>
        <w:spacing w:before="120" w:after="0"/>
        <w:rPr>
          <w:rFonts w:ascii="Arial" w:hAnsi="Arial" w:cs="Arial"/>
          <w:sz w:val="22"/>
          <w:szCs w:val="22"/>
        </w:rPr>
      </w:pPr>
      <w:r>
        <w:rPr>
          <w:rFonts w:ascii="Arial" w:hAnsi="Arial" w:cs="Arial"/>
          <w:sz w:val="22"/>
          <w:szCs w:val="22"/>
        </w:rPr>
        <w:t>In this instrument:</w:t>
      </w:r>
    </w:p>
    <w:p w14:paraId="38477C17" w14:textId="77777777" w:rsidR="00FA0133" w:rsidRDefault="00FA0133" w:rsidP="00FA0133">
      <w:pPr>
        <w:spacing w:after="0"/>
        <w:rPr>
          <w:rFonts w:ascii="Arial" w:hAnsi="Arial" w:cs="Arial"/>
          <w:b/>
          <w:i/>
          <w:sz w:val="22"/>
          <w:szCs w:val="22"/>
        </w:rPr>
      </w:pPr>
    </w:p>
    <w:p w14:paraId="29703FC5" w14:textId="77777777" w:rsidR="00FA0133" w:rsidRDefault="00FA0133" w:rsidP="00FA0133">
      <w:pPr>
        <w:spacing w:after="0"/>
        <w:rPr>
          <w:rFonts w:ascii="Arial" w:hAnsi="Arial" w:cs="Arial"/>
          <w:sz w:val="22"/>
          <w:szCs w:val="22"/>
        </w:rPr>
      </w:pPr>
      <w:r>
        <w:rPr>
          <w:rFonts w:ascii="Arial" w:hAnsi="Arial" w:cs="Arial"/>
          <w:b/>
          <w:i/>
          <w:sz w:val="22"/>
          <w:szCs w:val="22"/>
        </w:rPr>
        <w:t>APRA</w:t>
      </w:r>
      <w:r>
        <w:rPr>
          <w:rFonts w:ascii="Arial" w:hAnsi="Arial" w:cs="Arial"/>
          <w:sz w:val="22"/>
          <w:szCs w:val="22"/>
        </w:rPr>
        <w:t xml:space="preserve"> means the Australian Prudential Regulation Authority.</w:t>
      </w:r>
    </w:p>
    <w:p w14:paraId="524B31FF" w14:textId="77777777" w:rsidR="00FA0133" w:rsidRDefault="00FA0133" w:rsidP="00FA0133">
      <w:pPr>
        <w:spacing w:after="0"/>
        <w:rPr>
          <w:rFonts w:ascii="Arial" w:hAnsi="Arial" w:cs="Arial"/>
          <w:sz w:val="22"/>
          <w:szCs w:val="22"/>
        </w:rPr>
      </w:pPr>
    </w:p>
    <w:p w14:paraId="29C9DDC7" w14:textId="77777777" w:rsidR="00FA0133" w:rsidRDefault="00FA0133" w:rsidP="00FA0133">
      <w:pPr>
        <w:spacing w:after="0"/>
        <w:rPr>
          <w:rFonts w:ascii="Arial" w:hAnsi="Arial" w:cs="Arial"/>
          <w:sz w:val="22"/>
          <w:szCs w:val="22"/>
        </w:rPr>
      </w:pPr>
      <w:r>
        <w:rPr>
          <w:rFonts w:ascii="Arial" w:hAnsi="Arial" w:cs="Arial"/>
          <w:b/>
          <w:i/>
          <w:sz w:val="22"/>
          <w:szCs w:val="22"/>
        </w:rPr>
        <w:t>authorised NOHC</w:t>
      </w:r>
      <w:r>
        <w:rPr>
          <w:rFonts w:ascii="Arial" w:hAnsi="Arial" w:cs="Arial"/>
          <w:sz w:val="22"/>
          <w:szCs w:val="22"/>
        </w:rPr>
        <w:t xml:space="preserve"> has the meaning given in section 3 of the Act.</w:t>
      </w:r>
    </w:p>
    <w:p w14:paraId="404DE27A" w14:textId="77777777" w:rsidR="00FA0133" w:rsidRDefault="00FA0133" w:rsidP="00FA0133">
      <w:pPr>
        <w:spacing w:after="0"/>
        <w:rPr>
          <w:rFonts w:ascii="Arial" w:hAnsi="Arial" w:cs="Arial"/>
          <w:sz w:val="22"/>
          <w:szCs w:val="22"/>
        </w:rPr>
      </w:pPr>
    </w:p>
    <w:p w14:paraId="06F62B3B" w14:textId="77777777" w:rsidR="00FA0133" w:rsidRDefault="00FA0133" w:rsidP="00FA0133">
      <w:pPr>
        <w:spacing w:after="0"/>
        <w:rPr>
          <w:rFonts w:ascii="Arial" w:hAnsi="Arial" w:cs="Arial"/>
          <w:sz w:val="22"/>
          <w:szCs w:val="22"/>
        </w:rPr>
      </w:pPr>
      <w:r>
        <w:rPr>
          <w:rFonts w:ascii="Arial" w:hAnsi="Arial" w:cs="Arial"/>
          <w:b/>
          <w:i/>
          <w:sz w:val="22"/>
          <w:szCs w:val="22"/>
        </w:rPr>
        <w:t>general insurer</w:t>
      </w:r>
      <w:r>
        <w:rPr>
          <w:rFonts w:ascii="Arial" w:hAnsi="Arial" w:cs="Arial"/>
          <w:sz w:val="22"/>
          <w:szCs w:val="22"/>
        </w:rPr>
        <w:t xml:space="preserve"> has the meaning given in section 11 of the Act.</w:t>
      </w:r>
    </w:p>
    <w:p w14:paraId="2CE51FCC" w14:textId="77777777" w:rsidR="00FA0133" w:rsidRDefault="00FA0133" w:rsidP="00FA0133">
      <w:pPr>
        <w:spacing w:after="0"/>
        <w:rPr>
          <w:rFonts w:ascii="Arial" w:hAnsi="Arial" w:cs="Arial"/>
          <w:sz w:val="22"/>
          <w:szCs w:val="22"/>
        </w:rPr>
      </w:pPr>
    </w:p>
    <w:p w14:paraId="6D0192C6" w14:textId="77777777" w:rsidR="00FA0133" w:rsidRDefault="00FA0133" w:rsidP="00FA0133">
      <w:pPr>
        <w:spacing w:after="0"/>
        <w:rPr>
          <w:rFonts w:ascii="Arial" w:hAnsi="Arial" w:cs="Arial"/>
          <w:sz w:val="22"/>
          <w:szCs w:val="22"/>
        </w:rPr>
      </w:pPr>
      <w:r>
        <w:rPr>
          <w:rFonts w:ascii="Arial" w:hAnsi="Arial" w:cs="Arial"/>
          <w:b/>
          <w:i/>
          <w:sz w:val="22"/>
          <w:szCs w:val="22"/>
        </w:rPr>
        <w:lastRenderedPageBreak/>
        <w:t>Level 2 insurance group</w:t>
      </w:r>
      <w:r>
        <w:rPr>
          <w:rFonts w:ascii="Arial" w:hAnsi="Arial" w:cs="Arial"/>
          <w:sz w:val="22"/>
          <w:szCs w:val="22"/>
        </w:rPr>
        <w:t xml:space="preserve"> has the meaning given in Prudential Standard GPS 001 Definitions.</w:t>
      </w:r>
    </w:p>
    <w:p w14:paraId="7068A293" w14:textId="77777777" w:rsidR="00FA0133" w:rsidRDefault="00FA0133" w:rsidP="00FA0133">
      <w:pPr>
        <w:spacing w:after="0"/>
        <w:rPr>
          <w:rFonts w:ascii="Arial" w:hAnsi="Arial" w:cs="Arial"/>
          <w:sz w:val="22"/>
          <w:szCs w:val="22"/>
        </w:rPr>
      </w:pPr>
    </w:p>
    <w:p w14:paraId="7931C9ED" w14:textId="77777777" w:rsidR="00FA0133" w:rsidRDefault="00FA0133" w:rsidP="00FA0133">
      <w:pPr>
        <w:spacing w:after="0"/>
        <w:rPr>
          <w:rFonts w:ascii="Arial" w:hAnsi="Arial" w:cs="Arial"/>
          <w:sz w:val="22"/>
          <w:szCs w:val="22"/>
        </w:rPr>
      </w:pPr>
      <w:r>
        <w:rPr>
          <w:rFonts w:ascii="Arial" w:hAnsi="Arial" w:cs="Arial"/>
          <w:b/>
          <w:i/>
          <w:sz w:val="22"/>
          <w:szCs w:val="22"/>
        </w:rPr>
        <w:t>parent entity</w:t>
      </w:r>
      <w:r>
        <w:rPr>
          <w:rFonts w:ascii="Arial" w:hAnsi="Arial" w:cs="Arial"/>
          <w:sz w:val="22"/>
          <w:szCs w:val="22"/>
        </w:rPr>
        <w:t xml:space="preserve"> has the meaning given in Prudential Standard GPS 001 Definitions.</w:t>
      </w:r>
    </w:p>
    <w:p w14:paraId="061C71ED" w14:textId="77777777" w:rsidR="00FA0133" w:rsidRDefault="00FA0133" w:rsidP="00FA0133">
      <w:pPr>
        <w:spacing w:after="0"/>
        <w:rPr>
          <w:rFonts w:ascii="Arial" w:hAnsi="Arial" w:cs="Arial"/>
          <w:sz w:val="22"/>
          <w:szCs w:val="22"/>
        </w:rPr>
      </w:pPr>
    </w:p>
    <w:p w14:paraId="0C4B4913" w14:textId="77777777" w:rsidR="00FA0133" w:rsidRDefault="00FA0133" w:rsidP="00FA0133">
      <w:pPr>
        <w:spacing w:after="0"/>
        <w:rPr>
          <w:rFonts w:ascii="Arial" w:hAnsi="Arial" w:cs="Arial"/>
          <w:sz w:val="22"/>
          <w:szCs w:val="22"/>
        </w:rPr>
      </w:pPr>
      <w:r>
        <w:rPr>
          <w:rFonts w:ascii="Arial" w:hAnsi="Arial" w:cs="Arial"/>
          <w:b/>
          <w:i/>
          <w:sz w:val="22"/>
          <w:szCs w:val="22"/>
        </w:rPr>
        <w:t>subsidiary</w:t>
      </w:r>
      <w:r>
        <w:rPr>
          <w:rFonts w:ascii="Arial" w:hAnsi="Arial" w:cs="Arial"/>
          <w:sz w:val="22"/>
          <w:szCs w:val="22"/>
        </w:rPr>
        <w:t xml:space="preserve"> has the meaning given in Prudential Standard GPS 001 Definitions.</w:t>
      </w:r>
    </w:p>
    <w:p w14:paraId="3F3F0551" w14:textId="77777777" w:rsidR="00FA0133" w:rsidRDefault="00FA0133" w:rsidP="00FA0133">
      <w:pPr>
        <w:spacing w:after="0"/>
        <w:rPr>
          <w:rFonts w:cs="Arial"/>
        </w:rPr>
      </w:pPr>
    </w:p>
    <w:p w14:paraId="6FBBBCBB" w14:textId="77777777" w:rsidR="00FA0133" w:rsidRDefault="00FA0133" w:rsidP="00FA0133">
      <w:pPr>
        <w:spacing w:after="0"/>
        <w:rPr>
          <w:rFonts w:ascii="Arial" w:hAnsi="Arial" w:cs="Arial"/>
          <w:b/>
          <w:sz w:val="32"/>
          <w:szCs w:val="32"/>
        </w:rPr>
      </w:pPr>
      <w:r>
        <w:rPr>
          <w:rFonts w:ascii="Arial" w:hAnsi="Arial" w:cs="Arial"/>
          <w:b/>
          <w:sz w:val="32"/>
          <w:szCs w:val="32"/>
        </w:rPr>
        <w:t xml:space="preserve">Schedule </w:t>
      </w:r>
    </w:p>
    <w:p w14:paraId="104436A4" w14:textId="77777777" w:rsidR="00FA0133" w:rsidRDefault="00FA0133" w:rsidP="00FA0133">
      <w:pPr>
        <w:spacing w:after="0"/>
      </w:pPr>
    </w:p>
    <w:p w14:paraId="23F0E9DA" w14:textId="0F8BE019" w:rsidR="00FA0133" w:rsidRDefault="00AC5549" w:rsidP="00FA0133">
      <w:pPr>
        <w:rPr>
          <w:rFonts w:ascii="Arial" w:hAnsi="Arial" w:cs="Arial"/>
          <w:sz w:val="22"/>
          <w:szCs w:val="22"/>
        </w:rPr>
      </w:pPr>
      <w:r w:rsidRPr="00AC5549">
        <w:rPr>
          <w:rFonts w:ascii="Arial" w:hAnsi="Arial" w:cs="Arial"/>
          <w:i/>
          <w:sz w:val="22"/>
          <w:szCs w:val="22"/>
        </w:rPr>
        <w:t>Prudential Standard GPS 118 Capital Adequacy: Operational Risk Charge</w:t>
      </w:r>
      <w:r w:rsidR="00FA0133">
        <w:rPr>
          <w:rFonts w:ascii="Arial" w:hAnsi="Arial" w:cs="Arial"/>
          <w:i/>
          <w:sz w:val="22"/>
          <w:szCs w:val="22"/>
        </w:rPr>
        <w:t xml:space="preserve">, </w:t>
      </w:r>
      <w:r w:rsidR="00FA0133">
        <w:rPr>
          <w:rFonts w:ascii="Arial" w:hAnsi="Arial" w:cs="Arial"/>
          <w:bCs/>
          <w:sz w:val="22"/>
          <w:szCs w:val="22"/>
        </w:rPr>
        <w:t>comprises the document commencing on the following page.</w:t>
      </w:r>
      <w:r w:rsidR="00FA0133">
        <w:rPr>
          <w:rFonts w:ascii="Arial" w:hAnsi="Arial" w:cs="Arial"/>
          <w:sz w:val="22"/>
          <w:szCs w:val="22"/>
        </w:rPr>
        <w:t xml:space="preserve"> </w:t>
      </w:r>
    </w:p>
    <w:bookmarkEnd w:id="0"/>
    <w:p w14:paraId="6C48137B" w14:textId="77777777" w:rsidR="00FA0133" w:rsidRDefault="00FA0133" w:rsidP="00FA0133">
      <w:pPr>
        <w:spacing w:after="0"/>
      </w:pPr>
    </w:p>
    <w:p w14:paraId="242033DF" w14:textId="77777777" w:rsidR="00FA0133" w:rsidRDefault="00FA0133" w:rsidP="00FA0133">
      <w:pPr>
        <w:spacing w:after="0"/>
      </w:pPr>
    </w:p>
    <w:p w14:paraId="7C42EF40" w14:textId="77777777" w:rsidR="00BE05B1" w:rsidRDefault="00BE05B1" w:rsidP="003B52EB">
      <w:pPr>
        <w:spacing w:after="0"/>
        <w:sectPr w:rsidR="00BE05B1" w:rsidSect="000D63A8">
          <w:headerReference w:type="default" r:id="rId12"/>
          <w:pgSz w:w="11906" w:h="16838" w:code="9"/>
          <w:pgMar w:top="1440" w:right="1797" w:bottom="1440" w:left="1797" w:header="709" w:footer="709" w:gutter="0"/>
          <w:cols w:space="708"/>
          <w:docGrid w:linePitch="360"/>
        </w:sectPr>
      </w:pPr>
    </w:p>
    <w:p w14:paraId="19C0504F" w14:textId="77777777" w:rsidR="003B52EB" w:rsidRDefault="00506079" w:rsidP="003B52EB">
      <w:pPr>
        <w:spacing w:after="0"/>
      </w:pPr>
      <w:r>
        <w:rPr>
          <w:noProof/>
          <w:lang w:val="en-US" w:eastAsia="en-US"/>
        </w:rPr>
        <w:lastRenderedPageBreak/>
        <w:drawing>
          <wp:inline distT="0" distB="0" distL="0" distR="0" wp14:anchorId="4BA819AB" wp14:editId="0FE714A4">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01D5B05C" w14:textId="77777777"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6B13F3">
        <w:rPr>
          <w:rStyle w:val="PSNofieldtext"/>
        </w:rPr>
        <w:t>GPS 118</w:t>
      </w:r>
      <w:r w:rsidR="009B6212" w:rsidRPr="009B6212">
        <w:t xml:space="preserve">  </w:t>
      </w:r>
    </w:p>
    <w:bookmarkEnd w:id="1"/>
    <w:p w14:paraId="7DDB5BBC" w14:textId="77777777" w:rsidR="00BC2D08" w:rsidRPr="00110917" w:rsidRDefault="006B13F3" w:rsidP="001F6B8D">
      <w:pPr>
        <w:pStyle w:val="Title"/>
      </w:pPr>
      <w:r>
        <w:rPr>
          <w:rStyle w:val="PSNamefieldtext"/>
        </w:rPr>
        <w:t>Capital Adequacy: Operational Risk Charge</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738BED9D" w14:textId="77777777" w:rsidTr="00DF539C">
        <w:tc>
          <w:tcPr>
            <w:tcW w:w="8528" w:type="dxa"/>
            <w:shd w:val="clear" w:color="auto" w:fill="DDDDDD"/>
          </w:tcPr>
          <w:p w14:paraId="635B42D8" w14:textId="77777777" w:rsidR="003C46D7" w:rsidRPr="00B37C03" w:rsidRDefault="003C46D7" w:rsidP="00656D42">
            <w:pPr>
              <w:pStyle w:val="BoxHeading"/>
            </w:pPr>
            <w:r w:rsidRPr="00B37C03">
              <w:t xml:space="preserve">Objectives and key requirements of this Prudential </w:t>
            </w:r>
            <w:r w:rsidRPr="00173A04">
              <w:t>Standard</w:t>
            </w:r>
          </w:p>
          <w:p w14:paraId="3F203980" w14:textId="77777777" w:rsidR="0048511B" w:rsidRDefault="0048511B" w:rsidP="006B13F3">
            <w:r>
              <w:t xml:space="preserve">This Prudential Standard </w:t>
            </w:r>
            <w:r w:rsidR="006B13F3">
              <w:t>requires a general insurer or Level 2 insurance group to maintain adequate capital against the operational risks associated with its activities.</w:t>
            </w:r>
          </w:p>
          <w:p w14:paraId="524AC5F4" w14:textId="77777777" w:rsidR="006B13F3" w:rsidRDefault="006B13F3" w:rsidP="006B13F3">
            <w:r>
              <w:t>The ultimate responsibility for the prudent management of capital of a general insurer or Level 2 insurance group rests with its Board of directors. The Board must ensure that the general insurer or Level 2 insurance group maintains an adequate level and quality of capital commensurate with the scale, nature and complexity of its business and risk profile, such that it is able to meet its obligations under a wide range of circumstances.</w:t>
            </w:r>
          </w:p>
          <w:p w14:paraId="19991568" w14:textId="77777777" w:rsidR="006B13F3" w:rsidRDefault="006B13F3" w:rsidP="006B13F3">
            <w:r>
              <w:t>The Operational Risk Charge is the minimum amount of capital required to be held against operational risks. The Operational Risk Charge relates to the risk of loss resulting from inadequate or failed internal processes, people and systems or from external events.</w:t>
            </w:r>
          </w:p>
          <w:p w14:paraId="20D7029C" w14:textId="77777777" w:rsidR="00173A04" w:rsidRDefault="006B13F3" w:rsidP="00FE6D28">
            <w:pPr>
              <w:pStyle w:val="BoxBullet"/>
              <w:numPr>
                <w:ilvl w:val="0"/>
                <w:numId w:val="0"/>
              </w:numPr>
            </w:pPr>
            <w:r>
              <w:t xml:space="preserve">This Prudential Standard sets </w:t>
            </w:r>
            <w:r w:rsidR="00FE6D28">
              <w:t>out the method for calculating the Operational Risk Charge. This charge is one of the components of the Standard Method for calculating the prescribed capital amount for general insurers and Level 2 insurance groups.</w:t>
            </w:r>
          </w:p>
        </w:tc>
      </w:tr>
    </w:tbl>
    <w:p w14:paraId="5A27A329" w14:textId="77777777" w:rsidR="00BC2D08" w:rsidRDefault="00BC2D08" w:rsidP="00BC2D08">
      <w:pPr>
        <w:spacing w:after="0"/>
      </w:pPr>
    </w:p>
    <w:p w14:paraId="3DAB30F0" w14:textId="77777777" w:rsidR="00C67A76" w:rsidRDefault="00C67A76" w:rsidP="00C67A76"/>
    <w:p w14:paraId="2E8A67AA" w14:textId="77777777" w:rsidR="00C67A76" w:rsidRDefault="00C67A76" w:rsidP="00C67A76">
      <w:pPr>
        <w:sectPr w:rsidR="00C67A76" w:rsidSect="00BE05B1">
          <w:headerReference w:type="default" r:id="rId14"/>
          <w:footerReference w:type="default" r:id="rId15"/>
          <w:pgSz w:w="11906" w:h="16838" w:code="9"/>
          <w:pgMar w:top="1440" w:right="1797" w:bottom="1440" w:left="1797" w:header="709" w:footer="709" w:gutter="0"/>
          <w:pgNumType w:start="1"/>
          <w:cols w:space="708"/>
          <w:docGrid w:linePitch="360"/>
        </w:sectPr>
      </w:pPr>
    </w:p>
    <w:p w14:paraId="0EB7B502" w14:textId="77777777" w:rsidR="00C6788C" w:rsidRDefault="009D467A" w:rsidP="001F6B8D">
      <w:pPr>
        <w:pStyle w:val="TOCHeading"/>
      </w:pPr>
      <w:bookmarkStart w:id="2" w:name="_Toc326676936"/>
      <w:bookmarkStart w:id="3" w:name="_Toc326756341"/>
      <w:bookmarkStart w:id="4" w:name="_Toc256519850"/>
      <w:r>
        <w:lastRenderedPageBreak/>
        <w:t>Table of Contents</w:t>
      </w:r>
    </w:p>
    <w:p w14:paraId="48F1C8C5" w14:textId="67D01DAD" w:rsidR="00A71022"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10004660" w:history="1">
        <w:r w:rsidR="00A71022" w:rsidRPr="008C10D7">
          <w:rPr>
            <w:rStyle w:val="Hyperlink"/>
          </w:rPr>
          <w:t>Authority</w:t>
        </w:r>
        <w:r w:rsidR="00A71022">
          <w:rPr>
            <w:webHidden/>
          </w:rPr>
          <w:tab/>
        </w:r>
        <w:r w:rsidR="00A71022">
          <w:rPr>
            <w:webHidden/>
          </w:rPr>
          <w:fldChar w:fldCharType="begin"/>
        </w:r>
        <w:r w:rsidR="00A71022">
          <w:rPr>
            <w:webHidden/>
          </w:rPr>
          <w:instrText xml:space="preserve"> PAGEREF _Toc110004660 \h </w:instrText>
        </w:r>
        <w:r w:rsidR="00A71022">
          <w:rPr>
            <w:webHidden/>
          </w:rPr>
        </w:r>
        <w:r w:rsidR="00A71022">
          <w:rPr>
            <w:webHidden/>
          </w:rPr>
          <w:fldChar w:fldCharType="separate"/>
        </w:r>
        <w:r w:rsidR="00A71022">
          <w:rPr>
            <w:webHidden/>
          </w:rPr>
          <w:t>3</w:t>
        </w:r>
        <w:r w:rsidR="00A71022">
          <w:rPr>
            <w:webHidden/>
          </w:rPr>
          <w:fldChar w:fldCharType="end"/>
        </w:r>
      </w:hyperlink>
    </w:p>
    <w:p w14:paraId="7EB0188F" w14:textId="7B6EF55D" w:rsidR="00A71022" w:rsidRDefault="00863CC4">
      <w:pPr>
        <w:pStyle w:val="TOC1"/>
        <w:rPr>
          <w:rFonts w:asciiTheme="minorHAnsi" w:eastAsiaTheme="minorEastAsia" w:hAnsiTheme="minorHAnsi" w:cstheme="minorBidi"/>
          <w:sz w:val="22"/>
          <w:szCs w:val="22"/>
        </w:rPr>
      </w:pPr>
      <w:hyperlink w:anchor="_Toc110004661" w:history="1">
        <w:r w:rsidR="00A71022" w:rsidRPr="008C10D7">
          <w:rPr>
            <w:rStyle w:val="Hyperlink"/>
          </w:rPr>
          <w:t>Application and commencement</w:t>
        </w:r>
        <w:r w:rsidR="00A71022">
          <w:rPr>
            <w:webHidden/>
          </w:rPr>
          <w:tab/>
        </w:r>
        <w:r w:rsidR="00A71022">
          <w:rPr>
            <w:webHidden/>
          </w:rPr>
          <w:fldChar w:fldCharType="begin"/>
        </w:r>
        <w:r w:rsidR="00A71022">
          <w:rPr>
            <w:webHidden/>
          </w:rPr>
          <w:instrText xml:space="preserve"> PAGEREF _Toc110004661 \h </w:instrText>
        </w:r>
        <w:r w:rsidR="00A71022">
          <w:rPr>
            <w:webHidden/>
          </w:rPr>
        </w:r>
        <w:r w:rsidR="00A71022">
          <w:rPr>
            <w:webHidden/>
          </w:rPr>
          <w:fldChar w:fldCharType="separate"/>
        </w:r>
        <w:r w:rsidR="00A71022">
          <w:rPr>
            <w:webHidden/>
          </w:rPr>
          <w:t>3</w:t>
        </w:r>
        <w:r w:rsidR="00A71022">
          <w:rPr>
            <w:webHidden/>
          </w:rPr>
          <w:fldChar w:fldCharType="end"/>
        </w:r>
      </w:hyperlink>
    </w:p>
    <w:p w14:paraId="44AB34D6" w14:textId="38092F53" w:rsidR="00A71022" w:rsidRDefault="00863CC4">
      <w:pPr>
        <w:pStyle w:val="TOC1"/>
        <w:rPr>
          <w:rFonts w:asciiTheme="minorHAnsi" w:eastAsiaTheme="minorEastAsia" w:hAnsiTheme="minorHAnsi" w:cstheme="minorBidi"/>
          <w:sz w:val="22"/>
          <w:szCs w:val="22"/>
        </w:rPr>
      </w:pPr>
      <w:hyperlink w:anchor="_Toc110004662" w:history="1">
        <w:r w:rsidR="00A71022" w:rsidRPr="008C10D7">
          <w:rPr>
            <w:rStyle w:val="Hyperlink"/>
          </w:rPr>
          <w:t>Interpretation</w:t>
        </w:r>
        <w:r w:rsidR="00A71022">
          <w:rPr>
            <w:webHidden/>
          </w:rPr>
          <w:tab/>
        </w:r>
        <w:r w:rsidR="00A71022">
          <w:rPr>
            <w:webHidden/>
          </w:rPr>
          <w:fldChar w:fldCharType="begin"/>
        </w:r>
        <w:r w:rsidR="00A71022">
          <w:rPr>
            <w:webHidden/>
          </w:rPr>
          <w:instrText xml:space="preserve"> PAGEREF _Toc110004662 \h </w:instrText>
        </w:r>
        <w:r w:rsidR="00A71022">
          <w:rPr>
            <w:webHidden/>
          </w:rPr>
        </w:r>
        <w:r w:rsidR="00A71022">
          <w:rPr>
            <w:webHidden/>
          </w:rPr>
          <w:fldChar w:fldCharType="separate"/>
        </w:r>
        <w:r w:rsidR="00A71022">
          <w:rPr>
            <w:webHidden/>
          </w:rPr>
          <w:t>3</w:t>
        </w:r>
        <w:r w:rsidR="00A71022">
          <w:rPr>
            <w:webHidden/>
          </w:rPr>
          <w:fldChar w:fldCharType="end"/>
        </w:r>
      </w:hyperlink>
    </w:p>
    <w:p w14:paraId="7716DE90" w14:textId="2DA7A0E9" w:rsidR="00A71022" w:rsidRDefault="00863CC4">
      <w:pPr>
        <w:pStyle w:val="TOC1"/>
        <w:rPr>
          <w:rFonts w:asciiTheme="minorHAnsi" w:eastAsiaTheme="minorEastAsia" w:hAnsiTheme="minorHAnsi" w:cstheme="minorBidi"/>
          <w:sz w:val="22"/>
          <w:szCs w:val="22"/>
        </w:rPr>
      </w:pPr>
      <w:hyperlink w:anchor="_Toc110004663" w:history="1">
        <w:r w:rsidR="00A71022" w:rsidRPr="008C10D7">
          <w:rPr>
            <w:rStyle w:val="Hyperlink"/>
          </w:rPr>
          <w:t>Operational Risk Charge</w:t>
        </w:r>
        <w:r w:rsidR="00A71022">
          <w:rPr>
            <w:webHidden/>
          </w:rPr>
          <w:tab/>
        </w:r>
        <w:r w:rsidR="00A71022">
          <w:rPr>
            <w:webHidden/>
          </w:rPr>
          <w:fldChar w:fldCharType="begin"/>
        </w:r>
        <w:r w:rsidR="00A71022">
          <w:rPr>
            <w:webHidden/>
          </w:rPr>
          <w:instrText xml:space="preserve"> PAGEREF _Toc110004663 \h </w:instrText>
        </w:r>
        <w:r w:rsidR="00A71022">
          <w:rPr>
            <w:webHidden/>
          </w:rPr>
        </w:r>
        <w:r w:rsidR="00A71022">
          <w:rPr>
            <w:webHidden/>
          </w:rPr>
          <w:fldChar w:fldCharType="separate"/>
        </w:r>
        <w:r w:rsidR="00A71022">
          <w:rPr>
            <w:webHidden/>
          </w:rPr>
          <w:t>3</w:t>
        </w:r>
        <w:r w:rsidR="00A71022">
          <w:rPr>
            <w:webHidden/>
          </w:rPr>
          <w:fldChar w:fldCharType="end"/>
        </w:r>
      </w:hyperlink>
    </w:p>
    <w:p w14:paraId="43653EF0" w14:textId="767C8B13" w:rsidR="00A71022" w:rsidRDefault="00863CC4">
      <w:pPr>
        <w:pStyle w:val="TOC1"/>
        <w:rPr>
          <w:rFonts w:asciiTheme="minorHAnsi" w:eastAsiaTheme="minorEastAsia" w:hAnsiTheme="minorHAnsi" w:cstheme="minorBidi"/>
          <w:sz w:val="22"/>
          <w:szCs w:val="22"/>
        </w:rPr>
      </w:pPr>
      <w:hyperlink w:anchor="_Toc110004664" w:history="1">
        <w:r w:rsidR="00A71022" w:rsidRPr="008C10D7">
          <w:rPr>
            <w:rStyle w:val="Hyperlink"/>
          </w:rPr>
          <w:t>Calculation of the Operational Risk Charge</w:t>
        </w:r>
        <w:r w:rsidR="00A71022">
          <w:rPr>
            <w:webHidden/>
          </w:rPr>
          <w:tab/>
        </w:r>
        <w:r w:rsidR="00A71022">
          <w:rPr>
            <w:webHidden/>
          </w:rPr>
          <w:fldChar w:fldCharType="begin"/>
        </w:r>
        <w:r w:rsidR="00A71022">
          <w:rPr>
            <w:webHidden/>
          </w:rPr>
          <w:instrText xml:space="preserve"> PAGEREF _Toc110004664 \h </w:instrText>
        </w:r>
        <w:r w:rsidR="00A71022">
          <w:rPr>
            <w:webHidden/>
          </w:rPr>
        </w:r>
        <w:r w:rsidR="00A71022">
          <w:rPr>
            <w:webHidden/>
          </w:rPr>
          <w:fldChar w:fldCharType="separate"/>
        </w:r>
        <w:r w:rsidR="00A71022">
          <w:rPr>
            <w:webHidden/>
          </w:rPr>
          <w:t>3</w:t>
        </w:r>
        <w:r w:rsidR="00A71022">
          <w:rPr>
            <w:webHidden/>
          </w:rPr>
          <w:fldChar w:fldCharType="end"/>
        </w:r>
      </w:hyperlink>
    </w:p>
    <w:p w14:paraId="1E2C4426" w14:textId="3C12B9F6" w:rsidR="00A71022" w:rsidRDefault="00863CC4">
      <w:pPr>
        <w:pStyle w:val="TOC1"/>
        <w:rPr>
          <w:rFonts w:asciiTheme="minorHAnsi" w:eastAsiaTheme="minorEastAsia" w:hAnsiTheme="minorHAnsi" w:cstheme="minorBidi"/>
          <w:sz w:val="22"/>
          <w:szCs w:val="22"/>
        </w:rPr>
      </w:pPr>
      <w:hyperlink w:anchor="_Toc110004665" w:history="1">
        <w:r w:rsidR="00A71022" w:rsidRPr="008C10D7">
          <w:rPr>
            <w:rStyle w:val="Hyperlink"/>
          </w:rPr>
          <w:t>Adjustments and exclusions</w:t>
        </w:r>
        <w:r w:rsidR="00A71022">
          <w:rPr>
            <w:webHidden/>
          </w:rPr>
          <w:tab/>
        </w:r>
        <w:r w:rsidR="00A71022">
          <w:rPr>
            <w:webHidden/>
          </w:rPr>
          <w:fldChar w:fldCharType="begin"/>
        </w:r>
        <w:r w:rsidR="00A71022">
          <w:rPr>
            <w:webHidden/>
          </w:rPr>
          <w:instrText xml:space="preserve"> PAGEREF _Toc110004665 \h </w:instrText>
        </w:r>
        <w:r w:rsidR="00A71022">
          <w:rPr>
            <w:webHidden/>
          </w:rPr>
        </w:r>
        <w:r w:rsidR="00A71022">
          <w:rPr>
            <w:webHidden/>
          </w:rPr>
          <w:fldChar w:fldCharType="separate"/>
        </w:r>
        <w:r w:rsidR="00A71022">
          <w:rPr>
            <w:webHidden/>
          </w:rPr>
          <w:t>4</w:t>
        </w:r>
        <w:r w:rsidR="00A71022">
          <w:rPr>
            <w:webHidden/>
          </w:rPr>
          <w:fldChar w:fldCharType="end"/>
        </w:r>
      </w:hyperlink>
    </w:p>
    <w:p w14:paraId="233F19CF" w14:textId="446BDDEE" w:rsidR="00A71022" w:rsidRDefault="00863CC4">
      <w:pPr>
        <w:pStyle w:val="TOC1"/>
        <w:rPr>
          <w:rFonts w:asciiTheme="minorHAnsi" w:eastAsiaTheme="minorEastAsia" w:hAnsiTheme="minorHAnsi" w:cstheme="minorBidi"/>
          <w:sz w:val="22"/>
          <w:szCs w:val="22"/>
        </w:rPr>
      </w:pPr>
      <w:hyperlink w:anchor="_Toc110004666" w:history="1">
        <w:r w:rsidR="00A71022" w:rsidRPr="008C10D7">
          <w:rPr>
            <w:rStyle w:val="Hyperlink"/>
          </w:rPr>
          <w:t>Previous exercise of discretion</w:t>
        </w:r>
        <w:r w:rsidR="00A71022">
          <w:rPr>
            <w:webHidden/>
          </w:rPr>
          <w:tab/>
        </w:r>
        <w:r w:rsidR="00A71022">
          <w:rPr>
            <w:webHidden/>
          </w:rPr>
          <w:fldChar w:fldCharType="begin"/>
        </w:r>
        <w:r w:rsidR="00A71022">
          <w:rPr>
            <w:webHidden/>
          </w:rPr>
          <w:instrText xml:space="preserve"> PAGEREF _Toc110004666 \h </w:instrText>
        </w:r>
        <w:r w:rsidR="00A71022">
          <w:rPr>
            <w:webHidden/>
          </w:rPr>
        </w:r>
        <w:r w:rsidR="00A71022">
          <w:rPr>
            <w:webHidden/>
          </w:rPr>
          <w:fldChar w:fldCharType="separate"/>
        </w:r>
        <w:r w:rsidR="00A71022">
          <w:rPr>
            <w:webHidden/>
          </w:rPr>
          <w:t>4</w:t>
        </w:r>
        <w:r w:rsidR="00A71022">
          <w:rPr>
            <w:webHidden/>
          </w:rPr>
          <w:fldChar w:fldCharType="end"/>
        </w:r>
      </w:hyperlink>
    </w:p>
    <w:p w14:paraId="087D90CE" w14:textId="46CDCFEC" w:rsidR="009D467A" w:rsidRDefault="009B0A33" w:rsidP="00FF513E">
      <w:pPr>
        <w:pStyle w:val="NoSpacing"/>
      </w:pPr>
      <w:r>
        <w:fldChar w:fldCharType="end"/>
      </w:r>
      <w:bookmarkStart w:id="5" w:name="_Toc326937698"/>
      <w:bookmarkStart w:id="6" w:name="_Toc326938615"/>
      <w:bookmarkStart w:id="7" w:name="_Toc326938830"/>
      <w:bookmarkEnd w:id="2"/>
      <w:bookmarkEnd w:id="3"/>
    </w:p>
    <w:p w14:paraId="5428D486" w14:textId="77777777" w:rsidR="00E96B6D" w:rsidRPr="00CF72FA" w:rsidRDefault="00E96B6D" w:rsidP="001F6B8D">
      <w:pPr>
        <w:pStyle w:val="Heading1"/>
        <w:sectPr w:rsidR="00E96B6D" w:rsidRPr="00CF72FA" w:rsidSect="000D63A8">
          <w:pgSz w:w="11906" w:h="16838" w:code="9"/>
          <w:pgMar w:top="1440" w:right="1797" w:bottom="1440" w:left="1797" w:header="709" w:footer="709" w:gutter="0"/>
          <w:cols w:space="708"/>
          <w:docGrid w:linePitch="360"/>
        </w:sectPr>
      </w:pPr>
      <w:bookmarkStart w:id="8" w:name="_Toc314733116"/>
      <w:bookmarkStart w:id="9" w:name="_Toc341686774"/>
      <w:bookmarkEnd w:id="4"/>
      <w:bookmarkEnd w:id="5"/>
      <w:bookmarkEnd w:id="6"/>
      <w:bookmarkEnd w:id="7"/>
    </w:p>
    <w:p w14:paraId="3D6E0088" w14:textId="77777777" w:rsidR="00E07F40" w:rsidRPr="001F6B8D" w:rsidRDefault="00E07F40" w:rsidP="001F6B8D">
      <w:pPr>
        <w:pStyle w:val="Heading1"/>
      </w:pPr>
      <w:bookmarkStart w:id="10" w:name="_Toc110004660"/>
      <w:r w:rsidRPr="00B37C03">
        <w:lastRenderedPageBreak/>
        <w:t>Authority</w:t>
      </w:r>
      <w:bookmarkEnd w:id="8"/>
      <w:bookmarkEnd w:id="9"/>
      <w:bookmarkEnd w:id="10"/>
    </w:p>
    <w:p w14:paraId="401731CE" w14:textId="77777777" w:rsidR="00FE6D28" w:rsidRPr="00D57995" w:rsidRDefault="00FE6D28" w:rsidP="0093484B">
      <w:pPr>
        <w:pStyle w:val="numberedpara"/>
        <w:numPr>
          <w:ilvl w:val="0"/>
          <w:numId w:val="22"/>
        </w:numPr>
        <w:ind w:left="567" w:hanging="567"/>
        <w:jc w:val="both"/>
      </w:pPr>
      <w:bookmarkStart w:id="11" w:name="_Toc314733118"/>
      <w:bookmarkStart w:id="12" w:name="_Toc341686775"/>
      <w:r w:rsidRPr="00D57995">
        <w:t xml:space="preserve">This Prudential Standard is made under section 32 of the </w:t>
      </w:r>
      <w:r w:rsidRPr="00D57995">
        <w:rPr>
          <w:i/>
        </w:rPr>
        <w:t>Insurance Act 1973</w:t>
      </w:r>
      <w:r w:rsidRPr="00D57995">
        <w:t xml:space="preserve"> (the Act). </w:t>
      </w:r>
    </w:p>
    <w:p w14:paraId="54DE81DA" w14:textId="23703C91" w:rsidR="00E07F40" w:rsidRPr="00190037" w:rsidRDefault="00E07F40" w:rsidP="00883E6C">
      <w:pPr>
        <w:pStyle w:val="Heading1"/>
        <w:spacing w:before="240"/>
      </w:pPr>
      <w:bookmarkStart w:id="13" w:name="_Toc110004661"/>
      <w:r w:rsidRPr="00B37C03">
        <w:t>Application</w:t>
      </w:r>
      <w:bookmarkEnd w:id="11"/>
      <w:bookmarkEnd w:id="12"/>
      <w:r w:rsidR="00190037">
        <w:t xml:space="preserve"> and commencement</w:t>
      </w:r>
      <w:bookmarkEnd w:id="13"/>
    </w:p>
    <w:p w14:paraId="7728761D" w14:textId="77777777" w:rsidR="00FE6D28" w:rsidRPr="00D57995" w:rsidRDefault="00FE6D28" w:rsidP="00883E6C">
      <w:pPr>
        <w:pStyle w:val="BodyText1"/>
        <w:spacing w:before="240"/>
      </w:pPr>
      <w:r w:rsidRPr="00D57995">
        <w:t>This Prudential Standard applies to each:</w:t>
      </w:r>
    </w:p>
    <w:p w14:paraId="66482248" w14:textId="77777777" w:rsidR="00FE6D28" w:rsidRPr="00D57995" w:rsidRDefault="00FE6D28" w:rsidP="00883E6C">
      <w:pPr>
        <w:pStyle w:val="BodyText2"/>
        <w:spacing w:before="240"/>
      </w:pPr>
      <w:r w:rsidRPr="00D57995">
        <w:rPr>
          <w:b/>
        </w:rPr>
        <w:t>general</w:t>
      </w:r>
      <w:r w:rsidRPr="00D57995">
        <w:t xml:space="preserve"> </w:t>
      </w:r>
      <w:r w:rsidRPr="00D57995">
        <w:rPr>
          <w:b/>
        </w:rPr>
        <w:t>insurer</w:t>
      </w:r>
      <w:r w:rsidRPr="00D57995">
        <w:t xml:space="preserve"> authorised under the Act (</w:t>
      </w:r>
      <w:r w:rsidRPr="00D57995">
        <w:rPr>
          <w:b/>
        </w:rPr>
        <w:t>insurer</w:t>
      </w:r>
      <w:r w:rsidRPr="00D57995">
        <w:t>); and</w:t>
      </w:r>
    </w:p>
    <w:p w14:paraId="785805C9" w14:textId="77777777" w:rsidR="00FE6D28" w:rsidRPr="00D57995" w:rsidRDefault="00FE6D28" w:rsidP="00883E6C">
      <w:pPr>
        <w:pStyle w:val="BodyText2"/>
        <w:spacing w:before="240"/>
      </w:pPr>
      <w:r w:rsidRPr="00D57995">
        <w:rPr>
          <w:b/>
        </w:rPr>
        <w:t>Level 2 insurance group</w:t>
      </w:r>
      <w:r w:rsidRPr="00D57995">
        <w:t xml:space="preserve"> as defined in </w:t>
      </w:r>
      <w:r w:rsidRPr="00D57995">
        <w:rPr>
          <w:i/>
        </w:rPr>
        <w:t xml:space="preserve">Prudential Standard GPS 001 Definitions </w:t>
      </w:r>
      <w:r w:rsidRPr="00D57995">
        <w:t>(GPS 001).</w:t>
      </w:r>
    </w:p>
    <w:p w14:paraId="63E2E3DB" w14:textId="77777777" w:rsidR="00FE6D28" w:rsidRPr="00D57995" w:rsidRDefault="00FE6D28" w:rsidP="00883E6C">
      <w:pPr>
        <w:pStyle w:val="numberedpara"/>
        <w:spacing w:before="240"/>
        <w:ind w:left="567"/>
        <w:jc w:val="both"/>
      </w:pPr>
      <w:r w:rsidRPr="00D57995">
        <w:t xml:space="preserve">Where a requirement is made in respect of a Level 2 insurance group, the requirement is imposed on the </w:t>
      </w:r>
      <w:r w:rsidRPr="00D57995">
        <w:rPr>
          <w:b/>
        </w:rPr>
        <w:t>parent entity</w:t>
      </w:r>
      <w:r w:rsidRPr="00D57995">
        <w:t xml:space="preserve"> of the Level 2 insurance group.</w:t>
      </w:r>
    </w:p>
    <w:p w14:paraId="124C41DF" w14:textId="77777777" w:rsidR="00FE6D28" w:rsidRDefault="00FE6D28" w:rsidP="00883E6C">
      <w:pPr>
        <w:pStyle w:val="BodyText1"/>
        <w:spacing w:before="240"/>
      </w:pPr>
      <w:r w:rsidRPr="00D57995">
        <w:t>This Prudential Standard applies to insurers and Level 2 insurance groups (</w:t>
      </w:r>
      <w:r w:rsidRPr="00D57995">
        <w:rPr>
          <w:b/>
        </w:rPr>
        <w:t>regulated institutions</w:t>
      </w:r>
      <w:r w:rsidRPr="00D57995">
        <w:t>) from 1 July 2023.</w:t>
      </w:r>
    </w:p>
    <w:p w14:paraId="1287BE6A" w14:textId="77777777" w:rsidR="00FE6D28" w:rsidRPr="00D57995" w:rsidRDefault="00FE6D28" w:rsidP="00883E6C">
      <w:pPr>
        <w:pStyle w:val="Heading1"/>
        <w:spacing w:before="240"/>
      </w:pPr>
      <w:bookmarkStart w:id="14" w:name="_Toc110004662"/>
      <w:r>
        <w:t>Interpretation</w:t>
      </w:r>
      <w:bookmarkEnd w:id="14"/>
    </w:p>
    <w:p w14:paraId="7CA09709" w14:textId="77777777" w:rsidR="00FE6D28" w:rsidRPr="00D57995" w:rsidRDefault="00FE6D28" w:rsidP="00883E6C">
      <w:pPr>
        <w:pStyle w:val="BodyText1"/>
        <w:spacing w:before="240"/>
      </w:pPr>
      <w:r w:rsidRPr="00D57995">
        <w:t>Terms that are defined in GPS 001 appear in bold the first time they are used in this Prudential Standard.</w:t>
      </w:r>
    </w:p>
    <w:p w14:paraId="37CF2CC1" w14:textId="77777777" w:rsidR="00DF539C" w:rsidRPr="00DF539C" w:rsidRDefault="00FE6D28" w:rsidP="00883E6C">
      <w:pPr>
        <w:pStyle w:val="Heading1"/>
        <w:spacing w:before="240"/>
      </w:pPr>
      <w:bookmarkStart w:id="15" w:name="_Toc110004663"/>
      <w:r>
        <w:t>Operational Risk Charge</w:t>
      </w:r>
      <w:bookmarkEnd w:id="15"/>
    </w:p>
    <w:p w14:paraId="21F4C4F4" w14:textId="77777777" w:rsidR="00FE6D28" w:rsidRPr="00D57995" w:rsidRDefault="00FE6D28" w:rsidP="00883E6C">
      <w:pPr>
        <w:pStyle w:val="BodyText1"/>
        <w:spacing w:before="240"/>
      </w:pPr>
      <w:r w:rsidRPr="00D57995">
        <w:t xml:space="preserve">This Prudential Standard sets out the method for calculating the </w:t>
      </w:r>
      <w:r w:rsidRPr="00D57995">
        <w:rPr>
          <w:b/>
        </w:rPr>
        <w:t>Operational Risk Charge</w:t>
      </w:r>
      <w:r w:rsidRPr="00D57995">
        <w:t xml:space="preserve"> for a regulated institution using the </w:t>
      </w:r>
      <w:r w:rsidRPr="00D57995">
        <w:rPr>
          <w:b/>
        </w:rPr>
        <w:t>Standard Method</w:t>
      </w:r>
      <w:r w:rsidRPr="00D57995">
        <w:t xml:space="preserve"> to determine its </w:t>
      </w:r>
      <w:r w:rsidRPr="00D57995">
        <w:rPr>
          <w:b/>
        </w:rPr>
        <w:t>prescribed capital amount</w:t>
      </w:r>
      <w:r w:rsidRPr="00D57995">
        <w:t xml:space="preserve">.  </w:t>
      </w:r>
    </w:p>
    <w:p w14:paraId="46347A24" w14:textId="77777777" w:rsidR="00FE6D28" w:rsidRPr="00D57995" w:rsidRDefault="00FE6D28" w:rsidP="00883E6C">
      <w:pPr>
        <w:pStyle w:val="BodyText1"/>
        <w:spacing w:before="240"/>
      </w:pPr>
      <w:r w:rsidRPr="00D57995">
        <w:t>The Operational Risk Charge</w:t>
      </w:r>
      <w:r w:rsidRPr="00D57995">
        <w:rPr>
          <w:b/>
        </w:rPr>
        <w:t xml:space="preserve"> </w:t>
      </w:r>
      <w:r w:rsidRPr="00D57995">
        <w:t>is the minimum amount of capital a regulated institution must hold against the risk of loss resulting from inadequate or failed internal processes, people and systems or from external events.</w:t>
      </w:r>
    </w:p>
    <w:p w14:paraId="663E8514" w14:textId="77777777" w:rsidR="001C755C" w:rsidRDefault="00FE6D28" w:rsidP="00FE6D28">
      <w:pPr>
        <w:pStyle w:val="Heading1"/>
      </w:pPr>
      <w:bookmarkStart w:id="16" w:name="_Toc110004664"/>
      <w:r>
        <w:t>Calculation of the Operational Risk Charge</w:t>
      </w:r>
      <w:bookmarkEnd w:id="16"/>
    </w:p>
    <w:p w14:paraId="07842D7B" w14:textId="77777777" w:rsidR="00FE6D28" w:rsidRPr="00D57995" w:rsidRDefault="00FE6D28" w:rsidP="0093484B">
      <w:pPr>
        <w:pStyle w:val="numberedpara"/>
        <w:numPr>
          <w:ilvl w:val="0"/>
          <w:numId w:val="25"/>
        </w:numPr>
        <w:spacing w:before="240"/>
        <w:ind w:left="567" w:hanging="567"/>
        <w:jc w:val="both"/>
      </w:pPr>
      <w:r w:rsidRPr="00D57995">
        <w:t>The Operational Risk Charge for a regulated institution is calculated as the sum of:</w:t>
      </w:r>
    </w:p>
    <w:p w14:paraId="74D179A8" w14:textId="1D38F5C4" w:rsidR="00FE6D28" w:rsidRPr="00D57995" w:rsidRDefault="00FE6D28" w:rsidP="00883E6C">
      <w:pPr>
        <w:pStyle w:val="numberedpara"/>
        <w:numPr>
          <w:ilvl w:val="0"/>
          <w:numId w:val="24"/>
        </w:numPr>
        <w:spacing w:before="240"/>
        <w:ind w:left="1134" w:hanging="566"/>
        <w:jc w:val="both"/>
      </w:pPr>
      <w:r w:rsidRPr="00D57995">
        <w:t xml:space="preserve">the Operational Risk Charge for inwards reinsurance business (ORCI) defined in paragraph </w:t>
      </w:r>
      <w:r w:rsidR="00834ECD">
        <w:fldChar w:fldCharType="begin"/>
      </w:r>
      <w:r w:rsidR="00834ECD">
        <w:instrText xml:space="preserve"> REF _Ref309318236 \r \h </w:instrText>
      </w:r>
      <w:r w:rsidR="00834ECD">
        <w:fldChar w:fldCharType="separate"/>
      </w:r>
      <w:r w:rsidR="00FF686D">
        <w:t>9</w:t>
      </w:r>
      <w:r w:rsidR="00834ECD">
        <w:fldChar w:fldCharType="end"/>
      </w:r>
      <w:r w:rsidRPr="00D57995">
        <w:t xml:space="preserve">; and </w:t>
      </w:r>
    </w:p>
    <w:p w14:paraId="23352828" w14:textId="03B474DE" w:rsidR="00FE6D28" w:rsidRPr="00D57995" w:rsidRDefault="00FE6D28" w:rsidP="00883E6C">
      <w:pPr>
        <w:pStyle w:val="numberedpara"/>
        <w:numPr>
          <w:ilvl w:val="0"/>
          <w:numId w:val="24"/>
        </w:numPr>
        <w:spacing w:before="240"/>
        <w:ind w:left="1134" w:hanging="566"/>
        <w:jc w:val="both"/>
      </w:pPr>
      <w:r w:rsidRPr="00D57995">
        <w:t xml:space="preserve">the Operational Risk Charge for business that is not inwards reinsurance business (ORCNI) defined in paragraph </w:t>
      </w:r>
      <w:r w:rsidR="00834ECD">
        <w:fldChar w:fldCharType="begin"/>
      </w:r>
      <w:r w:rsidR="00834ECD">
        <w:instrText xml:space="preserve"> REF _Ref309318242 \r \h </w:instrText>
      </w:r>
      <w:r w:rsidR="00834ECD">
        <w:fldChar w:fldCharType="separate"/>
      </w:r>
      <w:r w:rsidR="00FF686D">
        <w:t>10</w:t>
      </w:r>
      <w:r w:rsidR="00834ECD">
        <w:fldChar w:fldCharType="end"/>
      </w:r>
      <w:r w:rsidRPr="00D57995">
        <w:t xml:space="preserve">.  </w:t>
      </w:r>
    </w:p>
    <w:p w14:paraId="49523F67" w14:textId="77777777" w:rsidR="00883E6C" w:rsidRDefault="00FE6D28" w:rsidP="00883E6C">
      <w:pPr>
        <w:pStyle w:val="numberedpara"/>
        <w:spacing w:before="240"/>
        <w:ind w:left="567"/>
        <w:jc w:val="both"/>
      </w:pPr>
      <w:r w:rsidRPr="00D57995">
        <w:t>The Operational Risk Charge for a Level 2 insurance group is calculated after consolidation of intra-group exposures.</w:t>
      </w:r>
    </w:p>
    <w:p w14:paraId="73572716" w14:textId="0B057A84" w:rsidR="00883E6C" w:rsidRPr="00D57995" w:rsidRDefault="00883E6C" w:rsidP="0093484B">
      <w:pPr>
        <w:pStyle w:val="numberedpara"/>
        <w:numPr>
          <w:ilvl w:val="0"/>
          <w:numId w:val="25"/>
        </w:numPr>
        <w:spacing w:before="240"/>
        <w:ind w:left="567" w:hanging="567"/>
        <w:jc w:val="both"/>
      </w:pPr>
      <w:r w:rsidRPr="00D57995">
        <w:t xml:space="preserve">For the purposes of paragraphs </w:t>
      </w:r>
      <w:r w:rsidRPr="00D57995">
        <w:fldChar w:fldCharType="begin"/>
      </w:r>
      <w:r w:rsidRPr="00D57995">
        <w:instrText xml:space="preserve"> REF _Ref309318236 \r \h  \* MERGEFORMAT </w:instrText>
      </w:r>
      <w:r w:rsidRPr="00D57995">
        <w:fldChar w:fldCharType="separate"/>
      </w:r>
      <w:r w:rsidR="00FF686D">
        <w:t>9</w:t>
      </w:r>
      <w:r w:rsidRPr="00D57995">
        <w:fldChar w:fldCharType="end"/>
      </w:r>
      <w:r w:rsidRPr="00D57995">
        <w:t xml:space="preserve"> and </w:t>
      </w:r>
      <w:r w:rsidRPr="00D57995">
        <w:fldChar w:fldCharType="begin"/>
      </w:r>
      <w:r w:rsidRPr="00D57995">
        <w:instrText xml:space="preserve"> REF _Ref309318242 \r \h  \* MERGEFORMAT </w:instrText>
      </w:r>
      <w:r w:rsidRPr="00D57995">
        <w:fldChar w:fldCharType="separate"/>
      </w:r>
      <w:r w:rsidR="00FF686D">
        <w:t>10</w:t>
      </w:r>
      <w:r w:rsidRPr="00D57995">
        <w:fldChar w:fldCharType="end"/>
      </w:r>
      <w:r w:rsidRPr="00D57995">
        <w:t>:</w:t>
      </w:r>
    </w:p>
    <w:p w14:paraId="71835A92" w14:textId="77777777" w:rsidR="00883E6C" w:rsidRPr="00D57995" w:rsidRDefault="00883E6C" w:rsidP="00883E6C">
      <w:pPr>
        <w:pStyle w:val="numberedpara"/>
        <w:numPr>
          <w:ilvl w:val="0"/>
          <w:numId w:val="26"/>
        </w:numPr>
        <w:spacing w:before="240"/>
        <w:ind w:left="1134" w:hanging="567"/>
        <w:jc w:val="both"/>
      </w:pPr>
      <w:r w:rsidRPr="00D57995">
        <w:t>GP</w:t>
      </w:r>
      <w:r w:rsidRPr="00D57995">
        <w:rPr>
          <w:vertAlign w:val="subscript"/>
        </w:rPr>
        <w:t>1</w:t>
      </w:r>
      <w:r w:rsidRPr="00D57995">
        <w:t xml:space="preserve"> is written premium revenue (gross of reinsurance) for the 12 months ending on the </w:t>
      </w:r>
      <w:r w:rsidRPr="00D57995">
        <w:rPr>
          <w:b/>
        </w:rPr>
        <w:t>reporting date</w:t>
      </w:r>
      <w:r w:rsidRPr="00D57995">
        <w:t>;</w:t>
      </w:r>
    </w:p>
    <w:p w14:paraId="57367C50" w14:textId="77777777" w:rsidR="00883E6C" w:rsidRPr="00D57995" w:rsidRDefault="00883E6C" w:rsidP="00883E6C">
      <w:pPr>
        <w:pStyle w:val="numberedpara"/>
        <w:numPr>
          <w:ilvl w:val="0"/>
          <w:numId w:val="26"/>
        </w:numPr>
        <w:ind w:left="1134" w:hanging="567"/>
        <w:jc w:val="both"/>
      </w:pPr>
      <w:r w:rsidRPr="00D57995">
        <w:lastRenderedPageBreak/>
        <w:t>GP</w:t>
      </w:r>
      <w:r w:rsidRPr="00D57995">
        <w:rPr>
          <w:vertAlign w:val="subscript"/>
        </w:rPr>
        <w:t>0</w:t>
      </w:r>
      <w:r w:rsidRPr="00D57995">
        <w:t xml:space="preserve"> is written premium revenue (gross of reinsurance) for the 12 months ending on the date 12 months prior to the reporting date;</w:t>
      </w:r>
    </w:p>
    <w:p w14:paraId="604BEAD8" w14:textId="77777777" w:rsidR="00883E6C" w:rsidRPr="00D57995" w:rsidRDefault="00883E6C" w:rsidP="00883E6C">
      <w:pPr>
        <w:pStyle w:val="numberedpara"/>
        <w:numPr>
          <w:ilvl w:val="0"/>
          <w:numId w:val="26"/>
        </w:numPr>
        <w:ind w:left="1134" w:hanging="567"/>
        <w:jc w:val="both"/>
      </w:pPr>
      <w:r w:rsidRPr="00D57995">
        <w:t>Written premium revenue is the amount charged in relation to accepting risk from the insured. For the purposes of the Operational Risk Charge calculation, this includes levies imposed by state and territory governments, and revenue relating to portfolio transfers and unclosed</w:t>
      </w:r>
      <w:r w:rsidRPr="00D57995">
        <w:rPr>
          <w:b/>
        </w:rPr>
        <w:t xml:space="preserve"> </w:t>
      </w:r>
      <w:r w:rsidRPr="00D57995">
        <w:t>business;</w:t>
      </w:r>
    </w:p>
    <w:p w14:paraId="5B7D3BE1" w14:textId="77777777" w:rsidR="00883E6C" w:rsidRPr="00D57995" w:rsidRDefault="00883E6C" w:rsidP="0093484B">
      <w:pPr>
        <w:pStyle w:val="numberedpara"/>
        <w:numPr>
          <w:ilvl w:val="0"/>
          <w:numId w:val="26"/>
        </w:numPr>
        <w:ind w:left="1134" w:hanging="567"/>
        <w:jc w:val="both"/>
      </w:pPr>
      <w:r w:rsidRPr="00D57995">
        <w:t>NL is the central estimate of insurance liabilities (net of reinsurance) determined in accordance with Prudential Standard GPS 340 Insurance Liability Valuation (GPS 340), at the reporting date</w:t>
      </w:r>
      <w:r w:rsidRPr="00D57995">
        <w:rPr>
          <w:rStyle w:val="FootnoteReference"/>
        </w:rPr>
        <w:footnoteReference w:id="1"/>
      </w:r>
      <w:r w:rsidRPr="00D57995">
        <w:t>; and</w:t>
      </w:r>
    </w:p>
    <w:p w14:paraId="7D8CAB8C" w14:textId="77777777" w:rsidR="00883E6C" w:rsidRPr="00D57995" w:rsidRDefault="00883E6C" w:rsidP="00883E6C">
      <w:pPr>
        <w:pStyle w:val="numberedpara"/>
        <w:numPr>
          <w:ilvl w:val="0"/>
          <w:numId w:val="26"/>
        </w:numPr>
        <w:ind w:left="1134" w:hanging="567"/>
        <w:jc w:val="both"/>
      </w:pPr>
      <w:r w:rsidRPr="00D57995">
        <w:t>|GP</w:t>
      </w:r>
      <w:r w:rsidRPr="00D57995">
        <w:rPr>
          <w:vertAlign w:val="subscript"/>
        </w:rPr>
        <w:t>1</w:t>
      </w:r>
      <w:r w:rsidRPr="00D57995">
        <w:t xml:space="preserve"> – GP</w:t>
      </w:r>
      <w:r w:rsidRPr="00D57995">
        <w:rPr>
          <w:vertAlign w:val="subscript"/>
        </w:rPr>
        <w:t>0</w:t>
      </w:r>
      <w:r w:rsidRPr="00D57995">
        <w:t>| is the absolute value of the difference between GP</w:t>
      </w:r>
      <w:r w:rsidRPr="00D57995">
        <w:rPr>
          <w:vertAlign w:val="subscript"/>
        </w:rPr>
        <w:t>1</w:t>
      </w:r>
      <w:r w:rsidRPr="00D57995">
        <w:t xml:space="preserve"> and GP</w:t>
      </w:r>
      <w:r w:rsidRPr="00D57995">
        <w:rPr>
          <w:vertAlign w:val="subscript"/>
        </w:rPr>
        <w:t>0.</w:t>
      </w:r>
    </w:p>
    <w:p w14:paraId="189E1CB0" w14:textId="77777777" w:rsidR="00883E6C" w:rsidRPr="00D57995" w:rsidRDefault="00883E6C" w:rsidP="00883E6C">
      <w:pPr>
        <w:pStyle w:val="numberedpara"/>
        <w:ind w:left="567"/>
        <w:jc w:val="both"/>
      </w:pPr>
      <w:r w:rsidRPr="00D57995">
        <w:t xml:space="preserve">All transfers of </w:t>
      </w:r>
      <w:r w:rsidRPr="00D57995">
        <w:rPr>
          <w:b/>
        </w:rPr>
        <w:t>insurance business</w:t>
      </w:r>
      <w:r w:rsidRPr="00D57995">
        <w:t xml:space="preserve"> made in accordance with the Act must be recognised in line with the corresponding requirements under </w:t>
      </w:r>
      <w:r w:rsidRPr="00D64854">
        <w:rPr>
          <w:b/>
        </w:rPr>
        <w:t>Australian Accounting Standards</w:t>
      </w:r>
      <w:r w:rsidRPr="00D57995">
        <w:rPr>
          <w:i/>
        </w:rPr>
        <w:t>.</w:t>
      </w:r>
      <w:r w:rsidRPr="00D57995">
        <w:t xml:space="preserve"> </w:t>
      </w:r>
    </w:p>
    <w:p w14:paraId="04BF451D" w14:textId="77777777" w:rsidR="00883E6C" w:rsidRPr="00D57995" w:rsidRDefault="00883E6C" w:rsidP="0093484B">
      <w:pPr>
        <w:pStyle w:val="numberedpara"/>
        <w:numPr>
          <w:ilvl w:val="0"/>
          <w:numId w:val="25"/>
        </w:numPr>
        <w:ind w:left="567" w:hanging="567"/>
        <w:jc w:val="both"/>
      </w:pPr>
      <w:bookmarkStart w:id="17" w:name="_Ref309318236"/>
      <w:r w:rsidRPr="00D57995">
        <w:t>The ORCI is calculated as follows:</w:t>
      </w:r>
      <w:bookmarkEnd w:id="17"/>
    </w:p>
    <w:p w14:paraId="430A710A" w14:textId="29A36E4E" w:rsidR="00BC3742" w:rsidRPr="00D57995" w:rsidRDefault="00BC3742" w:rsidP="00BC3742">
      <w:pPr>
        <w:pStyle w:val="numberedpara"/>
        <w:ind w:left="567"/>
        <w:jc w:val="both"/>
      </w:pPr>
      <w:r w:rsidRPr="00ED4360">
        <w:rPr>
          <w:noProof/>
        </w:rPr>
        <w:drawing>
          <wp:inline distT="0" distB="0" distL="0" distR="0" wp14:anchorId="46FA4D9A" wp14:editId="6503397C">
            <wp:extent cx="4738977" cy="168199"/>
            <wp:effectExtent l="0" t="0" r="0" b="3810"/>
            <wp:docPr id="14" name="Picture 14" descr="Operational Risk Charge for inward reinsurance business equals two percent times open curly bracket the maximum of open bracket GP1 and NL close bracket plus the maximum open bracket, starting at zero, of the absolute difference between GP1–GP0 minus 0.2 times GP0 close bracket close curly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Operational Risk Charge for inward reinsurance business equals two percent times open curly bracket the maximum of open bracket GP1 and NL close bracket plus the maximum open bracket, starting at zero, of the absolute difference between GP1–GP0 minus 0.2 times GP0 close bracket close curly bracket"/>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290" t="4409" r="3687" b="44078"/>
                    <a:stretch/>
                  </pic:blipFill>
                  <pic:spPr bwMode="auto">
                    <a:xfrm>
                      <a:off x="0" y="0"/>
                      <a:ext cx="5836258" cy="207144"/>
                    </a:xfrm>
                    <a:prstGeom prst="rect">
                      <a:avLst/>
                    </a:prstGeom>
                    <a:noFill/>
                    <a:ln>
                      <a:noFill/>
                    </a:ln>
                    <a:extLst>
                      <a:ext uri="{53640926-AAD7-44D8-BBD7-CCE9431645EC}">
                        <a14:shadowObscured xmlns:a14="http://schemas.microsoft.com/office/drawing/2010/main"/>
                      </a:ext>
                    </a:extLst>
                  </pic:spPr>
                </pic:pic>
              </a:graphicData>
            </a:graphic>
          </wp:inline>
        </w:drawing>
      </w:r>
    </w:p>
    <w:p w14:paraId="60CC08CA" w14:textId="77777777" w:rsidR="00883E6C" w:rsidRPr="00D57995" w:rsidRDefault="00883E6C" w:rsidP="00883E6C">
      <w:pPr>
        <w:pStyle w:val="numberedpara"/>
        <w:numPr>
          <w:ilvl w:val="0"/>
          <w:numId w:val="25"/>
        </w:numPr>
        <w:ind w:left="567" w:hanging="567"/>
        <w:jc w:val="both"/>
      </w:pPr>
      <w:bookmarkStart w:id="18" w:name="_Ref309318242"/>
      <w:r w:rsidRPr="00D57995">
        <w:t>The ORCNI is calculated as follows:</w:t>
      </w:r>
      <w:bookmarkEnd w:id="18"/>
    </w:p>
    <w:p w14:paraId="3BED8780" w14:textId="4987FFA4" w:rsidR="00710605" w:rsidRDefault="00710605" w:rsidP="00883E6C">
      <w:pPr>
        <w:pStyle w:val="numberedpara"/>
        <w:ind w:left="1134" w:hanging="567"/>
        <w:jc w:val="both"/>
      </w:pPr>
      <w:r w:rsidRPr="00ED4360">
        <w:rPr>
          <w:noProof/>
        </w:rPr>
        <w:drawing>
          <wp:inline distT="0" distB="0" distL="0" distR="0" wp14:anchorId="01671178" wp14:editId="7D18EBF2">
            <wp:extent cx="4850295" cy="191900"/>
            <wp:effectExtent l="0" t="0" r="0" b="0"/>
            <wp:docPr id="17" name="Picture 17" descr="Operational risk charge for business that is not inwards reinsurance business equals three percent times the maximum of GP1 and NL plus the maximum, starting at zero, of the absolute difference between GP1–GP0 minus 0.2 times 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Operational risk charge for business that is not inwards reinsurance business equals three percent times the maximum of GP1 and NL plus the maximum, starting at zero, of the absolute difference between GP1–GP0 minus 0.2 times GP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563" t="1" r="1271" b="41210"/>
                    <a:stretch/>
                  </pic:blipFill>
                  <pic:spPr bwMode="auto">
                    <a:xfrm>
                      <a:off x="0" y="0"/>
                      <a:ext cx="5268300" cy="208438"/>
                    </a:xfrm>
                    <a:prstGeom prst="rect">
                      <a:avLst/>
                    </a:prstGeom>
                    <a:noFill/>
                    <a:ln>
                      <a:noFill/>
                    </a:ln>
                    <a:extLst>
                      <a:ext uri="{53640926-AAD7-44D8-BBD7-CCE9431645EC}">
                        <a14:shadowObscured xmlns:a14="http://schemas.microsoft.com/office/drawing/2010/main"/>
                      </a:ext>
                    </a:extLst>
                  </pic:spPr>
                </pic:pic>
              </a:graphicData>
            </a:graphic>
          </wp:inline>
        </w:drawing>
      </w:r>
    </w:p>
    <w:p w14:paraId="7CFAAA47" w14:textId="77777777" w:rsidR="00883E6C" w:rsidRDefault="00883E6C" w:rsidP="00883E6C">
      <w:pPr>
        <w:pStyle w:val="Heading1"/>
      </w:pPr>
      <w:bookmarkStart w:id="19" w:name="_Toc110004665"/>
      <w:r>
        <w:t>Adjustments and exclusions</w:t>
      </w:r>
      <w:bookmarkEnd w:id="19"/>
    </w:p>
    <w:p w14:paraId="37635F07" w14:textId="77777777" w:rsidR="00883E6C" w:rsidRPr="00D57995" w:rsidRDefault="00883E6C" w:rsidP="00883E6C">
      <w:pPr>
        <w:pStyle w:val="BodyText"/>
        <w:numPr>
          <w:ilvl w:val="0"/>
          <w:numId w:val="25"/>
        </w:numPr>
        <w:spacing w:after="240"/>
        <w:ind w:left="567" w:hanging="567"/>
        <w:jc w:val="both"/>
        <w:rPr>
          <w:bCs/>
        </w:rPr>
      </w:pPr>
      <w:r w:rsidRPr="00D57995">
        <w:rPr>
          <w:bCs/>
        </w:rPr>
        <w:t>APRA may, by notice in writing to a regulated institution, adjust or exclude a specific requirement in this Prudential Standard in relation to that regulated institution.</w:t>
      </w:r>
    </w:p>
    <w:p w14:paraId="7A41657C" w14:textId="000C9F8A" w:rsidR="00883E6C" w:rsidRDefault="00390A26" w:rsidP="00390A26">
      <w:pPr>
        <w:pStyle w:val="Heading1"/>
      </w:pPr>
      <w:bookmarkStart w:id="20" w:name="_Toc110004666"/>
      <w:r>
        <w:t>Previous exercise of discretion</w:t>
      </w:r>
      <w:bookmarkEnd w:id="20"/>
      <w:r>
        <w:t xml:space="preserve"> </w:t>
      </w:r>
    </w:p>
    <w:p w14:paraId="7F510F2D" w14:textId="6E783BCB" w:rsidR="00390A26" w:rsidRPr="00390A26" w:rsidRDefault="00390A26" w:rsidP="00026DFE">
      <w:pPr>
        <w:pStyle w:val="BodyText1"/>
        <w:numPr>
          <w:ilvl w:val="0"/>
          <w:numId w:val="27"/>
        </w:numPr>
      </w:pPr>
      <w:r>
        <w:t xml:space="preserve">A regulated institution must contact APRA if it seeks to place reliance, for the purposes of complying with this Prudential Standard, on a previous exemption or other exercise of discretion made by APRA under a previous version of this Prudential Standard. </w:t>
      </w:r>
    </w:p>
    <w:sectPr w:rsidR="00390A26" w:rsidRPr="00390A26" w:rsidSect="000D63A8">
      <w:footerReference w:type="default" r:id="rId1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7642" w14:textId="77777777" w:rsidR="006B13F3" w:rsidRDefault="006B13F3" w:rsidP="006A6A52">
      <w:pPr>
        <w:spacing w:after="0"/>
      </w:pPr>
      <w:r>
        <w:separator/>
      </w:r>
    </w:p>
  </w:endnote>
  <w:endnote w:type="continuationSeparator" w:id="0">
    <w:p w14:paraId="06758DE2" w14:textId="77777777" w:rsidR="006B13F3" w:rsidRDefault="006B13F3"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2D15" w14:textId="3D7A73C5" w:rsidR="00BE05B1" w:rsidRPr="00842FBD" w:rsidRDefault="00A30A60" w:rsidP="00842FBD">
    <w:pPr>
      <w:pStyle w:val="Footer"/>
    </w:pPr>
    <w:fldSimple w:instr=" STYLEREF  &quot;PS No. field text&quot;  \* MERGEFORMAT ">
      <w:r w:rsidR="00863CC4">
        <w:rPr>
          <w:noProof/>
        </w:rPr>
        <w:t>GPS 118</w:t>
      </w:r>
    </w:fldSimple>
    <w:r w:rsidR="00BE05B1">
      <w:t xml:space="preserve"> - </w:t>
    </w:r>
    <w:r w:rsidR="00BE05B1" w:rsidRPr="00842FBD">
      <w:fldChar w:fldCharType="begin"/>
    </w:r>
    <w:r w:rsidR="00BE05B1" w:rsidRPr="00842FBD">
      <w:instrText xml:space="preserve"> PAGE </w:instrText>
    </w:r>
    <w:r w:rsidR="00BE05B1" w:rsidRPr="00842FBD">
      <w:fldChar w:fldCharType="separate"/>
    </w:r>
    <w:r w:rsidR="00BE05B1">
      <w:rPr>
        <w:noProof/>
      </w:rPr>
      <w:t>2</w:t>
    </w:r>
    <w:r w:rsidR="00BE05B1"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22A8" w14:textId="103FBCAB" w:rsidR="006B13F3" w:rsidRPr="00842FBD" w:rsidRDefault="00863CC4" w:rsidP="00842FBD">
    <w:pPr>
      <w:pStyle w:val="Footer"/>
    </w:pPr>
    <w:r>
      <w:fldChar w:fldCharType="begin"/>
    </w:r>
    <w:r>
      <w:instrText xml:space="preserve"> STYLEREF  "PS No. field text"  \* MERGEFORMAT </w:instrText>
    </w:r>
    <w:r>
      <w:fldChar w:fldCharType="separate"/>
    </w:r>
    <w:r>
      <w:rPr>
        <w:noProof/>
      </w:rPr>
      <w:t>GPS 118</w:t>
    </w:r>
    <w:r>
      <w:rPr>
        <w:noProof/>
      </w:rPr>
      <w:fldChar w:fldCharType="end"/>
    </w:r>
    <w:r w:rsidR="006B13F3">
      <w:t xml:space="preserve"> - </w:t>
    </w:r>
    <w:r w:rsidR="006B13F3" w:rsidRPr="00842FBD">
      <w:fldChar w:fldCharType="begin"/>
    </w:r>
    <w:r w:rsidR="006B13F3" w:rsidRPr="00842FBD">
      <w:instrText xml:space="preserve"> PAGE </w:instrText>
    </w:r>
    <w:r w:rsidR="006B13F3" w:rsidRPr="00842FBD">
      <w:fldChar w:fldCharType="separate"/>
    </w:r>
    <w:r w:rsidR="006B13F3">
      <w:rPr>
        <w:noProof/>
      </w:rPr>
      <w:t>5</w:t>
    </w:r>
    <w:r w:rsidR="006B13F3"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4FB7" w14:textId="77777777" w:rsidR="006B13F3" w:rsidRDefault="006B13F3" w:rsidP="006A6A52">
      <w:pPr>
        <w:spacing w:after="0"/>
      </w:pPr>
      <w:r>
        <w:separator/>
      </w:r>
    </w:p>
  </w:footnote>
  <w:footnote w:type="continuationSeparator" w:id="0">
    <w:p w14:paraId="5242DA4C" w14:textId="77777777" w:rsidR="006B13F3" w:rsidRDefault="006B13F3" w:rsidP="006A6A52">
      <w:pPr>
        <w:spacing w:after="0"/>
      </w:pPr>
      <w:r>
        <w:continuationSeparator/>
      </w:r>
    </w:p>
  </w:footnote>
  <w:footnote w:id="1">
    <w:p w14:paraId="26CA9986" w14:textId="0996FD7A" w:rsidR="00883E6C" w:rsidRPr="00D63773" w:rsidRDefault="00883E6C" w:rsidP="00D63773">
      <w:pPr>
        <w:pStyle w:val="Default"/>
        <w:ind w:left="567" w:hanging="567"/>
        <w:jc w:val="both"/>
        <w:rPr>
          <w:rFonts w:ascii="Times New Roman" w:hAnsi="Times New Roman" w:cs="Times New Roman"/>
          <w:sz w:val="20"/>
          <w:szCs w:val="20"/>
        </w:rPr>
      </w:pPr>
      <w:r w:rsidRPr="00904923">
        <w:rPr>
          <w:rStyle w:val="FootnoteReference"/>
          <w:rFonts w:ascii="Times New Roman" w:hAnsi="Times New Roman" w:cs="Times New Roman"/>
          <w:sz w:val="20"/>
          <w:szCs w:val="20"/>
        </w:rPr>
        <w:footnoteRef/>
      </w:r>
      <w:r w:rsidRPr="00904923">
        <w:rPr>
          <w:rFonts w:ascii="Times New Roman" w:hAnsi="Times New Roman" w:cs="Times New Roman"/>
          <w:sz w:val="20"/>
          <w:szCs w:val="20"/>
        </w:rPr>
        <w:t xml:space="preserve"> </w:t>
      </w:r>
      <w:r>
        <w:rPr>
          <w:rFonts w:ascii="Times New Roman" w:hAnsi="Times New Roman" w:cs="Times New Roman"/>
          <w:sz w:val="20"/>
          <w:szCs w:val="20"/>
        </w:rPr>
        <w:tab/>
      </w:r>
      <w:r w:rsidRPr="00180B24">
        <w:rPr>
          <w:rFonts w:ascii="Times New Roman" w:hAnsi="Times New Roman" w:cs="Times New Roman"/>
          <w:sz w:val="20"/>
          <w:szCs w:val="20"/>
        </w:rPr>
        <w:t xml:space="preserve">Under </w:t>
      </w:r>
      <w:r w:rsidRPr="00180B24">
        <w:rPr>
          <w:rFonts w:ascii="Times New Roman" w:hAnsi="Times New Roman" w:cs="Times New Roman"/>
          <w:i/>
          <w:sz w:val="20"/>
          <w:szCs w:val="20"/>
        </w:rPr>
        <w:t xml:space="preserve">Prudential Standard GPS 340 Insurance Liability Valuation, </w:t>
      </w:r>
      <w:r w:rsidRPr="00180B24">
        <w:rPr>
          <w:rFonts w:ascii="Times New Roman" w:hAnsi="Times New Roman" w:cs="Times New Roman"/>
          <w:sz w:val="20"/>
          <w:szCs w:val="20"/>
        </w:rPr>
        <w:t>a Level 2 insurance group may use accounting entries to determine its premiums liabilities, after allowing for necessary adjustments</w:t>
      </w:r>
      <w:r>
        <w:rPr>
          <w:rFonts w:ascii="Times New Roman" w:hAnsi="Times New Roman" w:cs="Times New Roman"/>
          <w:sz w:val="20"/>
          <w:szCs w:val="20"/>
        </w:rPr>
        <w:t xml:space="preserve"> made under GPS 340</w:t>
      </w:r>
      <w:r w:rsidRPr="00180B24">
        <w:rPr>
          <w:rFonts w:ascii="Times New Roman" w:hAnsi="Times New Roman" w:cs="Times New Roman"/>
          <w:sz w:val="20"/>
          <w:szCs w:val="20"/>
        </w:rPr>
        <w:t>. Where accounting entries have been used to determine net premiums liabilities, the Level 2 insurance group must use the accounting equivalent of net premiums liabilities instead of the net central estimate for the purposes of the Operational Risk C</w:t>
      </w:r>
      <w:r>
        <w:rPr>
          <w:rFonts w:ascii="Times New Roman" w:hAnsi="Times New Roman" w:cs="Times New Roman"/>
          <w:sz w:val="20"/>
          <w:szCs w:val="20"/>
        </w:rPr>
        <w:t>h</w:t>
      </w:r>
      <w:r w:rsidRPr="00180B24">
        <w:rPr>
          <w:rFonts w:ascii="Times New Roman" w:hAnsi="Times New Roman" w:cs="Times New Roman"/>
          <w:sz w:val="20"/>
          <w:szCs w:val="20"/>
        </w:rPr>
        <w:t>arge.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6B13F3" w14:paraId="75B73579" w14:textId="77777777" w:rsidTr="000D63A8">
      <w:tc>
        <w:tcPr>
          <w:tcW w:w="4264" w:type="dxa"/>
          <w:tcBorders>
            <w:top w:val="nil"/>
            <w:left w:val="nil"/>
            <w:bottom w:val="nil"/>
            <w:right w:val="nil"/>
          </w:tcBorders>
        </w:tcPr>
        <w:p w14:paraId="6906D96F" w14:textId="62F21849" w:rsidR="006B13F3" w:rsidRDefault="006B13F3" w:rsidP="00FF513E">
          <w:pPr>
            <w:pStyle w:val="Header"/>
          </w:pPr>
        </w:p>
      </w:tc>
      <w:tc>
        <w:tcPr>
          <w:tcW w:w="4264" w:type="dxa"/>
          <w:tcBorders>
            <w:top w:val="nil"/>
            <w:left w:val="nil"/>
            <w:bottom w:val="nil"/>
            <w:right w:val="nil"/>
          </w:tcBorders>
        </w:tcPr>
        <w:p w14:paraId="6ED4D333" w14:textId="7CDC0D71" w:rsidR="006B13F3" w:rsidRDefault="006B13F3" w:rsidP="000D63A8">
          <w:pPr>
            <w:pStyle w:val="Header"/>
          </w:pPr>
        </w:p>
      </w:tc>
    </w:tr>
  </w:tbl>
  <w:p w14:paraId="108B5D2B" w14:textId="77777777" w:rsidR="006B13F3" w:rsidRDefault="006B1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BE05B1" w14:paraId="0799B558" w14:textId="77777777" w:rsidTr="000D63A8">
      <w:tc>
        <w:tcPr>
          <w:tcW w:w="4264" w:type="dxa"/>
          <w:tcBorders>
            <w:top w:val="nil"/>
            <w:left w:val="nil"/>
            <w:bottom w:val="nil"/>
            <w:right w:val="nil"/>
          </w:tcBorders>
        </w:tcPr>
        <w:p w14:paraId="74857405" w14:textId="77777777" w:rsidR="00BE05B1" w:rsidRDefault="00BE05B1" w:rsidP="00FF513E">
          <w:pPr>
            <w:pStyle w:val="Header"/>
          </w:pPr>
        </w:p>
      </w:tc>
      <w:tc>
        <w:tcPr>
          <w:tcW w:w="4264" w:type="dxa"/>
          <w:tcBorders>
            <w:top w:val="nil"/>
            <w:left w:val="nil"/>
            <w:bottom w:val="nil"/>
            <w:right w:val="nil"/>
          </w:tcBorders>
        </w:tcPr>
        <w:p w14:paraId="3EC0DAE1" w14:textId="77777777" w:rsidR="00BE05B1" w:rsidRDefault="00BE05B1" w:rsidP="000D63A8">
          <w:pPr>
            <w:pStyle w:val="Header"/>
          </w:pPr>
          <w:r>
            <w:t>July 2023</w:t>
          </w:r>
        </w:p>
      </w:tc>
    </w:tr>
  </w:tbl>
  <w:p w14:paraId="2ECEAF03" w14:textId="77777777" w:rsidR="00BE05B1" w:rsidRDefault="00BE0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396125"/>
    <w:multiLevelType w:val="hybridMultilevel"/>
    <w:tmpl w:val="229E5FE2"/>
    <w:lvl w:ilvl="0" w:tplc="1EA63ACC">
      <w:start w:val="1"/>
      <w:numFmt w:val="lowerLetter"/>
      <w:lvlText w:val="(%1)"/>
      <w:lvlJc w:val="left"/>
      <w:pPr>
        <w:ind w:left="1080" w:hanging="360"/>
      </w:pPr>
      <w:rPr>
        <w:rFonts w:ascii="Times New Roman" w:hAnsi="Times New Roman" w:hint="default"/>
        <w:b w:val="0"/>
        <w:i w:val="0"/>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63545"/>
    <w:multiLevelType w:val="multilevel"/>
    <w:tmpl w:val="24AACF3C"/>
    <w:lvl w:ilvl="0">
      <w:start w:val="2"/>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F1739C"/>
    <w:multiLevelType w:val="hybridMultilevel"/>
    <w:tmpl w:val="0AE8E36C"/>
    <w:lvl w:ilvl="0" w:tplc="F6DCEB2A">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9415BAF"/>
    <w:multiLevelType w:val="hybridMultilevel"/>
    <w:tmpl w:val="21DC5958"/>
    <w:lvl w:ilvl="0" w:tplc="1C740028">
      <w:start w:val="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5C6856"/>
    <w:multiLevelType w:val="hybridMultilevel"/>
    <w:tmpl w:val="85F453F6"/>
    <w:lvl w:ilvl="0" w:tplc="3E70BA2A">
      <w:start w:val="1"/>
      <w:numFmt w:val="lowerRoman"/>
      <w:lvlText w:val="(%1)"/>
      <w:lvlJc w:val="left"/>
      <w:pPr>
        <w:ind w:left="1287" w:hanging="72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2"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EC67FE7"/>
    <w:multiLevelType w:val="hybridMultilevel"/>
    <w:tmpl w:val="3D50B558"/>
    <w:lvl w:ilvl="0" w:tplc="B43C12F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5D2F11A1"/>
    <w:multiLevelType w:val="hybridMultilevel"/>
    <w:tmpl w:val="19C0561A"/>
    <w:lvl w:ilvl="0" w:tplc="CD2A7CF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5FC55421"/>
    <w:multiLevelType w:val="hybridMultilevel"/>
    <w:tmpl w:val="8F0E7114"/>
    <w:lvl w:ilvl="0" w:tplc="0C090001">
      <w:start w:val="1"/>
      <w:numFmt w:val="decimal"/>
      <w:lvlText w:val="%1."/>
      <w:lvlJc w:val="left"/>
      <w:pPr>
        <w:ind w:left="360" w:hanging="360"/>
      </w:pPr>
      <w:rPr>
        <w:rFonts w:hint="default"/>
      </w:rPr>
    </w:lvl>
    <w:lvl w:ilvl="1" w:tplc="0C090003">
      <w:start w:val="1"/>
      <w:numFmt w:val="lowerLetter"/>
      <w:lvlText w:val="(%2)"/>
      <w:lvlJc w:val="left"/>
      <w:pPr>
        <w:ind w:left="1080" w:hanging="360"/>
      </w:pPr>
      <w:rPr>
        <w:rFonts w:ascii="Times New Roman" w:hAnsi="Times New Roman" w:hint="default"/>
        <w:b w:val="0"/>
        <w:i w:val="0"/>
        <w:sz w:val="24"/>
        <w:szCs w:val="24"/>
      </w:r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3"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09092652">
    <w:abstractNumId w:val="14"/>
  </w:num>
  <w:num w:numId="2" w16cid:durableId="480973587">
    <w:abstractNumId w:val="17"/>
  </w:num>
  <w:num w:numId="3" w16cid:durableId="85344692">
    <w:abstractNumId w:val="5"/>
  </w:num>
  <w:num w:numId="4" w16cid:durableId="870996319">
    <w:abstractNumId w:val="12"/>
  </w:num>
  <w:num w:numId="5" w16cid:durableId="2019773027">
    <w:abstractNumId w:val="25"/>
  </w:num>
  <w:num w:numId="6" w16cid:durableId="1426416497">
    <w:abstractNumId w:val="9"/>
  </w:num>
  <w:num w:numId="7" w16cid:durableId="1769233019">
    <w:abstractNumId w:val="24"/>
  </w:num>
  <w:num w:numId="8" w16cid:durableId="81266830">
    <w:abstractNumId w:val="20"/>
  </w:num>
  <w:num w:numId="9" w16cid:durableId="1914003481">
    <w:abstractNumId w:val="23"/>
  </w:num>
  <w:num w:numId="10" w16cid:durableId="395738654">
    <w:abstractNumId w:val="19"/>
  </w:num>
  <w:num w:numId="11" w16cid:durableId="2051497">
    <w:abstractNumId w:val="3"/>
  </w:num>
  <w:num w:numId="12" w16cid:durableId="1040664331">
    <w:abstractNumId w:val="0"/>
  </w:num>
  <w:num w:numId="13" w16cid:durableId="1103650515">
    <w:abstractNumId w:val="2"/>
  </w:num>
  <w:num w:numId="14" w16cid:durableId="900871125">
    <w:abstractNumId w:val="1"/>
  </w:num>
  <w:num w:numId="15" w16cid:durableId="1749695937">
    <w:abstractNumId w:val="18"/>
  </w:num>
  <w:num w:numId="16" w16cid:durableId="1970088820">
    <w:abstractNumId w:val="6"/>
  </w:num>
  <w:num w:numId="17" w16cid:durableId="606156261">
    <w:abstractNumId w:val="16"/>
  </w:num>
  <w:num w:numId="18" w16cid:durableId="1053231726">
    <w:abstractNumId w:val="15"/>
  </w:num>
  <w:num w:numId="19" w16cid:durableId="1468473992">
    <w:abstractNumId w:val="7"/>
  </w:num>
  <w:num w:numId="20" w16cid:durableId="727652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17122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1829603">
    <w:abstractNumId w:val="22"/>
  </w:num>
  <w:num w:numId="23" w16cid:durableId="635992051">
    <w:abstractNumId w:val="13"/>
  </w:num>
  <w:num w:numId="24" w16cid:durableId="1178739722">
    <w:abstractNumId w:val="8"/>
  </w:num>
  <w:num w:numId="25" w16cid:durableId="480655053">
    <w:abstractNumId w:val="10"/>
  </w:num>
  <w:num w:numId="26" w16cid:durableId="726104904">
    <w:abstractNumId w:val="4"/>
  </w:num>
  <w:num w:numId="27" w16cid:durableId="1321811552">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50728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3231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F3"/>
    <w:rsid w:val="0000183A"/>
    <w:rsid w:val="00001D43"/>
    <w:rsid w:val="00026DFE"/>
    <w:rsid w:val="000518B9"/>
    <w:rsid w:val="0006337F"/>
    <w:rsid w:val="000816B6"/>
    <w:rsid w:val="00087D3E"/>
    <w:rsid w:val="000D63A8"/>
    <w:rsid w:val="000D7A9C"/>
    <w:rsid w:val="00110917"/>
    <w:rsid w:val="00110A0F"/>
    <w:rsid w:val="0013237B"/>
    <w:rsid w:val="00141CA6"/>
    <w:rsid w:val="00173A04"/>
    <w:rsid w:val="00182FA1"/>
    <w:rsid w:val="00190037"/>
    <w:rsid w:val="001C297B"/>
    <w:rsid w:val="001C755C"/>
    <w:rsid w:val="001E7EA9"/>
    <w:rsid w:val="001F6B8D"/>
    <w:rsid w:val="002500F9"/>
    <w:rsid w:val="0029455F"/>
    <w:rsid w:val="002A07F8"/>
    <w:rsid w:val="0037343B"/>
    <w:rsid w:val="0038413F"/>
    <w:rsid w:val="00390A26"/>
    <w:rsid w:val="00391AD7"/>
    <w:rsid w:val="003936EA"/>
    <w:rsid w:val="003B52EB"/>
    <w:rsid w:val="003C46D7"/>
    <w:rsid w:val="003D5032"/>
    <w:rsid w:val="004323FD"/>
    <w:rsid w:val="00453E3A"/>
    <w:rsid w:val="004560E3"/>
    <w:rsid w:val="004776D4"/>
    <w:rsid w:val="0048511B"/>
    <w:rsid w:val="004A593E"/>
    <w:rsid w:val="004C3D07"/>
    <w:rsid w:val="004F2AC1"/>
    <w:rsid w:val="005050E8"/>
    <w:rsid w:val="00506079"/>
    <w:rsid w:val="00521673"/>
    <w:rsid w:val="00534FFE"/>
    <w:rsid w:val="00544072"/>
    <w:rsid w:val="00551C22"/>
    <w:rsid w:val="00576882"/>
    <w:rsid w:val="005A75C6"/>
    <w:rsid w:val="005B6DC2"/>
    <w:rsid w:val="005E1E75"/>
    <w:rsid w:val="005E5663"/>
    <w:rsid w:val="005E5910"/>
    <w:rsid w:val="005F6F74"/>
    <w:rsid w:val="00622480"/>
    <w:rsid w:val="00647D58"/>
    <w:rsid w:val="00656285"/>
    <w:rsid w:val="00656D42"/>
    <w:rsid w:val="00684F73"/>
    <w:rsid w:val="00696E43"/>
    <w:rsid w:val="006A6A52"/>
    <w:rsid w:val="006B13F3"/>
    <w:rsid w:val="006B4C94"/>
    <w:rsid w:val="006C06E6"/>
    <w:rsid w:val="006E5DD8"/>
    <w:rsid w:val="007031F4"/>
    <w:rsid w:val="00710605"/>
    <w:rsid w:val="00725AA6"/>
    <w:rsid w:val="00745B81"/>
    <w:rsid w:val="00776D66"/>
    <w:rsid w:val="00777ACD"/>
    <w:rsid w:val="00787FA9"/>
    <w:rsid w:val="007A2B5C"/>
    <w:rsid w:val="007A33E6"/>
    <w:rsid w:val="007A53AC"/>
    <w:rsid w:val="007D2D7F"/>
    <w:rsid w:val="00834ECD"/>
    <w:rsid w:val="00842FBD"/>
    <w:rsid w:val="0086194F"/>
    <w:rsid w:val="00863CC4"/>
    <w:rsid w:val="00867092"/>
    <w:rsid w:val="00883E6C"/>
    <w:rsid w:val="00887222"/>
    <w:rsid w:val="008C3D9F"/>
    <w:rsid w:val="008D5179"/>
    <w:rsid w:val="008D76C5"/>
    <w:rsid w:val="009101E1"/>
    <w:rsid w:val="0093484B"/>
    <w:rsid w:val="00937CCB"/>
    <w:rsid w:val="00971180"/>
    <w:rsid w:val="009727F9"/>
    <w:rsid w:val="009871FB"/>
    <w:rsid w:val="009B0A33"/>
    <w:rsid w:val="009B28A5"/>
    <w:rsid w:val="009B6212"/>
    <w:rsid w:val="009C5368"/>
    <w:rsid w:val="009C62A9"/>
    <w:rsid w:val="009C77A0"/>
    <w:rsid w:val="009D467A"/>
    <w:rsid w:val="009E1766"/>
    <w:rsid w:val="009E76B1"/>
    <w:rsid w:val="009F7699"/>
    <w:rsid w:val="00A244FC"/>
    <w:rsid w:val="00A30A60"/>
    <w:rsid w:val="00A50372"/>
    <w:rsid w:val="00A5159D"/>
    <w:rsid w:val="00A51CD1"/>
    <w:rsid w:val="00A52D28"/>
    <w:rsid w:val="00A5370E"/>
    <w:rsid w:val="00A63A2B"/>
    <w:rsid w:val="00A71022"/>
    <w:rsid w:val="00A97802"/>
    <w:rsid w:val="00AC2517"/>
    <w:rsid w:val="00AC3B8E"/>
    <w:rsid w:val="00AC5549"/>
    <w:rsid w:val="00AE1650"/>
    <w:rsid w:val="00B04B20"/>
    <w:rsid w:val="00B47BD7"/>
    <w:rsid w:val="00B6068B"/>
    <w:rsid w:val="00B766FA"/>
    <w:rsid w:val="00B872F5"/>
    <w:rsid w:val="00B94C15"/>
    <w:rsid w:val="00BA4C45"/>
    <w:rsid w:val="00BA6D10"/>
    <w:rsid w:val="00BC2D08"/>
    <w:rsid w:val="00BC3742"/>
    <w:rsid w:val="00BE05B1"/>
    <w:rsid w:val="00BE59F9"/>
    <w:rsid w:val="00BF6CDF"/>
    <w:rsid w:val="00C0120F"/>
    <w:rsid w:val="00C14367"/>
    <w:rsid w:val="00C21A2A"/>
    <w:rsid w:val="00C302FA"/>
    <w:rsid w:val="00C37F3C"/>
    <w:rsid w:val="00C5686C"/>
    <w:rsid w:val="00C61FCE"/>
    <w:rsid w:val="00C6788C"/>
    <w:rsid w:val="00C67A76"/>
    <w:rsid w:val="00C74819"/>
    <w:rsid w:val="00C86748"/>
    <w:rsid w:val="00CA6032"/>
    <w:rsid w:val="00CA6CB3"/>
    <w:rsid w:val="00CB7762"/>
    <w:rsid w:val="00CF72FA"/>
    <w:rsid w:val="00D01427"/>
    <w:rsid w:val="00D124EA"/>
    <w:rsid w:val="00D22147"/>
    <w:rsid w:val="00D3278A"/>
    <w:rsid w:val="00D360FA"/>
    <w:rsid w:val="00D47051"/>
    <w:rsid w:val="00D62EFA"/>
    <w:rsid w:val="00D63773"/>
    <w:rsid w:val="00D64854"/>
    <w:rsid w:val="00D64906"/>
    <w:rsid w:val="00D857C7"/>
    <w:rsid w:val="00DA3651"/>
    <w:rsid w:val="00DC52E3"/>
    <w:rsid w:val="00DD1BB1"/>
    <w:rsid w:val="00DE3174"/>
    <w:rsid w:val="00DF539C"/>
    <w:rsid w:val="00E05BC3"/>
    <w:rsid w:val="00E07F40"/>
    <w:rsid w:val="00E15497"/>
    <w:rsid w:val="00E16DD9"/>
    <w:rsid w:val="00E201A8"/>
    <w:rsid w:val="00E83A76"/>
    <w:rsid w:val="00E90C89"/>
    <w:rsid w:val="00E96B6D"/>
    <w:rsid w:val="00EA6173"/>
    <w:rsid w:val="00EB773E"/>
    <w:rsid w:val="00EC5653"/>
    <w:rsid w:val="00EE55C5"/>
    <w:rsid w:val="00F04878"/>
    <w:rsid w:val="00F16D46"/>
    <w:rsid w:val="00F6431E"/>
    <w:rsid w:val="00F7706D"/>
    <w:rsid w:val="00F81DDA"/>
    <w:rsid w:val="00F86281"/>
    <w:rsid w:val="00FA0133"/>
    <w:rsid w:val="00FA5345"/>
    <w:rsid w:val="00FB3240"/>
    <w:rsid w:val="00FE6D28"/>
    <w:rsid w:val="00FF0F1C"/>
    <w:rsid w:val="00FF513E"/>
    <w:rsid w:val="00FF6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E0FFEA"/>
  <w15:docId w15:val="{57DDFD66-9F0D-4241-8BE4-C9B978B0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customStyle="1" w:styleId="numberedpara">
    <w:name w:val="numbered para"/>
    <w:basedOn w:val="Normal"/>
    <w:rsid w:val="00FE6D28"/>
    <w:rPr>
      <w:rFonts w:eastAsia="Times New Roman"/>
      <w:snapToGrid w:val="0"/>
      <w:color w:val="000000"/>
      <w:lang w:eastAsia="en-US"/>
    </w:rPr>
  </w:style>
  <w:style w:type="paragraph" w:styleId="BodyText">
    <w:name w:val="Body Text"/>
    <w:basedOn w:val="Normal"/>
    <w:link w:val="BodyTextChar"/>
    <w:uiPriority w:val="49"/>
    <w:semiHidden/>
    <w:unhideWhenUsed/>
    <w:rsid w:val="00FE6D28"/>
    <w:pPr>
      <w:spacing w:after="120"/>
    </w:pPr>
  </w:style>
  <w:style w:type="character" w:customStyle="1" w:styleId="BodyTextChar">
    <w:name w:val="Body Text Char"/>
    <w:basedOn w:val="DefaultParagraphFont"/>
    <w:link w:val="BodyText"/>
    <w:uiPriority w:val="49"/>
    <w:semiHidden/>
    <w:rsid w:val="00FE6D28"/>
  </w:style>
  <w:style w:type="paragraph" w:customStyle="1" w:styleId="Default">
    <w:name w:val="Default"/>
    <w:rsid w:val="00883E6C"/>
    <w:pPr>
      <w:autoSpaceDE w:val="0"/>
      <w:autoSpaceDN w:val="0"/>
      <w:adjustRightInd w:val="0"/>
      <w:spacing w:after="0"/>
    </w:pPr>
    <w:rPr>
      <w:rFonts w:ascii="Arial" w:eastAsia="Times New Roman" w:hAnsi="Arial" w:cs="Arial"/>
      <w:color w:val="000000"/>
    </w:rPr>
  </w:style>
  <w:style w:type="paragraph" w:styleId="ListParagraph">
    <w:name w:val="List Paragraph"/>
    <w:basedOn w:val="Normal"/>
    <w:link w:val="ListParagraphChar"/>
    <w:uiPriority w:val="34"/>
    <w:qFormat/>
    <w:rsid w:val="00FA0133"/>
    <w:pPr>
      <w:spacing w:after="0"/>
      <w:ind w:left="720"/>
      <w:contextualSpacing/>
      <w:jc w:val="both"/>
    </w:pPr>
    <w:rPr>
      <w:rFonts w:eastAsia="Times New Roman"/>
      <w:szCs w:val="20"/>
    </w:rPr>
  </w:style>
  <w:style w:type="character" w:customStyle="1" w:styleId="ListParagraphChar">
    <w:name w:val="List Paragraph Char"/>
    <w:link w:val="ListParagraph"/>
    <w:uiPriority w:val="34"/>
    <w:locked/>
    <w:rsid w:val="00FA0133"/>
    <w:rPr>
      <w:rFonts w:eastAsia="Times New Roman"/>
      <w:szCs w:val="20"/>
    </w:rPr>
  </w:style>
  <w:style w:type="paragraph" w:customStyle="1" w:styleId="ActTitle">
    <w:name w:val="Act Title"/>
    <w:basedOn w:val="Normal"/>
    <w:next w:val="Normal"/>
    <w:rsid w:val="00FA0133"/>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FA0133"/>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Prudential%20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65FAC33A6E4320B2A9030620824A21"/>
        <w:category>
          <w:name w:val="General"/>
          <w:gallery w:val="placeholder"/>
        </w:category>
        <w:types>
          <w:type w:val="bbPlcHdr"/>
        </w:types>
        <w:behaviors>
          <w:behavior w:val="content"/>
        </w:behaviors>
        <w:guid w:val="{833AA6DF-335A-45B8-80D3-A5AE8BEE273B}"/>
      </w:docPartPr>
      <w:docPartBody>
        <w:p w:rsidR="00592523" w:rsidRDefault="00E43291" w:rsidP="00E43291">
          <w:pPr>
            <w:pStyle w:val="D965FAC33A6E4320B2A9030620824A21"/>
          </w:pPr>
          <w:r>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91"/>
    <w:rsid w:val="00592523"/>
    <w:rsid w:val="00E43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91"/>
  </w:style>
  <w:style w:type="paragraph" w:customStyle="1" w:styleId="D965FAC33A6E4320B2A9030620824A21">
    <w:name w:val="D965FAC33A6E4320B2A9030620824A21"/>
    <w:rsid w:val="00E43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4510C-2D40-48EB-9E74-EEB40EEA7415}">
  <ds:schemaRefs>
    <ds:schemaRef ds:uri="http://schemas.openxmlformats.org/officeDocument/2006/bibliography"/>
  </ds:schemaRefs>
</ds:datastoreItem>
</file>

<file path=customXml/itemProps2.xml><?xml version="1.0" encoding="utf-8"?>
<ds:datastoreItem xmlns:ds="http://schemas.openxmlformats.org/officeDocument/2006/customXml" ds:itemID="{834FACA5-FF25-44EB-9F22-13BC540CEFF1}">
  <ds:schemaRef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79530295-9eea-494d-b82a-9ff74409eafc"/>
    <ds:schemaRef ds:uri="5664482d-1961-4d38-bfc2-b109b341883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4.xml><?xml version="1.0" encoding="utf-8"?>
<ds:datastoreItem xmlns:ds="http://schemas.openxmlformats.org/officeDocument/2006/customXml" ds:itemID="{37A7E0F5-6A0B-4D14-803C-5518D68B6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Prudential%20Standard.dotx</Template>
  <TotalTime>1</TotalTime>
  <Pages>6</Pages>
  <Words>1048</Words>
  <Characters>5703</Characters>
  <Application>Microsoft Office Word</Application>
  <DocSecurity>0</DocSecurity>
  <Lines>158</Lines>
  <Paragraphs>90</Paragraphs>
  <ScaleCrop>false</ScaleCrop>
  <HeadingPairs>
    <vt:vector size="2" baseType="variant">
      <vt:variant>
        <vt:lpstr>Title</vt:lpstr>
      </vt:variant>
      <vt:variant>
        <vt:i4>1</vt:i4>
      </vt:variant>
    </vt:vector>
  </HeadingPairs>
  <TitlesOfParts>
    <vt:vector size="1" baseType="lpstr">
      <vt:lpstr>Prudential Standard GPS 118</vt:lpstr>
    </vt:vector>
  </TitlesOfParts>
  <Company>APRA</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Prudential Standard GPS 118</dc:title>
  <dc:creator>Tanja Mirkovic</dc:creator>
  <cp:keywords>[SEC=UNOFFICIAL]</cp:keywords>
  <cp:lastModifiedBy>Toni Michalis</cp:lastModifiedBy>
  <cp:revision>2</cp:revision>
  <dcterms:created xsi:type="dcterms:W3CDTF">2023-05-31T11:47:00Z</dcterms:created>
  <dcterms:modified xsi:type="dcterms:W3CDTF">2023-05-31T11:47:00Z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Originator_Hash_SHA1">
    <vt:lpwstr>C3AD57350F36D8E1BD75F8F67CB06D435C9C43CA</vt:lpwstr>
  </property>
  <property fmtid="{D5CDD505-2E9C-101B-9397-08002B2CF9AE}" pid="8" name="PM_Hash_Version">
    <vt:lpwstr>2022.1</vt:lpwstr>
  </property>
  <property fmtid="{D5CDD505-2E9C-101B-9397-08002B2CF9AE}" pid="9" name="PM_Hash_Salt">
    <vt:lpwstr>CC27D0E4488B034C4CE73FD3BBACD815</vt:lpwstr>
  </property>
  <property fmtid="{D5CDD505-2E9C-101B-9397-08002B2CF9AE}" pid="10" name="PM_Hash_SHA1">
    <vt:lpwstr>4CD54493B3C31BD5D3EA59BEA7A0A9D1C3CAE822</vt:lpwstr>
  </property>
  <property fmtid="{D5CDD505-2E9C-101B-9397-08002B2CF9AE}" pid="11" name="PM_SecurityClassification_Prev">
    <vt:lpwstr>UNOFFICIAL</vt:lpwstr>
  </property>
  <property fmtid="{D5CDD505-2E9C-101B-9397-08002B2CF9AE}" pid="12" name="PM_Qualifier_Prev">
    <vt:lpwstr/>
  </property>
  <property fmtid="{D5CDD505-2E9C-101B-9397-08002B2CF9AE}" pid="13" name="PM_Hash_Salt_Prev">
    <vt:lpwstr>29F746E705D16108F8BEDB634EB6D154</vt:lpwstr>
  </property>
  <property fmtid="{D5CDD505-2E9C-101B-9397-08002B2CF9AE}" pid="14" name="PM_Caveats_Count">
    <vt:lpwstr>0</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Value_Header">
    <vt:lpwstr>Personal</vt:lpwstr>
  </property>
  <property fmtid="{D5CDD505-2E9C-101B-9397-08002B2CF9AE}" pid="17" name="PM_ProtectiveMarkingValue_Footer">
    <vt:lpwstr>Personal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2018.3</vt:lpwstr>
  </property>
  <property fmtid="{D5CDD505-2E9C-101B-9397-08002B2CF9AE}" pid="21" name="PM_Originating_FileId">
    <vt:lpwstr>9CDD4A8A38FF4D3681F9F9DB8CFE362E</vt:lpwstr>
  </property>
  <property fmtid="{D5CDD505-2E9C-101B-9397-08002B2CF9AE}" pid="22" name="PM_OriginationTimeStamp">
    <vt:lpwstr>2022-09-13T00:23:58Z</vt:lpwstr>
  </property>
  <property fmtid="{D5CDD505-2E9C-101B-9397-08002B2CF9AE}" pid="23" name="ContentTypeId">
    <vt:lpwstr>0x010100E5E831F15EEA47429C4A0837D916ED91</vt:lpwstr>
  </property>
  <property fmtid="{D5CDD505-2E9C-101B-9397-08002B2CF9AE}" pid="24" name="APRACostCentre">
    <vt:lpwstr/>
  </property>
  <property fmtid="{D5CDD505-2E9C-101B-9397-08002B2CF9AE}" pid="25" name="IT system type">
    <vt:lpwstr/>
  </property>
  <property fmtid="{D5CDD505-2E9C-101B-9397-08002B2CF9AE}" pid="26" name="APRACategory">
    <vt:lpwstr/>
  </property>
  <property fmtid="{D5CDD505-2E9C-101B-9397-08002B2CF9AE}" pid="27" name="APRAPeerGroup">
    <vt:lpwstr/>
  </property>
  <property fmtid="{D5CDD505-2E9C-101B-9397-08002B2CF9AE}" pid="28" name="APRADocumentType">
    <vt:lpwstr>108;#Prudential standard|6ce5a155-9ab2-41e3-9b2a-5baab4b7f1d1</vt:lpwstr>
  </property>
  <property fmtid="{D5CDD505-2E9C-101B-9397-08002B2CF9AE}" pid="29" name="APRAStatus">
    <vt:lpwstr>1;#Draft|0e1556d2-3fe8-443a-ada7-3620563b46b3</vt:lpwstr>
  </property>
  <property fmtid="{D5CDD505-2E9C-101B-9397-08002B2CF9AE}" pid="30" name="APRAPRSG">
    <vt:lpwstr/>
  </property>
  <property fmtid="{D5CDD505-2E9C-101B-9397-08002B2CF9AE}" pid="31" name="APRAReportingGroup">
    <vt:lpwstr/>
  </property>
  <property fmtid="{D5CDD505-2E9C-101B-9397-08002B2CF9AE}" pid="32" name="APRAActivity">
    <vt:lpwstr>141;#Prudential standard development|fbeb3364-1425-47e2-8200-3b7f3a245dfe</vt:lpwstr>
  </property>
  <property fmtid="{D5CDD505-2E9C-101B-9397-08002B2CF9AE}" pid="33" name="APRAEntityAdviceSupport">
    <vt:lpwstr/>
  </property>
  <property fmtid="{D5CDD505-2E9C-101B-9397-08002B2CF9AE}" pid="34" name="APRATemplateType">
    <vt:lpwstr>23;#Policy|f1d41970-be64-43ea-8d6f-300cb1384ee7</vt:lpwstr>
  </property>
  <property fmtid="{D5CDD505-2E9C-101B-9397-08002B2CF9AE}" pid="35" name="APRAYear">
    <vt:lpwstr>276;#2023|d5e8f808-70b3-4121-8a32-87755a7b2c91</vt:lpwstr>
  </property>
  <property fmtid="{D5CDD505-2E9C-101B-9397-08002B2CF9AE}" pid="36" name="APRAIndustry">
    <vt:lpwstr>5;#GI|9e6b8d6f-8851-e311-9e2e-005056b54f10;#6;#LI|aa6b8d6f-8851-e311-9e2e-005056b54f10;#23;#PHI|10657f9d-7e9a-e511-8d41-005056b54f10</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_dlc_DocIdItemGuid">
    <vt:lpwstr>c28f2889-d05e-4c0f-bc8e-ebbc5649072d</vt:lpwstr>
  </property>
  <property fmtid="{D5CDD505-2E9C-101B-9397-08002B2CF9AE}" pid="42" name="PM_Note">
    <vt:lpwstr/>
  </property>
  <property fmtid="{D5CDD505-2E9C-101B-9397-08002B2CF9AE}" pid="43" name="PM_Markers">
    <vt:lpwstr/>
  </property>
  <property fmtid="{D5CDD505-2E9C-101B-9397-08002B2CF9AE}" pid="44" name="PM_Display">
    <vt:lpwstr>Personal</vt:lpwstr>
  </property>
  <property fmtid="{D5CDD505-2E9C-101B-9397-08002B2CF9AE}" pid="45" name="PM_OriginatorUserAccountName_SHA256">
    <vt:lpwstr>6E3018F28A186D2E5FF5207C041E7A82E907C3008E071057026A53705873B72E</vt:lpwstr>
  </property>
  <property fmtid="{D5CDD505-2E9C-101B-9397-08002B2CF9AE}" pid="46" name="PM_OriginatorDomainName_SHA256">
    <vt:lpwstr>ECBDE2B44A971754412B3FB70606937A119CC0D4B6C1B658A40FBD41C30BE3EC</vt:lpwstr>
  </property>
  <property fmtid="{D5CDD505-2E9C-101B-9397-08002B2CF9AE}" pid="47" name="IsLocked">
    <vt:lpwstr>Yes</vt:lpwstr>
  </property>
  <property fmtid="{D5CDD505-2E9C-101B-9397-08002B2CF9AE}" pid="48" name="RecordPoint_WorkflowType">
    <vt:lpwstr>ActiveSubmitStub</vt:lpwstr>
  </property>
  <property fmtid="{D5CDD505-2E9C-101B-9397-08002B2CF9AE}" pid="49" name="RecordPoint_ActiveItemSiteId">
    <vt:lpwstr>{84af826e-2518-4772-bac2-7b8081da2087}</vt:lpwstr>
  </property>
  <property fmtid="{D5CDD505-2E9C-101B-9397-08002B2CF9AE}" pid="50" name="RecordPoint_ActiveItemListId">
    <vt:lpwstr>{fc59aca8-863e-4c39-b69a-97632099c4a0}</vt:lpwstr>
  </property>
  <property fmtid="{D5CDD505-2E9C-101B-9397-08002B2CF9AE}" pid="51" name="RecordPoint_ActiveItemUniqueId">
    <vt:lpwstr>{c28f2889-d05e-4c0f-bc8e-ebbc5649072d}</vt:lpwstr>
  </property>
  <property fmtid="{D5CDD505-2E9C-101B-9397-08002B2CF9AE}" pid="52" name="RecordPoint_ActiveItemWebId">
    <vt:lpwstr>{e3b62e1b-357d-4d42-becf-206c8aada0ef}</vt:lpwstr>
  </property>
  <property fmtid="{D5CDD505-2E9C-101B-9397-08002B2CF9AE}" pid="53" name="RecordPoint_RecordNumberSubmitted">
    <vt:lpwstr/>
  </property>
  <property fmtid="{D5CDD505-2E9C-101B-9397-08002B2CF9AE}" pid="54" name="RecordPoint_SubmissionCompleted">
    <vt:lpwstr/>
  </property>
  <property fmtid="{D5CDD505-2E9C-101B-9397-08002B2CF9AE}" pid="55" name="PMUuid">
    <vt:lpwstr>v=2022.2;d=gov.au;g=65417EFE-F3B9-5E66-BD91-1E689FEC2EA6</vt:lpwstr>
  </property>
  <property fmtid="{D5CDD505-2E9C-101B-9397-08002B2CF9AE}" pid="56" name="MSIP_Label_bfd5df59-fc4a-42eb-ac4e-d9fda266b5d9_SetDate">
    <vt:lpwstr>2022-09-13T00:23:58Z</vt:lpwstr>
  </property>
  <property fmtid="{D5CDD505-2E9C-101B-9397-08002B2CF9AE}" pid="57" name="MSIP_Label_bfd5df59-fc4a-42eb-ac4e-d9fda266b5d9_Enabled">
    <vt:lpwstr>true</vt:lpwstr>
  </property>
  <property fmtid="{D5CDD505-2E9C-101B-9397-08002B2CF9AE}" pid="58" name="MSIP_Label_bfd5df59-fc4a-42eb-ac4e-d9fda266b5d9_Name">
    <vt:lpwstr>UNOFFICIAL</vt:lpwstr>
  </property>
  <property fmtid="{D5CDD505-2E9C-101B-9397-08002B2CF9AE}" pid="59" name="MSIP_Label_bfd5df59-fc4a-42eb-ac4e-d9fda266b5d9_SiteId">
    <vt:lpwstr>c05e3ffd-b491-4431-9809-e61d4dc78816</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MSIP_Label_bfd5df59-fc4a-42eb-ac4e-d9fda266b5d9_ActionId">
    <vt:lpwstr>177f14e6539b41e4897fce103ece8f8f</vt:lpwstr>
  </property>
  <property fmtid="{D5CDD505-2E9C-101B-9397-08002B2CF9AE}" pid="64" name="PMHMAC">
    <vt:lpwstr>v=2022.1;a=SHA256;h=F0D4C098EBE8D809E600FD1E26D0189012A79764BA4C8B8B769F4835C710A28F</vt:lpwstr>
  </property>
  <property fmtid="{D5CDD505-2E9C-101B-9397-08002B2CF9AE}" pid="65" name="MSIP_Label_bfd5df59-fc4a-42eb-ac4e-d9fda266b5d9_ContentBits">
    <vt:lpwstr>0</vt:lpwstr>
  </property>
  <property fmtid="{D5CDD505-2E9C-101B-9397-08002B2CF9AE}" pid="66" name="MSIP_Label_bfd5df59-fc4a-42eb-ac4e-d9fda266b5d9_Method">
    <vt:lpwstr>Privileged</vt:lpwstr>
  </property>
  <property fmtid="{D5CDD505-2E9C-101B-9397-08002B2CF9AE}" pid="67" name="MediaServiceImageTags">
    <vt:lpwstr/>
  </property>
</Properties>
</file>