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E8422" w14:textId="6D6420B2" w:rsidR="00185E12" w:rsidRPr="009D7EB6" w:rsidRDefault="00BD3B2B" w:rsidP="00185E12">
      <w:pPr>
        <w:rPr>
          <w:rFonts w:ascii="Arial" w:hAnsi="Arial" w:cs="Arial"/>
        </w:rPr>
      </w:pPr>
      <w:bookmarkStart w:id="0" w:name="_Hlk134610298"/>
      <w:r>
        <w:rPr>
          <w:rFonts w:ascii="Arial" w:hAnsi="Arial" w:cs="Arial"/>
        </w:rPr>
        <w:t xml:space="preserve"> </w:t>
      </w:r>
      <w:r w:rsidR="00185E12" w:rsidRPr="009D7EB6">
        <w:rPr>
          <w:rFonts w:ascii="Arial" w:hAnsi="Arial" w:cs="Arial"/>
          <w:noProof/>
        </w:rPr>
        <w:drawing>
          <wp:inline distT="0" distB="0" distL="0" distR="0" wp14:anchorId="5331C742" wp14:editId="2751F42B">
            <wp:extent cx="1419225" cy="1104900"/>
            <wp:effectExtent l="0" t="0" r="9525" b="0"/>
            <wp:docPr id="6" name="Picture 6"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6600211" w14:textId="77777777" w:rsidR="00185E12" w:rsidRDefault="00185E12" w:rsidP="00185E12">
      <w:pPr>
        <w:pStyle w:val="Title"/>
        <w:spacing w:before="240" w:after="0"/>
        <w:jc w:val="both"/>
        <w:rPr>
          <w:rFonts w:ascii="Arial" w:hAnsi="Arial" w:cs="Arial"/>
          <w:color w:val="000000"/>
          <w:sz w:val="32"/>
          <w:szCs w:val="32"/>
        </w:rPr>
      </w:pPr>
      <w:r w:rsidRPr="00F441B1">
        <w:rPr>
          <w:rFonts w:ascii="Arial" w:hAnsi="Arial" w:cs="Arial"/>
          <w:color w:val="000000"/>
          <w:sz w:val="32"/>
          <w:szCs w:val="32"/>
        </w:rPr>
        <w:t>Life Insurance (prudential standard) determination</w:t>
      </w:r>
    </w:p>
    <w:p w14:paraId="1C3C075E" w14:textId="7F19457E" w:rsidR="00185E12" w:rsidRDefault="00185E12" w:rsidP="00185E12">
      <w:pPr>
        <w:pStyle w:val="Title"/>
        <w:spacing w:before="240" w:after="0"/>
        <w:jc w:val="both"/>
        <w:rPr>
          <w:rFonts w:ascii="Arial" w:hAnsi="Arial" w:cs="Arial"/>
          <w:color w:val="000000"/>
          <w:sz w:val="32"/>
          <w:szCs w:val="32"/>
        </w:rPr>
      </w:pPr>
      <w:r w:rsidRPr="00F441B1">
        <w:rPr>
          <w:rFonts w:ascii="Arial" w:hAnsi="Arial" w:cs="Arial"/>
          <w:color w:val="000000"/>
          <w:sz w:val="32"/>
          <w:szCs w:val="32"/>
        </w:rPr>
        <w:t xml:space="preserve">No. </w:t>
      </w:r>
      <w:r w:rsidR="008B6453">
        <w:rPr>
          <w:rFonts w:ascii="Arial" w:hAnsi="Arial" w:cs="Arial"/>
          <w:color w:val="000000"/>
          <w:sz w:val="32"/>
          <w:szCs w:val="32"/>
        </w:rPr>
        <w:t>8</w:t>
      </w:r>
      <w:r w:rsidRPr="00F441B1">
        <w:rPr>
          <w:rFonts w:ascii="Arial" w:hAnsi="Arial" w:cs="Arial"/>
          <w:color w:val="000000"/>
          <w:sz w:val="32"/>
          <w:szCs w:val="32"/>
        </w:rPr>
        <w:t xml:space="preserve"> of 2023</w:t>
      </w:r>
    </w:p>
    <w:p w14:paraId="60E52351" w14:textId="77777777" w:rsidR="001A4EA4" w:rsidRDefault="001A4EA4" w:rsidP="00185E12">
      <w:pPr>
        <w:pStyle w:val="ActTitle"/>
        <w:spacing w:before="240"/>
        <w:rPr>
          <w:rFonts w:eastAsia="Calibri" w:cs="Arial"/>
          <w:b/>
          <w:i w:val="0"/>
          <w:iCs w:val="0"/>
          <w:color w:val="000000"/>
          <w:szCs w:val="28"/>
        </w:rPr>
      </w:pPr>
      <w:r w:rsidRPr="001A4EA4">
        <w:rPr>
          <w:rFonts w:eastAsia="Calibri" w:cs="Arial"/>
          <w:b/>
          <w:i w:val="0"/>
          <w:iCs w:val="0"/>
          <w:color w:val="000000"/>
          <w:szCs w:val="28"/>
        </w:rPr>
        <w:t>Prudential Standard LPS 114 Capital Adequacy: Asset Risk Charge</w:t>
      </w:r>
    </w:p>
    <w:p w14:paraId="232A8DFD" w14:textId="548A838A" w:rsidR="00185E12" w:rsidRPr="00C60305" w:rsidRDefault="00185E12" w:rsidP="00185E12">
      <w:pPr>
        <w:pStyle w:val="ActTitle"/>
        <w:spacing w:before="240"/>
        <w:rPr>
          <w:rFonts w:cs="Arial"/>
          <w:color w:val="000000"/>
        </w:rPr>
      </w:pPr>
      <w:r w:rsidRPr="00F441B1">
        <w:rPr>
          <w:rFonts w:cs="Arial"/>
          <w:color w:val="000000"/>
        </w:rPr>
        <w:t>Life Insurance Act 1995</w:t>
      </w:r>
    </w:p>
    <w:p w14:paraId="3295E8F8" w14:textId="30F7A420" w:rsidR="00185E12" w:rsidRPr="00BD3B2B" w:rsidRDefault="00185E12" w:rsidP="00185E12">
      <w:pPr>
        <w:pStyle w:val="IntroTo"/>
        <w:spacing w:before="100" w:beforeAutospacing="1" w:after="240"/>
        <w:jc w:val="both"/>
        <w:rPr>
          <w:rFonts w:ascii="Arial" w:hAnsi="Arial" w:cs="Arial"/>
          <w:color w:val="000000"/>
          <w:sz w:val="22"/>
          <w:szCs w:val="22"/>
        </w:rPr>
      </w:pPr>
      <w:r w:rsidRPr="00BD3B2B">
        <w:rPr>
          <w:rFonts w:ascii="Arial" w:hAnsi="Arial" w:cs="Arial"/>
          <w:sz w:val="22"/>
          <w:szCs w:val="22"/>
        </w:rPr>
        <w:t xml:space="preserve">I, </w:t>
      </w:r>
      <w:r w:rsidR="006A6220">
        <w:rPr>
          <w:rFonts w:ascii="Arial" w:hAnsi="Arial" w:cs="Arial"/>
          <w:sz w:val="22"/>
          <w:szCs w:val="22"/>
        </w:rPr>
        <w:t>Helen Rowell</w:t>
      </w:r>
      <w:r w:rsidRPr="00BD3B2B">
        <w:rPr>
          <w:rFonts w:ascii="Arial" w:hAnsi="Arial" w:cs="Arial"/>
          <w:sz w:val="22"/>
          <w:szCs w:val="22"/>
        </w:rPr>
        <w:t>, a delegate of APRA:</w:t>
      </w:r>
    </w:p>
    <w:p w14:paraId="3C174590" w14:textId="251BECB2" w:rsidR="00185E12" w:rsidRPr="00BD3B2B" w:rsidRDefault="00185E12" w:rsidP="00185E12">
      <w:pPr>
        <w:pStyle w:val="ListParagraph"/>
        <w:numPr>
          <w:ilvl w:val="0"/>
          <w:numId w:val="41"/>
        </w:numPr>
        <w:tabs>
          <w:tab w:val="left" w:pos="567"/>
        </w:tabs>
        <w:spacing w:before="100" w:beforeAutospacing="1"/>
        <w:ind w:left="567" w:hanging="567"/>
        <w:rPr>
          <w:rFonts w:ascii="Arial" w:hAnsi="Arial" w:cs="Arial"/>
          <w:sz w:val="22"/>
          <w:szCs w:val="22"/>
        </w:rPr>
      </w:pPr>
      <w:r w:rsidRPr="00BD3B2B">
        <w:rPr>
          <w:rFonts w:ascii="Arial" w:hAnsi="Arial" w:cs="Arial"/>
          <w:sz w:val="22"/>
          <w:szCs w:val="22"/>
        </w:rPr>
        <w:t xml:space="preserve">under subsection 230A(5) of the </w:t>
      </w:r>
      <w:r w:rsidRPr="00BD3B2B">
        <w:rPr>
          <w:rFonts w:ascii="Arial" w:hAnsi="Arial" w:cs="Arial"/>
          <w:i/>
          <w:sz w:val="22"/>
          <w:szCs w:val="22"/>
        </w:rPr>
        <w:t>Life Insurance Act 1995</w:t>
      </w:r>
      <w:r w:rsidRPr="00BD3B2B">
        <w:rPr>
          <w:rFonts w:ascii="Arial" w:hAnsi="Arial" w:cs="Arial"/>
          <w:sz w:val="22"/>
          <w:szCs w:val="22"/>
        </w:rPr>
        <w:t xml:space="preserve"> (the Act) revoke Life Insurance (prudential standard) determination No. </w:t>
      </w:r>
      <w:r w:rsidR="001A4EA4" w:rsidRPr="00BD3B2B">
        <w:rPr>
          <w:rFonts w:ascii="Arial" w:hAnsi="Arial" w:cs="Arial"/>
          <w:sz w:val="22"/>
          <w:szCs w:val="22"/>
        </w:rPr>
        <w:t>4</w:t>
      </w:r>
      <w:r w:rsidRPr="00BD3B2B">
        <w:rPr>
          <w:rFonts w:ascii="Arial" w:hAnsi="Arial" w:cs="Arial"/>
          <w:sz w:val="22"/>
          <w:szCs w:val="22"/>
        </w:rPr>
        <w:t xml:space="preserve"> of 2012, including </w:t>
      </w:r>
      <w:r w:rsidR="001A4EA4" w:rsidRPr="00BD3B2B">
        <w:rPr>
          <w:rFonts w:ascii="Arial" w:hAnsi="Arial" w:cs="Arial"/>
          <w:i/>
          <w:sz w:val="22"/>
          <w:szCs w:val="22"/>
        </w:rPr>
        <w:t>Prudential Standard LPS 114 Capital Adequacy: Asset Risk Charge</w:t>
      </w:r>
      <w:r w:rsidRPr="00BD3B2B">
        <w:rPr>
          <w:rFonts w:ascii="Arial" w:hAnsi="Arial" w:cs="Arial"/>
          <w:i/>
          <w:sz w:val="22"/>
          <w:szCs w:val="22"/>
        </w:rPr>
        <w:t xml:space="preserve"> </w:t>
      </w:r>
      <w:r w:rsidRPr="00BD3B2B">
        <w:rPr>
          <w:rFonts w:ascii="Arial" w:hAnsi="Arial" w:cs="Arial"/>
          <w:sz w:val="22"/>
          <w:szCs w:val="22"/>
        </w:rPr>
        <w:t>made under that Determination; and</w:t>
      </w:r>
    </w:p>
    <w:p w14:paraId="63D48C7D" w14:textId="77777777" w:rsidR="00185E12" w:rsidRPr="00BD3B2B" w:rsidRDefault="00185E12" w:rsidP="00BD3B2B">
      <w:pPr>
        <w:pStyle w:val="ListParagraph"/>
        <w:tabs>
          <w:tab w:val="left" w:pos="567"/>
        </w:tabs>
        <w:spacing w:before="100" w:beforeAutospacing="1" w:after="240"/>
        <w:ind w:left="567"/>
        <w:rPr>
          <w:rFonts w:ascii="Arial" w:hAnsi="Arial" w:cs="Arial"/>
          <w:sz w:val="22"/>
          <w:szCs w:val="22"/>
        </w:rPr>
      </w:pPr>
    </w:p>
    <w:p w14:paraId="6C1E75D1" w14:textId="1FE75F2E" w:rsidR="00185E12" w:rsidRPr="00BD3B2B" w:rsidRDefault="00185E12" w:rsidP="00185E12">
      <w:pPr>
        <w:pStyle w:val="ListParagraph"/>
        <w:numPr>
          <w:ilvl w:val="0"/>
          <w:numId w:val="41"/>
        </w:numPr>
        <w:tabs>
          <w:tab w:val="left" w:pos="567"/>
        </w:tabs>
        <w:spacing w:before="100" w:beforeAutospacing="1"/>
        <w:ind w:left="567" w:hanging="567"/>
        <w:rPr>
          <w:rFonts w:ascii="Arial" w:hAnsi="Arial" w:cs="Arial"/>
          <w:sz w:val="22"/>
          <w:szCs w:val="22"/>
        </w:rPr>
      </w:pPr>
      <w:r w:rsidRPr="00BD3B2B">
        <w:rPr>
          <w:rFonts w:ascii="Arial" w:hAnsi="Arial" w:cs="Arial"/>
          <w:sz w:val="22"/>
          <w:szCs w:val="22"/>
        </w:rPr>
        <w:t xml:space="preserve">under subsection 230A(1) of the Act determine </w:t>
      </w:r>
      <w:r w:rsidR="001A4EA4" w:rsidRPr="00BD3B2B">
        <w:rPr>
          <w:rFonts w:ascii="Arial" w:hAnsi="Arial" w:cs="Arial"/>
          <w:i/>
          <w:sz w:val="22"/>
          <w:szCs w:val="22"/>
        </w:rPr>
        <w:t>Prudential Standard LPS 114 Capital Adequacy: Asset Risk Charge</w:t>
      </w:r>
      <w:r w:rsidRPr="00BD3B2B">
        <w:rPr>
          <w:rFonts w:ascii="Arial" w:hAnsi="Arial" w:cs="Arial"/>
          <w:sz w:val="22"/>
          <w:szCs w:val="22"/>
        </w:rPr>
        <w:t>, which applies to all life companies, including friendly societies.</w:t>
      </w:r>
    </w:p>
    <w:p w14:paraId="679ACE08" w14:textId="77777777" w:rsidR="00185E12" w:rsidRPr="00BD3B2B" w:rsidRDefault="00185E12" w:rsidP="00185E12">
      <w:pPr>
        <w:spacing w:before="100" w:beforeAutospacing="1"/>
        <w:jc w:val="both"/>
        <w:rPr>
          <w:rFonts w:ascii="Arial" w:hAnsi="Arial" w:cs="Arial"/>
          <w:sz w:val="22"/>
          <w:szCs w:val="22"/>
        </w:rPr>
      </w:pPr>
      <w:r w:rsidRPr="00BD3B2B">
        <w:rPr>
          <w:rFonts w:ascii="Arial" w:hAnsi="Arial" w:cs="Arial"/>
          <w:sz w:val="22"/>
          <w:szCs w:val="22"/>
        </w:rPr>
        <w:t>This instrument commences on 1 July 2023.</w:t>
      </w:r>
    </w:p>
    <w:p w14:paraId="38DEF388" w14:textId="035D08B1" w:rsidR="00185E12" w:rsidRPr="009D7EB6" w:rsidRDefault="00185E12" w:rsidP="00185E12">
      <w:pPr>
        <w:pStyle w:val="IntroTo"/>
        <w:jc w:val="both"/>
        <w:rPr>
          <w:rFonts w:ascii="Arial" w:hAnsi="Arial" w:cs="Arial"/>
          <w:sz w:val="22"/>
          <w:szCs w:val="22"/>
        </w:rPr>
      </w:pPr>
      <w:r w:rsidRPr="009D7EB6">
        <w:rPr>
          <w:rFonts w:ascii="Arial" w:hAnsi="Arial" w:cs="Arial"/>
          <w:sz w:val="22"/>
          <w:szCs w:val="22"/>
        </w:rPr>
        <w:t xml:space="preserve">Dated: </w:t>
      </w:r>
      <w:sdt>
        <w:sdtPr>
          <w:rPr>
            <w:rFonts w:ascii="Arial" w:hAnsi="Arial" w:cs="Arial"/>
            <w:sz w:val="22"/>
            <w:szCs w:val="22"/>
          </w:rPr>
          <w:alias w:val="Approval date"/>
          <w:tag w:val="APRAApprovalDate"/>
          <w:id w:val="-805078090"/>
          <w:placeholder>
            <w:docPart w:val="18AEBE9B674148919579A89BF410895D"/>
          </w:placeholder>
          <w:dataBinding w:prefixMappings="xmlns:ns0='http://schemas.microsoft.com/office/2006/metadata/properties' xmlns:ns1='http://www.w3.org/2001/XMLSchema-instance' xmlns:ns2='http://schemas.microsoft.com/office/infopath/2007/PartnerControls' xmlns:ns3='814d62cb-2db6-4c25-ab62-b9075facbc11' xmlns:ns4='http://schemas.microsoft.com/sharepoint/v3' " w:xpath="/ns0:properties[1]/documentManagement[1]/ns3:APRAApprovalDate[1]" w:storeItemID="{834FACA5-FF25-44EB-9F22-13BC540CEFF1}"/>
          <w:date w:fullDate="2023-05-24T00:00:00Z">
            <w:dateFormat w:val="d MMMM yyyy"/>
            <w:lid w:val="en-AU"/>
            <w:storeMappedDataAs w:val="dateTime"/>
            <w:calendar w:val="gregorian"/>
          </w:date>
        </w:sdtPr>
        <w:sdtEndPr/>
        <w:sdtContent>
          <w:r w:rsidR="00477F7D">
            <w:rPr>
              <w:rFonts w:ascii="Arial" w:hAnsi="Arial" w:cs="Arial"/>
              <w:sz w:val="22"/>
              <w:szCs w:val="22"/>
            </w:rPr>
            <w:t>24 May 2023</w:t>
          </w:r>
        </w:sdtContent>
      </w:sdt>
    </w:p>
    <w:p w14:paraId="5C316E17" w14:textId="77777777" w:rsidR="00185E12" w:rsidRPr="009D7EB6" w:rsidRDefault="00185E12" w:rsidP="00185E12">
      <w:pPr>
        <w:pStyle w:val="IntroTo"/>
        <w:rPr>
          <w:rFonts w:ascii="Arial" w:hAnsi="Arial" w:cs="Arial"/>
          <w:sz w:val="22"/>
          <w:szCs w:val="22"/>
        </w:rPr>
      </w:pPr>
    </w:p>
    <w:p w14:paraId="77A78D79" w14:textId="16C8F037" w:rsidR="00477F7D" w:rsidRDefault="00477F7D" w:rsidP="00185E12">
      <w:pPr>
        <w:autoSpaceDE w:val="0"/>
        <w:autoSpaceDN w:val="0"/>
        <w:adjustRightInd w:val="0"/>
        <w:spacing w:after="0"/>
        <w:rPr>
          <w:rFonts w:ascii="Arial" w:hAnsi="Arial" w:cs="Arial"/>
          <w:sz w:val="22"/>
          <w:szCs w:val="22"/>
        </w:rPr>
      </w:pPr>
      <w:r>
        <w:rPr>
          <w:rFonts w:ascii="Arial" w:hAnsi="Arial" w:cs="Arial"/>
          <w:sz w:val="22"/>
          <w:szCs w:val="22"/>
        </w:rPr>
        <w:t>[Signed]</w:t>
      </w:r>
    </w:p>
    <w:p w14:paraId="60030E0C" w14:textId="77777777" w:rsidR="00477F7D" w:rsidRDefault="00477F7D" w:rsidP="00185E12">
      <w:pPr>
        <w:autoSpaceDE w:val="0"/>
        <w:autoSpaceDN w:val="0"/>
        <w:adjustRightInd w:val="0"/>
        <w:spacing w:after="0"/>
        <w:rPr>
          <w:rFonts w:ascii="Arial" w:hAnsi="Arial" w:cs="Arial"/>
          <w:sz w:val="22"/>
          <w:szCs w:val="22"/>
        </w:rPr>
      </w:pPr>
    </w:p>
    <w:p w14:paraId="6F593F58" w14:textId="10B3E273" w:rsidR="00185E12" w:rsidRDefault="006A6220" w:rsidP="00185E12">
      <w:pPr>
        <w:autoSpaceDE w:val="0"/>
        <w:autoSpaceDN w:val="0"/>
        <w:adjustRightInd w:val="0"/>
        <w:spacing w:after="0"/>
        <w:rPr>
          <w:rFonts w:ascii="Arial" w:hAnsi="Arial" w:cs="Arial"/>
        </w:rPr>
      </w:pPr>
      <w:r>
        <w:rPr>
          <w:rFonts w:ascii="Arial" w:hAnsi="Arial" w:cs="Arial"/>
          <w:sz w:val="22"/>
          <w:szCs w:val="22"/>
        </w:rPr>
        <w:t>Helen Rowell</w:t>
      </w:r>
      <w:r w:rsidR="00185E12" w:rsidRPr="009D7EB6">
        <w:rPr>
          <w:rFonts w:ascii="Arial" w:hAnsi="Arial" w:cs="Arial"/>
        </w:rPr>
        <w:t xml:space="preserve"> </w:t>
      </w:r>
    </w:p>
    <w:p w14:paraId="27A2B84A" w14:textId="03AF3D49" w:rsidR="00185E12" w:rsidRPr="00B2530E" w:rsidRDefault="006A6220" w:rsidP="00185E12">
      <w:pPr>
        <w:autoSpaceDE w:val="0"/>
        <w:autoSpaceDN w:val="0"/>
        <w:adjustRightInd w:val="0"/>
        <w:spacing w:after="0"/>
        <w:rPr>
          <w:rFonts w:ascii="Arial" w:hAnsi="Arial" w:cs="Arial"/>
          <w:sz w:val="22"/>
          <w:szCs w:val="22"/>
        </w:rPr>
      </w:pPr>
      <w:r>
        <w:rPr>
          <w:rFonts w:ascii="Arial" w:hAnsi="Arial" w:cs="Arial"/>
          <w:sz w:val="22"/>
          <w:szCs w:val="22"/>
        </w:rPr>
        <w:t>Deputy Chair</w:t>
      </w:r>
    </w:p>
    <w:p w14:paraId="2884AEE0" w14:textId="77777777" w:rsidR="00185E12" w:rsidRPr="009D7EB6" w:rsidRDefault="00185E12" w:rsidP="00185E12">
      <w:pPr>
        <w:spacing w:before="480" w:after="0"/>
        <w:rPr>
          <w:rFonts w:ascii="Arial" w:hAnsi="Arial" w:cs="Arial"/>
          <w:b/>
        </w:rPr>
      </w:pPr>
      <w:r w:rsidRPr="009D7EB6">
        <w:rPr>
          <w:rFonts w:ascii="Arial" w:hAnsi="Arial" w:cs="Arial"/>
          <w:b/>
        </w:rPr>
        <w:t>Interpretation</w:t>
      </w:r>
    </w:p>
    <w:p w14:paraId="05357F80" w14:textId="77777777" w:rsidR="00185E12" w:rsidRDefault="00185E12" w:rsidP="00185E12">
      <w:pPr>
        <w:spacing w:before="120" w:after="0"/>
        <w:rPr>
          <w:rFonts w:ascii="Arial" w:hAnsi="Arial" w:cs="Arial"/>
        </w:rPr>
      </w:pPr>
      <w:r w:rsidRPr="009D7EB6">
        <w:rPr>
          <w:rFonts w:ascii="Arial" w:hAnsi="Arial" w:cs="Arial"/>
        </w:rPr>
        <w:t>In this instrument:</w:t>
      </w:r>
    </w:p>
    <w:p w14:paraId="706906D9" w14:textId="77777777" w:rsidR="00185E12" w:rsidRPr="009D7EB6" w:rsidRDefault="00185E12" w:rsidP="00185E12">
      <w:pPr>
        <w:spacing w:before="120" w:after="0"/>
        <w:rPr>
          <w:rFonts w:ascii="Arial" w:hAnsi="Arial" w:cs="Arial"/>
        </w:rPr>
      </w:pPr>
    </w:p>
    <w:p w14:paraId="08389943" w14:textId="77777777" w:rsidR="00185E12" w:rsidRPr="00EA0A28" w:rsidRDefault="00185E12" w:rsidP="00185E12">
      <w:pPr>
        <w:spacing w:after="0"/>
        <w:rPr>
          <w:rFonts w:ascii="Arial" w:hAnsi="Arial" w:cs="Arial"/>
          <w:sz w:val="22"/>
          <w:szCs w:val="22"/>
        </w:rPr>
      </w:pPr>
      <w:r w:rsidRPr="00EA0A28">
        <w:rPr>
          <w:rFonts w:ascii="Arial" w:hAnsi="Arial" w:cs="Arial"/>
          <w:b/>
          <w:i/>
          <w:sz w:val="22"/>
          <w:szCs w:val="22"/>
        </w:rPr>
        <w:t>APRA</w:t>
      </w:r>
      <w:r w:rsidRPr="00EA0A28">
        <w:rPr>
          <w:rFonts w:ascii="Arial" w:hAnsi="Arial" w:cs="Arial"/>
          <w:sz w:val="22"/>
          <w:szCs w:val="22"/>
        </w:rPr>
        <w:t xml:space="preserve"> means the Australian Prudential Regulation Authority.</w:t>
      </w:r>
    </w:p>
    <w:p w14:paraId="7E5C5E80" w14:textId="77777777" w:rsidR="00185E12" w:rsidRPr="0058373B" w:rsidRDefault="00185E12" w:rsidP="00185E12">
      <w:pPr>
        <w:spacing w:before="120" w:after="0"/>
        <w:rPr>
          <w:rFonts w:ascii="Arial" w:hAnsi="Arial" w:cs="Arial"/>
          <w:b/>
          <w:i/>
          <w:color w:val="000000"/>
          <w:sz w:val="22"/>
          <w:szCs w:val="22"/>
          <w:lang w:eastAsia="en-US"/>
        </w:rPr>
      </w:pPr>
      <w:r w:rsidRPr="0058373B">
        <w:rPr>
          <w:rFonts w:ascii="Arial" w:hAnsi="Arial" w:cs="Arial"/>
          <w:b/>
          <w:i/>
          <w:color w:val="000000"/>
          <w:sz w:val="22"/>
          <w:szCs w:val="22"/>
          <w:lang w:eastAsia="en-US"/>
        </w:rPr>
        <w:t xml:space="preserve">friendly society </w:t>
      </w:r>
      <w:r w:rsidRPr="0058373B">
        <w:rPr>
          <w:rFonts w:ascii="Arial" w:hAnsi="Arial" w:cs="Arial"/>
          <w:color w:val="000000"/>
          <w:sz w:val="22"/>
          <w:szCs w:val="22"/>
          <w:lang w:eastAsia="en-US"/>
        </w:rPr>
        <w:t>has the meaning given in section 16C of the Act.</w:t>
      </w:r>
    </w:p>
    <w:p w14:paraId="38A2596C" w14:textId="77777777" w:rsidR="00185E12" w:rsidRPr="0058373B" w:rsidRDefault="00185E12" w:rsidP="00185E12">
      <w:pPr>
        <w:spacing w:before="120" w:after="0"/>
        <w:rPr>
          <w:rFonts w:ascii="Arial" w:hAnsi="Arial" w:cs="Arial"/>
          <w:b/>
          <w:i/>
          <w:color w:val="000000"/>
          <w:sz w:val="22"/>
          <w:szCs w:val="22"/>
          <w:lang w:eastAsia="en-US"/>
        </w:rPr>
      </w:pPr>
      <w:r w:rsidRPr="0058373B">
        <w:rPr>
          <w:rFonts w:ascii="Arial" w:hAnsi="Arial" w:cs="Arial"/>
          <w:b/>
          <w:i/>
          <w:color w:val="000000"/>
          <w:sz w:val="22"/>
          <w:szCs w:val="22"/>
          <w:lang w:eastAsia="en-US"/>
        </w:rPr>
        <w:t xml:space="preserve">life company </w:t>
      </w:r>
      <w:r w:rsidRPr="0058373B">
        <w:rPr>
          <w:rFonts w:ascii="Arial" w:hAnsi="Arial" w:cs="Arial"/>
          <w:color w:val="000000"/>
          <w:sz w:val="22"/>
          <w:szCs w:val="22"/>
          <w:lang w:eastAsia="en-US"/>
        </w:rPr>
        <w:t>has the meaning given in the Schedule to the Act.</w:t>
      </w:r>
    </w:p>
    <w:p w14:paraId="474D6711" w14:textId="77777777" w:rsidR="00185E12" w:rsidRPr="00C72C1A" w:rsidRDefault="00185E12" w:rsidP="00185E12">
      <w:pPr>
        <w:rPr>
          <w:rFonts w:cs="Arial"/>
        </w:rPr>
      </w:pPr>
      <w:r w:rsidRPr="00C72C1A">
        <w:rPr>
          <w:rFonts w:cs="Arial"/>
        </w:rPr>
        <w:br w:type="page"/>
      </w:r>
    </w:p>
    <w:p w14:paraId="7F77C10D" w14:textId="77777777" w:rsidR="00185E12" w:rsidRPr="00EA0A28" w:rsidRDefault="00185E12" w:rsidP="00185E12">
      <w:pPr>
        <w:spacing w:after="0"/>
        <w:rPr>
          <w:rFonts w:ascii="Arial" w:hAnsi="Arial" w:cs="Arial"/>
          <w:b/>
          <w:sz w:val="32"/>
          <w:szCs w:val="32"/>
        </w:rPr>
      </w:pPr>
      <w:r w:rsidRPr="00EA0A28">
        <w:rPr>
          <w:rFonts w:ascii="Arial" w:hAnsi="Arial" w:cs="Arial"/>
          <w:b/>
          <w:sz w:val="32"/>
          <w:szCs w:val="32"/>
        </w:rPr>
        <w:lastRenderedPageBreak/>
        <w:t xml:space="preserve">Schedule </w:t>
      </w:r>
    </w:p>
    <w:p w14:paraId="303613AC" w14:textId="77777777" w:rsidR="00185E12" w:rsidRDefault="00185E12" w:rsidP="00185E12">
      <w:pPr>
        <w:spacing w:after="0"/>
      </w:pPr>
    </w:p>
    <w:p w14:paraId="259D8261" w14:textId="11A39195" w:rsidR="00185E12" w:rsidRDefault="001A4EA4" w:rsidP="00185E12">
      <w:pPr>
        <w:jc w:val="both"/>
        <w:rPr>
          <w:rFonts w:ascii="Arial" w:hAnsi="Arial" w:cs="Arial"/>
          <w:sz w:val="22"/>
          <w:szCs w:val="22"/>
        </w:rPr>
      </w:pPr>
      <w:r w:rsidRPr="001A4EA4">
        <w:rPr>
          <w:rFonts w:ascii="Arial" w:hAnsi="Arial" w:cs="Arial"/>
          <w:i/>
          <w:sz w:val="22"/>
          <w:szCs w:val="22"/>
        </w:rPr>
        <w:t>Prudential Standard LPS 114 Capital Adequacy: Asset Risk Charge</w:t>
      </w:r>
      <w:r>
        <w:rPr>
          <w:rFonts w:ascii="Arial" w:hAnsi="Arial" w:cs="Arial"/>
          <w:i/>
          <w:sz w:val="22"/>
          <w:szCs w:val="22"/>
        </w:rPr>
        <w:t>,</w:t>
      </w:r>
      <w:r w:rsidR="00185E12" w:rsidRPr="00410EEC">
        <w:rPr>
          <w:rFonts w:ascii="Arial" w:hAnsi="Arial" w:cs="Arial"/>
          <w:i/>
          <w:sz w:val="22"/>
          <w:szCs w:val="22"/>
        </w:rPr>
        <w:t xml:space="preserve"> </w:t>
      </w:r>
      <w:r w:rsidR="00185E12" w:rsidRPr="006A3108">
        <w:rPr>
          <w:rFonts w:ascii="Arial" w:hAnsi="Arial" w:cs="Arial"/>
          <w:bCs/>
          <w:sz w:val="22"/>
          <w:szCs w:val="22"/>
        </w:rPr>
        <w:t>comprises the document commencing on the following page.</w:t>
      </w:r>
      <w:r w:rsidR="00185E12" w:rsidRPr="006A3108">
        <w:rPr>
          <w:rFonts w:ascii="Arial" w:hAnsi="Arial" w:cs="Arial"/>
          <w:sz w:val="22"/>
          <w:szCs w:val="22"/>
        </w:rPr>
        <w:t xml:space="preserve"> </w:t>
      </w:r>
    </w:p>
    <w:bookmarkEnd w:id="0"/>
    <w:p w14:paraId="269F955D" w14:textId="77777777" w:rsidR="00185E12" w:rsidRDefault="00185E12" w:rsidP="00185E12">
      <w:pPr>
        <w:spacing w:after="0"/>
      </w:pPr>
    </w:p>
    <w:p w14:paraId="72DA2411" w14:textId="77777777" w:rsidR="00AC7EC3" w:rsidRDefault="00AC7EC3" w:rsidP="003B52EB">
      <w:pPr>
        <w:spacing w:after="0"/>
        <w:sectPr w:rsidR="00AC7EC3" w:rsidSect="000D63A8">
          <w:headerReference w:type="default" r:id="rId12"/>
          <w:pgSz w:w="11906" w:h="16838" w:code="9"/>
          <w:pgMar w:top="1440" w:right="1797" w:bottom="1440" w:left="1797" w:header="709" w:footer="709" w:gutter="0"/>
          <w:cols w:space="708"/>
          <w:docGrid w:linePitch="360"/>
        </w:sectPr>
      </w:pPr>
    </w:p>
    <w:p w14:paraId="6D2823BB" w14:textId="6026B5BD" w:rsidR="003B52EB" w:rsidRDefault="00506079" w:rsidP="003B52EB">
      <w:pPr>
        <w:spacing w:after="0"/>
      </w:pPr>
      <w:r>
        <w:rPr>
          <w:noProof/>
          <w:lang w:val="en-US" w:eastAsia="en-US"/>
        </w:rPr>
        <w:lastRenderedPageBreak/>
        <w:drawing>
          <wp:inline distT="0" distB="0" distL="0" distR="0" wp14:anchorId="598C4DA6" wp14:editId="0883E397">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37EF9D5E" w14:textId="5E3BD42E" w:rsidR="00DA3651" w:rsidRPr="009B6212" w:rsidRDefault="006A6A52" w:rsidP="001F6B8D">
      <w:pPr>
        <w:pStyle w:val="Title"/>
      </w:pPr>
      <w:bookmarkStart w:id="1" w:name="_Toc326937696"/>
      <w:r w:rsidRPr="001F6B8D">
        <w:t>Prudential</w:t>
      </w:r>
      <w:r w:rsidRPr="009B6212">
        <w:t xml:space="preserve"> Standard</w:t>
      </w:r>
      <w:r w:rsidRPr="00E07F40">
        <w:rPr>
          <w:rStyle w:val="PSNofieldtext"/>
        </w:rPr>
        <w:t xml:space="preserve"> </w:t>
      </w:r>
      <w:r w:rsidR="003F6CE4">
        <w:rPr>
          <w:rStyle w:val="PSNofieldtext"/>
        </w:rPr>
        <w:t>LPS 114</w:t>
      </w:r>
      <w:r w:rsidR="009B6212" w:rsidRPr="009B6212">
        <w:t xml:space="preserve">  </w:t>
      </w:r>
    </w:p>
    <w:bookmarkEnd w:id="1"/>
    <w:p w14:paraId="7E74F04B" w14:textId="715C758D" w:rsidR="00BC2D08" w:rsidRPr="00110917" w:rsidRDefault="00DA5B11" w:rsidP="001F6B8D">
      <w:pPr>
        <w:pStyle w:val="Title"/>
      </w:pPr>
      <w:r>
        <w:rPr>
          <w:rStyle w:val="PSNamefieldtext"/>
        </w:rPr>
        <w:t>Capital Adequacy: Asset Risk Charge</w:t>
      </w:r>
    </w:p>
    <w:tbl>
      <w:tblPr>
        <w:tblStyle w:val="TableGrid"/>
        <w:tblW w:w="0" w:type="auto"/>
        <w:shd w:val="clear" w:color="auto" w:fill="DDDDDD"/>
        <w:tblLook w:val="04A0" w:firstRow="1" w:lastRow="0" w:firstColumn="1" w:lastColumn="0" w:noHBand="0" w:noVBand="1"/>
      </w:tblPr>
      <w:tblGrid>
        <w:gridCol w:w="8302"/>
      </w:tblGrid>
      <w:tr w:rsidR="0048511B" w14:paraId="4ED885C6" w14:textId="77777777" w:rsidTr="00DF539C">
        <w:tc>
          <w:tcPr>
            <w:tcW w:w="8528" w:type="dxa"/>
            <w:shd w:val="clear" w:color="auto" w:fill="DDDDDD"/>
          </w:tcPr>
          <w:p w14:paraId="67336295" w14:textId="77777777" w:rsidR="003C46D7" w:rsidRPr="00B37C03" w:rsidRDefault="003C46D7" w:rsidP="00656D42">
            <w:pPr>
              <w:pStyle w:val="BoxHeading"/>
            </w:pPr>
            <w:r w:rsidRPr="00B37C03">
              <w:t xml:space="preserve">Objectives and key requirements of this Prudential </w:t>
            </w:r>
            <w:r w:rsidRPr="00173A04">
              <w:t>Standard</w:t>
            </w:r>
          </w:p>
          <w:p w14:paraId="1DC898C7" w14:textId="77777777" w:rsidR="00DA5B11" w:rsidRDefault="00DA5B11" w:rsidP="00DA5B11">
            <w:r>
              <w:t xml:space="preserve">This Prudential Standard requires a life company to maintain adequate capital against the asset risks associated with its activities. </w:t>
            </w:r>
          </w:p>
          <w:p w14:paraId="3399D5F9" w14:textId="77777777" w:rsidR="00DA5B11" w:rsidRDefault="00DA5B11" w:rsidP="00DA5B11">
            <w:r>
              <w:t xml:space="preserve">The ultimate responsibility for the prudent management of capital of a life company rests with its Board of directors. The Board must ensure the life company maintains an adequate level and quality of capital commensurate with the scale, nature and complexity of its business and risk profile, such that it is able to meet its obligations under a wide range of circumstances. </w:t>
            </w:r>
          </w:p>
          <w:p w14:paraId="2FB27678" w14:textId="77777777" w:rsidR="00DA5B11" w:rsidRDefault="00DA5B11" w:rsidP="00DA5B11">
            <w:r>
              <w:t>The Asset Risk Charge is the minimum amount of capital required to be held against asset risks. The Asset Risk Charge relates to the risk of adverse movements in the value of a fund’s on-balance sheet and off-balance sheet exposures. Asset risk can be derived from a number of sources, including market risk and credit risk.</w:t>
            </w:r>
          </w:p>
          <w:p w14:paraId="07B8927D" w14:textId="577ADA58" w:rsidR="00173A04" w:rsidRDefault="00DA5B11" w:rsidP="00DA5B11">
            <w:r>
              <w:t>This Prudential Standard sets out the method for calculating the Asset Risk Charge. This charge is one of the components of the Standard Method for calculating the prescribed capital amount for life company statutory funds and general funds.</w:t>
            </w:r>
          </w:p>
        </w:tc>
      </w:tr>
    </w:tbl>
    <w:p w14:paraId="6390D7E4" w14:textId="77777777" w:rsidR="00BC2D08" w:rsidRDefault="00BC2D08" w:rsidP="00BC2D08">
      <w:pPr>
        <w:spacing w:after="0"/>
      </w:pPr>
    </w:p>
    <w:p w14:paraId="46B7334C" w14:textId="77777777" w:rsidR="00C67A76" w:rsidRDefault="00C67A76" w:rsidP="00C67A76"/>
    <w:p w14:paraId="7D37D2E8" w14:textId="6D992A16" w:rsidR="00C67A76" w:rsidRDefault="00C67A76" w:rsidP="00C67A76">
      <w:pPr>
        <w:sectPr w:rsidR="00C67A76" w:rsidSect="00AC7EC3">
          <w:headerReference w:type="default" r:id="rId14"/>
          <w:footerReference w:type="default" r:id="rId15"/>
          <w:pgSz w:w="11906" w:h="16838" w:code="9"/>
          <w:pgMar w:top="1440" w:right="1797" w:bottom="1440" w:left="1797" w:header="709" w:footer="709" w:gutter="0"/>
          <w:pgNumType w:start="1"/>
          <w:cols w:space="708"/>
          <w:docGrid w:linePitch="360"/>
        </w:sectPr>
      </w:pPr>
    </w:p>
    <w:p w14:paraId="61A3087D" w14:textId="77777777" w:rsidR="00C6788C" w:rsidRDefault="009D467A" w:rsidP="001F6B8D">
      <w:pPr>
        <w:pStyle w:val="TOCHeading"/>
      </w:pPr>
      <w:bookmarkStart w:id="2" w:name="_Toc326676936"/>
      <w:bookmarkStart w:id="3" w:name="_Toc326756341"/>
      <w:bookmarkStart w:id="4" w:name="_Toc256519850"/>
      <w:r>
        <w:lastRenderedPageBreak/>
        <w:t>Table of Contents</w:t>
      </w:r>
    </w:p>
    <w:p w14:paraId="0FB557BF" w14:textId="08B158E0" w:rsidR="005A44EA"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109652589" w:history="1">
        <w:r w:rsidR="005A44EA" w:rsidRPr="00F41D2B">
          <w:rPr>
            <w:rStyle w:val="Hyperlink"/>
          </w:rPr>
          <w:t>Authority</w:t>
        </w:r>
        <w:r w:rsidR="005A44EA">
          <w:rPr>
            <w:webHidden/>
          </w:rPr>
          <w:tab/>
        </w:r>
        <w:r w:rsidR="005A44EA">
          <w:rPr>
            <w:webHidden/>
          </w:rPr>
          <w:fldChar w:fldCharType="begin"/>
        </w:r>
        <w:r w:rsidR="005A44EA">
          <w:rPr>
            <w:webHidden/>
          </w:rPr>
          <w:instrText xml:space="preserve"> PAGEREF _Toc109652589 \h </w:instrText>
        </w:r>
        <w:r w:rsidR="005A44EA">
          <w:rPr>
            <w:webHidden/>
          </w:rPr>
        </w:r>
        <w:r w:rsidR="005A44EA">
          <w:rPr>
            <w:webHidden/>
          </w:rPr>
          <w:fldChar w:fldCharType="separate"/>
        </w:r>
        <w:r w:rsidR="005A44EA">
          <w:rPr>
            <w:webHidden/>
          </w:rPr>
          <w:t>3</w:t>
        </w:r>
        <w:r w:rsidR="005A44EA">
          <w:rPr>
            <w:webHidden/>
          </w:rPr>
          <w:fldChar w:fldCharType="end"/>
        </w:r>
      </w:hyperlink>
    </w:p>
    <w:p w14:paraId="3AF3F92D" w14:textId="11FC0B2D" w:rsidR="005A44EA" w:rsidRDefault="000659B2">
      <w:pPr>
        <w:pStyle w:val="TOC1"/>
        <w:rPr>
          <w:rFonts w:asciiTheme="minorHAnsi" w:eastAsiaTheme="minorEastAsia" w:hAnsiTheme="minorHAnsi" w:cstheme="minorBidi"/>
          <w:sz w:val="22"/>
          <w:szCs w:val="22"/>
        </w:rPr>
      </w:pPr>
      <w:hyperlink w:anchor="_Toc109652590" w:history="1">
        <w:r w:rsidR="005A44EA" w:rsidRPr="00F41D2B">
          <w:rPr>
            <w:rStyle w:val="Hyperlink"/>
          </w:rPr>
          <w:t>Application and commencement</w:t>
        </w:r>
        <w:r w:rsidR="005A44EA">
          <w:rPr>
            <w:webHidden/>
          </w:rPr>
          <w:tab/>
        </w:r>
        <w:r w:rsidR="005A44EA">
          <w:rPr>
            <w:webHidden/>
          </w:rPr>
          <w:fldChar w:fldCharType="begin"/>
        </w:r>
        <w:r w:rsidR="005A44EA">
          <w:rPr>
            <w:webHidden/>
          </w:rPr>
          <w:instrText xml:space="preserve"> PAGEREF _Toc109652590 \h </w:instrText>
        </w:r>
        <w:r w:rsidR="005A44EA">
          <w:rPr>
            <w:webHidden/>
          </w:rPr>
        </w:r>
        <w:r w:rsidR="005A44EA">
          <w:rPr>
            <w:webHidden/>
          </w:rPr>
          <w:fldChar w:fldCharType="separate"/>
        </w:r>
        <w:r w:rsidR="005A44EA">
          <w:rPr>
            <w:webHidden/>
          </w:rPr>
          <w:t>3</w:t>
        </w:r>
        <w:r w:rsidR="005A44EA">
          <w:rPr>
            <w:webHidden/>
          </w:rPr>
          <w:fldChar w:fldCharType="end"/>
        </w:r>
      </w:hyperlink>
    </w:p>
    <w:p w14:paraId="3CAB156E" w14:textId="305E40FE" w:rsidR="005A44EA" w:rsidRDefault="000659B2">
      <w:pPr>
        <w:pStyle w:val="TOC1"/>
        <w:rPr>
          <w:rFonts w:asciiTheme="minorHAnsi" w:eastAsiaTheme="minorEastAsia" w:hAnsiTheme="minorHAnsi" w:cstheme="minorBidi"/>
          <w:sz w:val="22"/>
          <w:szCs w:val="22"/>
        </w:rPr>
      </w:pPr>
      <w:hyperlink w:anchor="_Toc109652591" w:history="1">
        <w:r w:rsidR="005A44EA" w:rsidRPr="00F41D2B">
          <w:rPr>
            <w:rStyle w:val="Hyperlink"/>
            <w:lang w:eastAsia="ja-JP"/>
          </w:rPr>
          <w:t>Interpreta</w:t>
        </w:r>
        <w:r w:rsidR="005A44EA" w:rsidRPr="00F41D2B">
          <w:rPr>
            <w:rStyle w:val="Hyperlink"/>
          </w:rPr>
          <w:t>tion</w:t>
        </w:r>
        <w:r w:rsidR="005A44EA">
          <w:rPr>
            <w:webHidden/>
          </w:rPr>
          <w:tab/>
        </w:r>
        <w:r w:rsidR="005A44EA">
          <w:rPr>
            <w:webHidden/>
          </w:rPr>
          <w:fldChar w:fldCharType="begin"/>
        </w:r>
        <w:r w:rsidR="005A44EA">
          <w:rPr>
            <w:webHidden/>
          </w:rPr>
          <w:instrText xml:space="preserve"> PAGEREF _Toc109652591 \h </w:instrText>
        </w:r>
        <w:r w:rsidR="005A44EA">
          <w:rPr>
            <w:webHidden/>
          </w:rPr>
        </w:r>
        <w:r w:rsidR="005A44EA">
          <w:rPr>
            <w:webHidden/>
          </w:rPr>
          <w:fldChar w:fldCharType="separate"/>
        </w:r>
        <w:r w:rsidR="005A44EA">
          <w:rPr>
            <w:webHidden/>
          </w:rPr>
          <w:t>3</w:t>
        </w:r>
        <w:r w:rsidR="005A44EA">
          <w:rPr>
            <w:webHidden/>
          </w:rPr>
          <w:fldChar w:fldCharType="end"/>
        </w:r>
      </w:hyperlink>
    </w:p>
    <w:p w14:paraId="0A61EDE3" w14:textId="4E938702" w:rsidR="005A44EA" w:rsidRDefault="000659B2">
      <w:pPr>
        <w:pStyle w:val="TOC1"/>
        <w:rPr>
          <w:rFonts w:asciiTheme="minorHAnsi" w:eastAsiaTheme="minorEastAsia" w:hAnsiTheme="minorHAnsi" w:cstheme="minorBidi"/>
          <w:sz w:val="22"/>
          <w:szCs w:val="22"/>
        </w:rPr>
      </w:pPr>
      <w:hyperlink w:anchor="_Toc109652592" w:history="1">
        <w:r w:rsidR="005A44EA" w:rsidRPr="00F41D2B">
          <w:rPr>
            <w:rStyle w:val="Hyperlink"/>
          </w:rPr>
          <w:t>Asset Risk Charge</w:t>
        </w:r>
        <w:r w:rsidR="005A44EA">
          <w:rPr>
            <w:webHidden/>
          </w:rPr>
          <w:tab/>
        </w:r>
        <w:r w:rsidR="005A44EA">
          <w:rPr>
            <w:webHidden/>
          </w:rPr>
          <w:fldChar w:fldCharType="begin"/>
        </w:r>
        <w:r w:rsidR="005A44EA">
          <w:rPr>
            <w:webHidden/>
          </w:rPr>
          <w:instrText xml:space="preserve"> PAGEREF _Toc109652592 \h </w:instrText>
        </w:r>
        <w:r w:rsidR="005A44EA">
          <w:rPr>
            <w:webHidden/>
          </w:rPr>
        </w:r>
        <w:r w:rsidR="005A44EA">
          <w:rPr>
            <w:webHidden/>
          </w:rPr>
          <w:fldChar w:fldCharType="separate"/>
        </w:r>
        <w:r w:rsidR="005A44EA">
          <w:rPr>
            <w:webHidden/>
          </w:rPr>
          <w:t>4</w:t>
        </w:r>
        <w:r w:rsidR="005A44EA">
          <w:rPr>
            <w:webHidden/>
          </w:rPr>
          <w:fldChar w:fldCharType="end"/>
        </w:r>
      </w:hyperlink>
    </w:p>
    <w:p w14:paraId="69EFD788" w14:textId="7ED9DB99" w:rsidR="005A44EA" w:rsidRDefault="000659B2">
      <w:pPr>
        <w:pStyle w:val="TOC1"/>
        <w:rPr>
          <w:rFonts w:asciiTheme="minorHAnsi" w:eastAsiaTheme="minorEastAsia" w:hAnsiTheme="minorHAnsi" w:cstheme="minorBidi"/>
          <w:sz w:val="22"/>
          <w:szCs w:val="22"/>
        </w:rPr>
      </w:pPr>
      <w:hyperlink w:anchor="_Toc109652593" w:history="1">
        <w:r w:rsidR="005A44EA" w:rsidRPr="00F41D2B">
          <w:rPr>
            <w:rStyle w:val="Hyperlink"/>
          </w:rPr>
          <w:t>Asset Risk Charge calculation</w:t>
        </w:r>
        <w:r w:rsidR="005A44EA">
          <w:rPr>
            <w:webHidden/>
          </w:rPr>
          <w:tab/>
        </w:r>
        <w:r w:rsidR="005A44EA">
          <w:rPr>
            <w:webHidden/>
          </w:rPr>
          <w:fldChar w:fldCharType="begin"/>
        </w:r>
        <w:r w:rsidR="005A44EA">
          <w:rPr>
            <w:webHidden/>
          </w:rPr>
          <w:instrText xml:space="preserve"> PAGEREF _Toc109652593 \h </w:instrText>
        </w:r>
        <w:r w:rsidR="005A44EA">
          <w:rPr>
            <w:webHidden/>
          </w:rPr>
        </w:r>
        <w:r w:rsidR="005A44EA">
          <w:rPr>
            <w:webHidden/>
          </w:rPr>
          <w:fldChar w:fldCharType="separate"/>
        </w:r>
        <w:r w:rsidR="005A44EA">
          <w:rPr>
            <w:webHidden/>
          </w:rPr>
          <w:t>4</w:t>
        </w:r>
        <w:r w:rsidR="005A44EA">
          <w:rPr>
            <w:webHidden/>
          </w:rPr>
          <w:fldChar w:fldCharType="end"/>
        </w:r>
      </w:hyperlink>
    </w:p>
    <w:p w14:paraId="1018E2ED" w14:textId="686F8960" w:rsidR="005A44EA" w:rsidRDefault="000659B2">
      <w:pPr>
        <w:pStyle w:val="TOC1"/>
        <w:rPr>
          <w:rFonts w:asciiTheme="minorHAnsi" w:eastAsiaTheme="minorEastAsia" w:hAnsiTheme="minorHAnsi" w:cstheme="minorBidi"/>
          <w:sz w:val="22"/>
          <w:szCs w:val="22"/>
        </w:rPr>
      </w:pPr>
      <w:hyperlink w:anchor="_Toc109652597" w:history="1">
        <w:r w:rsidR="005A44EA" w:rsidRPr="00F41D2B">
          <w:rPr>
            <w:rStyle w:val="Hyperlink"/>
          </w:rPr>
          <w:t>Assets and liabilities to be stressed</w:t>
        </w:r>
        <w:r w:rsidR="005A44EA">
          <w:rPr>
            <w:webHidden/>
          </w:rPr>
          <w:tab/>
        </w:r>
        <w:r w:rsidR="005A44EA">
          <w:rPr>
            <w:webHidden/>
          </w:rPr>
          <w:fldChar w:fldCharType="begin"/>
        </w:r>
        <w:r w:rsidR="005A44EA">
          <w:rPr>
            <w:webHidden/>
          </w:rPr>
          <w:instrText xml:space="preserve"> PAGEREF _Toc109652597 \h </w:instrText>
        </w:r>
        <w:r w:rsidR="005A44EA">
          <w:rPr>
            <w:webHidden/>
          </w:rPr>
        </w:r>
        <w:r w:rsidR="005A44EA">
          <w:rPr>
            <w:webHidden/>
          </w:rPr>
          <w:fldChar w:fldCharType="separate"/>
        </w:r>
        <w:r w:rsidR="005A44EA">
          <w:rPr>
            <w:webHidden/>
          </w:rPr>
          <w:t>5</w:t>
        </w:r>
        <w:r w:rsidR="005A44EA">
          <w:rPr>
            <w:webHidden/>
          </w:rPr>
          <w:fldChar w:fldCharType="end"/>
        </w:r>
      </w:hyperlink>
    </w:p>
    <w:p w14:paraId="43163918" w14:textId="658343FD" w:rsidR="005A44EA" w:rsidRDefault="000659B2">
      <w:pPr>
        <w:pStyle w:val="TOC1"/>
        <w:rPr>
          <w:rFonts w:asciiTheme="minorHAnsi" w:eastAsiaTheme="minorEastAsia" w:hAnsiTheme="minorHAnsi" w:cstheme="minorBidi"/>
          <w:sz w:val="22"/>
          <w:szCs w:val="22"/>
        </w:rPr>
      </w:pPr>
      <w:hyperlink w:anchor="_Toc109652603" w:history="1">
        <w:r w:rsidR="005A44EA" w:rsidRPr="00F41D2B">
          <w:rPr>
            <w:rStyle w:val="Hyperlink"/>
          </w:rPr>
          <w:t>Management actions</w:t>
        </w:r>
        <w:r w:rsidR="005A44EA">
          <w:rPr>
            <w:webHidden/>
          </w:rPr>
          <w:tab/>
        </w:r>
        <w:r w:rsidR="005A44EA">
          <w:rPr>
            <w:webHidden/>
          </w:rPr>
          <w:fldChar w:fldCharType="begin"/>
        </w:r>
        <w:r w:rsidR="005A44EA">
          <w:rPr>
            <w:webHidden/>
          </w:rPr>
          <w:instrText xml:space="preserve"> PAGEREF _Toc109652603 \h </w:instrText>
        </w:r>
        <w:r w:rsidR="005A44EA">
          <w:rPr>
            <w:webHidden/>
          </w:rPr>
        </w:r>
        <w:r w:rsidR="005A44EA">
          <w:rPr>
            <w:webHidden/>
          </w:rPr>
          <w:fldChar w:fldCharType="separate"/>
        </w:r>
        <w:r w:rsidR="005A44EA">
          <w:rPr>
            <w:webHidden/>
          </w:rPr>
          <w:t>7</w:t>
        </w:r>
        <w:r w:rsidR="005A44EA">
          <w:rPr>
            <w:webHidden/>
          </w:rPr>
          <w:fldChar w:fldCharType="end"/>
        </w:r>
      </w:hyperlink>
    </w:p>
    <w:p w14:paraId="46993725" w14:textId="131CCF97" w:rsidR="005A44EA" w:rsidRDefault="000659B2">
      <w:pPr>
        <w:pStyle w:val="TOC1"/>
        <w:rPr>
          <w:rFonts w:asciiTheme="minorHAnsi" w:eastAsiaTheme="minorEastAsia" w:hAnsiTheme="minorHAnsi" w:cstheme="minorBidi"/>
          <w:sz w:val="22"/>
          <w:szCs w:val="22"/>
        </w:rPr>
      </w:pPr>
      <w:hyperlink w:anchor="_Toc109652604" w:history="1">
        <w:r w:rsidR="005A44EA" w:rsidRPr="00F41D2B">
          <w:rPr>
            <w:rStyle w:val="Hyperlink"/>
          </w:rPr>
          <w:t>Real interest rates stress</w:t>
        </w:r>
        <w:r w:rsidR="005A44EA">
          <w:rPr>
            <w:webHidden/>
          </w:rPr>
          <w:tab/>
        </w:r>
        <w:r w:rsidR="005A44EA">
          <w:rPr>
            <w:webHidden/>
          </w:rPr>
          <w:fldChar w:fldCharType="begin"/>
        </w:r>
        <w:r w:rsidR="005A44EA">
          <w:rPr>
            <w:webHidden/>
          </w:rPr>
          <w:instrText xml:space="preserve"> PAGEREF _Toc109652604 \h </w:instrText>
        </w:r>
        <w:r w:rsidR="005A44EA">
          <w:rPr>
            <w:webHidden/>
          </w:rPr>
        </w:r>
        <w:r w:rsidR="005A44EA">
          <w:rPr>
            <w:webHidden/>
          </w:rPr>
          <w:fldChar w:fldCharType="separate"/>
        </w:r>
        <w:r w:rsidR="005A44EA">
          <w:rPr>
            <w:webHidden/>
          </w:rPr>
          <w:t>8</w:t>
        </w:r>
        <w:r w:rsidR="005A44EA">
          <w:rPr>
            <w:webHidden/>
          </w:rPr>
          <w:fldChar w:fldCharType="end"/>
        </w:r>
      </w:hyperlink>
    </w:p>
    <w:p w14:paraId="7EE54FB8" w14:textId="34F8634D" w:rsidR="005A44EA" w:rsidRDefault="000659B2">
      <w:pPr>
        <w:pStyle w:val="TOC1"/>
        <w:rPr>
          <w:rFonts w:asciiTheme="minorHAnsi" w:eastAsiaTheme="minorEastAsia" w:hAnsiTheme="minorHAnsi" w:cstheme="minorBidi"/>
          <w:sz w:val="22"/>
          <w:szCs w:val="22"/>
        </w:rPr>
      </w:pPr>
      <w:hyperlink w:anchor="_Toc109652605" w:history="1">
        <w:r w:rsidR="005A44EA" w:rsidRPr="00F41D2B">
          <w:rPr>
            <w:rStyle w:val="Hyperlink"/>
          </w:rPr>
          <w:t>Expected inflation stress</w:t>
        </w:r>
        <w:r w:rsidR="005A44EA">
          <w:rPr>
            <w:webHidden/>
          </w:rPr>
          <w:tab/>
        </w:r>
        <w:r w:rsidR="005A44EA">
          <w:rPr>
            <w:webHidden/>
          </w:rPr>
          <w:fldChar w:fldCharType="begin"/>
        </w:r>
        <w:r w:rsidR="005A44EA">
          <w:rPr>
            <w:webHidden/>
          </w:rPr>
          <w:instrText xml:space="preserve"> PAGEREF _Toc109652605 \h </w:instrText>
        </w:r>
        <w:r w:rsidR="005A44EA">
          <w:rPr>
            <w:webHidden/>
          </w:rPr>
        </w:r>
        <w:r w:rsidR="005A44EA">
          <w:rPr>
            <w:webHidden/>
          </w:rPr>
          <w:fldChar w:fldCharType="separate"/>
        </w:r>
        <w:r w:rsidR="005A44EA">
          <w:rPr>
            <w:webHidden/>
          </w:rPr>
          <w:t>8</w:t>
        </w:r>
        <w:r w:rsidR="005A44EA">
          <w:rPr>
            <w:webHidden/>
          </w:rPr>
          <w:fldChar w:fldCharType="end"/>
        </w:r>
      </w:hyperlink>
    </w:p>
    <w:p w14:paraId="3E303869" w14:textId="35DD6711" w:rsidR="005A44EA" w:rsidRDefault="000659B2">
      <w:pPr>
        <w:pStyle w:val="TOC1"/>
        <w:rPr>
          <w:rFonts w:asciiTheme="minorHAnsi" w:eastAsiaTheme="minorEastAsia" w:hAnsiTheme="minorHAnsi" w:cstheme="minorBidi"/>
          <w:sz w:val="22"/>
          <w:szCs w:val="22"/>
        </w:rPr>
      </w:pPr>
      <w:hyperlink w:anchor="_Toc109652606" w:history="1">
        <w:r w:rsidR="005A44EA" w:rsidRPr="00F41D2B">
          <w:rPr>
            <w:rStyle w:val="Hyperlink"/>
          </w:rPr>
          <w:t>Currency stress</w:t>
        </w:r>
        <w:r w:rsidR="005A44EA">
          <w:rPr>
            <w:webHidden/>
          </w:rPr>
          <w:tab/>
        </w:r>
        <w:r w:rsidR="005A44EA">
          <w:rPr>
            <w:webHidden/>
          </w:rPr>
          <w:fldChar w:fldCharType="begin"/>
        </w:r>
        <w:r w:rsidR="005A44EA">
          <w:rPr>
            <w:webHidden/>
          </w:rPr>
          <w:instrText xml:space="preserve"> PAGEREF _Toc109652606 \h </w:instrText>
        </w:r>
        <w:r w:rsidR="005A44EA">
          <w:rPr>
            <w:webHidden/>
          </w:rPr>
        </w:r>
        <w:r w:rsidR="005A44EA">
          <w:rPr>
            <w:webHidden/>
          </w:rPr>
          <w:fldChar w:fldCharType="separate"/>
        </w:r>
        <w:r w:rsidR="005A44EA">
          <w:rPr>
            <w:webHidden/>
          </w:rPr>
          <w:t>9</w:t>
        </w:r>
        <w:r w:rsidR="005A44EA">
          <w:rPr>
            <w:webHidden/>
          </w:rPr>
          <w:fldChar w:fldCharType="end"/>
        </w:r>
      </w:hyperlink>
    </w:p>
    <w:p w14:paraId="5AF0E3A4" w14:textId="5D072488" w:rsidR="005A44EA" w:rsidRDefault="000659B2">
      <w:pPr>
        <w:pStyle w:val="TOC1"/>
        <w:rPr>
          <w:rFonts w:asciiTheme="minorHAnsi" w:eastAsiaTheme="minorEastAsia" w:hAnsiTheme="minorHAnsi" w:cstheme="minorBidi"/>
          <w:sz w:val="22"/>
          <w:szCs w:val="22"/>
        </w:rPr>
      </w:pPr>
      <w:hyperlink w:anchor="_Toc109652607" w:history="1">
        <w:r w:rsidR="005A44EA" w:rsidRPr="00F41D2B">
          <w:rPr>
            <w:rStyle w:val="Hyperlink"/>
          </w:rPr>
          <w:t>Equity stress</w:t>
        </w:r>
        <w:r w:rsidR="005A44EA">
          <w:rPr>
            <w:webHidden/>
          </w:rPr>
          <w:tab/>
        </w:r>
        <w:r w:rsidR="005A44EA">
          <w:rPr>
            <w:webHidden/>
          </w:rPr>
          <w:fldChar w:fldCharType="begin"/>
        </w:r>
        <w:r w:rsidR="005A44EA">
          <w:rPr>
            <w:webHidden/>
          </w:rPr>
          <w:instrText xml:space="preserve"> PAGEREF _Toc109652607 \h </w:instrText>
        </w:r>
        <w:r w:rsidR="005A44EA">
          <w:rPr>
            <w:webHidden/>
          </w:rPr>
        </w:r>
        <w:r w:rsidR="005A44EA">
          <w:rPr>
            <w:webHidden/>
          </w:rPr>
          <w:fldChar w:fldCharType="separate"/>
        </w:r>
        <w:r w:rsidR="005A44EA">
          <w:rPr>
            <w:webHidden/>
          </w:rPr>
          <w:t>10</w:t>
        </w:r>
        <w:r w:rsidR="005A44EA">
          <w:rPr>
            <w:webHidden/>
          </w:rPr>
          <w:fldChar w:fldCharType="end"/>
        </w:r>
      </w:hyperlink>
    </w:p>
    <w:p w14:paraId="665A0010" w14:textId="37A6A4CE" w:rsidR="005A44EA" w:rsidRDefault="000659B2">
      <w:pPr>
        <w:pStyle w:val="TOC1"/>
        <w:rPr>
          <w:rFonts w:asciiTheme="minorHAnsi" w:eastAsiaTheme="minorEastAsia" w:hAnsiTheme="minorHAnsi" w:cstheme="minorBidi"/>
          <w:sz w:val="22"/>
          <w:szCs w:val="22"/>
        </w:rPr>
      </w:pPr>
      <w:hyperlink w:anchor="_Toc109652608" w:history="1">
        <w:r w:rsidR="005A44EA" w:rsidRPr="00F41D2B">
          <w:rPr>
            <w:rStyle w:val="Hyperlink"/>
          </w:rPr>
          <w:t>Property stress</w:t>
        </w:r>
        <w:r w:rsidR="005A44EA">
          <w:rPr>
            <w:webHidden/>
          </w:rPr>
          <w:tab/>
        </w:r>
        <w:r w:rsidR="005A44EA">
          <w:rPr>
            <w:webHidden/>
          </w:rPr>
          <w:fldChar w:fldCharType="begin"/>
        </w:r>
        <w:r w:rsidR="005A44EA">
          <w:rPr>
            <w:webHidden/>
          </w:rPr>
          <w:instrText xml:space="preserve"> PAGEREF _Toc109652608 \h </w:instrText>
        </w:r>
        <w:r w:rsidR="005A44EA">
          <w:rPr>
            <w:webHidden/>
          </w:rPr>
        </w:r>
        <w:r w:rsidR="005A44EA">
          <w:rPr>
            <w:webHidden/>
          </w:rPr>
          <w:fldChar w:fldCharType="separate"/>
        </w:r>
        <w:r w:rsidR="005A44EA">
          <w:rPr>
            <w:webHidden/>
          </w:rPr>
          <w:t>10</w:t>
        </w:r>
        <w:r w:rsidR="005A44EA">
          <w:rPr>
            <w:webHidden/>
          </w:rPr>
          <w:fldChar w:fldCharType="end"/>
        </w:r>
      </w:hyperlink>
    </w:p>
    <w:p w14:paraId="25C15ED3" w14:textId="19CDD7B2" w:rsidR="005A44EA" w:rsidRDefault="000659B2">
      <w:pPr>
        <w:pStyle w:val="TOC1"/>
        <w:rPr>
          <w:rFonts w:asciiTheme="minorHAnsi" w:eastAsiaTheme="minorEastAsia" w:hAnsiTheme="minorHAnsi" w:cstheme="minorBidi"/>
          <w:sz w:val="22"/>
          <w:szCs w:val="22"/>
        </w:rPr>
      </w:pPr>
      <w:hyperlink w:anchor="_Toc109652609" w:history="1">
        <w:r w:rsidR="005A44EA" w:rsidRPr="00F41D2B">
          <w:rPr>
            <w:rStyle w:val="Hyperlink"/>
          </w:rPr>
          <w:t>Credit spreads stress</w:t>
        </w:r>
        <w:r w:rsidR="005A44EA">
          <w:rPr>
            <w:webHidden/>
          </w:rPr>
          <w:tab/>
        </w:r>
        <w:r w:rsidR="005A44EA">
          <w:rPr>
            <w:webHidden/>
          </w:rPr>
          <w:fldChar w:fldCharType="begin"/>
        </w:r>
        <w:r w:rsidR="005A44EA">
          <w:rPr>
            <w:webHidden/>
          </w:rPr>
          <w:instrText xml:space="preserve"> PAGEREF _Toc109652609 \h </w:instrText>
        </w:r>
        <w:r w:rsidR="005A44EA">
          <w:rPr>
            <w:webHidden/>
          </w:rPr>
        </w:r>
        <w:r w:rsidR="005A44EA">
          <w:rPr>
            <w:webHidden/>
          </w:rPr>
          <w:fldChar w:fldCharType="separate"/>
        </w:r>
        <w:r w:rsidR="005A44EA">
          <w:rPr>
            <w:webHidden/>
          </w:rPr>
          <w:t>10</w:t>
        </w:r>
        <w:r w:rsidR="005A44EA">
          <w:rPr>
            <w:webHidden/>
          </w:rPr>
          <w:fldChar w:fldCharType="end"/>
        </w:r>
      </w:hyperlink>
    </w:p>
    <w:p w14:paraId="1992E483" w14:textId="429365EF" w:rsidR="005A44EA" w:rsidRDefault="000659B2">
      <w:pPr>
        <w:pStyle w:val="TOC1"/>
        <w:rPr>
          <w:rFonts w:asciiTheme="minorHAnsi" w:eastAsiaTheme="minorEastAsia" w:hAnsiTheme="minorHAnsi" w:cstheme="minorBidi"/>
          <w:sz w:val="22"/>
          <w:szCs w:val="22"/>
        </w:rPr>
      </w:pPr>
      <w:hyperlink w:anchor="_Toc109652611" w:history="1">
        <w:r w:rsidR="005A44EA" w:rsidRPr="00F41D2B">
          <w:rPr>
            <w:rStyle w:val="Hyperlink"/>
          </w:rPr>
          <w:t>Default stress</w:t>
        </w:r>
        <w:r w:rsidR="005A44EA">
          <w:rPr>
            <w:webHidden/>
          </w:rPr>
          <w:tab/>
        </w:r>
        <w:r w:rsidR="005A44EA">
          <w:rPr>
            <w:webHidden/>
          </w:rPr>
          <w:fldChar w:fldCharType="begin"/>
        </w:r>
        <w:r w:rsidR="005A44EA">
          <w:rPr>
            <w:webHidden/>
          </w:rPr>
          <w:instrText xml:space="preserve"> PAGEREF _Toc109652611 \h </w:instrText>
        </w:r>
        <w:r w:rsidR="005A44EA">
          <w:rPr>
            <w:webHidden/>
          </w:rPr>
        </w:r>
        <w:r w:rsidR="005A44EA">
          <w:rPr>
            <w:webHidden/>
          </w:rPr>
          <w:fldChar w:fldCharType="separate"/>
        </w:r>
        <w:r w:rsidR="005A44EA">
          <w:rPr>
            <w:webHidden/>
          </w:rPr>
          <w:t>13</w:t>
        </w:r>
        <w:r w:rsidR="005A44EA">
          <w:rPr>
            <w:webHidden/>
          </w:rPr>
          <w:fldChar w:fldCharType="end"/>
        </w:r>
      </w:hyperlink>
    </w:p>
    <w:p w14:paraId="33554637" w14:textId="0ECA9675" w:rsidR="005A44EA" w:rsidRDefault="000659B2">
      <w:pPr>
        <w:pStyle w:val="TOC1"/>
        <w:rPr>
          <w:rFonts w:asciiTheme="minorHAnsi" w:eastAsiaTheme="minorEastAsia" w:hAnsiTheme="minorHAnsi" w:cstheme="minorBidi"/>
          <w:sz w:val="22"/>
          <w:szCs w:val="22"/>
        </w:rPr>
      </w:pPr>
      <w:hyperlink w:anchor="_Toc109652612" w:history="1">
        <w:r w:rsidR="005A44EA" w:rsidRPr="00F41D2B">
          <w:rPr>
            <w:rStyle w:val="Hyperlink"/>
          </w:rPr>
          <w:t>Aggregation formula</w:t>
        </w:r>
        <w:r w:rsidR="005A44EA">
          <w:rPr>
            <w:webHidden/>
          </w:rPr>
          <w:tab/>
        </w:r>
        <w:r w:rsidR="005A44EA">
          <w:rPr>
            <w:webHidden/>
          </w:rPr>
          <w:fldChar w:fldCharType="begin"/>
        </w:r>
        <w:r w:rsidR="005A44EA">
          <w:rPr>
            <w:webHidden/>
          </w:rPr>
          <w:instrText xml:space="preserve"> PAGEREF _Toc109652612 \h </w:instrText>
        </w:r>
        <w:r w:rsidR="005A44EA">
          <w:rPr>
            <w:webHidden/>
          </w:rPr>
        </w:r>
        <w:r w:rsidR="005A44EA">
          <w:rPr>
            <w:webHidden/>
          </w:rPr>
          <w:fldChar w:fldCharType="separate"/>
        </w:r>
        <w:r w:rsidR="005A44EA">
          <w:rPr>
            <w:webHidden/>
          </w:rPr>
          <w:t>14</w:t>
        </w:r>
        <w:r w:rsidR="005A44EA">
          <w:rPr>
            <w:webHidden/>
          </w:rPr>
          <w:fldChar w:fldCharType="end"/>
        </w:r>
      </w:hyperlink>
    </w:p>
    <w:p w14:paraId="6973708A" w14:textId="3C677F96" w:rsidR="005A44EA" w:rsidRDefault="000659B2">
      <w:pPr>
        <w:pStyle w:val="TOC1"/>
        <w:rPr>
          <w:rFonts w:asciiTheme="minorHAnsi" w:eastAsiaTheme="minorEastAsia" w:hAnsiTheme="minorHAnsi" w:cstheme="minorBidi"/>
          <w:sz w:val="22"/>
          <w:szCs w:val="22"/>
        </w:rPr>
      </w:pPr>
      <w:hyperlink w:anchor="_Toc109652613" w:history="1">
        <w:r w:rsidR="005A44EA" w:rsidRPr="00F41D2B">
          <w:rPr>
            <w:rStyle w:val="Hyperlink"/>
          </w:rPr>
          <w:t>Adjustments and exclusions</w:t>
        </w:r>
        <w:r w:rsidR="005A44EA">
          <w:rPr>
            <w:webHidden/>
          </w:rPr>
          <w:tab/>
        </w:r>
        <w:r w:rsidR="005A44EA">
          <w:rPr>
            <w:webHidden/>
          </w:rPr>
          <w:fldChar w:fldCharType="begin"/>
        </w:r>
        <w:r w:rsidR="005A44EA">
          <w:rPr>
            <w:webHidden/>
          </w:rPr>
          <w:instrText xml:space="preserve"> PAGEREF _Toc109652613 \h </w:instrText>
        </w:r>
        <w:r w:rsidR="005A44EA">
          <w:rPr>
            <w:webHidden/>
          </w:rPr>
        </w:r>
        <w:r w:rsidR="005A44EA">
          <w:rPr>
            <w:webHidden/>
          </w:rPr>
          <w:fldChar w:fldCharType="separate"/>
        </w:r>
        <w:r w:rsidR="005A44EA">
          <w:rPr>
            <w:webHidden/>
          </w:rPr>
          <w:t>15</w:t>
        </w:r>
        <w:r w:rsidR="005A44EA">
          <w:rPr>
            <w:webHidden/>
          </w:rPr>
          <w:fldChar w:fldCharType="end"/>
        </w:r>
      </w:hyperlink>
    </w:p>
    <w:p w14:paraId="0CB13FB1" w14:textId="759F0209" w:rsidR="005A44EA" w:rsidRDefault="000659B2">
      <w:pPr>
        <w:pStyle w:val="TOC1"/>
        <w:rPr>
          <w:rFonts w:asciiTheme="minorHAnsi" w:eastAsiaTheme="minorEastAsia" w:hAnsiTheme="minorHAnsi" w:cstheme="minorBidi"/>
          <w:sz w:val="22"/>
          <w:szCs w:val="22"/>
        </w:rPr>
      </w:pPr>
      <w:hyperlink w:anchor="_Toc109652614" w:history="1">
        <w:r w:rsidR="005A44EA" w:rsidRPr="00F41D2B">
          <w:rPr>
            <w:rStyle w:val="Hyperlink"/>
          </w:rPr>
          <w:t>Previous exercise of discretion</w:t>
        </w:r>
        <w:r w:rsidR="005A44EA">
          <w:rPr>
            <w:webHidden/>
          </w:rPr>
          <w:tab/>
        </w:r>
        <w:r w:rsidR="005A44EA">
          <w:rPr>
            <w:webHidden/>
          </w:rPr>
          <w:fldChar w:fldCharType="begin"/>
        </w:r>
        <w:r w:rsidR="005A44EA">
          <w:rPr>
            <w:webHidden/>
          </w:rPr>
          <w:instrText xml:space="preserve"> PAGEREF _Toc109652614 \h </w:instrText>
        </w:r>
        <w:r w:rsidR="005A44EA">
          <w:rPr>
            <w:webHidden/>
          </w:rPr>
        </w:r>
        <w:r w:rsidR="005A44EA">
          <w:rPr>
            <w:webHidden/>
          </w:rPr>
          <w:fldChar w:fldCharType="separate"/>
        </w:r>
        <w:r w:rsidR="005A44EA">
          <w:rPr>
            <w:webHidden/>
          </w:rPr>
          <w:t>15</w:t>
        </w:r>
        <w:r w:rsidR="005A44EA">
          <w:rPr>
            <w:webHidden/>
          </w:rPr>
          <w:fldChar w:fldCharType="end"/>
        </w:r>
      </w:hyperlink>
    </w:p>
    <w:p w14:paraId="06E52FD0" w14:textId="43D9EA1C" w:rsidR="005A44EA" w:rsidRDefault="000659B2">
      <w:pPr>
        <w:pStyle w:val="TOC2"/>
        <w:rPr>
          <w:rFonts w:asciiTheme="minorHAnsi" w:eastAsiaTheme="minorEastAsia" w:hAnsiTheme="minorHAnsi" w:cstheme="minorBidi"/>
          <w:sz w:val="22"/>
          <w:szCs w:val="22"/>
        </w:rPr>
      </w:pPr>
      <w:hyperlink w:anchor="_Toc109652615" w:history="1">
        <w:r w:rsidR="005A44EA" w:rsidRPr="00F41D2B">
          <w:rPr>
            <w:rStyle w:val="Hyperlink"/>
          </w:rPr>
          <w:t>Attachment A - Off-balance sheet exposures</w:t>
        </w:r>
        <w:r w:rsidR="005A44EA">
          <w:rPr>
            <w:webHidden/>
          </w:rPr>
          <w:tab/>
        </w:r>
        <w:r w:rsidR="005A44EA">
          <w:rPr>
            <w:webHidden/>
          </w:rPr>
          <w:fldChar w:fldCharType="begin"/>
        </w:r>
        <w:r w:rsidR="005A44EA">
          <w:rPr>
            <w:webHidden/>
          </w:rPr>
          <w:instrText xml:space="preserve"> PAGEREF _Toc109652615 \h </w:instrText>
        </w:r>
        <w:r w:rsidR="005A44EA">
          <w:rPr>
            <w:webHidden/>
          </w:rPr>
        </w:r>
        <w:r w:rsidR="005A44EA">
          <w:rPr>
            <w:webHidden/>
          </w:rPr>
          <w:fldChar w:fldCharType="separate"/>
        </w:r>
        <w:r w:rsidR="005A44EA">
          <w:rPr>
            <w:webHidden/>
          </w:rPr>
          <w:t>16</w:t>
        </w:r>
        <w:r w:rsidR="005A44EA">
          <w:rPr>
            <w:webHidden/>
          </w:rPr>
          <w:fldChar w:fldCharType="end"/>
        </w:r>
      </w:hyperlink>
    </w:p>
    <w:p w14:paraId="2B4D205A" w14:textId="1FB0FDE1" w:rsidR="005A44EA" w:rsidRDefault="000659B2">
      <w:pPr>
        <w:pStyle w:val="TOC2"/>
        <w:rPr>
          <w:rFonts w:asciiTheme="minorHAnsi" w:eastAsiaTheme="minorEastAsia" w:hAnsiTheme="minorHAnsi" w:cstheme="minorBidi"/>
          <w:sz w:val="22"/>
          <w:szCs w:val="22"/>
        </w:rPr>
      </w:pPr>
      <w:hyperlink w:anchor="_Toc109652617" w:history="1">
        <w:r w:rsidR="005A44EA" w:rsidRPr="00F41D2B">
          <w:rPr>
            <w:rStyle w:val="Hyperlink"/>
          </w:rPr>
          <w:t>Attachment B - Extended Licensed Entity</w:t>
        </w:r>
        <w:r w:rsidR="005A44EA">
          <w:rPr>
            <w:webHidden/>
          </w:rPr>
          <w:tab/>
        </w:r>
        <w:r w:rsidR="005A44EA">
          <w:rPr>
            <w:webHidden/>
          </w:rPr>
          <w:fldChar w:fldCharType="begin"/>
        </w:r>
        <w:r w:rsidR="005A44EA">
          <w:rPr>
            <w:webHidden/>
          </w:rPr>
          <w:instrText xml:space="preserve"> PAGEREF _Toc109652617 \h </w:instrText>
        </w:r>
        <w:r w:rsidR="005A44EA">
          <w:rPr>
            <w:webHidden/>
          </w:rPr>
        </w:r>
        <w:r w:rsidR="005A44EA">
          <w:rPr>
            <w:webHidden/>
          </w:rPr>
          <w:fldChar w:fldCharType="separate"/>
        </w:r>
        <w:r w:rsidR="005A44EA">
          <w:rPr>
            <w:webHidden/>
          </w:rPr>
          <w:t>17</w:t>
        </w:r>
        <w:r w:rsidR="005A44EA">
          <w:rPr>
            <w:webHidden/>
          </w:rPr>
          <w:fldChar w:fldCharType="end"/>
        </w:r>
      </w:hyperlink>
    </w:p>
    <w:p w14:paraId="4DF757E2" w14:textId="77777777" w:rsidR="009D467A" w:rsidRDefault="009B0A33" w:rsidP="00FF513E">
      <w:pPr>
        <w:pStyle w:val="NoSpacing"/>
      </w:pPr>
      <w:r>
        <w:fldChar w:fldCharType="end"/>
      </w:r>
      <w:bookmarkStart w:id="5" w:name="_Toc326937698"/>
      <w:bookmarkStart w:id="6" w:name="_Toc326938615"/>
      <w:bookmarkStart w:id="7" w:name="_Toc326938830"/>
      <w:bookmarkEnd w:id="2"/>
      <w:bookmarkEnd w:id="3"/>
    </w:p>
    <w:p w14:paraId="24F35D82"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8" w:name="_Toc314733116"/>
      <w:bookmarkStart w:id="9" w:name="_Toc341686774"/>
      <w:bookmarkEnd w:id="4"/>
      <w:bookmarkEnd w:id="5"/>
      <w:bookmarkEnd w:id="6"/>
      <w:bookmarkEnd w:id="7"/>
    </w:p>
    <w:p w14:paraId="12180C35" w14:textId="77777777" w:rsidR="00DA5B11" w:rsidRPr="004A04AC" w:rsidRDefault="00DA5B11" w:rsidP="00DA5B11">
      <w:pPr>
        <w:pStyle w:val="Heading1"/>
      </w:pPr>
      <w:bookmarkStart w:id="10" w:name="_Toc88828567"/>
      <w:bookmarkStart w:id="11" w:name="_Toc107246667"/>
      <w:bookmarkStart w:id="12" w:name="_Toc109652589"/>
      <w:bookmarkStart w:id="13" w:name="Authority"/>
      <w:bookmarkEnd w:id="8"/>
      <w:bookmarkEnd w:id="9"/>
      <w:r w:rsidRPr="004A04AC">
        <w:lastRenderedPageBreak/>
        <w:t>Authority</w:t>
      </w:r>
      <w:bookmarkEnd w:id="10"/>
      <w:bookmarkEnd w:id="11"/>
      <w:bookmarkEnd w:id="12"/>
      <w:r w:rsidRPr="004A04AC">
        <w:t xml:space="preserve"> </w:t>
      </w:r>
      <w:bookmarkEnd w:id="13"/>
    </w:p>
    <w:p w14:paraId="3F991290" w14:textId="77777777" w:rsidR="00DA5B11" w:rsidRPr="004A04AC" w:rsidRDefault="00DA5B11" w:rsidP="0009691D">
      <w:pPr>
        <w:pStyle w:val="BodyText1"/>
      </w:pPr>
      <w:r w:rsidRPr="004A04AC">
        <w:t xml:space="preserve">This Prudential Standard is made under paragraph 230A(1)(a) of the </w:t>
      </w:r>
      <w:r w:rsidRPr="004A04AC">
        <w:rPr>
          <w:i/>
        </w:rPr>
        <w:t>Life Insurance Act 1995</w:t>
      </w:r>
      <w:r w:rsidRPr="004A04AC">
        <w:t xml:space="preserve"> (the Act).</w:t>
      </w:r>
    </w:p>
    <w:p w14:paraId="6E69F8D3" w14:textId="40AFACF2" w:rsidR="00DA5B11" w:rsidRPr="004A04AC" w:rsidRDefault="00DA5B11" w:rsidP="00DA5B11">
      <w:pPr>
        <w:pStyle w:val="Heading1"/>
      </w:pPr>
      <w:bookmarkStart w:id="14" w:name="_Toc88828568"/>
      <w:bookmarkStart w:id="15" w:name="_Toc107246668"/>
      <w:bookmarkStart w:id="16" w:name="_Toc109652590"/>
      <w:bookmarkStart w:id="17" w:name="Application"/>
      <w:r w:rsidRPr="004A04AC">
        <w:t>Applicatio</w:t>
      </w:r>
      <w:bookmarkEnd w:id="14"/>
      <w:r>
        <w:t>n</w:t>
      </w:r>
      <w:bookmarkEnd w:id="15"/>
      <w:r w:rsidR="00042347">
        <w:t xml:space="preserve"> and commencement</w:t>
      </w:r>
      <w:bookmarkEnd w:id="16"/>
    </w:p>
    <w:bookmarkEnd w:id="17"/>
    <w:p w14:paraId="727BA0AC" w14:textId="77777777" w:rsidR="00DA5B11" w:rsidRPr="004A04AC" w:rsidRDefault="00DA5B11" w:rsidP="0009691D">
      <w:pPr>
        <w:pStyle w:val="BodyText1"/>
      </w:pPr>
      <w:r w:rsidRPr="004A04AC">
        <w:rPr>
          <w:rFonts w:eastAsia="MS Mincho"/>
          <w:lang w:eastAsia="ja-JP"/>
        </w:rPr>
        <w:t xml:space="preserve">This Prudential Standard applies to all life companies including </w:t>
      </w:r>
      <w:r w:rsidRPr="004A04AC">
        <w:rPr>
          <w:rFonts w:eastAsia="MS Mincho"/>
          <w:b/>
          <w:lang w:eastAsia="ja-JP"/>
        </w:rPr>
        <w:t>friendly societies</w:t>
      </w:r>
      <w:r w:rsidRPr="004A04AC">
        <w:rPr>
          <w:rFonts w:eastAsia="MS Mincho"/>
          <w:lang w:eastAsia="ja-JP"/>
        </w:rPr>
        <w:t xml:space="preserve"> (together referred to as </w:t>
      </w:r>
      <w:r w:rsidRPr="004A04AC">
        <w:rPr>
          <w:rFonts w:eastAsia="MS Mincho"/>
          <w:b/>
          <w:lang w:eastAsia="ja-JP"/>
        </w:rPr>
        <w:t>life companies</w:t>
      </w:r>
      <w:r w:rsidRPr="004A04AC">
        <w:rPr>
          <w:rFonts w:eastAsia="MS Mincho"/>
          <w:lang w:eastAsia="ja-JP"/>
        </w:rPr>
        <w:t>) registered under the Act</w:t>
      </w:r>
      <w:r w:rsidRPr="004A04AC">
        <w:rPr>
          <w:rFonts w:eastAsia="MS Mincho"/>
          <w:vertAlign w:val="superscript"/>
          <w:lang w:eastAsia="ja-JP"/>
        </w:rPr>
        <w:footnoteReference w:id="1"/>
      </w:r>
      <w:r w:rsidRPr="004A04AC">
        <w:rPr>
          <w:rFonts w:eastAsia="MS Mincho"/>
          <w:lang w:eastAsia="ja-JP"/>
        </w:rPr>
        <w:t>, except where expressly noted otherwise.</w:t>
      </w:r>
    </w:p>
    <w:p w14:paraId="0BCFE797" w14:textId="77777777" w:rsidR="00DA5B11" w:rsidRPr="004A04AC" w:rsidRDefault="00DA5B11" w:rsidP="0009691D">
      <w:pPr>
        <w:pStyle w:val="BodyText1"/>
      </w:pPr>
      <w:r w:rsidRPr="004A04AC">
        <w:t xml:space="preserve">A life company must apply this Prudential Standard separately: </w:t>
      </w:r>
    </w:p>
    <w:p w14:paraId="41F43E22" w14:textId="77777777" w:rsidR="00DA5B11" w:rsidRPr="004A04AC" w:rsidRDefault="00DA5B11" w:rsidP="0009691D">
      <w:pPr>
        <w:pStyle w:val="BodyText2"/>
      </w:pPr>
      <w:r w:rsidRPr="004A04AC">
        <w:t>for a life company other than a friendly society: to each of its statutory funds and its shareholders’ fund; and</w:t>
      </w:r>
    </w:p>
    <w:p w14:paraId="5200739F" w14:textId="77777777" w:rsidR="00DA5B11" w:rsidRPr="004A04AC" w:rsidRDefault="00DA5B11" w:rsidP="0009691D">
      <w:pPr>
        <w:pStyle w:val="BodyText2"/>
      </w:pPr>
      <w:r w:rsidRPr="004A04AC">
        <w:t xml:space="preserve">for a friendly society: to each of its approved benefit funds and its management fund. </w:t>
      </w:r>
    </w:p>
    <w:p w14:paraId="7660695C" w14:textId="77777777" w:rsidR="00DA5B11" w:rsidRPr="004A04AC" w:rsidRDefault="00DA5B11" w:rsidP="0009691D">
      <w:pPr>
        <w:pStyle w:val="BodyText1"/>
      </w:pPr>
      <w:r w:rsidRPr="004A04AC">
        <w:t xml:space="preserve">This Prudential Standard only applies to the business of an </w:t>
      </w:r>
      <w:r w:rsidRPr="004A04AC">
        <w:rPr>
          <w:b/>
        </w:rPr>
        <w:t>Eligible Foreign Life Insurance Company</w:t>
      </w:r>
      <w:r w:rsidRPr="004A04AC">
        <w:t xml:space="preserve"> which is </w:t>
      </w:r>
      <w:r w:rsidRPr="004A04AC">
        <w:rPr>
          <w:rFonts w:eastAsia="MS Mincho"/>
          <w:lang w:eastAsia="ja-JP"/>
        </w:rPr>
        <w:t>carried on through its Australian statutory funds but not otherwise.</w:t>
      </w:r>
      <w:r w:rsidRPr="004A04AC">
        <w:rPr>
          <w:rStyle w:val="FootnoteReference"/>
          <w:rFonts w:eastAsia="MS Mincho"/>
          <w:lang w:eastAsia="ja-JP"/>
        </w:rPr>
        <w:footnoteReference w:id="2"/>
      </w:r>
    </w:p>
    <w:p w14:paraId="6BB6DD04" w14:textId="77777777" w:rsidR="00DA5B11" w:rsidRPr="004A04AC" w:rsidRDefault="00DA5B11" w:rsidP="0009691D">
      <w:pPr>
        <w:pStyle w:val="BodyText1"/>
        <w:rPr>
          <w:rFonts w:eastAsia="MS Mincho"/>
          <w:lang w:eastAsia="ja-JP"/>
        </w:rPr>
      </w:pPr>
      <w:r w:rsidRPr="004A04AC">
        <w:t>This Prudential Standa</w:t>
      </w:r>
      <w:r w:rsidRPr="004A04AC">
        <w:rPr>
          <w:rFonts w:eastAsia="MS Mincho"/>
          <w:lang w:eastAsia="ja-JP"/>
        </w:rPr>
        <w:t>rd applies to life companies from 1 July 2023.</w:t>
      </w:r>
    </w:p>
    <w:p w14:paraId="7721D7EE" w14:textId="77777777" w:rsidR="0009691D" w:rsidRPr="004A04AC" w:rsidRDefault="0009691D" w:rsidP="0009691D">
      <w:pPr>
        <w:pStyle w:val="Heading1"/>
      </w:pPr>
      <w:bookmarkStart w:id="18" w:name="_Toc88828569"/>
      <w:bookmarkStart w:id="19" w:name="_Toc107246669"/>
      <w:bookmarkStart w:id="20" w:name="_Toc109652591"/>
      <w:bookmarkStart w:id="21" w:name="Interpretation"/>
      <w:r w:rsidRPr="004A04AC">
        <w:rPr>
          <w:lang w:eastAsia="ja-JP"/>
        </w:rPr>
        <w:t>Interpreta</w:t>
      </w:r>
      <w:r w:rsidRPr="004A04AC">
        <w:t>tion</w:t>
      </w:r>
      <w:bookmarkEnd w:id="18"/>
      <w:bookmarkEnd w:id="19"/>
      <w:bookmarkEnd w:id="20"/>
    </w:p>
    <w:bookmarkEnd w:id="21"/>
    <w:p w14:paraId="6865C357" w14:textId="77777777" w:rsidR="0009691D" w:rsidRPr="004A04AC" w:rsidRDefault="0009691D" w:rsidP="0009691D">
      <w:pPr>
        <w:pStyle w:val="BodyText1"/>
      </w:pPr>
      <w:r w:rsidRPr="004A04AC">
        <w:t xml:space="preserve">Terms that are defined in </w:t>
      </w:r>
      <w:r w:rsidRPr="004A04AC">
        <w:rPr>
          <w:i/>
        </w:rPr>
        <w:t xml:space="preserve">Prudential Standard LPS 001 Definitions </w:t>
      </w:r>
      <w:r w:rsidRPr="004A04AC">
        <w:t>appear in bold the first time they are used in this Prudential Standard.</w:t>
      </w:r>
    </w:p>
    <w:p w14:paraId="2303C071" w14:textId="77777777" w:rsidR="0009691D" w:rsidRPr="004A04AC" w:rsidRDefault="0009691D" w:rsidP="0009691D">
      <w:pPr>
        <w:pStyle w:val="BodyText1"/>
      </w:pPr>
      <w:r w:rsidRPr="004A04AC">
        <w:t>Unless otherwise indicated:</w:t>
      </w:r>
    </w:p>
    <w:p w14:paraId="61FA6EBD" w14:textId="77777777" w:rsidR="0009691D" w:rsidRPr="004A04AC" w:rsidRDefault="0009691D" w:rsidP="0009691D">
      <w:pPr>
        <w:pStyle w:val="BodyText2"/>
      </w:pPr>
      <w:r w:rsidRPr="004A04AC">
        <w:t xml:space="preserve">the term </w:t>
      </w:r>
      <w:r w:rsidRPr="004A04AC">
        <w:rPr>
          <w:b/>
        </w:rPr>
        <w:t>statutory fund</w:t>
      </w:r>
      <w:r w:rsidRPr="004A04AC">
        <w:t xml:space="preserve"> will be used to refer to a statutory fund of a life company other than a friendly society, or an approved benefit fund of a friendly society, as relevant; </w:t>
      </w:r>
    </w:p>
    <w:p w14:paraId="5F7731A2" w14:textId="77777777" w:rsidR="0009691D" w:rsidRPr="004A04AC" w:rsidRDefault="0009691D" w:rsidP="0009691D">
      <w:pPr>
        <w:pStyle w:val="BodyText2"/>
      </w:pPr>
      <w:r w:rsidRPr="004A04AC">
        <w:t xml:space="preserve">the term </w:t>
      </w:r>
      <w:r w:rsidRPr="004A04AC">
        <w:rPr>
          <w:b/>
        </w:rPr>
        <w:t>general fund</w:t>
      </w:r>
      <w:r w:rsidRPr="004A04AC">
        <w:t xml:space="preserve"> will be used to refer to the shareholders’ fund of a life company other than a friendly society, or the management fund of a friendly society, as relevant;</w:t>
      </w:r>
    </w:p>
    <w:p w14:paraId="7AB8000B" w14:textId="77777777" w:rsidR="0009691D" w:rsidRPr="004A04AC" w:rsidRDefault="0009691D" w:rsidP="0009691D">
      <w:pPr>
        <w:pStyle w:val="BodyText2"/>
      </w:pPr>
      <w:r w:rsidRPr="004A04AC">
        <w:t>the term ‘fund’ will be used to refer to a statutory fund or a general fund, as relevant;</w:t>
      </w:r>
    </w:p>
    <w:p w14:paraId="7FE6B149" w14:textId="18EA5EC9" w:rsidR="0009691D" w:rsidRPr="004A04AC" w:rsidRDefault="0009691D" w:rsidP="0009691D">
      <w:pPr>
        <w:pStyle w:val="BodyText2"/>
      </w:pPr>
      <w:bookmarkStart w:id="22" w:name="_Hlk79699736"/>
      <w:r w:rsidRPr="004A04AC">
        <w:t xml:space="preserve">the term ‘insurance policy receivables’ will be used to refer to premiums and other accounts receivable </w:t>
      </w:r>
      <w:r w:rsidR="00330482">
        <w:t xml:space="preserve">including loans on policies </w:t>
      </w:r>
      <w:r w:rsidRPr="004A04AC">
        <w:t xml:space="preserve">that have been recognised within the </w:t>
      </w:r>
      <w:r w:rsidRPr="00D0513D">
        <w:rPr>
          <w:b/>
        </w:rPr>
        <w:t xml:space="preserve">net </w:t>
      </w:r>
      <w:r>
        <w:rPr>
          <w:b/>
        </w:rPr>
        <w:t>life contract</w:t>
      </w:r>
      <w:r w:rsidRPr="004A04AC">
        <w:rPr>
          <w:b/>
        </w:rPr>
        <w:t xml:space="preserve"> liabilities</w:t>
      </w:r>
      <w:r w:rsidRPr="004A04AC">
        <w:t xml:space="preserve"> derived from the insurance and reinsurance contract liabilities and assets reported on the balance sheet under </w:t>
      </w:r>
      <w:r w:rsidRPr="004A04AC">
        <w:rPr>
          <w:i/>
        </w:rPr>
        <w:t>AASB 17 Insurance Contracts</w:t>
      </w:r>
      <w:r>
        <w:rPr>
          <w:i/>
        </w:rPr>
        <w:t xml:space="preserve"> </w:t>
      </w:r>
      <w:r>
        <w:t>(AASB 17)</w:t>
      </w:r>
      <w:r w:rsidRPr="004A04AC">
        <w:t>; and</w:t>
      </w:r>
    </w:p>
    <w:p w14:paraId="502C3122" w14:textId="77777777" w:rsidR="0009691D" w:rsidRPr="004A04AC" w:rsidRDefault="0009691D" w:rsidP="0009691D">
      <w:pPr>
        <w:pStyle w:val="BodyText2"/>
      </w:pPr>
      <w:r w:rsidRPr="004A04AC">
        <w:lastRenderedPageBreak/>
        <w:t xml:space="preserve">the term ‘insurance policy payables’ will be used to refer to claims and other accounts payable that have been recognised within the net </w:t>
      </w:r>
      <w:r>
        <w:t xml:space="preserve">life contract </w:t>
      </w:r>
      <w:r w:rsidRPr="004A04AC">
        <w:t xml:space="preserve">liabilities derived from the insurance and reinsurance contract liabilities and assets reported on the balance sheet under </w:t>
      </w:r>
      <w:r w:rsidRPr="0009112B">
        <w:t>AASB 17</w:t>
      </w:r>
      <w:r w:rsidRPr="004A04AC">
        <w:t>.</w:t>
      </w:r>
      <w:bookmarkEnd w:id="22"/>
      <w:r w:rsidRPr="004A04AC">
        <w:rPr>
          <w:rStyle w:val="FootnoteReference"/>
        </w:rPr>
        <w:footnoteReference w:id="3"/>
      </w:r>
    </w:p>
    <w:p w14:paraId="4A65C9AE" w14:textId="77777777" w:rsidR="0009691D" w:rsidRPr="004A04AC" w:rsidRDefault="0009691D" w:rsidP="0009691D">
      <w:pPr>
        <w:pStyle w:val="Heading1"/>
      </w:pPr>
      <w:bookmarkStart w:id="23" w:name="_Toc88828570"/>
      <w:bookmarkStart w:id="24" w:name="_Toc107246670"/>
      <w:bookmarkStart w:id="25" w:name="_Toc109652592"/>
      <w:bookmarkStart w:id="26" w:name="Assetriskcharge"/>
      <w:r w:rsidRPr="004A04AC">
        <w:t>Asset Risk Charge</w:t>
      </w:r>
      <w:bookmarkEnd w:id="23"/>
      <w:bookmarkEnd w:id="24"/>
      <w:bookmarkEnd w:id="25"/>
    </w:p>
    <w:bookmarkEnd w:id="26"/>
    <w:p w14:paraId="3DF6FA5E" w14:textId="77777777" w:rsidR="0009691D" w:rsidRPr="004A04AC" w:rsidRDefault="0009691D" w:rsidP="0009691D">
      <w:pPr>
        <w:pStyle w:val="BodyText1"/>
      </w:pPr>
      <w:r w:rsidRPr="004A04AC">
        <w:t xml:space="preserve">This Prudential Standard sets out the method for calculating the </w:t>
      </w:r>
      <w:r w:rsidRPr="004A04AC">
        <w:rPr>
          <w:b/>
        </w:rPr>
        <w:t>Asset Risk Charge</w:t>
      </w:r>
      <w:r w:rsidRPr="004A04AC">
        <w:t xml:space="preserve"> for each statutory fund of a life company and its general fund.</w:t>
      </w:r>
    </w:p>
    <w:p w14:paraId="46EFC00A" w14:textId="77777777" w:rsidR="0009691D" w:rsidRPr="004A04AC" w:rsidRDefault="0009691D" w:rsidP="0009691D">
      <w:pPr>
        <w:pStyle w:val="BodyText1"/>
      </w:pPr>
      <w:r w:rsidRPr="004A04AC">
        <w:t xml:space="preserve">The Asset Risk Charge relates to the risk of an adverse movement in a fund’s </w:t>
      </w:r>
      <w:r w:rsidRPr="004A04AC">
        <w:rPr>
          <w:b/>
        </w:rPr>
        <w:t>capital base</w:t>
      </w:r>
      <w:r w:rsidRPr="004A04AC">
        <w:t xml:space="preserve"> due to credit or market risks. Both assets and liabilities may be affected. Insurance policy receivables and payables may be affected. Off-balance sheet exposures may also be affected.</w:t>
      </w:r>
    </w:p>
    <w:p w14:paraId="76A71BF1" w14:textId="77777777" w:rsidR="0009691D" w:rsidRPr="004A04AC" w:rsidRDefault="0009691D" w:rsidP="0009691D">
      <w:pPr>
        <w:pStyle w:val="Heading1"/>
      </w:pPr>
      <w:bookmarkStart w:id="27" w:name="_Toc88828571"/>
      <w:bookmarkStart w:id="28" w:name="_Toc107246671"/>
      <w:bookmarkStart w:id="29" w:name="_Toc109652593"/>
      <w:bookmarkStart w:id="30" w:name="AsseRiskChargeCalculation"/>
      <w:r w:rsidRPr="004A04AC">
        <w:t>Asset Risk Charge calculation</w:t>
      </w:r>
      <w:bookmarkEnd w:id="27"/>
      <w:bookmarkEnd w:id="28"/>
      <w:bookmarkEnd w:id="29"/>
    </w:p>
    <w:bookmarkEnd w:id="30"/>
    <w:p w14:paraId="03E7E45D" w14:textId="3864E7F9" w:rsidR="0009691D" w:rsidRPr="004A04AC" w:rsidRDefault="0009691D" w:rsidP="0009691D">
      <w:pPr>
        <w:pStyle w:val="BodyText1"/>
      </w:pPr>
      <w:r w:rsidRPr="004A04AC">
        <w:t xml:space="preserve">The Asset Risk Charge for a fund is calculated as the ‘aggregated risk charge component’ determined in accordance with paragraph </w:t>
      </w:r>
      <w:r w:rsidRPr="004A04AC">
        <w:fldChar w:fldCharType="begin"/>
      </w:r>
      <w:r w:rsidRPr="004A04AC">
        <w:instrText xml:space="preserve"> REF _Ref324836281 \r \h  \* MERGEFORMAT </w:instrText>
      </w:r>
      <w:r w:rsidRPr="004A04AC">
        <w:fldChar w:fldCharType="separate"/>
      </w:r>
      <w:r w:rsidR="0055300C">
        <w:t>11</w:t>
      </w:r>
      <w:r w:rsidRPr="004A04AC">
        <w:fldChar w:fldCharType="end"/>
      </w:r>
      <w:r w:rsidRPr="004A04AC">
        <w:t>.</w:t>
      </w:r>
    </w:p>
    <w:p w14:paraId="50BA9415" w14:textId="77777777" w:rsidR="0009691D" w:rsidRPr="004A04AC" w:rsidRDefault="0009691D" w:rsidP="0009691D">
      <w:pPr>
        <w:pStyle w:val="Heading3"/>
      </w:pPr>
      <w:bookmarkStart w:id="31" w:name="_Toc107246672"/>
      <w:bookmarkStart w:id="32" w:name="_Toc109652594"/>
      <w:r w:rsidRPr="004A04AC">
        <w:t>Aggregated risk charge component</w:t>
      </w:r>
      <w:bookmarkEnd w:id="31"/>
      <w:bookmarkEnd w:id="32"/>
    </w:p>
    <w:p w14:paraId="20CFD5C1" w14:textId="36907EB4" w:rsidR="0009691D" w:rsidRPr="004A04AC" w:rsidRDefault="0009691D" w:rsidP="0009691D">
      <w:pPr>
        <w:pStyle w:val="BodyText1"/>
      </w:pPr>
      <w:bookmarkStart w:id="33" w:name="_Ref324836281"/>
      <w:r w:rsidRPr="004A04AC">
        <w:t xml:space="preserve">A life company must calculate, for each of its funds, the ‘risk charge components’ defined in paragraph </w:t>
      </w:r>
      <w:r w:rsidRPr="004A04AC">
        <w:fldChar w:fldCharType="begin"/>
      </w:r>
      <w:r w:rsidRPr="004A04AC">
        <w:instrText xml:space="preserve"> REF _Ref324836304 \r \h  \* MERGEFORMAT </w:instrText>
      </w:r>
      <w:r w:rsidRPr="004A04AC">
        <w:fldChar w:fldCharType="separate"/>
      </w:r>
      <w:r w:rsidR="00201535">
        <w:t>12</w:t>
      </w:r>
      <w:r w:rsidRPr="004A04AC">
        <w:fldChar w:fldCharType="end"/>
      </w:r>
      <w:r w:rsidRPr="004A04AC">
        <w:t>, by considering the impact on the capital base of the fund of a range of stresses. These risk charge components are then aggregated using the formula set out in paragraphs</w:t>
      </w:r>
      <w:r w:rsidR="0055300C">
        <w:t xml:space="preserve"> </w:t>
      </w:r>
      <w:r w:rsidR="0055300C">
        <w:fldChar w:fldCharType="begin"/>
      </w:r>
      <w:r w:rsidR="0055300C">
        <w:instrText xml:space="preserve"> REF _Ref324836454 \r \h </w:instrText>
      </w:r>
      <w:r w:rsidR="0055300C">
        <w:fldChar w:fldCharType="separate"/>
      </w:r>
      <w:r w:rsidR="00201535">
        <w:t>82</w:t>
      </w:r>
      <w:r w:rsidR="0055300C">
        <w:fldChar w:fldCharType="end"/>
      </w:r>
      <w:r w:rsidR="0055300C">
        <w:t xml:space="preserve"> to </w:t>
      </w:r>
      <w:r w:rsidR="0055300C">
        <w:fldChar w:fldCharType="begin"/>
      </w:r>
      <w:r w:rsidR="0055300C">
        <w:instrText xml:space="preserve"> REF _Ref324836461 \r \h </w:instrText>
      </w:r>
      <w:r w:rsidR="0055300C">
        <w:fldChar w:fldCharType="separate"/>
      </w:r>
      <w:r w:rsidR="00201535">
        <w:t>84</w:t>
      </w:r>
      <w:r w:rsidR="0055300C">
        <w:fldChar w:fldCharType="end"/>
      </w:r>
      <w:r w:rsidR="0055300C">
        <w:t>, which</w:t>
      </w:r>
      <w:r w:rsidRPr="004A04AC">
        <w:t xml:space="preserve"> allows for the likelihood of the scenarios modelled by the stress tests occurring simultaneously. The result of applying the formula is defined as aggregated risk charge component.</w:t>
      </w:r>
      <w:bookmarkEnd w:id="33"/>
      <w:r w:rsidRPr="004A04AC">
        <w:t xml:space="preserve"> </w:t>
      </w:r>
    </w:p>
    <w:p w14:paraId="604804B5" w14:textId="77777777" w:rsidR="0009691D" w:rsidRPr="004A04AC" w:rsidRDefault="0009691D" w:rsidP="0009691D">
      <w:pPr>
        <w:pStyle w:val="Heading3"/>
      </w:pPr>
      <w:bookmarkStart w:id="34" w:name="_Toc107246673"/>
      <w:bookmarkStart w:id="35" w:name="_Toc109652595"/>
      <w:r w:rsidRPr="004A04AC">
        <w:t>Risk charge components</w:t>
      </w:r>
      <w:bookmarkEnd w:id="34"/>
      <w:bookmarkEnd w:id="35"/>
    </w:p>
    <w:p w14:paraId="45E98B6A" w14:textId="77777777" w:rsidR="0009691D" w:rsidRPr="004A04AC" w:rsidRDefault="0009691D" w:rsidP="0009691D">
      <w:pPr>
        <w:pStyle w:val="BodyText1"/>
      </w:pPr>
      <w:bookmarkStart w:id="36" w:name="_Ref324836304"/>
      <w:r w:rsidRPr="004A04AC">
        <w:t>The risk charge components are calculated by determining the fall in the capital base of the fund in seven stress tests:</w:t>
      </w:r>
      <w:bookmarkEnd w:id="36"/>
    </w:p>
    <w:p w14:paraId="2B963E6C" w14:textId="395B384C" w:rsidR="0009691D" w:rsidRPr="004A04AC" w:rsidRDefault="0009691D" w:rsidP="0009691D">
      <w:pPr>
        <w:pStyle w:val="BodyText2"/>
      </w:pPr>
      <w:bookmarkStart w:id="37" w:name="_Ref324836907"/>
      <w:r w:rsidRPr="004A04AC">
        <w:t>‘real interest rates’</w:t>
      </w:r>
      <w:r w:rsidRPr="004A04AC">
        <w:rPr>
          <w:b/>
        </w:rPr>
        <w:t xml:space="preserve"> </w:t>
      </w:r>
      <w:r w:rsidRPr="004A04AC">
        <w:t>determined in accordance with paragraphs</w:t>
      </w:r>
      <w:r w:rsidR="00A8080B">
        <w:t xml:space="preserve"> </w:t>
      </w:r>
      <w:r w:rsidR="00A8080B">
        <w:fldChar w:fldCharType="begin"/>
      </w:r>
      <w:r w:rsidR="00A8080B">
        <w:instrText xml:space="preserve"> REF _Ref324836565 \r \h </w:instrText>
      </w:r>
      <w:r w:rsidR="00A8080B">
        <w:fldChar w:fldCharType="separate"/>
      </w:r>
      <w:r w:rsidR="00201535">
        <w:t>37</w:t>
      </w:r>
      <w:r w:rsidR="00A8080B">
        <w:fldChar w:fldCharType="end"/>
      </w:r>
      <w:r w:rsidR="00A8080B">
        <w:t xml:space="preserve"> to </w:t>
      </w:r>
      <w:r w:rsidR="00A8080B">
        <w:fldChar w:fldCharType="begin"/>
      </w:r>
      <w:r w:rsidR="00A8080B">
        <w:instrText xml:space="preserve"> REF _Ref324836577 \r \h </w:instrText>
      </w:r>
      <w:r w:rsidR="00A8080B">
        <w:fldChar w:fldCharType="separate"/>
      </w:r>
      <w:r w:rsidR="00201535">
        <w:t>42</w:t>
      </w:r>
      <w:r w:rsidR="00A8080B">
        <w:fldChar w:fldCharType="end"/>
      </w:r>
      <w:r w:rsidRPr="004A04AC">
        <w:t>;</w:t>
      </w:r>
      <w:bookmarkEnd w:id="37"/>
    </w:p>
    <w:p w14:paraId="3DE571B4" w14:textId="5993BA4F" w:rsidR="0009691D" w:rsidRPr="004A04AC" w:rsidRDefault="0009691D" w:rsidP="0009691D">
      <w:pPr>
        <w:pStyle w:val="BodyText2"/>
      </w:pPr>
      <w:bookmarkStart w:id="38" w:name="_Ref324836914"/>
      <w:r w:rsidRPr="004A04AC">
        <w:t>‘expected inflation’ determined in accordance with paragraphs</w:t>
      </w:r>
      <w:r w:rsidR="006C1FED">
        <w:t xml:space="preserve"> </w:t>
      </w:r>
      <w:r w:rsidR="006C1FED">
        <w:fldChar w:fldCharType="begin"/>
      </w:r>
      <w:r w:rsidR="006C1FED">
        <w:instrText xml:space="preserve"> REF _Ref324836592 \r \h </w:instrText>
      </w:r>
      <w:r w:rsidR="006C1FED">
        <w:fldChar w:fldCharType="separate"/>
      </w:r>
      <w:r w:rsidR="00201535">
        <w:t>43</w:t>
      </w:r>
      <w:r w:rsidR="006C1FED">
        <w:fldChar w:fldCharType="end"/>
      </w:r>
      <w:r w:rsidR="006C1FED">
        <w:t xml:space="preserve"> to </w:t>
      </w:r>
      <w:r w:rsidR="006C1FED">
        <w:fldChar w:fldCharType="begin"/>
      </w:r>
      <w:r w:rsidR="006C1FED">
        <w:instrText xml:space="preserve"> REF _Ref324836599 \r \h </w:instrText>
      </w:r>
      <w:r w:rsidR="006C1FED">
        <w:fldChar w:fldCharType="separate"/>
      </w:r>
      <w:r w:rsidR="00201535">
        <w:t>46</w:t>
      </w:r>
      <w:r w:rsidR="006C1FED">
        <w:fldChar w:fldCharType="end"/>
      </w:r>
      <w:r w:rsidRPr="004A04AC">
        <w:t>;</w:t>
      </w:r>
      <w:bookmarkEnd w:id="38"/>
    </w:p>
    <w:p w14:paraId="2647D046" w14:textId="00516A09" w:rsidR="0009691D" w:rsidRPr="004A04AC" w:rsidRDefault="0009691D" w:rsidP="0009691D">
      <w:pPr>
        <w:pStyle w:val="BodyText2"/>
      </w:pPr>
      <w:bookmarkStart w:id="39" w:name="_Ref324836922"/>
      <w:r w:rsidRPr="004A04AC">
        <w:t>‘currency’ determined in accordance with paragraphs</w:t>
      </w:r>
      <w:r w:rsidR="006C1FED">
        <w:t xml:space="preserve"> </w:t>
      </w:r>
      <w:r w:rsidR="006C1FED">
        <w:fldChar w:fldCharType="begin"/>
      </w:r>
      <w:r w:rsidR="006C1FED">
        <w:instrText xml:space="preserve"> REF _Ref324836640 \r \h </w:instrText>
      </w:r>
      <w:r w:rsidR="006C1FED">
        <w:fldChar w:fldCharType="separate"/>
      </w:r>
      <w:r w:rsidR="00201535">
        <w:t>47</w:t>
      </w:r>
      <w:r w:rsidR="006C1FED">
        <w:fldChar w:fldCharType="end"/>
      </w:r>
      <w:r w:rsidR="006C1FED">
        <w:t xml:space="preserve"> to </w:t>
      </w:r>
      <w:r w:rsidR="006C1FED">
        <w:fldChar w:fldCharType="begin"/>
      </w:r>
      <w:r w:rsidR="006C1FED">
        <w:instrText xml:space="preserve"> REF _Ref324836647 \r \h </w:instrText>
      </w:r>
      <w:r w:rsidR="006C1FED">
        <w:fldChar w:fldCharType="separate"/>
      </w:r>
      <w:r w:rsidR="00201535">
        <w:t>50</w:t>
      </w:r>
      <w:r w:rsidR="006C1FED">
        <w:fldChar w:fldCharType="end"/>
      </w:r>
      <w:r w:rsidRPr="004A04AC">
        <w:t>;</w:t>
      </w:r>
      <w:bookmarkEnd w:id="39"/>
    </w:p>
    <w:p w14:paraId="2C0DC4A7" w14:textId="1E649A85" w:rsidR="0009691D" w:rsidRPr="004A04AC" w:rsidRDefault="0009691D" w:rsidP="0009691D">
      <w:pPr>
        <w:pStyle w:val="BodyText2"/>
      </w:pPr>
      <w:r w:rsidRPr="004A04AC">
        <w:t>‘equity’ determined in accordance with paragraphs</w:t>
      </w:r>
      <w:r w:rsidR="00C575A1">
        <w:t xml:space="preserve"> </w:t>
      </w:r>
      <w:r w:rsidR="00C575A1">
        <w:fldChar w:fldCharType="begin"/>
      </w:r>
      <w:r w:rsidR="00C575A1">
        <w:instrText xml:space="preserve"> REF _Ref324836669 \r \h </w:instrText>
      </w:r>
      <w:r w:rsidR="00C575A1">
        <w:fldChar w:fldCharType="separate"/>
      </w:r>
      <w:r w:rsidR="00201535">
        <w:t>51</w:t>
      </w:r>
      <w:r w:rsidR="00C575A1">
        <w:fldChar w:fldCharType="end"/>
      </w:r>
      <w:r w:rsidR="00C575A1">
        <w:t xml:space="preserve"> to </w:t>
      </w:r>
      <w:r w:rsidR="00C575A1">
        <w:fldChar w:fldCharType="begin"/>
      </w:r>
      <w:r w:rsidR="00C575A1">
        <w:instrText xml:space="preserve"> REF _Ref324836680 \r \h </w:instrText>
      </w:r>
      <w:r w:rsidR="00C575A1">
        <w:fldChar w:fldCharType="separate"/>
      </w:r>
      <w:r w:rsidR="00201535">
        <w:t>54</w:t>
      </w:r>
      <w:r w:rsidR="00C575A1">
        <w:fldChar w:fldCharType="end"/>
      </w:r>
      <w:r w:rsidRPr="004A04AC">
        <w:t>;</w:t>
      </w:r>
    </w:p>
    <w:p w14:paraId="273E0F7D" w14:textId="5B0FD113" w:rsidR="0009691D" w:rsidRPr="004A04AC" w:rsidRDefault="0009691D" w:rsidP="0009691D">
      <w:pPr>
        <w:pStyle w:val="BodyText2"/>
      </w:pPr>
      <w:r w:rsidRPr="004A04AC">
        <w:t>‘property’ determined in accordance with paragraphs</w:t>
      </w:r>
      <w:r w:rsidR="00C575A1">
        <w:t xml:space="preserve"> </w:t>
      </w:r>
      <w:r w:rsidR="00C575A1">
        <w:fldChar w:fldCharType="begin"/>
      </w:r>
      <w:r w:rsidR="00C575A1">
        <w:instrText xml:space="preserve"> REF _Ref324836692 \r \h </w:instrText>
      </w:r>
      <w:r w:rsidR="00C575A1">
        <w:fldChar w:fldCharType="separate"/>
      </w:r>
      <w:r w:rsidR="00201535">
        <w:t>55</w:t>
      </w:r>
      <w:r w:rsidR="00C575A1">
        <w:fldChar w:fldCharType="end"/>
      </w:r>
      <w:r w:rsidR="00C575A1">
        <w:t xml:space="preserve"> to </w:t>
      </w:r>
      <w:r w:rsidR="00C575A1">
        <w:fldChar w:fldCharType="begin"/>
      </w:r>
      <w:r w:rsidR="00C575A1">
        <w:instrText xml:space="preserve"> REF _Ref324836698 \r \h </w:instrText>
      </w:r>
      <w:r w:rsidR="00C575A1">
        <w:fldChar w:fldCharType="separate"/>
      </w:r>
      <w:r w:rsidR="00201535">
        <w:t>59</w:t>
      </w:r>
      <w:r w:rsidR="00C575A1">
        <w:fldChar w:fldCharType="end"/>
      </w:r>
      <w:r w:rsidRPr="004A04AC">
        <w:t>;</w:t>
      </w:r>
    </w:p>
    <w:p w14:paraId="12E4F991" w14:textId="61F81710" w:rsidR="0009691D" w:rsidRPr="004A04AC" w:rsidRDefault="0009691D" w:rsidP="0009691D">
      <w:pPr>
        <w:pStyle w:val="BodyText2"/>
      </w:pPr>
      <w:r w:rsidRPr="004A04AC">
        <w:t>‘credit spreads’ determined in accordance with paragraphs</w:t>
      </w:r>
      <w:r w:rsidR="00043D2B">
        <w:t xml:space="preserve"> </w:t>
      </w:r>
      <w:r w:rsidR="008B7BED">
        <w:fldChar w:fldCharType="begin"/>
      </w:r>
      <w:r w:rsidR="008B7BED">
        <w:instrText xml:space="preserve"> REF _Ref324836708 \r \h </w:instrText>
      </w:r>
      <w:r w:rsidR="008B7BED">
        <w:fldChar w:fldCharType="separate"/>
      </w:r>
      <w:r w:rsidR="00372340">
        <w:t>60</w:t>
      </w:r>
      <w:r w:rsidR="008B7BED">
        <w:fldChar w:fldCharType="end"/>
      </w:r>
      <w:r w:rsidR="008B7BED">
        <w:t xml:space="preserve"> to </w:t>
      </w:r>
      <w:r w:rsidR="008B7BED">
        <w:fldChar w:fldCharType="begin"/>
      </w:r>
      <w:r w:rsidR="008B7BED">
        <w:instrText xml:space="preserve"> REF _Ref324836742 \r \h </w:instrText>
      </w:r>
      <w:r w:rsidR="008B7BED">
        <w:fldChar w:fldCharType="separate"/>
      </w:r>
      <w:r w:rsidR="00372340">
        <w:t>71</w:t>
      </w:r>
      <w:r w:rsidR="008B7BED">
        <w:fldChar w:fldCharType="end"/>
      </w:r>
      <w:r w:rsidRPr="004A04AC">
        <w:t>; and</w:t>
      </w:r>
    </w:p>
    <w:p w14:paraId="7546EA44" w14:textId="71E59DCB" w:rsidR="0009691D" w:rsidRPr="004A04AC" w:rsidRDefault="0009691D" w:rsidP="0009691D">
      <w:pPr>
        <w:pStyle w:val="BodyText2"/>
      </w:pPr>
      <w:r w:rsidRPr="004A04AC">
        <w:t>‘default’ determined in accordance with paragraphs</w:t>
      </w:r>
      <w:r w:rsidR="00C139B0">
        <w:t xml:space="preserve"> </w:t>
      </w:r>
      <w:r w:rsidR="00C139B0">
        <w:fldChar w:fldCharType="begin"/>
      </w:r>
      <w:r w:rsidR="00C139B0">
        <w:instrText xml:space="preserve"> REF _Ref324836762 \r \h </w:instrText>
      </w:r>
      <w:r w:rsidR="00C139B0">
        <w:fldChar w:fldCharType="separate"/>
      </w:r>
      <w:r w:rsidR="00372340">
        <w:t>74</w:t>
      </w:r>
      <w:r w:rsidR="00C139B0">
        <w:fldChar w:fldCharType="end"/>
      </w:r>
      <w:r w:rsidR="00C139B0">
        <w:t xml:space="preserve"> to </w:t>
      </w:r>
      <w:r w:rsidR="00C139B0">
        <w:fldChar w:fldCharType="begin"/>
      </w:r>
      <w:r w:rsidR="00C139B0">
        <w:instrText xml:space="preserve"> REF _Ref324836780 \r \h </w:instrText>
      </w:r>
      <w:r w:rsidR="00C139B0">
        <w:fldChar w:fldCharType="separate"/>
      </w:r>
      <w:r w:rsidR="00372340">
        <w:t>81</w:t>
      </w:r>
      <w:r w:rsidR="00C139B0">
        <w:fldChar w:fldCharType="end"/>
      </w:r>
      <w:r w:rsidRPr="004A04AC">
        <w:t>.</w:t>
      </w:r>
    </w:p>
    <w:p w14:paraId="3C96348E" w14:textId="43DC5EFB" w:rsidR="0009691D" w:rsidRPr="004A04AC" w:rsidRDefault="0009691D" w:rsidP="0009691D">
      <w:pPr>
        <w:ind w:left="567"/>
      </w:pPr>
      <w:r w:rsidRPr="004A04AC">
        <w:lastRenderedPageBreak/>
        <w:t xml:space="preserve">These stresses are applied either directly to asset values or by way of changes to economic variables that in turn affect the value of both assets and liabilities. Some assets and liabilities may be impacted by more than one of the seven stress tests and will need to be considered in each relevant stress test. For the stresses in </w:t>
      </w:r>
      <w:r w:rsidRPr="004A04AC">
        <w:fldChar w:fldCharType="begin"/>
      </w:r>
      <w:r w:rsidRPr="004A04AC">
        <w:instrText xml:space="preserve"> REF _Ref324836907 \r \h  \* MERGEFORMAT </w:instrText>
      </w:r>
      <w:r w:rsidRPr="004A04AC">
        <w:fldChar w:fldCharType="separate"/>
      </w:r>
      <w:r w:rsidR="00372340">
        <w:t>(a)</w:t>
      </w:r>
      <w:r w:rsidRPr="004A04AC">
        <w:fldChar w:fldCharType="end"/>
      </w:r>
      <w:r w:rsidRPr="004A04AC">
        <w:t xml:space="preserve">, </w:t>
      </w:r>
      <w:r w:rsidRPr="004A04AC">
        <w:fldChar w:fldCharType="begin"/>
      </w:r>
      <w:r w:rsidRPr="004A04AC">
        <w:instrText xml:space="preserve"> REF _Ref324836914 \r \h  \* MERGEFORMAT </w:instrText>
      </w:r>
      <w:r w:rsidRPr="004A04AC">
        <w:fldChar w:fldCharType="separate"/>
      </w:r>
      <w:r w:rsidR="00372340">
        <w:t>(b)</w:t>
      </w:r>
      <w:r w:rsidRPr="004A04AC">
        <w:fldChar w:fldCharType="end"/>
      </w:r>
      <w:r w:rsidRPr="004A04AC">
        <w:t xml:space="preserve"> and </w:t>
      </w:r>
      <w:r w:rsidRPr="004A04AC">
        <w:fldChar w:fldCharType="begin"/>
      </w:r>
      <w:r w:rsidRPr="004A04AC">
        <w:instrText xml:space="preserve"> REF _Ref324836922 \r \h  \* MERGEFORMAT </w:instrText>
      </w:r>
      <w:r w:rsidRPr="004A04AC">
        <w:fldChar w:fldCharType="separate"/>
      </w:r>
      <w:r w:rsidR="00372340">
        <w:t>(c)</w:t>
      </w:r>
      <w:r w:rsidRPr="004A04AC">
        <w:fldChar w:fldCharType="end"/>
      </w:r>
      <w:r w:rsidRPr="004A04AC">
        <w:t xml:space="preserve">, the impact on the capital base will be two separate amounts and these need to be included in the aggregation formula. </w:t>
      </w:r>
    </w:p>
    <w:p w14:paraId="696AFD2E" w14:textId="12C12027" w:rsidR="0009691D" w:rsidRPr="004A04AC" w:rsidRDefault="0009691D" w:rsidP="0009691D">
      <w:pPr>
        <w:pStyle w:val="BodyText1"/>
      </w:pPr>
      <w:r w:rsidRPr="004A04AC">
        <w:t xml:space="preserve">For the purposes of paragraph </w:t>
      </w:r>
      <w:r w:rsidRPr="004A04AC">
        <w:fldChar w:fldCharType="begin"/>
      </w:r>
      <w:r w:rsidRPr="004A04AC">
        <w:instrText xml:space="preserve"> REF _Ref324836304 \r \h  \* MERGEFORMAT </w:instrText>
      </w:r>
      <w:r w:rsidRPr="004A04AC">
        <w:fldChar w:fldCharType="separate"/>
      </w:r>
      <w:r w:rsidR="00372340">
        <w:t>12</w:t>
      </w:r>
      <w:r w:rsidRPr="004A04AC">
        <w:fldChar w:fldCharType="end"/>
      </w:r>
      <w:r w:rsidRPr="004A04AC">
        <w:t>, no risk charge component may be negative and, therefore, if there is no fall in the capital base of the fund due to the application of the stresses, the risk charge component is assumed to be zero.</w:t>
      </w:r>
    </w:p>
    <w:p w14:paraId="56DF0D2A" w14:textId="77777777" w:rsidR="0009691D" w:rsidRPr="004A04AC" w:rsidRDefault="0009691D" w:rsidP="0009691D">
      <w:pPr>
        <w:pStyle w:val="Heading3"/>
      </w:pPr>
      <w:bookmarkStart w:id="40" w:name="_Toc107246674"/>
      <w:bookmarkStart w:id="41" w:name="_Toc109652596"/>
      <w:r w:rsidRPr="004A04AC">
        <w:t>Tax benefits</w:t>
      </w:r>
      <w:bookmarkEnd w:id="40"/>
      <w:bookmarkEnd w:id="41"/>
    </w:p>
    <w:p w14:paraId="5AF08A49" w14:textId="135FC081" w:rsidR="00E83A76" w:rsidRDefault="0009691D" w:rsidP="0009691D">
      <w:pPr>
        <w:pStyle w:val="BodyText1"/>
      </w:pPr>
      <w:r w:rsidRPr="004A04AC">
        <w:t xml:space="preserve">Any tax benefits that would arise from scenarios modelled by the asset risk stresses should be assumed to be realisable for the purpose of determining the Asset Risk Charge. An adjustment must be made to the </w:t>
      </w:r>
      <w:r w:rsidRPr="004A04AC">
        <w:rPr>
          <w:b/>
        </w:rPr>
        <w:t>prescribed capital amount</w:t>
      </w:r>
      <w:r w:rsidRPr="004A04AC">
        <w:t xml:space="preserve"> when the capital charges are aggregated, if some or all of the tax benefits cannot be offset against deferred tax liabilities. This adjustment is specified in </w:t>
      </w:r>
      <w:r w:rsidRPr="004A04AC">
        <w:rPr>
          <w:i/>
        </w:rPr>
        <w:t>Prudential Standard LPS 110 Capital Adequacy</w:t>
      </w:r>
      <w:r w:rsidRPr="004A04AC">
        <w:t xml:space="preserve"> (LPS 110).</w:t>
      </w:r>
    </w:p>
    <w:p w14:paraId="093728B7" w14:textId="77777777" w:rsidR="0009691D" w:rsidRPr="004A04AC" w:rsidRDefault="0009691D" w:rsidP="0009691D">
      <w:pPr>
        <w:pStyle w:val="Heading1"/>
      </w:pPr>
      <w:bookmarkStart w:id="42" w:name="_Toc88828572"/>
      <w:bookmarkStart w:id="43" w:name="_Toc107246675"/>
      <w:bookmarkStart w:id="44" w:name="_Toc109652597"/>
      <w:bookmarkStart w:id="45" w:name="Assetsandliabilitiestobestressed"/>
      <w:r w:rsidRPr="004A04AC">
        <w:t>Assets and liabilities to be stressed</w:t>
      </w:r>
      <w:bookmarkEnd w:id="42"/>
      <w:bookmarkEnd w:id="43"/>
      <w:bookmarkEnd w:id="44"/>
    </w:p>
    <w:bookmarkEnd w:id="45"/>
    <w:p w14:paraId="2421ADF4" w14:textId="77777777" w:rsidR="0009691D" w:rsidRPr="004A04AC" w:rsidRDefault="0009691D" w:rsidP="0009691D">
      <w:pPr>
        <w:pStyle w:val="BodyText1"/>
      </w:pPr>
      <w:r w:rsidRPr="004A04AC">
        <w:t xml:space="preserve">In determining each risk charge component, a life company must include the effective </w:t>
      </w:r>
      <w:r w:rsidRPr="004A04AC">
        <w:rPr>
          <w:rFonts w:cs="Arial"/>
        </w:rPr>
        <w:t>exposure of the fund’s</w:t>
      </w:r>
      <w:r w:rsidRPr="004A04AC">
        <w:t xml:space="preserve"> assets and liabilities to each of the risks if the exposure is impacted by the stress test. Insurance policy receivables and payables included in the liability adjustment calculation </w:t>
      </w:r>
      <w:r>
        <w:t xml:space="preserve">(gross of any tax effects) </w:t>
      </w:r>
      <w:r w:rsidRPr="004A04AC">
        <w:t>must also be considered. Some assets and liabilities may have effective exposures to multiple risks.</w:t>
      </w:r>
    </w:p>
    <w:p w14:paraId="3B1B2955" w14:textId="77777777" w:rsidR="0009691D" w:rsidRPr="004A04AC" w:rsidRDefault="0009691D" w:rsidP="0009691D">
      <w:pPr>
        <w:pStyle w:val="BodyText1"/>
      </w:pPr>
      <w:r w:rsidRPr="004A04AC">
        <w:t xml:space="preserve">Investment income receivables must be included with the asset that generated the income and then subject to the appropriate stress tests.  </w:t>
      </w:r>
    </w:p>
    <w:p w14:paraId="1C0D647E" w14:textId="77777777" w:rsidR="0009691D" w:rsidRPr="004A04AC" w:rsidRDefault="0009691D" w:rsidP="0009691D">
      <w:pPr>
        <w:pStyle w:val="BodyText1"/>
      </w:pPr>
      <w:r w:rsidRPr="004A04AC">
        <w:t xml:space="preserve">Changes to asset values may affect the valuation of </w:t>
      </w:r>
      <w:r w:rsidRPr="004A04AC">
        <w:rPr>
          <w:b/>
        </w:rPr>
        <w:t>policy liabilities</w:t>
      </w:r>
      <w:r w:rsidRPr="004A04AC">
        <w:t xml:space="preserve"> where policies include </w:t>
      </w:r>
      <w:r w:rsidRPr="004A04AC">
        <w:rPr>
          <w:b/>
        </w:rPr>
        <w:t>discretionary participation features</w:t>
      </w:r>
      <w:r w:rsidRPr="004A04AC">
        <w:t xml:space="preserve">. The amount of other assets and liabilities, such as tax assets and tax liabilities, may also be indirectly affected by the prescribed stresses. </w:t>
      </w:r>
    </w:p>
    <w:p w14:paraId="48D4FB9B" w14:textId="77777777" w:rsidR="0009691D" w:rsidRPr="004A04AC" w:rsidRDefault="0009691D" w:rsidP="0009691D">
      <w:pPr>
        <w:pStyle w:val="BodyText1"/>
      </w:pPr>
      <w:bookmarkStart w:id="46" w:name="_Ref324837744"/>
      <w:r w:rsidRPr="004A04AC">
        <w:t>The following assets and liabilities must not be stressed:</w:t>
      </w:r>
      <w:bookmarkEnd w:id="46"/>
    </w:p>
    <w:p w14:paraId="2DC54E3D" w14:textId="77777777" w:rsidR="0009691D" w:rsidRPr="004A04AC" w:rsidRDefault="0009691D" w:rsidP="0009691D">
      <w:pPr>
        <w:pStyle w:val="BodyText2"/>
      </w:pPr>
      <w:r w:rsidRPr="004A04AC">
        <w:t xml:space="preserve">assets whose value must be deducted from the capital base in </w:t>
      </w:r>
      <w:r w:rsidRPr="004A04AC">
        <w:rPr>
          <w:i/>
        </w:rPr>
        <w:t xml:space="preserve">Prudential Standard LPS 112 Capital Adequacy: Measurement of Capital </w:t>
      </w:r>
      <w:r w:rsidRPr="004A04AC">
        <w:t>(LPS 112) (e.g. goodwill in subsidiaries); and</w:t>
      </w:r>
    </w:p>
    <w:p w14:paraId="05574757" w14:textId="1CD7B2E0" w:rsidR="0009691D" w:rsidRPr="004A04AC" w:rsidRDefault="0009691D" w:rsidP="0009691D">
      <w:pPr>
        <w:pStyle w:val="BodyText2"/>
      </w:pPr>
      <w:r w:rsidRPr="004A04AC">
        <w:t>any part of assets in excess of the asset concentration limits specified</w:t>
      </w:r>
      <w:r w:rsidRPr="004A04AC">
        <w:rPr>
          <w:i/>
        </w:rPr>
        <w:t xml:space="preserve"> </w:t>
      </w:r>
      <w:r w:rsidRPr="004A04AC">
        <w:t>in</w:t>
      </w:r>
      <w:r w:rsidRPr="004A04AC">
        <w:rPr>
          <w:i/>
        </w:rPr>
        <w:t xml:space="preserve"> Prudential Standard LPS 117 Capital Adequacy: Asset Concentration Risk Charge</w:t>
      </w:r>
      <w:r w:rsidR="00A120BF">
        <w:rPr>
          <w:i/>
        </w:rPr>
        <w:t xml:space="preserve"> </w:t>
      </w:r>
      <w:r w:rsidR="00A120BF">
        <w:t>(LPS 117)</w:t>
      </w:r>
      <w:r w:rsidRPr="004A04AC">
        <w:t>.</w:t>
      </w:r>
    </w:p>
    <w:p w14:paraId="00588B88" w14:textId="1DC1ECCD" w:rsidR="0009691D" w:rsidRDefault="0009691D" w:rsidP="0009691D">
      <w:pPr>
        <w:pStyle w:val="BodyText1"/>
      </w:pPr>
      <w:r w:rsidRPr="004A04AC">
        <w:t xml:space="preserve">In addition to paragraph </w:t>
      </w:r>
      <w:r w:rsidRPr="004A04AC">
        <w:fldChar w:fldCharType="begin"/>
      </w:r>
      <w:r w:rsidRPr="004A04AC">
        <w:instrText xml:space="preserve"> REF _Ref324837744 \r \h  \* MERGEFORMAT </w:instrText>
      </w:r>
      <w:r w:rsidRPr="004A04AC">
        <w:fldChar w:fldCharType="separate"/>
      </w:r>
      <w:r w:rsidR="00372340">
        <w:t>18</w:t>
      </w:r>
      <w:r w:rsidRPr="004A04AC">
        <w:fldChar w:fldCharType="end"/>
      </w:r>
      <w:r w:rsidRPr="004A04AC">
        <w:t xml:space="preserve">, a life company that is an employer sponsor of a defined benefit superannuation fund does not need to reassess any deficit in the fund as a result of the seven stress tests, unless the life company has provided a guarantee in relation to the benefits. </w:t>
      </w:r>
    </w:p>
    <w:p w14:paraId="5FED995A" w14:textId="10E36464" w:rsidR="0009691D" w:rsidRPr="004A04AC" w:rsidRDefault="0009691D" w:rsidP="0009691D">
      <w:pPr>
        <w:pStyle w:val="BodyText1"/>
      </w:pPr>
      <w:r w:rsidRPr="00FD5989">
        <w:lastRenderedPageBreak/>
        <w:t xml:space="preserve">The stress tests must be applied to the </w:t>
      </w:r>
      <w:r w:rsidRPr="00AF755D">
        <w:rPr>
          <w:b/>
        </w:rPr>
        <w:t>fair value</w:t>
      </w:r>
      <w:r w:rsidRPr="00FD5989">
        <w:t xml:space="preserve"> of each of the </w:t>
      </w:r>
      <w:r>
        <w:t>life company</w:t>
      </w:r>
      <w:r w:rsidRPr="00FD5989">
        <w:t>’s assets</w:t>
      </w:r>
      <w:r>
        <w:t xml:space="preserve">. A life company may measure its non-financial assets, short term receivables and intercompany receivables and payables using the requirements in Australian Accounting Standards </w:t>
      </w:r>
      <w:r w:rsidR="00FF58F9">
        <w:t xml:space="preserve">rather than </w:t>
      </w:r>
      <w:r>
        <w:t>fair value.</w:t>
      </w:r>
      <w:r w:rsidRPr="00FD5989">
        <w:rPr>
          <w:rStyle w:val="FootnoteReference"/>
        </w:rPr>
        <w:footnoteReference w:id="4"/>
      </w:r>
      <w:r w:rsidRPr="00FD5989">
        <w:t xml:space="preserve"> </w:t>
      </w:r>
    </w:p>
    <w:p w14:paraId="39689017" w14:textId="77777777" w:rsidR="0009691D" w:rsidRPr="004A04AC" w:rsidRDefault="0009691D" w:rsidP="0009691D">
      <w:pPr>
        <w:pStyle w:val="Heading3"/>
      </w:pPr>
      <w:bookmarkStart w:id="47" w:name="_Toc107246676"/>
      <w:bookmarkStart w:id="48" w:name="_Toc109652598"/>
      <w:r w:rsidRPr="004A04AC">
        <w:t>Off-balance sheet exposures</w:t>
      </w:r>
      <w:bookmarkEnd w:id="47"/>
      <w:bookmarkEnd w:id="48"/>
    </w:p>
    <w:p w14:paraId="7B6C9D2A" w14:textId="77777777" w:rsidR="0009691D" w:rsidRPr="004A04AC" w:rsidRDefault="0009691D" w:rsidP="0009691D">
      <w:pPr>
        <w:pStyle w:val="BodyText1"/>
      </w:pPr>
      <w:r w:rsidRPr="004A04AC">
        <w:t>A fund may be exposed to various asset risks through transactions or dealings other than those reflected on its balance sheet. Each of the stress tests must include any changes to the fund’s on-balance sheet assets and liabilities that would result from application of the stresses to the fund’s off-balance sheet exposures. A life company must use effective exposure for any off-balance sheet exposures of the fund. Detailed information on the treatment of off-balance sheet exposures is set out in Attachment A.</w:t>
      </w:r>
    </w:p>
    <w:p w14:paraId="10D65A28" w14:textId="77777777" w:rsidR="0009691D" w:rsidRPr="004A04AC" w:rsidRDefault="0009691D" w:rsidP="0009691D">
      <w:pPr>
        <w:pStyle w:val="Heading3"/>
      </w:pPr>
      <w:bookmarkStart w:id="49" w:name="_Toc107246677"/>
      <w:bookmarkStart w:id="50" w:name="_Toc109652599"/>
      <w:r w:rsidRPr="004A04AC">
        <w:t>Collateral and guarantees</w:t>
      </w:r>
      <w:bookmarkEnd w:id="49"/>
      <w:bookmarkEnd w:id="50"/>
    </w:p>
    <w:p w14:paraId="436D9F03" w14:textId="77777777" w:rsidR="00582DB4" w:rsidRDefault="0009691D" w:rsidP="0009691D">
      <w:pPr>
        <w:pStyle w:val="BodyText1"/>
      </w:pPr>
      <w:bookmarkStart w:id="51" w:name="_Ref105671194"/>
      <w:r w:rsidRPr="004A04AC">
        <w:t xml:space="preserve">The impact of applying the asset risk stresses may be reduced where the life company holds certain types of collateral against an asset, or where the asset has been guaranteed. </w:t>
      </w:r>
      <w:r w:rsidR="00582DB4">
        <w:t>Collateral held against an asset may be considered in place of the asset if this would reduce the Asset Risk Charge. The stresses applied in the credit spreads and default stresses may be determined using the counterparty grade of a third-party guarantor. For a particular arrangement to be eligible for such treatment, it must be an arrangement of a kind that complies with the requirements of:</w:t>
      </w:r>
      <w:bookmarkEnd w:id="51"/>
      <w:r w:rsidR="00582DB4">
        <w:t xml:space="preserve"> </w:t>
      </w:r>
    </w:p>
    <w:p w14:paraId="0C5F68A9" w14:textId="545793A5" w:rsidR="00582DB4" w:rsidRPr="00582DB4" w:rsidRDefault="00582DB4" w:rsidP="00582DB4">
      <w:pPr>
        <w:pStyle w:val="ListParagraph"/>
        <w:numPr>
          <w:ilvl w:val="0"/>
          <w:numId w:val="39"/>
        </w:numPr>
        <w:spacing w:after="240"/>
        <w:ind w:left="993"/>
        <w:contextualSpacing w:val="0"/>
        <w:rPr>
          <w:color w:val="000000"/>
          <w:szCs w:val="24"/>
        </w:rPr>
      </w:pPr>
      <w:r w:rsidRPr="00582DB4">
        <w:rPr>
          <w:color w:val="000000"/>
          <w:szCs w:val="24"/>
        </w:rPr>
        <w:t xml:space="preserve">paragraphs 32 to 39 of </w:t>
      </w:r>
      <w:r w:rsidR="00401307">
        <w:rPr>
          <w:color w:val="000000"/>
          <w:szCs w:val="24"/>
        </w:rPr>
        <w:t>Prudential Standard LPS 117 Capital Adequacy: Asset Concentration Risk Charge (</w:t>
      </w:r>
      <w:r w:rsidRPr="00582DB4">
        <w:rPr>
          <w:color w:val="000000"/>
          <w:szCs w:val="24"/>
        </w:rPr>
        <w:t>LPS 117</w:t>
      </w:r>
      <w:r w:rsidR="00401307">
        <w:rPr>
          <w:color w:val="000000"/>
          <w:szCs w:val="24"/>
        </w:rPr>
        <w:t>)</w:t>
      </w:r>
      <w:r w:rsidRPr="00582DB4">
        <w:rPr>
          <w:color w:val="000000"/>
          <w:szCs w:val="24"/>
        </w:rPr>
        <w:t xml:space="preserve"> in the case of collateral; and </w:t>
      </w:r>
    </w:p>
    <w:p w14:paraId="433EE3A0" w14:textId="77777777" w:rsidR="00582DB4" w:rsidRPr="00582DB4" w:rsidRDefault="00582DB4" w:rsidP="00582DB4">
      <w:pPr>
        <w:pStyle w:val="ListParagraph"/>
        <w:numPr>
          <w:ilvl w:val="0"/>
          <w:numId w:val="39"/>
        </w:numPr>
        <w:spacing w:after="240"/>
        <w:ind w:left="993"/>
        <w:contextualSpacing w:val="0"/>
        <w:rPr>
          <w:color w:val="000000"/>
          <w:szCs w:val="24"/>
        </w:rPr>
      </w:pPr>
      <w:r w:rsidRPr="00582DB4">
        <w:rPr>
          <w:color w:val="000000"/>
          <w:szCs w:val="24"/>
        </w:rPr>
        <w:t xml:space="preserve">paragraphs 40 to 42 of LPS 117 in the case of guarantees and letters of credit. </w:t>
      </w:r>
    </w:p>
    <w:p w14:paraId="5EAF4EDC" w14:textId="6A8DD9A5" w:rsidR="00582DB4" w:rsidRPr="00582DB4" w:rsidRDefault="00582DB4" w:rsidP="00582DB4">
      <w:pPr>
        <w:pStyle w:val="BodyText1"/>
      </w:pPr>
      <w:bookmarkStart w:id="52" w:name="_Ref105671205"/>
      <w:r w:rsidRPr="00582DB4">
        <w:t xml:space="preserve">Notwithstanding paragraph </w:t>
      </w:r>
      <w:r>
        <w:fldChar w:fldCharType="begin"/>
      </w:r>
      <w:r>
        <w:instrText xml:space="preserve"> REF _Ref105671194 \r \h </w:instrText>
      </w:r>
      <w:r>
        <w:fldChar w:fldCharType="separate"/>
      </w:r>
      <w:r w:rsidR="00372340">
        <w:t>22</w:t>
      </w:r>
      <w:r>
        <w:fldChar w:fldCharType="end"/>
      </w:r>
      <w:r w:rsidRPr="00582DB4">
        <w:t>, the recognition of collateral, guarantees and letters of credit for the purposes of applying the asset risk stresses</w:t>
      </w:r>
      <w:r w:rsidR="009C6153">
        <w:t xml:space="preserve"> </w:t>
      </w:r>
      <w:r w:rsidRPr="00582DB4">
        <w:t>is subject to the limits specified in paragraphs 43 to 44 of LPS 117.</w:t>
      </w:r>
      <w:bookmarkEnd w:id="52"/>
      <w:r w:rsidRPr="00582DB4">
        <w:t xml:space="preserve"> </w:t>
      </w:r>
    </w:p>
    <w:p w14:paraId="0A4D7ACA" w14:textId="5AB9C0FD" w:rsidR="0009691D" w:rsidRPr="004A04AC" w:rsidRDefault="00582DB4" w:rsidP="00A120BF">
      <w:pPr>
        <w:pStyle w:val="BodyText1"/>
        <w:numPr>
          <w:ilvl w:val="0"/>
          <w:numId w:val="0"/>
        </w:numPr>
        <w:ind w:left="567"/>
      </w:pPr>
      <w:r w:rsidRPr="00582DB4">
        <w:t xml:space="preserve">APRA may require a life company to apply a specified treatment to reinsurance assets supported by collateral, guarantees or letters of credit, rather than the treatment that would otherwise apply under paragraphs </w:t>
      </w:r>
      <w:r>
        <w:fldChar w:fldCharType="begin"/>
      </w:r>
      <w:r>
        <w:instrText xml:space="preserve"> REF _Ref105671194 \r \h </w:instrText>
      </w:r>
      <w:r>
        <w:fldChar w:fldCharType="separate"/>
      </w:r>
      <w:r w:rsidR="00372340">
        <w:t>22</w:t>
      </w:r>
      <w:r>
        <w:fldChar w:fldCharType="end"/>
      </w:r>
      <w:r>
        <w:t xml:space="preserve"> </w:t>
      </w:r>
      <w:r w:rsidRPr="00582DB4">
        <w:t xml:space="preserve">and </w:t>
      </w:r>
      <w:r>
        <w:fldChar w:fldCharType="begin"/>
      </w:r>
      <w:r>
        <w:instrText xml:space="preserve"> REF _Ref105671205 \r \h </w:instrText>
      </w:r>
      <w:r>
        <w:fldChar w:fldCharType="separate"/>
      </w:r>
      <w:r w:rsidR="00372340">
        <w:t>23</w:t>
      </w:r>
      <w:r>
        <w:fldChar w:fldCharType="end"/>
      </w:r>
      <w:r w:rsidRPr="00582DB4">
        <w:t>.</w:t>
      </w:r>
    </w:p>
    <w:p w14:paraId="596C4B15" w14:textId="77777777" w:rsidR="0009691D" w:rsidRPr="004A04AC" w:rsidRDefault="0009691D" w:rsidP="0009691D">
      <w:pPr>
        <w:pStyle w:val="Heading3"/>
      </w:pPr>
      <w:bookmarkStart w:id="53" w:name="_Toc107246678"/>
      <w:bookmarkStart w:id="54" w:name="_Toc109652600"/>
      <w:r w:rsidRPr="004A04AC">
        <w:t>Treatment of specific asset classes</w:t>
      </w:r>
      <w:bookmarkEnd w:id="53"/>
      <w:bookmarkEnd w:id="54"/>
    </w:p>
    <w:p w14:paraId="2A894B35" w14:textId="77777777" w:rsidR="0009691D" w:rsidRPr="004A04AC" w:rsidRDefault="0009691D" w:rsidP="0009691D">
      <w:pPr>
        <w:pStyle w:val="BodyText1"/>
      </w:pPr>
      <w:r w:rsidRPr="004A04AC">
        <w:t>Hybrid assets such as convertible notes must be split into their interest-bearing and equity/option exposures. A life company must consider the changes in value of the two exposures separately for each of the asset risk stresses.</w:t>
      </w:r>
    </w:p>
    <w:p w14:paraId="7016FD47" w14:textId="77777777" w:rsidR="0009691D" w:rsidRPr="004A04AC" w:rsidRDefault="0009691D" w:rsidP="0009691D">
      <w:pPr>
        <w:pStyle w:val="BodyText1"/>
      </w:pPr>
      <w:r w:rsidRPr="004A04AC">
        <w:lastRenderedPageBreak/>
        <w:t>For assets of a life company held under a trust or in a controlled investment entity,</w:t>
      </w:r>
      <w:r w:rsidRPr="004A04AC">
        <w:rPr>
          <w:rStyle w:val="FootnoteReference"/>
        </w:rPr>
        <w:footnoteReference w:id="5"/>
      </w:r>
      <w:r w:rsidRPr="004A04AC">
        <w:t xml:space="preserve"> the life company may calculate the Asset Risk Charge by looking-through to the assets and liabilities of the trust. Alternatively, the investment may be treated as an equity asset (a listed equity asset if the investment is listed, or an unlisted equity asset if the investment is unlisted). Look-through must be used if the trust or controlled investment entity is both unlisted and geared.</w:t>
      </w:r>
      <w:r w:rsidRPr="004A04AC">
        <w:rPr>
          <w:rStyle w:val="FootnoteReference"/>
        </w:rPr>
        <w:footnoteReference w:id="6"/>
      </w:r>
      <w:r w:rsidRPr="004A04AC">
        <w:t xml:space="preserve"> </w:t>
      </w:r>
    </w:p>
    <w:p w14:paraId="3CFF8281" w14:textId="77777777" w:rsidR="0009691D" w:rsidRPr="004A04AC" w:rsidRDefault="0009691D" w:rsidP="0009691D">
      <w:pPr>
        <w:pStyle w:val="BodyText1"/>
      </w:pPr>
      <w:r w:rsidRPr="004A04AC">
        <w:t>A security that is the subject of a repurchase or securities lending agreement must be treated as if it were still owned by the lender of the security. Any counterparty risk that arises from the transaction must be recognised in the default stress.</w:t>
      </w:r>
    </w:p>
    <w:p w14:paraId="313E767E" w14:textId="77777777" w:rsidR="0009691D" w:rsidRPr="004A04AC" w:rsidRDefault="0009691D" w:rsidP="0009691D">
      <w:pPr>
        <w:pStyle w:val="BodyText1"/>
      </w:pPr>
      <w:r w:rsidRPr="004A04AC">
        <w:t xml:space="preserve">Term deposits issued by an </w:t>
      </w:r>
      <w:r w:rsidRPr="004A04AC">
        <w:rPr>
          <w:b/>
        </w:rPr>
        <w:t>authorised deposit-taking institution</w:t>
      </w:r>
      <w:r w:rsidRPr="004A04AC">
        <w:t xml:space="preserve"> (ADI) must be treated in the same way as a corporate bond issued by the ADI. If the ADI guarantees a minimum amount on early redemption, the minimum amount may be recognised as a floor to the stressed value of the asset in each of the real interest rates and expected inflation stresses. In the credit spreads stress the minimum amount may be recognised as a floor to the stressed value, but it must be reduced by multiplying it by (1 – default factor).</w:t>
      </w:r>
    </w:p>
    <w:p w14:paraId="44547B44" w14:textId="77777777" w:rsidR="0009691D" w:rsidRPr="004A04AC" w:rsidRDefault="0009691D" w:rsidP="0009691D">
      <w:pPr>
        <w:pStyle w:val="Heading3"/>
      </w:pPr>
      <w:bookmarkStart w:id="55" w:name="_Toc107246679"/>
      <w:bookmarkStart w:id="56" w:name="_Toc109652601"/>
      <w:r w:rsidRPr="004A04AC">
        <w:t>Derivatives</w:t>
      </w:r>
      <w:bookmarkEnd w:id="55"/>
      <w:bookmarkEnd w:id="56"/>
    </w:p>
    <w:p w14:paraId="7809C215" w14:textId="77777777" w:rsidR="0009691D" w:rsidRPr="004A04AC" w:rsidRDefault="0009691D" w:rsidP="0009691D">
      <w:pPr>
        <w:pStyle w:val="BodyText1"/>
      </w:pPr>
      <w:r w:rsidRPr="004A04AC">
        <w:t>Derivatives include forwards, futures, swaps, options and other similar contracts. Derivatives expose life companies to the full range of investment risks, even though in many cases there may be no, or only a very small, initial outlay.</w:t>
      </w:r>
    </w:p>
    <w:p w14:paraId="29678C6D" w14:textId="77777777" w:rsidR="0009691D" w:rsidRPr="004A04AC" w:rsidRDefault="0009691D" w:rsidP="0009691D">
      <w:pPr>
        <w:pStyle w:val="BodyText1"/>
      </w:pPr>
      <w:r w:rsidRPr="004A04AC">
        <w:t>Changes to the capital base that would arise from changes in the value of derivatives must be included in the risk charges arising from each of the asset risk stresses.</w:t>
      </w:r>
    </w:p>
    <w:p w14:paraId="0483018D" w14:textId="77777777" w:rsidR="0009691D" w:rsidRPr="004A04AC" w:rsidRDefault="0009691D" w:rsidP="0009691D">
      <w:pPr>
        <w:pStyle w:val="BodyText1"/>
      </w:pPr>
      <w:r w:rsidRPr="004A04AC">
        <w:t>A capital charge must be applied to the fair value of over-the-counter derivatives in the default stress to allow for the risk of counterparty default. This is in addition to any charges that would arise from other asset risk stresses.</w:t>
      </w:r>
    </w:p>
    <w:p w14:paraId="30DF2A6E" w14:textId="77777777" w:rsidR="0009691D" w:rsidRPr="004A04AC" w:rsidRDefault="0009691D" w:rsidP="0009691D">
      <w:pPr>
        <w:pStyle w:val="Heading3"/>
      </w:pPr>
      <w:bookmarkStart w:id="57" w:name="_Toc107246680"/>
      <w:bookmarkStart w:id="58" w:name="_Toc109652602"/>
      <w:r w:rsidRPr="004A04AC">
        <w:t>Extended Licence Entity</w:t>
      </w:r>
      <w:bookmarkEnd w:id="57"/>
      <w:bookmarkEnd w:id="58"/>
    </w:p>
    <w:p w14:paraId="7C6B9E3E" w14:textId="232DA0C0" w:rsidR="0009691D" w:rsidRPr="004A04AC" w:rsidRDefault="0009691D" w:rsidP="0009691D">
      <w:pPr>
        <w:pStyle w:val="BodyText1"/>
      </w:pPr>
      <w:r w:rsidRPr="004A04AC">
        <w:t xml:space="preserve">In certain circumstances, a life company may choose to hold assets in a </w:t>
      </w:r>
      <w:r w:rsidRPr="004A04AC">
        <w:rPr>
          <w:b/>
        </w:rPr>
        <w:t>Special Purpose Vehicle</w:t>
      </w:r>
      <w:r w:rsidRPr="004A04AC">
        <w:t xml:space="preserve"> (SPV) or other </w:t>
      </w:r>
      <w:r w:rsidRPr="004A04AC">
        <w:rPr>
          <w:b/>
        </w:rPr>
        <w:t>related entity</w:t>
      </w:r>
      <w:r w:rsidRPr="004A04AC">
        <w:t xml:space="preserve">, rather than on its own balance sheet. Detailed information on the treatment of an ‘Extended Licence Entity’ (ELE) is set out in Attachment </w:t>
      </w:r>
      <w:r w:rsidR="00C436F1">
        <w:t>B</w:t>
      </w:r>
      <w:r w:rsidRPr="004A04AC">
        <w:t>.</w:t>
      </w:r>
    </w:p>
    <w:p w14:paraId="214C25C3" w14:textId="77777777" w:rsidR="0009691D" w:rsidRPr="004A04AC" w:rsidRDefault="0009691D" w:rsidP="0009691D">
      <w:pPr>
        <w:pStyle w:val="Heading1"/>
      </w:pPr>
      <w:bookmarkStart w:id="59" w:name="_Toc88828573"/>
      <w:bookmarkStart w:id="60" w:name="_Toc107246681"/>
      <w:bookmarkStart w:id="61" w:name="_Toc109652603"/>
      <w:bookmarkStart w:id="62" w:name="Managementactions"/>
      <w:r w:rsidRPr="004A04AC">
        <w:t>Management actions</w:t>
      </w:r>
      <w:bookmarkEnd w:id="59"/>
      <w:bookmarkEnd w:id="60"/>
      <w:bookmarkEnd w:id="61"/>
    </w:p>
    <w:bookmarkEnd w:id="62"/>
    <w:p w14:paraId="01516FFA" w14:textId="77777777" w:rsidR="0009691D" w:rsidRPr="004A04AC" w:rsidRDefault="0009691D" w:rsidP="0009691D">
      <w:pPr>
        <w:pStyle w:val="BodyText1"/>
      </w:pPr>
      <w:r w:rsidRPr="004A04AC">
        <w:t xml:space="preserve">When determining the change in liabilities in response to each of the asset stresses, a life company must make allowance for the actions that it could take in response to each of the stresses. </w:t>
      </w:r>
    </w:p>
    <w:p w14:paraId="2C417DE6" w14:textId="77777777" w:rsidR="0009691D" w:rsidRPr="004A04AC" w:rsidRDefault="0009691D" w:rsidP="0009691D">
      <w:pPr>
        <w:pStyle w:val="BodyText1"/>
      </w:pPr>
      <w:r w:rsidRPr="004A04AC">
        <w:lastRenderedPageBreak/>
        <w:t>These actions may include, but are not limited to:</w:t>
      </w:r>
    </w:p>
    <w:p w14:paraId="67879D3F" w14:textId="77777777" w:rsidR="0009691D" w:rsidRPr="004A04AC" w:rsidRDefault="0009691D" w:rsidP="0009691D">
      <w:pPr>
        <w:pStyle w:val="BodyText2"/>
      </w:pPr>
      <w:r w:rsidRPr="004A04AC">
        <w:t xml:space="preserve">reducing termination values; </w:t>
      </w:r>
    </w:p>
    <w:p w14:paraId="58A8642C" w14:textId="77777777" w:rsidR="0009691D" w:rsidRPr="004A04AC" w:rsidRDefault="0009691D" w:rsidP="0009691D">
      <w:pPr>
        <w:pStyle w:val="BodyText2"/>
      </w:pPr>
      <w:r w:rsidRPr="004A04AC">
        <w:t>reducing future discretionary additions to benefits; and</w:t>
      </w:r>
    </w:p>
    <w:p w14:paraId="4F17CBE4" w14:textId="77777777" w:rsidR="0009691D" w:rsidRPr="004A04AC" w:rsidRDefault="0009691D" w:rsidP="0009691D">
      <w:pPr>
        <w:pStyle w:val="BodyText2"/>
      </w:pPr>
      <w:r w:rsidRPr="004A04AC">
        <w:t>altering the asset exposures of the fund after the stresses have occurred.</w:t>
      </w:r>
    </w:p>
    <w:p w14:paraId="5EF5D6D9" w14:textId="77777777" w:rsidR="0009691D" w:rsidRPr="004A04AC" w:rsidRDefault="0009691D" w:rsidP="0009691D">
      <w:pPr>
        <w:pStyle w:val="BodyText1"/>
      </w:pPr>
      <w:r w:rsidRPr="004A04AC">
        <w:t>The allowances for management actions must be appropriate, justifiable and equitable. Any representations made in the relevant product disclosure documents must be taken into account in determining the management actions that would be applied. Management actions must satisfy policy owners’ reasonable expectations.</w:t>
      </w:r>
    </w:p>
    <w:p w14:paraId="184027B0" w14:textId="77777777" w:rsidR="0009691D" w:rsidRPr="004A04AC" w:rsidRDefault="0009691D" w:rsidP="0009691D">
      <w:pPr>
        <w:pStyle w:val="BodyText1"/>
      </w:pPr>
      <w:r w:rsidRPr="004A04AC">
        <w:t xml:space="preserve">It must not be assumed that termination values will be reduced below </w:t>
      </w:r>
      <w:r w:rsidRPr="004A04AC">
        <w:rPr>
          <w:b/>
        </w:rPr>
        <w:t>minimum termination values</w:t>
      </w:r>
      <w:r w:rsidRPr="004A04AC">
        <w:t>. It may be assumed that termination values are reduced at the reporting date.</w:t>
      </w:r>
    </w:p>
    <w:p w14:paraId="703F5125" w14:textId="77777777" w:rsidR="0009691D" w:rsidRPr="004A04AC" w:rsidRDefault="0009691D" w:rsidP="0009691D">
      <w:pPr>
        <w:pStyle w:val="BodyText1"/>
      </w:pPr>
      <w:r w:rsidRPr="004A04AC">
        <w:t>The management actions assumed for friendly societies must be in accordance with the existing rules of the benefit fund and not the broader management actions that may be accessed through a process of amending those rules.</w:t>
      </w:r>
    </w:p>
    <w:p w14:paraId="4818D9D9" w14:textId="77777777" w:rsidR="0009691D" w:rsidRPr="004A04AC" w:rsidRDefault="0009691D" w:rsidP="00B4062F">
      <w:pPr>
        <w:pStyle w:val="Heading1"/>
      </w:pPr>
      <w:bookmarkStart w:id="63" w:name="_Toc88828574"/>
      <w:bookmarkStart w:id="64" w:name="_Toc107246682"/>
      <w:bookmarkStart w:id="65" w:name="_Toc109652604"/>
      <w:bookmarkStart w:id="66" w:name="Realinterestratesstress"/>
      <w:r w:rsidRPr="004A04AC">
        <w:t>Real interest rates stress</w:t>
      </w:r>
      <w:bookmarkEnd w:id="63"/>
      <w:bookmarkEnd w:id="64"/>
      <w:bookmarkEnd w:id="65"/>
    </w:p>
    <w:p w14:paraId="7C6A38C3" w14:textId="77777777" w:rsidR="0009691D" w:rsidRPr="004A04AC" w:rsidRDefault="0009691D" w:rsidP="00B4062F">
      <w:pPr>
        <w:pStyle w:val="BodyText1"/>
      </w:pPr>
      <w:bookmarkStart w:id="67" w:name="_Ref324836565"/>
      <w:bookmarkEnd w:id="66"/>
      <w:r w:rsidRPr="004A04AC">
        <w:t>This stress measures the impact on the capital base of a fund from changes in real interest rates.</w:t>
      </w:r>
      <w:bookmarkEnd w:id="67"/>
    </w:p>
    <w:p w14:paraId="1210965D" w14:textId="77777777" w:rsidR="0009691D" w:rsidRPr="004A04AC" w:rsidRDefault="0009691D" w:rsidP="00B4062F">
      <w:pPr>
        <w:pStyle w:val="BodyText1"/>
      </w:pPr>
      <w:r w:rsidRPr="004A04AC">
        <w:t>Real interest rates are the portion of the nominal risk-free interest rates (before addition of any illiquidity premium) that remain after deducting expected CPI inflation.</w:t>
      </w:r>
    </w:p>
    <w:p w14:paraId="21653BA3" w14:textId="77777777" w:rsidR="0009691D" w:rsidRPr="004A04AC" w:rsidRDefault="0009691D" w:rsidP="00B4062F">
      <w:pPr>
        <w:pStyle w:val="BodyText1"/>
      </w:pPr>
      <w:r w:rsidRPr="004A04AC">
        <w:t xml:space="preserve">All assets and liabilities whose values are dependent on real or nominal interest rates must be revalued using the stressed real or nominal rates. </w:t>
      </w:r>
    </w:p>
    <w:p w14:paraId="43ADAB7D" w14:textId="77777777" w:rsidR="0009691D" w:rsidRPr="004A04AC" w:rsidRDefault="0009691D" w:rsidP="00B4062F">
      <w:pPr>
        <w:pStyle w:val="BodyText1"/>
      </w:pPr>
      <w:r w:rsidRPr="004A04AC">
        <w:t xml:space="preserve">The stress adjustments to real interest rates are determined by multiplying the </w:t>
      </w:r>
      <w:r>
        <w:t xml:space="preserve">greater of three per cent or the </w:t>
      </w:r>
      <w:r w:rsidRPr="004A04AC">
        <w:t>nominal risk-free interest rates (before addition of any illiquidity premium), by 0.25 (upward stress) or by -0.20 (downward stress). The stress adjustments must be added to the nominal risk-free interest rates. The stress adjustments must also be added to real yields if these are used explicitly in the valuation of an asset or liability (e.g. inflation-indexed bonds).</w:t>
      </w:r>
    </w:p>
    <w:p w14:paraId="7898BAFD" w14:textId="0B47C815" w:rsidR="0009691D" w:rsidRPr="004A04AC" w:rsidRDefault="0009691D" w:rsidP="00B4062F">
      <w:pPr>
        <w:pStyle w:val="BodyText1"/>
      </w:pPr>
      <w:r w:rsidRPr="004A04AC">
        <w:t>The maximum stress adjustment is 200 basis points in either direction. The minimum upward stress is 75 basis points and the minimum downward stress is 60 basis points.</w:t>
      </w:r>
      <w:r w:rsidR="00DB5A3D">
        <w:t xml:space="preserve"> Nominal risk-free interest rates and real yields may be negative after applying the downward stress adjustment.</w:t>
      </w:r>
    </w:p>
    <w:p w14:paraId="164A8149" w14:textId="287C9C60" w:rsidR="0009691D" w:rsidRPr="004A04AC" w:rsidRDefault="0009691D" w:rsidP="00B4062F">
      <w:pPr>
        <w:pStyle w:val="BodyText1"/>
      </w:pPr>
      <w:bookmarkStart w:id="68" w:name="_Ref324836577"/>
      <w:r w:rsidRPr="004A04AC">
        <w:t xml:space="preserve">A life company must calculate the impact on the capital base of a fund of an upward movement and a downward movement in real interest rates. The impact of each calculation must not be less than zero. Both impact calculations must be used for the purposes of the aggregation formula in paragraph </w:t>
      </w:r>
      <w:r w:rsidR="005D21BC">
        <w:fldChar w:fldCharType="begin"/>
      </w:r>
      <w:r w:rsidR="005D21BC">
        <w:instrText xml:space="preserve"> REF _Ref324836454 \r \h </w:instrText>
      </w:r>
      <w:r w:rsidR="005D21BC">
        <w:fldChar w:fldCharType="separate"/>
      </w:r>
      <w:r w:rsidR="00372340">
        <w:t>82</w:t>
      </w:r>
      <w:r w:rsidR="005D21BC">
        <w:fldChar w:fldCharType="end"/>
      </w:r>
      <w:r w:rsidRPr="004A04AC">
        <w:t>.</w:t>
      </w:r>
      <w:bookmarkEnd w:id="68"/>
    </w:p>
    <w:p w14:paraId="48D21CCE" w14:textId="77777777" w:rsidR="00B4062F" w:rsidRPr="004A04AC" w:rsidRDefault="00B4062F" w:rsidP="00B4062F">
      <w:pPr>
        <w:pStyle w:val="Heading1"/>
      </w:pPr>
      <w:bookmarkStart w:id="69" w:name="_Toc88828575"/>
      <w:bookmarkStart w:id="70" w:name="_Toc107246683"/>
      <w:bookmarkStart w:id="71" w:name="_Toc109652605"/>
      <w:bookmarkStart w:id="72" w:name="Expectedinflationstress"/>
      <w:r w:rsidRPr="004A04AC">
        <w:lastRenderedPageBreak/>
        <w:t>Expected inflation stress</w:t>
      </w:r>
      <w:bookmarkEnd w:id="69"/>
      <w:bookmarkEnd w:id="70"/>
      <w:bookmarkEnd w:id="71"/>
      <w:r w:rsidRPr="004A04AC">
        <w:t xml:space="preserve"> </w:t>
      </w:r>
    </w:p>
    <w:p w14:paraId="3FA7D71D" w14:textId="77777777" w:rsidR="00B4062F" w:rsidRPr="004A04AC" w:rsidRDefault="00B4062F" w:rsidP="00B4062F">
      <w:pPr>
        <w:pStyle w:val="BodyText1"/>
      </w:pPr>
      <w:bookmarkStart w:id="73" w:name="_Ref324836592"/>
      <w:bookmarkEnd w:id="72"/>
      <w:r w:rsidRPr="004A04AC">
        <w:rPr>
          <w:rFonts w:cs="Trebuchet MS"/>
        </w:rPr>
        <w:t xml:space="preserve">This stress measures the impact on the capital base of changes to expected Consumer Price Index (CPI) inflation rates. </w:t>
      </w:r>
      <w:r w:rsidRPr="004A04AC">
        <w:t>The expected inflation stress also affects nominal interest rates. The expected inflation stress does not apply to assets that are affected by the property or equity stresses.</w:t>
      </w:r>
      <w:bookmarkEnd w:id="73"/>
    </w:p>
    <w:p w14:paraId="24F449EE" w14:textId="77777777" w:rsidR="00B4062F" w:rsidRPr="004A04AC" w:rsidRDefault="00B4062F" w:rsidP="00B4062F">
      <w:pPr>
        <w:pStyle w:val="BodyText1"/>
      </w:pPr>
      <w:r w:rsidRPr="004A04AC">
        <w:t xml:space="preserve">In each scenario, assets and liabilities whose values are dependent on expected inflation or nominal interest rates must be revalued using the stressed expected inflation and stressed nominal interest rates. </w:t>
      </w:r>
    </w:p>
    <w:p w14:paraId="4AC4F37F" w14:textId="1A856C29" w:rsidR="00B4062F" w:rsidRPr="004A04AC" w:rsidRDefault="00B4062F" w:rsidP="00B4062F">
      <w:pPr>
        <w:pStyle w:val="BodyText1"/>
      </w:pPr>
      <w:r w:rsidRPr="004A04AC">
        <w:t xml:space="preserve">The stress adjustments to expected inflation rates are an increase of 125 basis points and a decrease of between 50 and 100 basis points. </w:t>
      </w:r>
      <w:r w:rsidRPr="004A04AC">
        <w:rPr>
          <w:color w:val="000000"/>
          <w:shd w:val="clear" w:color="auto" w:fill="FFFFFF"/>
        </w:rPr>
        <w:t>A downward stress of 50 basis points applies when the nominal risk-free interest rate (before addition of any illiquidity premium) is negative.  A downward stress of 100 basis points applies when the nominal risk-free interest rate (before addition of any illiquidity premium) exceeds one per</w:t>
      </w:r>
      <w:r>
        <w:rPr>
          <w:color w:val="000000"/>
          <w:shd w:val="clear" w:color="auto" w:fill="FFFFFF"/>
        </w:rPr>
        <w:t xml:space="preserve"> </w:t>
      </w:r>
      <w:r w:rsidRPr="004A04AC">
        <w:rPr>
          <w:color w:val="000000"/>
          <w:shd w:val="clear" w:color="auto" w:fill="FFFFFF"/>
        </w:rPr>
        <w:t>cent per annum. If the nominal risk-free interest rate (before addition of any illiquidity premium) is between zero and one per</w:t>
      </w:r>
      <w:r>
        <w:rPr>
          <w:color w:val="000000"/>
          <w:shd w:val="clear" w:color="auto" w:fill="FFFFFF"/>
        </w:rPr>
        <w:t xml:space="preserve"> </w:t>
      </w:r>
      <w:r w:rsidRPr="004A04AC">
        <w:rPr>
          <w:color w:val="000000"/>
          <w:shd w:val="clear" w:color="auto" w:fill="FFFFFF"/>
        </w:rPr>
        <w:t>cent per annum</w:t>
      </w:r>
      <w:r>
        <w:rPr>
          <w:color w:val="000000"/>
          <w:shd w:val="clear" w:color="auto" w:fill="FFFFFF"/>
        </w:rPr>
        <w:t>,</w:t>
      </w:r>
      <w:r w:rsidRPr="004A04AC">
        <w:rPr>
          <w:color w:val="000000"/>
          <w:shd w:val="clear" w:color="auto" w:fill="FFFFFF"/>
        </w:rPr>
        <w:t xml:space="preserve"> the downward stress is determined as the sum of 50 basis points and half of the nominal risk-free interest rate (before addition of any illiquidity premium). </w:t>
      </w:r>
      <w:r w:rsidRPr="004A04AC">
        <w:t xml:space="preserve">The stress adjustments must be added to the nominal risk-free interest rates. The stress adjustments must also be added to any expected inflation rates included in the valuation of assets or liabilities. </w:t>
      </w:r>
      <w:r w:rsidR="00DB5A3D">
        <w:t xml:space="preserve">Nominal risk-free interest rates and expected inflation rates may be negative after applying the downwards stress adjustments. </w:t>
      </w:r>
    </w:p>
    <w:p w14:paraId="00BE2648" w14:textId="2DE27A98" w:rsidR="00B4062F" w:rsidRPr="004A04AC" w:rsidRDefault="00B4062F" w:rsidP="00B4062F">
      <w:pPr>
        <w:pStyle w:val="BodyText1"/>
      </w:pPr>
      <w:bookmarkStart w:id="74" w:name="_Ref324836599"/>
      <w:r w:rsidRPr="004A04AC">
        <w:t xml:space="preserve">A life company must calculate the impact on the capital base of a fund of an upward movement and a downward movement in expected inflation or nominal interest rates. The impact of each calculation must not be less than zero. Both impact calculations must be used for the purposes of the aggregation formula in paragraph </w:t>
      </w:r>
      <w:r w:rsidR="005D21BC">
        <w:fldChar w:fldCharType="begin"/>
      </w:r>
      <w:r w:rsidR="005D21BC">
        <w:instrText xml:space="preserve"> REF _Ref324836454 \r \h </w:instrText>
      </w:r>
      <w:r w:rsidR="005D21BC">
        <w:fldChar w:fldCharType="separate"/>
      </w:r>
      <w:r w:rsidR="00372340">
        <w:t>82</w:t>
      </w:r>
      <w:r w:rsidR="005D21BC">
        <w:fldChar w:fldCharType="end"/>
      </w:r>
      <w:r w:rsidRPr="004A04AC">
        <w:t>.</w:t>
      </w:r>
      <w:bookmarkEnd w:id="74"/>
    </w:p>
    <w:p w14:paraId="19CF5527" w14:textId="77777777" w:rsidR="00B4062F" w:rsidRPr="004A04AC" w:rsidRDefault="00B4062F" w:rsidP="00B4062F">
      <w:pPr>
        <w:pStyle w:val="Heading1"/>
      </w:pPr>
      <w:bookmarkStart w:id="75" w:name="_Toc88828576"/>
      <w:bookmarkStart w:id="76" w:name="_Toc107246684"/>
      <w:bookmarkStart w:id="77" w:name="_Toc109652606"/>
      <w:bookmarkStart w:id="78" w:name="Currencystress"/>
      <w:r w:rsidRPr="004A04AC">
        <w:t>Currency stress</w:t>
      </w:r>
      <w:bookmarkEnd w:id="75"/>
      <w:bookmarkEnd w:id="76"/>
      <w:bookmarkEnd w:id="77"/>
      <w:r w:rsidRPr="004A04AC">
        <w:t xml:space="preserve"> </w:t>
      </w:r>
    </w:p>
    <w:p w14:paraId="4202671A" w14:textId="77777777" w:rsidR="00B4062F" w:rsidRPr="004A04AC" w:rsidRDefault="00B4062F" w:rsidP="00B4062F">
      <w:pPr>
        <w:pStyle w:val="BodyText1"/>
      </w:pPr>
      <w:bookmarkStart w:id="79" w:name="_Ref324836640"/>
      <w:bookmarkEnd w:id="78"/>
      <w:r w:rsidRPr="004A04AC">
        <w:t>This stress measures the impact on the capital base of changes in foreign currency exchange rates.</w:t>
      </w:r>
      <w:bookmarkEnd w:id="79"/>
    </w:p>
    <w:p w14:paraId="713A1CAF" w14:textId="2267E142" w:rsidR="00B4062F" w:rsidRPr="004A04AC" w:rsidRDefault="00B4062F" w:rsidP="00B4062F">
      <w:pPr>
        <w:pStyle w:val="BodyText1"/>
      </w:pPr>
      <w:r w:rsidRPr="004A04AC">
        <w:t>A life company must calculate the impact on the capital base of a fund of both an increase and a decrease of 25 per cent in the value of the Australian dollar against all foreign currencies.</w:t>
      </w:r>
      <w:r w:rsidRPr="004A04AC">
        <w:rPr>
          <w:rStyle w:val="FootnoteReference"/>
        </w:rPr>
        <w:footnoteReference w:id="7"/>
      </w:r>
      <w:r w:rsidRPr="004A04AC">
        <w:t xml:space="preserve"> In each of these scenarios, the Australian dollar must be assumed to move in the same direction against all foreign currencies. The impact of each calculation must not be less than zero. Both impact calculations must be used for the purposes of the aggregation formula in paragraph </w:t>
      </w:r>
      <w:r w:rsidR="005D21BC">
        <w:fldChar w:fldCharType="begin"/>
      </w:r>
      <w:r w:rsidR="005D21BC">
        <w:instrText xml:space="preserve"> REF _Ref324836454 \r \h </w:instrText>
      </w:r>
      <w:r w:rsidR="005D21BC">
        <w:fldChar w:fldCharType="separate"/>
      </w:r>
      <w:r w:rsidR="00372340">
        <w:t>82</w:t>
      </w:r>
      <w:r w:rsidR="005D21BC">
        <w:fldChar w:fldCharType="end"/>
      </w:r>
      <w:r w:rsidRPr="004A04AC">
        <w:t>.</w:t>
      </w:r>
    </w:p>
    <w:p w14:paraId="5D6B4BA0" w14:textId="77777777" w:rsidR="00B4062F" w:rsidRPr="004A04AC" w:rsidRDefault="00B4062F" w:rsidP="00B4062F">
      <w:pPr>
        <w:pStyle w:val="BodyText1"/>
      </w:pPr>
      <w:r w:rsidRPr="004A04AC">
        <w:t>An increase in the capital base arising from a movement of the Australian dollar against one foreign currency must not be used as an offset to reductions in the capital base arising from the movement of the Australian dollar against other foreign currencies.</w:t>
      </w:r>
    </w:p>
    <w:p w14:paraId="7841223F" w14:textId="77777777" w:rsidR="00B4062F" w:rsidRPr="004A04AC" w:rsidRDefault="00B4062F" w:rsidP="00B4062F">
      <w:pPr>
        <w:pStyle w:val="BodyText1"/>
      </w:pPr>
      <w:bookmarkStart w:id="80" w:name="_Ref324836647"/>
      <w:r w:rsidRPr="004A04AC">
        <w:lastRenderedPageBreak/>
        <w:t>For statutory funds whose liabilities are only denominated in foreign currencies, the predominant currency of the liabilities may be used as the reference point for the stresses instead of the Australian dollar.</w:t>
      </w:r>
      <w:bookmarkEnd w:id="80"/>
    </w:p>
    <w:p w14:paraId="75CBC504" w14:textId="77777777" w:rsidR="00B4062F" w:rsidRPr="004A04AC" w:rsidRDefault="00B4062F" w:rsidP="00B4062F">
      <w:pPr>
        <w:pStyle w:val="Heading1"/>
      </w:pPr>
      <w:bookmarkStart w:id="81" w:name="_Toc88828577"/>
      <w:bookmarkStart w:id="82" w:name="_Toc107246685"/>
      <w:bookmarkStart w:id="83" w:name="_Toc109652607"/>
      <w:bookmarkStart w:id="84" w:name="Equitystress"/>
      <w:r w:rsidRPr="004A04AC">
        <w:t>Equity stress</w:t>
      </w:r>
      <w:bookmarkEnd w:id="81"/>
      <w:bookmarkEnd w:id="82"/>
      <w:bookmarkEnd w:id="83"/>
    </w:p>
    <w:p w14:paraId="25522DA8" w14:textId="77777777" w:rsidR="00B4062F" w:rsidRPr="00B4062F" w:rsidRDefault="00B4062F" w:rsidP="00B4062F">
      <w:pPr>
        <w:pStyle w:val="BodyText1"/>
      </w:pPr>
      <w:bookmarkStart w:id="85" w:name="_Ref324836669"/>
      <w:bookmarkEnd w:id="84"/>
      <w:r w:rsidRPr="00B4062F">
        <w:t>This stress measures the impact on the capital base of a fall in equity and other asset values. This stress applies to both listed and unlisted equity assets and to any other assets that are not considered in any of the other asset risk stresses. This stress also includes an increase to equity volatility. The volatility stress will affect an asset whose value is affected by movements in equity volatility (e.g. equity derivatives) and will also affect policy liabilities if they include any financial options or guarantees whose value depends on equity volatility.</w:t>
      </w:r>
      <w:bookmarkEnd w:id="85"/>
    </w:p>
    <w:p w14:paraId="5CAE3B9B" w14:textId="77777777" w:rsidR="00B4062F" w:rsidRPr="00B4062F" w:rsidRDefault="00B4062F" w:rsidP="00B4062F">
      <w:pPr>
        <w:pStyle w:val="BodyText1"/>
      </w:pPr>
      <w:r w:rsidRPr="00B4062F">
        <w:t>For listed equities, the fall in value is to be determined by increasing the dividend yield on the ASX 200 index at the reporting date by 2.5 per cent. The same proportionate fall in value must be applied to both Australian and overseas listed equities.</w:t>
      </w:r>
    </w:p>
    <w:p w14:paraId="23317E48" w14:textId="77777777" w:rsidR="00B4062F" w:rsidRPr="004A04AC" w:rsidRDefault="00B4062F" w:rsidP="00B4062F">
      <w:pPr>
        <w:pStyle w:val="BodyText1"/>
        <w:rPr>
          <w:rFonts w:ascii="Arial" w:hAnsi="Arial" w:cs="Arial"/>
          <w:b/>
        </w:rPr>
      </w:pPr>
      <w:r w:rsidRPr="00B4062F">
        <w:t xml:space="preserve">For unlisted equities and other assets, the fall in value is to be determined by increasing the dividend yield on the ASX 200 index at the reporting date by three per cent. The same proportionate fall in value must be applied to all unlisted equities and other assets. The ASX 200 dividend yield must be determined using </w:t>
      </w:r>
      <w:r w:rsidRPr="004A04AC">
        <w:t>dividends for the 12 months prior to the reporting date and asset values at the reporting date.</w:t>
      </w:r>
    </w:p>
    <w:p w14:paraId="3CC642E2" w14:textId="77777777" w:rsidR="00B4062F" w:rsidRPr="004A04AC" w:rsidRDefault="00B4062F" w:rsidP="00B4062F">
      <w:pPr>
        <w:pStyle w:val="BodyText1"/>
        <w:rPr>
          <w:rFonts w:ascii="Arial" w:hAnsi="Arial" w:cs="Arial"/>
          <w:b/>
        </w:rPr>
      </w:pPr>
      <w:bookmarkStart w:id="86" w:name="_Ref324836680"/>
      <w:r w:rsidRPr="004A04AC">
        <w:t>For assets whose value is affected by movements in equity volatility, an addition of 15 per cent must be made to the forward-looking equity volatility parameter for all durations.</w:t>
      </w:r>
      <w:bookmarkEnd w:id="86"/>
    </w:p>
    <w:p w14:paraId="461AFD02" w14:textId="77777777" w:rsidR="00B4062F" w:rsidRPr="004A04AC" w:rsidRDefault="00B4062F" w:rsidP="00B4062F">
      <w:pPr>
        <w:pStyle w:val="Heading1"/>
      </w:pPr>
      <w:bookmarkStart w:id="87" w:name="_Toc88828578"/>
      <w:bookmarkStart w:id="88" w:name="_Toc107246686"/>
      <w:bookmarkStart w:id="89" w:name="_Toc109652608"/>
      <w:bookmarkStart w:id="90" w:name="Propertystress"/>
      <w:bookmarkStart w:id="91" w:name="_Hlk99029677"/>
      <w:r w:rsidRPr="004A04AC">
        <w:t>Property stress</w:t>
      </w:r>
      <w:bookmarkEnd w:id="87"/>
      <w:bookmarkEnd w:id="88"/>
      <w:bookmarkEnd w:id="89"/>
      <w:r w:rsidRPr="004A04AC">
        <w:t xml:space="preserve"> </w:t>
      </w:r>
    </w:p>
    <w:p w14:paraId="14692107" w14:textId="77777777" w:rsidR="00B4062F" w:rsidRPr="004A04AC" w:rsidRDefault="00B4062F" w:rsidP="00B4062F">
      <w:pPr>
        <w:pStyle w:val="BodyText1"/>
        <w:rPr>
          <w:rFonts w:ascii="Arial" w:hAnsi="Arial" w:cs="Arial"/>
          <w:b/>
        </w:rPr>
      </w:pPr>
      <w:bookmarkStart w:id="92" w:name="_Ref324836692"/>
      <w:bookmarkEnd w:id="90"/>
      <w:r w:rsidRPr="004A04AC">
        <w:t>This stress measures the impact on the capital base of changes in property and infrastructure asset values.</w:t>
      </w:r>
      <w:bookmarkEnd w:id="92"/>
      <w:r w:rsidRPr="004A04AC">
        <w:t xml:space="preserve"> </w:t>
      </w:r>
    </w:p>
    <w:p w14:paraId="2024C138" w14:textId="77777777" w:rsidR="00B4062F" w:rsidRPr="004A04AC" w:rsidRDefault="00B4062F" w:rsidP="00B4062F">
      <w:pPr>
        <w:pStyle w:val="BodyText1"/>
        <w:rPr>
          <w:rFonts w:ascii="Arial" w:hAnsi="Arial" w:cs="Arial"/>
          <w:b/>
        </w:rPr>
      </w:pPr>
      <w:r w:rsidRPr="004A04AC">
        <w:t>The fall in value of the assets must be determined by increasing the rental yield for property assets or earnings yield for infrastructure assets by 2.75 per cent.</w:t>
      </w:r>
    </w:p>
    <w:p w14:paraId="3D15333F" w14:textId="77777777" w:rsidR="00B4062F" w:rsidRPr="004A04AC" w:rsidRDefault="00B4062F" w:rsidP="00B4062F">
      <w:pPr>
        <w:pStyle w:val="BodyText1"/>
        <w:rPr>
          <w:rFonts w:ascii="Arial" w:hAnsi="Arial" w:cs="Arial"/>
          <w:b/>
        </w:rPr>
      </w:pPr>
      <w:r w:rsidRPr="004A04AC">
        <w:t>For property assets, the rental yields are to be based on the most recent leases in force and are determined net of expenses.</w:t>
      </w:r>
    </w:p>
    <w:p w14:paraId="715BD0AD" w14:textId="77777777" w:rsidR="00B4062F" w:rsidRPr="004A04AC" w:rsidRDefault="00B4062F" w:rsidP="00B4062F">
      <w:pPr>
        <w:pStyle w:val="BodyText1"/>
        <w:rPr>
          <w:rFonts w:ascii="Arial" w:hAnsi="Arial" w:cs="Arial"/>
          <w:b/>
        </w:rPr>
      </w:pPr>
      <w:r w:rsidRPr="004A04AC">
        <w:t>For infrastructure assets, the yields to be used are the earnings yields before tax.</w:t>
      </w:r>
    </w:p>
    <w:p w14:paraId="6A61600D" w14:textId="77777777" w:rsidR="00B4062F" w:rsidRPr="004A04AC" w:rsidRDefault="00B4062F" w:rsidP="00B4062F">
      <w:pPr>
        <w:pStyle w:val="BodyText1"/>
        <w:rPr>
          <w:rFonts w:ascii="Arial" w:hAnsi="Arial" w:cs="Arial"/>
          <w:b/>
        </w:rPr>
      </w:pPr>
      <w:bookmarkStart w:id="93" w:name="_Ref324836698"/>
      <w:r w:rsidRPr="004A04AC">
        <w:t>The rental yields and fall in value may be determined separately for each asset, or on a portfolio basis.</w:t>
      </w:r>
      <w:bookmarkEnd w:id="93"/>
    </w:p>
    <w:p w14:paraId="34AEBF72" w14:textId="77777777" w:rsidR="00B4062F" w:rsidRPr="004A04AC" w:rsidRDefault="00B4062F" w:rsidP="00B4062F">
      <w:pPr>
        <w:pStyle w:val="Heading1"/>
      </w:pPr>
      <w:bookmarkStart w:id="94" w:name="_Toc88828579"/>
      <w:bookmarkStart w:id="95" w:name="_Toc107246687"/>
      <w:bookmarkStart w:id="96" w:name="_Toc109652609"/>
      <w:bookmarkStart w:id="97" w:name="Creditspreadsstress"/>
      <w:r w:rsidRPr="004A04AC">
        <w:t>Credit spreads stress</w:t>
      </w:r>
      <w:bookmarkEnd w:id="94"/>
      <w:bookmarkEnd w:id="95"/>
      <w:bookmarkEnd w:id="96"/>
      <w:r w:rsidRPr="004A04AC">
        <w:t xml:space="preserve"> </w:t>
      </w:r>
    </w:p>
    <w:p w14:paraId="2EF34165" w14:textId="77777777" w:rsidR="00B4062F" w:rsidRPr="004A04AC" w:rsidRDefault="00B4062F" w:rsidP="00B4062F">
      <w:pPr>
        <w:pStyle w:val="BodyText1"/>
        <w:rPr>
          <w:rFonts w:ascii="Arial" w:hAnsi="Arial" w:cs="Arial"/>
          <w:b/>
        </w:rPr>
      </w:pPr>
      <w:bookmarkStart w:id="98" w:name="_Ref324836708"/>
      <w:bookmarkEnd w:id="97"/>
      <w:r w:rsidRPr="004A04AC">
        <w:t>This stress measures the impact on the capital base of an increase in credit spreads and the risk of default.</w:t>
      </w:r>
      <w:bookmarkEnd w:id="98"/>
      <w:r w:rsidRPr="004A04AC">
        <w:t xml:space="preserve"> </w:t>
      </w:r>
    </w:p>
    <w:p w14:paraId="45209662" w14:textId="77777777" w:rsidR="00B4062F" w:rsidRPr="004A04AC" w:rsidRDefault="00B4062F" w:rsidP="00B4062F">
      <w:pPr>
        <w:pStyle w:val="BodyText1"/>
        <w:rPr>
          <w:rFonts w:ascii="Arial" w:hAnsi="Arial" w:cs="Arial"/>
          <w:b/>
        </w:rPr>
      </w:pPr>
      <w:r w:rsidRPr="004A04AC">
        <w:lastRenderedPageBreak/>
        <w:t>This stress applies to interest-bearing assets, including cash deposits and floating rate assets. Credit derivatives and zero-coupon instruments such as bank bills must also be included. This stress also applies to liabilities whose value depends on the illiquidity premium.</w:t>
      </w:r>
    </w:p>
    <w:p w14:paraId="0E360D83" w14:textId="06396085" w:rsidR="00B4062F" w:rsidRPr="004A04AC" w:rsidRDefault="00B4062F" w:rsidP="00B4062F">
      <w:pPr>
        <w:pStyle w:val="BodyText1"/>
        <w:rPr>
          <w:rFonts w:ascii="Arial" w:hAnsi="Arial" w:cs="Arial"/>
          <w:b/>
        </w:rPr>
      </w:pPr>
      <w:bookmarkStart w:id="99" w:name="_Ref324838967"/>
      <w:r w:rsidRPr="004A04AC">
        <w:t xml:space="preserve">The stressed value of an asset must be determined by adding the spread specified in </w:t>
      </w:r>
      <w:r w:rsidR="00E04DA3">
        <w:t>Table 1</w:t>
      </w:r>
      <w:r w:rsidR="00142025">
        <w:t xml:space="preserve"> </w:t>
      </w:r>
      <w:r w:rsidRPr="004A04AC">
        <w:t xml:space="preserve">to the current yield on the asset and then multiplying the reduced value of the asset by (1 – default factor). The credit spreads and default factors depend on the </w:t>
      </w:r>
      <w:r w:rsidRPr="004A04AC">
        <w:rPr>
          <w:b/>
        </w:rPr>
        <w:t>counterparty grade</w:t>
      </w:r>
      <w:r w:rsidRPr="004A04AC">
        <w:t xml:space="preserve"> and the nature of the asset:</w:t>
      </w:r>
      <w:bookmarkEnd w:id="99"/>
    </w:p>
    <w:bookmarkEnd w:id="91"/>
    <w:p w14:paraId="4AB1213F" w14:textId="77777777" w:rsidR="00B4062F" w:rsidRPr="004A04AC" w:rsidRDefault="00B4062F" w:rsidP="00B4062F">
      <w:pPr>
        <w:keepNext/>
        <w:ind w:left="567"/>
        <w:rPr>
          <w:rFonts w:ascii="Arial" w:hAnsi="Arial" w:cs="Arial"/>
          <w:b/>
        </w:rPr>
      </w:pPr>
      <w:r w:rsidRPr="004A04AC">
        <w:rPr>
          <w:b/>
        </w:rPr>
        <w:t>Table 1: Credit spreads and default factors</w:t>
      </w: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276"/>
        <w:gridCol w:w="1701"/>
        <w:gridCol w:w="1701"/>
      </w:tblGrid>
      <w:tr w:rsidR="00B4062F" w:rsidRPr="004A04AC" w14:paraId="42205F72" w14:textId="77777777" w:rsidTr="00B461CC">
        <w:trPr>
          <w:trHeight w:val="850"/>
        </w:trPr>
        <w:tc>
          <w:tcPr>
            <w:tcW w:w="1843" w:type="dxa"/>
          </w:tcPr>
          <w:p w14:paraId="085552BE" w14:textId="77777777" w:rsidR="00B4062F" w:rsidRPr="004A04AC" w:rsidRDefault="00B4062F" w:rsidP="00B461CC">
            <w:pPr>
              <w:keepNext/>
              <w:jc w:val="center"/>
              <w:rPr>
                <w:b/>
              </w:rPr>
            </w:pPr>
            <w:r w:rsidRPr="004A04AC">
              <w:rPr>
                <w:b/>
              </w:rPr>
              <w:t>Counterparty grade</w:t>
            </w:r>
          </w:p>
        </w:tc>
        <w:tc>
          <w:tcPr>
            <w:tcW w:w="1276" w:type="dxa"/>
          </w:tcPr>
          <w:p w14:paraId="4C54093B" w14:textId="77777777" w:rsidR="00B4062F" w:rsidRPr="004A04AC" w:rsidRDefault="00B4062F" w:rsidP="00B461CC">
            <w:pPr>
              <w:keepNext/>
              <w:jc w:val="center"/>
              <w:rPr>
                <w:b/>
              </w:rPr>
            </w:pPr>
            <w:r w:rsidRPr="004A04AC">
              <w:rPr>
                <w:b/>
              </w:rPr>
              <w:t>Default (%)</w:t>
            </w:r>
          </w:p>
        </w:tc>
        <w:tc>
          <w:tcPr>
            <w:tcW w:w="1276" w:type="dxa"/>
          </w:tcPr>
          <w:p w14:paraId="4EF2FDD7" w14:textId="77777777" w:rsidR="00B4062F" w:rsidRPr="004A04AC" w:rsidRDefault="00B4062F" w:rsidP="00B461CC">
            <w:pPr>
              <w:keepNext/>
              <w:jc w:val="center"/>
              <w:rPr>
                <w:b/>
                <w:vertAlign w:val="superscript"/>
              </w:rPr>
            </w:pPr>
            <w:r w:rsidRPr="004A04AC">
              <w:rPr>
                <w:b/>
              </w:rPr>
              <w:t>Bonds</w:t>
            </w:r>
            <w:r w:rsidRPr="004A04AC">
              <w:rPr>
                <w:rStyle w:val="FootnoteReference"/>
                <w:b/>
              </w:rPr>
              <w:footnoteReference w:id="8"/>
            </w:r>
            <w:r w:rsidRPr="004A04AC">
              <w:rPr>
                <w:b/>
              </w:rPr>
              <w:br/>
              <w:t xml:space="preserve">spread </w:t>
            </w:r>
            <w:r w:rsidRPr="004A04AC">
              <w:rPr>
                <w:b/>
              </w:rPr>
              <w:br/>
              <w:t>(%)</w:t>
            </w:r>
          </w:p>
        </w:tc>
        <w:tc>
          <w:tcPr>
            <w:tcW w:w="1701" w:type="dxa"/>
          </w:tcPr>
          <w:p w14:paraId="5B01000A" w14:textId="77777777" w:rsidR="00B4062F" w:rsidRPr="004A04AC" w:rsidRDefault="00B4062F" w:rsidP="00B461CC">
            <w:pPr>
              <w:keepNext/>
              <w:jc w:val="center"/>
              <w:rPr>
                <w:b/>
              </w:rPr>
            </w:pPr>
            <w:r w:rsidRPr="004A04AC">
              <w:rPr>
                <w:b/>
              </w:rPr>
              <w:t>Structured/</w:t>
            </w:r>
            <w:r w:rsidRPr="004A04AC">
              <w:rPr>
                <w:b/>
              </w:rPr>
              <w:br/>
              <w:t xml:space="preserve">securitised spread </w:t>
            </w:r>
            <w:r w:rsidRPr="004A04AC">
              <w:rPr>
                <w:b/>
              </w:rPr>
              <w:br/>
              <w:t>(%)</w:t>
            </w:r>
          </w:p>
        </w:tc>
        <w:tc>
          <w:tcPr>
            <w:tcW w:w="1701" w:type="dxa"/>
          </w:tcPr>
          <w:p w14:paraId="506B5ECB" w14:textId="77777777" w:rsidR="00B4062F" w:rsidRPr="004A04AC" w:rsidRDefault="00B4062F" w:rsidP="00B461CC">
            <w:pPr>
              <w:keepNext/>
              <w:jc w:val="center"/>
              <w:rPr>
                <w:b/>
              </w:rPr>
            </w:pPr>
            <w:r w:rsidRPr="004A04AC">
              <w:rPr>
                <w:b/>
              </w:rPr>
              <w:t>Re-securitised</w:t>
            </w:r>
            <w:r w:rsidRPr="004A04AC">
              <w:rPr>
                <w:b/>
              </w:rPr>
              <w:br/>
              <w:t xml:space="preserve">spread </w:t>
            </w:r>
            <w:r w:rsidRPr="004A04AC">
              <w:rPr>
                <w:b/>
              </w:rPr>
              <w:br/>
              <w:t>(%)</w:t>
            </w:r>
          </w:p>
        </w:tc>
      </w:tr>
      <w:tr w:rsidR="00B4062F" w:rsidRPr="004A04AC" w14:paraId="05802114" w14:textId="77777777" w:rsidTr="00B461CC">
        <w:trPr>
          <w:trHeight w:val="510"/>
        </w:trPr>
        <w:tc>
          <w:tcPr>
            <w:tcW w:w="1843" w:type="dxa"/>
          </w:tcPr>
          <w:p w14:paraId="6EFA801D" w14:textId="77777777" w:rsidR="00B4062F" w:rsidRPr="004A04AC" w:rsidRDefault="00B4062F" w:rsidP="00B461CC">
            <w:pPr>
              <w:keepNext/>
              <w:jc w:val="center"/>
            </w:pPr>
            <w:r w:rsidRPr="004A04AC">
              <w:t>1 (government)</w:t>
            </w:r>
          </w:p>
        </w:tc>
        <w:tc>
          <w:tcPr>
            <w:tcW w:w="1276" w:type="dxa"/>
          </w:tcPr>
          <w:p w14:paraId="1B11C15D" w14:textId="77777777" w:rsidR="00B4062F" w:rsidRPr="004A04AC" w:rsidRDefault="00B4062F" w:rsidP="00B461CC">
            <w:pPr>
              <w:keepNext/>
              <w:jc w:val="center"/>
            </w:pPr>
            <w:r w:rsidRPr="004A04AC">
              <w:t>0.0</w:t>
            </w:r>
          </w:p>
        </w:tc>
        <w:tc>
          <w:tcPr>
            <w:tcW w:w="1276" w:type="dxa"/>
          </w:tcPr>
          <w:p w14:paraId="1333C4C2" w14:textId="77777777" w:rsidR="00B4062F" w:rsidRPr="004A04AC" w:rsidRDefault="00B4062F" w:rsidP="00B461CC">
            <w:pPr>
              <w:keepNext/>
              <w:jc w:val="center"/>
            </w:pPr>
            <w:r w:rsidRPr="004A04AC">
              <w:t>0.0</w:t>
            </w:r>
          </w:p>
        </w:tc>
        <w:tc>
          <w:tcPr>
            <w:tcW w:w="1701" w:type="dxa"/>
          </w:tcPr>
          <w:p w14:paraId="44101441" w14:textId="77777777" w:rsidR="00B4062F" w:rsidRPr="004A04AC" w:rsidRDefault="00B4062F" w:rsidP="00B461CC">
            <w:pPr>
              <w:keepNext/>
              <w:jc w:val="center"/>
            </w:pPr>
            <w:r w:rsidRPr="004A04AC">
              <w:t>0.0</w:t>
            </w:r>
          </w:p>
        </w:tc>
        <w:tc>
          <w:tcPr>
            <w:tcW w:w="1701" w:type="dxa"/>
          </w:tcPr>
          <w:p w14:paraId="37E5C9EB" w14:textId="77777777" w:rsidR="00B4062F" w:rsidRPr="004A04AC" w:rsidRDefault="00B4062F" w:rsidP="00B461CC">
            <w:pPr>
              <w:keepNext/>
              <w:jc w:val="center"/>
            </w:pPr>
            <w:r w:rsidRPr="004A04AC">
              <w:t>0.0</w:t>
            </w:r>
          </w:p>
        </w:tc>
      </w:tr>
      <w:tr w:rsidR="00B4062F" w:rsidRPr="004A04AC" w14:paraId="102FE9EB" w14:textId="77777777" w:rsidTr="00B461CC">
        <w:trPr>
          <w:trHeight w:val="510"/>
        </w:trPr>
        <w:tc>
          <w:tcPr>
            <w:tcW w:w="1843" w:type="dxa"/>
          </w:tcPr>
          <w:p w14:paraId="1F81B48A" w14:textId="77777777" w:rsidR="00B4062F" w:rsidRPr="004A04AC" w:rsidRDefault="00B4062F" w:rsidP="00B461CC">
            <w:pPr>
              <w:keepNext/>
              <w:jc w:val="center"/>
            </w:pPr>
            <w:r w:rsidRPr="004A04AC">
              <w:t>1 (other)</w:t>
            </w:r>
          </w:p>
        </w:tc>
        <w:tc>
          <w:tcPr>
            <w:tcW w:w="1276" w:type="dxa"/>
          </w:tcPr>
          <w:p w14:paraId="4DF7D56B" w14:textId="77777777" w:rsidR="00B4062F" w:rsidRPr="004A04AC" w:rsidRDefault="00B4062F" w:rsidP="00B461CC">
            <w:pPr>
              <w:keepNext/>
              <w:jc w:val="center"/>
            </w:pPr>
            <w:r w:rsidRPr="004A04AC">
              <w:t>0.2</w:t>
            </w:r>
          </w:p>
        </w:tc>
        <w:tc>
          <w:tcPr>
            <w:tcW w:w="1276" w:type="dxa"/>
          </w:tcPr>
          <w:p w14:paraId="37C3480F" w14:textId="77777777" w:rsidR="00B4062F" w:rsidRPr="004A04AC" w:rsidRDefault="00B4062F" w:rsidP="00B461CC">
            <w:pPr>
              <w:keepNext/>
              <w:jc w:val="center"/>
            </w:pPr>
            <w:r w:rsidRPr="004A04AC">
              <w:t>0.6</w:t>
            </w:r>
          </w:p>
        </w:tc>
        <w:tc>
          <w:tcPr>
            <w:tcW w:w="1701" w:type="dxa"/>
          </w:tcPr>
          <w:p w14:paraId="59B02749" w14:textId="77777777" w:rsidR="00B4062F" w:rsidRPr="004A04AC" w:rsidRDefault="00B4062F" w:rsidP="00B461CC">
            <w:pPr>
              <w:keepNext/>
              <w:jc w:val="center"/>
            </w:pPr>
            <w:r w:rsidRPr="004A04AC">
              <w:t>1.0</w:t>
            </w:r>
          </w:p>
        </w:tc>
        <w:tc>
          <w:tcPr>
            <w:tcW w:w="1701" w:type="dxa"/>
          </w:tcPr>
          <w:p w14:paraId="55E0126E" w14:textId="77777777" w:rsidR="00B4062F" w:rsidRPr="004A04AC" w:rsidRDefault="00B4062F" w:rsidP="00B461CC">
            <w:pPr>
              <w:keepNext/>
              <w:jc w:val="center"/>
            </w:pPr>
            <w:r w:rsidRPr="004A04AC">
              <w:t>1.8</w:t>
            </w:r>
          </w:p>
        </w:tc>
      </w:tr>
      <w:tr w:rsidR="00B4062F" w:rsidRPr="004A04AC" w14:paraId="2FC8C81E" w14:textId="77777777" w:rsidTr="00B461CC">
        <w:trPr>
          <w:trHeight w:val="510"/>
        </w:trPr>
        <w:tc>
          <w:tcPr>
            <w:tcW w:w="1843" w:type="dxa"/>
          </w:tcPr>
          <w:p w14:paraId="192D9BB0" w14:textId="77777777" w:rsidR="00B4062F" w:rsidRPr="004A04AC" w:rsidRDefault="00B4062F" w:rsidP="00B461CC">
            <w:pPr>
              <w:keepNext/>
              <w:jc w:val="center"/>
            </w:pPr>
            <w:r w:rsidRPr="004A04AC">
              <w:t>2</w:t>
            </w:r>
          </w:p>
        </w:tc>
        <w:tc>
          <w:tcPr>
            <w:tcW w:w="1276" w:type="dxa"/>
          </w:tcPr>
          <w:p w14:paraId="05BA7513" w14:textId="77777777" w:rsidR="00B4062F" w:rsidRPr="004A04AC" w:rsidRDefault="00B4062F" w:rsidP="00B461CC">
            <w:pPr>
              <w:keepNext/>
              <w:jc w:val="center"/>
            </w:pPr>
            <w:r w:rsidRPr="004A04AC">
              <w:t>0.6</w:t>
            </w:r>
          </w:p>
        </w:tc>
        <w:tc>
          <w:tcPr>
            <w:tcW w:w="1276" w:type="dxa"/>
          </w:tcPr>
          <w:p w14:paraId="5D2A0DFA" w14:textId="77777777" w:rsidR="00B4062F" w:rsidRPr="004A04AC" w:rsidRDefault="00B4062F" w:rsidP="00B461CC">
            <w:pPr>
              <w:keepNext/>
              <w:jc w:val="center"/>
            </w:pPr>
            <w:r w:rsidRPr="004A04AC">
              <w:t>0.8</w:t>
            </w:r>
          </w:p>
        </w:tc>
        <w:tc>
          <w:tcPr>
            <w:tcW w:w="1701" w:type="dxa"/>
          </w:tcPr>
          <w:p w14:paraId="316712E0" w14:textId="77777777" w:rsidR="00B4062F" w:rsidRPr="004A04AC" w:rsidRDefault="00B4062F" w:rsidP="00B461CC">
            <w:pPr>
              <w:keepNext/>
              <w:jc w:val="center"/>
            </w:pPr>
            <w:r w:rsidRPr="004A04AC">
              <w:t>1.4</w:t>
            </w:r>
          </w:p>
        </w:tc>
        <w:tc>
          <w:tcPr>
            <w:tcW w:w="1701" w:type="dxa"/>
          </w:tcPr>
          <w:p w14:paraId="5A4BFA28" w14:textId="77777777" w:rsidR="00B4062F" w:rsidRPr="004A04AC" w:rsidRDefault="00B4062F" w:rsidP="00B461CC">
            <w:pPr>
              <w:keepNext/>
              <w:jc w:val="center"/>
            </w:pPr>
            <w:r w:rsidRPr="004A04AC">
              <w:t>2.4</w:t>
            </w:r>
          </w:p>
        </w:tc>
      </w:tr>
      <w:tr w:rsidR="00B4062F" w:rsidRPr="004A04AC" w14:paraId="65A842BB" w14:textId="77777777" w:rsidTr="00B461CC">
        <w:trPr>
          <w:trHeight w:val="510"/>
        </w:trPr>
        <w:tc>
          <w:tcPr>
            <w:tcW w:w="1843" w:type="dxa"/>
          </w:tcPr>
          <w:p w14:paraId="44B1FCD7" w14:textId="77777777" w:rsidR="00B4062F" w:rsidRPr="004A04AC" w:rsidRDefault="00B4062F" w:rsidP="00B461CC">
            <w:pPr>
              <w:keepNext/>
              <w:jc w:val="center"/>
            </w:pPr>
            <w:r w:rsidRPr="004A04AC">
              <w:t>3</w:t>
            </w:r>
          </w:p>
        </w:tc>
        <w:tc>
          <w:tcPr>
            <w:tcW w:w="1276" w:type="dxa"/>
          </w:tcPr>
          <w:p w14:paraId="7B3DAB0E" w14:textId="77777777" w:rsidR="00B4062F" w:rsidRPr="004A04AC" w:rsidRDefault="00B4062F" w:rsidP="00B461CC">
            <w:pPr>
              <w:keepNext/>
              <w:jc w:val="center"/>
            </w:pPr>
            <w:r w:rsidRPr="004A04AC">
              <w:t>1.2</w:t>
            </w:r>
          </w:p>
        </w:tc>
        <w:tc>
          <w:tcPr>
            <w:tcW w:w="1276" w:type="dxa"/>
          </w:tcPr>
          <w:p w14:paraId="07D827F5" w14:textId="77777777" w:rsidR="00B4062F" w:rsidRPr="004A04AC" w:rsidRDefault="00B4062F" w:rsidP="00B461CC">
            <w:pPr>
              <w:keepNext/>
              <w:jc w:val="center"/>
            </w:pPr>
            <w:r w:rsidRPr="004A04AC">
              <w:t>1.2</w:t>
            </w:r>
          </w:p>
        </w:tc>
        <w:tc>
          <w:tcPr>
            <w:tcW w:w="1701" w:type="dxa"/>
          </w:tcPr>
          <w:p w14:paraId="0A819CD4" w14:textId="77777777" w:rsidR="00B4062F" w:rsidRPr="004A04AC" w:rsidRDefault="00B4062F" w:rsidP="00B461CC">
            <w:pPr>
              <w:keepNext/>
              <w:jc w:val="center"/>
            </w:pPr>
            <w:r w:rsidRPr="004A04AC">
              <w:t>2.0</w:t>
            </w:r>
          </w:p>
        </w:tc>
        <w:tc>
          <w:tcPr>
            <w:tcW w:w="1701" w:type="dxa"/>
          </w:tcPr>
          <w:p w14:paraId="296A14AF" w14:textId="77777777" w:rsidR="00B4062F" w:rsidRPr="004A04AC" w:rsidRDefault="00B4062F" w:rsidP="00B461CC">
            <w:pPr>
              <w:keepNext/>
              <w:jc w:val="center"/>
            </w:pPr>
            <w:r w:rsidRPr="004A04AC">
              <w:t>3.2</w:t>
            </w:r>
          </w:p>
        </w:tc>
      </w:tr>
      <w:tr w:rsidR="00B4062F" w:rsidRPr="004A04AC" w14:paraId="4E6D8366" w14:textId="77777777" w:rsidTr="00B461CC">
        <w:trPr>
          <w:trHeight w:val="510"/>
        </w:trPr>
        <w:tc>
          <w:tcPr>
            <w:tcW w:w="1843" w:type="dxa"/>
          </w:tcPr>
          <w:p w14:paraId="0314F2E1" w14:textId="77777777" w:rsidR="00B4062F" w:rsidRPr="004A04AC" w:rsidRDefault="00B4062F" w:rsidP="00B461CC">
            <w:pPr>
              <w:keepNext/>
              <w:jc w:val="center"/>
            </w:pPr>
            <w:r w:rsidRPr="004A04AC">
              <w:t>4</w:t>
            </w:r>
          </w:p>
        </w:tc>
        <w:tc>
          <w:tcPr>
            <w:tcW w:w="1276" w:type="dxa"/>
          </w:tcPr>
          <w:p w14:paraId="55B64747" w14:textId="77777777" w:rsidR="00B4062F" w:rsidRPr="004A04AC" w:rsidRDefault="00B4062F" w:rsidP="00B461CC">
            <w:pPr>
              <w:keepNext/>
              <w:jc w:val="center"/>
            </w:pPr>
            <w:r w:rsidRPr="004A04AC">
              <w:t>3.0</w:t>
            </w:r>
          </w:p>
        </w:tc>
        <w:tc>
          <w:tcPr>
            <w:tcW w:w="1276" w:type="dxa"/>
          </w:tcPr>
          <w:p w14:paraId="4CD948B5" w14:textId="77777777" w:rsidR="00B4062F" w:rsidRPr="004A04AC" w:rsidRDefault="00B4062F" w:rsidP="00B461CC">
            <w:pPr>
              <w:keepNext/>
              <w:jc w:val="center"/>
            </w:pPr>
            <w:r w:rsidRPr="004A04AC">
              <w:t>1.6</w:t>
            </w:r>
          </w:p>
        </w:tc>
        <w:tc>
          <w:tcPr>
            <w:tcW w:w="1701" w:type="dxa"/>
          </w:tcPr>
          <w:p w14:paraId="46C73766" w14:textId="77777777" w:rsidR="00B4062F" w:rsidRPr="004A04AC" w:rsidRDefault="00B4062F" w:rsidP="00B461CC">
            <w:pPr>
              <w:keepNext/>
              <w:jc w:val="center"/>
            </w:pPr>
            <w:r w:rsidRPr="004A04AC">
              <w:t>2.5</w:t>
            </w:r>
          </w:p>
        </w:tc>
        <w:tc>
          <w:tcPr>
            <w:tcW w:w="1701" w:type="dxa"/>
          </w:tcPr>
          <w:p w14:paraId="63A51041" w14:textId="77777777" w:rsidR="00B4062F" w:rsidRPr="004A04AC" w:rsidRDefault="00B4062F" w:rsidP="00B461CC">
            <w:pPr>
              <w:keepNext/>
              <w:jc w:val="center"/>
            </w:pPr>
            <w:r w:rsidRPr="004A04AC">
              <w:t>4.0</w:t>
            </w:r>
          </w:p>
        </w:tc>
      </w:tr>
      <w:tr w:rsidR="00B4062F" w:rsidRPr="004A04AC" w14:paraId="3D105C30" w14:textId="77777777" w:rsidTr="00B461CC">
        <w:trPr>
          <w:trHeight w:val="510"/>
        </w:trPr>
        <w:tc>
          <w:tcPr>
            <w:tcW w:w="1843" w:type="dxa"/>
          </w:tcPr>
          <w:p w14:paraId="5A56CE93" w14:textId="77777777" w:rsidR="00B4062F" w:rsidRPr="004A04AC" w:rsidRDefault="00B4062F" w:rsidP="00B461CC">
            <w:pPr>
              <w:keepNext/>
              <w:jc w:val="center"/>
            </w:pPr>
            <w:r w:rsidRPr="004A04AC">
              <w:t>5</w:t>
            </w:r>
          </w:p>
        </w:tc>
        <w:tc>
          <w:tcPr>
            <w:tcW w:w="1276" w:type="dxa"/>
          </w:tcPr>
          <w:p w14:paraId="4F3FB42B" w14:textId="77777777" w:rsidR="00B4062F" w:rsidRPr="004A04AC" w:rsidRDefault="00B4062F" w:rsidP="00B461CC">
            <w:pPr>
              <w:keepNext/>
              <w:jc w:val="center"/>
            </w:pPr>
            <w:r w:rsidRPr="004A04AC">
              <w:t>6.0</w:t>
            </w:r>
          </w:p>
        </w:tc>
        <w:tc>
          <w:tcPr>
            <w:tcW w:w="1276" w:type="dxa"/>
          </w:tcPr>
          <w:p w14:paraId="59EFBC7F" w14:textId="77777777" w:rsidR="00B4062F" w:rsidRPr="004A04AC" w:rsidRDefault="00B4062F" w:rsidP="00B461CC">
            <w:pPr>
              <w:keepNext/>
              <w:jc w:val="center"/>
            </w:pPr>
            <w:r w:rsidRPr="004A04AC">
              <w:t>2.0</w:t>
            </w:r>
          </w:p>
        </w:tc>
        <w:tc>
          <w:tcPr>
            <w:tcW w:w="1701" w:type="dxa"/>
          </w:tcPr>
          <w:p w14:paraId="5D1F3D09" w14:textId="77777777" w:rsidR="00B4062F" w:rsidRPr="004A04AC" w:rsidRDefault="00B4062F" w:rsidP="00B461CC">
            <w:pPr>
              <w:keepNext/>
              <w:jc w:val="center"/>
            </w:pPr>
            <w:r w:rsidRPr="004A04AC">
              <w:t>3.0</w:t>
            </w:r>
          </w:p>
        </w:tc>
        <w:tc>
          <w:tcPr>
            <w:tcW w:w="1701" w:type="dxa"/>
          </w:tcPr>
          <w:p w14:paraId="12756780" w14:textId="77777777" w:rsidR="00B4062F" w:rsidRPr="004A04AC" w:rsidRDefault="00B4062F" w:rsidP="00B461CC">
            <w:pPr>
              <w:keepNext/>
              <w:jc w:val="center"/>
            </w:pPr>
            <w:r w:rsidRPr="004A04AC">
              <w:t>5.0</w:t>
            </w:r>
          </w:p>
        </w:tc>
      </w:tr>
      <w:tr w:rsidR="00B4062F" w:rsidRPr="004A04AC" w14:paraId="304C0C04" w14:textId="77777777" w:rsidTr="00B461CC">
        <w:trPr>
          <w:trHeight w:val="510"/>
        </w:trPr>
        <w:tc>
          <w:tcPr>
            <w:tcW w:w="1843" w:type="dxa"/>
          </w:tcPr>
          <w:p w14:paraId="37AD6A3D" w14:textId="77777777" w:rsidR="00B4062F" w:rsidRPr="004A04AC" w:rsidRDefault="00B4062F" w:rsidP="00B461CC">
            <w:pPr>
              <w:keepNext/>
              <w:jc w:val="center"/>
            </w:pPr>
            <w:r w:rsidRPr="004A04AC">
              <w:t>6</w:t>
            </w:r>
          </w:p>
        </w:tc>
        <w:tc>
          <w:tcPr>
            <w:tcW w:w="1276" w:type="dxa"/>
          </w:tcPr>
          <w:p w14:paraId="12D186F8" w14:textId="77777777" w:rsidR="00B4062F" w:rsidRPr="004A04AC" w:rsidRDefault="00B4062F" w:rsidP="00B461CC">
            <w:pPr>
              <w:keepNext/>
              <w:jc w:val="center"/>
            </w:pPr>
            <w:r w:rsidRPr="004A04AC">
              <w:t>10.0</w:t>
            </w:r>
          </w:p>
        </w:tc>
        <w:tc>
          <w:tcPr>
            <w:tcW w:w="1276" w:type="dxa"/>
          </w:tcPr>
          <w:p w14:paraId="0B33A5A6" w14:textId="77777777" w:rsidR="00B4062F" w:rsidRPr="004A04AC" w:rsidRDefault="00B4062F" w:rsidP="00B461CC">
            <w:pPr>
              <w:keepNext/>
              <w:jc w:val="center"/>
            </w:pPr>
            <w:r w:rsidRPr="004A04AC">
              <w:t>2.5</w:t>
            </w:r>
          </w:p>
        </w:tc>
        <w:tc>
          <w:tcPr>
            <w:tcW w:w="1701" w:type="dxa"/>
          </w:tcPr>
          <w:p w14:paraId="576684B4" w14:textId="77777777" w:rsidR="00B4062F" w:rsidRPr="004A04AC" w:rsidRDefault="00B4062F" w:rsidP="00B461CC">
            <w:pPr>
              <w:keepNext/>
              <w:jc w:val="center"/>
            </w:pPr>
            <w:r w:rsidRPr="004A04AC">
              <w:t>3.5</w:t>
            </w:r>
          </w:p>
        </w:tc>
        <w:tc>
          <w:tcPr>
            <w:tcW w:w="1701" w:type="dxa"/>
          </w:tcPr>
          <w:p w14:paraId="12FDDE76" w14:textId="77777777" w:rsidR="00B4062F" w:rsidRPr="004A04AC" w:rsidRDefault="00B4062F" w:rsidP="00B461CC">
            <w:pPr>
              <w:keepNext/>
              <w:jc w:val="center"/>
            </w:pPr>
            <w:r w:rsidRPr="004A04AC">
              <w:t>6.0</w:t>
            </w:r>
          </w:p>
        </w:tc>
      </w:tr>
      <w:tr w:rsidR="00B4062F" w:rsidRPr="004A04AC" w14:paraId="23972AB5" w14:textId="77777777" w:rsidTr="00B461CC">
        <w:trPr>
          <w:trHeight w:val="510"/>
        </w:trPr>
        <w:tc>
          <w:tcPr>
            <w:tcW w:w="1843" w:type="dxa"/>
          </w:tcPr>
          <w:p w14:paraId="7075C34D" w14:textId="77777777" w:rsidR="00B4062F" w:rsidRPr="004A04AC" w:rsidRDefault="00B4062F" w:rsidP="00B461CC">
            <w:pPr>
              <w:keepNext/>
              <w:jc w:val="center"/>
            </w:pPr>
            <w:r w:rsidRPr="004A04AC">
              <w:t>7</w:t>
            </w:r>
          </w:p>
        </w:tc>
        <w:tc>
          <w:tcPr>
            <w:tcW w:w="1276" w:type="dxa"/>
          </w:tcPr>
          <w:p w14:paraId="70D2569C" w14:textId="77777777" w:rsidR="00B4062F" w:rsidRPr="004A04AC" w:rsidRDefault="00B4062F" w:rsidP="00B461CC">
            <w:pPr>
              <w:keepNext/>
              <w:jc w:val="center"/>
            </w:pPr>
            <w:r w:rsidRPr="004A04AC">
              <w:t>16.0</w:t>
            </w:r>
          </w:p>
        </w:tc>
        <w:tc>
          <w:tcPr>
            <w:tcW w:w="1276" w:type="dxa"/>
          </w:tcPr>
          <w:p w14:paraId="50517F67" w14:textId="77777777" w:rsidR="00B4062F" w:rsidRPr="004A04AC" w:rsidRDefault="00B4062F" w:rsidP="00B461CC">
            <w:pPr>
              <w:keepNext/>
              <w:jc w:val="center"/>
            </w:pPr>
            <w:r w:rsidRPr="004A04AC">
              <w:t>3.0</w:t>
            </w:r>
          </w:p>
        </w:tc>
        <w:tc>
          <w:tcPr>
            <w:tcW w:w="1701" w:type="dxa"/>
          </w:tcPr>
          <w:p w14:paraId="61917F70" w14:textId="77777777" w:rsidR="00B4062F" w:rsidRPr="004A04AC" w:rsidRDefault="00B4062F" w:rsidP="00B461CC">
            <w:pPr>
              <w:keepNext/>
              <w:jc w:val="center"/>
            </w:pPr>
            <w:r w:rsidRPr="004A04AC">
              <w:t>4.5</w:t>
            </w:r>
          </w:p>
        </w:tc>
        <w:tc>
          <w:tcPr>
            <w:tcW w:w="1701" w:type="dxa"/>
          </w:tcPr>
          <w:p w14:paraId="25D2D08B" w14:textId="77777777" w:rsidR="00B4062F" w:rsidRPr="004A04AC" w:rsidRDefault="00B4062F" w:rsidP="00B461CC">
            <w:pPr>
              <w:keepNext/>
              <w:jc w:val="center"/>
            </w:pPr>
            <w:r w:rsidRPr="004A04AC">
              <w:t>7.5</w:t>
            </w:r>
          </w:p>
        </w:tc>
      </w:tr>
    </w:tbl>
    <w:p w14:paraId="794E1CCB" w14:textId="77777777" w:rsidR="00B4062F" w:rsidRPr="004A04AC" w:rsidRDefault="00B4062F" w:rsidP="00B4062F">
      <w:pPr>
        <w:ind w:left="567"/>
        <w:rPr>
          <w:rFonts w:ascii="Arial" w:hAnsi="Arial" w:cs="Arial"/>
        </w:rPr>
      </w:pPr>
      <w:r w:rsidRPr="004A04AC">
        <w:rPr>
          <w:rFonts w:ascii="Arial" w:hAnsi="Arial" w:cs="Arial"/>
          <w:b/>
        </w:rPr>
        <w:t xml:space="preserve"> </w:t>
      </w:r>
    </w:p>
    <w:p w14:paraId="44B39D0B" w14:textId="77777777" w:rsidR="00B4062F" w:rsidRPr="004A04AC" w:rsidRDefault="00B4062F" w:rsidP="00B4062F">
      <w:pPr>
        <w:pStyle w:val="BodyText1"/>
        <w:rPr>
          <w:rFonts w:ascii="Arial" w:hAnsi="Arial" w:cs="Arial"/>
        </w:rPr>
      </w:pPr>
      <w:r w:rsidRPr="004A04AC">
        <w:t>A ‘securitised/structured asset’ is an asset that provides an exposure to a pool or portfolio of assets or risks. This is typically in the form of a tranched exposure and includes credit-related securitisation exposures and insurance linked securities. Examples of these include Residential Mortgage-Backed Securities, Asset-backed Securities and catastrophe bonds. A covered bond issued by an ADI must not be treated as a securitised/structured asset.</w:t>
      </w:r>
    </w:p>
    <w:p w14:paraId="399C8E3B" w14:textId="77777777" w:rsidR="00B4062F" w:rsidRPr="004A04AC" w:rsidRDefault="00B4062F" w:rsidP="00B4062F">
      <w:pPr>
        <w:pStyle w:val="BodyText1"/>
        <w:rPr>
          <w:rFonts w:ascii="Arial" w:hAnsi="Arial" w:cs="Arial"/>
        </w:rPr>
      </w:pPr>
      <w:r w:rsidRPr="004A04AC">
        <w:t>An investment that provides exposure to an untranched pool of multiple reference entities, assets or risks must be treated:</w:t>
      </w:r>
    </w:p>
    <w:p w14:paraId="4609421A" w14:textId="77777777" w:rsidR="00B4062F" w:rsidRPr="004A04AC" w:rsidRDefault="00B4062F" w:rsidP="00B4062F">
      <w:pPr>
        <w:pStyle w:val="BodyText2"/>
      </w:pPr>
      <w:r w:rsidRPr="004A04AC">
        <w:t xml:space="preserve">on a ‘look-through’ basis; </w:t>
      </w:r>
    </w:p>
    <w:p w14:paraId="6C39C306" w14:textId="77777777" w:rsidR="00B4062F" w:rsidRPr="004A04AC" w:rsidRDefault="00B4062F" w:rsidP="00B4062F">
      <w:pPr>
        <w:pStyle w:val="BodyText2"/>
      </w:pPr>
      <w:r w:rsidRPr="004A04AC">
        <w:t>as an equity asset (applying the equity stress instead of the credit spreads stress); or</w:t>
      </w:r>
    </w:p>
    <w:p w14:paraId="7EFBA660" w14:textId="77777777" w:rsidR="00B4062F" w:rsidRPr="004A04AC" w:rsidRDefault="00B4062F" w:rsidP="00B4062F">
      <w:pPr>
        <w:pStyle w:val="BodyText2"/>
      </w:pPr>
      <w:r w:rsidRPr="004A04AC">
        <w:lastRenderedPageBreak/>
        <w:t>as a securitised asset using the counterparty grade of the untranched pool.</w:t>
      </w:r>
    </w:p>
    <w:p w14:paraId="172AB1FB" w14:textId="77777777" w:rsidR="00B4062F" w:rsidRPr="004A04AC" w:rsidRDefault="00B4062F" w:rsidP="00B4062F">
      <w:pPr>
        <w:pStyle w:val="BodyText1"/>
        <w:rPr>
          <w:rFonts w:ascii="Arial" w:hAnsi="Arial" w:cs="Arial"/>
        </w:rPr>
      </w:pPr>
      <w:r w:rsidRPr="004A04AC">
        <w:t>Credit wrapped bonds must be treated as a securitised asset if the external rating of the bond makes some allowance for the structural protection offered by the credit wrap. Otherwise the bond must be treated as a bond with no credit wrap.</w:t>
      </w:r>
    </w:p>
    <w:p w14:paraId="5BFA9C76" w14:textId="77777777" w:rsidR="00B4062F" w:rsidRPr="004A04AC" w:rsidRDefault="00B4062F" w:rsidP="00B4062F">
      <w:pPr>
        <w:pStyle w:val="BodyText1"/>
        <w:rPr>
          <w:rFonts w:ascii="Arial" w:hAnsi="Arial" w:cs="Arial"/>
          <w:b/>
        </w:rPr>
      </w:pPr>
      <w:r w:rsidRPr="004A04AC">
        <w:t>A re-securitisation exposure is a securitisation exposure in which the risk associated with an underlying pool of exposures is tranched and at least one of the underlying exposures is a securitisation exposure. In addition, an exposure to one or more re-securitisation exposures is a re-securitisation exposure.</w:t>
      </w:r>
    </w:p>
    <w:p w14:paraId="38513023" w14:textId="77777777" w:rsidR="00B4062F" w:rsidRPr="004A04AC" w:rsidRDefault="00B4062F" w:rsidP="00B4062F">
      <w:pPr>
        <w:pStyle w:val="BodyText1"/>
        <w:rPr>
          <w:rFonts w:ascii="Arial" w:hAnsi="Arial" w:cs="Arial"/>
          <w:b/>
        </w:rPr>
      </w:pPr>
      <w:r w:rsidRPr="004A04AC">
        <w:t>For floating rate assets, the increase in yield must be assumed to apply for the period until a life company has the contractual right to redeem the asset at face value. For at-call floating rate assets, only the default factor must be applied. For floating rate assets that are not immediately redeemable both the credit spread and default factors must be applied.</w:t>
      </w:r>
    </w:p>
    <w:p w14:paraId="1DB07D51" w14:textId="77777777" w:rsidR="00B4062F" w:rsidRPr="004A04AC" w:rsidRDefault="00B4062F" w:rsidP="00B4062F">
      <w:pPr>
        <w:pStyle w:val="BodyText1"/>
        <w:rPr>
          <w:rFonts w:ascii="Arial" w:hAnsi="Arial" w:cs="Arial"/>
          <w:b/>
        </w:rPr>
      </w:pPr>
      <w:r w:rsidRPr="004A04AC">
        <w:t>For fixed rate assets where the life company has a contractual right to early redemption of the asset, the stressed value of the asset is subject to a minimum of the guaranteed redemption value multiplied by (1 – default factor).</w:t>
      </w:r>
    </w:p>
    <w:p w14:paraId="16C454A9" w14:textId="0B296C73" w:rsidR="00B4062F" w:rsidRPr="004A04AC" w:rsidRDefault="00B4062F" w:rsidP="00B4062F">
      <w:pPr>
        <w:pStyle w:val="BodyText1"/>
        <w:rPr>
          <w:rFonts w:ascii="Arial" w:hAnsi="Arial" w:cs="Arial"/>
          <w:b/>
        </w:rPr>
      </w:pPr>
      <w:r w:rsidRPr="004A04AC">
        <w:t xml:space="preserve">Unsecured loans that have a 100 per cent charge applied in the default stress in accordance with paragraph </w:t>
      </w:r>
      <w:r w:rsidR="00226689">
        <w:fldChar w:fldCharType="begin"/>
      </w:r>
      <w:r w:rsidR="00226689">
        <w:instrText xml:space="preserve"> REF _Ref324838130 \r \h </w:instrText>
      </w:r>
      <w:r w:rsidR="00226689">
        <w:fldChar w:fldCharType="separate"/>
      </w:r>
      <w:r w:rsidR="00372340">
        <w:t>79</w:t>
      </w:r>
      <w:r w:rsidR="00226689">
        <w:fldChar w:fldCharType="end"/>
      </w:r>
      <w:r w:rsidRPr="004A04AC">
        <w:t xml:space="preserve"> must be assumed to be unaffected by the credit spreads stress.</w:t>
      </w:r>
    </w:p>
    <w:p w14:paraId="04F08EC5" w14:textId="77777777" w:rsidR="00B4062F" w:rsidRPr="00317BF3" w:rsidRDefault="00B4062F" w:rsidP="00B4062F">
      <w:pPr>
        <w:pStyle w:val="BodyText1"/>
        <w:rPr>
          <w:rFonts w:ascii="Arial" w:hAnsi="Arial" w:cs="Arial"/>
          <w:b/>
        </w:rPr>
      </w:pPr>
      <w:r w:rsidRPr="004A04AC">
        <w:t>The ‘government’ category applies to</w:t>
      </w:r>
      <w:r>
        <w:t>:</w:t>
      </w:r>
    </w:p>
    <w:p w14:paraId="1BA1D7F6" w14:textId="77777777" w:rsidR="00B4062F" w:rsidRPr="00317BF3" w:rsidRDefault="00B4062F" w:rsidP="00B4062F">
      <w:pPr>
        <w:pStyle w:val="BodyText2"/>
      </w:pPr>
      <w:r w:rsidRPr="004A04AC">
        <w:t>assets guaranteed by the Commonwealth Government</w:t>
      </w:r>
      <w:r>
        <w:t>;</w:t>
      </w:r>
      <w:r w:rsidRPr="004A04AC">
        <w:t xml:space="preserve"> and </w:t>
      </w:r>
    </w:p>
    <w:p w14:paraId="2AE6BB48" w14:textId="77777777" w:rsidR="00B4062F" w:rsidRPr="00317BF3" w:rsidRDefault="00B4062F" w:rsidP="00B4062F">
      <w:pPr>
        <w:pStyle w:val="BodyText2"/>
      </w:pPr>
      <w:r w:rsidRPr="004A04AC">
        <w:t xml:space="preserve">assets guaranteed by foreign governments that have a counterparty grade of 1 and are denominated in the official or national currency of the guarantor. </w:t>
      </w:r>
    </w:p>
    <w:p w14:paraId="70AB747F" w14:textId="77777777" w:rsidR="00B4062F" w:rsidRPr="004A04AC" w:rsidRDefault="00B4062F" w:rsidP="00B4062F">
      <w:pPr>
        <w:pStyle w:val="BodyText1"/>
        <w:rPr>
          <w:rFonts w:ascii="Arial" w:hAnsi="Arial" w:cs="Arial"/>
          <w:b/>
        </w:rPr>
      </w:pPr>
      <w:bookmarkStart w:id="100" w:name="_Ref324836742"/>
      <w:r w:rsidRPr="004A04AC">
        <w:t>Assets guaranteed by an Australian state or territory government must be rated up one grade. For example, assets with counterparty grade 1 must be treated as grade 1 (government) and assets with counterparty grade 2 must be treated as grade 1 (other).</w:t>
      </w:r>
      <w:bookmarkEnd w:id="100"/>
    </w:p>
    <w:p w14:paraId="42F0D2D9" w14:textId="77777777" w:rsidR="00B4062F" w:rsidRPr="004A04AC" w:rsidRDefault="00B4062F" w:rsidP="00B4062F">
      <w:pPr>
        <w:pStyle w:val="Heading3"/>
      </w:pPr>
      <w:bookmarkStart w:id="101" w:name="_Toc107246688"/>
      <w:bookmarkStart w:id="102" w:name="_Toc109652610"/>
      <w:r w:rsidRPr="004A04AC">
        <w:t>Illiquidity premium</w:t>
      </w:r>
      <w:bookmarkEnd w:id="101"/>
      <w:bookmarkEnd w:id="102"/>
    </w:p>
    <w:p w14:paraId="2BD59A5C" w14:textId="77777777" w:rsidR="00B4062F" w:rsidRPr="004A04AC" w:rsidRDefault="00B4062F" w:rsidP="00B4062F">
      <w:pPr>
        <w:pStyle w:val="BodyText1"/>
      </w:pPr>
      <w:r w:rsidRPr="004A04AC">
        <w:t>Liabilities whose value depends on the illiquidity premium must be revalued using a stressed illiquidity premium. The stress adjustment to the illiquidity premium is an increase of 30 basis points to the forward rates for the first 10 years after the reporting date and zero thereafter. The stressed illiquidity premium is subject to a maximum of 150 basis points.</w:t>
      </w:r>
    </w:p>
    <w:p w14:paraId="3C8F98DC" w14:textId="4F322495" w:rsidR="00B4062F" w:rsidRPr="004A04AC" w:rsidRDefault="00B4062F" w:rsidP="00B4062F">
      <w:pPr>
        <w:pStyle w:val="BodyText1"/>
        <w:rPr>
          <w:rFonts w:ascii="Arial" w:hAnsi="Arial" w:cs="Arial"/>
          <w:b/>
        </w:rPr>
      </w:pPr>
      <w:r w:rsidRPr="004A04AC">
        <w:t xml:space="preserve">The risk charge component for the credit spreads stress must not be less than an amount calculated by multiplying the value of each asset by the default factor specified in paragraph </w:t>
      </w:r>
      <w:r w:rsidR="00226689">
        <w:fldChar w:fldCharType="begin"/>
      </w:r>
      <w:r w:rsidR="00226689">
        <w:instrText xml:space="preserve"> REF _Ref324838967 \r \h </w:instrText>
      </w:r>
      <w:r w:rsidR="00226689">
        <w:fldChar w:fldCharType="separate"/>
      </w:r>
      <w:r w:rsidR="00372340">
        <w:t>62</w:t>
      </w:r>
      <w:r w:rsidR="00226689">
        <w:fldChar w:fldCharType="end"/>
      </w:r>
      <w:r w:rsidRPr="004A04AC">
        <w:t xml:space="preserve"> and adding the results for all assets to which the credit spreads stress applies. </w:t>
      </w:r>
    </w:p>
    <w:p w14:paraId="1E846C0F" w14:textId="77777777" w:rsidR="00B4062F" w:rsidRPr="00B4062F" w:rsidRDefault="00B4062F" w:rsidP="00B4062F">
      <w:pPr>
        <w:pStyle w:val="Heading1"/>
      </w:pPr>
      <w:bookmarkStart w:id="103" w:name="_Toc88828580"/>
      <w:bookmarkStart w:id="104" w:name="_Toc107246689"/>
      <w:bookmarkStart w:id="105" w:name="_Toc109652611"/>
      <w:bookmarkStart w:id="106" w:name="Defaultstress"/>
      <w:r w:rsidRPr="00B4062F">
        <w:lastRenderedPageBreak/>
        <w:t>Default stress</w:t>
      </w:r>
      <w:bookmarkEnd w:id="103"/>
      <w:bookmarkEnd w:id="104"/>
      <w:bookmarkEnd w:id="105"/>
      <w:r w:rsidRPr="00B4062F">
        <w:t xml:space="preserve"> </w:t>
      </w:r>
    </w:p>
    <w:p w14:paraId="593244F4" w14:textId="77777777" w:rsidR="00B4062F" w:rsidRPr="004A04AC" w:rsidRDefault="00B4062F" w:rsidP="00B4062F">
      <w:pPr>
        <w:pStyle w:val="BodyText1"/>
        <w:rPr>
          <w:rFonts w:ascii="Arial" w:hAnsi="Arial" w:cs="Arial"/>
          <w:b/>
        </w:rPr>
      </w:pPr>
      <w:bookmarkStart w:id="107" w:name="_Ref324836762"/>
      <w:bookmarkEnd w:id="106"/>
      <w:r w:rsidRPr="004A04AC">
        <w:t xml:space="preserve">This stress applies to reinsurance assets, over-the-counter derivatives, </w:t>
      </w:r>
      <w:r w:rsidRPr="004A04AC">
        <w:rPr>
          <w:b/>
        </w:rPr>
        <w:t>unpaid premiums</w:t>
      </w:r>
      <w:r w:rsidRPr="004A04AC">
        <w:t>, and all other credit or counterparty exposures that have not been affected by the credit spreads stress.</w:t>
      </w:r>
      <w:bookmarkEnd w:id="107"/>
    </w:p>
    <w:p w14:paraId="788C25BF" w14:textId="77777777" w:rsidR="00B4062F" w:rsidRPr="004A04AC" w:rsidRDefault="00B4062F" w:rsidP="00B4062F">
      <w:pPr>
        <w:pStyle w:val="BodyText1"/>
      </w:pPr>
      <w:r w:rsidRPr="004A04AC">
        <w:t>This stress includes the risk of counterparty default. A life company must determine risk charges for the default stress for the risk of counterparty default on exposures that include (but are not limited to) reinsurance assets, unpaid premiums, futures and options, swaps, hedges, warrants, forward rate and repurchase agreements.</w:t>
      </w:r>
    </w:p>
    <w:p w14:paraId="3390F9D0" w14:textId="51B259CB" w:rsidR="00B4062F" w:rsidRPr="004A04AC" w:rsidRDefault="00B4062F" w:rsidP="00B4062F">
      <w:pPr>
        <w:pStyle w:val="BodyText1"/>
      </w:pPr>
      <w:r w:rsidRPr="004A04AC">
        <w:t xml:space="preserve">The default factors are specified in </w:t>
      </w:r>
      <w:r w:rsidR="00E04DA3">
        <w:t>Table 2</w:t>
      </w:r>
      <w:r w:rsidRPr="004A04AC">
        <w:t>. These factors apply to all assets affected by this stress, with the exception of certain types of assets specified in later paragraphs in this section.</w:t>
      </w:r>
    </w:p>
    <w:p w14:paraId="5BCC69EA" w14:textId="77777777" w:rsidR="00B4062F" w:rsidRPr="004A04AC" w:rsidRDefault="00B4062F" w:rsidP="00B4062F">
      <w:pPr>
        <w:ind w:left="567"/>
        <w:rPr>
          <w:b/>
        </w:rPr>
      </w:pPr>
      <w:r w:rsidRPr="004A04AC">
        <w:rPr>
          <w:b/>
        </w:rPr>
        <w:t>Table 2: Default factors by counterparty grade</w:t>
      </w:r>
    </w:p>
    <w:tbl>
      <w:tblPr>
        <w:tblW w:w="354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tblGrid>
      <w:tr w:rsidR="00B4062F" w:rsidRPr="004A04AC" w14:paraId="421C2B01" w14:textId="77777777" w:rsidTr="00B461CC">
        <w:trPr>
          <w:trHeight w:val="680"/>
        </w:trPr>
        <w:tc>
          <w:tcPr>
            <w:tcW w:w="1843" w:type="dxa"/>
          </w:tcPr>
          <w:p w14:paraId="4C082F8B" w14:textId="77777777" w:rsidR="00B4062F" w:rsidRPr="004A04AC" w:rsidRDefault="00B4062F" w:rsidP="00B461CC">
            <w:pPr>
              <w:jc w:val="center"/>
              <w:rPr>
                <w:b/>
              </w:rPr>
            </w:pPr>
            <w:r w:rsidRPr="004A04AC">
              <w:rPr>
                <w:b/>
              </w:rPr>
              <w:t>Counterparty grade</w:t>
            </w:r>
          </w:p>
        </w:tc>
        <w:tc>
          <w:tcPr>
            <w:tcW w:w="1701" w:type="dxa"/>
          </w:tcPr>
          <w:p w14:paraId="7114B2CC" w14:textId="77777777" w:rsidR="00B4062F" w:rsidRPr="004A04AC" w:rsidRDefault="00B4062F" w:rsidP="00B461CC">
            <w:pPr>
              <w:jc w:val="center"/>
              <w:rPr>
                <w:b/>
              </w:rPr>
            </w:pPr>
            <w:r w:rsidRPr="004A04AC">
              <w:rPr>
                <w:b/>
              </w:rPr>
              <w:t>Default factor (%)</w:t>
            </w:r>
          </w:p>
        </w:tc>
      </w:tr>
      <w:tr w:rsidR="00B4062F" w:rsidRPr="004A04AC" w14:paraId="2BEC8A53" w14:textId="77777777" w:rsidTr="00B461CC">
        <w:trPr>
          <w:trHeight w:val="340"/>
        </w:trPr>
        <w:tc>
          <w:tcPr>
            <w:tcW w:w="1843" w:type="dxa"/>
          </w:tcPr>
          <w:p w14:paraId="4DAA989C" w14:textId="77777777" w:rsidR="00B4062F" w:rsidRPr="004A04AC" w:rsidRDefault="00B4062F" w:rsidP="00B461CC">
            <w:pPr>
              <w:jc w:val="center"/>
            </w:pPr>
            <w:r w:rsidRPr="004A04AC">
              <w:t>1 (government)</w:t>
            </w:r>
          </w:p>
        </w:tc>
        <w:tc>
          <w:tcPr>
            <w:tcW w:w="1701" w:type="dxa"/>
          </w:tcPr>
          <w:p w14:paraId="24AD6AF2" w14:textId="77777777" w:rsidR="00B4062F" w:rsidRPr="004A04AC" w:rsidRDefault="00B4062F" w:rsidP="00B461CC">
            <w:pPr>
              <w:jc w:val="center"/>
            </w:pPr>
            <w:r w:rsidRPr="004A04AC">
              <w:t>0</w:t>
            </w:r>
          </w:p>
        </w:tc>
      </w:tr>
      <w:tr w:rsidR="00B4062F" w:rsidRPr="004A04AC" w14:paraId="176C8862" w14:textId="77777777" w:rsidTr="00B461CC">
        <w:trPr>
          <w:trHeight w:val="340"/>
        </w:trPr>
        <w:tc>
          <w:tcPr>
            <w:tcW w:w="1843" w:type="dxa"/>
          </w:tcPr>
          <w:p w14:paraId="2C8365C6" w14:textId="77777777" w:rsidR="00B4062F" w:rsidRPr="004A04AC" w:rsidRDefault="00B4062F" w:rsidP="00B461CC">
            <w:pPr>
              <w:jc w:val="center"/>
            </w:pPr>
            <w:r w:rsidRPr="004A04AC">
              <w:t>1 (other)</w:t>
            </w:r>
          </w:p>
        </w:tc>
        <w:tc>
          <w:tcPr>
            <w:tcW w:w="1701" w:type="dxa"/>
          </w:tcPr>
          <w:p w14:paraId="47E42BAE" w14:textId="77777777" w:rsidR="00B4062F" w:rsidRPr="004A04AC" w:rsidRDefault="00B4062F" w:rsidP="00B461CC">
            <w:pPr>
              <w:jc w:val="center"/>
            </w:pPr>
            <w:r w:rsidRPr="004A04AC">
              <w:t>2</w:t>
            </w:r>
          </w:p>
        </w:tc>
      </w:tr>
      <w:tr w:rsidR="00B4062F" w:rsidRPr="004A04AC" w14:paraId="01D1C5EC" w14:textId="77777777" w:rsidTr="00B461CC">
        <w:trPr>
          <w:trHeight w:val="340"/>
        </w:trPr>
        <w:tc>
          <w:tcPr>
            <w:tcW w:w="1843" w:type="dxa"/>
          </w:tcPr>
          <w:p w14:paraId="39B8C6BB" w14:textId="77777777" w:rsidR="00B4062F" w:rsidRPr="004A04AC" w:rsidRDefault="00B4062F" w:rsidP="00B461CC">
            <w:pPr>
              <w:jc w:val="center"/>
            </w:pPr>
            <w:r w:rsidRPr="004A04AC">
              <w:t>2</w:t>
            </w:r>
          </w:p>
        </w:tc>
        <w:tc>
          <w:tcPr>
            <w:tcW w:w="1701" w:type="dxa"/>
          </w:tcPr>
          <w:p w14:paraId="00ACD771" w14:textId="77777777" w:rsidR="00B4062F" w:rsidRPr="004A04AC" w:rsidRDefault="00B4062F" w:rsidP="00B461CC">
            <w:pPr>
              <w:jc w:val="center"/>
            </w:pPr>
            <w:r w:rsidRPr="004A04AC">
              <w:t>2</w:t>
            </w:r>
          </w:p>
        </w:tc>
      </w:tr>
      <w:tr w:rsidR="00B4062F" w:rsidRPr="004A04AC" w14:paraId="38B8A321" w14:textId="77777777" w:rsidTr="00B461CC">
        <w:trPr>
          <w:trHeight w:val="340"/>
        </w:trPr>
        <w:tc>
          <w:tcPr>
            <w:tcW w:w="1843" w:type="dxa"/>
          </w:tcPr>
          <w:p w14:paraId="67A2A73B" w14:textId="77777777" w:rsidR="00B4062F" w:rsidRPr="004A04AC" w:rsidRDefault="00B4062F" w:rsidP="00B461CC">
            <w:pPr>
              <w:jc w:val="center"/>
            </w:pPr>
            <w:r w:rsidRPr="004A04AC">
              <w:t>3</w:t>
            </w:r>
          </w:p>
        </w:tc>
        <w:tc>
          <w:tcPr>
            <w:tcW w:w="1701" w:type="dxa"/>
          </w:tcPr>
          <w:p w14:paraId="65F6661F" w14:textId="77777777" w:rsidR="00B4062F" w:rsidRPr="004A04AC" w:rsidRDefault="00B4062F" w:rsidP="00B461CC">
            <w:pPr>
              <w:jc w:val="center"/>
            </w:pPr>
            <w:r w:rsidRPr="004A04AC">
              <w:t>4</w:t>
            </w:r>
          </w:p>
        </w:tc>
      </w:tr>
      <w:tr w:rsidR="00B4062F" w:rsidRPr="004A04AC" w14:paraId="6E1668B8" w14:textId="77777777" w:rsidTr="00B461CC">
        <w:trPr>
          <w:trHeight w:val="340"/>
        </w:trPr>
        <w:tc>
          <w:tcPr>
            <w:tcW w:w="1843" w:type="dxa"/>
          </w:tcPr>
          <w:p w14:paraId="1E570A19" w14:textId="77777777" w:rsidR="00B4062F" w:rsidRPr="004A04AC" w:rsidRDefault="00B4062F" w:rsidP="00B461CC">
            <w:pPr>
              <w:jc w:val="center"/>
            </w:pPr>
            <w:r w:rsidRPr="004A04AC">
              <w:t>4</w:t>
            </w:r>
          </w:p>
        </w:tc>
        <w:tc>
          <w:tcPr>
            <w:tcW w:w="1701" w:type="dxa"/>
          </w:tcPr>
          <w:p w14:paraId="0C2B2425" w14:textId="77777777" w:rsidR="00B4062F" w:rsidRPr="004A04AC" w:rsidRDefault="00B4062F" w:rsidP="00B461CC">
            <w:pPr>
              <w:jc w:val="center"/>
            </w:pPr>
            <w:r w:rsidRPr="004A04AC">
              <w:t>6</w:t>
            </w:r>
          </w:p>
        </w:tc>
      </w:tr>
      <w:tr w:rsidR="00B4062F" w:rsidRPr="004A04AC" w14:paraId="08D77D25" w14:textId="77777777" w:rsidTr="00B461CC">
        <w:trPr>
          <w:trHeight w:val="340"/>
        </w:trPr>
        <w:tc>
          <w:tcPr>
            <w:tcW w:w="1843" w:type="dxa"/>
          </w:tcPr>
          <w:p w14:paraId="6CBC4D68" w14:textId="77777777" w:rsidR="00B4062F" w:rsidRPr="004A04AC" w:rsidRDefault="00B4062F" w:rsidP="00B461CC">
            <w:pPr>
              <w:jc w:val="center"/>
            </w:pPr>
            <w:r w:rsidRPr="004A04AC">
              <w:t>5</w:t>
            </w:r>
          </w:p>
        </w:tc>
        <w:tc>
          <w:tcPr>
            <w:tcW w:w="1701" w:type="dxa"/>
          </w:tcPr>
          <w:p w14:paraId="0EF284A6" w14:textId="77777777" w:rsidR="00B4062F" w:rsidRPr="004A04AC" w:rsidRDefault="00B4062F" w:rsidP="00B461CC">
            <w:pPr>
              <w:jc w:val="center"/>
            </w:pPr>
            <w:r w:rsidRPr="004A04AC">
              <w:t>8</w:t>
            </w:r>
          </w:p>
        </w:tc>
      </w:tr>
      <w:tr w:rsidR="00B4062F" w:rsidRPr="004A04AC" w14:paraId="59FAA5B6" w14:textId="77777777" w:rsidTr="00B461CC">
        <w:trPr>
          <w:trHeight w:val="340"/>
        </w:trPr>
        <w:tc>
          <w:tcPr>
            <w:tcW w:w="1843" w:type="dxa"/>
          </w:tcPr>
          <w:p w14:paraId="4DE8A7B1" w14:textId="77777777" w:rsidR="00B4062F" w:rsidRPr="004A04AC" w:rsidRDefault="00B4062F" w:rsidP="00B461CC">
            <w:pPr>
              <w:jc w:val="center"/>
            </w:pPr>
            <w:r w:rsidRPr="004A04AC">
              <w:t>6</w:t>
            </w:r>
          </w:p>
        </w:tc>
        <w:tc>
          <w:tcPr>
            <w:tcW w:w="1701" w:type="dxa"/>
          </w:tcPr>
          <w:p w14:paraId="7176146E" w14:textId="77777777" w:rsidR="00B4062F" w:rsidRPr="004A04AC" w:rsidRDefault="00B4062F" w:rsidP="00B461CC">
            <w:pPr>
              <w:jc w:val="center"/>
            </w:pPr>
            <w:r w:rsidRPr="004A04AC">
              <w:t>12</w:t>
            </w:r>
          </w:p>
        </w:tc>
      </w:tr>
      <w:tr w:rsidR="00B4062F" w:rsidRPr="004A04AC" w14:paraId="292408C7" w14:textId="77777777" w:rsidTr="00B461CC">
        <w:trPr>
          <w:trHeight w:val="340"/>
        </w:trPr>
        <w:tc>
          <w:tcPr>
            <w:tcW w:w="1843" w:type="dxa"/>
          </w:tcPr>
          <w:p w14:paraId="7FB42ABA" w14:textId="77777777" w:rsidR="00B4062F" w:rsidRPr="004A04AC" w:rsidRDefault="00B4062F" w:rsidP="00B461CC">
            <w:pPr>
              <w:jc w:val="center"/>
            </w:pPr>
            <w:r w:rsidRPr="004A04AC">
              <w:t>7</w:t>
            </w:r>
          </w:p>
        </w:tc>
        <w:tc>
          <w:tcPr>
            <w:tcW w:w="1701" w:type="dxa"/>
          </w:tcPr>
          <w:p w14:paraId="3DD82C30" w14:textId="77777777" w:rsidR="00B4062F" w:rsidRPr="004A04AC" w:rsidRDefault="00B4062F" w:rsidP="00B461CC">
            <w:pPr>
              <w:jc w:val="center"/>
            </w:pPr>
            <w:r w:rsidRPr="004A04AC">
              <w:t>20</w:t>
            </w:r>
          </w:p>
        </w:tc>
      </w:tr>
    </w:tbl>
    <w:p w14:paraId="66717DE0" w14:textId="77777777" w:rsidR="00B4062F" w:rsidRPr="004A04AC" w:rsidRDefault="00B4062F" w:rsidP="00B4062F">
      <w:pPr>
        <w:ind w:left="567"/>
      </w:pPr>
      <w:r w:rsidRPr="004A04AC">
        <w:t xml:space="preserve"> </w:t>
      </w:r>
    </w:p>
    <w:p w14:paraId="2AF6F46F" w14:textId="422BAFA4" w:rsidR="00B4062F" w:rsidRPr="004A04AC" w:rsidRDefault="00B4062F" w:rsidP="00B4062F">
      <w:pPr>
        <w:pStyle w:val="BodyText1"/>
      </w:pPr>
      <w:r w:rsidRPr="004A04AC">
        <w:t xml:space="preserve">For </w:t>
      </w:r>
      <w:r w:rsidR="006A7A5A">
        <w:t xml:space="preserve">reinsurance assets, the default stress must be applied to </w:t>
      </w:r>
      <w:r w:rsidR="00F0122B">
        <w:t xml:space="preserve">the value of </w:t>
      </w:r>
      <w:r w:rsidR="006A7A5A">
        <w:t>adjusted reinsurance asset</w:t>
      </w:r>
      <w:r w:rsidR="005413D3">
        <w:t>s</w:t>
      </w:r>
      <w:r w:rsidR="006A7A5A">
        <w:t>. T</w:t>
      </w:r>
      <w:r w:rsidRPr="004A04AC">
        <w:t xml:space="preserve">he value of </w:t>
      </w:r>
      <w:r w:rsidR="006A7A5A">
        <w:t xml:space="preserve">adjusted </w:t>
      </w:r>
      <w:r w:rsidRPr="004A04AC">
        <w:t xml:space="preserve">reinsurance assets must be determined by calculating the </w:t>
      </w:r>
      <w:r w:rsidRPr="00AF755D">
        <w:rPr>
          <w:b/>
        </w:rPr>
        <w:t>adjusted policy liabilities</w:t>
      </w:r>
      <w:r w:rsidRPr="004A04AC">
        <w:t xml:space="preserve"> gross of reinsurance, and deducting the corresponding net of reinsurance values. For other assets, the default factor must be applied to the amount of loss that would be incurred if the counterparty defaulted and no recovery was made.</w:t>
      </w:r>
    </w:p>
    <w:p w14:paraId="5F0C1C0A" w14:textId="4A65E5EC" w:rsidR="00B4062F" w:rsidRPr="004A04AC" w:rsidRDefault="00B4062F" w:rsidP="00B4062F">
      <w:pPr>
        <w:pStyle w:val="BodyText1"/>
        <w:rPr>
          <w:rFonts w:ascii="Arial" w:hAnsi="Arial" w:cs="Arial"/>
          <w:b/>
        </w:rPr>
      </w:pPr>
      <w:r w:rsidRPr="004A04AC">
        <w:t xml:space="preserve">For unpaid premiums the factors are </w:t>
      </w:r>
      <w:r w:rsidR="006D6BB2">
        <w:t>four</w:t>
      </w:r>
      <w:r w:rsidRPr="004A04AC">
        <w:t xml:space="preserve"> per cent for premiums due less than six months previously and </w:t>
      </w:r>
      <w:r w:rsidR="006D6BB2">
        <w:t>eight</w:t>
      </w:r>
      <w:r w:rsidRPr="004A04AC">
        <w:t xml:space="preserve"> per cent for other premiums. These factors only apply if the unpaid premiums cannot be recovered by reducing the termination value of the policy.</w:t>
      </w:r>
    </w:p>
    <w:p w14:paraId="6E9CA40A" w14:textId="77777777" w:rsidR="00B4062F" w:rsidRPr="004A04AC" w:rsidRDefault="00B4062F" w:rsidP="00B4062F">
      <w:pPr>
        <w:pStyle w:val="BodyText1"/>
        <w:rPr>
          <w:rFonts w:ascii="Arial" w:hAnsi="Arial" w:cs="Arial"/>
          <w:b/>
        </w:rPr>
      </w:pPr>
      <w:bookmarkStart w:id="108" w:name="_Ref324838130"/>
      <w:r w:rsidRPr="004A04AC">
        <w:t>The following types of unsecured loans have a 100 per cent default factor applied:</w:t>
      </w:r>
      <w:bookmarkEnd w:id="108"/>
    </w:p>
    <w:p w14:paraId="0A4E0FDE" w14:textId="77777777" w:rsidR="00B4062F" w:rsidRPr="004A04AC" w:rsidRDefault="00B4062F" w:rsidP="00B4062F">
      <w:pPr>
        <w:pStyle w:val="BodyText2"/>
      </w:pPr>
      <w:r w:rsidRPr="004A04AC">
        <w:lastRenderedPageBreak/>
        <w:t>loans to directors of the life company, or their spouses;</w:t>
      </w:r>
    </w:p>
    <w:p w14:paraId="6FC3716A" w14:textId="77777777" w:rsidR="00B4062F" w:rsidRPr="004A04AC" w:rsidRDefault="00B4062F" w:rsidP="00B4062F">
      <w:pPr>
        <w:pStyle w:val="BodyText2"/>
      </w:pPr>
      <w:r w:rsidRPr="004A04AC">
        <w:t xml:space="preserve">loans to directors of </w:t>
      </w:r>
      <w:r w:rsidRPr="004A04AC">
        <w:rPr>
          <w:b/>
        </w:rPr>
        <w:t>related bodies corporate</w:t>
      </w:r>
      <w:r w:rsidRPr="004A04AC">
        <w:t>, or their spouses;</w:t>
      </w:r>
    </w:p>
    <w:p w14:paraId="37E2F16F" w14:textId="77777777" w:rsidR="00B4062F" w:rsidRPr="004A04AC" w:rsidRDefault="00B4062F" w:rsidP="00B4062F">
      <w:pPr>
        <w:pStyle w:val="BodyText2"/>
      </w:pPr>
      <w:r w:rsidRPr="004A04AC">
        <w:t xml:space="preserve">loans to a parent or </w:t>
      </w:r>
      <w:r w:rsidRPr="004A04AC">
        <w:rPr>
          <w:b/>
        </w:rPr>
        <w:t>related company</w:t>
      </w:r>
      <w:r w:rsidRPr="004A04AC">
        <w:t xml:space="preserve"> that are not on commercial terms; and</w:t>
      </w:r>
    </w:p>
    <w:p w14:paraId="185507F8" w14:textId="77777777" w:rsidR="00B4062F" w:rsidRPr="004A04AC" w:rsidRDefault="00B4062F" w:rsidP="00B4062F">
      <w:pPr>
        <w:pStyle w:val="BodyText2"/>
        <w:rPr>
          <w:rFonts w:ascii="Arial" w:hAnsi="Arial" w:cs="Arial"/>
          <w:b/>
        </w:rPr>
      </w:pPr>
      <w:r w:rsidRPr="004A04AC">
        <w:t>loans to employees exceeding $1,1</w:t>
      </w:r>
      <w:r>
        <w:t>0</w:t>
      </w:r>
      <w:r w:rsidRPr="004A04AC">
        <w:t>0.</w:t>
      </w:r>
    </w:p>
    <w:p w14:paraId="111F6401" w14:textId="77777777" w:rsidR="00B4062F" w:rsidRPr="004A04AC" w:rsidRDefault="00B4062F" w:rsidP="00AE2DD9">
      <w:pPr>
        <w:pStyle w:val="BodyText1"/>
      </w:pPr>
      <w:r w:rsidRPr="004A04AC">
        <w:t>Assets that are exempt from being deducted from the capital base under Attachment B of LPS 112</w:t>
      </w:r>
      <w:r w:rsidRPr="004A04AC">
        <w:rPr>
          <w:i/>
        </w:rPr>
        <w:t xml:space="preserve"> </w:t>
      </w:r>
      <w:r w:rsidRPr="004A04AC">
        <w:t>must have a 100 per cent default factor applied to them.</w:t>
      </w:r>
    </w:p>
    <w:p w14:paraId="7C4C2299" w14:textId="77777777" w:rsidR="00B4062F" w:rsidRPr="004A04AC" w:rsidRDefault="00B4062F" w:rsidP="00AE2DD9">
      <w:pPr>
        <w:pStyle w:val="BodyText1"/>
        <w:rPr>
          <w:rFonts w:ascii="Arial" w:hAnsi="Arial" w:cs="Arial"/>
          <w:b/>
        </w:rPr>
      </w:pPr>
      <w:bookmarkStart w:id="109" w:name="_Ref324836780"/>
      <w:r w:rsidRPr="004A04AC">
        <w:t>Assets guaranteed by an Australian state or territory government must be rated up one grade. For example, assets with counterparty grade 1 must be treated as grade 1 (government) and assets with counterparty grade 2 must be treated as grade 1 (other).</w:t>
      </w:r>
      <w:bookmarkEnd w:id="109"/>
    </w:p>
    <w:p w14:paraId="49BD5974" w14:textId="52937B4B" w:rsidR="00AE2DD9" w:rsidRPr="004A04AC" w:rsidRDefault="00AE2DD9" w:rsidP="00AE2DD9">
      <w:pPr>
        <w:pStyle w:val="Heading1"/>
      </w:pPr>
      <w:bookmarkStart w:id="110" w:name="_Toc107246690"/>
      <w:bookmarkStart w:id="111" w:name="_Toc109652612"/>
      <w:r>
        <w:t>A</w:t>
      </w:r>
      <w:r w:rsidRPr="004A04AC">
        <w:t>ggregation formula</w:t>
      </w:r>
      <w:bookmarkEnd w:id="110"/>
      <w:bookmarkEnd w:id="111"/>
    </w:p>
    <w:p w14:paraId="001D9E9F" w14:textId="77777777" w:rsidR="00AE2DD9" w:rsidRPr="004A04AC" w:rsidRDefault="00AE2DD9" w:rsidP="00AE2DD9">
      <w:pPr>
        <w:pStyle w:val="BodyText1"/>
      </w:pPr>
      <w:bookmarkStart w:id="112" w:name="_Ref324836454"/>
      <w:r w:rsidRPr="004A04AC">
        <w:t>The aggregated risk charge component is calculated as:</w:t>
      </w:r>
      <w:bookmarkEnd w:id="112"/>
    </w:p>
    <w:p w14:paraId="14981FA1" w14:textId="7501EB48" w:rsidR="009374FE" w:rsidRPr="004F5FB0" w:rsidRDefault="009374FE" w:rsidP="009374FE">
      <w:pPr>
        <w:ind w:left="1134"/>
        <w:jc w:val="both"/>
      </w:pPr>
      <w:r w:rsidRPr="001A20A3">
        <w:rPr>
          <w:noProof/>
          <w:sz w:val="18"/>
          <w:szCs w:val="18"/>
        </w:rPr>
        <w:drawing>
          <wp:inline distT="0" distB="0" distL="0" distR="0" wp14:anchorId="0EB688BE" wp14:editId="0BA88C7C">
            <wp:extent cx="3896139" cy="589264"/>
            <wp:effectExtent l="0" t="0" r="0" b="0"/>
            <wp:docPr id="8" name="Picture 8" descr="Risk charge of default plus the root sum of the maximum of the correlation between x and y, multiplied by risk charges for those components and the sign of x and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isk charge of default plus the root sum of the maximum of the correlation between x and y, multiplied by risk charges for those components and the sign of x and y"/>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7439" r="10089" b="16472"/>
                    <a:stretch/>
                  </pic:blipFill>
                  <pic:spPr bwMode="auto">
                    <a:xfrm>
                      <a:off x="0" y="0"/>
                      <a:ext cx="4089025" cy="618437"/>
                    </a:xfrm>
                    <a:prstGeom prst="rect">
                      <a:avLst/>
                    </a:prstGeom>
                    <a:noFill/>
                    <a:ln>
                      <a:noFill/>
                    </a:ln>
                    <a:extLst>
                      <a:ext uri="{53640926-AAD7-44D8-BBD7-CCE9431645EC}">
                        <a14:shadowObscured xmlns:a14="http://schemas.microsoft.com/office/drawing/2010/main"/>
                      </a:ext>
                    </a:extLst>
                  </pic:spPr>
                </pic:pic>
              </a:graphicData>
            </a:graphic>
          </wp:inline>
        </w:drawing>
      </w:r>
    </w:p>
    <w:p w14:paraId="3968F90D" w14:textId="77777777" w:rsidR="00AE2DD9" w:rsidRPr="004A04AC" w:rsidRDefault="00AE2DD9" w:rsidP="00AE2DD9">
      <w:pPr>
        <w:ind w:left="567"/>
      </w:pPr>
      <w:r w:rsidRPr="004A04AC">
        <w:t xml:space="preserve">where </w:t>
      </w:r>
      <w:r w:rsidRPr="004A04AC">
        <w:tab/>
      </w:r>
    </w:p>
    <w:p w14:paraId="0B273BC9" w14:textId="161212F7" w:rsidR="00AE2DD9" w:rsidRPr="004A04AC" w:rsidRDefault="00E63733" w:rsidP="00AE2DD9">
      <w:pPr>
        <w:pStyle w:val="BodyText2"/>
      </w:pPr>
      <w:r w:rsidRPr="00E63733">
        <w:rPr>
          <w:i/>
        </w:rPr>
        <w:t>A</w:t>
      </w:r>
      <w:r>
        <w:rPr>
          <w:i/>
        </w:rPr>
        <w:t xml:space="preserve">ₓ </w:t>
      </w:r>
      <w:r w:rsidR="00AE2DD9" w:rsidRPr="004A04AC">
        <w:t>is the risk charge component for asset risk stress x;</w:t>
      </w:r>
    </w:p>
    <w:p w14:paraId="7B2D50ED" w14:textId="268580BD" w:rsidR="00AE2DD9" w:rsidRPr="004A04AC" w:rsidRDefault="00E63733" w:rsidP="00AE2DD9">
      <w:pPr>
        <w:pStyle w:val="BodyText2"/>
      </w:pPr>
      <w:r w:rsidRPr="001133A5">
        <w:rPr>
          <w:i/>
        </w:rPr>
        <w:t>A</w:t>
      </w:r>
      <w:r w:rsidR="001133A5" w:rsidRPr="001133A5">
        <w:rPr>
          <w:i/>
          <w:vertAlign w:val="subscript"/>
        </w:rPr>
        <w:t>y</w:t>
      </w:r>
      <w:r>
        <w:t xml:space="preserve"> </w:t>
      </w:r>
      <w:r w:rsidR="00AE2DD9" w:rsidRPr="004A04AC">
        <w:t>is the risk charge component for asset risk stress y;</w:t>
      </w:r>
    </w:p>
    <w:p w14:paraId="14869C2C" w14:textId="5DB64D4D" w:rsidR="00AE2DD9" w:rsidRPr="004A04AC" w:rsidRDefault="001133A5" w:rsidP="00AE2DD9">
      <w:pPr>
        <w:pStyle w:val="BodyText2"/>
      </w:pPr>
      <w:r>
        <w:t>∑</w:t>
      </w:r>
      <w:r w:rsidRPr="001133A5">
        <w:rPr>
          <w:i/>
          <w:vertAlign w:val="subscript"/>
        </w:rPr>
        <w:t>x,y</w:t>
      </w:r>
      <w:r>
        <w:rPr>
          <w:i/>
          <w:vertAlign w:val="subscript"/>
        </w:rPr>
        <w:t xml:space="preserve">  </w:t>
      </w:r>
      <w:r w:rsidR="00AE2DD9" w:rsidRPr="004A04AC">
        <w:t>is the sum over all combinations of asset risk stresses, excluding the default stress;</w:t>
      </w:r>
    </w:p>
    <w:p w14:paraId="0B21F212" w14:textId="26874B2A" w:rsidR="00AE2DD9" w:rsidRPr="004A04AC" w:rsidRDefault="001133A5" w:rsidP="00AE2DD9">
      <w:pPr>
        <w:pStyle w:val="BodyText2"/>
      </w:pPr>
      <w:r w:rsidRPr="001133A5">
        <w:rPr>
          <w:i/>
        </w:rPr>
        <w:t>Corr</w:t>
      </w:r>
      <w:r w:rsidRPr="001133A5">
        <w:rPr>
          <w:i/>
          <w:vertAlign w:val="subscript"/>
        </w:rPr>
        <w:t>x,y</w:t>
      </w:r>
      <w:r w:rsidR="00AE2DD9" w:rsidRPr="004A04AC">
        <w:t xml:space="preserve"> is the correlation between asset risk stresses x and y;</w:t>
      </w:r>
    </w:p>
    <w:p w14:paraId="305044DA" w14:textId="51FED9CD" w:rsidR="00AE2DD9" w:rsidRPr="004A04AC" w:rsidRDefault="001133A5" w:rsidP="00AE2DD9">
      <w:pPr>
        <w:pStyle w:val="BodyText2"/>
      </w:pPr>
      <w:r w:rsidRPr="001133A5">
        <w:rPr>
          <w:i/>
        </w:rPr>
        <w:t>sign (x)</w:t>
      </w:r>
      <w:r>
        <w:rPr>
          <w:i/>
        </w:rPr>
        <w:t xml:space="preserve"> </w:t>
      </w:r>
      <w:r w:rsidR="00AE2DD9" w:rsidRPr="004A04AC">
        <w:t>is 1 for the equity, property and credit spreads stresses. For the real interest rates and expected inflation stresses,</w:t>
      </w:r>
      <w:r>
        <w:t xml:space="preserve"> </w:t>
      </w:r>
      <w:r w:rsidRPr="001133A5">
        <w:rPr>
          <w:i/>
        </w:rPr>
        <w:t>sign (x)</w:t>
      </w:r>
      <w:r w:rsidR="00AE2DD9" w:rsidRPr="004A04AC">
        <w:t xml:space="preserve"> is 1 if the stress is a decrease in rates, otherwise it is -1. For the currency stress,</w:t>
      </w:r>
      <w:r>
        <w:t xml:space="preserve"> </w:t>
      </w:r>
      <w:r w:rsidRPr="001133A5">
        <w:rPr>
          <w:i/>
        </w:rPr>
        <w:t>sign (x)</w:t>
      </w:r>
      <w:r w:rsidR="00AE2DD9" w:rsidRPr="004A04AC">
        <w:t xml:space="preserve"> is 1 if the stress is a depreciation of the Australian dollar against foreign currencies, otherwise it is -1; and</w:t>
      </w:r>
    </w:p>
    <w:p w14:paraId="126E2E66" w14:textId="553D7DE9" w:rsidR="009374FE" w:rsidRDefault="001133A5" w:rsidP="00AE2DD9">
      <w:pPr>
        <w:pStyle w:val="BodyText2"/>
      </w:pPr>
      <w:r w:rsidRPr="001133A5">
        <w:rPr>
          <w:i/>
        </w:rPr>
        <w:t>sign (y)</w:t>
      </w:r>
      <w:r>
        <w:t xml:space="preserve"> </w:t>
      </w:r>
      <w:r w:rsidR="00AE2DD9" w:rsidRPr="004A04AC">
        <w:t>is defined in the same way as</w:t>
      </w:r>
      <w:r w:rsidR="00B95F5D">
        <w:t xml:space="preserve"> </w:t>
      </w:r>
      <w:r w:rsidR="00B95F5D" w:rsidRPr="001133A5">
        <w:rPr>
          <w:i/>
        </w:rPr>
        <w:t>sign (x</w:t>
      </w:r>
      <w:r w:rsidR="00B95F5D">
        <w:rPr>
          <w:i/>
        </w:rPr>
        <w:t>)</w:t>
      </w:r>
      <w:r w:rsidR="00AE2DD9" w:rsidRPr="004A04AC">
        <w:t xml:space="preserve">. </w:t>
      </w:r>
    </w:p>
    <w:p w14:paraId="30AF6EE1" w14:textId="3775DAE8" w:rsidR="00AE2DD9" w:rsidRPr="004A04AC" w:rsidRDefault="009374FE" w:rsidP="009374FE">
      <w:r>
        <w:br w:type="page"/>
      </w:r>
    </w:p>
    <w:p w14:paraId="27F6B24F" w14:textId="77777777" w:rsidR="00AE2DD9" w:rsidRPr="004A04AC" w:rsidRDefault="00AE2DD9" w:rsidP="00AE2DD9">
      <w:pPr>
        <w:pStyle w:val="BodyText1"/>
      </w:pPr>
      <w:r w:rsidRPr="004A04AC">
        <w:lastRenderedPageBreak/>
        <w:t>The correlation matrix is:</w:t>
      </w:r>
    </w:p>
    <w:p w14:paraId="3E233D77" w14:textId="77777777" w:rsidR="00AE2DD9" w:rsidRPr="004A04AC" w:rsidRDefault="00AE2DD9" w:rsidP="00AE2DD9">
      <w:pPr>
        <w:keepNext/>
        <w:keepLines/>
        <w:ind w:left="567"/>
        <w:rPr>
          <w:b/>
        </w:rPr>
      </w:pPr>
      <w:r w:rsidRPr="004A04AC">
        <w:rPr>
          <w:rFonts w:cs="Arial"/>
          <w:b/>
          <w:szCs w:val="22"/>
        </w:rPr>
        <w:t>Table 3: Asset Risk Charge correlation matrix</w:t>
      </w:r>
    </w:p>
    <w:tbl>
      <w:tblPr>
        <w:tblW w:w="78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7"/>
        <w:gridCol w:w="1115"/>
        <w:gridCol w:w="1115"/>
        <w:gridCol w:w="1115"/>
        <w:gridCol w:w="1115"/>
        <w:gridCol w:w="1115"/>
      </w:tblGrid>
      <w:tr w:rsidR="00AE2DD9" w:rsidRPr="004A04AC" w14:paraId="19D8DBA9" w14:textId="77777777" w:rsidTr="00B461CC">
        <w:trPr>
          <w:trHeight w:val="510"/>
        </w:trPr>
        <w:tc>
          <w:tcPr>
            <w:tcW w:w="1276" w:type="dxa"/>
            <w:noWrap/>
            <w:hideMark/>
          </w:tcPr>
          <w:p w14:paraId="68F9E3FB" w14:textId="77777777" w:rsidR="00AE2DD9" w:rsidRPr="004A04AC" w:rsidRDefault="00AE2DD9" w:rsidP="00B461CC">
            <w:pPr>
              <w:keepNext/>
              <w:keepLines/>
              <w:jc w:val="center"/>
            </w:pPr>
          </w:p>
        </w:tc>
        <w:tc>
          <w:tcPr>
            <w:tcW w:w="997" w:type="dxa"/>
            <w:noWrap/>
            <w:hideMark/>
          </w:tcPr>
          <w:p w14:paraId="55AC07A6" w14:textId="77777777" w:rsidR="00AE2DD9" w:rsidRPr="004A04AC" w:rsidRDefault="00AE2DD9" w:rsidP="00B461CC">
            <w:pPr>
              <w:keepNext/>
              <w:keepLines/>
              <w:jc w:val="center"/>
              <w:rPr>
                <w:b/>
                <w:bCs/>
              </w:rPr>
            </w:pPr>
            <w:r w:rsidRPr="004A04AC">
              <w:rPr>
                <w:b/>
                <w:bCs/>
              </w:rPr>
              <w:t>RIR</w:t>
            </w:r>
          </w:p>
        </w:tc>
        <w:tc>
          <w:tcPr>
            <w:tcW w:w="1115" w:type="dxa"/>
            <w:noWrap/>
            <w:hideMark/>
          </w:tcPr>
          <w:p w14:paraId="43AE419F" w14:textId="77777777" w:rsidR="00AE2DD9" w:rsidRPr="004A04AC" w:rsidRDefault="00AE2DD9" w:rsidP="00B461CC">
            <w:pPr>
              <w:keepNext/>
              <w:jc w:val="center"/>
              <w:rPr>
                <w:b/>
                <w:bCs/>
              </w:rPr>
            </w:pPr>
            <w:r w:rsidRPr="004A04AC">
              <w:rPr>
                <w:b/>
                <w:bCs/>
              </w:rPr>
              <w:t>INF</w:t>
            </w:r>
          </w:p>
        </w:tc>
        <w:tc>
          <w:tcPr>
            <w:tcW w:w="1115" w:type="dxa"/>
            <w:noWrap/>
            <w:hideMark/>
          </w:tcPr>
          <w:p w14:paraId="0F185432" w14:textId="77777777" w:rsidR="00AE2DD9" w:rsidRPr="004A04AC" w:rsidRDefault="00AE2DD9" w:rsidP="00B461CC">
            <w:pPr>
              <w:keepNext/>
              <w:keepLines/>
              <w:jc w:val="center"/>
              <w:rPr>
                <w:b/>
                <w:bCs/>
              </w:rPr>
            </w:pPr>
            <w:r w:rsidRPr="004A04AC">
              <w:rPr>
                <w:b/>
                <w:bCs/>
              </w:rPr>
              <w:t>CUR</w:t>
            </w:r>
          </w:p>
        </w:tc>
        <w:tc>
          <w:tcPr>
            <w:tcW w:w="1115" w:type="dxa"/>
            <w:noWrap/>
            <w:hideMark/>
          </w:tcPr>
          <w:p w14:paraId="3362B711" w14:textId="77777777" w:rsidR="00AE2DD9" w:rsidRPr="004A04AC" w:rsidRDefault="00AE2DD9" w:rsidP="00B461CC">
            <w:pPr>
              <w:keepNext/>
              <w:keepLines/>
              <w:jc w:val="center"/>
              <w:rPr>
                <w:b/>
                <w:bCs/>
              </w:rPr>
            </w:pPr>
            <w:r w:rsidRPr="004A04AC">
              <w:rPr>
                <w:b/>
                <w:bCs/>
              </w:rPr>
              <w:t>EQY</w:t>
            </w:r>
          </w:p>
        </w:tc>
        <w:tc>
          <w:tcPr>
            <w:tcW w:w="1115" w:type="dxa"/>
            <w:noWrap/>
            <w:hideMark/>
          </w:tcPr>
          <w:p w14:paraId="6D15C3CA" w14:textId="77777777" w:rsidR="00AE2DD9" w:rsidRPr="004A04AC" w:rsidRDefault="00AE2DD9" w:rsidP="00B461CC">
            <w:pPr>
              <w:keepNext/>
              <w:keepLines/>
              <w:jc w:val="center"/>
              <w:rPr>
                <w:b/>
                <w:bCs/>
              </w:rPr>
            </w:pPr>
            <w:r w:rsidRPr="004A04AC">
              <w:rPr>
                <w:b/>
                <w:bCs/>
              </w:rPr>
              <w:t>PROP</w:t>
            </w:r>
          </w:p>
        </w:tc>
        <w:tc>
          <w:tcPr>
            <w:tcW w:w="1115" w:type="dxa"/>
            <w:noWrap/>
            <w:hideMark/>
          </w:tcPr>
          <w:p w14:paraId="77051A8F" w14:textId="77777777" w:rsidR="00AE2DD9" w:rsidRPr="004A04AC" w:rsidRDefault="00AE2DD9" w:rsidP="00B461CC">
            <w:pPr>
              <w:keepNext/>
              <w:keepLines/>
              <w:jc w:val="center"/>
              <w:rPr>
                <w:b/>
                <w:bCs/>
              </w:rPr>
            </w:pPr>
            <w:r w:rsidRPr="004A04AC">
              <w:rPr>
                <w:b/>
                <w:bCs/>
              </w:rPr>
              <w:t>CSP</w:t>
            </w:r>
          </w:p>
        </w:tc>
      </w:tr>
      <w:tr w:rsidR="00AE2DD9" w:rsidRPr="004A04AC" w14:paraId="26DA7271" w14:textId="77777777" w:rsidTr="00B461CC">
        <w:trPr>
          <w:trHeight w:val="397"/>
        </w:trPr>
        <w:tc>
          <w:tcPr>
            <w:tcW w:w="1276" w:type="dxa"/>
            <w:noWrap/>
            <w:hideMark/>
          </w:tcPr>
          <w:p w14:paraId="2F6F91AD" w14:textId="77777777" w:rsidR="00AE2DD9" w:rsidRPr="004A04AC" w:rsidRDefault="00AE2DD9" w:rsidP="00B461CC">
            <w:pPr>
              <w:keepNext/>
              <w:jc w:val="center"/>
              <w:rPr>
                <w:b/>
                <w:bCs/>
              </w:rPr>
            </w:pPr>
            <w:r w:rsidRPr="004A04AC">
              <w:rPr>
                <w:b/>
                <w:bCs/>
              </w:rPr>
              <w:t>RIR</w:t>
            </w:r>
          </w:p>
        </w:tc>
        <w:tc>
          <w:tcPr>
            <w:tcW w:w="997" w:type="dxa"/>
            <w:noWrap/>
            <w:hideMark/>
          </w:tcPr>
          <w:p w14:paraId="663464EC" w14:textId="77777777" w:rsidR="00AE2DD9" w:rsidRPr="004A04AC" w:rsidRDefault="00AE2DD9" w:rsidP="00B461CC">
            <w:pPr>
              <w:keepNext/>
              <w:jc w:val="center"/>
            </w:pPr>
            <w:r w:rsidRPr="004A04AC">
              <w:t>1</w:t>
            </w:r>
          </w:p>
        </w:tc>
        <w:tc>
          <w:tcPr>
            <w:tcW w:w="1115" w:type="dxa"/>
            <w:noWrap/>
            <w:hideMark/>
          </w:tcPr>
          <w:p w14:paraId="0310B217" w14:textId="77777777" w:rsidR="00AE2DD9" w:rsidRPr="004A04AC" w:rsidRDefault="00AE2DD9" w:rsidP="00B461CC">
            <w:pPr>
              <w:keepNext/>
              <w:jc w:val="center"/>
            </w:pPr>
            <w:r w:rsidRPr="004A04AC">
              <w:t>0.2</w:t>
            </w:r>
          </w:p>
        </w:tc>
        <w:tc>
          <w:tcPr>
            <w:tcW w:w="1115" w:type="dxa"/>
            <w:noWrap/>
            <w:hideMark/>
          </w:tcPr>
          <w:p w14:paraId="328CD59A" w14:textId="77777777" w:rsidR="00AE2DD9" w:rsidRPr="004A04AC" w:rsidRDefault="00AE2DD9" w:rsidP="00B461CC">
            <w:pPr>
              <w:keepNext/>
              <w:jc w:val="center"/>
            </w:pPr>
            <w:r w:rsidRPr="004A04AC">
              <w:t>0.2</w:t>
            </w:r>
          </w:p>
        </w:tc>
        <w:tc>
          <w:tcPr>
            <w:tcW w:w="1115" w:type="dxa"/>
            <w:noWrap/>
            <w:hideMark/>
          </w:tcPr>
          <w:p w14:paraId="5FEB4618" w14:textId="77777777" w:rsidR="00AE2DD9" w:rsidRPr="004A04AC" w:rsidRDefault="00AE2DD9" w:rsidP="00B461CC">
            <w:pPr>
              <w:keepNext/>
              <w:jc w:val="center"/>
            </w:pPr>
            <w:r w:rsidRPr="004A04AC">
              <w:t>0.2</w:t>
            </w:r>
          </w:p>
        </w:tc>
        <w:tc>
          <w:tcPr>
            <w:tcW w:w="1115" w:type="dxa"/>
            <w:noWrap/>
            <w:hideMark/>
          </w:tcPr>
          <w:p w14:paraId="5FECECB2" w14:textId="77777777" w:rsidR="00AE2DD9" w:rsidRPr="004A04AC" w:rsidRDefault="00AE2DD9" w:rsidP="00B461CC">
            <w:pPr>
              <w:keepNext/>
              <w:jc w:val="center"/>
            </w:pPr>
            <w:r w:rsidRPr="004A04AC">
              <w:t>0.2</w:t>
            </w:r>
          </w:p>
        </w:tc>
        <w:tc>
          <w:tcPr>
            <w:tcW w:w="1115" w:type="dxa"/>
            <w:noWrap/>
            <w:hideMark/>
          </w:tcPr>
          <w:p w14:paraId="1F414AAC" w14:textId="77777777" w:rsidR="00AE2DD9" w:rsidRPr="004A04AC" w:rsidRDefault="00AE2DD9" w:rsidP="00B461CC">
            <w:pPr>
              <w:keepNext/>
              <w:jc w:val="center"/>
            </w:pPr>
            <w:r w:rsidRPr="004A04AC">
              <w:t>0.2</w:t>
            </w:r>
          </w:p>
        </w:tc>
      </w:tr>
      <w:tr w:rsidR="00AE2DD9" w:rsidRPr="004A04AC" w14:paraId="6DCBB68E" w14:textId="77777777" w:rsidTr="00B461CC">
        <w:trPr>
          <w:trHeight w:val="397"/>
        </w:trPr>
        <w:tc>
          <w:tcPr>
            <w:tcW w:w="1276" w:type="dxa"/>
            <w:noWrap/>
            <w:hideMark/>
          </w:tcPr>
          <w:p w14:paraId="2565173E" w14:textId="77777777" w:rsidR="00AE2DD9" w:rsidRPr="004A04AC" w:rsidRDefault="00AE2DD9" w:rsidP="00B461CC">
            <w:pPr>
              <w:keepNext/>
              <w:jc w:val="center"/>
              <w:rPr>
                <w:b/>
                <w:bCs/>
              </w:rPr>
            </w:pPr>
            <w:r w:rsidRPr="004A04AC">
              <w:rPr>
                <w:b/>
                <w:bCs/>
              </w:rPr>
              <w:t>INF</w:t>
            </w:r>
          </w:p>
        </w:tc>
        <w:tc>
          <w:tcPr>
            <w:tcW w:w="997" w:type="dxa"/>
            <w:noWrap/>
            <w:hideMark/>
          </w:tcPr>
          <w:p w14:paraId="32397639" w14:textId="77777777" w:rsidR="00AE2DD9" w:rsidRPr="004A04AC" w:rsidRDefault="00AE2DD9" w:rsidP="00B461CC">
            <w:pPr>
              <w:keepNext/>
              <w:jc w:val="center"/>
            </w:pPr>
            <w:r w:rsidRPr="004A04AC">
              <w:t>0.2</w:t>
            </w:r>
          </w:p>
        </w:tc>
        <w:tc>
          <w:tcPr>
            <w:tcW w:w="1115" w:type="dxa"/>
            <w:noWrap/>
            <w:hideMark/>
          </w:tcPr>
          <w:p w14:paraId="6179343C" w14:textId="77777777" w:rsidR="00AE2DD9" w:rsidRPr="004A04AC" w:rsidRDefault="00AE2DD9" w:rsidP="00B461CC">
            <w:pPr>
              <w:keepNext/>
              <w:jc w:val="center"/>
            </w:pPr>
            <w:r w:rsidRPr="004A04AC">
              <w:t>1</w:t>
            </w:r>
          </w:p>
        </w:tc>
        <w:tc>
          <w:tcPr>
            <w:tcW w:w="1115" w:type="dxa"/>
            <w:noWrap/>
            <w:hideMark/>
          </w:tcPr>
          <w:p w14:paraId="01D5BF3D" w14:textId="77777777" w:rsidR="00AE2DD9" w:rsidRPr="004A04AC" w:rsidRDefault="00AE2DD9" w:rsidP="00B461CC">
            <w:pPr>
              <w:keepNext/>
              <w:jc w:val="center"/>
            </w:pPr>
            <w:r w:rsidRPr="004A04AC">
              <w:t>0.2</w:t>
            </w:r>
          </w:p>
        </w:tc>
        <w:tc>
          <w:tcPr>
            <w:tcW w:w="1115" w:type="dxa"/>
            <w:noWrap/>
            <w:hideMark/>
          </w:tcPr>
          <w:p w14:paraId="001627AF" w14:textId="77777777" w:rsidR="00AE2DD9" w:rsidRPr="004A04AC" w:rsidRDefault="00AE2DD9" w:rsidP="00B461CC">
            <w:pPr>
              <w:keepNext/>
              <w:jc w:val="center"/>
            </w:pPr>
            <w:r w:rsidRPr="004A04AC">
              <w:t>0.4</w:t>
            </w:r>
          </w:p>
        </w:tc>
        <w:tc>
          <w:tcPr>
            <w:tcW w:w="1115" w:type="dxa"/>
            <w:noWrap/>
            <w:hideMark/>
          </w:tcPr>
          <w:p w14:paraId="6CFD119B" w14:textId="77777777" w:rsidR="00AE2DD9" w:rsidRPr="004A04AC" w:rsidRDefault="00AE2DD9" w:rsidP="00B461CC">
            <w:pPr>
              <w:keepNext/>
              <w:jc w:val="center"/>
            </w:pPr>
            <w:r w:rsidRPr="004A04AC">
              <w:t>0.4</w:t>
            </w:r>
          </w:p>
        </w:tc>
        <w:tc>
          <w:tcPr>
            <w:tcW w:w="1115" w:type="dxa"/>
            <w:noWrap/>
            <w:hideMark/>
          </w:tcPr>
          <w:p w14:paraId="43995E84" w14:textId="77777777" w:rsidR="00AE2DD9" w:rsidRPr="004A04AC" w:rsidRDefault="00AE2DD9" w:rsidP="00B461CC">
            <w:pPr>
              <w:keepNext/>
              <w:jc w:val="center"/>
            </w:pPr>
            <w:r w:rsidRPr="004A04AC">
              <w:t>0.2</w:t>
            </w:r>
          </w:p>
        </w:tc>
      </w:tr>
      <w:tr w:rsidR="00AE2DD9" w:rsidRPr="004A04AC" w14:paraId="2027CC34" w14:textId="77777777" w:rsidTr="00B461CC">
        <w:trPr>
          <w:trHeight w:val="397"/>
        </w:trPr>
        <w:tc>
          <w:tcPr>
            <w:tcW w:w="1276" w:type="dxa"/>
            <w:noWrap/>
            <w:hideMark/>
          </w:tcPr>
          <w:p w14:paraId="3B27662A" w14:textId="77777777" w:rsidR="00AE2DD9" w:rsidRPr="004A04AC" w:rsidRDefault="00AE2DD9" w:rsidP="00B461CC">
            <w:pPr>
              <w:keepNext/>
              <w:jc w:val="center"/>
              <w:rPr>
                <w:b/>
                <w:bCs/>
              </w:rPr>
            </w:pPr>
            <w:r w:rsidRPr="004A04AC">
              <w:rPr>
                <w:b/>
                <w:bCs/>
              </w:rPr>
              <w:t>CUR</w:t>
            </w:r>
          </w:p>
        </w:tc>
        <w:tc>
          <w:tcPr>
            <w:tcW w:w="997" w:type="dxa"/>
            <w:noWrap/>
            <w:hideMark/>
          </w:tcPr>
          <w:p w14:paraId="71872768" w14:textId="77777777" w:rsidR="00AE2DD9" w:rsidRPr="004A04AC" w:rsidRDefault="00AE2DD9" w:rsidP="00B461CC">
            <w:pPr>
              <w:keepNext/>
              <w:jc w:val="center"/>
            </w:pPr>
            <w:r w:rsidRPr="004A04AC">
              <w:t>0.2</w:t>
            </w:r>
          </w:p>
        </w:tc>
        <w:tc>
          <w:tcPr>
            <w:tcW w:w="1115" w:type="dxa"/>
            <w:noWrap/>
            <w:hideMark/>
          </w:tcPr>
          <w:p w14:paraId="68FFABED" w14:textId="77777777" w:rsidR="00AE2DD9" w:rsidRPr="004A04AC" w:rsidRDefault="00AE2DD9" w:rsidP="00B461CC">
            <w:pPr>
              <w:keepNext/>
              <w:jc w:val="center"/>
            </w:pPr>
            <w:r w:rsidRPr="004A04AC">
              <w:t>0.2</w:t>
            </w:r>
          </w:p>
        </w:tc>
        <w:tc>
          <w:tcPr>
            <w:tcW w:w="1115" w:type="dxa"/>
            <w:noWrap/>
            <w:hideMark/>
          </w:tcPr>
          <w:p w14:paraId="337399B6" w14:textId="77777777" w:rsidR="00AE2DD9" w:rsidRPr="004A04AC" w:rsidRDefault="00AE2DD9" w:rsidP="00B461CC">
            <w:pPr>
              <w:keepNext/>
              <w:jc w:val="center"/>
            </w:pPr>
            <w:r w:rsidRPr="004A04AC">
              <w:t>1</w:t>
            </w:r>
          </w:p>
        </w:tc>
        <w:tc>
          <w:tcPr>
            <w:tcW w:w="1115" w:type="dxa"/>
            <w:noWrap/>
            <w:hideMark/>
          </w:tcPr>
          <w:p w14:paraId="74DCA332" w14:textId="77777777" w:rsidR="00AE2DD9" w:rsidRPr="004A04AC" w:rsidRDefault="00AE2DD9" w:rsidP="00B461CC">
            <w:pPr>
              <w:keepNext/>
              <w:jc w:val="center"/>
            </w:pPr>
            <w:r w:rsidRPr="004A04AC">
              <w:t>0.6</w:t>
            </w:r>
          </w:p>
        </w:tc>
        <w:tc>
          <w:tcPr>
            <w:tcW w:w="1115" w:type="dxa"/>
            <w:noWrap/>
            <w:hideMark/>
          </w:tcPr>
          <w:p w14:paraId="4F6DAB53" w14:textId="77777777" w:rsidR="00AE2DD9" w:rsidRPr="004A04AC" w:rsidRDefault="00AE2DD9" w:rsidP="00B461CC">
            <w:pPr>
              <w:keepNext/>
              <w:jc w:val="center"/>
            </w:pPr>
            <w:r w:rsidRPr="004A04AC">
              <w:t>0.2</w:t>
            </w:r>
          </w:p>
        </w:tc>
        <w:tc>
          <w:tcPr>
            <w:tcW w:w="1115" w:type="dxa"/>
            <w:noWrap/>
            <w:hideMark/>
          </w:tcPr>
          <w:p w14:paraId="3D527A3A" w14:textId="77777777" w:rsidR="00AE2DD9" w:rsidRPr="004A04AC" w:rsidRDefault="00AE2DD9" w:rsidP="00B461CC">
            <w:pPr>
              <w:keepNext/>
              <w:jc w:val="center"/>
            </w:pPr>
            <w:r w:rsidRPr="004A04AC">
              <w:t>0.4</w:t>
            </w:r>
          </w:p>
        </w:tc>
      </w:tr>
      <w:tr w:rsidR="00AE2DD9" w:rsidRPr="004A04AC" w14:paraId="14961E1F" w14:textId="77777777" w:rsidTr="00B461CC">
        <w:trPr>
          <w:trHeight w:val="397"/>
        </w:trPr>
        <w:tc>
          <w:tcPr>
            <w:tcW w:w="1276" w:type="dxa"/>
            <w:noWrap/>
            <w:hideMark/>
          </w:tcPr>
          <w:p w14:paraId="31D1A528" w14:textId="77777777" w:rsidR="00AE2DD9" w:rsidRPr="004A04AC" w:rsidRDefault="00AE2DD9" w:rsidP="00B461CC">
            <w:pPr>
              <w:keepNext/>
              <w:jc w:val="center"/>
              <w:rPr>
                <w:b/>
                <w:bCs/>
              </w:rPr>
            </w:pPr>
            <w:r w:rsidRPr="004A04AC">
              <w:rPr>
                <w:b/>
                <w:bCs/>
              </w:rPr>
              <w:t>EQY</w:t>
            </w:r>
          </w:p>
        </w:tc>
        <w:tc>
          <w:tcPr>
            <w:tcW w:w="997" w:type="dxa"/>
            <w:noWrap/>
            <w:hideMark/>
          </w:tcPr>
          <w:p w14:paraId="52B9C732" w14:textId="77777777" w:rsidR="00AE2DD9" w:rsidRPr="004A04AC" w:rsidRDefault="00AE2DD9" w:rsidP="00B461CC">
            <w:pPr>
              <w:keepNext/>
              <w:jc w:val="center"/>
            </w:pPr>
            <w:r w:rsidRPr="004A04AC">
              <w:t>0.2</w:t>
            </w:r>
          </w:p>
        </w:tc>
        <w:tc>
          <w:tcPr>
            <w:tcW w:w="1115" w:type="dxa"/>
            <w:noWrap/>
            <w:hideMark/>
          </w:tcPr>
          <w:p w14:paraId="3C1BB6EF" w14:textId="77777777" w:rsidR="00AE2DD9" w:rsidRPr="004A04AC" w:rsidRDefault="00AE2DD9" w:rsidP="00B461CC">
            <w:pPr>
              <w:keepNext/>
              <w:jc w:val="center"/>
            </w:pPr>
            <w:r w:rsidRPr="004A04AC">
              <w:t>0.4</w:t>
            </w:r>
          </w:p>
        </w:tc>
        <w:tc>
          <w:tcPr>
            <w:tcW w:w="1115" w:type="dxa"/>
            <w:noWrap/>
            <w:hideMark/>
          </w:tcPr>
          <w:p w14:paraId="0E45CCA3" w14:textId="77777777" w:rsidR="00AE2DD9" w:rsidRPr="004A04AC" w:rsidRDefault="00AE2DD9" w:rsidP="00B461CC">
            <w:pPr>
              <w:keepNext/>
              <w:jc w:val="center"/>
            </w:pPr>
            <w:r w:rsidRPr="004A04AC">
              <w:t>0.6</w:t>
            </w:r>
          </w:p>
        </w:tc>
        <w:tc>
          <w:tcPr>
            <w:tcW w:w="1115" w:type="dxa"/>
            <w:noWrap/>
            <w:hideMark/>
          </w:tcPr>
          <w:p w14:paraId="26C84C94" w14:textId="77777777" w:rsidR="00AE2DD9" w:rsidRPr="004A04AC" w:rsidRDefault="00AE2DD9" w:rsidP="00B461CC">
            <w:pPr>
              <w:keepNext/>
              <w:jc w:val="center"/>
            </w:pPr>
            <w:r w:rsidRPr="004A04AC">
              <w:t>1</w:t>
            </w:r>
          </w:p>
        </w:tc>
        <w:tc>
          <w:tcPr>
            <w:tcW w:w="1115" w:type="dxa"/>
            <w:noWrap/>
            <w:hideMark/>
          </w:tcPr>
          <w:p w14:paraId="6D2E888E" w14:textId="77777777" w:rsidR="00AE2DD9" w:rsidRPr="004A04AC" w:rsidRDefault="00AE2DD9" w:rsidP="00B461CC">
            <w:pPr>
              <w:keepNext/>
              <w:jc w:val="center"/>
            </w:pPr>
            <w:r w:rsidRPr="004A04AC">
              <w:t>0.4</w:t>
            </w:r>
          </w:p>
        </w:tc>
        <w:tc>
          <w:tcPr>
            <w:tcW w:w="1115" w:type="dxa"/>
            <w:noWrap/>
            <w:hideMark/>
          </w:tcPr>
          <w:p w14:paraId="2D3991AB" w14:textId="77777777" w:rsidR="00AE2DD9" w:rsidRPr="004A04AC" w:rsidRDefault="00AE2DD9" w:rsidP="00B461CC">
            <w:pPr>
              <w:keepNext/>
              <w:jc w:val="center"/>
            </w:pPr>
            <w:r w:rsidRPr="004A04AC">
              <w:t>0.8</w:t>
            </w:r>
          </w:p>
        </w:tc>
      </w:tr>
      <w:tr w:rsidR="00AE2DD9" w:rsidRPr="004A04AC" w14:paraId="2C0CE8FE" w14:textId="77777777" w:rsidTr="00B461CC">
        <w:trPr>
          <w:trHeight w:val="397"/>
        </w:trPr>
        <w:tc>
          <w:tcPr>
            <w:tcW w:w="1276" w:type="dxa"/>
            <w:noWrap/>
            <w:hideMark/>
          </w:tcPr>
          <w:p w14:paraId="5E0E4C4C" w14:textId="77777777" w:rsidR="00AE2DD9" w:rsidRPr="004A04AC" w:rsidRDefault="00AE2DD9" w:rsidP="00B461CC">
            <w:pPr>
              <w:keepNext/>
              <w:jc w:val="center"/>
              <w:rPr>
                <w:b/>
                <w:bCs/>
              </w:rPr>
            </w:pPr>
            <w:r w:rsidRPr="004A04AC">
              <w:rPr>
                <w:b/>
                <w:bCs/>
              </w:rPr>
              <w:t>PROP</w:t>
            </w:r>
          </w:p>
        </w:tc>
        <w:tc>
          <w:tcPr>
            <w:tcW w:w="997" w:type="dxa"/>
            <w:noWrap/>
            <w:hideMark/>
          </w:tcPr>
          <w:p w14:paraId="6591F2EC" w14:textId="77777777" w:rsidR="00AE2DD9" w:rsidRPr="004A04AC" w:rsidRDefault="00AE2DD9" w:rsidP="00B461CC">
            <w:pPr>
              <w:keepNext/>
              <w:jc w:val="center"/>
            </w:pPr>
            <w:r w:rsidRPr="004A04AC">
              <w:t>0.2</w:t>
            </w:r>
          </w:p>
        </w:tc>
        <w:tc>
          <w:tcPr>
            <w:tcW w:w="1115" w:type="dxa"/>
            <w:noWrap/>
            <w:hideMark/>
          </w:tcPr>
          <w:p w14:paraId="2B21367B" w14:textId="77777777" w:rsidR="00AE2DD9" w:rsidRPr="004A04AC" w:rsidRDefault="00AE2DD9" w:rsidP="00B461CC">
            <w:pPr>
              <w:keepNext/>
              <w:jc w:val="center"/>
            </w:pPr>
            <w:r w:rsidRPr="004A04AC">
              <w:t>0.4</w:t>
            </w:r>
          </w:p>
        </w:tc>
        <w:tc>
          <w:tcPr>
            <w:tcW w:w="1115" w:type="dxa"/>
            <w:noWrap/>
            <w:hideMark/>
          </w:tcPr>
          <w:p w14:paraId="3433D1FE" w14:textId="77777777" w:rsidR="00AE2DD9" w:rsidRPr="004A04AC" w:rsidRDefault="00AE2DD9" w:rsidP="00B461CC">
            <w:pPr>
              <w:keepNext/>
              <w:jc w:val="center"/>
            </w:pPr>
            <w:r w:rsidRPr="004A04AC">
              <w:t>0.2</w:t>
            </w:r>
          </w:p>
        </w:tc>
        <w:tc>
          <w:tcPr>
            <w:tcW w:w="1115" w:type="dxa"/>
            <w:noWrap/>
            <w:hideMark/>
          </w:tcPr>
          <w:p w14:paraId="430BD7C9" w14:textId="77777777" w:rsidR="00AE2DD9" w:rsidRPr="004A04AC" w:rsidRDefault="00AE2DD9" w:rsidP="00B461CC">
            <w:pPr>
              <w:keepNext/>
              <w:jc w:val="center"/>
            </w:pPr>
            <w:r w:rsidRPr="004A04AC">
              <w:t>0.4</w:t>
            </w:r>
          </w:p>
        </w:tc>
        <w:tc>
          <w:tcPr>
            <w:tcW w:w="1115" w:type="dxa"/>
            <w:noWrap/>
            <w:hideMark/>
          </w:tcPr>
          <w:p w14:paraId="3862240B" w14:textId="77777777" w:rsidR="00AE2DD9" w:rsidRPr="004A04AC" w:rsidRDefault="00AE2DD9" w:rsidP="00B461CC">
            <w:pPr>
              <w:keepNext/>
              <w:jc w:val="center"/>
            </w:pPr>
            <w:r w:rsidRPr="004A04AC">
              <w:t>1</w:t>
            </w:r>
          </w:p>
        </w:tc>
        <w:tc>
          <w:tcPr>
            <w:tcW w:w="1115" w:type="dxa"/>
            <w:noWrap/>
            <w:hideMark/>
          </w:tcPr>
          <w:p w14:paraId="280D94A9" w14:textId="77777777" w:rsidR="00AE2DD9" w:rsidRPr="004A04AC" w:rsidRDefault="00AE2DD9" w:rsidP="00B461CC">
            <w:pPr>
              <w:keepNext/>
              <w:jc w:val="center"/>
            </w:pPr>
            <w:r w:rsidRPr="004A04AC">
              <w:t>0.4</w:t>
            </w:r>
          </w:p>
        </w:tc>
      </w:tr>
      <w:tr w:rsidR="00AE2DD9" w:rsidRPr="004A04AC" w14:paraId="37AA5D66" w14:textId="77777777" w:rsidTr="00B461CC">
        <w:trPr>
          <w:trHeight w:val="397"/>
        </w:trPr>
        <w:tc>
          <w:tcPr>
            <w:tcW w:w="1276" w:type="dxa"/>
            <w:noWrap/>
            <w:hideMark/>
          </w:tcPr>
          <w:p w14:paraId="06532AB3" w14:textId="77777777" w:rsidR="00AE2DD9" w:rsidRPr="004A04AC" w:rsidRDefault="00AE2DD9" w:rsidP="00B461CC">
            <w:pPr>
              <w:keepNext/>
              <w:jc w:val="center"/>
              <w:rPr>
                <w:b/>
                <w:bCs/>
              </w:rPr>
            </w:pPr>
            <w:r w:rsidRPr="004A04AC">
              <w:rPr>
                <w:b/>
                <w:bCs/>
              </w:rPr>
              <w:t>CSP</w:t>
            </w:r>
          </w:p>
        </w:tc>
        <w:tc>
          <w:tcPr>
            <w:tcW w:w="997" w:type="dxa"/>
            <w:noWrap/>
            <w:hideMark/>
          </w:tcPr>
          <w:p w14:paraId="3F99C103" w14:textId="77777777" w:rsidR="00AE2DD9" w:rsidRPr="004A04AC" w:rsidRDefault="00AE2DD9" w:rsidP="00B461CC">
            <w:pPr>
              <w:keepNext/>
              <w:jc w:val="center"/>
            </w:pPr>
            <w:r w:rsidRPr="004A04AC">
              <w:t>0.2</w:t>
            </w:r>
          </w:p>
        </w:tc>
        <w:tc>
          <w:tcPr>
            <w:tcW w:w="1115" w:type="dxa"/>
            <w:noWrap/>
            <w:hideMark/>
          </w:tcPr>
          <w:p w14:paraId="088E5B79" w14:textId="77777777" w:rsidR="00AE2DD9" w:rsidRPr="004A04AC" w:rsidRDefault="00AE2DD9" w:rsidP="00B461CC">
            <w:pPr>
              <w:keepNext/>
              <w:jc w:val="center"/>
            </w:pPr>
            <w:r w:rsidRPr="004A04AC">
              <w:t>0.2</w:t>
            </w:r>
          </w:p>
        </w:tc>
        <w:tc>
          <w:tcPr>
            <w:tcW w:w="1115" w:type="dxa"/>
            <w:noWrap/>
            <w:hideMark/>
          </w:tcPr>
          <w:p w14:paraId="5857DA17" w14:textId="77777777" w:rsidR="00AE2DD9" w:rsidRPr="004A04AC" w:rsidRDefault="00AE2DD9" w:rsidP="00B461CC">
            <w:pPr>
              <w:keepNext/>
              <w:jc w:val="center"/>
            </w:pPr>
            <w:r w:rsidRPr="004A04AC">
              <w:t>0.4</w:t>
            </w:r>
          </w:p>
        </w:tc>
        <w:tc>
          <w:tcPr>
            <w:tcW w:w="1115" w:type="dxa"/>
            <w:noWrap/>
            <w:hideMark/>
          </w:tcPr>
          <w:p w14:paraId="3D5699D8" w14:textId="77777777" w:rsidR="00AE2DD9" w:rsidRPr="004A04AC" w:rsidRDefault="00AE2DD9" w:rsidP="00B461CC">
            <w:pPr>
              <w:keepNext/>
              <w:jc w:val="center"/>
            </w:pPr>
            <w:r w:rsidRPr="004A04AC">
              <w:t>0.8</w:t>
            </w:r>
          </w:p>
        </w:tc>
        <w:tc>
          <w:tcPr>
            <w:tcW w:w="1115" w:type="dxa"/>
            <w:noWrap/>
            <w:hideMark/>
          </w:tcPr>
          <w:p w14:paraId="3E58C61D" w14:textId="77777777" w:rsidR="00AE2DD9" w:rsidRPr="004A04AC" w:rsidRDefault="00AE2DD9" w:rsidP="00B461CC">
            <w:pPr>
              <w:keepNext/>
              <w:jc w:val="center"/>
            </w:pPr>
            <w:r w:rsidRPr="004A04AC">
              <w:t>0.4</w:t>
            </w:r>
          </w:p>
        </w:tc>
        <w:tc>
          <w:tcPr>
            <w:tcW w:w="1115" w:type="dxa"/>
            <w:noWrap/>
            <w:hideMark/>
          </w:tcPr>
          <w:p w14:paraId="6EB52DC9" w14:textId="77777777" w:rsidR="00AE2DD9" w:rsidRPr="004A04AC" w:rsidRDefault="00AE2DD9" w:rsidP="00B461CC">
            <w:pPr>
              <w:keepNext/>
              <w:jc w:val="center"/>
            </w:pPr>
            <w:r w:rsidRPr="004A04AC">
              <w:t>1</w:t>
            </w:r>
          </w:p>
        </w:tc>
      </w:tr>
    </w:tbl>
    <w:p w14:paraId="1DCDE2C1" w14:textId="77777777" w:rsidR="00AE2DD9" w:rsidRPr="004A04AC" w:rsidRDefault="00AE2DD9" w:rsidP="00AE2DD9"/>
    <w:p w14:paraId="7E80D1A3" w14:textId="77777777" w:rsidR="00AE2DD9" w:rsidRPr="004A04AC" w:rsidRDefault="00AE2DD9" w:rsidP="00AE2DD9">
      <w:pPr>
        <w:pStyle w:val="BodyText1"/>
      </w:pPr>
      <w:bookmarkStart w:id="113" w:name="_Ref324836461"/>
      <w:r w:rsidRPr="004A04AC">
        <w:t>The real interest rates, expected inflation and currency stresses apply in two directions. The aggregation needs to be performed twice for each of these stresses if both stresses produce a non-zero risk charge component, with the larger of the aggregates chosen. If two of the bidirectional stresses have a non-zero risk charge component for stresses in both directions, the aggregation will need to be performed four times – once for each combination of stresses. If all three of the bidirectional stresses have a non-zero risk charge component for stresses in both directions, the aggregation will need to be performed eight times.</w:t>
      </w:r>
      <w:bookmarkEnd w:id="113"/>
      <w:r w:rsidRPr="004A04AC">
        <w:t xml:space="preserve">  </w:t>
      </w:r>
    </w:p>
    <w:p w14:paraId="2EF75E04" w14:textId="77777777" w:rsidR="00AE2DD9" w:rsidRPr="004A04AC" w:rsidRDefault="00AE2DD9" w:rsidP="00AE2DD9">
      <w:pPr>
        <w:pStyle w:val="Heading1"/>
      </w:pPr>
      <w:bookmarkStart w:id="114" w:name="_Toc88828582"/>
      <w:bookmarkStart w:id="115" w:name="_Toc107246691"/>
      <w:bookmarkStart w:id="116" w:name="_Toc109652613"/>
      <w:bookmarkStart w:id="117" w:name="Adjustmentsandexclusions"/>
      <w:r w:rsidRPr="004A04AC">
        <w:t>Adjustments and exclusions</w:t>
      </w:r>
      <w:bookmarkEnd w:id="114"/>
      <w:bookmarkEnd w:id="115"/>
      <w:bookmarkEnd w:id="116"/>
    </w:p>
    <w:bookmarkEnd w:id="117"/>
    <w:p w14:paraId="62DE8669" w14:textId="77777777" w:rsidR="00AE2DD9" w:rsidRPr="004A04AC" w:rsidRDefault="00AE2DD9" w:rsidP="00AE2DD9">
      <w:pPr>
        <w:pStyle w:val="BodyText1"/>
      </w:pPr>
      <w:r w:rsidRPr="004A04AC">
        <w:t>APRA may, by notice in writing to a life company, adjust or exclude a specific requirement in this Prudential Standard in relation to th</w:t>
      </w:r>
      <w:r w:rsidRPr="004A04AC">
        <w:rPr>
          <w:rFonts w:cs="Arial"/>
        </w:rPr>
        <w:t>a</w:t>
      </w:r>
      <w:r w:rsidRPr="004A04AC">
        <w:rPr>
          <w:bCs/>
        </w:rPr>
        <w:t>t</w:t>
      </w:r>
      <w:r w:rsidRPr="004A04AC">
        <w:t xml:space="preserve"> life company.</w:t>
      </w:r>
    </w:p>
    <w:p w14:paraId="0DD74483" w14:textId="256C43D9" w:rsidR="00AE2DD9" w:rsidRPr="004A04AC" w:rsidRDefault="006064F0" w:rsidP="00AE2DD9">
      <w:pPr>
        <w:pStyle w:val="Heading1"/>
      </w:pPr>
      <w:bookmarkStart w:id="118" w:name="_Toc109652614"/>
      <w:r>
        <w:t>Previous exercise of discretion</w:t>
      </w:r>
      <w:bookmarkEnd w:id="118"/>
    </w:p>
    <w:p w14:paraId="166C0B51" w14:textId="1EE3DCAB" w:rsidR="00AE2DD9" w:rsidRPr="00AE2DD9" w:rsidRDefault="006064F0" w:rsidP="00AE2DD9">
      <w:pPr>
        <w:pStyle w:val="BodyText1"/>
      </w:pPr>
      <w:r>
        <w:t xml:space="preserve">A life company must contact APRA if it seeks to place reliance, for the purposes of complying with this Prudential Standard, on a previous exemption or other exercise of discretion </w:t>
      </w:r>
      <w:r w:rsidR="003010FF">
        <w:t xml:space="preserve">made </w:t>
      </w:r>
      <w:r>
        <w:t>by APRA under a previous version of this Prudential Standard.</w:t>
      </w:r>
    </w:p>
    <w:p w14:paraId="58F5F2A7" w14:textId="24A030C4" w:rsidR="0038413F" w:rsidRDefault="0038413F" w:rsidP="00DF539C"/>
    <w:p w14:paraId="6E6ACC3A" w14:textId="77777777" w:rsidR="00DF539C" w:rsidRDefault="00DF539C" w:rsidP="0038413F">
      <w:pPr>
        <w:pStyle w:val="BodyText1"/>
        <w:numPr>
          <w:ilvl w:val="0"/>
          <w:numId w:val="0"/>
        </w:numPr>
        <w:sectPr w:rsidR="00DF539C" w:rsidSect="000D63A8">
          <w:pgSz w:w="11906" w:h="16838" w:code="9"/>
          <w:pgMar w:top="1440" w:right="1797" w:bottom="1440" w:left="1797" w:header="709" w:footer="709" w:gutter="0"/>
          <w:cols w:space="708"/>
          <w:docGrid w:linePitch="360"/>
        </w:sectPr>
      </w:pPr>
    </w:p>
    <w:p w14:paraId="5F62CB3D" w14:textId="1C27732B" w:rsidR="00AE2DD9" w:rsidRPr="00663BBD" w:rsidRDefault="00E16DD9" w:rsidP="00417785">
      <w:pPr>
        <w:pStyle w:val="Heading2"/>
        <w:tabs>
          <w:tab w:val="left" w:pos="2910"/>
        </w:tabs>
      </w:pPr>
      <w:bookmarkStart w:id="119" w:name="_Toc107246693"/>
      <w:bookmarkStart w:id="120" w:name="_Toc109652615"/>
      <w:r w:rsidRPr="001F6B8D">
        <w:lastRenderedPageBreak/>
        <w:t xml:space="preserve">Attachment </w:t>
      </w:r>
      <w:r w:rsidR="00B766FA" w:rsidRPr="001F6B8D">
        <w:rPr>
          <w:rStyle w:val="Attachmentfieldtext"/>
        </w:rPr>
        <w:fldChar w:fldCharType="begin"/>
      </w:r>
      <w:r w:rsidR="00B766FA" w:rsidRPr="001F6B8D">
        <w:rPr>
          <w:rStyle w:val="Attachmentfieldtext"/>
        </w:rPr>
        <w:instrText xml:space="preserve"> SEQ Attach \* ALPHABETIC \* MERGEFORMAT </w:instrText>
      </w:r>
      <w:r w:rsidR="00B766FA" w:rsidRPr="001F6B8D">
        <w:rPr>
          <w:rStyle w:val="Attachmentfieldtext"/>
        </w:rPr>
        <w:fldChar w:fldCharType="separate"/>
      </w:r>
      <w:r w:rsidR="00034F56">
        <w:rPr>
          <w:rStyle w:val="Attachmentfieldtext"/>
          <w:noProof/>
        </w:rPr>
        <w:t>A</w:t>
      </w:r>
      <w:r w:rsidR="00B766FA" w:rsidRPr="001F6B8D">
        <w:rPr>
          <w:rStyle w:val="Attachmentfieldtext"/>
        </w:rPr>
        <w:fldChar w:fldCharType="end"/>
      </w:r>
      <w:r w:rsidR="001F6B8D" w:rsidRPr="001F6B8D">
        <w:t xml:space="preserve"> - </w:t>
      </w:r>
      <w:r w:rsidR="00AE2DD9" w:rsidRPr="00417785">
        <w:t>Off-balance sheet exposures</w:t>
      </w:r>
      <w:bookmarkEnd w:id="119"/>
      <w:bookmarkEnd w:id="120"/>
    </w:p>
    <w:p w14:paraId="24F19E47" w14:textId="77777777" w:rsidR="00AE2DD9" w:rsidRPr="004A04AC" w:rsidRDefault="00AE2DD9" w:rsidP="00AE2DD9">
      <w:pPr>
        <w:pStyle w:val="BodyText1"/>
        <w:numPr>
          <w:ilvl w:val="0"/>
          <w:numId w:val="33"/>
        </w:numPr>
      </w:pPr>
      <w:r w:rsidRPr="004A04AC">
        <w:t>A fund may be exposed to various asset risks through transactions or dealings other than those reflected on its balance sheet.</w:t>
      </w:r>
    </w:p>
    <w:p w14:paraId="6451C270" w14:textId="77777777" w:rsidR="00AE2DD9" w:rsidRPr="004A04AC" w:rsidRDefault="00AE2DD9" w:rsidP="00AE2DD9">
      <w:pPr>
        <w:pStyle w:val="BodyText1"/>
      </w:pPr>
      <w:r w:rsidRPr="004A04AC">
        <w:t>The principle of considering the effective exposure of the fund to asset risks must be applied to any off-balance sheet exposures of the fund. Changes to the capital base arising from off-balance sheet exposures must be recognised in each of the asset risk stresses.</w:t>
      </w:r>
    </w:p>
    <w:p w14:paraId="2F9D28D1" w14:textId="77777777" w:rsidR="00AE2DD9" w:rsidRPr="004A04AC" w:rsidRDefault="00AE2DD9" w:rsidP="00AE2DD9">
      <w:pPr>
        <w:pStyle w:val="BodyText1"/>
      </w:pPr>
      <w:r w:rsidRPr="004A04AC">
        <w:t>As a general rule, a life company must not be exposed to a counterparty for an unlimited amount and any exposure must be for a finite period. An exception to this rule is where a potential credit exposure results from reinsurance of an insurance contract that is required by law to be unlimited. Before a life company does enter into an arrangement with a counterparty that does not have appropriate limits, it must:</w:t>
      </w:r>
    </w:p>
    <w:p w14:paraId="3B33A382" w14:textId="77777777" w:rsidR="00AE2DD9" w:rsidRPr="004A04AC" w:rsidRDefault="00AE2DD9" w:rsidP="00AE2DD9">
      <w:pPr>
        <w:pStyle w:val="BodyText2"/>
      </w:pPr>
      <w:r w:rsidRPr="004A04AC">
        <w:t>notify APRA;</w:t>
      </w:r>
    </w:p>
    <w:p w14:paraId="471473F0" w14:textId="77777777" w:rsidR="00AE2DD9" w:rsidRPr="004A04AC" w:rsidRDefault="00AE2DD9" w:rsidP="00AE2DD9">
      <w:pPr>
        <w:pStyle w:val="BodyText2"/>
      </w:pPr>
      <w:r w:rsidRPr="004A04AC">
        <w:t>explain how this arrangement complies with its Risk Management Strategy; and</w:t>
      </w:r>
    </w:p>
    <w:p w14:paraId="76B0A37D" w14:textId="77777777" w:rsidR="00AE2DD9" w:rsidRPr="004A04AC" w:rsidRDefault="00AE2DD9" w:rsidP="00AE2DD9">
      <w:pPr>
        <w:pStyle w:val="BodyText2"/>
      </w:pPr>
      <w:r w:rsidRPr="004A04AC">
        <w:t>explain how it will be valued for the purposes of capital adequacy calculations.</w:t>
      </w:r>
    </w:p>
    <w:p w14:paraId="717CE26D" w14:textId="77777777" w:rsidR="00AE2DD9" w:rsidRPr="004A04AC" w:rsidRDefault="00AE2DD9" w:rsidP="00AE2DD9">
      <w:pPr>
        <w:ind w:left="567"/>
      </w:pPr>
      <w:r w:rsidRPr="004A04AC">
        <w:t>Such an exposure may cause APRA to apply a supervisory adjustment in accordance with LPS 110.</w:t>
      </w:r>
    </w:p>
    <w:p w14:paraId="5F075EB7" w14:textId="77777777" w:rsidR="00AE2DD9" w:rsidRPr="004A04AC" w:rsidRDefault="00AE2DD9" w:rsidP="00AE2DD9">
      <w:pPr>
        <w:pStyle w:val="Heading3"/>
      </w:pPr>
      <w:bookmarkStart w:id="121" w:name="_Toc107246694"/>
      <w:bookmarkStart w:id="122" w:name="_Toc109652616"/>
      <w:r w:rsidRPr="004A04AC">
        <w:t>Direct credit substitutes</w:t>
      </w:r>
      <w:bookmarkEnd w:id="121"/>
      <w:bookmarkEnd w:id="122"/>
    </w:p>
    <w:p w14:paraId="38C97AB5" w14:textId="77777777" w:rsidR="00AE2DD9" w:rsidRPr="004A04AC" w:rsidRDefault="00AE2DD9" w:rsidP="00AE2DD9">
      <w:pPr>
        <w:pStyle w:val="BodyText1"/>
      </w:pPr>
      <w:r w:rsidRPr="004A04AC">
        <w:t>To the extent that a life company has issued instruments of the following kind:</w:t>
      </w:r>
    </w:p>
    <w:p w14:paraId="24753EA2" w14:textId="77777777" w:rsidR="00AE2DD9" w:rsidRPr="004A04AC" w:rsidRDefault="00AE2DD9" w:rsidP="00AE2DD9">
      <w:pPr>
        <w:pStyle w:val="BodyText2"/>
      </w:pPr>
      <w:r w:rsidRPr="004A04AC">
        <w:t>guarantees (including written put options serving as guarantees); or</w:t>
      </w:r>
    </w:p>
    <w:p w14:paraId="40F08E44" w14:textId="77777777" w:rsidR="00AE2DD9" w:rsidRPr="004A04AC" w:rsidRDefault="00AE2DD9" w:rsidP="00AE2DD9">
      <w:pPr>
        <w:pStyle w:val="BodyText2"/>
      </w:pPr>
      <w:r w:rsidRPr="004A04AC">
        <w:t>letters of credit; or</w:t>
      </w:r>
    </w:p>
    <w:p w14:paraId="678E9021" w14:textId="77777777" w:rsidR="00AE2DD9" w:rsidRPr="004A04AC" w:rsidRDefault="00AE2DD9" w:rsidP="00AE2DD9">
      <w:pPr>
        <w:pStyle w:val="BodyText2"/>
      </w:pPr>
      <w:r w:rsidRPr="004A04AC">
        <w:t>any other credit substitute (other than insurance) in favour of another party,</w:t>
      </w:r>
    </w:p>
    <w:p w14:paraId="633C427D" w14:textId="39FD208C" w:rsidR="00AE2DD9" w:rsidRPr="004A04AC" w:rsidRDefault="00AE2DD9" w:rsidP="00315FD1">
      <w:r w:rsidRPr="004A04AC">
        <w:t xml:space="preserve">the life company is exposed to the risk of having to make payment on these instruments should a default event occur that requires the life company to pay an amount under the instrument. The risk of such events occurring must be considered in the default stress. The default factors must be applied to the face value of each exposure. </w:t>
      </w:r>
      <w:bookmarkStart w:id="123" w:name="_Hlk105677037"/>
      <w:bookmarkStart w:id="124" w:name="_Hlk105677027"/>
      <w:r w:rsidRPr="004A04AC">
        <w:t>Where the credit substitute is supported by collateral or a guarantee, the provisions of</w:t>
      </w:r>
      <w:r w:rsidR="00C436F1">
        <w:t xml:space="preserve"> paragraphs 32 to 44 of LPS 117</w:t>
      </w:r>
      <w:bookmarkEnd w:id="123"/>
      <w:r w:rsidR="00237D70">
        <w:t xml:space="preserve"> may be applied</w:t>
      </w:r>
      <w:r w:rsidR="00C436F1">
        <w:t xml:space="preserve">. </w:t>
      </w:r>
      <w:bookmarkEnd w:id="124"/>
      <w:r w:rsidRPr="004A04AC">
        <w:t>.</w:t>
      </w:r>
    </w:p>
    <w:p w14:paraId="4AB135B0" w14:textId="77777777" w:rsidR="0029455F" w:rsidRDefault="0029455F" w:rsidP="007D2D7F"/>
    <w:p w14:paraId="0B657217" w14:textId="77777777" w:rsidR="0029455F" w:rsidRPr="007D2D7F" w:rsidRDefault="0029455F" w:rsidP="007D2D7F"/>
    <w:p w14:paraId="4DD684F7" w14:textId="77777777" w:rsidR="007D2D7F" w:rsidRPr="001119D9" w:rsidRDefault="007D2D7F" w:rsidP="0038413F">
      <w:pPr>
        <w:pStyle w:val="Heading2"/>
        <w:sectPr w:rsidR="007D2D7F" w:rsidRPr="001119D9" w:rsidSect="000D63A8">
          <w:footerReference w:type="default" r:id="rId17"/>
          <w:pgSz w:w="11906" w:h="16838" w:code="9"/>
          <w:pgMar w:top="1440" w:right="1797" w:bottom="1440" w:left="1797" w:header="709" w:footer="709" w:gutter="0"/>
          <w:cols w:space="708"/>
          <w:docGrid w:linePitch="360"/>
        </w:sectPr>
      </w:pPr>
    </w:p>
    <w:p w14:paraId="715A7CF7" w14:textId="3DC5CCF5" w:rsidR="00417785" w:rsidRPr="00417785" w:rsidRDefault="00C7402A" w:rsidP="00417785">
      <w:pPr>
        <w:pStyle w:val="Heading2"/>
      </w:pPr>
      <w:bookmarkStart w:id="125" w:name="_Toc107246695"/>
      <w:bookmarkStart w:id="126" w:name="_Toc109652617"/>
      <w:r>
        <w:lastRenderedPageBreak/>
        <w:t xml:space="preserve">Attachment </w:t>
      </w:r>
      <w:r w:rsidR="00D30E82" w:rsidRPr="00663BBD">
        <w:rPr>
          <w:rStyle w:val="Attachmentfieldtext"/>
        </w:rPr>
        <w:t>B</w:t>
      </w:r>
      <w:r>
        <w:t xml:space="preserve"> </w:t>
      </w:r>
      <w:r w:rsidR="00417785" w:rsidRPr="00847EF4">
        <w:t>-</w:t>
      </w:r>
      <w:r w:rsidRPr="00382357">
        <w:t xml:space="preserve"> </w:t>
      </w:r>
      <w:r w:rsidR="00417785" w:rsidRPr="00417785">
        <w:t>Extended Licensed Entity</w:t>
      </w:r>
      <w:bookmarkEnd w:id="125"/>
      <w:bookmarkEnd w:id="126"/>
      <w:r w:rsidR="00417785" w:rsidRPr="00417785">
        <w:t xml:space="preserve"> </w:t>
      </w:r>
    </w:p>
    <w:p w14:paraId="4BC7B52A" w14:textId="74ECBC34" w:rsidR="00C7402A" w:rsidRPr="004A04AC" w:rsidRDefault="00C7402A" w:rsidP="00C7402A">
      <w:pPr>
        <w:pStyle w:val="BodyText1"/>
        <w:numPr>
          <w:ilvl w:val="0"/>
          <w:numId w:val="38"/>
        </w:numPr>
      </w:pPr>
      <w:r w:rsidRPr="004A04AC">
        <w:t xml:space="preserve">In certain circumstances, a life company may choose to hold assets in an SPV or other related entity, rather than on its own balance sheet. Where a life company receives approval under paragraph </w:t>
      </w:r>
      <w:r w:rsidRPr="004A04AC">
        <w:fldChar w:fldCharType="begin"/>
      </w:r>
      <w:r w:rsidRPr="004A04AC">
        <w:instrText xml:space="preserve"> REF _Ref324843001 \r \h  \* MERGEFORMAT </w:instrText>
      </w:r>
      <w:r w:rsidRPr="004A04AC">
        <w:fldChar w:fldCharType="separate"/>
      </w:r>
      <w:r w:rsidR="00372340">
        <w:t>3</w:t>
      </w:r>
      <w:r w:rsidRPr="004A04AC">
        <w:fldChar w:fldCharType="end"/>
      </w:r>
      <w:r w:rsidRPr="004A04AC">
        <w:t xml:space="preserve"> of this Attachment, the life company will be able to determine its Asset Risk Charge based on the individual assets and liabilities of the related entity, rather than simply on the life company’s direct exposure to that entity. This treats the activities of the life company and the related entity as comprising an Extended Licensed Entity (ELE).</w:t>
      </w:r>
    </w:p>
    <w:p w14:paraId="477DF5AF" w14:textId="77777777" w:rsidR="00C7402A" w:rsidRPr="004A04AC" w:rsidRDefault="00C7402A" w:rsidP="00C7402A">
      <w:pPr>
        <w:pStyle w:val="BodyText1"/>
      </w:pPr>
      <w:r w:rsidRPr="004A04AC">
        <w:t>The extent to which the risk of a life company’s exposure to a related entity is commensurate with the underlying holdings of that entity, depends on the extent to which the life company has control over, or is integrated with the entity, as well as on the existence of material third party liabilities of the entity. The life company must consider any potential complications under a scenario where underlying asset holdings must be liquidated during financial stress.</w:t>
      </w:r>
    </w:p>
    <w:p w14:paraId="464703DB" w14:textId="14DE07CD" w:rsidR="00C7402A" w:rsidRPr="004A04AC" w:rsidRDefault="00C7402A" w:rsidP="00C7402A">
      <w:pPr>
        <w:pStyle w:val="BodyText1"/>
      </w:pPr>
      <w:bookmarkStart w:id="127" w:name="_Ref324843001"/>
      <w:r w:rsidRPr="004A04AC">
        <w:t xml:space="preserve">Subject to the specific requirements set out in paragraph </w:t>
      </w:r>
      <w:r w:rsidRPr="004A04AC">
        <w:fldChar w:fldCharType="begin"/>
      </w:r>
      <w:r w:rsidRPr="004A04AC">
        <w:instrText xml:space="preserve"> REF _Ref324843016 \r \h  \* MERGEFORMAT </w:instrText>
      </w:r>
      <w:r w:rsidRPr="004A04AC">
        <w:fldChar w:fldCharType="separate"/>
      </w:r>
      <w:r w:rsidR="00372340">
        <w:t>4</w:t>
      </w:r>
      <w:r w:rsidRPr="004A04AC">
        <w:fldChar w:fldCharType="end"/>
      </w:r>
      <w:r w:rsidRPr="004A04AC">
        <w:t xml:space="preserve"> of this Attachment, a life company may apply to APRA to have one or more related entities approved as part of its ELE. Once approved, APRA will allow the life company to ‘look-through’ the legal structures involved, and to ‘consolidate’ the balance sheet of the related entity with its own, for the purpose of determining the Asset Risk Charge. In effect, this allows the life company to treat its own balance sheet and that of the approved related entity as a single entity for the purpose of calculating the Asset Risk Charge.</w:t>
      </w:r>
      <w:bookmarkEnd w:id="127"/>
    </w:p>
    <w:p w14:paraId="2D6BB4C3" w14:textId="77777777" w:rsidR="00C7402A" w:rsidRPr="004A04AC" w:rsidRDefault="00C7402A" w:rsidP="00C7402A">
      <w:pPr>
        <w:pStyle w:val="BodyText1"/>
      </w:pPr>
      <w:bookmarkStart w:id="128" w:name="_Ref324843016"/>
      <w:r w:rsidRPr="004A04AC">
        <w:t>In deciding whether to approve an entity as part of a life company’s ELE, APRA will have regard to the following criteria in respect of the relationship between the life company and the related entity:</w:t>
      </w:r>
      <w:bookmarkEnd w:id="128"/>
    </w:p>
    <w:p w14:paraId="18026C44" w14:textId="77777777" w:rsidR="00C7402A" w:rsidRPr="004A04AC" w:rsidRDefault="00C7402A" w:rsidP="00C7402A">
      <w:pPr>
        <w:pStyle w:val="BodyText2"/>
      </w:pPr>
      <w:r w:rsidRPr="004A04AC">
        <w:t>the related entity must be wholly owned and controlled by the life company, with a Board of directors/trustees that is comprised entirely of members of the life company’s Board or senior management;</w:t>
      </w:r>
    </w:p>
    <w:p w14:paraId="300034DC" w14:textId="77777777" w:rsidR="00C7402A" w:rsidRPr="004A04AC" w:rsidRDefault="00C7402A" w:rsidP="00C7402A">
      <w:pPr>
        <w:pStyle w:val="BodyText2"/>
      </w:pPr>
      <w:r w:rsidRPr="004A04AC">
        <w:t>the life company must demonstrate to APRA that there are no legal or regulatory barriers (e.g. restrictions imposed by law or a regulator in a foreign jurisdiction) to the transfer of the assets back to the life company;</w:t>
      </w:r>
    </w:p>
    <w:p w14:paraId="12F8B2B1" w14:textId="77777777" w:rsidR="00C7402A" w:rsidRPr="004A04AC" w:rsidRDefault="00C7402A" w:rsidP="00C7402A">
      <w:pPr>
        <w:pStyle w:val="BodyText2"/>
      </w:pPr>
      <w:r w:rsidRPr="004A04AC">
        <w:t>the life company’s risk management systems and controls must apply fully to the operations of the related entity. The senior management of the life company must be in a position to monitor the operations of the related entity to the same extent as the operations of the life company itself. Systems for monitoring and maintaining control over the related entity must be included within the internal and external audit programs of the life company;</w:t>
      </w:r>
    </w:p>
    <w:p w14:paraId="69EBF0D0" w14:textId="77777777" w:rsidR="00C7402A" w:rsidRPr="004A04AC" w:rsidRDefault="00C7402A" w:rsidP="00C7402A">
      <w:pPr>
        <w:pStyle w:val="BodyText2"/>
      </w:pPr>
      <w:r w:rsidRPr="004A04AC">
        <w:t>the life company must be able to furnish stand-alone accounting records for the related entity, and provide APRA with full and unfettered access to this information at any time (including during on-site visits);</w:t>
      </w:r>
    </w:p>
    <w:p w14:paraId="1B824477" w14:textId="77777777" w:rsidR="00C7402A" w:rsidRPr="004A04AC" w:rsidRDefault="00C7402A" w:rsidP="00C7402A">
      <w:pPr>
        <w:pStyle w:val="BodyText2"/>
      </w:pPr>
      <w:r w:rsidRPr="004A04AC">
        <w:lastRenderedPageBreak/>
        <w:t>where the related entity holds or invests in assets on behalf of the life company, the related entity must have no material third party liabilities, other than exempt tax liabilities and employee entitlements;</w:t>
      </w:r>
    </w:p>
    <w:p w14:paraId="6F894818" w14:textId="77777777" w:rsidR="00C7402A" w:rsidRPr="004A04AC" w:rsidRDefault="00C7402A" w:rsidP="00C7402A">
      <w:pPr>
        <w:pStyle w:val="BodyText2"/>
      </w:pPr>
      <w:r w:rsidRPr="004A04AC">
        <w:t>where the related entity borrows on behalf of the life company, all funds must be on-lent directly to the life company; and</w:t>
      </w:r>
    </w:p>
    <w:p w14:paraId="009FA9C6" w14:textId="77777777" w:rsidR="00C7402A" w:rsidRPr="004A04AC" w:rsidRDefault="00C7402A" w:rsidP="00C7402A">
      <w:pPr>
        <w:pStyle w:val="BodyText2"/>
      </w:pPr>
      <w:r w:rsidRPr="004A04AC">
        <w:t>the related entity must not conduct any business that the life company would otherwise be prevented from conducting under the Act.</w:t>
      </w:r>
    </w:p>
    <w:p w14:paraId="6849F294" w14:textId="77777777" w:rsidR="00C7402A" w:rsidRPr="00C7402A" w:rsidRDefault="00C7402A" w:rsidP="00C7402A">
      <w:pPr>
        <w:pStyle w:val="BodyText1"/>
        <w:numPr>
          <w:ilvl w:val="0"/>
          <w:numId w:val="0"/>
        </w:numPr>
        <w:ind w:left="567" w:hanging="567"/>
      </w:pPr>
    </w:p>
    <w:sectPr w:rsidR="00C7402A" w:rsidRPr="00C7402A" w:rsidSect="000D63A8">
      <w:footerReference w:type="default" r:id="rId1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2E51" w14:textId="77777777" w:rsidR="00996C67" w:rsidRDefault="00996C67" w:rsidP="006A6A52">
      <w:pPr>
        <w:spacing w:after="0"/>
      </w:pPr>
      <w:r>
        <w:separator/>
      </w:r>
    </w:p>
  </w:endnote>
  <w:endnote w:type="continuationSeparator" w:id="0">
    <w:p w14:paraId="306918E5" w14:textId="77777777" w:rsidR="00996C67" w:rsidRDefault="00996C67" w:rsidP="006A6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3676" w14:textId="036FB77F" w:rsidR="00AC7EC3" w:rsidRPr="00842FBD" w:rsidRDefault="006D5DB1" w:rsidP="00842FBD">
    <w:pPr>
      <w:pStyle w:val="Footer"/>
    </w:pPr>
    <w:fldSimple w:instr=" STYLEREF  &quot;PS No. field text&quot;  \* MERGEFORMAT ">
      <w:r w:rsidR="000659B2">
        <w:rPr>
          <w:noProof/>
        </w:rPr>
        <w:t>LPS 114</w:t>
      </w:r>
    </w:fldSimple>
    <w:r w:rsidR="00AC7EC3">
      <w:t xml:space="preserve"> - </w:t>
    </w:r>
    <w:r w:rsidR="00AC7EC3" w:rsidRPr="00842FBD">
      <w:fldChar w:fldCharType="begin"/>
    </w:r>
    <w:r w:rsidR="00AC7EC3" w:rsidRPr="00842FBD">
      <w:instrText xml:space="preserve"> PAGE </w:instrText>
    </w:r>
    <w:r w:rsidR="00AC7EC3" w:rsidRPr="00842FBD">
      <w:fldChar w:fldCharType="separate"/>
    </w:r>
    <w:r w:rsidR="00AC7EC3">
      <w:rPr>
        <w:noProof/>
      </w:rPr>
      <w:t>2</w:t>
    </w:r>
    <w:r w:rsidR="00AC7EC3"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7D6A" w14:textId="2B7B1EF6" w:rsidR="00867092" w:rsidRPr="00842FBD" w:rsidRDefault="006D5DB1" w:rsidP="00842FBD">
    <w:pPr>
      <w:pStyle w:val="Footer"/>
    </w:pPr>
    <w:fldSimple w:instr=" STYLEREF  &quot;PS No. field text&quot;  \* MERGEFORMAT ">
      <w:r w:rsidR="000659B2">
        <w:rPr>
          <w:noProof/>
        </w:rPr>
        <w:t>LPS 114</w:t>
      </w:r>
    </w:fldSimple>
    <w:r w:rsidR="001F6B8D">
      <w:t xml:space="preserve"> </w:t>
    </w:r>
    <w:r w:rsidR="00B766FA">
      <w:t>–</w:t>
    </w:r>
    <w:r w:rsidR="00867092">
      <w:t xml:space="preserve"> </w:t>
    </w:r>
    <w:r w:rsidR="00B766FA">
      <w:t xml:space="preserve">Attachment </w:t>
    </w:r>
    <w:fldSimple w:instr=" STYLEREF  &quot;Attachment field text&quot;  \* MERGEFORMAT ">
      <w:r w:rsidR="000659B2">
        <w:rPr>
          <w:noProof/>
        </w:rPr>
        <w:t>A</w:t>
      </w:r>
    </w:fldSimple>
    <w:r w:rsidR="005B6DC2">
      <w:t xml:space="preserve"> </w:t>
    </w:r>
    <w:r w:rsidR="00867092">
      <w:t xml:space="preserve">- </w:t>
    </w:r>
    <w:r w:rsidR="00867092" w:rsidRPr="00842FBD">
      <w:fldChar w:fldCharType="begin"/>
    </w:r>
    <w:r w:rsidR="00867092" w:rsidRPr="00842FBD">
      <w:instrText xml:space="preserve"> PAGE </w:instrText>
    </w:r>
    <w:r w:rsidR="00867092" w:rsidRPr="00842FBD">
      <w:fldChar w:fldCharType="separate"/>
    </w:r>
    <w:r w:rsidR="009E76B1">
      <w:rPr>
        <w:noProof/>
      </w:rPr>
      <w:t>5</w:t>
    </w:r>
    <w:r w:rsidR="00867092" w:rsidRPr="00842F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7B61" w14:textId="233A42EB" w:rsidR="00C7402A" w:rsidRPr="00842FBD" w:rsidRDefault="000659B2" w:rsidP="00842FBD">
    <w:pPr>
      <w:pStyle w:val="Footer"/>
    </w:pPr>
    <w:r>
      <w:fldChar w:fldCharType="begin"/>
    </w:r>
    <w:r>
      <w:instrText xml:space="preserve"> STYLEREF  "PS No. field text"  \* MERGEFORMAT </w:instrText>
    </w:r>
    <w:r>
      <w:fldChar w:fldCharType="separate"/>
    </w:r>
    <w:r>
      <w:rPr>
        <w:noProof/>
      </w:rPr>
      <w:t>LPS 114</w:t>
    </w:r>
    <w:r>
      <w:rPr>
        <w:noProof/>
      </w:rPr>
      <w:fldChar w:fldCharType="end"/>
    </w:r>
    <w:r w:rsidR="00C7402A">
      <w:t xml:space="preserve"> – Attachment </w:t>
    </w:r>
    <w:fldSimple w:instr=" STYLEREF  &quot;Attachment field text&quot;  \* MERGEFORMAT ">
      <w:r>
        <w:rPr>
          <w:noProof/>
        </w:rPr>
        <w:t>B</w:t>
      </w:r>
    </w:fldSimple>
    <w:r w:rsidR="00C7402A">
      <w:t xml:space="preserve"> - </w:t>
    </w:r>
    <w:r w:rsidR="00C7402A" w:rsidRPr="00842FBD">
      <w:fldChar w:fldCharType="begin"/>
    </w:r>
    <w:r w:rsidR="00C7402A" w:rsidRPr="00842FBD">
      <w:instrText xml:space="preserve"> PAGE </w:instrText>
    </w:r>
    <w:r w:rsidR="00C7402A" w:rsidRPr="00842FBD">
      <w:fldChar w:fldCharType="separate"/>
    </w:r>
    <w:r w:rsidR="00C7402A">
      <w:rPr>
        <w:noProof/>
      </w:rPr>
      <w:t>5</w:t>
    </w:r>
    <w:r w:rsidR="00C7402A"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B70D" w14:textId="77777777" w:rsidR="00996C67" w:rsidRDefault="00996C67" w:rsidP="006A6A52">
      <w:pPr>
        <w:spacing w:after="0"/>
      </w:pPr>
      <w:r>
        <w:separator/>
      </w:r>
    </w:p>
  </w:footnote>
  <w:footnote w:type="continuationSeparator" w:id="0">
    <w:p w14:paraId="5A48D193" w14:textId="77777777" w:rsidR="00996C67" w:rsidRDefault="00996C67" w:rsidP="006A6A52">
      <w:pPr>
        <w:spacing w:after="0"/>
      </w:pPr>
      <w:r>
        <w:continuationSeparator/>
      </w:r>
    </w:p>
  </w:footnote>
  <w:footnote w:id="1">
    <w:p w14:paraId="6149C030" w14:textId="77777777" w:rsidR="00DA5B11" w:rsidRPr="00782129" w:rsidRDefault="00DA5B11" w:rsidP="00DA5B11">
      <w:pPr>
        <w:pStyle w:val="FootnoteText"/>
        <w:tabs>
          <w:tab w:val="left" w:pos="567"/>
        </w:tabs>
        <w:rPr>
          <w:rStyle w:val="FootnoteReference"/>
        </w:rPr>
      </w:pPr>
      <w:r w:rsidRPr="00782129">
        <w:rPr>
          <w:rStyle w:val="FootnoteReference"/>
        </w:rPr>
        <w:footnoteRef/>
      </w:r>
      <w:r w:rsidRPr="00782129">
        <w:rPr>
          <w:rStyle w:val="FootnoteReference"/>
        </w:rPr>
        <w:t xml:space="preserve"> </w:t>
      </w:r>
      <w:r w:rsidRPr="00782129">
        <w:tab/>
        <w:t>Refer to subsection 21(1) of the Act.</w:t>
      </w:r>
    </w:p>
  </w:footnote>
  <w:footnote w:id="2">
    <w:p w14:paraId="655ED444" w14:textId="77777777" w:rsidR="00DA5B11" w:rsidRPr="00782129" w:rsidRDefault="00DA5B11" w:rsidP="00DA5B11">
      <w:pPr>
        <w:pStyle w:val="FootnoteText"/>
        <w:tabs>
          <w:tab w:val="left" w:pos="567"/>
        </w:tabs>
      </w:pPr>
      <w:r w:rsidRPr="00782129">
        <w:rPr>
          <w:rStyle w:val="FootnoteReference"/>
        </w:rPr>
        <w:footnoteRef/>
      </w:r>
      <w:r w:rsidRPr="00782129">
        <w:t xml:space="preserve"> </w:t>
      </w:r>
      <w:r w:rsidRPr="00782129">
        <w:tab/>
        <w:t>Refer to section 16ZD of the Act.</w:t>
      </w:r>
    </w:p>
  </w:footnote>
  <w:footnote w:id="3">
    <w:p w14:paraId="72308858" w14:textId="6D20D4F4" w:rsidR="0009691D" w:rsidRPr="00863CB2" w:rsidRDefault="0009691D" w:rsidP="0009691D">
      <w:pPr>
        <w:pStyle w:val="FootnoteText"/>
        <w:rPr>
          <w:rFonts w:eastAsia="Malgun Gothic"/>
          <w:lang w:eastAsia="ko-KR"/>
        </w:rPr>
      </w:pPr>
      <w:r>
        <w:rPr>
          <w:rStyle w:val="FootnoteReference"/>
        </w:rPr>
        <w:footnoteRef/>
      </w:r>
      <w:r>
        <w:t xml:space="preserve"> </w:t>
      </w:r>
      <w:r w:rsidR="00843E9C">
        <w:tab/>
      </w:r>
      <w:r w:rsidRPr="002078E8">
        <w:t>Insurance policy receivables and payables also form part of the liability adjustment calculation specified</w:t>
      </w:r>
      <w:r w:rsidR="00843E9C">
        <w:t xml:space="preserve"> </w:t>
      </w:r>
      <w:r w:rsidRPr="002078E8">
        <w:t>in</w:t>
      </w:r>
      <w:r>
        <w:t xml:space="preserve"> </w:t>
      </w:r>
      <w:r w:rsidRPr="002078E8">
        <w:t xml:space="preserve">Attachment B to </w:t>
      </w:r>
      <w:r w:rsidRPr="002078E8">
        <w:rPr>
          <w:i/>
        </w:rPr>
        <w:t xml:space="preserve">Prudential Standard </w:t>
      </w:r>
      <w:r w:rsidRPr="002C01CC">
        <w:rPr>
          <w:i/>
        </w:rPr>
        <w:t>LPS</w:t>
      </w:r>
      <w:r w:rsidRPr="002078E8">
        <w:rPr>
          <w:i/>
        </w:rPr>
        <w:t xml:space="preserve"> 112 Capital Adequacy: Measurement of Capital</w:t>
      </w:r>
      <w:r w:rsidRPr="002078E8">
        <w:t xml:space="preserve"> (LPS 112).</w:t>
      </w:r>
    </w:p>
  </w:footnote>
  <w:footnote w:id="4">
    <w:p w14:paraId="3920ED56" w14:textId="77777777" w:rsidR="0009691D" w:rsidRDefault="0009691D" w:rsidP="0009691D">
      <w:pPr>
        <w:pStyle w:val="FootnoteText"/>
      </w:pPr>
      <w:r>
        <w:rPr>
          <w:rStyle w:val="FootnoteReference"/>
        </w:rPr>
        <w:footnoteRef/>
      </w:r>
      <w:r>
        <w:t xml:space="preserve"> </w:t>
      </w:r>
      <w:r>
        <w:tab/>
        <w:t xml:space="preserve">For the purpose of calculating the result of the stress tests other than the default stress, a life company must use the </w:t>
      </w:r>
      <w:r w:rsidRPr="00517F1F">
        <w:rPr>
          <w:b/>
        </w:rPr>
        <w:t>adjusted policy liabilities</w:t>
      </w:r>
      <w:r>
        <w:t xml:space="preserve"> (net of reinsurance) calculated in accordance with LPS 112 instead of the equivalent </w:t>
      </w:r>
      <w:r w:rsidRPr="0040244F">
        <w:rPr>
          <w:b/>
        </w:rPr>
        <w:t>statutory account</w:t>
      </w:r>
      <w:r>
        <w:t xml:space="preserve"> values.</w:t>
      </w:r>
    </w:p>
  </w:footnote>
  <w:footnote w:id="5">
    <w:p w14:paraId="47A29A06" w14:textId="77777777" w:rsidR="0009691D" w:rsidRPr="00782129" w:rsidRDefault="0009691D" w:rsidP="0009691D">
      <w:pPr>
        <w:pStyle w:val="FootnoteText"/>
      </w:pPr>
      <w:r w:rsidRPr="00782129">
        <w:rPr>
          <w:rStyle w:val="FootnoteReference"/>
        </w:rPr>
        <w:footnoteRef/>
      </w:r>
      <w:r w:rsidRPr="00782129">
        <w:t xml:space="preserve"> </w:t>
      </w:r>
      <w:r w:rsidRPr="00782129">
        <w:tab/>
        <w:t>For this purpose, an investment entity is an entity where the sole purpose of the entity is investment activities.</w:t>
      </w:r>
    </w:p>
  </w:footnote>
  <w:footnote w:id="6">
    <w:p w14:paraId="43FBA86E" w14:textId="77777777" w:rsidR="0009691D" w:rsidRDefault="0009691D" w:rsidP="0009691D">
      <w:pPr>
        <w:pStyle w:val="FootnoteText"/>
      </w:pPr>
      <w:r>
        <w:rPr>
          <w:rStyle w:val="FootnoteReference"/>
        </w:rPr>
        <w:footnoteRef/>
      </w:r>
      <w:r>
        <w:t xml:space="preserve"> </w:t>
      </w:r>
      <w:r>
        <w:tab/>
        <w:t>For this purpose, a trust or entity may be geared through borrowings or through the use of derivatives.</w:t>
      </w:r>
    </w:p>
  </w:footnote>
  <w:footnote w:id="7">
    <w:p w14:paraId="1D00B0D2" w14:textId="77777777" w:rsidR="00B4062F" w:rsidRDefault="00B4062F" w:rsidP="00B4062F">
      <w:pPr>
        <w:pStyle w:val="FootnoteText"/>
      </w:pPr>
      <w:r>
        <w:rPr>
          <w:rStyle w:val="FootnoteReference"/>
        </w:rPr>
        <w:footnoteRef/>
      </w:r>
      <w:r>
        <w:tab/>
        <w:t>In the increase scenario, the Australian dollar values of foreign currency assets and liabilities will fall by 20 per cent. In the decrease scenario, the Australian dollar values of foreign currency assets and liabilities will increase by 33.3 per cent.</w:t>
      </w:r>
    </w:p>
  </w:footnote>
  <w:footnote w:id="8">
    <w:p w14:paraId="7CA126F1" w14:textId="77777777" w:rsidR="00B4062F" w:rsidRPr="00782129" w:rsidRDefault="00B4062F" w:rsidP="00B4062F">
      <w:pPr>
        <w:pStyle w:val="FootnoteText"/>
      </w:pPr>
      <w:r w:rsidRPr="00782129">
        <w:rPr>
          <w:rStyle w:val="FootnoteReference"/>
        </w:rPr>
        <w:footnoteRef/>
      </w:r>
      <w:r w:rsidRPr="00782129">
        <w:t xml:space="preserve"> </w:t>
      </w:r>
      <w:r w:rsidRPr="00782129">
        <w:tab/>
        <w:t xml:space="preserve">and other non-securitised assets including covered bonds issued by an </w:t>
      </w:r>
      <w:r>
        <w:t>ADI</w:t>
      </w:r>
      <w:r w:rsidRPr="0078212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56"/>
      <w:gridCol w:w="4156"/>
    </w:tblGrid>
    <w:tr w:rsidR="00745B81" w14:paraId="7F22BEE9" w14:textId="77777777" w:rsidTr="000D63A8">
      <w:tc>
        <w:tcPr>
          <w:tcW w:w="4264" w:type="dxa"/>
          <w:tcBorders>
            <w:top w:val="nil"/>
            <w:left w:val="nil"/>
            <w:bottom w:val="nil"/>
            <w:right w:val="nil"/>
          </w:tcBorders>
        </w:tcPr>
        <w:p w14:paraId="17E11EAB" w14:textId="0AAA25C0" w:rsidR="00745B81" w:rsidRDefault="00745B81" w:rsidP="00FF513E">
          <w:pPr>
            <w:pStyle w:val="Header"/>
          </w:pPr>
        </w:p>
      </w:tc>
      <w:tc>
        <w:tcPr>
          <w:tcW w:w="4264" w:type="dxa"/>
          <w:tcBorders>
            <w:top w:val="nil"/>
            <w:left w:val="nil"/>
            <w:bottom w:val="nil"/>
            <w:right w:val="nil"/>
          </w:tcBorders>
        </w:tcPr>
        <w:p w14:paraId="326245F6" w14:textId="08F29802" w:rsidR="00745B81" w:rsidRDefault="00745B81" w:rsidP="000D63A8">
          <w:pPr>
            <w:pStyle w:val="Header"/>
          </w:pPr>
        </w:p>
      </w:tc>
    </w:tr>
  </w:tbl>
  <w:p w14:paraId="7302FAF6" w14:textId="77777777" w:rsidR="00745B81" w:rsidRDefault="00745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9"/>
      <w:gridCol w:w="4163"/>
    </w:tblGrid>
    <w:tr w:rsidR="00AC7EC3" w14:paraId="076CB482" w14:textId="77777777" w:rsidTr="000D63A8">
      <w:tc>
        <w:tcPr>
          <w:tcW w:w="4264" w:type="dxa"/>
          <w:tcBorders>
            <w:top w:val="nil"/>
            <w:left w:val="nil"/>
            <w:bottom w:val="nil"/>
            <w:right w:val="nil"/>
          </w:tcBorders>
        </w:tcPr>
        <w:p w14:paraId="325B4193" w14:textId="77777777" w:rsidR="00AC7EC3" w:rsidRDefault="00AC7EC3" w:rsidP="00FF513E">
          <w:pPr>
            <w:pStyle w:val="Header"/>
          </w:pPr>
        </w:p>
      </w:tc>
      <w:tc>
        <w:tcPr>
          <w:tcW w:w="4264" w:type="dxa"/>
          <w:tcBorders>
            <w:top w:val="nil"/>
            <w:left w:val="nil"/>
            <w:bottom w:val="nil"/>
            <w:right w:val="nil"/>
          </w:tcBorders>
        </w:tcPr>
        <w:p w14:paraId="71EF6117" w14:textId="77777777" w:rsidR="00AC7EC3" w:rsidRDefault="00AC7EC3" w:rsidP="000D63A8">
          <w:pPr>
            <w:pStyle w:val="Header"/>
          </w:pPr>
          <w:r>
            <w:t>July 2023</w:t>
          </w:r>
        </w:p>
      </w:tc>
    </w:tr>
  </w:tbl>
  <w:p w14:paraId="70558A28" w14:textId="77777777" w:rsidR="00AC7EC3" w:rsidRDefault="00AC7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9612EA"/>
    <w:multiLevelType w:val="hybridMultilevel"/>
    <w:tmpl w:val="7D0A4BF6"/>
    <w:lvl w:ilvl="0" w:tplc="606CA4EC">
      <w:start w:val="1"/>
      <w:numFmt w:val="lowerLetter"/>
      <w:lvlText w:val="(%1)"/>
      <w:lvlJc w:val="left"/>
      <w:pPr>
        <w:ind w:left="1287" w:hanging="360"/>
      </w:pPr>
      <w:rPr>
        <w:rFonts w:eastAsia="MS Mincho"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092736C"/>
    <w:multiLevelType w:val="hybridMultilevel"/>
    <w:tmpl w:val="59BE3E8A"/>
    <w:lvl w:ilvl="0" w:tplc="6FE06B10">
      <w:start w:val="1"/>
      <w:numFmt w:val="decimal"/>
      <w:lvlText w:val="%1."/>
      <w:lvlJc w:val="left"/>
      <w:pPr>
        <w:tabs>
          <w:tab w:val="num" w:pos="567"/>
        </w:tabs>
        <w:ind w:left="567" w:hanging="567"/>
      </w:pPr>
      <w:rPr>
        <w:rFonts w:ascii="Times New Roman" w:hAnsi="Times New Roman" w:cs="Times New Roman" w:hint="default"/>
        <w:b w:val="0"/>
        <w:i w:val="0"/>
      </w:rPr>
    </w:lvl>
    <w:lvl w:ilvl="1" w:tplc="64DA7346">
      <w:start w:val="1"/>
      <w:numFmt w:val="lowerLetter"/>
      <w:lvlText w:val="(%2)"/>
      <w:lvlJc w:val="left"/>
      <w:pPr>
        <w:tabs>
          <w:tab w:val="num" w:pos="1440"/>
        </w:tabs>
        <w:ind w:left="1440" w:hanging="360"/>
      </w:pPr>
      <w:rPr>
        <w:rFonts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26A22A9"/>
    <w:multiLevelType w:val="hybridMultilevel"/>
    <w:tmpl w:val="A5F08272"/>
    <w:lvl w:ilvl="0" w:tplc="2E062AB8">
      <w:start w:val="1"/>
      <w:numFmt w:val="decimal"/>
      <w:lvlText w:val="%1."/>
      <w:lvlJc w:val="left"/>
      <w:pPr>
        <w:ind w:left="1353" w:hanging="360"/>
      </w:pPr>
      <w:rPr>
        <w:rFonts w:ascii="Times New Roman" w:hAnsi="Times New Roman" w:cs="Times New Roman" w:hint="default"/>
        <w:b w:val="0"/>
      </w:rPr>
    </w:lvl>
    <w:lvl w:ilvl="1" w:tplc="67F6A29C">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463545"/>
    <w:multiLevelType w:val="multilevel"/>
    <w:tmpl w:val="01F21DBE"/>
    <w:lvl w:ilvl="0">
      <w:start w:val="1"/>
      <w:numFmt w:val="decimal"/>
      <w:pStyle w:val="BodyText1"/>
      <w:lvlText w:val="%1."/>
      <w:lvlJc w:val="left"/>
      <w:pPr>
        <w:tabs>
          <w:tab w:val="num" w:pos="567"/>
        </w:tabs>
        <w:ind w:left="567" w:hanging="567"/>
      </w:pPr>
      <w:rPr>
        <w:rFonts w:ascii="Times New Roman" w:hAnsi="Times New Roman" w:cs="Times New Roman" w:hint="default"/>
        <w:b w:val="0"/>
      </w:rPr>
    </w:lvl>
    <w:lvl w:ilvl="1">
      <w:start w:val="1"/>
      <w:numFmt w:val="lowerLetter"/>
      <w:pStyle w:val="BodyText2"/>
      <w:lvlText w:val="(%2)"/>
      <w:lvlJc w:val="left"/>
      <w:pPr>
        <w:tabs>
          <w:tab w:val="num" w:pos="1134"/>
        </w:tabs>
        <w:ind w:left="1134" w:hanging="567"/>
      </w:pPr>
      <w:rPr>
        <w:rFonts w:hint="default"/>
        <w:b w:val="0"/>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7584095"/>
    <w:multiLevelType w:val="hybridMultilevel"/>
    <w:tmpl w:val="B3E01520"/>
    <w:lvl w:ilvl="0" w:tplc="C57224C2">
      <w:start w:val="1"/>
      <w:numFmt w:val="lowerLetter"/>
      <w:lvlText w:val="(%1)"/>
      <w:lvlJc w:val="left"/>
      <w:pPr>
        <w:ind w:left="1287" w:hanging="360"/>
      </w:pPr>
      <w:rPr>
        <w:rFonts w:hint="default"/>
      </w:rPr>
    </w:lvl>
    <w:lvl w:ilvl="1" w:tplc="B37ABD3E"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21707D9B"/>
    <w:multiLevelType w:val="hybridMultilevel"/>
    <w:tmpl w:val="E0860F4E"/>
    <w:lvl w:ilvl="0" w:tplc="596288C6">
      <w:start w:val="1"/>
      <w:numFmt w:val="decimal"/>
      <w:lvlText w:val="%1."/>
      <w:lvlJc w:val="left"/>
      <w:pPr>
        <w:tabs>
          <w:tab w:val="num" w:pos="567"/>
        </w:tabs>
        <w:ind w:left="567" w:hanging="567"/>
      </w:pPr>
      <w:rPr>
        <w:rFonts w:ascii="Times New Roman" w:hAnsi="Times New Roman" w:cs="Times New Roman" w:hint="default"/>
        <w:b w:val="0"/>
        <w:i w:val="0"/>
      </w:rPr>
    </w:lvl>
    <w:lvl w:ilvl="1" w:tplc="0C090019">
      <w:start w:val="1"/>
      <w:numFmt w:val="lowerLetter"/>
      <w:lvlText w:val="%2)"/>
      <w:lvlJc w:val="left"/>
      <w:pPr>
        <w:tabs>
          <w:tab w:val="num" w:pos="1440"/>
        </w:tabs>
        <w:ind w:left="1440" w:hanging="360"/>
      </w:pPr>
      <w:rPr>
        <w:rFonts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7702871"/>
    <w:multiLevelType w:val="hybridMultilevel"/>
    <w:tmpl w:val="E0860F4E"/>
    <w:lvl w:ilvl="0" w:tplc="596288C6">
      <w:start w:val="1"/>
      <w:numFmt w:val="decimal"/>
      <w:lvlText w:val="%1."/>
      <w:lvlJc w:val="left"/>
      <w:pPr>
        <w:tabs>
          <w:tab w:val="num" w:pos="567"/>
        </w:tabs>
        <w:ind w:left="567" w:hanging="567"/>
      </w:pPr>
      <w:rPr>
        <w:rFonts w:ascii="Times New Roman" w:hAnsi="Times New Roman" w:cs="Times New Roman" w:hint="default"/>
        <w:b w:val="0"/>
        <w:i w:val="0"/>
      </w:rPr>
    </w:lvl>
    <w:lvl w:ilvl="1" w:tplc="0C090019">
      <w:start w:val="1"/>
      <w:numFmt w:val="lowerLetter"/>
      <w:lvlText w:val="%2)"/>
      <w:lvlJc w:val="left"/>
      <w:pPr>
        <w:tabs>
          <w:tab w:val="num" w:pos="1440"/>
        </w:tabs>
        <w:ind w:left="1440" w:hanging="360"/>
      </w:pPr>
      <w:rPr>
        <w:rFonts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898120C"/>
    <w:multiLevelType w:val="hybridMultilevel"/>
    <w:tmpl w:val="C2A4C584"/>
    <w:lvl w:ilvl="0" w:tplc="F146AA2A">
      <w:start w:val="1"/>
      <w:numFmt w:val="lowerLetter"/>
      <w:lvlText w:val="(%1)"/>
      <w:lvlJc w:val="left"/>
      <w:pPr>
        <w:ind w:left="1197" w:hanging="63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3181540B"/>
    <w:multiLevelType w:val="hybridMultilevel"/>
    <w:tmpl w:val="0C50D4E2"/>
    <w:lvl w:ilvl="0" w:tplc="64DA7346">
      <w:start w:val="1"/>
      <w:numFmt w:val="lowerLetter"/>
      <w:lvlText w:val="(%1)"/>
      <w:lvlJc w:val="left"/>
      <w:pPr>
        <w:ind w:left="1287" w:hanging="360"/>
      </w:pPr>
      <w:rPr>
        <w:rFonts w:hint="default"/>
        <w:b w: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A1B5198"/>
    <w:multiLevelType w:val="hybridMultilevel"/>
    <w:tmpl w:val="08B66D26"/>
    <w:lvl w:ilvl="0" w:tplc="64DA7346">
      <w:start w:val="1"/>
      <w:numFmt w:val="lowerLetter"/>
      <w:lvlText w:val="(%1)"/>
      <w:lvlJc w:val="left"/>
      <w:pPr>
        <w:ind w:left="1339" w:hanging="360"/>
      </w:pPr>
      <w:rPr>
        <w:rFonts w:hint="default"/>
      </w:rPr>
    </w:lvl>
    <w:lvl w:ilvl="1" w:tplc="0C090019" w:tentative="1">
      <w:start w:val="1"/>
      <w:numFmt w:val="bullet"/>
      <w:lvlText w:val="o"/>
      <w:lvlJc w:val="left"/>
      <w:pPr>
        <w:ind w:left="2059" w:hanging="360"/>
      </w:pPr>
      <w:rPr>
        <w:rFonts w:ascii="Courier New" w:hAnsi="Courier New" w:cs="Courier New" w:hint="default"/>
      </w:rPr>
    </w:lvl>
    <w:lvl w:ilvl="2" w:tplc="0C09001B" w:tentative="1">
      <w:start w:val="1"/>
      <w:numFmt w:val="bullet"/>
      <w:lvlText w:val=""/>
      <w:lvlJc w:val="left"/>
      <w:pPr>
        <w:ind w:left="2779" w:hanging="360"/>
      </w:pPr>
      <w:rPr>
        <w:rFonts w:ascii="Wingdings" w:hAnsi="Wingdings" w:hint="default"/>
      </w:rPr>
    </w:lvl>
    <w:lvl w:ilvl="3" w:tplc="0C09000F" w:tentative="1">
      <w:start w:val="1"/>
      <w:numFmt w:val="bullet"/>
      <w:lvlText w:val=""/>
      <w:lvlJc w:val="left"/>
      <w:pPr>
        <w:ind w:left="3499" w:hanging="360"/>
      </w:pPr>
      <w:rPr>
        <w:rFonts w:ascii="Symbol" w:hAnsi="Symbol" w:hint="default"/>
      </w:rPr>
    </w:lvl>
    <w:lvl w:ilvl="4" w:tplc="0C090019" w:tentative="1">
      <w:start w:val="1"/>
      <w:numFmt w:val="bullet"/>
      <w:lvlText w:val="o"/>
      <w:lvlJc w:val="left"/>
      <w:pPr>
        <w:ind w:left="4219" w:hanging="360"/>
      </w:pPr>
      <w:rPr>
        <w:rFonts w:ascii="Courier New" w:hAnsi="Courier New" w:cs="Courier New" w:hint="default"/>
      </w:rPr>
    </w:lvl>
    <w:lvl w:ilvl="5" w:tplc="0C09001B" w:tentative="1">
      <w:start w:val="1"/>
      <w:numFmt w:val="bullet"/>
      <w:lvlText w:val=""/>
      <w:lvlJc w:val="left"/>
      <w:pPr>
        <w:ind w:left="4939" w:hanging="360"/>
      </w:pPr>
      <w:rPr>
        <w:rFonts w:ascii="Wingdings" w:hAnsi="Wingdings" w:hint="default"/>
      </w:rPr>
    </w:lvl>
    <w:lvl w:ilvl="6" w:tplc="0C09000F" w:tentative="1">
      <w:start w:val="1"/>
      <w:numFmt w:val="bullet"/>
      <w:lvlText w:val=""/>
      <w:lvlJc w:val="left"/>
      <w:pPr>
        <w:ind w:left="5659" w:hanging="360"/>
      </w:pPr>
      <w:rPr>
        <w:rFonts w:ascii="Symbol" w:hAnsi="Symbol" w:hint="default"/>
      </w:rPr>
    </w:lvl>
    <w:lvl w:ilvl="7" w:tplc="0C090019" w:tentative="1">
      <w:start w:val="1"/>
      <w:numFmt w:val="bullet"/>
      <w:lvlText w:val="o"/>
      <w:lvlJc w:val="left"/>
      <w:pPr>
        <w:ind w:left="6379" w:hanging="360"/>
      </w:pPr>
      <w:rPr>
        <w:rFonts w:ascii="Courier New" w:hAnsi="Courier New" w:cs="Courier New" w:hint="default"/>
      </w:rPr>
    </w:lvl>
    <w:lvl w:ilvl="8" w:tplc="0C09001B" w:tentative="1">
      <w:start w:val="1"/>
      <w:numFmt w:val="bullet"/>
      <w:lvlText w:val=""/>
      <w:lvlJc w:val="left"/>
      <w:pPr>
        <w:ind w:left="7099" w:hanging="360"/>
      </w:pPr>
      <w:rPr>
        <w:rFonts w:ascii="Wingdings" w:hAnsi="Wingdings" w:hint="default"/>
      </w:rPr>
    </w:lvl>
  </w:abstractNum>
  <w:abstractNum w:abstractNumId="18" w15:restartNumberingAfterBreak="0">
    <w:nsid w:val="410E7C82"/>
    <w:multiLevelType w:val="hybridMultilevel"/>
    <w:tmpl w:val="DE3EA4A6"/>
    <w:lvl w:ilvl="0" w:tplc="64DA7346">
      <w:start w:val="1"/>
      <w:numFmt w:val="lowerLetter"/>
      <w:lvlText w:val="(%1)"/>
      <w:lvlJc w:val="left"/>
      <w:pPr>
        <w:ind w:left="1287" w:hanging="360"/>
      </w:pPr>
      <w:rPr>
        <w:rFonts w:hint="default"/>
      </w:rPr>
    </w:lvl>
    <w:lvl w:ilvl="1" w:tplc="A0DA4762" w:tentative="1">
      <w:start w:val="1"/>
      <w:numFmt w:val="lowerLetter"/>
      <w:lvlText w:val="%2."/>
      <w:lvlJc w:val="left"/>
      <w:pPr>
        <w:ind w:left="2007" w:hanging="360"/>
      </w:pPr>
    </w:lvl>
    <w:lvl w:ilvl="2" w:tplc="C7BCFF26" w:tentative="1">
      <w:start w:val="1"/>
      <w:numFmt w:val="lowerRoman"/>
      <w:lvlText w:val="%3."/>
      <w:lvlJc w:val="right"/>
      <w:pPr>
        <w:ind w:left="2727" w:hanging="180"/>
      </w:pPr>
    </w:lvl>
    <w:lvl w:ilvl="3" w:tplc="01046750" w:tentative="1">
      <w:start w:val="1"/>
      <w:numFmt w:val="decimal"/>
      <w:lvlText w:val="%4."/>
      <w:lvlJc w:val="left"/>
      <w:pPr>
        <w:ind w:left="3447" w:hanging="360"/>
      </w:pPr>
    </w:lvl>
    <w:lvl w:ilvl="4" w:tplc="C03C37D6" w:tentative="1">
      <w:start w:val="1"/>
      <w:numFmt w:val="lowerLetter"/>
      <w:lvlText w:val="%5."/>
      <w:lvlJc w:val="left"/>
      <w:pPr>
        <w:ind w:left="4167" w:hanging="360"/>
      </w:pPr>
    </w:lvl>
    <w:lvl w:ilvl="5" w:tplc="8ADEED4C" w:tentative="1">
      <w:start w:val="1"/>
      <w:numFmt w:val="lowerRoman"/>
      <w:lvlText w:val="%6."/>
      <w:lvlJc w:val="right"/>
      <w:pPr>
        <w:ind w:left="4887" w:hanging="180"/>
      </w:pPr>
    </w:lvl>
    <w:lvl w:ilvl="6" w:tplc="FD82F3F6" w:tentative="1">
      <w:start w:val="1"/>
      <w:numFmt w:val="decimal"/>
      <w:lvlText w:val="%7."/>
      <w:lvlJc w:val="left"/>
      <w:pPr>
        <w:ind w:left="5607" w:hanging="360"/>
      </w:pPr>
    </w:lvl>
    <w:lvl w:ilvl="7" w:tplc="E3F6E4AC" w:tentative="1">
      <w:start w:val="1"/>
      <w:numFmt w:val="lowerLetter"/>
      <w:lvlText w:val="%8."/>
      <w:lvlJc w:val="left"/>
      <w:pPr>
        <w:ind w:left="6327" w:hanging="360"/>
      </w:pPr>
    </w:lvl>
    <w:lvl w:ilvl="8" w:tplc="33BAEC86" w:tentative="1">
      <w:start w:val="1"/>
      <w:numFmt w:val="lowerRoman"/>
      <w:lvlText w:val="%9."/>
      <w:lvlJc w:val="right"/>
      <w:pPr>
        <w:ind w:left="7047" w:hanging="180"/>
      </w:pPr>
    </w:lvl>
  </w:abstractNum>
  <w:abstractNum w:abstractNumId="19"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21"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2"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3" w15:restartNumberingAfterBreak="0">
    <w:nsid w:val="4D15722A"/>
    <w:multiLevelType w:val="hybridMultilevel"/>
    <w:tmpl w:val="B00ADEB4"/>
    <w:lvl w:ilvl="0" w:tplc="3760C9E8">
      <w:start w:val="1"/>
      <w:numFmt w:val="lowerLetter"/>
      <w:lvlText w:val="(%1)"/>
      <w:lvlJc w:val="left"/>
      <w:pPr>
        <w:ind w:left="1287" w:hanging="360"/>
      </w:pPr>
      <w:rPr>
        <w:rFonts w:ascii="Times New Roman" w:hAnsi="Times New Roman" w:cs="Times New Roman" w:hint="default"/>
        <w:b w:val="0"/>
      </w:rPr>
    </w:lvl>
    <w:lvl w:ilvl="1" w:tplc="0C090019" w:tentative="1">
      <w:start w:val="1"/>
      <w:numFmt w:val="bullet"/>
      <w:lvlText w:val="o"/>
      <w:lvlJc w:val="left"/>
      <w:pPr>
        <w:ind w:left="2007" w:hanging="360"/>
      </w:pPr>
      <w:rPr>
        <w:rFonts w:ascii="Courier New" w:hAnsi="Courier New" w:cs="Courier New" w:hint="default"/>
      </w:rPr>
    </w:lvl>
    <w:lvl w:ilvl="2" w:tplc="0C09001B" w:tentative="1">
      <w:start w:val="1"/>
      <w:numFmt w:val="bullet"/>
      <w:lvlText w:val=""/>
      <w:lvlJc w:val="left"/>
      <w:pPr>
        <w:ind w:left="2727" w:hanging="360"/>
      </w:pPr>
      <w:rPr>
        <w:rFonts w:ascii="Wingdings" w:hAnsi="Wingdings" w:hint="default"/>
      </w:rPr>
    </w:lvl>
    <w:lvl w:ilvl="3" w:tplc="0C09000F" w:tentative="1">
      <w:start w:val="1"/>
      <w:numFmt w:val="bullet"/>
      <w:lvlText w:val=""/>
      <w:lvlJc w:val="left"/>
      <w:pPr>
        <w:ind w:left="3447" w:hanging="360"/>
      </w:pPr>
      <w:rPr>
        <w:rFonts w:ascii="Symbol" w:hAnsi="Symbol" w:hint="default"/>
      </w:rPr>
    </w:lvl>
    <w:lvl w:ilvl="4" w:tplc="0C090019" w:tentative="1">
      <w:start w:val="1"/>
      <w:numFmt w:val="bullet"/>
      <w:lvlText w:val="o"/>
      <w:lvlJc w:val="left"/>
      <w:pPr>
        <w:ind w:left="4167" w:hanging="360"/>
      </w:pPr>
      <w:rPr>
        <w:rFonts w:ascii="Courier New" w:hAnsi="Courier New" w:cs="Courier New" w:hint="default"/>
      </w:rPr>
    </w:lvl>
    <w:lvl w:ilvl="5" w:tplc="0C09001B" w:tentative="1">
      <w:start w:val="1"/>
      <w:numFmt w:val="bullet"/>
      <w:lvlText w:val=""/>
      <w:lvlJc w:val="left"/>
      <w:pPr>
        <w:ind w:left="4887" w:hanging="360"/>
      </w:pPr>
      <w:rPr>
        <w:rFonts w:ascii="Wingdings" w:hAnsi="Wingdings" w:hint="default"/>
      </w:rPr>
    </w:lvl>
    <w:lvl w:ilvl="6" w:tplc="0C09000F" w:tentative="1">
      <w:start w:val="1"/>
      <w:numFmt w:val="bullet"/>
      <w:lvlText w:val=""/>
      <w:lvlJc w:val="left"/>
      <w:pPr>
        <w:ind w:left="5607" w:hanging="360"/>
      </w:pPr>
      <w:rPr>
        <w:rFonts w:ascii="Symbol" w:hAnsi="Symbol" w:hint="default"/>
      </w:rPr>
    </w:lvl>
    <w:lvl w:ilvl="7" w:tplc="0C090019" w:tentative="1">
      <w:start w:val="1"/>
      <w:numFmt w:val="bullet"/>
      <w:lvlText w:val="o"/>
      <w:lvlJc w:val="left"/>
      <w:pPr>
        <w:ind w:left="6327" w:hanging="360"/>
      </w:pPr>
      <w:rPr>
        <w:rFonts w:ascii="Courier New" w:hAnsi="Courier New" w:cs="Courier New" w:hint="default"/>
      </w:rPr>
    </w:lvl>
    <w:lvl w:ilvl="8" w:tplc="0C09001B" w:tentative="1">
      <w:start w:val="1"/>
      <w:numFmt w:val="bullet"/>
      <w:lvlText w:val=""/>
      <w:lvlJc w:val="left"/>
      <w:pPr>
        <w:ind w:left="7047" w:hanging="360"/>
      </w:pPr>
      <w:rPr>
        <w:rFonts w:ascii="Wingdings" w:hAnsi="Wingdings" w:hint="default"/>
      </w:rPr>
    </w:lvl>
  </w:abstractNum>
  <w:abstractNum w:abstractNumId="24"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20B3033"/>
    <w:multiLevelType w:val="hybridMultilevel"/>
    <w:tmpl w:val="C2A4C584"/>
    <w:lvl w:ilvl="0" w:tplc="F146AA2A">
      <w:start w:val="1"/>
      <w:numFmt w:val="lowerLetter"/>
      <w:lvlText w:val="(%1)"/>
      <w:lvlJc w:val="left"/>
      <w:pPr>
        <w:ind w:left="1197" w:hanging="63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589F0576"/>
    <w:multiLevelType w:val="hybridMultilevel"/>
    <w:tmpl w:val="4014ACD8"/>
    <w:lvl w:ilvl="0" w:tplc="0C090001">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591E2B36"/>
    <w:multiLevelType w:val="hybridMultilevel"/>
    <w:tmpl w:val="E0860F4E"/>
    <w:lvl w:ilvl="0" w:tplc="596288C6">
      <w:start w:val="1"/>
      <w:numFmt w:val="decimal"/>
      <w:lvlText w:val="%1."/>
      <w:lvlJc w:val="left"/>
      <w:pPr>
        <w:tabs>
          <w:tab w:val="num" w:pos="567"/>
        </w:tabs>
        <w:ind w:left="567" w:hanging="567"/>
      </w:pPr>
      <w:rPr>
        <w:rFonts w:ascii="Times New Roman" w:hAnsi="Times New Roman" w:cs="Times New Roman" w:hint="default"/>
        <w:b w:val="0"/>
        <w:i w:val="0"/>
      </w:rPr>
    </w:lvl>
    <w:lvl w:ilvl="1" w:tplc="0C090019">
      <w:start w:val="1"/>
      <w:numFmt w:val="lowerLetter"/>
      <w:lvlText w:val="%2)"/>
      <w:lvlJc w:val="left"/>
      <w:pPr>
        <w:tabs>
          <w:tab w:val="num" w:pos="1440"/>
        </w:tabs>
        <w:ind w:left="1440" w:hanging="360"/>
      </w:pPr>
      <w:rPr>
        <w:rFonts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0" w15:restartNumberingAfterBreak="0">
    <w:nsid w:val="5D2F11A1"/>
    <w:multiLevelType w:val="hybridMultilevel"/>
    <w:tmpl w:val="19C0561A"/>
    <w:lvl w:ilvl="0" w:tplc="CD2A7C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6369CF"/>
    <w:multiLevelType w:val="hybridMultilevel"/>
    <w:tmpl w:val="7DF48A18"/>
    <w:lvl w:ilvl="0" w:tplc="4590F402">
      <w:start w:val="1"/>
      <w:numFmt w:val="lowerLetter"/>
      <w:lvlText w:val="(%1)"/>
      <w:lvlJc w:val="left"/>
      <w:pPr>
        <w:ind w:left="1287" w:hanging="360"/>
      </w:pPr>
      <w:rPr>
        <w:rFonts w:hint="default"/>
      </w:rPr>
    </w:lvl>
    <w:lvl w:ilvl="1" w:tplc="0C090017"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3"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A53F53"/>
    <w:multiLevelType w:val="hybridMultilevel"/>
    <w:tmpl w:val="0C50D4E2"/>
    <w:lvl w:ilvl="0" w:tplc="64DA7346">
      <w:start w:val="1"/>
      <w:numFmt w:val="lowerLetter"/>
      <w:lvlText w:val="(%1)"/>
      <w:lvlJc w:val="left"/>
      <w:pPr>
        <w:ind w:left="1287" w:hanging="360"/>
      </w:pPr>
      <w:rPr>
        <w:rFonts w:hint="default"/>
        <w:b w: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712539695">
    <w:abstractNumId w:val="19"/>
  </w:num>
  <w:num w:numId="2" w16cid:durableId="666638581">
    <w:abstractNumId w:val="22"/>
  </w:num>
  <w:num w:numId="3" w16cid:durableId="1419789519">
    <w:abstractNumId w:val="5"/>
  </w:num>
  <w:num w:numId="4" w16cid:durableId="110053784">
    <w:abstractNumId w:val="16"/>
  </w:num>
  <w:num w:numId="5" w16cid:durableId="293220756">
    <w:abstractNumId w:val="35"/>
  </w:num>
  <w:num w:numId="6" w16cid:durableId="279386683">
    <w:abstractNumId w:val="12"/>
  </w:num>
  <w:num w:numId="7" w16cid:durableId="1489054948">
    <w:abstractNumId w:val="33"/>
  </w:num>
  <w:num w:numId="8" w16cid:durableId="290092708">
    <w:abstractNumId w:val="29"/>
  </w:num>
  <w:num w:numId="9" w16cid:durableId="156849130">
    <w:abstractNumId w:val="32"/>
  </w:num>
  <w:num w:numId="10" w16cid:durableId="313262518">
    <w:abstractNumId w:val="25"/>
  </w:num>
  <w:num w:numId="11" w16cid:durableId="1820270813">
    <w:abstractNumId w:val="3"/>
  </w:num>
  <w:num w:numId="12" w16cid:durableId="1262567861">
    <w:abstractNumId w:val="0"/>
  </w:num>
  <w:num w:numId="13" w16cid:durableId="314846749">
    <w:abstractNumId w:val="2"/>
  </w:num>
  <w:num w:numId="14" w16cid:durableId="91904709">
    <w:abstractNumId w:val="1"/>
  </w:num>
  <w:num w:numId="15" w16cid:durableId="1954170063">
    <w:abstractNumId w:val="24"/>
  </w:num>
  <w:num w:numId="16" w16cid:durableId="1098520335">
    <w:abstractNumId w:val="8"/>
  </w:num>
  <w:num w:numId="17" w16cid:durableId="26295941">
    <w:abstractNumId w:val="21"/>
  </w:num>
  <w:num w:numId="18" w16cid:durableId="1659648049">
    <w:abstractNumId w:val="20"/>
  </w:num>
  <w:num w:numId="19" w16cid:durableId="1152601299">
    <w:abstractNumId w:val="9"/>
  </w:num>
  <w:num w:numId="20" w16cid:durableId="15100237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74185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9933490">
    <w:abstractNumId w:val="6"/>
  </w:num>
  <w:num w:numId="23" w16cid:durableId="688794360">
    <w:abstractNumId w:val="31"/>
  </w:num>
  <w:num w:numId="24" w16cid:durableId="1889493458">
    <w:abstractNumId w:val="15"/>
  </w:num>
  <w:num w:numId="25" w16cid:durableId="559639002">
    <w:abstractNumId w:val="17"/>
  </w:num>
  <w:num w:numId="26" w16cid:durableId="2035035078">
    <w:abstractNumId w:val="26"/>
  </w:num>
  <w:num w:numId="27" w16cid:durableId="247345954">
    <w:abstractNumId w:val="14"/>
  </w:num>
  <w:num w:numId="28" w16cid:durableId="1841776551">
    <w:abstractNumId w:val="23"/>
  </w:num>
  <w:num w:numId="29" w16cid:durableId="1857386034">
    <w:abstractNumId w:val="4"/>
  </w:num>
  <w:num w:numId="30" w16cid:durableId="1959751195">
    <w:abstractNumId w:val="18"/>
  </w:num>
  <w:num w:numId="31" w16cid:durableId="1363479986">
    <w:abstractNumId w:val="27"/>
  </w:num>
  <w:num w:numId="32" w16cid:durableId="762845770">
    <w:abstractNumId w:val="28"/>
  </w:num>
  <w:num w:numId="33" w16cid:durableId="18611170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7993560">
    <w:abstractNumId w:val="11"/>
  </w:num>
  <w:num w:numId="35" w16cid:durableId="7022890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2058150">
    <w:abstractNumId w:val="10"/>
  </w:num>
  <w:num w:numId="37" w16cid:durableId="1553692703">
    <w:abstractNumId w:val="13"/>
  </w:num>
  <w:num w:numId="38" w16cid:durableId="1723285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8567192">
    <w:abstractNumId w:val="34"/>
  </w:num>
  <w:num w:numId="40" w16cid:durableId="1974673266">
    <w:abstractNumId w:val="7"/>
  </w:num>
  <w:num w:numId="41" w16cid:durableId="3134130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67"/>
    <w:rsid w:val="0000183A"/>
    <w:rsid w:val="00001D43"/>
    <w:rsid w:val="00034F56"/>
    <w:rsid w:val="00042347"/>
    <w:rsid w:val="00043D2B"/>
    <w:rsid w:val="000518B9"/>
    <w:rsid w:val="00056D79"/>
    <w:rsid w:val="0006337F"/>
    <w:rsid w:val="000659B2"/>
    <w:rsid w:val="00086C3D"/>
    <w:rsid w:val="00087D3E"/>
    <w:rsid w:val="0009691D"/>
    <w:rsid w:val="000A6341"/>
    <w:rsid w:val="000D63A8"/>
    <w:rsid w:val="000D7A9C"/>
    <w:rsid w:val="00110917"/>
    <w:rsid w:val="00110A0F"/>
    <w:rsid w:val="001119D9"/>
    <w:rsid w:val="001133A5"/>
    <w:rsid w:val="001252CC"/>
    <w:rsid w:val="0013237B"/>
    <w:rsid w:val="00141CA6"/>
    <w:rsid w:val="00142025"/>
    <w:rsid w:val="00173A04"/>
    <w:rsid w:val="00182FA1"/>
    <w:rsid w:val="00185E12"/>
    <w:rsid w:val="001A4EA4"/>
    <w:rsid w:val="001C297B"/>
    <w:rsid w:val="001C35FA"/>
    <w:rsid w:val="001C755C"/>
    <w:rsid w:val="001E7EA9"/>
    <w:rsid w:val="001F6B8D"/>
    <w:rsid w:val="00201535"/>
    <w:rsid w:val="00226689"/>
    <w:rsid w:val="00237D70"/>
    <w:rsid w:val="002500F9"/>
    <w:rsid w:val="0029455F"/>
    <w:rsid w:val="002A07F8"/>
    <w:rsid w:val="002E23FF"/>
    <w:rsid w:val="003010FF"/>
    <w:rsid w:val="0030140F"/>
    <w:rsid w:val="00315FD1"/>
    <w:rsid w:val="00330482"/>
    <w:rsid w:val="00372340"/>
    <w:rsid w:val="0037343B"/>
    <w:rsid w:val="00382357"/>
    <w:rsid w:val="0038413F"/>
    <w:rsid w:val="00391AD7"/>
    <w:rsid w:val="003936EA"/>
    <w:rsid w:val="003B52EB"/>
    <w:rsid w:val="003C46D7"/>
    <w:rsid w:val="003D5032"/>
    <w:rsid w:val="003D79B2"/>
    <w:rsid w:val="003F6CE4"/>
    <w:rsid w:val="00401307"/>
    <w:rsid w:val="00407FD1"/>
    <w:rsid w:val="00417785"/>
    <w:rsid w:val="004323FD"/>
    <w:rsid w:val="004468BB"/>
    <w:rsid w:val="00453E3A"/>
    <w:rsid w:val="004560E3"/>
    <w:rsid w:val="004776D4"/>
    <w:rsid w:val="00477F7D"/>
    <w:rsid w:val="0048511B"/>
    <w:rsid w:val="004A593E"/>
    <w:rsid w:val="004C3D07"/>
    <w:rsid w:val="004F2AC1"/>
    <w:rsid w:val="005050E8"/>
    <w:rsid w:val="00506079"/>
    <w:rsid w:val="00521673"/>
    <w:rsid w:val="00534FFE"/>
    <w:rsid w:val="005413D3"/>
    <w:rsid w:val="00544072"/>
    <w:rsid w:val="00551C22"/>
    <w:rsid w:val="0055300C"/>
    <w:rsid w:val="00557982"/>
    <w:rsid w:val="00576882"/>
    <w:rsid w:val="00582DB4"/>
    <w:rsid w:val="005A1F04"/>
    <w:rsid w:val="005A44EA"/>
    <w:rsid w:val="005A75C6"/>
    <w:rsid w:val="005B4D20"/>
    <w:rsid w:val="005B6DC2"/>
    <w:rsid w:val="005C1BAE"/>
    <w:rsid w:val="005D21BC"/>
    <w:rsid w:val="005E1E75"/>
    <w:rsid w:val="005E5663"/>
    <w:rsid w:val="005E5910"/>
    <w:rsid w:val="005F6F74"/>
    <w:rsid w:val="006064F0"/>
    <w:rsid w:val="00610B84"/>
    <w:rsid w:val="00622480"/>
    <w:rsid w:val="00643B0F"/>
    <w:rsid w:val="00647D58"/>
    <w:rsid w:val="00656D42"/>
    <w:rsid w:val="00663BBD"/>
    <w:rsid w:val="00684F73"/>
    <w:rsid w:val="00696E43"/>
    <w:rsid w:val="006A6220"/>
    <w:rsid w:val="006A6A52"/>
    <w:rsid w:val="006A7A5A"/>
    <w:rsid w:val="006B3D56"/>
    <w:rsid w:val="006B4C94"/>
    <w:rsid w:val="006C06E6"/>
    <w:rsid w:val="006C1FED"/>
    <w:rsid w:val="006D5DB1"/>
    <w:rsid w:val="006D6BB2"/>
    <w:rsid w:val="006E5DD8"/>
    <w:rsid w:val="006F25A6"/>
    <w:rsid w:val="007031F4"/>
    <w:rsid w:val="00725AA6"/>
    <w:rsid w:val="00745B81"/>
    <w:rsid w:val="007737DF"/>
    <w:rsid w:val="00776D66"/>
    <w:rsid w:val="00777ACD"/>
    <w:rsid w:val="00787FA9"/>
    <w:rsid w:val="007A2B5C"/>
    <w:rsid w:val="007A33E6"/>
    <w:rsid w:val="007A53AC"/>
    <w:rsid w:val="007B348E"/>
    <w:rsid w:val="007B4425"/>
    <w:rsid w:val="007D2D7F"/>
    <w:rsid w:val="00842FBD"/>
    <w:rsid w:val="00843E9C"/>
    <w:rsid w:val="00847EF4"/>
    <w:rsid w:val="0086194F"/>
    <w:rsid w:val="00867092"/>
    <w:rsid w:val="008727B3"/>
    <w:rsid w:val="00887222"/>
    <w:rsid w:val="008B6453"/>
    <w:rsid w:val="008B7BED"/>
    <w:rsid w:val="008C3D9F"/>
    <w:rsid w:val="008D76C5"/>
    <w:rsid w:val="009101E1"/>
    <w:rsid w:val="009374FE"/>
    <w:rsid w:val="00961B80"/>
    <w:rsid w:val="00971180"/>
    <w:rsid w:val="009727F9"/>
    <w:rsid w:val="009871FB"/>
    <w:rsid w:val="00996C67"/>
    <w:rsid w:val="009B0A33"/>
    <w:rsid w:val="009B28A5"/>
    <w:rsid w:val="009B6212"/>
    <w:rsid w:val="009C5368"/>
    <w:rsid w:val="009C6153"/>
    <w:rsid w:val="009C62A9"/>
    <w:rsid w:val="009C77A0"/>
    <w:rsid w:val="009D467A"/>
    <w:rsid w:val="009E76B1"/>
    <w:rsid w:val="009F7699"/>
    <w:rsid w:val="00A01021"/>
    <w:rsid w:val="00A120BF"/>
    <w:rsid w:val="00A50372"/>
    <w:rsid w:val="00A5159D"/>
    <w:rsid w:val="00A63A2B"/>
    <w:rsid w:val="00A8080B"/>
    <w:rsid w:val="00A97802"/>
    <w:rsid w:val="00AC2517"/>
    <w:rsid w:val="00AC3B8E"/>
    <w:rsid w:val="00AC7EC3"/>
    <w:rsid w:val="00AD2AA1"/>
    <w:rsid w:val="00AE1650"/>
    <w:rsid w:val="00AE2DD9"/>
    <w:rsid w:val="00B02DAD"/>
    <w:rsid w:val="00B04B20"/>
    <w:rsid w:val="00B4062F"/>
    <w:rsid w:val="00B47BD7"/>
    <w:rsid w:val="00B6068B"/>
    <w:rsid w:val="00B64DB1"/>
    <w:rsid w:val="00B766FA"/>
    <w:rsid w:val="00B872F5"/>
    <w:rsid w:val="00B95F5D"/>
    <w:rsid w:val="00BA4C45"/>
    <w:rsid w:val="00BA6D10"/>
    <w:rsid w:val="00BC2D08"/>
    <w:rsid w:val="00BD3B2B"/>
    <w:rsid w:val="00BE59F9"/>
    <w:rsid w:val="00BF6CDF"/>
    <w:rsid w:val="00C0120F"/>
    <w:rsid w:val="00C021CB"/>
    <w:rsid w:val="00C139B0"/>
    <w:rsid w:val="00C14367"/>
    <w:rsid w:val="00C21A2A"/>
    <w:rsid w:val="00C302FA"/>
    <w:rsid w:val="00C436F1"/>
    <w:rsid w:val="00C5686C"/>
    <w:rsid w:val="00C575A1"/>
    <w:rsid w:val="00C6788C"/>
    <w:rsid w:val="00C67A76"/>
    <w:rsid w:val="00C7402A"/>
    <w:rsid w:val="00C74819"/>
    <w:rsid w:val="00C86748"/>
    <w:rsid w:val="00CA6032"/>
    <w:rsid w:val="00CA6CB3"/>
    <w:rsid w:val="00CB7762"/>
    <w:rsid w:val="00D01427"/>
    <w:rsid w:val="00D124EA"/>
    <w:rsid w:val="00D22147"/>
    <w:rsid w:val="00D30E82"/>
    <w:rsid w:val="00D3278A"/>
    <w:rsid w:val="00D47051"/>
    <w:rsid w:val="00D516DC"/>
    <w:rsid w:val="00D62EFA"/>
    <w:rsid w:val="00D64906"/>
    <w:rsid w:val="00D720B1"/>
    <w:rsid w:val="00D857C7"/>
    <w:rsid w:val="00DA3651"/>
    <w:rsid w:val="00DA5B11"/>
    <w:rsid w:val="00DB3EF8"/>
    <w:rsid w:val="00DB5A3D"/>
    <w:rsid w:val="00DC52E3"/>
    <w:rsid w:val="00DD1BB1"/>
    <w:rsid w:val="00DD728B"/>
    <w:rsid w:val="00DE3174"/>
    <w:rsid w:val="00DF539C"/>
    <w:rsid w:val="00E04DA3"/>
    <w:rsid w:val="00E05BC3"/>
    <w:rsid w:val="00E07F40"/>
    <w:rsid w:val="00E15497"/>
    <w:rsid w:val="00E16DD9"/>
    <w:rsid w:val="00E201A8"/>
    <w:rsid w:val="00E63733"/>
    <w:rsid w:val="00E83A76"/>
    <w:rsid w:val="00E90C89"/>
    <w:rsid w:val="00E96B6D"/>
    <w:rsid w:val="00E97A41"/>
    <w:rsid w:val="00EC5653"/>
    <w:rsid w:val="00F0122B"/>
    <w:rsid w:val="00F16D46"/>
    <w:rsid w:val="00F44365"/>
    <w:rsid w:val="00F45C3B"/>
    <w:rsid w:val="00F5295F"/>
    <w:rsid w:val="00F6431E"/>
    <w:rsid w:val="00F7706D"/>
    <w:rsid w:val="00F81DDA"/>
    <w:rsid w:val="00F86281"/>
    <w:rsid w:val="00F9394B"/>
    <w:rsid w:val="00FA5345"/>
    <w:rsid w:val="00FB3240"/>
    <w:rsid w:val="00FF0F1C"/>
    <w:rsid w:val="00FF513E"/>
    <w:rsid w:val="00FF58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1BBA944"/>
  <w15:docId w15:val="{42BB7E18-BF20-4C25-8EF2-9F65B288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aliases w:val=" Char"/>
    <w:basedOn w:val="Normal"/>
    <w:link w:val="FootnoteTextChar"/>
    <w:semiHidden/>
    <w:rsid w:val="00E83A76"/>
    <w:pPr>
      <w:spacing w:after="0"/>
      <w:ind w:left="567" w:hanging="567"/>
      <w:jc w:val="both"/>
    </w:pPr>
    <w:rPr>
      <w:sz w:val="20"/>
    </w:rPr>
  </w:style>
  <w:style w:type="character" w:customStyle="1" w:styleId="FootnoteTextChar">
    <w:name w:val="Footnote Text Char"/>
    <w:aliases w:val=" Char Char"/>
    <w:basedOn w:val="DefaultParagraphFont"/>
    <w:link w:val="FootnoteText"/>
    <w:semiHidden/>
    <w:rsid w:val="00E83A76"/>
    <w:rPr>
      <w:sz w:val="20"/>
    </w:rPr>
  </w:style>
  <w:style w:type="character" w:styleId="FootnoteReference">
    <w:name w:val="footnote reference"/>
    <w:basedOn w:val="DefaultParagraphFont"/>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styleId="ListParagraph">
    <w:name w:val="List Paragraph"/>
    <w:basedOn w:val="Normal"/>
    <w:link w:val="ListParagraphChar"/>
    <w:uiPriority w:val="34"/>
    <w:qFormat/>
    <w:rsid w:val="00DA5B11"/>
    <w:pPr>
      <w:spacing w:after="0"/>
      <w:ind w:left="720"/>
      <w:contextualSpacing/>
      <w:jc w:val="both"/>
    </w:pPr>
    <w:rPr>
      <w:rFonts w:eastAsia="Times New Roman"/>
      <w:szCs w:val="20"/>
    </w:rPr>
  </w:style>
  <w:style w:type="paragraph" w:customStyle="1" w:styleId="GPSHeading">
    <w:name w:val="GPS Heading"/>
    <w:basedOn w:val="Normal"/>
    <w:qFormat/>
    <w:rsid w:val="0009691D"/>
    <w:pPr>
      <w:spacing w:before="120"/>
    </w:pPr>
    <w:rPr>
      <w:rFonts w:ascii="Arial" w:eastAsia="Times New Roman" w:hAnsi="Arial"/>
      <w:b/>
      <w:bCs/>
    </w:rPr>
  </w:style>
  <w:style w:type="character" w:styleId="CommentReference">
    <w:name w:val="annotation reference"/>
    <w:basedOn w:val="DefaultParagraphFont"/>
    <w:uiPriority w:val="49"/>
    <w:semiHidden/>
    <w:unhideWhenUsed/>
    <w:rsid w:val="00C436F1"/>
    <w:rPr>
      <w:sz w:val="16"/>
      <w:szCs w:val="16"/>
    </w:rPr>
  </w:style>
  <w:style w:type="paragraph" w:styleId="CommentText">
    <w:name w:val="annotation text"/>
    <w:basedOn w:val="Normal"/>
    <w:link w:val="CommentTextChar"/>
    <w:uiPriority w:val="49"/>
    <w:semiHidden/>
    <w:unhideWhenUsed/>
    <w:rsid w:val="00C436F1"/>
    <w:rPr>
      <w:sz w:val="20"/>
      <w:szCs w:val="20"/>
    </w:rPr>
  </w:style>
  <w:style w:type="character" w:customStyle="1" w:styleId="CommentTextChar">
    <w:name w:val="Comment Text Char"/>
    <w:basedOn w:val="DefaultParagraphFont"/>
    <w:link w:val="CommentText"/>
    <w:uiPriority w:val="49"/>
    <w:semiHidden/>
    <w:rsid w:val="00C436F1"/>
    <w:rPr>
      <w:sz w:val="20"/>
      <w:szCs w:val="20"/>
    </w:rPr>
  </w:style>
  <w:style w:type="paragraph" w:styleId="CommentSubject">
    <w:name w:val="annotation subject"/>
    <w:basedOn w:val="CommentText"/>
    <w:next w:val="CommentText"/>
    <w:link w:val="CommentSubjectChar"/>
    <w:uiPriority w:val="49"/>
    <w:semiHidden/>
    <w:unhideWhenUsed/>
    <w:rsid w:val="00C436F1"/>
    <w:rPr>
      <w:b/>
      <w:bCs/>
    </w:rPr>
  </w:style>
  <w:style w:type="character" w:customStyle="1" w:styleId="CommentSubjectChar">
    <w:name w:val="Comment Subject Char"/>
    <w:basedOn w:val="CommentTextChar"/>
    <w:link w:val="CommentSubject"/>
    <w:uiPriority w:val="49"/>
    <w:semiHidden/>
    <w:rsid w:val="00C436F1"/>
    <w:rPr>
      <w:b/>
      <w:bCs/>
      <w:sz w:val="20"/>
      <w:szCs w:val="20"/>
    </w:rPr>
  </w:style>
  <w:style w:type="character" w:customStyle="1" w:styleId="ListParagraphChar">
    <w:name w:val="List Paragraph Char"/>
    <w:link w:val="ListParagraph"/>
    <w:uiPriority w:val="34"/>
    <w:rsid w:val="00185E12"/>
    <w:rPr>
      <w:rFonts w:eastAsia="Times New Roman"/>
      <w:szCs w:val="20"/>
    </w:rPr>
  </w:style>
  <w:style w:type="paragraph" w:customStyle="1" w:styleId="ActTitle">
    <w:name w:val="Act Title"/>
    <w:basedOn w:val="Normal"/>
    <w:next w:val="Normal"/>
    <w:rsid w:val="00185E12"/>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185E12"/>
    <w:pPr>
      <w:spacing w:after="0"/>
      <w:ind w:left="720" w:hanging="72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im/sites/contenttypes/APRATemplates/Prudential%20Standa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AEBE9B674148919579A89BF410895D"/>
        <w:category>
          <w:name w:val="General"/>
          <w:gallery w:val="placeholder"/>
        </w:category>
        <w:types>
          <w:type w:val="bbPlcHdr"/>
        </w:types>
        <w:behaviors>
          <w:behavior w:val="content"/>
        </w:behaviors>
        <w:guid w:val="{16BC2EB6-F9E1-4692-A083-FF14A694BFBE}"/>
      </w:docPartPr>
      <w:docPartBody>
        <w:p w:rsidR="00D862AB" w:rsidRDefault="008864BD" w:rsidP="008864BD">
          <w:pPr>
            <w:pStyle w:val="18AEBE9B674148919579A89BF410895D"/>
          </w:pPr>
          <w:r w:rsidRPr="00E74BEE">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BD"/>
    <w:rsid w:val="008864BD"/>
    <w:rsid w:val="00D862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4BD"/>
    <w:rPr>
      <w:noProof w:val="0"/>
      <w:color w:val="000000" w:themeColor="text1"/>
      <w:sz w:val="22"/>
      <w:lang w:val="en-AU"/>
    </w:rPr>
  </w:style>
  <w:style w:type="paragraph" w:customStyle="1" w:styleId="18AEBE9B674148919579A89BF410895D">
    <w:name w:val="18AEBE9B674148919579A89BF410895D"/>
    <w:rsid w:val="00886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EB8FC-D7A5-4CB6-9911-DDDFCDD4F51C}">
  <ds:schemaRefs>
    <ds:schemaRef ds:uri="http://schemas.openxmlformats.org/officeDocument/2006/bibliography"/>
  </ds:schemaRefs>
</ds:datastoreItem>
</file>

<file path=customXml/itemProps2.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3.xml><?xml version="1.0" encoding="utf-8"?>
<ds:datastoreItem xmlns:ds="http://schemas.openxmlformats.org/officeDocument/2006/customXml" ds:itemID="{834FACA5-FF25-44EB-9F22-13BC540CEFF1}">
  <ds:schemaRefs>
    <ds:schemaRef ds:uri="79530295-9eea-494d-b82a-9ff74409eafc"/>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5664482d-1961-4d38-bfc2-b109b3418834"/>
    <ds:schemaRef ds:uri="http://purl.org/dc/dcmitype/"/>
  </ds:schemaRefs>
</ds:datastoreItem>
</file>

<file path=customXml/itemProps4.xml><?xml version="1.0" encoding="utf-8"?>
<ds:datastoreItem xmlns:ds="http://schemas.openxmlformats.org/officeDocument/2006/customXml" ds:itemID="{56C2E2F5-2E34-4D8F-B544-6A47D4A2C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Prudential%20Standard.dotx</Template>
  <TotalTime>1</TotalTime>
  <Pages>20</Pages>
  <Words>6264</Words>
  <Characters>31698</Characters>
  <Application>Microsoft Office Word</Application>
  <DocSecurity>0</DocSecurity>
  <Lines>754</Lines>
  <Paragraphs>421</Paragraphs>
  <ScaleCrop>false</ScaleCrop>
  <HeadingPairs>
    <vt:vector size="2" baseType="variant">
      <vt:variant>
        <vt:lpstr>Title</vt:lpstr>
      </vt:variant>
      <vt:variant>
        <vt:i4>1</vt:i4>
      </vt:variant>
    </vt:vector>
  </HeadingPairs>
  <TitlesOfParts>
    <vt:vector size="1" baseType="lpstr">
      <vt:lpstr>Prudential Standard LPS 001</vt:lpstr>
    </vt:vector>
  </TitlesOfParts>
  <Company>APRA</Company>
  <LinksUpToDate>false</LinksUpToDate>
  <CharactersWithSpaces>37541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Prudential Standard LPS 001</dc:title>
  <dc:creator>Kara Hooper</dc:creator>
  <cp:keywords>[SEC=UNOFFICIAL]</cp:keywords>
  <cp:lastModifiedBy>Toni Michalis</cp:lastModifiedBy>
  <cp:revision>2</cp:revision>
  <dcterms:created xsi:type="dcterms:W3CDTF">2023-05-31T11:16:00Z</dcterms:created>
  <dcterms:modified xsi:type="dcterms:W3CDTF">2023-05-31T11:16:00Z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UNOFFICIAL</vt:lpwstr>
  </property>
  <property fmtid="{D5CDD505-2E9C-101B-9397-08002B2CF9AE}" pid="5" name="PM_DisplayValueSecClassificationWithQualifier">
    <vt:lpwstr>Personal</vt:lpwstr>
  </property>
  <property fmtid="{D5CDD505-2E9C-101B-9397-08002B2CF9AE}" pid="6" name="PM_InsertionValue">
    <vt:lpwstr>Personal</vt:lpwstr>
  </property>
  <property fmtid="{D5CDD505-2E9C-101B-9397-08002B2CF9AE}" pid="7" name="PM_Originator_Hash_SHA1">
    <vt:lpwstr>C3AD57350F36D8E1BD75F8F67CB06D435C9C43CA</vt:lpwstr>
  </property>
  <property fmtid="{D5CDD505-2E9C-101B-9397-08002B2CF9AE}" pid="8" name="PM_Hash_Version">
    <vt:lpwstr>2022.1</vt:lpwstr>
  </property>
  <property fmtid="{D5CDD505-2E9C-101B-9397-08002B2CF9AE}" pid="9" name="PM_Hash_Salt">
    <vt:lpwstr>CA55FFEE7AC8EBEAAF51991199899166</vt:lpwstr>
  </property>
  <property fmtid="{D5CDD505-2E9C-101B-9397-08002B2CF9AE}" pid="10" name="PM_Hash_SHA1">
    <vt:lpwstr>F7ECE36A39DD508C040C9C210C842ACFD77C42F1</vt:lpwstr>
  </property>
  <property fmtid="{D5CDD505-2E9C-101B-9397-08002B2CF9AE}" pid="11" name="PM_SecurityClassification_Prev">
    <vt:lpwstr>UNOFFICIAL</vt:lpwstr>
  </property>
  <property fmtid="{D5CDD505-2E9C-101B-9397-08002B2CF9AE}" pid="12" name="PM_Qualifier_Prev">
    <vt:lpwstr/>
  </property>
  <property fmtid="{D5CDD505-2E9C-101B-9397-08002B2CF9AE}" pid="13" name="PM_Hash_Salt_Prev">
    <vt:lpwstr>18152CE0DB3DF1FB00C331330EB83CF8</vt:lpwstr>
  </property>
  <property fmtid="{D5CDD505-2E9C-101B-9397-08002B2CF9AE}" pid="14" name="PM_Caveats_Count">
    <vt:lpwstr>0</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Value_Header">
    <vt:lpwstr>Personal</vt:lpwstr>
  </property>
  <property fmtid="{D5CDD505-2E9C-101B-9397-08002B2CF9AE}" pid="17" name="PM_ProtectiveMarkingValue_Footer">
    <vt:lpwstr>Personal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2018.3</vt:lpwstr>
  </property>
  <property fmtid="{D5CDD505-2E9C-101B-9397-08002B2CF9AE}" pid="21" name="PM_Originating_FileId">
    <vt:lpwstr>9CDD4A8A38FF4D3681F9F9DB8CFE362E</vt:lpwstr>
  </property>
  <property fmtid="{D5CDD505-2E9C-101B-9397-08002B2CF9AE}" pid="22" name="PM_OriginationTimeStamp">
    <vt:lpwstr>2022-09-12T22:45:23Z</vt:lpwstr>
  </property>
  <property fmtid="{D5CDD505-2E9C-101B-9397-08002B2CF9AE}" pid="23" name="ContentTypeId">
    <vt:lpwstr>0x010100E5E831F15EEA47429C4A0837D916ED91</vt:lpwstr>
  </property>
  <property fmtid="{D5CDD505-2E9C-101B-9397-08002B2CF9AE}" pid="24" name="APRACostCentre">
    <vt:lpwstr/>
  </property>
  <property fmtid="{D5CDD505-2E9C-101B-9397-08002B2CF9AE}" pid="25" name="IT system type">
    <vt:lpwstr/>
  </property>
  <property fmtid="{D5CDD505-2E9C-101B-9397-08002B2CF9AE}" pid="26" name="APRACategory">
    <vt:lpwstr/>
  </property>
  <property fmtid="{D5CDD505-2E9C-101B-9397-08002B2CF9AE}" pid="27" name="APRAPeerGroup">
    <vt:lpwstr/>
  </property>
  <property fmtid="{D5CDD505-2E9C-101B-9397-08002B2CF9AE}" pid="28" name="APRADocumentType">
    <vt:lpwstr>108;#Prudential standard|6ce5a155-9ab2-41e3-9b2a-5baab4b7f1d1</vt:lpwstr>
  </property>
  <property fmtid="{D5CDD505-2E9C-101B-9397-08002B2CF9AE}" pid="29" name="APRAStatus">
    <vt:lpwstr>1;#Draft|0e1556d2-3fe8-443a-ada7-3620563b46b3</vt:lpwstr>
  </property>
  <property fmtid="{D5CDD505-2E9C-101B-9397-08002B2CF9AE}" pid="30" name="APRAPRSG">
    <vt:lpwstr/>
  </property>
  <property fmtid="{D5CDD505-2E9C-101B-9397-08002B2CF9AE}" pid="31" name="APRAReportingGroup">
    <vt:lpwstr/>
  </property>
  <property fmtid="{D5CDD505-2E9C-101B-9397-08002B2CF9AE}" pid="32" name="APRAActivity">
    <vt:lpwstr>141;#Prudential standard development|fbeb3364-1425-47e2-8200-3b7f3a245dfe</vt:lpwstr>
  </property>
  <property fmtid="{D5CDD505-2E9C-101B-9397-08002B2CF9AE}" pid="33" name="APRAEntityAdviceSupport">
    <vt:lpwstr/>
  </property>
  <property fmtid="{D5CDD505-2E9C-101B-9397-08002B2CF9AE}" pid="34" name="APRATemplateType">
    <vt:lpwstr>23;#Policy|f1d41970-be64-43ea-8d6f-300cb1384ee7</vt:lpwstr>
  </property>
  <property fmtid="{D5CDD505-2E9C-101B-9397-08002B2CF9AE}" pid="35" name="APRAYear">
    <vt:lpwstr>276;#2023|d5e8f808-70b3-4121-8a32-87755a7b2c91</vt:lpwstr>
  </property>
  <property fmtid="{D5CDD505-2E9C-101B-9397-08002B2CF9AE}" pid="36" name="APRAIndustry">
    <vt:lpwstr>5;#GI|9e6b8d6f-8851-e311-9e2e-005056b54f10;#6;#LI|aa6b8d6f-8851-e311-9e2e-005056b54f10;#23;#PHI|10657f9d-7e9a-e511-8d41-005056b54f10</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APRAPeriod">
    <vt:lpwstr/>
  </property>
  <property fmtid="{D5CDD505-2E9C-101B-9397-08002B2CF9AE}" pid="41" name="_dlc_DocIdItemGuid">
    <vt:lpwstr>5244935a-0551-42bf-9db3-3d0b7b1907c3</vt:lpwstr>
  </property>
  <property fmtid="{D5CDD505-2E9C-101B-9397-08002B2CF9AE}" pid="42" name="PM_Note">
    <vt:lpwstr/>
  </property>
  <property fmtid="{D5CDD505-2E9C-101B-9397-08002B2CF9AE}" pid="43" name="PM_Markers">
    <vt:lpwstr/>
  </property>
  <property fmtid="{D5CDD505-2E9C-101B-9397-08002B2CF9AE}" pid="44" name="RecordPoint_WorkflowType">
    <vt:lpwstr>ActiveSubmitStub</vt:lpwstr>
  </property>
  <property fmtid="{D5CDD505-2E9C-101B-9397-08002B2CF9AE}" pid="45" name="RecordPoint_ActiveItemSiteId">
    <vt:lpwstr>{84af826e-2518-4772-bac2-7b8081da2087}</vt:lpwstr>
  </property>
  <property fmtid="{D5CDD505-2E9C-101B-9397-08002B2CF9AE}" pid="46" name="RecordPoint_ActiveItemListId">
    <vt:lpwstr>{fc59aca8-863e-4c39-b69a-97632099c4a0}</vt:lpwstr>
  </property>
  <property fmtid="{D5CDD505-2E9C-101B-9397-08002B2CF9AE}" pid="47" name="RecordPoint_ActiveItemUniqueId">
    <vt:lpwstr>{5244935a-0551-42bf-9db3-3d0b7b1907c3}</vt:lpwstr>
  </property>
  <property fmtid="{D5CDD505-2E9C-101B-9397-08002B2CF9AE}" pid="48" name="RecordPoint_ActiveItemWebId">
    <vt:lpwstr>{e3b62e1b-357d-4d42-becf-206c8aada0ef}</vt:lpwstr>
  </property>
  <property fmtid="{D5CDD505-2E9C-101B-9397-08002B2CF9AE}" pid="49" name="IsLocked">
    <vt:lpwstr>Yes</vt:lpwstr>
  </property>
  <property fmtid="{D5CDD505-2E9C-101B-9397-08002B2CF9AE}" pid="50" name="RecordPoint_SubmissionDate">
    <vt:lpwstr/>
  </property>
  <property fmtid="{D5CDD505-2E9C-101B-9397-08002B2CF9AE}" pid="51" name="RecordPoint_RecordNumberSubmitted">
    <vt:lpwstr/>
  </property>
  <property fmtid="{D5CDD505-2E9C-101B-9397-08002B2CF9AE}" pid="52" name="RecordPoint_ActiveItemMoved">
    <vt:lpwstr/>
  </property>
  <property fmtid="{D5CDD505-2E9C-101B-9397-08002B2CF9AE}" pid="53" name="RecordPoint_RecordFormat">
    <vt:lpwstr/>
  </property>
  <property fmtid="{D5CDD505-2E9C-101B-9397-08002B2CF9AE}" pid="54" name="RecordPoint_SubmissionCompleted">
    <vt:lpwstr/>
  </property>
  <property fmtid="{D5CDD505-2E9C-101B-9397-08002B2CF9AE}" pid="55" name="PM_Display">
    <vt:lpwstr>Personal</vt:lpwstr>
  </property>
  <property fmtid="{D5CDD505-2E9C-101B-9397-08002B2CF9AE}" pid="56" name="PMUuid">
    <vt:lpwstr>v=2022.2;d=gov.au;g=65417EFE-F3B9-5E66-BD91-1E689FEC2EA6</vt:lpwstr>
  </property>
  <property fmtid="{D5CDD505-2E9C-101B-9397-08002B2CF9AE}" pid="57" name="PM_OriginatorUserAccountName_SHA256">
    <vt:lpwstr>6E3018F28A186D2E5FF5207C041E7A82E907C3008E071057026A53705873B72E</vt:lpwstr>
  </property>
  <property fmtid="{D5CDD505-2E9C-101B-9397-08002B2CF9AE}" pid="58" name="PM_OriginatorDomainName_SHA256">
    <vt:lpwstr>ECBDE2B44A971754412B3FB70606937A119CC0D4B6C1B658A40FBD41C30BE3EC</vt:lpwstr>
  </property>
  <property fmtid="{D5CDD505-2E9C-101B-9397-08002B2CF9AE}" pid="59" name="MSIP_Label_bfd5df59-fc4a-42eb-ac4e-d9fda266b5d9_SetDate">
    <vt:lpwstr>2022-09-12T22:45:23Z</vt:lpwstr>
  </property>
  <property fmtid="{D5CDD505-2E9C-101B-9397-08002B2CF9AE}" pid="60" name="MSIP_Label_bfd5df59-fc4a-42eb-ac4e-d9fda266b5d9_Enabled">
    <vt:lpwstr>true</vt:lpwstr>
  </property>
  <property fmtid="{D5CDD505-2E9C-101B-9397-08002B2CF9AE}" pid="61" name="MSIP_Label_bfd5df59-fc4a-42eb-ac4e-d9fda266b5d9_Name">
    <vt:lpwstr>UNOFFICIAL</vt:lpwstr>
  </property>
  <property fmtid="{D5CDD505-2E9C-101B-9397-08002B2CF9AE}" pid="62" name="MSIP_Label_bfd5df59-fc4a-42eb-ac4e-d9fda266b5d9_SiteId">
    <vt:lpwstr>c05e3ffd-b491-4431-9809-e61d4dc78816</vt:lpwstr>
  </property>
  <property fmtid="{D5CDD505-2E9C-101B-9397-08002B2CF9AE}" pid="63" name="MSIP_Label_bfd5df59-fc4a-42eb-ac4e-d9fda266b5d9_ActionId">
    <vt:lpwstr>0abb20e3749e486b9fb2d5e6963815f6</vt:lpwstr>
  </property>
  <property fmtid="{D5CDD505-2E9C-101B-9397-08002B2CF9AE}" pid="64" name="PMHMAC">
    <vt:lpwstr>v=2022.1;a=SHA256;h=E64D0DC26B8A2B0B7D8C96198A6AA64446A8D8DBF94E964EAC4B8C9DB2F7B215</vt:lpwstr>
  </property>
  <property fmtid="{D5CDD505-2E9C-101B-9397-08002B2CF9AE}" pid="65" name="MSIP_Label_bfd5df59-fc4a-42eb-ac4e-d9fda266b5d9_ContentBits">
    <vt:lpwstr>0</vt:lpwstr>
  </property>
  <property fmtid="{D5CDD505-2E9C-101B-9397-08002B2CF9AE}" pid="66" name="MSIP_Label_bfd5df59-fc4a-42eb-ac4e-d9fda266b5d9_Method">
    <vt:lpwstr>Privileged</vt:lpwstr>
  </property>
  <property fmtid="{D5CDD505-2E9C-101B-9397-08002B2CF9AE}" pid="67" name="MediaServiceImageTags">
    <vt:lpwstr/>
  </property>
</Properties>
</file>