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5BDF" w14:textId="77777777" w:rsidR="00992953" w:rsidRDefault="00992953" w:rsidP="00992953">
      <w:pPr>
        <w:rPr>
          <w:rFonts w:ascii="Arial" w:hAnsi="Arial" w:cs="Arial"/>
        </w:rPr>
      </w:pPr>
      <w:bookmarkStart w:id="0" w:name="_Hlk134610298"/>
      <w:r>
        <w:rPr>
          <w:rFonts w:ascii="Arial" w:hAnsi="Arial" w:cs="Arial"/>
          <w:noProof/>
        </w:rPr>
        <w:drawing>
          <wp:inline distT="0" distB="0" distL="0" distR="0" wp14:anchorId="561C88AF" wp14:editId="0B24EAE2">
            <wp:extent cx="1423670" cy="1104265"/>
            <wp:effectExtent l="0" t="0" r="5080" b="63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14:paraId="1481774B" w14:textId="77777777" w:rsidR="00992953" w:rsidRDefault="00992953" w:rsidP="00992953">
      <w:pPr>
        <w:pStyle w:val="Title"/>
        <w:spacing w:before="240" w:after="0"/>
        <w:jc w:val="both"/>
        <w:rPr>
          <w:rFonts w:ascii="Arial" w:hAnsi="Arial" w:cs="Arial"/>
          <w:color w:val="000000"/>
          <w:sz w:val="32"/>
          <w:szCs w:val="32"/>
        </w:rPr>
      </w:pPr>
      <w:r>
        <w:rPr>
          <w:rFonts w:ascii="Arial" w:hAnsi="Arial" w:cs="Arial"/>
          <w:color w:val="000000"/>
          <w:sz w:val="32"/>
          <w:szCs w:val="32"/>
        </w:rPr>
        <w:t>Insurance (prudential standard) determination</w:t>
      </w:r>
    </w:p>
    <w:p w14:paraId="45CA46B2" w14:textId="13C68483" w:rsidR="00992953" w:rsidRDefault="00992953" w:rsidP="00992953">
      <w:pPr>
        <w:pStyle w:val="Title"/>
        <w:spacing w:before="240" w:after="0"/>
        <w:jc w:val="both"/>
        <w:rPr>
          <w:rFonts w:ascii="Arial" w:hAnsi="Arial" w:cs="Arial"/>
          <w:color w:val="000000"/>
          <w:sz w:val="32"/>
          <w:szCs w:val="32"/>
        </w:rPr>
      </w:pPr>
      <w:r>
        <w:rPr>
          <w:rFonts w:ascii="Arial" w:hAnsi="Arial" w:cs="Arial"/>
          <w:color w:val="000000"/>
          <w:sz w:val="32"/>
          <w:szCs w:val="32"/>
        </w:rPr>
        <w:t xml:space="preserve">No. </w:t>
      </w:r>
      <w:r w:rsidR="00E471B2">
        <w:rPr>
          <w:rFonts w:ascii="Arial" w:hAnsi="Arial" w:cs="Arial"/>
          <w:color w:val="000000"/>
          <w:sz w:val="32"/>
          <w:szCs w:val="32"/>
        </w:rPr>
        <w:t>5</w:t>
      </w:r>
      <w:r>
        <w:rPr>
          <w:rFonts w:ascii="Arial" w:hAnsi="Arial" w:cs="Arial"/>
          <w:color w:val="000000"/>
          <w:sz w:val="32"/>
          <w:szCs w:val="32"/>
        </w:rPr>
        <w:t xml:space="preserve"> of 2023</w:t>
      </w:r>
    </w:p>
    <w:p w14:paraId="7C06FB51" w14:textId="27D53864" w:rsidR="00992953" w:rsidRDefault="00B632A1" w:rsidP="00306DC0">
      <w:pPr>
        <w:pStyle w:val="Title"/>
        <w:spacing w:before="240" w:after="0"/>
        <w:rPr>
          <w:rFonts w:ascii="Arial" w:hAnsi="Arial" w:cs="Arial"/>
          <w:color w:val="000000"/>
          <w:sz w:val="32"/>
          <w:szCs w:val="32"/>
        </w:rPr>
      </w:pPr>
      <w:r w:rsidRPr="00B632A1">
        <w:rPr>
          <w:rFonts w:ascii="Arial" w:hAnsi="Arial" w:cs="Arial"/>
          <w:color w:val="000000"/>
          <w:sz w:val="28"/>
          <w:szCs w:val="28"/>
        </w:rPr>
        <w:t>Prudential Standard GPS 115 Capital Adequacy: Insurance Risk Charge</w:t>
      </w:r>
    </w:p>
    <w:p w14:paraId="32E45EC5" w14:textId="52345ACE" w:rsidR="00992953" w:rsidRDefault="00992953" w:rsidP="00992953">
      <w:pPr>
        <w:pStyle w:val="ActTitle"/>
        <w:spacing w:before="240"/>
        <w:rPr>
          <w:rFonts w:cs="Arial"/>
          <w:color w:val="000000"/>
        </w:rPr>
      </w:pPr>
      <w:r>
        <w:rPr>
          <w:rFonts w:cs="Arial"/>
          <w:color w:val="000000"/>
        </w:rPr>
        <w:t>Insurance Act 19</w:t>
      </w:r>
      <w:r w:rsidR="00E471B2">
        <w:rPr>
          <w:rFonts w:cs="Arial"/>
          <w:color w:val="000000"/>
        </w:rPr>
        <w:t>73</w:t>
      </w:r>
    </w:p>
    <w:p w14:paraId="7E146748" w14:textId="3834677F" w:rsidR="00992953" w:rsidRDefault="00992953" w:rsidP="00992953">
      <w:pPr>
        <w:pStyle w:val="IntroTo"/>
        <w:spacing w:before="100" w:beforeAutospacing="1" w:after="240"/>
        <w:jc w:val="both"/>
        <w:rPr>
          <w:rFonts w:ascii="Arial" w:hAnsi="Arial" w:cs="Arial"/>
          <w:color w:val="000000"/>
          <w:sz w:val="22"/>
          <w:szCs w:val="22"/>
        </w:rPr>
      </w:pPr>
      <w:r>
        <w:rPr>
          <w:rFonts w:ascii="Arial" w:hAnsi="Arial" w:cs="Arial"/>
          <w:sz w:val="22"/>
          <w:szCs w:val="22"/>
        </w:rPr>
        <w:t xml:space="preserve">I, </w:t>
      </w:r>
      <w:r w:rsidR="00E471B2">
        <w:rPr>
          <w:rFonts w:ascii="Arial" w:hAnsi="Arial" w:cs="Arial"/>
          <w:sz w:val="22"/>
          <w:szCs w:val="22"/>
        </w:rPr>
        <w:t>Helen Rowell</w:t>
      </w:r>
      <w:r>
        <w:rPr>
          <w:rFonts w:ascii="Arial" w:hAnsi="Arial" w:cs="Arial"/>
          <w:sz w:val="22"/>
          <w:szCs w:val="22"/>
        </w:rPr>
        <w:t>, a delegate of APRA:</w:t>
      </w:r>
    </w:p>
    <w:p w14:paraId="6FCB2C71" w14:textId="0A3F842A" w:rsidR="00992953" w:rsidRDefault="00992953" w:rsidP="00992953">
      <w:pPr>
        <w:pStyle w:val="ListParagraph"/>
        <w:numPr>
          <w:ilvl w:val="0"/>
          <w:numId w:val="28"/>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32(4) of the </w:t>
      </w:r>
      <w:r>
        <w:rPr>
          <w:rFonts w:ascii="Arial" w:hAnsi="Arial" w:cs="Arial"/>
          <w:i/>
          <w:sz w:val="22"/>
          <w:szCs w:val="22"/>
        </w:rPr>
        <w:t>Insurance Act 1973</w:t>
      </w:r>
      <w:r>
        <w:rPr>
          <w:rFonts w:ascii="Arial" w:hAnsi="Arial" w:cs="Arial"/>
          <w:sz w:val="22"/>
          <w:szCs w:val="22"/>
        </w:rPr>
        <w:t xml:space="preserve"> (the Act), revoke Insurance (prudential standard) determination No. </w:t>
      </w:r>
      <w:r w:rsidR="00B632A1">
        <w:rPr>
          <w:rFonts w:ascii="Arial" w:hAnsi="Arial" w:cs="Arial"/>
          <w:sz w:val="22"/>
          <w:szCs w:val="22"/>
        </w:rPr>
        <w:t>5</w:t>
      </w:r>
      <w:r>
        <w:rPr>
          <w:rFonts w:ascii="Arial" w:hAnsi="Arial" w:cs="Arial"/>
          <w:sz w:val="22"/>
          <w:szCs w:val="22"/>
        </w:rPr>
        <w:t xml:space="preserve"> of 20</w:t>
      </w:r>
      <w:r w:rsidR="00B632A1">
        <w:rPr>
          <w:rFonts w:ascii="Arial" w:hAnsi="Arial" w:cs="Arial"/>
          <w:sz w:val="22"/>
          <w:szCs w:val="22"/>
        </w:rPr>
        <w:t>19</w:t>
      </w:r>
      <w:r>
        <w:rPr>
          <w:rFonts w:ascii="Arial" w:hAnsi="Arial" w:cs="Arial"/>
          <w:sz w:val="22"/>
          <w:szCs w:val="22"/>
        </w:rPr>
        <w:t xml:space="preserve">, including </w:t>
      </w:r>
      <w:r w:rsidR="00B632A1" w:rsidRPr="00B632A1">
        <w:rPr>
          <w:rFonts w:ascii="Arial" w:hAnsi="Arial" w:cs="Arial"/>
          <w:i/>
          <w:sz w:val="22"/>
          <w:szCs w:val="22"/>
        </w:rPr>
        <w:t>Prudential Standard GPS 115 Capital Adequacy: Insurance Risk Charge</w:t>
      </w:r>
      <w:r>
        <w:rPr>
          <w:rFonts w:ascii="Arial" w:hAnsi="Arial" w:cs="Arial"/>
          <w:i/>
          <w:sz w:val="22"/>
          <w:szCs w:val="22"/>
        </w:rPr>
        <w:t xml:space="preserve">, </w:t>
      </w:r>
      <w:r>
        <w:rPr>
          <w:rFonts w:ascii="Arial" w:hAnsi="Arial" w:cs="Arial"/>
          <w:sz w:val="22"/>
          <w:szCs w:val="22"/>
        </w:rPr>
        <w:t>made under that Determination; and</w:t>
      </w:r>
    </w:p>
    <w:p w14:paraId="6074CB7B" w14:textId="77777777" w:rsidR="00992953" w:rsidRDefault="00992953" w:rsidP="00992953">
      <w:pPr>
        <w:pStyle w:val="ListParagraph"/>
        <w:tabs>
          <w:tab w:val="left" w:pos="567"/>
        </w:tabs>
        <w:ind w:left="567"/>
        <w:rPr>
          <w:rFonts w:ascii="Arial" w:hAnsi="Arial" w:cs="Arial"/>
          <w:sz w:val="22"/>
          <w:szCs w:val="22"/>
        </w:rPr>
      </w:pPr>
    </w:p>
    <w:p w14:paraId="7BAF2531" w14:textId="28ED2932" w:rsidR="00992953" w:rsidRDefault="00992953" w:rsidP="00992953">
      <w:pPr>
        <w:pStyle w:val="ListParagraph"/>
        <w:numPr>
          <w:ilvl w:val="0"/>
          <w:numId w:val="28"/>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32(1) of the Act determine </w:t>
      </w:r>
      <w:r w:rsidR="00B632A1" w:rsidRPr="00B632A1">
        <w:rPr>
          <w:rFonts w:ascii="Arial" w:hAnsi="Arial" w:cs="Arial"/>
          <w:i/>
          <w:sz w:val="22"/>
          <w:szCs w:val="22"/>
        </w:rPr>
        <w:t>Prudential Standard GPS 115 Capital Adequacy: Insurance Risk Charge</w:t>
      </w:r>
      <w:r>
        <w:rPr>
          <w:rFonts w:ascii="Arial" w:hAnsi="Arial" w:cs="Arial"/>
          <w:sz w:val="22"/>
          <w:szCs w:val="22"/>
        </w:rPr>
        <w:t>, in the form set out in the Schedule, which applies to:</w:t>
      </w:r>
    </w:p>
    <w:p w14:paraId="0932BE24" w14:textId="77777777" w:rsidR="00992953" w:rsidRDefault="00992953" w:rsidP="00992953">
      <w:pPr>
        <w:pStyle w:val="ListParagraph"/>
        <w:tabs>
          <w:tab w:val="left" w:pos="1276"/>
        </w:tabs>
        <w:ind w:left="1287"/>
        <w:rPr>
          <w:rFonts w:ascii="Arial" w:hAnsi="Arial" w:cs="Arial"/>
          <w:sz w:val="22"/>
          <w:szCs w:val="22"/>
        </w:rPr>
      </w:pPr>
    </w:p>
    <w:p w14:paraId="7AB52FEF" w14:textId="77777777" w:rsidR="00992953" w:rsidRDefault="00992953" w:rsidP="00992953">
      <w:pPr>
        <w:pStyle w:val="ListParagraph"/>
        <w:numPr>
          <w:ilvl w:val="0"/>
          <w:numId w:val="29"/>
        </w:numPr>
        <w:tabs>
          <w:tab w:val="left" w:pos="1276"/>
        </w:tabs>
        <w:spacing w:after="240"/>
        <w:rPr>
          <w:rFonts w:ascii="Arial" w:hAnsi="Arial" w:cs="Arial"/>
          <w:sz w:val="22"/>
          <w:szCs w:val="22"/>
        </w:rPr>
      </w:pPr>
      <w:r>
        <w:rPr>
          <w:rFonts w:ascii="Arial" w:hAnsi="Arial" w:cs="Arial"/>
          <w:sz w:val="22"/>
          <w:szCs w:val="22"/>
        </w:rPr>
        <w:t>all general insurers and authorised NOHCs; and</w:t>
      </w:r>
    </w:p>
    <w:p w14:paraId="13FCE142" w14:textId="77777777" w:rsidR="00992953" w:rsidRDefault="00992953" w:rsidP="00992953">
      <w:pPr>
        <w:pStyle w:val="ListParagraph"/>
        <w:tabs>
          <w:tab w:val="left" w:pos="1276"/>
        </w:tabs>
        <w:ind w:left="1134" w:hanging="567"/>
        <w:rPr>
          <w:rFonts w:ascii="Arial" w:hAnsi="Arial" w:cs="Arial"/>
          <w:sz w:val="22"/>
          <w:szCs w:val="22"/>
        </w:rPr>
      </w:pPr>
    </w:p>
    <w:p w14:paraId="675A5726" w14:textId="77777777" w:rsidR="00992953" w:rsidRDefault="00992953" w:rsidP="00992953">
      <w:pPr>
        <w:pStyle w:val="ListParagraph"/>
        <w:numPr>
          <w:ilvl w:val="0"/>
          <w:numId w:val="29"/>
        </w:numPr>
        <w:tabs>
          <w:tab w:val="left" w:pos="1276"/>
        </w:tabs>
        <w:spacing w:after="240"/>
        <w:rPr>
          <w:rFonts w:ascii="Arial" w:hAnsi="Arial" w:cs="Arial"/>
          <w:sz w:val="22"/>
          <w:szCs w:val="22"/>
        </w:rPr>
      </w:pPr>
      <w:r>
        <w:rPr>
          <w:rFonts w:ascii="Arial" w:hAnsi="Arial" w:cs="Arial"/>
          <w:sz w:val="22"/>
          <w:szCs w:val="22"/>
        </w:rPr>
        <w:t>a subsidiary of a general insurer or authorised NOHC, where that subsidiary is a parent entity of a Level 2 insurance group.</w:t>
      </w:r>
    </w:p>
    <w:p w14:paraId="0FCE3329" w14:textId="77777777" w:rsidR="00992953" w:rsidRDefault="00992953" w:rsidP="00992953">
      <w:pPr>
        <w:spacing w:before="100" w:beforeAutospacing="1"/>
        <w:jc w:val="both"/>
        <w:rPr>
          <w:rFonts w:ascii="Arial" w:hAnsi="Arial" w:cs="Arial"/>
          <w:sz w:val="22"/>
          <w:szCs w:val="22"/>
        </w:rPr>
      </w:pPr>
      <w:r>
        <w:rPr>
          <w:rFonts w:ascii="Arial" w:hAnsi="Arial" w:cs="Arial"/>
          <w:sz w:val="22"/>
          <w:szCs w:val="22"/>
        </w:rPr>
        <w:t>This instrument commences on 1 July 2023.</w:t>
      </w:r>
    </w:p>
    <w:p w14:paraId="748D6403" w14:textId="310C23F8" w:rsidR="00992953" w:rsidRDefault="00992953" w:rsidP="00992953">
      <w:pPr>
        <w:pStyle w:val="IntroTo"/>
        <w:jc w:val="both"/>
        <w:rPr>
          <w:rFonts w:ascii="Arial" w:hAnsi="Arial" w:cs="Arial"/>
          <w:sz w:val="22"/>
          <w:szCs w:val="22"/>
        </w:rPr>
      </w:pPr>
      <w:r>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B38AADC5D5424161B67FCE21B6FFE6FC"/>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720B5C">
            <w:rPr>
              <w:rFonts w:ascii="Arial" w:hAnsi="Arial" w:cs="Arial"/>
              <w:sz w:val="22"/>
              <w:szCs w:val="22"/>
            </w:rPr>
            <w:t>24 May 2023</w:t>
          </w:r>
        </w:sdtContent>
      </w:sdt>
    </w:p>
    <w:p w14:paraId="6F42C92A" w14:textId="77777777" w:rsidR="00992953" w:rsidRDefault="00992953" w:rsidP="00992953">
      <w:pPr>
        <w:pStyle w:val="IntroTo"/>
        <w:rPr>
          <w:rFonts w:ascii="Arial" w:hAnsi="Arial" w:cs="Arial"/>
          <w:sz w:val="22"/>
          <w:szCs w:val="22"/>
        </w:rPr>
      </w:pPr>
    </w:p>
    <w:p w14:paraId="702C36AF" w14:textId="2F94F3E1" w:rsidR="00992953" w:rsidRDefault="00720B5C" w:rsidP="00992953">
      <w:pPr>
        <w:autoSpaceDE w:val="0"/>
        <w:autoSpaceDN w:val="0"/>
        <w:adjustRightInd w:val="0"/>
        <w:spacing w:after="0"/>
        <w:rPr>
          <w:rFonts w:ascii="Arial" w:hAnsi="Arial" w:cs="Arial"/>
          <w:sz w:val="22"/>
          <w:szCs w:val="22"/>
        </w:rPr>
      </w:pPr>
      <w:r>
        <w:rPr>
          <w:rFonts w:ascii="Arial" w:hAnsi="Arial" w:cs="Arial"/>
          <w:sz w:val="22"/>
          <w:szCs w:val="22"/>
        </w:rPr>
        <w:t>[Signed]</w:t>
      </w:r>
    </w:p>
    <w:p w14:paraId="7908F768" w14:textId="77777777" w:rsidR="00720B5C" w:rsidRDefault="00720B5C" w:rsidP="00992953">
      <w:pPr>
        <w:autoSpaceDE w:val="0"/>
        <w:autoSpaceDN w:val="0"/>
        <w:adjustRightInd w:val="0"/>
        <w:spacing w:after="0"/>
        <w:rPr>
          <w:rFonts w:ascii="Arial" w:hAnsi="Arial" w:cs="Arial"/>
          <w:sz w:val="22"/>
          <w:szCs w:val="22"/>
        </w:rPr>
      </w:pPr>
    </w:p>
    <w:p w14:paraId="35062E67" w14:textId="77777777" w:rsidR="00E471B2" w:rsidRDefault="00E471B2" w:rsidP="00992953">
      <w:pPr>
        <w:autoSpaceDE w:val="0"/>
        <w:autoSpaceDN w:val="0"/>
        <w:adjustRightInd w:val="0"/>
        <w:spacing w:after="0"/>
        <w:rPr>
          <w:rFonts w:ascii="Arial" w:hAnsi="Arial" w:cs="Arial"/>
          <w:sz w:val="22"/>
          <w:szCs w:val="22"/>
        </w:rPr>
      </w:pPr>
      <w:r>
        <w:rPr>
          <w:rFonts w:ascii="Arial" w:hAnsi="Arial" w:cs="Arial"/>
          <w:sz w:val="22"/>
          <w:szCs w:val="22"/>
        </w:rPr>
        <w:t>Helen Rowell</w:t>
      </w:r>
    </w:p>
    <w:p w14:paraId="6B3ABD1A" w14:textId="369453FA" w:rsidR="00992953" w:rsidRDefault="00E471B2" w:rsidP="00992953">
      <w:pPr>
        <w:autoSpaceDE w:val="0"/>
        <w:autoSpaceDN w:val="0"/>
        <w:adjustRightInd w:val="0"/>
        <w:spacing w:after="0"/>
        <w:rPr>
          <w:rFonts w:ascii="Arial" w:hAnsi="Arial" w:cs="Arial"/>
        </w:rPr>
      </w:pPr>
      <w:r>
        <w:rPr>
          <w:rFonts w:ascii="Arial" w:hAnsi="Arial" w:cs="Arial"/>
          <w:sz w:val="22"/>
          <w:szCs w:val="22"/>
        </w:rPr>
        <w:t xml:space="preserve">Deputy Chair </w:t>
      </w:r>
      <w:r w:rsidR="00992953">
        <w:rPr>
          <w:rFonts w:ascii="Arial" w:hAnsi="Arial" w:cs="Arial"/>
        </w:rPr>
        <w:t xml:space="preserve"> </w:t>
      </w:r>
    </w:p>
    <w:p w14:paraId="7EE681FC" w14:textId="4DC07F8C" w:rsidR="00992953" w:rsidRDefault="00992953" w:rsidP="00992953">
      <w:pPr>
        <w:autoSpaceDE w:val="0"/>
        <w:autoSpaceDN w:val="0"/>
        <w:adjustRightInd w:val="0"/>
        <w:spacing w:after="0"/>
        <w:rPr>
          <w:rFonts w:ascii="Arial" w:hAnsi="Arial" w:cs="Arial"/>
          <w:sz w:val="22"/>
          <w:szCs w:val="22"/>
        </w:rPr>
      </w:pPr>
    </w:p>
    <w:p w14:paraId="6C15AC10" w14:textId="77777777" w:rsidR="00992953" w:rsidRDefault="00992953" w:rsidP="00992953">
      <w:pPr>
        <w:spacing w:before="480" w:after="0"/>
        <w:rPr>
          <w:rFonts w:ascii="Arial" w:hAnsi="Arial" w:cs="Arial"/>
          <w:b/>
        </w:rPr>
      </w:pPr>
      <w:r>
        <w:rPr>
          <w:rFonts w:ascii="Arial" w:hAnsi="Arial" w:cs="Arial"/>
          <w:b/>
        </w:rPr>
        <w:t>Interpretation</w:t>
      </w:r>
    </w:p>
    <w:p w14:paraId="1676C40C" w14:textId="77777777" w:rsidR="00992953" w:rsidRDefault="00992953" w:rsidP="00992953">
      <w:pPr>
        <w:spacing w:before="120" w:after="0"/>
        <w:rPr>
          <w:rFonts w:ascii="Arial" w:hAnsi="Arial" w:cs="Arial"/>
          <w:sz w:val="22"/>
          <w:szCs w:val="22"/>
        </w:rPr>
      </w:pPr>
      <w:r>
        <w:rPr>
          <w:rFonts w:ascii="Arial" w:hAnsi="Arial" w:cs="Arial"/>
          <w:sz w:val="22"/>
          <w:szCs w:val="22"/>
        </w:rPr>
        <w:t>In this instrument:</w:t>
      </w:r>
    </w:p>
    <w:p w14:paraId="654BB8EE" w14:textId="77777777" w:rsidR="00992953" w:rsidRDefault="00992953" w:rsidP="00992953">
      <w:pPr>
        <w:spacing w:after="0"/>
        <w:rPr>
          <w:rFonts w:ascii="Arial" w:hAnsi="Arial" w:cs="Arial"/>
          <w:b/>
          <w:i/>
          <w:sz w:val="22"/>
          <w:szCs w:val="22"/>
        </w:rPr>
      </w:pPr>
    </w:p>
    <w:p w14:paraId="2502619F" w14:textId="77777777" w:rsidR="00992953" w:rsidRDefault="00992953" w:rsidP="00992953">
      <w:pPr>
        <w:spacing w:after="0"/>
        <w:rPr>
          <w:rFonts w:ascii="Arial" w:hAnsi="Arial" w:cs="Arial"/>
          <w:sz w:val="22"/>
          <w:szCs w:val="22"/>
        </w:rPr>
      </w:pPr>
      <w:r>
        <w:rPr>
          <w:rFonts w:ascii="Arial" w:hAnsi="Arial" w:cs="Arial"/>
          <w:b/>
          <w:i/>
          <w:sz w:val="22"/>
          <w:szCs w:val="22"/>
        </w:rPr>
        <w:t>APRA</w:t>
      </w:r>
      <w:r>
        <w:rPr>
          <w:rFonts w:ascii="Arial" w:hAnsi="Arial" w:cs="Arial"/>
          <w:sz w:val="22"/>
          <w:szCs w:val="22"/>
        </w:rPr>
        <w:t xml:space="preserve"> means the Australian Prudential Regulation Authority.</w:t>
      </w:r>
    </w:p>
    <w:p w14:paraId="6767DE76" w14:textId="77777777" w:rsidR="00992953" w:rsidRDefault="00992953" w:rsidP="00992953">
      <w:pPr>
        <w:spacing w:after="0"/>
        <w:rPr>
          <w:rFonts w:ascii="Arial" w:hAnsi="Arial" w:cs="Arial"/>
          <w:sz w:val="22"/>
          <w:szCs w:val="22"/>
        </w:rPr>
      </w:pPr>
    </w:p>
    <w:p w14:paraId="16CE3C92" w14:textId="77777777" w:rsidR="00992953" w:rsidRDefault="00992953" w:rsidP="00992953">
      <w:pPr>
        <w:spacing w:after="0"/>
        <w:rPr>
          <w:rFonts w:ascii="Arial" w:hAnsi="Arial" w:cs="Arial"/>
          <w:sz w:val="22"/>
          <w:szCs w:val="22"/>
        </w:rPr>
      </w:pPr>
      <w:r>
        <w:rPr>
          <w:rFonts w:ascii="Arial" w:hAnsi="Arial" w:cs="Arial"/>
          <w:b/>
          <w:i/>
          <w:sz w:val="22"/>
          <w:szCs w:val="22"/>
        </w:rPr>
        <w:t>authorised NOHC</w:t>
      </w:r>
      <w:r>
        <w:rPr>
          <w:rFonts w:ascii="Arial" w:hAnsi="Arial" w:cs="Arial"/>
          <w:sz w:val="22"/>
          <w:szCs w:val="22"/>
        </w:rPr>
        <w:t xml:space="preserve"> has the meaning given in section 3 of the Act.</w:t>
      </w:r>
    </w:p>
    <w:p w14:paraId="00F66F81" w14:textId="77777777" w:rsidR="00992953" w:rsidRDefault="00992953" w:rsidP="00992953">
      <w:pPr>
        <w:spacing w:after="0"/>
        <w:rPr>
          <w:rFonts w:ascii="Arial" w:hAnsi="Arial" w:cs="Arial"/>
          <w:sz w:val="22"/>
          <w:szCs w:val="22"/>
        </w:rPr>
      </w:pPr>
    </w:p>
    <w:p w14:paraId="09205FC3" w14:textId="77777777" w:rsidR="00992953" w:rsidRDefault="00992953" w:rsidP="00992953">
      <w:pPr>
        <w:spacing w:after="0"/>
        <w:rPr>
          <w:rFonts w:ascii="Arial" w:hAnsi="Arial" w:cs="Arial"/>
          <w:sz w:val="22"/>
          <w:szCs w:val="22"/>
        </w:rPr>
      </w:pPr>
      <w:r>
        <w:rPr>
          <w:rFonts w:ascii="Arial" w:hAnsi="Arial" w:cs="Arial"/>
          <w:b/>
          <w:i/>
          <w:sz w:val="22"/>
          <w:szCs w:val="22"/>
        </w:rPr>
        <w:t>general insurer</w:t>
      </w:r>
      <w:r>
        <w:rPr>
          <w:rFonts w:ascii="Arial" w:hAnsi="Arial" w:cs="Arial"/>
          <w:sz w:val="22"/>
          <w:szCs w:val="22"/>
        </w:rPr>
        <w:t xml:space="preserve"> has the meaning given in section 11 of the Act.</w:t>
      </w:r>
    </w:p>
    <w:p w14:paraId="3A0682A6" w14:textId="77777777" w:rsidR="00992953" w:rsidRDefault="00992953" w:rsidP="00992953">
      <w:pPr>
        <w:spacing w:after="0"/>
        <w:rPr>
          <w:rFonts w:ascii="Arial" w:hAnsi="Arial" w:cs="Arial"/>
          <w:sz w:val="22"/>
          <w:szCs w:val="22"/>
        </w:rPr>
      </w:pPr>
    </w:p>
    <w:p w14:paraId="26CEF23C" w14:textId="77777777" w:rsidR="00992953" w:rsidRDefault="00992953" w:rsidP="00992953">
      <w:pPr>
        <w:spacing w:after="0"/>
        <w:rPr>
          <w:rFonts w:ascii="Arial" w:hAnsi="Arial" w:cs="Arial"/>
          <w:sz w:val="22"/>
          <w:szCs w:val="22"/>
        </w:rPr>
      </w:pPr>
      <w:r>
        <w:rPr>
          <w:rFonts w:ascii="Arial" w:hAnsi="Arial" w:cs="Arial"/>
          <w:b/>
          <w:i/>
          <w:sz w:val="22"/>
          <w:szCs w:val="22"/>
        </w:rPr>
        <w:t>Level 2 insurance group</w:t>
      </w:r>
      <w:r>
        <w:rPr>
          <w:rFonts w:ascii="Arial" w:hAnsi="Arial" w:cs="Arial"/>
          <w:sz w:val="22"/>
          <w:szCs w:val="22"/>
        </w:rPr>
        <w:t xml:space="preserve"> has the meaning given in Prudential Standard GPS 001 Definitions.</w:t>
      </w:r>
    </w:p>
    <w:p w14:paraId="6C2FB45F" w14:textId="77777777" w:rsidR="00992953" w:rsidRDefault="00992953" w:rsidP="00992953">
      <w:pPr>
        <w:spacing w:after="0"/>
        <w:rPr>
          <w:rFonts w:ascii="Arial" w:hAnsi="Arial" w:cs="Arial"/>
          <w:sz w:val="22"/>
          <w:szCs w:val="22"/>
        </w:rPr>
      </w:pPr>
    </w:p>
    <w:p w14:paraId="7D2792C6" w14:textId="77777777" w:rsidR="00992953" w:rsidRDefault="00992953" w:rsidP="00992953">
      <w:pPr>
        <w:spacing w:after="0"/>
        <w:rPr>
          <w:rFonts w:ascii="Arial" w:hAnsi="Arial" w:cs="Arial"/>
          <w:sz w:val="22"/>
          <w:szCs w:val="22"/>
        </w:rPr>
      </w:pPr>
      <w:r>
        <w:rPr>
          <w:rFonts w:ascii="Arial" w:hAnsi="Arial" w:cs="Arial"/>
          <w:b/>
          <w:i/>
          <w:sz w:val="22"/>
          <w:szCs w:val="22"/>
        </w:rPr>
        <w:t>parent entity</w:t>
      </w:r>
      <w:r>
        <w:rPr>
          <w:rFonts w:ascii="Arial" w:hAnsi="Arial" w:cs="Arial"/>
          <w:sz w:val="22"/>
          <w:szCs w:val="22"/>
        </w:rPr>
        <w:t xml:space="preserve"> has the meaning given in Prudential Standard GPS 001 Definitions.</w:t>
      </w:r>
    </w:p>
    <w:p w14:paraId="7236B647" w14:textId="77777777" w:rsidR="00992953" w:rsidRDefault="00992953" w:rsidP="00992953">
      <w:pPr>
        <w:spacing w:after="0"/>
        <w:rPr>
          <w:rFonts w:ascii="Arial" w:hAnsi="Arial" w:cs="Arial"/>
          <w:sz w:val="22"/>
          <w:szCs w:val="22"/>
        </w:rPr>
      </w:pPr>
    </w:p>
    <w:p w14:paraId="37FBC7D7" w14:textId="77777777" w:rsidR="00992953" w:rsidRDefault="00992953" w:rsidP="00992953">
      <w:pPr>
        <w:spacing w:after="0"/>
        <w:rPr>
          <w:rFonts w:ascii="Arial" w:hAnsi="Arial" w:cs="Arial"/>
          <w:sz w:val="22"/>
          <w:szCs w:val="22"/>
        </w:rPr>
      </w:pPr>
      <w:r>
        <w:rPr>
          <w:rFonts w:ascii="Arial" w:hAnsi="Arial" w:cs="Arial"/>
          <w:b/>
          <w:i/>
          <w:sz w:val="22"/>
          <w:szCs w:val="22"/>
        </w:rPr>
        <w:t>subsidiary</w:t>
      </w:r>
      <w:r>
        <w:rPr>
          <w:rFonts w:ascii="Arial" w:hAnsi="Arial" w:cs="Arial"/>
          <w:sz w:val="22"/>
          <w:szCs w:val="22"/>
        </w:rPr>
        <w:t xml:space="preserve"> has the meaning given in Prudential Standard GPS 001 Definitions.</w:t>
      </w:r>
    </w:p>
    <w:p w14:paraId="512E5B4C" w14:textId="77777777" w:rsidR="00992953" w:rsidRDefault="00992953" w:rsidP="00992953">
      <w:pPr>
        <w:spacing w:after="0"/>
        <w:rPr>
          <w:rFonts w:cs="Arial"/>
        </w:rPr>
      </w:pPr>
    </w:p>
    <w:p w14:paraId="7A71446E" w14:textId="77777777" w:rsidR="00992953" w:rsidRDefault="00992953" w:rsidP="00992953">
      <w:pPr>
        <w:spacing w:after="0"/>
        <w:rPr>
          <w:rFonts w:ascii="Arial" w:hAnsi="Arial" w:cs="Arial"/>
          <w:b/>
          <w:sz w:val="32"/>
          <w:szCs w:val="32"/>
        </w:rPr>
      </w:pPr>
      <w:r>
        <w:rPr>
          <w:rFonts w:ascii="Arial" w:hAnsi="Arial" w:cs="Arial"/>
          <w:b/>
          <w:sz w:val="32"/>
          <w:szCs w:val="32"/>
        </w:rPr>
        <w:t xml:space="preserve">Schedule </w:t>
      </w:r>
    </w:p>
    <w:p w14:paraId="665B1749" w14:textId="77777777" w:rsidR="00992953" w:rsidRDefault="00992953" w:rsidP="00992953">
      <w:pPr>
        <w:spacing w:after="0"/>
      </w:pPr>
    </w:p>
    <w:p w14:paraId="4F9937F1" w14:textId="5704C4F9" w:rsidR="00992953" w:rsidRDefault="00B632A1" w:rsidP="00992953">
      <w:pPr>
        <w:rPr>
          <w:rFonts w:ascii="Arial" w:hAnsi="Arial" w:cs="Arial"/>
          <w:sz w:val="22"/>
          <w:szCs w:val="22"/>
        </w:rPr>
      </w:pPr>
      <w:r w:rsidRPr="00B632A1">
        <w:rPr>
          <w:rFonts w:ascii="Arial" w:hAnsi="Arial" w:cs="Arial"/>
          <w:i/>
          <w:sz w:val="22"/>
          <w:szCs w:val="22"/>
        </w:rPr>
        <w:t>Prudential Standard GPS 115 Capital Adequacy: Insurance Risk Charge</w:t>
      </w:r>
      <w:r w:rsidR="00992953">
        <w:rPr>
          <w:rFonts w:ascii="Arial" w:hAnsi="Arial" w:cs="Arial"/>
          <w:i/>
          <w:sz w:val="22"/>
          <w:szCs w:val="22"/>
        </w:rPr>
        <w:t xml:space="preserve">, </w:t>
      </w:r>
      <w:r w:rsidR="00992953">
        <w:rPr>
          <w:rFonts w:ascii="Arial" w:hAnsi="Arial" w:cs="Arial"/>
          <w:bCs/>
          <w:sz w:val="22"/>
          <w:szCs w:val="22"/>
        </w:rPr>
        <w:t>comprises the document commencing on the following page.</w:t>
      </w:r>
      <w:r w:rsidR="00992953">
        <w:rPr>
          <w:rFonts w:ascii="Arial" w:hAnsi="Arial" w:cs="Arial"/>
          <w:sz w:val="22"/>
          <w:szCs w:val="22"/>
        </w:rPr>
        <w:t xml:space="preserve"> </w:t>
      </w:r>
    </w:p>
    <w:bookmarkEnd w:id="0"/>
    <w:p w14:paraId="4403EC05" w14:textId="77777777" w:rsidR="00992953" w:rsidRDefault="00992953" w:rsidP="00992953">
      <w:pPr>
        <w:spacing w:after="0"/>
      </w:pPr>
    </w:p>
    <w:p w14:paraId="658262FE" w14:textId="77777777" w:rsidR="00992953" w:rsidRDefault="00992953" w:rsidP="00992953">
      <w:pPr>
        <w:spacing w:after="0"/>
      </w:pPr>
    </w:p>
    <w:p w14:paraId="4514923E" w14:textId="77777777" w:rsidR="003F3EDF" w:rsidRDefault="003F3EDF" w:rsidP="003B52EB">
      <w:pPr>
        <w:spacing w:after="0"/>
        <w:sectPr w:rsidR="003F3EDF" w:rsidSect="000D63A8">
          <w:headerReference w:type="default" r:id="rId12"/>
          <w:pgSz w:w="11906" w:h="16838" w:code="9"/>
          <w:pgMar w:top="1440" w:right="1797" w:bottom="1440" w:left="1797" w:header="709" w:footer="709" w:gutter="0"/>
          <w:cols w:space="708"/>
          <w:docGrid w:linePitch="360"/>
        </w:sectPr>
      </w:pPr>
    </w:p>
    <w:p w14:paraId="4BE0AC86" w14:textId="1AE4B93E" w:rsidR="003B52EB" w:rsidRDefault="00506079" w:rsidP="003B52EB">
      <w:pPr>
        <w:spacing w:after="0"/>
      </w:pPr>
      <w:r>
        <w:rPr>
          <w:noProof/>
          <w:lang w:val="en-US" w:eastAsia="en-US"/>
        </w:rPr>
        <w:lastRenderedPageBreak/>
        <w:drawing>
          <wp:inline distT="0" distB="0" distL="0" distR="0" wp14:anchorId="4BA819AB" wp14:editId="20B809D4">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577526BE"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335A77">
        <w:rPr>
          <w:rStyle w:val="PSNofieldtext"/>
        </w:rPr>
        <w:t>GPS 115</w:t>
      </w:r>
      <w:r w:rsidR="009B6212" w:rsidRPr="009B6212">
        <w:t xml:space="preserve">  </w:t>
      </w:r>
    </w:p>
    <w:bookmarkEnd w:id="1"/>
    <w:p w14:paraId="445C262F" w14:textId="77777777" w:rsidR="00BC2D08" w:rsidRPr="00110917" w:rsidRDefault="00335A77" w:rsidP="001F6B8D">
      <w:pPr>
        <w:pStyle w:val="Title"/>
      </w:pPr>
      <w:r>
        <w:rPr>
          <w:rStyle w:val="PSNamefieldtext"/>
        </w:rPr>
        <w:t>Capital Adequacy: Insurance Risk Charge</w:t>
      </w:r>
    </w:p>
    <w:tbl>
      <w:tblPr>
        <w:tblStyle w:val="TableGrid"/>
        <w:tblW w:w="0" w:type="auto"/>
        <w:shd w:val="clear" w:color="auto" w:fill="DDDDDD"/>
        <w:tblLook w:val="04A0" w:firstRow="1" w:lastRow="0" w:firstColumn="1" w:lastColumn="0" w:noHBand="0" w:noVBand="1"/>
      </w:tblPr>
      <w:tblGrid>
        <w:gridCol w:w="8302"/>
      </w:tblGrid>
      <w:tr w:rsidR="0048511B" w14:paraId="735E99AF" w14:textId="77777777" w:rsidTr="00335A77">
        <w:trPr>
          <w:trHeight w:val="6656"/>
        </w:trPr>
        <w:tc>
          <w:tcPr>
            <w:tcW w:w="8528" w:type="dxa"/>
            <w:shd w:val="clear" w:color="auto" w:fill="DDDDDD"/>
          </w:tcPr>
          <w:p w14:paraId="1E31A6C7" w14:textId="77777777" w:rsidR="003C46D7" w:rsidRPr="00B37C03" w:rsidRDefault="003C46D7" w:rsidP="00656D42">
            <w:pPr>
              <w:pStyle w:val="BoxHeading"/>
            </w:pPr>
            <w:r w:rsidRPr="00B37C03">
              <w:t xml:space="preserve">Objectives and key requirements of this Prudential </w:t>
            </w:r>
            <w:r w:rsidRPr="00173A04">
              <w:t>Standard</w:t>
            </w:r>
          </w:p>
          <w:p w14:paraId="71D7E1A1" w14:textId="77777777" w:rsidR="00335A77" w:rsidRDefault="00335A77" w:rsidP="00335A77">
            <w:pPr>
              <w:jc w:val="both"/>
              <w:rPr>
                <w:bCs/>
              </w:rPr>
            </w:pPr>
            <w:r w:rsidRPr="00F84FF2">
              <w:rPr>
                <w:bCs/>
              </w:rPr>
              <w:t xml:space="preserve">This Prudential Standard </w:t>
            </w:r>
            <w:r>
              <w:rPr>
                <w:bCs/>
              </w:rPr>
              <w:t>requires a</w:t>
            </w:r>
            <w:r w:rsidRPr="00F84FF2">
              <w:rPr>
                <w:bCs/>
              </w:rPr>
              <w:t xml:space="preserve"> general insurer </w:t>
            </w:r>
            <w:r>
              <w:rPr>
                <w:bCs/>
              </w:rPr>
              <w:t>or</w:t>
            </w:r>
            <w:r w:rsidRPr="00F84FF2">
              <w:rPr>
                <w:bCs/>
              </w:rPr>
              <w:t xml:space="preserve"> Level 2 insurance group</w:t>
            </w:r>
            <w:r>
              <w:rPr>
                <w:bCs/>
              </w:rPr>
              <w:t xml:space="preserve"> to</w:t>
            </w:r>
            <w:r w:rsidRPr="00F84FF2">
              <w:rPr>
                <w:bCs/>
              </w:rPr>
              <w:t xml:space="preserve"> maintain adequate capital against the insurance risks associated with </w:t>
            </w:r>
            <w:r>
              <w:rPr>
                <w:bCs/>
              </w:rPr>
              <w:t>its</w:t>
            </w:r>
            <w:r w:rsidRPr="00F84FF2">
              <w:rPr>
                <w:bCs/>
              </w:rPr>
              <w:t xml:space="preserve"> activities. </w:t>
            </w:r>
          </w:p>
          <w:p w14:paraId="01F7C651" w14:textId="77777777" w:rsidR="00335A77" w:rsidRDefault="00335A77" w:rsidP="00335A77">
            <w:pPr>
              <w:jc w:val="both"/>
            </w:pPr>
            <w:r>
              <w:t>The ultimate responsibility for the prudent management of capital of a general insurer or Level 2 insurance group rests with its Board of directors. The Board must ensure that the general insurer or Level 2 insurance group maintains an adequate level and quality of capital commensurate with the scale, nature and complexity of its business and risk profile, such that it is able to meet its obligations under a wide range of circumstances.</w:t>
            </w:r>
          </w:p>
          <w:p w14:paraId="197FC966" w14:textId="77777777" w:rsidR="00335A77" w:rsidRDefault="00335A77" w:rsidP="00335A77">
            <w:pPr>
              <w:jc w:val="both"/>
            </w:pPr>
            <w:r w:rsidRPr="00F84FF2">
              <w:t>The Insurance Risk Charge is the minimum amount of capital required to be held against insurance risks. The Insurance Risk Charge relates to the risk that the value of the net insurance liabilities is greater than the value determined by the Appointed Actuary</w:t>
            </w:r>
            <w:r>
              <w:t xml:space="preserve"> or Group Actuary</w:t>
            </w:r>
            <w:r w:rsidRPr="00F84FF2">
              <w:t>.</w:t>
            </w:r>
          </w:p>
          <w:p w14:paraId="565E1BD5" w14:textId="77777777" w:rsidR="00173A04" w:rsidRDefault="00335A77" w:rsidP="00335A77">
            <w:pPr>
              <w:jc w:val="both"/>
            </w:pPr>
            <w:r>
              <w:t>This Prudential Standard sets out the method for calculating the Insurance Risk Charge. This charge is one of the components of the Standard Method for calculating the prescribed capital amount for general insurers and Level 2 insurance groups.</w:t>
            </w:r>
          </w:p>
        </w:tc>
      </w:tr>
    </w:tbl>
    <w:p w14:paraId="0F3AD094" w14:textId="77777777" w:rsidR="00BC2D08" w:rsidRDefault="00BC2D08" w:rsidP="00BC2D08">
      <w:pPr>
        <w:spacing w:after="0"/>
      </w:pPr>
    </w:p>
    <w:p w14:paraId="5E6076EF" w14:textId="77777777" w:rsidR="00C67A76" w:rsidRDefault="00C67A76" w:rsidP="00C67A76"/>
    <w:p w14:paraId="2D380BA3" w14:textId="77777777" w:rsidR="00C67A76" w:rsidRDefault="00C67A76" w:rsidP="00C67A76">
      <w:pPr>
        <w:sectPr w:rsidR="00C67A76" w:rsidSect="003F3EDF">
          <w:headerReference w:type="default" r:id="rId14"/>
          <w:footerReference w:type="default" r:id="rId15"/>
          <w:pgSz w:w="11906" w:h="16838" w:code="9"/>
          <w:pgMar w:top="1440" w:right="1797" w:bottom="1440" w:left="1797" w:header="709" w:footer="709" w:gutter="0"/>
          <w:pgNumType w:start="1"/>
          <w:cols w:space="708"/>
          <w:docGrid w:linePitch="360"/>
        </w:sectPr>
      </w:pPr>
    </w:p>
    <w:p w14:paraId="5A2340F5"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2C487491" w14:textId="01093383" w:rsidR="00732111"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44676" w:history="1">
        <w:r w:rsidR="00732111" w:rsidRPr="00840DFB">
          <w:rPr>
            <w:rStyle w:val="Hyperlink"/>
          </w:rPr>
          <w:t>Authority</w:t>
        </w:r>
        <w:r w:rsidR="00732111">
          <w:rPr>
            <w:webHidden/>
          </w:rPr>
          <w:tab/>
        </w:r>
        <w:r w:rsidR="00732111">
          <w:rPr>
            <w:webHidden/>
          </w:rPr>
          <w:fldChar w:fldCharType="begin"/>
        </w:r>
        <w:r w:rsidR="00732111">
          <w:rPr>
            <w:webHidden/>
          </w:rPr>
          <w:instrText xml:space="preserve"> PAGEREF _Toc109644676 \h </w:instrText>
        </w:r>
        <w:r w:rsidR="00732111">
          <w:rPr>
            <w:webHidden/>
          </w:rPr>
        </w:r>
        <w:r w:rsidR="00732111">
          <w:rPr>
            <w:webHidden/>
          </w:rPr>
          <w:fldChar w:fldCharType="separate"/>
        </w:r>
        <w:r w:rsidR="00732111">
          <w:rPr>
            <w:webHidden/>
          </w:rPr>
          <w:t>3</w:t>
        </w:r>
        <w:r w:rsidR="00732111">
          <w:rPr>
            <w:webHidden/>
          </w:rPr>
          <w:fldChar w:fldCharType="end"/>
        </w:r>
      </w:hyperlink>
    </w:p>
    <w:p w14:paraId="72ACAA0D" w14:textId="006D8397" w:rsidR="00732111" w:rsidRDefault="00343B1E">
      <w:pPr>
        <w:pStyle w:val="TOC1"/>
        <w:rPr>
          <w:rFonts w:asciiTheme="minorHAnsi" w:eastAsiaTheme="minorEastAsia" w:hAnsiTheme="minorHAnsi" w:cstheme="minorBidi"/>
          <w:sz w:val="22"/>
          <w:szCs w:val="22"/>
        </w:rPr>
      </w:pPr>
      <w:hyperlink w:anchor="_Toc109644677" w:history="1">
        <w:r w:rsidR="00732111" w:rsidRPr="00840DFB">
          <w:rPr>
            <w:rStyle w:val="Hyperlink"/>
          </w:rPr>
          <w:t>Application and commencement</w:t>
        </w:r>
        <w:r w:rsidR="00732111">
          <w:rPr>
            <w:webHidden/>
          </w:rPr>
          <w:tab/>
        </w:r>
        <w:r w:rsidR="00732111">
          <w:rPr>
            <w:webHidden/>
          </w:rPr>
          <w:fldChar w:fldCharType="begin"/>
        </w:r>
        <w:r w:rsidR="00732111">
          <w:rPr>
            <w:webHidden/>
          </w:rPr>
          <w:instrText xml:space="preserve"> PAGEREF _Toc109644677 \h </w:instrText>
        </w:r>
        <w:r w:rsidR="00732111">
          <w:rPr>
            <w:webHidden/>
          </w:rPr>
        </w:r>
        <w:r w:rsidR="00732111">
          <w:rPr>
            <w:webHidden/>
          </w:rPr>
          <w:fldChar w:fldCharType="separate"/>
        </w:r>
        <w:r w:rsidR="00732111">
          <w:rPr>
            <w:webHidden/>
          </w:rPr>
          <w:t>3</w:t>
        </w:r>
        <w:r w:rsidR="00732111">
          <w:rPr>
            <w:webHidden/>
          </w:rPr>
          <w:fldChar w:fldCharType="end"/>
        </w:r>
      </w:hyperlink>
    </w:p>
    <w:p w14:paraId="6504AA95" w14:textId="7C0E6009" w:rsidR="00732111" w:rsidRDefault="00343B1E">
      <w:pPr>
        <w:pStyle w:val="TOC1"/>
        <w:rPr>
          <w:rFonts w:asciiTheme="minorHAnsi" w:eastAsiaTheme="minorEastAsia" w:hAnsiTheme="minorHAnsi" w:cstheme="minorBidi"/>
          <w:sz w:val="22"/>
          <w:szCs w:val="22"/>
        </w:rPr>
      </w:pPr>
      <w:hyperlink w:anchor="_Toc109644678" w:history="1">
        <w:r w:rsidR="00732111" w:rsidRPr="00840DFB">
          <w:rPr>
            <w:rStyle w:val="Hyperlink"/>
          </w:rPr>
          <w:t>Interpretation</w:t>
        </w:r>
        <w:r w:rsidR="00732111">
          <w:rPr>
            <w:webHidden/>
          </w:rPr>
          <w:tab/>
        </w:r>
        <w:r w:rsidR="00732111">
          <w:rPr>
            <w:webHidden/>
          </w:rPr>
          <w:fldChar w:fldCharType="begin"/>
        </w:r>
        <w:r w:rsidR="00732111">
          <w:rPr>
            <w:webHidden/>
          </w:rPr>
          <w:instrText xml:space="preserve"> PAGEREF _Toc109644678 \h </w:instrText>
        </w:r>
        <w:r w:rsidR="00732111">
          <w:rPr>
            <w:webHidden/>
          </w:rPr>
        </w:r>
        <w:r w:rsidR="00732111">
          <w:rPr>
            <w:webHidden/>
          </w:rPr>
          <w:fldChar w:fldCharType="separate"/>
        </w:r>
        <w:r w:rsidR="00732111">
          <w:rPr>
            <w:webHidden/>
          </w:rPr>
          <w:t>3</w:t>
        </w:r>
        <w:r w:rsidR="00732111">
          <w:rPr>
            <w:webHidden/>
          </w:rPr>
          <w:fldChar w:fldCharType="end"/>
        </w:r>
      </w:hyperlink>
    </w:p>
    <w:p w14:paraId="7F110BB0" w14:textId="40C2BC4C" w:rsidR="00732111" w:rsidRDefault="00343B1E">
      <w:pPr>
        <w:pStyle w:val="TOC1"/>
        <w:rPr>
          <w:rFonts w:asciiTheme="minorHAnsi" w:eastAsiaTheme="minorEastAsia" w:hAnsiTheme="minorHAnsi" w:cstheme="minorBidi"/>
          <w:sz w:val="22"/>
          <w:szCs w:val="22"/>
        </w:rPr>
      </w:pPr>
      <w:hyperlink w:anchor="_Toc109644679" w:history="1">
        <w:r w:rsidR="00732111" w:rsidRPr="00840DFB">
          <w:rPr>
            <w:rStyle w:val="Hyperlink"/>
          </w:rPr>
          <w:t>Insurance Risk Charge</w:t>
        </w:r>
        <w:r w:rsidR="00732111">
          <w:rPr>
            <w:webHidden/>
          </w:rPr>
          <w:tab/>
        </w:r>
        <w:r w:rsidR="00732111">
          <w:rPr>
            <w:webHidden/>
          </w:rPr>
          <w:fldChar w:fldCharType="begin"/>
        </w:r>
        <w:r w:rsidR="00732111">
          <w:rPr>
            <w:webHidden/>
          </w:rPr>
          <w:instrText xml:space="preserve"> PAGEREF _Toc109644679 \h </w:instrText>
        </w:r>
        <w:r w:rsidR="00732111">
          <w:rPr>
            <w:webHidden/>
          </w:rPr>
        </w:r>
        <w:r w:rsidR="00732111">
          <w:rPr>
            <w:webHidden/>
          </w:rPr>
          <w:fldChar w:fldCharType="separate"/>
        </w:r>
        <w:r w:rsidR="00732111">
          <w:rPr>
            <w:webHidden/>
          </w:rPr>
          <w:t>3</w:t>
        </w:r>
        <w:r w:rsidR="00732111">
          <w:rPr>
            <w:webHidden/>
          </w:rPr>
          <w:fldChar w:fldCharType="end"/>
        </w:r>
      </w:hyperlink>
    </w:p>
    <w:p w14:paraId="5F181A23" w14:textId="1216B72B" w:rsidR="00732111" w:rsidRDefault="00343B1E">
      <w:pPr>
        <w:pStyle w:val="TOC1"/>
        <w:rPr>
          <w:rFonts w:asciiTheme="minorHAnsi" w:eastAsiaTheme="minorEastAsia" w:hAnsiTheme="minorHAnsi" w:cstheme="minorBidi"/>
          <w:sz w:val="22"/>
          <w:szCs w:val="22"/>
        </w:rPr>
      </w:pPr>
      <w:hyperlink w:anchor="_Toc109644681" w:history="1">
        <w:r w:rsidR="00732111" w:rsidRPr="00840DFB">
          <w:rPr>
            <w:rStyle w:val="Hyperlink"/>
          </w:rPr>
          <w:t>Premiums Liability Risk</w:t>
        </w:r>
        <w:r w:rsidR="00732111">
          <w:rPr>
            <w:webHidden/>
          </w:rPr>
          <w:tab/>
        </w:r>
        <w:r w:rsidR="00732111">
          <w:rPr>
            <w:webHidden/>
          </w:rPr>
          <w:fldChar w:fldCharType="begin"/>
        </w:r>
        <w:r w:rsidR="00732111">
          <w:rPr>
            <w:webHidden/>
          </w:rPr>
          <w:instrText xml:space="preserve"> PAGEREF _Toc109644681 \h </w:instrText>
        </w:r>
        <w:r w:rsidR="00732111">
          <w:rPr>
            <w:webHidden/>
          </w:rPr>
        </w:r>
        <w:r w:rsidR="00732111">
          <w:rPr>
            <w:webHidden/>
          </w:rPr>
          <w:fldChar w:fldCharType="separate"/>
        </w:r>
        <w:r w:rsidR="00732111">
          <w:rPr>
            <w:webHidden/>
          </w:rPr>
          <w:t>4</w:t>
        </w:r>
        <w:r w:rsidR="00732111">
          <w:rPr>
            <w:webHidden/>
          </w:rPr>
          <w:fldChar w:fldCharType="end"/>
        </w:r>
      </w:hyperlink>
    </w:p>
    <w:p w14:paraId="3AAF9678" w14:textId="27BB780F" w:rsidR="00732111" w:rsidRDefault="00343B1E">
      <w:pPr>
        <w:pStyle w:val="TOC1"/>
        <w:rPr>
          <w:rFonts w:asciiTheme="minorHAnsi" w:eastAsiaTheme="minorEastAsia" w:hAnsiTheme="minorHAnsi" w:cstheme="minorBidi"/>
          <w:sz w:val="22"/>
          <w:szCs w:val="22"/>
        </w:rPr>
      </w:pPr>
      <w:hyperlink w:anchor="_Toc109644682" w:history="1">
        <w:r w:rsidR="00732111" w:rsidRPr="00840DFB">
          <w:rPr>
            <w:rStyle w:val="Hyperlink"/>
          </w:rPr>
          <w:t>Classes of business</w:t>
        </w:r>
        <w:r w:rsidR="00732111">
          <w:rPr>
            <w:webHidden/>
          </w:rPr>
          <w:tab/>
        </w:r>
        <w:r w:rsidR="00732111">
          <w:rPr>
            <w:webHidden/>
          </w:rPr>
          <w:fldChar w:fldCharType="begin"/>
        </w:r>
        <w:r w:rsidR="00732111">
          <w:rPr>
            <w:webHidden/>
          </w:rPr>
          <w:instrText xml:space="preserve"> PAGEREF _Toc109644682 \h </w:instrText>
        </w:r>
        <w:r w:rsidR="00732111">
          <w:rPr>
            <w:webHidden/>
          </w:rPr>
        </w:r>
        <w:r w:rsidR="00732111">
          <w:rPr>
            <w:webHidden/>
          </w:rPr>
          <w:fldChar w:fldCharType="separate"/>
        </w:r>
        <w:r w:rsidR="00732111">
          <w:rPr>
            <w:webHidden/>
          </w:rPr>
          <w:t>4</w:t>
        </w:r>
        <w:r w:rsidR="00732111">
          <w:rPr>
            <w:webHidden/>
          </w:rPr>
          <w:fldChar w:fldCharType="end"/>
        </w:r>
      </w:hyperlink>
    </w:p>
    <w:p w14:paraId="7D2C46B1" w14:textId="4654D49F" w:rsidR="00732111" w:rsidRDefault="00343B1E">
      <w:pPr>
        <w:pStyle w:val="TOC1"/>
        <w:rPr>
          <w:rFonts w:asciiTheme="minorHAnsi" w:eastAsiaTheme="minorEastAsia" w:hAnsiTheme="minorHAnsi" w:cstheme="minorBidi"/>
          <w:sz w:val="22"/>
          <w:szCs w:val="22"/>
        </w:rPr>
      </w:pPr>
      <w:hyperlink w:anchor="_Toc109644683" w:history="1">
        <w:r w:rsidR="00732111" w:rsidRPr="00840DFB">
          <w:rPr>
            <w:rStyle w:val="Hyperlink"/>
          </w:rPr>
          <w:t>Business covering multiple classes</w:t>
        </w:r>
        <w:r w:rsidR="00732111">
          <w:rPr>
            <w:webHidden/>
          </w:rPr>
          <w:tab/>
        </w:r>
        <w:r w:rsidR="00732111">
          <w:rPr>
            <w:webHidden/>
          </w:rPr>
          <w:fldChar w:fldCharType="begin"/>
        </w:r>
        <w:r w:rsidR="00732111">
          <w:rPr>
            <w:webHidden/>
          </w:rPr>
          <w:instrText xml:space="preserve"> PAGEREF _Toc109644683 \h </w:instrText>
        </w:r>
        <w:r w:rsidR="00732111">
          <w:rPr>
            <w:webHidden/>
          </w:rPr>
        </w:r>
        <w:r w:rsidR="00732111">
          <w:rPr>
            <w:webHidden/>
          </w:rPr>
          <w:fldChar w:fldCharType="separate"/>
        </w:r>
        <w:r w:rsidR="00732111">
          <w:rPr>
            <w:webHidden/>
          </w:rPr>
          <w:t>5</w:t>
        </w:r>
        <w:r w:rsidR="00732111">
          <w:rPr>
            <w:webHidden/>
          </w:rPr>
          <w:fldChar w:fldCharType="end"/>
        </w:r>
      </w:hyperlink>
    </w:p>
    <w:p w14:paraId="26A0F0FC" w14:textId="46229CF1" w:rsidR="00732111" w:rsidRDefault="00343B1E">
      <w:pPr>
        <w:pStyle w:val="TOC1"/>
        <w:rPr>
          <w:rFonts w:asciiTheme="minorHAnsi" w:eastAsiaTheme="minorEastAsia" w:hAnsiTheme="minorHAnsi" w:cstheme="minorBidi"/>
          <w:sz w:val="22"/>
          <w:szCs w:val="22"/>
        </w:rPr>
      </w:pPr>
      <w:hyperlink w:anchor="_Toc109644684" w:history="1">
        <w:r w:rsidR="00732111" w:rsidRPr="00840DFB">
          <w:rPr>
            <w:rStyle w:val="Hyperlink"/>
          </w:rPr>
          <w:t>Material net written premium</w:t>
        </w:r>
        <w:r w:rsidR="00732111">
          <w:rPr>
            <w:webHidden/>
          </w:rPr>
          <w:tab/>
        </w:r>
        <w:r w:rsidR="00732111">
          <w:rPr>
            <w:webHidden/>
          </w:rPr>
          <w:fldChar w:fldCharType="begin"/>
        </w:r>
        <w:r w:rsidR="00732111">
          <w:rPr>
            <w:webHidden/>
          </w:rPr>
          <w:instrText xml:space="preserve"> PAGEREF _Toc109644684 \h </w:instrText>
        </w:r>
        <w:r w:rsidR="00732111">
          <w:rPr>
            <w:webHidden/>
          </w:rPr>
        </w:r>
        <w:r w:rsidR="00732111">
          <w:rPr>
            <w:webHidden/>
          </w:rPr>
          <w:fldChar w:fldCharType="separate"/>
        </w:r>
        <w:r w:rsidR="00732111">
          <w:rPr>
            <w:webHidden/>
          </w:rPr>
          <w:t>5</w:t>
        </w:r>
        <w:r w:rsidR="00732111">
          <w:rPr>
            <w:webHidden/>
          </w:rPr>
          <w:fldChar w:fldCharType="end"/>
        </w:r>
      </w:hyperlink>
    </w:p>
    <w:p w14:paraId="0749B09E" w14:textId="23A985A7" w:rsidR="00732111" w:rsidRDefault="00343B1E">
      <w:pPr>
        <w:pStyle w:val="TOC1"/>
        <w:rPr>
          <w:rFonts w:asciiTheme="minorHAnsi" w:eastAsiaTheme="minorEastAsia" w:hAnsiTheme="minorHAnsi" w:cstheme="minorBidi"/>
          <w:sz w:val="22"/>
          <w:szCs w:val="22"/>
        </w:rPr>
      </w:pPr>
      <w:hyperlink w:anchor="_Toc109644685" w:history="1">
        <w:r w:rsidR="00732111" w:rsidRPr="00840DFB">
          <w:rPr>
            <w:rStyle w:val="Hyperlink"/>
          </w:rPr>
          <w:t>Securitisation</w:t>
        </w:r>
        <w:r w:rsidR="00732111">
          <w:rPr>
            <w:webHidden/>
          </w:rPr>
          <w:tab/>
        </w:r>
        <w:r w:rsidR="00732111">
          <w:rPr>
            <w:webHidden/>
          </w:rPr>
          <w:fldChar w:fldCharType="begin"/>
        </w:r>
        <w:r w:rsidR="00732111">
          <w:rPr>
            <w:webHidden/>
          </w:rPr>
          <w:instrText xml:space="preserve"> PAGEREF _Toc109644685 \h </w:instrText>
        </w:r>
        <w:r w:rsidR="00732111">
          <w:rPr>
            <w:webHidden/>
          </w:rPr>
        </w:r>
        <w:r w:rsidR="00732111">
          <w:rPr>
            <w:webHidden/>
          </w:rPr>
          <w:fldChar w:fldCharType="separate"/>
        </w:r>
        <w:r w:rsidR="00732111">
          <w:rPr>
            <w:webHidden/>
          </w:rPr>
          <w:t>6</w:t>
        </w:r>
        <w:r w:rsidR="00732111">
          <w:rPr>
            <w:webHidden/>
          </w:rPr>
          <w:fldChar w:fldCharType="end"/>
        </w:r>
      </w:hyperlink>
    </w:p>
    <w:p w14:paraId="3109524D" w14:textId="4FEC3F7E" w:rsidR="00732111" w:rsidRDefault="00343B1E">
      <w:pPr>
        <w:pStyle w:val="TOC1"/>
        <w:rPr>
          <w:rFonts w:asciiTheme="minorHAnsi" w:eastAsiaTheme="minorEastAsia" w:hAnsiTheme="minorHAnsi" w:cstheme="minorBidi"/>
          <w:sz w:val="22"/>
          <w:szCs w:val="22"/>
        </w:rPr>
      </w:pPr>
      <w:hyperlink w:anchor="_Toc109644686" w:history="1">
        <w:r w:rsidR="00732111" w:rsidRPr="00840DFB">
          <w:rPr>
            <w:rStyle w:val="Hyperlink"/>
          </w:rPr>
          <w:t>Adjustments and exclusions</w:t>
        </w:r>
        <w:r w:rsidR="00732111">
          <w:rPr>
            <w:webHidden/>
          </w:rPr>
          <w:tab/>
        </w:r>
        <w:r w:rsidR="00732111">
          <w:rPr>
            <w:webHidden/>
          </w:rPr>
          <w:fldChar w:fldCharType="begin"/>
        </w:r>
        <w:r w:rsidR="00732111">
          <w:rPr>
            <w:webHidden/>
          </w:rPr>
          <w:instrText xml:space="preserve"> PAGEREF _Toc109644686 \h </w:instrText>
        </w:r>
        <w:r w:rsidR="00732111">
          <w:rPr>
            <w:webHidden/>
          </w:rPr>
        </w:r>
        <w:r w:rsidR="00732111">
          <w:rPr>
            <w:webHidden/>
          </w:rPr>
          <w:fldChar w:fldCharType="separate"/>
        </w:r>
        <w:r w:rsidR="00732111">
          <w:rPr>
            <w:webHidden/>
          </w:rPr>
          <w:t>6</w:t>
        </w:r>
        <w:r w:rsidR="00732111">
          <w:rPr>
            <w:webHidden/>
          </w:rPr>
          <w:fldChar w:fldCharType="end"/>
        </w:r>
      </w:hyperlink>
    </w:p>
    <w:p w14:paraId="4DA71097" w14:textId="4E266AC0" w:rsidR="00732111" w:rsidRDefault="00343B1E">
      <w:pPr>
        <w:pStyle w:val="TOC1"/>
        <w:rPr>
          <w:rFonts w:asciiTheme="minorHAnsi" w:eastAsiaTheme="minorEastAsia" w:hAnsiTheme="minorHAnsi" w:cstheme="minorBidi"/>
          <w:sz w:val="22"/>
          <w:szCs w:val="22"/>
        </w:rPr>
      </w:pPr>
      <w:hyperlink w:anchor="_Toc109644687" w:history="1">
        <w:r w:rsidR="00732111" w:rsidRPr="00840DFB">
          <w:rPr>
            <w:rStyle w:val="Hyperlink"/>
          </w:rPr>
          <w:t>Previous exercise of discretion</w:t>
        </w:r>
        <w:r w:rsidR="00732111">
          <w:rPr>
            <w:webHidden/>
          </w:rPr>
          <w:tab/>
        </w:r>
        <w:r w:rsidR="00732111">
          <w:rPr>
            <w:webHidden/>
          </w:rPr>
          <w:fldChar w:fldCharType="begin"/>
        </w:r>
        <w:r w:rsidR="00732111">
          <w:rPr>
            <w:webHidden/>
          </w:rPr>
          <w:instrText xml:space="preserve"> PAGEREF _Toc109644687 \h </w:instrText>
        </w:r>
        <w:r w:rsidR="00732111">
          <w:rPr>
            <w:webHidden/>
          </w:rPr>
        </w:r>
        <w:r w:rsidR="00732111">
          <w:rPr>
            <w:webHidden/>
          </w:rPr>
          <w:fldChar w:fldCharType="separate"/>
        </w:r>
        <w:r w:rsidR="00732111">
          <w:rPr>
            <w:webHidden/>
          </w:rPr>
          <w:t>6</w:t>
        </w:r>
        <w:r w:rsidR="00732111">
          <w:rPr>
            <w:webHidden/>
          </w:rPr>
          <w:fldChar w:fldCharType="end"/>
        </w:r>
      </w:hyperlink>
    </w:p>
    <w:p w14:paraId="1D3448AD" w14:textId="28FA8E37" w:rsidR="00732111" w:rsidRDefault="00343B1E">
      <w:pPr>
        <w:pStyle w:val="TOC2"/>
        <w:rPr>
          <w:rFonts w:asciiTheme="minorHAnsi" w:eastAsiaTheme="minorEastAsia" w:hAnsiTheme="minorHAnsi" w:cstheme="minorBidi"/>
          <w:sz w:val="22"/>
          <w:szCs w:val="22"/>
        </w:rPr>
      </w:pPr>
      <w:hyperlink w:anchor="_Toc109644688" w:history="1">
        <w:r w:rsidR="00732111" w:rsidRPr="00840DFB">
          <w:rPr>
            <w:rStyle w:val="Hyperlink"/>
          </w:rPr>
          <w:t>Attachment A</w:t>
        </w:r>
        <w:r w:rsidR="00732111">
          <w:rPr>
            <w:webHidden/>
          </w:rPr>
          <w:tab/>
        </w:r>
        <w:r w:rsidR="00732111">
          <w:rPr>
            <w:webHidden/>
          </w:rPr>
          <w:fldChar w:fldCharType="begin"/>
        </w:r>
        <w:r w:rsidR="00732111">
          <w:rPr>
            <w:webHidden/>
          </w:rPr>
          <w:instrText xml:space="preserve"> PAGEREF _Toc109644688 \h </w:instrText>
        </w:r>
        <w:r w:rsidR="00732111">
          <w:rPr>
            <w:webHidden/>
          </w:rPr>
        </w:r>
        <w:r w:rsidR="00732111">
          <w:rPr>
            <w:webHidden/>
          </w:rPr>
          <w:fldChar w:fldCharType="separate"/>
        </w:r>
        <w:r w:rsidR="00732111">
          <w:rPr>
            <w:webHidden/>
          </w:rPr>
          <w:t>7</w:t>
        </w:r>
        <w:r w:rsidR="00732111">
          <w:rPr>
            <w:webHidden/>
          </w:rPr>
          <w:fldChar w:fldCharType="end"/>
        </w:r>
      </w:hyperlink>
    </w:p>
    <w:p w14:paraId="1EAC40E6" w14:textId="79D4C3D3"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51427465"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7D783369" w14:textId="77777777" w:rsidR="00E07F40" w:rsidRPr="001F6B8D" w:rsidRDefault="00E07F40" w:rsidP="001F6B8D">
      <w:pPr>
        <w:pStyle w:val="Heading1"/>
      </w:pPr>
      <w:bookmarkStart w:id="10" w:name="_Toc109644676"/>
      <w:r w:rsidRPr="00B37C03">
        <w:lastRenderedPageBreak/>
        <w:t>Authority</w:t>
      </w:r>
      <w:bookmarkEnd w:id="8"/>
      <w:bookmarkEnd w:id="9"/>
      <w:bookmarkEnd w:id="10"/>
    </w:p>
    <w:p w14:paraId="0759327E" w14:textId="77777777" w:rsidR="00335A77" w:rsidRPr="00B637D6" w:rsidRDefault="00E07F40" w:rsidP="00335A77">
      <w:pPr>
        <w:pStyle w:val="BodyText1"/>
      </w:pPr>
      <w:r w:rsidRPr="00B37C03">
        <w:t xml:space="preserve">This Prudential Standard is </w:t>
      </w:r>
      <w:bookmarkStart w:id="11" w:name="_Toc314733118"/>
      <w:bookmarkStart w:id="12" w:name="_Toc341686775"/>
      <w:r w:rsidR="00335A77" w:rsidRPr="00B637D6">
        <w:t xml:space="preserve">made under section 32 of the </w:t>
      </w:r>
      <w:r w:rsidR="00335A77" w:rsidRPr="00B637D6">
        <w:rPr>
          <w:i/>
        </w:rPr>
        <w:t>Insurance Act 1973</w:t>
      </w:r>
      <w:r w:rsidR="00335A77" w:rsidRPr="00B637D6">
        <w:t xml:space="preserve"> (</w:t>
      </w:r>
      <w:r w:rsidR="00335A77" w:rsidRPr="00577656">
        <w:t>the Act</w:t>
      </w:r>
      <w:r w:rsidR="00335A77" w:rsidRPr="00B637D6">
        <w:t>).</w:t>
      </w:r>
    </w:p>
    <w:p w14:paraId="03F2BC42" w14:textId="0FC0173A" w:rsidR="00DF539C" w:rsidRPr="00DF539C" w:rsidRDefault="00335A77" w:rsidP="00335A77">
      <w:pPr>
        <w:pStyle w:val="Heading1"/>
      </w:pPr>
      <w:bookmarkStart w:id="13" w:name="_Toc109644677"/>
      <w:bookmarkEnd w:id="11"/>
      <w:bookmarkEnd w:id="12"/>
      <w:r>
        <w:t>Application</w:t>
      </w:r>
      <w:r w:rsidR="00253DAA">
        <w:t xml:space="preserve"> and commencement</w:t>
      </w:r>
      <w:bookmarkEnd w:id="13"/>
    </w:p>
    <w:p w14:paraId="122CD119" w14:textId="77777777" w:rsidR="00335A77" w:rsidRDefault="00335A77" w:rsidP="00335A77">
      <w:pPr>
        <w:pStyle w:val="BodyText1"/>
        <w:spacing w:before="240"/>
      </w:pPr>
      <w:r w:rsidRPr="00B637D6">
        <w:t>This Prudential Standard applies to</w:t>
      </w:r>
      <w:r>
        <w:t xml:space="preserve"> each:</w:t>
      </w:r>
    </w:p>
    <w:p w14:paraId="5C5E6A7F" w14:textId="77777777" w:rsidR="00335A77" w:rsidRDefault="00335A77" w:rsidP="00335A77">
      <w:pPr>
        <w:pStyle w:val="BodyText"/>
        <w:numPr>
          <w:ilvl w:val="0"/>
          <w:numId w:val="22"/>
        </w:numPr>
        <w:autoSpaceDE w:val="0"/>
        <w:spacing w:before="240" w:after="240"/>
        <w:ind w:left="1134" w:hanging="567"/>
        <w:jc w:val="both"/>
      </w:pPr>
      <w:r w:rsidRPr="00461EFD">
        <w:rPr>
          <w:b/>
        </w:rPr>
        <w:t>general</w:t>
      </w:r>
      <w:r>
        <w:t xml:space="preserve"> </w:t>
      </w:r>
      <w:r w:rsidRPr="00B637D6">
        <w:rPr>
          <w:rStyle w:val="StyleBodyText13ptCharCharChar"/>
          <w:b/>
        </w:rPr>
        <w:t>insurer</w:t>
      </w:r>
      <w:r w:rsidRPr="00B637D6">
        <w:rPr>
          <w:rStyle w:val="StyleBodyText13ptCharCharChar"/>
        </w:rPr>
        <w:t xml:space="preserve"> </w:t>
      </w:r>
      <w:r w:rsidRPr="00B637D6">
        <w:t>authorised under the Act</w:t>
      </w:r>
      <w:r>
        <w:t xml:space="preserve"> (</w:t>
      </w:r>
      <w:r>
        <w:rPr>
          <w:b/>
        </w:rPr>
        <w:t>insurer</w:t>
      </w:r>
      <w:r>
        <w:t>); and</w:t>
      </w:r>
    </w:p>
    <w:p w14:paraId="2D286FBE" w14:textId="77777777" w:rsidR="00335A77" w:rsidRDefault="00335A77" w:rsidP="00335A77">
      <w:pPr>
        <w:pStyle w:val="BodyText"/>
        <w:numPr>
          <w:ilvl w:val="0"/>
          <w:numId w:val="22"/>
        </w:numPr>
        <w:autoSpaceDE w:val="0"/>
        <w:spacing w:before="240" w:after="240"/>
        <w:ind w:left="1134" w:hanging="567"/>
        <w:jc w:val="both"/>
      </w:pPr>
      <w:r>
        <w:rPr>
          <w:b/>
        </w:rPr>
        <w:t>Level 2 insurance group</w:t>
      </w:r>
      <w:r>
        <w:t xml:space="preserve"> as defined in </w:t>
      </w:r>
      <w:r>
        <w:rPr>
          <w:i/>
        </w:rPr>
        <w:t xml:space="preserve">Prudential Standard GPS 001 Definitions </w:t>
      </w:r>
      <w:r>
        <w:t>(</w:t>
      </w:r>
      <w:r w:rsidRPr="00577656">
        <w:t>GPS 001</w:t>
      </w:r>
      <w:r>
        <w:t>).</w:t>
      </w:r>
    </w:p>
    <w:p w14:paraId="03538B31" w14:textId="77777777" w:rsidR="00335A77" w:rsidRPr="00461EFD" w:rsidRDefault="00335A77" w:rsidP="00335A77">
      <w:pPr>
        <w:pStyle w:val="BodyText"/>
        <w:autoSpaceDE w:val="0"/>
        <w:spacing w:before="240"/>
        <w:ind w:left="567"/>
      </w:pPr>
      <w:r>
        <w:t xml:space="preserve">Where a requirement is made in respect of a Level 2 insurance group, the requirement is imposed on the </w:t>
      </w:r>
      <w:r>
        <w:rPr>
          <w:b/>
        </w:rPr>
        <w:t>parent entity</w:t>
      </w:r>
      <w:r>
        <w:t xml:space="preserve"> of the Level 2 insurance group.</w:t>
      </w:r>
    </w:p>
    <w:p w14:paraId="370F8EFF" w14:textId="77777777" w:rsidR="00335A77" w:rsidRDefault="00335A77" w:rsidP="00335A77">
      <w:pPr>
        <w:pStyle w:val="BodyText1"/>
        <w:spacing w:before="240"/>
      </w:pPr>
      <w:r>
        <w:t>T</w:t>
      </w:r>
      <w:r w:rsidRPr="00B637D6">
        <w:t xml:space="preserve">his Prudential Standard applies to </w:t>
      </w:r>
      <w:r w:rsidRPr="00D85761">
        <w:t>insurers</w:t>
      </w:r>
      <w:r>
        <w:t xml:space="preserve"> and Level 2 insurance groups (</w:t>
      </w:r>
      <w:r w:rsidRPr="007879FC">
        <w:rPr>
          <w:b/>
        </w:rPr>
        <w:t>regulated institutions</w:t>
      </w:r>
      <w:r w:rsidRPr="00D20A1D">
        <w:t xml:space="preserve">) from 1 July </w:t>
      </w:r>
      <w:r>
        <w:t>2023</w:t>
      </w:r>
      <w:r w:rsidRPr="00D20A1D">
        <w:t>.</w:t>
      </w:r>
    </w:p>
    <w:p w14:paraId="6AEDAF51" w14:textId="77777777" w:rsidR="00335A77" w:rsidRPr="00B637D6" w:rsidRDefault="00335A77" w:rsidP="00335A77">
      <w:pPr>
        <w:pStyle w:val="Heading1"/>
      </w:pPr>
      <w:bookmarkStart w:id="14" w:name="_Toc109644678"/>
      <w:r>
        <w:t>Interpretation</w:t>
      </w:r>
      <w:bookmarkEnd w:id="14"/>
    </w:p>
    <w:p w14:paraId="2233D5FA" w14:textId="77777777" w:rsidR="0089430F" w:rsidRPr="0089430F" w:rsidRDefault="00335A77" w:rsidP="00335A77">
      <w:pPr>
        <w:pStyle w:val="BodyText1"/>
        <w:rPr>
          <w:rFonts w:ascii="Arial" w:hAnsi="Arial"/>
          <w:bCs/>
        </w:rPr>
      </w:pPr>
      <w:r>
        <w:rPr>
          <w:bCs/>
        </w:rPr>
        <w:t xml:space="preserve">Terms that are </w:t>
      </w:r>
      <w:r w:rsidRPr="00B637D6">
        <w:rPr>
          <w:bCs/>
        </w:rPr>
        <w:t xml:space="preserve">defined in </w:t>
      </w:r>
      <w:r w:rsidRPr="00D85761">
        <w:rPr>
          <w:bCs/>
        </w:rPr>
        <w:t>GPS 001</w:t>
      </w:r>
      <w:r>
        <w:rPr>
          <w:bCs/>
        </w:rPr>
        <w:t xml:space="preserve"> </w:t>
      </w:r>
      <w:r w:rsidRPr="0079685A">
        <w:t>appear in bold the first time they are used in this Prudential Standard</w:t>
      </w:r>
      <w:r w:rsidRPr="00412F0C">
        <w:rPr>
          <w:bCs/>
          <w:i/>
        </w:rPr>
        <w:t>.</w:t>
      </w:r>
      <w:r>
        <w:rPr>
          <w:bCs/>
        </w:rPr>
        <w:t xml:space="preserve"> </w:t>
      </w:r>
    </w:p>
    <w:p w14:paraId="5A5FAA8C" w14:textId="26B8FFA3" w:rsidR="0089430F" w:rsidRPr="0089430F" w:rsidRDefault="00335A77" w:rsidP="00335A77">
      <w:pPr>
        <w:pStyle w:val="BodyText1"/>
        <w:rPr>
          <w:rFonts w:ascii="Arial" w:hAnsi="Arial"/>
          <w:bCs/>
        </w:rPr>
      </w:pPr>
      <w:r w:rsidRPr="0089430F">
        <w:rPr>
          <w:bCs/>
        </w:rPr>
        <w:t xml:space="preserve">For the purposes of this Prudential Standard </w:t>
      </w:r>
      <w:r w:rsidRPr="00AB5C08">
        <w:t xml:space="preserve">the term </w:t>
      </w:r>
      <w:r>
        <w:t>‘</w:t>
      </w:r>
      <w:r w:rsidRPr="00577656">
        <w:t>Actuary</w:t>
      </w:r>
      <w:r>
        <w:t>’</w:t>
      </w:r>
      <w:r w:rsidRPr="00AB5C08">
        <w:t xml:space="preserve"> is a reference to either the </w:t>
      </w:r>
      <w:r w:rsidRPr="00AB5C08">
        <w:rPr>
          <w:b/>
        </w:rPr>
        <w:t xml:space="preserve">Appointed Actuary </w:t>
      </w:r>
      <w:r w:rsidRPr="00AB5C08">
        <w:t xml:space="preserve">for an insurer or the </w:t>
      </w:r>
      <w:r w:rsidRPr="00AB5C08">
        <w:rPr>
          <w:b/>
        </w:rPr>
        <w:t>Group Actuary</w:t>
      </w:r>
      <w:r w:rsidRPr="00AB5C08">
        <w:t xml:space="preserve"> for a Level 2 insurance group (as appropriate)</w:t>
      </w:r>
      <w:r w:rsidRPr="00886232">
        <w:t>.</w:t>
      </w:r>
    </w:p>
    <w:p w14:paraId="121472FF" w14:textId="415AFB18" w:rsidR="00E07F40" w:rsidRDefault="00335A77" w:rsidP="00335A77">
      <w:pPr>
        <w:pStyle w:val="Heading1"/>
      </w:pPr>
      <w:bookmarkStart w:id="15" w:name="_Toc109644679"/>
      <w:r>
        <w:t>Insurance Risk Charge</w:t>
      </w:r>
      <w:bookmarkEnd w:id="15"/>
    </w:p>
    <w:p w14:paraId="358C4EF2" w14:textId="77777777" w:rsidR="00335A77" w:rsidRPr="00B637D6" w:rsidRDefault="00335A77" w:rsidP="00335A77">
      <w:pPr>
        <w:pStyle w:val="BodyText1"/>
        <w:spacing w:before="240"/>
      </w:pPr>
      <w:r w:rsidRPr="00B637D6">
        <w:t xml:space="preserve">This Prudential Standard </w:t>
      </w:r>
      <w:r>
        <w:t>sets out</w:t>
      </w:r>
      <w:r w:rsidRPr="00B637D6">
        <w:t xml:space="preserve"> the </w:t>
      </w:r>
      <w:r>
        <w:t xml:space="preserve">method for </w:t>
      </w:r>
      <w:r w:rsidRPr="00B637D6">
        <w:t>calculati</w:t>
      </w:r>
      <w:r>
        <w:t>ng</w:t>
      </w:r>
      <w:r w:rsidRPr="00B637D6">
        <w:t xml:space="preserve"> the </w:t>
      </w:r>
      <w:r w:rsidRPr="00461EFD">
        <w:rPr>
          <w:b/>
        </w:rPr>
        <w:t>Insurance Risk Charge</w:t>
      </w:r>
      <w:r w:rsidRPr="00B637D6">
        <w:t xml:space="preserve"> for a</w:t>
      </w:r>
      <w:r>
        <w:t xml:space="preserve"> regulated institution using </w:t>
      </w:r>
      <w:r w:rsidRPr="00787AA6">
        <w:t xml:space="preserve">the </w:t>
      </w:r>
      <w:r w:rsidRPr="00787AA6">
        <w:rPr>
          <w:b/>
        </w:rPr>
        <w:t>Standard Method</w:t>
      </w:r>
      <w:r>
        <w:t xml:space="preserve"> to determine its </w:t>
      </w:r>
      <w:r w:rsidRPr="00CB3C5D">
        <w:rPr>
          <w:b/>
        </w:rPr>
        <w:t>p</w:t>
      </w:r>
      <w:r w:rsidRPr="00461EFD">
        <w:rPr>
          <w:b/>
        </w:rPr>
        <w:t xml:space="preserve">rescribed </w:t>
      </w:r>
      <w:r>
        <w:rPr>
          <w:b/>
        </w:rPr>
        <w:t>c</w:t>
      </w:r>
      <w:r w:rsidRPr="00461EFD">
        <w:rPr>
          <w:b/>
        </w:rPr>
        <w:t xml:space="preserve">apital </w:t>
      </w:r>
      <w:r>
        <w:rPr>
          <w:b/>
        </w:rPr>
        <w:t>a</w:t>
      </w:r>
      <w:r w:rsidRPr="00461EFD">
        <w:rPr>
          <w:b/>
        </w:rPr>
        <w:t>mount</w:t>
      </w:r>
      <w:r w:rsidRPr="00B637D6">
        <w:t>.</w:t>
      </w:r>
    </w:p>
    <w:p w14:paraId="62BD5721" w14:textId="77777777" w:rsidR="00335A77" w:rsidRPr="00B637D6" w:rsidRDefault="00335A77" w:rsidP="00335A77">
      <w:pPr>
        <w:pStyle w:val="BodyText1"/>
        <w:spacing w:before="240"/>
      </w:pPr>
      <w:r w:rsidRPr="00B637D6">
        <w:t xml:space="preserve">The </w:t>
      </w:r>
      <w:r>
        <w:t>I</w:t>
      </w:r>
      <w:r w:rsidRPr="00B637D6">
        <w:t xml:space="preserve">nsurance </w:t>
      </w:r>
      <w:r>
        <w:t>R</w:t>
      </w:r>
      <w:r w:rsidRPr="002A4675">
        <w:t xml:space="preserve">isk </w:t>
      </w:r>
      <w:r>
        <w:t>C</w:t>
      </w:r>
      <w:r w:rsidRPr="002A4675">
        <w:t>harge</w:t>
      </w:r>
      <w:r w:rsidRPr="00B637D6">
        <w:t xml:space="preserve"> relates to the risk that the value of net insurance liabilities is greater than the value determined </w:t>
      </w:r>
      <w:r>
        <w:t>in accordance with</w:t>
      </w:r>
      <w:r w:rsidRPr="00B637D6">
        <w:t xml:space="preserve"> </w:t>
      </w:r>
      <w:r w:rsidRPr="00B637D6">
        <w:rPr>
          <w:i/>
        </w:rPr>
        <w:t>Prudential Standard GPS 3</w:t>
      </w:r>
      <w:r>
        <w:rPr>
          <w:i/>
        </w:rPr>
        <w:t>4</w:t>
      </w:r>
      <w:r w:rsidRPr="00B637D6">
        <w:rPr>
          <w:i/>
        </w:rPr>
        <w:t xml:space="preserve">0 </w:t>
      </w:r>
      <w:r>
        <w:rPr>
          <w:i/>
        </w:rPr>
        <w:t xml:space="preserve">Insurance Liability Valuation </w:t>
      </w:r>
      <w:r w:rsidRPr="00B637D6">
        <w:t>(</w:t>
      </w:r>
      <w:r w:rsidRPr="00577656">
        <w:t>GPS 3</w:t>
      </w:r>
      <w:r>
        <w:t>4</w:t>
      </w:r>
      <w:r w:rsidRPr="00577656">
        <w:t>0</w:t>
      </w:r>
      <w:r w:rsidRPr="00B637D6">
        <w:t xml:space="preserve">). It has two components: </w:t>
      </w:r>
    </w:p>
    <w:p w14:paraId="14C47631" w14:textId="77777777" w:rsidR="00335A77" w:rsidRPr="00B637D6" w:rsidRDefault="00335A77" w:rsidP="00335A77">
      <w:pPr>
        <w:pStyle w:val="BodyText"/>
        <w:numPr>
          <w:ilvl w:val="1"/>
          <w:numId w:val="23"/>
        </w:numPr>
        <w:spacing w:before="240" w:after="240"/>
        <w:jc w:val="both"/>
      </w:pPr>
      <w:r w:rsidRPr="00B637D6">
        <w:t xml:space="preserve">a </w:t>
      </w:r>
      <w:r>
        <w:t xml:space="preserve">risk </w:t>
      </w:r>
      <w:r w:rsidRPr="00B637D6">
        <w:t xml:space="preserve">charge in respect of Outstanding Claims Risk; and </w:t>
      </w:r>
    </w:p>
    <w:p w14:paraId="4FF6EA2D" w14:textId="77777777" w:rsidR="00335A77" w:rsidRPr="00B637D6" w:rsidRDefault="00335A77" w:rsidP="00335A77">
      <w:pPr>
        <w:pStyle w:val="BodyText"/>
        <w:numPr>
          <w:ilvl w:val="1"/>
          <w:numId w:val="23"/>
        </w:numPr>
        <w:spacing w:before="240" w:after="240"/>
        <w:jc w:val="both"/>
      </w:pPr>
      <w:r w:rsidRPr="00B637D6">
        <w:t xml:space="preserve">a </w:t>
      </w:r>
      <w:r>
        <w:t xml:space="preserve">risk </w:t>
      </w:r>
      <w:r w:rsidRPr="00B637D6">
        <w:t xml:space="preserve">charge in respect of Premiums Liability Risk.  </w:t>
      </w:r>
    </w:p>
    <w:p w14:paraId="4E8298EA" w14:textId="77777777" w:rsidR="00335A77" w:rsidRDefault="00335A77" w:rsidP="00335A77">
      <w:pPr>
        <w:pStyle w:val="BodyText"/>
        <w:spacing w:before="240"/>
        <w:ind w:left="540"/>
      </w:pPr>
      <w:r w:rsidRPr="00B637D6">
        <w:t xml:space="preserve">The total Insurance Risk Charge is the sum of the </w:t>
      </w:r>
      <w:r>
        <w:t>risk</w:t>
      </w:r>
      <w:r w:rsidRPr="00B637D6">
        <w:t xml:space="preserve"> charge for each of the two components.</w:t>
      </w:r>
    </w:p>
    <w:p w14:paraId="03311750" w14:textId="77777777" w:rsidR="00E83A76" w:rsidRDefault="00335A77" w:rsidP="00335A77">
      <w:pPr>
        <w:pStyle w:val="Heading4"/>
        <w:spacing w:before="240"/>
      </w:pPr>
      <w:bookmarkStart w:id="16" w:name="_Toc109644680"/>
      <w:r>
        <w:t>Outstanding Claims Risk</w:t>
      </w:r>
      <w:bookmarkEnd w:id="16"/>
    </w:p>
    <w:p w14:paraId="0D58046C" w14:textId="77777777" w:rsidR="00335A77" w:rsidRPr="00886232" w:rsidRDefault="00335A77" w:rsidP="00335A77">
      <w:pPr>
        <w:pStyle w:val="BodyText1"/>
      </w:pPr>
      <w:r w:rsidRPr="00886232">
        <w:t>The risk charge for Outstanding Claims Risk relates to the risk that the value of the net outstanding claims liabilities</w:t>
      </w:r>
      <w:r>
        <w:t xml:space="preserve"> will be greater than the value </w:t>
      </w:r>
      <w:r w:rsidRPr="00886232">
        <w:t>determined in accordance with GPS 3</w:t>
      </w:r>
      <w:r>
        <w:t>4</w:t>
      </w:r>
      <w:r w:rsidRPr="00886232">
        <w:t>0.</w:t>
      </w:r>
    </w:p>
    <w:p w14:paraId="04AE6B19" w14:textId="77777777" w:rsidR="00335A77" w:rsidRPr="00F84FF2" w:rsidRDefault="00335A77" w:rsidP="00335A77">
      <w:pPr>
        <w:pStyle w:val="BodyText1"/>
      </w:pPr>
      <w:r w:rsidRPr="00853C87">
        <w:lastRenderedPageBreak/>
        <w:t xml:space="preserve">For the purposes of the </w:t>
      </w:r>
      <w:r>
        <w:t>Standard</w:t>
      </w:r>
      <w:r w:rsidRPr="00853C87">
        <w:t xml:space="preserve"> Method, </w:t>
      </w:r>
      <w:r w:rsidRPr="00F84FF2">
        <w:t xml:space="preserve">the risk charge for each </w:t>
      </w:r>
      <w:r w:rsidRPr="00F84FF2">
        <w:rPr>
          <w:b/>
        </w:rPr>
        <w:t>class of business</w:t>
      </w:r>
      <w:r w:rsidRPr="00F84FF2">
        <w:t xml:space="preserve"> is calculated by multiplying the net outstanding claims liabilities for that class (as determined in accordance with GPS 3</w:t>
      </w:r>
      <w:r>
        <w:t>4</w:t>
      </w:r>
      <w:r w:rsidRPr="00F84FF2">
        <w:t>0) by the relevant Outstanding Claim</w:t>
      </w:r>
      <w:r w:rsidRPr="00F33D87">
        <w:t>s</w:t>
      </w:r>
      <w:r w:rsidRPr="00F84FF2">
        <w:rPr>
          <w:b/>
        </w:rPr>
        <w:t xml:space="preserve"> </w:t>
      </w:r>
      <w:r w:rsidRPr="00F84FF2">
        <w:t>Risk Capital Factor in Attachment A. The total risk charge for outstanding claims risk is the sum of the risk charges for each class o</w:t>
      </w:r>
      <w:r w:rsidRPr="00B637D6">
        <w:t>f</w:t>
      </w:r>
      <w:r w:rsidRPr="00F84FF2">
        <w:t xml:space="preserve"> business.  </w:t>
      </w:r>
    </w:p>
    <w:p w14:paraId="324F499E" w14:textId="77777777" w:rsidR="00E83A76" w:rsidRDefault="00335A77" w:rsidP="00335A77">
      <w:pPr>
        <w:pStyle w:val="Heading1"/>
      </w:pPr>
      <w:bookmarkStart w:id="17" w:name="_Toc109644681"/>
      <w:r>
        <w:t>Premiums Liability Risk</w:t>
      </w:r>
      <w:bookmarkEnd w:id="17"/>
    </w:p>
    <w:p w14:paraId="26C7FA55" w14:textId="71906173" w:rsidR="00335A77" w:rsidRPr="006C3215" w:rsidRDefault="00335A77" w:rsidP="00335A77">
      <w:pPr>
        <w:pStyle w:val="BodyText1"/>
      </w:pPr>
      <w:r w:rsidRPr="008A540B">
        <w:t xml:space="preserve">The risk charge for Premiums Liability Risk relates to the risk that the value of the net premiums liabilities will be greater than the value determined in accordance with GPS 340. It also relates to the risk that ‘material net written premium’, as defined </w:t>
      </w:r>
      <w:r w:rsidRPr="006C3215">
        <w:t xml:space="preserve">in paragraph </w:t>
      </w:r>
      <w:r w:rsidRPr="006C3215">
        <w:fldChar w:fldCharType="begin"/>
      </w:r>
      <w:r w:rsidRPr="006C3215">
        <w:instrText xml:space="preserve"> REF _Ref324152382 \r \h  \* MERGEFORMAT </w:instrText>
      </w:r>
      <w:r w:rsidRPr="006C3215">
        <w:fldChar w:fldCharType="separate"/>
      </w:r>
      <w:r w:rsidR="009B3271">
        <w:t>17</w:t>
      </w:r>
      <w:r w:rsidRPr="006C3215">
        <w:fldChar w:fldCharType="end"/>
      </w:r>
      <w:r w:rsidRPr="006C3215">
        <w:t>, will be insufficient to fund the liabilities arising from that business.</w:t>
      </w:r>
    </w:p>
    <w:p w14:paraId="60DB50BD" w14:textId="77777777" w:rsidR="00335A77" w:rsidRPr="006C3215" w:rsidRDefault="00335A77" w:rsidP="00335A77">
      <w:pPr>
        <w:pStyle w:val="BodyText1"/>
      </w:pPr>
      <w:r w:rsidRPr="006C3215">
        <w:t>For the purposes of the Standard Method, the risk charge for each class of business is calculated by multiplying the sum of:</w:t>
      </w:r>
    </w:p>
    <w:p w14:paraId="58B555E6" w14:textId="77777777" w:rsidR="00335A77" w:rsidRPr="006C3215" w:rsidRDefault="00335A77" w:rsidP="00335A77">
      <w:pPr>
        <w:pStyle w:val="BodyText"/>
        <w:numPr>
          <w:ilvl w:val="0"/>
          <w:numId w:val="24"/>
        </w:numPr>
        <w:spacing w:after="240"/>
        <w:ind w:left="1134" w:hanging="567"/>
        <w:jc w:val="both"/>
        <w:rPr>
          <w:bCs/>
        </w:rPr>
      </w:pPr>
      <w:r w:rsidRPr="006C3215">
        <w:rPr>
          <w:bCs/>
        </w:rPr>
        <w:t>net premiums liabilities as determined in accordance with GPS 340; and</w:t>
      </w:r>
    </w:p>
    <w:p w14:paraId="3FAD4055" w14:textId="77777777" w:rsidR="00335A77" w:rsidRPr="006C3215" w:rsidRDefault="00335A77" w:rsidP="00335A77">
      <w:pPr>
        <w:pStyle w:val="BodyText"/>
        <w:numPr>
          <w:ilvl w:val="0"/>
          <w:numId w:val="24"/>
        </w:numPr>
        <w:spacing w:after="240"/>
        <w:ind w:left="1134" w:hanging="567"/>
        <w:jc w:val="both"/>
        <w:rPr>
          <w:bCs/>
        </w:rPr>
      </w:pPr>
      <w:r w:rsidRPr="006C3215">
        <w:rPr>
          <w:bCs/>
        </w:rPr>
        <w:t>material net written premiums</w:t>
      </w:r>
    </w:p>
    <w:p w14:paraId="7489C64E" w14:textId="44402296" w:rsidR="00335A77" w:rsidRDefault="00335A77" w:rsidP="00335A77">
      <w:pPr>
        <w:pStyle w:val="BodyText"/>
        <w:ind w:left="567"/>
        <w:rPr>
          <w:bCs/>
        </w:rPr>
      </w:pPr>
      <w:r w:rsidRPr="006C3215">
        <w:rPr>
          <w:bCs/>
        </w:rPr>
        <w:t>by the relevant Premiums Liability Risk Capital Factor in Attachment</w:t>
      </w:r>
      <w:r w:rsidR="00EA75E7">
        <w:rPr>
          <w:bCs/>
        </w:rPr>
        <w:t xml:space="preserve"> A</w:t>
      </w:r>
      <w:r w:rsidRPr="006C3215">
        <w:rPr>
          <w:bCs/>
        </w:rPr>
        <w:t>. The total risk charge for Premiums Liability Risk is the sum of the risk charges for Premiums Liability Risk for each class of business.</w:t>
      </w:r>
    </w:p>
    <w:p w14:paraId="64899ED6" w14:textId="77777777" w:rsidR="00335A77" w:rsidRPr="006C3215" w:rsidRDefault="00335A77" w:rsidP="00335A77">
      <w:pPr>
        <w:pStyle w:val="BodyText"/>
        <w:rPr>
          <w:bCs/>
        </w:rPr>
      </w:pPr>
    </w:p>
    <w:p w14:paraId="0E9F655E" w14:textId="77777777" w:rsidR="00335A77" w:rsidRPr="00335A77" w:rsidRDefault="00335A77" w:rsidP="00335A77">
      <w:pPr>
        <w:pStyle w:val="Heading1"/>
      </w:pPr>
      <w:bookmarkStart w:id="18" w:name="_Toc109644682"/>
      <w:r>
        <w:t>Classes of business</w:t>
      </w:r>
      <w:bookmarkEnd w:id="18"/>
    </w:p>
    <w:p w14:paraId="140070A9" w14:textId="024FBFD3" w:rsidR="00335A77" w:rsidRPr="006C3215" w:rsidRDefault="00335A77" w:rsidP="00335A77">
      <w:pPr>
        <w:pStyle w:val="BodyText1"/>
      </w:pPr>
      <w:bookmarkStart w:id="19" w:name="_Ref306870783"/>
      <w:r w:rsidRPr="006C3215">
        <w:t>For the purposes of the Outstanding Claims Risk Capital Factor and Premiums Liability Risk Capital Factor, all but the ‘</w:t>
      </w:r>
      <w:r w:rsidRPr="006C3215">
        <w:rPr>
          <w:b/>
        </w:rPr>
        <w:t>other</w:t>
      </w:r>
      <w:r w:rsidRPr="006C3215">
        <w:t>’</w:t>
      </w:r>
      <w:r w:rsidRPr="006C3215">
        <w:rPr>
          <w:b/>
        </w:rPr>
        <w:t xml:space="preserve"> direct class of business</w:t>
      </w:r>
      <w:r w:rsidRPr="006C3215">
        <w:rPr>
          <w:rStyle w:val="FootnoteReference"/>
          <w:bCs/>
        </w:rPr>
        <w:footnoteReference w:id="1"/>
      </w:r>
      <w:r w:rsidRPr="006C3215">
        <w:rPr>
          <w:b/>
        </w:rPr>
        <w:t xml:space="preserve"> </w:t>
      </w:r>
      <w:r w:rsidRPr="006C3215">
        <w:t xml:space="preserve">and </w:t>
      </w:r>
      <w:r w:rsidRPr="006C3215">
        <w:rPr>
          <w:b/>
        </w:rPr>
        <w:t>‘</w:t>
      </w:r>
      <w:r w:rsidRPr="006C3215">
        <w:t xml:space="preserve">other’ </w:t>
      </w:r>
      <w:r w:rsidRPr="006C3215">
        <w:rPr>
          <w:b/>
        </w:rPr>
        <w:t>reinsurance class of business</w:t>
      </w:r>
      <w:r w:rsidRPr="006C3215">
        <w:t xml:space="preserve"> have been classified into different categories in Attachment A (Table 1 and Table 2 respectively). The ‘other’ class of business must be allocated to a category by the Actuary, in accordance with paragraphs </w:t>
      </w:r>
      <w:r w:rsidRPr="006C3215">
        <w:fldChar w:fldCharType="begin"/>
      </w:r>
      <w:r w:rsidRPr="006C3215">
        <w:instrText xml:space="preserve"> REF _Ref309314452 \r \h  \* MERGEFORMAT </w:instrText>
      </w:r>
      <w:r w:rsidRPr="006C3215">
        <w:fldChar w:fldCharType="separate"/>
      </w:r>
      <w:r w:rsidR="009B3271">
        <w:t>13</w:t>
      </w:r>
      <w:r w:rsidRPr="006C3215">
        <w:fldChar w:fldCharType="end"/>
      </w:r>
      <w:r w:rsidRPr="006C3215">
        <w:t xml:space="preserve"> and </w:t>
      </w:r>
      <w:r w:rsidRPr="006C3215">
        <w:fldChar w:fldCharType="begin"/>
      </w:r>
      <w:r w:rsidRPr="006C3215">
        <w:instrText xml:space="preserve"> REF _Ref337461968 \r \h  \* MERGEFORMAT </w:instrText>
      </w:r>
      <w:r w:rsidRPr="006C3215">
        <w:fldChar w:fldCharType="separate"/>
      </w:r>
      <w:r w:rsidR="009B3271">
        <w:t>14</w:t>
      </w:r>
      <w:r w:rsidRPr="006C3215">
        <w:fldChar w:fldCharType="end"/>
      </w:r>
      <w:r w:rsidRPr="006C3215">
        <w:t>.</w:t>
      </w:r>
      <w:bookmarkStart w:id="20" w:name="_Ref306870277"/>
      <w:bookmarkEnd w:id="19"/>
    </w:p>
    <w:p w14:paraId="7536F5C1" w14:textId="77777777" w:rsidR="00335A77" w:rsidRDefault="00335A77" w:rsidP="00335A77">
      <w:pPr>
        <w:pStyle w:val="BodyText1"/>
      </w:pPr>
      <w:bookmarkStart w:id="21" w:name="_Ref309314452"/>
      <w:bookmarkStart w:id="22" w:name="_Ref310867595"/>
      <w:r w:rsidRPr="005A77AC">
        <w:t xml:space="preserve">For the purpose of calculating the </w:t>
      </w:r>
      <w:r>
        <w:t>I</w:t>
      </w:r>
      <w:r w:rsidRPr="0073757C">
        <w:t xml:space="preserve">nsurance </w:t>
      </w:r>
      <w:r>
        <w:t>R</w:t>
      </w:r>
      <w:r w:rsidRPr="0073757C">
        <w:t xml:space="preserve">isk </w:t>
      </w:r>
      <w:r>
        <w:t>C</w:t>
      </w:r>
      <w:r w:rsidRPr="0073757C">
        <w:t>harge</w:t>
      </w:r>
      <w:r w:rsidRPr="005A77AC">
        <w:rPr>
          <w:b/>
        </w:rPr>
        <w:t xml:space="preserve"> </w:t>
      </w:r>
      <w:r w:rsidRPr="005A77AC">
        <w:t xml:space="preserve">in respect of </w:t>
      </w:r>
      <w:r>
        <w:t xml:space="preserve">any </w:t>
      </w:r>
      <w:r w:rsidRPr="005A77AC">
        <w:t>‘other’ business</w:t>
      </w:r>
      <w:r>
        <w:t xml:space="preserve"> (whether it is direct business or reinsurance)</w:t>
      </w:r>
      <w:r w:rsidRPr="005A77AC">
        <w:t xml:space="preserve">, the </w:t>
      </w:r>
      <w:r>
        <w:t>A</w:t>
      </w:r>
      <w:r w:rsidRPr="005A77AC">
        <w:t xml:space="preserve">ctuary </w:t>
      </w:r>
      <w:r>
        <w:t>is required to determine</w:t>
      </w:r>
      <w:r w:rsidRPr="005A77AC">
        <w:t xml:space="preserve"> the most appropriate category (i.e. category A, B or C) in </w:t>
      </w:r>
      <w:r>
        <w:t xml:space="preserve">Table 1 and Table 2 of </w:t>
      </w:r>
      <w:r w:rsidRPr="005A77AC">
        <w:t>Attachment A. The choice must be based on the underlying risk characteristics of the business being written. The regulated institution must then apply the corresponding Outstanding Claims Risk Capital Factor and Premiums Liability Risk Capital Factor listed in Attachment A in determining the Insurance Risk Charge.</w:t>
      </w:r>
      <w:bookmarkEnd w:id="21"/>
      <w:r w:rsidRPr="005A77AC">
        <w:t xml:space="preserve">  </w:t>
      </w:r>
    </w:p>
    <w:p w14:paraId="587EE73F" w14:textId="77777777" w:rsidR="00335A77" w:rsidRPr="001D392B" w:rsidDel="00BD0B91" w:rsidRDefault="00335A77" w:rsidP="00335A77">
      <w:pPr>
        <w:pStyle w:val="BodyText1"/>
      </w:pPr>
      <w:bookmarkStart w:id="23" w:name="_Ref337461968"/>
      <w:bookmarkEnd w:id="22"/>
      <w:r w:rsidRPr="001D392B" w:rsidDel="00BD0B91">
        <w:t xml:space="preserve">If the ‘other’ class of business </w:t>
      </w:r>
      <w:r w:rsidDel="00BD0B91">
        <w:t>includes multiple risks with differing</w:t>
      </w:r>
      <w:r w:rsidRPr="001D392B" w:rsidDel="00BD0B91">
        <w:t xml:space="preserve"> risk profile</w:t>
      </w:r>
      <w:r w:rsidDel="00BD0B91">
        <w:t>s</w:t>
      </w:r>
      <w:r w:rsidRPr="001D392B" w:rsidDel="00BD0B91">
        <w:t xml:space="preserve">, the </w:t>
      </w:r>
      <w:r>
        <w:t>A</w:t>
      </w:r>
      <w:r w:rsidRPr="001D392B" w:rsidDel="00BD0B91">
        <w:t>ctuary</w:t>
      </w:r>
      <w:r w:rsidDel="00BD0B91">
        <w:t xml:space="preserve"> </w:t>
      </w:r>
      <w:r w:rsidRPr="001D392B" w:rsidDel="00BD0B91">
        <w:t xml:space="preserve">may subdivide the net outstanding claims liabilities, net premiums liabilities and </w:t>
      </w:r>
      <w:r w:rsidRPr="008A540B" w:rsidDel="00BD0B91">
        <w:t>material net written premiums</w:t>
      </w:r>
      <w:r w:rsidRPr="001D392B" w:rsidDel="00BD0B91">
        <w:t xml:space="preserve"> into more than one category.</w:t>
      </w:r>
      <w:bookmarkEnd w:id="20"/>
      <w:bookmarkEnd w:id="23"/>
    </w:p>
    <w:p w14:paraId="177A38BA" w14:textId="77777777" w:rsidR="00335A77" w:rsidRDefault="00335A77" w:rsidP="00335A77">
      <w:pPr>
        <w:pStyle w:val="BodyText1"/>
      </w:pPr>
      <w:bookmarkStart w:id="24" w:name="_Ref306870284"/>
      <w:r w:rsidRPr="001D392B">
        <w:lastRenderedPageBreak/>
        <w:t>The reasons for selecting the specific risk categor</w:t>
      </w:r>
      <w:r>
        <w:t xml:space="preserve">y or categories </w:t>
      </w:r>
      <w:r w:rsidRPr="001D392B">
        <w:t xml:space="preserve">to which the ‘other’ class of business is assigned must be documented in the </w:t>
      </w:r>
      <w:r>
        <w:rPr>
          <w:b/>
        </w:rPr>
        <w:t>Actuarial Valuation Report</w:t>
      </w:r>
      <w:r>
        <w:t>.</w:t>
      </w:r>
      <w:bookmarkEnd w:id="24"/>
    </w:p>
    <w:p w14:paraId="46DEED12" w14:textId="77777777" w:rsidR="00335A77" w:rsidRPr="001D392B" w:rsidRDefault="00335A77" w:rsidP="00335A77">
      <w:pPr>
        <w:pStyle w:val="Heading1"/>
      </w:pPr>
      <w:bookmarkStart w:id="25" w:name="_Toc109644683"/>
      <w:r>
        <w:t>Business covering multiple classes</w:t>
      </w:r>
      <w:bookmarkEnd w:id="25"/>
    </w:p>
    <w:p w14:paraId="71399989" w14:textId="77777777" w:rsidR="00335A77" w:rsidRPr="00B637D6" w:rsidRDefault="00335A77" w:rsidP="00335A77">
      <w:pPr>
        <w:pStyle w:val="BodyText1"/>
      </w:pPr>
      <w:bookmarkStart w:id="26" w:name="_Ref306870790"/>
      <w:r w:rsidRPr="001D392B">
        <w:t xml:space="preserve">Where a regulated institution underwrites an inwards reinsurance contract which spans multiple classes, </w:t>
      </w:r>
      <w:r w:rsidRPr="00B637D6">
        <w:t>the contract must be allocated by using an appropriate method (provided the same method is used for all contracts and all subsequent periods)</w:t>
      </w:r>
      <w:r>
        <w:t>. Appropriate methods include:</w:t>
      </w:r>
      <w:bookmarkEnd w:id="26"/>
    </w:p>
    <w:p w14:paraId="49C42058" w14:textId="77777777" w:rsidR="00335A77" w:rsidRDefault="00335A77" w:rsidP="00335A77">
      <w:pPr>
        <w:pStyle w:val="BodyText"/>
        <w:numPr>
          <w:ilvl w:val="3"/>
          <w:numId w:val="25"/>
        </w:numPr>
        <w:spacing w:after="240"/>
        <w:jc w:val="both"/>
      </w:pPr>
      <w:r>
        <w:t xml:space="preserve">allocating the contract on a pro rata basis to each of the relevant categories; or </w:t>
      </w:r>
    </w:p>
    <w:p w14:paraId="0419A850" w14:textId="77777777" w:rsidR="00335A77" w:rsidRPr="00B637D6" w:rsidRDefault="00335A77" w:rsidP="00335A77">
      <w:pPr>
        <w:pStyle w:val="BodyText"/>
        <w:numPr>
          <w:ilvl w:val="3"/>
          <w:numId w:val="25"/>
        </w:numPr>
        <w:spacing w:after="240"/>
        <w:jc w:val="both"/>
      </w:pPr>
      <w:r w:rsidRPr="00B637D6">
        <w:t>allocat</w:t>
      </w:r>
      <w:r>
        <w:t>ing</w:t>
      </w:r>
      <w:r w:rsidRPr="00B637D6">
        <w:t xml:space="preserve"> the contract to the category which represents the greatest exposure; or</w:t>
      </w:r>
    </w:p>
    <w:p w14:paraId="675ABE75" w14:textId="77777777" w:rsidR="00335A77" w:rsidRDefault="00335A77" w:rsidP="00335A77">
      <w:pPr>
        <w:pStyle w:val="BodyText"/>
        <w:numPr>
          <w:ilvl w:val="3"/>
          <w:numId w:val="25"/>
        </w:numPr>
        <w:spacing w:after="240"/>
        <w:jc w:val="both"/>
      </w:pPr>
      <w:r w:rsidRPr="00B637D6">
        <w:t>allocat</w:t>
      </w:r>
      <w:r>
        <w:t>ing</w:t>
      </w:r>
      <w:r w:rsidRPr="00B637D6">
        <w:t xml:space="preserve"> the contract to the category representing the greatest premium income.</w:t>
      </w:r>
    </w:p>
    <w:p w14:paraId="1F496D97" w14:textId="77777777" w:rsidR="00335A77" w:rsidRDefault="00335A77" w:rsidP="005B1AF8">
      <w:pPr>
        <w:pStyle w:val="BodyText"/>
        <w:spacing w:before="240"/>
        <w:ind w:left="567"/>
      </w:pPr>
      <w:r w:rsidRPr="00886232">
        <w:t>The regulated institution may use an alternative method from those listed above for allocating inwards reinsurance business that spans multiple classes. The regulated institution must be able to demonstrate that the chosen method is appropriate and is used for all contracts and all subsequent periods.</w:t>
      </w:r>
      <w:r>
        <w:t xml:space="preserve">  </w:t>
      </w:r>
    </w:p>
    <w:p w14:paraId="5EFE0096" w14:textId="77777777" w:rsidR="00335A77" w:rsidRDefault="00335A77" w:rsidP="005B1AF8">
      <w:pPr>
        <w:pStyle w:val="Heading1"/>
        <w:spacing w:before="240"/>
      </w:pPr>
      <w:bookmarkStart w:id="27" w:name="_Toc109644684"/>
      <w:r>
        <w:t>Material net written premium</w:t>
      </w:r>
      <w:bookmarkEnd w:id="27"/>
    </w:p>
    <w:p w14:paraId="51696650" w14:textId="5794241E" w:rsidR="00335A77" w:rsidRPr="00335A77" w:rsidRDefault="00335A77" w:rsidP="00335A77">
      <w:pPr>
        <w:pStyle w:val="BodyText1"/>
        <w:rPr>
          <w:bCs/>
        </w:rPr>
      </w:pPr>
      <w:bookmarkStart w:id="28" w:name="_Ref324152382"/>
      <w:r w:rsidRPr="0086085B">
        <w:t>With respect to direct business and reinsurance business where policies incept in the following reporting period and where these policies would have a material impact on capital adequacy, net written premium for exposure that has not been included in the calculation of the premiums liabilities is to be subject to the premiums liabilities risk charge.</w:t>
      </w:r>
      <w:r w:rsidRPr="0086085B">
        <w:rPr>
          <w:rStyle w:val="FootnoteReference"/>
          <w:bCs/>
        </w:rPr>
        <w:footnoteReference w:id="2"/>
      </w:r>
      <w:r w:rsidRPr="0086085B">
        <w:t xml:space="preserve"> This premium amount is defined as ‘material net written premium’.</w:t>
      </w:r>
      <w:r w:rsidRPr="00335A77">
        <w:rPr>
          <w:b/>
        </w:rPr>
        <w:t xml:space="preserve"> </w:t>
      </w:r>
      <w:r w:rsidRPr="0086085B">
        <w:t>The materiality of the business that incepts in the next reporting period should be determined in accordance with the Australian accounting and auditing standards subject to APRA’s discretion.</w:t>
      </w:r>
      <w:bookmarkEnd w:id="28"/>
    </w:p>
    <w:p w14:paraId="7B38CA5E" w14:textId="29EB647E" w:rsidR="00335A77" w:rsidRDefault="00335A77" w:rsidP="00335A77">
      <w:pPr>
        <w:pStyle w:val="BodyText1"/>
      </w:pPr>
      <w:r>
        <w:t xml:space="preserve">For inwards proportional reinsurance contracts, the value of material net written premium calculated </w:t>
      </w:r>
      <w:r w:rsidRPr="006C3215">
        <w:t xml:space="preserve">in paragraph </w:t>
      </w:r>
      <w:r w:rsidRPr="006C3215">
        <w:fldChar w:fldCharType="begin"/>
      </w:r>
      <w:r w:rsidRPr="006C3215">
        <w:instrText xml:space="preserve"> REF _Ref324152382 \r \h  \* MERGEFORMAT </w:instrText>
      </w:r>
      <w:r w:rsidRPr="006C3215">
        <w:fldChar w:fldCharType="separate"/>
      </w:r>
      <w:r w:rsidR="009B3271">
        <w:t>17</w:t>
      </w:r>
      <w:r w:rsidRPr="006C3215">
        <w:fldChar w:fldCharType="end"/>
      </w:r>
      <w:r w:rsidRPr="006C3215">
        <w:t xml:space="preserve"> must reflect the</w:t>
      </w:r>
      <w:r>
        <w:t xml:space="preserve"> full premium revenue expected for the full term</w:t>
      </w:r>
      <w:r>
        <w:rPr>
          <w:rStyle w:val="FootnoteReference"/>
          <w:bCs/>
        </w:rPr>
        <w:footnoteReference w:id="3"/>
      </w:r>
      <w:r>
        <w:t xml:space="preserve"> of the reinsurance contract, where revenue has not yet been recognised, subject to the appropriate subsection below:</w:t>
      </w:r>
    </w:p>
    <w:p w14:paraId="5C2A43A6" w14:textId="1CC66B54" w:rsidR="00335A77" w:rsidRDefault="00335A77" w:rsidP="00335A77">
      <w:pPr>
        <w:pStyle w:val="BodyText"/>
        <w:numPr>
          <w:ilvl w:val="0"/>
          <w:numId w:val="27"/>
        </w:numPr>
        <w:spacing w:after="240"/>
        <w:ind w:left="1134" w:hanging="567"/>
        <w:rPr>
          <w:bCs/>
        </w:rPr>
      </w:pPr>
      <w:r>
        <w:rPr>
          <w:bCs/>
        </w:rPr>
        <w:lastRenderedPageBreak/>
        <w:t>where the remaining term of the contract is five years or less, the value of material net written premium should not exceed the net premium revenue forecast for 18 months from the end of the current reporting period; or</w:t>
      </w:r>
    </w:p>
    <w:p w14:paraId="5C722D3E" w14:textId="77777777" w:rsidR="00335A77" w:rsidRPr="00457409" w:rsidRDefault="00335A77" w:rsidP="00335A77">
      <w:pPr>
        <w:pStyle w:val="BodyText"/>
        <w:numPr>
          <w:ilvl w:val="0"/>
          <w:numId w:val="27"/>
        </w:numPr>
        <w:spacing w:after="240"/>
        <w:ind w:left="1134" w:hanging="567"/>
        <w:rPr>
          <w:bCs/>
        </w:rPr>
      </w:pPr>
      <w:r>
        <w:rPr>
          <w:bCs/>
        </w:rPr>
        <w:t>where the remaining term exceeds five years, an insurer may approach APRA to determine alternate treatment.</w:t>
      </w:r>
    </w:p>
    <w:p w14:paraId="233E799E" w14:textId="77777777" w:rsidR="00335A77" w:rsidRDefault="005B1AF8" w:rsidP="00335A77">
      <w:pPr>
        <w:pStyle w:val="Heading1"/>
      </w:pPr>
      <w:bookmarkStart w:id="29" w:name="_Toc109644685"/>
      <w:r>
        <w:t>Securitisation</w:t>
      </w:r>
      <w:bookmarkEnd w:id="29"/>
    </w:p>
    <w:p w14:paraId="2ECC70ED" w14:textId="77777777" w:rsidR="005B1AF8" w:rsidRDefault="005B1AF8" w:rsidP="005B1AF8">
      <w:pPr>
        <w:pStyle w:val="BodyText1"/>
      </w:pPr>
      <w:r>
        <w:t xml:space="preserve">If </w:t>
      </w:r>
      <w:r w:rsidRPr="00492B15">
        <w:t xml:space="preserve">a regulated institution securitises insurance liabilities, the net insurance liabilities may reduce. </w:t>
      </w:r>
      <w:r w:rsidRPr="00886232">
        <w:t xml:space="preserve">The regulated institution must apply to APRA for approval to include </w:t>
      </w:r>
      <w:r>
        <w:t>the</w:t>
      </w:r>
      <w:r w:rsidRPr="00886232">
        <w:t xml:space="preserve"> securitisation transaction in the Insurance Risk Charge.</w:t>
      </w:r>
    </w:p>
    <w:p w14:paraId="7414F55B" w14:textId="77777777" w:rsidR="005B1AF8" w:rsidDel="004605F2" w:rsidRDefault="005B1AF8" w:rsidP="005B1AF8">
      <w:pPr>
        <w:pStyle w:val="Heading1"/>
      </w:pPr>
      <w:bookmarkStart w:id="30" w:name="_Toc109644686"/>
      <w:r w:rsidRPr="006F54F3" w:rsidDel="004605F2">
        <w:t>Adjustments</w:t>
      </w:r>
      <w:r w:rsidDel="004605F2">
        <w:t xml:space="preserve"> and exclusions</w:t>
      </w:r>
      <w:bookmarkEnd w:id="30"/>
    </w:p>
    <w:p w14:paraId="6315AC47" w14:textId="77777777" w:rsidR="005B1AF8" w:rsidDel="004605F2" w:rsidRDefault="005B1AF8" w:rsidP="005B1AF8">
      <w:pPr>
        <w:pStyle w:val="BodyText1"/>
      </w:pPr>
      <w:r w:rsidDel="004605F2">
        <w:t>APRA may, by notice in writing to a regulated institution, adjust or exclude a specific requirement in this Prudential Standard in relation to that regulated institution.</w:t>
      </w:r>
    </w:p>
    <w:p w14:paraId="517F0253" w14:textId="263C7BB0" w:rsidR="005B1AF8" w:rsidDel="004605F2" w:rsidRDefault="0023364B" w:rsidP="005B1AF8">
      <w:pPr>
        <w:pStyle w:val="Heading1"/>
      </w:pPr>
      <w:bookmarkStart w:id="31" w:name="_Toc109644687"/>
      <w:r>
        <w:t>Previous exercise of discretion</w:t>
      </w:r>
      <w:bookmarkEnd w:id="31"/>
    </w:p>
    <w:p w14:paraId="764B9CA8" w14:textId="57356C97" w:rsidR="00D9170B" w:rsidRDefault="00D9170B" w:rsidP="00D9170B">
      <w:pPr>
        <w:pStyle w:val="BodyText1"/>
      </w:pPr>
      <w:r w:rsidRPr="00D9170B">
        <w:t xml:space="preserve"> </w:t>
      </w:r>
      <w:r>
        <w:t>A regulated institution must contact APRA if it seeks to place reliance, for the purposes of complying with this Prudential Standard, on a previous exemption or other exercise of discretion made by APRA under a previous version of this Prudential Standard.</w:t>
      </w:r>
    </w:p>
    <w:p w14:paraId="72992262" w14:textId="025A6890" w:rsidR="005B1AF8" w:rsidRPr="005B1AF8" w:rsidRDefault="005B1AF8" w:rsidP="007003A4">
      <w:pPr>
        <w:pStyle w:val="BodyText1"/>
        <w:sectPr w:rsidR="005B1AF8" w:rsidRPr="005B1AF8" w:rsidSect="000D63A8">
          <w:pgSz w:w="11906" w:h="16838" w:code="9"/>
          <w:pgMar w:top="1440" w:right="1797" w:bottom="1440" w:left="1797" w:header="709" w:footer="709" w:gutter="0"/>
          <w:cols w:space="708"/>
          <w:docGrid w:linePitch="360"/>
        </w:sectPr>
      </w:pPr>
    </w:p>
    <w:p w14:paraId="77C90348" w14:textId="67AA8DA4" w:rsidR="0038413F" w:rsidRDefault="00E16DD9" w:rsidP="001F6B8D">
      <w:pPr>
        <w:pStyle w:val="Heading2"/>
        <w:tabs>
          <w:tab w:val="left" w:pos="2910"/>
        </w:tabs>
      </w:pPr>
      <w:bookmarkStart w:id="32" w:name="_Toc109644688"/>
      <w:bookmarkStart w:id="33" w:name="_Ref113691540"/>
      <w:r w:rsidRPr="001F6B8D">
        <w:lastRenderedPageBreak/>
        <w:t xml:space="preserve">Attachment </w:t>
      </w:r>
      <w:r w:rsidR="00B766FA" w:rsidRPr="00EA75E7">
        <w:rPr>
          <w:rStyle w:val="Attachmentfieldtext"/>
        </w:rPr>
        <w:fldChar w:fldCharType="begin"/>
      </w:r>
      <w:r w:rsidR="00B766FA" w:rsidRPr="009B3271">
        <w:rPr>
          <w:rStyle w:val="Attachmentfieldtext"/>
        </w:rPr>
        <w:instrText xml:space="preserve"> SEQ Attach \* ALPHABETIC \* MERGEFORMAT </w:instrText>
      </w:r>
      <w:r w:rsidR="00B766FA" w:rsidRPr="00EA75E7">
        <w:rPr>
          <w:rStyle w:val="Attachmentfieldtext"/>
        </w:rPr>
        <w:fldChar w:fldCharType="separate"/>
      </w:r>
      <w:r w:rsidR="009B3271">
        <w:rPr>
          <w:rStyle w:val="Attachmentfieldtext"/>
          <w:noProof/>
        </w:rPr>
        <w:t>A</w:t>
      </w:r>
      <w:bookmarkEnd w:id="32"/>
      <w:r w:rsidR="00B766FA" w:rsidRPr="00EA75E7">
        <w:rPr>
          <w:rStyle w:val="Attachmentfieldtext"/>
        </w:rPr>
        <w:fldChar w:fldCharType="end"/>
      </w:r>
      <w:bookmarkEnd w:id="33"/>
      <w:r w:rsidR="001F6B8D" w:rsidRPr="001F6B8D">
        <w:t xml:space="preserve"> </w:t>
      </w:r>
    </w:p>
    <w:p w14:paraId="758FE0C2" w14:textId="77777777" w:rsidR="005B1AF8" w:rsidRPr="00045661" w:rsidRDefault="005B1AF8" w:rsidP="005B1AF8">
      <w:pPr>
        <w:pStyle w:val="BodyText"/>
        <w:widowControl w:val="0"/>
        <w:tabs>
          <w:tab w:val="left" w:pos="8789"/>
        </w:tabs>
        <w:spacing w:before="120"/>
        <w:ind w:left="454" w:hanging="454"/>
        <w:rPr>
          <w:rFonts w:ascii="Arial" w:hAnsi="Arial" w:cs="Arial"/>
          <w:b/>
        </w:rPr>
      </w:pPr>
      <w:r w:rsidRPr="00045661">
        <w:rPr>
          <w:rFonts w:ascii="Arial" w:hAnsi="Arial" w:cs="Arial"/>
          <w:b/>
        </w:rPr>
        <w:t xml:space="preserve">Table 1:  Direct insurance business </w:t>
      </w:r>
    </w:p>
    <w:tbl>
      <w:tblPr>
        <w:tblW w:w="7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2948"/>
        <w:gridCol w:w="1815"/>
        <w:gridCol w:w="1815"/>
      </w:tblGrid>
      <w:tr w:rsidR="005B1AF8" w:rsidRPr="00B637D6" w14:paraId="288D1385" w14:textId="77777777" w:rsidTr="004C1AD9">
        <w:trPr>
          <w:trHeight w:val="1098"/>
        </w:trPr>
        <w:tc>
          <w:tcPr>
            <w:tcW w:w="1191" w:type="dxa"/>
          </w:tcPr>
          <w:p w14:paraId="2BAE5934" w14:textId="77777777" w:rsidR="005B1AF8" w:rsidRPr="009E7B8C" w:rsidRDefault="005B1AF8" w:rsidP="009E7B8C">
            <w:pPr>
              <w:rPr>
                <w:b/>
              </w:rPr>
            </w:pPr>
            <w:r w:rsidRPr="009E7B8C">
              <w:rPr>
                <w:b/>
              </w:rPr>
              <w:t>Category</w:t>
            </w:r>
          </w:p>
        </w:tc>
        <w:tc>
          <w:tcPr>
            <w:tcW w:w="2948" w:type="dxa"/>
          </w:tcPr>
          <w:p w14:paraId="5AA0FAED" w14:textId="77777777" w:rsidR="005B1AF8" w:rsidRPr="0089430F" w:rsidRDefault="005B1AF8" w:rsidP="009E7B8C">
            <w:pPr>
              <w:jc w:val="center"/>
            </w:pPr>
            <w:r w:rsidRPr="009E7B8C">
              <w:rPr>
                <w:b/>
              </w:rPr>
              <w:t>Class of business</w:t>
            </w:r>
          </w:p>
        </w:tc>
        <w:tc>
          <w:tcPr>
            <w:tcW w:w="1815" w:type="dxa"/>
          </w:tcPr>
          <w:p w14:paraId="6CC74A89" w14:textId="77777777" w:rsidR="005B1AF8" w:rsidRDefault="005B1AF8" w:rsidP="004C1AD9">
            <w:pPr>
              <w:widowControl w:val="0"/>
              <w:tabs>
                <w:tab w:val="left" w:pos="8789"/>
              </w:tabs>
              <w:jc w:val="center"/>
              <w:rPr>
                <w:b/>
              </w:rPr>
            </w:pPr>
            <w:r w:rsidRPr="00B637D6">
              <w:rPr>
                <w:b/>
              </w:rPr>
              <w:t>Outstanding</w:t>
            </w:r>
            <w:r w:rsidRPr="00B637D6">
              <w:rPr>
                <w:b/>
              </w:rPr>
              <w:br/>
              <w:t>Claims Risk</w:t>
            </w:r>
            <w:r w:rsidRPr="00B637D6">
              <w:rPr>
                <w:b/>
              </w:rPr>
              <w:br/>
              <w:t>Capital Factor</w:t>
            </w:r>
          </w:p>
          <w:p w14:paraId="34834DF3" w14:textId="77777777" w:rsidR="005B1AF8" w:rsidRPr="00B637D6" w:rsidRDefault="005B1AF8" w:rsidP="004C1AD9">
            <w:pPr>
              <w:widowControl w:val="0"/>
              <w:tabs>
                <w:tab w:val="left" w:pos="8789"/>
              </w:tabs>
              <w:jc w:val="center"/>
              <w:rPr>
                <w:b/>
              </w:rPr>
            </w:pPr>
            <w:r>
              <w:rPr>
                <w:b/>
              </w:rPr>
              <w:t>(%)</w:t>
            </w:r>
          </w:p>
        </w:tc>
        <w:tc>
          <w:tcPr>
            <w:tcW w:w="1815" w:type="dxa"/>
          </w:tcPr>
          <w:p w14:paraId="2C523793" w14:textId="77777777" w:rsidR="005B1AF8" w:rsidRDefault="005B1AF8" w:rsidP="004C1AD9">
            <w:pPr>
              <w:widowControl w:val="0"/>
              <w:tabs>
                <w:tab w:val="left" w:pos="8789"/>
              </w:tabs>
              <w:jc w:val="center"/>
              <w:rPr>
                <w:b/>
              </w:rPr>
            </w:pPr>
            <w:r w:rsidRPr="00B637D6">
              <w:rPr>
                <w:b/>
              </w:rPr>
              <w:t>Premiums Liability Risk Capital Factor</w:t>
            </w:r>
          </w:p>
          <w:p w14:paraId="692AC323" w14:textId="77777777" w:rsidR="005B1AF8" w:rsidRPr="00B637D6" w:rsidRDefault="005B1AF8" w:rsidP="004C1AD9">
            <w:pPr>
              <w:widowControl w:val="0"/>
              <w:tabs>
                <w:tab w:val="left" w:pos="8789"/>
              </w:tabs>
              <w:jc w:val="center"/>
              <w:rPr>
                <w:b/>
              </w:rPr>
            </w:pPr>
            <w:r>
              <w:rPr>
                <w:b/>
              </w:rPr>
              <w:t>(%)</w:t>
            </w:r>
          </w:p>
        </w:tc>
      </w:tr>
      <w:tr w:rsidR="005B1AF8" w:rsidRPr="00B637D6" w14:paraId="015A1BB1" w14:textId="77777777" w:rsidTr="004C1AD9">
        <w:trPr>
          <w:trHeight w:val="816"/>
        </w:trPr>
        <w:tc>
          <w:tcPr>
            <w:tcW w:w="1191" w:type="dxa"/>
          </w:tcPr>
          <w:p w14:paraId="4732AE2E" w14:textId="77777777" w:rsidR="005B1AF8" w:rsidRPr="005B1AF8" w:rsidRDefault="005B1AF8" w:rsidP="004C1AD9">
            <w:pPr>
              <w:pStyle w:val="Heading9"/>
              <w:widowControl w:val="0"/>
              <w:spacing w:before="0" w:after="0"/>
              <w:jc w:val="center"/>
              <w:rPr>
                <w:rFonts w:asciiTheme="minorHAnsi" w:hAnsiTheme="minorHAnsi" w:cstheme="minorHAnsi"/>
              </w:rPr>
            </w:pPr>
            <w:r w:rsidRPr="005B1AF8">
              <w:rPr>
                <w:rFonts w:asciiTheme="minorHAnsi" w:hAnsiTheme="minorHAnsi" w:cstheme="minorHAnsi"/>
              </w:rPr>
              <w:t>A</w:t>
            </w:r>
          </w:p>
        </w:tc>
        <w:tc>
          <w:tcPr>
            <w:tcW w:w="2948" w:type="dxa"/>
          </w:tcPr>
          <w:p w14:paraId="7E5104E1" w14:textId="77777777" w:rsidR="005B1AF8" w:rsidRPr="005B1AF8" w:rsidRDefault="005B1AF8" w:rsidP="005B1AF8">
            <w:pPr>
              <w:pStyle w:val="Heading9"/>
              <w:widowControl w:val="0"/>
              <w:spacing w:before="0"/>
              <w:rPr>
                <w:rFonts w:asciiTheme="minorHAnsi" w:hAnsiTheme="minorHAnsi" w:cstheme="minorHAnsi"/>
              </w:rPr>
            </w:pPr>
            <w:r w:rsidRPr="005B1AF8">
              <w:rPr>
                <w:rFonts w:asciiTheme="minorHAnsi" w:hAnsiTheme="minorHAnsi" w:cstheme="minorHAnsi"/>
              </w:rPr>
              <w:t>Householders</w:t>
            </w:r>
          </w:p>
          <w:p w14:paraId="05353AB5" w14:textId="77777777" w:rsidR="005B1AF8" w:rsidRDefault="005B1AF8" w:rsidP="005B1AF8">
            <w:pPr>
              <w:widowControl w:val="0"/>
              <w:tabs>
                <w:tab w:val="left" w:pos="8789"/>
              </w:tabs>
              <w:spacing w:after="60"/>
              <w:rPr>
                <w:rFonts w:asciiTheme="minorHAnsi" w:hAnsiTheme="minorHAnsi" w:cstheme="minorHAnsi"/>
                <w:sz w:val="22"/>
                <w:szCs w:val="22"/>
              </w:rPr>
            </w:pPr>
            <w:r w:rsidRPr="005B1AF8">
              <w:rPr>
                <w:rFonts w:asciiTheme="minorHAnsi" w:hAnsiTheme="minorHAnsi" w:cstheme="minorHAnsi"/>
                <w:sz w:val="22"/>
                <w:szCs w:val="22"/>
              </w:rPr>
              <w:t xml:space="preserve">Commercial Motor </w:t>
            </w:r>
          </w:p>
          <w:p w14:paraId="6619D4BE" w14:textId="77777777" w:rsidR="005B1AF8" w:rsidRPr="005B1AF8" w:rsidRDefault="005B1AF8" w:rsidP="005B1AF8">
            <w:pPr>
              <w:widowControl w:val="0"/>
              <w:tabs>
                <w:tab w:val="left" w:pos="8789"/>
              </w:tabs>
              <w:spacing w:after="60"/>
              <w:rPr>
                <w:rFonts w:asciiTheme="minorHAnsi" w:hAnsiTheme="minorHAnsi" w:cstheme="minorHAnsi"/>
                <w:sz w:val="22"/>
                <w:szCs w:val="22"/>
              </w:rPr>
            </w:pPr>
            <w:r w:rsidRPr="005B1AF8">
              <w:rPr>
                <w:rFonts w:asciiTheme="minorHAnsi" w:hAnsiTheme="minorHAnsi" w:cstheme="minorHAnsi"/>
                <w:sz w:val="22"/>
                <w:szCs w:val="22"/>
              </w:rPr>
              <w:t>Domestic Motor</w:t>
            </w:r>
          </w:p>
        </w:tc>
        <w:tc>
          <w:tcPr>
            <w:tcW w:w="1815" w:type="dxa"/>
          </w:tcPr>
          <w:p w14:paraId="08037690" w14:textId="77777777" w:rsidR="005B1AF8" w:rsidRPr="00B637D6" w:rsidRDefault="005B1AF8" w:rsidP="004C1AD9">
            <w:pPr>
              <w:widowControl w:val="0"/>
              <w:tabs>
                <w:tab w:val="left" w:pos="8789"/>
              </w:tabs>
              <w:jc w:val="center"/>
            </w:pPr>
            <w:r w:rsidRPr="00B637D6">
              <w:t>9</w:t>
            </w:r>
            <w:r>
              <w:t>.0</w:t>
            </w:r>
          </w:p>
          <w:p w14:paraId="07E81742" w14:textId="77777777" w:rsidR="005B1AF8" w:rsidRPr="00B637D6" w:rsidRDefault="005B1AF8" w:rsidP="004C1AD9">
            <w:pPr>
              <w:widowControl w:val="0"/>
              <w:tabs>
                <w:tab w:val="left" w:pos="8789"/>
              </w:tabs>
              <w:jc w:val="center"/>
            </w:pPr>
          </w:p>
        </w:tc>
        <w:tc>
          <w:tcPr>
            <w:tcW w:w="1815" w:type="dxa"/>
          </w:tcPr>
          <w:p w14:paraId="6DD0E124" w14:textId="77777777" w:rsidR="005B1AF8" w:rsidRPr="00B637D6" w:rsidRDefault="005B1AF8" w:rsidP="004C1AD9">
            <w:pPr>
              <w:widowControl w:val="0"/>
              <w:tabs>
                <w:tab w:val="left" w:pos="8789"/>
              </w:tabs>
              <w:jc w:val="center"/>
            </w:pPr>
            <w:r w:rsidRPr="00B637D6">
              <w:t>13.5</w:t>
            </w:r>
          </w:p>
        </w:tc>
      </w:tr>
      <w:tr w:rsidR="005B1AF8" w:rsidRPr="00B637D6" w14:paraId="61DE0594" w14:textId="77777777" w:rsidTr="004C1AD9">
        <w:trPr>
          <w:trHeight w:val="1397"/>
        </w:trPr>
        <w:tc>
          <w:tcPr>
            <w:tcW w:w="1191" w:type="dxa"/>
          </w:tcPr>
          <w:p w14:paraId="78E50148" w14:textId="77777777" w:rsidR="005B1AF8" w:rsidRPr="005B1AF8" w:rsidRDefault="005B1AF8" w:rsidP="004C1AD9">
            <w:pPr>
              <w:pStyle w:val="Heading6"/>
              <w:widowControl w:val="0"/>
              <w:tabs>
                <w:tab w:val="left" w:pos="8789"/>
              </w:tabs>
              <w:spacing w:before="0" w:after="0"/>
              <w:jc w:val="center"/>
              <w:rPr>
                <w:rFonts w:asciiTheme="minorHAnsi" w:hAnsiTheme="minorHAnsi" w:cstheme="minorHAnsi"/>
                <w:color w:val="auto"/>
                <w:sz w:val="22"/>
                <w:szCs w:val="22"/>
              </w:rPr>
            </w:pPr>
            <w:r w:rsidRPr="005B1AF8">
              <w:rPr>
                <w:rFonts w:asciiTheme="minorHAnsi" w:hAnsiTheme="minorHAnsi" w:cstheme="minorHAnsi"/>
                <w:color w:val="auto"/>
                <w:sz w:val="22"/>
                <w:szCs w:val="22"/>
              </w:rPr>
              <w:t>B</w:t>
            </w:r>
          </w:p>
        </w:tc>
        <w:tc>
          <w:tcPr>
            <w:tcW w:w="2948" w:type="dxa"/>
          </w:tcPr>
          <w:p w14:paraId="046F18E7" w14:textId="77777777" w:rsidR="005B1AF8" w:rsidRPr="005B1AF8" w:rsidRDefault="005B1AF8" w:rsidP="004C1AD9">
            <w:pPr>
              <w:pStyle w:val="Heading6"/>
              <w:widowControl w:val="0"/>
              <w:tabs>
                <w:tab w:val="left" w:pos="8789"/>
              </w:tabs>
              <w:spacing w:before="0" w:after="0"/>
              <w:rPr>
                <w:rFonts w:asciiTheme="minorHAnsi" w:hAnsiTheme="minorHAnsi" w:cstheme="minorHAnsi"/>
                <w:color w:val="auto"/>
                <w:sz w:val="22"/>
                <w:szCs w:val="22"/>
              </w:rPr>
            </w:pPr>
            <w:r w:rsidRPr="005B1AF8">
              <w:rPr>
                <w:rFonts w:asciiTheme="minorHAnsi" w:hAnsiTheme="minorHAnsi" w:cstheme="minorHAnsi"/>
                <w:color w:val="auto"/>
                <w:sz w:val="22"/>
                <w:szCs w:val="22"/>
              </w:rPr>
              <w:t xml:space="preserve">Travel </w:t>
            </w:r>
          </w:p>
          <w:p w14:paraId="351B0A98" w14:textId="77777777" w:rsidR="005B1AF8" w:rsidRPr="005B1AF8" w:rsidRDefault="005B1AF8" w:rsidP="004C1AD9">
            <w:pPr>
              <w:pStyle w:val="Heading6"/>
              <w:widowControl w:val="0"/>
              <w:tabs>
                <w:tab w:val="left" w:pos="8789"/>
              </w:tabs>
              <w:spacing w:before="0" w:after="0"/>
              <w:rPr>
                <w:rFonts w:asciiTheme="minorHAnsi" w:hAnsiTheme="minorHAnsi" w:cstheme="minorHAnsi"/>
                <w:color w:val="auto"/>
                <w:sz w:val="22"/>
                <w:szCs w:val="22"/>
                <w:lang w:val="en-US"/>
              </w:rPr>
            </w:pPr>
            <w:r w:rsidRPr="005B1AF8">
              <w:rPr>
                <w:rFonts w:asciiTheme="minorHAnsi" w:hAnsiTheme="minorHAnsi" w:cstheme="minorHAnsi"/>
                <w:color w:val="auto"/>
                <w:sz w:val="22"/>
                <w:szCs w:val="22"/>
                <w:lang w:val="en-US"/>
              </w:rPr>
              <w:t>Fire and ISR</w:t>
            </w:r>
          </w:p>
          <w:p w14:paraId="6972374B" w14:textId="77777777" w:rsidR="005B1AF8" w:rsidRDefault="005B1AF8" w:rsidP="005B1AF8">
            <w:pPr>
              <w:widowControl w:val="0"/>
              <w:tabs>
                <w:tab w:val="left" w:pos="8789"/>
              </w:tabs>
              <w:spacing w:after="0"/>
              <w:rPr>
                <w:rFonts w:asciiTheme="minorHAnsi" w:hAnsiTheme="minorHAnsi" w:cstheme="minorHAnsi"/>
                <w:sz w:val="22"/>
                <w:szCs w:val="22"/>
              </w:rPr>
            </w:pPr>
            <w:r w:rsidRPr="005B1AF8">
              <w:rPr>
                <w:rFonts w:asciiTheme="minorHAnsi" w:hAnsiTheme="minorHAnsi" w:cstheme="minorHAnsi"/>
                <w:sz w:val="22"/>
                <w:szCs w:val="22"/>
              </w:rPr>
              <w:t>Marine and Aviation</w:t>
            </w:r>
          </w:p>
          <w:p w14:paraId="5DC01C6C" w14:textId="77777777" w:rsidR="005B1AF8" w:rsidRPr="005B1AF8" w:rsidRDefault="005B1AF8" w:rsidP="005B1AF8">
            <w:pPr>
              <w:widowControl w:val="0"/>
              <w:tabs>
                <w:tab w:val="left" w:pos="8789"/>
              </w:tabs>
              <w:spacing w:after="0"/>
              <w:rPr>
                <w:rFonts w:asciiTheme="minorHAnsi" w:hAnsiTheme="minorHAnsi" w:cstheme="minorHAnsi"/>
                <w:sz w:val="22"/>
                <w:szCs w:val="22"/>
              </w:rPr>
            </w:pPr>
            <w:r w:rsidRPr="005B1AF8">
              <w:rPr>
                <w:rFonts w:asciiTheme="minorHAnsi" w:hAnsiTheme="minorHAnsi" w:cstheme="minorHAnsi"/>
                <w:sz w:val="22"/>
                <w:szCs w:val="22"/>
              </w:rPr>
              <w:t>Consumer Credit</w:t>
            </w:r>
          </w:p>
          <w:p w14:paraId="2E0F55D2" w14:textId="77777777" w:rsidR="005B1AF8" w:rsidRPr="005B1AF8" w:rsidRDefault="005B1AF8" w:rsidP="005B1AF8">
            <w:pPr>
              <w:pStyle w:val="Heading6"/>
              <w:widowControl w:val="0"/>
              <w:tabs>
                <w:tab w:val="left" w:pos="8789"/>
              </w:tabs>
              <w:spacing w:before="0" w:after="0"/>
              <w:rPr>
                <w:rFonts w:asciiTheme="minorHAnsi" w:hAnsiTheme="minorHAnsi" w:cstheme="minorHAnsi"/>
                <w:color w:val="auto"/>
                <w:sz w:val="22"/>
                <w:szCs w:val="22"/>
                <w:lang w:val="en-US"/>
              </w:rPr>
            </w:pPr>
            <w:r w:rsidRPr="005B1AF8">
              <w:rPr>
                <w:rFonts w:asciiTheme="minorHAnsi" w:hAnsiTheme="minorHAnsi" w:cstheme="minorHAnsi"/>
                <w:color w:val="auto"/>
                <w:sz w:val="22"/>
                <w:szCs w:val="22"/>
                <w:lang w:val="en-US"/>
              </w:rPr>
              <w:t>Other Accident</w:t>
            </w:r>
          </w:p>
        </w:tc>
        <w:tc>
          <w:tcPr>
            <w:tcW w:w="1815" w:type="dxa"/>
          </w:tcPr>
          <w:p w14:paraId="1D5C1310" w14:textId="77777777" w:rsidR="005B1AF8" w:rsidRPr="00B637D6" w:rsidRDefault="005B1AF8" w:rsidP="004C1AD9">
            <w:pPr>
              <w:widowControl w:val="0"/>
              <w:tabs>
                <w:tab w:val="left" w:pos="8789"/>
              </w:tabs>
              <w:jc w:val="center"/>
            </w:pPr>
            <w:r w:rsidRPr="00B637D6">
              <w:t>11</w:t>
            </w:r>
            <w:r>
              <w:t>.0</w:t>
            </w:r>
          </w:p>
        </w:tc>
        <w:tc>
          <w:tcPr>
            <w:tcW w:w="1815" w:type="dxa"/>
          </w:tcPr>
          <w:p w14:paraId="70540202" w14:textId="77777777" w:rsidR="005B1AF8" w:rsidRPr="00B637D6" w:rsidRDefault="005B1AF8" w:rsidP="004C1AD9">
            <w:pPr>
              <w:widowControl w:val="0"/>
              <w:tabs>
                <w:tab w:val="left" w:pos="8789"/>
              </w:tabs>
              <w:jc w:val="center"/>
            </w:pPr>
            <w:r w:rsidRPr="00B637D6">
              <w:t>16.5</w:t>
            </w:r>
          </w:p>
        </w:tc>
      </w:tr>
      <w:tr w:rsidR="005B1AF8" w:rsidRPr="00B637D6" w14:paraId="4232BB7A" w14:textId="77777777" w:rsidTr="004C1AD9">
        <w:trPr>
          <w:trHeight w:val="1401"/>
        </w:trPr>
        <w:tc>
          <w:tcPr>
            <w:tcW w:w="1191" w:type="dxa"/>
          </w:tcPr>
          <w:p w14:paraId="1D88EC8A" w14:textId="77777777" w:rsidR="005B1AF8" w:rsidRPr="005B1AF8" w:rsidRDefault="005B1AF8" w:rsidP="004C1AD9">
            <w:pPr>
              <w:pStyle w:val="Heading6"/>
              <w:widowControl w:val="0"/>
              <w:tabs>
                <w:tab w:val="left" w:pos="8789"/>
              </w:tabs>
              <w:spacing w:before="0" w:after="0"/>
              <w:jc w:val="center"/>
              <w:rPr>
                <w:rFonts w:asciiTheme="minorHAnsi" w:hAnsiTheme="minorHAnsi" w:cstheme="minorHAnsi"/>
                <w:color w:val="auto"/>
                <w:sz w:val="22"/>
                <w:szCs w:val="22"/>
              </w:rPr>
            </w:pPr>
            <w:r w:rsidRPr="005B1AF8">
              <w:rPr>
                <w:rFonts w:asciiTheme="minorHAnsi" w:hAnsiTheme="minorHAnsi" w:cstheme="minorHAnsi"/>
                <w:color w:val="auto"/>
                <w:sz w:val="22"/>
                <w:szCs w:val="22"/>
              </w:rPr>
              <w:t>C</w:t>
            </w:r>
          </w:p>
        </w:tc>
        <w:tc>
          <w:tcPr>
            <w:tcW w:w="2948" w:type="dxa"/>
          </w:tcPr>
          <w:p w14:paraId="28E72195" w14:textId="77777777" w:rsidR="005B1AF8" w:rsidRPr="005B1AF8" w:rsidRDefault="005B1AF8" w:rsidP="004C1AD9">
            <w:pPr>
              <w:pStyle w:val="Heading6"/>
              <w:widowControl w:val="0"/>
              <w:tabs>
                <w:tab w:val="left" w:pos="8789"/>
              </w:tabs>
              <w:spacing w:before="0" w:after="0"/>
              <w:rPr>
                <w:rFonts w:asciiTheme="minorHAnsi" w:hAnsiTheme="minorHAnsi" w:cstheme="minorHAnsi"/>
                <w:color w:val="auto"/>
                <w:sz w:val="22"/>
                <w:szCs w:val="22"/>
              </w:rPr>
            </w:pPr>
            <w:r w:rsidRPr="005B1AF8">
              <w:rPr>
                <w:rFonts w:asciiTheme="minorHAnsi" w:hAnsiTheme="minorHAnsi" w:cstheme="minorHAnsi"/>
                <w:color w:val="auto"/>
                <w:sz w:val="22"/>
                <w:szCs w:val="22"/>
              </w:rPr>
              <w:t>Mortgage</w:t>
            </w:r>
          </w:p>
          <w:p w14:paraId="4600147D" w14:textId="77777777" w:rsidR="005B1AF8" w:rsidRPr="005B1AF8" w:rsidRDefault="005B1AF8" w:rsidP="004C1AD9">
            <w:pPr>
              <w:pStyle w:val="Heading6"/>
              <w:widowControl w:val="0"/>
              <w:tabs>
                <w:tab w:val="left" w:pos="8789"/>
              </w:tabs>
              <w:spacing w:before="0" w:after="0"/>
              <w:rPr>
                <w:rFonts w:asciiTheme="minorHAnsi" w:hAnsiTheme="minorHAnsi" w:cstheme="minorHAnsi"/>
                <w:color w:val="auto"/>
                <w:sz w:val="22"/>
                <w:szCs w:val="22"/>
                <w:lang w:val="en-US"/>
              </w:rPr>
            </w:pPr>
            <w:r w:rsidRPr="005B1AF8">
              <w:rPr>
                <w:rFonts w:asciiTheme="minorHAnsi" w:hAnsiTheme="minorHAnsi" w:cstheme="minorHAnsi"/>
                <w:color w:val="auto"/>
                <w:sz w:val="22"/>
                <w:szCs w:val="22"/>
                <w:lang w:val="en-US"/>
              </w:rPr>
              <w:t xml:space="preserve">CTP </w:t>
            </w:r>
          </w:p>
          <w:p w14:paraId="0C1EE491" w14:textId="77777777" w:rsidR="005B1AF8" w:rsidRPr="005B1AF8" w:rsidRDefault="005B1AF8" w:rsidP="005B1AF8">
            <w:pPr>
              <w:widowControl w:val="0"/>
              <w:spacing w:after="0"/>
              <w:rPr>
                <w:rFonts w:asciiTheme="minorHAnsi" w:hAnsiTheme="minorHAnsi" w:cstheme="minorHAnsi"/>
                <w:sz w:val="22"/>
                <w:szCs w:val="22"/>
              </w:rPr>
            </w:pPr>
            <w:r w:rsidRPr="005B1AF8">
              <w:rPr>
                <w:rFonts w:asciiTheme="minorHAnsi" w:hAnsiTheme="minorHAnsi" w:cstheme="minorHAnsi"/>
                <w:sz w:val="22"/>
                <w:szCs w:val="22"/>
              </w:rPr>
              <w:t>Public and Product Liability</w:t>
            </w:r>
          </w:p>
          <w:p w14:paraId="18334A65" w14:textId="77777777" w:rsidR="005B1AF8" w:rsidRPr="005B1AF8" w:rsidRDefault="005B1AF8" w:rsidP="005B1AF8">
            <w:pPr>
              <w:widowControl w:val="0"/>
              <w:tabs>
                <w:tab w:val="left" w:pos="8789"/>
              </w:tabs>
              <w:spacing w:after="0"/>
              <w:rPr>
                <w:rFonts w:asciiTheme="minorHAnsi" w:hAnsiTheme="minorHAnsi" w:cstheme="minorHAnsi"/>
                <w:sz w:val="22"/>
                <w:szCs w:val="22"/>
              </w:rPr>
            </w:pPr>
            <w:r w:rsidRPr="005B1AF8">
              <w:rPr>
                <w:rFonts w:asciiTheme="minorHAnsi" w:hAnsiTheme="minorHAnsi" w:cstheme="minorHAnsi"/>
                <w:sz w:val="22"/>
                <w:szCs w:val="22"/>
              </w:rPr>
              <w:t>Professional Indemnity</w:t>
            </w:r>
          </w:p>
          <w:p w14:paraId="02B9D59E" w14:textId="77777777" w:rsidR="005B1AF8" w:rsidRPr="005B1AF8" w:rsidRDefault="005B1AF8" w:rsidP="005B1AF8">
            <w:pPr>
              <w:widowControl w:val="0"/>
              <w:tabs>
                <w:tab w:val="left" w:pos="8789"/>
              </w:tabs>
              <w:spacing w:after="0"/>
              <w:rPr>
                <w:rFonts w:asciiTheme="minorHAnsi" w:hAnsiTheme="minorHAnsi" w:cstheme="minorHAnsi"/>
                <w:sz w:val="22"/>
                <w:szCs w:val="22"/>
              </w:rPr>
            </w:pPr>
            <w:r w:rsidRPr="005B1AF8">
              <w:rPr>
                <w:rFonts w:asciiTheme="minorHAnsi" w:hAnsiTheme="minorHAnsi" w:cstheme="minorHAnsi"/>
                <w:sz w:val="22"/>
                <w:szCs w:val="22"/>
              </w:rPr>
              <w:t>Directors and Officers</w:t>
            </w:r>
          </w:p>
          <w:p w14:paraId="2E44C878" w14:textId="77777777" w:rsidR="005B1AF8" w:rsidRPr="005B1AF8" w:rsidRDefault="005B1AF8" w:rsidP="005B1AF8">
            <w:pPr>
              <w:widowControl w:val="0"/>
              <w:tabs>
                <w:tab w:val="left" w:pos="8789"/>
              </w:tabs>
              <w:spacing w:after="0"/>
              <w:rPr>
                <w:rFonts w:asciiTheme="minorHAnsi" w:hAnsiTheme="minorHAnsi" w:cstheme="minorHAnsi"/>
                <w:sz w:val="22"/>
                <w:szCs w:val="22"/>
              </w:rPr>
            </w:pPr>
            <w:r w:rsidRPr="005B1AF8">
              <w:rPr>
                <w:rFonts w:asciiTheme="minorHAnsi" w:hAnsiTheme="minorHAnsi" w:cstheme="minorHAnsi"/>
                <w:sz w:val="22"/>
                <w:szCs w:val="22"/>
              </w:rPr>
              <w:t>Employers Liability</w:t>
            </w:r>
          </w:p>
          <w:p w14:paraId="1FCB74AC" w14:textId="77777777" w:rsidR="005B1AF8" w:rsidRPr="005B1AF8" w:rsidRDefault="005B1AF8" w:rsidP="005B1AF8">
            <w:pPr>
              <w:widowControl w:val="0"/>
              <w:tabs>
                <w:tab w:val="left" w:pos="8789"/>
              </w:tabs>
              <w:spacing w:after="0"/>
              <w:rPr>
                <w:rFonts w:asciiTheme="minorHAnsi" w:hAnsiTheme="minorHAnsi" w:cstheme="minorHAnsi"/>
                <w:sz w:val="22"/>
                <w:szCs w:val="22"/>
              </w:rPr>
            </w:pPr>
            <w:r w:rsidRPr="005B1AF8">
              <w:rPr>
                <w:rFonts w:asciiTheme="minorHAnsi" w:hAnsiTheme="minorHAnsi" w:cstheme="minorHAnsi"/>
                <w:sz w:val="22"/>
                <w:szCs w:val="22"/>
              </w:rPr>
              <w:t>Cyber</w:t>
            </w:r>
          </w:p>
        </w:tc>
        <w:tc>
          <w:tcPr>
            <w:tcW w:w="1815" w:type="dxa"/>
          </w:tcPr>
          <w:p w14:paraId="5B47A321" w14:textId="77777777" w:rsidR="005B1AF8" w:rsidRPr="00B637D6" w:rsidRDefault="005B1AF8" w:rsidP="004C1AD9">
            <w:pPr>
              <w:widowControl w:val="0"/>
              <w:tabs>
                <w:tab w:val="left" w:pos="8789"/>
              </w:tabs>
              <w:jc w:val="center"/>
            </w:pPr>
            <w:r w:rsidRPr="00B637D6">
              <w:t>1</w:t>
            </w:r>
            <w:r>
              <w:t>4.0</w:t>
            </w:r>
          </w:p>
        </w:tc>
        <w:tc>
          <w:tcPr>
            <w:tcW w:w="1815" w:type="dxa"/>
          </w:tcPr>
          <w:p w14:paraId="664A0F1D" w14:textId="77777777" w:rsidR="005B1AF8" w:rsidRPr="00B637D6" w:rsidRDefault="005B1AF8" w:rsidP="004C1AD9">
            <w:pPr>
              <w:widowControl w:val="0"/>
              <w:tabs>
                <w:tab w:val="left" w:pos="8789"/>
              </w:tabs>
              <w:jc w:val="center"/>
            </w:pPr>
            <w:r w:rsidRPr="00B637D6">
              <w:t>2</w:t>
            </w:r>
            <w:r>
              <w:t>1.0</w:t>
            </w:r>
          </w:p>
        </w:tc>
      </w:tr>
    </w:tbl>
    <w:p w14:paraId="2F4F1F66" w14:textId="77777777" w:rsidR="005B1AF8" w:rsidRDefault="005B1AF8" w:rsidP="005B1AF8">
      <w:pPr>
        <w:pStyle w:val="Heading5"/>
        <w:tabs>
          <w:tab w:val="left" w:pos="8789"/>
        </w:tabs>
        <w:spacing w:before="240" w:after="120"/>
        <w:rPr>
          <w:b w:val="0"/>
          <w:sz w:val="24"/>
          <w:vertAlign w:val="superscript"/>
        </w:rPr>
      </w:pPr>
    </w:p>
    <w:p w14:paraId="09744B00" w14:textId="77777777" w:rsidR="005B1AF8" w:rsidRPr="00045661" w:rsidRDefault="005B1AF8" w:rsidP="005B1AF8">
      <w:pPr>
        <w:pStyle w:val="Heading5"/>
        <w:tabs>
          <w:tab w:val="left" w:pos="8789"/>
        </w:tabs>
        <w:spacing w:before="120"/>
        <w:rPr>
          <w:rFonts w:ascii="Arial" w:hAnsi="Arial" w:cs="Arial"/>
          <w:sz w:val="24"/>
        </w:rPr>
      </w:pPr>
      <w:r w:rsidRPr="00045661">
        <w:rPr>
          <w:rFonts w:ascii="Arial" w:hAnsi="Arial" w:cs="Arial"/>
          <w:sz w:val="24"/>
        </w:rPr>
        <w:t>Table 2:  Inwards reinsurance business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948"/>
        <w:gridCol w:w="1559"/>
        <w:gridCol w:w="1497"/>
        <w:gridCol w:w="1622"/>
      </w:tblGrid>
      <w:tr w:rsidR="005B1AF8" w14:paraId="13948FD8" w14:textId="77777777" w:rsidTr="004C1AD9">
        <w:tc>
          <w:tcPr>
            <w:tcW w:w="1163" w:type="dxa"/>
          </w:tcPr>
          <w:p w14:paraId="4D6DE24A" w14:textId="77777777" w:rsidR="005B1AF8" w:rsidRPr="006B1703" w:rsidRDefault="005B1AF8" w:rsidP="004C1AD9">
            <w:pPr>
              <w:jc w:val="center"/>
              <w:rPr>
                <w:b/>
              </w:rPr>
            </w:pPr>
            <w:r w:rsidRPr="006B1703">
              <w:rPr>
                <w:b/>
              </w:rPr>
              <w:t>Category</w:t>
            </w:r>
          </w:p>
        </w:tc>
        <w:tc>
          <w:tcPr>
            <w:tcW w:w="2948" w:type="dxa"/>
          </w:tcPr>
          <w:p w14:paraId="0B8F1FEE" w14:textId="77777777" w:rsidR="005B1AF8" w:rsidRPr="0010360B" w:rsidRDefault="005B1AF8" w:rsidP="004C1AD9">
            <w:pPr>
              <w:jc w:val="center"/>
              <w:rPr>
                <w:b/>
              </w:rPr>
            </w:pPr>
            <w:r w:rsidRPr="0010360B">
              <w:rPr>
                <w:b/>
              </w:rPr>
              <w:t xml:space="preserve">Class of </w:t>
            </w:r>
            <w:r>
              <w:rPr>
                <w:b/>
              </w:rPr>
              <w:t>b</w:t>
            </w:r>
            <w:r w:rsidRPr="0010360B">
              <w:rPr>
                <w:b/>
              </w:rPr>
              <w:t>usiness</w:t>
            </w:r>
          </w:p>
        </w:tc>
        <w:tc>
          <w:tcPr>
            <w:tcW w:w="1559" w:type="dxa"/>
          </w:tcPr>
          <w:p w14:paraId="0CC8A848" w14:textId="77777777" w:rsidR="005B1AF8" w:rsidRPr="0010360B" w:rsidRDefault="005B1AF8" w:rsidP="004C1AD9">
            <w:pPr>
              <w:jc w:val="center"/>
              <w:rPr>
                <w:b/>
              </w:rPr>
            </w:pPr>
            <w:r w:rsidRPr="0010360B">
              <w:rPr>
                <w:b/>
              </w:rPr>
              <w:t>Reinsurance type</w:t>
            </w:r>
          </w:p>
        </w:tc>
        <w:tc>
          <w:tcPr>
            <w:tcW w:w="1497" w:type="dxa"/>
          </w:tcPr>
          <w:p w14:paraId="08EC9C30" w14:textId="77777777" w:rsidR="005B1AF8" w:rsidRDefault="005B1AF8" w:rsidP="004C1AD9">
            <w:pPr>
              <w:jc w:val="center"/>
              <w:rPr>
                <w:b/>
              </w:rPr>
            </w:pPr>
            <w:r w:rsidRPr="0010360B">
              <w:rPr>
                <w:b/>
              </w:rPr>
              <w:t xml:space="preserve">Outstanding </w:t>
            </w:r>
            <w:r>
              <w:rPr>
                <w:b/>
              </w:rPr>
              <w:t>Claims Risk Capital Factor</w:t>
            </w:r>
          </w:p>
          <w:p w14:paraId="7830A298" w14:textId="77777777" w:rsidR="005B1AF8" w:rsidRPr="0010360B" w:rsidRDefault="005B1AF8" w:rsidP="004C1AD9">
            <w:pPr>
              <w:jc w:val="center"/>
              <w:rPr>
                <w:b/>
              </w:rPr>
            </w:pPr>
            <w:r>
              <w:rPr>
                <w:b/>
              </w:rPr>
              <w:t>(%)</w:t>
            </w:r>
          </w:p>
        </w:tc>
        <w:tc>
          <w:tcPr>
            <w:tcW w:w="1622" w:type="dxa"/>
          </w:tcPr>
          <w:p w14:paraId="7CDA9428" w14:textId="77777777" w:rsidR="005B1AF8" w:rsidRDefault="005B1AF8" w:rsidP="004C1AD9">
            <w:pPr>
              <w:jc w:val="center"/>
              <w:rPr>
                <w:b/>
              </w:rPr>
            </w:pPr>
            <w:r w:rsidRPr="0010360B">
              <w:rPr>
                <w:b/>
              </w:rPr>
              <w:t xml:space="preserve">Premiums </w:t>
            </w:r>
            <w:r>
              <w:rPr>
                <w:b/>
              </w:rPr>
              <w:t>L</w:t>
            </w:r>
            <w:r w:rsidRPr="0010360B">
              <w:rPr>
                <w:b/>
              </w:rPr>
              <w:t>iabilit</w:t>
            </w:r>
            <w:r>
              <w:rPr>
                <w:b/>
              </w:rPr>
              <w:t>y Risk Capital Factor</w:t>
            </w:r>
          </w:p>
          <w:p w14:paraId="6872B4F2" w14:textId="77777777" w:rsidR="005B1AF8" w:rsidRPr="0010360B" w:rsidRDefault="005B1AF8" w:rsidP="004C1AD9">
            <w:pPr>
              <w:jc w:val="center"/>
              <w:rPr>
                <w:b/>
              </w:rPr>
            </w:pPr>
            <w:r>
              <w:rPr>
                <w:b/>
              </w:rPr>
              <w:t>(%)</w:t>
            </w:r>
          </w:p>
        </w:tc>
      </w:tr>
      <w:tr w:rsidR="005B1AF8" w14:paraId="23BA11B3" w14:textId="77777777" w:rsidTr="004C1AD9">
        <w:trPr>
          <w:trHeight w:val="113"/>
        </w:trPr>
        <w:tc>
          <w:tcPr>
            <w:tcW w:w="1163" w:type="dxa"/>
            <w:vMerge w:val="restart"/>
          </w:tcPr>
          <w:p w14:paraId="455F0279" w14:textId="77777777" w:rsidR="005B1AF8" w:rsidRDefault="005B1AF8" w:rsidP="005B1AF8">
            <w:pPr>
              <w:spacing w:after="0"/>
              <w:jc w:val="center"/>
            </w:pPr>
            <w:r>
              <w:t>A</w:t>
            </w:r>
          </w:p>
        </w:tc>
        <w:tc>
          <w:tcPr>
            <w:tcW w:w="2948" w:type="dxa"/>
            <w:vMerge w:val="restart"/>
          </w:tcPr>
          <w:p w14:paraId="68EEADDA" w14:textId="77777777" w:rsidR="005B1AF8" w:rsidRDefault="005B1AF8" w:rsidP="005B1AF8">
            <w:pPr>
              <w:spacing w:after="0"/>
            </w:pPr>
            <w:r>
              <w:t>Householders</w:t>
            </w:r>
          </w:p>
          <w:p w14:paraId="2790727E" w14:textId="77777777" w:rsidR="005B1AF8" w:rsidRDefault="005B1AF8" w:rsidP="005B1AF8">
            <w:pPr>
              <w:spacing w:after="0"/>
            </w:pPr>
            <w:r>
              <w:t>Commercial Motor</w:t>
            </w:r>
          </w:p>
          <w:p w14:paraId="6B850DA2" w14:textId="77777777" w:rsidR="005B1AF8" w:rsidRDefault="005B1AF8" w:rsidP="005B1AF8">
            <w:pPr>
              <w:spacing w:after="0"/>
            </w:pPr>
            <w:r>
              <w:t>Domestic Motor</w:t>
            </w:r>
          </w:p>
        </w:tc>
        <w:tc>
          <w:tcPr>
            <w:tcW w:w="1559" w:type="dxa"/>
          </w:tcPr>
          <w:p w14:paraId="6A68F317" w14:textId="77777777" w:rsidR="005B1AF8" w:rsidRDefault="005B1AF8" w:rsidP="005B1AF8">
            <w:pPr>
              <w:spacing w:after="0"/>
            </w:pPr>
            <w:r>
              <w:t>Proportional</w:t>
            </w:r>
          </w:p>
          <w:p w14:paraId="5742A148" w14:textId="77777777" w:rsidR="005B1AF8" w:rsidRDefault="005B1AF8" w:rsidP="005B1AF8">
            <w:pPr>
              <w:spacing w:after="0"/>
            </w:pPr>
          </w:p>
        </w:tc>
        <w:tc>
          <w:tcPr>
            <w:tcW w:w="1497" w:type="dxa"/>
          </w:tcPr>
          <w:p w14:paraId="32321E86" w14:textId="77777777" w:rsidR="005B1AF8" w:rsidRDefault="005B1AF8" w:rsidP="005B1AF8">
            <w:pPr>
              <w:spacing w:after="0"/>
              <w:jc w:val="center"/>
            </w:pPr>
            <w:r>
              <w:t>10.0</w:t>
            </w:r>
          </w:p>
        </w:tc>
        <w:tc>
          <w:tcPr>
            <w:tcW w:w="1622" w:type="dxa"/>
          </w:tcPr>
          <w:p w14:paraId="47C9CC93" w14:textId="77777777" w:rsidR="005B1AF8" w:rsidRDefault="005B1AF8" w:rsidP="005B1AF8">
            <w:pPr>
              <w:spacing w:after="0"/>
              <w:jc w:val="center"/>
            </w:pPr>
            <w:r>
              <w:t>15.0</w:t>
            </w:r>
          </w:p>
        </w:tc>
      </w:tr>
      <w:tr w:rsidR="005B1AF8" w14:paraId="37A23798" w14:textId="77777777" w:rsidTr="004C1AD9">
        <w:trPr>
          <w:trHeight w:val="112"/>
        </w:trPr>
        <w:tc>
          <w:tcPr>
            <w:tcW w:w="1163" w:type="dxa"/>
            <w:vMerge/>
          </w:tcPr>
          <w:p w14:paraId="3445C1E4" w14:textId="77777777" w:rsidR="005B1AF8" w:rsidRDefault="005B1AF8" w:rsidP="004C1AD9">
            <w:pPr>
              <w:jc w:val="center"/>
            </w:pPr>
          </w:p>
        </w:tc>
        <w:tc>
          <w:tcPr>
            <w:tcW w:w="2948" w:type="dxa"/>
            <w:vMerge/>
          </w:tcPr>
          <w:p w14:paraId="732C14B4" w14:textId="77777777" w:rsidR="005B1AF8" w:rsidRDefault="005B1AF8" w:rsidP="004C1AD9"/>
        </w:tc>
        <w:tc>
          <w:tcPr>
            <w:tcW w:w="1559" w:type="dxa"/>
          </w:tcPr>
          <w:p w14:paraId="7D23252A" w14:textId="77777777" w:rsidR="005B1AF8" w:rsidRDefault="005B1AF8" w:rsidP="004C1AD9">
            <w:r>
              <w:t>Non-proportional</w:t>
            </w:r>
          </w:p>
          <w:p w14:paraId="4855AC20" w14:textId="77777777" w:rsidR="005B1AF8" w:rsidRDefault="005B1AF8" w:rsidP="004C1AD9"/>
        </w:tc>
        <w:tc>
          <w:tcPr>
            <w:tcW w:w="1497" w:type="dxa"/>
          </w:tcPr>
          <w:p w14:paraId="19B928CF" w14:textId="77777777" w:rsidR="005B1AF8" w:rsidRDefault="005B1AF8" w:rsidP="004C1AD9">
            <w:pPr>
              <w:jc w:val="center"/>
            </w:pPr>
            <w:r>
              <w:t>12.0</w:t>
            </w:r>
          </w:p>
        </w:tc>
        <w:tc>
          <w:tcPr>
            <w:tcW w:w="1622" w:type="dxa"/>
          </w:tcPr>
          <w:p w14:paraId="6F5F573A" w14:textId="77777777" w:rsidR="005B1AF8" w:rsidRDefault="005B1AF8" w:rsidP="004C1AD9">
            <w:pPr>
              <w:jc w:val="center"/>
            </w:pPr>
            <w:r>
              <w:t>18.0</w:t>
            </w:r>
          </w:p>
        </w:tc>
      </w:tr>
      <w:tr w:rsidR="005B1AF8" w14:paraId="34D23C39" w14:textId="77777777" w:rsidTr="004C1AD9">
        <w:trPr>
          <w:trHeight w:val="113"/>
        </w:trPr>
        <w:tc>
          <w:tcPr>
            <w:tcW w:w="1163" w:type="dxa"/>
            <w:vMerge w:val="restart"/>
          </w:tcPr>
          <w:p w14:paraId="653B8EDE" w14:textId="77777777" w:rsidR="005B1AF8" w:rsidRPr="0033726B" w:rsidRDefault="005B1AF8" w:rsidP="004C1AD9">
            <w:pPr>
              <w:jc w:val="center"/>
            </w:pPr>
            <w:r w:rsidRPr="0033726B">
              <w:t>B</w:t>
            </w:r>
          </w:p>
        </w:tc>
        <w:tc>
          <w:tcPr>
            <w:tcW w:w="2948" w:type="dxa"/>
            <w:vMerge w:val="restart"/>
          </w:tcPr>
          <w:p w14:paraId="38E4D3E2" w14:textId="77777777" w:rsidR="005B1AF8" w:rsidRDefault="005B1AF8" w:rsidP="005B1AF8">
            <w:pPr>
              <w:spacing w:after="0"/>
            </w:pPr>
            <w:r>
              <w:t>Travel</w:t>
            </w:r>
          </w:p>
          <w:p w14:paraId="3DA15AE5" w14:textId="77777777" w:rsidR="005B1AF8" w:rsidRDefault="005B1AF8" w:rsidP="005B1AF8">
            <w:pPr>
              <w:spacing w:after="0"/>
            </w:pPr>
            <w:r>
              <w:t>Fire and ISR</w:t>
            </w:r>
          </w:p>
          <w:p w14:paraId="7228DC34" w14:textId="77777777" w:rsidR="005B1AF8" w:rsidRDefault="005B1AF8" w:rsidP="005B1AF8">
            <w:pPr>
              <w:spacing w:after="0"/>
            </w:pPr>
            <w:r>
              <w:t>Marine and Aviation</w:t>
            </w:r>
          </w:p>
          <w:p w14:paraId="2494AF01" w14:textId="77777777" w:rsidR="005B1AF8" w:rsidRDefault="005B1AF8" w:rsidP="005B1AF8">
            <w:pPr>
              <w:spacing w:after="0"/>
            </w:pPr>
            <w:r>
              <w:t>Consumer Credit</w:t>
            </w:r>
          </w:p>
          <w:p w14:paraId="770A736E" w14:textId="77777777" w:rsidR="005B1AF8" w:rsidRDefault="005B1AF8" w:rsidP="004C1AD9">
            <w:r>
              <w:t>Other Accident</w:t>
            </w:r>
          </w:p>
        </w:tc>
        <w:tc>
          <w:tcPr>
            <w:tcW w:w="1559" w:type="dxa"/>
          </w:tcPr>
          <w:p w14:paraId="66FB3A65" w14:textId="77777777" w:rsidR="005B1AF8" w:rsidRDefault="005B1AF8" w:rsidP="004C1AD9">
            <w:r>
              <w:t>Proportional</w:t>
            </w:r>
          </w:p>
          <w:p w14:paraId="4EFC2336" w14:textId="77777777" w:rsidR="005B1AF8" w:rsidRDefault="005B1AF8" w:rsidP="004C1AD9"/>
        </w:tc>
        <w:tc>
          <w:tcPr>
            <w:tcW w:w="1497" w:type="dxa"/>
          </w:tcPr>
          <w:p w14:paraId="39DFA563" w14:textId="77777777" w:rsidR="005B1AF8" w:rsidRDefault="005B1AF8" w:rsidP="004C1AD9">
            <w:pPr>
              <w:jc w:val="center"/>
            </w:pPr>
            <w:r>
              <w:t>12.0</w:t>
            </w:r>
          </w:p>
        </w:tc>
        <w:tc>
          <w:tcPr>
            <w:tcW w:w="1622" w:type="dxa"/>
          </w:tcPr>
          <w:p w14:paraId="53D8877A" w14:textId="77777777" w:rsidR="005B1AF8" w:rsidRDefault="005B1AF8" w:rsidP="004C1AD9">
            <w:pPr>
              <w:jc w:val="center"/>
            </w:pPr>
            <w:r>
              <w:t>18.0</w:t>
            </w:r>
          </w:p>
        </w:tc>
      </w:tr>
      <w:tr w:rsidR="005B1AF8" w14:paraId="77E128CB" w14:textId="77777777" w:rsidTr="004C1AD9">
        <w:trPr>
          <w:trHeight w:val="112"/>
        </w:trPr>
        <w:tc>
          <w:tcPr>
            <w:tcW w:w="1163" w:type="dxa"/>
            <w:vMerge/>
          </w:tcPr>
          <w:p w14:paraId="005D1593" w14:textId="77777777" w:rsidR="005B1AF8" w:rsidRPr="0033726B" w:rsidRDefault="005B1AF8" w:rsidP="004C1AD9">
            <w:pPr>
              <w:jc w:val="center"/>
            </w:pPr>
          </w:p>
        </w:tc>
        <w:tc>
          <w:tcPr>
            <w:tcW w:w="2948" w:type="dxa"/>
            <w:vMerge/>
          </w:tcPr>
          <w:p w14:paraId="0E116B18" w14:textId="77777777" w:rsidR="005B1AF8" w:rsidRDefault="005B1AF8" w:rsidP="004C1AD9"/>
        </w:tc>
        <w:tc>
          <w:tcPr>
            <w:tcW w:w="1559" w:type="dxa"/>
          </w:tcPr>
          <w:p w14:paraId="4D461E28" w14:textId="77777777" w:rsidR="005B1AF8" w:rsidRDefault="005B1AF8" w:rsidP="004C1AD9">
            <w:r>
              <w:t>Non-proportional</w:t>
            </w:r>
          </w:p>
        </w:tc>
        <w:tc>
          <w:tcPr>
            <w:tcW w:w="1497" w:type="dxa"/>
          </w:tcPr>
          <w:p w14:paraId="15FFD3B6" w14:textId="77777777" w:rsidR="005B1AF8" w:rsidRDefault="005B1AF8" w:rsidP="004C1AD9">
            <w:pPr>
              <w:jc w:val="center"/>
            </w:pPr>
            <w:r>
              <w:t>14.0</w:t>
            </w:r>
          </w:p>
        </w:tc>
        <w:tc>
          <w:tcPr>
            <w:tcW w:w="1622" w:type="dxa"/>
          </w:tcPr>
          <w:p w14:paraId="12699761" w14:textId="77777777" w:rsidR="005B1AF8" w:rsidRDefault="005B1AF8" w:rsidP="004C1AD9">
            <w:pPr>
              <w:jc w:val="center"/>
            </w:pPr>
            <w:r>
              <w:t>21.0</w:t>
            </w:r>
          </w:p>
        </w:tc>
      </w:tr>
      <w:tr w:rsidR="005B1AF8" w14:paraId="0B043994" w14:textId="77777777" w:rsidTr="004C1AD9">
        <w:trPr>
          <w:trHeight w:val="113"/>
        </w:trPr>
        <w:tc>
          <w:tcPr>
            <w:tcW w:w="1163" w:type="dxa"/>
            <w:vMerge w:val="restart"/>
          </w:tcPr>
          <w:p w14:paraId="13E6FBAB" w14:textId="77777777" w:rsidR="005B1AF8" w:rsidRPr="0033726B" w:rsidRDefault="005B1AF8" w:rsidP="004C1AD9">
            <w:pPr>
              <w:jc w:val="center"/>
            </w:pPr>
            <w:r w:rsidRPr="0033726B">
              <w:lastRenderedPageBreak/>
              <w:t>C</w:t>
            </w:r>
          </w:p>
        </w:tc>
        <w:tc>
          <w:tcPr>
            <w:tcW w:w="2948" w:type="dxa"/>
            <w:vMerge w:val="restart"/>
          </w:tcPr>
          <w:p w14:paraId="1F5195C8" w14:textId="77777777" w:rsidR="005B1AF8" w:rsidRDefault="005B1AF8" w:rsidP="005B1AF8">
            <w:pPr>
              <w:spacing w:after="0"/>
            </w:pPr>
            <w:r>
              <w:t>Mortgage</w:t>
            </w:r>
          </w:p>
          <w:p w14:paraId="17EBD826" w14:textId="77777777" w:rsidR="005B1AF8" w:rsidRDefault="005B1AF8" w:rsidP="005B1AF8">
            <w:pPr>
              <w:spacing w:after="0"/>
            </w:pPr>
            <w:r>
              <w:t xml:space="preserve">CTP </w:t>
            </w:r>
          </w:p>
          <w:p w14:paraId="4DCFF003" w14:textId="77777777" w:rsidR="005B1AF8" w:rsidRDefault="005B1AF8" w:rsidP="005B1AF8">
            <w:pPr>
              <w:spacing w:after="0"/>
            </w:pPr>
            <w:r>
              <w:t>Public and Product Liability</w:t>
            </w:r>
          </w:p>
          <w:p w14:paraId="3D37847F" w14:textId="77777777" w:rsidR="005B1AF8" w:rsidRDefault="005B1AF8" w:rsidP="005B1AF8">
            <w:pPr>
              <w:spacing w:after="0"/>
            </w:pPr>
            <w:r>
              <w:t>Professional Indemnity</w:t>
            </w:r>
          </w:p>
          <w:p w14:paraId="15E2DB13" w14:textId="77777777" w:rsidR="005B1AF8" w:rsidRDefault="005B1AF8" w:rsidP="005B1AF8">
            <w:pPr>
              <w:spacing w:after="0"/>
            </w:pPr>
            <w:r>
              <w:t>Directors and Officers</w:t>
            </w:r>
          </w:p>
          <w:p w14:paraId="3AFB20B3" w14:textId="77777777" w:rsidR="005B1AF8" w:rsidRDefault="005B1AF8" w:rsidP="005B1AF8">
            <w:pPr>
              <w:spacing w:after="0"/>
            </w:pPr>
            <w:r>
              <w:t>Employers Liability</w:t>
            </w:r>
          </w:p>
          <w:p w14:paraId="4F2240BA" w14:textId="77777777" w:rsidR="005B1AF8" w:rsidRDefault="005B1AF8" w:rsidP="005B1AF8">
            <w:pPr>
              <w:spacing w:after="0"/>
            </w:pPr>
            <w:r>
              <w:t>Cyber</w:t>
            </w:r>
          </w:p>
        </w:tc>
        <w:tc>
          <w:tcPr>
            <w:tcW w:w="1559" w:type="dxa"/>
          </w:tcPr>
          <w:p w14:paraId="701A0745" w14:textId="77777777" w:rsidR="005B1AF8" w:rsidRDefault="005B1AF8" w:rsidP="004C1AD9">
            <w:r>
              <w:t>Proportional</w:t>
            </w:r>
          </w:p>
          <w:p w14:paraId="3195CAE4" w14:textId="77777777" w:rsidR="005B1AF8" w:rsidRDefault="005B1AF8" w:rsidP="004C1AD9"/>
        </w:tc>
        <w:tc>
          <w:tcPr>
            <w:tcW w:w="1497" w:type="dxa"/>
          </w:tcPr>
          <w:p w14:paraId="5A956B29" w14:textId="77777777" w:rsidR="005B1AF8" w:rsidRDefault="005B1AF8" w:rsidP="004C1AD9">
            <w:pPr>
              <w:jc w:val="center"/>
            </w:pPr>
            <w:r>
              <w:t>15.0</w:t>
            </w:r>
          </w:p>
        </w:tc>
        <w:tc>
          <w:tcPr>
            <w:tcW w:w="1622" w:type="dxa"/>
          </w:tcPr>
          <w:p w14:paraId="313CF809" w14:textId="77777777" w:rsidR="005B1AF8" w:rsidRDefault="005B1AF8" w:rsidP="004C1AD9">
            <w:pPr>
              <w:jc w:val="center"/>
            </w:pPr>
            <w:r>
              <w:t>22.5</w:t>
            </w:r>
          </w:p>
        </w:tc>
      </w:tr>
      <w:tr w:rsidR="005B1AF8" w14:paraId="08BC8B1B" w14:textId="77777777" w:rsidTr="004C1AD9">
        <w:trPr>
          <w:trHeight w:val="112"/>
        </w:trPr>
        <w:tc>
          <w:tcPr>
            <w:tcW w:w="1163" w:type="dxa"/>
            <w:vMerge/>
          </w:tcPr>
          <w:p w14:paraId="3C21A11B" w14:textId="77777777" w:rsidR="005B1AF8" w:rsidRDefault="005B1AF8" w:rsidP="004C1AD9"/>
        </w:tc>
        <w:tc>
          <w:tcPr>
            <w:tcW w:w="2948" w:type="dxa"/>
            <w:vMerge/>
          </w:tcPr>
          <w:p w14:paraId="712E6771" w14:textId="77777777" w:rsidR="005B1AF8" w:rsidRDefault="005B1AF8" w:rsidP="004C1AD9"/>
        </w:tc>
        <w:tc>
          <w:tcPr>
            <w:tcW w:w="1559" w:type="dxa"/>
          </w:tcPr>
          <w:p w14:paraId="1C4343B4" w14:textId="77777777" w:rsidR="005B1AF8" w:rsidRDefault="005B1AF8" w:rsidP="004C1AD9">
            <w:r>
              <w:t>Non-proportional</w:t>
            </w:r>
          </w:p>
          <w:p w14:paraId="5B89085C" w14:textId="77777777" w:rsidR="005B1AF8" w:rsidRDefault="005B1AF8" w:rsidP="004C1AD9"/>
        </w:tc>
        <w:tc>
          <w:tcPr>
            <w:tcW w:w="1497" w:type="dxa"/>
          </w:tcPr>
          <w:p w14:paraId="3312A590" w14:textId="77777777" w:rsidR="005B1AF8" w:rsidRDefault="005B1AF8" w:rsidP="004C1AD9">
            <w:pPr>
              <w:jc w:val="center"/>
            </w:pPr>
            <w:r>
              <w:t>17.0</w:t>
            </w:r>
          </w:p>
        </w:tc>
        <w:tc>
          <w:tcPr>
            <w:tcW w:w="1622" w:type="dxa"/>
          </w:tcPr>
          <w:p w14:paraId="6D664D9E" w14:textId="77777777" w:rsidR="005B1AF8" w:rsidRDefault="005B1AF8" w:rsidP="004C1AD9">
            <w:pPr>
              <w:jc w:val="center"/>
            </w:pPr>
            <w:r>
              <w:t>25.5</w:t>
            </w:r>
          </w:p>
        </w:tc>
      </w:tr>
    </w:tbl>
    <w:p w14:paraId="44314314" w14:textId="77777777" w:rsidR="005B1AF8" w:rsidRPr="003D4419" w:rsidRDefault="005B1AF8" w:rsidP="005B1AF8"/>
    <w:p w14:paraId="30E73FEA" w14:textId="77777777" w:rsidR="0029455F" w:rsidRDefault="0029455F" w:rsidP="0029455F"/>
    <w:p w14:paraId="3D9E0B79" w14:textId="77777777" w:rsidR="001F6B8D" w:rsidRPr="007D2D7F" w:rsidRDefault="001F6B8D"/>
    <w:sectPr w:rsidR="001F6B8D" w:rsidRPr="007D2D7F"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AB86" w14:textId="77777777" w:rsidR="00335A77" w:rsidRDefault="00335A77" w:rsidP="006A6A52">
      <w:pPr>
        <w:spacing w:after="0"/>
      </w:pPr>
      <w:r>
        <w:separator/>
      </w:r>
    </w:p>
  </w:endnote>
  <w:endnote w:type="continuationSeparator" w:id="0">
    <w:p w14:paraId="18AEF625" w14:textId="77777777" w:rsidR="00335A77" w:rsidRDefault="00335A77"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82B4" w14:textId="1AD46ED2" w:rsidR="003F3EDF" w:rsidRPr="00842FBD" w:rsidRDefault="00343B1E" w:rsidP="00842FBD">
    <w:pPr>
      <w:pStyle w:val="Footer"/>
    </w:pPr>
    <w:r>
      <w:fldChar w:fldCharType="begin"/>
    </w:r>
    <w:r>
      <w:instrText xml:space="preserve"> STYLEREF  "PS No. field text"  \* MERGEFORMAT </w:instrText>
    </w:r>
    <w:r>
      <w:fldChar w:fldCharType="separate"/>
    </w:r>
    <w:r>
      <w:rPr>
        <w:noProof/>
      </w:rPr>
      <w:t>GPS 115</w:t>
    </w:r>
    <w:r>
      <w:rPr>
        <w:noProof/>
      </w:rPr>
      <w:fldChar w:fldCharType="end"/>
    </w:r>
    <w:r w:rsidR="003F3EDF">
      <w:t xml:space="preserve"> - </w:t>
    </w:r>
    <w:r w:rsidR="003F3EDF" w:rsidRPr="00842FBD">
      <w:fldChar w:fldCharType="begin"/>
    </w:r>
    <w:r w:rsidR="003F3EDF" w:rsidRPr="00842FBD">
      <w:instrText xml:space="preserve"> PAGE </w:instrText>
    </w:r>
    <w:r w:rsidR="003F3EDF" w:rsidRPr="00842FBD">
      <w:fldChar w:fldCharType="separate"/>
    </w:r>
    <w:r w:rsidR="003F3EDF">
      <w:rPr>
        <w:noProof/>
      </w:rPr>
      <w:t>2</w:t>
    </w:r>
    <w:r w:rsidR="003F3EDF"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F49A" w14:textId="031B46FC" w:rsidR="00867092" w:rsidRPr="00842FBD" w:rsidRDefault="00343B1E" w:rsidP="00842FBD">
    <w:pPr>
      <w:pStyle w:val="Footer"/>
    </w:pPr>
    <w:r>
      <w:fldChar w:fldCharType="begin"/>
    </w:r>
    <w:r>
      <w:instrText xml:space="preserve"> STYLEREF  "PS No. field text"  \* MERGEFORMAT </w:instrText>
    </w:r>
    <w:r>
      <w:fldChar w:fldCharType="separate"/>
    </w:r>
    <w:r>
      <w:rPr>
        <w:noProof/>
      </w:rPr>
      <w:t>GPS 115</w:t>
    </w:r>
    <w:r>
      <w:rPr>
        <w:noProof/>
      </w:rPr>
      <w:fldChar w:fldCharType="end"/>
    </w:r>
    <w:r w:rsidR="001F6B8D">
      <w:t xml:space="preserve"> </w:t>
    </w:r>
    <w:r w:rsidR="00B766FA">
      <w:t>–</w:t>
    </w:r>
    <w:r w:rsidR="00867092">
      <w:t xml:space="preserve"> </w:t>
    </w:r>
    <w:r w:rsidR="00B766FA">
      <w:t xml:space="preserve">Attachment </w:t>
    </w:r>
    <w:r>
      <w:fldChar w:fldCharType="begin"/>
    </w:r>
    <w:r>
      <w:instrText xml:space="preserve"> STYLEREF  "Attachment field text"  \* MERGEFORMAT </w:instrText>
    </w:r>
    <w:r>
      <w:fldChar w:fldCharType="separate"/>
    </w:r>
    <w:r>
      <w:rPr>
        <w:noProof/>
      </w:rPr>
      <w:t>A</w:t>
    </w:r>
    <w:r>
      <w:rPr>
        <w:noProof/>
      </w:rPr>
      <w:fldChar w:fldCharType="end"/>
    </w:r>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FB65" w14:textId="77777777" w:rsidR="00335A77" w:rsidRDefault="00335A77" w:rsidP="006A6A52">
      <w:pPr>
        <w:spacing w:after="0"/>
      </w:pPr>
      <w:r>
        <w:separator/>
      </w:r>
    </w:p>
  </w:footnote>
  <w:footnote w:type="continuationSeparator" w:id="0">
    <w:p w14:paraId="52FB34BF" w14:textId="77777777" w:rsidR="00335A77" w:rsidRDefault="00335A77" w:rsidP="006A6A52">
      <w:pPr>
        <w:spacing w:after="0"/>
      </w:pPr>
      <w:r>
        <w:continuationSeparator/>
      </w:r>
    </w:p>
  </w:footnote>
  <w:footnote w:id="1">
    <w:p w14:paraId="0A236253" w14:textId="77777777" w:rsidR="00335A77" w:rsidRDefault="00335A77" w:rsidP="00335A77">
      <w:pPr>
        <w:pStyle w:val="FootnoteText"/>
        <w:rPr>
          <w:i/>
        </w:rPr>
      </w:pPr>
      <w:r w:rsidRPr="00EF4B07">
        <w:rPr>
          <w:rStyle w:val="FootnoteReference"/>
        </w:rPr>
        <w:footnoteRef/>
      </w:r>
      <w:r w:rsidRPr="00EF4B07">
        <w:t xml:space="preserve"> </w:t>
      </w:r>
      <w:r>
        <w:tab/>
        <w:t xml:space="preserve">The other class of business is as defined in </w:t>
      </w:r>
      <w:r w:rsidRPr="006C3215">
        <w:t>paragraph 1(k) of Attachment</w:t>
      </w:r>
      <w:r w:rsidRPr="008A540B">
        <w:t xml:space="preserve"> B of GPS 001.</w:t>
      </w:r>
    </w:p>
  </w:footnote>
  <w:footnote w:id="2">
    <w:p w14:paraId="0A7FC2F4" w14:textId="77777777" w:rsidR="00335A77" w:rsidRDefault="00335A77" w:rsidP="00335A77">
      <w:pPr>
        <w:pStyle w:val="FootnoteText"/>
      </w:pPr>
      <w:r w:rsidRPr="00ED0D3D">
        <w:rPr>
          <w:rStyle w:val="FootnoteReference"/>
        </w:rPr>
        <w:footnoteRef/>
      </w:r>
      <w:r>
        <w:t xml:space="preserve"> </w:t>
      </w:r>
      <w:r>
        <w:tab/>
      </w:r>
      <w:r w:rsidRPr="00585B15">
        <w:t xml:space="preserve">This requirement is based on the principle that an insurer should be able to meet its insurance obligations at all times, not just at the quarterly </w:t>
      </w:r>
      <w:r w:rsidRPr="007117F0">
        <w:rPr>
          <w:b/>
        </w:rPr>
        <w:t>reporting date</w:t>
      </w:r>
      <w:r w:rsidRPr="00585B15">
        <w:t>. With regards to written contracts for which insurers are not on risk i</w:t>
      </w:r>
      <w:r>
        <w:t xml:space="preserve">n the current </w:t>
      </w:r>
      <w:r w:rsidRPr="007117F0">
        <w:rPr>
          <w:b/>
        </w:rPr>
        <w:t>reporting period</w:t>
      </w:r>
      <w:r>
        <w:t>,</w:t>
      </w:r>
      <w:r w:rsidRPr="00585B15">
        <w:t xml:space="preserve"> APRA has not defined how far into the subsequent reporting period the capital requirement applies. APRA expects that at the reporting date, insurers will hold sufficient capital for all general insurance contracts for which the general insurer is committed, regardless of when the contract incepts.</w:t>
      </w:r>
      <w:r>
        <w:t xml:space="preserve"> </w:t>
      </w:r>
    </w:p>
  </w:footnote>
  <w:footnote w:id="3">
    <w:p w14:paraId="6266B1FA" w14:textId="77777777" w:rsidR="00335A77" w:rsidRDefault="00335A77" w:rsidP="00335A77">
      <w:pPr>
        <w:pStyle w:val="FootnoteText"/>
      </w:pPr>
      <w:r>
        <w:rPr>
          <w:rStyle w:val="FootnoteReference"/>
        </w:rPr>
        <w:footnoteRef/>
      </w:r>
      <w:r>
        <w:t xml:space="preserve">         </w:t>
      </w:r>
      <w:r w:rsidRPr="00585B15">
        <w:t>For reinsurance contracts that are continuous but cancellable at regular intervals or on specified dates, the term of the contract can be measured to the earliest cancellation date that is not less than 12 months from the previous cancellable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4FBE03BB" w14:textId="77777777" w:rsidTr="000D63A8">
      <w:tc>
        <w:tcPr>
          <w:tcW w:w="4264" w:type="dxa"/>
          <w:tcBorders>
            <w:top w:val="nil"/>
            <w:left w:val="nil"/>
            <w:bottom w:val="nil"/>
            <w:right w:val="nil"/>
          </w:tcBorders>
        </w:tcPr>
        <w:p w14:paraId="0920A45D" w14:textId="3231DD17" w:rsidR="00745B81" w:rsidRDefault="00745B81" w:rsidP="00FF513E">
          <w:pPr>
            <w:pStyle w:val="Header"/>
          </w:pPr>
        </w:p>
      </w:tc>
      <w:tc>
        <w:tcPr>
          <w:tcW w:w="4264" w:type="dxa"/>
          <w:tcBorders>
            <w:top w:val="nil"/>
            <w:left w:val="nil"/>
            <w:bottom w:val="nil"/>
            <w:right w:val="nil"/>
          </w:tcBorders>
        </w:tcPr>
        <w:p w14:paraId="45DD2415" w14:textId="1E5FF8D4" w:rsidR="00745B81" w:rsidRDefault="00745B81" w:rsidP="000D63A8">
          <w:pPr>
            <w:pStyle w:val="Header"/>
          </w:pPr>
        </w:p>
      </w:tc>
    </w:tr>
  </w:tbl>
  <w:p w14:paraId="47A20F6D"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3F3EDF" w14:paraId="046D7AD4" w14:textId="77777777" w:rsidTr="000D63A8">
      <w:tc>
        <w:tcPr>
          <w:tcW w:w="4264" w:type="dxa"/>
          <w:tcBorders>
            <w:top w:val="nil"/>
            <w:left w:val="nil"/>
            <w:bottom w:val="nil"/>
            <w:right w:val="nil"/>
          </w:tcBorders>
        </w:tcPr>
        <w:p w14:paraId="3D3594FB" w14:textId="77777777" w:rsidR="003F3EDF" w:rsidRDefault="003F3EDF" w:rsidP="00FF513E">
          <w:pPr>
            <w:pStyle w:val="Header"/>
          </w:pPr>
        </w:p>
      </w:tc>
      <w:tc>
        <w:tcPr>
          <w:tcW w:w="4264" w:type="dxa"/>
          <w:tcBorders>
            <w:top w:val="nil"/>
            <w:left w:val="nil"/>
            <w:bottom w:val="nil"/>
            <w:right w:val="nil"/>
          </w:tcBorders>
        </w:tcPr>
        <w:p w14:paraId="4BA141FE" w14:textId="77777777" w:rsidR="003F3EDF" w:rsidRDefault="003F3EDF" w:rsidP="000D63A8">
          <w:pPr>
            <w:pStyle w:val="Header"/>
          </w:pPr>
          <w:r>
            <w:t>July 2023</w:t>
          </w:r>
        </w:p>
      </w:tc>
    </w:tr>
  </w:tbl>
  <w:p w14:paraId="770DCA6A" w14:textId="77777777" w:rsidR="003F3EDF" w:rsidRDefault="003F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44F7E"/>
    <w:multiLevelType w:val="hybridMultilevel"/>
    <w:tmpl w:val="F0602EE4"/>
    <w:lvl w:ilvl="0" w:tplc="F94696D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062C7427"/>
    <w:multiLevelType w:val="hybridMultilevel"/>
    <w:tmpl w:val="82D0CBFA"/>
    <w:lvl w:ilvl="0" w:tplc="DA80DF1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5218F73C"/>
    <w:lvl w:ilvl="0">
      <w:start w:val="1"/>
      <w:numFmt w:val="decimal"/>
      <w:pStyle w:val="BodyText1"/>
      <w:lvlText w:val="%1."/>
      <w:lvlJc w:val="left"/>
      <w:pPr>
        <w:tabs>
          <w:tab w:val="num" w:pos="567"/>
        </w:tabs>
        <w:ind w:left="567" w:hanging="567"/>
      </w:pPr>
      <w:rPr>
        <w:rFonts w:asciiTheme="minorHAnsi" w:hAnsiTheme="minorHAnsi" w:cstheme="minorHAnsi"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95C6856"/>
    <w:multiLevelType w:val="hybridMultilevel"/>
    <w:tmpl w:val="85F453F6"/>
    <w:lvl w:ilvl="0" w:tplc="3E70BA2A">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1" w15:restartNumberingAfterBreak="0">
    <w:nsid w:val="30A61328"/>
    <w:multiLevelType w:val="hybridMultilevel"/>
    <w:tmpl w:val="4E2EA796"/>
    <w:lvl w:ilvl="0" w:tplc="0C090001">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F46A0"/>
    <w:multiLevelType w:val="hybridMultilevel"/>
    <w:tmpl w:val="1C58BAA6"/>
    <w:lvl w:ilvl="0" w:tplc="C0A056A2">
      <w:start w:val="1"/>
      <w:numFmt w:val="decimal"/>
      <w:lvlText w:val="%1."/>
      <w:lvlJc w:val="left"/>
      <w:pPr>
        <w:tabs>
          <w:tab w:val="num" w:pos="567"/>
        </w:tabs>
        <w:ind w:left="567" w:hanging="567"/>
      </w:pPr>
      <w:rPr>
        <w:rFonts w:hint="default"/>
        <w:sz w:val="24"/>
        <w:szCs w:val="24"/>
      </w:rPr>
    </w:lvl>
    <w:lvl w:ilvl="1" w:tplc="0C090019">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5D2F11A1"/>
    <w:multiLevelType w:val="hybridMultilevel"/>
    <w:tmpl w:val="19C0561A"/>
    <w:lvl w:ilvl="0" w:tplc="CD2A7CF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9675064"/>
    <w:multiLevelType w:val="hybridMultilevel"/>
    <w:tmpl w:val="37B0B9B0"/>
    <w:lvl w:ilvl="0" w:tplc="0C090001">
      <w:start w:val="18"/>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start w:val="1"/>
      <w:numFmt w:val="lowerRoman"/>
      <w:lvlText w:val="(%3)"/>
      <w:lvlJc w:val="left"/>
      <w:pPr>
        <w:tabs>
          <w:tab w:val="num" w:pos="1701"/>
        </w:tabs>
        <w:ind w:left="1701" w:hanging="567"/>
      </w:pPr>
      <w:rPr>
        <w:rFonts w:ascii="Times New Roman" w:hAnsi="Times New Roman" w:hint="default"/>
        <w:b w:val="0"/>
        <w:i w:val="0"/>
        <w:sz w:val="24"/>
        <w:szCs w:val="24"/>
      </w:rPr>
    </w:lvl>
    <w:lvl w:ilvl="3" w:tplc="0C090001">
      <w:start w:val="1"/>
      <w:numFmt w:val="lowerLetter"/>
      <w:lvlText w:val="(%4)"/>
      <w:lvlJc w:val="left"/>
      <w:pPr>
        <w:tabs>
          <w:tab w:val="num" w:pos="1134"/>
        </w:tabs>
        <w:ind w:left="1134" w:hanging="567"/>
      </w:pPr>
      <w:rPr>
        <w:rFonts w:ascii="Times New Roman" w:hAnsi="Times New Roman" w:hint="default"/>
        <w:b w:val="0"/>
        <w:i w:val="0"/>
        <w:sz w:val="24"/>
        <w:szCs w:val="24"/>
      </w:r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507032"/>
    <w:multiLevelType w:val="hybridMultilevel"/>
    <w:tmpl w:val="B39C1EF0"/>
    <w:lvl w:ilvl="0" w:tplc="A5205F72">
      <w:start w:val="1"/>
      <w:numFmt w:val="lowerLetter"/>
      <w:lvlText w:val="(%1)"/>
      <w:lvlJc w:val="left"/>
      <w:pPr>
        <w:ind w:left="1070" w:hanging="360"/>
      </w:pPr>
      <w:rPr>
        <w:rFonts w:ascii="Times New Roman" w:eastAsia="Times New Roman" w:hAnsi="Times New Roman" w:cs="Times New Roman"/>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44003787">
    <w:abstractNumId w:val="13"/>
  </w:num>
  <w:num w:numId="2" w16cid:durableId="1288704561">
    <w:abstractNumId w:val="16"/>
  </w:num>
  <w:num w:numId="3" w16cid:durableId="824276914">
    <w:abstractNumId w:val="6"/>
  </w:num>
  <w:num w:numId="4" w16cid:durableId="677736812">
    <w:abstractNumId w:val="12"/>
  </w:num>
  <w:num w:numId="5" w16cid:durableId="883522476">
    <w:abstractNumId w:val="26"/>
  </w:num>
  <w:num w:numId="6" w16cid:durableId="1893422112">
    <w:abstractNumId w:val="9"/>
  </w:num>
  <w:num w:numId="7" w16cid:durableId="1582569926">
    <w:abstractNumId w:val="24"/>
  </w:num>
  <w:num w:numId="8" w16cid:durableId="807280811">
    <w:abstractNumId w:val="20"/>
  </w:num>
  <w:num w:numId="9" w16cid:durableId="2140024949">
    <w:abstractNumId w:val="23"/>
  </w:num>
  <w:num w:numId="10" w16cid:durableId="911892905">
    <w:abstractNumId w:val="19"/>
  </w:num>
  <w:num w:numId="11" w16cid:durableId="1047726301">
    <w:abstractNumId w:val="3"/>
  </w:num>
  <w:num w:numId="12" w16cid:durableId="158470892">
    <w:abstractNumId w:val="0"/>
  </w:num>
  <w:num w:numId="13" w16cid:durableId="69086569">
    <w:abstractNumId w:val="2"/>
  </w:num>
  <w:num w:numId="14" w16cid:durableId="1739471806">
    <w:abstractNumId w:val="1"/>
  </w:num>
  <w:num w:numId="15" w16cid:durableId="472136543">
    <w:abstractNumId w:val="17"/>
  </w:num>
  <w:num w:numId="16" w16cid:durableId="962928260">
    <w:abstractNumId w:val="7"/>
  </w:num>
  <w:num w:numId="17" w16cid:durableId="1697348809">
    <w:abstractNumId w:val="15"/>
  </w:num>
  <w:num w:numId="18" w16cid:durableId="233129521">
    <w:abstractNumId w:val="14"/>
  </w:num>
  <w:num w:numId="19" w16cid:durableId="1879002514">
    <w:abstractNumId w:val="8"/>
  </w:num>
  <w:num w:numId="20" w16cid:durableId="52583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8140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97873">
    <w:abstractNumId w:val="4"/>
  </w:num>
  <w:num w:numId="23" w16cid:durableId="774637782">
    <w:abstractNumId w:val="18"/>
  </w:num>
  <w:num w:numId="24" w16cid:durableId="1443382776">
    <w:abstractNumId w:val="25"/>
  </w:num>
  <w:num w:numId="25" w16cid:durableId="688683763">
    <w:abstractNumId w:val="22"/>
  </w:num>
  <w:num w:numId="26" w16cid:durableId="1179344774">
    <w:abstractNumId w:val="11"/>
  </w:num>
  <w:num w:numId="27" w16cid:durableId="2010861782">
    <w:abstractNumId w:val="5"/>
  </w:num>
  <w:num w:numId="28" w16cid:durableId="5650728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231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77"/>
    <w:rsid w:val="0000183A"/>
    <w:rsid w:val="00001D43"/>
    <w:rsid w:val="000518B9"/>
    <w:rsid w:val="0006337F"/>
    <w:rsid w:val="00087D3E"/>
    <w:rsid w:val="000D63A8"/>
    <w:rsid w:val="000D7A9C"/>
    <w:rsid w:val="00110917"/>
    <w:rsid w:val="00110A0F"/>
    <w:rsid w:val="0013237B"/>
    <w:rsid w:val="00141CA6"/>
    <w:rsid w:val="00173A04"/>
    <w:rsid w:val="00182FA1"/>
    <w:rsid w:val="001940D8"/>
    <w:rsid w:val="001C297B"/>
    <w:rsid w:val="001C755C"/>
    <w:rsid w:val="001E7EA9"/>
    <w:rsid w:val="001F1F52"/>
    <w:rsid w:val="001F6B8D"/>
    <w:rsid w:val="0023364B"/>
    <w:rsid w:val="002500F9"/>
    <w:rsid w:val="00253DAA"/>
    <w:rsid w:val="0026588E"/>
    <w:rsid w:val="002665F6"/>
    <w:rsid w:val="0029455F"/>
    <w:rsid w:val="002A07F8"/>
    <w:rsid w:val="002B4F03"/>
    <w:rsid w:val="00306DC0"/>
    <w:rsid w:val="00335A77"/>
    <w:rsid w:val="00343B1E"/>
    <w:rsid w:val="0037343B"/>
    <w:rsid w:val="0038413F"/>
    <w:rsid w:val="00391AD7"/>
    <w:rsid w:val="003936EA"/>
    <w:rsid w:val="003B52EB"/>
    <w:rsid w:val="003C46D7"/>
    <w:rsid w:val="003D5032"/>
    <w:rsid w:val="003F3EDF"/>
    <w:rsid w:val="004323FD"/>
    <w:rsid w:val="00453E3A"/>
    <w:rsid w:val="004560E3"/>
    <w:rsid w:val="004605F2"/>
    <w:rsid w:val="004776D4"/>
    <w:rsid w:val="0048511B"/>
    <w:rsid w:val="004A593E"/>
    <w:rsid w:val="004C3D07"/>
    <w:rsid w:val="004F2AC1"/>
    <w:rsid w:val="005050E8"/>
    <w:rsid w:val="00506079"/>
    <w:rsid w:val="00521673"/>
    <w:rsid w:val="00534FFE"/>
    <w:rsid w:val="00544072"/>
    <w:rsid w:val="00551C22"/>
    <w:rsid w:val="00576882"/>
    <w:rsid w:val="005A75C6"/>
    <w:rsid w:val="005B1AF8"/>
    <w:rsid w:val="005B6DC2"/>
    <w:rsid w:val="005E1E75"/>
    <w:rsid w:val="005E5663"/>
    <w:rsid w:val="005E5910"/>
    <w:rsid w:val="005F6F74"/>
    <w:rsid w:val="00603F4F"/>
    <w:rsid w:val="00622480"/>
    <w:rsid w:val="00647D58"/>
    <w:rsid w:val="00656D42"/>
    <w:rsid w:val="00684F73"/>
    <w:rsid w:val="00696E43"/>
    <w:rsid w:val="006A6A52"/>
    <w:rsid w:val="006B4C94"/>
    <w:rsid w:val="006C06E6"/>
    <w:rsid w:val="006E5DD8"/>
    <w:rsid w:val="006F54F3"/>
    <w:rsid w:val="007003A4"/>
    <w:rsid w:val="007031F4"/>
    <w:rsid w:val="00720B5C"/>
    <w:rsid w:val="00725AA6"/>
    <w:rsid w:val="00732111"/>
    <w:rsid w:val="00745B81"/>
    <w:rsid w:val="00776D66"/>
    <w:rsid w:val="00777ACD"/>
    <w:rsid w:val="00787FA9"/>
    <w:rsid w:val="007A2B5C"/>
    <w:rsid w:val="007A33E6"/>
    <w:rsid w:val="007A53AC"/>
    <w:rsid w:val="007C53F8"/>
    <w:rsid w:val="007D2D7F"/>
    <w:rsid w:val="00842FBD"/>
    <w:rsid w:val="0086194F"/>
    <w:rsid w:val="00867092"/>
    <w:rsid w:val="00887222"/>
    <w:rsid w:val="0089430F"/>
    <w:rsid w:val="008B3951"/>
    <w:rsid w:val="008C3D9F"/>
    <w:rsid w:val="008D76C5"/>
    <w:rsid w:val="009101E1"/>
    <w:rsid w:val="00936EF7"/>
    <w:rsid w:val="00947D17"/>
    <w:rsid w:val="00971180"/>
    <w:rsid w:val="009727F9"/>
    <w:rsid w:val="009871FB"/>
    <w:rsid w:val="00992953"/>
    <w:rsid w:val="009B0A33"/>
    <w:rsid w:val="009B28A5"/>
    <w:rsid w:val="009B3271"/>
    <w:rsid w:val="009B6212"/>
    <w:rsid w:val="009C5368"/>
    <w:rsid w:val="009C62A9"/>
    <w:rsid w:val="009C77A0"/>
    <w:rsid w:val="009D467A"/>
    <w:rsid w:val="009E76B1"/>
    <w:rsid w:val="009E7B8C"/>
    <w:rsid w:val="009F7699"/>
    <w:rsid w:val="00A50372"/>
    <w:rsid w:val="00A5159D"/>
    <w:rsid w:val="00A63A2B"/>
    <w:rsid w:val="00A65A9A"/>
    <w:rsid w:val="00A97802"/>
    <w:rsid w:val="00AC2517"/>
    <w:rsid w:val="00AC3B8E"/>
    <w:rsid w:val="00AE1650"/>
    <w:rsid w:val="00AF27F3"/>
    <w:rsid w:val="00B04B20"/>
    <w:rsid w:val="00B47BD7"/>
    <w:rsid w:val="00B6068B"/>
    <w:rsid w:val="00B632A1"/>
    <w:rsid w:val="00B766FA"/>
    <w:rsid w:val="00B872F5"/>
    <w:rsid w:val="00BA4C45"/>
    <w:rsid w:val="00BA6D10"/>
    <w:rsid w:val="00BC2907"/>
    <w:rsid w:val="00BC2D08"/>
    <w:rsid w:val="00BE59F9"/>
    <w:rsid w:val="00BF6CDF"/>
    <w:rsid w:val="00C0120F"/>
    <w:rsid w:val="00C14367"/>
    <w:rsid w:val="00C21A2A"/>
    <w:rsid w:val="00C302FA"/>
    <w:rsid w:val="00C5686C"/>
    <w:rsid w:val="00C6788C"/>
    <w:rsid w:val="00C67A76"/>
    <w:rsid w:val="00C74819"/>
    <w:rsid w:val="00C86748"/>
    <w:rsid w:val="00CA6032"/>
    <w:rsid w:val="00CA6CB3"/>
    <w:rsid w:val="00CB7762"/>
    <w:rsid w:val="00CE2686"/>
    <w:rsid w:val="00D01427"/>
    <w:rsid w:val="00D124EA"/>
    <w:rsid w:val="00D22147"/>
    <w:rsid w:val="00D3278A"/>
    <w:rsid w:val="00D47051"/>
    <w:rsid w:val="00D62EFA"/>
    <w:rsid w:val="00D64906"/>
    <w:rsid w:val="00D857C7"/>
    <w:rsid w:val="00D9170B"/>
    <w:rsid w:val="00D973DD"/>
    <w:rsid w:val="00DA1005"/>
    <w:rsid w:val="00DA3651"/>
    <w:rsid w:val="00DC52E3"/>
    <w:rsid w:val="00DD1BB1"/>
    <w:rsid w:val="00DE3174"/>
    <w:rsid w:val="00DF539C"/>
    <w:rsid w:val="00E05BC3"/>
    <w:rsid w:val="00E07F40"/>
    <w:rsid w:val="00E15497"/>
    <w:rsid w:val="00E16DD9"/>
    <w:rsid w:val="00E201A8"/>
    <w:rsid w:val="00E471B2"/>
    <w:rsid w:val="00E54216"/>
    <w:rsid w:val="00E83A76"/>
    <w:rsid w:val="00E90C89"/>
    <w:rsid w:val="00E96B6D"/>
    <w:rsid w:val="00EA75E7"/>
    <w:rsid w:val="00EB404C"/>
    <w:rsid w:val="00EC5653"/>
    <w:rsid w:val="00ED2B27"/>
    <w:rsid w:val="00F16D46"/>
    <w:rsid w:val="00F6431E"/>
    <w:rsid w:val="00F7706D"/>
    <w:rsid w:val="00F81DDA"/>
    <w:rsid w:val="00F86281"/>
    <w:rsid w:val="00FA0CA8"/>
    <w:rsid w:val="00FA5345"/>
    <w:rsid w:val="00FB3240"/>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E0FFEA"/>
  <w15:docId w15:val="{C004003B-E3C2-483D-9752-AC81CD6D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paragraph" w:styleId="Heading9">
    <w:name w:val="heading 9"/>
    <w:basedOn w:val="Normal"/>
    <w:next w:val="Normal"/>
    <w:link w:val="Heading9Char"/>
    <w:qFormat/>
    <w:rsid w:val="005B1AF8"/>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BodyText">
    <w:name w:val="Body Text"/>
    <w:basedOn w:val="Normal"/>
    <w:link w:val="BodyTextChar"/>
    <w:uiPriority w:val="49"/>
    <w:unhideWhenUsed/>
    <w:rsid w:val="00335A77"/>
    <w:pPr>
      <w:spacing w:after="120"/>
    </w:pPr>
  </w:style>
  <w:style w:type="character" w:customStyle="1" w:styleId="BodyTextChar">
    <w:name w:val="Body Text Char"/>
    <w:basedOn w:val="DefaultParagraphFont"/>
    <w:link w:val="BodyText"/>
    <w:uiPriority w:val="49"/>
    <w:rsid w:val="00335A77"/>
  </w:style>
  <w:style w:type="character" w:customStyle="1" w:styleId="StyleBodyText13ptCharCharChar">
    <w:name w:val="Style Body Text + 13 pt Char Char Char"/>
    <w:rsid w:val="00335A77"/>
    <w:rPr>
      <w:sz w:val="24"/>
      <w:lang w:val="en-AU" w:eastAsia="en-AU" w:bidi="ar-SA"/>
    </w:rPr>
  </w:style>
  <w:style w:type="character" w:customStyle="1" w:styleId="Heading9Char">
    <w:name w:val="Heading 9 Char"/>
    <w:basedOn w:val="DefaultParagraphFont"/>
    <w:link w:val="Heading9"/>
    <w:rsid w:val="005B1AF8"/>
    <w:rPr>
      <w:rFonts w:ascii="Arial" w:eastAsia="Times New Roman" w:hAnsi="Arial" w:cs="Arial"/>
      <w:sz w:val="22"/>
      <w:szCs w:val="22"/>
    </w:rPr>
  </w:style>
  <w:style w:type="character" w:styleId="CommentReference">
    <w:name w:val="annotation reference"/>
    <w:basedOn w:val="DefaultParagraphFont"/>
    <w:uiPriority w:val="49"/>
    <w:semiHidden/>
    <w:unhideWhenUsed/>
    <w:rsid w:val="00ED2B27"/>
    <w:rPr>
      <w:sz w:val="16"/>
      <w:szCs w:val="16"/>
    </w:rPr>
  </w:style>
  <w:style w:type="paragraph" w:styleId="CommentText">
    <w:name w:val="annotation text"/>
    <w:basedOn w:val="Normal"/>
    <w:link w:val="CommentTextChar"/>
    <w:uiPriority w:val="49"/>
    <w:semiHidden/>
    <w:unhideWhenUsed/>
    <w:rsid w:val="00ED2B27"/>
    <w:rPr>
      <w:sz w:val="20"/>
      <w:szCs w:val="20"/>
    </w:rPr>
  </w:style>
  <w:style w:type="character" w:customStyle="1" w:styleId="CommentTextChar">
    <w:name w:val="Comment Text Char"/>
    <w:basedOn w:val="DefaultParagraphFont"/>
    <w:link w:val="CommentText"/>
    <w:uiPriority w:val="49"/>
    <w:semiHidden/>
    <w:rsid w:val="00ED2B27"/>
    <w:rPr>
      <w:sz w:val="20"/>
      <w:szCs w:val="20"/>
    </w:rPr>
  </w:style>
  <w:style w:type="paragraph" w:styleId="CommentSubject">
    <w:name w:val="annotation subject"/>
    <w:basedOn w:val="CommentText"/>
    <w:next w:val="CommentText"/>
    <w:link w:val="CommentSubjectChar"/>
    <w:uiPriority w:val="49"/>
    <w:semiHidden/>
    <w:unhideWhenUsed/>
    <w:rsid w:val="00ED2B27"/>
    <w:rPr>
      <w:b/>
      <w:bCs/>
    </w:rPr>
  </w:style>
  <w:style w:type="character" w:customStyle="1" w:styleId="CommentSubjectChar">
    <w:name w:val="Comment Subject Char"/>
    <w:basedOn w:val="CommentTextChar"/>
    <w:link w:val="CommentSubject"/>
    <w:uiPriority w:val="49"/>
    <w:semiHidden/>
    <w:rsid w:val="00ED2B27"/>
    <w:rPr>
      <w:b/>
      <w:bCs/>
      <w:sz w:val="20"/>
      <w:szCs w:val="20"/>
    </w:rPr>
  </w:style>
  <w:style w:type="paragraph" w:styleId="ListParagraph">
    <w:name w:val="List Paragraph"/>
    <w:basedOn w:val="Normal"/>
    <w:link w:val="ListParagraphChar"/>
    <w:uiPriority w:val="34"/>
    <w:qFormat/>
    <w:rsid w:val="00992953"/>
    <w:pPr>
      <w:spacing w:after="0"/>
      <w:ind w:left="720"/>
      <w:contextualSpacing/>
      <w:jc w:val="both"/>
    </w:pPr>
    <w:rPr>
      <w:rFonts w:eastAsia="Times New Roman"/>
      <w:szCs w:val="20"/>
    </w:rPr>
  </w:style>
  <w:style w:type="character" w:customStyle="1" w:styleId="ListParagraphChar">
    <w:name w:val="List Paragraph Char"/>
    <w:link w:val="ListParagraph"/>
    <w:uiPriority w:val="34"/>
    <w:locked/>
    <w:rsid w:val="00992953"/>
    <w:rPr>
      <w:rFonts w:eastAsia="Times New Roman"/>
      <w:szCs w:val="20"/>
    </w:rPr>
  </w:style>
  <w:style w:type="paragraph" w:customStyle="1" w:styleId="ActTitle">
    <w:name w:val="Act Title"/>
    <w:basedOn w:val="Normal"/>
    <w:next w:val="Normal"/>
    <w:rsid w:val="00992953"/>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992953"/>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AADC5D5424161B67FCE21B6FFE6FC"/>
        <w:category>
          <w:name w:val="General"/>
          <w:gallery w:val="placeholder"/>
        </w:category>
        <w:types>
          <w:type w:val="bbPlcHdr"/>
        </w:types>
        <w:behaviors>
          <w:behavior w:val="content"/>
        </w:behaviors>
        <w:guid w:val="{906F88B3-2707-4809-96BD-94727A98D346}"/>
      </w:docPartPr>
      <w:docPartBody>
        <w:p w:rsidR="00D12EFC" w:rsidRDefault="004764AF" w:rsidP="004764AF">
          <w:pPr>
            <w:pStyle w:val="B38AADC5D5424161B67FCE21B6FFE6FC"/>
          </w:pPr>
          <w:r>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AF"/>
    <w:rsid w:val="004764AF"/>
    <w:rsid w:val="00D12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4AF"/>
  </w:style>
  <w:style w:type="paragraph" w:customStyle="1" w:styleId="B38AADC5D5424161B67FCE21B6FFE6FC">
    <w:name w:val="B38AADC5D5424161B67FCE21B6FFE6FC"/>
    <w:rsid w:val="00476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B61A-2B1B-4E31-B89A-62968CBC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ACA5-FF25-44EB-9F22-13BC540CEFF1}">
  <ds:schemaRefs>
    <ds:schemaRef ds:uri="79530295-9eea-494d-b82a-9ff74409eafc"/>
    <ds:schemaRef ds:uri="http://purl.org/dc/dcmitype/"/>
    <ds:schemaRef ds:uri="http://schemas.microsoft.com/office/2006/documentManagement/types"/>
    <ds:schemaRef ds:uri="http://purl.org/dc/elements/1.1/"/>
    <ds:schemaRef ds:uri="5664482d-1961-4d38-bfc2-b109b3418834"/>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6DE86975-E9DD-4BF8-9214-F26ECB07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10</Pages>
  <Words>1924</Words>
  <Characters>10432</Characters>
  <Application>Microsoft Office Word</Application>
  <DocSecurity>0</DocSecurity>
  <Lines>347</Lines>
  <Paragraphs>213</Paragraphs>
  <ScaleCrop>false</ScaleCrop>
  <HeadingPairs>
    <vt:vector size="2" baseType="variant">
      <vt:variant>
        <vt:lpstr>Title</vt:lpstr>
      </vt:variant>
      <vt:variant>
        <vt:i4>1</vt:i4>
      </vt:variant>
    </vt:vector>
  </HeadingPairs>
  <TitlesOfParts>
    <vt:vector size="1" baseType="lpstr">
      <vt:lpstr>Prudential Standard GPS 115</vt:lpstr>
    </vt:vector>
  </TitlesOfParts>
  <Company>APRA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GPS 115</dc:title>
  <dc:creator>Tanja Mirkovic</dc:creator>
  <cp:keywords>[SEC=UNOFFICIAL]</cp:keywords>
  <cp:lastModifiedBy>Toni Michalis</cp:lastModifiedBy>
  <cp:revision>2</cp:revision>
  <dcterms:created xsi:type="dcterms:W3CDTF">2023-05-31T11:43:00Z</dcterms:created>
  <dcterms:modified xsi:type="dcterms:W3CDTF">2023-05-31T11:43:00Z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1A0C27BE6679FC34EB6C7F80FE381456</vt:lpwstr>
  </property>
  <property fmtid="{D5CDD505-2E9C-101B-9397-08002B2CF9AE}" pid="10" name="PM_Hash_SHA1">
    <vt:lpwstr>CE7BFE51F41FBEA1B6557FD1124A56076F58A5D4</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8E6EDC62991B196F0F6274587A9569FC</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2022-09-13T00:18:36Z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b2f64ffc-bae0-4775-9847-943dffb4c416</vt:lpwstr>
  </property>
  <property fmtid="{D5CDD505-2E9C-101B-9397-08002B2CF9AE}" pid="42" name="PM_Note">
    <vt:lpwstr/>
  </property>
  <property fmtid="{D5CDD505-2E9C-101B-9397-08002B2CF9AE}" pid="43" name="PM_Markers">
    <vt:lpwstr/>
  </property>
  <property fmtid="{D5CDD505-2E9C-101B-9397-08002B2CF9AE}" pid="44" name="PM_Display">
    <vt:lpwstr>Personal</vt:lpwstr>
  </property>
  <property fmtid="{D5CDD505-2E9C-101B-9397-08002B2CF9AE}" pid="45" name="PM_OriginatorUserAccountName_SHA256">
    <vt:lpwstr>6E3018F28A186D2E5FF5207C041E7A82E907C3008E071057026A53705873B72E</vt:lpwstr>
  </property>
  <property fmtid="{D5CDD505-2E9C-101B-9397-08002B2CF9AE}" pid="46" name="PM_OriginatorDomainName_SHA256">
    <vt:lpwstr>ECBDE2B44A971754412B3FB70606937A119CC0D4B6C1B658A40FBD41C30BE3EC</vt:lpwstr>
  </property>
  <property fmtid="{D5CDD505-2E9C-101B-9397-08002B2CF9AE}" pid="47" name="RecordPoint_WorkflowType">
    <vt:lpwstr>ActiveSubmitStub</vt:lpwstr>
  </property>
  <property fmtid="{D5CDD505-2E9C-101B-9397-08002B2CF9AE}" pid="48" name="RecordPoint_ActiveItemSiteId">
    <vt:lpwstr>{84af826e-2518-4772-bac2-7b8081da2087}</vt:lpwstr>
  </property>
  <property fmtid="{D5CDD505-2E9C-101B-9397-08002B2CF9AE}" pid="49" name="RecordPoint_ActiveItemListId">
    <vt:lpwstr>{fc59aca8-863e-4c39-b69a-97632099c4a0}</vt:lpwstr>
  </property>
  <property fmtid="{D5CDD505-2E9C-101B-9397-08002B2CF9AE}" pid="50" name="RecordPoint_ActiveItemUniqueId">
    <vt:lpwstr>{b2f64ffc-bae0-4775-9847-943dffb4c416}</vt:lpwstr>
  </property>
  <property fmtid="{D5CDD505-2E9C-101B-9397-08002B2CF9AE}" pid="51" name="RecordPoint_ActiveItemWebId">
    <vt:lpwstr>{e3b62e1b-357d-4d42-becf-206c8aada0ef}</vt:lpwstr>
  </property>
  <property fmtid="{D5CDD505-2E9C-101B-9397-08002B2CF9AE}" pid="52" name="IsLocked">
    <vt:lpwstr>Yes</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PMUuid">
    <vt:lpwstr>v=2022.2;d=gov.au;g=65417EFE-F3B9-5E66-BD91-1E689FEC2EA6</vt:lpwstr>
  </property>
  <property fmtid="{D5CDD505-2E9C-101B-9397-08002B2CF9AE}" pid="56" name="MSIP_Label_bfd5df59-fc4a-42eb-ac4e-d9fda266b5d9_SetDate">
    <vt:lpwstr>2022-09-13T00:18:36Z</vt:lpwstr>
  </property>
  <property fmtid="{D5CDD505-2E9C-101B-9397-08002B2CF9AE}" pid="57" name="MSIP_Label_bfd5df59-fc4a-42eb-ac4e-d9fda266b5d9_Enabled">
    <vt:lpwstr>true</vt:lpwstr>
  </property>
  <property fmtid="{D5CDD505-2E9C-101B-9397-08002B2CF9AE}" pid="58" name="MSIP_Label_bfd5df59-fc4a-42eb-ac4e-d9fda266b5d9_Name">
    <vt:lpwstr>UNOFFICIAL</vt:lpwstr>
  </property>
  <property fmtid="{D5CDD505-2E9C-101B-9397-08002B2CF9AE}" pid="59" name="MSIP_Label_bfd5df59-fc4a-42eb-ac4e-d9fda266b5d9_SiteId">
    <vt:lpwstr>c05e3ffd-b491-4431-9809-e61d4dc78816</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SIP_Label_bfd5df59-fc4a-42eb-ac4e-d9fda266b5d9_ActionId">
    <vt:lpwstr>352a0d2ffbdd44bdb4ddc49b64aa6dda</vt:lpwstr>
  </property>
  <property fmtid="{D5CDD505-2E9C-101B-9397-08002B2CF9AE}" pid="64" name="PMHMAC">
    <vt:lpwstr>v=2022.1;a=SHA256;h=694C94051EB06F3F9D98EBC0C781F2A9E23157B902363722A12E1EE53EC03A50</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