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530D7312"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EE6595">
        <w:rPr>
          <w:rFonts w:ascii="Times New Roman" w:hAnsi="Times New Roman" w:cs="Times New Roman"/>
          <w:b/>
          <w:sz w:val="24"/>
          <w:szCs w:val="24"/>
        </w:rPr>
        <w:t>4</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0D503898" w:rsidR="00A25E0D" w:rsidRDefault="00A25E0D" w:rsidP="009D6B58">
      <w:pPr>
        <w:pStyle w:val="Default"/>
        <w:jc w:val="both"/>
      </w:pPr>
      <w:r w:rsidRPr="009D6B58">
        <w:t>On</w:t>
      </w:r>
      <w:r w:rsidR="00DC09B8">
        <w:t xml:space="preserve"> 24 May</w:t>
      </w:r>
      <w:r w:rsidRPr="009D6B58">
        <w:t xml:space="preserve"> 2023, APRA made</w:t>
      </w:r>
      <w:r>
        <w:t xml:space="preserve"> </w:t>
      </w:r>
      <w:r w:rsidRPr="00770FF9">
        <w:t xml:space="preserve">Insurance (prudential standard) determination </w:t>
      </w:r>
      <w:r w:rsidR="00EE6595">
        <w:t>N</w:t>
      </w:r>
      <w:r w:rsidRPr="00770FF9">
        <w:t xml:space="preserve">o. </w:t>
      </w:r>
      <w:r w:rsidR="00EE6595">
        <w:t>4</w:t>
      </w:r>
      <w:r w:rsidRPr="00770FF9">
        <w:t xml:space="preserve"> of 2023 which </w:t>
      </w:r>
      <w:r w:rsidR="00775583" w:rsidRPr="00775583">
        <w:rPr>
          <w:i/>
        </w:rPr>
        <w:t>Prudential Standard GPS 114 Capital Adequacy: Asset Risk Charge</w:t>
      </w:r>
      <w:r w:rsidR="006A6B79" w:rsidRPr="006A6B79">
        <w:rPr>
          <w:i/>
        </w:rPr>
        <w:t xml:space="preserve"> </w:t>
      </w:r>
      <w:r w:rsidRPr="00770FF9">
        <w:t xml:space="preserve">made under Insurance </w:t>
      </w:r>
      <w:r w:rsidRPr="009D6B58">
        <w:t xml:space="preserve">determination No. </w:t>
      </w:r>
      <w:r w:rsidR="009D6B58" w:rsidRPr="009D6B58">
        <w:t>2</w:t>
      </w:r>
      <w:r w:rsidRPr="009D6B58">
        <w:t xml:space="preserve"> of </w:t>
      </w:r>
      <w:r w:rsidR="009D6B58" w:rsidRPr="009D6B58">
        <w:t>20</w:t>
      </w:r>
      <w:r w:rsidR="00775583">
        <w:t>22</w:t>
      </w:r>
      <w:r w:rsidR="009D6B58" w:rsidRPr="009D6B58">
        <w:t xml:space="preserve"> </w:t>
      </w:r>
      <w:r w:rsidRPr="009D6B58">
        <w:t xml:space="preserve">and determines a new </w:t>
      </w:r>
      <w:r w:rsidR="00CC26F0" w:rsidRPr="00775583">
        <w:rPr>
          <w:i/>
        </w:rPr>
        <w:t>Prudential Standard GPS 114 Capital Adequacy: Asset Risk Charge</w:t>
      </w:r>
      <w:r w:rsidR="00775583" w:rsidRPr="00775583">
        <w:rPr>
          <w:i/>
        </w:rPr>
        <w:t xml:space="preserve"> </w:t>
      </w:r>
      <w:r w:rsidRPr="009D6B58">
        <w:t>(GPS 1</w:t>
      </w:r>
      <w:r w:rsidR="0044005B">
        <w:t>1</w:t>
      </w:r>
      <w:r w:rsidR="00775583">
        <w:t>4</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76718FB0"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 xml:space="preserve">On </w:t>
      </w:r>
      <w:r w:rsidR="00DC09B8">
        <w:rPr>
          <w:rFonts w:ascii="Times New Roman" w:hAnsi="Times New Roman" w:cs="Times New Roman"/>
          <w:sz w:val="24"/>
          <w:szCs w:val="24"/>
        </w:rPr>
        <w:t>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2FBAD970"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4914B1">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2402AE84"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4914B1">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4914B1">
        <w:rPr>
          <w:rFonts w:ascii="Times New Roman" w:hAnsi="Times New Roman" w:cs="Times New Roman"/>
          <w:sz w:val="24"/>
          <w:szCs w:val="24"/>
        </w:rPr>
        <w:t>AASB 17</w:t>
      </w:r>
      <w:r w:rsidRPr="00334B5E">
        <w:rPr>
          <w:rFonts w:ascii="Times New Roman" w:hAnsi="Times New Roman" w:cs="Times New Roman"/>
          <w:sz w:val="24"/>
          <w:szCs w:val="24"/>
        </w:rPr>
        <w:t xml:space="preserve"> and APRA’s prudential framework.</w:t>
      </w:r>
    </w:p>
    <w:p w14:paraId="698741D7" w14:textId="07437BF8"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4914B1">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33AB74C4" w:rsidR="00EF32FA" w:rsidRDefault="000D73F7" w:rsidP="007A012F">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instrument is to revoke GPS 1</w:t>
      </w:r>
      <w:r w:rsidR="0044005B">
        <w:rPr>
          <w:rFonts w:ascii="Times New Roman" w:hAnsi="Times New Roman" w:cs="Times New Roman"/>
          <w:sz w:val="24"/>
          <w:szCs w:val="24"/>
        </w:rPr>
        <w:t>1</w:t>
      </w:r>
      <w:r w:rsidR="00775583">
        <w:rPr>
          <w:rFonts w:ascii="Times New Roman" w:hAnsi="Times New Roman" w:cs="Times New Roman"/>
          <w:sz w:val="24"/>
          <w:szCs w:val="24"/>
        </w:rPr>
        <w:t>4</w:t>
      </w:r>
      <w:r w:rsidR="00D247A2">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7A012F">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24E32354" w14:textId="78E73C1F" w:rsidR="007A012F" w:rsidRDefault="007A012F" w:rsidP="007A012F">
      <w:pPr>
        <w:pStyle w:val="heading0"/>
        <w:shd w:val="clear" w:color="auto" w:fill="FFFFFF"/>
        <w:jc w:val="both"/>
        <w:rPr>
          <w:rFonts w:eastAsiaTheme="minorHAnsi"/>
          <w:color w:val="000000"/>
          <w:lang w:eastAsia="en-US"/>
        </w:rPr>
      </w:pPr>
      <w:r w:rsidRPr="007A012F">
        <w:rPr>
          <w:rFonts w:eastAsiaTheme="minorHAnsi"/>
          <w:color w:val="000000"/>
          <w:lang w:eastAsia="en-US"/>
        </w:rPr>
        <w:t>GPS 114 sets out the method for calculating the Asset Risk Charge, the minimum</w:t>
      </w:r>
      <w:r>
        <w:rPr>
          <w:rFonts w:eastAsiaTheme="minorHAnsi"/>
          <w:color w:val="000000"/>
          <w:lang w:eastAsia="en-US"/>
        </w:rPr>
        <w:t xml:space="preserve"> </w:t>
      </w:r>
      <w:r w:rsidRPr="007A012F">
        <w:rPr>
          <w:rFonts w:eastAsiaTheme="minorHAnsi"/>
          <w:color w:val="000000"/>
          <w:lang w:eastAsia="en-US"/>
        </w:rPr>
        <w:t>amount of capital a general insurer or Level 2 insurance group must hold against the</w:t>
      </w:r>
      <w:r>
        <w:rPr>
          <w:rFonts w:eastAsiaTheme="minorHAnsi"/>
          <w:color w:val="000000"/>
          <w:lang w:eastAsia="en-US"/>
        </w:rPr>
        <w:t xml:space="preserve"> </w:t>
      </w:r>
      <w:r w:rsidRPr="007A012F">
        <w:rPr>
          <w:rFonts w:eastAsiaTheme="minorHAnsi"/>
          <w:color w:val="000000"/>
          <w:lang w:eastAsia="en-US"/>
        </w:rPr>
        <w:t>asset risks associated with its activities. The Asset Risk Charge is one of the</w:t>
      </w:r>
      <w:r>
        <w:rPr>
          <w:rFonts w:eastAsiaTheme="minorHAnsi"/>
          <w:color w:val="000000"/>
          <w:lang w:eastAsia="en-US"/>
        </w:rPr>
        <w:t xml:space="preserve"> </w:t>
      </w:r>
      <w:r w:rsidRPr="007A012F">
        <w:rPr>
          <w:rFonts w:eastAsiaTheme="minorHAnsi"/>
          <w:color w:val="000000"/>
          <w:lang w:eastAsia="en-US"/>
        </w:rPr>
        <w:t>components of the Standard Method for calculating the prescribed capital amount and</w:t>
      </w:r>
      <w:r>
        <w:rPr>
          <w:rFonts w:eastAsiaTheme="minorHAnsi"/>
          <w:color w:val="000000"/>
          <w:lang w:eastAsia="en-US"/>
        </w:rPr>
        <w:t xml:space="preserve"> </w:t>
      </w:r>
      <w:r w:rsidRPr="007A012F">
        <w:rPr>
          <w:rFonts w:eastAsiaTheme="minorHAnsi"/>
          <w:color w:val="000000"/>
          <w:lang w:eastAsia="en-US"/>
        </w:rPr>
        <w:t>relates to the risk of adverse movements in the value of a fund’s on-balance sheet and</w:t>
      </w:r>
      <w:r>
        <w:rPr>
          <w:rFonts w:eastAsiaTheme="minorHAnsi"/>
          <w:color w:val="000000"/>
          <w:lang w:eastAsia="en-US"/>
        </w:rPr>
        <w:t xml:space="preserve"> </w:t>
      </w:r>
      <w:r w:rsidRPr="007A012F">
        <w:rPr>
          <w:rFonts w:eastAsiaTheme="minorHAnsi"/>
          <w:color w:val="000000"/>
          <w:lang w:eastAsia="en-US"/>
        </w:rPr>
        <w:t>off-balance sheet exposures.</w:t>
      </w:r>
    </w:p>
    <w:p w14:paraId="0AE18ABF" w14:textId="77777777" w:rsidR="00FF2D82" w:rsidRPr="00B929E5" w:rsidRDefault="00FF2D82" w:rsidP="00FF2D82">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09946B6D" w14:textId="77777777" w:rsidR="00FF2D82" w:rsidRPr="00B929E5" w:rsidRDefault="00FF2D82" w:rsidP="00FF2D82">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1DE9E441" w14:textId="77777777" w:rsidR="00FF2D82" w:rsidRPr="00B929E5" w:rsidRDefault="00FF2D82" w:rsidP="00FF2D82">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30E6592C" w14:textId="77777777" w:rsidR="00FF2D82" w:rsidRPr="00B929E5" w:rsidRDefault="00FF2D82" w:rsidP="00FF2D82">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0FF7B25F" w14:textId="77777777" w:rsidR="00FF2D82" w:rsidRPr="00B929E5" w:rsidRDefault="00FF2D82" w:rsidP="00FF2D8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2C82A1A2" w14:textId="77777777" w:rsidR="00FF2D82" w:rsidRPr="00B929E5" w:rsidRDefault="00FF2D82" w:rsidP="00FF2D8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2A7F8364" w14:textId="77777777" w:rsidR="00FF2D82" w:rsidRPr="00B929E5" w:rsidRDefault="00FF2D82" w:rsidP="00FF2D8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78E06E5D" w14:textId="77777777" w:rsidR="00FF2D82" w:rsidRPr="00B929E5" w:rsidRDefault="00FF2D82" w:rsidP="00FF2D8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54F6DA39" w14:textId="77777777" w:rsidR="00FF2D82" w:rsidRPr="00B929E5" w:rsidRDefault="00FF2D82" w:rsidP="00FF2D82">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1D1EA10A" w14:textId="77777777" w:rsidR="00FF2D82" w:rsidRPr="00B929E5" w:rsidRDefault="00FF2D82" w:rsidP="00FF2D82">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3B14B86D" w14:textId="77777777" w:rsidR="00FF2D82" w:rsidRPr="00B929E5" w:rsidRDefault="00FF2D82" w:rsidP="00FF2D82">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24F4057E" w14:textId="7F7A0D58" w:rsidR="00FF2D82" w:rsidRDefault="00FF2D82" w:rsidP="00FF2D8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396C6E07" w14:textId="77777777" w:rsidR="00EF3019" w:rsidRDefault="00EF3019" w:rsidP="00EF3019">
      <w:pPr>
        <w:pStyle w:val="heading0"/>
        <w:shd w:val="clear" w:color="auto" w:fill="FFFFFF"/>
        <w:spacing w:before="0" w:beforeAutospacing="0" w:after="240" w:afterAutospacing="0"/>
        <w:jc w:val="both"/>
        <w:rPr>
          <w:shd w:val="clear" w:color="auto" w:fill="FFFFFF"/>
        </w:rPr>
      </w:pPr>
      <w:r w:rsidRPr="00424CB8">
        <w:rPr>
          <w:shd w:val="clear" w:color="auto" w:fill="FFFFFF"/>
        </w:rPr>
        <w:t xml:space="preserve">In </w:t>
      </w:r>
      <w:r>
        <w:rPr>
          <w:shd w:val="clear" w:color="auto" w:fill="FFFFFF"/>
        </w:rPr>
        <w:t xml:space="preserve">GPS </w:t>
      </w:r>
      <w:r w:rsidRPr="00424CB8">
        <w:rPr>
          <w:shd w:val="clear" w:color="auto" w:fill="FFFFFF"/>
        </w:rPr>
        <w:t xml:space="preserve">114 reference is made to the “Consumer Price Index (CPI)” and to the “ASX 200 index”. These referenced items are not incorporated into </w:t>
      </w:r>
      <w:r>
        <w:rPr>
          <w:shd w:val="clear" w:color="auto" w:fill="FFFFFF"/>
        </w:rPr>
        <w:t xml:space="preserve">GPS </w:t>
      </w:r>
      <w:r w:rsidRPr="00424CB8">
        <w:rPr>
          <w:shd w:val="clear" w:color="auto" w:fill="FFFFFF"/>
        </w:rPr>
        <w:t xml:space="preserve">114. There is no application of the content underpinning these items as requirements under </w:t>
      </w:r>
      <w:r>
        <w:rPr>
          <w:shd w:val="clear" w:color="auto" w:fill="FFFFFF"/>
        </w:rPr>
        <w:t xml:space="preserve">GPS </w:t>
      </w:r>
      <w:r w:rsidRPr="00424CB8">
        <w:rPr>
          <w:shd w:val="clear" w:color="auto" w:fill="FFFFFF"/>
        </w:rPr>
        <w:t>114</w:t>
      </w:r>
      <w:r>
        <w:rPr>
          <w:shd w:val="clear" w:color="auto" w:fill="FFFFFF"/>
        </w:rPr>
        <w:t xml:space="preserve"> and these </w:t>
      </w:r>
      <w:r w:rsidRPr="00424CB8">
        <w:rPr>
          <w:shd w:val="clear" w:color="auto" w:fill="FFFFFF"/>
        </w:rPr>
        <w:t>items do not impose any obligations on a</w:t>
      </w:r>
      <w:r>
        <w:rPr>
          <w:shd w:val="clear" w:color="auto" w:fill="FFFFFF"/>
        </w:rPr>
        <w:t>n</w:t>
      </w:r>
      <w:r w:rsidRPr="00424CB8">
        <w:rPr>
          <w:shd w:val="clear" w:color="auto" w:fill="FFFFFF"/>
        </w:rPr>
        <w:t xml:space="preserve"> insurer and are included for scenario setting in relation to stress measures on the capital base.</w:t>
      </w:r>
    </w:p>
    <w:p w14:paraId="408368B9" w14:textId="77777777" w:rsidR="00FF2D82" w:rsidRPr="00B929E5" w:rsidRDefault="00FF2D82" w:rsidP="00FF2D82">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0C5552A8" w14:textId="77777777" w:rsidR="00FF2D82" w:rsidRPr="00B929E5" w:rsidRDefault="00FF2D82" w:rsidP="00FF2D8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4050BB84" w14:textId="77777777" w:rsidR="00FF2D82" w:rsidRPr="00B929E5" w:rsidRDefault="00FF2D82" w:rsidP="00FF2D8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7436918A" w14:textId="131E3203" w:rsidR="00FF2D82" w:rsidRDefault="00FF2D82" w:rsidP="00FF2D82">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08715943" w14:textId="77777777" w:rsidR="00EF3019" w:rsidRDefault="00EF3019" w:rsidP="00FF2D82">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3B19E407"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4914B1">
        <w:rPr>
          <w:rFonts w:ascii="Times New Roman" w:hAnsi="Times New Roman" w:cs="Times New Roman"/>
          <w:sz w:val="24"/>
          <w:szCs w:val="24"/>
        </w:rPr>
        <w:t>Letter issued</w:t>
      </w:r>
      <w:r w:rsidRPr="00334B5E">
        <w:rPr>
          <w:rFonts w:ascii="Times New Roman" w:hAnsi="Times New Roman" w:cs="Times New Roman"/>
          <w:sz w:val="24"/>
          <w:szCs w:val="24"/>
        </w:rPr>
        <w:t xml:space="preserve"> 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23965391"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EE6595">
        <w:rPr>
          <w:rFonts w:ascii="Times New Roman" w:eastAsia="Times New Roman" w:hAnsi="Times New Roman" w:cs="Times New Roman"/>
          <w:b/>
          <w:sz w:val="24"/>
          <w:szCs w:val="24"/>
          <w:lang w:eastAsia="en-AU"/>
        </w:rPr>
        <w:t>4</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70AE4D20"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761B3A" w:rsidRPr="00761B3A">
        <w:rPr>
          <w:rFonts w:ascii="Times New Roman" w:hAnsi="Times New Roman" w:cs="Times New Roman"/>
          <w:i/>
          <w:sz w:val="24"/>
          <w:szCs w:val="24"/>
        </w:rPr>
        <w:t xml:space="preserve">Prudential Standard GPS 114 Capital Adequacy: Asset Risk Charge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8490" w14:textId="77777777" w:rsidR="00211AFD" w:rsidRPr="000D4EDE" w:rsidRDefault="00211AFD" w:rsidP="000D4EDE">
      <w:r>
        <w:separator/>
      </w:r>
    </w:p>
  </w:endnote>
  <w:endnote w:type="continuationSeparator" w:id="0">
    <w:p w14:paraId="16282C1A" w14:textId="77777777" w:rsidR="00211AFD" w:rsidRPr="000D4EDE" w:rsidRDefault="00211AFD" w:rsidP="000D4EDE">
      <w:r>
        <w:continuationSeparator/>
      </w:r>
    </w:p>
  </w:endnote>
  <w:endnote w:type="continuationNotice" w:id="1">
    <w:p w14:paraId="4CC4A5C1"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9C94" w14:textId="77777777" w:rsidR="00211AFD" w:rsidRPr="000D4EDE" w:rsidRDefault="00211AFD" w:rsidP="000D4EDE">
      <w:r>
        <w:separator/>
      </w:r>
    </w:p>
  </w:footnote>
  <w:footnote w:type="continuationSeparator" w:id="0">
    <w:p w14:paraId="04AFFE2E" w14:textId="77777777" w:rsidR="00211AFD" w:rsidRPr="000D4EDE" w:rsidRDefault="00211AFD" w:rsidP="000D4EDE">
      <w:r>
        <w:continuationSeparator/>
      </w:r>
    </w:p>
  </w:footnote>
  <w:footnote w:type="continuationNotice" w:id="1">
    <w:p w14:paraId="77B331E7"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14471203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14D9"/>
    <w:rsid w:val="000C15C7"/>
    <w:rsid w:val="000D4EDE"/>
    <w:rsid w:val="000D6EEB"/>
    <w:rsid w:val="000D73F7"/>
    <w:rsid w:val="000E2460"/>
    <w:rsid w:val="000E43AC"/>
    <w:rsid w:val="000E6E37"/>
    <w:rsid w:val="000F0E6F"/>
    <w:rsid w:val="000F2638"/>
    <w:rsid w:val="001018A5"/>
    <w:rsid w:val="00106F56"/>
    <w:rsid w:val="00115A39"/>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F0135"/>
    <w:rsid w:val="002F0C2C"/>
    <w:rsid w:val="002F7C9A"/>
    <w:rsid w:val="00300655"/>
    <w:rsid w:val="00301BB1"/>
    <w:rsid w:val="00302B60"/>
    <w:rsid w:val="00303D18"/>
    <w:rsid w:val="00307ADD"/>
    <w:rsid w:val="00307E55"/>
    <w:rsid w:val="0031227D"/>
    <w:rsid w:val="00312A66"/>
    <w:rsid w:val="003130CA"/>
    <w:rsid w:val="003141B3"/>
    <w:rsid w:val="003163CB"/>
    <w:rsid w:val="00321180"/>
    <w:rsid w:val="0032180D"/>
    <w:rsid w:val="003306A5"/>
    <w:rsid w:val="00334B5E"/>
    <w:rsid w:val="0034059D"/>
    <w:rsid w:val="00355D40"/>
    <w:rsid w:val="00371AAC"/>
    <w:rsid w:val="00371F54"/>
    <w:rsid w:val="0037770C"/>
    <w:rsid w:val="00377ACF"/>
    <w:rsid w:val="00377C8B"/>
    <w:rsid w:val="00383A95"/>
    <w:rsid w:val="00385CA0"/>
    <w:rsid w:val="003916BC"/>
    <w:rsid w:val="00391855"/>
    <w:rsid w:val="0039585F"/>
    <w:rsid w:val="003A1EA0"/>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DB2"/>
    <w:rsid w:val="003F0F0D"/>
    <w:rsid w:val="003F6AAF"/>
    <w:rsid w:val="0040173E"/>
    <w:rsid w:val="00413456"/>
    <w:rsid w:val="00414A8F"/>
    <w:rsid w:val="0042055C"/>
    <w:rsid w:val="00425F01"/>
    <w:rsid w:val="00435339"/>
    <w:rsid w:val="0044005B"/>
    <w:rsid w:val="004410DC"/>
    <w:rsid w:val="0044447D"/>
    <w:rsid w:val="0044482D"/>
    <w:rsid w:val="00444EFF"/>
    <w:rsid w:val="00450C1B"/>
    <w:rsid w:val="00450C67"/>
    <w:rsid w:val="00457702"/>
    <w:rsid w:val="004601F2"/>
    <w:rsid w:val="0046020A"/>
    <w:rsid w:val="00460CF7"/>
    <w:rsid w:val="00463FA8"/>
    <w:rsid w:val="00464196"/>
    <w:rsid w:val="00464905"/>
    <w:rsid w:val="00466648"/>
    <w:rsid w:val="00472CBC"/>
    <w:rsid w:val="00475D78"/>
    <w:rsid w:val="004765B3"/>
    <w:rsid w:val="004808E2"/>
    <w:rsid w:val="004843CA"/>
    <w:rsid w:val="004914B1"/>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C1785"/>
    <w:rsid w:val="005C5891"/>
    <w:rsid w:val="005C641B"/>
    <w:rsid w:val="005D04CC"/>
    <w:rsid w:val="005D5FAE"/>
    <w:rsid w:val="005E4BC9"/>
    <w:rsid w:val="005F29B7"/>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1398"/>
    <w:rsid w:val="00657459"/>
    <w:rsid w:val="0065747A"/>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4D0"/>
    <w:rsid w:val="006E3895"/>
    <w:rsid w:val="006E4272"/>
    <w:rsid w:val="006F145A"/>
    <w:rsid w:val="006F27CB"/>
    <w:rsid w:val="006F359B"/>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AAB"/>
    <w:rsid w:val="007571A4"/>
    <w:rsid w:val="00757385"/>
    <w:rsid w:val="00757F63"/>
    <w:rsid w:val="00761B3A"/>
    <w:rsid w:val="007645AE"/>
    <w:rsid w:val="00764992"/>
    <w:rsid w:val="00765749"/>
    <w:rsid w:val="00770FF9"/>
    <w:rsid w:val="0077507F"/>
    <w:rsid w:val="00775583"/>
    <w:rsid w:val="00775AA0"/>
    <w:rsid w:val="007770FA"/>
    <w:rsid w:val="00791738"/>
    <w:rsid w:val="00791780"/>
    <w:rsid w:val="00792D37"/>
    <w:rsid w:val="0079398C"/>
    <w:rsid w:val="007A012F"/>
    <w:rsid w:val="007A0EB7"/>
    <w:rsid w:val="007B2045"/>
    <w:rsid w:val="007B2C90"/>
    <w:rsid w:val="007B6871"/>
    <w:rsid w:val="007B7899"/>
    <w:rsid w:val="007C08B1"/>
    <w:rsid w:val="007C2CC2"/>
    <w:rsid w:val="007C38BD"/>
    <w:rsid w:val="007C3E07"/>
    <w:rsid w:val="007C6B6F"/>
    <w:rsid w:val="007C79AA"/>
    <w:rsid w:val="007D31DA"/>
    <w:rsid w:val="007D72C5"/>
    <w:rsid w:val="007E1D1C"/>
    <w:rsid w:val="007E525D"/>
    <w:rsid w:val="007F0323"/>
    <w:rsid w:val="007F379E"/>
    <w:rsid w:val="007F471C"/>
    <w:rsid w:val="00800C90"/>
    <w:rsid w:val="008125F8"/>
    <w:rsid w:val="008208A8"/>
    <w:rsid w:val="00826012"/>
    <w:rsid w:val="008310D2"/>
    <w:rsid w:val="00834CE0"/>
    <w:rsid w:val="00835251"/>
    <w:rsid w:val="0084110F"/>
    <w:rsid w:val="0084459A"/>
    <w:rsid w:val="00844B1D"/>
    <w:rsid w:val="00844F5C"/>
    <w:rsid w:val="00845843"/>
    <w:rsid w:val="00846D34"/>
    <w:rsid w:val="0085230C"/>
    <w:rsid w:val="008567D0"/>
    <w:rsid w:val="00863020"/>
    <w:rsid w:val="008633B5"/>
    <w:rsid w:val="008637EC"/>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34F7"/>
    <w:rsid w:val="008C6A43"/>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3194D"/>
    <w:rsid w:val="00934C3F"/>
    <w:rsid w:val="009417AE"/>
    <w:rsid w:val="009436D9"/>
    <w:rsid w:val="00945B3F"/>
    <w:rsid w:val="00950DCB"/>
    <w:rsid w:val="00952D47"/>
    <w:rsid w:val="00952D4C"/>
    <w:rsid w:val="00955091"/>
    <w:rsid w:val="00960246"/>
    <w:rsid w:val="00961B92"/>
    <w:rsid w:val="009720E1"/>
    <w:rsid w:val="00973620"/>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C1AAB"/>
    <w:rsid w:val="009C2198"/>
    <w:rsid w:val="009D2DDD"/>
    <w:rsid w:val="009D6B58"/>
    <w:rsid w:val="009E0C10"/>
    <w:rsid w:val="009E4116"/>
    <w:rsid w:val="009E529F"/>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34339"/>
    <w:rsid w:val="00B40434"/>
    <w:rsid w:val="00B40B7D"/>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D12A1"/>
    <w:rsid w:val="00BD1D09"/>
    <w:rsid w:val="00BD64ED"/>
    <w:rsid w:val="00BD7B83"/>
    <w:rsid w:val="00BE625B"/>
    <w:rsid w:val="00BF17C6"/>
    <w:rsid w:val="00BF6F09"/>
    <w:rsid w:val="00C00FDA"/>
    <w:rsid w:val="00C02EB9"/>
    <w:rsid w:val="00C0373C"/>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6F0"/>
    <w:rsid w:val="00CC2EB3"/>
    <w:rsid w:val="00CC30A1"/>
    <w:rsid w:val="00CC34EB"/>
    <w:rsid w:val="00CC4C58"/>
    <w:rsid w:val="00CC64C8"/>
    <w:rsid w:val="00CC66EA"/>
    <w:rsid w:val="00CD1253"/>
    <w:rsid w:val="00CD3C17"/>
    <w:rsid w:val="00CD653C"/>
    <w:rsid w:val="00CE1F9C"/>
    <w:rsid w:val="00CE2E48"/>
    <w:rsid w:val="00CE5657"/>
    <w:rsid w:val="00CE70FB"/>
    <w:rsid w:val="00CF0184"/>
    <w:rsid w:val="00CF4514"/>
    <w:rsid w:val="00CF55F6"/>
    <w:rsid w:val="00CF59E0"/>
    <w:rsid w:val="00CF6672"/>
    <w:rsid w:val="00D021F7"/>
    <w:rsid w:val="00D069C7"/>
    <w:rsid w:val="00D078A2"/>
    <w:rsid w:val="00D21123"/>
    <w:rsid w:val="00D247A2"/>
    <w:rsid w:val="00D26BB7"/>
    <w:rsid w:val="00D30B57"/>
    <w:rsid w:val="00D30BF8"/>
    <w:rsid w:val="00D310FD"/>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09B8"/>
    <w:rsid w:val="00DC23FC"/>
    <w:rsid w:val="00DD170F"/>
    <w:rsid w:val="00DD290B"/>
    <w:rsid w:val="00DD2971"/>
    <w:rsid w:val="00DE0A8A"/>
    <w:rsid w:val="00DE1106"/>
    <w:rsid w:val="00DE1D50"/>
    <w:rsid w:val="00DE23EE"/>
    <w:rsid w:val="00DF2F12"/>
    <w:rsid w:val="00DF2F8B"/>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47E11"/>
    <w:rsid w:val="00E51672"/>
    <w:rsid w:val="00E51C2C"/>
    <w:rsid w:val="00E522FC"/>
    <w:rsid w:val="00E55EE5"/>
    <w:rsid w:val="00E61784"/>
    <w:rsid w:val="00E625B3"/>
    <w:rsid w:val="00E63EB9"/>
    <w:rsid w:val="00E64254"/>
    <w:rsid w:val="00E64743"/>
    <w:rsid w:val="00E720D6"/>
    <w:rsid w:val="00E7257D"/>
    <w:rsid w:val="00E728CB"/>
    <w:rsid w:val="00E7336F"/>
    <w:rsid w:val="00E74F3B"/>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6595"/>
    <w:rsid w:val="00EE766D"/>
    <w:rsid w:val="00EF2A15"/>
    <w:rsid w:val="00EF3019"/>
    <w:rsid w:val="00EF32FA"/>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51029"/>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2D82"/>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purl.org/dc/terms/"/>
    <ds:schemaRef ds:uri="http://schemas.openxmlformats.org/package/2006/metadata/core-properties"/>
    <ds:schemaRef ds:uri="http://purl.org/dc/elements/1.1/"/>
    <ds:schemaRef ds:uri="5664482d-1961-4d38-bfc2-b109b3418834"/>
    <ds:schemaRef ds:uri="http://purl.org/dc/dcmitype/"/>
    <ds:schemaRef ds:uri="http://schemas.microsoft.com/office/2006/documentManagement/types"/>
    <ds:schemaRef ds:uri="http://schemas.microsoft.com/office/infopath/2007/PartnerControls"/>
    <ds:schemaRef ds:uri="79530295-9eea-494d-b82a-9ff74409eafc"/>
    <ds:schemaRef ds:uri="http://www.w3.org/XML/1998/namespace"/>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7910</Characters>
  <Application>Microsoft Office Word</Application>
  <DocSecurity>0</DocSecurity>
  <Lines>146</Lines>
  <Paragraphs>72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2023-05-31T11:56:00Z</dcterms:created>
  <dcterms:modified xsi:type="dcterms:W3CDTF">2023-05-31T11:56:00Z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3FDD3AC9435A07F23D9E64137A9DDE38</vt:lpwstr>
  </property>
  <property fmtid="{D5CDD505-2E9C-101B-9397-08002B2CF9AE}" pid="60" name="PM_Hash_Salt">
    <vt:lpwstr>6D7C0617C62518D2E6F323FD5B356E8E</vt:lpwstr>
  </property>
  <property fmtid="{D5CDD505-2E9C-101B-9397-08002B2CF9AE}" pid="61" name="PM_Hash_SHA1">
    <vt:lpwstr>D3557F92EF55F3C2550D0C204433F0607A9D9CEC</vt:lpwstr>
  </property>
  <property fmtid="{D5CDD505-2E9C-101B-9397-08002B2CF9AE}" pid="62" name="PMHMAC">
    <vt:lpwstr>v=2022.1;a=SHA256;h=82D7C9C0EDB014817DC1997D1A3CBAFB63A39650AB67E0C43FF5D6ADB1628754</vt:lpwstr>
  </property>
  <property fmtid="{D5CDD505-2E9C-101B-9397-08002B2CF9AE}" pid="63" name="MSIP_Label_c0129afb-6481-4f92-bc9f-5a4a6346364d_ActionId">
    <vt:lpwstr>4e88f46f26054101b126fa7ce7879331</vt:lpwstr>
  </property>
</Properties>
</file>