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F89B4" w14:textId="2049A27D" w:rsidR="00B06E21" w:rsidRPr="00BC1E70" w:rsidRDefault="007A24DF" w:rsidP="00B06E21">
      <w:pPr>
        <w:jc w:val="center"/>
        <w:rPr>
          <w:rFonts w:ascii="Times New Roman" w:hAnsi="Times New Roman" w:cs="Times New Roman"/>
          <w:b/>
          <w:sz w:val="24"/>
          <w:szCs w:val="24"/>
        </w:rPr>
      </w:pPr>
      <w:bookmarkStart w:id="0" w:name="_Hlk125541687"/>
      <w:r>
        <w:rPr>
          <w:rFonts w:ascii="Times New Roman" w:hAnsi="Times New Roman" w:cs="Times New Roman"/>
          <w:b/>
          <w:sz w:val="24"/>
          <w:szCs w:val="24"/>
        </w:rPr>
        <w:t>Health</w:t>
      </w:r>
      <w:r w:rsidR="00973620">
        <w:rPr>
          <w:rFonts w:ascii="Times New Roman" w:hAnsi="Times New Roman" w:cs="Times New Roman"/>
          <w:b/>
          <w:sz w:val="24"/>
          <w:szCs w:val="24"/>
        </w:rPr>
        <w:t xml:space="preserve"> </w:t>
      </w:r>
      <w:r w:rsidR="007B2045">
        <w:rPr>
          <w:rFonts w:ascii="Times New Roman" w:hAnsi="Times New Roman" w:cs="Times New Roman"/>
          <w:b/>
          <w:sz w:val="24"/>
          <w:szCs w:val="24"/>
        </w:rPr>
        <w:t>I</w:t>
      </w:r>
      <w:r w:rsidR="00B06E21" w:rsidRPr="00BC1E70">
        <w:rPr>
          <w:rFonts w:ascii="Times New Roman" w:hAnsi="Times New Roman" w:cs="Times New Roman"/>
          <w:b/>
          <w:sz w:val="24"/>
          <w:szCs w:val="24"/>
        </w:rPr>
        <w:t>nsurance (prudential standard) determination</w:t>
      </w:r>
      <w:r>
        <w:rPr>
          <w:rFonts w:ascii="Times New Roman" w:hAnsi="Times New Roman" w:cs="Times New Roman"/>
          <w:b/>
          <w:sz w:val="24"/>
          <w:szCs w:val="24"/>
        </w:rPr>
        <w:t>s</w:t>
      </w:r>
      <w:r w:rsidR="00B06E21" w:rsidRPr="00BC1E70">
        <w:rPr>
          <w:rFonts w:ascii="Times New Roman" w:hAnsi="Times New Roman" w:cs="Times New Roman"/>
          <w:b/>
          <w:sz w:val="24"/>
          <w:szCs w:val="24"/>
        </w:rPr>
        <w:t xml:space="preserve"> No. </w:t>
      </w:r>
      <w:r w:rsidR="008823B8">
        <w:rPr>
          <w:rFonts w:ascii="Times New Roman" w:hAnsi="Times New Roman" w:cs="Times New Roman"/>
          <w:b/>
          <w:sz w:val="24"/>
          <w:szCs w:val="24"/>
        </w:rPr>
        <w:t>8</w:t>
      </w:r>
      <w:r w:rsidR="00073F77">
        <w:rPr>
          <w:rFonts w:ascii="Times New Roman" w:hAnsi="Times New Roman" w:cs="Times New Roman"/>
          <w:b/>
          <w:sz w:val="24"/>
          <w:szCs w:val="24"/>
        </w:rPr>
        <w:t xml:space="preserve"> </w:t>
      </w:r>
      <w:r>
        <w:rPr>
          <w:rFonts w:ascii="Times New Roman" w:hAnsi="Times New Roman" w:cs="Times New Roman"/>
          <w:b/>
          <w:sz w:val="24"/>
          <w:szCs w:val="24"/>
        </w:rPr>
        <w:t>of</w:t>
      </w:r>
      <w:r w:rsidR="00B06E21" w:rsidRPr="00BC1E70">
        <w:rPr>
          <w:rFonts w:ascii="Times New Roman" w:hAnsi="Times New Roman" w:cs="Times New Roman"/>
          <w:b/>
          <w:sz w:val="24"/>
          <w:szCs w:val="24"/>
        </w:rPr>
        <w:t xml:space="preserve"> 202</w:t>
      </w:r>
      <w:r w:rsidR="006A30FA">
        <w:rPr>
          <w:rFonts w:ascii="Times New Roman" w:hAnsi="Times New Roman" w:cs="Times New Roman"/>
          <w:b/>
          <w:sz w:val="24"/>
          <w:szCs w:val="24"/>
        </w:rPr>
        <w:t>3</w:t>
      </w:r>
    </w:p>
    <w:p w14:paraId="35F2A8B7" w14:textId="64749F06" w:rsidR="00B06E21" w:rsidRPr="00D5162F" w:rsidRDefault="00F64E20" w:rsidP="00B06E21">
      <w:pPr>
        <w:shd w:val="clear" w:color="auto" w:fill="FFFFFF"/>
        <w:jc w:val="center"/>
        <w:rPr>
          <w:rFonts w:ascii="Times New Roman" w:hAnsi="Times New Roman" w:cs="Times New Roman"/>
          <w:sz w:val="24"/>
          <w:szCs w:val="24"/>
        </w:rPr>
      </w:pPr>
      <w:r w:rsidRPr="00D27B3C">
        <w:rPr>
          <w:rFonts w:ascii="Times New Roman" w:hAnsi="Times New Roman" w:cs="Times New Roman"/>
          <w:b/>
          <w:bCs/>
          <w:sz w:val="24"/>
          <w:szCs w:val="24"/>
          <w:u w:val="single"/>
        </w:rPr>
        <w:t xml:space="preserve">REPLACEMENT </w:t>
      </w:r>
      <w:r w:rsidR="00B06E21" w:rsidRPr="00D5162F">
        <w:rPr>
          <w:rFonts w:ascii="Times New Roman" w:hAnsi="Times New Roman" w:cs="Times New Roman"/>
          <w:b/>
          <w:bCs/>
          <w:sz w:val="24"/>
          <w:szCs w:val="24"/>
          <w:u w:val="single"/>
        </w:rPr>
        <w:t>EXPLANATORY STATEMENT</w:t>
      </w:r>
    </w:p>
    <w:p w14:paraId="393F44A8" w14:textId="77777777" w:rsidR="00B06E21" w:rsidRPr="00D5162F" w:rsidRDefault="00B06E21" w:rsidP="00B06E21">
      <w:pPr>
        <w:shd w:val="clear" w:color="auto" w:fill="FFFFFF"/>
        <w:jc w:val="center"/>
        <w:rPr>
          <w:rFonts w:ascii="Times New Roman" w:hAnsi="Times New Roman" w:cs="Times New Roman"/>
          <w:sz w:val="24"/>
          <w:szCs w:val="24"/>
        </w:rPr>
      </w:pPr>
      <w:r w:rsidRPr="00D5162F">
        <w:rPr>
          <w:rFonts w:ascii="Times New Roman" w:hAnsi="Times New Roman" w:cs="Times New Roman"/>
          <w:b/>
          <w:bCs/>
          <w:sz w:val="24"/>
          <w:szCs w:val="24"/>
        </w:rPr>
        <w:t>Prepared by the Australian Prudential Regulation Authority (APRA)</w:t>
      </w:r>
    </w:p>
    <w:p w14:paraId="4B39A225" w14:textId="6F493762" w:rsidR="00B06E21" w:rsidRPr="00D5162F" w:rsidRDefault="007A24DF" w:rsidP="00B06E21">
      <w:pPr>
        <w:shd w:val="clear" w:color="auto" w:fill="FFFFFF"/>
        <w:jc w:val="center"/>
        <w:rPr>
          <w:rFonts w:ascii="Times New Roman" w:hAnsi="Times New Roman" w:cs="Times New Roman"/>
          <w:sz w:val="24"/>
          <w:szCs w:val="24"/>
        </w:rPr>
      </w:pPr>
      <w:bookmarkStart w:id="1" w:name="bkExplanatory"/>
      <w:bookmarkStart w:id="2" w:name="bkAct"/>
      <w:bookmarkEnd w:id="1"/>
      <w:bookmarkEnd w:id="2"/>
      <w:r>
        <w:rPr>
          <w:rFonts w:ascii="Times New Roman" w:hAnsi="Times New Roman" w:cs="Times New Roman"/>
          <w:i/>
          <w:iCs/>
          <w:sz w:val="24"/>
          <w:szCs w:val="24"/>
        </w:rPr>
        <w:t>Private Health Insurance (Prudential Supervision) Act</w:t>
      </w:r>
      <w:r w:rsidR="00B06E21" w:rsidRPr="00D5162F">
        <w:rPr>
          <w:rFonts w:ascii="Times New Roman" w:hAnsi="Times New Roman" w:cs="Times New Roman"/>
          <w:i/>
          <w:iCs/>
          <w:sz w:val="24"/>
          <w:szCs w:val="24"/>
        </w:rPr>
        <w:t xml:space="preserve"> </w:t>
      </w:r>
      <w:r>
        <w:rPr>
          <w:rFonts w:ascii="Times New Roman" w:hAnsi="Times New Roman" w:cs="Times New Roman"/>
          <w:i/>
          <w:iCs/>
          <w:sz w:val="24"/>
          <w:szCs w:val="24"/>
        </w:rPr>
        <w:t>2015</w:t>
      </w:r>
      <w:r w:rsidR="00B06E21" w:rsidRPr="00D5162F">
        <w:rPr>
          <w:rFonts w:ascii="Times New Roman" w:hAnsi="Times New Roman" w:cs="Times New Roman"/>
          <w:sz w:val="24"/>
          <w:szCs w:val="24"/>
        </w:rPr>
        <w:t xml:space="preserve">, section </w:t>
      </w:r>
      <w:r>
        <w:rPr>
          <w:rFonts w:ascii="Times New Roman" w:hAnsi="Times New Roman" w:cs="Times New Roman"/>
          <w:sz w:val="24"/>
          <w:szCs w:val="24"/>
        </w:rPr>
        <w:t>92</w:t>
      </w:r>
    </w:p>
    <w:p w14:paraId="607964A3" w14:textId="030FC36B" w:rsidR="00D0048B" w:rsidRDefault="001F4D45" w:rsidP="00735A47">
      <w:pPr>
        <w:numPr>
          <w:ilvl w:val="0"/>
          <w:numId w:val="0"/>
        </w:numPr>
        <w:shd w:val="clear" w:color="auto" w:fill="FFFFFF" w:themeFill="background1"/>
        <w:spacing w:before="100" w:beforeAutospacing="1" w:after="100" w:afterAutospacing="1"/>
        <w:rPr>
          <w:rFonts w:ascii="Times New Roman" w:hAnsi="Times New Roman" w:cs="Times New Roman"/>
          <w:sz w:val="24"/>
          <w:szCs w:val="24"/>
        </w:rPr>
      </w:pPr>
      <w:r w:rsidRPr="00D0048B">
        <w:rPr>
          <w:rFonts w:ascii="Times New Roman" w:hAnsi="Times New Roman" w:cs="Times New Roman"/>
          <w:sz w:val="24"/>
          <w:szCs w:val="24"/>
        </w:rPr>
        <w:t>Under</w:t>
      </w:r>
      <w:bookmarkStart w:id="3" w:name="_Hlk128141819"/>
      <w:bookmarkStart w:id="4" w:name="_Hlk128145224"/>
      <w:r w:rsidRPr="00D0048B">
        <w:rPr>
          <w:rFonts w:ascii="Times New Roman" w:hAnsi="Times New Roman" w:cs="Times New Roman"/>
          <w:sz w:val="24"/>
          <w:szCs w:val="24"/>
        </w:rPr>
        <w:t xml:space="preserve"> </w:t>
      </w:r>
      <w:r w:rsidRPr="00D0048B">
        <w:rPr>
          <w:rFonts w:ascii="Times New Roman" w:hAnsi="Times New Roman" w:cs="Times New Roman"/>
          <w:sz w:val="24"/>
          <w:szCs w:val="24"/>
          <w:shd w:val="clear" w:color="auto" w:fill="FFFFFF"/>
        </w:rPr>
        <w:t xml:space="preserve">subsection </w:t>
      </w:r>
      <w:r w:rsidR="007A24DF" w:rsidRPr="00D0048B">
        <w:rPr>
          <w:rFonts w:ascii="Times New Roman" w:hAnsi="Times New Roman" w:cs="Times New Roman"/>
          <w:sz w:val="24"/>
          <w:szCs w:val="24"/>
          <w:shd w:val="clear" w:color="auto" w:fill="FFFFFF"/>
        </w:rPr>
        <w:t>92(1)</w:t>
      </w:r>
      <w:r w:rsidRPr="00D0048B">
        <w:rPr>
          <w:rFonts w:ascii="Times New Roman" w:hAnsi="Times New Roman" w:cs="Times New Roman"/>
          <w:sz w:val="24"/>
          <w:szCs w:val="24"/>
          <w:shd w:val="clear" w:color="auto" w:fill="FFFFFF"/>
        </w:rPr>
        <w:t xml:space="preserve"> of the </w:t>
      </w:r>
      <w:r w:rsidR="007A24DF" w:rsidRPr="00D0048B">
        <w:rPr>
          <w:rFonts w:ascii="Times New Roman" w:hAnsi="Times New Roman" w:cs="Times New Roman"/>
          <w:i/>
          <w:iCs/>
          <w:sz w:val="24"/>
          <w:szCs w:val="24"/>
          <w:shd w:val="clear" w:color="auto" w:fill="FFFFFF"/>
        </w:rPr>
        <w:t>Private Health Insurance (Prudential Supervision) Act 2015</w:t>
      </w:r>
      <w:r w:rsidRPr="00D0048B">
        <w:rPr>
          <w:rFonts w:ascii="Times New Roman" w:hAnsi="Times New Roman" w:cs="Times New Roman"/>
          <w:i/>
          <w:iCs/>
          <w:sz w:val="24"/>
          <w:szCs w:val="24"/>
          <w:shd w:val="clear" w:color="auto" w:fill="FFFFFF"/>
        </w:rPr>
        <w:t xml:space="preserve"> </w:t>
      </w:r>
      <w:r w:rsidRPr="00D0048B">
        <w:rPr>
          <w:rFonts w:ascii="Times New Roman" w:hAnsi="Times New Roman" w:cs="Times New Roman"/>
          <w:sz w:val="24"/>
          <w:szCs w:val="24"/>
          <w:shd w:val="clear" w:color="auto" w:fill="FFFFFF"/>
        </w:rPr>
        <w:t xml:space="preserve">(the Act), APRA has power to determine prudential standards, in writing, in relation to prudential matters to be complied with by </w:t>
      </w:r>
      <w:r w:rsidR="007A24DF" w:rsidRPr="00D0048B">
        <w:rPr>
          <w:rFonts w:ascii="Times New Roman" w:hAnsi="Times New Roman" w:cs="Times New Roman"/>
          <w:sz w:val="24"/>
          <w:szCs w:val="24"/>
          <w:shd w:val="clear" w:color="auto" w:fill="FFFFFF"/>
        </w:rPr>
        <w:t>private health insurers</w:t>
      </w:r>
      <w:r w:rsidRPr="00D0048B">
        <w:rPr>
          <w:rFonts w:ascii="Times New Roman" w:hAnsi="Times New Roman" w:cs="Times New Roman"/>
          <w:sz w:val="24"/>
          <w:szCs w:val="24"/>
          <w:shd w:val="clear" w:color="auto" w:fill="FFFFFF"/>
        </w:rPr>
        <w:t>.</w:t>
      </w:r>
      <w:bookmarkEnd w:id="3"/>
      <w:bookmarkEnd w:id="4"/>
      <w:r w:rsidRPr="00D0048B">
        <w:rPr>
          <w:rFonts w:ascii="Times New Roman" w:hAnsi="Times New Roman" w:cs="Times New Roman"/>
          <w:sz w:val="24"/>
          <w:szCs w:val="24"/>
        </w:rPr>
        <w:t xml:space="preserve"> Under subsection </w:t>
      </w:r>
      <w:r w:rsidR="004636CE" w:rsidRPr="00D0048B">
        <w:rPr>
          <w:rFonts w:ascii="Times New Roman" w:hAnsi="Times New Roman" w:cs="Times New Roman"/>
          <w:sz w:val="24"/>
          <w:szCs w:val="24"/>
        </w:rPr>
        <w:t>92</w:t>
      </w:r>
      <w:r w:rsidRPr="00D0048B">
        <w:rPr>
          <w:rFonts w:ascii="Times New Roman" w:hAnsi="Times New Roman" w:cs="Times New Roman"/>
          <w:sz w:val="24"/>
          <w:szCs w:val="24"/>
        </w:rPr>
        <w:t>(5) of the Act, APRA may, in writing, vary or revoke a prudential standard</w:t>
      </w:r>
      <w:r w:rsidR="00E7120F">
        <w:rPr>
          <w:rFonts w:ascii="Times New Roman" w:hAnsi="Times New Roman" w:cs="Times New Roman"/>
          <w:sz w:val="24"/>
          <w:szCs w:val="24"/>
        </w:rPr>
        <w:t xml:space="preserve"> that applies to </w:t>
      </w:r>
      <w:r w:rsidR="00E7120F">
        <w:rPr>
          <w:rFonts w:ascii="Times New Roman" w:hAnsi="Times New Roman" w:cs="Times New Roman"/>
          <w:sz w:val="24"/>
          <w:szCs w:val="24"/>
          <w:shd w:val="clear" w:color="auto" w:fill="FFFFFF"/>
        </w:rPr>
        <w:t>private health insurers</w:t>
      </w:r>
      <w:r w:rsidRPr="00D0048B">
        <w:rPr>
          <w:rFonts w:ascii="Times New Roman" w:hAnsi="Times New Roman" w:cs="Times New Roman"/>
          <w:sz w:val="24"/>
          <w:szCs w:val="24"/>
        </w:rPr>
        <w:t xml:space="preserve">. </w:t>
      </w:r>
    </w:p>
    <w:p w14:paraId="740CF691" w14:textId="1F280717" w:rsidR="00903D57" w:rsidRPr="00D0048B" w:rsidRDefault="004A6EA1" w:rsidP="00735A47">
      <w:pPr>
        <w:numPr>
          <w:ilvl w:val="0"/>
          <w:numId w:val="0"/>
        </w:numPr>
        <w:shd w:val="clear" w:color="auto" w:fill="FFFFFF" w:themeFill="background1"/>
        <w:spacing w:before="100" w:beforeAutospacing="1" w:after="100" w:afterAutospacing="1"/>
        <w:rPr>
          <w:rFonts w:ascii="Times New Roman" w:hAnsi="Times New Roman" w:cs="Times New Roman"/>
          <w:sz w:val="24"/>
          <w:szCs w:val="24"/>
        </w:rPr>
      </w:pPr>
      <w:r w:rsidRPr="00D0048B">
        <w:rPr>
          <w:rFonts w:ascii="Times New Roman" w:hAnsi="Times New Roman" w:cs="Times New Roman"/>
          <w:sz w:val="24"/>
          <w:szCs w:val="24"/>
        </w:rPr>
        <w:t xml:space="preserve">On </w:t>
      </w:r>
      <w:r w:rsidR="008A0D3C">
        <w:rPr>
          <w:rFonts w:ascii="Times New Roman" w:hAnsi="Times New Roman" w:cs="Times New Roman"/>
          <w:sz w:val="24"/>
          <w:szCs w:val="24"/>
        </w:rPr>
        <w:t>24 May 2023</w:t>
      </w:r>
      <w:r w:rsidR="00903D57" w:rsidRPr="008A0D3C">
        <w:rPr>
          <w:rFonts w:ascii="Times New Roman" w:hAnsi="Times New Roman" w:cs="Times New Roman"/>
          <w:sz w:val="24"/>
          <w:szCs w:val="24"/>
        </w:rPr>
        <w:t>,</w:t>
      </w:r>
      <w:r w:rsidR="00903D57" w:rsidRPr="00D0048B">
        <w:rPr>
          <w:rFonts w:ascii="Times New Roman" w:hAnsi="Times New Roman" w:cs="Times New Roman"/>
          <w:sz w:val="24"/>
          <w:szCs w:val="24"/>
        </w:rPr>
        <w:t xml:space="preserve"> APRA made </w:t>
      </w:r>
      <w:r w:rsidR="007301D0" w:rsidRPr="00D0048B">
        <w:rPr>
          <w:rFonts w:ascii="Times New Roman" w:hAnsi="Times New Roman" w:cs="Times New Roman"/>
          <w:sz w:val="24"/>
          <w:szCs w:val="24"/>
        </w:rPr>
        <w:t xml:space="preserve">Health Insurance (prudential standard) determination No. 8 of 2023, which revokes </w:t>
      </w:r>
      <w:r w:rsidR="007301D0" w:rsidRPr="00D0048B">
        <w:rPr>
          <w:rFonts w:ascii="Times New Roman" w:hAnsi="Times New Roman" w:cs="Times New Roman"/>
          <w:i/>
          <w:sz w:val="24"/>
          <w:szCs w:val="24"/>
        </w:rPr>
        <w:t>Prudential Standard HPS 310 Audit and Related Matters</w:t>
      </w:r>
      <w:r w:rsidR="007301D0" w:rsidRPr="00D0048B">
        <w:rPr>
          <w:rFonts w:ascii="Times New Roman" w:hAnsi="Times New Roman" w:cs="Times New Roman"/>
          <w:sz w:val="24"/>
          <w:szCs w:val="24"/>
        </w:rPr>
        <w:t xml:space="preserve"> made under Health Insurance determination No. 1 of 2019 and determines a new </w:t>
      </w:r>
      <w:r w:rsidR="007301D0" w:rsidRPr="00D0048B">
        <w:rPr>
          <w:rFonts w:ascii="Times New Roman" w:hAnsi="Times New Roman" w:cs="Times New Roman"/>
          <w:i/>
          <w:sz w:val="24"/>
          <w:szCs w:val="24"/>
        </w:rPr>
        <w:t>Prudential Standard HPS 310 Audit and Related Matters</w:t>
      </w:r>
      <w:r w:rsidR="007301D0" w:rsidRPr="00D0048B">
        <w:rPr>
          <w:rFonts w:ascii="Times New Roman" w:hAnsi="Times New Roman" w:cs="Times New Roman"/>
          <w:sz w:val="24"/>
          <w:szCs w:val="24"/>
        </w:rPr>
        <w:t xml:space="preserve"> </w:t>
      </w:r>
      <w:r w:rsidR="007E3348" w:rsidRPr="00D0048B">
        <w:rPr>
          <w:rFonts w:ascii="Times New Roman" w:hAnsi="Times New Roman" w:cs="Times New Roman"/>
          <w:sz w:val="24"/>
          <w:szCs w:val="24"/>
        </w:rPr>
        <w:t xml:space="preserve">(HPS </w:t>
      </w:r>
      <w:r w:rsidR="007301D0" w:rsidRPr="00D0048B">
        <w:rPr>
          <w:rFonts w:ascii="Times New Roman" w:hAnsi="Times New Roman" w:cs="Times New Roman"/>
          <w:sz w:val="24"/>
          <w:szCs w:val="24"/>
        </w:rPr>
        <w:t>3</w:t>
      </w:r>
      <w:r w:rsidR="00127CB9" w:rsidRPr="00D0048B">
        <w:rPr>
          <w:rFonts w:ascii="Times New Roman" w:hAnsi="Times New Roman" w:cs="Times New Roman"/>
          <w:sz w:val="24"/>
          <w:szCs w:val="24"/>
        </w:rPr>
        <w:t>10</w:t>
      </w:r>
      <w:r w:rsidR="007E3348" w:rsidRPr="00D0048B">
        <w:rPr>
          <w:rFonts w:ascii="Times New Roman" w:hAnsi="Times New Roman" w:cs="Times New Roman"/>
          <w:sz w:val="24"/>
          <w:szCs w:val="24"/>
        </w:rPr>
        <w:t>)</w:t>
      </w:r>
      <w:r w:rsidR="00E635EF" w:rsidRPr="00D0048B">
        <w:rPr>
          <w:rFonts w:ascii="Times New Roman" w:hAnsi="Times New Roman" w:cs="Times New Roman"/>
          <w:sz w:val="24"/>
          <w:szCs w:val="24"/>
        </w:rPr>
        <w:t>.</w:t>
      </w:r>
    </w:p>
    <w:p w14:paraId="26B94029" w14:textId="77777777" w:rsidR="00E635EF" w:rsidRDefault="00E635EF" w:rsidP="00E635EF">
      <w:pPr>
        <w:numPr>
          <w:ilvl w:val="0"/>
          <w:numId w:val="0"/>
        </w:numPr>
        <w:shd w:val="clear" w:color="auto" w:fill="FFFFFF" w:themeFill="background1"/>
        <w:spacing w:before="100" w:beforeAutospacing="1" w:after="100" w:afterAutospacing="1"/>
        <w:rPr>
          <w:rFonts w:ascii="Times New Roman" w:hAnsi="Times New Roman" w:cs="Times New Roman"/>
          <w:sz w:val="24"/>
          <w:szCs w:val="24"/>
        </w:rPr>
      </w:pPr>
      <w:r w:rsidRPr="00A06A6F">
        <w:rPr>
          <w:rFonts w:ascii="Times New Roman" w:hAnsi="Times New Roman" w:cs="Times New Roman"/>
          <w:sz w:val="24"/>
          <w:szCs w:val="24"/>
        </w:rPr>
        <w:t xml:space="preserve">The instrument commences on </w:t>
      </w:r>
      <w:r>
        <w:rPr>
          <w:rFonts w:ascii="Times New Roman" w:hAnsi="Times New Roman" w:cs="Times New Roman"/>
          <w:sz w:val="24"/>
          <w:szCs w:val="24"/>
        </w:rPr>
        <w:t>1 July 2023</w:t>
      </w:r>
      <w:r w:rsidRPr="00A06A6F">
        <w:rPr>
          <w:rFonts w:ascii="Times New Roman" w:hAnsi="Times New Roman" w:cs="Times New Roman"/>
          <w:sz w:val="24"/>
          <w:szCs w:val="24"/>
        </w:rPr>
        <w:t>.</w:t>
      </w:r>
    </w:p>
    <w:p w14:paraId="323FBD13" w14:textId="77777777" w:rsidR="001F4D45" w:rsidRPr="00BC1E70" w:rsidRDefault="001F4D45" w:rsidP="00A540EB">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1.</w:t>
      </w:r>
      <w:r w:rsidRPr="00BC1E70">
        <w:rPr>
          <w:rFonts w:ascii="Times New Roman" w:hAnsi="Times New Roman" w:cs="Times New Roman"/>
          <w:b/>
          <w:sz w:val="24"/>
          <w:szCs w:val="24"/>
        </w:rPr>
        <w:tab/>
      </w:r>
      <w:r w:rsidRPr="00D91D01">
        <w:rPr>
          <w:rFonts w:ascii="Times New Roman" w:hAnsi="Times New Roman" w:cs="Times New Roman"/>
          <w:b/>
          <w:sz w:val="24"/>
          <w:szCs w:val="24"/>
        </w:rPr>
        <w:t>Background</w:t>
      </w:r>
    </w:p>
    <w:p w14:paraId="0CF4F495" w14:textId="77777777" w:rsidR="007E3348" w:rsidRDefault="002E36EB" w:rsidP="00A540EB">
      <w:pPr>
        <w:rPr>
          <w:rFonts w:ascii="Times New Roman" w:hAnsi="Times New Roman" w:cs="Times New Roman"/>
          <w:sz w:val="24"/>
          <w:szCs w:val="24"/>
        </w:rPr>
      </w:pPr>
      <w:r w:rsidRPr="002E36EB">
        <w:rPr>
          <w:rFonts w:ascii="Times New Roman" w:hAnsi="Times New Roman" w:cs="Times New Roman"/>
          <w:sz w:val="24"/>
          <w:szCs w:val="24"/>
        </w:rPr>
        <w:t xml:space="preserve">Capital standards are an important tool to support the objectives of APRA’s prudential framework. They are intended to ensure that an insurer has sufficient financial resources available to meet its financial promises to policy holders despite adverse conditions. APRA’s capital standards determine the minimum regulatory capital requirement for an insurer, </w:t>
      </w:r>
      <w:proofErr w:type="gramStart"/>
      <w:r w:rsidRPr="002E36EB">
        <w:rPr>
          <w:rFonts w:ascii="Times New Roman" w:hAnsi="Times New Roman" w:cs="Times New Roman"/>
          <w:sz w:val="24"/>
          <w:szCs w:val="24"/>
        </w:rPr>
        <w:t>taking into</w:t>
      </w:r>
      <w:r w:rsidR="00390925">
        <w:rPr>
          <w:rFonts w:ascii="Times New Roman" w:hAnsi="Times New Roman" w:cs="Times New Roman"/>
          <w:sz w:val="24"/>
          <w:szCs w:val="24"/>
        </w:rPr>
        <w:t xml:space="preserve"> </w:t>
      </w:r>
      <w:r w:rsidRPr="002E36EB">
        <w:rPr>
          <w:rFonts w:ascii="Times New Roman" w:hAnsi="Times New Roman" w:cs="Times New Roman"/>
          <w:sz w:val="24"/>
          <w:szCs w:val="24"/>
        </w:rPr>
        <w:t>account</w:t>
      </w:r>
      <w:proofErr w:type="gramEnd"/>
      <w:r w:rsidRPr="002E36EB">
        <w:rPr>
          <w:rFonts w:ascii="Times New Roman" w:hAnsi="Times New Roman" w:cs="Times New Roman"/>
          <w:sz w:val="24"/>
          <w:szCs w:val="24"/>
        </w:rPr>
        <w:t xml:space="preserve"> the nature of the risks an insurer is exposed to in its business.</w:t>
      </w:r>
    </w:p>
    <w:p w14:paraId="5D9BF470" w14:textId="426E3B66" w:rsidR="002E36EB" w:rsidRPr="002E36EB" w:rsidRDefault="002E36EB" w:rsidP="00A540EB">
      <w:pPr>
        <w:rPr>
          <w:rFonts w:ascii="Times New Roman" w:hAnsi="Times New Roman" w:cs="Times New Roman"/>
          <w:sz w:val="24"/>
          <w:szCs w:val="24"/>
        </w:rPr>
      </w:pPr>
      <w:r w:rsidRPr="002E36EB">
        <w:rPr>
          <w:rFonts w:ascii="Times New Roman" w:hAnsi="Times New Roman" w:cs="Times New Roman"/>
          <w:sz w:val="24"/>
          <w:szCs w:val="24"/>
        </w:rPr>
        <w:t>Since assuming prudential regulatory responsibility for the private health insurance industry in 2015, APRA has progressively reviewed and updated the prudential policy framework. APRA’s review of the capital framework represents the third and final phase of that systematic process.</w:t>
      </w:r>
    </w:p>
    <w:p w14:paraId="42FD6193" w14:textId="29C99BB4" w:rsidR="002E36EB" w:rsidRPr="002E36EB" w:rsidRDefault="005126D2" w:rsidP="00A540EB">
      <w:pPr>
        <w:rPr>
          <w:rFonts w:ascii="Times New Roman" w:hAnsi="Times New Roman" w:cs="Times New Roman"/>
          <w:sz w:val="24"/>
          <w:szCs w:val="24"/>
        </w:rPr>
      </w:pPr>
      <w:r>
        <w:rPr>
          <w:rFonts w:ascii="Times New Roman" w:hAnsi="Times New Roman" w:cs="Times New Roman"/>
          <w:sz w:val="24"/>
          <w:szCs w:val="24"/>
        </w:rPr>
        <w:t>The review of the private health insurance capital framework revealed that, i</w:t>
      </w:r>
      <w:r w:rsidR="002E36EB" w:rsidRPr="002E36EB">
        <w:rPr>
          <w:rFonts w:ascii="Times New Roman" w:hAnsi="Times New Roman" w:cs="Times New Roman"/>
          <w:sz w:val="24"/>
          <w:szCs w:val="24"/>
        </w:rPr>
        <w:t xml:space="preserve">n </w:t>
      </w:r>
      <w:proofErr w:type="gramStart"/>
      <w:r w:rsidR="002E36EB" w:rsidRPr="002E36EB">
        <w:rPr>
          <w:rFonts w:ascii="Times New Roman" w:hAnsi="Times New Roman" w:cs="Times New Roman"/>
          <w:sz w:val="24"/>
          <w:szCs w:val="24"/>
        </w:rPr>
        <w:t>a number of</w:t>
      </w:r>
      <w:proofErr w:type="gramEnd"/>
      <w:r w:rsidR="002E36EB" w:rsidRPr="002E36EB">
        <w:rPr>
          <w:rFonts w:ascii="Times New Roman" w:hAnsi="Times New Roman" w:cs="Times New Roman"/>
          <w:sz w:val="24"/>
          <w:szCs w:val="24"/>
        </w:rPr>
        <w:t xml:space="preserve"> respects, the </w:t>
      </w:r>
      <w:r w:rsidR="0083348D">
        <w:rPr>
          <w:rFonts w:ascii="Times New Roman" w:hAnsi="Times New Roman" w:cs="Times New Roman"/>
          <w:sz w:val="24"/>
          <w:szCs w:val="24"/>
        </w:rPr>
        <w:t xml:space="preserve">former </w:t>
      </w:r>
      <w:r w:rsidR="002E36EB" w:rsidRPr="002E36EB">
        <w:rPr>
          <w:rFonts w:ascii="Times New Roman" w:hAnsi="Times New Roman" w:cs="Times New Roman"/>
          <w:sz w:val="24"/>
          <w:szCs w:val="24"/>
        </w:rPr>
        <w:t xml:space="preserve">capital framework </w:t>
      </w:r>
      <w:r w:rsidR="002E08F8">
        <w:rPr>
          <w:rFonts w:ascii="Times New Roman" w:hAnsi="Times New Roman" w:cs="Times New Roman"/>
          <w:sz w:val="24"/>
          <w:szCs w:val="24"/>
        </w:rPr>
        <w:t>was</w:t>
      </w:r>
      <w:r w:rsidR="002E36EB" w:rsidRPr="002E36EB">
        <w:rPr>
          <w:rFonts w:ascii="Times New Roman" w:hAnsi="Times New Roman" w:cs="Times New Roman"/>
          <w:sz w:val="24"/>
          <w:szCs w:val="24"/>
        </w:rPr>
        <w:t xml:space="preserve"> less robust than the requirements appl</w:t>
      </w:r>
      <w:r>
        <w:rPr>
          <w:rFonts w:ascii="Times New Roman" w:hAnsi="Times New Roman" w:cs="Times New Roman"/>
          <w:sz w:val="24"/>
          <w:szCs w:val="24"/>
        </w:rPr>
        <w:t>ied</w:t>
      </w:r>
      <w:r w:rsidR="002E36EB" w:rsidRPr="002E36EB">
        <w:rPr>
          <w:rFonts w:ascii="Times New Roman" w:hAnsi="Times New Roman" w:cs="Times New Roman"/>
          <w:sz w:val="24"/>
          <w:szCs w:val="24"/>
        </w:rPr>
        <w:t xml:space="preserve"> </w:t>
      </w:r>
      <w:r w:rsidR="0083348D">
        <w:rPr>
          <w:rFonts w:ascii="Times New Roman" w:hAnsi="Times New Roman" w:cs="Times New Roman"/>
          <w:sz w:val="24"/>
          <w:szCs w:val="24"/>
        </w:rPr>
        <w:t>to</w:t>
      </w:r>
      <w:r w:rsidR="002E36EB" w:rsidRPr="002E36EB">
        <w:rPr>
          <w:rFonts w:ascii="Times New Roman" w:hAnsi="Times New Roman" w:cs="Times New Roman"/>
          <w:sz w:val="24"/>
          <w:szCs w:val="24"/>
        </w:rPr>
        <w:t xml:space="preserve"> other </w:t>
      </w:r>
      <w:r w:rsidR="0083348D">
        <w:rPr>
          <w:rFonts w:ascii="Times New Roman" w:hAnsi="Times New Roman" w:cs="Times New Roman"/>
          <w:sz w:val="24"/>
          <w:szCs w:val="24"/>
        </w:rPr>
        <w:t xml:space="preserve">Australian </w:t>
      </w:r>
      <w:r w:rsidR="002E36EB" w:rsidRPr="002E36EB">
        <w:rPr>
          <w:rFonts w:ascii="Times New Roman" w:hAnsi="Times New Roman" w:cs="Times New Roman"/>
          <w:sz w:val="24"/>
          <w:szCs w:val="24"/>
        </w:rPr>
        <w:t xml:space="preserve">insurance sectors </w:t>
      </w:r>
      <w:r>
        <w:rPr>
          <w:rFonts w:ascii="Times New Roman" w:hAnsi="Times New Roman" w:cs="Times New Roman"/>
          <w:sz w:val="24"/>
          <w:szCs w:val="24"/>
        </w:rPr>
        <w:t>and</w:t>
      </w:r>
      <w:r w:rsidR="002E36EB" w:rsidRPr="002E36EB">
        <w:rPr>
          <w:rFonts w:ascii="Times New Roman" w:hAnsi="Times New Roman" w:cs="Times New Roman"/>
          <w:sz w:val="24"/>
          <w:szCs w:val="24"/>
        </w:rPr>
        <w:t xml:space="preserve"> d</w:t>
      </w:r>
      <w:r w:rsidR="002E08F8">
        <w:rPr>
          <w:rFonts w:ascii="Times New Roman" w:hAnsi="Times New Roman" w:cs="Times New Roman"/>
          <w:sz w:val="24"/>
          <w:szCs w:val="24"/>
        </w:rPr>
        <w:t>id</w:t>
      </w:r>
      <w:r w:rsidR="002E36EB" w:rsidRPr="002E36EB">
        <w:rPr>
          <w:rFonts w:ascii="Times New Roman" w:hAnsi="Times New Roman" w:cs="Times New Roman"/>
          <w:sz w:val="24"/>
          <w:szCs w:val="24"/>
        </w:rPr>
        <w:t xml:space="preserve"> not appropriately reflect the risks faced by insurers</w:t>
      </w:r>
      <w:r w:rsidR="002E08F8">
        <w:rPr>
          <w:rFonts w:ascii="Times New Roman" w:hAnsi="Times New Roman" w:cs="Times New Roman"/>
          <w:sz w:val="24"/>
          <w:szCs w:val="24"/>
        </w:rPr>
        <w:t xml:space="preserve">. </w:t>
      </w:r>
      <w:r w:rsidR="002E36EB" w:rsidRPr="002E36EB">
        <w:rPr>
          <w:rFonts w:ascii="Times New Roman" w:hAnsi="Times New Roman" w:cs="Times New Roman"/>
          <w:sz w:val="24"/>
          <w:szCs w:val="24"/>
        </w:rPr>
        <w:t> </w:t>
      </w:r>
    </w:p>
    <w:p w14:paraId="1B4FE542" w14:textId="0F1667E7" w:rsidR="00147586" w:rsidRDefault="002E08F8" w:rsidP="00A540EB">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The </w:t>
      </w:r>
      <w:r w:rsidR="00147586">
        <w:rPr>
          <w:rFonts w:ascii="Times New Roman" w:hAnsi="Times New Roman" w:cs="Times New Roman"/>
          <w:sz w:val="24"/>
          <w:szCs w:val="24"/>
        </w:rPr>
        <w:t xml:space="preserve">new </w:t>
      </w:r>
      <w:r w:rsidR="00A43831">
        <w:rPr>
          <w:rFonts w:ascii="Times New Roman" w:hAnsi="Times New Roman" w:cs="Times New Roman"/>
          <w:sz w:val="24"/>
          <w:szCs w:val="24"/>
        </w:rPr>
        <w:t xml:space="preserve">private health insurance </w:t>
      </w:r>
      <w:r w:rsidR="00147586">
        <w:rPr>
          <w:rFonts w:ascii="Times New Roman" w:hAnsi="Times New Roman" w:cs="Times New Roman"/>
          <w:sz w:val="24"/>
          <w:szCs w:val="24"/>
        </w:rPr>
        <w:t xml:space="preserve">capital framework seeks to address these concerns by ensuring there is an appropriate level of financial resilience and protection for policyholders through: </w:t>
      </w:r>
    </w:p>
    <w:p w14:paraId="4CBCC6D5" w14:textId="0000BC8D" w:rsidR="002E08F8" w:rsidRPr="00147586" w:rsidRDefault="00A43831" w:rsidP="00A540EB">
      <w:pPr>
        <w:pStyle w:val="ListParagraph"/>
        <w:numPr>
          <w:ilvl w:val="0"/>
          <w:numId w:val="22"/>
        </w:numPr>
        <w:rPr>
          <w:rFonts w:ascii="Times New Roman" w:hAnsi="Times New Roman" w:cs="Times New Roman"/>
          <w:sz w:val="24"/>
          <w:szCs w:val="24"/>
        </w:rPr>
      </w:pPr>
      <w:r>
        <w:rPr>
          <w:rFonts w:ascii="Times New Roman" w:hAnsi="Times New Roman" w:cs="Times New Roman"/>
          <w:b/>
          <w:sz w:val="24"/>
          <w:szCs w:val="24"/>
        </w:rPr>
        <w:t>i</w:t>
      </w:r>
      <w:r w:rsidR="002E08F8" w:rsidRPr="00147586">
        <w:rPr>
          <w:rFonts w:ascii="Times New Roman" w:hAnsi="Times New Roman" w:cs="Times New Roman"/>
          <w:b/>
          <w:sz w:val="24"/>
          <w:szCs w:val="24"/>
        </w:rPr>
        <w:t>mprov</w:t>
      </w:r>
      <w:r w:rsidR="00147586" w:rsidRPr="00147586">
        <w:rPr>
          <w:rFonts w:ascii="Times New Roman" w:hAnsi="Times New Roman" w:cs="Times New Roman"/>
          <w:b/>
          <w:sz w:val="24"/>
          <w:szCs w:val="24"/>
        </w:rPr>
        <w:t>ed</w:t>
      </w:r>
      <w:r w:rsidR="002E08F8" w:rsidRPr="00147586">
        <w:rPr>
          <w:rFonts w:ascii="Times New Roman" w:hAnsi="Times New Roman" w:cs="Times New Roman"/>
          <w:sz w:val="24"/>
          <w:szCs w:val="24"/>
        </w:rPr>
        <w:t xml:space="preserve"> </w:t>
      </w:r>
      <w:r w:rsidR="00147586" w:rsidRPr="00A43831">
        <w:rPr>
          <w:rFonts w:ascii="Times New Roman" w:hAnsi="Times New Roman" w:cs="Times New Roman"/>
          <w:b/>
          <w:sz w:val="24"/>
          <w:szCs w:val="24"/>
        </w:rPr>
        <w:t>r</w:t>
      </w:r>
      <w:r w:rsidR="002E08F8" w:rsidRPr="00A43831">
        <w:rPr>
          <w:rFonts w:ascii="Times New Roman" w:hAnsi="Times New Roman" w:cs="Times New Roman"/>
          <w:b/>
          <w:sz w:val="24"/>
          <w:szCs w:val="24"/>
        </w:rPr>
        <w:t xml:space="preserve">isk </w:t>
      </w:r>
      <w:r w:rsidR="005126D2" w:rsidRPr="00A43831">
        <w:rPr>
          <w:rFonts w:ascii="Times New Roman" w:hAnsi="Times New Roman" w:cs="Times New Roman"/>
          <w:b/>
          <w:sz w:val="24"/>
          <w:szCs w:val="24"/>
        </w:rPr>
        <w:t>sensitivity</w:t>
      </w:r>
      <w:r w:rsidR="002E08F8" w:rsidRPr="00147586">
        <w:rPr>
          <w:rFonts w:ascii="Times New Roman" w:hAnsi="Times New Roman" w:cs="Times New Roman"/>
          <w:sz w:val="24"/>
          <w:szCs w:val="24"/>
        </w:rPr>
        <w:t xml:space="preserve"> of the capital standards </w:t>
      </w:r>
      <w:r w:rsidR="00147586">
        <w:rPr>
          <w:rFonts w:ascii="Times New Roman" w:hAnsi="Times New Roman" w:cs="Times New Roman"/>
          <w:sz w:val="24"/>
          <w:szCs w:val="24"/>
        </w:rPr>
        <w:t xml:space="preserve">to better reflect the risks faced by private health </w:t>
      </w:r>
      <w:proofErr w:type="gramStart"/>
      <w:r w:rsidR="00147586">
        <w:rPr>
          <w:rFonts w:ascii="Times New Roman" w:hAnsi="Times New Roman" w:cs="Times New Roman"/>
          <w:sz w:val="24"/>
          <w:szCs w:val="24"/>
        </w:rPr>
        <w:t>insurers</w:t>
      </w:r>
      <w:r w:rsidR="002E08F8" w:rsidRPr="00147586">
        <w:rPr>
          <w:rFonts w:ascii="Times New Roman" w:hAnsi="Times New Roman" w:cs="Times New Roman"/>
          <w:sz w:val="24"/>
          <w:szCs w:val="24"/>
        </w:rPr>
        <w:t>;</w:t>
      </w:r>
      <w:proofErr w:type="gramEnd"/>
    </w:p>
    <w:p w14:paraId="2EB2479A" w14:textId="40D2CBD9" w:rsidR="002E08F8" w:rsidRDefault="00A43831" w:rsidP="00A540EB">
      <w:pPr>
        <w:pStyle w:val="ListParagraph"/>
        <w:numPr>
          <w:ilvl w:val="0"/>
          <w:numId w:val="22"/>
        </w:numPr>
        <w:rPr>
          <w:rFonts w:ascii="Times New Roman" w:hAnsi="Times New Roman" w:cs="Times New Roman"/>
          <w:sz w:val="24"/>
          <w:szCs w:val="24"/>
        </w:rPr>
      </w:pPr>
      <w:r>
        <w:rPr>
          <w:rFonts w:ascii="Times New Roman" w:hAnsi="Times New Roman" w:cs="Times New Roman"/>
          <w:b/>
          <w:sz w:val="24"/>
          <w:szCs w:val="24"/>
        </w:rPr>
        <w:t>r</w:t>
      </w:r>
      <w:r w:rsidR="00147586" w:rsidRPr="00147586">
        <w:rPr>
          <w:rFonts w:ascii="Times New Roman" w:hAnsi="Times New Roman" w:cs="Times New Roman"/>
          <w:b/>
          <w:sz w:val="24"/>
          <w:szCs w:val="24"/>
        </w:rPr>
        <w:t>educed discretion</w:t>
      </w:r>
      <w:r w:rsidR="00147586">
        <w:rPr>
          <w:rFonts w:ascii="Times New Roman" w:hAnsi="Times New Roman" w:cs="Times New Roman"/>
          <w:sz w:val="24"/>
          <w:szCs w:val="24"/>
        </w:rPr>
        <w:t xml:space="preserve"> available to private health insurers to determine their capital requirements, </w:t>
      </w:r>
      <w:proofErr w:type="gramStart"/>
      <w:r w:rsidR="00147586">
        <w:rPr>
          <w:rFonts w:ascii="Times New Roman" w:hAnsi="Times New Roman" w:cs="Times New Roman"/>
          <w:sz w:val="24"/>
          <w:szCs w:val="24"/>
        </w:rPr>
        <w:t>so as to</w:t>
      </w:r>
      <w:proofErr w:type="gramEnd"/>
      <w:r w:rsidR="00147586">
        <w:rPr>
          <w:rFonts w:ascii="Times New Roman" w:hAnsi="Times New Roman" w:cs="Times New Roman"/>
          <w:sz w:val="24"/>
          <w:szCs w:val="24"/>
        </w:rPr>
        <w:t xml:space="preserve"> narrow the differences between insurers with similar business models and pr</w:t>
      </w:r>
      <w:r w:rsidR="00532027">
        <w:rPr>
          <w:rFonts w:ascii="Times New Roman" w:hAnsi="Times New Roman" w:cs="Times New Roman"/>
          <w:sz w:val="24"/>
          <w:szCs w:val="24"/>
        </w:rPr>
        <w:t>o</w:t>
      </w:r>
      <w:r w:rsidR="00147586">
        <w:rPr>
          <w:rFonts w:ascii="Times New Roman" w:hAnsi="Times New Roman" w:cs="Times New Roman"/>
          <w:sz w:val="24"/>
          <w:szCs w:val="24"/>
        </w:rPr>
        <w:t>f</w:t>
      </w:r>
      <w:r w:rsidR="00532027">
        <w:rPr>
          <w:rFonts w:ascii="Times New Roman" w:hAnsi="Times New Roman" w:cs="Times New Roman"/>
          <w:sz w:val="24"/>
          <w:szCs w:val="24"/>
        </w:rPr>
        <w:t>i</w:t>
      </w:r>
      <w:r w:rsidR="00147586">
        <w:rPr>
          <w:rFonts w:ascii="Times New Roman" w:hAnsi="Times New Roman" w:cs="Times New Roman"/>
          <w:sz w:val="24"/>
          <w:szCs w:val="24"/>
        </w:rPr>
        <w:t>les</w:t>
      </w:r>
      <w:r>
        <w:rPr>
          <w:rFonts w:ascii="Times New Roman" w:hAnsi="Times New Roman" w:cs="Times New Roman"/>
          <w:sz w:val="24"/>
          <w:szCs w:val="24"/>
        </w:rPr>
        <w:t>; and</w:t>
      </w:r>
    </w:p>
    <w:p w14:paraId="5ABD5600" w14:textId="5916FD30" w:rsidR="002E08F8" w:rsidRDefault="00A43831" w:rsidP="00A540EB">
      <w:pPr>
        <w:pStyle w:val="ListParagraph"/>
        <w:numPr>
          <w:ilvl w:val="0"/>
          <w:numId w:val="22"/>
        </w:numPr>
        <w:rPr>
          <w:rFonts w:ascii="Times New Roman" w:hAnsi="Times New Roman" w:cs="Times New Roman"/>
          <w:sz w:val="24"/>
          <w:szCs w:val="24"/>
        </w:rPr>
      </w:pPr>
      <w:r w:rsidRPr="00A43831">
        <w:rPr>
          <w:rFonts w:ascii="Times New Roman" w:hAnsi="Times New Roman" w:cs="Times New Roman"/>
          <w:b/>
          <w:sz w:val="24"/>
          <w:szCs w:val="24"/>
        </w:rPr>
        <w:t>a</w:t>
      </w:r>
      <w:r w:rsidR="002E08F8" w:rsidRPr="00A43831">
        <w:rPr>
          <w:rFonts w:ascii="Times New Roman" w:hAnsi="Times New Roman" w:cs="Times New Roman"/>
          <w:b/>
          <w:sz w:val="24"/>
          <w:szCs w:val="24"/>
        </w:rPr>
        <w:t>lignment</w:t>
      </w:r>
      <w:r w:rsidR="002E08F8">
        <w:rPr>
          <w:rFonts w:ascii="Times New Roman" w:hAnsi="Times New Roman" w:cs="Times New Roman"/>
          <w:sz w:val="24"/>
          <w:szCs w:val="24"/>
        </w:rPr>
        <w:t xml:space="preserve"> with the </w:t>
      </w:r>
      <w:r>
        <w:rPr>
          <w:rFonts w:ascii="Times New Roman" w:hAnsi="Times New Roman" w:cs="Times New Roman"/>
          <w:sz w:val="24"/>
          <w:szCs w:val="24"/>
        </w:rPr>
        <w:t xml:space="preserve">structure of the life and general insurance capital framework, where appropriate. </w:t>
      </w:r>
      <w:r w:rsidR="002E08F8">
        <w:rPr>
          <w:rFonts w:ascii="Times New Roman" w:hAnsi="Times New Roman" w:cs="Times New Roman"/>
          <w:sz w:val="24"/>
          <w:szCs w:val="24"/>
        </w:rPr>
        <w:t xml:space="preserve"> </w:t>
      </w:r>
      <w:r>
        <w:rPr>
          <w:rFonts w:ascii="Times New Roman" w:hAnsi="Times New Roman" w:cs="Times New Roman"/>
          <w:sz w:val="24"/>
          <w:szCs w:val="24"/>
        </w:rPr>
        <w:t>This</w:t>
      </w:r>
      <w:r w:rsidR="002E08F8">
        <w:rPr>
          <w:rFonts w:ascii="Times New Roman" w:hAnsi="Times New Roman" w:cs="Times New Roman"/>
          <w:sz w:val="24"/>
          <w:szCs w:val="24"/>
        </w:rPr>
        <w:t xml:space="preserve"> reflects APRA’s overall approach to capital</w:t>
      </w:r>
      <w:r>
        <w:rPr>
          <w:rFonts w:ascii="Times New Roman" w:hAnsi="Times New Roman" w:cs="Times New Roman"/>
          <w:sz w:val="24"/>
          <w:szCs w:val="24"/>
        </w:rPr>
        <w:t xml:space="preserve"> quality and adequacy</w:t>
      </w:r>
      <w:r w:rsidR="005126D2">
        <w:rPr>
          <w:rFonts w:ascii="Times New Roman" w:hAnsi="Times New Roman" w:cs="Times New Roman"/>
          <w:sz w:val="24"/>
          <w:szCs w:val="24"/>
        </w:rPr>
        <w:t xml:space="preserve"> and is consistent with international best practice. </w:t>
      </w:r>
    </w:p>
    <w:p w14:paraId="61FBF09A" w14:textId="5EA88B64" w:rsidR="00390925" w:rsidRPr="00390925" w:rsidRDefault="00390925" w:rsidP="00A540EB">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The changes to the private health insurance capital framework also incorporate changes to APRA’s insurance capital framework due to the new accounting standard AASB 17 </w:t>
      </w:r>
      <w:r w:rsidR="0083348D">
        <w:rPr>
          <w:rFonts w:ascii="Times New Roman" w:hAnsi="Times New Roman" w:cs="Times New Roman"/>
          <w:sz w:val="24"/>
          <w:szCs w:val="24"/>
        </w:rPr>
        <w:t>Insurance</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Contracts (AASB 17). This ensures alignment between he prudential and accounting requirements and reduces cost and complexity for industry from otherwise needing to manage and report on diverging frameworks. </w:t>
      </w:r>
    </w:p>
    <w:p w14:paraId="349A167C" w14:textId="4E824400" w:rsidR="00211AFD" w:rsidRDefault="00B670E9" w:rsidP="00A540EB">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2.</w:t>
      </w:r>
      <w:r w:rsidRPr="00BC1E70">
        <w:rPr>
          <w:rFonts w:ascii="Times New Roman" w:hAnsi="Times New Roman" w:cs="Times New Roman"/>
          <w:b/>
          <w:sz w:val="24"/>
          <w:szCs w:val="24"/>
        </w:rPr>
        <w:tab/>
      </w:r>
      <w:r w:rsidR="00211AFD" w:rsidRPr="00BC1E70">
        <w:rPr>
          <w:rFonts w:ascii="Times New Roman" w:hAnsi="Times New Roman" w:cs="Times New Roman"/>
          <w:b/>
          <w:sz w:val="24"/>
          <w:szCs w:val="24"/>
        </w:rPr>
        <w:t xml:space="preserve">Purpose and operation of the instrument </w:t>
      </w:r>
    </w:p>
    <w:p w14:paraId="570A733D" w14:textId="77777777" w:rsidR="00D67F8F" w:rsidRDefault="008823B8" w:rsidP="00455363">
      <w:pPr>
        <w:pStyle w:val="paragraph"/>
        <w:textAlignment w:val="baseline"/>
        <w:rPr>
          <w:rFonts w:eastAsiaTheme="minorHAnsi"/>
          <w:color w:val="000000"/>
          <w:lang w:eastAsia="en-US"/>
        </w:rPr>
      </w:pPr>
      <w:r w:rsidRPr="008823B8">
        <w:t>The purpose of this instrument is to revoke HPS 310 and replace it with a new version of HPS 310</w:t>
      </w:r>
      <w:r w:rsidR="00455363">
        <w:t>.</w:t>
      </w:r>
    </w:p>
    <w:p w14:paraId="5BB61FA3" w14:textId="4681C8ED" w:rsidR="00751681" w:rsidRDefault="008823B8" w:rsidP="00994441">
      <w:pPr>
        <w:pStyle w:val="paragraph"/>
        <w:spacing w:before="0" w:beforeAutospacing="0" w:after="0" w:afterAutospacing="0"/>
        <w:textAlignment w:val="baseline"/>
      </w:pPr>
      <w:r w:rsidRPr="008823B8">
        <w:t>HPS 310 outlines the roles and responsibilities that a private health insurer must require of its Appointed Auditor. This standard has been updated to clarify that quarterly reporting standards require limited assurance. The standard has also been updated to reflect changes in the level of assurance required for auditable returns.</w:t>
      </w:r>
      <w:r w:rsidR="004F7623">
        <w:t xml:space="preserve"> </w:t>
      </w:r>
      <w:r w:rsidR="00751681">
        <w:br/>
      </w:r>
    </w:p>
    <w:p w14:paraId="74EF293D" w14:textId="77777777" w:rsidR="00B921F5" w:rsidRPr="006233ED" w:rsidRDefault="00B921F5" w:rsidP="00B921F5">
      <w:pPr>
        <w:numPr>
          <w:ilvl w:val="0"/>
          <w:numId w:val="0"/>
        </w:numPr>
        <w:autoSpaceDE w:val="0"/>
        <w:autoSpaceDN w:val="0"/>
        <w:adjustRightInd w:val="0"/>
        <w:spacing w:after="0"/>
        <w:rPr>
          <w:rFonts w:ascii="Times New Roman" w:hAnsi="Times New Roman" w:cs="Times New Roman"/>
          <w:b/>
          <w:i/>
          <w:sz w:val="24"/>
          <w:szCs w:val="24"/>
        </w:rPr>
      </w:pPr>
      <w:r w:rsidRPr="006233ED">
        <w:rPr>
          <w:rFonts w:ascii="Times New Roman" w:hAnsi="Times New Roman" w:cs="Times New Roman"/>
          <w:b/>
          <w:i/>
          <w:sz w:val="24"/>
          <w:szCs w:val="24"/>
        </w:rPr>
        <w:t>Exercise of discretion by APRA</w:t>
      </w:r>
    </w:p>
    <w:p w14:paraId="160DEE8B" w14:textId="77777777" w:rsidR="00B921F5" w:rsidRDefault="00B921F5" w:rsidP="00B921F5">
      <w:pPr>
        <w:numPr>
          <w:ilvl w:val="0"/>
          <w:numId w:val="0"/>
        </w:numPr>
        <w:autoSpaceDE w:val="0"/>
        <w:autoSpaceDN w:val="0"/>
        <w:adjustRightInd w:val="0"/>
        <w:spacing w:after="0"/>
        <w:rPr>
          <w:rFonts w:ascii="Times New Roman" w:hAnsi="Times New Roman" w:cs="Times New Roman"/>
          <w:sz w:val="24"/>
          <w:szCs w:val="24"/>
        </w:rPr>
      </w:pPr>
    </w:p>
    <w:p w14:paraId="2F84F4D5" w14:textId="77777777" w:rsidR="00B921F5" w:rsidRDefault="00B921F5" w:rsidP="00B921F5">
      <w:pPr>
        <w:numPr>
          <w:ilvl w:val="0"/>
          <w:numId w:val="0"/>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Under subsection 92(4) of the Act, a prudential standard may provide for APRA to exercise powers and discretions under the standard, including (but not limited to) discretions to approve, impose, adjust or exclude specific prudential requirements in relation to a particular private health insurer. </w:t>
      </w:r>
    </w:p>
    <w:p w14:paraId="1AB15AE9" w14:textId="77777777" w:rsidR="00B921F5" w:rsidRPr="00D1597B" w:rsidRDefault="00B921F5" w:rsidP="00B921F5">
      <w:pPr>
        <w:numPr>
          <w:ilvl w:val="0"/>
          <w:numId w:val="0"/>
        </w:numPr>
        <w:autoSpaceDE w:val="0"/>
        <w:autoSpaceDN w:val="0"/>
        <w:adjustRightInd w:val="0"/>
        <w:spacing w:after="0"/>
        <w:rPr>
          <w:rFonts w:ascii="Times New Roman" w:hAnsi="Times New Roman" w:cs="Times New Roman"/>
          <w:sz w:val="24"/>
          <w:szCs w:val="24"/>
        </w:rPr>
      </w:pPr>
    </w:p>
    <w:p w14:paraId="20F953B8" w14:textId="3D2727EA" w:rsidR="00B921F5" w:rsidRDefault="00B921F5" w:rsidP="00B921F5">
      <w:pPr>
        <w:pStyle w:val="paragraph"/>
        <w:spacing w:before="0" w:beforeAutospacing="0" w:after="0" w:afterAutospacing="0"/>
        <w:jc w:val="both"/>
        <w:textAlignment w:val="baseline"/>
      </w:pPr>
      <w:r>
        <w:rPr>
          <w:rStyle w:val="normaltextrun"/>
        </w:rPr>
        <w:t xml:space="preserve">HPS </w:t>
      </w:r>
      <w:r w:rsidR="0003758D">
        <w:rPr>
          <w:rStyle w:val="normaltextrun"/>
        </w:rPr>
        <w:t>310</w:t>
      </w:r>
      <w:r>
        <w:rPr>
          <w:rStyle w:val="normaltextrun"/>
        </w:rPr>
        <w:t xml:space="preserve"> includes powers </w:t>
      </w:r>
      <w:r>
        <w:t xml:space="preserve">to adjust or exclude a provision of the standard, which </w:t>
      </w:r>
      <w:r>
        <w:rPr>
          <w:rStyle w:val="normaltextrun"/>
        </w:rPr>
        <w:t>may be exercised by APRA that involve an element of discretion.</w:t>
      </w:r>
    </w:p>
    <w:p w14:paraId="180D80BB" w14:textId="77777777" w:rsidR="00B921F5" w:rsidRDefault="00B921F5" w:rsidP="00B921F5">
      <w:pPr>
        <w:pStyle w:val="paragraph"/>
        <w:spacing w:before="0" w:beforeAutospacing="0" w:after="0" w:afterAutospacing="0"/>
        <w:jc w:val="both"/>
        <w:textAlignment w:val="baseline"/>
      </w:pPr>
    </w:p>
    <w:p w14:paraId="591032F7" w14:textId="77777777" w:rsidR="00B921F5" w:rsidRPr="008D2719" w:rsidRDefault="00B921F5" w:rsidP="00B921F5">
      <w:pPr>
        <w:pStyle w:val="paragraph"/>
        <w:spacing w:before="0" w:beforeAutospacing="0" w:after="0" w:afterAutospacing="0"/>
        <w:jc w:val="both"/>
        <w:textAlignment w:val="baseline"/>
        <w:rPr>
          <w:color w:val="000000"/>
        </w:rPr>
      </w:pPr>
      <w:r w:rsidRPr="008D2719">
        <w:rPr>
          <w:rStyle w:val="normaltextrun"/>
          <w:color w:val="000000"/>
        </w:rPr>
        <w:t>APRA considers a wide range of factors when exercising its discretion under prudential standards, including the considerations set out in the Act</w:t>
      </w:r>
      <w:r>
        <w:rPr>
          <w:rStyle w:val="normaltextrun"/>
          <w:color w:val="000000"/>
        </w:rPr>
        <w:t xml:space="preserve"> and the </w:t>
      </w:r>
      <w:r w:rsidRPr="008D2719">
        <w:rPr>
          <w:rStyle w:val="normaltextrun"/>
          <w:i/>
          <w:color w:val="000000"/>
        </w:rPr>
        <w:t>Australian Prudential Regulation Authority Act 1998</w:t>
      </w:r>
      <w:r w:rsidRPr="008D2719">
        <w:rPr>
          <w:rStyle w:val="normaltextrun"/>
          <w:color w:val="000000"/>
        </w:rPr>
        <w:t>. The need to apply discretion is driven by entity specific issues and circumstances which are not adequately addressed by the generally applicable provisions of the prudential standards.</w:t>
      </w:r>
    </w:p>
    <w:p w14:paraId="5D800DF0" w14:textId="77777777" w:rsidR="00B921F5" w:rsidRPr="00FD442F" w:rsidRDefault="00B921F5" w:rsidP="00B921F5">
      <w:pPr>
        <w:numPr>
          <w:ilvl w:val="0"/>
          <w:numId w:val="0"/>
        </w:numPr>
        <w:autoSpaceDE w:val="0"/>
        <w:autoSpaceDN w:val="0"/>
        <w:adjustRightInd w:val="0"/>
        <w:spacing w:after="0"/>
        <w:rPr>
          <w:rFonts w:ascii="Times New Roman" w:hAnsi="Times New Roman" w:cs="Times New Roman"/>
          <w:sz w:val="24"/>
          <w:szCs w:val="24"/>
        </w:rPr>
      </w:pPr>
    </w:p>
    <w:p w14:paraId="14A392B9" w14:textId="77777777" w:rsidR="00B921F5" w:rsidRPr="006233ED" w:rsidRDefault="00B921F5" w:rsidP="00B921F5">
      <w:pPr>
        <w:pStyle w:val="paragraph"/>
        <w:spacing w:before="0" w:beforeAutospacing="0" w:after="0" w:afterAutospacing="0"/>
        <w:jc w:val="both"/>
        <w:textAlignment w:val="baseline"/>
        <w:rPr>
          <w:color w:val="000000"/>
        </w:rPr>
      </w:pPr>
      <w:r w:rsidRPr="006233ED">
        <w:rPr>
          <w:rStyle w:val="normaltextrun"/>
          <w:i/>
          <w:iCs/>
          <w:color w:val="000000"/>
        </w:rPr>
        <w:t>Adjust and exclude powers</w:t>
      </w:r>
      <w:r w:rsidRPr="006233ED">
        <w:rPr>
          <w:rStyle w:val="eop"/>
          <w:rFonts w:eastAsiaTheme="majorEastAsia"/>
          <w:color w:val="000000"/>
        </w:rPr>
        <w:t> </w:t>
      </w:r>
    </w:p>
    <w:p w14:paraId="62407136" w14:textId="77777777" w:rsidR="00B921F5" w:rsidRDefault="00B921F5" w:rsidP="00B921F5">
      <w:pPr>
        <w:pStyle w:val="paragraph"/>
        <w:spacing w:before="0" w:beforeAutospacing="0" w:after="0" w:afterAutospacing="0"/>
        <w:jc w:val="both"/>
        <w:textAlignment w:val="baseline"/>
        <w:rPr>
          <w:rStyle w:val="normaltextrun"/>
          <w:color w:val="000000"/>
        </w:rPr>
      </w:pPr>
    </w:p>
    <w:p w14:paraId="5D4412AF" w14:textId="477813D7" w:rsidR="00B921F5" w:rsidRPr="006233ED" w:rsidRDefault="00B921F5" w:rsidP="00B921F5">
      <w:pPr>
        <w:pStyle w:val="paragraph"/>
        <w:spacing w:before="0" w:beforeAutospacing="0" w:after="0" w:afterAutospacing="0"/>
        <w:jc w:val="both"/>
        <w:textAlignment w:val="baseline"/>
        <w:rPr>
          <w:color w:val="000000"/>
        </w:rPr>
      </w:pPr>
      <w:r>
        <w:rPr>
          <w:rStyle w:val="normaltextrun"/>
          <w:color w:val="000000"/>
        </w:rPr>
        <w:t>Paragraph</w:t>
      </w:r>
      <w:r w:rsidR="0003758D">
        <w:rPr>
          <w:rStyle w:val="normaltextrun"/>
          <w:color w:val="000000"/>
        </w:rPr>
        <w:t xml:space="preserve"> </w:t>
      </w:r>
      <w:r w:rsidR="0097254C">
        <w:rPr>
          <w:rStyle w:val="normaltextrun"/>
          <w:color w:val="000000"/>
        </w:rPr>
        <w:t>26</w:t>
      </w:r>
      <w:r>
        <w:rPr>
          <w:rStyle w:val="normaltextrun"/>
          <w:color w:val="000000"/>
        </w:rPr>
        <w:t xml:space="preserve"> of HPS </w:t>
      </w:r>
      <w:r w:rsidR="006E3750">
        <w:rPr>
          <w:rStyle w:val="normaltextrun"/>
          <w:color w:val="000000"/>
        </w:rPr>
        <w:t>310</w:t>
      </w:r>
      <w:r>
        <w:rPr>
          <w:rStyle w:val="normaltextrun"/>
          <w:color w:val="000000"/>
        </w:rPr>
        <w:t xml:space="preserve"> </w:t>
      </w:r>
      <w:r w:rsidRPr="00EF2890">
        <w:rPr>
          <w:rStyle w:val="normaltextrun"/>
          <w:color w:val="000000"/>
        </w:rPr>
        <w:t>provide</w:t>
      </w:r>
      <w:r>
        <w:rPr>
          <w:rStyle w:val="normaltextrun"/>
          <w:color w:val="000000"/>
        </w:rPr>
        <w:t>s</w:t>
      </w:r>
      <w:r w:rsidRPr="00EF2890">
        <w:rPr>
          <w:rStyle w:val="normaltextrun"/>
          <w:color w:val="000000"/>
        </w:rPr>
        <w:t xml:space="preserve"> for APRA to adjust or exclude a specific prudential requirement in relation to a particular private health insurer. </w:t>
      </w:r>
      <w:r w:rsidRPr="004277A6">
        <w:rPr>
          <w:rStyle w:val="normaltextrun"/>
        </w:rPr>
        <w:t xml:space="preserve">APRA will exercise </w:t>
      </w:r>
      <w:r>
        <w:rPr>
          <w:rStyle w:val="normaltextrun"/>
          <w:color w:val="000000"/>
        </w:rPr>
        <w:t xml:space="preserve">this </w:t>
      </w:r>
      <w:r w:rsidRPr="004277A6">
        <w:rPr>
          <w:rStyle w:val="normaltextrun"/>
        </w:rPr>
        <w:t xml:space="preserve">power </w:t>
      </w:r>
      <w:r>
        <w:rPr>
          <w:rStyle w:val="normaltextrun"/>
          <w:color w:val="000000"/>
        </w:rPr>
        <w:t xml:space="preserve">if </w:t>
      </w:r>
      <w:r w:rsidRPr="004277A6">
        <w:rPr>
          <w:rStyle w:val="normaltextrun"/>
        </w:rPr>
        <w:t>it is satisfied that the exclusion or adjustment of the specific requirement will achieve a better prudential outcome than if it remained in its original form.</w:t>
      </w:r>
      <w:r>
        <w:rPr>
          <w:rStyle w:val="eop"/>
          <w:rFonts w:eastAsiaTheme="majorEastAsia"/>
        </w:rPr>
        <w:t xml:space="preserve"> </w:t>
      </w:r>
      <w:r w:rsidRPr="004277A6">
        <w:rPr>
          <w:rStyle w:val="normaltextrun"/>
        </w:rPr>
        <w:t>In other cases, an adjustment or exclusion may be necessary to give APRA comfort that the prudential requirements apply appropriately to protect policy holders (for example when action may need to be taken urgently and with certainty that the insurer will comply with the adjusted requirements).</w:t>
      </w:r>
      <w:r w:rsidRPr="004277A6">
        <w:rPr>
          <w:rStyle w:val="eop"/>
          <w:rFonts w:eastAsiaTheme="majorEastAsia"/>
        </w:rPr>
        <w:t> </w:t>
      </w:r>
      <w:r w:rsidRPr="006233ED">
        <w:rPr>
          <w:rStyle w:val="normaltextrun"/>
          <w:color w:val="000000"/>
        </w:rPr>
        <w:t xml:space="preserve">Other considerations include </w:t>
      </w:r>
      <w:r w:rsidRPr="006233ED">
        <w:rPr>
          <w:rStyle w:val="normaltextrun"/>
          <w:color w:val="000000"/>
          <w:shd w:val="clear" w:color="auto" w:fill="FFFFFF"/>
        </w:rPr>
        <w:t>efficiency, competition, contestability, competitive neutrality and regulatory burden, including comparisons with the entity’s peer group.</w:t>
      </w:r>
    </w:p>
    <w:p w14:paraId="178DBD43" w14:textId="77777777" w:rsidR="00B921F5" w:rsidRDefault="00B921F5" w:rsidP="00B921F5">
      <w:pPr>
        <w:pStyle w:val="paragraph"/>
        <w:spacing w:before="0" w:beforeAutospacing="0" w:after="0" w:afterAutospacing="0"/>
        <w:jc w:val="both"/>
        <w:textAlignment w:val="baseline"/>
        <w:rPr>
          <w:rStyle w:val="normaltextrun"/>
          <w:color w:val="000000"/>
        </w:rPr>
      </w:pPr>
    </w:p>
    <w:p w14:paraId="33A26638" w14:textId="77777777" w:rsidR="00B921F5" w:rsidRDefault="00B921F5" w:rsidP="00B921F5">
      <w:pPr>
        <w:pStyle w:val="paragraph"/>
        <w:spacing w:before="0" w:beforeAutospacing="0" w:after="0" w:afterAutospacing="0"/>
        <w:jc w:val="both"/>
        <w:textAlignment w:val="baseline"/>
        <w:rPr>
          <w:rStyle w:val="normaltextrun"/>
          <w:color w:val="000000"/>
        </w:rPr>
      </w:pPr>
      <w:r>
        <w:rPr>
          <w:rStyle w:val="normaltextrun"/>
          <w:color w:val="000000"/>
        </w:rPr>
        <w:t xml:space="preserve">A </w:t>
      </w:r>
      <w:r w:rsidRPr="006233ED">
        <w:rPr>
          <w:rStyle w:val="normaltextrun"/>
          <w:color w:val="000000"/>
        </w:rPr>
        <w:t xml:space="preserve">decision to exercise the powers </w:t>
      </w:r>
      <w:r>
        <w:rPr>
          <w:rStyle w:val="normaltextrun"/>
          <w:color w:val="000000"/>
        </w:rPr>
        <w:t xml:space="preserve">under </w:t>
      </w:r>
      <w:r w:rsidRPr="006233ED">
        <w:rPr>
          <w:rStyle w:val="normaltextrun"/>
          <w:color w:val="000000"/>
        </w:rPr>
        <w:t xml:space="preserve">a prudential standard is subject to a robust decision-making framework which is documented in </w:t>
      </w:r>
      <w:r>
        <w:rPr>
          <w:rStyle w:val="normaltextrun"/>
          <w:color w:val="000000"/>
        </w:rPr>
        <w:t xml:space="preserve">APRA’s </w:t>
      </w:r>
      <w:r w:rsidRPr="006233ED">
        <w:rPr>
          <w:rStyle w:val="normaltextrun"/>
          <w:color w:val="000000"/>
        </w:rPr>
        <w:t>internal policies. This framework support</w:t>
      </w:r>
      <w:r>
        <w:rPr>
          <w:rStyle w:val="normaltextrun"/>
          <w:color w:val="000000"/>
        </w:rPr>
        <w:t>s</w:t>
      </w:r>
      <w:r w:rsidRPr="006233ED">
        <w:rPr>
          <w:rStyle w:val="normaltextrun"/>
          <w:color w:val="000000"/>
        </w:rPr>
        <w:t xml:space="preserve"> APRA in fulfilling its mandate by </w:t>
      </w:r>
      <w:r>
        <w:rPr>
          <w:rStyle w:val="normaltextrun"/>
          <w:color w:val="000000"/>
        </w:rPr>
        <w:t xml:space="preserve">limiting decision making to those senior </w:t>
      </w:r>
      <w:r w:rsidRPr="006233ED">
        <w:rPr>
          <w:rStyle w:val="normaltextrun"/>
          <w:color w:val="000000"/>
        </w:rPr>
        <w:t xml:space="preserve">APRA officers </w:t>
      </w:r>
      <w:r>
        <w:rPr>
          <w:rStyle w:val="normaltextrun"/>
          <w:color w:val="000000"/>
        </w:rPr>
        <w:t xml:space="preserve">with the appropriate experience and skill to exercise prudent judgement. The framework also requires decision makers to seek advice </w:t>
      </w:r>
      <w:r w:rsidRPr="006233ED">
        <w:rPr>
          <w:rStyle w:val="normaltextrun"/>
          <w:color w:val="000000"/>
        </w:rPr>
        <w:t>from internal experts.</w:t>
      </w:r>
    </w:p>
    <w:p w14:paraId="783832A1" w14:textId="77777777" w:rsidR="00B921F5" w:rsidRDefault="00B921F5" w:rsidP="00B921F5">
      <w:pPr>
        <w:pStyle w:val="paragraph"/>
        <w:spacing w:before="0" w:beforeAutospacing="0" w:after="0" w:afterAutospacing="0"/>
        <w:jc w:val="both"/>
        <w:textAlignment w:val="baseline"/>
        <w:rPr>
          <w:rStyle w:val="normaltextrun"/>
          <w:color w:val="000000"/>
        </w:rPr>
      </w:pPr>
    </w:p>
    <w:p w14:paraId="6FEDAB1C" w14:textId="1EFB44D9" w:rsidR="00B921F5" w:rsidRPr="00994441" w:rsidRDefault="00B921F5" w:rsidP="00B921F5">
      <w:pPr>
        <w:pStyle w:val="Heading5"/>
        <w:rPr>
          <w:rFonts w:ascii="Times New Roman" w:hAnsi="Times New Roman" w:cs="Times New Roman"/>
          <w:b w:val="0"/>
          <w:i/>
          <w:sz w:val="24"/>
          <w:szCs w:val="24"/>
        </w:rPr>
      </w:pPr>
      <w:r w:rsidRPr="00994441">
        <w:rPr>
          <w:rStyle w:val="normaltextrun"/>
          <w:rFonts w:ascii="Times New Roman" w:hAnsi="Times New Roman" w:cs="Times New Roman"/>
          <w:b w:val="0"/>
          <w:color w:val="000000"/>
          <w:sz w:val="24"/>
          <w:szCs w:val="24"/>
        </w:rPr>
        <w:lastRenderedPageBreak/>
        <w:t>The adjust and exclude power is exercised following discussion with the relevant private health insurer about its appropriateness and the impact it may have on the entity.</w:t>
      </w:r>
    </w:p>
    <w:p w14:paraId="2246C073" w14:textId="7A60D58E" w:rsidR="002B6897" w:rsidRPr="006233ED" w:rsidRDefault="002B6897" w:rsidP="002B6897">
      <w:pPr>
        <w:pStyle w:val="Heading5"/>
        <w:rPr>
          <w:rFonts w:ascii="Times New Roman" w:hAnsi="Times New Roman" w:cs="Times New Roman"/>
          <w:i/>
          <w:sz w:val="24"/>
          <w:szCs w:val="24"/>
        </w:rPr>
      </w:pPr>
      <w:r w:rsidRPr="006233ED">
        <w:rPr>
          <w:rFonts w:ascii="Times New Roman" w:hAnsi="Times New Roman" w:cs="Times New Roman"/>
          <w:i/>
          <w:sz w:val="24"/>
          <w:szCs w:val="24"/>
        </w:rPr>
        <w:t>Review of decisions</w:t>
      </w:r>
    </w:p>
    <w:p w14:paraId="0F51B16E" w14:textId="77777777" w:rsidR="002B6897" w:rsidRPr="00B929E5" w:rsidRDefault="002B6897" w:rsidP="002B6897">
      <w:pPr>
        <w:numPr>
          <w:ilvl w:val="0"/>
          <w:numId w:val="0"/>
        </w:numPr>
        <w:rPr>
          <w:rFonts w:ascii="Times New Roman" w:hAnsi="Times New Roman" w:cs="Times New Roman"/>
          <w:sz w:val="24"/>
          <w:szCs w:val="24"/>
        </w:rPr>
      </w:pPr>
      <w:r w:rsidRPr="00B929E5">
        <w:rPr>
          <w:rFonts w:ascii="Times New Roman" w:hAnsi="Times New Roman" w:cs="Times New Roman"/>
          <w:sz w:val="24"/>
          <w:szCs w:val="24"/>
        </w:rPr>
        <w:t xml:space="preserve">Decisions made by APRA exercising </w:t>
      </w:r>
      <w:r>
        <w:rPr>
          <w:rFonts w:ascii="Times New Roman" w:hAnsi="Times New Roman" w:cs="Times New Roman"/>
          <w:sz w:val="24"/>
          <w:szCs w:val="24"/>
        </w:rPr>
        <w:t>its</w:t>
      </w:r>
      <w:r w:rsidRPr="00B929E5">
        <w:rPr>
          <w:rFonts w:ascii="Times New Roman" w:hAnsi="Times New Roman" w:cs="Times New Roman"/>
          <w:sz w:val="24"/>
          <w:szCs w:val="24"/>
        </w:rPr>
        <w:t xml:space="preserve"> powers </w:t>
      </w:r>
      <w:r>
        <w:rPr>
          <w:rFonts w:ascii="Times New Roman" w:hAnsi="Times New Roman" w:cs="Times New Roman"/>
          <w:sz w:val="24"/>
          <w:szCs w:val="24"/>
        </w:rPr>
        <w:t xml:space="preserve">under the Act </w:t>
      </w:r>
      <w:r w:rsidRPr="00B929E5">
        <w:rPr>
          <w:rFonts w:ascii="Times New Roman" w:hAnsi="Times New Roman" w:cs="Times New Roman"/>
          <w:sz w:val="24"/>
          <w:szCs w:val="24"/>
        </w:rPr>
        <w:t>are not subject to merits review. APRA considers decisions made by APRA exercising discretions under its prudential standards should not be subject to merits review as they are financial decisions with a significant public interest element.</w:t>
      </w:r>
    </w:p>
    <w:p w14:paraId="02EE654F" w14:textId="5A027A49" w:rsidR="002B6897" w:rsidRPr="00E754BD" w:rsidRDefault="002B6897" w:rsidP="00994441">
      <w:pPr>
        <w:numPr>
          <w:ilvl w:val="0"/>
          <w:numId w:val="0"/>
        </w:numPr>
        <w:autoSpaceDE w:val="0"/>
        <w:autoSpaceDN w:val="0"/>
        <w:adjustRightInd w:val="0"/>
        <w:spacing w:after="0"/>
      </w:pPr>
      <w:r w:rsidRPr="00B929E5">
        <w:rPr>
          <w:rFonts w:ascii="Times New Roman" w:hAnsi="Times New Roman" w:cs="Times New Roman"/>
          <w:sz w:val="24"/>
          <w:szCs w:val="24"/>
        </w:rPr>
        <w:t xml:space="preserve">A breach of a prudential standard is also a breach of the Act, as the Act provides that a private health insurer must comply with the prudential standard. However, there are no penalties prescribed for such breaches. Instead, a private health insurer’s breach of a provision in the Act is grounds for APRA to make further, substantive decisions under the Act. </w:t>
      </w:r>
    </w:p>
    <w:p w14:paraId="114B4AB3" w14:textId="77777777" w:rsidR="00281970" w:rsidRPr="00B929E5" w:rsidRDefault="00281970" w:rsidP="00281970">
      <w:pPr>
        <w:pStyle w:val="Heading5"/>
        <w:rPr>
          <w:rFonts w:ascii="Times New Roman" w:hAnsi="Times New Roman" w:cs="Times New Roman"/>
          <w:sz w:val="24"/>
          <w:szCs w:val="24"/>
        </w:rPr>
      </w:pPr>
      <w:bookmarkStart w:id="5" w:name="_Hlk135146695"/>
      <w:r w:rsidRPr="00B929E5">
        <w:rPr>
          <w:rFonts w:ascii="Times New Roman" w:hAnsi="Times New Roman" w:cs="Times New Roman"/>
          <w:sz w:val="24"/>
          <w:szCs w:val="24"/>
        </w:rPr>
        <w:t>Documents incorporated by reference</w:t>
      </w:r>
    </w:p>
    <w:p w14:paraId="107D80B5" w14:textId="77777777" w:rsidR="00281970" w:rsidRPr="00B929E5" w:rsidRDefault="00281970" w:rsidP="00281970">
      <w:pPr>
        <w:rPr>
          <w:rFonts w:ascii="Times New Roman" w:hAnsi="Times New Roman" w:cs="Times New Roman"/>
          <w:sz w:val="24"/>
          <w:szCs w:val="24"/>
        </w:rPr>
      </w:pPr>
      <w:r w:rsidRPr="00B929E5">
        <w:rPr>
          <w:rFonts w:ascii="Times New Roman" w:hAnsi="Times New Roman" w:cs="Times New Roman"/>
          <w:sz w:val="24"/>
          <w:szCs w:val="24"/>
        </w:rPr>
        <w:t xml:space="preserve">Under paragraph 14(1)(a) of the </w:t>
      </w:r>
      <w:r w:rsidRPr="00B929E5">
        <w:rPr>
          <w:rFonts w:ascii="Times New Roman" w:hAnsi="Times New Roman" w:cs="Times New Roman"/>
          <w:i/>
          <w:sz w:val="24"/>
          <w:szCs w:val="24"/>
        </w:rPr>
        <w:t>Legislation Act 2003</w:t>
      </w:r>
      <w:r w:rsidRPr="00B929E5">
        <w:rPr>
          <w:rFonts w:ascii="Times New Roman" w:hAnsi="Times New Roman" w:cs="Times New Roman"/>
          <w:sz w:val="24"/>
          <w:szCs w:val="24"/>
        </w:rPr>
        <w:t xml:space="preserve">, the prudential standard incorporates by reference as in force from time to time: </w:t>
      </w:r>
    </w:p>
    <w:p w14:paraId="4633CE17" w14:textId="72AFA6AB" w:rsidR="00751681" w:rsidRPr="00B929E5" w:rsidRDefault="00281970" w:rsidP="00994441">
      <w:pPr>
        <w:numPr>
          <w:ilvl w:val="0"/>
          <w:numId w:val="24"/>
        </w:numPr>
        <w:spacing w:after="0"/>
        <w:ind w:hanging="357"/>
        <w:rPr>
          <w:rFonts w:ascii="Times New Roman" w:hAnsi="Times New Roman" w:cs="Times New Roman"/>
          <w:sz w:val="24"/>
          <w:szCs w:val="24"/>
        </w:rPr>
      </w:pPr>
      <w:r w:rsidRPr="00B929E5">
        <w:rPr>
          <w:rFonts w:ascii="Times New Roman" w:hAnsi="Times New Roman" w:cs="Times New Roman"/>
          <w:sz w:val="24"/>
          <w:szCs w:val="24"/>
        </w:rPr>
        <w:t xml:space="preserve">Acts of Parliament and associated delegated </w:t>
      </w:r>
      <w:proofErr w:type="gramStart"/>
      <w:r w:rsidRPr="00B929E5">
        <w:rPr>
          <w:rFonts w:ascii="Times New Roman" w:hAnsi="Times New Roman" w:cs="Times New Roman"/>
          <w:sz w:val="24"/>
          <w:szCs w:val="24"/>
        </w:rPr>
        <w:t>legislation;</w:t>
      </w:r>
      <w:proofErr w:type="gramEnd"/>
    </w:p>
    <w:p w14:paraId="7D77C87E" w14:textId="5F8DB6F9" w:rsidR="00281970" w:rsidRPr="00B929E5" w:rsidRDefault="00281970" w:rsidP="00994441">
      <w:pPr>
        <w:numPr>
          <w:ilvl w:val="0"/>
          <w:numId w:val="24"/>
        </w:numPr>
        <w:spacing w:after="0"/>
        <w:ind w:hanging="357"/>
        <w:rPr>
          <w:rFonts w:ascii="Times New Roman" w:hAnsi="Times New Roman" w:cs="Times New Roman"/>
          <w:sz w:val="24"/>
          <w:szCs w:val="24"/>
        </w:rPr>
      </w:pPr>
      <w:r w:rsidRPr="00B929E5">
        <w:rPr>
          <w:rFonts w:ascii="Times New Roman" w:hAnsi="Times New Roman" w:cs="Times New Roman"/>
          <w:sz w:val="24"/>
          <w:szCs w:val="24"/>
        </w:rPr>
        <w:t>Prudential Standards determined by APRA under</w:t>
      </w:r>
      <w:r w:rsidR="00AC1C1F">
        <w:rPr>
          <w:rFonts w:ascii="Times New Roman" w:hAnsi="Times New Roman" w:cs="Times New Roman"/>
          <w:sz w:val="24"/>
          <w:szCs w:val="24"/>
        </w:rPr>
        <w:t xml:space="preserve"> </w:t>
      </w:r>
      <w:r w:rsidRPr="00B929E5">
        <w:rPr>
          <w:rFonts w:ascii="Times New Roman" w:hAnsi="Times New Roman" w:cs="Times New Roman"/>
          <w:sz w:val="24"/>
          <w:szCs w:val="24"/>
        </w:rPr>
        <w:t>subsection 92(1) of the</w:t>
      </w:r>
      <w:r w:rsidR="00AC1C1F">
        <w:rPr>
          <w:rFonts w:ascii="Times New Roman" w:hAnsi="Times New Roman" w:cs="Times New Roman"/>
          <w:sz w:val="24"/>
          <w:szCs w:val="24"/>
        </w:rPr>
        <w:t xml:space="preserve"> Act</w:t>
      </w:r>
      <w:r w:rsidRPr="00B929E5">
        <w:rPr>
          <w:rFonts w:ascii="Times New Roman" w:hAnsi="Times New Roman" w:cs="Times New Roman"/>
          <w:iCs/>
          <w:sz w:val="24"/>
          <w:szCs w:val="24"/>
        </w:rPr>
        <w:t>; and</w:t>
      </w:r>
    </w:p>
    <w:p w14:paraId="7753773E" w14:textId="5AB16751" w:rsidR="00281970" w:rsidRPr="007F3414" w:rsidRDefault="00281970" w:rsidP="00AC1C1F">
      <w:pPr>
        <w:numPr>
          <w:ilvl w:val="0"/>
          <w:numId w:val="24"/>
        </w:numPr>
        <w:spacing w:after="0"/>
        <w:ind w:hanging="357"/>
        <w:rPr>
          <w:rFonts w:ascii="Times New Roman" w:hAnsi="Times New Roman" w:cs="Times New Roman"/>
          <w:sz w:val="24"/>
          <w:szCs w:val="24"/>
        </w:rPr>
      </w:pPr>
      <w:r w:rsidRPr="00B929E5">
        <w:rPr>
          <w:rFonts w:ascii="Times New Roman" w:hAnsi="Times New Roman" w:cs="Times New Roman"/>
          <w:sz w:val="24"/>
          <w:szCs w:val="24"/>
        </w:rPr>
        <w:t xml:space="preserve">Reporting Standards determined by APRA under subsection 13(1) of the </w:t>
      </w:r>
      <w:r w:rsidR="00A36C70" w:rsidRPr="006233ED">
        <w:rPr>
          <w:rFonts w:ascii="Times New Roman" w:hAnsi="Times New Roman" w:cs="Times New Roman"/>
          <w:i/>
          <w:sz w:val="24"/>
          <w:szCs w:val="24"/>
        </w:rPr>
        <w:t xml:space="preserve">Financial Sector (Collection of Data) Act </w:t>
      </w:r>
      <w:proofErr w:type="gramStart"/>
      <w:r w:rsidR="00A36C70" w:rsidRPr="006233ED">
        <w:rPr>
          <w:rFonts w:ascii="Times New Roman" w:hAnsi="Times New Roman" w:cs="Times New Roman"/>
          <w:i/>
          <w:sz w:val="24"/>
          <w:szCs w:val="24"/>
        </w:rPr>
        <w:t>2001</w:t>
      </w:r>
      <w:r w:rsidRPr="00B929E5">
        <w:rPr>
          <w:rFonts w:ascii="Times New Roman" w:hAnsi="Times New Roman" w:cs="Times New Roman"/>
          <w:iCs/>
          <w:sz w:val="24"/>
          <w:szCs w:val="24"/>
          <w:lang w:val="en-US"/>
        </w:rPr>
        <w:t>;</w:t>
      </w:r>
      <w:proofErr w:type="gramEnd"/>
    </w:p>
    <w:p w14:paraId="2989930F" w14:textId="77777777" w:rsidR="00C00F35" w:rsidRDefault="00C00F35" w:rsidP="00C00F35">
      <w:pPr>
        <w:numPr>
          <w:ilvl w:val="0"/>
          <w:numId w:val="0"/>
        </w:numPr>
        <w:spacing w:after="0"/>
        <w:rPr>
          <w:rFonts w:ascii="Times New Roman" w:hAnsi="Times New Roman" w:cs="Times New Roman"/>
          <w:iCs/>
          <w:sz w:val="24"/>
          <w:szCs w:val="24"/>
        </w:rPr>
      </w:pPr>
    </w:p>
    <w:p w14:paraId="1F4A7413" w14:textId="0B35C9C0" w:rsidR="00C00F35" w:rsidRPr="006233ED" w:rsidRDefault="00C00F35" w:rsidP="00C00F35">
      <w:pPr>
        <w:numPr>
          <w:ilvl w:val="0"/>
          <w:numId w:val="0"/>
        </w:numPr>
        <w:spacing w:after="0"/>
        <w:rPr>
          <w:rFonts w:ascii="Times New Roman" w:hAnsi="Times New Roman" w:cs="Times New Roman"/>
          <w:iCs/>
          <w:sz w:val="24"/>
          <w:szCs w:val="24"/>
        </w:rPr>
      </w:pPr>
      <w:r w:rsidRPr="006233ED">
        <w:rPr>
          <w:rFonts w:ascii="Times New Roman" w:hAnsi="Times New Roman" w:cs="Times New Roman"/>
          <w:iCs/>
          <w:sz w:val="24"/>
          <w:szCs w:val="24"/>
        </w:rPr>
        <w:t>which are available on the Federal Register of Legislation at www.legislation.gov.au.</w:t>
      </w:r>
    </w:p>
    <w:p w14:paraId="0653B2A1" w14:textId="77777777" w:rsidR="00C00F35" w:rsidRPr="006233ED" w:rsidRDefault="00C00F35" w:rsidP="00C00F35">
      <w:pPr>
        <w:numPr>
          <w:ilvl w:val="0"/>
          <w:numId w:val="0"/>
        </w:numPr>
        <w:spacing w:after="0"/>
        <w:rPr>
          <w:rFonts w:ascii="Times New Roman" w:hAnsi="Times New Roman" w:cs="Times New Roman"/>
          <w:i/>
          <w:iCs/>
          <w:sz w:val="24"/>
          <w:szCs w:val="24"/>
        </w:rPr>
      </w:pPr>
    </w:p>
    <w:p w14:paraId="2C611160" w14:textId="77777777" w:rsidR="00C5559E" w:rsidRDefault="00C00F35" w:rsidP="00C00F35">
      <w:pPr>
        <w:numPr>
          <w:ilvl w:val="0"/>
          <w:numId w:val="0"/>
        </w:numPr>
        <w:spacing w:after="0"/>
        <w:rPr>
          <w:rFonts w:ascii="Times New Roman" w:hAnsi="Times New Roman" w:cs="Times New Roman"/>
          <w:sz w:val="24"/>
          <w:szCs w:val="24"/>
        </w:rPr>
      </w:pPr>
      <w:r>
        <w:rPr>
          <w:rFonts w:ascii="Times New Roman" w:hAnsi="Times New Roman" w:cs="Times New Roman"/>
          <w:sz w:val="24"/>
          <w:szCs w:val="24"/>
        </w:rPr>
        <w:t xml:space="preserve">Under subsection 92(7) of the Act, </w:t>
      </w:r>
      <w:r w:rsidRPr="009A29D8">
        <w:rPr>
          <w:rFonts w:ascii="Times New Roman" w:hAnsi="Times New Roman" w:cs="Times New Roman"/>
          <w:sz w:val="24"/>
          <w:szCs w:val="24"/>
        </w:rPr>
        <w:t>the standard incorporates by reference, as it exists from time to time</w:t>
      </w:r>
      <w:r w:rsidR="00C5559E">
        <w:rPr>
          <w:rFonts w:ascii="Times New Roman" w:hAnsi="Times New Roman" w:cs="Times New Roman"/>
          <w:sz w:val="24"/>
          <w:szCs w:val="24"/>
        </w:rPr>
        <w:t>:</w:t>
      </w:r>
    </w:p>
    <w:p w14:paraId="58E0D136" w14:textId="77777777" w:rsidR="00CC34E6" w:rsidRDefault="00CC34E6" w:rsidP="00C00F35">
      <w:pPr>
        <w:numPr>
          <w:ilvl w:val="0"/>
          <w:numId w:val="0"/>
        </w:numPr>
        <w:spacing w:after="0"/>
        <w:rPr>
          <w:rFonts w:ascii="Times New Roman" w:hAnsi="Times New Roman" w:cs="Times New Roman"/>
          <w:sz w:val="24"/>
          <w:szCs w:val="24"/>
        </w:rPr>
      </w:pPr>
    </w:p>
    <w:p w14:paraId="53F88708" w14:textId="7B85370F" w:rsidR="00C00F35" w:rsidRDefault="00C00F35" w:rsidP="00C5559E">
      <w:pPr>
        <w:pStyle w:val="ListParagraph"/>
        <w:numPr>
          <w:ilvl w:val="0"/>
          <w:numId w:val="24"/>
        </w:numPr>
        <w:spacing w:after="0"/>
        <w:rPr>
          <w:rFonts w:ascii="Times New Roman" w:hAnsi="Times New Roman" w:cs="Times New Roman"/>
          <w:sz w:val="24"/>
          <w:szCs w:val="24"/>
        </w:rPr>
      </w:pPr>
      <w:r w:rsidRPr="00994441">
        <w:rPr>
          <w:rFonts w:ascii="Times New Roman" w:hAnsi="Times New Roman" w:cs="Times New Roman"/>
          <w:sz w:val="24"/>
          <w:szCs w:val="24"/>
        </w:rPr>
        <w:t xml:space="preserve">the Australian Accounting Standards determined by the Australian Accounting Standards Board (AASB) under section 334 of the </w:t>
      </w:r>
      <w:r w:rsidRPr="00994441">
        <w:rPr>
          <w:rFonts w:ascii="Times New Roman" w:hAnsi="Times New Roman" w:cs="Times New Roman"/>
          <w:i/>
          <w:iCs/>
          <w:sz w:val="24"/>
          <w:szCs w:val="24"/>
        </w:rPr>
        <w:t>Corporations Act 2001</w:t>
      </w:r>
      <w:r w:rsidRPr="00994441">
        <w:rPr>
          <w:rFonts w:ascii="Times New Roman" w:hAnsi="Times New Roman" w:cs="Times New Roman"/>
          <w:sz w:val="24"/>
          <w:szCs w:val="24"/>
        </w:rPr>
        <w:t xml:space="preserve"> </w:t>
      </w:r>
      <w:r w:rsidR="00072C0B">
        <w:rPr>
          <w:rFonts w:ascii="Times New Roman" w:hAnsi="Times New Roman" w:cs="Times New Roman"/>
          <w:sz w:val="24"/>
          <w:szCs w:val="24"/>
        </w:rPr>
        <w:t>(the Corporation</w:t>
      </w:r>
      <w:r w:rsidR="00453A70">
        <w:rPr>
          <w:rFonts w:ascii="Times New Roman" w:hAnsi="Times New Roman" w:cs="Times New Roman"/>
          <w:sz w:val="24"/>
          <w:szCs w:val="24"/>
        </w:rPr>
        <w:t>s</w:t>
      </w:r>
      <w:r w:rsidR="00072C0B">
        <w:rPr>
          <w:rFonts w:ascii="Times New Roman" w:hAnsi="Times New Roman" w:cs="Times New Roman"/>
          <w:sz w:val="24"/>
          <w:szCs w:val="24"/>
        </w:rPr>
        <w:t xml:space="preserve"> Act</w:t>
      </w:r>
      <w:r w:rsidR="00547212">
        <w:rPr>
          <w:rFonts w:ascii="Times New Roman" w:hAnsi="Times New Roman" w:cs="Times New Roman"/>
          <w:sz w:val="24"/>
          <w:szCs w:val="24"/>
        </w:rPr>
        <w:t>)</w:t>
      </w:r>
      <w:r w:rsidR="00453A70">
        <w:rPr>
          <w:rFonts w:ascii="Times New Roman" w:hAnsi="Times New Roman" w:cs="Times New Roman"/>
          <w:sz w:val="24"/>
          <w:szCs w:val="24"/>
        </w:rPr>
        <w:t>,</w:t>
      </w:r>
      <w:r w:rsidR="00547212">
        <w:rPr>
          <w:rFonts w:ascii="Times New Roman" w:hAnsi="Times New Roman" w:cs="Times New Roman"/>
          <w:sz w:val="24"/>
          <w:szCs w:val="24"/>
        </w:rPr>
        <w:t xml:space="preserve"> </w:t>
      </w:r>
      <w:r w:rsidRPr="00994441">
        <w:rPr>
          <w:rFonts w:ascii="Times New Roman" w:hAnsi="Times New Roman" w:cs="Times New Roman"/>
          <w:sz w:val="24"/>
          <w:szCs w:val="24"/>
        </w:rPr>
        <w:t xml:space="preserve">which are available on the AASB website at </w:t>
      </w:r>
      <w:r w:rsidR="00C5559E" w:rsidRPr="00526F5A">
        <w:rPr>
          <w:rFonts w:ascii="Times New Roman" w:hAnsi="Times New Roman" w:cs="Times New Roman"/>
          <w:sz w:val="24"/>
          <w:szCs w:val="24"/>
        </w:rPr>
        <w:t>https://aasb.gov.au/</w:t>
      </w:r>
      <w:r w:rsidR="00C5559E">
        <w:rPr>
          <w:rFonts w:ascii="Times New Roman" w:hAnsi="Times New Roman" w:cs="Times New Roman"/>
          <w:sz w:val="24"/>
          <w:szCs w:val="24"/>
        </w:rPr>
        <w:t xml:space="preserve">; and </w:t>
      </w:r>
    </w:p>
    <w:p w14:paraId="292FAA52" w14:textId="3C4B2960" w:rsidR="00C5559E" w:rsidRPr="00994441" w:rsidRDefault="00C5559E" w:rsidP="00994441">
      <w:pPr>
        <w:pStyle w:val="ListParagraph"/>
        <w:numPr>
          <w:ilvl w:val="0"/>
          <w:numId w:val="24"/>
        </w:numPr>
        <w:spacing w:after="0"/>
        <w:rPr>
          <w:rFonts w:ascii="Times New Roman" w:hAnsi="Times New Roman" w:cs="Times New Roman"/>
          <w:sz w:val="24"/>
          <w:szCs w:val="24"/>
        </w:rPr>
      </w:pPr>
      <w:r>
        <w:rPr>
          <w:rFonts w:ascii="Times New Roman" w:hAnsi="Times New Roman" w:cs="Times New Roman"/>
          <w:sz w:val="24"/>
          <w:szCs w:val="24"/>
        </w:rPr>
        <w:t xml:space="preserve">the </w:t>
      </w:r>
      <w:r w:rsidR="00072C0B">
        <w:rPr>
          <w:rFonts w:ascii="Times New Roman" w:hAnsi="Times New Roman" w:cs="Times New Roman"/>
          <w:sz w:val="24"/>
          <w:szCs w:val="24"/>
        </w:rPr>
        <w:t xml:space="preserve">Australian Auditing Standards </w:t>
      </w:r>
      <w:r w:rsidR="00072C0B" w:rsidRPr="006233ED">
        <w:rPr>
          <w:rFonts w:ascii="Times New Roman" w:hAnsi="Times New Roman" w:cs="Times New Roman"/>
          <w:sz w:val="24"/>
          <w:szCs w:val="24"/>
        </w:rPr>
        <w:t xml:space="preserve">determined by the </w:t>
      </w:r>
      <w:r w:rsidR="00D61B55">
        <w:rPr>
          <w:rFonts w:ascii="Times New Roman" w:hAnsi="Times New Roman" w:cs="Times New Roman"/>
          <w:sz w:val="24"/>
          <w:szCs w:val="24"/>
        </w:rPr>
        <w:t>Auditing and Assurance Standards Board</w:t>
      </w:r>
      <w:r w:rsidR="00072C0B" w:rsidRPr="006233ED">
        <w:rPr>
          <w:rFonts w:ascii="Times New Roman" w:hAnsi="Times New Roman" w:cs="Times New Roman"/>
          <w:sz w:val="24"/>
          <w:szCs w:val="24"/>
        </w:rPr>
        <w:t xml:space="preserve"> (A</w:t>
      </w:r>
      <w:r w:rsidR="00D61B55">
        <w:rPr>
          <w:rFonts w:ascii="Times New Roman" w:hAnsi="Times New Roman" w:cs="Times New Roman"/>
          <w:sz w:val="24"/>
          <w:szCs w:val="24"/>
        </w:rPr>
        <w:t>U</w:t>
      </w:r>
      <w:r w:rsidR="00072C0B" w:rsidRPr="006233ED">
        <w:rPr>
          <w:rFonts w:ascii="Times New Roman" w:hAnsi="Times New Roman" w:cs="Times New Roman"/>
          <w:sz w:val="24"/>
          <w:szCs w:val="24"/>
        </w:rPr>
        <w:t>ASB) under section 33</w:t>
      </w:r>
      <w:r w:rsidR="00751681">
        <w:rPr>
          <w:rFonts w:ascii="Times New Roman" w:hAnsi="Times New Roman" w:cs="Times New Roman"/>
          <w:sz w:val="24"/>
          <w:szCs w:val="24"/>
        </w:rPr>
        <w:t>6</w:t>
      </w:r>
      <w:r w:rsidR="00072C0B" w:rsidRPr="006233ED">
        <w:rPr>
          <w:rFonts w:ascii="Times New Roman" w:hAnsi="Times New Roman" w:cs="Times New Roman"/>
          <w:sz w:val="24"/>
          <w:szCs w:val="24"/>
        </w:rPr>
        <w:t xml:space="preserve"> of the </w:t>
      </w:r>
      <w:r w:rsidR="00072C0B" w:rsidRPr="00994441">
        <w:rPr>
          <w:rFonts w:ascii="Times New Roman" w:hAnsi="Times New Roman" w:cs="Times New Roman"/>
          <w:iCs/>
          <w:sz w:val="24"/>
          <w:szCs w:val="24"/>
        </w:rPr>
        <w:t>Corporations</w:t>
      </w:r>
      <w:r w:rsidR="00453A70">
        <w:rPr>
          <w:rFonts w:ascii="Times New Roman" w:hAnsi="Times New Roman" w:cs="Times New Roman"/>
          <w:iCs/>
          <w:sz w:val="24"/>
          <w:szCs w:val="24"/>
        </w:rPr>
        <w:t xml:space="preserve">, which are available </w:t>
      </w:r>
      <w:r w:rsidR="00C95508">
        <w:rPr>
          <w:rFonts w:ascii="Times New Roman" w:hAnsi="Times New Roman" w:cs="Times New Roman"/>
          <w:iCs/>
          <w:sz w:val="24"/>
          <w:szCs w:val="24"/>
        </w:rPr>
        <w:t xml:space="preserve">on the AUASB website at </w:t>
      </w:r>
      <w:r w:rsidR="00CC34E6" w:rsidRPr="00CC34E6">
        <w:rPr>
          <w:rFonts w:ascii="Times New Roman" w:hAnsi="Times New Roman" w:cs="Times New Roman"/>
          <w:iCs/>
          <w:sz w:val="24"/>
          <w:szCs w:val="24"/>
        </w:rPr>
        <w:t>https://auasb.gov.au</w:t>
      </w:r>
      <w:r w:rsidR="00CC34E6">
        <w:rPr>
          <w:rFonts w:ascii="Times New Roman" w:hAnsi="Times New Roman" w:cs="Times New Roman"/>
          <w:iCs/>
          <w:sz w:val="24"/>
          <w:szCs w:val="24"/>
        </w:rPr>
        <w:t>.</w:t>
      </w:r>
    </w:p>
    <w:bookmarkEnd w:id="5"/>
    <w:p w14:paraId="71F2146A" w14:textId="77777777" w:rsidR="00A06A6F" w:rsidRPr="00DD4451" w:rsidRDefault="00A06A6F" w:rsidP="00BD5923">
      <w:pPr>
        <w:numPr>
          <w:ilvl w:val="0"/>
          <w:numId w:val="0"/>
        </w:numPr>
        <w:autoSpaceDE w:val="0"/>
        <w:autoSpaceDN w:val="0"/>
        <w:adjustRightInd w:val="0"/>
        <w:spacing w:after="0"/>
        <w:jc w:val="left"/>
        <w:rPr>
          <w:rFonts w:ascii="Times New Roman" w:hAnsi="Times New Roman" w:cs="Times New Roman"/>
          <w:sz w:val="24"/>
          <w:szCs w:val="24"/>
        </w:rPr>
      </w:pPr>
    </w:p>
    <w:p w14:paraId="3F2697B4" w14:textId="788770AB" w:rsidR="00211AFD" w:rsidRPr="00BC1E70" w:rsidRDefault="00B670E9"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3.</w:t>
      </w:r>
      <w:r w:rsidRPr="00BC1E70">
        <w:rPr>
          <w:rFonts w:ascii="Times New Roman" w:hAnsi="Times New Roman" w:cs="Times New Roman"/>
          <w:b/>
          <w:sz w:val="24"/>
          <w:szCs w:val="24"/>
        </w:rPr>
        <w:tab/>
      </w:r>
      <w:r w:rsidR="00211AFD" w:rsidRPr="00BC1E70">
        <w:rPr>
          <w:rFonts w:ascii="Times New Roman" w:hAnsi="Times New Roman" w:cs="Times New Roman"/>
          <w:b/>
          <w:sz w:val="24"/>
          <w:szCs w:val="24"/>
        </w:rPr>
        <w:t>Consultation</w:t>
      </w:r>
    </w:p>
    <w:p w14:paraId="20CFC957" w14:textId="0A9EB2A9" w:rsidR="001366BD" w:rsidRDefault="00947280" w:rsidP="00A540EB">
      <w:pPr>
        <w:numPr>
          <w:ilvl w:val="0"/>
          <w:numId w:val="0"/>
        </w:numPr>
        <w:rPr>
          <w:rFonts w:ascii="Times New Roman" w:hAnsi="Times New Roman" w:cs="Times New Roman"/>
          <w:sz w:val="24"/>
          <w:szCs w:val="24"/>
        </w:rPr>
      </w:pPr>
      <w:r w:rsidRPr="00947280">
        <w:rPr>
          <w:rFonts w:ascii="Times New Roman" w:hAnsi="Times New Roman" w:cs="Times New Roman"/>
          <w:sz w:val="24"/>
          <w:szCs w:val="24"/>
        </w:rPr>
        <w:t>Th</w:t>
      </w:r>
      <w:r w:rsidR="007E3348">
        <w:rPr>
          <w:rFonts w:ascii="Times New Roman" w:hAnsi="Times New Roman" w:cs="Times New Roman"/>
          <w:sz w:val="24"/>
          <w:szCs w:val="24"/>
        </w:rPr>
        <w:t xml:space="preserve">is and other prudential standards, forming the new private health insurance capital framework, </w:t>
      </w:r>
      <w:r w:rsidRPr="00947280">
        <w:rPr>
          <w:rFonts w:ascii="Times New Roman" w:hAnsi="Times New Roman" w:cs="Times New Roman"/>
          <w:sz w:val="24"/>
          <w:szCs w:val="24"/>
        </w:rPr>
        <w:t xml:space="preserve">are the product of extensive consultation with the industry and other key stakeholders. </w:t>
      </w:r>
      <w:r w:rsidR="001366BD">
        <w:rPr>
          <w:rFonts w:ascii="Times New Roman" w:hAnsi="Times New Roman" w:cs="Times New Roman"/>
          <w:sz w:val="24"/>
          <w:szCs w:val="24"/>
        </w:rPr>
        <w:t>Submissions were received from, and discussions held with</w:t>
      </w:r>
      <w:r w:rsidR="0083348D">
        <w:rPr>
          <w:rFonts w:ascii="Times New Roman" w:hAnsi="Times New Roman" w:cs="Times New Roman"/>
          <w:sz w:val="24"/>
          <w:szCs w:val="24"/>
        </w:rPr>
        <w:t>,</w:t>
      </w:r>
      <w:r w:rsidR="001366BD">
        <w:rPr>
          <w:rFonts w:ascii="Times New Roman" w:hAnsi="Times New Roman" w:cs="Times New Roman"/>
          <w:sz w:val="24"/>
          <w:szCs w:val="24"/>
        </w:rPr>
        <w:t xml:space="preserve"> private health insurers, industry bodies and other government agencies. </w:t>
      </w:r>
    </w:p>
    <w:p w14:paraId="3D80BDCB" w14:textId="78CF6178" w:rsidR="001366BD" w:rsidRDefault="001366BD" w:rsidP="00A540EB">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Submissions were largely supportive of </w:t>
      </w:r>
      <w:r w:rsidR="004A42FA">
        <w:rPr>
          <w:rFonts w:ascii="Times New Roman" w:hAnsi="Times New Roman" w:cs="Times New Roman"/>
          <w:sz w:val="24"/>
          <w:szCs w:val="24"/>
        </w:rPr>
        <w:t>aligning</w:t>
      </w:r>
      <w:r>
        <w:rPr>
          <w:rFonts w:ascii="Times New Roman" w:hAnsi="Times New Roman" w:cs="Times New Roman"/>
          <w:sz w:val="24"/>
          <w:szCs w:val="24"/>
        </w:rPr>
        <w:t xml:space="preserve"> the private health insurance capital framework with the requirements for life and general insurers. Key areas of feedback from submissions included the treatment of the deferred claims liability within the capital framework, the allowance for management actions, and the design of the insurance risk charge. </w:t>
      </w:r>
      <w:r w:rsidR="004A42FA">
        <w:rPr>
          <w:rFonts w:ascii="Times New Roman" w:hAnsi="Times New Roman" w:cs="Times New Roman"/>
          <w:sz w:val="24"/>
          <w:szCs w:val="24"/>
        </w:rPr>
        <w:t xml:space="preserve">Insurers also raised the scale </w:t>
      </w:r>
      <w:r w:rsidR="00070362">
        <w:rPr>
          <w:rFonts w:ascii="Times New Roman" w:hAnsi="Times New Roman" w:cs="Times New Roman"/>
          <w:sz w:val="24"/>
          <w:szCs w:val="24"/>
        </w:rPr>
        <w:t>o</w:t>
      </w:r>
      <w:r w:rsidR="004A42FA">
        <w:rPr>
          <w:rFonts w:ascii="Times New Roman" w:hAnsi="Times New Roman" w:cs="Times New Roman"/>
          <w:sz w:val="24"/>
          <w:szCs w:val="24"/>
        </w:rPr>
        <w:t xml:space="preserve">f the increase in minimum regulatory capital requirements and the impact this could have on premiums. </w:t>
      </w:r>
    </w:p>
    <w:p w14:paraId="01EE4B89" w14:textId="01D57A86" w:rsidR="004A42FA" w:rsidRDefault="004A42FA" w:rsidP="00A540EB">
      <w:pPr>
        <w:numPr>
          <w:ilvl w:val="0"/>
          <w:numId w:val="0"/>
        </w:numPr>
        <w:rPr>
          <w:rFonts w:ascii="Times New Roman" w:hAnsi="Times New Roman" w:cs="Times New Roman"/>
          <w:sz w:val="24"/>
          <w:szCs w:val="24"/>
        </w:rPr>
      </w:pPr>
      <w:proofErr w:type="gramStart"/>
      <w:r>
        <w:rPr>
          <w:rFonts w:ascii="Times New Roman" w:hAnsi="Times New Roman" w:cs="Times New Roman"/>
          <w:sz w:val="24"/>
          <w:szCs w:val="24"/>
        </w:rPr>
        <w:lastRenderedPageBreak/>
        <w:t>A number of</w:t>
      </w:r>
      <w:proofErr w:type="gramEnd"/>
      <w:r>
        <w:rPr>
          <w:rFonts w:ascii="Times New Roman" w:hAnsi="Times New Roman" w:cs="Times New Roman"/>
          <w:sz w:val="24"/>
          <w:szCs w:val="24"/>
        </w:rPr>
        <w:t xml:space="preserve"> public discussion and response papers were released during and following the consultation periods with draft standards accompanying the December 2021 response paper:</w:t>
      </w:r>
    </w:p>
    <w:p w14:paraId="75CA1F8C" w14:textId="7CAF6810" w:rsidR="004A42FA" w:rsidRDefault="004A42FA" w:rsidP="00A540EB">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November 2018: Letter </w:t>
      </w:r>
      <w:r w:rsidRPr="004A42FA">
        <w:rPr>
          <w:rFonts w:ascii="Times New Roman" w:hAnsi="Times New Roman" w:cs="Times New Roman"/>
          <w:i/>
          <w:sz w:val="24"/>
          <w:szCs w:val="24"/>
        </w:rPr>
        <w:t xml:space="preserve">Roadmap for APRA’s review of the private health insurance capital </w:t>
      </w:r>
      <w:proofErr w:type="gramStart"/>
      <w:r w:rsidRPr="004A42FA">
        <w:rPr>
          <w:rFonts w:ascii="Times New Roman" w:hAnsi="Times New Roman" w:cs="Times New Roman"/>
          <w:i/>
          <w:sz w:val="24"/>
          <w:szCs w:val="24"/>
        </w:rPr>
        <w:t>framework</w:t>
      </w:r>
      <w:r>
        <w:rPr>
          <w:rFonts w:ascii="Times New Roman" w:hAnsi="Times New Roman" w:cs="Times New Roman"/>
          <w:sz w:val="24"/>
          <w:szCs w:val="24"/>
        </w:rPr>
        <w:t>;</w:t>
      </w:r>
      <w:proofErr w:type="gramEnd"/>
    </w:p>
    <w:p w14:paraId="23B5A14E" w14:textId="77777777" w:rsidR="004A42FA" w:rsidRPr="004A42FA" w:rsidRDefault="004A42FA" w:rsidP="00A540EB">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December 2019: Discussion Paper </w:t>
      </w:r>
      <w:r w:rsidRPr="004A42FA">
        <w:rPr>
          <w:rFonts w:ascii="Times New Roman" w:hAnsi="Times New Roman" w:cs="Times New Roman"/>
          <w:i/>
          <w:sz w:val="24"/>
          <w:szCs w:val="24"/>
        </w:rPr>
        <w:t xml:space="preserve">Private Health Insurance Capital Standards </w:t>
      </w:r>
      <w:proofErr w:type="gramStart"/>
      <w:r w:rsidRPr="004A42FA">
        <w:rPr>
          <w:rFonts w:ascii="Times New Roman" w:hAnsi="Times New Roman" w:cs="Times New Roman"/>
          <w:i/>
          <w:sz w:val="24"/>
          <w:szCs w:val="24"/>
        </w:rPr>
        <w:t>Review</w:t>
      </w:r>
      <w:r>
        <w:rPr>
          <w:rFonts w:ascii="Times New Roman" w:hAnsi="Times New Roman" w:cs="Times New Roman"/>
          <w:i/>
          <w:sz w:val="24"/>
          <w:szCs w:val="24"/>
        </w:rPr>
        <w:t>;</w:t>
      </w:r>
      <w:proofErr w:type="gramEnd"/>
    </w:p>
    <w:p w14:paraId="6FC75CE6" w14:textId="2C5919BB" w:rsidR="00F0561E" w:rsidRDefault="004A42FA" w:rsidP="00A540EB">
      <w:pPr>
        <w:pStyle w:val="ListParagraph"/>
        <w:numPr>
          <w:ilvl w:val="0"/>
          <w:numId w:val="23"/>
        </w:numPr>
        <w:rPr>
          <w:rFonts w:ascii="Times New Roman" w:hAnsi="Times New Roman" w:cs="Times New Roman"/>
          <w:i/>
          <w:sz w:val="24"/>
          <w:szCs w:val="24"/>
        </w:rPr>
      </w:pPr>
      <w:r>
        <w:rPr>
          <w:rFonts w:ascii="Times New Roman" w:hAnsi="Times New Roman" w:cs="Times New Roman"/>
          <w:sz w:val="24"/>
          <w:szCs w:val="24"/>
        </w:rPr>
        <w:t xml:space="preserve">December 2021: </w:t>
      </w:r>
      <w:r w:rsidR="00F0561E">
        <w:rPr>
          <w:rFonts w:ascii="Times New Roman" w:hAnsi="Times New Roman" w:cs="Times New Roman"/>
          <w:sz w:val="24"/>
          <w:szCs w:val="24"/>
        </w:rPr>
        <w:t xml:space="preserve">Response Paper </w:t>
      </w:r>
      <w:r w:rsidR="00F0561E" w:rsidRPr="00F0561E">
        <w:rPr>
          <w:rFonts w:ascii="Times New Roman" w:hAnsi="Times New Roman" w:cs="Times New Roman"/>
          <w:i/>
          <w:sz w:val="24"/>
          <w:szCs w:val="24"/>
        </w:rPr>
        <w:t xml:space="preserve">A proposed new capital framework for Private Health </w:t>
      </w:r>
      <w:proofErr w:type="gramStart"/>
      <w:r w:rsidR="00F0561E" w:rsidRPr="00F0561E">
        <w:rPr>
          <w:rFonts w:ascii="Times New Roman" w:hAnsi="Times New Roman" w:cs="Times New Roman"/>
          <w:i/>
          <w:sz w:val="24"/>
          <w:szCs w:val="24"/>
        </w:rPr>
        <w:t>Insurance</w:t>
      </w:r>
      <w:r w:rsidR="00D8198D">
        <w:rPr>
          <w:rFonts w:ascii="Times New Roman" w:hAnsi="Times New Roman" w:cs="Times New Roman"/>
          <w:sz w:val="24"/>
          <w:szCs w:val="24"/>
        </w:rPr>
        <w:t>;</w:t>
      </w:r>
      <w:proofErr w:type="gramEnd"/>
    </w:p>
    <w:p w14:paraId="73CAB95E" w14:textId="713CE1E3" w:rsidR="00F0561E" w:rsidRPr="00F0561E" w:rsidRDefault="00F0561E" w:rsidP="00A540EB">
      <w:pPr>
        <w:pStyle w:val="ListParagraph"/>
        <w:numPr>
          <w:ilvl w:val="0"/>
          <w:numId w:val="23"/>
        </w:numPr>
        <w:rPr>
          <w:rFonts w:ascii="Times New Roman" w:hAnsi="Times New Roman" w:cs="Times New Roman"/>
          <w:i/>
          <w:sz w:val="24"/>
          <w:szCs w:val="24"/>
        </w:rPr>
      </w:pPr>
      <w:r>
        <w:rPr>
          <w:rFonts w:ascii="Times New Roman" w:hAnsi="Times New Roman" w:cs="Times New Roman"/>
          <w:sz w:val="24"/>
          <w:szCs w:val="24"/>
        </w:rPr>
        <w:t xml:space="preserve">December 2021: Quantitative Impact </w:t>
      </w:r>
      <w:proofErr w:type="gramStart"/>
      <w:r>
        <w:rPr>
          <w:rFonts w:ascii="Times New Roman" w:hAnsi="Times New Roman" w:cs="Times New Roman"/>
          <w:sz w:val="24"/>
          <w:szCs w:val="24"/>
        </w:rPr>
        <w:t>Study</w:t>
      </w:r>
      <w:r w:rsidR="00D8198D">
        <w:rPr>
          <w:rFonts w:ascii="Times New Roman" w:hAnsi="Times New Roman" w:cs="Times New Roman"/>
          <w:sz w:val="24"/>
          <w:szCs w:val="24"/>
        </w:rPr>
        <w:t>;</w:t>
      </w:r>
      <w:proofErr w:type="gramEnd"/>
    </w:p>
    <w:p w14:paraId="4F03F369" w14:textId="47B2C231" w:rsidR="00F0561E" w:rsidRPr="00F0561E" w:rsidRDefault="00F0561E" w:rsidP="00A540EB">
      <w:pPr>
        <w:pStyle w:val="ListParagraph"/>
        <w:numPr>
          <w:ilvl w:val="0"/>
          <w:numId w:val="23"/>
        </w:numPr>
        <w:rPr>
          <w:rFonts w:ascii="Times New Roman" w:hAnsi="Times New Roman" w:cs="Times New Roman"/>
          <w:i/>
          <w:sz w:val="24"/>
          <w:szCs w:val="24"/>
        </w:rPr>
      </w:pPr>
      <w:r>
        <w:rPr>
          <w:rFonts w:ascii="Times New Roman" w:hAnsi="Times New Roman" w:cs="Times New Roman"/>
          <w:sz w:val="24"/>
          <w:szCs w:val="24"/>
        </w:rPr>
        <w:t xml:space="preserve">December 2021: Response Paper </w:t>
      </w:r>
      <w:r w:rsidRPr="00D8198D">
        <w:rPr>
          <w:rFonts w:ascii="Times New Roman" w:hAnsi="Times New Roman" w:cs="Times New Roman"/>
          <w:i/>
          <w:sz w:val="24"/>
          <w:szCs w:val="24"/>
        </w:rPr>
        <w:t xml:space="preserve">Integrating AASB 17 into the capital and reporting framework for insurers and updates to the LAGIC </w:t>
      </w:r>
      <w:proofErr w:type="gramStart"/>
      <w:r w:rsidRPr="00D8198D">
        <w:rPr>
          <w:rFonts w:ascii="Times New Roman" w:hAnsi="Times New Roman" w:cs="Times New Roman"/>
          <w:i/>
          <w:sz w:val="24"/>
          <w:szCs w:val="24"/>
        </w:rPr>
        <w:t>framework</w:t>
      </w:r>
      <w:r w:rsidR="00D8198D">
        <w:rPr>
          <w:rFonts w:ascii="Times New Roman" w:hAnsi="Times New Roman" w:cs="Times New Roman"/>
          <w:sz w:val="24"/>
          <w:szCs w:val="24"/>
        </w:rPr>
        <w:t>;</w:t>
      </w:r>
      <w:proofErr w:type="gramEnd"/>
    </w:p>
    <w:p w14:paraId="5CA9A284" w14:textId="2FD0AE0A" w:rsidR="00F0561E" w:rsidRPr="00F0561E" w:rsidRDefault="00F0561E" w:rsidP="00A540EB">
      <w:pPr>
        <w:pStyle w:val="ListParagraph"/>
        <w:numPr>
          <w:ilvl w:val="0"/>
          <w:numId w:val="23"/>
        </w:numPr>
        <w:rPr>
          <w:rFonts w:ascii="Times New Roman" w:hAnsi="Times New Roman" w:cs="Times New Roman"/>
          <w:i/>
          <w:sz w:val="24"/>
          <w:szCs w:val="24"/>
        </w:rPr>
      </w:pPr>
      <w:r>
        <w:rPr>
          <w:rFonts w:ascii="Times New Roman" w:hAnsi="Times New Roman" w:cs="Times New Roman"/>
          <w:sz w:val="24"/>
          <w:szCs w:val="24"/>
        </w:rPr>
        <w:t xml:space="preserve">April 2022: Letter </w:t>
      </w:r>
      <w:r w:rsidRPr="00F0561E">
        <w:rPr>
          <w:rFonts w:ascii="Times New Roman" w:hAnsi="Times New Roman" w:cs="Times New Roman"/>
          <w:i/>
          <w:sz w:val="24"/>
          <w:szCs w:val="24"/>
        </w:rPr>
        <w:t xml:space="preserve">Integrating AASB17 into the Capital and reporting framework for insurers and updates to private health insurer capital </w:t>
      </w:r>
      <w:proofErr w:type="gramStart"/>
      <w:r w:rsidRPr="00F0561E">
        <w:rPr>
          <w:rFonts w:ascii="Times New Roman" w:hAnsi="Times New Roman" w:cs="Times New Roman"/>
          <w:i/>
          <w:sz w:val="24"/>
          <w:szCs w:val="24"/>
        </w:rPr>
        <w:t>framework</w:t>
      </w:r>
      <w:r w:rsidR="00D8198D">
        <w:rPr>
          <w:rFonts w:ascii="Times New Roman" w:hAnsi="Times New Roman" w:cs="Times New Roman"/>
          <w:sz w:val="24"/>
          <w:szCs w:val="24"/>
        </w:rPr>
        <w:t>;</w:t>
      </w:r>
      <w:proofErr w:type="gramEnd"/>
    </w:p>
    <w:p w14:paraId="703821B9" w14:textId="1307CA4D" w:rsidR="004A42FA" w:rsidRDefault="00F0561E" w:rsidP="00A540EB">
      <w:pPr>
        <w:pStyle w:val="ListParagraph"/>
        <w:numPr>
          <w:ilvl w:val="0"/>
          <w:numId w:val="23"/>
        </w:numPr>
        <w:rPr>
          <w:rFonts w:ascii="Times New Roman" w:hAnsi="Times New Roman" w:cs="Times New Roman"/>
          <w:i/>
          <w:sz w:val="24"/>
          <w:szCs w:val="24"/>
        </w:rPr>
      </w:pPr>
      <w:r>
        <w:rPr>
          <w:rFonts w:ascii="Times New Roman" w:hAnsi="Times New Roman" w:cs="Times New Roman"/>
          <w:sz w:val="24"/>
          <w:szCs w:val="24"/>
        </w:rPr>
        <w:t xml:space="preserve">September 2022: Response paper </w:t>
      </w:r>
      <w:bookmarkStart w:id="6" w:name="_Hlk133239296"/>
      <w:r w:rsidRPr="00F0561E">
        <w:rPr>
          <w:rFonts w:ascii="Times New Roman" w:hAnsi="Times New Roman" w:cs="Times New Roman"/>
          <w:i/>
          <w:sz w:val="24"/>
          <w:szCs w:val="24"/>
        </w:rPr>
        <w:t>Finalising the review of the Private Health Insurance Capital Framework</w:t>
      </w:r>
      <w:bookmarkEnd w:id="6"/>
      <w:r w:rsidR="00D8198D">
        <w:rPr>
          <w:rFonts w:ascii="Times New Roman" w:hAnsi="Times New Roman" w:cs="Times New Roman"/>
          <w:sz w:val="24"/>
          <w:szCs w:val="24"/>
        </w:rPr>
        <w:t>; and</w:t>
      </w:r>
    </w:p>
    <w:p w14:paraId="73EA4559" w14:textId="16811F39" w:rsidR="00D8198D" w:rsidRPr="00D66999" w:rsidRDefault="00D8198D" w:rsidP="00A540EB">
      <w:pPr>
        <w:pStyle w:val="ListParagraph"/>
        <w:numPr>
          <w:ilvl w:val="0"/>
          <w:numId w:val="23"/>
        </w:numPr>
        <w:rPr>
          <w:rFonts w:ascii="Times New Roman" w:hAnsi="Times New Roman" w:cs="Times New Roman"/>
          <w:i/>
          <w:sz w:val="24"/>
          <w:szCs w:val="24"/>
        </w:rPr>
      </w:pPr>
      <w:r>
        <w:rPr>
          <w:rFonts w:ascii="Times New Roman" w:hAnsi="Times New Roman" w:cs="Times New Roman"/>
          <w:sz w:val="24"/>
          <w:szCs w:val="24"/>
        </w:rPr>
        <w:t xml:space="preserve">September 2022: Response Paper </w:t>
      </w:r>
      <w:r w:rsidRPr="00D8198D">
        <w:rPr>
          <w:rFonts w:ascii="Times New Roman" w:hAnsi="Times New Roman" w:cs="Times New Roman"/>
          <w:i/>
          <w:sz w:val="24"/>
          <w:szCs w:val="24"/>
        </w:rPr>
        <w:t>Finalisation of the integration of AASB 17 into the capital and reporting frameworks for insurers and updates to the LAGIC framework</w:t>
      </w:r>
      <w:r>
        <w:rPr>
          <w:rFonts w:ascii="Times New Roman" w:hAnsi="Times New Roman" w:cs="Times New Roman"/>
          <w:sz w:val="24"/>
          <w:szCs w:val="24"/>
        </w:rPr>
        <w:t>.</w:t>
      </w:r>
    </w:p>
    <w:p w14:paraId="430157FF" w14:textId="77777777" w:rsidR="00D66999" w:rsidRDefault="00D66999" w:rsidP="00D66999">
      <w:pPr>
        <w:numPr>
          <w:ilvl w:val="0"/>
          <w:numId w:val="0"/>
        </w:numPr>
        <w:rPr>
          <w:rFonts w:ascii="Times New Roman" w:hAnsi="Times New Roman" w:cs="Times New Roman"/>
          <w:sz w:val="24"/>
          <w:szCs w:val="24"/>
          <w:highlight w:val="yellow"/>
        </w:rPr>
      </w:pPr>
      <w:r>
        <w:rPr>
          <w:rFonts w:ascii="Times New Roman" w:hAnsi="Times New Roman" w:cs="Times New Roman"/>
          <w:sz w:val="24"/>
          <w:szCs w:val="24"/>
        </w:rPr>
        <w:t>APRA is satisfied the consultation was appropriate and reasonably practicable.</w:t>
      </w:r>
    </w:p>
    <w:p w14:paraId="1D2864CC" w14:textId="71BCB1A7" w:rsidR="00211AFD" w:rsidRPr="00A50B51" w:rsidRDefault="00B670E9" w:rsidP="00A540EB">
      <w:pPr>
        <w:numPr>
          <w:ilvl w:val="0"/>
          <w:numId w:val="0"/>
        </w:numPr>
        <w:rPr>
          <w:rFonts w:ascii="Times New Roman" w:hAnsi="Times New Roman" w:cs="Times New Roman"/>
          <w:b/>
          <w:sz w:val="24"/>
          <w:szCs w:val="24"/>
        </w:rPr>
      </w:pPr>
      <w:r w:rsidRPr="00A50B51">
        <w:rPr>
          <w:rFonts w:ascii="Times New Roman" w:hAnsi="Times New Roman" w:cs="Times New Roman"/>
          <w:b/>
          <w:sz w:val="24"/>
          <w:szCs w:val="24"/>
        </w:rPr>
        <w:t>4.</w:t>
      </w:r>
      <w:r w:rsidRPr="00A50B51">
        <w:rPr>
          <w:rFonts w:ascii="Times New Roman" w:hAnsi="Times New Roman" w:cs="Times New Roman"/>
          <w:b/>
          <w:sz w:val="24"/>
          <w:szCs w:val="24"/>
        </w:rPr>
        <w:tab/>
      </w:r>
      <w:bookmarkStart w:id="7" w:name="_Hlk127283454"/>
      <w:r w:rsidR="00BD64ED">
        <w:rPr>
          <w:rFonts w:ascii="Times New Roman" w:hAnsi="Times New Roman" w:cs="Times New Roman"/>
          <w:b/>
          <w:sz w:val="24"/>
          <w:szCs w:val="24"/>
        </w:rPr>
        <w:t>Impact Analysis</w:t>
      </w:r>
      <w:bookmarkEnd w:id="7"/>
    </w:p>
    <w:p w14:paraId="285FB9C9" w14:textId="1DB03B60" w:rsidR="006C6ED5" w:rsidRPr="00A50B51" w:rsidRDefault="009436D9" w:rsidP="00A540EB">
      <w:pPr>
        <w:numPr>
          <w:ilvl w:val="0"/>
          <w:numId w:val="0"/>
        </w:numPr>
        <w:rPr>
          <w:rFonts w:ascii="Times New Roman" w:hAnsi="Times New Roman" w:cs="Times New Roman"/>
          <w:sz w:val="24"/>
          <w:szCs w:val="24"/>
        </w:rPr>
      </w:pPr>
      <w:bookmarkStart w:id="8" w:name="_Hlk127283531"/>
      <w:r>
        <w:rPr>
          <w:rFonts w:ascii="Times New Roman" w:hAnsi="Times New Roman" w:cs="Times New Roman"/>
          <w:sz w:val="24"/>
          <w:szCs w:val="24"/>
        </w:rPr>
        <w:t xml:space="preserve">In making the </w:t>
      </w:r>
      <w:r w:rsidR="001509CD">
        <w:rPr>
          <w:rFonts w:ascii="Times New Roman" w:hAnsi="Times New Roman" w:cs="Times New Roman"/>
          <w:sz w:val="24"/>
          <w:szCs w:val="24"/>
        </w:rPr>
        <w:t>new</w:t>
      </w:r>
      <w:r w:rsidR="00AD57F5">
        <w:rPr>
          <w:rFonts w:ascii="Times New Roman" w:hAnsi="Times New Roman" w:cs="Times New Roman"/>
          <w:sz w:val="24"/>
          <w:szCs w:val="24"/>
        </w:rPr>
        <w:t xml:space="preserve"> </w:t>
      </w:r>
      <w:r w:rsidR="00464905">
        <w:rPr>
          <w:rFonts w:ascii="Times New Roman" w:hAnsi="Times New Roman" w:cs="Times New Roman"/>
          <w:sz w:val="24"/>
          <w:szCs w:val="24"/>
        </w:rPr>
        <w:t xml:space="preserve">prudential </w:t>
      </w:r>
      <w:r>
        <w:rPr>
          <w:rFonts w:ascii="Times New Roman" w:hAnsi="Times New Roman" w:cs="Times New Roman"/>
          <w:sz w:val="24"/>
          <w:szCs w:val="24"/>
        </w:rPr>
        <w:t xml:space="preserve">standards, </w:t>
      </w:r>
      <w:r w:rsidR="007E3348">
        <w:rPr>
          <w:rFonts w:ascii="Times New Roman" w:hAnsi="Times New Roman" w:cs="Times New Roman"/>
          <w:sz w:val="24"/>
          <w:szCs w:val="24"/>
        </w:rPr>
        <w:t xml:space="preserve">including HPS </w:t>
      </w:r>
      <w:r w:rsidR="00FE2930">
        <w:rPr>
          <w:rFonts w:ascii="Times New Roman" w:hAnsi="Times New Roman" w:cs="Times New Roman"/>
          <w:sz w:val="24"/>
          <w:szCs w:val="24"/>
        </w:rPr>
        <w:t>3</w:t>
      </w:r>
      <w:r w:rsidR="005528AA">
        <w:rPr>
          <w:rFonts w:ascii="Times New Roman" w:hAnsi="Times New Roman" w:cs="Times New Roman"/>
          <w:sz w:val="24"/>
          <w:szCs w:val="24"/>
        </w:rPr>
        <w:t>10</w:t>
      </w:r>
      <w:r w:rsidR="007E3348">
        <w:rPr>
          <w:rFonts w:ascii="Times New Roman" w:hAnsi="Times New Roman" w:cs="Times New Roman"/>
          <w:sz w:val="24"/>
          <w:szCs w:val="24"/>
        </w:rPr>
        <w:t xml:space="preserve">, </w:t>
      </w:r>
      <w:r>
        <w:rPr>
          <w:rFonts w:ascii="Times New Roman" w:hAnsi="Times New Roman" w:cs="Times New Roman"/>
          <w:sz w:val="24"/>
          <w:szCs w:val="24"/>
        </w:rPr>
        <w:t>APRA has followed a process which satisfies the</w:t>
      </w:r>
      <w:r w:rsidR="00BD64ED">
        <w:rPr>
          <w:rFonts w:ascii="Times New Roman" w:hAnsi="Times New Roman" w:cs="Times New Roman"/>
          <w:sz w:val="24"/>
          <w:szCs w:val="24"/>
        </w:rPr>
        <w:t xml:space="preserve"> requirements of the</w:t>
      </w:r>
      <w:r>
        <w:rPr>
          <w:rFonts w:ascii="Times New Roman" w:hAnsi="Times New Roman" w:cs="Times New Roman"/>
          <w:sz w:val="24"/>
          <w:szCs w:val="24"/>
        </w:rPr>
        <w:t xml:space="preserve"> Office of Impact </w:t>
      </w:r>
      <w:r w:rsidR="00BD64ED">
        <w:rPr>
          <w:rFonts w:ascii="Times New Roman" w:hAnsi="Times New Roman" w:cs="Times New Roman"/>
          <w:sz w:val="24"/>
          <w:szCs w:val="24"/>
        </w:rPr>
        <w:t>Analysis (OIA)</w:t>
      </w:r>
      <w:r>
        <w:rPr>
          <w:rFonts w:ascii="Times New Roman" w:hAnsi="Times New Roman" w:cs="Times New Roman"/>
          <w:sz w:val="24"/>
          <w:szCs w:val="24"/>
        </w:rPr>
        <w:t xml:space="preserve">. </w:t>
      </w:r>
      <w:r w:rsidR="0031227D">
        <w:rPr>
          <w:rFonts w:ascii="Times New Roman" w:hAnsi="Times New Roman" w:cs="Times New Roman"/>
          <w:sz w:val="24"/>
          <w:szCs w:val="24"/>
        </w:rPr>
        <w:t xml:space="preserve">APRA has </w:t>
      </w:r>
      <w:r w:rsidR="001509CD">
        <w:rPr>
          <w:rFonts w:ascii="Times New Roman" w:hAnsi="Times New Roman" w:cs="Times New Roman"/>
          <w:sz w:val="24"/>
          <w:szCs w:val="24"/>
        </w:rPr>
        <w:t>followed a similar process to that required for a Regulation Impact Statement which satisfies the OIA’s requirements. APRA’s policy developme</w:t>
      </w:r>
      <w:r w:rsidR="0051662E">
        <w:rPr>
          <w:rFonts w:ascii="Times New Roman" w:hAnsi="Times New Roman" w:cs="Times New Roman"/>
          <w:sz w:val="24"/>
          <w:szCs w:val="24"/>
        </w:rPr>
        <w:t>nt</w:t>
      </w:r>
      <w:r w:rsidR="001509CD">
        <w:rPr>
          <w:rFonts w:ascii="Times New Roman" w:hAnsi="Times New Roman" w:cs="Times New Roman"/>
          <w:sz w:val="24"/>
          <w:szCs w:val="24"/>
        </w:rPr>
        <w:t xml:space="preserve"> process is evidenced in </w:t>
      </w:r>
      <w:r w:rsidR="0051662E">
        <w:rPr>
          <w:rFonts w:ascii="Times New Roman" w:hAnsi="Times New Roman" w:cs="Times New Roman"/>
          <w:sz w:val="24"/>
          <w:szCs w:val="24"/>
        </w:rPr>
        <w:t xml:space="preserve">Attachment A of </w:t>
      </w:r>
      <w:r w:rsidR="00E01F47">
        <w:rPr>
          <w:rFonts w:ascii="Times New Roman" w:hAnsi="Times New Roman" w:cs="Times New Roman"/>
          <w:sz w:val="24"/>
          <w:szCs w:val="24"/>
        </w:rPr>
        <w:t xml:space="preserve">the Response Paper </w:t>
      </w:r>
      <w:r w:rsidR="00E01F47" w:rsidRPr="00F0561E">
        <w:rPr>
          <w:rFonts w:ascii="Times New Roman" w:hAnsi="Times New Roman" w:cs="Times New Roman"/>
          <w:i/>
          <w:sz w:val="24"/>
          <w:szCs w:val="24"/>
        </w:rPr>
        <w:t>Finalising the review of the Private Health Insurance Capital Framework</w:t>
      </w:r>
      <w:r>
        <w:rPr>
          <w:rFonts w:ascii="Times New Roman" w:hAnsi="Times New Roman" w:cs="Times New Roman"/>
          <w:sz w:val="24"/>
          <w:szCs w:val="24"/>
        </w:rPr>
        <w:t>.</w:t>
      </w:r>
      <w:bookmarkEnd w:id="8"/>
      <w:r>
        <w:rPr>
          <w:rFonts w:ascii="Times New Roman" w:hAnsi="Times New Roman" w:cs="Times New Roman"/>
          <w:sz w:val="24"/>
          <w:szCs w:val="24"/>
        </w:rPr>
        <w:t xml:space="preserve"> </w:t>
      </w:r>
      <w:r w:rsidR="00E01F47">
        <w:rPr>
          <w:rFonts w:ascii="Times New Roman" w:hAnsi="Times New Roman" w:cs="Times New Roman"/>
          <w:sz w:val="24"/>
          <w:szCs w:val="24"/>
        </w:rPr>
        <w:t xml:space="preserve">An extract of Attachment A has been lodged as supporting material. </w:t>
      </w:r>
    </w:p>
    <w:p w14:paraId="476EB71B" w14:textId="17812B34" w:rsidR="00B670E9" w:rsidRPr="00DE1106" w:rsidRDefault="00B670E9" w:rsidP="00A540EB">
      <w:pPr>
        <w:pStyle w:val="Heading"/>
        <w:spacing w:before="0" w:after="240"/>
        <w:jc w:val="both"/>
        <w:rPr>
          <w:rFonts w:cs="Times New Roman"/>
          <w:i/>
          <w:sz w:val="24"/>
          <w:szCs w:val="24"/>
        </w:rPr>
      </w:pPr>
      <w:r w:rsidRPr="00BC1E70">
        <w:rPr>
          <w:rFonts w:cs="Times New Roman"/>
          <w:sz w:val="24"/>
          <w:szCs w:val="24"/>
        </w:rPr>
        <w:t>5.</w:t>
      </w:r>
      <w:r w:rsidRPr="00BC1E70">
        <w:rPr>
          <w:rFonts w:cs="Times New Roman"/>
          <w:sz w:val="24"/>
          <w:szCs w:val="24"/>
        </w:rPr>
        <w:tab/>
        <w:t xml:space="preserve">Statement of compatibility prepared in accordance with Part 3 of the </w:t>
      </w:r>
      <w:r w:rsidRPr="00BC1E70">
        <w:rPr>
          <w:rFonts w:cs="Times New Roman"/>
          <w:i/>
          <w:sz w:val="24"/>
          <w:szCs w:val="24"/>
        </w:rPr>
        <w:t>Human Right</w:t>
      </w:r>
      <w:r w:rsidRPr="00DE1106">
        <w:rPr>
          <w:rFonts w:cs="Times New Roman"/>
          <w:i/>
          <w:sz w:val="24"/>
          <w:szCs w:val="24"/>
        </w:rPr>
        <w:t>s (Parliamentary Scrutiny) Act 2011</w:t>
      </w:r>
    </w:p>
    <w:p w14:paraId="7D7364B1" w14:textId="393ADF0F" w:rsidR="00B670E9" w:rsidRPr="00D5162F" w:rsidRDefault="00B670E9" w:rsidP="00A540EB">
      <w:pPr>
        <w:pStyle w:val="Heading"/>
        <w:spacing w:before="0" w:after="240"/>
        <w:jc w:val="both"/>
        <w:rPr>
          <w:rFonts w:cs="Times New Roman"/>
          <w:b w:val="0"/>
          <w:kern w:val="0"/>
          <w:sz w:val="24"/>
          <w:szCs w:val="24"/>
          <w:lang w:val="en-GB"/>
        </w:rPr>
      </w:pPr>
      <w:r w:rsidRPr="00D5162F">
        <w:rPr>
          <w:rFonts w:cs="Times New Roman"/>
          <w:b w:val="0"/>
          <w:kern w:val="0"/>
          <w:sz w:val="24"/>
          <w:szCs w:val="24"/>
          <w:lang w:val="en-GB"/>
        </w:rPr>
        <w:t xml:space="preserve">A Statement of compatibility prepared in accordance with Part 3 of the </w:t>
      </w:r>
      <w:r w:rsidRPr="00D5162F">
        <w:rPr>
          <w:rFonts w:cs="Times New Roman"/>
          <w:b w:val="0"/>
          <w:i/>
          <w:sz w:val="24"/>
          <w:szCs w:val="24"/>
          <w:lang w:val="en-GB"/>
        </w:rPr>
        <w:t>Human Rights (Parliamentary Scrutiny) Act 2011</w:t>
      </w:r>
      <w:r w:rsidRPr="00D5162F">
        <w:rPr>
          <w:rFonts w:cs="Times New Roman"/>
          <w:b w:val="0"/>
          <w:kern w:val="0"/>
          <w:sz w:val="24"/>
          <w:szCs w:val="24"/>
          <w:lang w:val="en-GB"/>
        </w:rPr>
        <w:t xml:space="preserve"> is provided at Attachment to this Explanatory Statement.</w:t>
      </w:r>
    </w:p>
    <w:p w14:paraId="06190B02" w14:textId="34819669" w:rsidR="00B670E9" w:rsidRPr="000A1A15" w:rsidRDefault="00B670E9" w:rsidP="00A34ADD">
      <w:pPr>
        <w:rPr>
          <w:rFonts w:ascii="Times New Roman" w:hAnsi="Times New Roman" w:cs="Times New Roman"/>
          <w:sz w:val="24"/>
          <w:szCs w:val="24"/>
        </w:rPr>
      </w:pPr>
      <w:r w:rsidRPr="000A1A15">
        <w:rPr>
          <w:rFonts w:ascii="Times New Roman" w:hAnsi="Times New Roman" w:cs="Times New Roman"/>
          <w:sz w:val="24"/>
          <w:szCs w:val="24"/>
        </w:rPr>
        <w:br w:type="page"/>
      </w:r>
    </w:p>
    <w:p w14:paraId="00B6ED2A" w14:textId="228C19E5" w:rsidR="00B670E9" w:rsidRPr="00BC1E70" w:rsidRDefault="00B670E9" w:rsidP="00B670E9">
      <w:pPr>
        <w:pStyle w:val="Heading"/>
        <w:keepNext w:val="0"/>
        <w:spacing w:before="0" w:after="240"/>
        <w:jc w:val="center"/>
        <w:rPr>
          <w:rFonts w:cs="Times New Roman"/>
          <w:sz w:val="24"/>
          <w:szCs w:val="24"/>
        </w:rPr>
      </w:pPr>
      <w:r w:rsidRPr="00BC1E70">
        <w:rPr>
          <w:rFonts w:cs="Times New Roman"/>
          <w:sz w:val="24"/>
          <w:szCs w:val="24"/>
          <w:lang w:val="en-GB"/>
        </w:rPr>
        <w:lastRenderedPageBreak/>
        <w:t>ATTACHMENT</w:t>
      </w:r>
    </w:p>
    <w:p w14:paraId="04B51A0F" w14:textId="77777777" w:rsidR="00B670E9" w:rsidRPr="00D5162F" w:rsidRDefault="00B670E9" w:rsidP="00B670E9">
      <w:pPr>
        <w:pStyle w:val="Heading"/>
        <w:keepNext w:val="0"/>
        <w:spacing w:before="0" w:after="240"/>
        <w:jc w:val="center"/>
        <w:rPr>
          <w:rFonts w:cs="Times New Roman"/>
          <w:sz w:val="24"/>
          <w:szCs w:val="24"/>
        </w:rPr>
      </w:pPr>
      <w:r w:rsidRPr="00D5162F">
        <w:rPr>
          <w:rFonts w:cs="Times New Roman"/>
          <w:sz w:val="24"/>
          <w:szCs w:val="24"/>
        </w:rPr>
        <w:t>Statement of Compatibility with Human Rights</w:t>
      </w:r>
    </w:p>
    <w:p w14:paraId="32B574F6" w14:textId="77777777" w:rsidR="00B670E9" w:rsidRPr="00D615C7" w:rsidRDefault="00B670E9" w:rsidP="00B670E9">
      <w:pPr>
        <w:pStyle w:val="Heading1"/>
        <w:jc w:val="center"/>
        <w:rPr>
          <w:rFonts w:ascii="Times New Roman" w:hAnsi="Times New Roman" w:cs="Times New Roman"/>
          <w:b w:val="0"/>
          <w:i/>
          <w:sz w:val="24"/>
          <w:szCs w:val="24"/>
        </w:rPr>
      </w:pPr>
      <w:r w:rsidRPr="00D615C7">
        <w:rPr>
          <w:rFonts w:ascii="Times New Roman" w:hAnsi="Times New Roman" w:cs="Times New Roman"/>
          <w:b w:val="0"/>
          <w:sz w:val="24"/>
          <w:szCs w:val="24"/>
        </w:rPr>
        <w:t xml:space="preserve">Prepared in accordance with Part 3 of the </w:t>
      </w:r>
      <w:r w:rsidRPr="00D615C7">
        <w:rPr>
          <w:rFonts w:ascii="Times New Roman" w:hAnsi="Times New Roman" w:cs="Times New Roman"/>
          <w:b w:val="0"/>
          <w:i/>
          <w:sz w:val="24"/>
          <w:szCs w:val="24"/>
        </w:rPr>
        <w:t>Human Rights (Parliamentary Scrutiny) Act 2011</w:t>
      </w:r>
    </w:p>
    <w:p w14:paraId="302C56B4" w14:textId="061DEBAD" w:rsidR="00B670E9" w:rsidRPr="005921A3" w:rsidRDefault="00532027" w:rsidP="00B670E9">
      <w:pPr>
        <w:jc w:val="center"/>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Health</w:t>
      </w:r>
      <w:r w:rsidR="00D979E0">
        <w:rPr>
          <w:rFonts w:ascii="Times New Roman" w:eastAsia="Times New Roman" w:hAnsi="Times New Roman" w:cs="Times New Roman"/>
          <w:b/>
          <w:sz w:val="24"/>
          <w:szCs w:val="24"/>
          <w:lang w:eastAsia="en-AU"/>
        </w:rPr>
        <w:t xml:space="preserve"> </w:t>
      </w:r>
      <w:r w:rsidR="001C7A1C">
        <w:rPr>
          <w:rFonts w:ascii="Times New Roman" w:eastAsia="Times New Roman" w:hAnsi="Times New Roman" w:cs="Times New Roman"/>
          <w:b/>
          <w:sz w:val="24"/>
          <w:szCs w:val="24"/>
          <w:lang w:eastAsia="en-AU"/>
        </w:rPr>
        <w:t>I</w:t>
      </w:r>
      <w:r w:rsidR="00B670E9" w:rsidRPr="005921A3">
        <w:rPr>
          <w:rFonts w:ascii="Times New Roman" w:eastAsia="Times New Roman" w:hAnsi="Times New Roman" w:cs="Times New Roman"/>
          <w:b/>
          <w:sz w:val="24"/>
          <w:szCs w:val="24"/>
          <w:lang w:eastAsia="en-AU"/>
        </w:rPr>
        <w:t xml:space="preserve">nsurance (prudential standard) determination No. </w:t>
      </w:r>
      <w:r w:rsidR="008823B8">
        <w:rPr>
          <w:rFonts w:ascii="Times New Roman" w:eastAsia="Times New Roman" w:hAnsi="Times New Roman" w:cs="Times New Roman"/>
          <w:b/>
          <w:sz w:val="24"/>
          <w:szCs w:val="24"/>
          <w:lang w:eastAsia="en-AU"/>
        </w:rPr>
        <w:t>8</w:t>
      </w:r>
      <w:r w:rsidR="0025287F">
        <w:rPr>
          <w:rFonts w:ascii="Times New Roman" w:eastAsia="Times New Roman" w:hAnsi="Times New Roman" w:cs="Times New Roman"/>
          <w:b/>
          <w:sz w:val="24"/>
          <w:szCs w:val="24"/>
          <w:lang w:eastAsia="en-AU"/>
        </w:rPr>
        <w:t xml:space="preserve"> of 202</w:t>
      </w:r>
      <w:r w:rsidR="00192668">
        <w:rPr>
          <w:rFonts w:ascii="Times New Roman" w:eastAsia="Times New Roman" w:hAnsi="Times New Roman" w:cs="Times New Roman"/>
          <w:b/>
          <w:sz w:val="24"/>
          <w:szCs w:val="24"/>
          <w:lang w:eastAsia="en-AU"/>
        </w:rPr>
        <w:t>3</w:t>
      </w:r>
    </w:p>
    <w:p w14:paraId="06CCC3E0" w14:textId="2B22287A" w:rsidR="00B670E9" w:rsidRPr="00CC30A1" w:rsidRDefault="00B670E9" w:rsidP="00B670E9">
      <w:pPr>
        <w:rPr>
          <w:rFonts w:ascii="Times New Roman" w:hAnsi="Times New Roman" w:cs="Times New Roman"/>
          <w:sz w:val="24"/>
          <w:szCs w:val="24"/>
        </w:rPr>
      </w:pPr>
      <w:r w:rsidRPr="005921A3">
        <w:rPr>
          <w:rFonts w:ascii="Times New Roman" w:hAnsi="Times New Roman" w:cs="Times New Roman"/>
          <w:sz w:val="24"/>
          <w:szCs w:val="24"/>
        </w:rPr>
        <w:t>Th</w:t>
      </w:r>
      <w:r w:rsidR="00923828">
        <w:rPr>
          <w:rFonts w:ascii="Times New Roman" w:hAnsi="Times New Roman" w:cs="Times New Roman"/>
          <w:sz w:val="24"/>
          <w:szCs w:val="24"/>
        </w:rPr>
        <w:t>i</w:t>
      </w:r>
      <w:r w:rsidRPr="005921A3">
        <w:rPr>
          <w:rFonts w:ascii="Times New Roman" w:hAnsi="Times New Roman" w:cs="Times New Roman"/>
          <w:sz w:val="24"/>
          <w:szCs w:val="24"/>
        </w:rPr>
        <w:t xml:space="preserve">s </w:t>
      </w:r>
      <w:r w:rsidR="00692D28">
        <w:rPr>
          <w:rFonts w:ascii="Times New Roman" w:hAnsi="Times New Roman" w:cs="Times New Roman"/>
          <w:sz w:val="24"/>
          <w:szCs w:val="24"/>
        </w:rPr>
        <w:t>l</w:t>
      </w:r>
      <w:r w:rsidRPr="005921A3">
        <w:rPr>
          <w:rFonts w:ascii="Times New Roman" w:hAnsi="Times New Roman" w:cs="Times New Roman"/>
          <w:sz w:val="24"/>
          <w:szCs w:val="24"/>
        </w:rPr>
        <w:t xml:space="preserve">egislative </w:t>
      </w:r>
      <w:r w:rsidR="00692D28">
        <w:rPr>
          <w:rFonts w:ascii="Times New Roman" w:hAnsi="Times New Roman" w:cs="Times New Roman"/>
          <w:sz w:val="24"/>
          <w:szCs w:val="24"/>
        </w:rPr>
        <w:t>i</w:t>
      </w:r>
      <w:r w:rsidRPr="005921A3">
        <w:rPr>
          <w:rFonts w:ascii="Times New Roman" w:hAnsi="Times New Roman" w:cs="Times New Roman"/>
          <w:sz w:val="24"/>
          <w:szCs w:val="24"/>
        </w:rPr>
        <w:t>nstrument</w:t>
      </w:r>
      <w:r w:rsidR="00497D8A">
        <w:rPr>
          <w:rFonts w:ascii="Times New Roman" w:hAnsi="Times New Roman" w:cs="Times New Roman"/>
          <w:sz w:val="24"/>
          <w:szCs w:val="24"/>
        </w:rPr>
        <w:t xml:space="preserve"> is</w:t>
      </w:r>
      <w:r w:rsidRPr="005921A3">
        <w:rPr>
          <w:rFonts w:ascii="Times New Roman" w:hAnsi="Times New Roman" w:cs="Times New Roman"/>
          <w:sz w:val="24"/>
          <w:szCs w:val="24"/>
        </w:rPr>
        <w:t xml:space="preserve"> compatible with the human rights and freedoms recognised or declared in the international instrument listed in section 3 of the </w:t>
      </w:r>
      <w:r w:rsidRPr="00FC071B">
        <w:rPr>
          <w:rFonts w:ascii="Times New Roman" w:hAnsi="Times New Roman" w:cs="Times New Roman"/>
          <w:i/>
          <w:sz w:val="24"/>
          <w:szCs w:val="24"/>
        </w:rPr>
        <w:t>Human Rights (Parliamentary Scrutiny) Act 2011</w:t>
      </w:r>
      <w:r w:rsidRPr="00CC30A1">
        <w:rPr>
          <w:rFonts w:ascii="Times New Roman" w:hAnsi="Times New Roman" w:cs="Times New Roman"/>
          <w:sz w:val="24"/>
          <w:szCs w:val="24"/>
        </w:rPr>
        <w:t xml:space="preserve"> (HRPS Act).</w:t>
      </w:r>
    </w:p>
    <w:p w14:paraId="78831E52" w14:textId="7E41212C" w:rsidR="00B670E9" w:rsidRPr="00DE1106" w:rsidRDefault="00B670E9" w:rsidP="00B670E9">
      <w:pPr>
        <w:rPr>
          <w:rFonts w:ascii="Times New Roman" w:hAnsi="Times New Roman" w:cs="Times New Roman"/>
          <w:sz w:val="24"/>
          <w:szCs w:val="24"/>
        </w:rPr>
      </w:pPr>
      <w:r w:rsidRPr="00BC1E70">
        <w:rPr>
          <w:rFonts w:ascii="Times New Roman" w:hAnsi="Times New Roman" w:cs="Times New Roman"/>
          <w:b/>
          <w:sz w:val="24"/>
          <w:szCs w:val="24"/>
        </w:rPr>
        <w:t xml:space="preserve">Overview of the </w:t>
      </w:r>
      <w:r w:rsidR="12DEF95A" w:rsidRPr="36DAC429">
        <w:rPr>
          <w:rFonts w:ascii="Times New Roman" w:hAnsi="Times New Roman" w:cs="Times New Roman"/>
          <w:b/>
          <w:bCs/>
          <w:sz w:val="24"/>
          <w:szCs w:val="24"/>
        </w:rPr>
        <w:t>l</w:t>
      </w:r>
      <w:r w:rsidRPr="36DAC429">
        <w:rPr>
          <w:rFonts w:ascii="Times New Roman" w:hAnsi="Times New Roman" w:cs="Times New Roman"/>
          <w:b/>
          <w:bCs/>
          <w:sz w:val="24"/>
          <w:szCs w:val="24"/>
        </w:rPr>
        <w:t xml:space="preserve">egislative </w:t>
      </w:r>
      <w:r w:rsidR="70A0D9C2" w:rsidRPr="36DAC429">
        <w:rPr>
          <w:rFonts w:ascii="Times New Roman" w:hAnsi="Times New Roman" w:cs="Times New Roman"/>
          <w:b/>
          <w:bCs/>
          <w:sz w:val="24"/>
          <w:szCs w:val="24"/>
        </w:rPr>
        <w:t>i</w:t>
      </w:r>
      <w:r w:rsidRPr="00BC1E70">
        <w:rPr>
          <w:rFonts w:ascii="Times New Roman" w:hAnsi="Times New Roman" w:cs="Times New Roman"/>
          <w:b/>
          <w:sz w:val="24"/>
          <w:szCs w:val="24"/>
        </w:rPr>
        <w:t>nstrument</w:t>
      </w:r>
    </w:p>
    <w:p w14:paraId="39366C98" w14:textId="23A28A66" w:rsidR="00864FA7" w:rsidRDefault="00497D8A" w:rsidP="00944B87">
      <w:pPr>
        <w:numPr>
          <w:ilvl w:val="0"/>
          <w:numId w:val="0"/>
        </w:numPr>
        <w:shd w:val="clear" w:color="auto" w:fill="FFFFFF" w:themeFill="background1"/>
        <w:spacing w:before="100" w:beforeAutospacing="1" w:after="100" w:afterAutospacing="1"/>
        <w:rPr>
          <w:rFonts w:ascii="Times New Roman" w:hAnsi="Times New Roman" w:cs="Times New Roman"/>
          <w:i/>
          <w:sz w:val="24"/>
          <w:szCs w:val="24"/>
        </w:rPr>
      </w:pPr>
      <w:r>
        <w:rPr>
          <w:rFonts w:ascii="Times New Roman" w:hAnsi="Times New Roman" w:cs="Times New Roman"/>
          <w:sz w:val="24"/>
          <w:szCs w:val="24"/>
        </w:rPr>
        <w:t xml:space="preserve">The purpose of the </w:t>
      </w:r>
      <w:r w:rsidR="00692D28">
        <w:rPr>
          <w:rFonts w:ascii="Times New Roman" w:hAnsi="Times New Roman" w:cs="Times New Roman"/>
          <w:sz w:val="24"/>
          <w:szCs w:val="24"/>
        </w:rPr>
        <w:t>l</w:t>
      </w:r>
      <w:r>
        <w:rPr>
          <w:rFonts w:ascii="Times New Roman" w:hAnsi="Times New Roman" w:cs="Times New Roman"/>
          <w:sz w:val="24"/>
          <w:szCs w:val="24"/>
        </w:rPr>
        <w:t xml:space="preserve">egislative instrument is to </w:t>
      </w:r>
      <w:r w:rsidR="00944B87" w:rsidRPr="00944B87">
        <w:rPr>
          <w:rFonts w:ascii="Times New Roman" w:hAnsi="Times New Roman" w:cs="Times New Roman"/>
          <w:sz w:val="24"/>
          <w:szCs w:val="24"/>
        </w:rPr>
        <w:t xml:space="preserve">revoke </w:t>
      </w:r>
      <w:r w:rsidR="00864FA7" w:rsidRPr="00864FA7">
        <w:rPr>
          <w:rFonts w:ascii="Times New Roman" w:hAnsi="Times New Roman" w:cs="Times New Roman"/>
          <w:i/>
          <w:sz w:val="24"/>
          <w:szCs w:val="24"/>
        </w:rPr>
        <w:t xml:space="preserve">Prudential Standard HPS 310 Audit and Related Matters </w:t>
      </w:r>
      <w:r w:rsidR="00864FA7" w:rsidRPr="00864FA7">
        <w:rPr>
          <w:rFonts w:ascii="Times New Roman" w:hAnsi="Times New Roman" w:cs="Times New Roman"/>
          <w:sz w:val="24"/>
          <w:szCs w:val="24"/>
        </w:rPr>
        <w:t>made under Health Insurance determination No. 1 of 2019 and determines a new</w:t>
      </w:r>
      <w:r w:rsidR="00864FA7" w:rsidRPr="00864FA7">
        <w:rPr>
          <w:rFonts w:ascii="Times New Roman" w:hAnsi="Times New Roman" w:cs="Times New Roman"/>
          <w:i/>
          <w:sz w:val="24"/>
          <w:szCs w:val="24"/>
        </w:rPr>
        <w:t xml:space="preserve"> Prudential Standard HPS 310 Audit and Related Matters</w:t>
      </w:r>
      <w:r w:rsidR="00864FA7">
        <w:rPr>
          <w:rFonts w:ascii="Times New Roman" w:hAnsi="Times New Roman" w:cs="Times New Roman"/>
          <w:i/>
          <w:sz w:val="24"/>
          <w:szCs w:val="24"/>
        </w:rPr>
        <w:t>.</w:t>
      </w:r>
    </w:p>
    <w:p w14:paraId="010F0382" w14:textId="40773B9A" w:rsidR="00B670E9" w:rsidRPr="00497D8A" w:rsidRDefault="00B670E9" w:rsidP="00944B87">
      <w:pPr>
        <w:numPr>
          <w:ilvl w:val="0"/>
          <w:numId w:val="0"/>
        </w:numPr>
        <w:shd w:val="clear" w:color="auto" w:fill="FFFFFF" w:themeFill="background1"/>
        <w:spacing w:before="100" w:beforeAutospacing="1" w:after="100" w:afterAutospacing="1"/>
        <w:rPr>
          <w:rFonts w:ascii="Times New Roman" w:hAnsi="Times New Roman" w:cs="Times New Roman"/>
          <w:sz w:val="24"/>
          <w:szCs w:val="24"/>
        </w:rPr>
      </w:pPr>
      <w:r w:rsidRPr="00497D8A">
        <w:rPr>
          <w:rFonts w:ascii="Times New Roman" w:hAnsi="Times New Roman" w:cs="Times New Roman"/>
          <w:b/>
          <w:sz w:val="24"/>
          <w:szCs w:val="24"/>
        </w:rPr>
        <w:t>Human rights implications</w:t>
      </w:r>
    </w:p>
    <w:p w14:paraId="23D2FE0E" w14:textId="56D0F23B" w:rsidR="009136D0" w:rsidRPr="000A1A15" w:rsidRDefault="009136D0" w:rsidP="00B670E9">
      <w:pPr>
        <w:rPr>
          <w:rFonts w:ascii="Times New Roman" w:eastAsia="Times New Roman" w:hAnsi="Times New Roman" w:cs="Times New Roman"/>
          <w:iCs/>
          <w:sz w:val="24"/>
          <w:szCs w:val="24"/>
          <w:lang w:eastAsia="en-AU"/>
        </w:rPr>
      </w:pPr>
      <w:r w:rsidRPr="000A1A15">
        <w:rPr>
          <w:rFonts w:ascii="Times New Roman" w:eastAsia="Times New Roman" w:hAnsi="Times New Roman" w:cs="Times New Roman"/>
          <w:iCs/>
          <w:sz w:val="24"/>
          <w:szCs w:val="24"/>
          <w:lang w:eastAsia="en-AU"/>
        </w:rPr>
        <w:t xml:space="preserve">APRA has assessed the </w:t>
      </w:r>
      <w:r w:rsidR="00594D6A">
        <w:rPr>
          <w:rFonts w:ascii="Times New Roman" w:eastAsia="Times New Roman" w:hAnsi="Times New Roman" w:cs="Times New Roman"/>
          <w:iCs/>
          <w:sz w:val="24"/>
          <w:szCs w:val="24"/>
          <w:lang w:eastAsia="en-AU"/>
        </w:rPr>
        <w:t>l</w:t>
      </w:r>
      <w:r w:rsidRPr="00BC1E70">
        <w:rPr>
          <w:rFonts w:ascii="Times New Roman" w:eastAsia="Times New Roman" w:hAnsi="Times New Roman" w:cs="Times New Roman"/>
          <w:iCs/>
          <w:sz w:val="24"/>
          <w:szCs w:val="24"/>
          <w:lang w:eastAsia="en-AU"/>
        </w:rPr>
        <w:t xml:space="preserve">egislative </w:t>
      </w:r>
      <w:r w:rsidR="00594D6A">
        <w:rPr>
          <w:rFonts w:ascii="Times New Roman" w:eastAsia="Times New Roman" w:hAnsi="Times New Roman" w:cs="Times New Roman"/>
          <w:iCs/>
          <w:sz w:val="24"/>
          <w:szCs w:val="24"/>
          <w:lang w:eastAsia="en-AU"/>
        </w:rPr>
        <w:t>i</w:t>
      </w:r>
      <w:r w:rsidRPr="000A1A15">
        <w:rPr>
          <w:rFonts w:ascii="Times New Roman" w:eastAsia="Times New Roman" w:hAnsi="Times New Roman" w:cs="Times New Roman"/>
          <w:iCs/>
          <w:sz w:val="24"/>
          <w:szCs w:val="24"/>
          <w:lang w:eastAsia="en-AU"/>
        </w:rPr>
        <w:t xml:space="preserve">nstrument and is of the view that </w:t>
      </w:r>
      <w:r w:rsidR="00923828">
        <w:rPr>
          <w:rFonts w:ascii="Times New Roman" w:eastAsia="Times New Roman" w:hAnsi="Times New Roman" w:cs="Times New Roman"/>
          <w:iCs/>
          <w:sz w:val="24"/>
          <w:szCs w:val="24"/>
          <w:lang w:eastAsia="en-AU"/>
        </w:rPr>
        <w:t>it</w:t>
      </w:r>
      <w:r w:rsidRPr="000A1A15">
        <w:rPr>
          <w:rFonts w:ascii="Times New Roman" w:eastAsia="Times New Roman" w:hAnsi="Times New Roman" w:cs="Times New Roman"/>
          <w:iCs/>
          <w:sz w:val="24"/>
          <w:szCs w:val="24"/>
          <w:lang w:eastAsia="en-AU"/>
        </w:rPr>
        <w:t xml:space="preserve"> do</w:t>
      </w:r>
      <w:r w:rsidR="00923828">
        <w:rPr>
          <w:rFonts w:ascii="Times New Roman" w:eastAsia="Times New Roman" w:hAnsi="Times New Roman" w:cs="Times New Roman"/>
          <w:iCs/>
          <w:sz w:val="24"/>
          <w:szCs w:val="24"/>
          <w:lang w:eastAsia="en-AU"/>
        </w:rPr>
        <w:t>es</w:t>
      </w:r>
      <w:r w:rsidRPr="000A1A15">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w:t>
      </w:r>
      <w:r w:rsidR="00594D6A">
        <w:rPr>
          <w:rFonts w:ascii="Times New Roman" w:eastAsia="Times New Roman" w:hAnsi="Times New Roman" w:cs="Times New Roman"/>
          <w:iCs/>
          <w:sz w:val="24"/>
          <w:szCs w:val="24"/>
          <w:lang w:eastAsia="en-AU"/>
        </w:rPr>
        <w:t>legislative i</w:t>
      </w:r>
      <w:r w:rsidRPr="000A1A15">
        <w:rPr>
          <w:rFonts w:ascii="Times New Roman" w:eastAsia="Times New Roman" w:hAnsi="Times New Roman" w:cs="Times New Roman"/>
          <w:iCs/>
          <w:sz w:val="24"/>
          <w:szCs w:val="24"/>
          <w:lang w:eastAsia="en-AU"/>
        </w:rPr>
        <w:t xml:space="preserve">nstrument </w:t>
      </w:r>
      <w:r w:rsidR="00923828">
        <w:rPr>
          <w:rFonts w:ascii="Times New Roman" w:eastAsia="Times New Roman" w:hAnsi="Times New Roman" w:cs="Times New Roman"/>
          <w:iCs/>
          <w:sz w:val="24"/>
          <w:szCs w:val="24"/>
          <w:lang w:eastAsia="en-AU"/>
        </w:rPr>
        <w:t>is</w:t>
      </w:r>
      <w:r w:rsidRPr="000A1A15">
        <w:rPr>
          <w:rFonts w:ascii="Times New Roman" w:eastAsia="Times New Roman" w:hAnsi="Times New Roman" w:cs="Times New Roman"/>
          <w:iCs/>
          <w:sz w:val="24"/>
          <w:szCs w:val="24"/>
          <w:lang w:eastAsia="en-AU"/>
        </w:rPr>
        <w:t xml:space="preserve"> compatible with human rights. </w:t>
      </w:r>
    </w:p>
    <w:p w14:paraId="64D4EEBE" w14:textId="77777777" w:rsidR="00B670E9" w:rsidRPr="000A1A15" w:rsidRDefault="00B670E9" w:rsidP="00B670E9">
      <w:pPr>
        <w:rPr>
          <w:rFonts w:ascii="Times New Roman" w:hAnsi="Times New Roman" w:cs="Times New Roman"/>
          <w:b/>
          <w:sz w:val="24"/>
          <w:szCs w:val="24"/>
        </w:rPr>
      </w:pPr>
      <w:r w:rsidRPr="000A1A15">
        <w:rPr>
          <w:rFonts w:ascii="Times New Roman" w:hAnsi="Times New Roman" w:cs="Times New Roman"/>
          <w:b/>
          <w:sz w:val="24"/>
          <w:szCs w:val="24"/>
        </w:rPr>
        <w:t>Conclusion</w:t>
      </w:r>
    </w:p>
    <w:p w14:paraId="57D7D167" w14:textId="242A8749" w:rsidR="00B670E9" w:rsidRPr="000A1A15" w:rsidRDefault="00B670E9" w:rsidP="00B670E9">
      <w:pPr>
        <w:rPr>
          <w:rFonts w:ascii="Times New Roman" w:hAnsi="Times New Roman" w:cs="Times New Roman"/>
          <w:sz w:val="24"/>
          <w:szCs w:val="24"/>
        </w:rPr>
      </w:pPr>
      <w:r w:rsidRPr="000A1A15">
        <w:rPr>
          <w:rFonts w:ascii="Times New Roman" w:hAnsi="Times New Roman" w:cs="Times New Roman"/>
          <w:sz w:val="24"/>
          <w:szCs w:val="24"/>
        </w:rPr>
        <w:t>Th</w:t>
      </w:r>
      <w:r w:rsidR="00923828">
        <w:rPr>
          <w:rFonts w:ascii="Times New Roman" w:hAnsi="Times New Roman" w:cs="Times New Roman"/>
          <w:sz w:val="24"/>
          <w:szCs w:val="24"/>
        </w:rPr>
        <w:t>i</w:t>
      </w:r>
      <w:r w:rsidRPr="000A1A15">
        <w:rPr>
          <w:rFonts w:ascii="Times New Roman" w:hAnsi="Times New Roman" w:cs="Times New Roman"/>
          <w:sz w:val="24"/>
          <w:szCs w:val="24"/>
        </w:rPr>
        <w:t xml:space="preserve">s </w:t>
      </w:r>
      <w:r w:rsidR="004F059D">
        <w:rPr>
          <w:rFonts w:ascii="Times New Roman" w:hAnsi="Times New Roman" w:cs="Times New Roman"/>
          <w:sz w:val="24"/>
          <w:szCs w:val="24"/>
        </w:rPr>
        <w:t>l</w:t>
      </w:r>
      <w:r w:rsidRPr="000A1A15">
        <w:rPr>
          <w:rFonts w:ascii="Times New Roman" w:hAnsi="Times New Roman" w:cs="Times New Roman"/>
          <w:sz w:val="24"/>
          <w:szCs w:val="24"/>
        </w:rPr>
        <w:t xml:space="preserve">egislative </w:t>
      </w:r>
      <w:r w:rsidR="004F059D">
        <w:rPr>
          <w:rFonts w:ascii="Times New Roman" w:hAnsi="Times New Roman" w:cs="Times New Roman"/>
          <w:sz w:val="24"/>
          <w:szCs w:val="24"/>
        </w:rPr>
        <w:t>i</w:t>
      </w:r>
      <w:r w:rsidRPr="000A1A15">
        <w:rPr>
          <w:rFonts w:ascii="Times New Roman" w:hAnsi="Times New Roman" w:cs="Times New Roman"/>
          <w:sz w:val="24"/>
          <w:szCs w:val="24"/>
        </w:rPr>
        <w:t xml:space="preserve">nstrument </w:t>
      </w:r>
      <w:r w:rsidR="00923828">
        <w:rPr>
          <w:rFonts w:ascii="Times New Roman" w:hAnsi="Times New Roman" w:cs="Times New Roman"/>
          <w:sz w:val="24"/>
          <w:szCs w:val="24"/>
        </w:rPr>
        <w:t>is</w:t>
      </w:r>
      <w:r w:rsidRPr="000A1A15">
        <w:rPr>
          <w:rFonts w:ascii="Times New Roman" w:hAnsi="Times New Roman" w:cs="Times New Roman"/>
          <w:sz w:val="24"/>
          <w:szCs w:val="24"/>
        </w:rPr>
        <w:t xml:space="preserve"> compatible with human rights as </w:t>
      </w:r>
      <w:r w:rsidR="00923828">
        <w:rPr>
          <w:rFonts w:ascii="Times New Roman" w:hAnsi="Times New Roman" w:cs="Times New Roman"/>
          <w:sz w:val="24"/>
          <w:szCs w:val="24"/>
        </w:rPr>
        <w:t>it</w:t>
      </w:r>
      <w:r w:rsidRPr="000A1A15">
        <w:rPr>
          <w:rFonts w:ascii="Times New Roman" w:hAnsi="Times New Roman" w:cs="Times New Roman"/>
          <w:sz w:val="24"/>
          <w:szCs w:val="24"/>
        </w:rPr>
        <w:t xml:space="preserve"> do</w:t>
      </w:r>
      <w:r w:rsidR="00923828">
        <w:rPr>
          <w:rFonts w:ascii="Times New Roman" w:hAnsi="Times New Roman" w:cs="Times New Roman"/>
          <w:sz w:val="24"/>
          <w:szCs w:val="24"/>
        </w:rPr>
        <w:t>es</w:t>
      </w:r>
      <w:r w:rsidRPr="000A1A15">
        <w:rPr>
          <w:rFonts w:ascii="Times New Roman" w:hAnsi="Times New Roman" w:cs="Times New Roman"/>
          <w:sz w:val="24"/>
          <w:szCs w:val="24"/>
        </w:rPr>
        <w:t xml:space="preserve"> not raise any human rights issues.</w:t>
      </w:r>
    </w:p>
    <w:bookmarkEnd w:id="0"/>
    <w:p w14:paraId="6A740A2A" w14:textId="77777777" w:rsidR="00211AFD" w:rsidRPr="00B06E21" w:rsidRDefault="00211AFD" w:rsidP="00A34ADD">
      <w:pPr>
        <w:rPr>
          <w:rFonts w:ascii="Times New Roman" w:hAnsi="Times New Roman" w:cs="Times New Roman"/>
        </w:rPr>
      </w:pPr>
    </w:p>
    <w:sectPr w:rsidR="00211AFD" w:rsidRPr="00B06E21" w:rsidSect="00B06E21">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8B796" w14:textId="77777777" w:rsidR="00104A61" w:rsidRPr="000D4EDE" w:rsidRDefault="00104A61" w:rsidP="000D4EDE">
      <w:r>
        <w:separator/>
      </w:r>
    </w:p>
  </w:endnote>
  <w:endnote w:type="continuationSeparator" w:id="0">
    <w:p w14:paraId="0ABBCE07" w14:textId="77777777" w:rsidR="00104A61" w:rsidRPr="000D4EDE" w:rsidRDefault="00104A61" w:rsidP="000D4EDE">
      <w:r>
        <w:continuationSeparator/>
      </w:r>
    </w:p>
  </w:endnote>
  <w:endnote w:type="continuationNotice" w:id="1">
    <w:p w14:paraId="3EC0FEE1" w14:textId="77777777" w:rsidR="00104A61" w:rsidRDefault="00104A6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7238D" w14:textId="77777777" w:rsidR="00104A61" w:rsidRPr="000D4EDE" w:rsidRDefault="00104A61" w:rsidP="000D4EDE">
      <w:r>
        <w:separator/>
      </w:r>
    </w:p>
  </w:footnote>
  <w:footnote w:type="continuationSeparator" w:id="0">
    <w:p w14:paraId="337B5490" w14:textId="77777777" w:rsidR="00104A61" w:rsidRPr="000D4EDE" w:rsidRDefault="00104A61" w:rsidP="000D4EDE">
      <w:r>
        <w:continuationSeparator/>
      </w:r>
    </w:p>
  </w:footnote>
  <w:footnote w:type="continuationNotice" w:id="1">
    <w:p w14:paraId="3364D616" w14:textId="77777777" w:rsidR="00104A61" w:rsidRDefault="00104A6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0">
    <w:nsid w:val="024A04F0"/>
    <w:multiLevelType w:val="hybridMultilevel"/>
    <w:tmpl w:val="270407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0" w15:restartNumberingAfterBreak="0">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98035FF"/>
    <w:multiLevelType w:val="hybridMultilevel"/>
    <w:tmpl w:val="E28E1352"/>
    <w:lvl w:ilvl="0" w:tplc="186431E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5ADF54BB"/>
    <w:multiLevelType w:val="hybridMultilevel"/>
    <w:tmpl w:val="9DF89A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6A411C86"/>
    <w:multiLevelType w:val="hybridMultilevel"/>
    <w:tmpl w:val="8A2AEC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9A04DFC"/>
    <w:multiLevelType w:val="hybridMultilevel"/>
    <w:tmpl w:val="FC1C6BAC"/>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784615684">
    <w:abstractNumId w:val="1"/>
  </w:num>
  <w:num w:numId="2" w16cid:durableId="568349451">
    <w:abstractNumId w:val="0"/>
  </w:num>
  <w:num w:numId="3" w16cid:durableId="1778407838">
    <w:abstractNumId w:val="6"/>
  </w:num>
  <w:num w:numId="4" w16cid:durableId="914782658">
    <w:abstractNumId w:val="15"/>
  </w:num>
  <w:num w:numId="5" w16cid:durableId="1761372901">
    <w:abstractNumId w:val="19"/>
  </w:num>
  <w:num w:numId="6" w16cid:durableId="1405184404">
    <w:abstractNumId w:val="14"/>
  </w:num>
  <w:num w:numId="7" w16cid:durableId="21294663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0413460">
    <w:abstractNumId w:val="9"/>
  </w:num>
  <w:num w:numId="9" w16cid:durableId="515853906">
    <w:abstractNumId w:val="2"/>
  </w:num>
  <w:num w:numId="10" w16cid:durableId="708576632">
    <w:abstractNumId w:val="7"/>
  </w:num>
  <w:num w:numId="11" w16cid:durableId="2026320155">
    <w:abstractNumId w:val="5"/>
  </w:num>
  <w:num w:numId="12" w16cid:durableId="78983245">
    <w:abstractNumId w:val="4"/>
  </w:num>
  <w:num w:numId="13" w16cid:durableId="1316059326">
    <w:abstractNumId w:val="21"/>
  </w:num>
  <w:num w:numId="14" w16cid:durableId="535124421">
    <w:abstractNumId w:val="13"/>
  </w:num>
  <w:num w:numId="15" w16cid:durableId="2004428120">
    <w:abstractNumId w:val="8"/>
  </w:num>
  <w:num w:numId="16" w16cid:durableId="415321881">
    <w:abstractNumId w:val="10"/>
  </w:num>
  <w:num w:numId="17" w16cid:durableId="1934125761">
    <w:abstractNumId w:val="17"/>
  </w:num>
  <w:num w:numId="18" w16cid:durableId="1752727309">
    <w:abstractNumId w:val="18"/>
  </w:num>
  <w:num w:numId="19" w16cid:durableId="1788819044">
    <w:abstractNumId w:val="16"/>
  </w:num>
  <w:num w:numId="20" w16cid:durableId="531454864">
    <w:abstractNumId w:val="11"/>
  </w:num>
  <w:num w:numId="21" w16cid:durableId="1874464664">
    <w:abstractNumId w:val="22"/>
  </w:num>
  <w:num w:numId="22" w16cid:durableId="461339572">
    <w:abstractNumId w:val="20"/>
  </w:num>
  <w:num w:numId="23" w16cid:durableId="1718161298">
    <w:abstractNumId w:val="3"/>
  </w:num>
  <w:num w:numId="24" w16cid:durableId="1117606896">
    <w:abstractNumId w:val="12"/>
  </w:num>
  <w:num w:numId="25" w16cid:durableId="147930429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63321030">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0AD0"/>
    <w:rsid w:val="00004ED1"/>
    <w:rsid w:val="00005070"/>
    <w:rsid w:val="00005D98"/>
    <w:rsid w:val="00005F96"/>
    <w:rsid w:val="00007038"/>
    <w:rsid w:val="00007262"/>
    <w:rsid w:val="00010789"/>
    <w:rsid w:val="00011C96"/>
    <w:rsid w:val="000141B9"/>
    <w:rsid w:val="00020E4C"/>
    <w:rsid w:val="000329BB"/>
    <w:rsid w:val="00034A19"/>
    <w:rsid w:val="00036F9E"/>
    <w:rsid w:val="0003758D"/>
    <w:rsid w:val="000413B3"/>
    <w:rsid w:val="000453D9"/>
    <w:rsid w:val="00045E85"/>
    <w:rsid w:val="000573E5"/>
    <w:rsid w:val="00057B71"/>
    <w:rsid w:val="00065C04"/>
    <w:rsid w:val="0006638F"/>
    <w:rsid w:val="00070362"/>
    <w:rsid w:val="0007202C"/>
    <w:rsid w:val="00072B30"/>
    <w:rsid w:val="00072C0B"/>
    <w:rsid w:val="0007319C"/>
    <w:rsid w:val="000732AA"/>
    <w:rsid w:val="00073F77"/>
    <w:rsid w:val="000767DD"/>
    <w:rsid w:val="0008011A"/>
    <w:rsid w:val="00083B14"/>
    <w:rsid w:val="00084F8B"/>
    <w:rsid w:val="000851D0"/>
    <w:rsid w:val="00086D07"/>
    <w:rsid w:val="00086F71"/>
    <w:rsid w:val="00093915"/>
    <w:rsid w:val="000949AD"/>
    <w:rsid w:val="00095109"/>
    <w:rsid w:val="00096B0F"/>
    <w:rsid w:val="000A1A15"/>
    <w:rsid w:val="000A490E"/>
    <w:rsid w:val="000B04C5"/>
    <w:rsid w:val="000B2267"/>
    <w:rsid w:val="000B63CA"/>
    <w:rsid w:val="000B752A"/>
    <w:rsid w:val="000C14D9"/>
    <w:rsid w:val="000C15C7"/>
    <w:rsid w:val="000D3C39"/>
    <w:rsid w:val="000D4EDE"/>
    <w:rsid w:val="000D6EEB"/>
    <w:rsid w:val="000E2460"/>
    <w:rsid w:val="000E43AC"/>
    <w:rsid w:val="000E6E37"/>
    <w:rsid w:val="000F0E6F"/>
    <w:rsid w:val="000F2638"/>
    <w:rsid w:val="000F5821"/>
    <w:rsid w:val="001018A5"/>
    <w:rsid w:val="00104A61"/>
    <w:rsid w:val="00106F56"/>
    <w:rsid w:val="001104BE"/>
    <w:rsid w:val="00115A39"/>
    <w:rsid w:val="00117479"/>
    <w:rsid w:val="00123576"/>
    <w:rsid w:val="001241CB"/>
    <w:rsid w:val="00124B21"/>
    <w:rsid w:val="00127CB9"/>
    <w:rsid w:val="001327B8"/>
    <w:rsid w:val="0013471B"/>
    <w:rsid w:val="00134B76"/>
    <w:rsid w:val="001352D4"/>
    <w:rsid w:val="001366BD"/>
    <w:rsid w:val="00142132"/>
    <w:rsid w:val="001430F1"/>
    <w:rsid w:val="00146A00"/>
    <w:rsid w:val="00147586"/>
    <w:rsid w:val="001509CD"/>
    <w:rsid w:val="00153283"/>
    <w:rsid w:val="00154695"/>
    <w:rsid w:val="00155789"/>
    <w:rsid w:val="001579AD"/>
    <w:rsid w:val="00157C98"/>
    <w:rsid w:val="001647D1"/>
    <w:rsid w:val="00164F67"/>
    <w:rsid w:val="001653B6"/>
    <w:rsid w:val="00165BF6"/>
    <w:rsid w:val="00174B0F"/>
    <w:rsid w:val="0018235E"/>
    <w:rsid w:val="00184187"/>
    <w:rsid w:val="00192668"/>
    <w:rsid w:val="001A4EA4"/>
    <w:rsid w:val="001A664F"/>
    <w:rsid w:val="001B2DB7"/>
    <w:rsid w:val="001B3A9F"/>
    <w:rsid w:val="001B49C3"/>
    <w:rsid w:val="001C7A1C"/>
    <w:rsid w:val="001D0C02"/>
    <w:rsid w:val="001D3D43"/>
    <w:rsid w:val="001E0F51"/>
    <w:rsid w:val="001E55BF"/>
    <w:rsid w:val="001F0C8F"/>
    <w:rsid w:val="001F4D45"/>
    <w:rsid w:val="001F6E1A"/>
    <w:rsid w:val="001F780A"/>
    <w:rsid w:val="001F7917"/>
    <w:rsid w:val="00200613"/>
    <w:rsid w:val="00200F0C"/>
    <w:rsid w:val="00211AFD"/>
    <w:rsid w:val="00214883"/>
    <w:rsid w:val="002156F6"/>
    <w:rsid w:val="00220550"/>
    <w:rsid w:val="002206C7"/>
    <w:rsid w:val="00222497"/>
    <w:rsid w:val="002301A2"/>
    <w:rsid w:val="00236C2D"/>
    <w:rsid w:val="00237201"/>
    <w:rsid w:val="002374B7"/>
    <w:rsid w:val="00240126"/>
    <w:rsid w:val="00241D16"/>
    <w:rsid w:val="00242384"/>
    <w:rsid w:val="0024304D"/>
    <w:rsid w:val="00244826"/>
    <w:rsid w:val="00247ACA"/>
    <w:rsid w:val="0025287F"/>
    <w:rsid w:val="00252E6A"/>
    <w:rsid w:val="002540FC"/>
    <w:rsid w:val="00255A20"/>
    <w:rsid w:val="0025782A"/>
    <w:rsid w:val="00263414"/>
    <w:rsid w:val="002661A6"/>
    <w:rsid w:val="00266C23"/>
    <w:rsid w:val="00277D6C"/>
    <w:rsid w:val="00281970"/>
    <w:rsid w:val="00286EAD"/>
    <w:rsid w:val="00292A60"/>
    <w:rsid w:val="0029389B"/>
    <w:rsid w:val="00293B7A"/>
    <w:rsid w:val="002A1894"/>
    <w:rsid w:val="002A2188"/>
    <w:rsid w:val="002A36F2"/>
    <w:rsid w:val="002A7D14"/>
    <w:rsid w:val="002B0913"/>
    <w:rsid w:val="002B28E4"/>
    <w:rsid w:val="002B2DD7"/>
    <w:rsid w:val="002B49A3"/>
    <w:rsid w:val="002B6897"/>
    <w:rsid w:val="002B7504"/>
    <w:rsid w:val="002C0D97"/>
    <w:rsid w:val="002C433C"/>
    <w:rsid w:val="002C66D1"/>
    <w:rsid w:val="002C7065"/>
    <w:rsid w:val="002C7D73"/>
    <w:rsid w:val="002C7F4A"/>
    <w:rsid w:val="002D2804"/>
    <w:rsid w:val="002D317F"/>
    <w:rsid w:val="002D4B6C"/>
    <w:rsid w:val="002D5274"/>
    <w:rsid w:val="002D59E2"/>
    <w:rsid w:val="002E08F8"/>
    <w:rsid w:val="002E1EE3"/>
    <w:rsid w:val="002E36EB"/>
    <w:rsid w:val="002F0135"/>
    <w:rsid w:val="002F0C2C"/>
    <w:rsid w:val="00300655"/>
    <w:rsid w:val="00301BB1"/>
    <w:rsid w:val="00303D18"/>
    <w:rsid w:val="00307ADD"/>
    <w:rsid w:val="00307E55"/>
    <w:rsid w:val="0031227D"/>
    <w:rsid w:val="00312A66"/>
    <w:rsid w:val="003130CA"/>
    <w:rsid w:val="003163CB"/>
    <w:rsid w:val="00321180"/>
    <w:rsid w:val="0032180D"/>
    <w:rsid w:val="003306A5"/>
    <w:rsid w:val="0034059D"/>
    <w:rsid w:val="00355D40"/>
    <w:rsid w:val="00371AAC"/>
    <w:rsid w:val="00371F54"/>
    <w:rsid w:val="0037770C"/>
    <w:rsid w:val="00377C8B"/>
    <w:rsid w:val="00383A95"/>
    <w:rsid w:val="00385CA0"/>
    <w:rsid w:val="00390925"/>
    <w:rsid w:val="0039585F"/>
    <w:rsid w:val="003A2733"/>
    <w:rsid w:val="003A3021"/>
    <w:rsid w:val="003A4D41"/>
    <w:rsid w:val="003A627E"/>
    <w:rsid w:val="003A79EE"/>
    <w:rsid w:val="003A7F32"/>
    <w:rsid w:val="003B6E16"/>
    <w:rsid w:val="003C180A"/>
    <w:rsid w:val="003C1E25"/>
    <w:rsid w:val="003D27A7"/>
    <w:rsid w:val="003D27CB"/>
    <w:rsid w:val="003D292C"/>
    <w:rsid w:val="003D329D"/>
    <w:rsid w:val="003E29C5"/>
    <w:rsid w:val="003E6BF6"/>
    <w:rsid w:val="003F0F0D"/>
    <w:rsid w:val="0040173E"/>
    <w:rsid w:val="0040345F"/>
    <w:rsid w:val="00413456"/>
    <w:rsid w:val="00425F01"/>
    <w:rsid w:val="00435339"/>
    <w:rsid w:val="004410DC"/>
    <w:rsid w:val="0044447D"/>
    <w:rsid w:val="0044482D"/>
    <w:rsid w:val="00444EFF"/>
    <w:rsid w:val="00450C1B"/>
    <w:rsid w:val="00450C67"/>
    <w:rsid w:val="00453A70"/>
    <w:rsid w:val="00455363"/>
    <w:rsid w:val="00457702"/>
    <w:rsid w:val="0046020A"/>
    <w:rsid w:val="00460CF7"/>
    <w:rsid w:val="004636CE"/>
    <w:rsid w:val="00463FA8"/>
    <w:rsid w:val="00464196"/>
    <w:rsid w:val="00464905"/>
    <w:rsid w:val="00466648"/>
    <w:rsid w:val="00472CBC"/>
    <w:rsid w:val="00473BCD"/>
    <w:rsid w:val="004765B3"/>
    <w:rsid w:val="004808E2"/>
    <w:rsid w:val="004843CA"/>
    <w:rsid w:val="00486B6D"/>
    <w:rsid w:val="00493DAA"/>
    <w:rsid w:val="00494335"/>
    <w:rsid w:val="00495A4C"/>
    <w:rsid w:val="004967A1"/>
    <w:rsid w:val="00497D8A"/>
    <w:rsid w:val="004A0FE7"/>
    <w:rsid w:val="004A42FA"/>
    <w:rsid w:val="004A6EA1"/>
    <w:rsid w:val="004B584E"/>
    <w:rsid w:val="004C1106"/>
    <w:rsid w:val="004C6D4B"/>
    <w:rsid w:val="004C766B"/>
    <w:rsid w:val="004D33E3"/>
    <w:rsid w:val="004D76C1"/>
    <w:rsid w:val="004D7C22"/>
    <w:rsid w:val="004E2269"/>
    <w:rsid w:val="004E3925"/>
    <w:rsid w:val="004E451A"/>
    <w:rsid w:val="004F059D"/>
    <w:rsid w:val="004F3339"/>
    <w:rsid w:val="004F72A2"/>
    <w:rsid w:val="004F7623"/>
    <w:rsid w:val="004F78E5"/>
    <w:rsid w:val="005026D4"/>
    <w:rsid w:val="00503A51"/>
    <w:rsid w:val="00506774"/>
    <w:rsid w:val="00512309"/>
    <w:rsid w:val="005126D2"/>
    <w:rsid w:val="00514A0D"/>
    <w:rsid w:val="0051662E"/>
    <w:rsid w:val="00525C03"/>
    <w:rsid w:val="00526F5A"/>
    <w:rsid w:val="00530EDC"/>
    <w:rsid w:val="00532027"/>
    <w:rsid w:val="00534B66"/>
    <w:rsid w:val="005405D5"/>
    <w:rsid w:val="00540FC6"/>
    <w:rsid w:val="00541D54"/>
    <w:rsid w:val="00542522"/>
    <w:rsid w:val="00543472"/>
    <w:rsid w:val="0054526E"/>
    <w:rsid w:val="00545CE1"/>
    <w:rsid w:val="00546045"/>
    <w:rsid w:val="00546297"/>
    <w:rsid w:val="00547212"/>
    <w:rsid w:val="005476B5"/>
    <w:rsid w:val="005528AA"/>
    <w:rsid w:val="0055496A"/>
    <w:rsid w:val="005549D7"/>
    <w:rsid w:val="005602DA"/>
    <w:rsid w:val="00562087"/>
    <w:rsid w:val="00564FF8"/>
    <w:rsid w:val="005678FC"/>
    <w:rsid w:val="0057138A"/>
    <w:rsid w:val="00573327"/>
    <w:rsid w:val="00577D9B"/>
    <w:rsid w:val="005921A3"/>
    <w:rsid w:val="00592F64"/>
    <w:rsid w:val="00594D6A"/>
    <w:rsid w:val="005A3F63"/>
    <w:rsid w:val="005A59D0"/>
    <w:rsid w:val="005B073E"/>
    <w:rsid w:val="005B227F"/>
    <w:rsid w:val="005B7801"/>
    <w:rsid w:val="005C1785"/>
    <w:rsid w:val="005C5891"/>
    <w:rsid w:val="005C641B"/>
    <w:rsid w:val="005D04CC"/>
    <w:rsid w:val="005D173B"/>
    <w:rsid w:val="005D5FAE"/>
    <w:rsid w:val="005E4BC9"/>
    <w:rsid w:val="005F29B7"/>
    <w:rsid w:val="00606EB5"/>
    <w:rsid w:val="00606FC8"/>
    <w:rsid w:val="00616C90"/>
    <w:rsid w:val="00617FDA"/>
    <w:rsid w:val="00620146"/>
    <w:rsid w:val="0062116F"/>
    <w:rsid w:val="00623FD7"/>
    <w:rsid w:val="00626087"/>
    <w:rsid w:val="006313C7"/>
    <w:rsid w:val="00634E4C"/>
    <w:rsid w:val="00636B8B"/>
    <w:rsid w:val="00641EAA"/>
    <w:rsid w:val="00642471"/>
    <w:rsid w:val="006427FE"/>
    <w:rsid w:val="006506C1"/>
    <w:rsid w:val="00651203"/>
    <w:rsid w:val="00657459"/>
    <w:rsid w:val="0065747A"/>
    <w:rsid w:val="00661C06"/>
    <w:rsid w:val="00662E28"/>
    <w:rsid w:val="00663820"/>
    <w:rsid w:val="0066674D"/>
    <w:rsid w:val="00666A78"/>
    <w:rsid w:val="00670B59"/>
    <w:rsid w:val="00676C12"/>
    <w:rsid w:val="00682A74"/>
    <w:rsid w:val="00685D1F"/>
    <w:rsid w:val="00691C77"/>
    <w:rsid w:val="00692D28"/>
    <w:rsid w:val="0069375D"/>
    <w:rsid w:val="0069407C"/>
    <w:rsid w:val="0069574E"/>
    <w:rsid w:val="006969C0"/>
    <w:rsid w:val="006A1921"/>
    <w:rsid w:val="006A1B8B"/>
    <w:rsid w:val="006A2303"/>
    <w:rsid w:val="006A2C82"/>
    <w:rsid w:val="006A30FA"/>
    <w:rsid w:val="006C0151"/>
    <w:rsid w:val="006C6ED5"/>
    <w:rsid w:val="006D2A45"/>
    <w:rsid w:val="006D315C"/>
    <w:rsid w:val="006D71B8"/>
    <w:rsid w:val="006E1FD7"/>
    <w:rsid w:val="006E3750"/>
    <w:rsid w:val="006E4272"/>
    <w:rsid w:val="006E6E63"/>
    <w:rsid w:val="006F145A"/>
    <w:rsid w:val="006F27CB"/>
    <w:rsid w:val="006F359B"/>
    <w:rsid w:val="006F4962"/>
    <w:rsid w:val="006F5865"/>
    <w:rsid w:val="00701D6E"/>
    <w:rsid w:val="00701EC6"/>
    <w:rsid w:val="00706179"/>
    <w:rsid w:val="007118A4"/>
    <w:rsid w:val="00714F78"/>
    <w:rsid w:val="007152B0"/>
    <w:rsid w:val="007170F7"/>
    <w:rsid w:val="00717589"/>
    <w:rsid w:val="00722F9F"/>
    <w:rsid w:val="007253B8"/>
    <w:rsid w:val="007301D0"/>
    <w:rsid w:val="00736E7D"/>
    <w:rsid w:val="007509A6"/>
    <w:rsid w:val="00751681"/>
    <w:rsid w:val="00753F83"/>
    <w:rsid w:val="007541B0"/>
    <w:rsid w:val="0075469B"/>
    <w:rsid w:val="00755163"/>
    <w:rsid w:val="00756AAB"/>
    <w:rsid w:val="00757F63"/>
    <w:rsid w:val="007645AE"/>
    <w:rsid w:val="00764992"/>
    <w:rsid w:val="00765749"/>
    <w:rsid w:val="0077507F"/>
    <w:rsid w:val="00775AA0"/>
    <w:rsid w:val="007770FA"/>
    <w:rsid w:val="0079006A"/>
    <w:rsid w:val="00791738"/>
    <w:rsid w:val="00791780"/>
    <w:rsid w:val="00792D37"/>
    <w:rsid w:val="0079398C"/>
    <w:rsid w:val="007A0EB7"/>
    <w:rsid w:val="007A24DF"/>
    <w:rsid w:val="007B2045"/>
    <w:rsid w:val="007B2C90"/>
    <w:rsid w:val="007B6871"/>
    <w:rsid w:val="007B7899"/>
    <w:rsid w:val="007C08B1"/>
    <w:rsid w:val="007C2CC2"/>
    <w:rsid w:val="007C38BD"/>
    <w:rsid w:val="007C79AA"/>
    <w:rsid w:val="007D31DA"/>
    <w:rsid w:val="007D72C5"/>
    <w:rsid w:val="007E1D1C"/>
    <w:rsid w:val="007E3348"/>
    <w:rsid w:val="007E525D"/>
    <w:rsid w:val="007F0323"/>
    <w:rsid w:val="007F3414"/>
    <w:rsid w:val="007F379E"/>
    <w:rsid w:val="007F471C"/>
    <w:rsid w:val="00800C90"/>
    <w:rsid w:val="008125F8"/>
    <w:rsid w:val="008208A8"/>
    <w:rsid w:val="00826012"/>
    <w:rsid w:val="0083348D"/>
    <w:rsid w:val="00834CE0"/>
    <w:rsid w:val="0084110F"/>
    <w:rsid w:val="00844B1D"/>
    <w:rsid w:val="00844F5C"/>
    <w:rsid w:val="00845843"/>
    <w:rsid w:val="00846D34"/>
    <w:rsid w:val="0085230C"/>
    <w:rsid w:val="008567D0"/>
    <w:rsid w:val="00863020"/>
    <w:rsid w:val="008633B5"/>
    <w:rsid w:val="008637EC"/>
    <w:rsid w:val="00864FA7"/>
    <w:rsid w:val="00870BC6"/>
    <w:rsid w:val="00873384"/>
    <w:rsid w:val="00875DAD"/>
    <w:rsid w:val="00877B84"/>
    <w:rsid w:val="00877E5F"/>
    <w:rsid w:val="0088036D"/>
    <w:rsid w:val="00881155"/>
    <w:rsid w:val="008823B8"/>
    <w:rsid w:val="00882892"/>
    <w:rsid w:val="00885A14"/>
    <w:rsid w:val="0088689B"/>
    <w:rsid w:val="00890FA0"/>
    <w:rsid w:val="008947BF"/>
    <w:rsid w:val="008A0CBE"/>
    <w:rsid w:val="008A0D3C"/>
    <w:rsid w:val="008A1CA8"/>
    <w:rsid w:val="008A214D"/>
    <w:rsid w:val="008A243F"/>
    <w:rsid w:val="008A6F4A"/>
    <w:rsid w:val="008A72D2"/>
    <w:rsid w:val="008A74A3"/>
    <w:rsid w:val="008B6868"/>
    <w:rsid w:val="008B6D24"/>
    <w:rsid w:val="008C34F7"/>
    <w:rsid w:val="008C6A43"/>
    <w:rsid w:val="008D080C"/>
    <w:rsid w:val="008D1867"/>
    <w:rsid w:val="008D6437"/>
    <w:rsid w:val="008D6EDF"/>
    <w:rsid w:val="008E3EF5"/>
    <w:rsid w:val="008E712A"/>
    <w:rsid w:val="008F02FA"/>
    <w:rsid w:val="008F33B5"/>
    <w:rsid w:val="00901414"/>
    <w:rsid w:val="00901D54"/>
    <w:rsid w:val="0090386C"/>
    <w:rsid w:val="00903D57"/>
    <w:rsid w:val="00905EF0"/>
    <w:rsid w:val="00906799"/>
    <w:rsid w:val="00906FDA"/>
    <w:rsid w:val="009136D0"/>
    <w:rsid w:val="00922193"/>
    <w:rsid w:val="00922C7C"/>
    <w:rsid w:val="00923828"/>
    <w:rsid w:val="00924152"/>
    <w:rsid w:val="0093194D"/>
    <w:rsid w:val="00934C3F"/>
    <w:rsid w:val="0093521A"/>
    <w:rsid w:val="009417AE"/>
    <w:rsid w:val="009436D9"/>
    <w:rsid w:val="00944B87"/>
    <w:rsid w:val="00945B3F"/>
    <w:rsid w:val="00947280"/>
    <w:rsid w:val="00950DCB"/>
    <w:rsid w:val="00952D47"/>
    <w:rsid w:val="00952D4C"/>
    <w:rsid w:val="00960246"/>
    <w:rsid w:val="009720E1"/>
    <w:rsid w:val="0097254C"/>
    <w:rsid w:val="00973620"/>
    <w:rsid w:val="00974F0E"/>
    <w:rsid w:val="00975CD7"/>
    <w:rsid w:val="00980CA1"/>
    <w:rsid w:val="00985E70"/>
    <w:rsid w:val="00986B43"/>
    <w:rsid w:val="0098783B"/>
    <w:rsid w:val="00993C2B"/>
    <w:rsid w:val="00994441"/>
    <w:rsid w:val="00996086"/>
    <w:rsid w:val="009979F4"/>
    <w:rsid w:val="009A246D"/>
    <w:rsid w:val="009A45B2"/>
    <w:rsid w:val="009A5585"/>
    <w:rsid w:val="009A59D5"/>
    <w:rsid w:val="009B161B"/>
    <w:rsid w:val="009B2CB7"/>
    <w:rsid w:val="009C1AAB"/>
    <w:rsid w:val="009C2198"/>
    <w:rsid w:val="009D2DDD"/>
    <w:rsid w:val="009E0C10"/>
    <w:rsid w:val="009E4116"/>
    <w:rsid w:val="009E529F"/>
    <w:rsid w:val="009F4D76"/>
    <w:rsid w:val="009F5F74"/>
    <w:rsid w:val="00A037AE"/>
    <w:rsid w:val="00A05129"/>
    <w:rsid w:val="00A06A6F"/>
    <w:rsid w:val="00A10DA6"/>
    <w:rsid w:val="00A151E9"/>
    <w:rsid w:val="00A1599B"/>
    <w:rsid w:val="00A15DBB"/>
    <w:rsid w:val="00A259F2"/>
    <w:rsid w:val="00A2758A"/>
    <w:rsid w:val="00A3147C"/>
    <w:rsid w:val="00A33802"/>
    <w:rsid w:val="00A34ADD"/>
    <w:rsid w:val="00A36C70"/>
    <w:rsid w:val="00A37162"/>
    <w:rsid w:val="00A37E51"/>
    <w:rsid w:val="00A401E1"/>
    <w:rsid w:val="00A43831"/>
    <w:rsid w:val="00A50B51"/>
    <w:rsid w:val="00A51E2D"/>
    <w:rsid w:val="00A5319F"/>
    <w:rsid w:val="00A533A9"/>
    <w:rsid w:val="00A53690"/>
    <w:rsid w:val="00A540EB"/>
    <w:rsid w:val="00A5530D"/>
    <w:rsid w:val="00A62D31"/>
    <w:rsid w:val="00A63380"/>
    <w:rsid w:val="00A8129D"/>
    <w:rsid w:val="00A82188"/>
    <w:rsid w:val="00A865C7"/>
    <w:rsid w:val="00A909CC"/>
    <w:rsid w:val="00A964A5"/>
    <w:rsid w:val="00A96F09"/>
    <w:rsid w:val="00A96FAA"/>
    <w:rsid w:val="00A97E3B"/>
    <w:rsid w:val="00AA00CB"/>
    <w:rsid w:val="00AA20A1"/>
    <w:rsid w:val="00AA41F2"/>
    <w:rsid w:val="00AB039E"/>
    <w:rsid w:val="00AB1362"/>
    <w:rsid w:val="00AB4206"/>
    <w:rsid w:val="00AC1A02"/>
    <w:rsid w:val="00AC1C1F"/>
    <w:rsid w:val="00AC6B54"/>
    <w:rsid w:val="00AC7E54"/>
    <w:rsid w:val="00AD57F5"/>
    <w:rsid w:val="00AD6414"/>
    <w:rsid w:val="00AD72D9"/>
    <w:rsid w:val="00AE6A4E"/>
    <w:rsid w:val="00AE7B98"/>
    <w:rsid w:val="00AF0F18"/>
    <w:rsid w:val="00AF129F"/>
    <w:rsid w:val="00AF2A72"/>
    <w:rsid w:val="00AF33ED"/>
    <w:rsid w:val="00B04467"/>
    <w:rsid w:val="00B06E21"/>
    <w:rsid w:val="00B12DC9"/>
    <w:rsid w:val="00B13F84"/>
    <w:rsid w:val="00B14604"/>
    <w:rsid w:val="00B152D5"/>
    <w:rsid w:val="00B15ABA"/>
    <w:rsid w:val="00B20FA0"/>
    <w:rsid w:val="00B24DD4"/>
    <w:rsid w:val="00B34339"/>
    <w:rsid w:val="00B40434"/>
    <w:rsid w:val="00B40B7D"/>
    <w:rsid w:val="00B42B2F"/>
    <w:rsid w:val="00B44900"/>
    <w:rsid w:val="00B467F6"/>
    <w:rsid w:val="00B472E1"/>
    <w:rsid w:val="00B52821"/>
    <w:rsid w:val="00B56C63"/>
    <w:rsid w:val="00B62B72"/>
    <w:rsid w:val="00B6576F"/>
    <w:rsid w:val="00B664C7"/>
    <w:rsid w:val="00B670E9"/>
    <w:rsid w:val="00B71170"/>
    <w:rsid w:val="00B80BCE"/>
    <w:rsid w:val="00B81524"/>
    <w:rsid w:val="00B81740"/>
    <w:rsid w:val="00B83542"/>
    <w:rsid w:val="00B85D7B"/>
    <w:rsid w:val="00B900EA"/>
    <w:rsid w:val="00B91069"/>
    <w:rsid w:val="00B921F5"/>
    <w:rsid w:val="00B92842"/>
    <w:rsid w:val="00BA2713"/>
    <w:rsid w:val="00BA2941"/>
    <w:rsid w:val="00BA4C61"/>
    <w:rsid w:val="00BA627A"/>
    <w:rsid w:val="00BB22FA"/>
    <w:rsid w:val="00BB2EF6"/>
    <w:rsid w:val="00BC1E70"/>
    <w:rsid w:val="00BD12A1"/>
    <w:rsid w:val="00BD1D09"/>
    <w:rsid w:val="00BD5923"/>
    <w:rsid w:val="00BD64ED"/>
    <w:rsid w:val="00BD7B83"/>
    <w:rsid w:val="00BE625B"/>
    <w:rsid w:val="00BF17C6"/>
    <w:rsid w:val="00BF6F09"/>
    <w:rsid w:val="00C00F35"/>
    <w:rsid w:val="00C00FDA"/>
    <w:rsid w:val="00C02EB9"/>
    <w:rsid w:val="00C0373C"/>
    <w:rsid w:val="00C04623"/>
    <w:rsid w:val="00C04E4B"/>
    <w:rsid w:val="00C0599B"/>
    <w:rsid w:val="00C11531"/>
    <w:rsid w:val="00C11B56"/>
    <w:rsid w:val="00C13324"/>
    <w:rsid w:val="00C14C04"/>
    <w:rsid w:val="00C1529E"/>
    <w:rsid w:val="00C16045"/>
    <w:rsid w:val="00C21E27"/>
    <w:rsid w:val="00C2332A"/>
    <w:rsid w:val="00C42EA5"/>
    <w:rsid w:val="00C5559E"/>
    <w:rsid w:val="00C62BF5"/>
    <w:rsid w:val="00C636DA"/>
    <w:rsid w:val="00C67E22"/>
    <w:rsid w:val="00C72271"/>
    <w:rsid w:val="00C72A17"/>
    <w:rsid w:val="00C81356"/>
    <w:rsid w:val="00C813CD"/>
    <w:rsid w:val="00C858D9"/>
    <w:rsid w:val="00C86949"/>
    <w:rsid w:val="00C86A64"/>
    <w:rsid w:val="00C87DA0"/>
    <w:rsid w:val="00C95508"/>
    <w:rsid w:val="00CA4E4D"/>
    <w:rsid w:val="00CA6FF9"/>
    <w:rsid w:val="00CA73DA"/>
    <w:rsid w:val="00CB04F1"/>
    <w:rsid w:val="00CB2C58"/>
    <w:rsid w:val="00CB2E3D"/>
    <w:rsid w:val="00CB4238"/>
    <w:rsid w:val="00CB5938"/>
    <w:rsid w:val="00CB5B27"/>
    <w:rsid w:val="00CC13F5"/>
    <w:rsid w:val="00CC1A64"/>
    <w:rsid w:val="00CC30A1"/>
    <w:rsid w:val="00CC34E6"/>
    <w:rsid w:val="00CC34EB"/>
    <w:rsid w:val="00CC4C58"/>
    <w:rsid w:val="00CC64C8"/>
    <w:rsid w:val="00CC66EA"/>
    <w:rsid w:val="00CD1253"/>
    <w:rsid w:val="00CD3C17"/>
    <w:rsid w:val="00CE1F9C"/>
    <w:rsid w:val="00CE2E48"/>
    <w:rsid w:val="00CF0184"/>
    <w:rsid w:val="00CF4514"/>
    <w:rsid w:val="00CF55F6"/>
    <w:rsid w:val="00CF59E0"/>
    <w:rsid w:val="00CF6672"/>
    <w:rsid w:val="00D0048B"/>
    <w:rsid w:val="00D021F7"/>
    <w:rsid w:val="00D069C7"/>
    <w:rsid w:val="00D078A2"/>
    <w:rsid w:val="00D21123"/>
    <w:rsid w:val="00D26BB7"/>
    <w:rsid w:val="00D30B57"/>
    <w:rsid w:val="00D367EB"/>
    <w:rsid w:val="00D36C91"/>
    <w:rsid w:val="00D41871"/>
    <w:rsid w:val="00D45954"/>
    <w:rsid w:val="00D461C2"/>
    <w:rsid w:val="00D5162F"/>
    <w:rsid w:val="00D575EC"/>
    <w:rsid w:val="00D615C7"/>
    <w:rsid w:val="00D61AAE"/>
    <w:rsid w:val="00D61B55"/>
    <w:rsid w:val="00D62602"/>
    <w:rsid w:val="00D64CB8"/>
    <w:rsid w:val="00D66999"/>
    <w:rsid w:val="00D67F8F"/>
    <w:rsid w:val="00D720AE"/>
    <w:rsid w:val="00D72FD8"/>
    <w:rsid w:val="00D8198D"/>
    <w:rsid w:val="00D91D01"/>
    <w:rsid w:val="00D92A45"/>
    <w:rsid w:val="00D96821"/>
    <w:rsid w:val="00D9697A"/>
    <w:rsid w:val="00D979E0"/>
    <w:rsid w:val="00DA2B14"/>
    <w:rsid w:val="00DA3023"/>
    <w:rsid w:val="00DA4C48"/>
    <w:rsid w:val="00DA727D"/>
    <w:rsid w:val="00DA7B27"/>
    <w:rsid w:val="00DB53A7"/>
    <w:rsid w:val="00DD10EE"/>
    <w:rsid w:val="00DD170F"/>
    <w:rsid w:val="00DD4451"/>
    <w:rsid w:val="00DE0A8A"/>
    <w:rsid w:val="00DE1106"/>
    <w:rsid w:val="00DE1D50"/>
    <w:rsid w:val="00DE23EE"/>
    <w:rsid w:val="00DF2F12"/>
    <w:rsid w:val="00DF2F8B"/>
    <w:rsid w:val="00DF6837"/>
    <w:rsid w:val="00DF68E4"/>
    <w:rsid w:val="00DF6E54"/>
    <w:rsid w:val="00E01F47"/>
    <w:rsid w:val="00E04228"/>
    <w:rsid w:val="00E04457"/>
    <w:rsid w:val="00E04BBC"/>
    <w:rsid w:val="00E10450"/>
    <w:rsid w:val="00E1478E"/>
    <w:rsid w:val="00E159D7"/>
    <w:rsid w:val="00E213AB"/>
    <w:rsid w:val="00E21653"/>
    <w:rsid w:val="00E21C9B"/>
    <w:rsid w:val="00E22FD8"/>
    <w:rsid w:val="00E2414E"/>
    <w:rsid w:val="00E25E14"/>
    <w:rsid w:val="00E26830"/>
    <w:rsid w:val="00E26FAF"/>
    <w:rsid w:val="00E27997"/>
    <w:rsid w:val="00E40B36"/>
    <w:rsid w:val="00E45E54"/>
    <w:rsid w:val="00E51672"/>
    <w:rsid w:val="00E51C2C"/>
    <w:rsid w:val="00E522FC"/>
    <w:rsid w:val="00E55EE5"/>
    <w:rsid w:val="00E61784"/>
    <w:rsid w:val="00E625B3"/>
    <w:rsid w:val="00E635EF"/>
    <w:rsid w:val="00E63EB9"/>
    <w:rsid w:val="00E64743"/>
    <w:rsid w:val="00E7120F"/>
    <w:rsid w:val="00E7257D"/>
    <w:rsid w:val="00E728CB"/>
    <w:rsid w:val="00E7336F"/>
    <w:rsid w:val="00E74F3B"/>
    <w:rsid w:val="00E754BD"/>
    <w:rsid w:val="00E76262"/>
    <w:rsid w:val="00E84A6B"/>
    <w:rsid w:val="00E92385"/>
    <w:rsid w:val="00E93F74"/>
    <w:rsid w:val="00E96DEA"/>
    <w:rsid w:val="00EA1585"/>
    <w:rsid w:val="00EA48AE"/>
    <w:rsid w:val="00EA7AF9"/>
    <w:rsid w:val="00EB09E2"/>
    <w:rsid w:val="00EB47CB"/>
    <w:rsid w:val="00EB74A5"/>
    <w:rsid w:val="00EC67E3"/>
    <w:rsid w:val="00ED3A48"/>
    <w:rsid w:val="00ED4C82"/>
    <w:rsid w:val="00EE0126"/>
    <w:rsid w:val="00EE0C89"/>
    <w:rsid w:val="00EE47FE"/>
    <w:rsid w:val="00EE50C6"/>
    <w:rsid w:val="00EE5D41"/>
    <w:rsid w:val="00EE766D"/>
    <w:rsid w:val="00EE79CE"/>
    <w:rsid w:val="00EE7F86"/>
    <w:rsid w:val="00EF2A15"/>
    <w:rsid w:val="00EF5BFD"/>
    <w:rsid w:val="00EF7B33"/>
    <w:rsid w:val="00F00470"/>
    <w:rsid w:val="00F01C6F"/>
    <w:rsid w:val="00F01EBF"/>
    <w:rsid w:val="00F0509B"/>
    <w:rsid w:val="00F0561E"/>
    <w:rsid w:val="00F06B06"/>
    <w:rsid w:val="00F06EE2"/>
    <w:rsid w:val="00F074DC"/>
    <w:rsid w:val="00F15632"/>
    <w:rsid w:val="00F17535"/>
    <w:rsid w:val="00F20949"/>
    <w:rsid w:val="00F24F8F"/>
    <w:rsid w:val="00F303B2"/>
    <w:rsid w:val="00F307E0"/>
    <w:rsid w:val="00F34D63"/>
    <w:rsid w:val="00F46414"/>
    <w:rsid w:val="00F57F7A"/>
    <w:rsid w:val="00F603DE"/>
    <w:rsid w:val="00F62D33"/>
    <w:rsid w:val="00F6301C"/>
    <w:rsid w:val="00F64AB3"/>
    <w:rsid w:val="00F64E20"/>
    <w:rsid w:val="00F655AA"/>
    <w:rsid w:val="00F6570B"/>
    <w:rsid w:val="00F66681"/>
    <w:rsid w:val="00F67615"/>
    <w:rsid w:val="00F76C98"/>
    <w:rsid w:val="00F804CD"/>
    <w:rsid w:val="00F80750"/>
    <w:rsid w:val="00F826F6"/>
    <w:rsid w:val="00F85F59"/>
    <w:rsid w:val="00F86538"/>
    <w:rsid w:val="00F86717"/>
    <w:rsid w:val="00F8691F"/>
    <w:rsid w:val="00F86DD4"/>
    <w:rsid w:val="00F97A15"/>
    <w:rsid w:val="00F97C7A"/>
    <w:rsid w:val="00FA0F7D"/>
    <w:rsid w:val="00FA2909"/>
    <w:rsid w:val="00FA3CEC"/>
    <w:rsid w:val="00FB4CF2"/>
    <w:rsid w:val="00FC071B"/>
    <w:rsid w:val="00FC4845"/>
    <w:rsid w:val="00FC6B03"/>
    <w:rsid w:val="00FD06D5"/>
    <w:rsid w:val="00FD28FF"/>
    <w:rsid w:val="00FD68A1"/>
    <w:rsid w:val="00FE0985"/>
    <w:rsid w:val="00FE1901"/>
    <w:rsid w:val="00FE2930"/>
    <w:rsid w:val="00FE419E"/>
    <w:rsid w:val="00FE7F76"/>
    <w:rsid w:val="00FF1227"/>
    <w:rsid w:val="00FF2484"/>
    <w:rsid w:val="00FF4201"/>
    <w:rsid w:val="12DEF95A"/>
    <w:rsid w:val="36DAC429"/>
    <w:rsid w:val="70A0D9C2"/>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8DD4A"/>
  <w15:chartTrackingRefBased/>
  <w15:docId w15:val="{F2F67522-6D66-450A-9094-3EA41D33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17"/>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styleId="Revision">
    <w:name w:val="Revision"/>
    <w:hidden/>
    <w:uiPriority w:val="99"/>
    <w:semiHidden/>
    <w:rsid w:val="00C86949"/>
    <w:pPr>
      <w:spacing w:after="0"/>
      <w:jc w:val="left"/>
    </w:pPr>
  </w:style>
  <w:style w:type="paragraph" w:customStyle="1" w:styleId="paragraph">
    <w:name w:val="paragraph"/>
    <w:basedOn w:val="Normal"/>
    <w:rsid w:val="00005070"/>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005070"/>
  </w:style>
  <w:style w:type="character" w:customStyle="1" w:styleId="eop">
    <w:name w:val="eop"/>
    <w:basedOn w:val="DefaultParagraphFont"/>
    <w:rsid w:val="00005070"/>
  </w:style>
  <w:style w:type="character" w:styleId="UnresolvedMention">
    <w:name w:val="Unresolved Mention"/>
    <w:basedOn w:val="DefaultParagraphFont"/>
    <w:uiPriority w:val="99"/>
    <w:semiHidden/>
    <w:unhideWhenUsed/>
    <w:locked/>
    <w:rsid w:val="007F34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062219016">
      <w:bodyDiv w:val="1"/>
      <w:marLeft w:val="0"/>
      <w:marRight w:val="0"/>
      <w:marTop w:val="0"/>
      <w:marBottom w:val="0"/>
      <w:divBdr>
        <w:top w:val="none" w:sz="0" w:space="0" w:color="auto"/>
        <w:left w:val="none" w:sz="0" w:space="0" w:color="auto"/>
        <w:bottom w:val="none" w:sz="0" w:space="0" w:color="auto"/>
        <w:right w:val="none" w:sz="0" w:space="0" w:color="auto"/>
      </w:divBdr>
    </w:div>
    <w:div w:id="1222836966">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597471472">
      <w:bodyDiv w:val="1"/>
      <w:marLeft w:val="0"/>
      <w:marRight w:val="0"/>
      <w:marTop w:val="0"/>
      <w:marBottom w:val="0"/>
      <w:divBdr>
        <w:top w:val="none" w:sz="0" w:space="0" w:color="auto"/>
        <w:left w:val="none" w:sz="0" w:space="0" w:color="auto"/>
        <w:bottom w:val="none" w:sz="0" w:space="0" w:color="auto"/>
        <w:right w:val="none" w:sz="0" w:space="0" w:color="auto"/>
      </w:divBdr>
    </w:div>
    <w:div w:id="1611085625">
      <w:bodyDiv w:val="1"/>
      <w:marLeft w:val="0"/>
      <w:marRight w:val="0"/>
      <w:marTop w:val="0"/>
      <w:marBottom w:val="0"/>
      <w:divBdr>
        <w:top w:val="none" w:sz="0" w:space="0" w:color="auto"/>
        <w:left w:val="none" w:sz="0" w:space="0" w:color="auto"/>
        <w:bottom w:val="none" w:sz="0" w:space="0" w:color="auto"/>
        <w:right w:val="none" w:sz="0" w:space="0" w:color="auto"/>
      </w:divBdr>
    </w:div>
    <w:div w:id="1617757456">
      <w:bodyDiv w:val="1"/>
      <w:marLeft w:val="0"/>
      <w:marRight w:val="0"/>
      <w:marTop w:val="0"/>
      <w:marBottom w:val="0"/>
      <w:divBdr>
        <w:top w:val="none" w:sz="0" w:space="0" w:color="auto"/>
        <w:left w:val="none" w:sz="0" w:space="0" w:color="auto"/>
        <w:bottom w:val="none" w:sz="0" w:space="0" w:color="auto"/>
        <w:right w:val="none" w:sz="0" w:space="0" w:color="auto"/>
      </w:divBdr>
    </w:div>
    <w:div w:id="1654598535">
      <w:bodyDiv w:val="1"/>
      <w:marLeft w:val="0"/>
      <w:marRight w:val="0"/>
      <w:marTop w:val="0"/>
      <w:marBottom w:val="0"/>
      <w:divBdr>
        <w:top w:val="none" w:sz="0" w:space="0" w:color="auto"/>
        <w:left w:val="none" w:sz="0" w:space="0" w:color="auto"/>
        <w:bottom w:val="none" w:sz="0" w:space="0" w:color="auto"/>
        <w:right w:val="none" w:sz="0" w:space="0" w:color="auto"/>
      </w:divBdr>
    </w:div>
    <w:div w:id="207030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D163DB4DEE504FAB457909715FEC45" ma:contentTypeVersion="18" ma:contentTypeDescription="Create a new document." ma:contentTypeScope="" ma:versionID="0a455cd4abff4ab3fc4dbda0a9687c91">
  <xsd:schema xmlns:xsd="http://www.w3.org/2001/XMLSchema" xmlns:xs="http://www.w3.org/2001/XMLSchema" xmlns:p="http://schemas.microsoft.com/office/2006/metadata/properties" xmlns:ns1="http://schemas.microsoft.com/sharepoint/v3" xmlns:ns2="92a8a7e8-49a1-4017-acf0-0edc7cce208b" xmlns:ns3="f4148c6b-f494-43bd-afec-4c4bbfd3890b" targetNamespace="http://schemas.microsoft.com/office/2006/metadata/properties" ma:root="true" ma:fieldsID="af50fcd2de5446aacfa0ed2cb009c1dd" ns1:_="" ns2:_="" ns3:_="">
    <xsd:import namespace="http://schemas.microsoft.com/sharepoint/v3"/>
    <xsd:import namespace="92a8a7e8-49a1-4017-acf0-0edc7cce208b"/>
    <xsd:import namespace="f4148c6b-f494-43bd-afec-4c4bbfd3890b"/>
    <xsd:element name="properties">
      <xsd:complexType>
        <xsd:sequence>
          <xsd:element name="documentManagement">
            <xsd:complexType>
              <xsd:all>
                <xsd:element ref="ns2:i05115a133414b4dabee2531e4b46b67" minOccurs="0"/>
                <xsd:element ref="ns2:TaxCatchAll" minOccurs="0"/>
                <xsd:element ref="ns2:h67caa35a4114acd8e15fe89b3f29f9e" minOccurs="0"/>
                <xsd:element ref="ns2:k4bcc0d734474fea9fb713d9c415b4b0" minOccurs="0"/>
                <xsd:element ref="ns2:l003ee8eff60461aa1bd0027aba92ea4" minOccurs="0"/>
                <xsd:element ref="ns2:b37d8d7e823543f58f89056343a9035c" minOccurs="0"/>
                <xsd:element ref="ns2:j163382b748246d3b6e7caae71dbeeb0" minOccurs="0"/>
                <xsd:element ref="ns1:_ExtendedDescription" minOccurs="0"/>
                <xsd:element ref="ns2:APRASecurityClassification"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7"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8a7e8-49a1-4017-acf0-0edc7cce208b" elementFormDefault="qualified">
    <xsd:import namespace="http://schemas.microsoft.com/office/2006/documentManagement/types"/>
    <xsd:import namespace="http://schemas.microsoft.com/office/infopath/2007/PartnerControls"/>
    <xsd:element name="i05115a133414b4dabee2531e4b46b67" ma:index="8" nillable="true" ma:taxonomy="true" ma:internalName="i05115a133414b4dabee2531e4b46b67" ma:taxonomyFieldName="APRAActivity" ma:displayName="Activity" ma:readOnly="false" ma:fieldId="{205115a1-3341-4b4d-abee-2531e4b46b67}" ma:taxonomyMulti="true" ma:sspId="4ff776a0-f2ac-455d-9889-a581410000f1" ma:termSetId="0a2aee47-fbed-4b43-b934-0547b3421a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70a7764-7edc-438b-b2cf-51576a8fe6f7}" ma:internalName="TaxCatchAll" ma:showField="CatchAllData" ma:web="92a8a7e8-49a1-4017-acf0-0edc7cce208b">
      <xsd:complexType>
        <xsd:complexContent>
          <xsd:extension base="dms:MultiChoiceLookup">
            <xsd:sequence>
              <xsd:element name="Value" type="dms:Lookup" maxOccurs="unbounded" minOccurs="0" nillable="true"/>
            </xsd:sequence>
          </xsd:extension>
        </xsd:complexContent>
      </xsd:complexType>
    </xsd:element>
    <xsd:element name="h67caa35a4114acd8e15fe89b3f29f9e" ma:index="10" nillable="true" ma:taxonomy="true" ma:internalName="h67caa35a4114acd8e15fe89b3f29f9e" ma:taxonomyFieldName="APRADocumentType" ma:displayName="Document type" ma:readOnly="false" ma:fieldId="{167caa35-a411-4acd-8e15-fe89b3f29f9e}" ma:taxonomyMulti="true" ma:sspId="4ff776a0-f2ac-455d-9889-a581410000f1" ma:termSetId="af1c35f7-5763-4cde-bc1a-b0c7e164f1eb" ma:anchorId="00000000-0000-0000-0000-000000000000" ma:open="false" ma:isKeyword="false">
      <xsd:complexType>
        <xsd:sequence>
          <xsd:element ref="pc:Terms" minOccurs="0" maxOccurs="1"/>
        </xsd:sequence>
      </xsd:complexType>
    </xsd:element>
    <xsd:element name="k4bcc0d734474fea9fb713d9c415b4b0" ma:index="11" nillable="true" ma:taxonomy="true" ma:internalName="k4bcc0d734474fea9fb713d9c415b4b0" ma:taxonomyFieldName="APRAEntityAdviceSupport" ma:displayName="Entity (advice/support)" ma:readOnly="false" ma:fieldId="{44bcc0d7-3447-4fea-9fb7-13d9c415b4b0}" ma:taxonomyMulti="true" ma:sspId="4ff776a0-f2ac-455d-9889-a581410000f1" ma:termSetId="65e4e273-0c24-4815-bb8d-38cd0e8111f8" ma:anchorId="00000000-0000-0000-0000-000000000000" ma:open="false" ma:isKeyword="false">
      <xsd:complexType>
        <xsd:sequence>
          <xsd:element ref="pc:Terms" minOccurs="0" maxOccurs="1"/>
        </xsd:sequence>
      </xsd:complexType>
    </xsd:element>
    <xsd:element name="l003ee8eff60461aa1bd0027aba92ea4" ma:index="12" nillable="true" ma:taxonomy="true" ma:internalName="l003ee8eff60461aa1bd0027aba92ea4" ma:taxonomyFieldName="APRAIndustry" ma:displayName="Industry/Sector" ma:readOnly="false" ma:fieldId="{5003ee8e-ff60-461a-a1bd-0027aba92ea4}" ma:taxonomyMulti="true" ma:sspId="4ff776a0-f2ac-455d-9889-a581410000f1"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13" nillable="true" ma:taxonomy="true" ma:internalName="b37d8d7e823543f58f89056343a9035c" ma:taxonomyFieldName="APRALegislation" ma:displayName="Legislation" ma:readOnly="false" ma:fieldId="{b37d8d7e-8235-43f5-8f89-056343a9035c}" ma:taxonomyMulti="true" ma:sspId="4ff776a0-f2ac-455d-9889-a581410000f1" ma:termSetId="67e0a470-b4af-4691-908a-b900ee38db35" ma:anchorId="00000000-0000-0000-0000-000000000000" ma:open="false" ma:isKeyword="false">
      <xsd:complexType>
        <xsd:sequence>
          <xsd:element ref="pc:Terms" minOccurs="0" maxOccurs="1"/>
        </xsd:sequence>
      </xsd:complexType>
    </xsd:element>
    <xsd:element name="j163382b748246d3b6e7caae71dbeeb0" ma:index="14" nillable="true" ma:taxonomy="true" ma:internalName="j163382b748246d3b6e7caae71dbeeb0" ma:taxonomyFieldName="APRAStatus" ma:displayName="Status" ma:readOnly="false" ma:default="-1;#Draft|0e1556d2-3fe8-443a-ada7-3620563b46b3" ma:fieldId="{3163382b-7482-46d3-b6e7-caae71dbeeb0}" ma:sspId="4ff776a0-f2ac-455d-9889-a581410000f1" ma:termSetId="7eb4e65e-417b-4c63-9676-ecbbffa46ffa" ma:anchorId="00000000-0000-0000-0000-000000000000" ma:open="false" ma:isKeyword="false">
      <xsd:complexType>
        <xsd:sequence>
          <xsd:element ref="pc:Terms" minOccurs="0" maxOccurs="1"/>
        </xsd:sequence>
      </xsd:complexType>
    </xsd:element>
    <xsd:element name="APRASecurityClassification" ma:index="21" nillable="true" ma:displayName="Security classification" ma:default="OFFICIAL: Sensitive" ma:format="Dropdown"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148c6b-f494-43bd-afec-4c4bbfd3890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a8a7e8-49a1-4017-acf0-0edc7cce208b">
      <Value>53</Value>
      <Value>79</Value>
      <Value>106</Value>
      <Value>1</Value>
    </TaxCatchAll>
    <k4bcc0d734474fea9fb713d9c415b4b0 xmlns="92a8a7e8-49a1-4017-acf0-0edc7cce208b">
      <Terms xmlns="http://schemas.microsoft.com/office/infopath/2007/PartnerControls"/>
    </k4bcc0d734474fea9fb713d9c415b4b0>
    <APRASecurityClassification xmlns="92a8a7e8-49a1-4017-acf0-0edc7cce208b">OFFICIAL: Sensitive</APRASecurityClassification>
    <i05115a133414b4dabee2531e4b46b67 xmlns="92a8a7e8-49a1-4017-acf0-0edc7cce208b">
      <Terms xmlns="http://schemas.microsoft.com/office/infopath/2007/PartnerControls">
        <TermInfo xmlns="http://schemas.microsoft.com/office/infopath/2007/PartnerControls">
          <TermName xmlns="http://schemas.microsoft.com/office/infopath/2007/PartnerControls">Prudential policy development</TermName>
          <TermId xmlns="http://schemas.microsoft.com/office/infopath/2007/PartnerControls">4cf81ba0-32a2-4f8f-8216-9e632903331b</TermId>
        </TermInfo>
      </Terms>
    </i05115a133414b4dabee2531e4b46b67>
    <h67caa35a4114acd8e15fe89b3f29f9e xmlns="92a8a7e8-49a1-4017-acf0-0edc7cce208b">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a8212199-d195-4313-a455-11ff5a77bf8e</TermId>
        </TermInfo>
      </Terms>
    </h67caa35a4114acd8e15fe89b3f29f9e>
    <l003ee8eff60461aa1bd0027aba92ea4 xmlns="92a8a7e8-49a1-4017-acf0-0edc7cce208b">
      <Terms xmlns="http://schemas.microsoft.com/office/infopath/2007/PartnerControls">
        <TermInfo xmlns="http://schemas.microsoft.com/office/infopath/2007/PartnerControls">
          <TermName xmlns="http://schemas.microsoft.com/office/infopath/2007/PartnerControls">PHI</TermName>
          <TermId xmlns="http://schemas.microsoft.com/office/infopath/2007/PartnerControls">10657f9d-7e9a-e511-8d41-005056b54f10</TermId>
        </TermInfo>
      </Terms>
    </l003ee8eff60461aa1bd0027aba92ea4>
    <_ExtendedDescription xmlns="http://schemas.microsoft.com/sharepoint/v3" xsi:nil="true"/>
    <j163382b748246d3b6e7caae71dbeeb0 xmlns="92a8a7e8-49a1-4017-acf0-0edc7cce208b">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0e1556d2-3fe8-443a-ada7-3620563b46b3</TermId>
        </TermInfo>
      </Terms>
    </j163382b748246d3b6e7caae71dbeeb0>
    <b37d8d7e823543f58f89056343a9035c xmlns="92a8a7e8-49a1-4017-acf0-0edc7cce208b">
      <Terms xmlns="http://schemas.microsoft.com/office/infopath/2007/PartnerControls"/>
    </b37d8d7e823543f58f89056343a9035c>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2F80C-A18B-4A4C-BEBB-C926520D7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a8a7e8-49a1-4017-acf0-0edc7cce208b"/>
    <ds:schemaRef ds:uri="f4148c6b-f494-43bd-afec-4c4bbfd38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9F6737-CFE8-42D7-AD31-851C77546D6D}">
  <ds:schemaRefs>
    <ds:schemaRef ds:uri="http://schemas.microsoft.com/sharepoint/v3/contenttype/forms"/>
  </ds:schemaRefs>
</ds:datastoreItem>
</file>

<file path=customXml/itemProps3.xml><?xml version="1.0" encoding="utf-8"?>
<ds:datastoreItem xmlns:ds="http://schemas.openxmlformats.org/officeDocument/2006/customXml" ds:itemID="{EF8A39F2-5068-45BF-85CC-A816CCABDD3E}">
  <ds:schemaRefs>
    <ds:schemaRef ds:uri="http://schemas.microsoft.com/office/2006/metadata/properties"/>
    <ds:schemaRef ds:uri="http://purl.org/dc/terms/"/>
    <ds:schemaRef ds:uri="http://schemas.openxmlformats.org/package/2006/metadata/core-properties"/>
    <ds:schemaRef ds:uri="http://purl.org/dc/elements/1.1/"/>
    <ds:schemaRef ds:uri="5664482d-1961-4d38-bfc2-b109b3418834"/>
    <ds:schemaRef ds:uri="http://schemas.microsoft.com/office/infopath/2007/PartnerControls"/>
    <ds:schemaRef ds:uri="http://schemas.microsoft.com/office/2006/documentManagement/types"/>
    <ds:schemaRef ds:uri="79530295-9eea-494d-b82a-9ff74409eafc"/>
    <ds:schemaRef ds:uri="http://www.w3.org/XML/1998/namespace"/>
    <ds:schemaRef ds:uri="http://purl.org/dc/dcmitype/"/>
    <ds:schemaRef ds:uri="92a8a7e8-49a1-4017-acf0-0edc7cce208b"/>
    <ds:schemaRef ds:uri="http://schemas.microsoft.com/sharepoint/v3"/>
  </ds:schemaRefs>
</ds:datastoreItem>
</file>

<file path=customXml/itemProps4.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1708</Words>
  <Characters>9862</Characters>
  <Application>Microsoft Office Word</Application>
  <DocSecurity>0</DocSecurity>
  <Lines>176</Lines>
  <Paragraphs>67</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
  <LinksUpToDate>false</LinksUpToDate>
  <CharactersWithSpaces>11538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subject/>
  <dc:creator>Eleanor Earl</dc:creator>
  <cp:keywords>[SEC=OFFICIAL]</cp:keywords>
  <dc:description/>
  <cp:lastModifiedBy>Toni Michalis</cp:lastModifiedBy>
  <cp:revision>4</cp:revision>
  <cp:lastPrinted>2014-02-02T12:10:00Z</cp:lastPrinted>
  <dcterms:created xsi:type="dcterms:W3CDTF">2024-09-23T03:51:00Z</dcterms:created>
  <dcterms:modified xsi:type="dcterms:W3CDTF">2024-09-26T00:55:00Z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OriginationTimeStamp">
    <vt:lpwstr>2022-06-16T05:11:15Z</vt:lpwstr>
  </property>
  <property fmtid="{D5CDD505-2E9C-101B-9397-08002B2CF9AE}" pid="11" name="PM_ProtectiveMarkingValue_Header">
    <vt:lpwstr>OFFICIAL</vt:lpwstr>
  </property>
  <property fmtid="{D5CDD505-2E9C-101B-9397-08002B2CF9AE}" pid="12" name="PM_ProtectiveMarkingImage_Footer">
    <vt:lpwstr>C:\Program Files\Common Files\janusNET Shared\janusSEAL\Images\DocumentSlashBlue.png</vt:lpwstr>
  </property>
  <property fmtid="{D5CDD505-2E9C-101B-9397-08002B2CF9AE}" pid="13" name="PM_Namespace">
    <vt:lpwstr>gov.au</vt:lpwstr>
  </property>
  <property fmtid="{D5CDD505-2E9C-101B-9397-08002B2CF9AE}" pid="14" name="PM_Version">
    <vt:lpwstr>2018.4</vt:lpwstr>
  </property>
  <property fmtid="{D5CDD505-2E9C-101B-9397-08002B2CF9AE}" pid="15" name="PM_Note">
    <vt:lpwstr/>
  </property>
  <property fmtid="{D5CDD505-2E9C-101B-9397-08002B2CF9AE}" pid="16" name="PM_Markers">
    <vt:lpwstr/>
  </property>
  <property fmtid="{D5CDD505-2E9C-101B-9397-08002B2CF9AE}" pid="17" name="PM_Display">
    <vt:lpwstr>OFFICIAL</vt:lpwstr>
  </property>
  <property fmtid="{D5CDD505-2E9C-101B-9397-08002B2CF9AE}" pid="18" name="PMUuid">
    <vt:lpwstr>v=2022.2;d=gov.au;g=46DD6D7C-8107-577B-BC6E-F348953B2E44</vt:lpwstr>
  </property>
  <property fmtid="{D5CDD505-2E9C-101B-9397-08002B2CF9AE}" pid="19" name="PM_Hash_Version">
    <vt:lpwstr>2022.1</vt:lpwstr>
  </property>
  <property fmtid="{D5CDD505-2E9C-101B-9397-08002B2CF9AE}" pid="20" name="PM_OriginatorDomainName_SHA256">
    <vt:lpwstr>ECBDE2B44A971754412B3FB70606937A119CC0D4B6C1B658A40FBD41C30BE3EC</vt:lpwstr>
  </property>
  <property fmtid="{D5CDD505-2E9C-101B-9397-08002B2CF9AE}" pid="21" name="ContentTypeId">
    <vt:lpwstr>0x01010080D163DB4DEE504FAB457909715FEC45</vt:lpwstr>
  </property>
  <property fmtid="{D5CDD505-2E9C-101B-9397-08002B2CF9AE}" pid="22" name="APRAPeriod">
    <vt:lpwstr/>
  </property>
  <property fmtid="{D5CDD505-2E9C-101B-9397-08002B2CF9AE}" pid="23" name="APRAPRSG">
    <vt:lpwstr/>
  </property>
  <property fmtid="{D5CDD505-2E9C-101B-9397-08002B2CF9AE}" pid="24" name="APRAYear">
    <vt:lpwstr/>
  </property>
  <property fmtid="{D5CDD505-2E9C-101B-9397-08002B2CF9AE}" pid="25" name="APRAIndustry">
    <vt:lpwstr>79;#PHI|10657f9d-7e9a-e511-8d41-005056b54f10</vt:lpwstr>
  </property>
  <property fmtid="{D5CDD505-2E9C-101B-9397-08002B2CF9AE}" pid="26" name="_dlc_DocIdItemGuid">
    <vt:lpwstr>0d172230-06d0-44ca-9a6e-fc8c799de950</vt:lpwstr>
  </property>
  <property fmtid="{D5CDD505-2E9C-101B-9397-08002B2CF9AE}" pid="27" name="IsLocked">
    <vt:lpwstr>Yes</vt:lpwstr>
  </property>
  <property fmtid="{D5CDD505-2E9C-101B-9397-08002B2CF9AE}" pid="28" name="APRACostCentre">
    <vt:lpwstr/>
  </property>
  <property fmtid="{D5CDD505-2E9C-101B-9397-08002B2CF9AE}" pid="29" name="IT system type">
    <vt:lpwstr/>
  </property>
  <property fmtid="{D5CDD505-2E9C-101B-9397-08002B2CF9AE}" pid="30" name="APRACategory">
    <vt:lpwstr/>
  </property>
  <property fmtid="{D5CDD505-2E9C-101B-9397-08002B2CF9AE}" pid="31" name="APRADocumentType">
    <vt:lpwstr>106;#Note|a8212199-d195-4313-a455-11ff5a77bf8e</vt:lpwstr>
  </property>
  <property fmtid="{D5CDD505-2E9C-101B-9397-08002B2CF9AE}" pid="32" name="APRAStatus">
    <vt:lpwstr>1;#Draft|0e1556d2-3fe8-443a-ada7-3620563b46b3</vt:lpwstr>
  </property>
  <property fmtid="{D5CDD505-2E9C-101B-9397-08002B2CF9AE}" pid="33" name="APRAActivity">
    <vt:lpwstr>53;#Prudential policy development|4cf81ba0-32a2-4f8f-8216-9e632903331b</vt:lpwstr>
  </property>
  <property fmtid="{D5CDD505-2E9C-101B-9397-08002B2CF9AE}" pid="34" name="APRAEntityAdviceSupport">
    <vt:lpwstr/>
  </property>
  <property fmtid="{D5CDD505-2E9C-101B-9397-08002B2CF9AE}" pid="35" name="APRALegislation">
    <vt:lpwstr/>
  </property>
  <property fmtid="{D5CDD505-2E9C-101B-9397-08002B2CF9AE}" pid="36" name="APRAExternalOrganisation">
    <vt:lpwstr/>
  </property>
  <property fmtid="{D5CDD505-2E9C-101B-9397-08002B2CF9AE}" pid="37" name="APRAIRTR">
    <vt:lpwstr/>
  </property>
  <property fmtid="{D5CDD505-2E9C-101B-9397-08002B2CF9AE}" pid="38" name="RecordPoint_WorkflowType">
    <vt:lpwstr>ActiveSubmitStub</vt:lpwstr>
  </property>
  <property fmtid="{D5CDD505-2E9C-101B-9397-08002B2CF9AE}" pid="39" name="RecordPoint_ActiveItemSiteId">
    <vt:lpwstr>{0108aca2-193a-480a-9365-26eca985c6f0}</vt:lpwstr>
  </property>
  <property fmtid="{D5CDD505-2E9C-101B-9397-08002B2CF9AE}" pid="40" name="RecordPoint_ActiveItemListId">
    <vt:lpwstr>{8524f2be-f3e8-4e4e-b114-b0bf6497a529}</vt:lpwstr>
  </property>
  <property fmtid="{D5CDD505-2E9C-101B-9397-08002B2CF9AE}" pid="41" name="RecordPoint_ActiveItemUniqueId">
    <vt:lpwstr>{0d172230-06d0-44ca-9a6e-fc8c799de950}</vt:lpwstr>
  </property>
  <property fmtid="{D5CDD505-2E9C-101B-9397-08002B2CF9AE}" pid="42" name="RecordPoint_ActiveItemWebId">
    <vt:lpwstr>{b7c132af-ef8f-43c8-b784-c343c8358833}</vt:lpwstr>
  </property>
  <property fmtid="{D5CDD505-2E9C-101B-9397-08002B2CF9AE}" pid="43" name="RecordPoint_RecordNumberSubmitted">
    <vt:lpwstr/>
  </property>
  <property fmtid="{D5CDD505-2E9C-101B-9397-08002B2CF9AE}" pid="44" name="RecordPoint_SubmissionCompleted">
    <vt:lpwstr/>
  </property>
  <property fmtid="{D5CDD505-2E9C-101B-9397-08002B2CF9AE}" pid="45" name="PM_SecurityClassification_Prev">
    <vt:lpwstr>OFFICIAL</vt:lpwstr>
  </property>
  <property fmtid="{D5CDD505-2E9C-101B-9397-08002B2CF9AE}" pid="46" name="PM_Qualifier_Prev">
    <vt:lpwstr/>
  </property>
  <property fmtid="{D5CDD505-2E9C-101B-9397-08002B2CF9AE}" pid="47" name="MSIP_Label_c0129afb-6481-4f92-bc9f-5a4a6346364d_Method">
    <vt:lpwstr>Privileged</vt:lpwstr>
  </property>
  <property fmtid="{D5CDD505-2E9C-101B-9397-08002B2CF9AE}" pid="48" name="MSIP_Label_c0129afb-6481-4f92-bc9f-5a4a6346364d_SetDate">
    <vt:lpwstr>2022-06-16T05:11:15Z</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ContentBits">
    <vt:lpwstr>0</vt:lpwstr>
  </property>
  <property fmtid="{D5CDD505-2E9C-101B-9397-08002B2CF9AE}" pid="52" name="MSIP_Label_c0129afb-6481-4f92-bc9f-5a4a6346364d_Enabled">
    <vt:lpwstr>true</vt:lpwstr>
  </property>
  <property fmtid="{D5CDD505-2E9C-101B-9397-08002B2CF9AE}" pid="53" name="RecordPoint_SubmissionDate">
    <vt:lpwstr/>
  </property>
  <property fmtid="{D5CDD505-2E9C-101B-9397-08002B2CF9AE}" pid="54" name="RecordPoint_ActiveItemMoved">
    <vt:lpwstr/>
  </property>
  <property fmtid="{D5CDD505-2E9C-101B-9397-08002B2CF9AE}" pid="55" name="RecordPoint_RecordFormat">
    <vt:lpwstr/>
  </property>
  <property fmtid="{D5CDD505-2E9C-101B-9397-08002B2CF9AE}" pid="56" name="MediaServiceImageTags">
    <vt:lpwstr/>
  </property>
  <property fmtid="{D5CDD505-2E9C-101B-9397-08002B2CF9AE}" pid="57" name="PM_Originator_Hash_SHA1">
    <vt:lpwstr>C3AD57350F36D8E1BD75F8F67CB06D435C9C43CA</vt:lpwstr>
  </property>
  <property fmtid="{D5CDD505-2E9C-101B-9397-08002B2CF9AE}" pid="58" name="PM_Hash_Salt_Prev">
    <vt:lpwstr>65D6F58CAF1211713D8DE9F828A94867</vt:lpwstr>
  </property>
  <property fmtid="{D5CDD505-2E9C-101B-9397-08002B2CF9AE}" pid="59" name="PM_Hash_Salt">
    <vt:lpwstr>8B40B0F9F3A7E6B361D6E2560AF26C92</vt:lpwstr>
  </property>
  <property fmtid="{D5CDD505-2E9C-101B-9397-08002B2CF9AE}" pid="60" name="PM_Hash_SHA1">
    <vt:lpwstr>AC95D70F5B573AAF4CAE8B882AD02856942CAEA8</vt:lpwstr>
  </property>
  <property fmtid="{D5CDD505-2E9C-101B-9397-08002B2CF9AE}" pid="61" name="PM_OriginatorUserAccountName_SHA256">
    <vt:lpwstr>6E3018F28A186D2E5FF5207C041E7A82E907C3008E071057026A53705873B72E</vt:lpwstr>
  </property>
  <property fmtid="{D5CDD505-2E9C-101B-9397-08002B2CF9AE}" pid="62" name="PMHMAC">
    <vt:lpwstr>v=2022.1;a=SHA256;h=CB8E3310D2500202D87C8A62C100C9339151B3118913D5E088FF55903AE19BA0</vt:lpwstr>
  </property>
  <property fmtid="{D5CDD505-2E9C-101B-9397-08002B2CF9AE}" pid="63" name="MSIP_Label_c0129afb-6481-4f92-bc9f-5a4a6346364d_ActionId">
    <vt:lpwstr>e6968b35f98d4b9c8165279b66785966</vt:lpwstr>
  </property>
</Properties>
</file>