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E7D8" w14:textId="77777777" w:rsidR="0088289D" w:rsidRPr="009D7EB6" w:rsidRDefault="0088289D" w:rsidP="0088289D">
      <w:pPr>
        <w:rPr>
          <w:rFonts w:ascii="Arial" w:hAnsi="Arial" w:cs="Arial"/>
        </w:rPr>
      </w:pPr>
      <w:r w:rsidRPr="009D7EB6">
        <w:rPr>
          <w:rFonts w:ascii="Arial" w:hAnsi="Arial" w:cs="Arial"/>
          <w:noProof/>
        </w:rPr>
        <w:drawing>
          <wp:inline distT="0" distB="0" distL="0" distR="0" wp14:anchorId="113F9B1D" wp14:editId="4CECDC9B">
            <wp:extent cx="1419225" cy="1104900"/>
            <wp:effectExtent l="0" t="0" r="9525" b="0"/>
            <wp:docPr id="6" name="Picture 6"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8153FC7" w14:textId="77777777" w:rsidR="0088289D" w:rsidRPr="00EA0A28" w:rsidRDefault="0088289D" w:rsidP="0088289D">
      <w:pPr>
        <w:pStyle w:val="Title"/>
        <w:spacing w:before="480" w:after="0"/>
        <w:jc w:val="both"/>
        <w:rPr>
          <w:rFonts w:ascii="Arial" w:hAnsi="Arial" w:cs="Arial"/>
          <w:color w:val="000000"/>
          <w:sz w:val="32"/>
          <w:szCs w:val="32"/>
        </w:rPr>
      </w:pPr>
      <w:r w:rsidRPr="00EA0A28">
        <w:rPr>
          <w:rFonts w:ascii="Arial" w:hAnsi="Arial" w:cs="Arial"/>
          <w:color w:val="000000"/>
          <w:sz w:val="32"/>
          <w:szCs w:val="32"/>
        </w:rPr>
        <w:t xml:space="preserve">Health Insurance (prudential standard) determination No. </w:t>
      </w:r>
      <w:r>
        <w:rPr>
          <w:rFonts w:ascii="Arial" w:hAnsi="Arial" w:cs="Arial"/>
          <w:color w:val="000000"/>
          <w:sz w:val="32"/>
          <w:szCs w:val="32"/>
        </w:rPr>
        <w:t>8</w:t>
      </w:r>
      <w:r w:rsidRPr="00EA0A28">
        <w:rPr>
          <w:rFonts w:ascii="Arial" w:hAnsi="Arial" w:cs="Arial"/>
          <w:color w:val="000000"/>
          <w:sz w:val="32"/>
          <w:szCs w:val="32"/>
        </w:rPr>
        <w:t xml:space="preserve"> of 2023 </w:t>
      </w:r>
    </w:p>
    <w:p w14:paraId="123CAE3B" w14:textId="77777777" w:rsidR="0088289D" w:rsidRPr="00A13EF6" w:rsidRDefault="0088289D" w:rsidP="0088289D">
      <w:pPr>
        <w:pStyle w:val="Title"/>
        <w:spacing w:before="240" w:after="120"/>
        <w:jc w:val="both"/>
        <w:rPr>
          <w:rFonts w:ascii="Arial" w:hAnsi="Arial" w:cs="Arial"/>
          <w:color w:val="000000"/>
          <w:sz w:val="28"/>
          <w:szCs w:val="28"/>
        </w:rPr>
      </w:pPr>
      <w:r w:rsidRPr="007F3BD4">
        <w:rPr>
          <w:rFonts w:ascii="Arial" w:hAnsi="Arial" w:cs="Arial"/>
          <w:color w:val="000000"/>
          <w:sz w:val="28"/>
          <w:szCs w:val="28"/>
        </w:rPr>
        <w:t>Prudential Standard HPS 310 Audit and Related Matters</w:t>
      </w:r>
    </w:p>
    <w:p w14:paraId="3CF4C75B" w14:textId="77777777" w:rsidR="0088289D" w:rsidRPr="00C60305" w:rsidRDefault="0088289D" w:rsidP="0088289D">
      <w:pPr>
        <w:pStyle w:val="ActTitle"/>
        <w:spacing w:before="240"/>
        <w:rPr>
          <w:rFonts w:cs="Arial"/>
          <w:color w:val="000000"/>
        </w:rPr>
      </w:pPr>
      <w:r w:rsidRPr="00A13EF6">
        <w:rPr>
          <w:rFonts w:cs="Arial"/>
          <w:color w:val="000000"/>
        </w:rPr>
        <w:t>Private Health Insurance (Prudential Supervision) Act 2015</w:t>
      </w:r>
    </w:p>
    <w:p w14:paraId="1590B132" w14:textId="00E518CA" w:rsidR="0088289D" w:rsidRPr="005C1D4E" w:rsidRDefault="0088289D" w:rsidP="0088289D">
      <w:pPr>
        <w:pStyle w:val="IntroTo"/>
        <w:spacing w:before="100" w:beforeAutospacing="1" w:after="240"/>
        <w:jc w:val="both"/>
        <w:rPr>
          <w:rFonts w:ascii="Arial" w:hAnsi="Arial" w:cs="Arial"/>
          <w:color w:val="000000"/>
          <w:sz w:val="22"/>
          <w:szCs w:val="22"/>
        </w:rPr>
      </w:pPr>
      <w:r w:rsidRPr="005C1D4E">
        <w:rPr>
          <w:rFonts w:ascii="Arial" w:hAnsi="Arial" w:cs="Arial"/>
          <w:sz w:val="22"/>
          <w:szCs w:val="22"/>
        </w:rPr>
        <w:t xml:space="preserve">I, </w:t>
      </w:r>
      <w:r w:rsidR="00734BBC">
        <w:rPr>
          <w:rFonts w:ascii="Arial" w:hAnsi="Arial" w:cs="Arial"/>
          <w:sz w:val="22"/>
          <w:szCs w:val="22"/>
        </w:rPr>
        <w:t>Helen Rowell</w:t>
      </w:r>
      <w:r w:rsidRPr="005C1D4E">
        <w:rPr>
          <w:rFonts w:ascii="Arial" w:hAnsi="Arial" w:cs="Arial"/>
          <w:sz w:val="22"/>
          <w:szCs w:val="22"/>
        </w:rPr>
        <w:t xml:space="preserve">, </w:t>
      </w:r>
      <w:r>
        <w:rPr>
          <w:rFonts w:ascii="Arial" w:hAnsi="Arial" w:cs="Arial"/>
          <w:sz w:val="22"/>
          <w:szCs w:val="22"/>
        </w:rPr>
        <w:t xml:space="preserve">a </w:t>
      </w:r>
      <w:r w:rsidRPr="005C1D4E">
        <w:rPr>
          <w:rFonts w:ascii="Arial" w:hAnsi="Arial" w:cs="Arial"/>
          <w:sz w:val="22"/>
          <w:szCs w:val="22"/>
        </w:rPr>
        <w:t>delegate of APRA:</w:t>
      </w:r>
    </w:p>
    <w:p w14:paraId="6AEA9B69" w14:textId="77777777" w:rsidR="0088289D" w:rsidRPr="005C1D4E" w:rsidRDefault="0088289D" w:rsidP="0088289D">
      <w:pPr>
        <w:pStyle w:val="IntroTo"/>
        <w:numPr>
          <w:ilvl w:val="0"/>
          <w:numId w:val="31"/>
        </w:numPr>
        <w:spacing w:before="100" w:beforeAutospacing="1" w:after="240"/>
        <w:jc w:val="both"/>
        <w:rPr>
          <w:rFonts w:ascii="Arial" w:hAnsi="Arial" w:cs="Arial"/>
          <w:color w:val="000000"/>
          <w:sz w:val="22"/>
          <w:szCs w:val="22"/>
        </w:rPr>
      </w:pPr>
      <w:r w:rsidRPr="00C1226B">
        <w:rPr>
          <w:rFonts w:ascii="Arial" w:hAnsi="Arial" w:cs="Arial"/>
          <w:color w:val="000000"/>
          <w:sz w:val="22"/>
          <w:szCs w:val="22"/>
        </w:rPr>
        <w:t xml:space="preserve">under subsection 92(5) of the </w:t>
      </w:r>
      <w:r w:rsidRPr="00C20B99">
        <w:rPr>
          <w:rFonts w:ascii="Arial" w:hAnsi="Arial" w:cs="Arial"/>
          <w:i/>
          <w:color w:val="000000"/>
          <w:sz w:val="22"/>
          <w:szCs w:val="22"/>
        </w:rPr>
        <w:t>Private Health Insurance (Prudential Supervision) Act 2015</w:t>
      </w:r>
      <w:r w:rsidRPr="00C1226B">
        <w:rPr>
          <w:rFonts w:ascii="Arial" w:hAnsi="Arial" w:cs="Arial"/>
          <w:color w:val="000000"/>
          <w:sz w:val="22"/>
          <w:szCs w:val="22"/>
        </w:rPr>
        <w:t xml:space="preserve"> (the PHIPS Act) </w:t>
      </w:r>
      <w:r>
        <w:rPr>
          <w:rFonts w:ascii="Arial" w:hAnsi="Arial" w:cs="Arial"/>
          <w:color w:val="000000"/>
          <w:sz w:val="22"/>
          <w:szCs w:val="22"/>
        </w:rPr>
        <w:t xml:space="preserve">revoke </w:t>
      </w:r>
      <w:r w:rsidRPr="00C1226B">
        <w:rPr>
          <w:rFonts w:ascii="Arial" w:hAnsi="Arial" w:cs="Arial"/>
          <w:color w:val="000000"/>
          <w:sz w:val="22"/>
          <w:szCs w:val="22"/>
        </w:rPr>
        <w:t xml:space="preserve">Health Insurance (prudential standard) determination No. </w:t>
      </w:r>
      <w:r>
        <w:rPr>
          <w:rFonts w:ascii="Arial" w:hAnsi="Arial" w:cs="Arial"/>
          <w:color w:val="000000"/>
          <w:sz w:val="22"/>
          <w:szCs w:val="22"/>
        </w:rPr>
        <w:t>1</w:t>
      </w:r>
      <w:r w:rsidRPr="00C1226B">
        <w:rPr>
          <w:rFonts w:ascii="Arial" w:hAnsi="Arial" w:cs="Arial"/>
          <w:color w:val="000000"/>
          <w:sz w:val="22"/>
          <w:szCs w:val="22"/>
        </w:rPr>
        <w:t xml:space="preserve"> of 20</w:t>
      </w:r>
      <w:r>
        <w:rPr>
          <w:rFonts w:ascii="Arial" w:hAnsi="Arial" w:cs="Arial"/>
          <w:color w:val="000000"/>
          <w:sz w:val="22"/>
          <w:szCs w:val="22"/>
        </w:rPr>
        <w:t>19</w:t>
      </w:r>
      <w:r w:rsidRPr="00C1226B">
        <w:rPr>
          <w:rFonts w:ascii="Arial" w:hAnsi="Arial" w:cs="Arial"/>
          <w:color w:val="000000"/>
          <w:sz w:val="22"/>
          <w:szCs w:val="22"/>
        </w:rPr>
        <w:t xml:space="preserve">, including </w:t>
      </w:r>
      <w:r w:rsidRPr="007F3BD4">
        <w:rPr>
          <w:rFonts w:ascii="Arial" w:hAnsi="Arial" w:cs="Arial"/>
          <w:i/>
          <w:color w:val="000000"/>
          <w:sz w:val="22"/>
          <w:szCs w:val="22"/>
        </w:rPr>
        <w:t>Prudential Standard HPS 310 Audit and Related Matters</w:t>
      </w:r>
      <w:r>
        <w:rPr>
          <w:rFonts w:ascii="Arial" w:hAnsi="Arial" w:cs="Arial"/>
          <w:i/>
          <w:color w:val="000000"/>
          <w:sz w:val="22"/>
          <w:szCs w:val="22"/>
        </w:rPr>
        <w:t xml:space="preserve"> </w:t>
      </w:r>
      <w:r w:rsidRPr="00C1226B">
        <w:rPr>
          <w:rFonts w:ascii="Arial" w:hAnsi="Arial" w:cs="Arial"/>
          <w:color w:val="000000"/>
          <w:sz w:val="22"/>
          <w:szCs w:val="22"/>
        </w:rPr>
        <w:t xml:space="preserve">made under that </w:t>
      </w:r>
      <w:proofErr w:type="gramStart"/>
      <w:r w:rsidRPr="00C1226B">
        <w:rPr>
          <w:rFonts w:ascii="Arial" w:hAnsi="Arial" w:cs="Arial"/>
          <w:color w:val="000000"/>
          <w:sz w:val="22"/>
          <w:szCs w:val="22"/>
        </w:rPr>
        <w:t>Determination;</w:t>
      </w:r>
      <w:proofErr w:type="gramEnd"/>
      <w:r w:rsidRPr="00C1226B">
        <w:rPr>
          <w:rFonts w:ascii="Arial" w:hAnsi="Arial" w:cs="Arial"/>
          <w:color w:val="000000"/>
          <w:sz w:val="22"/>
          <w:szCs w:val="22"/>
        </w:rPr>
        <w:t xml:space="preserve"> and</w:t>
      </w:r>
    </w:p>
    <w:p w14:paraId="4558F997" w14:textId="77777777" w:rsidR="0088289D" w:rsidRPr="005C1D4E" w:rsidRDefault="0088289D" w:rsidP="0088289D">
      <w:pPr>
        <w:pStyle w:val="IntroTo"/>
        <w:numPr>
          <w:ilvl w:val="0"/>
          <w:numId w:val="31"/>
        </w:numPr>
        <w:spacing w:before="100" w:beforeAutospacing="1" w:after="240"/>
        <w:jc w:val="both"/>
        <w:rPr>
          <w:rFonts w:ascii="Arial" w:hAnsi="Arial" w:cs="Arial"/>
          <w:color w:val="000000"/>
          <w:sz w:val="22"/>
          <w:szCs w:val="22"/>
        </w:rPr>
      </w:pPr>
      <w:r w:rsidRPr="00D26050">
        <w:rPr>
          <w:rFonts w:ascii="Arial" w:hAnsi="Arial" w:cs="Arial"/>
          <w:color w:val="000000"/>
          <w:sz w:val="22"/>
          <w:szCs w:val="22"/>
        </w:rPr>
        <w:t xml:space="preserve">under subsection 92(1) of </w:t>
      </w:r>
      <w:r w:rsidRPr="00C1226B">
        <w:rPr>
          <w:rFonts w:ascii="Arial" w:hAnsi="Arial" w:cs="Arial"/>
          <w:color w:val="000000"/>
          <w:sz w:val="22"/>
          <w:szCs w:val="22"/>
        </w:rPr>
        <w:t>the PHIPS Act</w:t>
      </w:r>
      <w:r>
        <w:rPr>
          <w:rFonts w:ascii="Arial" w:hAnsi="Arial" w:cs="Arial"/>
          <w:color w:val="000000"/>
          <w:sz w:val="22"/>
          <w:szCs w:val="22"/>
        </w:rPr>
        <w:t xml:space="preserve"> determine </w:t>
      </w:r>
      <w:r w:rsidRPr="007F3BD4">
        <w:rPr>
          <w:rFonts w:ascii="Arial" w:hAnsi="Arial" w:cs="Arial"/>
          <w:i/>
          <w:color w:val="000000"/>
          <w:sz w:val="22"/>
          <w:szCs w:val="22"/>
        </w:rPr>
        <w:t>Prudential Standard HPS 310 Audit and Related Matters</w:t>
      </w:r>
      <w:r w:rsidRPr="00D26050">
        <w:rPr>
          <w:rFonts w:ascii="Arial" w:hAnsi="Arial" w:cs="Arial"/>
          <w:color w:val="000000"/>
          <w:sz w:val="22"/>
          <w:szCs w:val="22"/>
        </w:rPr>
        <w:t>, in the form set out in the Schedule, which applies to all private health insurers.</w:t>
      </w:r>
    </w:p>
    <w:p w14:paraId="016BE5CF" w14:textId="77777777" w:rsidR="0088289D" w:rsidRPr="009D7EB6" w:rsidRDefault="0088289D" w:rsidP="0088289D">
      <w:pPr>
        <w:spacing w:before="100" w:beforeAutospacing="1"/>
        <w:rPr>
          <w:rFonts w:ascii="Arial" w:hAnsi="Arial" w:cs="Arial"/>
          <w:sz w:val="22"/>
          <w:szCs w:val="22"/>
        </w:rPr>
      </w:pPr>
      <w:r w:rsidRPr="005C1D4E">
        <w:rPr>
          <w:rFonts w:ascii="Arial" w:hAnsi="Arial" w:cs="Arial"/>
          <w:sz w:val="22"/>
          <w:szCs w:val="22"/>
        </w:rPr>
        <w:t xml:space="preserve">This instrument commences </w:t>
      </w:r>
      <w:r>
        <w:rPr>
          <w:rFonts w:ascii="Arial" w:hAnsi="Arial" w:cs="Arial"/>
          <w:sz w:val="22"/>
          <w:szCs w:val="22"/>
        </w:rPr>
        <w:t>on 1 July 2023.</w:t>
      </w:r>
    </w:p>
    <w:p w14:paraId="235BE269" w14:textId="2B626C11" w:rsidR="0088289D" w:rsidRPr="009D7EB6" w:rsidRDefault="0088289D" w:rsidP="0088289D">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B3ED5C679E6141228923A127CC32D158"/>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2A04424D-E9A2-4445-95A2-CFBA653F4EB3}"/>
          <w:date w:fullDate="2023-05-24T00:00:00Z">
            <w:dateFormat w:val="d MMMM yyyy"/>
            <w:lid w:val="en-AU"/>
            <w:storeMappedDataAs w:val="dateTime"/>
            <w:calendar w:val="gregorian"/>
          </w:date>
        </w:sdtPr>
        <w:sdtEndPr/>
        <w:sdtContent>
          <w:r w:rsidR="00BE49B9">
            <w:rPr>
              <w:rFonts w:ascii="Arial" w:hAnsi="Arial" w:cs="Arial"/>
              <w:sz w:val="22"/>
              <w:szCs w:val="22"/>
            </w:rPr>
            <w:t>24 May 2023</w:t>
          </w:r>
        </w:sdtContent>
      </w:sdt>
    </w:p>
    <w:p w14:paraId="17099011" w14:textId="77777777" w:rsidR="0088289D" w:rsidRPr="009D7EB6" w:rsidRDefault="0088289D" w:rsidP="0088289D">
      <w:pPr>
        <w:pStyle w:val="IntroTo"/>
        <w:jc w:val="both"/>
        <w:rPr>
          <w:rFonts w:ascii="Arial" w:hAnsi="Arial" w:cs="Arial"/>
          <w:b/>
          <w:sz w:val="22"/>
          <w:szCs w:val="22"/>
          <w:highlight w:val="yellow"/>
        </w:rPr>
      </w:pPr>
    </w:p>
    <w:p w14:paraId="1E0FFEBA" w14:textId="77777777" w:rsidR="001E4392" w:rsidRDefault="001E4392" w:rsidP="001E4392">
      <w:pPr>
        <w:pStyle w:val="IntroTo"/>
        <w:rPr>
          <w:rFonts w:ascii="Arial" w:hAnsi="Arial" w:cs="Arial"/>
          <w:sz w:val="22"/>
          <w:szCs w:val="22"/>
        </w:rPr>
      </w:pPr>
      <w:r>
        <w:rPr>
          <w:rFonts w:ascii="Arial" w:hAnsi="Arial" w:cs="Arial"/>
          <w:sz w:val="22"/>
          <w:szCs w:val="22"/>
        </w:rPr>
        <w:t>[Signed]</w:t>
      </w:r>
    </w:p>
    <w:p w14:paraId="3CCF3166" w14:textId="77777777" w:rsidR="00734BBC" w:rsidRDefault="00734BBC" w:rsidP="00734BBC">
      <w:pPr>
        <w:autoSpaceDE w:val="0"/>
        <w:autoSpaceDN w:val="0"/>
        <w:adjustRightInd w:val="0"/>
        <w:spacing w:after="0"/>
        <w:rPr>
          <w:rFonts w:ascii="Arial" w:hAnsi="Arial" w:cs="Arial"/>
          <w:sz w:val="22"/>
          <w:szCs w:val="22"/>
        </w:rPr>
      </w:pPr>
    </w:p>
    <w:p w14:paraId="73A6F30A" w14:textId="77777777" w:rsidR="00734BBC" w:rsidRDefault="00734BBC" w:rsidP="00734BBC">
      <w:pPr>
        <w:autoSpaceDE w:val="0"/>
        <w:autoSpaceDN w:val="0"/>
        <w:adjustRightInd w:val="0"/>
        <w:spacing w:after="0"/>
        <w:rPr>
          <w:rFonts w:ascii="Arial" w:hAnsi="Arial" w:cs="Arial"/>
          <w:sz w:val="22"/>
          <w:szCs w:val="22"/>
        </w:rPr>
      </w:pPr>
      <w:r>
        <w:rPr>
          <w:rFonts w:ascii="Arial" w:hAnsi="Arial" w:cs="Arial"/>
          <w:sz w:val="22"/>
          <w:szCs w:val="22"/>
        </w:rPr>
        <w:t>Helen Rowell</w:t>
      </w:r>
    </w:p>
    <w:p w14:paraId="66C6B06E" w14:textId="77777777" w:rsidR="00734BBC" w:rsidRPr="00B2530E" w:rsidRDefault="00734BBC" w:rsidP="00734BBC">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631D7C4B" w14:textId="77777777" w:rsidR="0088289D" w:rsidRPr="009D7EB6" w:rsidRDefault="0088289D" w:rsidP="0088289D">
      <w:pPr>
        <w:spacing w:before="480" w:after="0"/>
        <w:rPr>
          <w:rFonts w:ascii="Arial" w:hAnsi="Arial" w:cs="Arial"/>
          <w:b/>
        </w:rPr>
      </w:pPr>
      <w:r w:rsidRPr="009D7EB6">
        <w:rPr>
          <w:rFonts w:ascii="Arial" w:hAnsi="Arial" w:cs="Arial"/>
          <w:b/>
        </w:rPr>
        <w:t>Interpretation</w:t>
      </w:r>
    </w:p>
    <w:p w14:paraId="7D36433A" w14:textId="77777777" w:rsidR="0088289D" w:rsidRDefault="0088289D" w:rsidP="0088289D">
      <w:pPr>
        <w:spacing w:before="120" w:after="0"/>
        <w:rPr>
          <w:rFonts w:ascii="Arial" w:hAnsi="Arial" w:cs="Arial"/>
        </w:rPr>
      </w:pPr>
      <w:r w:rsidRPr="009D7EB6">
        <w:rPr>
          <w:rFonts w:ascii="Arial" w:hAnsi="Arial" w:cs="Arial"/>
        </w:rPr>
        <w:t>In this instrument:</w:t>
      </w:r>
    </w:p>
    <w:p w14:paraId="25BDFD2F" w14:textId="77777777" w:rsidR="0088289D" w:rsidRPr="009D7EB6" w:rsidRDefault="0088289D" w:rsidP="0088289D">
      <w:pPr>
        <w:spacing w:before="120" w:after="0"/>
        <w:rPr>
          <w:rFonts w:ascii="Arial" w:hAnsi="Arial" w:cs="Arial"/>
        </w:rPr>
      </w:pPr>
    </w:p>
    <w:p w14:paraId="04A6CA52" w14:textId="77777777" w:rsidR="0088289D" w:rsidRPr="00EA0A28" w:rsidRDefault="0088289D" w:rsidP="0088289D">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0DAC61E4" w14:textId="77777777" w:rsidR="0088289D" w:rsidRPr="00EA0A28" w:rsidRDefault="0088289D" w:rsidP="0088289D">
      <w:pPr>
        <w:rPr>
          <w:rFonts w:ascii="Arial" w:hAnsi="Arial" w:cs="Arial"/>
          <w:color w:val="000000"/>
          <w:sz w:val="22"/>
          <w:szCs w:val="22"/>
          <w:lang w:eastAsia="en-US"/>
        </w:rPr>
      </w:pPr>
      <w:r w:rsidRPr="00EA0A28">
        <w:rPr>
          <w:rFonts w:ascii="Arial" w:hAnsi="Arial" w:cs="Arial"/>
          <w:b/>
          <w:i/>
          <w:color w:val="000000"/>
          <w:sz w:val="22"/>
          <w:szCs w:val="22"/>
          <w:lang w:eastAsia="en-US"/>
        </w:rPr>
        <w:t>private health insurer</w:t>
      </w:r>
      <w:r w:rsidRPr="00EA0A28">
        <w:rPr>
          <w:rFonts w:ascii="Arial" w:hAnsi="Arial" w:cs="Arial"/>
          <w:color w:val="000000"/>
          <w:sz w:val="22"/>
          <w:szCs w:val="22"/>
          <w:lang w:eastAsia="en-US"/>
        </w:rPr>
        <w:t xml:space="preserve"> has the meaning given in section 4 of the PHIPS Act.</w:t>
      </w:r>
    </w:p>
    <w:p w14:paraId="293420DA" w14:textId="77777777" w:rsidR="0088289D" w:rsidRPr="009D7EB6" w:rsidRDefault="0088289D" w:rsidP="0088289D">
      <w:pPr>
        <w:spacing w:before="120" w:after="0"/>
        <w:rPr>
          <w:rFonts w:ascii="Arial" w:hAnsi="Arial" w:cs="Arial"/>
        </w:rPr>
      </w:pPr>
    </w:p>
    <w:p w14:paraId="4FDD0770" w14:textId="77777777" w:rsidR="0088289D" w:rsidRPr="00C72C1A" w:rsidRDefault="0088289D" w:rsidP="0088289D">
      <w:pPr>
        <w:rPr>
          <w:rFonts w:cs="Arial"/>
        </w:rPr>
      </w:pPr>
      <w:r w:rsidRPr="00C72C1A">
        <w:rPr>
          <w:rFonts w:cs="Arial"/>
        </w:rPr>
        <w:br w:type="page"/>
      </w:r>
    </w:p>
    <w:p w14:paraId="6D732F06" w14:textId="77777777" w:rsidR="0088289D" w:rsidRPr="00EA0A28" w:rsidRDefault="0088289D" w:rsidP="0088289D">
      <w:pPr>
        <w:spacing w:after="0"/>
        <w:rPr>
          <w:rFonts w:ascii="Arial" w:hAnsi="Arial" w:cs="Arial"/>
          <w:b/>
          <w:sz w:val="32"/>
          <w:szCs w:val="32"/>
        </w:rPr>
      </w:pPr>
      <w:r w:rsidRPr="00EA0A28">
        <w:rPr>
          <w:rFonts w:ascii="Arial" w:hAnsi="Arial" w:cs="Arial"/>
          <w:b/>
          <w:sz w:val="32"/>
          <w:szCs w:val="32"/>
        </w:rPr>
        <w:lastRenderedPageBreak/>
        <w:t xml:space="preserve">Schedule </w:t>
      </w:r>
    </w:p>
    <w:p w14:paraId="76DFE320" w14:textId="77777777" w:rsidR="0088289D" w:rsidRDefault="0088289D" w:rsidP="0088289D">
      <w:pPr>
        <w:spacing w:after="0"/>
      </w:pPr>
    </w:p>
    <w:p w14:paraId="06193CD6" w14:textId="77777777" w:rsidR="0088289D" w:rsidRDefault="0088289D" w:rsidP="0088289D">
      <w:pPr>
        <w:jc w:val="both"/>
        <w:rPr>
          <w:rFonts w:ascii="Arial" w:hAnsi="Arial" w:cs="Arial"/>
          <w:sz w:val="22"/>
          <w:szCs w:val="22"/>
        </w:rPr>
      </w:pPr>
      <w:r w:rsidRPr="007F3BD4">
        <w:rPr>
          <w:rFonts w:ascii="Arial" w:hAnsi="Arial" w:cs="Arial"/>
          <w:i/>
          <w:sz w:val="22"/>
          <w:szCs w:val="22"/>
        </w:rPr>
        <w:t>Prudential Standard HPS 310 Audit and Related Matters</w:t>
      </w:r>
      <w:r>
        <w:rPr>
          <w:rFonts w:ascii="Arial" w:hAnsi="Arial" w:cs="Arial"/>
          <w:i/>
          <w:sz w:val="22"/>
          <w:szCs w:val="22"/>
        </w:rPr>
        <w:t>,</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0D4EFECD" w14:textId="77777777" w:rsidR="00F26BFA" w:rsidRDefault="00F26BFA" w:rsidP="003B52EB">
      <w:pPr>
        <w:spacing w:after="0"/>
      </w:pPr>
    </w:p>
    <w:p w14:paraId="610BB9C4" w14:textId="7299B203" w:rsidR="0088289D" w:rsidRDefault="0088289D" w:rsidP="003B52EB">
      <w:pPr>
        <w:spacing w:after="0"/>
        <w:sectPr w:rsidR="0088289D" w:rsidSect="000D63A8">
          <w:headerReference w:type="default" r:id="rId12"/>
          <w:pgSz w:w="11906" w:h="16838" w:code="9"/>
          <w:pgMar w:top="1440" w:right="1797" w:bottom="1440" w:left="1797" w:header="709" w:footer="709" w:gutter="0"/>
          <w:cols w:space="708"/>
          <w:docGrid w:linePitch="360"/>
        </w:sectPr>
      </w:pPr>
    </w:p>
    <w:p w14:paraId="34C8F72B" w14:textId="680DDD53" w:rsidR="003B52EB" w:rsidRDefault="00506079" w:rsidP="003B52EB">
      <w:pPr>
        <w:spacing w:after="0"/>
      </w:pPr>
      <w:r>
        <w:rPr>
          <w:noProof/>
          <w:lang w:val="en-US" w:eastAsia="en-US"/>
        </w:rPr>
        <w:lastRenderedPageBreak/>
        <w:drawing>
          <wp:inline distT="0" distB="0" distL="0" distR="0" wp14:anchorId="4BA819AB" wp14:editId="7C418BEC">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193E9A7" w14:textId="77777777" w:rsidR="00DA3651" w:rsidRPr="009B6212" w:rsidRDefault="006A6A52" w:rsidP="001F6B8D">
      <w:pPr>
        <w:pStyle w:val="Title"/>
      </w:pPr>
      <w:bookmarkStart w:id="0" w:name="_Toc326937696"/>
      <w:r w:rsidRPr="001F6B8D">
        <w:t>Prudential</w:t>
      </w:r>
      <w:r w:rsidRPr="009B6212">
        <w:t xml:space="preserve"> Standard</w:t>
      </w:r>
      <w:r w:rsidRPr="00E07F40">
        <w:rPr>
          <w:rStyle w:val="PSNofieldtext"/>
        </w:rPr>
        <w:t xml:space="preserve"> </w:t>
      </w:r>
      <w:r w:rsidR="00913520">
        <w:rPr>
          <w:rStyle w:val="PSNofieldtext"/>
        </w:rPr>
        <w:t>HPS 310</w:t>
      </w:r>
      <w:r w:rsidR="009B6212" w:rsidRPr="009B6212">
        <w:t xml:space="preserve">  </w:t>
      </w:r>
    </w:p>
    <w:bookmarkEnd w:id="0"/>
    <w:p w14:paraId="12777E9E" w14:textId="77777777" w:rsidR="00BC2D08" w:rsidRPr="00110917" w:rsidRDefault="00913520" w:rsidP="001F6B8D">
      <w:pPr>
        <w:pStyle w:val="Title"/>
      </w:pPr>
      <w:r>
        <w:rPr>
          <w:rStyle w:val="PSNamefieldtext"/>
        </w:rPr>
        <w:t>Audit and Related Matters</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051EA34F" w14:textId="77777777" w:rsidTr="00DF539C">
        <w:tc>
          <w:tcPr>
            <w:tcW w:w="8528" w:type="dxa"/>
            <w:shd w:val="clear" w:color="auto" w:fill="DDDDDD"/>
          </w:tcPr>
          <w:p w14:paraId="0D4129CD" w14:textId="77777777" w:rsidR="003C46D7" w:rsidRPr="00B37C03" w:rsidRDefault="003C46D7" w:rsidP="00656D42">
            <w:pPr>
              <w:pStyle w:val="BoxHeading"/>
            </w:pPr>
            <w:r w:rsidRPr="00B37C03">
              <w:t xml:space="preserve">Objectives and key requirements of this Prudential </w:t>
            </w:r>
            <w:r w:rsidRPr="00173A04">
              <w:t>Standard</w:t>
            </w:r>
          </w:p>
          <w:p w14:paraId="17ED4C02" w14:textId="77777777" w:rsidR="00913520" w:rsidRPr="00913520" w:rsidRDefault="00913520" w:rsidP="00913520">
            <w:r w:rsidRPr="00913520">
              <w:t xml:space="preserve">This Prudential Standard establishes requirements for the provision, to the Board and senior management of a private health insurer, of independent advice in relation to the operations, financial </w:t>
            </w:r>
            <w:proofErr w:type="gramStart"/>
            <w:r w:rsidRPr="00913520">
              <w:t>position</w:t>
            </w:r>
            <w:proofErr w:type="gramEnd"/>
            <w:r w:rsidRPr="00913520">
              <w:t xml:space="preserve"> and risk controls of the business operations of the private health insurer. This independent advice is designed to assist the Board and senior management in carrying out their responsibilities for the sound and prudent management of the business operations of the private health insurer.</w:t>
            </w:r>
          </w:p>
          <w:p w14:paraId="0589947D" w14:textId="77777777" w:rsidR="00913520" w:rsidRPr="00913520" w:rsidRDefault="00913520" w:rsidP="00913520">
            <w:r w:rsidRPr="00913520">
              <w:t xml:space="preserve">This Prudential Standard outlines the roles and responsibilities that a private health insurer must require of its Appointed Auditor. It also outlines the obligations of a private health insurer to </w:t>
            </w:r>
            <w:proofErr w:type="gramStart"/>
            <w:r w:rsidRPr="00913520">
              <w:t>make arrangements</w:t>
            </w:r>
            <w:proofErr w:type="gramEnd"/>
            <w:r w:rsidRPr="00913520">
              <w:t xml:space="preserve"> to enable its Appointed Auditor to fulfil his or her responsibilities.</w:t>
            </w:r>
          </w:p>
          <w:p w14:paraId="0A1235E3" w14:textId="77777777" w:rsidR="00913520" w:rsidRPr="00913520" w:rsidRDefault="00913520" w:rsidP="00913520">
            <w:r w:rsidRPr="00913520">
              <w:t>The key requirements of this Prudential Standard, are that a private health insurer:</w:t>
            </w:r>
          </w:p>
          <w:p w14:paraId="77A9FAF6" w14:textId="77777777" w:rsidR="00913520" w:rsidRPr="00913520" w:rsidRDefault="00913520" w:rsidP="00913520">
            <w:pPr>
              <w:pStyle w:val="BoxBullet"/>
            </w:pPr>
            <w:r w:rsidRPr="00913520">
              <w:t>must appoint an auditor (Appointed Auditor</w:t>
            </w:r>
            <w:proofErr w:type="gramStart"/>
            <w:r w:rsidRPr="00913520">
              <w:t>);</w:t>
            </w:r>
            <w:proofErr w:type="gramEnd"/>
          </w:p>
          <w:p w14:paraId="4F0DA3BB" w14:textId="77777777" w:rsidR="00913520" w:rsidRPr="00913520" w:rsidRDefault="00913520" w:rsidP="00913520">
            <w:pPr>
              <w:pStyle w:val="BoxBullet"/>
            </w:pPr>
            <w:r w:rsidRPr="00913520">
              <w:t xml:space="preserve">must make arrangements to enable its Appointed Auditor to undertake his or her responsibilities to audit the financial statements and annual information required by APRA in relation to a private health insurer, and to review other aspects of that private health insurer, (including special purpose engagements) and provide a report to the private health insurer regarding such </w:t>
            </w:r>
            <w:proofErr w:type="gramStart"/>
            <w:r w:rsidRPr="00913520">
              <w:t>reviews;</w:t>
            </w:r>
            <w:proofErr w:type="gramEnd"/>
          </w:p>
          <w:p w14:paraId="594F1A38" w14:textId="77777777" w:rsidR="00913520" w:rsidRPr="00913520" w:rsidRDefault="00913520" w:rsidP="00913520">
            <w:pPr>
              <w:pStyle w:val="BoxBullet"/>
            </w:pPr>
            <w:r w:rsidRPr="00913520">
              <w:t>must submit to APRA all reports required to be prepared by its Appointed Auditor including the Appointed Auditor’s report or a special purpose report by an agreed auditor engaged to prepare a such a report, as required under this Prudential Standard; and</w:t>
            </w:r>
          </w:p>
          <w:p w14:paraId="4AADB5A7" w14:textId="77777777" w:rsidR="00173A04" w:rsidRDefault="00913520" w:rsidP="00913520">
            <w:pPr>
              <w:pStyle w:val="BoxBullet"/>
            </w:pPr>
            <w:r w:rsidRPr="00913520">
              <w:t>will facilitate APRA liaison with an Appointed Auditor if required.</w:t>
            </w:r>
          </w:p>
        </w:tc>
      </w:tr>
    </w:tbl>
    <w:p w14:paraId="036BC6CC" w14:textId="77777777" w:rsidR="00BC2D08" w:rsidRDefault="00BC2D08" w:rsidP="00BC2D08">
      <w:pPr>
        <w:spacing w:after="0"/>
      </w:pPr>
    </w:p>
    <w:p w14:paraId="58B64352" w14:textId="77777777" w:rsidR="00C67A76" w:rsidRDefault="00C67A76" w:rsidP="00C67A76"/>
    <w:p w14:paraId="5F4E2C22" w14:textId="77777777" w:rsidR="00C67A76" w:rsidRDefault="00C67A76" w:rsidP="00C67A76">
      <w:pPr>
        <w:sectPr w:rsidR="00C67A76" w:rsidSect="00F26BFA">
          <w:headerReference w:type="default" r:id="rId14"/>
          <w:footerReference w:type="default" r:id="rId15"/>
          <w:pgSz w:w="11906" w:h="16838" w:code="9"/>
          <w:pgMar w:top="1440" w:right="1797" w:bottom="1440" w:left="1797" w:header="709" w:footer="709" w:gutter="0"/>
          <w:pgNumType w:start="1"/>
          <w:cols w:space="708"/>
          <w:docGrid w:linePitch="360"/>
        </w:sectPr>
      </w:pPr>
    </w:p>
    <w:p w14:paraId="55000B09" w14:textId="77777777" w:rsidR="00C6788C" w:rsidRDefault="009D467A" w:rsidP="001F6B8D">
      <w:pPr>
        <w:pStyle w:val="TOCHeading"/>
      </w:pPr>
      <w:bookmarkStart w:id="1" w:name="_Toc326676936"/>
      <w:bookmarkStart w:id="2" w:name="_Toc326756341"/>
      <w:bookmarkStart w:id="3" w:name="_Toc256519850"/>
      <w:r>
        <w:lastRenderedPageBreak/>
        <w:t>Table of Contents</w:t>
      </w:r>
    </w:p>
    <w:p w14:paraId="38C68C87" w14:textId="68D4516B" w:rsidR="00DB1314"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392165" w:history="1">
        <w:r w:rsidR="00DB1314" w:rsidRPr="00151377">
          <w:rPr>
            <w:rStyle w:val="Hyperlink"/>
          </w:rPr>
          <w:t>Authority</w:t>
        </w:r>
        <w:r w:rsidR="00DB1314">
          <w:rPr>
            <w:webHidden/>
          </w:rPr>
          <w:tab/>
        </w:r>
        <w:r w:rsidR="00DB1314">
          <w:rPr>
            <w:webHidden/>
          </w:rPr>
          <w:fldChar w:fldCharType="begin"/>
        </w:r>
        <w:r w:rsidR="00DB1314">
          <w:rPr>
            <w:webHidden/>
          </w:rPr>
          <w:instrText xml:space="preserve"> PAGEREF _Toc109392165 \h </w:instrText>
        </w:r>
        <w:r w:rsidR="00DB1314">
          <w:rPr>
            <w:webHidden/>
          </w:rPr>
        </w:r>
        <w:r w:rsidR="00DB1314">
          <w:rPr>
            <w:webHidden/>
          </w:rPr>
          <w:fldChar w:fldCharType="separate"/>
        </w:r>
        <w:r w:rsidR="005439FE">
          <w:rPr>
            <w:webHidden/>
          </w:rPr>
          <w:t>3</w:t>
        </w:r>
        <w:r w:rsidR="00DB1314">
          <w:rPr>
            <w:webHidden/>
          </w:rPr>
          <w:fldChar w:fldCharType="end"/>
        </w:r>
      </w:hyperlink>
    </w:p>
    <w:p w14:paraId="3409EA11" w14:textId="072FE80D" w:rsidR="00DB1314" w:rsidRDefault="003E4CD4">
      <w:pPr>
        <w:pStyle w:val="TOC1"/>
        <w:rPr>
          <w:rFonts w:asciiTheme="minorHAnsi" w:eastAsiaTheme="minorEastAsia" w:hAnsiTheme="minorHAnsi" w:cstheme="minorBidi"/>
          <w:sz w:val="22"/>
          <w:szCs w:val="22"/>
        </w:rPr>
      </w:pPr>
      <w:hyperlink w:anchor="_Toc109392166" w:history="1">
        <w:r w:rsidR="00DB1314" w:rsidRPr="00151377">
          <w:rPr>
            <w:rStyle w:val="Hyperlink"/>
          </w:rPr>
          <w:t>Application and commencement</w:t>
        </w:r>
        <w:r w:rsidR="00DB1314">
          <w:rPr>
            <w:webHidden/>
          </w:rPr>
          <w:tab/>
        </w:r>
        <w:r w:rsidR="00DB1314">
          <w:rPr>
            <w:webHidden/>
          </w:rPr>
          <w:fldChar w:fldCharType="begin"/>
        </w:r>
        <w:r w:rsidR="00DB1314">
          <w:rPr>
            <w:webHidden/>
          </w:rPr>
          <w:instrText xml:space="preserve"> PAGEREF _Toc109392166 \h </w:instrText>
        </w:r>
        <w:r w:rsidR="00DB1314">
          <w:rPr>
            <w:webHidden/>
          </w:rPr>
        </w:r>
        <w:r w:rsidR="00DB1314">
          <w:rPr>
            <w:webHidden/>
          </w:rPr>
          <w:fldChar w:fldCharType="separate"/>
        </w:r>
        <w:r w:rsidR="005439FE">
          <w:rPr>
            <w:webHidden/>
          </w:rPr>
          <w:t>3</w:t>
        </w:r>
        <w:r w:rsidR="00DB1314">
          <w:rPr>
            <w:webHidden/>
          </w:rPr>
          <w:fldChar w:fldCharType="end"/>
        </w:r>
      </w:hyperlink>
    </w:p>
    <w:p w14:paraId="7B654B8A" w14:textId="36D8ED3C" w:rsidR="00DB1314" w:rsidRDefault="003E4CD4">
      <w:pPr>
        <w:pStyle w:val="TOC1"/>
        <w:rPr>
          <w:rFonts w:asciiTheme="minorHAnsi" w:eastAsiaTheme="minorEastAsia" w:hAnsiTheme="minorHAnsi" w:cstheme="minorBidi"/>
          <w:sz w:val="22"/>
          <w:szCs w:val="22"/>
        </w:rPr>
      </w:pPr>
      <w:hyperlink w:anchor="_Toc109392167" w:history="1">
        <w:r w:rsidR="00DB1314" w:rsidRPr="00151377">
          <w:rPr>
            <w:rStyle w:val="Hyperlink"/>
          </w:rPr>
          <w:t>Interpretation</w:t>
        </w:r>
        <w:r w:rsidR="00DB1314">
          <w:rPr>
            <w:webHidden/>
          </w:rPr>
          <w:tab/>
        </w:r>
        <w:r w:rsidR="00DB1314">
          <w:rPr>
            <w:webHidden/>
          </w:rPr>
          <w:fldChar w:fldCharType="begin"/>
        </w:r>
        <w:r w:rsidR="00DB1314">
          <w:rPr>
            <w:webHidden/>
          </w:rPr>
          <w:instrText xml:space="preserve"> PAGEREF _Toc109392167 \h </w:instrText>
        </w:r>
        <w:r w:rsidR="00DB1314">
          <w:rPr>
            <w:webHidden/>
          </w:rPr>
        </w:r>
        <w:r w:rsidR="00DB1314">
          <w:rPr>
            <w:webHidden/>
          </w:rPr>
          <w:fldChar w:fldCharType="separate"/>
        </w:r>
        <w:r w:rsidR="005439FE">
          <w:rPr>
            <w:webHidden/>
          </w:rPr>
          <w:t>3</w:t>
        </w:r>
        <w:r w:rsidR="00DB1314">
          <w:rPr>
            <w:webHidden/>
          </w:rPr>
          <w:fldChar w:fldCharType="end"/>
        </w:r>
      </w:hyperlink>
    </w:p>
    <w:p w14:paraId="780FE444" w14:textId="396938FA" w:rsidR="00DB1314" w:rsidRDefault="003E4CD4">
      <w:pPr>
        <w:pStyle w:val="TOC1"/>
        <w:rPr>
          <w:rFonts w:asciiTheme="minorHAnsi" w:eastAsiaTheme="minorEastAsia" w:hAnsiTheme="minorHAnsi" w:cstheme="minorBidi"/>
          <w:sz w:val="22"/>
          <w:szCs w:val="22"/>
        </w:rPr>
      </w:pPr>
      <w:hyperlink w:anchor="_Toc109392168" w:history="1">
        <w:r w:rsidR="00DB1314" w:rsidRPr="00151377">
          <w:rPr>
            <w:rStyle w:val="Hyperlink"/>
          </w:rPr>
          <w:t>Obligations of a private health insurer – Auditor appointment</w:t>
        </w:r>
        <w:r w:rsidR="00DB1314">
          <w:rPr>
            <w:webHidden/>
          </w:rPr>
          <w:tab/>
        </w:r>
        <w:r w:rsidR="00DB1314">
          <w:rPr>
            <w:webHidden/>
          </w:rPr>
          <w:fldChar w:fldCharType="begin"/>
        </w:r>
        <w:r w:rsidR="00DB1314">
          <w:rPr>
            <w:webHidden/>
          </w:rPr>
          <w:instrText xml:space="preserve"> PAGEREF _Toc109392168 \h </w:instrText>
        </w:r>
        <w:r w:rsidR="00DB1314">
          <w:rPr>
            <w:webHidden/>
          </w:rPr>
        </w:r>
        <w:r w:rsidR="00DB1314">
          <w:rPr>
            <w:webHidden/>
          </w:rPr>
          <w:fldChar w:fldCharType="separate"/>
        </w:r>
        <w:r w:rsidR="005439FE">
          <w:rPr>
            <w:webHidden/>
          </w:rPr>
          <w:t>3</w:t>
        </w:r>
        <w:r w:rsidR="00DB1314">
          <w:rPr>
            <w:webHidden/>
          </w:rPr>
          <w:fldChar w:fldCharType="end"/>
        </w:r>
      </w:hyperlink>
    </w:p>
    <w:p w14:paraId="14B4FDB7" w14:textId="7A9ED6F7" w:rsidR="00DB1314" w:rsidRDefault="003E4CD4">
      <w:pPr>
        <w:pStyle w:val="TOC1"/>
        <w:rPr>
          <w:rFonts w:asciiTheme="minorHAnsi" w:eastAsiaTheme="minorEastAsia" w:hAnsiTheme="minorHAnsi" w:cstheme="minorBidi"/>
          <w:sz w:val="22"/>
          <w:szCs w:val="22"/>
        </w:rPr>
      </w:pPr>
      <w:hyperlink w:anchor="_Toc109392169" w:history="1">
        <w:r w:rsidR="00DB1314" w:rsidRPr="00151377">
          <w:rPr>
            <w:rStyle w:val="Hyperlink"/>
          </w:rPr>
          <w:t>Obligations of a private health insurer – fitness and propriety</w:t>
        </w:r>
        <w:r w:rsidR="00DB1314">
          <w:rPr>
            <w:webHidden/>
          </w:rPr>
          <w:tab/>
        </w:r>
        <w:r w:rsidR="00DB1314">
          <w:rPr>
            <w:webHidden/>
          </w:rPr>
          <w:fldChar w:fldCharType="begin"/>
        </w:r>
        <w:r w:rsidR="00DB1314">
          <w:rPr>
            <w:webHidden/>
          </w:rPr>
          <w:instrText xml:space="preserve"> PAGEREF _Toc109392169 \h </w:instrText>
        </w:r>
        <w:r w:rsidR="00DB1314">
          <w:rPr>
            <w:webHidden/>
          </w:rPr>
        </w:r>
        <w:r w:rsidR="00DB1314">
          <w:rPr>
            <w:webHidden/>
          </w:rPr>
          <w:fldChar w:fldCharType="separate"/>
        </w:r>
        <w:r w:rsidR="005439FE">
          <w:rPr>
            <w:webHidden/>
          </w:rPr>
          <w:t>4</w:t>
        </w:r>
        <w:r w:rsidR="00DB1314">
          <w:rPr>
            <w:webHidden/>
          </w:rPr>
          <w:fldChar w:fldCharType="end"/>
        </w:r>
      </w:hyperlink>
    </w:p>
    <w:p w14:paraId="7E761671" w14:textId="1C510D48" w:rsidR="00DB1314" w:rsidRDefault="003E4CD4">
      <w:pPr>
        <w:pStyle w:val="TOC1"/>
        <w:rPr>
          <w:rFonts w:asciiTheme="minorHAnsi" w:eastAsiaTheme="minorEastAsia" w:hAnsiTheme="minorHAnsi" w:cstheme="minorBidi"/>
          <w:sz w:val="22"/>
          <w:szCs w:val="22"/>
        </w:rPr>
      </w:pPr>
      <w:hyperlink w:anchor="_Toc109392170" w:history="1">
        <w:r w:rsidR="00DB1314" w:rsidRPr="00151377">
          <w:rPr>
            <w:rStyle w:val="Hyperlink"/>
          </w:rPr>
          <w:t>Appointed Auditor’s report</w:t>
        </w:r>
        <w:r w:rsidR="00DB1314">
          <w:rPr>
            <w:webHidden/>
          </w:rPr>
          <w:tab/>
        </w:r>
        <w:r w:rsidR="00DB1314">
          <w:rPr>
            <w:webHidden/>
          </w:rPr>
          <w:fldChar w:fldCharType="begin"/>
        </w:r>
        <w:r w:rsidR="00DB1314">
          <w:rPr>
            <w:webHidden/>
          </w:rPr>
          <w:instrText xml:space="preserve"> PAGEREF _Toc109392170 \h </w:instrText>
        </w:r>
        <w:r w:rsidR="00DB1314">
          <w:rPr>
            <w:webHidden/>
          </w:rPr>
        </w:r>
        <w:r w:rsidR="00DB1314">
          <w:rPr>
            <w:webHidden/>
          </w:rPr>
          <w:fldChar w:fldCharType="separate"/>
        </w:r>
        <w:r w:rsidR="005439FE">
          <w:rPr>
            <w:webHidden/>
          </w:rPr>
          <w:t>4</w:t>
        </w:r>
        <w:r w:rsidR="00DB1314">
          <w:rPr>
            <w:webHidden/>
          </w:rPr>
          <w:fldChar w:fldCharType="end"/>
        </w:r>
      </w:hyperlink>
    </w:p>
    <w:p w14:paraId="1347D966" w14:textId="37AAF1AB" w:rsidR="00DB1314" w:rsidRDefault="003E4CD4">
      <w:pPr>
        <w:pStyle w:val="TOC1"/>
        <w:rPr>
          <w:rFonts w:asciiTheme="minorHAnsi" w:eastAsiaTheme="minorEastAsia" w:hAnsiTheme="minorHAnsi" w:cstheme="minorBidi"/>
          <w:sz w:val="22"/>
          <w:szCs w:val="22"/>
        </w:rPr>
      </w:pPr>
      <w:hyperlink w:anchor="_Toc109392171" w:history="1">
        <w:r w:rsidR="00DB1314" w:rsidRPr="00151377">
          <w:rPr>
            <w:rStyle w:val="Hyperlink"/>
          </w:rPr>
          <w:t>Obligations of a private health insurer – Auditor’s report</w:t>
        </w:r>
        <w:r w:rsidR="00DB1314">
          <w:rPr>
            <w:webHidden/>
          </w:rPr>
          <w:tab/>
        </w:r>
        <w:r w:rsidR="00DB1314">
          <w:rPr>
            <w:webHidden/>
          </w:rPr>
          <w:fldChar w:fldCharType="begin"/>
        </w:r>
        <w:r w:rsidR="00DB1314">
          <w:rPr>
            <w:webHidden/>
          </w:rPr>
          <w:instrText xml:space="preserve"> PAGEREF _Toc109392171 \h </w:instrText>
        </w:r>
        <w:r w:rsidR="00DB1314">
          <w:rPr>
            <w:webHidden/>
          </w:rPr>
        </w:r>
        <w:r w:rsidR="00DB1314">
          <w:rPr>
            <w:webHidden/>
          </w:rPr>
          <w:fldChar w:fldCharType="separate"/>
        </w:r>
        <w:r w:rsidR="005439FE">
          <w:rPr>
            <w:webHidden/>
          </w:rPr>
          <w:t>5</w:t>
        </w:r>
        <w:r w:rsidR="00DB1314">
          <w:rPr>
            <w:webHidden/>
          </w:rPr>
          <w:fldChar w:fldCharType="end"/>
        </w:r>
      </w:hyperlink>
    </w:p>
    <w:p w14:paraId="466BEAB5" w14:textId="62AE066C" w:rsidR="00DB1314" w:rsidRDefault="003E4CD4">
      <w:pPr>
        <w:pStyle w:val="TOC1"/>
        <w:rPr>
          <w:rFonts w:asciiTheme="minorHAnsi" w:eastAsiaTheme="minorEastAsia" w:hAnsiTheme="minorHAnsi" w:cstheme="minorBidi"/>
          <w:sz w:val="22"/>
          <w:szCs w:val="22"/>
        </w:rPr>
      </w:pPr>
      <w:hyperlink w:anchor="_Toc109392172" w:history="1">
        <w:r w:rsidR="00DB1314" w:rsidRPr="00151377">
          <w:rPr>
            <w:rStyle w:val="Hyperlink"/>
          </w:rPr>
          <w:t>Other responsibilities of the private health insurer</w:t>
        </w:r>
        <w:r w:rsidR="00DB1314">
          <w:rPr>
            <w:webHidden/>
          </w:rPr>
          <w:tab/>
        </w:r>
        <w:r w:rsidR="00DB1314">
          <w:rPr>
            <w:webHidden/>
          </w:rPr>
          <w:fldChar w:fldCharType="begin"/>
        </w:r>
        <w:r w:rsidR="00DB1314">
          <w:rPr>
            <w:webHidden/>
          </w:rPr>
          <w:instrText xml:space="preserve"> PAGEREF _Toc109392172 \h </w:instrText>
        </w:r>
        <w:r w:rsidR="00DB1314">
          <w:rPr>
            <w:webHidden/>
          </w:rPr>
        </w:r>
        <w:r w:rsidR="00DB1314">
          <w:rPr>
            <w:webHidden/>
          </w:rPr>
          <w:fldChar w:fldCharType="separate"/>
        </w:r>
        <w:r w:rsidR="005439FE">
          <w:rPr>
            <w:webHidden/>
          </w:rPr>
          <w:t>6</w:t>
        </w:r>
        <w:r w:rsidR="00DB1314">
          <w:rPr>
            <w:webHidden/>
          </w:rPr>
          <w:fldChar w:fldCharType="end"/>
        </w:r>
      </w:hyperlink>
    </w:p>
    <w:p w14:paraId="3517F4A0" w14:textId="35194D85" w:rsidR="00DB1314" w:rsidRDefault="003E4CD4">
      <w:pPr>
        <w:pStyle w:val="TOC1"/>
        <w:rPr>
          <w:rFonts w:asciiTheme="minorHAnsi" w:eastAsiaTheme="minorEastAsia" w:hAnsiTheme="minorHAnsi" w:cstheme="minorBidi"/>
          <w:sz w:val="22"/>
          <w:szCs w:val="22"/>
        </w:rPr>
      </w:pPr>
      <w:hyperlink w:anchor="_Toc109392173" w:history="1">
        <w:r w:rsidR="00DB1314" w:rsidRPr="00151377">
          <w:rPr>
            <w:rStyle w:val="Hyperlink"/>
          </w:rPr>
          <w:t>Special purpose engagements</w:t>
        </w:r>
        <w:r w:rsidR="00DB1314">
          <w:rPr>
            <w:webHidden/>
          </w:rPr>
          <w:tab/>
        </w:r>
        <w:r w:rsidR="00DB1314">
          <w:rPr>
            <w:webHidden/>
          </w:rPr>
          <w:fldChar w:fldCharType="begin"/>
        </w:r>
        <w:r w:rsidR="00DB1314">
          <w:rPr>
            <w:webHidden/>
          </w:rPr>
          <w:instrText xml:space="preserve"> PAGEREF _Toc109392173 \h </w:instrText>
        </w:r>
        <w:r w:rsidR="00DB1314">
          <w:rPr>
            <w:webHidden/>
          </w:rPr>
        </w:r>
        <w:r w:rsidR="00DB1314">
          <w:rPr>
            <w:webHidden/>
          </w:rPr>
          <w:fldChar w:fldCharType="separate"/>
        </w:r>
        <w:r w:rsidR="005439FE">
          <w:rPr>
            <w:webHidden/>
          </w:rPr>
          <w:t>6</w:t>
        </w:r>
        <w:r w:rsidR="00DB1314">
          <w:rPr>
            <w:webHidden/>
          </w:rPr>
          <w:fldChar w:fldCharType="end"/>
        </w:r>
      </w:hyperlink>
    </w:p>
    <w:p w14:paraId="731073EA" w14:textId="256D6CB0" w:rsidR="00DB1314" w:rsidRDefault="003E4CD4">
      <w:pPr>
        <w:pStyle w:val="TOC1"/>
        <w:rPr>
          <w:rFonts w:asciiTheme="minorHAnsi" w:eastAsiaTheme="minorEastAsia" w:hAnsiTheme="minorHAnsi" w:cstheme="minorBidi"/>
          <w:sz w:val="22"/>
          <w:szCs w:val="22"/>
        </w:rPr>
      </w:pPr>
      <w:hyperlink w:anchor="_Toc109392174" w:history="1">
        <w:r w:rsidR="00DB1314" w:rsidRPr="00151377">
          <w:rPr>
            <w:rStyle w:val="Hyperlink"/>
          </w:rPr>
          <w:t>Adjustments and exclusions</w:t>
        </w:r>
        <w:r w:rsidR="00DB1314">
          <w:rPr>
            <w:webHidden/>
          </w:rPr>
          <w:tab/>
        </w:r>
        <w:r w:rsidR="00DB1314">
          <w:rPr>
            <w:webHidden/>
          </w:rPr>
          <w:fldChar w:fldCharType="begin"/>
        </w:r>
        <w:r w:rsidR="00DB1314">
          <w:rPr>
            <w:webHidden/>
          </w:rPr>
          <w:instrText xml:space="preserve"> PAGEREF _Toc109392174 \h </w:instrText>
        </w:r>
        <w:r w:rsidR="00DB1314">
          <w:rPr>
            <w:webHidden/>
          </w:rPr>
        </w:r>
        <w:r w:rsidR="00DB1314">
          <w:rPr>
            <w:webHidden/>
          </w:rPr>
          <w:fldChar w:fldCharType="separate"/>
        </w:r>
        <w:r w:rsidR="005439FE">
          <w:rPr>
            <w:webHidden/>
          </w:rPr>
          <w:t>7</w:t>
        </w:r>
        <w:r w:rsidR="00DB1314">
          <w:rPr>
            <w:webHidden/>
          </w:rPr>
          <w:fldChar w:fldCharType="end"/>
        </w:r>
      </w:hyperlink>
    </w:p>
    <w:p w14:paraId="593BD762" w14:textId="07FC8232" w:rsidR="00DB1314" w:rsidRDefault="003E4CD4">
      <w:pPr>
        <w:pStyle w:val="TOC1"/>
        <w:rPr>
          <w:rFonts w:asciiTheme="minorHAnsi" w:eastAsiaTheme="minorEastAsia" w:hAnsiTheme="minorHAnsi" w:cstheme="minorBidi"/>
          <w:sz w:val="22"/>
          <w:szCs w:val="22"/>
        </w:rPr>
      </w:pPr>
      <w:hyperlink w:anchor="_Toc109392175" w:history="1">
        <w:r w:rsidR="00DB1314" w:rsidRPr="00151377">
          <w:rPr>
            <w:rStyle w:val="Hyperlink"/>
          </w:rPr>
          <w:t>Previous exercise of discretion</w:t>
        </w:r>
        <w:r w:rsidR="00DB1314">
          <w:rPr>
            <w:webHidden/>
          </w:rPr>
          <w:tab/>
        </w:r>
        <w:r w:rsidR="00DB1314">
          <w:rPr>
            <w:webHidden/>
          </w:rPr>
          <w:fldChar w:fldCharType="begin"/>
        </w:r>
        <w:r w:rsidR="00DB1314">
          <w:rPr>
            <w:webHidden/>
          </w:rPr>
          <w:instrText xml:space="preserve"> PAGEREF _Toc109392175 \h </w:instrText>
        </w:r>
        <w:r w:rsidR="00DB1314">
          <w:rPr>
            <w:webHidden/>
          </w:rPr>
        </w:r>
        <w:r w:rsidR="00DB1314">
          <w:rPr>
            <w:webHidden/>
          </w:rPr>
          <w:fldChar w:fldCharType="separate"/>
        </w:r>
        <w:r w:rsidR="005439FE">
          <w:rPr>
            <w:webHidden/>
          </w:rPr>
          <w:t>7</w:t>
        </w:r>
        <w:r w:rsidR="00DB1314">
          <w:rPr>
            <w:webHidden/>
          </w:rPr>
          <w:fldChar w:fldCharType="end"/>
        </w:r>
      </w:hyperlink>
    </w:p>
    <w:p w14:paraId="67C2C2B6" w14:textId="218432AA" w:rsidR="00DB1314" w:rsidRDefault="003E4CD4">
      <w:pPr>
        <w:pStyle w:val="TOC2"/>
        <w:rPr>
          <w:rFonts w:asciiTheme="minorHAnsi" w:eastAsiaTheme="minorEastAsia" w:hAnsiTheme="minorHAnsi" w:cstheme="minorBidi"/>
          <w:sz w:val="22"/>
          <w:szCs w:val="22"/>
        </w:rPr>
      </w:pPr>
      <w:hyperlink w:anchor="_Toc109392176" w:history="1">
        <w:r w:rsidR="00DB1314" w:rsidRPr="00151377">
          <w:rPr>
            <w:rStyle w:val="Hyperlink"/>
          </w:rPr>
          <w:t>Attachment A</w:t>
        </w:r>
        <w:r w:rsidR="00DB1314">
          <w:rPr>
            <w:webHidden/>
          </w:rPr>
          <w:tab/>
        </w:r>
        <w:r w:rsidR="00DB1314">
          <w:rPr>
            <w:webHidden/>
          </w:rPr>
          <w:fldChar w:fldCharType="begin"/>
        </w:r>
        <w:r w:rsidR="00DB1314">
          <w:rPr>
            <w:webHidden/>
          </w:rPr>
          <w:instrText xml:space="preserve"> PAGEREF _Toc109392176 \h </w:instrText>
        </w:r>
        <w:r w:rsidR="00DB1314">
          <w:rPr>
            <w:webHidden/>
          </w:rPr>
        </w:r>
        <w:r w:rsidR="00DB1314">
          <w:rPr>
            <w:webHidden/>
          </w:rPr>
          <w:fldChar w:fldCharType="separate"/>
        </w:r>
        <w:r w:rsidR="005439FE">
          <w:rPr>
            <w:webHidden/>
          </w:rPr>
          <w:t>8</w:t>
        </w:r>
        <w:r w:rsidR="00DB1314">
          <w:rPr>
            <w:webHidden/>
          </w:rPr>
          <w:fldChar w:fldCharType="end"/>
        </w:r>
      </w:hyperlink>
    </w:p>
    <w:p w14:paraId="34A96B59" w14:textId="77777777" w:rsidR="009D467A" w:rsidRDefault="009B0A33" w:rsidP="00FF513E">
      <w:pPr>
        <w:pStyle w:val="NoSpacing"/>
      </w:pPr>
      <w:r>
        <w:fldChar w:fldCharType="end"/>
      </w:r>
      <w:bookmarkStart w:id="4" w:name="_Toc326937698"/>
      <w:bookmarkStart w:id="5" w:name="_Toc326938615"/>
      <w:bookmarkStart w:id="6" w:name="_Toc326938830"/>
      <w:bookmarkEnd w:id="1"/>
      <w:bookmarkEnd w:id="2"/>
    </w:p>
    <w:p w14:paraId="62881337"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7" w:name="_Toc314733116"/>
      <w:bookmarkStart w:id="8" w:name="_Toc341686774"/>
      <w:bookmarkEnd w:id="3"/>
      <w:bookmarkEnd w:id="4"/>
      <w:bookmarkEnd w:id="5"/>
      <w:bookmarkEnd w:id="6"/>
    </w:p>
    <w:p w14:paraId="195615AD" w14:textId="77777777" w:rsidR="00E07F40" w:rsidRPr="001F6B8D" w:rsidRDefault="00E07F40" w:rsidP="001F6B8D">
      <w:pPr>
        <w:pStyle w:val="Heading1"/>
      </w:pPr>
      <w:bookmarkStart w:id="9" w:name="_Toc109392165"/>
      <w:r w:rsidRPr="00B37C03">
        <w:lastRenderedPageBreak/>
        <w:t>Authority</w:t>
      </w:r>
      <w:bookmarkEnd w:id="7"/>
      <w:bookmarkEnd w:id="8"/>
      <w:bookmarkEnd w:id="9"/>
    </w:p>
    <w:p w14:paraId="168A4885" w14:textId="74EDAD75" w:rsidR="00913520" w:rsidRPr="00534080" w:rsidRDefault="00913520" w:rsidP="00913520">
      <w:pPr>
        <w:pStyle w:val="BodyText1"/>
        <w:rPr>
          <w:b/>
        </w:rPr>
      </w:pPr>
      <w:bookmarkStart w:id="10" w:name="_Ref214184089"/>
      <w:r w:rsidRPr="00534080">
        <w:t xml:space="preserve">This Prudential Standard is made </w:t>
      </w:r>
      <w:r w:rsidRPr="007604C7">
        <w:t xml:space="preserve">under </w:t>
      </w:r>
      <w:r w:rsidR="00DB1314">
        <w:t>subsection</w:t>
      </w:r>
      <w:r w:rsidR="00DB1314" w:rsidRPr="007604C7">
        <w:t xml:space="preserve"> </w:t>
      </w:r>
      <w:r w:rsidRPr="007604C7">
        <w:t>92(1) of</w:t>
      </w:r>
      <w:r w:rsidRPr="00534080">
        <w:t xml:space="preserve"> the </w:t>
      </w:r>
      <w:r>
        <w:rPr>
          <w:i/>
        </w:rPr>
        <w:t xml:space="preserve">Private Health </w:t>
      </w:r>
      <w:r w:rsidRPr="00534080">
        <w:rPr>
          <w:i/>
        </w:rPr>
        <w:t>Insurance</w:t>
      </w:r>
      <w:r>
        <w:rPr>
          <w:i/>
        </w:rPr>
        <w:t xml:space="preserve"> (Prudential Supervision) Act 2015</w:t>
      </w:r>
      <w:r w:rsidRPr="00534080">
        <w:t xml:space="preserve"> (</w:t>
      </w:r>
      <w:r w:rsidRPr="003F1975">
        <w:t xml:space="preserve">the </w:t>
      </w:r>
      <w:r w:rsidRPr="00C71165">
        <w:t>Act</w:t>
      </w:r>
      <w:r w:rsidRPr="00534080">
        <w:t>).</w:t>
      </w:r>
      <w:bookmarkEnd w:id="10"/>
      <w:r w:rsidRPr="00534080">
        <w:t xml:space="preserve">  </w:t>
      </w:r>
    </w:p>
    <w:p w14:paraId="520CD268" w14:textId="6D61B60C" w:rsidR="00913520" w:rsidRPr="00A54F71" w:rsidRDefault="00913520" w:rsidP="00913520">
      <w:pPr>
        <w:pStyle w:val="Heading1"/>
      </w:pPr>
      <w:bookmarkStart w:id="11" w:name="_Toc214333729"/>
      <w:bookmarkStart w:id="12" w:name="_Toc254614304"/>
      <w:bookmarkStart w:id="13" w:name="_Toc109392166"/>
      <w:r w:rsidRPr="00A54F71">
        <w:t>Application</w:t>
      </w:r>
      <w:bookmarkEnd w:id="11"/>
      <w:bookmarkEnd w:id="12"/>
      <w:r w:rsidR="00DB1314">
        <w:t xml:space="preserve"> and commencement</w:t>
      </w:r>
      <w:bookmarkEnd w:id="13"/>
    </w:p>
    <w:p w14:paraId="50F0D38B" w14:textId="77777777" w:rsidR="00913520" w:rsidRDefault="00913520" w:rsidP="00913520">
      <w:pPr>
        <w:pStyle w:val="BodyText1"/>
        <w:rPr>
          <w:b/>
        </w:rPr>
      </w:pPr>
      <w:bookmarkStart w:id="14" w:name="_Ref214184075"/>
      <w:r w:rsidRPr="00534080">
        <w:t xml:space="preserve">This Prudential Standard applies to all </w:t>
      </w:r>
      <w:r>
        <w:t xml:space="preserve">operations and activities of </w:t>
      </w:r>
      <w:r w:rsidRPr="00913520">
        <w:rPr>
          <w:b/>
        </w:rPr>
        <w:t>private health insurers</w:t>
      </w:r>
      <w:r>
        <w:t xml:space="preserve"> registered</w:t>
      </w:r>
      <w:r w:rsidRPr="00534080">
        <w:t xml:space="preserve"> under the Act.</w:t>
      </w:r>
      <w:bookmarkEnd w:id="14"/>
      <w:r>
        <w:t xml:space="preserve">  </w:t>
      </w:r>
    </w:p>
    <w:p w14:paraId="41F06DB0" w14:textId="77777777" w:rsidR="00913520" w:rsidRPr="00B74B3A" w:rsidRDefault="00913520" w:rsidP="00913520">
      <w:pPr>
        <w:pStyle w:val="BodyText1"/>
        <w:rPr>
          <w:b/>
        </w:rPr>
      </w:pPr>
      <w:bookmarkStart w:id="15" w:name="_Ref90200254"/>
      <w:r w:rsidRPr="00B74B3A">
        <w:t xml:space="preserve">All </w:t>
      </w:r>
      <w:r>
        <w:t>private health insurers</w:t>
      </w:r>
      <w:r w:rsidRPr="00B74B3A">
        <w:t xml:space="preserve"> must comply with this Prudential Standard in its entirety, unless otherwise expressly indicated.</w:t>
      </w:r>
    </w:p>
    <w:p w14:paraId="3FACCBE2" w14:textId="77777777" w:rsidR="00913520" w:rsidRPr="007B7DB7" w:rsidRDefault="00913520" w:rsidP="00913520">
      <w:pPr>
        <w:pStyle w:val="BodyText1"/>
      </w:pPr>
      <w:r w:rsidRPr="007B7DB7">
        <w:t xml:space="preserve">This Prudential Standard </w:t>
      </w:r>
      <w:r w:rsidRPr="005C7E67">
        <w:t>applies to private health insurers from</w:t>
      </w:r>
      <w:r w:rsidRPr="007B7DB7">
        <w:t xml:space="preserve"> 1 July </w:t>
      </w:r>
      <w:r w:rsidRPr="005C7E67">
        <w:t xml:space="preserve">2023. </w:t>
      </w:r>
    </w:p>
    <w:p w14:paraId="631679DC" w14:textId="77777777" w:rsidR="00913520" w:rsidRPr="00395306" w:rsidRDefault="00913520" w:rsidP="00913520">
      <w:pPr>
        <w:pStyle w:val="Heading1"/>
      </w:pPr>
      <w:bookmarkStart w:id="16" w:name="_Toc109392167"/>
      <w:r w:rsidRPr="00395306">
        <w:t>Interpretation</w:t>
      </w:r>
      <w:bookmarkEnd w:id="16"/>
    </w:p>
    <w:p w14:paraId="704DE82D" w14:textId="77777777" w:rsidR="00913520" w:rsidRPr="00395306" w:rsidRDefault="00913520" w:rsidP="00913520">
      <w:pPr>
        <w:pStyle w:val="BodyText1"/>
        <w:rPr>
          <w:b/>
        </w:rPr>
      </w:pPr>
      <w:r w:rsidRPr="007B7DB7">
        <w:t xml:space="preserve">Terms that are defined in </w:t>
      </w:r>
      <w:r w:rsidRPr="007B7DB7">
        <w:rPr>
          <w:i/>
        </w:rPr>
        <w:t>Prudential Standard HPS 001 Definitions</w:t>
      </w:r>
      <w:r w:rsidRPr="007B7DB7">
        <w:t xml:space="preserve"> appear in bold the first time they are used in this Prudential Standard.</w:t>
      </w:r>
    </w:p>
    <w:p w14:paraId="77D0FED4" w14:textId="77777777" w:rsidR="00913520" w:rsidRPr="00693DA9" w:rsidRDefault="00913520" w:rsidP="00913520">
      <w:pPr>
        <w:pStyle w:val="Heading1"/>
      </w:pPr>
      <w:bookmarkStart w:id="17" w:name="_Toc254614305"/>
      <w:bookmarkStart w:id="18" w:name="_Toc109392168"/>
      <w:r w:rsidRPr="00FB1746">
        <w:t>Obligations of a</w:t>
      </w:r>
      <w:r>
        <w:t xml:space="preserve"> private health insurer</w:t>
      </w:r>
      <w:bookmarkStart w:id="19" w:name="_Toc86203566"/>
      <w:bookmarkStart w:id="20" w:name="_Toc86204862"/>
      <w:bookmarkStart w:id="21" w:name="_Toc214330528"/>
      <w:bookmarkStart w:id="22" w:name="_Toc214333730"/>
      <w:bookmarkEnd w:id="15"/>
      <w:bookmarkEnd w:id="17"/>
      <w:r>
        <w:t xml:space="preserve"> – Auditor appointment</w:t>
      </w:r>
      <w:bookmarkEnd w:id="18"/>
    </w:p>
    <w:p w14:paraId="27CD0E38" w14:textId="77777777" w:rsidR="00913520" w:rsidRDefault="00913520" w:rsidP="00913520">
      <w:pPr>
        <w:pStyle w:val="BodyText1"/>
        <w:rPr>
          <w:b/>
        </w:rPr>
      </w:pPr>
      <w:bookmarkStart w:id="23" w:name="_Ref499034498"/>
      <w:bookmarkStart w:id="24" w:name="_Ref219884222"/>
      <w:bookmarkEnd w:id="19"/>
      <w:bookmarkEnd w:id="20"/>
      <w:bookmarkEnd w:id="21"/>
      <w:bookmarkEnd w:id="22"/>
      <w:r w:rsidRPr="00773810">
        <w:t xml:space="preserve">For the purposes of this Prudential Standard, </w:t>
      </w:r>
      <w:r>
        <w:t>a private health insurer must appoint an a</w:t>
      </w:r>
      <w:r w:rsidRPr="00773810">
        <w:t>u</w:t>
      </w:r>
      <w:r>
        <w:t xml:space="preserve">ditor (the </w:t>
      </w:r>
      <w:r w:rsidRPr="00913520">
        <w:rPr>
          <w:b/>
        </w:rPr>
        <w:t>Appointed Auditor</w:t>
      </w:r>
      <w:r>
        <w:t>).</w:t>
      </w:r>
      <w:bookmarkEnd w:id="23"/>
      <w:r>
        <w:t xml:space="preserve"> </w:t>
      </w:r>
    </w:p>
    <w:p w14:paraId="00A72FEC" w14:textId="77777777" w:rsidR="00913520" w:rsidRDefault="00913520" w:rsidP="00913520">
      <w:pPr>
        <w:pStyle w:val="BodyText1"/>
        <w:rPr>
          <w:b/>
        </w:rPr>
      </w:pPr>
      <w:r>
        <w:t>A private health insurer</w:t>
      </w:r>
      <w:r w:rsidRPr="00773810">
        <w:t xml:space="preserve"> must ensure the terms of engagement</w:t>
      </w:r>
      <w:r>
        <w:t xml:space="preserve"> of the Appointed Auditor are set out </w:t>
      </w:r>
      <w:r w:rsidRPr="00773810">
        <w:t xml:space="preserve">in a legally binding contract between the </w:t>
      </w:r>
      <w:r>
        <w:t>private health insurer</w:t>
      </w:r>
      <w:r w:rsidRPr="00773810">
        <w:t xml:space="preserve"> an</w:t>
      </w:r>
      <w:r>
        <w:t>d the Appointed Auditor, including requirements that:</w:t>
      </w:r>
    </w:p>
    <w:p w14:paraId="28E61F57" w14:textId="77777777" w:rsidR="00913520" w:rsidRDefault="00913520" w:rsidP="00913520">
      <w:pPr>
        <w:pStyle w:val="BodyText2"/>
        <w:rPr>
          <w:b/>
        </w:rPr>
      </w:pPr>
      <w:r>
        <w:t>the Appointed A</w:t>
      </w:r>
      <w:r w:rsidRPr="00773810">
        <w:t>uditor fulfil</w:t>
      </w:r>
      <w:r>
        <w:t>s</w:t>
      </w:r>
      <w:r w:rsidRPr="00773810">
        <w:t xml:space="preserve"> the rol</w:t>
      </w:r>
      <w:r>
        <w:t>es and responsibilities of the Appointed A</w:t>
      </w:r>
      <w:r w:rsidRPr="00773810">
        <w:t xml:space="preserve">uditor as specified in this Prudential Standard and in the manner specified in this Prudential </w:t>
      </w:r>
      <w:proofErr w:type="gramStart"/>
      <w:r w:rsidRPr="00773810">
        <w:t>Standard</w:t>
      </w:r>
      <w:r>
        <w:t>;</w:t>
      </w:r>
      <w:proofErr w:type="gramEnd"/>
    </w:p>
    <w:p w14:paraId="1F4D25B3" w14:textId="77777777" w:rsidR="00913520" w:rsidRDefault="00913520" w:rsidP="00913520">
      <w:pPr>
        <w:pStyle w:val="BodyText2"/>
        <w:rPr>
          <w:b/>
        </w:rPr>
      </w:pPr>
      <w:r>
        <w:t>the Appointed A</w:t>
      </w:r>
      <w:r w:rsidRPr="00773810">
        <w:t xml:space="preserve">uditor, in meeting its role and responsibilities to comply with the </w:t>
      </w:r>
      <w:r>
        <w:t>relevant</w:t>
      </w:r>
      <w:r w:rsidRPr="00773810">
        <w:t xml:space="preserve"> </w:t>
      </w:r>
      <w:r>
        <w:t xml:space="preserve">Standards and </w:t>
      </w:r>
      <w:r w:rsidRPr="00773810">
        <w:t xml:space="preserve">Guidance issued from time to time by the </w:t>
      </w:r>
      <w:r w:rsidRPr="00913520">
        <w:rPr>
          <w:b/>
        </w:rPr>
        <w:t>AUASB</w:t>
      </w:r>
      <w:r w:rsidRPr="00773810">
        <w:t xml:space="preserve"> (AUASB</w:t>
      </w:r>
      <w:r w:rsidRPr="00C4480E">
        <w:t xml:space="preserve"> </w:t>
      </w:r>
      <w:r>
        <w:t>standards and g</w:t>
      </w:r>
      <w:r w:rsidRPr="00773810">
        <w:t>uidance)</w:t>
      </w:r>
      <w:r>
        <w:t xml:space="preserve"> to the extent they are not inconsistent with this Prudential Standard. If</w:t>
      </w:r>
      <w:r w:rsidRPr="00C4480E">
        <w:t xml:space="preserve"> </w:t>
      </w:r>
      <w:r w:rsidRPr="00773810">
        <w:t>they are inconsistent</w:t>
      </w:r>
      <w:r>
        <w:t>:</w:t>
      </w:r>
    </w:p>
    <w:p w14:paraId="6DAC01E1" w14:textId="77777777" w:rsidR="00913520" w:rsidRDefault="00913520" w:rsidP="00913520">
      <w:pPr>
        <w:pStyle w:val="BodyText3"/>
        <w:rPr>
          <w:b/>
        </w:rPr>
      </w:pPr>
      <w:r w:rsidRPr="00773810">
        <w:t>this Prudential Standard prevails</w:t>
      </w:r>
      <w:r>
        <w:t>; or</w:t>
      </w:r>
    </w:p>
    <w:p w14:paraId="7AD0FF9F" w14:textId="77777777" w:rsidR="00913520" w:rsidRPr="005B4B19" w:rsidRDefault="00913520" w:rsidP="00913520">
      <w:pPr>
        <w:pStyle w:val="BodyText3"/>
        <w:rPr>
          <w:b/>
        </w:rPr>
      </w:pPr>
      <w:r w:rsidRPr="00773810">
        <w:t xml:space="preserve">APRA </w:t>
      </w:r>
      <w:r>
        <w:t xml:space="preserve">may notify </w:t>
      </w:r>
      <w:r w:rsidRPr="00773810">
        <w:t xml:space="preserve">the </w:t>
      </w:r>
      <w:r>
        <w:t>private health insurer</w:t>
      </w:r>
      <w:r w:rsidRPr="00773810">
        <w:t xml:space="preserve">, in writing, that alternative standards and </w:t>
      </w:r>
      <w:r>
        <w:t>guidance must be used by the Appointed A</w:t>
      </w:r>
      <w:r w:rsidRPr="00773810">
        <w:t>uditor</w:t>
      </w:r>
      <w:r>
        <w:t>.</w:t>
      </w:r>
      <w:bookmarkEnd w:id="24"/>
    </w:p>
    <w:p w14:paraId="3EEB6821" w14:textId="77777777" w:rsidR="00913520" w:rsidRDefault="00913520" w:rsidP="00913520">
      <w:pPr>
        <w:pStyle w:val="BodyText1"/>
        <w:rPr>
          <w:b/>
        </w:rPr>
      </w:pPr>
      <w:r w:rsidRPr="00FB1746">
        <w:t>A</w:t>
      </w:r>
      <w:r>
        <w:t xml:space="preserve"> private health insurer</w:t>
      </w:r>
      <w:r w:rsidRPr="00FB1746">
        <w:t xml:space="preserve"> must ensure its </w:t>
      </w:r>
      <w:r>
        <w:t>Appointed Auditor has</w:t>
      </w:r>
      <w:r w:rsidRPr="00FB1746">
        <w:t xml:space="preserve"> access to all relevant data, information, </w:t>
      </w:r>
      <w:proofErr w:type="gramStart"/>
      <w:r w:rsidRPr="00FB1746">
        <w:t>reports</w:t>
      </w:r>
      <w:proofErr w:type="gramEnd"/>
      <w:r w:rsidRPr="00FB1746">
        <w:t xml:space="preserve"> and staff of the </w:t>
      </w:r>
      <w:r>
        <w:t>private health insurer</w:t>
      </w:r>
      <w:r w:rsidRPr="00FB1746">
        <w:t xml:space="preserve"> that its </w:t>
      </w:r>
      <w:r>
        <w:t>Appointed Auditor</w:t>
      </w:r>
      <w:r w:rsidRPr="00FB1746">
        <w:t xml:space="preserve"> reasonably believe</w:t>
      </w:r>
      <w:r>
        <w:t>s</w:t>
      </w:r>
      <w:r w:rsidRPr="00FB1746">
        <w:t xml:space="preserve"> are necessary to fulfil </w:t>
      </w:r>
      <w:r>
        <w:t>his or her</w:t>
      </w:r>
      <w:r w:rsidRPr="00FB1746">
        <w:t xml:space="preserve"> responsibilities. This will include access to the </w:t>
      </w:r>
      <w:r>
        <w:t>private health insurer</w:t>
      </w:r>
      <w:r w:rsidRPr="00FB1746">
        <w:t xml:space="preserve">’s </w:t>
      </w:r>
      <w:r w:rsidRPr="00913520">
        <w:rPr>
          <w:b/>
        </w:rPr>
        <w:t>Board,</w:t>
      </w:r>
      <w:r>
        <w:t xml:space="preserve"> </w:t>
      </w:r>
      <w:r w:rsidRPr="00913520">
        <w:rPr>
          <w:b/>
        </w:rPr>
        <w:t>Board Audit Committee</w:t>
      </w:r>
      <w:r>
        <w:t xml:space="preserve"> and Internal Auditors, and any information APRA has provided to the private health insurer, as required.</w:t>
      </w:r>
    </w:p>
    <w:p w14:paraId="68068D15" w14:textId="77777777" w:rsidR="00913520" w:rsidRDefault="00913520" w:rsidP="00913520">
      <w:pPr>
        <w:pStyle w:val="BodyText1"/>
        <w:rPr>
          <w:b/>
        </w:rPr>
      </w:pPr>
      <w:r>
        <w:lastRenderedPageBreak/>
        <w:t>A private health insurer must take all reasonable steps or make necessary arrangements to ensure its Appointed Auditor has access to contractors of the private health insurer that its Appointed Auditor reasonably believes are necessary to fulfil his or her responsibilities.</w:t>
      </w:r>
    </w:p>
    <w:p w14:paraId="5E5F4953" w14:textId="77777777" w:rsidR="00913520" w:rsidRPr="00693DA9" w:rsidRDefault="00913520" w:rsidP="00913520">
      <w:pPr>
        <w:pStyle w:val="Heading1"/>
      </w:pPr>
      <w:bookmarkStart w:id="25" w:name="_Toc109392169"/>
      <w:r w:rsidRPr="00FB1746">
        <w:t>Obligations of a</w:t>
      </w:r>
      <w:r>
        <w:t xml:space="preserve"> private health insurer – fitness and propriety</w:t>
      </w:r>
      <w:bookmarkEnd w:id="25"/>
    </w:p>
    <w:p w14:paraId="088CE82C" w14:textId="77777777" w:rsidR="00913520" w:rsidRDefault="00913520" w:rsidP="00913520">
      <w:pPr>
        <w:pStyle w:val="BodyText1"/>
        <w:rPr>
          <w:b/>
        </w:rPr>
      </w:pPr>
      <w:bookmarkStart w:id="26" w:name="_Ref84496470"/>
      <w:r>
        <w:t>A private health insurer must ensure that its Appointed Auditor:</w:t>
      </w:r>
      <w:bookmarkEnd w:id="26"/>
    </w:p>
    <w:p w14:paraId="20B38C7E" w14:textId="77777777" w:rsidR="00913520" w:rsidRPr="00A54F71" w:rsidRDefault="00913520" w:rsidP="00913520">
      <w:pPr>
        <w:pStyle w:val="BodyText2"/>
        <w:rPr>
          <w:b/>
        </w:rPr>
      </w:pPr>
      <w:r w:rsidRPr="00A54F71">
        <w:t xml:space="preserve">is a fit and proper person in accordance with the </w:t>
      </w:r>
      <w:r>
        <w:t>private health insurer</w:t>
      </w:r>
      <w:r w:rsidRPr="00A54F71">
        <w:t xml:space="preserve">’s fit and proper policy as required by </w:t>
      </w:r>
      <w:r w:rsidRPr="00A54F71">
        <w:rPr>
          <w:i/>
        </w:rPr>
        <w:t xml:space="preserve">Prudential Standard </w:t>
      </w:r>
      <w:r>
        <w:rPr>
          <w:i/>
        </w:rPr>
        <w:t>C</w:t>
      </w:r>
      <w:r w:rsidRPr="00A54F71">
        <w:rPr>
          <w:i/>
        </w:rPr>
        <w:t>PS 5</w:t>
      </w:r>
      <w:r>
        <w:rPr>
          <w:i/>
        </w:rPr>
        <w:t>2</w:t>
      </w:r>
      <w:r w:rsidRPr="00A54F71">
        <w:rPr>
          <w:i/>
        </w:rPr>
        <w:t xml:space="preserve">0 </w:t>
      </w:r>
      <w:r>
        <w:rPr>
          <w:i/>
        </w:rPr>
        <w:t>Fit and Proper</w:t>
      </w:r>
      <w:r w:rsidRPr="006F609C">
        <w:t>,</w:t>
      </w:r>
      <w:r w:rsidRPr="00A54F71">
        <w:t xml:space="preserve"> including those requirements that apply specifically to the </w:t>
      </w:r>
      <w:r>
        <w:t xml:space="preserve">Appointed </w:t>
      </w:r>
      <w:proofErr w:type="gramStart"/>
      <w:r>
        <w:t>A</w:t>
      </w:r>
      <w:r w:rsidRPr="00A54F71">
        <w:t>uditor;</w:t>
      </w:r>
      <w:proofErr w:type="gramEnd"/>
      <w:r>
        <w:t xml:space="preserve"> and</w:t>
      </w:r>
    </w:p>
    <w:p w14:paraId="23219392" w14:textId="77777777" w:rsidR="00913520" w:rsidRDefault="00913520" w:rsidP="00913520">
      <w:pPr>
        <w:pStyle w:val="BodyText2"/>
        <w:rPr>
          <w:b/>
        </w:rPr>
      </w:pPr>
      <w:r>
        <w:t>satisfies the A</w:t>
      </w:r>
      <w:r w:rsidRPr="00A54F71">
        <w:t xml:space="preserve">uditor independence requirements in </w:t>
      </w:r>
      <w:r w:rsidRPr="00A54F71">
        <w:rPr>
          <w:i/>
        </w:rPr>
        <w:t xml:space="preserve">Prudential Standard </w:t>
      </w:r>
      <w:r>
        <w:rPr>
          <w:i/>
        </w:rPr>
        <w:t>C</w:t>
      </w:r>
      <w:r w:rsidRPr="00A54F71">
        <w:rPr>
          <w:i/>
        </w:rPr>
        <w:t xml:space="preserve">PS 510 </w:t>
      </w:r>
      <w:proofErr w:type="gramStart"/>
      <w:r w:rsidRPr="00A54F71">
        <w:rPr>
          <w:i/>
        </w:rPr>
        <w:t>Governance</w:t>
      </w:r>
      <w:r>
        <w:t>;</w:t>
      </w:r>
      <w:proofErr w:type="gramEnd"/>
      <w:r>
        <w:t xml:space="preserve"> and </w:t>
      </w:r>
    </w:p>
    <w:p w14:paraId="5A26FAB0" w14:textId="77777777" w:rsidR="00913520" w:rsidRPr="007044EB" w:rsidRDefault="00913520" w:rsidP="00913520">
      <w:pPr>
        <w:pStyle w:val="BodyText2"/>
      </w:pPr>
      <w:r>
        <w:t xml:space="preserve">satisfies the eligibility and independence criteria in the </w:t>
      </w:r>
      <w:r w:rsidRPr="007044EB">
        <w:rPr>
          <w:i/>
        </w:rPr>
        <w:t>Corporations Act 2001</w:t>
      </w:r>
      <w:r w:rsidRPr="007044EB">
        <w:t>.</w:t>
      </w:r>
    </w:p>
    <w:p w14:paraId="246C2A0D" w14:textId="77777777" w:rsidR="00913520" w:rsidRPr="00693DA9" w:rsidRDefault="00913520" w:rsidP="00913520">
      <w:pPr>
        <w:pStyle w:val="Heading1"/>
      </w:pPr>
      <w:bookmarkStart w:id="27" w:name="_Toc109392170"/>
      <w:r>
        <w:t>Appointed Auditor’s report</w:t>
      </w:r>
      <w:bookmarkEnd w:id="27"/>
    </w:p>
    <w:p w14:paraId="6495EEB7" w14:textId="77777777" w:rsidR="00913520" w:rsidRPr="00210ECB" w:rsidRDefault="00913520" w:rsidP="00913520">
      <w:pPr>
        <w:pStyle w:val="BodyText1"/>
        <w:rPr>
          <w:b/>
        </w:rPr>
      </w:pPr>
      <w:bookmarkStart w:id="28" w:name="_Ref499034457"/>
      <w:r w:rsidRPr="00AF7799">
        <w:t xml:space="preserve">A private health insurer must engage the </w:t>
      </w:r>
      <w:r>
        <w:t>A</w:t>
      </w:r>
      <w:r w:rsidRPr="00AF7799">
        <w:t>ppointed Auditor to prepare a</w:t>
      </w:r>
      <w:r>
        <w:t>n annual</w:t>
      </w:r>
      <w:r w:rsidRPr="00AF7799">
        <w:t xml:space="preserve"> report that at a minimum, must </w:t>
      </w:r>
      <w:r>
        <w:t>address</w:t>
      </w:r>
      <w:r w:rsidRPr="00AF7799">
        <w:t>:</w:t>
      </w:r>
      <w:bookmarkEnd w:id="28"/>
    </w:p>
    <w:p w14:paraId="66F3D2F2" w14:textId="77777777" w:rsidR="00913520" w:rsidRPr="00210ECB" w:rsidRDefault="00913520" w:rsidP="00913520">
      <w:pPr>
        <w:pStyle w:val="BodyText2"/>
      </w:pPr>
      <w:r w:rsidRPr="00210ECB">
        <w:t xml:space="preserve">reasonable assurance </w:t>
      </w:r>
      <w:r>
        <w:t>regarding</w:t>
      </w:r>
      <w:r w:rsidRPr="00210ECB">
        <w:t>:</w:t>
      </w:r>
    </w:p>
    <w:p w14:paraId="32F08068" w14:textId="77777777" w:rsidR="00913520" w:rsidRPr="00210ECB" w:rsidRDefault="00913520" w:rsidP="00913520">
      <w:pPr>
        <w:pStyle w:val="BodyText3"/>
      </w:pPr>
      <w:r>
        <w:t xml:space="preserve">the </w:t>
      </w:r>
      <w:r w:rsidRPr="00210ECB">
        <w:t xml:space="preserve">annual financial statements of </w:t>
      </w:r>
      <w:r w:rsidRPr="00AF7799">
        <w:t>the</w:t>
      </w:r>
      <w:r w:rsidRPr="00210ECB">
        <w:t xml:space="preserve"> </w:t>
      </w:r>
      <w:r w:rsidRPr="00AF7799">
        <w:t>private health insurer</w:t>
      </w:r>
      <w:r w:rsidRPr="00210ECB">
        <w:t xml:space="preserve"> prepared in accordance with relevant </w:t>
      </w:r>
      <w:r w:rsidRPr="00B2407F">
        <w:rPr>
          <w:b/>
        </w:rPr>
        <w:t>Australian Accounting Standards</w:t>
      </w:r>
      <w:r w:rsidRPr="00210ECB">
        <w:t xml:space="preserve"> issued by the Australian Accounting Standards Board</w:t>
      </w:r>
      <w:r>
        <w:t xml:space="preserve"> (</w:t>
      </w:r>
      <w:r w:rsidRPr="00B2407F">
        <w:rPr>
          <w:b/>
        </w:rPr>
        <w:t>AASB</w:t>
      </w:r>
      <w:proofErr w:type="gramStart"/>
      <w:r>
        <w:t>)</w:t>
      </w:r>
      <w:r w:rsidRPr="00210ECB">
        <w:t>;</w:t>
      </w:r>
      <w:proofErr w:type="gramEnd"/>
      <w:r w:rsidRPr="00210ECB">
        <w:t xml:space="preserve"> </w:t>
      </w:r>
    </w:p>
    <w:p w14:paraId="4F7ADE3C" w14:textId="77777777" w:rsidR="00913520" w:rsidRDefault="00913520" w:rsidP="00913520">
      <w:pPr>
        <w:pStyle w:val="BodyText3"/>
      </w:pPr>
      <w:r w:rsidRPr="00210ECB">
        <w:t xml:space="preserve">the annual information, relating to </w:t>
      </w:r>
      <w:r w:rsidRPr="00AF7799">
        <w:t>the</w:t>
      </w:r>
      <w:r w:rsidRPr="00210ECB">
        <w:t xml:space="preserve"> </w:t>
      </w:r>
      <w:r w:rsidRPr="00AF7799">
        <w:t>private health insurer</w:t>
      </w:r>
      <w:r w:rsidRPr="00210ECB">
        <w:t xml:space="preserve">, required under the reporting standards made by APRA under the </w:t>
      </w:r>
      <w:r w:rsidRPr="00093780">
        <w:rPr>
          <w:i/>
        </w:rPr>
        <w:t>Financial Sector (Collection of Data) Act 2001</w:t>
      </w:r>
      <w:r>
        <w:t xml:space="preserve"> (</w:t>
      </w:r>
      <w:r w:rsidRPr="00A70CA6">
        <w:t>FSCODA</w:t>
      </w:r>
      <w:r>
        <w:t>)</w:t>
      </w:r>
      <w:r w:rsidRPr="00210ECB">
        <w:t xml:space="preserve"> that are identified in </w:t>
      </w:r>
      <w:r>
        <w:t xml:space="preserve">Table 1 of </w:t>
      </w:r>
      <w:r w:rsidRPr="00210ECB">
        <w:t xml:space="preserve">Attachment </w:t>
      </w:r>
      <w:r w:rsidRPr="00AF7799">
        <w:t>A</w:t>
      </w:r>
      <w:r w:rsidRPr="00210ECB">
        <w:t xml:space="preserve"> as requiring reasonable </w:t>
      </w:r>
      <w:proofErr w:type="gramStart"/>
      <w:r w:rsidRPr="00210ECB">
        <w:t>assurance;</w:t>
      </w:r>
      <w:proofErr w:type="gramEnd"/>
      <w:r w:rsidRPr="00210ECB">
        <w:t xml:space="preserve"> </w:t>
      </w:r>
    </w:p>
    <w:p w14:paraId="37AC9670" w14:textId="39C396C0" w:rsidR="00913520" w:rsidRPr="0051438F" w:rsidRDefault="00913520" w:rsidP="00913520">
      <w:pPr>
        <w:pStyle w:val="BodyText3"/>
      </w:pPr>
      <w:r w:rsidRPr="0051438F">
        <w:t xml:space="preserve">the </w:t>
      </w:r>
      <w:r>
        <w:t>quarterly</w:t>
      </w:r>
      <w:r w:rsidRPr="0051438F">
        <w:t xml:space="preserve"> information, relating to the private health insurer, required under the reporting standards made by APRA under FSCODA that are identified in </w:t>
      </w:r>
      <w:r>
        <w:t xml:space="preserve">Table 2 of </w:t>
      </w:r>
      <w:r w:rsidRPr="0051438F">
        <w:t>Attachment A as requiring reasonable assurance; and</w:t>
      </w:r>
    </w:p>
    <w:p w14:paraId="73141D14" w14:textId="77777777" w:rsidR="00913520" w:rsidRDefault="00913520" w:rsidP="00913520">
      <w:pPr>
        <w:pStyle w:val="BodyText2"/>
      </w:pPr>
      <w:r w:rsidRPr="00210ECB">
        <w:t xml:space="preserve">limited assurance </w:t>
      </w:r>
      <w:r>
        <w:t>regarding</w:t>
      </w:r>
      <w:r w:rsidRPr="00210ECB">
        <w:t xml:space="preserve">: </w:t>
      </w:r>
    </w:p>
    <w:p w14:paraId="65AC72A9" w14:textId="77777777" w:rsidR="00913520" w:rsidRDefault="00913520" w:rsidP="00913520">
      <w:pPr>
        <w:pStyle w:val="BodyText3"/>
      </w:pPr>
      <w:r>
        <w:t xml:space="preserve">the </w:t>
      </w:r>
      <w:r w:rsidRPr="00210ECB">
        <w:t xml:space="preserve">annual information, relating to </w:t>
      </w:r>
      <w:r w:rsidRPr="00AF7799">
        <w:t>the</w:t>
      </w:r>
      <w:r w:rsidRPr="00210ECB">
        <w:t xml:space="preserve"> </w:t>
      </w:r>
      <w:r w:rsidRPr="00AF7799">
        <w:t>private health insurer</w:t>
      </w:r>
      <w:r w:rsidRPr="00210ECB">
        <w:t xml:space="preserve">, required under the reporting standards made by APRA under </w:t>
      </w:r>
      <w:r w:rsidRPr="000273BD">
        <w:t>FSCODA</w:t>
      </w:r>
      <w:r w:rsidRPr="00210ECB">
        <w:t xml:space="preserve"> that are identified in Attachment </w:t>
      </w:r>
      <w:r w:rsidRPr="00AF7799">
        <w:t>A</w:t>
      </w:r>
      <w:r w:rsidRPr="00210ECB">
        <w:t xml:space="preserve"> as requiring </w:t>
      </w:r>
      <w:r>
        <w:t>limited assurance; and</w:t>
      </w:r>
    </w:p>
    <w:p w14:paraId="23B7BAE7" w14:textId="77777777" w:rsidR="00E07F40" w:rsidRDefault="00913520" w:rsidP="007130E0">
      <w:pPr>
        <w:pStyle w:val="BodyText3"/>
      </w:pPr>
      <w:r w:rsidRPr="00210ECB">
        <w:t xml:space="preserve">the </w:t>
      </w:r>
      <w:r w:rsidRPr="00AF7799">
        <w:t xml:space="preserve">private health insurer’s </w:t>
      </w:r>
      <w:r w:rsidRPr="00210ECB">
        <w:t xml:space="preserve">systems, procedures and internal controls that are designed to ensure that the </w:t>
      </w:r>
      <w:r w:rsidRPr="00AF7799">
        <w:t xml:space="preserve">private health insurer </w:t>
      </w:r>
      <w:r w:rsidRPr="00210ECB">
        <w:t>has complied with all applicable prudential requirements</w:t>
      </w:r>
      <w:r>
        <w:t xml:space="preserve"> are adequate</w:t>
      </w:r>
      <w:r w:rsidRPr="00210ECB">
        <w:t>,</w:t>
      </w:r>
      <w:r>
        <w:t xml:space="preserve"> </w:t>
      </w:r>
      <w:r>
        <w:lastRenderedPageBreak/>
        <w:t>has operated effectively throughout the year of income, and</w:t>
      </w:r>
      <w:r w:rsidRPr="00210ECB">
        <w:t xml:space="preserve"> has</w:t>
      </w:r>
      <w:r w:rsidR="007130E0" w:rsidRPr="007130E0">
        <w:rPr>
          <w:szCs w:val="24"/>
        </w:rPr>
        <w:t xml:space="preserve"> </w:t>
      </w:r>
      <w:r w:rsidR="007130E0" w:rsidRPr="00210ECB">
        <w:rPr>
          <w:szCs w:val="24"/>
        </w:rPr>
        <w:t>provided reliable data to APRA as required under the reporting standards prepared under FSCOD</w:t>
      </w:r>
      <w:r w:rsidR="007130E0">
        <w:rPr>
          <w:szCs w:val="24"/>
        </w:rPr>
        <w:t>A (including those provided quarterly and semi-annually, except those listed in Table 2 of Attachment A).</w:t>
      </w:r>
    </w:p>
    <w:p w14:paraId="5A89ECE9" w14:textId="77777777" w:rsidR="007130E0" w:rsidRDefault="007130E0" w:rsidP="007130E0">
      <w:pPr>
        <w:pStyle w:val="BodyText1"/>
        <w:rPr>
          <w:b/>
        </w:rPr>
      </w:pPr>
      <w:r>
        <w:t>For the purposes of this Prudential Standard, ‘</w:t>
      </w:r>
      <w:r w:rsidRPr="006938F1">
        <w:t>reasonable assurance</w:t>
      </w:r>
      <w:r>
        <w:t>’ and ‘</w:t>
      </w:r>
      <w:r w:rsidRPr="006938F1">
        <w:t>limited assurance’</w:t>
      </w:r>
      <w:r>
        <w:t xml:space="preserve"> are defined in accordance with the </w:t>
      </w:r>
      <w:r w:rsidRPr="000D7EAC">
        <w:rPr>
          <w:i/>
        </w:rPr>
        <w:t>Framework for Assurance Engagements</w:t>
      </w:r>
      <w:r>
        <w:t xml:space="preserve"> issued by the AUASB.</w:t>
      </w:r>
    </w:p>
    <w:p w14:paraId="78527AF0" w14:textId="77777777" w:rsidR="007130E0" w:rsidRDefault="007130E0" w:rsidP="007130E0">
      <w:pPr>
        <w:pStyle w:val="BodyText1"/>
      </w:pPr>
      <w:r w:rsidRPr="003645DB">
        <w:t xml:space="preserve">A private health insurer must ensure </w:t>
      </w:r>
      <w:r>
        <w:t xml:space="preserve">that </w:t>
      </w:r>
      <w:r w:rsidRPr="003645DB">
        <w:t xml:space="preserve">the </w:t>
      </w:r>
      <w:r>
        <w:t xml:space="preserve">Appointed </w:t>
      </w:r>
      <w:r w:rsidRPr="003645DB">
        <w:t xml:space="preserve">Auditor, </w:t>
      </w:r>
      <w:r w:rsidRPr="0072214A">
        <w:t>w</w:t>
      </w:r>
      <w:r w:rsidRPr="001F72CE">
        <w:t xml:space="preserve">hen preparing a report or assessment required under this Prudential Standard (whether as part of routine or special purpose engagement): </w:t>
      </w:r>
    </w:p>
    <w:p w14:paraId="0F43304B" w14:textId="77777777" w:rsidR="007130E0" w:rsidRPr="001F72CE" w:rsidRDefault="007130E0" w:rsidP="007130E0">
      <w:pPr>
        <w:pStyle w:val="BodyText2"/>
        <w:rPr>
          <w:b/>
        </w:rPr>
      </w:pPr>
      <w:r w:rsidRPr="001F72CE">
        <w:t>do</w:t>
      </w:r>
      <w:r>
        <w:t>es</w:t>
      </w:r>
      <w:r w:rsidRPr="001F72CE">
        <w:t xml:space="preserve"> so on the basis that APRA may rely upon the report in the performance of its functions under the Act; and</w:t>
      </w:r>
    </w:p>
    <w:p w14:paraId="1FA05E54" w14:textId="77777777" w:rsidR="007130E0" w:rsidRPr="001F72CE" w:rsidRDefault="007130E0" w:rsidP="007130E0">
      <w:pPr>
        <w:pStyle w:val="BodyText2"/>
      </w:pPr>
      <w:r w:rsidRPr="001F72CE">
        <w:t>exercise</w:t>
      </w:r>
      <w:r>
        <w:t>s</w:t>
      </w:r>
      <w:r w:rsidRPr="001F72CE">
        <w:t xml:space="preserve"> independent judgement and</w:t>
      </w:r>
      <w:r>
        <w:t xml:space="preserve"> </w:t>
      </w:r>
      <w:r w:rsidRPr="003645DB">
        <w:t>not place sole reliance on the work performed by APRA.</w:t>
      </w:r>
    </w:p>
    <w:p w14:paraId="664F6F04" w14:textId="6AE06534" w:rsidR="007130E0" w:rsidRPr="002F2881" w:rsidRDefault="007130E0" w:rsidP="007130E0">
      <w:pPr>
        <w:pStyle w:val="BodyText1"/>
        <w:rPr>
          <w:b/>
        </w:rPr>
      </w:pPr>
      <w:r w:rsidRPr="003645DB">
        <w:t xml:space="preserve">A private </w:t>
      </w:r>
      <w:r w:rsidRPr="002F2881">
        <w:t xml:space="preserve">health insurer must ensure its Appointed Auditor, or an auditor appointed under paragraph </w:t>
      </w:r>
      <w:r w:rsidRPr="002F2881">
        <w:rPr>
          <w:b/>
        </w:rPr>
        <w:fldChar w:fldCharType="begin"/>
      </w:r>
      <w:r w:rsidRPr="002F2881">
        <w:instrText xml:space="preserve"> REF _Ref84496400 \r \h  \* MERGEFORMAT </w:instrText>
      </w:r>
      <w:r w:rsidRPr="002F2881">
        <w:rPr>
          <w:b/>
        </w:rPr>
      </w:r>
      <w:r w:rsidRPr="002F2881">
        <w:rPr>
          <w:b/>
        </w:rPr>
        <w:fldChar w:fldCharType="separate"/>
      </w:r>
      <w:r w:rsidR="005439FE">
        <w:t>21</w:t>
      </w:r>
      <w:r w:rsidRPr="002F2881">
        <w:rPr>
          <w:b/>
        </w:rPr>
        <w:fldChar w:fldCharType="end"/>
      </w:r>
      <w:r w:rsidRPr="002F2881">
        <w:t xml:space="preserve"> (special purpose engagement auditor), retains all working papers and other documentation in relation to the prudential requirements of the private health insurer for a period of seven years from the date of the report to which the working papers or documentation relate. Where requested to do so in writing by APRA, the private health insurer must direct the auditor to provide the working papers and other documentation to APRA.</w:t>
      </w:r>
    </w:p>
    <w:p w14:paraId="1062D6A1" w14:textId="77777777" w:rsidR="007130E0" w:rsidRPr="002F2881" w:rsidRDefault="007130E0" w:rsidP="007130E0">
      <w:pPr>
        <w:pStyle w:val="Heading1"/>
      </w:pPr>
      <w:bookmarkStart w:id="29" w:name="_Toc109392171"/>
      <w:r w:rsidRPr="002F2881">
        <w:t>Obligations of a private health insurer – Auditor’s report</w:t>
      </w:r>
      <w:bookmarkEnd w:id="29"/>
    </w:p>
    <w:p w14:paraId="3AD0A0BA" w14:textId="77AE7465" w:rsidR="007130E0" w:rsidRPr="002F2881" w:rsidRDefault="007130E0" w:rsidP="007130E0">
      <w:pPr>
        <w:pStyle w:val="BodyText1"/>
        <w:rPr>
          <w:b/>
        </w:rPr>
      </w:pPr>
      <w:bookmarkStart w:id="30" w:name="_Ref84496430"/>
      <w:r w:rsidRPr="002F2881">
        <w:t xml:space="preserve">A private health insurer must submit the Appointed Auditor’s report to APRA, addressing matters referred to in paragraph </w:t>
      </w:r>
      <w:r w:rsidRPr="002F2881">
        <w:rPr>
          <w:b/>
        </w:rPr>
        <w:fldChar w:fldCharType="begin"/>
      </w:r>
      <w:r w:rsidRPr="002F2881">
        <w:instrText xml:space="preserve"> REF _Ref499034457 \r \h  \* MERGEFORMAT </w:instrText>
      </w:r>
      <w:r w:rsidRPr="002F2881">
        <w:rPr>
          <w:b/>
        </w:rPr>
      </w:r>
      <w:r w:rsidRPr="002F2881">
        <w:rPr>
          <w:b/>
        </w:rPr>
        <w:fldChar w:fldCharType="separate"/>
      </w:r>
      <w:r w:rsidR="005439FE">
        <w:t>11</w:t>
      </w:r>
      <w:r w:rsidRPr="002F2881">
        <w:rPr>
          <w:b/>
        </w:rPr>
        <w:fldChar w:fldCharType="end"/>
      </w:r>
      <w:r w:rsidRPr="002F2881">
        <w:t>, within three months after the end of the year of income to which the report relates.</w:t>
      </w:r>
      <w:bookmarkEnd w:id="30"/>
    </w:p>
    <w:p w14:paraId="70B2C8EC" w14:textId="6DE8D55A" w:rsidR="007130E0" w:rsidRPr="002F2881" w:rsidRDefault="007130E0" w:rsidP="007130E0">
      <w:pPr>
        <w:pStyle w:val="BodyText1"/>
        <w:rPr>
          <w:b/>
        </w:rPr>
      </w:pPr>
      <w:r w:rsidRPr="002F2881">
        <w:t xml:space="preserve">The private health insurer must ensure that the Appointed Auditor provides the Appointed Auditor’s report to the Board of the private health insurer within sufficient time to enable the private health insurer to submit the report to APRA, as specified in paragraph </w:t>
      </w:r>
      <w:r w:rsidRPr="002F2881">
        <w:rPr>
          <w:b/>
        </w:rPr>
        <w:fldChar w:fldCharType="begin"/>
      </w:r>
      <w:r w:rsidRPr="002F2881">
        <w:instrText xml:space="preserve"> REF _Ref84496430 \r \h  \* MERGEFORMAT </w:instrText>
      </w:r>
      <w:r w:rsidRPr="002F2881">
        <w:rPr>
          <w:b/>
        </w:rPr>
      </w:r>
      <w:r w:rsidRPr="002F2881">
        <w:rPr>
          <w:b/>
        </w:rPr>
        <w:fldChar w:fldCharType="separate"/>
      </w:r>
      <w:r w:rsidR="005439FE">
        <w:t>15</w:t>
      </w:r>
      <w:r w:rsidRPr="002F2881">
        <w:rPr>
          <w:b/>
        </w:rPr>
        <w:fldChar w:fldCharType="end"/>
      </w:r>
      <w:r w:rsidRPr="002F2881">
        <w:t>.</w:t>
      </w:r>
    </w:p>
    <w:p w14:paraId="15D2FF45" w14:textId="77777777" w:rsidR="007130E0" w:rsidRDefault="007130E0" w:rsidP="007130E0">
      <w:pPr>
        <w:pStyle w:val="BodyText1"/>
        <w:rPr>
          <w:b/>
        </w:rPr>
      </w:pPr>
      <w:r>
        <w:t>A private health insurer, if requested by APRA, must within a reasonable time provide APRA with the terms of engagement, other instructions to, or correspondence with the Appointed Auditor, including management letters, that may have a bearing on:</w:t>
      </w:r>
    </w:p>
    <w:p w14:paraId="5A97C585" w14:textId="77777777" w:rsidR="007130E0" w:rsidRPr="002E36DF" w:rsidRDefault="007130E0" w:rsidP="007130E0">
      <w:pPr>
        <w:pStyle w:val="BodyText2"/>
        <w:rPr>
          <w:b/>
        </w:rPr>
      </w:pPr>
      <w:r>
        <w:t xml:space="preserve">the </w:t>
      </w:r>
      <w:r w:rsidRPr="002E36DF">
        <w:t xml:space="preserve">scope or conduct of the work undertaken by the </w:t>
      </w:r>
      <w:r>
        <w:t>Appointed A</w:t>
      </w:r>
      <w:r w:rsidRPr="002E36DF">
        <w:t>uditor in accordance with this Prudential Standard; and</w:t>
      </w:r>
    </w:p>
    <w:p w14:paraId="0B8155CA" w14:textId="77777777" w:rsidR="007130E0" w:rsidRDefault="007130E0" w:rsidP="007130E0">
      <w:pPr>
        <w:pStyle w:val="BodyText2"/>
        <w:rPr>
          <w:b/>
        </w:rPr>
      </w:pPr>
      <w:r>
        <w:t xml:space="preserve">the </w:t>
      </w:r>
      <w:r w:rsidRPr="002E36DF">
        <w:t>form</w:t>
      </w:r>
      <w:r>
        <w:t xml:space="preserve">, </w:t>
      </w:r>
      <w:r w:rsidRPr="002E36DF">
        <w:t>content</w:t>
      </w:r>
      <w:r>
        <w:t xml:space="preserve"> (</w:t>
      </w:r>
      <w:r w:rsidRPr="002E36DF">
        <w:t xml:space="preserve">including findings </w:t>
      </w:r>
      <w:r>
        <w:t xml:space="preserve">made </w:t>
      </w:r>
      <w:r w:rsidRPr="002E36DF">
        <w:t xml:space="preserve">or opinions </w:t>
      </w:r>
      <w:r>
        <w:t xml:space="preserve">expressed </w:t>
      </w:r>
      <w:r w:rsidRPr="002E36DF">
        <w:t xml:space="preserve">by the </w:t>
      </w:r>
      <w:r>
        <w:t>Appointed A</w:t>
      </w:r>
      <w:r w:rsidRPr="002E36DF">
        <w:t>uditor</w:t>
      </w:r>
      <w:proofErr w:type="gramStart"/>
      <w:r>
        <w:t>)</w:t>
      </w:r>
      <w:proofErr w:type="gramEnd"/>
      <w:r>
        <w:t xml:space="preserve"> </w:t>
      </w:r>
      <w:r w:rsidRPr="002E36DF">
        <w:t xml:space="preserve">or coverage of the reports provided </w:t>
      </w:r>
      <w:r>
        <w:t xml:space="preserve">by the Appointed Auditor </w:t>
      </w:r>
      <w:r w:rsidRPr="002E36DF">
        <w:t>in accordance with this Prudential Standard.</w:t>
      </w:r>
    </w:p>
    <w:p w14:paraId="7BC4CB05" w14:textId="77777777" w:rsidR="007130E0" w:rsidRPr="00693DA9" w:rsidRDefault="007130E0" w:rsidP="007130E0">
      <w:pPr>
        <w:pStyle w:val="Heading1"/>
      </w:pPr>
      <w:bookmarkStart w:id="31" w:name="_Toc109392172"/>
      <w:r>
        <w:lastRenderedPageBreak/>
        <w:t>Other responsibilities of the private health insurer</w:t>
      </w:r>
      <w:bookmarkEnd w:id="31"/>
    </w:p>
    <w:p w14:paraId="47AD7833" w14:textId="77777777" w:rsidR="007130E0" w:rsidRDefault="007130E0" w:rsidP="007130E0">
      <w:pPr>
        <w:pStyle w:val="BodyText1"/>
        <w:rPr>
          <w:b/>
        </w:rPr>
      </w:pPr>
      <w:r>
        <w:t xml:space="preserve">APRA liaison with an Appointed Auditor will normally be conducted under tripartite arrangements involving APRA, the private health </w:t>
      </w:r>
      <w:proofErr w:type="gramStart"/>
      <w:r>
        <w:t>insurer</w:t>
      </w:r>
      <w:proofErr w:type="gramEnd"/>
      <w:r>
        <w:t xml:space="preserve"> and the Appointed Auditor. Notwithstanding the tripartite relationship, a private health insurer must ensure that the Appointed Auditor is not prevented from meeting with APRA on a bilateral basis if requested by either party.</w:t>
      </w:r>
    </w:p>
    <w:p w14:paraId="64E92041" w14:textId="77777777" w:rsidR="007130E0" w:rsidRDefault="007130E0" w:rsidP="007130E0">
      <w:pPr>
        <w:pStyle w:val="BodyText1"/>
        <w:rPr>
          <w:b/>
        </w:rPr>
      </w:pPr>
      <w:r w:rsidRPr="00BC7A01">
        <w:t>Persons involved in the provision of information</w:t>
      </w:r>
      <w:r w:rsidDel="00BC7A01">
        <w:t xml:space="preserve"> </w:t>
      </w:r>
      <w:r>
        <w:t xml:space="preserve">should note that it is a serious offence under subsection 137.1 and 137.2 of the </w:t>
      </w:r>
      <w:r w:rsidRPr="00550EC1">
        <w:rPr>
          <w:i/>
        </w:rPr>
        <w:t>Criminal Code 1995</w:t>
      </w:r>
      <w:r w:rsidRPr="00C41B36">
        <w:t xml:space="preserve"> </w:t>
      </w:r>
      <w:r>
        <w:t xml:space="preserve">to provide, whether directly or indirectly, </w:t>
      </w:r>
      <w:proofErr w:type="gramStart"/>
      <w:r>
        <w:t>false</w:t>
      </w:r>
      <w:proofErr w:type="gramEnd"/>
      <w:r>
        <w:t xml:space="preserve"> or misleading documents or information to a Commonwealth entity such as APRA.</w:t>
      </w:r>
    </w:p>
    <w:p w14:paraId="5E8754BF" w14:textId="77777777" w:rsidR="007130E0" w:rsidRPr="000E56AE" w:rsidRDefault="007130E0" w:rsidP="007130E0">
      <w:pPr>
        <w:pStyle w:val="Heading1"/>
      </w:pPr>
      <w:bookmarkStart w:id="32" w:name="_Toc109392173"/>
      <w:r w:rsidRPr="000E56AE">
        <w:t xml:space="preserve">Special purpose </w:t>
      </w:r>
      <w:r>
        <w:t>engagements</w:t>
      </w:r>
      <w:bookmarkEnd w:id="32"/>
    </w:p>
    <w:p w14:paraId="08CB1C40" w14:textId="77777777" w:rsidR="007130E0" w:rsidRPr="00B04F37" w:rsidRDefault="007130E0" w:rsidP="007130E0">
      <w:pPr>
        <w:pStyle w:val="BodyText1"/>
        <w:rPr>
          <w:b/>
        </w:rPr>
      </w:pPr>
      <w:bookmarkStart w:id="33" w:name="_Ref214184463"/>
      <w:r>
        <w:t>APRA may require the private health insurer, by notice in writing, to engage its Appointed Auditor to</w:t>
      </w:r>
      <w:r w:rsidRPr="00B04F37">
        <w:t>:</w:t>
      </w:r>
      <w:bookmarkEnd w:id="33"/>
    </w:p>
    <w:p w14:paraId="73077633" w14:textId="77777777" w:rsidR="007130E0" w:rsidRPr="002F2881" w:rsidRDefault="007130E0" w:rsidP="007130E0">
      <w:pPr>
        <w:pStyle w:val="BodyText2"/>
        <w:rPr>
          <w:b/>
        </w:rPr>
      </w:pPr>
      <w:r w:rsidRPr="002F2881">
        <w:t>undertake a special purpose engagement relating to matters set out in writing by APRA relating to the private health insurer’s operations, risk management or financial affairs; and</w:t>
      </w:r>
    </w:p>
    <w:p w14:paraId="004E7027" w14:textId="77777777" w:rsidR="007130E0" w:rsidRPr="002F2881" w:rsidRDefault="007130E0" w:rsidP="007130E0">
      <w:pPr>
        <w:pStyle w:val="BodyText2"/>
        <w:rPr>
          <w:b/>
        </w:rPr>
      </w:pPr>
      <w:r w:rsidRPr="002F2881">
        <w:t>prepare a report in respect of that engagement.</w:t>
      </w:r>
    </w:p>
    <w:p w14:paraId="5C3131C0" w14:textId="34291A27" w:rsidR="007130E0" w:rsidRPr="002F2881" w:rsidRDefault="007130E0" w:rsidP="007130E0">
      <w:pPr>
        <w:pStyle w:val="BodyText1"/>
        <w:rPr>
          <w:b/>
        </w:rPr>
      </w:pPr>
      <w:bookmarkStart w:id="34" w:name="_Ref336002944"/>
      <w:bookmarkStart w:id="35" w:name="_Ref84496400"/>
      <w:r w:rsidRPr="002F2881">
        <w:t xml:space="preserve">A private health insurer may engage an auditor other than the Auditor appointed under paragraph </w:t>
      </w:r>
      <w:r w:rsidRPr="002F2881">
        <w:rPr>
          <w:b/>
        </w:rPr>
        <w:fldChar w:fldCharType="begin"/>
      </w:r>
      <w:r w:rsidRPr="002F2881">
        <w:instrText xml:space="preserve"> REF _Ref499034498 \r \h  \* MERGEFORMAT </w:instrText>
      </w:r>
      <w:r w:rsidRPr="002F2881">
        <w:rPr>
          <w:b/>
        </w:rPr>
      </w:r>
      <w:r w:rsidRPr="002F2881">
        <w:rPr>
          <w:b/>
        </w:rPr>
        <w:fldChar w:fldCharType="separate"/>
      </w:r>
      <w:r w:rsidR="005439FE">
        <w:t>6</w:t>
      </w:r>
      <w:r w:rsidRPr="002F2881">
        <w:rPr>
          <w:b/>
        </w:rPr>
        <w:fldChar w:fldCharType="end"/>
      </w:r>
      <w:r w:rsidRPr="002F2881">
        <w:t xml:space="preserve"> to conduct a special purpose engagement, but only where this is agreed to by APRA and the Auditor satisfies the criteria set out in paragraph </w:t>
      </w:r>
      <w:bookmarkEnd w:id="34"/>
      <w:r w:rsidRPr="002F2881">
        <w:rPr>
          <w:b/>
        </w:rPr>
        <w:fldChar w:fldCharType="begin"/>
      </w:r>
      <w:r w:rsidRPr="002F2881">
        <w:instrText xml:space="preserve"> REF _Ref84496470 \r \h  \* MERGEFORMAT </w:instrText>
      </w:r>
      <w:r w:rsidRPr="002F2881">
        <w:rPr>
          <w:b/>
        </w:rPr>
      </w:r>
      <w:r w:rsidRPr="002F2881">
        <w:rPr>
          <w:b/>
        </w:rPr>
        <w:fldChar w:fldCharType="separate"/>
      </w:r>
      <w:r w:rsidR="005439FE">
        <w:t>10</w:t>
      </w:r>
      <w:r w:rsidRPr="002F2881">
        <w:rPr>
          <w:b/>
        </w:rPr>
        <w:fldChar w:fldCharType="end"/>
      </w:r>
      <w:r w:rsidRPr="002F2881">
        <w:t>.</w:t>
      </w:r>
      <w:bookmarkEnd w:id="35"/>
      <w:r w:rsidRPr="002F2881">
        <w:t xml:space="preserve"> </w:t>
      </w:r>
    </w:p>
    <w:p w14:paraId="664E8BAF" w14:textId="77777777" w:rsidR="007130E0" w:rsidRPr="002F2881" w:rsidRDefault="007130E0" w:rsidP="007130E0">
      <w:pPr>
        <w:pStyle w:val="BodyText1"/>
        <w:rPr>
          <w:b/>
        </w:rPr>
      </w:pPr>
      <w:bookmarkStart w:id="36" w:name="_Ref84496492"/>
      <w:r w:rsidRPr="002F2881">
        <w:t>A private health insurer must require an auditor appointed for a special purpose engagement to address limited assurance on the matters upon which the auditor is required to report unless otherwise determined by APRA and advised to the private health insurer in writing.</w:t>
      </w:r>
      <w:bookmarkEnd w:id="36"/>
    </w:p>
    <w:p w14:paraId="6E51A73E" w14:textId="77777777" w:rsidR="007130E0" w:rsidRPr="002F2881" w:rsidRDefault="007130E0" w:rsidP="007130E0">
      <w:pPr>
        <w:pStyle w:val="BodyText1"/>
        <w:rPr>
          <w:b/>
        </w:rPr>
      </w:pPr>
      <w:r w:rsidRPr="002F2881">
        <w:t>A private health insurer must require an auditor appointed for a special purpose engagement to submit, within three months of the date of the notice commissioning the report, an auditor’s report simultaneously to APRA and to the Board of the private health insurer, unless otherwise determined by APRA.</w:t>
      </w:r>
    </w:p>
    <w:p w14:paraId="4D89DA3A" w14:textId="381452A4" w:rsidR="007130E0" w:rsidRDefault="007130E0" w:rsidP="007130E0">
      <w:pPr>
        <w:pStyle w:val="BodyText1"/>
        <w:rPr>
          <w:b/>
        </w:rPr>
      </w:pPr>
      <w:r w:rsidRPr="002F2881">
        <w:t xml:space="preserve">A private health insurer must require an auditor appointed for a special purpose engagement to modify the report referred to in paragraph </w:t>
      </w:r>
      <w:r w:rsidRPr="002F2881">
        <w:rPr>
          <w:b/>
        </w:rPr>
        <w:fldChar w:fldCharType="begin"/>
      </w:r>
      <w:r w:rsidRPr="002F2881">
        <w:instrText xml:space="preserve"> REF _Ref84496492 \r \h  \* MERGEFORMAT </w:instrText>
      </w:r>
      <w:r w:rsidRPr="002F2881">
        <w:rPr>
          <w:b/>
        </w:rPr>
      </w:r>
      <w:r w:rsidRPr="002F2881">
        <w:rPr>
          <w:b/>
        </w:rPr>
        <w:fldChar w:fldCharType="separate"/>
      </w:r>
      <w:r w:rsidR="005439FE">
        <w:t>22</w:t>
      </w:r>
      <w:r w:rsidRPr="002F2881">
        <w:rPr>
          <w:b/>
        </w:rPr>
        <w:fldChar w:fldCharType="end"/>
      </w:r>
      <w:r w:rsidRPr="002F2881">
        <w:t xml:space="preserve"> for breaches relating to the matters upon which the Auditor is required to report which, in</w:t>
      </w:r>
      <w:r w:rsidRPr="00CA4569">
        <w:t xml:space="preserve"> the Auditor’s professional opinion, are material. In forming an opinion as to whether a breach is material, the</w:t>
      </w:r>
      <w:r>
        <w:t xml:space="preserve"> private health insurer must require the a</w:t>
      </w:r>
      <w:r w:rsidRPr="00CA4569">
        <w:t xml:space="preserve">uditor </w:t>
      </w:r>
      <w:r>
        <w:t xml:space="preserve">to have regard </w:t>
      </w:r>
      <w:r w:rsidRPr="00CA4569">
        <w:t>to relevant AUASB standards and</w:t>
      </w:r>
      <w:r>
        <w:t xml:space="preserve"> guidance.</w:t>
      </w:r>
    </w:p>
    <w:p w14:paraId="3C85C1B5" w14:textId="77777777" w:rsidR="007130E0" w:rsidRDefault="007130E0" w:rsidP="007130E0">
      <w:pPr>
        <w:pStyle w:val="BodyText1"/>
        <w:rPr>
          <w:b/>
        </w:rPr>
      </w:pPr>
      <w:bookmarkStart w:id="37" w:name="_Ref209261626"/>
      <w:r w:rsidRPr="00B04F37">
        <w:t xml:space="preserve">The cost of a special purpose </w:t>
      </w:r>
      <w:r>
        <w:t>engagement</w:t>
      </w:r>
      <w:r w:rsidRPr="00B04F37">
        <w:t xml:space="preserve"> will be borne by the </w:t>
      </w:r>
      <w:r>
        <w:t>private health insurer</w:t>
      </w:r>
      <w:r w:rsidRPr="00B04F37">
        <w:t>.</w:t>
      </w:r>
    </w:p>
    <w:p w14:paraId="72650009" w14:textId="77777777" w:rsidR="007130E0" w:rsidRPr="00A65A2F" w:rsidRDefault="007130E0" w:rsidP="007130E0">
      <w:pPr>
        <w:pStyle w:val="Heading1"/>
      </w:pPr>
      <w:bookmarkStart w:id="38" w:name="_Toc109392174"/>
      <w:bookmarkEnd w:id="37"/>
      <w:r w:rsidRPr="00A65A2F">
        <w:lastRenderedPageBreak/>
        <w:t>Adjustments and exclusions</w:t>
      </w:r>
      <w:bookmarkEnd w:id="38"/>
    </w:p>
    <w:p w14:paraId="27BF5DD2" w14:textId="77777777" w:rsidR="007130E0" w:rsidRDefault="007130E0" w:rsidP="007130E0">
      <w:pPr>
        <w:pStyle w:val="BodyText1"/>
      </w:pPr>
      <w:bookmarkStart w:id="39" w:name="_Ref214343768"/>
      <w:r w:rsidRPr="007B7DB7">
        <w:t>APRA may, by notice in writing to a private health insurer, adjust or exclude a specific requirement in this Prudential Standard in relation to that private health insurer.</w:t>
      </w:r>
      <w:bookmarkEnd w:id="39"/>
    </w:p>
    <w:p w14:paraId="331C189E" w14:textId="70D5F6C5" w:rsidR="007130E0" w:rsidRDefault="007130E0" w:rsidP="007130E0">
      <w:pPr>
        <w:pStyle w:val="Heading1"/>
      </w:pPr>
      <w:bookmarkStart w:id="40" w:name="_Toc109392175"/>
      <w:r>
        <w:t xml:space="preserve">Previous </w:t>
      </w:r>
      <w:r w:rsidR="00DB1314">
        <w:t xml:space="preserve">exercise of </w:t>
      </w:r>
      <w:r>
        <w:t>discretion</w:t>
      </w:r>
      <w:bookmarkEnd w:id="40"/>
      <w:r>
        <w:t xml:space="preserve"> </w:t>
      </w:r>
    </w:p>
    <w:p w14:paraId="57E92516" w14:textId="77777777" w:rsidR="007130E0" w:rsidRDefault="007130E0" w:rsidP="007130E0">
      <w:pPr>
        <w:pStyle w:val="BodyText1"/>
      </w:pPr>
      <w:r>
        <w:t xml:space="preserve">A private health insurer must contact APRA if it seeks to place reliance, for the purposes of complying with this Prudential Standard, on a previous exemption or other exercise of discretion made by APRA under a previous Prudential Standard. </w:t>
      </w:r>
    </w:p>
    <w:p w14:paraId="2640A5F8" w14:textId="77777777" w:rsidR="0038413F" w:rsidRDefault="0038413F" w:rsidP="00DF539C"/>
    <w:p w14:paraId="192BE0EE"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4360C907" w14:textId="060D704A" w:rsidR="007D2D7F" w:rsidRDefault="00E16DD9" w:rsidP="007130E0">
      <w:pPr>
        <w:pStyle w:val="Heading2"/>
        <w:tabs>
          <w:tab w:val="left" w:pos="2910"/>
        </w:tabs>
      </w:pPr>
      <w:bookmarkStart w:id="41" w:name="_Toc109392176"/>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5439FE">
        <w:rPr>
          <w:rStyle w:val="Attachmentfieldtext"/>
          <w:noProof/>
        </w:rPr>
        <w:t>A</w:t>
      </w:r>
      <w:bookmarkEnd w:id="41"/>
      <w:r w:rsidR="00B766FA" w:rsidRPr="001F6B8D">
        <w:rPr>
          <w:rStyle w:val="Attachmentfieldtext"/>
        </w:rPr>
        <w:fldChar w:fldCharType="end"/>
      </w:r>
    </w:p>
    <w:p w14:paraId="730CDEB7" w14:textId="77777777" w:rsidR="007130E0" w:rsidRDefault="007130E0" w:rsidP="007130E0">
      <w:pPr>
        <w:rPr>
          <w:szCs w:val="22"/>
        </w:rPr>
      </w:pPr>
      <w:r>
        <w:t>The</w:t>
      </w:r>
      <w:r w:rsidRPr="00120F94">
        <w:t xml:space="preserve"> </w:t>
      </w:r>
      <w:r>
        <w:t>A</w:t>
      </w:r>
      <w:r w:rsidRPr="00120F94">
        <w:t>uditor must provide</w:t>
      </w:r>
      <w:r>
        <w:rPr>
          <w:b/>
        </w:rPr>
        <w:t xml:space="preserve"> </w:t>
      </w:r>
      <w:r>
        <w:t>assurance on the data provided to APRA in the forms as listed below</w:t>
      </w:r>
      <w:r w:rsidRPr="00C23B3C">
        <w:t>, or as instructed by APRA from time to time.</w:t>
      </w:r>
      <w:r>
        <w:rPr>
          <w:szCs w:val="22"/>
        </w:rPr>
        <w:t xml:space="preserve"> </w:t>
      </w:r>
    </w:p>
    <w:p w14:paraId="4FC91621" w14:textId="77777777" w:rsidR="007130E0" w:rsidRDefault="007130E0" w:rsidP="007130E0">
      <w:pPr>
        <w:rPr>
          <w:szCs w:val="22"/>
        </w:rPr>
      </w:pPr>
      <w:r>
        <w:rPr>
          <w:szCs w:val="22"/>
        </w:rPr>
        <w:t>APRA determined these forms in reporting standards made under FSCODA.</w:t>
      </w:r>
    </w:p>
    <w:p w14:paraId="7062CF5F" w14:textId="77777777" w:rsidR="007130E0" w:rsidRPr="0016554C" w:rsidRDefault="007130E0" w:rsidP="007130E0">
      <w:pPr>
        <w:rPr>
          <w:rFonts w:ascii="Arial" w:hAnsi="Arial" w:cs="Arial"/>
          <w:b/>
        </w:rPr>
      </w:pPr>
      <w:bookmarkStart w:id="42" w:name="_Hlk81566868"/>
      <w:r w:rsidRPr="0016554C">
        <w:rPr>
          <w:rFonts w:ascii="Arial" w:hAnsi="Arial" w:cs="Arial"/>
          <w:b/>
        </w:rPr>
        <w:t>Table 1</w:t>
      </w:r>
      <w:r>
        <w:rPr>
          <w:rFonts w:ascii="Arial" w:hAnsi="Arial" w:cs="Arial"/>
          <w:b/>
        </w:rPr>
        <w:t xml:space="preserve"> – Auditable annual returns</w:t>
      </w:r>
    </w:p>
    <w:tbl>
      <w:tblPr>
        <w:tblpPr w:leftFromText="180" w:rightFromText="180" w:vertAnchor="text" w:tblpY="1"/>
        <w:tblOverlap w:val="never"/>
        <w:tblW w:w="8286" w:type="dxa"/>
        <w:tblLayout w:type="fixed"/>
        <w:tblLook w:val="0000" w:firstRow="0" w:lastRow="0" w:firstColumn="0" w:lastColumn="0" w:noHBand="0" w:noVBand="0"/>
      </w:tblPr>
      <w:tblGrid>
        <w:gridCol w:w="863"/>
        <w:gridCol w:w="4089"/>
        <w:gridCol w:w="1559"/>
        <w:gridCol w:w="1775"/>
      </w:tblGrid>
      <w:tr w:rsidR="007130E0" w:rsidRPr="0016554C" w14:paraId="0D218E00" w14:textId="77777777" w:rsidTr="006011F4">
        <w:trPr>
          <w:trHeight w:val="645"/>
          <w:tblHeader/>
        </w:trPr>
        <w:tc>
          <w:tcPr>
            <w:tcW w:w="863" w:type="dxa"/>
            <w:tcBorders>
              <w:top w:val="single" w:sz="8" w:space="0" w:color="000000"/>
              <w:left w:val="single" w:sz="8" w:space="0" w:color="000000"/>
              <w:bottom w:val="single" w:sz="8" w:space="0" w:color="000000"/>
              <w:right w:val="single" w:sz="8" w:space="0" w:color="000000"/>
            </w:tcBorders>
            <w:shd w:val="clear" w:color="auto" w:fill="C0C0C0"/>
          </w:tcPr>
          <w:p w14:paraId="19BA521F" w14:textId="77777777" w:rsidR="007130E0" w:rsidRPr="0016554C" w:rsidRDefault="007130E0" w:rsidP="006011F4">
            <w:pPr>
              <w:rPr>
                <w:rFonts w:ascii="Arial" w:hAnsi="Arial" w:cs="Arial"/>
                <w:b/>
                <w:bCs/>
              </w:rPr>
            </w:pPr>
            <w:r w:rsidRPr="0016554C">
              <w:rPr>
                <w:rFonts w:ascii="Arial" w:hAnsi="Arial" w:cs="Arial"/>
                <w:b/>
                <w:bCs/>
              </w:rPr>
              <w:t> </w:t>
            </w:r>
          </w:p>
        </w:tc>
        <w:tc>
          <w:tcPr>
            <w:tcW w:w="4089" w:type="dxa"/>
            <w:tcBorders>
              <w:top w:val="single" w:sz="8" w:space="0" w:color="000000"/>
              <w:left w:val="nil"/>
              <w:bottom w:val="single" w:sz="8" w:space="0" w:color="000000"/>
              <w:right w:val="single" w:sz="8" w:space="0" w:color="000000"/>
            </w:tcBorders>
            <w:shd w:val="clear" w:color="auto" w:fill="C0C0C0"/>
          </w:tcPr>
          <w:p w14:paraId="1BED243D" w14:textId="77777777" w:rsidR="007130E0" w:rsidRPr="0016554C" w:rsidRDefault="007130E0" w:rsidP="006011F4">
            <w:pPr>
              <w:rPr>
                <w:rFonts w:cs="Arial"/>
                <w:b/>
                <w:bCs/>
                <w:szCs w:val="22"/>
              </w:rPr>
            </w:pPr>
            <w:r w:rsidRPr="0016554C">
              <w:rPr>
                <w:rFonts w:cs="Arial"/>
                <w:b/>
                <w:bCs/>
                <w:szCs w:val="22"/>
              </w:rPr>
              <w:t>Reporting Standard Name</w:t>
            </w:r>
          </w:p>
        </w:tc>
        <w:tc>
          <w:tcPr>
            <w:tcW w:w="1559" w:type="dxa"/>
            <w:tcBorders>
              <w:top w:val="single" w:sz="8" w:space="0" w:color="000000"/>
              <w:left w:val="nil"/>
              <w:bottom w:val="single" w:sz="8" w:space="0" w:color="000000"/>
              <w:right w:val="single" w:sz="8" w:space="0" w:color="000000"/>
            </w:tcBorders>
            <w:shd w:val="clear" w:color="auto" w:fill="C0C0C0"/>
          </w:tcPr>
          <w:p w14:paraId="7393FBBE" w14:textId="77777777" w:rsidR="007130E0" w:rsidRPr="0016554C" w:rsidRDefault="007130E0" w:rsidP="006011F4">
            <w:pPr>
              <w:rPr>
                <w:rFonts w:cs="Arial"/>
                <w:b/>
                <w:bCs/>
                <w:szCs w:val="22"/>
              </w:rPr>
            </w:pPr>
            <w:r w:rsidRPr="0016554C">
              <w:rPr>
                <w:rFonts w:cs="Arial"/>
                <w:b/>
                <w:bCs/>
                <w:szCs w:val="22"/>
              </w:rPr>
              <w:t xml:space="preserve">Reporting Standard </w:t>
            </w:r>
            <w:r>
              <w:rPr>
                <w:rFonts w:cs="Arial"/>
                <w:b/>
                <w:bCs/>
                <w:szCs w:val="22"/>
              </w:rPr>
              <w:t>Number</w:t>
            </w:r>
          </w:p>
        </w:tc>
        <w:tc>
          <w:tcPr>
            <w:tcW w:w="1775" w:type="dxa"/>
            <w:tcBorders>
              <w:top w:val="single" w:sz="8" w:space="0" w:color="000000"/>
              <w:left w:val="nil"/>
              <w:bottom w:val="single" w:sz="8" w:space="0" w:color="000000"/>
              <w:right w:val="single" w:sz="8" w:space="0" w:color="000000"/>
            </w:tcBorders>
            <w:shd w:val="clear" w:color="auto" w:fill="C0C0C0"/>
          </w:tcPr>
          <w:p w14:paraId="0F2DA216" w14:textId="77777777" w:rsidR="007130E0" w:rsidRPr="0016554C" w:rsidRDefault="007130E0" w:rsidP="006011F4">
            <w:pPr>
              <w:rPr>
                <w:rFonts w:cs="Arial"/>
                <w:b/>
                <w:bCs/>
                <w:szCs w:val="22"/>
              </w:rPr>
            </w:pPr>
            <w:r w:rsidRPr="0016554C">
              <w:rPr>
                <w:rFonts w:cs="Arial"/>
                <w:b/>
                <w:bCs/>
                <w:szCs w:val="22"/>
              </w:rPr>
              <w:t>Level of Assurance</w:t>
            </w:r>
            <w:r w:rsidRPr="0016554C">
              <w:rPr>
                <w:rStyle w:val="FootnoteReference"/>
                <w:rFonts w:cs="Arial"/>
                <w:szCs w:val="22"/>
              </w:rPr>
              <w:footnoteReference w:id="1"/>
            </w:r>
          </w:p>
        </w:tc>
      </w:tr>
      <w:tr w:rsidR="0042153C" w:rsidRPr="0016554C" w14:paraId="71CB568B"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5442A3B0" w14:textId="4985C5E0" w:rsidR="0042153C" w:rsidRDefault="0042153C" w:rsidP="0042153C">
            <w:pPr>
              <w:jc w:val="right"/>
              <w:rPr>
                <w:rFonts w:cs="Arial"/>
                <w:sz w:val="23"/>
                <w:szCs w:val="23"/>
              </w:rPr>
            </w:pPr>
            <w:r>
              <w:rPr>
                <w:rFonts w:cs="Arial"/>
                <w:sz w:val="23"/>
                <w:szCs w:val="23"/>
              </w:rPr>
              <w:t>1</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1B8E8815" w14:textId="54B271F6" w:rsidR="0042153C" w:rsidRPr="00CB39EB" w:rsidRDefault="0042153C" w:rsidP="0042153C">
            <w:pPr>
              <w:pStyle w:val="Default"/>
              <w:rPr>
                <w:sz w:val="23"/>
                <w:szCs w:val="23"/>
              </w:rPr>
            </w:pPr>
            <w:r w:rsidRPr="00CB39EB">
              <w:rPr>
                <w:sz w:val="23"/>
                <w:szCs w:val="23"/>
              </w:rPr>
              <w:t>Regulatory Income Statement Supplementary Information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074BBF" w14:textId="6BB0D62B" w:rsidR="0042153C" w:rsidRPr="00CB39EB" w:rsidRDefault="0042153C" w:rsidP="0042153C">
            <w:pPr>
              <w:pStyle w:val="Default"/>
              <w:rPr>
                <w:sz w:val="23"/>
                <w:szCs w:val="23"/>
              </w:rPr>
            </w:pPr>
            <w:r w:rsidRPr="00CB39EB">
              <w:rPr>
                <w:sz w:val="23"/>
                <w:szCs w:val="23"/>
              </w:rPr>
              <w:t xml:space="preserve">HRS </w:t>
            </w:r>
            <w:r>
              <w:rPr>
                <w:sz w:val="23"/>
                <w:szCs w:val="23"/>
              </w:rPr>
              <w:t>101.</w:t>
            </w:r>
            <w:r w:rsidR="00C82E16">
              <w:rPr>
                <w:sz w:val="23"/>
                <w:szCs w:val="23"/>
              </w:rPr>
              <w:t>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20F1A81E" w14:textId="687A2692" w:rsidR="0042153C" w:rsidRPr="00CB39EB" w:rsidRDefault="0042153C" w:rsidP="0042153C">
            <w:pPr>
              <w:rPr>
                <w:rFonts w:cs="Arial"/>
                <w:sz w:val="23"/>
                <w:szCs w:val="23"/>
              </w:rPr>
            </w:pPr>
            <w:r w:rsidRPr="00CB39EB">
              <w:rPr>
                <w:rFonts w:cs="Arial"/>
                <w:sz w:val="23"/>
                <w:szCs w:val="23"/>
              </w:rPr>
              <w:t>Reasonable</w:t>
            </w:r>
          </w:p>
        </w:tc>
      </w:tr>
      <w:tr w:rsidR="0042153C" w:rsidRPr="0016554C" w14:paraId="3B9438A4"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4DDA4B0D" w14:textId="2C04FA91" w:rsidR="0042153C" w:rsidRDefault="0042153C" w:rsidP="0042153C">
            <w:pPr>
              <w:jc w:val="right"/>
              <w:rPr>
                <w:rFonts w:cs="Arial"/>
                <w:sz w:val="23"/>
                <w:szCs w:val="23"/>
              </w:rPr>
            </w:pPr>
            <w:r>
              <w:rPr>
                <w:rFonts w:cs="Arial"/>
                <w:sz w:val="23"/>
                <w:szCs w:val="23"/>
              </w:rPr>
              <w:t>2</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4A7E06D7" w14:textId="3986FE67" w:rsidR="0042153C" w:rsidRPr="00CB39EB" w:rsidRDefault="000B13A9" w:rsidP="0042153C">
            <w:pPr>
              <w:pStyle w:val="Default"/>
              <w:rPr>
                <w:sz w:val="23"/>
                <w:szCs w:val="23"/>
              </w:rPr>
            </w:pPr>
            <w:r>
              <w:rPr>
                <w:sz w:val="23"/>
                <w:szCs w:val="23"/>
              </w:rPr>
              <w:t>Forecasts and Targets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FD94D21" w14:textId="65F29AEA" w:rsidR="0042153C" w:rsidRPr="00CB39EB" w:rsidRDefault="0042153C" w:rsidP="0042153C">
            <w:pPr>
              <w:pStyle w:val="Default"/>
              <w:rPr>
                <w:sz w:val="23"/>
                <w:szCs w:val="23"/>
              </w:rPr>
            </w:pPr>
            <w:r>
              <w:rPr>
                <w:sz w:val="23"/>
                <w:szCs w:val="23"/>
              </w:rPr>
              <w:t>HRS 104.0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2E70E1D3" w14:textId="0505863E" w:rsidR="0042153C" w:rsidRPr="00CB39EB" w:rsidRDefault="000B13A9" w:rsidP="0042153C">
            <w:pPr>
              <w:rPr>
                <w:rFonts w:cs="Arial"/>
                <w:sz w:val="23"/>
                <w:szCs w:val="23"/>
              </w:rPr>
            </w:pPr>
            <w:r>
              <w:rPr>
                <w:rFonts w:cs="Arial"/>
                <w:sz w:val="23"/>
                <w:szCs w:val="23"/>
              </w:rPr>
              <w:t>Limited</w:t>
            </w:r>
          </w:p>
        </w:tc>
      </w:tr>
      <w:tr w:rsidR="0042153C" w:rsidRPr="0016554C" w14:paraId="11CAD8CB"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3F79675F" w14:textId="560D5E7F" w:rsidR="0042153C" w:rsidRDefault="0042153C" w:rsidP="0042153C">
            <w:pPr>
              <w:jc w:val="right"/>
              <w:rPr>
                <w:rFonts w:cs="Arial"/>
                <w:sz w:val="23"/>
                <w:szCs w:val="23"/>
              </w:rPr>
            </w:pPr>
            <w:r>
              <w:rPr>
                <w:rFonts w:cs="Arial"/>
                <w:sz w:val="23"/>
                <w:szCs w:val="23"/>
              </w:rPr>
              <w:t>3</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2F7F71FE" w14:textId="25279CDF" w:rsidR="0042153C" w:rsidRPr="00CB39EB" w:rsidRDefault="0042153C" w:rsidP="0042153C">
            <w:pPr>
              <w:pStyle w:val="Default"/>
              <w:rPr>
                <w:sz w:val="23"/>
                <w:szCs w:val="23"/>
              </w:rPr>
            </w:pPr>
            <w:r>
              <w:rPr>
                <w:sz w:val="23"/>
                <w:szCs w:val="23"/>
              </w:rPr>
              <w:t>Claims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744E5E1" w14:textId="71EB8E9F" w:rsidR="0042153C" w:rsidRPr="00CB39EB" w:rsidRDefault="0042153C" w:rsidP="0042153C">
            <w:pPr>
              <w:pStyle w:val="Default"/>
              <w:rPr>
                <w:sz w:val="23"/>
                <w:szCs w:val="23"/>
              </w:rPr>
            </w:pPr>
            <w:r>
              <w:rPr>
                <w:sz w:val="23"/>
                <w:szCs w:val="23"/>
              </w:rPr>
              <w:t>HRS 109.0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3933C2F4" w14:textId="2CBA7EB8" w:rsidR="0042153C" w:rsidRPr="00CB39EB" w:rsidRDefault="0042153C" w:rsidP="0042153C">
            <w:pPr>
              <w:rPr>
                <w:rFonts w:cs="Arial"/>
                <w:sz w:val="23"/>
                <w:szCs w:val="23"/>
              </w:rPr>
            </w:pPr>
            <w:r>
              <w:rPr>
                <w:rFonts w:cs="Arial"/>
                <w:sz w:val="23"/>
                <w:szCs w:val="23"/>
              </w:rPr>
              <w:t>Reasonable</w:t>
            </w:r>
          </w:p>
        </w:tc>
      </w:tr>
      <w:tr w:rsidR="0042153C" w:rsidRPr="0016554C" w14:paraId="1F3F4FD0"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5B514FFE" w14:textId="2B021B93" w:rsidR="0042153C" w:rsidRPr="00CB39EB" w:rsidDel="009F1EC8" w:rsidRDefault="0042153C" w:rsidP="0042153C">
            <w:pPr>
              <w:jc w:val="right"/>
              <w:rPr>
                <w:rFonts w:cs="Arial"/>
                <w:sz w:val="23"/>
                <w:szCs w:val="23"/>
              </w:rPr>
            </w:pPr>
            <w:r>
              <w:rPr>
                <w:rFonts w:cs="Arial"/>
                <w:sz w:val="23"/>
                <w:szCs w:val="23"/>
              </w:rPr>
              <w:t>4</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5976B3BD" w14:textId="77777777" w:rsidR="0042153C" w:rsidRDefault="0042153C" w:rsidP="0042153C">
            <w:pPr>
              <w:pStyle w:val="Default"/>
              <w:rPr>
                <w:sz w:val="23"/>
                <w:szCs w:val="23"/>
              </w:rPr>
            </w:pPr>
            <w:r w:rsidRPr="00CB39EB">
              <w:rPr>
                <w:sz w:val="23"/>
                <w:szCs w:val="23"/>
              </w:rPr>
              <w:t xml:space="preserve">Prescribed Capital Amount </w:t>
            </w:r>
          </w:p>
          <w:p w14:paraId="39DA4C27" w14:textId="77777777" w:rsidR="0042153C" w:rsidRPr="00CB39EB" w:rsidRDefault="0042153C" w:rsidP="0042153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6A83CA1" w14:textId="77777777" w:rsidR="0042153C" w:rsidRPr="00CB39EB" w:rsidRDefault="0042153C" w:rsidP="0042153C">
            <w:pPr>
              <w:pStyle w:val="Default"/>
              <w:rPr>
                <w:sz w:val="23"/>
                <w:szCs w:val="23"/>
              </w:rPr>
            </w:pPr>
            <w:r w:rsidRPr="00CB39EB">
              <w:rPr>
                <w:sz w:val="23"/>
                <w:szCs w:val="23"/>
              </w:rPr>
              <w:t>HRS 110.0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7F2A9266" w14:textId="77777777" w:rsidR="0042153C" w:rsidRPr="00CB39EB" w:rsidRDefault="0042153C" w:rsidP="0042153C">
            <w:pPr>
              <w:rPr>
                <w:rFonts w:cs="Arial"/>
                <w:sz w:val="23"/>
                <w:szCs w:val="23"/>
              </w:rPr>
            </w:pPr>
            <w:r w:rsidRPr="00CB39EB">
              <w:rPr>
                <w:rFonts w:cs="Arial"/>
                <w:sz w:val="23"/>
                <w:szCs w:val="23"/>
              </w:rPr>
              <w:t>Reasonable</w:t>
            </w:r>
          </w:p>
        </w:tc>
      </w:tr>
      <w:tr w:rsidR="0042153C" w:rsidRPr="0016554C" w14:paraId="30A3453C"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5AE5A2AC" w14:textId="0100C8BB" w:rsidR="0042153C" w:rsidRPr="00CB39EB" w:rsidDel="009F1EC8" w:rsidRDefault="0042153C" w:rsidP="0042153C">
            <w:pPr>
              <w:jc w:val="right"/>
              <w:rPr>
                <w:rFonts w:cs="Arial"/>
                <w:sz w:val="23"/>
                <w:szCs w:val="23"/>
              </w:rPr>
            </w:pPr>
            <w:r>
              <w:rPr>
                <w:rFonts w:cs="Arial"/>
                <w:sz w:val="23"/>
                <w:szCs w:val="23"/>
              </w:rPr>
              <w:t>5</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369E7E98" w14:textId="77777777" w:rsidR="0042153C" w:rsidRPr="00CB39EB" w:rsidRDefault="0042153C" w:rsidP="0042153C">
            <w:pPr>
              <w:pStyle w:val="Default"/>
              <w:rPr>
                <w:sz w:val="23"/>
                <w:szCs w:val="23"/>
              </w:rPr>
            </w:pPr>
            <w:r>
              <w:rPr>
                <w:sz w:val="23"/>
                <w:szCs w:val="23"/>
              </w:rPr>
              <w:t>Adjustments and Exclusions</w:t>
            </w:r>
          </w:p>
          <w:p w14:paraId="796B6C73" w14:textId="77777777" w:rsidR="0042153C" w:rsidRPr="00CB39EB" w:rsidRDefault="0042153C" w:rsidP="0042153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92C72D0" w14:textId="77777777" w:rsidR="0042153C" w:rsidRPr="007B7DB7" w:rsidRDefault="0042153C" w:rsidP="0042153C">
            <w:pPr>
              <w:pStyle w:val="Default"/>
              <w:rPr>
                <w:sz w:val="23"/>
              </w:rPr>
            </w:pPr>
            <w:r>
              <w:rPr>
                <w:sz w:val="23"/>
                <w:szCs w:val="23"/>
              </w:rPr>
              <w:t>HRS 111.0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293D52EE" w14:textId="77777777" w:rsidR="0042153C" w:rsidRPr="00CB39EB" w:rsidRDefault="0042153C" w:rsidP="0042153C">
            <w:pPr>
              <w:rPr>
                <w:rFonts w:cs="Arial"/>
                <w:sz w:val="23"/>
                <w:szCs w:val="23"/>
              </w:rPr>
            </w:pPr>
            <w:r w:rsidRPr="00CB39EB">
              <w:rPr>
                <w:rFonts w:cs="Arial"/>
                <w:sz w:val="23"/>
                <w:szCs w:val="23"/>
              </w:rPr>
              <w:t>Reasonable</w:t>
            </w:r>
          </w:p>
        </w:tc>
      </w:tr>
      <w:tr w:rsidR="0042153C" w:rsidRPr="0016554C" w14:paraId="370A4762"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02A3E14C" w14:textId="72351043" w:rsidR="0042153C" w:rsidRPr="00CB39EB" w:rsidDel="009F1EC8" w:rsidRDefault="0042153C" w:rsidP="0042153C">
            <w:pPr>
              <w:jc w:val="right"/>
              <w:rPr>
                <w:rFonts w:cs="Arial"/>
                <w:sz w:val="23"/>
                <w:szCs w:val="23"/>
              </w:rPr>
            </w:pPr>
            <w:r>
              <w:rPr>
                <w:rFonts w:cs="Arial"/>
                <w:sz w:val="23"/>
                <w:szCs w:val="23"/>
              </w:rPr>
              <w:t>6</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6406D38F" w14:textId="77777777" w:rsidR="0042153C" w:rsidRDefault="0042153C" w:rsidP="0042153C">
            <w:pPr>
              <w:pStyle w:val="Default"/>
              <w:rPr>
                <w:sz w:val="23"/>
                <w:szCs w:val="23"/>
              </w:rPr>
            </w:pPr>
            <w:r w:rsidRPr="00CB39EB">
              <w:rPr>
                <w:sz w:val="23"/>
                <w:szCs w:val="23"/>
              </w:rPr>
              <w:t>Determination of Capital Base</w:t>
            </w:r>
          </w:p>
          <w:p w14:paraId="74EF0292" w14:textId="77777777" w:rsidR="0042153C" w:rsidRPr="00CB39EB" w:rsidRDefault="0042153C" w:rsidP="0042153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4281EB" w14:textId="77777777" w:rsidR="0042153C" w:rsidRPr="00CB39EB" w:rsidRDefault="0042153C" w:rsidP="0042153C">
            <w:pPr>
              <w:pStyle w:val="Default"/>
              <w:rPr>
                <w:sz w:val="23"/>
                <w:szCs w:val="23"/>
              </w:rPr>
            </w:pPr>
            <w:r w:rsidRPr="00CB39EB">
              <w:rPr>
                <w:sz w:val="23"/>
                <w:szCs w:val="23"/>
              </w:rPr>
              <w:t>HRS 112.0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627ED6FB" w14:textId="77777777" w:rsidR="0042153C" w:rsidRPr="00CB39EB" w:rsidRDefault="0042153C" w:rsidP="0042153C">
            <w:pPr>
              <w:rPr>
                <w:rFonts w:cs="Arial"/>
                <w:sz w:val="23"/>
                <w:szCs w:val="23"/>
              </w:rPr>
            </w:pPr>
            <w:r w:rsidRPr="00CB39EB">
              <w:rPr>
                <w:rFonts w:cs="Arial"/>
                <w:sz w:val="23"/>
                <w:szCs w:val="23"/>
              </w:rPr>
              <w:t>Reasonable</w:t>
            </w:r>
          </w:p>
        </w:tc>
      </w:tr>
      <w:tr w:rsidR="0042153C" w:rsidRPr="0016554C" w14:paraId="75E0FBAC"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2061392B" w14:textId="3482F913" w:rsidR="0042153C" w:rsidRPr="00CB39EB" w:rsidDel="009F1EC8" w:rsidRDefault="0042153C" w:rsidP="0042153C">
            <w:pPr>
              <w:jc w:val="right"/>
              <w:rPr>
                <w:rFonts w:cs="Arial"/>
                <w:sz w:val="23"/>
                <w:szCs w:val="23"/>
              </w:rPr>
            </w:pPr>
            <w:r>
              <w:rPr>
                <w:rFonts w:cs="Arial"/>
                <w:sz w:val="23"/>
                <w:szCs w:val="23"/>
              </w:rPr>
              <w:t>7</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4CDAF3CC" w14:textId="77777777" w:rsidR="0042153C" w:rsidRPr="00CB39EB" w:rsidRDefault="0042153C" w:rsidP="0042153C">
            <w:pPr>
              <w:pStyle w:val="Default"/>
              <w:rPr>
                <w:sz w:val="23"/>
                <w:szCs w:val="23"/>
              </w:rPr>
            </w:pPr>
            <w:r w:rsidRPr="00CB39EB">
              <w:rPr>
                <w:sz w:val="23"/>
                <w:szCs w:val="23"/>
              </w:rPr>
              <w:t xml:space="preserve">Related Party Exposures </w:t>
            </w:r>
          </w:p>
          <w:p w14:paraId="06C7B666" w14:textId="77777777" w:rsidR="0042153C" w:rsidRPr="00CB39EB" w:rsidRDefault="0042153C" w:rsidP="0042153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6AD2000" w14:textId="77777777" w:rsidR="0042153C" w:rsidRPr="00CB39EB" w:rsidRDefault="0042153C" w:rsidP="0042153C">
            <w:pPr>
              <w:pStyle w:val="Default"/>
              <w:rPr>
                <w:sz w:val="23"/>
                <w:szCs w:val="23"/>
              </w:rPr>
            </w:pPr>
            <w:r>
              <w:rPr>
                <w:sz w:val="23"/>
                <w:szCs w:val="23"/>
              </w:rPr>
              <w:t>HRS 112.3</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2AB17BA4" w14:textId="77777777" w:rsidR="0042153C" w:rsidRPr="00CB39EB" w:rsidRDefault="0042153C" w:rsidP="0042153C">
            <w:pPr>
              <w:rPr>
                <w:rFonts w:cs="Arial"/>
                <w:sz w:val="23"/>
                <w:szCs w:val="23"/>
              </w:rPr>
            </w:pPr>
            <w:r>
              <w:rPr>
                <w:rFonts w:cs="Arial"/>
                <w:sz w:val="23"/>
                <w:szCs w:val="23"/>
              </w:rPr>
              <w:t>Reasonable</w:t>
            </w:r>
          </w:p>
        </w:tc>
      </w:tr>
      <w:tr w:rsidR="0042153C" w:rsidRPr="0016554C" w14:paraId="09B19292"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5323DF0F" w14:textId="2E233B5A" w:rsidR="0042153C" w:rsidRPr="00CB39EB" w:rsidDel="009F1EC8" w:rsidRDefault="0042153C" w:rsidP="0042153C">
            <w:pPr>
              <w:jc w:val="right"/>
              <w:rPr>
                <w:rFonts w:cs="Arial"/>
                <w:sz w:val="23"/>
                <w:szCs w:val="23"/>
              </w:rPr>
            </w:pPr>
            <w:r>
              <w:rPr>
                <w:rFonts w:cs="Arial"/>
                <w:sz w:val="23"/>
                <w:szCs w:val="23"/>
              </w:rPr>
              <w:t>8</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223119BE" w14:textId="77777777" w:rsidR="0042153C" w:rsidRPr="00CB39EB" w:rsidRDefault="0042153C" w:rsidP="0042153C">
            <w:pPr>
              <w:pStyle w:val="Default"/>
              <w:rPr>
                <w:sz w:val="23"/>
                <w:szCs w:val="23"/>
              </w:rPr>
            </w:pPr>
            <w:r w:rsidRPr="00CB39EB">
              <w:rPr>
                <w:sz w:val="23"/>
                <w:szCs w:val="23"/>
              </w:rPr>
              <w:t xml:space="preserve">Asset Risk Charge </w:t>
            </w:r>
          </w:p>
          <w:p w14:paraId="50B558F3" w14:textId="77777777" w:rsidR="0042153C" w:rsidRPr="00CB39EB" w:rsidRDefault="0042153C" w:rsidP="0042153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82254B1" w14:textId="77777777" w:rsidR="0042153C" w:rsidRPr="00CB39EB" w:rsidRDefault="0042153C" w:rsidP="0042153C">
            <w:pPr>
              <w:pStyle w:val="Default"/>
              <w:rPr>
                <w:sz w:val="23"/>
                <w:szCs w:val="23"/>
              </w:rPr>
            </w:pPr>
            <w:r>
              <w:rPr>
                <w:sz w:val="23"/>
                <w:szCs w:val="23"/>
              </w:rPr>
              <w:t>HRS 114.0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3817F227" w14:textId="77777777" w:rsidR="0042153C" w:rsidRPr="00CB39EB" w:rsidRDefault="0042153C" w:rsidP="0042153C">
            <w:pPr>
              <w:rPr>
                <w:rFonts w:cs="Arial"/>
                <w:sz w:val="23"/>
                <w:szCs w:val="23"/>
              </w:rPr>
            </w:pPr>
            <w:r w:rsidRPr="00CB39EB">
              <w:rPr>
                <w:rFonts w:cs="Arial"/>
                <w:sz w:val="23"/>
                <w:szCs w:val="23"/>
              </w:rPr>
              <w:t>Reasonable</w:t>
            </w:r>
          </w:p>
        </w:tc>
      </w:tr>
      <w:tr w:rsidR="0042153C" w:rsidRPr="0016554C" w14:paraId="010CA143"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7C509AB1" w14:textId="153AA02F" w:rsidR="0042153C" w:rsidRPr="00CB39EB" w:rsidDel="009F1EC8" w:rsidRDefault="0042153C" w:rsidP="0042153C">
            <w:pPr>
              <w:jc w:val="right"/>
              <w:rPr>
                <w:rFonts w:cs="Arial"/>
                <w:sz w:val="23"/>
                <w:szCs w:val="23"/>
              </w:rPr>
            </w:pPr>
            <w:r>
              <w:rPr>
                <w:rFonts w:cs="Arial"/>
                <w:sz w:val="23"/>
                <w:szCs w:val="23"/>
              </w:rPr>
              <w:t>9</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3B4B6639" w14:textId="77777777" w:rsidR="0042153C" w:rsidRPr="00CB39EB" w:rsidRDefault="0042153C" w:rsidP="0042153C">
            <w:pPr>
              <w:pStyle w:val="Default"/>
              <w:rPr>
                <w:sz w:val="23"/>
                <w:szCs w:val="23"/>
              </w:rPr>
            </w:pPr>
            <w:r w:rsidRPr="00CB39EB">
              <w:rPr>
                <w:sz w:val="23"/>
                <w:szCs w:val="23"/>
              </w:rPr>
              <w:t xml:space="preserve">Insurance Risk Charge </w:t>
            </w:r>
          </w:p>
          <w:p w14:paraId="569D5E2A" w14:textId="77777777" w:rsidR="0042153C" w:rsidRPr="007B7DB7" w:rsidRDefault="0042153C" w:rsidP="0042153C">
            <w:pPr>
              <w:pStyle w:val="Default"/>
              <w:rPr>
                <w:sz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E3259B5" w14:textId="77777777" w:rsidR="0042153C" w:rsidRPr="007B7DB7" w:rsidRDefault="0042153C" w:rsidP="0042153C">
            <w:pPr>
              <w:pStyle w:val="Default"/>
              <w:rPr>
                <w:sz w:val="23"/>
              </w:rPr>
            </w:pPr>
            <w:r>
              <w:rPr>
                <w:sz w:val="23"/>
                <w:szCs w:val="23"/>
              </w:rPr>
              <w:t>HRS 115.0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1CA8568A" w14:textId="77777777" w:rsidR="0042153C" w:rsidRPr="00CB39EB" w:rsidRDefault="0042153C" w:rsidP="0042153C">
            <w:pPr>
              <w:rPr>
                <w:rFonts w:cs="Arial"/>
                <w:sz w:val="23"/>
                <w:szCs w:val="23"/>
              </w:rPr>
            </w:pPr>
            <w:r w:rsidRPr="00CB39EB">
              <w:rPr>
                <w:rFonts w:cs="Arial"/>
                <w:sz w:val="23"/>
                <w:szCs w:val="23"/>
              </w:rPr>
              <w:t>Reasonable</w:t>
            </w:r>
          </w:p>
        </w:tc>
      </w:tr>
      <w:tr w:rsidR="0042153C" w:rsidRPr="0016554C" w14:paraId="502DD0E7"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5C93327F" w14:textId="32F7F9A5" w:rsidR="0042153C" w:rsidRPr="00CB39EB" w:rsidRDefault="0042153C" w:rsidP="0042153C">
            <w:pPr>
              <w:jc w:val="right"/>
              <w:rPr>
                <w:rFonts w:cs="Arial"/>
                <w:sz w:val="23"/>
                <w:szCs w:val="23"/>
              </w:rPr>
            </w:pPr>
            <w:r>
              <w:rPr>
                <w:rFonts w:cs="Arial"/>
                <w:sz w:val="23"/>
                <w:szCs w:val="23"/>
              </w:rPr>
              <w:t>10</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160523F5" w14:textId="77777777" w:rsidR="0042153C" w:rsidRPr="00CB39EB" w:rsidRDefault="0042153C" w:rsidP="0042153C">
            <w:pPr>
              <w:pStyle w:val="Default"/>
              <w:rPr>
                <w:sz w:val="23"/>
                <w:szCs w:val="23"/>
              </w:rPr>
            </w:pPr>
            <w:r w:rsidRPr="00CB39EB">
              <w:rPr>
                <w:sz w:val="23"/>
                <w:szCs w:val="23"/>
              </w:rPr>
              <w:t xml:space="preserve">Asset Concentration Risk Charge </w:t>
            </w:r>
          </w:p>
          <w:p w14:paraId="5E412992" w14:textId="77777777" w:rsidR="0042153C" w:rsidRPr="00CB39EB" w:rsidRDefault="0042153C" w:rsidP="0042153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E4AF64" w14:textId="77777777" w:rsidR="0042153C" w:rsidRPr="00CB39EB" w:rsidRDefault="0042153C" w:rsidP="0042153C">
            <w:pPr>
              <w:pStyle w:val="Default"/>
              <w:rPr>
                <w:sz w:val="23"/>
                <w:szCs w:val="23"/>
              </w:rPr>
            </w:pPr>
            <w:r>
              <w:rPr>
                <w:sz w:val="23"/>
                <w:szCs w:val="23"/>
              </w:rPr>
              <w:t>HRS 117.0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542951A4" w14:textId="77777777" w:rsidR="0042153C" w:rsidRPr="00CB39EB" w:rsidRDefault="0042153C" w:rsidP="0042153C">
            <w:pPr>
              <w:rPr>
                <w:rFonts w:cs="Arial"/>
                <w:sz w:val="23"/>
                <w:szCs w:val="23"/>
              </w:rPr>
            </w:pPr>
            <w:r w:rsidRPr="00CB39EB">
              <w:rPr>
                <w:rFonts w:cs="Arial"/>
                <w:sz w:val="23"/>
                <w:szCs w:val="23"/>
              </w:rPr>
              <w:t>Reasonable</w:t>
            </w:r>
          </w:p>
        </w:tc>
      </w:tr>
      <w:tr w:rsidR="0042153C" w:rsidRPr="0016554C" w14:paraId="5E5662F8"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08B3FCF9" w14:textId="5611300C" w:rsidR="0042153C" w:rsidRPr="00CB39EB" w:rsidRDefault="0042153C" w:rsidP="0042153C">
            <w:pPr>
              <w:jc w:val="right"/>
              <w:rPr>
                <w:rFonts w:cs="Arial"/>
                <w:sz w:val="23"/>
                <w:szCs w:val="23"/>
              </w:rPr>
            </w:pPr>
            <w:r>
              <w:rPr>
                <w:rFonts w:cs="Arial"/>
                <w:sz w:val="23"/>
                <w:szCs w:val="23"/>
              </w:rPr>
              <w:t>11</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7BFC81C5" w14:textId="77777777" w:rsidR="0042153C" w:rsidRPr="00CB39EB" w:rsidRDefault="0042153C" w:rsidP="0042153C">
            <w:pPr>
              <w:pStyle w:val="Default"/>
              <w:rPr>
                <w:sz w:val="23"/>
                <w:szCs w:val="23"/>
              </w:rPr>
            </w:pPr>
            <w:r w:rsidRPr="00CB39EB">
              <w:rPr>
                <w:sz w:val="23"/>
                <w:szCs w:val="23"/>
              </w:rPr>
              <w:t xml:space="preserve">Operational Risk Charge </w:t>
            </w:r>
          </w:p>
          <w:p w14:paraId="210B4DF1" w14:textId="77777777" w:rsidR="0042153C" w:rsidRPr="00CB39EB" w:rsidRDefault="0042153C" w:rsidP="0042153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9B9D544" w14:textId="77777777" w:rsidR="0042153C" w:rsidRPr="00CB39EB" w:rsidRDefault="0042153C" w:rsidP="0042153C">
            <w:pPr>
              <w:pStyle w:val="Default"/>
              <w:rPr>
                <w:sz w:val="23"/>
                <w:szCs w:val="23"/>
              </w:rPr>
            </w:pPr>
            <w:r>
              <w:rPr>
                <w:sz w:val="23"/>
                <w:szCs w:val="23"/>
              </w:rPr>
              <w:t>HRS 118.0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79376CD0" w14:textId="77777777" w:rsidR="0042153C" w:rsidRPr="00CB39EB" w:rsidRDefault="0042153C" w:rsidP="0042153C">
            <w:pPr>
              <w:rPr>
                <w:rFonts w:cs="Arial"/>
                <w:sz w:val="23"/>
                <w:szCs w:val="23"/>
              </w:rPr>
            </w:pPr>
            <w:r w:rsidRPr="00CB39EB">
              <w:rPr>
                <w:rFonts w:cs="Arial"/>
                <w:sz w:val="23"/>
                <w:szCs w:val="23"/>
              </w:rPr>
              <w:t>Reasonable</w:t>
            </w:r>
          </w:p>
        </w:tc>
      </w:tr>
      <w:tr w:rsidR="0042153C" w:rsidRPr="0016554C" w14:paraId="329CAF06"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331FA43A" w14:textId="3B43DF87" w:rsidR="0042153C" w:rsidRPr="00CB39EB" w:rsidRDefault="0042153C" w:rsidP="0042153C">
            <w:pPr>
              <w:jc w:val="right"/>
              <w:rPr>
                <w:rFonts w:cs="Arial"/>
                <w:sz w:val="23"/>
                <w:szCs w:val="23"/>
              </w:rPr>
            </w:pPr>
            <w:r>
              <w:rPr>
                <w:rFonts w:cs="Arial"/>
                <w:sz w:val="23"/>
                <w:szCs w:val="23"/>
              </w:rPr>
              <w:t>12</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5FEC20A2" w14:textId="77777777" w:rsidR="0042153C" w:rsidRDefault="0042153C" w:rsidP="0042153C">
            <w:pPr>
              <w:pStyle w:val="Default"/>
              <w:rPr>
                <w:sz w:val="23"/>
                <w:szCs w:val="23"/>
              </w:rPr>
            </w:pPr>
            <w:r w:rsidRPr="0046699E">
              <w:rPr>
                <w:sz w:val="23"/>
                <w:szCs w:val="23"/>
              </w:rPr>
              <w:t xml:space="preserve">Statement of Financial Position </w:t>
            </w:r>
          </w:p>
          <w:p w14:paraId="00ACBF59" w14:textId="77777777" w:rsidR="0042153C" w:rsidRPr="00CB39EB" w:rsidRDefault="0042153C" w:rsidP="0042153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355A4C" w14:textId="77777777" w:rsidR="0042153C" w:rsidRPr="00CB39EB" w:rsidRDefault="0042153C" w:rsidP="0042153C">
            <w:pPr>
              <w:pStyle w:val="Default"/>
              <w:rPr>
                <w:sz w:val="23"/>
                <w:szCs w:val="23"/>
              </w:rPr>
            </w:pPr>
            <w:r>
              <w:rPr>
                <w:sz w:val="23"/>
                <w:szCs w:val="23"/>
              </w:rPr>
              <w:t>HRS 300.0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5FD612D0" w14:textId="77777777" w:rsidR="0042153C" w:rsidRPr="00CB39EB" w:rsidRDefault="0042153C" w:rsidP="0042153C">
            <w:pPr>
              <w:rPr>
                <w:rFonts w:cs="Arial"/>
                <w:sz w:val="23"/>
                <w:szCs w:val="23"/>
              </w:rPr>
            </w:pPr>
            <w:r w:rsidRPr="00CB39EB">
              <w:rPr>
                <w:rFonts w:cs="Arial"/>
                <w:sz w:val="23"/>
                <w:szCs w:val="23"/>
              </w:rPr>
              <w:t>Reasonable</w:t>
            </w:r>
          </w:p>
        </w:tc>
      </w:tr>
      <w:tr w:rsidR="0042153C" w:rsidRPr="0016554C" w14:paraId="2936659F"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3FF33D84" w14:textId="15B9DECE" w:rsidR="0042153C" w:rsidRPr="00CB39EB" w:rsidRDefault="0042153C" w:rsidP="0042153C">
            <w:pPr>
              <w:jc w:val="right"/>
              <w:rPr>
                <w:rFonts w:cs="Arial"/>
                <w:sz w:val="23"/>
                <w:szCs w:val="23"/>
              </w:rPr>
            </w:pPr>
            <w:r>
              <w:rPr>
                <w:rFonts w:cs="Arial"/>
                <w:sz w:val="23"/>
                <w:szCs w:val="23"/>
              </w:rPr>
              <w:t>13</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718BBD9A" w14:textId="77777777" w:rsidR="0042153C" w:rsidRPr="00CB39EB" w:rsidRDefault="0042153C" w:rsidP="0042153C">
            <w:pPr>
              <w:pStyle w:val="Default"/>
              <w:rPr>
                <w:sz w:val="23"/>
                <w:szCs w:val="23"/>
              </w:rPr>
            </w:pPr>
            <w:r w:rsidRPr="0046699E">
              <w:rPr>
                <w:sz w:val="23"/>
                <w:szCs w:val="23"/>
              </w:rPr>
              <w:t>Statement of Profit and Loss and Other Comprehensive Income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8F5B62F" w14:textId="77777777" w:rsidR="0042153C" w:rsidRPr="00CB39EB" w:rsidRDefault="0042153C" w:rsidP="0042153C">
            <w:pPr>
              <w:pStyle w:val="Default"/>
              <w:rPr>
                <w:sz w:val="23"/>
                <w:szCs w:val="23"/>
              </w:rPr>
            </w:pPr>
            <w:r>
              <w:rPr>
                <w:sz w:val="23"/>
                <w:szCs w:val="23"/>
              </w:rPr>
              <w:t>HRS 310.0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255AD8A8" w14:textId="77777777" w:rsidR="0042153C" w:rsidRPr="00CB39EB" w:rsidRDefault="0042153C" w:rsidP="0042153C">
            <w:pPr>
              <w:rPr>
                <w:rFonts w:cs="Arial"/>
                <w:sz w:val="23"/>
                <w:szCs w:val="23"/>
              </w:rPr>
            </w:pPr>
            <w:r w:rsidRPr="00CB39EB">
              <w:rPr>
                <w:rFonts w:cs="Arial"/>
                <w:sz w:val="23"/>
                <w:szCs w:val="23"/>
              </w:rPr>
              <w:t>Reasonable</w:t>
            </w:r>
          </w:p>
        </w:tc>
      </w:tr>
      <w:tr w:rsidR="0042153C" w:rsidRPr="0016554C" w14:paraId="10C4A7F9" w14:textId="77777777" w:rsidTr="006011F4">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FFFFFF"/>
          </w:tcPr>
          <w:p w14:paraId="26E54E45" w14:textId="458A9B13" w:rsidR="0042153C" w:rsidRPr="00CB39EB" w:rsidRDefault="0042153C" w:rsidP="0042153C">
            <w:pPr>
              <w:jc w:val="right"/>
              <w:rPr>
                <w:rFonts w:cs="Arial"/>
                <w:sz w:val="23"/>
                <w:szCs w:val="23"/>
              </w:rPr>
            </w:pPr>
            <w:r>
              <w:rPr>
                <w:rFonts w:cs="Arial"/>
                <w:sz w:val="23"/>
                <w:szCs w:val="23"/>
              </w:rPr>
              <w:t>14</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14:paraId="45F867CF" w14:textId="77777777" w:rsidR="0042153C" w:rsidRDefault="0042153C" w:rsidP="0042153C">
            <w:pPr>
              <w:pStyle w:val="Default"/>
              <w:rPr>
                <w:sz w:val="23"/>
                <w:szCs w:val="23"/>
              </w:rPr>
            </w:pPr>
            <w:r>
              <w:rPr>
                <w:sz w:val="23"/>
                <w:szCs w:val="23"/>
              </w:rPr>
              <w:t>Liability Roll Forwards</w:t>
            </w:r>
          </w:p>
          <w:p w14:paraId="65B3599F" w14:textId="77777777" w:rsidR="0042153C" w:rsidRPr="00CB39EB" w:rsidRDefault="0042153C" w:rsidP="0042153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821868" w14:textId="77777777" w:rsidR="0042153C" w:rsidRPr="00CB39EB" w:rsidRDefault="0042153C" w:rsidP="0042153C">
            <w:pPr>
              <w:pStyle w:val="Default"/>
              <w:rPr>
                <w:rFonts w:cs="Arial"/>
                <w:sz w:val="23"/>
                <w:szCs w:val="23"/>
              </w:rPr>
            </w:pPr>
            <w:r>
              <w:rPr>
                <w:sz w:val="23"/>
                <w:szCs w:val="23"/>
              </w:rPr>
              <w:t>HRS 320.0</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14:paraId="15EF19FC" w14:textId="77777777" w:rsidR="0042153C" w:rsidRPr="00CB39EB" w:rsidRDefault="0042153C" w:rsidP="0042153C">
            <w:pPr>
              <w:rPr>
                <w:rFonts w:cs="Arial"/>
                <w:sz w:val="23"/>
                <w:szCs w:val="23"/>
              </w:rPr>
            </w:pPr>
            <w:r>
              <w:rPr>
                <w:rFonts w:cs="Arial"/>
                <w:sz w:val="23"/>
                <w:szCs w:val="23"/>
              </w:rPr>
              <w:t>Reasonable</w:t>
            </w:r>
          </w:p>
        </w:tc>
      </w:tr>
      <w:bookmarkEnd w:id="42"/>
    </w:tbl>
    <w:p w14:paraId="56F5EF3E" w14:textId="77777777" w:rsidR="007130E0" w:rsidRDefault="007130E0" w:rsidP="007130E0"/>
    <w:p w14:paraId="33E7F57E" w14:textId="77777777" w:rsidR="009911A0" w:rsidRDefault="009911A0">
      <w:pPr>
        <w:rPr>
          <w:rFonts w:ascii="Arial" w:hAnsi="Arial" w:cs="Arial"/>
          <w:b/>
        </w:rPr>
      </w:pPr>
      <w:r>
        <w:rPr>
          <w:rFonts w:ascii="Arial" w:hAnsi="Arial" w:cs="Arial"/>
          <w:b/>
        </w:rPr>
        <w:br w:type="page"/>
      </w:r>
    </w:p>
    <w:p w14:paraId="64C19FB0" w14:textId="77777777" w:rsidR="007130E0" w:rsidRPr="0016554C" w:rsidRDefault="007130E0" w:rsidP="007130E0">
      <w:pPr>
        <w:rPr>
          <w:rFonts w:ascii="Arial" w:hAnsi="Arial" w:cs="Arial"/>
          <w:b/>
        </w:rPr>
      </w:pPr>
      <w:r w:rsidRPr="0016554C">
        <w:rPr>
          <w:rFonts w:ascii="Arial" w:hAnsi="Arial" w:cs="Arial"/>
          <w:b/>
        </w:rPr>
        <w:lastRenderedPageBreak/>
        <w:t xml:space="preserve">Table </w:t>
      </w:r>
      <w:r>
        <w:rPr>
          <w:rFonts w:ascii="Arial" w:hAnsi="Arial" w:cs="Arial"/>
          <w:b/>
        </w:rPr>
        <w:t>2 – Quarterly returns requiring reasonable assurance</w:t>
      </w:r>
    </w:p>
    <w:tbl>
      <w:tblPr>
        <w:tblpPr w:leftFromText="180" w:rightFromText="180" w:vertAnchor="text" w:tblpY="1"/>
        <w:tblOverlap w:val="never"/>
        <w:tblW w:w="8286" w:type="dxa"/>
        <w:tblLayout w:type="fixed"/>
        <w:tblLook w:val="0000" w:firstRow="0" w:lastRow="0" w:firstColumn="0" w:lastColumn="0" w:noHBand="0" w:noVBand="0"/>
      </w:tblPr>
      <w:tblGrid>
        <w:gridCol w:w="863"/>
        <w:gridCol w:w="4089"/>
        <w:gridCol w:w="1559"/>
        <w:gridCol w:w="1775"/>
      </w:tblGrid>
      <w:tr w:rsidR="007130E0" w:rsidRPr="0016554C" w14:paraId="3F09463B" w14:textId="77777777" w:rsidTr="006011F4">
        <w:trPr>
          <w:trHeight w:val="645"/>
          <w:tblHeader/>
        </w:trPr>
        <w:tc>
          <w:tcPr>
            <w:tcW w:w="863" w:type="dxa"/>
            <w:tcBorders>
              <w:top w:val="single" w:sz="8" w:space="0" w:color="000000"/>
              <w:left w:val="single" w:sz="8" w:space="0" w:color="000000"/>
              <w:bottom w:val="single" w:sz="8" w:space="0" w:color="000000"/>
              <w:right w:val="single" w:sz="8" w:space="0" w:color="000000"/>
            </w:tcBorders>
            <w:shd w:val="clear" w:color="auto" w:fill="C0C0C0"/>
          </w:tcPr>
          <w:p w14:paraId="731816A0" w14:textId="77777777" w:rsidR="007130E0" w:rsidRPr="0016554C" w:rsidRDefault="007130E0" w:rsidP="006011F4">
            <w:pPr>
              <w:rPr>
                <w:rFonts w:ascii="Arial" w:hAnsi="Arial" w:cs="Arial"/>
                <w:b/>
                <w:bCs/>
              </w:rPr>
            </w:pPr>
            <w:r w:rsidRPr="0016554C">
              <w:rPr>
                <w:rFonts w:ascii="Arial" w:hAnsi="Arial" w:cs="Arial"/>
                <w:b/>
                <w:bCs/>
              </w:rPr>
              <w:t> </w:t>
            </w:r>
          </w:p>
        </w:tc>
        <w:tc>
          <w:tcPr>
            <w:tcW w:w="4089" w:type="dxa"/>
            <w:tcBorders>
              <w:top w:val="single" w:sz="8" w:space="0" w:color="000000"/>
              <w:left w:val="nil"/>
              <w:bottom w:val="single" w:sz="8" w:space="0" w:color="000000"/>
              <w:right w:val="single" w:sz="8" w:space="0" w:color="000000"/>
            </w:tcBorders>
            <w:shd w:val="clear" w:color="auto" w:fill="C0C0C0"/>
          </w:tcPr>
          <w:p w14:paraId="7E28E358" w14:textId="77777777" w:rsidR="007130E0" w:rsidRPr="0016554C" w:rsidRDefault="007130E0" w:rsidP="006011F4">
            <w:pPr>
              <w:rPr>
                <w:rFonts w:cs="Arial"/>
                <w:b/>
                <w:bCs/>
                <w:szCs w:val="22"/>
              </w:rPr>
            </w:pPr>
            <w:r w:rsidRPr="0016554C">
              <w:rPr>
                <w:rFonts w:cs="Arial"/>
                <w:b/>
                <w:bCs/>
                <w:szCs w:val="22"/>
              </w:rPr>
              <w:t>Reporting Standard Name</w:t>
            </w:r>
          </w:p>
        </w:tc>
        <w:tc>
          <w:tcPr>
            <w:tcW w:w="1559" w:type="dxa"/>
            <w:tcBorders>
              <w:top w:val="single" w:sz="8" w:space="0" w:color="000000"/>
              <w:left w:val="nil"/>
              <w:bottom w:val="single" w:sz="8" w:space="0" w:color="000000"/>
              <w:right w:val="single" w:sz="8" w:space="0" w:color="000000"/>
            </w:tcBorders>
            <w:shd w:val="clear" w:color="auto" w:fill="C0C0C0"/>
          </w:tcPr>
          <w:p w14:paraId="01A6A47A" w14:textId="77777777" w:rsidR="007130E0" w:rsidRPr="0016554C" w:rsidRDefault="007130E0" w:rsidP="006011F4">
            <w:pPr>
              <w:rPr>
                <w:rFonts w:cs="Arial"/>
                <w:b/>
                <w:bCs/>
                <w:szCs w:val="22"/>
              </w:rPr>
            </w:pPr>
            <w:r w:rsidRPr="0016554C">
              <w:rPr>
                <w:rFonts w:cs="Arial"/>
                <w:b/>
                <w:bCs/>
                <w:szCs w:val="22"/>
              </w:rPr>
              <w:t xml:space="preserve">Reporting Standard </w:t>
            </w:r>
            <w:r>
              <w:rPr>
                <w:rFonts w:cs="Arial"/>
                <w:b/>
                <w:bCs/>
                <w:szCs w:val="22"/>
              </w:rPr>
              <w:t>Number</w:t>
            </w:r>
          </w:p>
        </w:tc>
        <w:tc>
          <w:tcPr>
            <w:tcW w:w="1775" w:type="dxa"/>
            <w:tcBorders>
              <w:top w:val="single" w:sz="8" w:space="0" w:color="000000"/>
              <w:left w:val="nil"/>
              <w:bottom w:val="single" w:sz="8" w:space="0" w:color="000000"/>
              <w:right w:val="single" w:sz="8" w:space="0" w:color="000000"/>
            </w:tcBorders>
            <w:shd w:val="clear" w:color="auto" w:fill="C0C0C0"/>
          </w:tcPr>
          <w:p w14:paraId="71009962" w14:textId="77777777" w:rsidR="007130E0" w:rsidRPr="0016554C" w:rsidRDefault="007130E0" w:rsidP="006011F4">
            <w:pPr>
              <w:rPr>
                <w:rFonts w:cs="Arial"/>
                <w:b/>
                <w:bCs/>
                <w:szCs w:val="22"/>
              </w:rPr>
            </w:pPr>
            <w:r w:rsidRPr="0016554C">
              <w:rPr>
                <w:rFonts w:cs="Arial"/>
                <w:b/>
                <w:bCs/>
                <w:szCs w:val="22"/>
              </w:rPr>
              <w:t>Level of Assurance</w:t>
            </w:r>
          </w:p>
        </w:tc>
      </w:tr>
      <w:tr w:rsidR="007130E0" w:rsidRPr="00CB39EB" w14:paraId="72B6A2E3" w14:textId="77777777" w:rsidTr="006011F4">
        <w:trPr>
          <w:trHeight w:val="315"/>
        </w:trPr>
        <w:tc>
          <w:tcPr>
            <w:tcW w:w="863" w:type="dxa"/>
            <w:tcBorders>
              <w:top w:val="nil"/>
              <w:left w:val="single" w:sz="8" w:space="0" w:color="000000"/>
              <w:bottom w:val="single" w:sz="8" w:space="0" w:color="000000"/>
              <w:right w:val="single" w:sz="8" w:space="0" w:color="000000"/>
            </w:tcBorders>
            <w:shd w:val="clear" w:color="auto" w:fill="FFFFFF"/>
          </w:tcPr>
          <w:p w14:paraId="61D80D96" w14:textId="77777777" w:rsidR="007130E0" w:rsidRPr="00CB39EB" w:rsidRDefault="007130E0" w:rsidP="006011F4">
            <w:pPr>
              <w:jc w:val="right"/>
              <w:rPr>
                <w:rFonts w:cs="Arial"/>
                <w:sz w:val="23"/>
                <w:szCs w:val="23"/>
              </w:rPr>
            </w:pPr>
            <w:r>
              <w:rPr>
                <w:rFonts w:cs="Arial"/>
                <w:sz w:val="23"/>
                <w:szCs w:val="23"/>
              </w:rPr>
              <w:t>1</w:t>
            </w:r>
          </w:p>
        </w:tc>
        <w:tc>
          <w:tcPr>
            <w:tcW w:w="4089" w:type="dxa"/>
            <w:tcBorders>
              <w:top w:val="nil"/>
              <w:left w:val="nil"/>
              <w:bottom w:val="single" w:sz="8" w:space="0" w:color="000000"/>
              <w:right w:val="single" w:sz="8" w:space="0" w:color="000000"/>
            </w:tcBorders>
            <w:shd w:val="clear" w:color="auto" w:fill="FFFFFF"/>
          </w:tcPr>
          <w:p w14:paraId="388E30A0" w14:textId="77777777" w:rsidR="007130E0" w:rsidRDefault="007130E0" w:rsidP="006011F4">
            <w:pPr>
              <w:pStyle w:val="Default"/>
              <w:rPr>
                <w:sz w:val="23"/>
                <w:szCs w:val="23"/>
              </w:rPr>
            </w:pPr>
            <w:r w:rsidRPr="00CB39EB">
              <w:rPr>
                <w:sz w:val="23"/>
                <w:szCs w:val="23"/>
              </w:rPr>
              <w:t>Statistical Data by State</w:t>
            </w:r>
          </w:p>
          <w:p w14:paraId="41EC2AA3" w14:textId="77777777" w:rsidR="007130E0" w:rsidRPr="00CB39EB" w:rsidRDefault="007130E0" w:rsidP="006011F4">
            <w:pPr>
              <w:pStyle w:val="Default"/>
              <w:rPr>
                <w:sz w:val="23"/>
                <w:szCs w:val="23"/>
              </w:rPr>
            </w:pPr>
          </w:p>
        </w:tc>
        <w:tc>
          <w:tcPr>
            <w:tcW w:w="1559" w:type="dxa"/>
            <w:tcBorders>
              <w:top w:val="nil"/>
              <w:left w:val="nil"/>
              <w:bottom w:val="single" w:sz="8" w:space="0" w:color="000000"/>
              <w:right w:val="single" w:sz="8" w:space="0" w:color="000000"/>
            </w:tcBorders>
            <w:shd w:val="clear" w:color="auto" w:fill="FFFFFF"/>
          </w:tcPr>
          <w:p w14:paraId="1C2C981E" w14:textId="77777777" w:rsidR="007130E0" w:rsidRPr="00CB39EB" w:rsidRDefault="007130E0" w:rsidP="006011F4">
            <w:pPr>
              <w:pStyle w:val="Default"/>
              <w:rPr>
                <w:sz w:val="23"/>
                <w:szCs w:val="23"/>
              </w:rPr>
            </w:pPr>
            <w:r>
              <w:rPr>
                <w:sz w:val="23"/>
                <w:szCs w:val="23"/>
              </w:rPr>
              <w:t>HRS 601.1</w:t>
            </w:r>
          </w:p>
        </w:tc>
        <w:tc>
          <w:tcPr>
            <w:tcW w:w="1775" w:type="dxa"/>
            <w:tcBorders>
              <w:top w:val="nil"/>
              <w:left w:val="nil"/>
              <w:bottom w:val="single" w:sz="8" w:space="0" w:color="000000"/>
              <w:right w:val="single" w:sz="8" w:space="0" w:color="000000"/>
            </w:tcBorders>
            <w:shd w:val="clear" w:color="auto" w:fill="FFFFFF"/>
          </w:tcPr>
          <w:p w14:paraId="75D475C3" w14:textId="77777777" w:rsidR="007130E0" w:rsidRPr="00CB39EB" w:rsidRDefault="007130E0" w:rsidP="006011F4">
            <w:pPr>
              <w:rPr>
                <w:rFonts w:cs="Arial"/>
                <w:sz w:val="23"/>
                <w:szCs w:val="23"/>
              </w:rPr>
            </w:pPr>
            <w:r>
              <w:rPr>
                <w:rFonts w:cs="Arial"/>
                <w:sz w:val="23"/>
                <w:szCs w:val="23"/>
              </w:rPr>
              <w:t>Reasonable</w:t>
            </w:r>
          </w:p>
        </w:tc>
      </w:tr>
    </w:tbl>
    <w:p w14:paraId="6393D1C7" w14:textId="77777777" w:rsidR="0029455F" w:rsidRDefault="0029455F" w:rsidP="0029455F"/>
    <w:p w14:paraId="38E3AE1D" w14:textId="77777777" w:rsidR="0029455F" w:rsidRDefault="0029455F" w:rsidP="0029455F"/>
    <w:p w14:paraId="119B5AD1" w14:textId="77777777" w:rsidR="00B766FA" w:rsidRDefault="00B766FA" w:rsidP="007D2D7F"/>
    <w:p w14:paraId="0FF7B3F5" w14:textId="77777777" w:rsidR="0029455F" w:rsidRDefault="0029455F" w:rsidP="007D2D7F"/>
    <w:p w14:paraId="2CBF820A" w14:textId="77777777" w:rsidR="0029455F" w:rsidRDefault="0029455F" w:rsidP="007D2D7F"/>
    <w:p w14:paraId="49EC90C6" w14:textId="77777777" w:rsidR="005A75C6" w:rsidRDefault="005A75C6" w:rsidP="009911A0">
      <w:pPr>
        <w:pStyle w:val="Heading2"/>
      </w:pPr>
    </w:p>
    <w:sectPr w:rsidR="005A75C6" w:rsidSect="000D63A8">
      <w:footerReference w:type="defaul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B980" w14:textId="77777777" w:rsidR="00516B52" w:rsidRDefault="00516B52" w:rsidP="006A6A52">
      <w:pPr>
        <w:spacing w:after="0"/>
      </w:pPr>
      <w:r>
        <w:separator/>
      </w:r>
    </w:p>
  </w:endnote>
  <w:endnote w:type="continuationSeparator" w:id="0">
    <w:p w14:paraId="7B264C19" w14:textId="77777777" w:rsidR="00516B52" w:rsidRDefault="00516B52"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C539" w14:textId="2FAB7125" w:rsidR="00F26BFA" w:rsidRPr="00842FBD" w:rsidRDefault="00A627B2" w:rsidP="00842FBD">
    <w:pPr>
      <w:pStyle w:val="Footer"/>
    </w:pPr>
    <w:fldSimple w:instr=" STYLEREF  &quot;PS No. field text&quot;  \* MERGEFORMAT ">
      <w:r w:rsidR="003E4CD4">
        <w:rPr>
          <w:noProof/>
        </w:rPr>
        <w:t>HPS 310</w:t>
      </w:r>
    </w:fldSimple>
    <w:r w:rsidR="00F26BFA">
      <w:t xml:space="preserve"> - </w:t>
    </w:r>
    <w:r w:rsidR="00F26BFA" w:rsidRPr="00842FBD">
      <w:fldChar w:fldCharType="begin"/>
    </w:r>
    <w:r w:rsidR="00F26BFA" w:rsidRPr="00842FBD">
      <w:instrText xml:space="preserve"> PAGE </w:instrText>
    </w:r>
    <w:r w:rsidR="00F26BFA" w:rsidRPr="00842FBD">
      <w:fldChar w:fldCharType="separate"/>
    </w:r>
    <w:r w:rsidR="00F26BFA">
      <w:rPr>
        <w:noProof/>
      </w:rPr>
      <w:t>2</w:t>
    </w:r>
    <w:r w:rsidR="00F26BFA"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C7D0" w14:textId="1DCF8875" w:rsidR="00867092" w:rsidRPr="00842FBD" w:rsidRDefault="00A627B2" w:rsidP="00842FBD">
    <w:pPr>
      <w:pStyle w:val="Footer"/>
    </w:pPr>
    <w:fldSimple w:instr=" STYLEREF  &quot;PS No. field text&quot;  \* MERGEFORMAT ">
      <w:r w:rsidR="003E4CD4">
        <w:rPr>
          <w:noProof/>
        </w:rPr>
        <w:t>HPS 310</w:t>
      </w:r>
    </w:fldSimple>
    <w:r w:rsidR="001F6B8D">
      <w:t xml:space="preserve"> </w:t>
    </w:r>
    <w:r w:rsidR="00B766FA">
      <w:t>–</w:t>
    </w:r>
    <w:r w:rsidR="00867092">
      <w:t xml:space="preserve"> </w:t>
    </w:r>
    <w:r w:rsidR="00B766FA">
      <w:t xml:space="preserve">Attachment </w:t>
    </w:r>
    <w:fldSimple w:instr=" STYLEREF  &quot;Attachment field text&quot;  \* MERGEFORMAT ">
      <w:r w:rsidR="003E4CD4">
        <w:rPr>
          <w:noProof/>
        </w:rPr>
        <w:t>A</w:t>
      </w:r>
    </w:fldSimple>
    <w:r w:rsidR="005B6DC2">
      <w:t xml:space="preserve"> </w:t>
    </w:r>
    <w:r w:rsidR="00867092">
      <w:t xml:space="preserve">- </w:t>
    </w:r>
    <w:r w:rsidR="00867092" w:rsidRPr="00842FBD">
      <w:fldChar w:fldCharType="begin"/>
    </w:r>
    <w:r w:rsidR="00867092" w:rsidRPr="00842FBD">
      <w:instrText xml:space="preserve"> PAGE </w:instrText>
    </w:r>
    <w:r w:rsidR="00867092" w:rsidRPr="00842FBD">
      <w:fldChar w:fldCharType="separate"/>
    </w:r>
    <w:r w:rsidR="009E76B1">
      <w:rPr>
        <w:noProof/>
      </w:rPr>
      <w:t>5</w:t>
    </w:r>
    <w:r w:rsidR="00867092"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5DAA" w14:textId="77777777" w:rsidR="00516B52" w:rsidRDefault="00516B52" w:rsidP="006A6A52">
      <w:pPr>
        <w:spacing w:after="0"/>
      </w:pPr>
      <w:r>
        <w:separator/>
      </w:r>
    </w:p>
  </w:footnote>
  <w:footnote w:type="continuationSeparator" w:id="0">
    <w:p w14:paraId="3ED01A33" w14:textId="77777777" w:rsidR="00516B52" w:rsidRDefault="00516B52" w:rsidP="006A6A52">
      <w:pPr>
        <w:spacing w:after="0"/>
      </w:pPr>
      <w:r>
        <w:continuationSeparator/>
      </w:r>
    </w:p>
  </w:footnote>
  <w:footnote w:id="1">
    <w:p w14:paraId="5089EF64" w14:textId="58AA2E03" w:rsidR="007130E0" w:rsidRDefault="007130E0" w:rsidP="007130E0">
      <w:pPr>
        <w:pStyle w:val="FootnoteText"/>
        <w:ind w:left="720" w:hanging="720"/>
      </w:pPr>
      <w:r>
        <w:rPr>
          <w:rStyle w:val="FootnoteReference"/>
        </w:rPr>
        <w:footnoteRef/>
      </w:r>
      <w:r>
        <w:t xml:space="preserve"> </w:t>
      </w:r>
      <w:r>
        <w:tab/>
        <w:t xml:space="preserve">Reasonable Assurance </w:t>
      </w:r>
      <w:r w:rsidR="0042153C">
        <w:t>is</w:t>
      </w:r>
      <w:r>
        <w:t xml:space="preserve"> defined in the </w:t>
      </w:r>
      <w:r w:rsidRPr="00464D2D">
        <w:rPr>
          <w:i/>
        </w:rPr>
        <w:t>Framework for Assurance Engagements</w:t>
      </w:r>
      <w:r>
        <w:t xml:space="preserve"> issued by the AUASB.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2"/>
    </w:tblGrid>
    <w:tr w:rsidR="00F26BFA" w14:paraId="3584D8A7" w14:textId="77777777" w:rsidTr="00F26BFA">
      <w:tc>
        <w:tcPr>
          <w:tcW w:w="4152" w:type="dxa"/>
          <w:tcBorders>
            <w:top w:val="nil"/>
            <w:left w:val="nil"/>
            <w:bottom w:val="nil"/>
            <w:right w:val="nil"/>
          </w:tcBorders>
        </w:tcPr>
        <w:p w14:paraId="65F650C1" w14:textId="242DDB8D" w:rsidR="00F26BFA" w:rsidRDefault="00F26BFA" w:rsidP="000D63A8">
          <w:pPr>
            <w:pStyle w:val="Header"/>
          </w:pPr>
        </w:p>
      </w:tc>
    </w:tr>
  </w:tbl>
  <w:p w14:paraId="44783EA8" w14:textId="77777777" w:rsidR="00745B81" w:rsidRDefault="0074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F26BFA" w14:paraId="467A6214" w14:textId="77777777" w:rsidTr="000D63A8">
      <w:tc>
        <w:tcPr>
          <w:tcW w:w="4264" w:type="dxa"/>
          <w:tcBorders>
            <w:top w:val="nil"/>
            <w:left w:val="nil"/>
            <w:bottom w:val="nil"/>
            <w:right w:val="nil"/>
          </w:tcBorders>
        </w:tcPr>
        <w:p w14:paraId="46351157" w14:textId="43CFC611" w:rsidR="00F26BFA" w:rsidRDefault="00F26BFA" w:rsidP="00FF513E">
          <w:pPr>
            <w:pStyle w:val="Header"/>
          </w:pPr>
        </w:p>
      </w:tc>
      <w:tc>
        <w:tcPr>
          <w:tcW w:w="4264" w:type="dxa"/>
          <w:tcBorders>
            <w:top w:val="nil"/>
            <w:left w:val="nil"/>
            <w:bottom w:val="nil"/>
            <w:right w:val="nil"/>
          </w:tcBorders>
        </w:tcPr>
        <w:p w14:paraId="7CE70A12" w14:textId="77777777" w:rsidR="00F26BFA" w:rsidRDefault="00F26BFA" w:rsidP="000D63A8">
          <w:pPr>
            <w:pStyle w:val="Header"/>
          </w:pPr>
          <w:r>
            <w:t>July 2023</w:t>
          </w:r>
        </w:p>
      </w:tc>
    </w:tr>
  </w:tbl>
  <w:p w14:paraId="601177C0" w14:textId="77777777" w:rsidR="00F26BFA" w:rsidRDefault="00F26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873809"/>
    <w:multiLevelType w:val="hybridMultilevel"/>
    <w:tmpl w:val="36A002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A407ACF"/>
    <w:multiLevelType w:val="hybridMultilevel"/>
    <w:tmpl w:val="6C86D890"/>
    <w:lvl w:ilvl="0" w:tplc="2BBE7670">
      <w:start w:val="1"/>
      <w:numFmt w:val="lowerRoman"/>
      <w:lvlText w:val="(%1)"/>
      <w:lvlJc w:val="left"/>
      <w:pPr>
        <w:tabs>
          <w:tab w:val="num" w:pos="1728"/>
        </w:tabs>
        <w:ind w:left="1728" w:hanging="576"/>
      </w:pPr>
      <w:rPr>
        <w:rFonts w:ascii="Times New Roman" w:hAnsi="Times New Roman" w:cs="Times New Roman" w:hint="default"/>
        <w:b w:val="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6A22A9"/>
    <w:multiLevelType w:val="hybridMultilevel"/>
    <w:tmpl w:val="A5F08272"/>
    <w:lvl w:ilvl="0" w:tplc="2E062AB8">
      <w:start w:val="1"/>
      <w:numFmt w:val="decimal"/>
      <w:pStyle w:val="ListParagraph"/>
      <w:lvlText w:val="%1."/>
      <w:lvlJc w:val="left"/>
      <w:pPr>
        <w:ind w:left="3338" w:hanging="360"/>
      </w:pPr>
      <w:rPr>
        <w:rFonts w:ascii="Times New Roman" w:hAnsi="Times New Roman" w:cs="Times New Roman" w:hint="default"/>
        <w:b w:val="0"/>
      </w:rPr>
    </w:lvl>
    <w:lvl w:ilvl="1" w:tplc="67F6A29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463545"/>
    <w:multiLevelType w:val="multilevel"/>
    <w:tmpl w:val="BD6C507E"/>
    <w:lvl w:ilvl="0">
      <w:start w:val="1"/>
      <w:numFmt w:val="decimal"/>
      <w:pStyle w:val="BodyText1"/>
      <w:lvlText w:val="%1."/>
      <w:lvlJc w:val="left"/>
      <w:pPr>
        <w:tabs>
          <w:tab w:val="num" w:pos="567"/>
        </w:tabs>
        <w:ind w:left="567" w:hanging="567"/>
      </w:pPr>
      <w:rPr>
        <w:rFonts w:hint="default"/>
        <w:b w:val="0"/>
      </w:rPr>
    </w:lvl>
    <w:lvl w:ilvl="1">
      <w:start w:val="1"/>
      <w:numFmt w:val="lowerLetter"/>
      <w:pStyle w:val="BodyText2"/>
      <w:lvlText w:val="(%2)"/>
      <w:lvlJc w:val="left"/>
      <w:pPr>
        <w:tabs>
          <w:tab w:val="num" w:pos="1134"/>
        </w:tabs>
        <w:ind w:left="1134" w:hanging="567"/>
      </w:pPr>
      <w:rPr>
        <w:rFonts w:hint="default"/>
        <w:b w:val="0"/>
      </w:rPr>
    </w:lvl>
    <w:lvl w:ilvl="2">
      <w:start w:val="1"/>
      <w:numFmt w:val="lowerRoman"/>
      <w:pStyle w:val="BodyText3"/>
      <w:lvlText w:val="(%3)"/>
      <w:lvlJc w:val="left"/>
      <w:pPr>
        <w:tabs>
          <w:tab w:val="num" w:pos="1701"/>
        </w:tabs>
        <w:ind w:left="1701" w:hanging="567"/>
      </w:pPr>
      <w:rPr>
        <w:rFonts w:hint="default"/>
        <w:b w:val="0"/>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35133A"/>
    <w:multiLevelType w:val="hybridMultilevel"/>
    <w:tmpl w:val="98D21884"/>
    <w:lvl w:ilvl="0" w:tplc="A01A8F4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77E4F48"/>
    <w:multiLevelType w:val="hybridMultilevel"/>
    <w:tmpl w:val="9CC0FFD8"/>
    <w:lvl w:ilvl="0" w:tplc="EDD0F382">
      <w:start w:val="1"/>
      <w:numFmt w:val="lowerLetter"/>
      <w:lvlText w:val="(%1)"/>
      <w:lvlJc w:val="left"/>
      <w:pPr>
        <w:tabs>
          <w:tab w:val="num" w:pos="922"/>
        </w:tabs>
        <w:ind w:left="922" w:hanging="360"/>
      </w:pPr>
      <w:rPr>
        <w:rFonts w:hint="default"/>
      </w:rPr>
    </w:lvl>
    <w:lvl w:ilvl="1" w:tplc="0C090019" w:tentative="1">
      <w:start w:val="1"/>
      <w:numFmt w:val="lowerLetter"/>
      <w:lvlText w:val="%2."/>
      <w:lvlJc w:val="left"/>
      <w:pPr>
        <w:tabs>
          <w:tab w:val="num" w:pos="1642"/>
        </w:tabs>
        <w:ind w:left="1642" w:hanging="360"/>
      </w:pPr>
    </w:lvl>
    <w:lvl w:ilvl="2" w:tplc="0C09001B" w:tentative="1">
      <w:start w:val="1"/>
      <w:numFmt w:val="lowerRoman"/>
      <w:lvlText w:val="%3."/>
      <w:lvlJc w:val="right"/>
      <w:pPr>
        <w:tabs>
          <w:tab w:val="num" w:pos="2362"/>
        </w:tabs>
        <w:ind w:left="2362" w:hanging="180"/>
      </w:pPr>
    </w:lvl>
    <w:lvl w:ilvl="3" w:tplc="0C09000F" w:tentative="1">
      <w:start w:val="1"/>
      <w:numFmt w:val="decimal"/>
      <w:lvlText w:val="%4."/>
      <w:lvlJc w:val="left"/>
      <w:pPr>
        <w:tabs>
          <w:tab w:val="num" w:pos="3082"/>
        </w:tabs>
        <w:ind w:left="3082" w:hanging="360"/>
      </w:pPr>
    </w:lvl>
    <w:lvl w:ilvl="4" w:tplc="0C090019" w:tentative="1">
      <w:start w:val="1"/>
      <w:numFmt w:val="lowerLetter"/>
      <w:lvlText w:val="%5."/>
      <w:lvlJc w:val="left"/>
      <w:pPr>
        <w:tabs>
          <w:tab w:val="num" w:pos="3802"/>
        </w:tabs>
        <w:ind w:left="3802" w:hanging="360"/>
      </w:pPr>
    </w:lvl>
    <w:lvl w:ilvl="5" w:tplc="0C09001B" w:tentative="1">
      <w:start w:val="1"/>
      <w:numFmt w:val="lowerRoman"/>
      <w:lvlText w:val="%6."/>
      <w:lvlJc w:val="right"/>
      <w:pPr>
        <w:tabs>
          <w:tab w:val="num" w:pos="4522"/>
        </w:tabs>
        <w:ind w:left="4522" w:hanging="180"/>
      </w:pPr>
    </w:lvl>
    <w:lvl w:ilvl="6" w:tplc="0C09000F" w:tentative="1">
      <w:start w:val="1"/>
      <w:numFmt w:val="decimal"/>
      <w:lvlText w:val="%7."/>
      <w:lvlJc w:val="left"/>
      <w:pPr>
        <w:tabs>
          <w:tab w:val="num" w:pos="5242"/>
        </w:tabs>
        <w:ind w:left="5242" w:hanging="360"/>
      </w:pPr>
    </w:lvl>
    <w:lvl w:ilvl="7" w:tplc="0C090019" w:tentative="1">
      <w:start w:val="1"/>
      <w:numFmt w:val="lowerLetter"/>
      <w:lvlText w:val="%8."/>
      <w:lvlJc w:val="left"/>
      <w:pPr>
        <w:tabs>
          <w:tab w:val="num" w:pos="5962"/>
        </w:tabs>
        <w:ind w:left="5962" w:hanging="360"/>
      </w:pPr>
    </w:lvl>
    <w:lvl w:ilvl="8" w:tplc="0C09001B" w:tentative="1">
      <w:start w:val="1"/>
      <w:numFmt w:val="lowerRoman"/>
      <w:lvlText w:val="%9."/>
      <w:lvlJc w:val="right"/>
      <w:pPr>
        <w:tabs>
          <w:tab w:val="num" w:pos="6682"/>
        </w:tabs>
        <w:ind w:left="6682" w:hanging="180"/>
      </w:pPr>
    </w:lvl>
  </w:abstractNum>
  <w:abstractNum w:abstractNumId="13" w15:restartNumberingAfterBreak="0">
    <w:nsid w:val="34DD46FC"/>
    <w:multiLevelType w:val="hybridMultilevel"/>
    <w:tmpl w:val="EE34CE52"/>
    <w:lvl w:ilvl="0" w:tplc="D71CFBF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FE16EBE"/>
    <w:multiLevelType w:val="hybridMultilevel"/>
    <w:tmpl w:val="6680BB68"/>
    <w:lvl w:ilvl="0" w:tplc="F4E6D878">
      <w:start w:val="1"/>
      <w:numFmt w:val="lowerLetter"/>
      <w:lvlText w:val="(%1)"/>
      <w:lvlJc w:val="left"/>
      <w:pPr>
        <w:tabs>
          <w:tab w:val="num" w:pos="1134"/>
        </w:tabs>
        <w:ind w:left="1134" w:hanging="567"/>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4F47C8D"/>
    <w:multiLevelType w:val="hybridMultilevel"/>
    <w:tmpl w:val="93D61254"/>
    <w:lvl w:ilvl="0" w:tplc="3B5A6B2A">
      <w:start w:val="1"/>
      <w:numFmt w:val="decimal"/>
      <w:lvlText w:val="%1."/>
      <w:lvlJc w:val="left"/>
      <w:pPr>
        <w:tabs>
          <w:tab w:val="num" w:pos="720"/>
        </w:tabs>
        <w:ind w:left="720" w:hanging="360"/>
      </w:pPr>
      <w:rPr>
        <w:b w:val="0"/>
        <w:szCs w:val="24"/>
      </w:rPr>
    </w:lvl>
    <w:lvl w:ilvl="1" w:tplc="68F61DF4">
      <w:start w:val="1"/>
      <w:numFmt w:val="lowerLetter"/>
      <w:lvlText w:val="(%2)"/>
      <w:lvlJc w:val="left"/>
      <w:pPr>
        <w:tabs>
          <w:tab w:val="num" w:pos="1134"/>
        </w:tabs>
        <w:ind w:left="1134" w:hanging="567"/>
      </w:pPr>
      <w:rPr>
        <w:rFonts w:hint="default"/>
        <w:b w:val="0"/>
        <w:szCs w:val="24"/>
      </w:rPr>
    </w:lvl>
    <w:lvl w:ilvl="2" w:tplc="2BBE7670">
      <w:start w:val="1"/>
      <w:numFmt w:val="lowerRoman"/>
      <w:lvlText w:val="(%3)"/>
      <w:lvlJc w:val="left"/>
      <w:pPr>
        <w:tabs>
          <w:tab w:val="num" w:pos="1728"/>
        </w:tabs>
        <w:ind w:left="1728" w:hanging="576"/>
      </w:pPr>
      <w:rPr>
        <w:rFonts w:ascii="Times New Roman" w:hAnsi="Times New Roman" w:cs="Times New Roman" w:hint="default"/>
        <w:b w:val="0"/>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9"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0"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673731"/>
    <w:multiLevelType w:val="hybridMultilevel"/>
    <w:tmpl w:val="853AA2A0"/>
    <w:lvl w:ilvl="0" w:tplc="D71CFBF0">
      <w:start w:val="1"/>
      <w:numFmt w:val="lowerLetter"/>
      <w:lvlText w:val="(%1)"/>
      <w:lvlJc w:val="left"/>
      <w:pPr>
        <w:tabs>
          <w:tab w:val="num" w:pos="1134"/>
        </w:tabs>
        <w:ind w:left="1134" w:hanging="567"/>
      </w:pPr>
      <w:rPr>
        <w:rFonts w:hint="default"/>
      </w:rPr>
    </w:lvl>
    <w:lvl w:ilvl="1" w:tplc="7D522166">
      <w:start w:val="1"/>
      <w:numFmt w:val="lowerRoman"/>
      <w:lvlText w:val="(%2)"/>
      <w:lvlJc w:val="left"/>
      <w:pPr>
        <w:ind w:left="1800"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981568070">
    <w:abstractNumId w:val="17"/>
  </w:num>
  <w:num w:numId="2" w16cid:durableId="1551115230">
    <w:abstractNumId w:val="20"/>
  </w:num>
  <w:num w:numId="3" w16cid:durableId="1654211339">
    <w:abstractNumId w:val="6"/>
  </w:num>
  <w:num w:numId="4" w16cid:durableId="1078137259">
    <w:abstractNumId w:val="14"/>
  </w:num>
  <w:num w:numId="5" w16cid:durableId="1766345907">
    <w:abstractNumId w:val="28"/>
  </w:num>
  <w:num w:numId="6" w16cid:durableId="1123882268">
    <w:abstractNumId w:val="11"/>
  </w:num>
  <w:num w:numId="7" w16cid:durableId="980888784">
    <w:abstractNumId w:val="26"/>
  </w:num>
  <w:num w:numId="8" w16cid:durableId="163932327">
    <w:abstractNumId w:val="24"/>
  </w:num>
  <w:num w:numId="9" w16cid:durableId="73551532">
    <w:abstractNumId w:val="25"/>
  </w:num>
  <w:num w:numId="10" w16cid:durableId="1737121331">
    <w:abstractNumId w:val="22"/>
  </w:num>
  <w:num w:numId="11" w16cid:durableId="587007921">
    <w:abstractNumId w:val="3"/>
  </w:num>
  <w:num w:numId="12" w16cid:durableId="328873152">
    <w:abstractNumId w:val="0"/>
  </w:num>
  <w:num w:numId="13" w16cid:durableId="838886814">
    <w:abstractNumId w:val="2"/>
  </w:num>
  <w:num w:numId="14" w16cid:durableId="1202522463">
    <w:abstractNumId w:val="1"/>
  </w:num>
  <w:num w:numId="15" w16cid:durableId="1613710900">
    <w:abstractNumId w:val="21"/>
  </w:num>
  <w:num w:numId="16" w16cid:durableId="1544949666">
    <w:abstractNumId w:val="8"/>
  </w:num>
  <w:num w:numId="17" w16cid:durableId="1352609942">
    <w:abstractNumId w:val="19"/>
  </w:num>
  <w:num w:numId="18" w16cid:durableId="1346394967">
    <w:abstractNumId w:val="18"/>
  </w:num>
  <w:num w:numId="19" w16cid:durableId="2018144983">
    <w:abstractNumId w:val="9"/>
  </w:num>
  <w:num w:numId="20" w16cid:durableId="938560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7224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563575">
    <w:abstractNumId w:val="4"/>
  </w:num>
  <w:num w:numId="23" w16cid:durableId="1444303756">
    <w:abstractNumId w:val="16"/>
  </w:num>
  <w:num w:numId="24" w16cid:durableId="881213398">
    <w:abstractNumId w:val="12"/>
  </w:num>
  <w:num w:numId="25" w16cid:durableId="1758864149">
    <w:abstractNumId w:val="15"/>
  </w:num>
  <w:num w:numId="26" w16cid:durableId="1028071184">
    <w:abstractNumId w:val="27"/>
  </w:num>
  <w:num w:numId="27" w16cid:durableId="1163935947">
    <w:abstractNumId w:val="5"/>
  </w:num>
  <w:num w:numId="28" w16cid:durableId="1152327740">
    <w:abstractNumId w:val="13"/>
  </w:num>
  <w:num w:numId="29" w16cid:durableId="1081289860">
    <w:abstractNumId w:val="10"/>
  </w:num>
  <w:num w:numId="30" w16cid:durableId="1992950481">
    <w:abstractNumId w:val="7"/>
  </w:num>
  <w:num w:numId="31" w16cid:durableId="13129775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52"/>
    <w:rsid w:val="0000183A"/>
    <w:rsid w:val="00001D43"/>
    <w:rsid w:val="000518B9"/>
    <w:rsid w:val="0006337F"/>
    <w:rsid w:val="00087D3E"/>
    <w:rsid w:val="000A6AFC"/>
    <w:rsid w:val="000B13A9"/>
    <w:rsid w:val="000D63A8"/>
    <w:rsid w:val="000D7A9C"/>
    <w:rsid w:val="00110917"/>
    <w:rsid w:val="00110A0F"/>
    <w:rsid w:val="00112150"/>
    <w:rsid w:val="0013237B"/>
    <w:rsid w:val="00141CA6"/>
    <w:rsid w:val="00173A04"/>
    <w:rsid w:val="00176A51"/>
    <w:rsid w:val="00182FA1"/>
    <w:rsid w:val="00183F65"/>
    <w:rsid w:val="001C297B"/>
    <w:rsid w:val="001C755C"/>
    <w:rsid w:val="001E4392"/>
    <w:rsid w:val="001E7EA9"/>
    <w:rsid w:val="001F6B8D"/>
    <w:rsid w:val="00234738"/>
    <w:rsid w:val="002500F9"/>
    <w:rsid w:val="0029455F"/>
    <w:rsid w:val="002A07F8"/>
    <w:rsid w:val="0037343B"/>
    <w:rsid w:val="00373BDF"/>
    <w:rsid w:val="00383614"/>
    <w:rsid w:val="0038413F"/>
    <w:rsid w:val="00391AD7"/>
    <w:rsid w:val="003936EA"/>
    <w:rsid w:val="003B52EB"/>
    <w:rsid w:val="003C46D7"/>
    <w:rsid w:val="003D5032"/>
    <w:rsid w:val="003E4CD4"/>
    <w:rsid w:val="0042153C"/>
    <w:rsid w:val="004323FD"/>
    <w:rsid w:val="00453E3A"/>
    <w:rsid w:val="004560E3"/>
    <w:rsid w:val="004776D4"/>
    <w:rsid w:val="0048511B"/>
    <w:rsid w:val="004A593E"/>
    <w:rsid w:val="004C3D07"/>
    <w:rsid w:val="004F2AC1"/>
    <w:rsid w:val="005050E8"/>
    <w:rsid w:val="00506079"/>
    <w:rsid w:val="00516B52"/>
    <w:rsid w:val="00521673"/>
    <w:rsid w:val="00534FFE"/>
    <w:rsid w:val="005439FE"/>
    <w:rsid w:val="00544072"/>
    <w:rsid w:val="00551C22"/>
    <w:rsid w:val="00576882"/>
    <w:rsid w:val="005A75C6"/>
    <w:rsid w:val="005B6DC2"/>
    <w:rsid w:val="005E1E75"/>
    <w:rsid w:val="005E5663"/>
    <w:rsid w:val="005E5910"/>
    <w:rsid w:val="005F6F74"/>
    <w:rsid w:val="00622480"/>
    <w:rsid w:val="0063288F"/>
    <w:rsid w:val="00647D58"/>
    <w:rsid w:val="0065406F"/>
    <w:rsid w:val="00656D42"/>
    <w:rsid w:val="00663470"/>
    <w:rsid w:val="00684F73"/>
    <w:rsid w:val="00696E43"/>
    <w:rsid w:val="00696EF2"/>
    <w:rsid w:val="006A6A52"/>
    <w:rsid w:val="006B4C94"/>
    <w:rsid w:val="006C06E6"/>
    <w:rsid w:val="006E5DD8"/>
    <w:rsid w:val="007031F4"/>
    <w:rsid w:val="007130E0"/>
    <w:rsid w:val="00725AA6"/>
    <w:rsid w:val="00734BBC"/>
    <w:rsid w:val="007406A5"/>
    <w:rsid w:val="00745B81"/>
    <w:rsid w:val="00776D66"/>
    <w:rsid w:val="00777ACD"/>
    <w:rsid w:val="00787FA9"/>
    <w:rsid w:val="007A2B5C"/>
    <w:rsid w:val="007A33E6"/>
    <w:rsid w:val="007A53AC"/>
    <w:rsid w:val="007D2D7F"/>
    <w:rsid w:val="007E3249"/>
    <w:rsid w:val="00842FBD"/>
    <w:rsid w:val="0086194F"/>
    <w:rsid w:val="00867092"/>
    <w:rsid w:val="0088289D"/>
    <w:rsid w:val="00887222"/>
    <w:rsid w:val="008C3D9F"/>
    <w:rsid w:val="008D76C5"/>
    <w:rsid w:val="009101E1"/>
    <w:rsid w:val="00913520"/>
    <w:rsid w:val="00971180"/>
    <w:rsid w:val="009727F9"/>
    <w:rsid w:val="009871FB"/>
    <w:rsid w:val="009911A0"/>
    <w:rsid w:val="009A1056"/>
    <w:rsid w:val="009B0A33"/>
    <w:rsid w:val="009B28A5"/>
    <w:rsid w:val="009B6212"/>
    <w:rsid w:val="009C5368"/>
    <w:rsid w:val="009C62A9"/>
    <w:rsid w:val="009C77A0"/>
    <w:rsid w:val="009D467A"/>
    <w:rsid w:val="009E76B1"/>
    <w:rsid w:val="009F7699"/>
    <w:rsid w:val="00A13431"/>
    <w:rsid w:val="00A4134E"/>
    <w:rsid w:val="00A50372"/>
    <w:rsid w:val="00A5159D"/>
    <w:rsid w:val="00A627B2"/>
    <w:rsid w:val="00A63A2B"/>
    <w:rsid w:val="00A97802"/>
    <w:rsid w:val="00AC2517"/>
    <w:rsid w:val="00AC3B8E"/>
    <w:rsid w:val="00AE1650"/>
    <w:rsid w:val="00B04B20"/>
    <w:rsid w:val="00B47BD7"/>
    <w:rsid w:val="00B6068B"/>
    <w:rsid w:val="00B766FA"/>
    <w:rsid w:val="00B872F5"/>
    <w:rsid w:val="00BA4C45"/>
    <w:rsid w:val="00BA6D10"/>
    <w:rsid w:val="00BC2D08"/>
    <w:rsid w:val="00BD59CA"/>
    <w:rsid w:val="00BE49B9"/>
    <w:rsid w:val="00BE59F9"/>
    <w:rsid w:val="00BF6CDF"/>
    <w:rsid w:val="00C0120F"/>
    <w:rsid w:val="00C14367"/>
    <w:rsid w:val="00C21A2A"/>
    <w:rsid w:val="00C302FA"/>
    <w:rsid w:val="00C5686C"/>
    <w:rsid w:val="00C6788C"/>
    <w:rsid w:val="00C67A76"/>
    <w:rsid w:val="00C74819"/>
    <w:rsid w:val="00C82E16"/>
    <w:rsid w:val="00C86748"/>
    <w:rsid w:val="00CA6032"/>
    <w:rsid w:val="00CA6CB3"/>
    <w:rsid w:val="00CB7762"/>
    <w:rsid w:val="00D01427"/>
    <w:rsid w:val="00D102A2"/>
    <w:rsid w:val="00D124EA"/>
    <w:rsid w:val="00D22147"/>
    <w:rsid w:val="00D3278A"/>
    <w:rsid w:val="00D47051"/>
    <w:rsid w:val="00D62EFA"/>
    <w:rsid w:val="00D64906"/>
    <w:rsid w:val="00D857C7"/>
    <w:rsid w:val="00DA3651"/>
    <w:rsid w:val="00DB1314"/>
    <w:rsid w:val="00DC52E3"/>
    <w:rsid w:val="00DD1BB1"/>
    <w:rsid w:val="00DE3174"/>
    <w:rsid w:val="00DF539C"/>
    <w:rsid w:val="00E05BC3"/>
    <w:rsid w:val="00E07F40"/>
    <w:rsid w:val="00E15497"/>
    <w:rsid w:val="00E16DD9"/>
    <w:rsid w:val="00E201A8"/>
    <w:rsid w:val="00E83A76"/>
    <w:rsid w:val="00E90C89"/>
    <w:rsid w:val="00E96B6D"/>
    <w:rsid w:val="00EA06AC"/>
    <w:rsid w:val="00EC5653"/>
    <w:rsid w:val="00F16D46"/>
    <w:rsid w:val="00F26BFA"/>
    <w:rsid w:val="00F6431E"/>
    <w:rsid w:val="00F7706D"/>
    <w:rsid w:val="00F81DDA"/>
    <w:rsid w:val="00F86281"/>
    <w:rsid w:val="00FA5345"/>
    <w:rsid w:val="00FB3240"/>
    <w:rsid w:val="00FC0DB8"/>
    <w:rsid w:val="00FC63BA"/>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E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semiHidden/>
    <w:rsid w:val="00E83A76"/>
    <w:pPr>
      <w:spacing w:after="0"/>
      <w:ind w:left="567" w:hanging="567"/>
      <w:jc w:val="both"/>
    </w:pPr>
    <w:rPr>
      <w:sz w:val="20"/>
    </w:rPr>
  </w:style>
  <w:style w:type="character" w:customStyle="1" w:styleId="FootnoteTextChar">
    <w:name w:val="Footnote Text Char"/>
    <w:basedOn w:val="DefaultParagraphFont"/>
    <w:link w:val="FootnoteText"/>
    <w:semiHidden/>
    <w:rsid w:val="00E83A76"/>
    <w:rPr>
      <w:sz w:val="20"/>
    </w:rPr>
  </w:style>
  <w:style w:type="character" w:styleId="FootnoteReference">
    <w:name w:val="footnote reference"/>
    <w:basedOn w:val="DefaultParagraphFont"/>
    <w:qForma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BodyText">
    <w:name w:val="Body Text"/>
    <w:basedOn w:val="Normal"/>
    <w:link w:val="BodyTextChar"/>
    <w:uiPriority w:val="49"/>
    <w:semiHidden/>
    <w:unhideWhenUsed/>
    <w:rsid w:val="00913520"/>
    <w:pPr>
      <w:spacing w:after="120"/>
    </w:pPr>
  </w:style>
  <w:style w:type="character" w:customStyle="1" w:styleId="BodyTextChar">
    <w:name w:val="Body Text Char"/>
    <w:basedOn w:val="DefaultParagraphFont"/>
    <w:link w:val="BodyText"/>
    <w:uiPriority w:val="49"/>
    <w:semiHidden/>
    <w:rsid w:val="00913520"/>
  </w:style>
  <w:style w:type="paragraph" w:customStyle="1" w:styleId="numberedpara">
    <w:name w:val="numbered para"/>
    <w:basedOn w:val="Normal"/>
    <w:rsid w:val="00913520"/>
    <w:rPr>
      <w:rFonts w:eastAsia="Times New Roman"/>
      <w:snapToGrid w:val="0"/>
      <w:color w:val="000000"/>
      <w:lang w:eastAsia="en-US"/>
    </w:rPr>
  </w:style>
  <w:style w:type="paragraph" w:styleId="ListParagraph">
    <w:name w:val="List Paragraph"/>
    <w:basedOn w:val="Normal"/>
    <w:link w:val="ListParagraphChar"/>
    <w:uiPriority w:val="34"/>
    <w:qFormat/>
    <w:rsid w:val="007130E0"/>
    <w:pPr>
      <w:numPr>
        <w:numId w:val="30"/>
      </w:numPr>
    </w:pPr>
    <w:rPr>
      <w:rFonts w:eastAsia="Times New Roman"/>
      <w:szCs w:val="20"/>
    </w:rPr>
  </w:style>
  <w:style w:type="character" w:customStyle="1" w:styleId="ListParagraphChar">
    <w:name w:val="List Paragraph Char"/>
    <w:link w:val="ListParagraph"/>
    <w:uiPriority w:val="34"/>
    <w:rsid w:val="007130E0"/>
    <w:rPr>
      <w:rFonts w:eastAsia="Times New Roman"/>
      <w:szCs w:val="20"/>
    </w:rPr>
  </w:style>
  <w:style w:type="paragraph" w:customStyle="1" w:styleId="Default">
    <w:name w:val="Default"/>
    <w:rsid w:val="007130E0"/>
    <w:pPr>
      <w:autoSpaceDE w:val="0"/>
      <w:autoSpaceDN w:val="0"/>
      <w:adjustRightInd w:val="0"/>
      <w:spacing w:after="0"/>
    </w:pPr>
    <w:rPr>
      <w:rFonts w:eastAsia="Times New Roman"/>
      <w:color w:val="000000"/>
    </w:rPr>
  </w:style>
  <w:style w:type="paragraph" w:customStyle="1" w:styleId="ActTitle">
    <w:name w:val="Act Title"/>
    <w:basedOn w:val="Normal"/>
    <w:next w:val="Normal"/>
    <w:rsid w:val="0088289D"/>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88289D"/>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ED5C679E6141228923A127CC32D158"/>
        <w:category>
          <w:name w:val="General"/>
          <w:gallery w:val="placeholder"/>
        </w:category>
        <w:types>
          <w:type w:val="bbPlcHdr"/>
        </w:types>
        <w:behaviors>
          <w:behavior w:val="content"/>
        </w:behaviors>
        <w:guid w:val="{46AD9B0D-AA50-4617-9BEA-E8BC6C55CF6E}"/>
      </w:docPartPr>
      <w:docPartBody>
        <w:p w:rsidR="0046029D" w:rsidRDefault="000C3DEA" w:rsidP="000C3DEA">
          <w:pPr>
            <w:pStyle w:val="B3ED5C679E6141228923A127CC32D158"/>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EA"/>
    <w:rsid w:val="000C3DEA"/>
    <w:rsid w:val="004602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DEA"/>
    <w:rPr>
      <w:noProof w:val="0"/>
      <w:color w:val="000000" w:themeColor="text1"/>
      <w:sz w:val="22"/>
      <w:lang w:val="en-AU"/>
    </w:rPr>
  </w:style>
  <w:style w:type="paragraph" w:customStyle="1" w:styleId="B3ED5C679E6141228923A127CC32D158">
    <w:name w:val="B3ED5C679E6141228923A127CC32D158"/>
    <w:rsid w:val="000C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28F90-F409-472D-85E7-BC876BA5A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706C7-FB2A-411C-8B8F-50CA2D9E76B8}">
  <ds:schemaRefs>
    <ds:schemaRef ds:uri="http://schemas.openxmlformats.org/officeDocument/2006/bibliography"/>
  </ds:schemaRefs>
</ds:datastoreItem>
</file>

<file path=customXml/itemProps3.xml><?xml version="1.0" encoding="utf-8"?>
<ds:datastoreItem xmlns:ds="http://schemas.openxmlformats.org/officeDocument/2006/customXml" ds:itemID="{2A04424D-E9A2-4445-95A2-CFBA653F4EB3}">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5664482d-1961-4d38-bfc2-b109b3418834"/>
    <ds:schemaRef ds:uri="http://schemas.microsoft.com/office/infopath/2007/PartnerControls"/>
    <ds:schemaRef ds:uri="79530295-9eea-494d-b82a-9ff74409eafc"/>
    <ds:schemaRef ds:uri="http://schemas.microsoft.com/office/2006/metadata/properties"/>
  </ds:schemaRefs>
</ds:datastoreItem>
</file>

<file path=customXml/itemProps4.xml><?xml version="1.0" encoding="utf-8"?>
<ds:datastoreItem xmlns:ds="http://schemas.openxmlformats.org/officeDocument/2006/customXml" ds:itemID="{FDC91ACA-701D-4627-B38B-00B7E4AE9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2184</Words>
  <Characters>12104</Characters>
  <Application>Microsoft Office Word</Application>
  <DocSecurity>0</DocSecurity>
  <Lines>337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2023-05-31T10:50:00Z</dcterms:created>
  <dcterms:modified xsi:type="dcterms:W3CDTF">2023-06-02T05:24:00Z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Originator_Hash_SHA1">
    <vt:lpwstr>C3AD57350F36D8E1BD75F8F67CB06D435C9C43CA</vt:lpwstr>
  </property>
  <property fmtid="{D5CDD505-2E9C-101B-9397-08002B2CF9AE}" pid="7" name="PM_Hash_Salt">
    <vt:lpwstr>F83B96E778CBB5989B4A588337C0FCCB</vt:lpwstr>
  </property>
  <property fmtid="{D5CDD505-2E9C-101B-9397-08002B2CF9AE}" pid="8" name="PM_Hash_Version">
    <vt:lpwstr>2022.1</vt:lpwstr>
  </property>
  <property fmtid="{D5CDD505-2E9C-101B-9397-08002B2CF9AE}" pid="9" name="PM_SecurityClassification_Prev">
    <vt:lpwstr>OFFICIAL</vt:lpwstr>
  </property>
  <property fmtid="{D5CDD505-2E9C-101B-9397-08002B2CF9AE}" pid="10" name="PM_Hash_SHA1">
    <vt:lpwstr>4394B09DA61C4D565CF8A370B72D477DB68D72E7</vt:lpwstr>
  </property>
  <property fmtid="{D5CDD505-2E9C-101B-9397-08002B2CF9AE}" pid="11" name="PM_Qualifier_Prev">
    <vt:lpwstr/>
  </property>
  <property fmtid="{D5CDD505-2E9C-101B-9397-08002B2CF9AE}" pid="12" name="MSIP_Label_c0129afb-6481-4f92-bc9f-5a4a6346364d_SetDate">
    <vt:lpwstr>2022-09-15T01:23:27Z</vt:lpwstr>
  </property>
  <property fmtid="{D5CDD505-2E9C-101B-9397-08002B2CF9AE}" pid="13" name="PM_Hash_Salt_Prev">
    <vt:lpwstr>7DFA691A8E3924B3EFABDAD66D847531</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OriginationTimeStamp">
    <vt:lpwstr>2022-09-15T01:23:27Z</vt:lpwstr>
  </property>
  <property fmtid="{D5CDD505-2E9C-101B-9397-08002B2CF9AE}" pid="17" name="PM_ProtectiveMarkingValue_Header">
    <vt:lpwstr>OFFICIAL</vt:lpwstr>
  </property>
  <property fmtid="{D5CDD505-2E9C-101B-9397-08002B2CF9AE}" pid="18" name="PM_Originating_FileId">
    <vt:lpwstr>9CDD4A8A38FF4D3681F9F9DB8CFE362E</vt:lpwstr>
  </property>
  <property fmtid="{D5CDD505-2E9C-101B-9397-08002B2CF9AE}" pid="19" name="PM_ProtectiveMarkingValue_Footer">
    <vt:lpwstr>OFFICIAL</vt:lpwstr>
  </property>
  <property fmtid="{D5CDD505-2E9C-101B-9397-08002B2CF9AE}" pid="20" name="PM_ProtectiveMarkingImage_Footer">
    <vt:lpwstr>C:\Program Files\Common Files\janusNET Shared\janusSEAL\Images\DocumentSlashBlue.png</vt:lpwstr>
  </property>
  <property fmtid="{D5CDD505-2E9C-101B-9397-08002B2CF9AE}" pid="21" name="PM_Namespace">
    <vt:lpwstr>gov.au</vt:lpwstr>
  </property>
  <property fmtid="{D5CDD505-2E9C-101B-9397-08002B2CF9AE}" pid="22" name="PM_Version">
    <vt:lpwstr>2018.3</vt:lpwstr>
  </property>
  <property fmtid="{D5CDD505-2E9C-101B-9397-08002B2CF9AE}" pid="23" name="PM_Note">
    <vt:lpwstr/>
  </property>
  <property fmtid="{D5CDD505-2E9C-101B-9397-08002B2CF9AE}" pid="24" name="PM_Markers">
    <vt:lpwstr/>
  </property>
  <property fmtid="{D5CDD505-2E9C-101B-9397-08002B2CF9AE}" pid="25" name="PM_Display">
    <vt:lpwstr>OFFICIAL</vt:lpwstr>
  </property>
  <property fmtid="{D5CDD505-2E9C-101B-9397-08002B2CF9AE}" pid="26" name="PM_OriginatorUserAccountName_SHA256">
    <vt:lpwstr>6E3018F28A186D2E5FF5207C041E7A82E907C3008E071057026A53705873B72E</vt:lpwstr>
  </property>
  <property fmtid="{D5CDD505-2E9C-101B-9397-08002B2CF9AE}" pid="27" name="PM_OriginatorDomainName_SHA256">
    <vt:lpwstr>ECBDE2B44A971754412B3FB70606937A119CC0D4B6C1B658A40FBD41C30BE3EC</vt:lpwstr>
  </property>
  <property fmtid="{D5CDD505-2E9C-101B-9397-08002B2CF9AE}" pid="28" name="PMUuid">
    <vt:lpwstr>v=2022.2;d=gov.au;g=46DD6D7C-8107-577B-BC6E-F348953B2E44</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ContentTypeId">
    <vt:lpwstr>0x010100E5E831F15EEA47429C4A0837D916ED91</vt:lpwstr>
  </property>
  <property fmtid="{D5CDD505-2E9C-101B-9397-08002B2CF9AE}" pid="33" name="APRAPeriod">
    <vt:lpwstr/>
  </property>
  <property fmtid="{D5CDD505-2E9C-101B-9397-08002B2CF9AE}" pid="34" name="APRAPRSG">
    <vt:lpwstr/>
  </property>
  <property fmtid="{D5CDD505-2E9C-101B-9397-08002B2CF9AE}" pid="35" name="APRAActivity">
    <vt:lpwstr>Prudential policy development</vt:lpwstr>
  </property>
  <property fmtid="{D5CDD505-2E9C-101B-9397-08002B2CF9AE}" pid="36" name="APRAYear">
    <vt:lpwstr/>
  </property>
  <property fmtid="{D5CDD505-2E9C-101B-9397-08002B2CF9AE}" pid="37" name="APRAIndustry">
    <vt:lpwstr>PHI</vt:lpwstr>
  </property>
  <property fmtid="{D5CDD505-2E9C-101B-9397-08002B2CF9AE}" pid="38" name="_dlc_DocIdItemGuid">
    <vt:lpwstr>a635e60c-af2f-4c18-bb14-f5a0612d9d33</vt:lpwstr>
  </property>
  <property fmtid="{D5CDD505-2E9C-101B-9397-08002B2CF9AE}" pid="39" name="IsLocked">
    <vt:lpwstr>False</vt:lpwstr>
  </property>
  <property fmtid="{D5CDD505-2E9C-101B-9397-08002B2CF9AE}" pid="40" name="APRACostCentre">
    <vt:lpwstr/>
  </property>
  <property fmtid="{D5CDD505-2E9C-101B-9397-08002B2CF9AE}" pid="41" name="IT system type">
    <vt:lpwstr/>
  </property>
  <property fmtid="{D5CDD505-2E9C-101B-9397-08002B2CF9AE}" pid="42" name="APRACategory">
    <vt:lpwstr/>
  </property>
  <property fmtid="{D5CDD505-2E9C-101B-9397-08002B2CF9AE}" pid="43" name="APRADocumentType">
    <vt:lpwstr>Prudential standard</vt:lpwstr>
  </property>
  <property fmtid="{D5CDD505-2E9C-101B-9397-08002B2CF9AE}" pid="44" name="APRAStatus">
    <vt:lpwstr>Published</vt:lpwstr>
  </property>
  <property fmtid="{D5CDD505-2E9C-101B-9397-08002B2CF9AE}" pid="45" name="APRAEntityAdviceSupport">
    <vt:lpwstr/>
  </property>
  <property fmtid="{D5CDD505-2E9C-101B-9397-08002B2CF9AE}" pid="46" name="APRALegislation">
    <vt:lpwstr/>
  </property>
  <property fmtid="{D5CDD505-2E9C-101B-9397-08002B2CF9AE}" pid="47" name="APRAExternalOrganisation">
    <vt:lpwstr/>
  </property>
  <property fmtid="{D5CDD505-2E9C-101B-9397-08002B2CF9AE}" pid="48" name="APRAIRTR">
    <vt:lpwstr/>
  </property>
  <property fmtid="{D5CDD505-2E9C-101B-9397-08002B2CF9AE}" pid="49" name="RecordPoint_WorkflowType">
    <vt:lpwstr>ActiveSubmitStub</vt:lpwstr>
  </property>
  <property fmtid="{D5CDD505-2E9C-101B-9397-08002B2CF9AE}" pid="50" name="RecordPoint_ActiveItemSiteId">
    <vt:lpwstr>{0108aca2-193a-480a-9365-26eca985c6f0}</vt:lpwstr>
  </property>
  <property fmtid="{D5CDD505-2E9C-101B-9397-08002B2CF9AE}" pid="51" name="RecordPoint_ActiveItemListId">
    <vt:lpwstr>{8524f2be-f3e8-4e4e-b114-b0bf6497a529}</vt:lpwstr>
  </property>
  <property fmtid="{D5CDD505-2E9C-101B-9397-08002B2CF9AE}" pid="52" name="RecordPoint_ActiveItemUniqueId">
    <vt:lpwstr>{a635e60c-af2f-4c18-bb14-f5a0612d9d33}</vt:lpwstr>
  </property>
  <property fmtid="{D5CDD505-2E9C-101B-9397-08002B2CF9AE}" pid="53" name="RecordPoint_ActiveItemWebId">
    <vt:lpwstr>{b7c132af-ef8f-43c8-b784-c343c8358833}</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PMHMAC">
    <vt:lpwstr>v=2022.1;a=SHA256;h=57B784B02AE02FE026B0479287BFBC1C5B544B2F9FC3510B0F583314F202058A</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MSIP_Label_c0129afb-6481-4f92-bc9f-5a4a6346364d_ActionId">
    <vt:lpwstr>97af910137c54932b3f86ccf7ad8ec32</vt:lpwstr>
  </property>
  <property fmtid="{D5CDD505-2E9C-101B-9397-08002B2CF9AE}" pid="63" name="Order">
    <vt:r8>100</vt:r8>
  </property>
  <property fmtid="{D5CDD505-2E9C-101B-9397-08002B2CF9AE}" pid="64" name="APRASecurityClassification">
    <vt:lpwstr>OFFICIAL</vt:lpwstr>
  </property>
  <property fmtid="{D5CDD505-2E9C-101B-9397-08002B2CF9AE}" pid="65" name="DocumentSetDescription">
    <vt:lpwstr/>
  </property>
  <property fmtid="{D5CDD505-2E9C-101B-9397-08002B2CF9AE}" pid="66" name="_ExtendedDescription">
    <vt:lpwstr/>
  </property>
  <property fmtid="{D5CDD505-2E9C-101B-9397-08002B2CF9AE}" pid="67" name="URL">
    <vt:lpwstr/>
  </property>
  <property fmtid="{D5CDD505-2E9C-101B-9397-08002B2CF9AE}" pid="68" name="MediaServiceImageTags">
    <vt:lpwstr/>
  </property>
</Properties>
</file>