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CF64" w14:textId="77777777" w:rsidR="00800375" w:rsidRPr="009D7EB6" w:rsidRDefault="00800375" w:rsidP="00800375">
      <w:pPr>
        <w:rPr>
          <w:rFonts w:ascii="Arial" w:hAnsi="Arial" w:cs="Arial"/>
        </w:rPr>
      </w:pPr>
      <w:bookmarkStart w:id="0" w:name="_Hlk134610298"/>
      <w:r w:rsidRPr="009D7EB6">
        <w:rPr>
          <w:rFonts w:ascii="Arial" w:hAnsi="Arial" w:cs="Arial"/>
          <w:noProof/>
        </w:rPr>
        <w:drawing>
          <wp:inline distT="0" distB="0" distL="0" distR="0" wp14:anchorId="21C0ED7A" wp14:editId="309211A2">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BA212E8" w14:textId="77777777" w:rsidR="00800375" w:rsidRDefault="00800375" w:rsidP="00800375">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43BC377B" w14:textId="51B6286C" w:rsidR="00800375" w:rsidRDefault="00800375" w:rsidP="00800375">
      <w:pPr>
        <w:pStyle w:val="Title"/>
        <w:spacing w:before="240" w:after="0"/>
        <w:jc w:val="both"/>
        <w:rPr>
          <w:rFonts w:ascii="Arial" w:hAnsi="Arial" w:cs="Arial"/>
          <w:color w:val="000000"/>
          <w:sz w:val="32"/>
          <w:szCs w:val="32"/>
        </w:rPr>
      </w:pPr>
      <w:r w:rsidRPr="00F441B1">
        <w:rPr>
          <w:rFonts w:ascii="Arial" w:hAnsi="Arial" w:cs="Arial"/>
          <w:color w:val="000000"/>
          <w:sz w:val="32"/>
          <w:szCs w:val="32"/>
        </w:rPr>
        <w:t xml:space="preserve">No. </w:t>
      </w:r>
      <w:r w:rsidR="003478B0">
        <w:rPr>
          <w:rFonts w:ascii="Arial" w:hAnsi="Arial" w:cs="Arial"/>
          <w:color w:val="000000"/>
          <w:sz w:val="32"/>
          <w:szCs w:val="32"/>
        </w:rPr>
        <w:t>10</w:t>
      </w:r>
      <w:r w:rsidRPr="00F441B1">
        <w:rPr>
          <w:rFonts w:ascii="Arial" w:hAnsi="Arial" w:cs="Arial"/>
          <w:color w:val="000000"/>
          <w:sz w:val="32"/>
          <w:szCs w:val="32"/>
        </w:rPr>
        <w:t xml:space="preserve"> of 2023</w:t>
      </w:r>
    </w:p>
    <w:p w14:paraId="26A9446C" w14:textId="4F5047E2" w:rsidR="00800375" w:rsidRDefault="007E16D5" w:rsidP="00800375">
      <w:pPr>
        <w:pStyle w:val="ActTitle"/>
        <w:spacing w:before="240"/>
        <w:rPr>
          <w:rFonts w:eastAsia="Calibri" w:cs="Arial"/>
          <w:b/>
          <w:i w:val="0"/>
          <w:iCs w:val="0"/>
          <w:color w:val="000000"/>
          <w:szCs w:val="28"/>
        </w:rPr>
      </w:pPr>
      <w:r w:rsidRPr="007E16D5">
        <w:rPr>
          <w:rFonts w:eastAsia="Calibri" w:cs="Arial"/>
          <w:b/>
          <w:i w:val="0"/>
          <w:iCs w:val="0"/>
          <w:color w:val="000000"/>
          <w:szCs w:val="28"/>
        </w:rPr>
        <w:t>Prudential Standard LPS 118 Capital Adequacy: Operational Risk Charge</w:t>
      </w:r>
    </w:p>
    <w:p w14:paraId="46B2BBCD" w14:textId="77777777" w:rsidR="00800375" w:rsidRPr="00C60305" w:rsidRDefault="00800375" w:rsidP="00800375">
      <w:pPr>
        <w:pStyle w:val="ActTitle"/>
        <w:spacing w:before="240"/>
        <w:rPr>
          <w:rFonts w:cs="Arial"/>
          <w:color w:val="000000"/>
        </w:rPr>
      </w:pPr>
      <w:r w:rsidRPr="00F441B1">
        <w:rPr>
          <w:rFonts w:cs="Arial"/>
          <w:color w:val="000000"/>
        </w:rPr>
        <w:t>Life Insurance Act 1995</w:t>
      </w:r>
    </w:p>
    <w:p w14:paraId="51DB75C6" w14:textId="59FD8398" w:rsidR="00800375" w:rsidRPr="00FD4A16" w:rsidRDefault="00800375" w:rsidP="00800375">
      <w:pPr>
        <w:pStyle w:val="IntroTo"/>
        <w:spacing w:before="100" w:beforeAutospacing="1" w:after="240"/>
        <w:jc w:val="both"/>
        <w:rPr>
          <w:rFonts w:ascii="Arial" w:hAnsi="Arial" w:cs="Arial"/>
          <w:color w:val="000000"/>
          <w:sz w:val="22"/>
          <w:szCs w:val="22"/>
        </w:rPr>
      </w:pPr>
      <w:r w:rsidRPr="00FD4A16">
        <w:rPr>
          <w:rFonts w:ascii="Arial" w:hAnsi="Arial" w:cs="Arial"/>
          <w:sz w:val="22"/>
          <w:szCs w:val="22"/>
        </w:rPr>
        <w:t xml:space="preserve">I, </w:t>
      </w:r>
      <w:r w:rsidR="001772A8">
        <w:rPr>
          <w:rFonts w:ascii="Arial" w:hAnsi="Arial" w:cs="Arial"/>
          <w:sz w:val="22"/>
          <w:szCs w:val="22"/>
        </w:rPr>
        <w:t>Helen Rowell</w:t>
      </w:r>
      <w:r w:rsidRPr="00FD4A16">
        <w:rPr>
          <w:rFonts w:ascii="Arial" w:hAnsi="Arial" w:cs="Arial"/>
          <w:sz w:val="22"/>
          <w:szCs w:val="22"/>
        </w:rPr>
        <w:t>, a delegate of APRA:</w:t>
      </w:r>
    </w:p>
    <w:p w14:paraId="6B41FFA6" w14:textId="796E41D6" w:rsidR="00800375" w:rsidRPr="00FD4A16" w:rsidRDefault="00800375" w:rsidP="00800375">
      <w:pPr>
        <w:pStyle w:val="ListParagraph"/>
        <w:numPr>
          <w:ilvl w:val="0"/>
          <w:numId w:val="24"/>
        </w:numPr>
        <w:tabs>
          <w:tab w:val="left" w:pos="567"/>
        </w:tabs>
        <w:spacing w:before="100" w:beforeAutospacing="1"/>
        <w:ind w:left="567" w:hanging="567"/>
        <w:rPr>
          <w:rFonts w:ascii="Arial" w:hAnsi="Arial" w:cs="Arial"/>
          <w:sz w:val="22"/>
          <w:szCs w:val="22"/>
        </w:rPr>
      </w:pPr>
      <w:r w:rsidRPr="00FD4A16">
        <w:rPr>
          <w:rFonts w:ascii="Arial" w:hAnsi="Arial" w:cs="Arial"/>
          <w:sz w:val="22"/>
          <w:szCs w:val="22"/>
        </w:rPr>
        <w:t xml:space="preserve">under subsection 230A(5) of the </w:t>
      </w:r>
      <w:r w:rsidRPr="00FD4A16">
        <w:rPr>
          <w:rFonts w:ascii="Arial" w:hAnsi="Arial" w:cs="Arial"/>
          <w:i/>
          <w:sz w:val="22"/>
          <w:szCs w:val="22"/>
        </w:rPr>
        <w:t>Life Insurance Act 1995</w:t>
      </w:r>
      <w:r w:rsidRPr="00FD4A16">
        <w:rPr>
          <w:rFonts w:ascii="Arial" w:hAnsi="Arial" w:cs="Arial"/>
          <w:sz w:val="22"/>
          <w:szCs w:val="22"/>
        </w:rPr>
        <w:t xml:space="preserve"> (the Act) revoke Life Insurance (prudential standard) determination No. </w:t>
      </w:r>
      <w:r w:rsidR="007E16D5" w:rsidRPr="00FD4A16">
        <w:rPr>
          <w:rFonts w:ascii="Arial" w:hAnsi="Arial" w:cs="Arial"/>
          <w:sz w:val="22"/>
          <w:szCs w:val="22"/>
        </w:rPr>
        <w:t>7</w:t>
      </w:r>
      <w:r w:rsidRPr="00FD4A16">
        <w:rPr>
          <w:rFonts w:ascii="Arial" w:hAnsi="Arial" w:cs="Arial"/>
          <w:sz w:val="22"/>
          <w:szCs w:val="22"/>
        </w:rPr>
        <w:t xml:space="preserve"> of 2012, including </w:t>
      </w:r>
      <w:r w:rsidR="007E16D5" w:rsidRPr="00FD4A16">
        <w:rPr>
          <w:rFonts w:ascii="Arial" w:hAnsi="Arial" w:cs="Arial"/>
          <w:i/>
          <w:sz w:val="22"/>
          <w:szCs w:val="22"/>
        </w:rPr>
        <w:t>Prudential Standard LPS 118 Capital Adequacy: Operational Risk Charge</w:t>
      </w:r>
      <w:r w:rsidRPr="00FD4A16">
        <w:rPr>
          <w:rFonts w:ascii="Arial" w:hAnsi="Arial" w:cs="Arial"/>
          <w:i/>
          <w:sz w:val="22"/>
          <w:szCs w:val="22"/>
        </w:rPr>
        <w:t xml:space="preserve"> </w:t>
      </w:r>
      <w:r w:rsidRPr="00FD4A16">
        <w:rPr>
          <w:rFonts w:ascii="Arial" w:hAnsi="Arial" w:cs="Arial"/>
          <w:sz w:val="22"/>
          <w:szCs w:val="22"/>
        </w:rPr>
        <w:t>made under that Determination; and</w:t>
      </w:r>
    </w:p>
    <w:p w14:paraId="5DF97186" w14:textId="77777777" w:rsidR="00800375" w:rsidRPr="00FD4A16" w:rsidRDefault="00800375" w:rsidP="00F1203D">
      <w:pPr>
        <w:pStyle w:val="ListParagraph"/>
        <w:tabs>
          <w:tab w:val="left" w:pos="567"/>
        </w:tabs>
        <w:spacing w:before="100" w:beforeAutospacing="1" w:after="240"/>
        <w:ind w:left="567"/>
        <w:rPr>
          <w:rFonts w:ascii="Arial" w:hAnsi="Arial" w:cs="Arial"/>
          <w:sz w:val="22"/>
          <w:szCs w:val="22"/>
        </w:rPr>
      </w:pPr>
    </w:p>
    <w:p w14:paraId="45850303" w14:textId="0790FBFA" w:rsidR="00800375" w:rsidRPr="00FD4A16" w:rsidRDefault="00800375" w:rsidP="00800375">
      <w:pPr>
        <w:pStyle w:val="ListParagraph"/>
        <w:numPr>
          <w:ilvl w:val="0"/>
          <w:numId w:val="24"/>
        </w:numPr>
        <w:tabs>
          <w:tab w:val="left" w:pos="567"/>
        </w:tabs>
        <w:spacing w:before="100" w:beforeAutospacing="1"/>
        <w:ind w:left="567" w:hanging="567"/>
        <w:rPr>
          <w:rFonts w:ascii="Arial" w:hAnsi="Arial" w:cs="Arial"/>
          <w:sz w:val="22"/>
          <w:szCs w:val="22"/>
        </w:rPr>
      </w:pPr>
      <w:r w:rsidRPr="00FD4A16">
        <w:rPr>
          <w:rFonts w:ascii="Arial" w:hAnsi="Arial" w:cs="Arial"/>
          <w:sz w:val="22"/>
          <w:szCs w:val="22"/>
        </w:rPr>
        <w:t xml:space="preserve">under subsection 230A(1) of the Act determine </w:t>
      </w:r>
      <w:r w:rsidR="007E16D5" w:rsidRPr="00FD4A16">
        <w:rPr>
          <w:rFonts w:ascii="Arial" w:hAnsi="Arial" w:cs="Arial"/>
          <w:i/>
          <w:sz w:val="22"/>
          <w:szCs w:val="22"/>
        </w:rPr>
        <w:t>Prudential Standard LPS 118 Capital Adequacy: Operational Risk Charge</w:t>
      </w:r>
      <w:r w:rsidRPr="00FD4A16">
        <w:rPr>
          <w:rFonts w:ascii="Arial" w:hAnsi="Arial" w:cs="Arial"/>
          <w:sz w:val="22"/>
          <w:szCs w:val="22"/>
        </w:rPr>
        <w:t>, which applies to all life companies, including friendly societies.</w:t>
      </w:r>
    </w:p>
    <w:p w14:paraId="1AD1620F" w14:textId="77777777" w:rsidR="00800375" w:rsidRPr="00FD4A16" w:rsidRDefault="00800375" w:rsidP="00800375">
      <w:pPr>
        <w:spacing w:before="100" w:beforeAutospacing="1"/>
        <w:jc w:val="both"/>
        <w:rPr>
          <w:rFonts w:ascii="Arial" w:hAnsi="Arial" w:cs="Arial"/>
          <w:sz w:val="22"/>
          <w:szCs w:val="22"/>
        </w:rPr>
      </w:pPr>
      <w:r w:rsidRPr="00FD4A16">
        <w:rPr>
          <w:rFonts w:ascii="Arial" w:hAnsi="Arial" w:cs="Arial"/>
          <w:sz w:val="22"/>
          <w:szCs w:val="22"/>
        </w:rPr>
        <w:t>This instrument commences on 1 July 2023.</w:t>
      </w:r>
    </w:p>
    <w:p w14:paraId="6DAB965D" w14:textId="11FBB156" w:rsidR="00800375" w:rsidRPr="009D7EB6" w:rsidRDefault="00800375" w:rsidP="00800375">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4C01EA331E1C4BF9AAEC49DEA5AEFE1E"/>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392AAE">
            <w:rPr>
              <w:rFonts w:ascii="Arial" w:hAnsi="Arial" w:cs="Arial"/>
              <w:sz w:val="22"/>
              <w:szCs w:val="22"/>
            </w:rPr>
            <w:t>24 May 2023</w:t>
          </w:r>
        </w:sdtContent>
      </w:sdt>
    </w:p>
    <w:p w14:paraId="6AB46179" w14:textId="77777777" w:rsidR="00800375" w:rsidRPr="009D7EB6" w:rsidRDefault="00800375" w:rsidP="00800375">
      <w:pPr>
        <w:pStyle w:val="IntroTo"/>
        <w:rPr>
          <w:rFonts w:ascii="Arial" w:hAnsi="Arial" w:cs="Arial"/>
          <w:sz w:val="22"/>
          <w:szCs w:val="22"/>
        </w:rPr>
      </w:pPr>
    </w:p>
    <w:p w14:paraId="6C7DB352" w14:textId="0862FFA3" w:rsidR="00392AAE" w:rsidRDefault="00392AAE" w:rsidP="00800375">
      <w:pPr>
        <w:autoSpaceDE w:val="0"/>
        <w:autoSpaceDN w:val="0"/>
        <w:adjustRightInd w:val="0"/>
        <w:spacing w:after="0"/>
        <w:rPr>
          <w:rFonts w:ascii="Arial" w:hAnsi="Arial" w:cs="Arial"/>
          <w:sz w:val="22"/>
          <w:szCs w:val="22"/>
        </w:rPr>
      </w:pPr>
      <w:r>
        <w:rPr>
          <w:rFonts w:ascii="Arial" w:hAnsi="Arial" w:cs="Arial"/>
          <w:sz w:val="22"/>
          <w:szCs w:val="22"/>
        </w:rPr>
        <w:t>[Signed]</w:t>
      </w:r>
    </w:p>
    <w:p w14:paraId="6C3146F5" w14:textId="77777777" w:rsidR="00392AAE" w:rsidRDefault="00392AAE" w:rsidP="00800375">
      <w:pPr>
        <w:autoSpaceDE w:val="0"/>
        <w:autoSpaceDN w:val="0"/>
        <w:adjustRightInd w:val="0"/>
        <w:spacing w:after="0"/>
        <w:rPr>
          <w:rFonts w:ascii="Arial" w:hAnsi="Arial" w:cs="Arial"/>
          <w:sz w:val="22"/>
          <w:szCs w:val="22"/>
        </w:rPr>
      </w:pPr>
    </w:p>
    <w:p w14:paraId="6F3EAFBD" w14:textId="74D6B8D5" w:rsidR="003478B0" w:rsidRDefault="001772A8" w:rsidP="00800375">
      <w:pPr>
        <w:autoSpaceDE w:val="0"/>
        <w:autoSpaceDN w:val="0"/>
        <w:adjustRightInd w:val="0"/>
        <w:spacing w:after="0"/>
        <w:rPr>
          <w:rFonts w:ascii="Arial" w:hAnsi="Arial" w:cs="Arial"/>
          <w:sz w:val="22"/>
          <w:szCs w:val="22"/>
        </w:rPr>
      </w:pPr>
      <w:r>
        <w:rPr>
          <w:rFonts w:ascii="Arial" w:hAnsi="Arial" w:cs="Arial"/>
          <w:sz w:val="22"/>
          <w:szCs w:val="22"/>
        </w:rPr>
        <w:t>Helen Rowell</w:t>
      </w:r>
      <w:r w:rsidRPr="00B2530E">
        <w:rPr>
          <w:rFonts w:ascii="Arial" w:hAnsi="Arial" w:cs="Arial"/>
          <w:sz w:val="22"/>
          <w:szCs w:val="22"/>
        </w:rPr>
        <w:t xml:space="preserve"> </w:t>
      </w:r>
    </w:p>
    <w:p w14:paraId="63869DC7" w14:textId="098C53B4" w:rsidR="003478B0" w:rsidRPr="00B2530E" w:rsidRDefault="003478B0" w:rsidP="003478B0">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3E5FB7AE" w14:textId="56321954" w:rsidR="00800375" w:rsidRPr="00B2530E" w:rsidRDefault="00800375" w:rsidP="00800375">
      <w:pPr>
        <w:autoSpaceDE w:val="0"/>
        <w:autoSpaceDN w:val="0"/>
        <w:adjustRightInd w:val="0"/>
        <w:spacing w:after="0"/>
        <w:rPr>
          <w:rFonts w:ascii="Arial" w:hAnsi="Arial" w:cs="Arial"/>
          <w:sz w:val="22"/>
          <w:szCs w:val="22"/>
        </w:rPr>
      </w:pPr>
    </w:p>
    <w:p w14:paraId="791666A0" w14:textId="77777777" w:rsidR="00800375" w:rsidRPr="009D7EB6" w:rsidRDefault="00800375" w:rsidP="00800375">
      <w:pPr>
        <w:spacing w:before="480" w:after="0"/>
        <w:rPr>
          <w:rFonts w:ascii="Arial" w:hAnsi="Arial" w:cs="Arial"/>
          <w:b/>
        </w:rPr>
      </w:pPr>
      <w:r w:rsidRPr="009D7EB6">
        <w:rPr>
          <w:rFonts w:ascii="Arial" w:hAnsi="Arial" w:cs="Arial"/>
          <w:b/>
        </w:rPr>
        <w:t>Interpretation</w:t>
      </w:r>
    </w:p>
    <w:p w14:paraId="6B6BEED9" w14:textId="77777777" w:rsidR="00800375" w:rsidRDefault="00800375" w:rsidP="00800375">
      <w:pPr>
        <w:spacing w:before="120" w:after="0"/>
        <w:rPr>
          <w:rFonts w:ascii="Arial" w:hAnsi="Arial" w:cs="Arial"/>
        </w:rPr>
      </w:pPr>
      <w:r w:rsidRPr="009D7EB6">
        <w:rPr>
          <w:rFonts w:ascii="Arial" w:hAnsi="Arial" w:cs="Arial"/>
        </w:rPr>
        <w:t>In this instrument:</w:t>
      </w:r>
    </w:p>
    <w:p w14:paraId="26B6FC3C" w14:textId="77777777" w:rsidR="00800375" w:rsidRPr="009D7EB6" w:rsidRDefault="00800375" w:rsidP="00800375">
      <w:pPr>
        <w:spacing w:before="120" w:after="0"/>
        <w:rPr>
          <w:rFonts w:ascii="Arial" w:hAnsi="Arial" w:cs="Arial"/>
        </w:rPr>
      </w:pPr>
    </w:p>
    <w:p w14:paraId="54F757F2" w14:textId="77777777" w:rsidR="00800375" w:rsidRPr="00EA0A28" w:rsidRDefault="00800375" w:rsidP="00800375">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2FF5CA10" w14:textId="77777777" w:rsidR="00800375" w:rsidRPr="0058373B" w:rsidRDefault="00800375" w:rsidP="00800375">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035597EA" w14:textId="77777777" w:rsidR="00800375" w:rsidRPr="0058373B" w:rsidRDefault="00800375" w:rsidP="00800375">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05B1A628" w14:textId="77777777" w:rsidR="00800375" w:rsidRPr="00C72C1A" w:rsidRDefault="00800375" w:rsidP="00800375">
      <w:pPr>
        <w:rPr>
          <w:rFonts w:cs="Arial"/>
        </w:rPr>
      </w:pPr>
      <w:r w:rsidRPr="00C72C1A">
        <w:rPr>
          <w:rFonts w:cs="Arial"/>
        </w:rPr>
        <w:br w:type="page"/>
      </w:r>
    </w:p>
    <w:p w14:paraId="0B3FFE36" w14:textId="77777777" w:rsidR="00800375" w:rsidRPr="00EA0A28" w:rsidRDefault="00800375" w:rsidP="00800375">
      <w:pPr>
        <w:spacing w:after="0"/>
        <w:rPr>
          <w:rFonts w:ascii="Arial" w:hAnsi="Arial" w:cs="Arial"/>
          <w:b/>
          <w:sz w:val="32"/>
          <w:szCs w:val="32"/>
        </w:rPr>
      </w:pPr>
      <w:r w:rsidRPr="00EA0A28">
        <w:rPr>
          <w:rFonts w:ascii="Arial" w:hAnsi="Arial" w:cs="Arial"/>
          <w:b/>
          <w:sz w:val="32"/>
          <w:szCs w:val="32"/>
        </w:rPr>
        <w:lastRenderedPageBreak/>
        <w:t xml:space="preserve">Schedule </w:t>
      </w:r>
    </w:p>
    <w:p w14:paraId="31082181" w14:textId="77777777" w:rsidR="00800375" w:rsidRDefault="00800375" w:rsidP="00800375">
      <w:pPr>
        <w:spacing w:after="0"/>
      </w:pPr>
    </w:p>
    <w:p w14:paraId="1FFA1B12" w14:textId="223911A2" w:rsidR="00800375" w:rsidRDefault="007E16D5" w:rsidP="00800375">
      <w:pPr>
        <w:jc w:val="both"/>
        <w:rPr>
          <w:rFonts w:ascii="Arial" w:hAnsi="Arial" w:cs="Arial"/>
          <w:sz w:val="22"/>
          <w:szCs w:val="22"/>
        </w:rPr>
      </w:pPr>
      <w:r w:rsidRPr="007E16D5">
        <w:rPr>
          <w:rFonts w:ascii="Arial" w:hAnsi="Arial" w:cs="Arial"/>
          <w:i/>
          <w:sz w:val="22"/>
          <w:szCs w:val="22"/>
        </w:rPr>
        <w:t>Prudential Standard LPS 118 Capital Adequacy: Operational Risk Charge</w:t>
      </w:r>
      <w:r w:rsidR="00800375">
        <w:rPr>
          <w:rFonts w:ascii="Arial" w:hAnsi="Arial" w:cs="Arial"/>
          <w:i/>
          <w:sz w:val="22"/>
          <w:szCs w:val="22"/>
        </w:rPr>
        <w:t>,</w:t>
      </w:r>
      <w:r w:rsidR="00800375" w:rsidRPr="00410EEC">
        <w:rPr>
          <w:rFonts w:ascii="Arial" w:hAnsi="Arial" w:cs="Arial"/>
          <w:i/>
          <w:sz w:val="22"/>
          <w:szCs w:val="22"/>
        </w:rPr>
        <w:t xml:space="preserve"> </w:t>
      </w:r>
      <w:r w:rsidR="00800375" w:rsidRPr="006A3108">
        <w:rPr>
          <w:rFonts w:ascii="Arial" w:hAnsi="Arial" w:cs="Arial"/>
          <w:bCs/>
          <w:sz w:val="22"/>
          <w:szCs w:val="22"/>
        </w:rPr>
        <w:t>comprises the document commencing on the following page.</w:t>
      </w:r>
      <w:r w:rsidR="00800375" w:rsidRPr="006A3108">
        <w:rPr>
          <w:rFonts w:ascii="Arial" w:hAnsi="Arial" w:cs="Arial"/>
          <w:sz w:val="22"/>
          <w:szCs w:val="22"/>
        </w:rPr>
        <w:t xml:space="preserve"> </w:t>
      </w:r>
    </w:p>
    <w:bookmarkEnd w:id="0"/>
    <w:p w14:paraId="58ED46C6" w14:textId="77777777" w:rsidR="00800375" w:rsidRDefault="00800375" w:rsidP="00800375">
      <w:pPr>
        <w:spacing w:after="0"/>
      </w:pPr>
    </w:p>
    <w:p w14:paraId="43360ADB" w14:textId="77777777" w:rsidR="003A723D" w:rsidRDefault="003A723D" w:rsidP="003B52EB">
      <w:pPr>
        <w:spacing w:after="0"/>
        <w:sectPr w:rsidR="003A723D" w:rsidSect="000D63A8">
          <w:headerReference w:type="default" r:id="rId12"/>
          <w:pgSz w:w="11906" w:h="16838" w:code="9"/>
          <w:pgMar w:top="1440" w:right="1797" w:bottom="1440" w:left="1797" w:header="709" w:footer="709" w:gutter="0"/>
          <w:cols w:space="708"/>
          <w:docGrid w:linePitch="360"/>
        </w:sectPr>
      </w:pPr>
    </w:p>
    <w:p w14:paraId="6D2823BB" w14:textId="3E4533EA" w:rsidR="003B52EB" w:rsidRDefault="00506079" w:rsidP="003B52EB">
      <w:pPr>
        <w:spacing w:after="0"/>
      </w:pPr>
      <w:r>
        <w:rPr>
          <w:noProof/>
          <w:lang w:val="en-US" w:eastAsia="en-US"/>
        </w:rPr>
        <w:lastRenderedPageBreak/>
        <w:drawing>
          <wp:inline distT="0" distB="0" distL="0" distR="0" wp14:anchorId="598C4DA6" wp14:editId="06DA4655">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41E9C914" w:rsidR="00DA3651" w:rsidRPr="009B6212" w:rsidRDefault="006A6A52" w:rsidP="001F6B8D">
      <w:pPr>
        <w:pStyle w:val="Title"/>
      </w:pPr>
      <w:bookmarkStart w:id="1" w:name="_Toc326937696"/>
      <w:r w:rsidRPr="00162AE6">
        <w:t>Prudential</w:t>
      </w:r>
      <w:r w:rsidRPr="009B6212">
        <w:t xml:space="preserve"> Standard</w:t>
      </w:r>
      <w:r w:rsidRPr="00E07F40">
        <w:rPr>
          <w:rStyle w:val="PSNofieldtext"/>
        </w:rPr>
        <w:t xml:space="preserve"> </w:t>
      </w:r>
      <w:r w:rsidR="001136F8">
        <w:rPr>
          <w:rStyle w:val="PSNofieldtext"/>
        </w:rPr>
        <w:fldChar w:fldCharType="begin">
          <w:ffData>
            <w:name w:val="Text1"/>
            <w:enabled/>
            <w:calcOnExit w:val="0"/>
            <w:textInput>
              <w:default w:val="LPS 118"/>
            </w:textInput>
          </w:ffData>
        </w:fldChar>
      </w:r>
      <w:bookmarkStart w:id="2" w:name="Text1"/>
      <w:r w:rsidR="001136F8">
        <w:rPr>
          <w:rStyle w:val="PSNofieldtext"/>
        </w:rPr>
        <w:instrText xml:space="preserve"> FORMTEXT </w:instrText>
      </w:r>
      <w:r w:rsidR="001136F8">
        <w:rPr>
          <w:rStyle w:val="PSNofieldtext"/>
        </w:rPr>
      </w:r>
      <w:r w:rsidR="001136F8">
        <w:rPr>
          <w:rStyle w:val="PSNofieldtext"/>
        </w:rPr>
        <w:fldChar w:fldCharType="separate"/>
      </w:r>
      <w:r w:rsidR="001136F8">
        <w:rPr>
          <w:rStyle w:val="PSNofieldtext"/>
          <w:noProof/>
        </w:rPr>
        <w:t>LPS 118</w:t>
      </w:r>
      <w:r w:rsidR="001136F8">
        <w:rPr>
          <w:rStyle w:val="PSNofieldtext"/>
        </w:rPr>
        <w:fldChar w:fldCharType="end"/>
      </w:r>
      <w:bookmarkEnd w:id="2"/>
      <w:r w:rsidR="009B6212" w:rsidRPr="009B6212">
        <w:t xml:space="preserve">  </w:t>
      </w:r>
    </w:p>
    <w:bookmarkEnd w:id="1"/>
    <w:p w14:paraId="7E74F04B" w14:textId="5DD12DE6" w:rsidR="00BC2D08" w:rsidRPr="00110917" w:rsidRDefault="001136F8" w:rsidP="001F6B8D">
      <w:pPr>
        <w:pStyle w:val="Title"/>
      </w:pPr>
      <w:r>
        <w:rPr>
          <w:rStyle w:val="PSNamefieldtext"/>
        </w:rPr>
        <w:fldChar w:fldCharType="begin">
          <w:ffData>
            <w:name w:val="Text2"/>
            <w:enabled/>
            <w:calcOnExit w:val="0"/>
            <w:textInput>
              <w:default w:val="Capital Adequacy: Operational Risk Charge"/>
            </w:textInput>
          </w:ffData>
        </w:fldChar>
      </w:r>
      <w:bookmarkStart w:id="3" w:name="Text2"/>
      <w:r>
        <w:rPr>
          <w:rStyle w:val="PSNamefieldtext"/>
        </w:rPr>
        <w:instrText xml:space="preserve"> FORMTEXT </w:instrText>
      </w:r>
      <w:r>
        <w:rPr>
          <w:rStyle w:val="PSNamefieldtext"/>
        </w:rPr>
      </w:r>
      <w:r>
        <w:rPr>
          <w:rStyle w:val="PSNamefieldtext"/>
        </w:rPr>
        <w:fldChar w:fldCharType="separate"/>
      </w:r>
      <w:r>
        <w:rPr>
          <w:rStyle w:val="PSNamefieldtext"/>
          <w:noProof/>
        </w:rPr>
        <w:t>Capital Adequacy: Operational Risk Charge</w:t>
      </w:r>
      <w:r>
        <w:rPr>
          <w:rStyle w:val="PSNamefieldtext"/>
        </w:rPr>
        <w:fldChar w:fldCharType="end"/>
      </w:r>
      <w:bookmarkEnd w:id="3"/>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42106E1C" w14:textId="504F8713" w:rsidR="001136F8" w:rsidRDefault="001136F8" w:rsidP="0048511B">
            <w:pPr>
              <w:rPr>
                <w:bCs/>
              </w:rPr>
            </w:pPr>
            <w:r>
              <w:t xml:space="preserve">This Prudential </w:t>
            </w:r>
            <w:r w:rsidRPr="001A68B8">
              <w:rPr>
                <w:bCs/>
              </w:rPr>
              <w:t>Standard requires a life company to maintain adequate capital against the operational risks associated with its activities.</w:t>
            </w:r>
          </w:p>
          <w:p w14:paraId="15FDB5A7" w14:textId="4078C3CD" w:rsidR="001136F8" w:rsidRDefault="001136F8" w:rsidP="0048511B">
            <w:r w:rsidRPr="001A68B8">
              <w:t>The ultimate responsibility for the prudent management of capital of a life company rests with its Board of directors. The Board must ensure that the life company maintains an adequate level and quality of capital commensurate with the scale, nature and complexity of its business and risk profile, such that it is able to meet its obligations under a wide range of circumstances.</w:t>
            </w:r>
          </w:p>
          <w:p w14:paraId="73FC6BB5" w14:textId="2E3D8392" w:rsidR="001136F8" w:rsidRDefault="001136F8" w:rsidP="0048511B">
            <w:r w:rsidRPr="001A68B8">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07B8927D" w14:textId="7B6E3CF6" w:rsidR="00173A04" w:rsidRDefault="001136F8" w:rsidP="001136F8">
            <w:r w:rsidRPr="001A68B8">
              <w:t>This Prudential Standard sets out the method for calculating the Operational Risk Charge. This charge is one of the components of the Standard Method for calculating the prescribed capital amount for life company statutory funds and general funds.</w:t>
            </w:r>
          </w:p>
        </w:tc>
      </w:tr>
    </w:tbl>
    <w:p w14:paraId="6390D7E4" w14:textId="77777777" w:rsidR="00BC2D08" w:rsidRDefault="00BC2D08" w:rsidP="00BC2D08">
      <w:pPr>
        <w:spacing w:after="0"/>
      </w:pPr>
    </w:p>
    <w:p w14:paraId="46B7334C" w14:textId="77777777" w:rsidR="00C67A76" w:rsidRDefault="00C67A76" w:rsidP="00C67A76"/>
    <w:p w14:paraId="7D37D2E8" w14:textId="1E90F711" w:rsidR="00C67A76" w:rsidRDefault="00C67A76" w:rsidP="00C67A76">
      <w:pPr>
        <w:sectPr w:rsidR="00C67A76" w:rsidSect="003A723D">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Default="009D467A" w:rsidP="001F6B8D">
      <w:pPr>
        <w:pStyle w:val="TOCHeading"/>
      </w:pPr>
      <w:bookmarkStart w:id="4" w:name="_Toc326676936"/>
      <w:bookmarkStart w:id="5" w:name="_Toc326756341"/>
      <w:bookmarkStart w:id="6" w:name="_Toc256519850"/>
      <w:r>
        <w:lastRenderedPageBreak/>
        <w:t>Table of Contents</w:t>
      </w:r>
    </w:p>
    <w:p w14:paraId="030E1988" w14:textId="50731B4A" w:rsidR="008B1D3E"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52981" w:history="1">
        <w:r w:rsidR="008B1D3E" w:rsidRPr="0049299C">
          <w:rPr>
            <w:rStyle w:val="Hyperlink"/>
          </w:rPr>
          <w:t>Authority</w:t>
        </w:r>
        <w:r w:rsidR="008B1D3E">
          <w:rPr>
            <w:webHidden/>
          </w:rPr>
          <w:tab/>
        </w:r>
        <w:r w:rsidR="008B1D3E">
          <w:rPr>
            <w:webHidden/>
          </w:rPr>
          <w:fldChar w:fldCharType="begin"/>
        </w:r>
        <w:r w:rsidR="008B1D3E">
          <w:rPr>
            <w:webHidden/>
          </w:rPr>
          <w:instrText xml:space="preserve"> PAGEREF _Toc109652981 \h </w:instrText>
        </w:r>
        <w:r w:rsidR="008B1D3E">
          <w:rPr>
            <w:webHidden/>
          </w:rPr>
        </w:r>
        <w:r w:rsidR="008B1D3E">
          <w:rPr>
            <w:webHidden/>
          </w:rPr>
          <w:fldChar w:fldCharType="separate"/>
        </w:r>
        <w:r w:rsidR="008B1D3E">
          <w:rPr>
            <w:webHidden/>
          </w:rPr>
          <w:t>3</w:t>
        </w:r>
        <w:r w:rsidR="008B1D3E">
          <w:rPr>
            <w:webHidden/>
          </w:rPr>
          <w:fldChar w:fldCharType="end"/>
        </w:r>
      </w:hyperlink>
    </w:p>
    <w:p w14:paraId="4EF62277" w14:textId="4F588D6B" w:rsidR="008B1D3E" w:rsidRDefault="00AC3FE8">
      <w:pPr>
        <w:pStyle w:val="TOC1"/>
        <w:rPr>
          <w:rFonts w:asciiTheme="minorHAnsi" w:eastAsiaTheme="minorEastAsia" w:hAnsiTheme="minorHAnsi" w:cstheme="minorBidi"/>
          <w:sz w:val="22"/>
          <w:szCs w:val="22"/>
        </w:rPr>
      </w:pPr>
      <w:hyperlink w:anchor="_Toc109652982" w:history="1">
        <w:r w:rsidR="008B1D3E" w:rsidRPr="0049299C">
          <w:rPr>
            <w:rStyle w:val="Hyperlink"/>
          </w:rPr>
          <w:t>Application and commencement</w:t>
        </w:r>
        <w:r w:rsidR="008B1D3E">
          <w:rPr>
            <w:webHidden/>
          </w:rPr>
          <w:tab/>
        </w:r>
        <w:r w:rsidR="008B1D3E">
          <w:rPr>
            <w:webHidden/>
          </w:rPr>
          <w:fldChar w:fldCharType="begin"/>
        </w:r>
        <w:r w:rsidR="008B1D3E">
          <w:rPr>
            <w:webHidden/>
          </w:rPr>
          <w:instrText xml:space="preserve"> PAGEREF _Toc109652982 \h </w:instrText>
        </w:r>
        <w:r w:rsidR="008B1D3E">
          <w:rPr>
            <w:webHidden/>
          </w:rPr>
        </w:r>
        <w:r w:rsidR="008B1D3E">
          <w:rPr>
            <w:webHidden/>
          </w:rPr>
          <w:fldChar w:fldCharType="separate"/>
        </w:r>
        <w:r w:rsidR="008B1D3E">
          <w:rPr>
            <w:webHidden/>
          </w:rPr>
          <w:t>3</w:t>
        </w:r>
        <w:r w:rsidR="008B1D3E">
          <w:rPr>
            <w:webHidden/>
          </w:rPr>
          <w:fldChar w:fldCharType="end"/>
        </w:r>
      </w:hyperlink>
    </w:p>
    <w:p w14:paraId="53950194" w14:textId="5122EB76" w:rsidR="008B1D3E" w:rsidRDefault="00AC3FE8">
      <w:pPr>
        <w:pStyle w:val="TOC1"/>
        <w:rPr>
          <w:rFonts w:asciiTheme="minorHAnsi" w:eastAsiaTheme="minorEastAsia" w:hAnsiTheme="minorHAnsi" w:cstheme="minorBidi"/>
          <w:sz w:val="22"/>
          <w:szCs w:val="22"/>
        </w:rPr>
      </w:pPr>
      <w:hyperlink w:anchor="_Toc109652983" w:history="1">
        <w:r w:rsidR="008B1D3E" w:rsidRPr="0049299C">
          <w:rPr>
            <w:rStyle w:val="Hyperlink"/>
          </w:rPr>
          <w:t>Interpretation</w:t>
        </w:r>
        <w:r w:rsidR="008B1D3E">
          <w:rPr>
            <w:webHidden/>
          </w:rPr>
          <w:tab/>
        </w:r>
        <w:r w:rsidR="008B1D3E">
          <w:rPr>
            <w:webHidden/>
          </w:rPr>
          <w:fldChar w:fldCharType="begin"/>
        </w:r>
        <w:r w:rsidR="008B1D3E">
          <w:rPr>
            <w:webHidden/>
          </w:rPr>
          <w:instrText xml:space="preserve"> PAGEREF _Toc109652983 \h </w:instrText>
        </w:r>
        <w:r w:rsidR="008B1D3E">
          <w:rPr>
            <w:webHidden/>
          </w:rPr>
        </w:r>
        <w:r w:rsidR="008B1D3E">
          <w:rPr>
            <w:webHidden/>
          </w:rPr>
          <w:fldChar w:fldCharType="separate"/>
        </w:r>
        <w:r w:rsidR="008B1D3E">
          <w:rPr>
            <w:webHidden/>
          </w:rPr>
          <w:t>3</w:t>
        </w:r>
        <w:r w:rsidR="008B1D3E">
          <w:rPr>
            <w:webHidden/>
          </w:rPr>
          <w:fldChar w:fldCharType="end"/>
        </w:r>
      </w:hyperlink>
    </w:p>
    <w:p w14:paraId="166A6D26" w14:textId="4EA5483B" w:rsidR="008B1D3E" w:rsidRDefault="00AC3FE8">
      <w:pPr>
        <w:pStyle w:val="TOC1"/>
        <w:rPr>
          <w:rFonts w:asciiTheme="minorHAnsi" w:eastAsiaTheme="minorEastAsia" w:hAnsiTheme="minorHAnsi" w:cstheme="minorBidi"/>
          <w:sz w:val="22"/>
          <w:szCs w:val="22"/>
        </w:rPr>
      </w:pPr>
      <w:hyperlink w:anchor="_Toc109652984" w:history="1">
        <w:r w:rsidR="008B1D3E" w:rsidRPr="0049299C">
          <w:rPr>
            <w:rStyle w:val="Hyperlink"/>
          </w:rPr>
          <w:t>Operational Risk Charge</w:t>
        </w:r>
        <w:r w:rsidR="008B1D3E">
          <w:rPr>
            <w:webHidden/>
          </w:rPr>
          <w:tab/>
        </w:r>
        <w:r w:rsidR="008B1D3E">
          <w:rPr>
            <w:webHidden/>
          </w:rPr>
          <w:fldChar w:fldCharType="begin"/>
        </w:r>
        <w:r w:rsidR="008B1D3E">
          <w:rPr>
            <w:webHidden/>
          </w:rPr>
          <w:instrText xml:space="preserve"> PAGEREF _Toc109652984 \h </w:instrText>
        </w:r>
        <w:r w:rsidR="008B1D3E">
          <w:rPr>
            <w:webHidden/>
          </w:rPr>
        </w:r>
        <w:r w:rsidR="008B1D3E">
          <w:rPr>
            <w:webHidden/>
          </w:rPr>
          <w:fldChar w:fldCharType="separate"/>
        </w:r>
        <w:r w:rsidR="008B1D3E">
          <w:rPr>
            <w:webHidden/>
          </w:rPr>
          <w:t>3</w:t>
        </w:r>
        <w:r w:rsidR="008B1D3E">
          <w:rPr>
            <w:webHidden/>
          </w:rPr>
          <w:fldChar w:fldCharType="end"/>
        </w:r>
      </w:hyperlink>
    </w:p>
    <w:p w14:paraId="0BEA113E" w14:textId="12F6A282" w:rsidR="008B1D3E" w:rsidRDefault="00AC3FE8">
      <w:pPr>
        <w:pStyle w:val="TOC1"/>
        <w:rPr>
          <w:rFonts w:asciiTheme="minorHAnsi" w:eastAsiaTheme="minorEastAsia" w:hAnsiTheme="minorHAnsi" w:cstheme="minorBidi"/>
          <w:sz w:val="22"/>
          <w:szCs w:val="22"/>
        </w:rPr>
      </w:pPr>
      <w:hyperlink w:anchor="_Toc109652985" w:history="1">
        <w:r w:rsidR="008B1D3E" w:rsidRPr="0049299C">
          <w:rPr>
            <w:rStyle w:val="Hyperlink"/>
            <w:rFonts w:ascii="Arial" w:hAnsi="Arial" w:cs="Arial"/>
          </w:rPr>
          <w:t>Calculation of the Operational Risk Charge</w:t>
        </w:r>
        <w:r w:rsidR="008B1D3E">
          <w:rPr>
            <w:webHidden/>
          </w:rPr>
          <w:tab/>
        </w:r>
        <w:r w:rsidR="008B1D3E">
          <w:rPr>
            <w:webHidden/>
          </w:rPr>
          <w:fldChar w:fldCharType="begin"/>
        </w:r>
        <w:r w:rsidR="008B1D3E">
          <w:rPr>
            <w:webHidden/>
          </w:rPr>
          <w:instrText xml:space="preserve"> PAGEREF _Toc109652985 \h </w:instrText>
        </w:r>
        <w:r w:rsidR="008B1D3E">
          <w:rPr>
            <w:webHidden/>
          </w:rPr>
        </w:r>
        <w:r w:rsidR="008B1D3E">
          <w:rPr>
            <w:webHidden/>
          </w:rPr>
          <w:fldChar w:fldCharType="separate"/>
        </w:r>
        <w:r w:rsidR="008B1D3E">
          <w:rPr>
            <w:webHidden/>
          </w:rPr>
          <w:t>4</w:t>
        </w:r>
        <w:r w:rsidR="008B1D3E">
          <w:rPr>
            <w:webHidden/>
          </w:rPr>
          <w:fldChar w:fldCharType="end"/>
        </w:r>
      </w:hyperlink>
    </w:p>
    <w:p w14:paraId="2DA4211C" w14:textId="72CFCE69" w:rsidR="008B1D3E" w:rsidRDefault="00AC3FE8">
      <w:pPr>
        <w:pStyle w:val="TOC1"/>
        <w:rPr>
          <w:rFonts w:asciiTheme="minorHAnsi" w:eastAsiaTheme="minorEastAsia" w:hAnsiTheme="minorHAnsi" w:cstheme="minorBidi"/>
          <w:sz w:val="22"/>
          <w:szCs w:val="22"/>
        </w:rPr>
      </w:pPr>
      <w:hyperlink w:anchor="_Toc109652986" w:history="1">
        <w:r w:rsidR="008B1D3E" w:rsidRPr="0049299C">
          <w:rPr>
            <w:rStyle w:val="Hyperlink"/>
          </w:rPr>
          <w:t>Adjustments and exclusions</w:t>
        </w:r>
        <w:r w:rsidR="008B1D3E">
          <w:rPr>
            <w:webHidden/>
          </w:rPr>
          <w:tab/>
        </w:r>
        <w:r w:rsidR="008B1D3E">
          <w:rPr>
            <w:webHidden/>
          </w:rPr>
          <w:fldChar w:fldCharType="begin"/>
        </w:r>
        <w:r w:rsidR="008B1D3E">
          <w:rPr>
            <w:webHidden/>
          </w:rPr>
          <w:instrText xml:space="preserve"> PAGEREF _Toc109652986 \h </w:instrText>
        </w:r>
        <w:r w:rsidR="008B1D3E">
          <w:rPr>
            <w:webHidden/>
          </w:rPr>
        </w:r>
        <w:r w:rsidR="008B1D3E">
          <w:rPr>
            <w:webHidden/>
          </w:rPr>
          <w:fldChar w:fldCharType="separate"/>
        </w:r>
        <w:r w:rsidR="008B1D3E">
          <w:rPr>
            <w:webHidden/>
          </w:rPr>
          <w:t>5</w:t>
        </w:r>
        <w:r w:rsidR="008B1D3E">
          <w:rPr>
            <w:webHidden/>
          </w:rPr>
          <w:fldChar w:fldCharType="end"/>
        </w:r>
      </w:hyperlink>
    </w:p>
    <w:p w14:paraId="0C9701BF" w14:textId="076D14B1" w:rsidR="008B1D3E" w:rsidRDefault="00AC3FE8">
      <w:pPr>
        <w:pStyle w:val="TOC1"/>
        <w:rPr>
          <w:rFonts w:asciiTheme="minorHAnsi" w:eastAsiaTheme="minorEastAsia" w:hAnsiTheme="minorHAnsi" w:cstheme="minorBidi"/>
          <w:sz w:val="22"/>
          <w:szCs w:val="22"/>
        </w:rPr>
      </w:pPr>
      <w:hyperlink w:anchor="_Toc109652987" w:history="1">
        <w:r w:rsidR="008B1D3E" w:rsidRPr="0049299C">
          <w:rPr>
            <w:rStyle w:val="Hyperlink"/>
          </w:rPr>
          <w:t>Previous exercise of discretion</w:t>
        </w:r>
        <w:r w:rsidR="008B1D3E">
          <w:rPr>
            <w:webHidden/>
          </w:rPr>
          <w:tab/>
        </w:r>
        <w:r w:rsidR="008B1D3E">
          <w:rPr>
            <w:webHidden/>
          </w:rPr>
          <w:fldChar w:fldCharType="begin"/>
        </w:r>
        <w:r w:rsidR="008B1D3E">
          <w:rPr>
            <w:webHidden/>
          </w:rPr>
          <w:instrText xml:space="preserve"> PAGEREF _Toc109652987 \h </w:instrText>
        </w:r>
        <w:r w:rsidR="008B1D3E">
          <w:rPr>
            <w:webHidden/>
          </w:rPr>
        </w:r>
        <w:r w:rsidR="008B1D3E">
          <w:rPr>
            <w:webHidden/>
          </w:rPr>
          <w:fldChar w:fldCharType="separate"/>
        </w:r>
        <w:r w:rsidR="008B1D3E">
          <w:rPr>
            <w:webHidden/>
          </w:rPr>
          <w:t>5</w:t>
        </w:r>
        <w:r w:rsidR="008B1D3E">
          <w:rPr>
            <w:webHidden/>
          </w:rPr>
          <w:fldChar w:fldCharType="end"/>
        </w:r>
      </w:hyperlink>
    </w:p>
    <w:p w14:paraId="4DF757E2" w14:textId="1F22A96F" w:rsidR="009D467A" w:rsidRDefault="009B0A33" w:rsidP="00FF513E">
      <w:pPr>
        <w:pStyle w:val="NoSpacing"/>
      </w:pPr>
      <w:r>
        <w:fldChar w:fldCharType="end"/>
      </w:r>
      <w:bookmarkStart w:id="7" w:name="_Toc326937698"/>
      <w:bookmarkStart w:id="8" w:name="_Toc326938615"/>
      <w:bookmarkStart w:id="9" w:name="_Toc326938830"/>
      <w:bookmarkEnd w:id="4"/>
      <w:bookmarkEnd w:id="5"/>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275706FD" w14:textId="77777777" w:rsidR="00E07F40" w:rsidRPr="001F6B8D" w:rsidRDefault="00E07F40" w:rsidP="001F6B8D">
      <w:pPr>
        <w:pStyle w:val="Heading1"/>
      </w:pPr>
      <w:bookmarkStart w:id="12" w:name="_Toc99482812"/>
      <w:bookmarkStart w:id="13" w:name="_Toc109652981"/>
      <w:r w:rsidRPr="00B37C03">
        <w:lastRenderedPageBreak/>
        <w:t>Authority</w:t>
      </w:r>
      <w:bookmarkEnd w:id="10"/>
      <w:bookmarkEnd w:id="11"/>
      <w:bookmarkEnd w:id="12"/>
      <w:bookmarkEnd w:id="13"/>
    </w:p>
    <w:p w14:paraId="50B3EBAE" w14:textId="7A3CB92F" w:rsidR="00E07F40" w:rsidRDefault="001136F8" w:rsidP="001C755C">
      <w:pPr>
        <w:pStyle w:val="BodyText1"/>
      </w:pPr>
      <w:r w:rsidRPr="001A68B8">
        <w:t xml:space="preserve">This Prudential Standard is made under paragraph 230A(1)(a) of the </w:t>
      </w:r>
      <w:r w:rsidRPr="001A68B8">
        <w:rPr>
          <w:i/>
        </w:rPr>
        <w:t>Life Insurance Act 1995</w:t>
      </w:r>
      <w:r w:rsidRPr="001A68B8">
        <w:t xml:space="preserve"> (the Act).</w:t>
      </w:r>
      <w:r w:rsidR="00E96B6D">
        <w:t xml:space="preserve"> </w:t>
      </w:r>
    </w:p>
    <w:p w14:paraId="21654EE6" w14:textId="6E0250DF" w:rsidR="00E07F40" w:rsidRPr="00FE33A8" w:rsidRDefault="00E07F40" w:rsidP="001F6B8D">
      <w:pPr>
        <w:pStyle w:val="Heading1"/>
      </w:pPr>
      <w:bookmarkStart w:id="14" w:name="_Toc314733118"/>
      <w:bookmarkStart w:id="15" w:name="_Toc341686775"/>
      <w:bookmarkStart w:id="16" w:name="_Toc99482813"/>
      <w:bookmarkStart w:id="17" w:name="_Toc109652982"/>
      <w:r w:rsidRPr="00B37C03">
        <w:t>Application</w:t>
      </w:r>
      <w:bookmarkEnd w:id="14"/>
      <w:bookmarkEnd w:id="15"/>
      <w:bookmarkEnd w:id="16"/>
      <w:r w:rsidR="00FE33A8">
        <w:t xml:space="preserve"> and commencement</w:t>
      </w:r>
      <w:bookmarkEnd w:id="17"/>
    </w:p>
    <w:p w14:paraId="46909B7B" w14:textId="4A974D04" w:rsidR="00DF539C" w:rsidRDefault="001136F8" w:rsidP="00DF539C">
      <w:pPr>
        <w:pStyle w:val="BodyText1"/>
      </w:pPr>
      <w:r w:rsidRPr="001A68B8">
        <w:t xml:space="preserve">This Prudential Standard applies to all life companies including </w:t>
      </w:r>
      <w:r w:rsidRPr="001A68B8">
        <w:rPr>
          <w:b/>
        </w:rPr>
        <w:t>friendly societies</w:t>
      </w:r>
      <w:r w:rsidRPr="001A68B8">
        <w:t xml:space="preserve"> (together referred to as </w:t>
      </w:r>
      <w:r w:rsidRPr="001A68B8">
        <w:rPr>
          <w:b/>
        </w:rPr>
        <w:t>life companies</w:t>
      </w:r>
      <w:r w:rsidRPr="001A68B8">
        <w:t>) registered under the Act</w:t>
      </w:r>
      <w:r w:rsidRPr="001A68B8">
        <w:rPr>
          <w:rFonts w:eastAsia="MS Mincho"/>
          <w:vertAlign w:val="superscript"/>
          <w:lang w:eastAsia="ja-JP"/>
        </w:rPr>
        <w:footnoteReference w:id="1"/>
      </w:r>
      <w:r w:rsidRPr="001A68B8">
        <w:t>, except where expressly noted otherwise.</w:t>
      </w:r>
    </w:p>
    <w:p w14:paraId="29726FF7" w14:textId="214447A0" w:rsidR="001136F8" w:rsidRDefault="001136F8" w:rsidP="00DF539C">
      <w:pPr>
        <w:pStyle w:val="BodyText1"/>
      </w:pPr>
      <w:r w:rsidRPr="001A68B8">
        <w:t>A life company must apply this Prudential Standard separately:</w:t>
      </w:r>
    </w:p>
    <w:p w14:paraId="537C7FA5" w14:textId="20C12CDB" w:rsidR="001136F8" w:rsidRDefault="001136F8" w:rsidP="001136F8">
      <w:pPr>
        <w:pStyle w:val="BodyText2"/>
      </w:pPr>
      <w:r w:rsidRPr="001A68B8">
        <w:t>for a life company other than a friendly society: to each of its statutory funds; and</w:t>
      </w:r>
    </w:p>
    <w:p w14:paraId="2DE29424" w14:textId="7174FA5B" w:rsidR="001136F8" w:rsidRDefault="001136F8" w:rsidP="001136F8">
      <w:pPr>
        <w:pStyle w:val="BodyText2"/>
      </w:pPr>
      <w:r w:rsidRPr="001A68B8">
        <w:t>for a friendly society: to its management fund.</w:t>
      </w:r>
    </w:p>
    <w:p w14:paraId="2FB565E7" w14:textId="2040E939" w:rsidR="001136F8" w:rsidRPr="001136F8" w:rsidRDefault="001136F8" w:rsidP="001136F8">
      <w:pPr>
        <w:pStyle w:val="BodyText1"/>
      </w:pPr>
      <w:r w:rsidRPr="001A68B8">
        <w:t xml:space="preserve">This Prudential Standard only applies to the business of an </w:t>
      </w:r>
      <w:r w:rsidRPr="001A68B8">
        <w:rPr>
          <w:b/>
        </w:rPr>
        <w:t>Eligible Foreign Life Insurance Company</w:t>
      </w:r>
      <w:r w:rsidRPr="001A68B8">
        <w:t xml:space="preserve"> which is </w:t>
      </w:r>
      <w:r w:rsidRPr="001A68B8">
        <w:rPr>
          <w:rFonts w:eastAsia="MS Mincho"/>
          <w:lang w:eastAsia="ja-JP"/>
        </w:rPr>
        <w:t>carried out through its Australian statutory funds but not otherwise.</w:t>
      </w:r>
      <w:r w:rsidRPr="001A68B8">
        <w:rPr>
          <w:rStyle w:val="FootnoteReference"/>
          <w:rFonts w:eastAsia="MS Mincho"/>
          <w:lang w:eastAsia="ja-JP"/>
        </w:rPr>
        <w:footnoteReference w:id="2"/>
      </w:r>
    </w:p>
    <w:p w14:paraId="7540020D" w14:textId="78B19CE4" w:rsidR="001136F8" w:rsidRDefault="001136F8" w:rsidP="001136F8">
      <w:pPr>
        <w:pStyle w:val="BodyText1"/>
      </w:pPr>
      <w:r w:rsidRPr="001A68B8">
        <w:t>This Prudential Standard applies to life companies from 1 July 2023.</w:t>
      </w:r>
    </w:p>
    <w:p w14:paraId="37A7D6F0" w14:textId="2F2CF95E" w:rsidR="001136F8" w:rsidRDefault="001136F8" w:rsidP="001136F8">
      <w:pPr>
        <w:pStyle w:val="Heading1"/>
      </w:pPr>
      <w:bookmarkStart w:id="18" w:name="_Toc99482814"/>
      <w:bookmarkStart w:id="19" w:name="_Toc109652983"/>
      <w:r>
        <w:t>Interpretation</w:t>
      </w:r>
      <w:bookmarkEnd w:id="18"/>
      <w:bookmarkEnd w:id="19"/>
      <w:r>
        <w:t xml:space="preserve"> </w:t>
      </w:r>
    </w:p>
    <w:p w14:paraId="6B675061" w14:textId="6E0F89D5" w:rsidR="001136F8" w:rsidRPr="001136F8" w:rsidRDefault="001136F8" w:rsidP="001136F8">
      <w:pPr>
        <w:pStyle w:val="BodyText1"/>
      </w:pPr>
      <w:r w:rsidRPr="001A68B8">
        <w:t xml:space="preserve">Terms that are defined in </w:t>
      </w:r>
      <w:r w:rsidRPr="001A68B8">
        <w:rPr>
          <w:i/>
        </w:rPr>
        <w:t xml:space="preserve">Prudential Standard LPS 001 Definitions </w:t>
      </w:r>
      <w:r w:rsidRPr="001A68B8">
        <w:t xml:space="preserve">appear in bold </w:t>
      </w:r>
      <w:r w:rsidRPr="001A68B8">
        <w:rPr>
          <w:szCs w:val="20"/>
        </w:rPr>
        <w:t>the first time they are used in this Prudential Standard</w:t>
      </w:r>
      <w:r w:rsidRPr="001A68B8">
        <w:t>.</w:t>
      </w:r>
    </w:p>
    <w:p w14:paraId="50DCDE4C" w14:textId="3D81CD25" w:rsidR="001136F8" w:rsidRDefault="001136F8" w:rsidP="001136F8">
      <w:pPr>
        <w:pStyle w:val="Heading1"/>
      </w:pPr>
      <w:bookmarkStart w:id="20" w:name="_Toc99482815"/>
      <w:bookmarkStart w:id="21" w:name="_Toc109652984"/>
      <w:r>
        <w:t>Operational Risk Charge</w:t>
      </w:r>
      <w:bookmarkEnd w:id="20"/>
      <w:bookmarkEnd w:id="21"/>
    </w:p>
    <w:p w14:paraId="11A2B443" w14:textId="116530C6" w:rsidR="001136F8" w:rsidRDefault="001136F8" w:rsidP="001136F8">
      <w:pPr>
        <w:pStyle w:val="BodyText1"/>
      </w:pPr>
      <w:r w:rsidRPr="001A68B8">
        <w:t xml:space="preserve">The </w:t>
      </w:r>
      <w:r w:rsidRPr="001A68B8">
        <w:rPr>
          <w:b/>
        </w:rPr>
        <w:t>Operational Risk Charge</w:t>
      </w:r>
      <w:r w:rsidRPr="001A68B8">
        <w:t>:</w:t>
      </w:r>
    </w:p>
    <w:p w14:paraId="720CD566" w14:textId="24FA89B2" w:rsidR="001136F8" w:rsidRDefault="001136F8" w:rsidP="001136F8">
      <w:pPr>
        <w:pStyle w:val="BodyText2"/>
      </w:pPr>
      <w:r w:rsidRPr="001A68B8">
        <w:t>for a statutory fund of a life company that is not a friendly society, is the amount of capital that the fund is required to hold for operational risk in accordance with this Prudential Standard;</w:t>
      </w:r>
    </w:p>
    <w:p w14:paraId="3A814A4E" w14:textId="69697096" w:rsidR="001136F8" w:rsidRDefault="001136F8" w:rsidP="001136F8">
      <w:pPr>
        <w:pStyle w:val="BodyText2"/>
      </w:pPr>
      <w:r w:rsidRPr="001A68B8">
        <w:t>for a benefit fund of a friendly society, is zero;</w:t>
      </w:r>
    </w:p>
    <w:p w14:paraId="0D111E43" w14:textId="2212F091" w:rsidR="001136F8" w:rsidRDefault="001136F8" w:rsidP="001136F8">
      <w:pPr>
        <w:pStyle w:val="BodyText2"/>
      </w:pPr>
      <w:r w:rsidRPr="001A68B8">
        <w:t>for the shareholders’ fund of a life company that is not a friendly society, is zero; and</w:t>
      </w:r>
    </w:p>
    <w:p w14:paraId="4BA3BDEC" w14:textId="613638F3" w:rsidR="001136F8" w:rsidRDefault="001136F8" w:rsidP="001136F8">
      <w:pPr>
        <w:pStyle w:val="BodyText2"/>
      </w:pPr>
      <w:r w:rsidRPr="001A68B8">
        <w:t>for the management fund of a friendly society, is the amount of capital that the friendly society is required to hold for operational risk in accordance with this Prudential Standard.</w:t>
      </w:r>
    </w:p>
    <w:p w14:paraId="7833AC5F" w14:textId="3AA7A12F" w:rsidR="00634FB7" w:rsidRDefault="00634FB7" w:rsidP="00634FB7">
      <w:pPr>
        <w:pStyle w:val="BodyText1"/>
      </w:pPr>
      <w:r w:rsidRPr="001A68B8">
        <w:t>The Operational Risk Charge</w:t>
      </w:r>
      <w:r w:rsidRPr="001A68B8">
        <w:rPr>
          <w:b/>
        </w:rPr>
        <w:t xml:space="preserve"> </w:t>
      </w:r>
      <w:r w:rsidRPr="001A68B8">
        <w:t>is the minimum amount of capital required to be held against the risk of loss resulting from inadequate or failed internal processes, people and systems or from external events.</w:t>
      </w:r>
    </w:p>
    <w:p w14:paraId="4BDF65E2" w14:textId="4F72E733" w:rsidR="00634FB7" w:rsidRDefault="00634FB7" w:rsidP="00634FB7">
      <w:pPr>
        <w:pStyle w:val="Heading1"/>
        <w:rPr>
          <w:rFonts w:ascii="Arial" w:hAnsi="Arial" w:cs="Arial"/>
        </w:rPr>
      </w:pPr>
      <w:bookmarkStart w:id="22" w:name="_Toc99482816"/>
      <w:bookmarkStart w:id="23" w:name="_Toc109652985"/>
      <w:r w:rsidRPr="001A68B8">
        <w:rPr>
          <w:rFonts w:ascii="Arial" w:hAnsi="Arial" w:cs="Arial"/>
        </w:rPr>
        <w:lastRenderedPageBreak/>
        <w:t>Calculation of the Operational Risk Charge</w:t>
      </w:r>
      <w:bookmarkEnd w:id="22"/>
      <w:bookmarkEnd w:id="23"/>
    </w:p>
    <w:p w14:paraId="061C768F" w14:textId="5A44FA27" w:rsidR="00634FB7" w:rsidRDefault="00634FB7" w:rsidP="00634FB7">
      <w:pPr>
        <w:pStyle w:val="BodyText1"/>
      </w:pPr>
      <w:r w:rsidRPr="001A68B8">
        <w:t>The Operational Risk Charge is calculated as the sum of:</w:t>
      </w:r>
    </w:p>
    <w:p w14:paraId="233D7EEA" w14:textId="13154F4C" w:rsidR="00634FB7" w:rsidRDefault="00634FB7" w:rsidP="00634FB7">
      <w:pPr>
        <w:pStyle w:val="BodyText2"/>
      </w:pPr>
      <w:r w:rsidRPr="001A68B8">
        <w:t>the Operational Risk Charge for</w:t>
      </w:r>
      <w:r w:rsidRPr="001A68B8">
        <w:rPr>
          <w:b/>
        </w:rPr>
        <w:t xml:space="preserve"> risk business </w:t>
      </w:r>
      <w:r w:rsidRPr="001A68B8">
        <w:t xml:space="preserve">(ORCR) defined in paragraph </w:t>
      </w:r>
      <w:r w:rsidRPr="001A68B8">
        <w:fldChar w:fldCharType="begin"/>
      </w:r>
      <w:r w:rsidRPr="001A68B8">
        <w:instrText xml:space="preserve"> REF _Ref80792147 \r \h </w:instrText>
      </w:r>
      <w:r>
        <w:instrText xml:space="preserve"> \* MERGEFORMAT </w:instrText>
      </w:r>
      <w:r w:rsidRPr="001A68B8">
        <w:fldChar w:fldCharType="separate"/>
      </w:r>
      <w:r w:rsidR="008B1D3E">
        <w:t>11</w:t>
      </w:r>
      <w:r w:rsidRPr="001A68B8">
        <w:fldChar w:fldCharType="end"/>
      </w:r>
      <w:r w:rsidRPr="001A68B8">
        <w:t>;</w:t>
      </w:r>
    </w:p>
    <w:p w14:paraId="6C561DBC" w14:textId="2DD584D7" w:rsidR="00634FB7" w:rsidRDefault="00634FB7" w:rsidP="00634FB7">
      <w:pPr>
        <w:pStyle w:val="BodyText2"/>
      </w:pPr>
      <w:r w:rsidRPr="001A68B8">
        <w:t xml:space="preserve">the Operational Risk Charge for investment-linked business (ORCI) defined in paragraph </w:t>
      </w:r>
      <w:r w:rsidRPr="001A68B8">
        <w:fldChar w:fldCharType="begin"/>
      </w:r>
      <w:r w:rsidRPr="001A68B8">
        <w:instrText xml:space="preserve"> REF _Ref309319799 \r \h  \* MERGEFORMAT </w:instrText>
      </w:r>
      <w:r w:rsidRPr="001A68B8">
        <w:fldChar w:fldCharType="separate"/>
      </w:r>
      <w:r w:rsidR="008B1D3E">
        <w:t>14</w:t>
      </w:r>
      <w:r w:rsidRPr="001A68B8">
        <w:fldChar w:fldCharType="end"/>
      </w:r>
      <w:r w:rsidRPr="001A68B8">
        <w:t>; and</w:t>
      </w:r>
    </w:p>
    <w:p w14:paraId="0D932ADD" w14:textId="4212D5EB" w:rsidR="00634FB7" w:rsidRDefault="00634FB7" w:rsidP="00634FB7">
      <w:pPr>
        <w:pStyle w:val="BodyText2"/>
      </w:pPr>
      <w:r w:rsidRPr="001A68B8">
        <w:t xml:space="preserve">the Operational Risk Charge for other business (ORCO) also defined in paragraph </w:t>
      </w:r>
      <w:r w:rsidRPr="001A68B8">
        <w:fldChar w:fldCharType="begin"/>
      </w:r>
      <w:r w:rsidRPr="001A68B8">
        <w:instrText xml:space="preserve"> REF _Ref309319799 \r \h  \* MERGEFORMAT </w:instrText>
      </w:r>
      <w:r w:rsidRPr="001A68B8">
        <w:fldChar w:fldCharType="separate"/>
      </w:r>
      <w:r w:rsidR="008B1D3E">
        <w:t>14</w:t>
      </w:r>
      <w:r w:rsidRPr="001A68B8">
        <w:fldChar w:fldCharType="end"/>
      </w:r>
      <w:r w:rsidRPr="001A68B8">
        <w:t>.</w:t>
      </w:r>
    </w:p>
    <w:p w14:paraId="39AEED32" w14:textId="466B1E67" w:rsidR="00634FB7" w:rsidRPr="00634FB7" w:rsidRDefault="00634FB7" w:rsidP="00634FB7">
      <w:pPr>
        <w:pStyle w:val="BodyText1"/>
      </w:pPr>
      <w:r w:rsidRPr="001A68B8">
        <w:rPr>
          <w:snapToGrid w:val="0"/>
          <w:color w:val="000000"/>
        </w:rPr>
        <w:t xml:space="preserve">For the purposes of paragraphs </w:t>
      </w:r>
      <w:r w:rsidRPr="001A68B8">
        <w:rPr>
          <w:snapToGrid w:val="0"/>
          <w:color w:val="000000"/>
        </w:rPr>
        <w:fldChar w:fldCharType="begin"/>
      </w:r>
      <w:r w:rsidRPr="001A68B8">
        <w:rPr>
          <w:snapToGrid w:val="0"/>
          <w:color w:val="000000"/>
        </w:rPr>
        <w:instrText xml:space="preserve"> REF _Ref80792147 \r \h  \* MERGEFORMAT </w:instrText>
      </w:r>
      <w:r w:rsidRPr="001A68B8">
        <w:rPr>
          <w:snapToGrid w:val="0"/>
          <w:color w:val="000000"/>
        </w:rPr>
      </w:r>
      <w:r w:rsidRPr="001A68B8">
        <w:rPr>
          <w:snapToGrid w:val="0"/>
          <w:color w:val="000000"/>
        </w:rPr>
        <w:fldChar w:fldCharType="separate"/>
      </w:r>
      <w:r w:rsidR="008B1D3E">
        <w:rPr>
          <w:snapToGrid w:val="0"/>
          <w:color w:val="000000"/>
        </w:rPr>
        <w:t>11</w:t>
      </w:r>
      <w:r w:rsidRPr="001A68B8">
        <w:rPr>
          <w:snapToGrid w:val="0"/>
          <w:color w:val="000000"/>
        </w:rPr>
        <w:fldChar w:fldCharType="end"/>
      </w:r>
      <w:r w:rsidRPr="001A68B8">
        <w:rPr>
          <w:snapToGrid w:val="0"/>
          <w:color w:val="000000"/>
        </w:rPr>
        <w:t xml:space="preserve"> to </w:t>
      </w:r>
      <w:r w:rsidRPr="001A68B8">
        <w:rPr>
          <w:snapToGrid w:val="0"/>
          <w:color w:val="000000"/>
        </w:rPr>
        <w:fldChar w:fldCharType="begin"/>
      </w:r>
      <w:r w:rsidRPr="001A68B8">
        <w:rPr>
          <w:snapToGrid w:val="0"/>
          <w:color w:val="000000"/>
        </w:rPr>
        <w:instrText xml:space="preserve"> REF _Ref333850802 \r \h  \* MERGEFORMAT </w:instrText>
      </w:r>
      <w:r w:rsidRPr="001A68B8">
        <w:rPr>
          <w:snapToGrid w:val="0"/>
          <w:color w:val="000000"/>
        </w:rPr>
      </w:r>
      <w:r w:rsidRPr="001A68B8">
        <w:rPr>
          <w:snapToGrid w:val="0"/>
          <w:color w:val="000000"/>
        </w:rPr>
        <w:fldChar w:fldCharType="separate"/>
      </w:r>
      <w:r w:rsidR="008B1D3E">
        <w:rPr>
          <w:snapToGrid w:val="0"/>
          <w:color w:val="000000"/>
        </w:rPr>
        <w:t>16</w:t>
      </w:r>
      <w:r w:rsidRPr="001A68B8">
        <w:rPr>
          <w:snapToGrid w:val="0"/>
          <w:color w:val="000000"/>
        </w:rPr>
        <w:fldChar w:fldCharType="end"/>
      </w:r>
      <w:r w:rsidRPr="001A68B8">
        <w:rPr>
          <w:snapToGrid w:val="0"/>
          <w:color w:val="000000"/>
        </w:rPr>
        <w:t>, ‘accrued premium’ includes all premiums for life policies with the exception of premiums that are sourced from benefits paid under another life policy issued by the life company. Accrued premium is calculated as follows:</w:t>
      </w:r>
    </w:p>
    <w:p w14:paraId="340101EE" w14:textId="52CAEC62" w:rsidR="00030A06" w:rsidRDefault="00030A06" w:rsidP="00634FB7">
      <w:pPr>
        <w:pStyle w:val="BodyText1"/>
        <w:numPr>
          <w:ilvl w:val="0"/>
          <w:numId w:val="0"/>
        </w:numPr>
        <w:ind w:left="567"/>
        <w:rPr>
          <w:snapToGrid w:val="0"/>
          <w:color w:val="000000"/>
        </w:rPr>
      </w:pPr>
      <w:r w:rsidRPr="00A76054">
        <w:rPr>
          <w:noProof/>
          <w:sz w:val="18"/>
          <w:szCs w:val="18"/>
        </w:rPr>
        <w:drawing>
          <wp:inline distT="0" distB="0" distL="0" distR="0" wp14:anchorId="4DDB3B40" wp14:editId="04232596">
            <wp:extent cx="3034145" cy="210867"/>
            <wp:effectExtent l="0" t="0" r="0" b="0"/>
            <wp:docPr id="15" name="Picture 15" descr="Accrued premium equals premiums received minus A plu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rued premium equals premiums received minus A plus B"/>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3392" b="36916"/>
                    <a:stretch/>
                  </pic:blipFill>
                  <pic:spPr bwMode="auto">
                    <a:xfrm>
                      <a:off x="0" y="0"/>
                      <a:ext cx="3274205" cy="227551"/>
                    </a:xfrm>
                    <a:prstGeom prst="rect">
                      <a:avLst/>
                    </a:prstGeom>
                    <a:noFill/>
                    <a:ln>
                      <a:noFill/>
                    </a:ln>
                    <a:extLst>
                      <a:ext uri="{53640926-AAD7-44D8-BBD7-CCE9431645EC}">
                        <a14:shadowObscured xmlns:a14="http://schemas.microsoft.com/office/drawing/2010/main"/>
                      </a:ext>
                    </a:extLst>
                  </pic:spPr>
                </pic:pic>
              </a:graphicData>
            </a:graphic>
          </wp:inline>
        </w:drawing>
      </w:r>
    </w:p>
    <w:p w14:paraId="6E8964A2" w14:textId="053DEEDB" w:rsidR="00634FB7" w:rsidRDefault="00634FB7" w:rsidP="00634FB7">
      <w:pPr>
        <w:pStyle w:val="BodyText1"/>
        <w:numPr>
          <w:ilvl w:val="0"/>
          <w:numId w:val="0"/>
        </w:numPr>
        <w:ind w:left="567"/>
        <w:rPr>
          <w:snapToGrid w:val="0"/>
          <w:color w:val="000000"/>
        </w:rPr>
      </w:pPr>
      <w:r w:rsidRPr="001A68B8">
        <w:rPr>
          <w:snapToGrid w:val="0"/>
          <w:color w:val="000000"/>
        </w:rPr>
        <w:t>where:</w:t>
      </w:r>
    </w:p>
    <w:p w14:paraId="72D764FB" w14:textId="6D246E4D" w:rsidR="00634FB7" w:rsidRPr="00634FB7" w:rsidRDefault="00634FB7" w:rsidP="00634FB7">
      <w:pPr>
        <w:pStyle w:val="BodyText2"/>
      </w:pPr>
      <w:r w:rsidRPr="001A68B8">
        <w:rPr>
          <w:rFonts w:eastAsia="Times New Roman"/>
          <w:snapToGrid w:val="0"/>
          <w:color w:val="000000"/>
        </w:rPr>
        <w:t xml:space="preserve">A = Premiums in advance at the </w:t>
      </w:r>
      <w:r>
        <w:rPr>
          <w:rFonts w:eastAsia="Times New Roman"/>
          <w:snapToGrid w:val="0"/>
          <w:color w:val="000000"/>
        </w:rPr>
        <w:t xml:space="preserve">end of the specified period - </w:t>
      </w:r>
      <w:r w:rsidRPr="001A68B8">
        <w:rPr>
          <w:rFonts w:eastAsia="Times New Roman"/>
          <w:snapToGrid w:val="0"/>
          <w:color w:val="000000"/>
        </w:rPr>
        <w:t xml:space="preserve">Premiums in advance at the </w:t>
      </w:r>
      <w:r>
        <w:rPr>
          <w:rFonts w:eastAsia="Times New Roman"/>
          <w:snapToGrid w:val="0"/>
          <w:color w:val="000000"/>
        </w:rPr>
        <w:t>start of the specified period</w:t>
      </w:r>
      <w:r w:rsidR="000438DF">
        <w:rPr>
          <w:rFonts w:eastAsia="Times New Roman"/>
          <w:snapToGrid w:val="0"/>
          <w:color w:val="000000"/>
        </w:rPr>
        <w:t>;</w:t>
      </w:r>
    </w:p>
    <w:p w14:paraId="2177F522" w14:textId="437D1332" w:rsidR="00634FB7" w:rsidRPr="00634FB7" w:rsidRDefault="00634FB7" w:rsidP="00634FB7">
      <w:pPr>
        <w:pStyle w:val="BodyText2"/>
      </w:pPr>
      <w:r w:rsidRPr="001A68B8">
        <w:rPr>
          <w:rFonts w:eastAsia="Times New Roman"/>
          <w:snapToGrid w:val="0"/>
          <w:color w:val="000000"/>
        </w:rPr>
        <w:t xml:space="preserve">B = </w:t>
      </w:r>
      <w:r w:rsidRPr="001A68B8">
        <w:rPr>
          <w:rFonts w:eastAsia="Times New Roman"/>
          <w:b/>
          <w:snapToGrid w:val="0"/>
          <w:color w:val="000000"/>
        </w:rPr>
        <w:t>Unpaid premiums</w:t>
      </w:r>
      <w:r w:rsidRPr="001A68B8">
        <w:rPr>
          <w:rFonts w:eastAsia="Times New Roman"/>
          <w:snapToGrid w:val="0"/>
          <w:color w:val="000000"/>
        </w:rPr>
        <w:t xml:space="preserve"> at the </w:t>
      </w:r>
      <w:r>
        <w:rPr>
          <w:rFonts w:eastAsia="Times New Roman"/>
          <w:snapToGrid w:val="0"/>
          <w:color w:val="000000"/>
        </w:rPr>
        <w:t xml:space="preserve">end of the specified period </w:t>
      </w:r>
      <w:r w:rsidRPr="001A68B8">
        <w:rPr>
          <w:rFonts w:eastAsia="Times New Roman"/>
          <w:snapToGrid w:val="0"/>
          <w:color w:val="000000"/>
        </w:rPr>
        <w:t xml:space="preserve">– Unpaid premiums at the </w:t>
      </w:r>
      <w:r>
        <w:rPr>
          <w:rFonts w:eastAsia="Times New Roman"/>
          <w:snapToGrid w:val="0"/>
          <w:color w:val="000000"/>
        </w:rPr>
        <w:t>start of the specified period</w:t>
      </w:r>
      <w:r w:rsidRPr="001A68B8">
        <w:rPr>
          <w:rFonts w:eastAsia="Times New Roman"/>
          <w:snapToGrid w:val="0"/>
          <w:color w:val="000000"/>
        </w:rPr>
        <w:t>;</w:t>
      </w:r>
    </w:p>
    <w:p w14:paraId="30563F3B" w14:textId="720435E1" w:rsidR="00634FB7" w:rsidRPr="00634FB7" w:rsidRDefault="00634FB7" w:rsidP="00634FB7">
      <w:pPr>
        <w:pStyle w:val="BodyText2"/>
      </w:pPr>
      <w:r w:rsidRPr="001A68B8">
        <w:rPr>
          <w:rFonts w:eastAsia="Times New Roman"/>
          <w:snapToGrid w:val="0"/>
          <w:color w:val="000000"/>
        </w:rPr>
        <w:t>‘premium’ is defined as gross of commissions and before profit share rebates (group insurance). Premium must also be inclusive of stamp duty, policy fees, loadings and discounts; and</w:t>
      </w:r>
    </w:p>
    <w:p w14:paraId="2693F379" w14:textId="099464AF" w:rsidR="00634FB7" w:rsidRPr="00634FB7" w:rsidRDefault="00634FB7" w:rsidP="00634FB7">
      <w:pPr>
        <w:pStyle w:val="BodyText2"/>
      </w:pPr>
      <w:r w:rsidRPr="001A68B8">
        <w:rPr>
          <w:rFonts w:eastAsia="Times New Roman"/>
          <w:snapToGrid w:val="0"/>
          <w:color w:val="000000"/>
        </w:rPr>
        <w:t>for the calculation of ORCI and ORCO, ‘accrued premium’ must also include deposits received.</w:t>
      </w:r>
    </w:p>
    <w:p w14:paraId="1CE7489F" w14:textId="622E202A" w:rsidR="00634FB7" w:rsidRDefault="00634FB7" w:rsidP="00634FB7">
      <w:pPr>
        <w:pStyle w:val="BodyText1"/>
      </w:pPr>
      <w:bookmarkStart w:id="24" w:name="_Ref309319790"/>
      <w:bookmarkStart w:id="25" w:name="_Ref80792147"/>
      <w:r w:rsidRPr="001A68B8">
        <w:t>The ORCR is calculated as follows:</w:t>
      </w:r>
      <w:bookmarkEnd w:id="24"/>
      <w:bookmarkEnd w:id="25"/>
    </w:p>
    <w:p w14:paraId="3455307F" w14:textId="071B770A" w:rsidR="00030A06" w:rsidRDefault="00030A06" w:rsidP="00634FB7">
      <w:pPr>
        <w:pStyle w:val="BodyText1"/>
        <w:numPr>
          <w:ilvl w:val="0"/>
          <w:numId w:val="0"/>
        </w:numPr>
        <w:ind w:left="567"/>
      </w:pPr>
      <w:r w:rsidRPr="00A76054">
        <w:rPr>
          <w:noProof/>
          <w:sz w:val="18"/>
          <w:szCs w:val="18"/>
        </w:rPr>
        <w:drawing>
          <wp:inline distT="0" distB="0" distL="0" distR="0" wp14:anchorId="43B27AB2" wp14:editId="51BBB9DD">
            <wp:extent cx="4785755" cy="232319"/>
            <wp:effectExtent l="0" t="0" r="0" b="0"/>
            <wp:docPr id="16" name="Picture 16" descr="ORCR equals A, times the maximum of GP1 and NL1, plus the maximum of the absolute value of GP1 minus GP0 minus zero point two times 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RCR equals A, times the maximum of GP1 and NL1, plus the maximum of the absolute value of GP1 minus GP0 minus zero point two times GP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9798" b="32163"/>
                    <a:stretch/>
                  </pic:blipFill>
                  <pic:spPr bwMode="auto">
                    <a:xfrm>
                      <a:off x="0" y="0"/>
                      <a:ext cx="5079002" cy="246554"/>
                    </a:xfrm>
                    <a:prstGeom prst="rect">
                      <a:avLst/>
                    </a:prstGeom>
                    <a:noFill/>
                    <a:ln>
                      <a:noFill/>
                    </a:ln>
                    <a:extLst>
                      <a:ext uri="{53640926-AAD7-44D8-BBD7-CCE9431645EC}">
                        <a14:shadowObscured xmlns:a14="http://schemas.microsoft.com/office/drawing/2010/main"/>
                      </a:ext>
                    </a:extLst>
                  </pic:spPr>
                </pic:pic>
              </a:graphicData>
            </a:graphic>
          </wp:inline>
        </w:drawing>
      </w:r>
    </w:p>
    <w:p w14:paraId="3A6C96BD" w14:textId="53711591" w:rsidR="00634FB7" w:rsidRDefault="00634FB7" w:rsidP="00634FB7">
      <w:pPr>
        <w:pStyle w:val="BodyText1"/>
        <w:numPr>
          <w:ilvl w:val="0"/>
          <w:numId w:val="0"/>
        </w:numPr>
        <w:ind w:left="567"/>
      </w:pPr>
      <w:r w:rsidRPr="001A68B8">
        <w:t>where:</w:t>
      </w:r>
    </w:p>
    <w:p w14:paraId="65165A67" w14:textId="0D58FF5B" w:rsidR="00634FB7" w:rsidRDefault="00634FB7" w:rsidP="00634FB7">
      <w:pPr>
        <w:pStyle w:val="BodyText2"/>
      </w:pPr>
      <w:r w:rsidRPr="001A68B8">
        <w:rPr>
          <w:rFonts w:ascii="Symbol" w:hAnsi="Symbol"/>
        </w:rPr>
        <w:t></w:t>
      </w:r>
      <w:r w:rsidRPr="001A68B8">
        <w:t xml:space="preserve"> is 2 per cent for a statutory fund that is a </w:t>
      </w:r>
      <w:r w:rsidRPr="001A68B8">
        <w:rPr>
          <w:b/>
        </w:rPr>
        <w:t>specialist reinsurer</w:t>
      </w:r>
      <w:r w:rsidRPr="001A68B8">
        <w:t xml:space="preserve"> and 3 per cent for other funds;</w:t>
      </w:r>
    </w:p>
    <w:p w14:paraId="2A48F950" w14:textId="4A8EF7B5" w:rsidR="00634FB7" w:rsidRDefault="00634FB7" w:rsidP="00634FB7">
      <w:pPr>
        <w:pStyle w:val="BodyText2"/>
      </w:pPr>
      <w:r w:rsidRPr="001A68B8">
        <w:t>GP</w:t>
      </w:r>
      <w:r w:rsidRPr="001A68B8">
        <w:rPr>
          <w:vertAlign w:val="subscript"/>
        </w:rPr>
        <w:t>1</w:t>
      </w:r>
      <w:r w:rsidRPr="001A68B8">
        <w:t xml:space="preserve"> is accrued premiums (gross of reinsurance) for the 12 months ending on the reporting date;</w:t>
      </w:r>
    </w:p>
    <w:p w14:paraId="69C1AE39" w14:textId="3ABC593B" w:rsidR="00634FB7" w:rsidRDefault="00634FB7" w:rsidP="00634FB7">
      <w:pPr>
        <w:pStyle w:val="BodyText2"/>
      </w:pPr>
      <w:r w:rsidRPr="001A68B8">
        <w:t>NL</w:t>
      </w:r>
      <w:r w:rsidRPr="001A68B8">
        <w:rPr>
          <w:vertAlign w:val="subscript"/>
        </w:rPr>
        <w:t>1</w:t>
      </w:r>
      <w:r w:rsidRPr="001A68B8">
        <w:t xml:space="preserve"> is the </w:t>
      </w:r>
      <w:r w:rsidRPr="001A68B8">
        <w:rPr>
          <w:b/>
        </w:rPr>
        <w:t>adjusted policy liabilities</w:t>
      </w:r>
      <w:r w:rsidRPr="001A68B8">
        <w:t xml:space="preserve"> (net of reinsurance) at the reporting date;</w:t>
      </w:r>
    </w:p>
    <w:p w14:paraId="66B7EDFE" w14:textId="78B917DF" w:rsidR="00634FB7" w:rsidRDefault="00634FB7" w:rsidP="00634FB7">
      <w:pPr>
        <w:pStyle w:val="BodyText2"/>
      </w:pPr>
      <w:r w:rsidRPr="001A68B8">
        <w:t>GP</w:t>
      </w:r>
      <w:r w:rsidRPr="001A68B8">
        <w:rPr>
          <w:vertAlign w:val="subscript"/>
        </w:rPr>
        <w:t>0</w:t>
      </w:r>
      <w:r w:rsidRPr="001A68B8">
        <w:t xml:space="preserve"> is accrued premiums (gross of reinsurance) for the 12 months ending on the date 12 months prior to the reporting date; and</w:t>
      </w:r>
    </w:p>
    <w:p w14:paraId="6FD5CB4E" w14:textId="0E079C07" w:rsidR="00634FB7" w:rsidRPr="00634FB7" w:rsidRDefault="00634FB7" w:rsidP="00634FB7">
      <w:pPr>
        <w:pStyle w:val="BodyText2"/>
      </w:pPr>
      <w:r w:rsidRPr="001A68B8">
        <w:lastRenderedPageBreak/>
        <w:t>|GP</w:t>
      </w:r>
      <w:r w:rsidRPr="001A68B8">
        <w:rPr>
          <w:vertAlign w:val="subscript"/>
        </w:rPr>
        <w:t>1</w:t>
      </w:r>
      <w:r w:rsidRPr="001A68B8">
        <w:t xml:space="preserve"> – GP</w:t>
      </w:r>
      <w:r w:rsidRPr="001A68B8">
        <w:rPr>
          <w:vertAlign w:val="subscript"/>
        </w:rPr>
        <w:t>0</w:t>
      </w:r>
      <w:r w:rsidRPr="001A68B8">
        <w:t>| is the absolute value of the difference between GP</w:t>
      </w:r>
      <w:r w:rsidRPr="001A68B8">
        <w:rPr>
          <w:vertAlign w:val="subscript"/>
        </w:rPr>
        <w:t>1</w:t>
      </w:r>
      <w:r w:rsidRPr="001A68B8">
        <w:t xml:space="preserve"> and GP</w:t>
      </w:r>
      <w:r w:rsidRPr="001A68B8">
        <w:rPr>
          <w:vertAlign w:val="subscript"/>
        </w:rPr>
        <w:t>0.</w:t>
      </w:r>
    </w:p>
    <w:p w14:paraId="54F9765C" w14:textId="17235FE2" w:rsidR="00634FB7" w:rsidRDefault="00634FB7" w:rsidP="00634FB7">
      <w:pPr>
        <w:pStyle w:val="BodyText1"/>
      </w:pPr>
      <w:r w:rsidRPr="001A68B8">
        <w:t>For the management fund of a friendly society,</w:t>
      </w:r>
      <w:r w:rsidRPr="001A68B8">
        <w:rPr>
          <w:vertAlign w:val="subscript"/>
        </w:rPr>
        <w:t xml:space="preserve"> </w:t>
      </w:r>
      <w:r w:rsidRPr="001A68B8">
        <w:t>GP</w:t>
      </w:r>
      <w:r w:rsidRPr="001A68B8">
        <w:rPr>
          <w:vertAlign w:val="subscript"/>
        </w:rPr>
        <w:t>1</w:t>
      </w:r>
      <w:r w:rsidRPr="001A68B8">
        <w:t>, NL</w:t>
      </w:r>
      <w:r w:rsidRPr="001A68B8">
        <w:rPr>
          <w:vertAlign w:val="subscript"/>
        </w:rPr>
        <w:t>1</w:t>
      </w:r>
      <w:r w:rsidRPr="001A68B8">
        <w:t xml:space="preserve"> and GP</w:t>
      </w:r>
      <w:r w:rsidRPr="001A68B8">
        <w:rPr>
          <w:vertAlign w:val="subscript"/>
        </w:rPr>
        <w:t xml:space="preserve">0 </w:t>
      </w:r>
      <w:r w:rsidRPr="001A68B8">
        <w:t>must be summed across all of the risk business in the friendly society’s benefit funds.</w:t>
      </w:r>
    </w:p>
    <w:p w14:paraId="43222A15" w14:textId="6E8BE2DF" w:rsidR="00634FB7" w:rsidRDefault="00634FB7" w:rsidP="00634FB7">
      <w:pPr>
        <w:pStyle w:val="BodyText1"/>
      </w:pPr>
      <w:r w:rsidRPr="001A68B8">
        <w:t>For a statutory fund of a life company that is not a friendly society, GP</w:t>
      </w:r>
      <w:r w:rsidRPr="001A68B8">
        <w:rPr>
          <w:vertAlign w:val="subscript"/>
        </w:rPr>
        <w:t>1</w:t>
      </w:r>
      <w:r w:rsidRPr="001A68B8">
        <w:t>, NL</w:t>
      </w:r>
      <w:r w:rsidRPr="001A68B8">
        <w:rPr>
          <w:vertAlign w:val="subscript"/>
        </w:rPr>
        <w:t>1</w:t>
      </w:r>
      <w:r w:rsidRPr="001A68B8">
        <w:t xml:space="preserve"> and GP</w:t>
      </w:r>
      <w:r w:rsidRPr="001A68B8">
        <w:rPr>
          <w:vertAlign w:val="subscript"/>
        </w:rPr>
        <w:t xml:space="preserve">0 </w:t>
      </w:r>
      <w:r w:rsidRPr="001A68B8">
        <w:t>must be summed across all of the risk business in the statutory fund.</w:t>
      </w:r>
    </w:p>
    <w:p w14:paraId="078B82BF" w14:textId="20C59821" w:rsidR="00634FB7" w:rsidRDefault="00634FB7" w:rsidP="00634FB7">
      <w:pPr>
        <w:pStyle w:val="BodyText1"/>
      </w:pPr>
      <w:bookmarkStart w:id="26" w:name="_Ref309319799"/>
      <w:r w:rsidRPr="001A68B8">
        <w:t>The ORCI and the ORCO are calculated as follows:</w:t>
      </w:r>
      <w:bookmarkEnd w:id="26"/>
    </w:p>
    <w:p w14:paraId="753D14B4" w14:textId="5677BE17" w:rsidR="00030A06" w:rsidRDefault="00030A06" w:rsidP="00634FB7">
      <w:pPr>
        <w:pStyle w:val="BodyText1"/>
        <w:numPr>
          <w:ilvl w:val="0"/>
          <w:numId w:val="0"/>
        </w:numPr>
        <w:ind w:left="567"/>
      </w:pPr>
      <w:r w:rsidRPr="00AE60CB">
        <w:rPr>
          <w:noProof/>
          <w:sz w:val="18"/>
          <w:szCs w:val="18"/>
        </w:rPr>
        <w:drawing>
          <wp:inline distT="0" distB="0" distL="0" distR="0" wp14:anchorId="4AC461C7" wp14:editId="196A4305">
            <wp:extent cx="3811979" cy="382291"/>
            <wp:effectExtent l="0" t="0" r="0" b="0"/>
            <wp:docPr id="20" name="Picture 20" descr="ORCI or ORCO equals B, times NL1 plus the maximum of GP1 minus twenty percent times GL0, plus the maximum of C1 minus twenty percent times G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ORCI or ORCO equals B, times NL1 plus the maximum of GP1 minus twenty percent times GL0, plus the maximum of C1 minus twenty percent times GL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r="27385" b="23462"/>
                    <a:stretch/>
                  </pic:blipFill>
                  <pic:spPr bwMode="auto">
                    <a:xfrm>
                      <a:off x="0" y="0"/>
                      <a:ext cx="4025080" cy="403662"/>
                    </a:xfrm>
                    <a:prstGeom prst="rect">
                      <a:avLst/>
                    </a:prstGeom>
                    <a:noFill/>
                    <a:ln>
                      <a:noFill/>
                    </a:ln>
                    <a:extLst>
                      <a:ext uri="{53640926-AAD7-44D8-BBD7-CCE9431645EC}">
                        <a14:shadowObscured xmlns:a14="http://schemas.microsoft.com/office/drawing/2010/main"/>
                      </a:ext>
                    </a:extLst>
                  </pic:spPr>
                </pic:pic>
              </a:graphicData>
            </a:graphic>
          </wp:inline>
        </w:drawing>
      </w:r>
    </w:p>
    <w:p w14:paraId="45E083C6" w14:textId="669174DC" w:rsidR="00634FB7" w:rsidRDefault="00634FB7" w:rsidP="00634FB7">
      <w:pPr>
        <w:pStyle w:val="BodyText1"/>
        <w:numPr>
          <w:ilvl w:val="0"/>
          <w:numId w:val="0"/>
        </w:numPr>
        <w:ind w:left="567"/>
      </w:pPr>
      <w:r w:rsidRPr="001A68B8">
        <w:t>where:</w:t>
      </w:r>
    </w:p>
    <w:p w14:paraId="30F1B71F" w14:textId="68C37F51" w:rsidR="00634FB7" w:rsidRDefault="00634FB7" w:rsidP="00634FB7">
      <w:pPr>
        <w:pStyle w:val="BodyText2"/>
      </w:pPr>
      <w:r w:rsidRPr="001A68B8">
        <w:rPr>
          <w:rFonts w:ascii="Symbol" w:hAnsi="Symbol"/>
        </w:rPr>
        <w:t></w:t>
      </w:r>
      <w:r w:rsidRPr="001A68B8">
        <w:t xml:space="preserve"> is </w:t>
      </w:r>
      <w:r w:rsidRPr="001A68B8">
        <w:rPr>
          <w:rFonts w:ascii="Symbol" w:hAnsi="Symbol"/>
        </w:rPr>
        <w:t></w:t>
      </w:r>
      <w:r w:rsidRPr="001A68B8">
        <w:t>.15 per cent for a statutory fund that is a specialist reinsurer</w:t>
      </w:r>
      <w:r w:rsidRPr="001A68B8">
        <w:rPr>
          <w:b/>
        </w:rPr>
        <w:t xml:space="preserve"> </w:t>
      </w:r>
      <w:r w:rsidRPr="001A68B8">
        <w:t>and</w:t>
      </w:r>
      <w:r w:rsidRPr="001A68B8">
        <w:rPr>
          <w:b/>
        </w:rPr>
        <w:t xml:space="preserve"> </w:t>
      </w:r>
      <w:r w:rsidRPr="001A68B8">
        <w:rPr>
          <w:rFonts w:ascii="Symbol" w:hAnsi="Symbol"/>
        </w:rPr>
        <w:t></w:t>
      </w:r>
      <w:r w:rsidRPr="001A68B8">
        <w:t>.25 per cent for other funds;</w:t>
      </w:r>
    </w:p>
    <w:p w14:paraId="2EF82B35" w14:textId="1CE9AAC7" w:rsidR="00634FB7" w:rsidRDefault="00634FB7" w:rsidP="00634FB7">
      <w:pPr>
        <w:pStyle w:val="BodyText2"/>
      </w:pPr>
      <w:r w:rsidRPr="001A68B8">
        <w:rPr>
          <w:rFonts w:ascii="Symbol" w:hAnsi="Symbol"/>
        </w:rPr>
        <w:t></w:t>
      </w:r>
      <w:r w:rsidRPr="001A68B8">
        <w:t>L</w:t>
      </w:r>
      <w:r w:rsidRPr="001A68B8">
        <w:rPr>
          <w:vertAlign w:val="subscript"/>
        </w:rPr>
        <w:t>1</w:t>
      </w:r>
      <w:r w:rsidRPr="001A68B8">
        <w:t xml:space="preserve"> is the</w:t>
      </w:r>
      <w:r w:rsidRPr="001A68B8">
        <w:rPr>
          <w:b/>
        </w:rPr>
        <w:t xml:space="preserve"> </w:t>
      </w:r>
      <w:r w:rsidRPr="001A68B8">
        <w:t>adjusted policy liabilities (net of reinsurance)</w:t>
      </w:r>
      <w:r w:rsidRPr="001A68B8">
        <w:rPr>
          <w:vertAlign w:val="subscript"/>
        </w:rPr>
        <w:t xml:space="preserve"> </w:t>
      </w:r>
      <w:r w:rsidRPr="001A68B8">
        <w:t>at the reporting date;</w:t>
      </w:r>
    </w:p>
    <w:p w14:paraId="4B4956C1" w14:textId="3C4E7E9F" w:rsidR="00634FB7" w:rsidRDefault="00634FB7" w:rsidP="00634FB7">
      <w:pPr>
        <w:pStyle w:val="BodyText2"/>
      </w:pPr>
      <w:r w:rsidRPr="001A68B8">
        <w:t>GP</w:t>
      </w:r>
      <w:r w:rsidRPr="001A68B8">
        <w:rPr>
          <w:vertAlign w:val="subscript"/>
        </w:rPr>
        <w:t>1</w:t>
      </w:r>
      <w:r w:rsidRPr="001A68B8">
        <w:t xml:space="preserve"> is accrued premiums (gross of reinsurance) for the 12 months ending on the reporting date;</w:t>
      </w:r>
    </w:p>
    <w:p w14:paraId="2A5C7C4B" w14:textId="1FC4196C" w:rsidR="00634FB7" w:rsidRDefault="00634FB7" w:rsidP="00634FB7">
      <w:pPr>
        <w:pStyle w:val="BodyText2"/>
      </w:pPr>
      <w:r w:rsidRPr="001A68B8">
        <w:t>GL</w:t>
      </w:r>
      <w:r w:rsidRPr="001A68B8">
        <w:rPr>
          <w:vertAlign w:val="subscript"/>
        </w:rPr>
        <w:t>0</w:t>
      </w:r>
      <w:r w:rsidRPr="001A68B8">
        <w:t xml:space="preserve"> is the adjusted policy liabilities (gross of reinsurance) at the date 12 months prior to the reporting date; and</w:t>
      </w:r>
    </w:p>
    <w:p w14:paraId="411018E7" w14:textId="2DF0C14B" w:rsidR="00634FB7" w:rsidRDefault="00634FB7" w:rsidP="00634FB7">
      <w:pPr>
        <w:pStyle w:val="BodyText2"/>
      </w:pPr>
      <w:r w:rsidRPr="001A68B8">
        <w:t>C</w:t>
      </w:r>
      <w:r w:rsidRPr="001A68B8">
        <w:rPr>
          <w:vertAlign w:val="subscript"/>
        </w:rPr>
        <w:t xml:space="preserve">1 </w:t>
      </w:r>
      <w:r w:rsidRPr="001A68B8">
        <w:t>is all payments to meet liabilities to policy owners (gross of reinsurance) for the 12 months ending on the reporting date.</w:t>
      </w:r>
      <w:r>
        <w:t xml:space="preserve"> This excludes </w:t>
      </w:r>
      <w:r w:rsidRPr="00A06824">
        <w:t>payments that are used as premiums for another life policy issued by the life company</w:t>
      </w:r>
      <w:r>
        <w:t>.</w:t>
      </w:r>
    </w:p>
    <w:p w14:paraId="08342374" w14:textId="674E95D6" w:rsidR="0076565B" w:rsidRDefault="0076565B" w:rsidP="0076565B">
      <w:pPr>
        <w:pStyle w:val="BodyText1"/>
      </w:pPr>
      <w:r w:rsidRPr="001A68B8">
        <w:t>For the management fund of a friendly society, NL</w:t>
      </w:r>
      <w:r w:rsidRPr="001A68B8">
        <w:rPr>
          <w:vertAlign w:val="subscript"/>
        </w:rPr>
        <w:t>1</w:t>
      </w:r>
      <w:r w:rsidRPr="001A68B8">
        <w:t>, GP</w:t>
      </w:r>
      <w:r w:rsidRPr="001A68B8">
        <w:rPr>
          <w:vertAlign w:val="subscript"/>
        </w:rPr>
        <w:t>1</w:t>
      </w:r>
      <w:r w:rsidRPr="001A68B8">
        <w:t>, GL</w:t>
      </w:r>
      <w:r w:rsidRPr="001A68B8">
        <w:rPr>
          <w:vertAlign w:val="subscript"/>
        </w:rPr>
        <w:t xml:space="preserve">0 </w:t>
      </w:r>
      <w:r w:rsidRPr="001A68B8">
        <w:t>and C</w:t>
      </w:r>
      <w:r w:rsidRPr="001A68B8">
        <w:rPr>
          <w:vertAlign w:val="subscript"/>
        </w:rPr>
        <w:t xml:space="preserve">1 </w:t>
      </w:r>
      <w:r w:rsidRPr="001A68B8">
        <w:t xml:space="preserve">in paragraph </w:t>
      </w:r>
      <w:r w:rsidRPr="001A68B8">
        <w:fldChar w:fldCharType="begin"/>
      </w:r>
      <w:r w:rsidRPr="001A68B8">
        <w:instrText xml:space="preserve"> REF _Ref309319799 \r \h  \* MERGEFORMAT </w:instrText>
      </w:r>
      <w:r w:rsidRPr="001A68B8">
        <w:fldChar w:fldCharType="separate"/>
      </w:r>
      <w:r w:rsidR="008B1D3E">
        <w:t>14</w:t>
      </w:r>
      <w:r w:rsidRPr="001A68B8">
        <w:fldChar w:fldCharType="end"/>
      </w:r>
      <w:r w:rsidRPr="001A68B8">
        <w:t xml:space="preserve"> must be summed across all of the investment-linked business of the society (for ORCI) and all the other business of the friendly society that is neither risk business nor investment-linked business (for ORCO).</w:t>
      </w:r>
    </w:p>
    <w:p w14:paraId="16703D2D" w14:textId="4AA58649" w:rsidR="0076565B" w:rsidRDefault="0076565B" w:rsidP="0076565B">
      <w:pPr>
        <w:pStyle w:val="BodyText1"/>
      </w:pPr>
      <w:bookmarkStart w:id="27" w:name="_Ref333850802"/>
      <w:r w:rsidRPr="001A68B8">
        <w:t>For a statutory fund of a life company that is not a friendly society, NL</w:t>
      </w:r>
      <w:r w:rsidRPr="001A68B8">
        <w:rPr>
          <w:vertAlign w:val="subscript"/>
        </w:rPr>
        <w:t>1</w:t>
      </w:r>
      <w:r w:rsidRPr="001A68B8">
        <w:t>, GP</w:t>
      </w:r>
      <w:r w:rsidRPr="001A68B8">
        <w:rPr>
          <w:vertAlign w:val="subscript"/>
        </w:rPr>
        <w:t>1</w:t>
      </w:r>
      <w:r w:rsidRPr="001A68B8">
        <w:t>, GL</w:t>
      </w:r>
      <w:r w:rsidRPr="001A68B8">
        <w:rPr>
          <w:vertAlign w:val="subscript"/>
        </w:rPr>
        <w:t xml:space="preserve">0 </w:t>
      </w:r>
      <w:r w:rsidRPr="001A68B8">
        <w:t>and C</w:t>
      </w:r>
      <w:r w:rsidRPr="001A68B8">
        <w:rPr>
          <w:vertAlign w:val="subscript"/>
        </w:rPr>
        <w:t xml:space="preserve">1 </w:t>
      </w:r>
      <w:r w:rsidRPr="001A68B8">
        <w:t xml:space="preserve">in paragraph </w:t>
      </w:r>
      <w:r w:rsidRPr="001A68B8">
        <w:fldChar w:fldCharType="begin"/>
      </w:r>
      <w:r w:rsidRPr="001A68B8">
        <w:instrText xml:space="preserve"> REF _Ref309319799 \r \h  \* MERGEFORMAT </w:instrText>
      </w:r>
      <w:r w:rsidRPr="001A68B8">
        <w:fldChar w:fldCharType="separate"/>
      </w:r>
      <w:r w:rsidR="008B1D3E">
        <w:t>14</w:t>
      </w:r>
      <w:r w:rsidRPr="001A68B8">
        <w:fldChar w:fldCharType="end"/>
      </w:r>
      <w:r w:rsidRPr="001A68B8">
        <w:t xml:space="preserve"> must be summed across all of the investment-linked business in the statutory fund (for ORCI) and all of the other business in the statutory fund that is neither risk business nor investment-linked business (for ORCO).</w:t>
      </w:r>
      <w:bookmarkEnd w:id="27"/>
    </w:p>
    <w:p w14:paraId="07ADD1CB" w14:textId="3AA34C43" w:rsidR="0076565B" w:rsidRDefault="0076565B" w:rsidP="0076565B">
      <w:pPr>
        <w:pStyle w:val="Heading1"/>
      </w:pPr>
      <w:bookmarkStart w:id="28" w:name="_Toc99482817"/>
      <w:bookmarkStart w:id="29" w:name="_Toc109652986"/>
      <w:r>
        <w:t>Adjustments and exclusions</w:t>
      </w:r>
      <w:bookmarkEnd w:id="28"/>
      <w:bookmarkEnd w:id="29"/>
    </w:p>
    <w:p w14:paraId="25B17551" w14:textId="4C0CDA57" w:rsidR="0076565B" w:rsidRDefault="0076565B" w:rsidP="0076565B">
      <w:pPr>
        <w:pStyle w:val="BodyText1"/>
      </w:pPr>
      <w:r w:rsidRPr="001A68B8">
        <w:t>APRA may, by notice in writing to a life company, adjust or exclude a specific requirement in this Prudential Standard in relation to that life company.</w:t>
      </w:r>
    </w:p>
    <w:p w14:paraId="242129AD" w14:textId="2912EF39" w:rsidR="00520564" w:rsidRDefault="00162AE6" w:rsidP="00520564">
      <w:pPr>
        <w:pStyle w:val="Heading1"/>
      </w:pPr>
      <w:bookmarkStart w:id="30" w:name="_Toc109652987"/>
      <w:r>
        <w:t>Previous exercise of discretion</w:t>
      </w:r>
      <w:bookmarkEnd w:id="30"/>
    </w:p>
    <w:p w14:paraId="2612055C" w14:textId="105CE523" w:rsidR="001F6B8D" w:rsidRPr="007D2D7F" w:rsidRDefault="00162AE6" w:rsidP="001F6B8D">
      <w:pPr>
        <w:pStyle w:val="BodyText1"/>
      </w:pPr>
      <w:r>
        <w:t xml:space="preserve">A life company must contact APRA if it seeks to place reliance, for the purposes of complying with this Prudential Standard, on a previous exemption or other </w:t>
      </w:r>
      <w:r>
        <w:lastRenderedPageBreak/>
        <w:t xml:space="preserve">exercise of discretion </w:t>
      </w:r>
      <w:r w:rsidR="00D3105B">
        <w:t xml:space="preserve">made </w:t>
      </w:r>
      <w:r>
        <w:t>by APRA under a previous version of this Prudential Standard.</w:t>
      </w:r>
    </w:p>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2E51" w14:textId="77777777" w:rsidR="00996C67" w:rsidRDefault="00996C67" w:rsidP="006A6A52">
      <w:pPr>
        <w:spacing w:after="0"/>
      </w:pPr>
      <w:r>
        <w:separator/>
      </w:r>
    </w:p>
  </w:endnote>
  <w:endnote w:type="continuationSeparator" w:id="0">
    <w:p w14:paraId="306918E5" w14:textId="77777777" w:rsidR="00996C67" w:rsidRDefault="00996C67"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3D38" w14:textId="631FC239" w:rsidR="003A723D" w:rsidRPr="00842FBD" w:rsidRDefault="00AC3FE8" w:rsidP="00842FBD">
    <w:pPr>
      <w:pStyle w:val="Footer"/>
    </w:pPr>
    <w:r>
      <w:fldChar w:fldCharType="begin"/>
    </w:r>
    <w:r>
      <w:instrText xml:space="preserve"> STYLEREF  "PS No. field text"  \* MERGEFORMAT </w:instrText>
    </w:r>
    <w:r>
      <w:fldChar w:fldCharType="separate"/>
    </w:r>
    <w:r>
      <w:rPr>
        <w:noProof/>
      </w:rPr>
      <w:t>LPS 118</w:t>
    </w:r>
    <w:r>
      <w:rPr>
        <w:noProof/>
      </w:rPr>
      <w:fldChar w:fldCharType="end"/>
    </w:r>
    <w:r w:rsidR="003A723D">
      <w:t xml:space="preserve"> - </w:t>
    </w:r>
    <w:r w:rsidR="003A723D" w:rsidRPr="00842FBD">
      <w:fldChar w:fldCharType="begin"/>
    </w:r>
    <w:r w:rsidR="003A723D" w:rsidRPr="00842FBD">
      <w:instrText xml:space="preserve"> PAGE </w:instrText>
    </w:r>
    <w:r w:rsidR="003A723D" w:rsidRPr="00842FBD">
      <w:fldChar w:fldCharType="separate"/>
    </w:r>
    <w:r w:rsidR="003A723D">
      <w:rPr>
        <w:noProof/>
      </w:rPr>
      <w:t>2</w:t>
    </w:r>
    <w:r w:rsidR="003A723D"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70D" w14:textId="77777777" w:rsidR="00996C67" w:rsidRDefault="00996C67" w:rsidP="006A6A52">
      <w:pPr>
        <w:spacing w:after="0"/>
      </w:pPr>
      <w:r>
        <w:separator/>
      </w:r>
    </w:p>
  </w:footnote>
  <w:footnote w:type="continuationSeparator" w:id="0">
    <w:p w14:paraId="5A48D193" w14:textId="77777777" w:rsidR="00996C67" w:rsidRDefault="00996C67" w:rsidP="006A6A52">
      <w:pPr>
        <w:spacing w:after="0"/>
      </w:pPr>
      <w:r>
        <w:continuationSeparator/>
      </w:r>
    </w:p>
  </w:footnote>
  <w:footnote w:id="1">
    <w:p w14:paraId="7358D9EA" w14:textId="77777777" w:rsidR="001136F8" w:rsidRPr="00CC5346" w:rsidRDefault="001136F8" w:rsidP="001136F8">
      <w:pPr>
        <w:pStyle w:val="FootnoteText"/>
        <w:tabs>
          <w:tab w:val="left" w:pos="567"/>
        </w:tabs>
        <w:rPr>
          <w:rStyle w:val="FootnoteReference"/>
        </w:rPr>
      </w:pPr>
      <w:r w:rsidRPr="00CC5346">
        <w:rPr>
          <w:rStyle w:val="FootnoteReference"/>
        </w:rPr>
        <w:footnoteRef/>
      </w:r>
      <w:r w:rsidRPr="00CC5346">
        <w:rPr>
          <w:rStyle w:val="FootnoteReference"/>
        </w:rPr>
        <w:t xml:space="preserve"> </w:t>
      </w:r>
      <w:r>
        <w:tab/>
      </w:r>
      <w:r w:rsidRPr="0047408B">
        <w:t xml:space="preserve">Refer </w:t>
      </w:r>
      <w:r>
        <w:t xml:space="preserve">to </w:t>
      </w:r>
      <w:r w:rsidRPr="0047408B">
        <w:t>subsection 21(1) of the Act.</w:t>
      </w:r>
    </w:p>
  </w:footnote>
  <w:footnote w:id="2">
    <w:p w14:paraId="348EF68F" w14:textId="77777777" w:rsidR="001136F8" w:rsidRDefault="001136F8" w:rsidP="001136F8">
      <w:pPr>
        <w:pStyle w:val="FootnoteText"/>
        <w:tabs>
          <w:tab w:val="left" w:pos="567"/>
        </w:tabs>
      </w:pPr>
      <w:r w:rsidRPr="001D50E3">
        <w:rPr>
          <w:rStyle w:val="FootnoteReference"/>
        </w:rPr>
        <w:footnoteRef/>
      </w:r>
      <w:r w:rsidRPr="001D50E3">
        <w:t xml:space="preserve"> </w:t>
      </w:r>
      <w:r w:rsidRPr="001D50E3">
        <w:tab/>
        <w:t xml:space="preserve">Refer </w:t>
      </w:r>
      <w:r>
        <w:t xml:space="preserve">to </w:t>
      </w:r>
      <w:r w:rsidRPr="001D50E3">
        <w:t>section 16ZD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7F22BEE9" w14:textId="77777777" w:rsidTr="000D63A8">
      <w:tc>
        <w:tcPr>
          <w:tcW w:w="4264" w:type="dxa"/>
          <w:tcBorders>
            <w:top w:val="nil"/>
            <w:left w:val="nil"/>
            <w:bottom w:val="nil"/>
            <w:right w:val="nil"/>
          </w:tcBorders>
        </w:tcPr>
        <w:p w14:paraId="17E11EAB" w14:textId="56CF2A02" w:rsidR="00745B81" w:rsidRDefault="00745B81" w:rsidP="00FF513E">
          <w:pPr>
            <w:pStyle w:val="Header"/>
          </w:pPr>
        </w:p>
      </w:tc>
      <w:tc>
        <w:tcPr>
          <w:tcW w:w="4264" w:type="dxa"/>
          <w:tcBorders>
            <w:top w:val="nil"/>
            <w:left w:val="nil"/>
            <w:bottom w:val="nil"/>
            <w:right w:val="nil"/>
          </w:tcBorders>
        </w:tcPr>
        <w:p w14:paraId="326245F6" w14:textId="540E010D" w:rsidR="00745B81" w:rsidRDefault="00745B81" w:rsidP="000D63A8">
          <w:pPr>
            <w:pStyle w:val="Header"/>
          </w:pPr>
        </w:p>
      </w:tc>
    </w:tr>
  </w:tbl>
  <w:p w14:paraId="7302FAF6"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3A723D" w14:paraId="52FA5715" w14:textId="77777777" w:rsidTr="000D63A8">
      <w:tc>
        <w:tcPr>
          <w:tcW w:w="4264" w:type="dxa"/>
          <w:tcBorders>
            <w:top w:val="nil"/>
            <w:left w:val="nil"/>
            <w:bottom w:val="nil"/>
            <w:right w:val="nil"/>
          </w:tcBorders>
        </w:tcPr>
        <w:p w14:paraId="06D09838" w14:textId="77777777" w:rsidR="003A723D" w:rsidRDefault="003A723D" w:rsidP="00FF513E">
          <w:pPr>
            <w:pStyle w:val="Header"/>
          </w:pPr>
        </w:p>
      </w:tc>
      <w:tc>
        <w:tcPr>
          <w:tcW w:w="4264" w:type="dxa"/>
          <w:tcBorders>
            <w:top w:val="nil"/>
            <w:left w:val="nil"/>
            <w:bottom w:val="nil"/>
            <w:right w:val="nil"/>
          </w:tcBorders>
        </w:tcPr>
        <w:p w14:paraId="0B6C40B0" w14:textId="77777777" w:rsidR="003A723D" w:rsidRDefault="003A723D" w:rsidP="000D63A8">
          <w:pPr>
            <w:pStyle w:val="Header"/>
          </w:pPr>
          <w:r>
            <w:t>July 2023</w:t>
          </w:r>
        </w:p>
      </w:tc>
    </w:tr>
  </w:tbl>
  <w:p w14:paraId="68EBB4D7" w14:textId="77777777" w:rsidR="003A723D" w:rsidRDefault="003A7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EC67FE7"/>
    <w:multiLevelType w:val="hybridMultilevel"/>
    <w:tmpl w:val="3D50B558"/>
    <w:lvl w:ilvl="0" w:tplc="0C09000F">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24870832">
    <w:abstractNumId w:val="11"/>
  </w:num>
  <w:num w:numId="2" w16cid:durableId="45835736">
    <w:abstractNumId w:val="14"/>
  </w:num>
  <w:num w:numId="3" w16cid:durableId="1611662547">
    <w:abstractNumId w:val="4"/>
  </w:num>
  <w:num w:numId="4" w16cid:durableId="1471557014">
    <w:abstractNumId w:val="9"/>
  </w:num>
  <w:num w:numId="5" w16cid:durableId="942804605">
    <w:abstractNumId w:val="21"/>
  </w:num>
  <w:num w:numId="6" w16cid:durableId="195969544">
    <w:abstractNumId w:val="8"/>
  </w:num>
  <w:num w:numId="7" w16cid:durableId="252669081">
    <w:abstractNumId w:val="20"/>
  </w:num>
  <w:num w:numId="8" w16cid:durableId="1402560969">
    <w:abstractNumId w:val="17"/>
  </w:num>
  <w:num w:numId="9" w16cid:durableId="1613628952">
    <w:abstractNumId w:val="19"/>
  </w:num>
  <w:num w:numId="10" w16cid:durableId="192617093">
    <w:abstractNumId w:val="16"/>
  </w:num>
  <w:num w:numId="11" w16cid:durableId="772482085">
    <w:abstractNumId w:val="3"/>
  </w:num>
  <w:num w:numId="12" w16cid:durableId="951279258">
    <w:abstractNumId w:val="0"/>
  </w:num>
  <w:num w:numId="13" w16cid:durableId="1585527482">
    <w:abstractNumId w:val="2"/>
  </w:num>
  <w:num w:numId="14" w16cid:durableId="977341518">
    <w:abstractNumId w:val="1"/>
  </w:num>
  <w:num w:numId="15" w16cid:durableId="1390349630">
    <w:abstractNumId w:val="15"/>
  </w:num>
  <w:num w:numId="16" w16cid:durableId="1395813003">
    <w:abstractNumId w:val="6"/>
  </w:num>
  <w:num w:numId="17" w16cid:durableId="792944150">
    <w:abstractNumId w:val="13"/>
  </w:num>
  <w:num w:numId="18" w16cid:durableId="1555001897">
    <w:abstractNumId w:val="12"/>
  </w:num>
  <w:num w:numId="19" w16cid:durableId="755371274">
    <w:abstractNumId w:val="7"/>
  </w:num>
  <w:num w:numId="20" w16cid:durableId="526678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812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1884864">
    <w:abstractNumId w:val="10"/>
  </w:num>
  <w:num w:numId="23" w16cid:durableId="668407857">
    <w:abstractNumId w:val="5"/>
  </w:num>
  <w:num w:numId="24" w16cid:durableId="1254127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30A06"/>
    <w:rsid w:val="000438DF"/>
    <w:rsid w:val="000518B9"/>
    <w:rsid w:val="0006337F"/>
    <w:rsid w:val="00087D3E"/>
    <w:rsid w:val="000D63A8"/>
    <w:rsid w:val="000D7A9C"/>
    <w:rsid w:val="00110917"/>
    <w:rsid w:val="00110A0F"/>
    <w:rsid w:val="001136F8"/>
    <w:rsid w:val="0013237B"/>
    <w:rsid w:val="00141CA6"/>
    <w:rsid w:val="00162AE6"/>
    <w:rsid w:val="00173A04"/>
    <w:rsid w:val="001772A8"/>
    <w:rsid w:val="00182FA1"/>
    <w:rsid w:val="001852EA"/>
    <w:rsid w:val="001C297B"/>
    <w:rsid w:val="001C755C"/>
    <w:rsid w:val="001E7EA9"/>
    <w:rsid w:val="001F6B8D"/>
    <w:rsid w:val="002500F9"/>
    <w:rsid w:val="0029455F"/>
    <w:rsid w:val="002A07F8"/>
    <w:rsid w:val="003478B0"/>
    <w:rsid w:val="0037343B"/>
    <w:rsid w:val="0038413F"/>
    <w:rsid w:val="00391AD7"/>
    <w:rsid w:val="00392AAE"/>
    <w:rsid w:val="003936EA"/>
    <w:rsid w:val="003A723D"/>
    <w:rsid w:val="003B52EB"/>
    <w:rsid w:val="003C46D7"/>
    <w:rsid w:val="003D5032"/>
    <w:rsid w:val="004323FD"/>
    <w:rsid w:val="00453E3A"/>
    <w:rsid w:val="004560E3"/>
    <w:rsid w:val="004776D4"/>
    <w:rsid w:val="0048511B"/>
    <w:rsid w:val="004A593E"/>
    <w:rsid w:val="004C3D07"/>
    <w:rsid w:val="004F2AC1"/>
    <w:rsid w:val="005050E8"/>
    <w:rsid w:val="00506079"/>
    <w:rsid w:val="00520564"/>
    <w:rsid w:val="00521673"/>
    <w:rsid w:val="00534FFE"/>
    <w:rsid w:val="00544072"/>
    <w:rsid w:val="00551C22"/>
    <w:rsid w:val="00576882"/>
    <w:rsid w:val="005A75C6"/>
    <w:rsid w:val="005B6DC2"/>
    <w:rsid w:val="005E1E75"/>
    <w:rsid w:val="005E5663"/>
    <w:rsid w:val="005E5910"/>
    <w:rsid w:val="005F6F74"/>
    <w:rsid w:val="00622480"/>
    <w:rsid w:val="00634FB7"/>
    <w:rsid w:val="00647D58"/>
    <w:rsid w:val="00656D42"/>
    <w:rsid w:val="00684F73"/>
    <w:rsid w:val="00696E43"/>
    <w:rsid w:val="006A6A52"/>
    <w:rsid w:val="006B4C94"/>
    <w:rsid w:val="006C06E6"/>
    <w:rsid w:val="006E5DD8"/>
    <w:rsid w:val="007031F4"/>
    <w:rsid w:val="00725AA6"/>
    <w:rsid w:val="00734DDD"/>
    <w:rsid w:val="0073758F"/>
    <w:rsid w:val="00745B81"/>
    <w:rsid w:val="0076565B"/>
    <w:rsid w:val="00776D66"/>
    <w:rsid w:val="00777ACD"/>
    <w:rsid w:val="00787FA9"/>
    <w:rsid w:val="007A2AE5"/>
    <w:rsid w:val="007A2B5C"/>
    <w:rsid w:val="007A33E6"/>
    <w:rsid w:val="007A53AC"/>
    <w:rsid w:val="007D2D7F"/>
    <w:rsid w:val="007E16D5"/>
    <w:rsid w:val="00800375"/>
    <w:rsid w:val="00842FBD"/>
    <w:rsid w:val="0086194F"/>
    <w:rsid w:val="00867092"/>
    <w:rsid w:val="00887222"/>
    <w:rsid w:val="008B1D3E"/>
    <w:rsid w:val="008C05A3"/>
    <w:rsid w:val="008C3D9F"/>
    <w:rsid w:val="008D76C5"/>
    <w:rsid w:val="00906BBD"/>
    <w:rsid w:val="009101E1"/>
    <w:rsid w:val="00971180"/>
    <w:rsid w:val="009727F9"/>
    <w:rsid w:val="009871FB"/>
    <w:rsid w:val="00996C67"/>
    <w:rsid w:val="009B0A33"/>
    <w:rsid w:val="009B28A5"/>
    <w:rsid w:val="009B6212"/>
    <w:rsid w:val="009C5368"/>
    <w:rsid w:val="009C62A9"/>
    <w:rsid w:val="009C77A0"/>
    <w:rsid w:val="009D467A"/>
    <w:rsid w:val="009E76B1"/>
    <w:rsid w:val="009F7699"/>
    <w:rsid w:val="00A50372"/>
    <w:rsid w:val="00A5159D"/>
    <w:rsid w:val="00A63A2B"/>
    <w:rsid w:val="00A97802"/>
    <w:rsid w:val="00AC2517"/>
    <w:rsid w:val="00AC3B8E"/>
    <w:rsid w:val="00AC3FE8"/>
    <w:rsid w:val="00AE1650"/>
    <w:rsid w:val="00AE7DAD"/>
    <w:rsid w:val="00B04B20"/>
    <w:rsid w:val="00B407C6"/>
    <w:rsid w:val="00B47BD7"/>
    <w:rsid w:val="00B6068B"/>
    <w:rsid w:val="00B766FA"/>
    <w:rsid w:val="00B872F5"/>
    <w:rsid w:val="00BA4C45"/>
    <w:rsid w:val="00BA6D10"/>
    <w:rsid w:val="00BC2D08"/>
    <w:rsid w:val="00BE4B1D"/>
    <w:rsid w:val="00BE59F9"/>
    <w:rsid w:val="00BF6CDF"/>
    <w:rsid w:val="00C0120F"/>
    <w:rsid w:val="00C14367"/>
    <w:rsid w:val="00C21A2A"/>
    <w:rsid w:val="00C23256"/>
    <w:rsid w:val="00C302FA"/>
    <w:rsid w:val="00C5686C"/>
    <w:rsid w:val="00C6788C"/>
    <w:rsid w:val="00C67A76"/>
    <w:rsid w:val="00C74819"/>
    <w:rsid w:val="00C86748"/>
    <w:rsid w:val="00CA4C06"/>
    <w:rsid w:val="00CA6032"/>
    <w:rsid w:val="00CA6CB3"/>
    <w:rsid w:val="00CB7762"/>
    <w:rsid w:val="00D01427"/>
    <w:rsid w:val="00D124EA"/>
    <w:rsid w:val="00D22147"/>
    <w:rsid w:val="00D3105B"/>
    <w:rsid w:val="00D3278A"/>
    <w:rsid w:val="00D47051"/>
    <w:rsid w:val="00D62EFA"/>
    <w:rsid w:val="00D64906"/>
    <w:rsid w:val="00D857C7"/>
    <w:rsid w:val="00DA3651"/>
    <w:rsid w:val="00DC52E3"/>
    <w:rsid w:val="00DD1BB1"/>
    <w:rsid w:val="00DE3174"/>
    <w:rsid w:val="00DF539C"/>
    <w:rsid w:val="00E05BC3"/>
    <w:rsid w:val="00E07F40"/>
    <w:rsid w:val="00E15497"/>
    <w:rsid w:val="00E16DD9"/>
    <w:rsid w:val="00E201A8"/>
    <w:rsid w:val="00E83A76"/>
    <w:rsid w:val="00E90C89"/>
    <w:rsid w:val="00E96B6D"/>
    <w:rsid w:val="00EA1032"/>
    <w:rsid w:val="00EC5653"/>
    <w:rsid w:val="00ED2D26"/>
    <w:rsid w:val="00EF5F5C"/>
    <w:rsid w:val="00F1203D"/>
    <w:rsid w:val="00F16D46"/>
    <w:rsid w:val="00F46CE5"/>
    <w:rsid w:val="00F6431E"/>
    <w:rsid w:val="00F7706D"/>
    <w:rsid w:val="00F81DDA"/>
    <w:rsid w:val="00F86281"/>
    <w:rsid w:val="00FA5345"/>
    <w:rsid w:val="00FB3240"/>
    <w:rsid w:val="00FB734C"/>
    <w:rsid w:val="00FD4A16"/>
    <w:rsid w:val="00FE33A8"/>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BBA944"/>
  <w15:docId w15:val="{42BB7E18-BF20-4C25-8EF2-9F65B28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CommentText">
    <w:name w:val="annotation text"/>
    <w:basedOn w:val="Normal"/>
    <w:link w:val="CommentTextChar"/>
    <w:semiHidden/>
    <w:rsid w:val="00634FB7"/>
    <w:pPr>
      <w:spacing w:after="0"/>
    </w:pPr>
    <w:rPr>
      <w:rFonts w:ascii="Trebuchet MS" w:eastAsia="Times New Roman" w:hAnsi="Trebuchet MS"/>
      <w:sz w:val="20"/>
      <w:szCs w:val="20"/>
      <w:lang w:eastAsia="en-US"/>
    </w:rPr>
  </w:style>
  <w:style w:type="character" w:customStyle="1" w:styleId="CommentTextChar">
    <w:name w:val="Comment Text Char"/>
    <w:basedOn w:val="DefaultParagraphFont"/>
    <w:link w:val="CommentText"/>
    <w:semiHidden/>
    <w:rsid w:val="00634FB7"/>
    <w:rPr>
      <w:rFonts w:ascii="Trebuchet MS" w:eastAsia="Times New Roman" w:hAnsi="Trebuchet MS"/>
      <w:sz w:val="20"/>
      <w:szCs w:val="20"/>
      <w:lang w:eastAsia="en-US"/>
    </w:rPr>
  </w:style>
  <w:style w:type="paragraph" w:customStyle="1" w:styleId="numberedpara">
    <w:name w:val="numbered para"/>
    <w:basedOn w:val="Normal"/>
    <w:rsid w:val="00634FB7"/>
    <w:rPr>
      <w:rFonts w:eastAsia="Times New Roman"/>
      <w:snapToGrid w:val="0"/>
      <w:color w:val="000000"/>
      <w:lang w:eastAsia="en-US"/>
    </w:rPr>
  </w:style>
  <w:style w:type="paragraph" w:styleId="ListParagraph">
    <w:name w:val="List Paragraph"/>
    <w:basedOn w:val="Normal"/>
    <w:link w:val="ListParagraphChar"/>
    <w:uiPriority w:val="34"/>
    <w:qFormat/>
    <w:rsid w:val="00800375"/>
    <w:pPr>
      <w:spacing w:after="0"/>
      <w:ind w:left="720"/>
      <w:contextualSpacing/>
      <w:jc w:val="both"/>
    </w:pPr>
    <w:rPr>
      <w:rFonts w:eastAsia="Times New Roman"/>
      <w:szCs w:val="20"/>
    </w:rPr>
  </w:style>
  <w:style w:type="character" w:customStyle="1" w:styleId="ListParagraphChar">
    <w:name w:val="List Paragraph Char"/>
    <w:link w:val="ListParagraph"/>
    <w:uiPriority w:val="34"/>
    <w:rsid w:val="00800375"/>
    <w:rPr>
      <w:rFonts w:eastAsia="Times New Roman"/>
      <w:szCs w:val="20"/>
    </w:rPr>
  </w:style>
  <w:style w:type="paragraph" w:customStyle="1" w:styleId="ActTitle">
    <w:name w:val="Act Title"/>
    <w:basedOn w:val="Normal"/>
    <w:next w:val="Normal"/>
    <w:rsid w:val="00800375"/>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800375"/>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1EA331E1C4BF9AAEC49DEA5AEFE1E"/>
        <w:category>
          <w:name w:val="General"/>
          <w:gallery w:val="placeholder"/>
        </w:category>
        <w:types>
          <w:type w:val="bbPlcHdr"/>
        </w:types>
        <w:behaviors>
          <w:behavior w:val="content"/>
        </w:behaviors>
        <w:guid w:val="{48AEF5F0-37D4-49BB-B491-A83F8CAFEA9F}"/>
      </w:docPartPr>
      <w:docPartBody>
        <w:p w:rsidR="0071551D" w:rsidRDefault="00F7767A" w:rsidP="00F7767A">
          <w:pPr>
            <w:pStyle w:val="4C01EA331E1C4BF9AAEC49DEA5AEFE1E"/>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7A"/>
    <w:rsid w:val="0071551D"/>
    <w:rsid w:val="00F77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67A"/>
    <w:rPr>
      <w:noProof w:val="0"/>
      <w:color w:val="000000" w:themeColor="text1"/>
      <w:sz w:val="22"/>
      <w:lang w:val="en-AU"/>
    </w:rPr>
  </w:style>
  <w:style w:type="paragraph" w:customStyle="1" w:styleId="4C01EA331E1C4BF9AAEC49DEA5AEFE1E">
    <w:name w:val="4C01EA331E1C4BF9AAEC49DEA5AEFE1E"/>
    <w:rsid w:val="00F7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ACA5-FF25-44EB-9F22-13BC540CEFF1}">
  <ds:schemaRefs>
    <ds:schemaRef ds:uri="http://schemas.microsoft.com/office/2006/documentManagement/types"/>
    <ds:schemaRef ds:uri="http://purl.org/dc/elements/1.1/"/>
    <ds:schemaRef ds:uri="http://purl.org/dc/terms/"/>
    <ds:schemaRef ds:uri="79530295-9eea-494d-b82a-9ff74409eafc"/>
    <ds:schemaRef ds:uri="http://schemas.microsoft.com/office/2006/metadata/properties"/>
    <ds:schemaRef ds:uri="http://schemas.microsoft.com/office/infopath/2007/PartnerControls"/>
    <ds:schemaRef ds:uri="5664482d-1961-4d38-bfc2-b109b341883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00947F15-53F3-487E-A44B-0CA19E6E33BE}">
  <ds:schemaRefs>
    <ds:schemaRef ds:uri="http://schemas.openxmlformats.org/officeDocument/2006/bibliography"/>
  </ds:schemaRefs>
</ds:datastoreItem>
</file>

<file path=customXml/itemProps4.xml><?xml version="1.0" encoding="utf-8"?>
<ds:datastoreItem xmlns:ds="http://schemas.openxmlformats.org/officeDocument/2006/customXml" ds:itemID="{4212D267-A94F-4B2D-B6E7-93FE4915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8</Pages>
  <Words>1430</Words>
  <Characters>7322</Characters>
  <Application>Microsoft Office Word</Application>
  <DocSecurity>0</DocSecurity>
  <Lines>187</Lines>
  <Paragraphs>109</Paragraphs>
  <ScaleCrop>false</ScaleCrop>
  <HeadingPairs>
    <vt:vector size="2" baseType="variant">
      <vt:variant>
        <vt:lpstr>Title</vt:lpstr>
      </vt:variant>
      <vt:variant>
        <vt:i4>1</vt:i4>
      </vt:variant>
    </vt:vector>
  </HeadingPairs>
  <TitlesOfParts>
    <vt:vector size="1" baseType="lpstr">
      <vt:lpstr>Prudential Standard LPS 001</vt:lpstr>
    </vt:vector>
  </TitlesOfParts>
  <Company>APRA</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LPS 001</dc:title>
  <dc:creator>Kara Hooper</dc:creator>
  <cp:keywords>[SEC=UNOFFICIAL]</cp:keywords>
  <cp:lastModifiedBy>Toni Michalis</cp:lastModifiedBy>
  <cp:revision>2</cp:revision>
  <dcterms:created xsi:type="dcterms:W3CDTF">2023-05-31T11:18:00Z</dcterms:created>
  <dcterms:modified xsi:type="dcterms:W3CDTF">2023-05-31T11:18:00Z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312F3E605F5201CCEB228879ADF1A44C</vt:lpwstr>
  </property>
  <property fmtid="{D5CDD505-2E9C-101B-9397-08002B2CF9AE}" pid="10" name="PM_Hash_SHA1">
    <vt:lpwstr>A3C9C2692999C930FEBE2A6FB231B1916FEB9702</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07EF8034D17EEF114DB48233E156EB13</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2022-09-12T22:50:11Z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36de2b31-c276-48d1-899f-5f75c31b23ce</vt:lpwstr>
  </property>
  <property fmtid="{D5CDD505-2E9C-101B-9397-08002B2CF9AE}" pid="42" name="PM_Note">
    <vt:lpwstr/>
  </property>
  <property fmtid="{D5CDD505-2E9C-101B-9397-08002B2CF9AE}" pid="43" name="PM_Markers">
    <vt:lpwstr/>
  </property>
  <property fmtid="{D5CDD505-2E9C-101B-9397-08002B2CF9AE}" pid="44" name="RecordPoint_WorkflowType">
    <vt:lpwstr>ActiveSubmitStub</vt:lpwstr>
  </property>
  <property fmtid="{D5CDD505-2E9C-101B-9397-08002B2CF9AE}" pid="45" name="RecordPoint_ActiveItemSiteId">
    <vt:lpwstr>{84af826e-2518-4772-bac2-7b8081da2087}</vt:lpwstr>
  </property>
  <property fmtid="{D5CDD505-2E9C-101B-9397-08002B2CF9AE}" pid="46" name="RecordPoint_ActiveItemListId">
    <vt:lpwstr>{fc59aca8-863e-4c39-b69a-97632099c4a0}</vt:lpwstr>
  </property>
  <property fmtid="{D5CDD505-2E9C-101B-9397-08002B2CF9AE}" pid="47" name="RecordPoint_ActiveItemUniqueId">
    <vt:lpwstr>{36de2b31-c276-48d1-899f-5f75c31b23ce}</vt:lpwstr>
  </property>
  <property fmtid="{D5CDD505-2E9C-101B-9397-08002B2CF9AE}" pid="48" name="RecordPoint_ActiveItemWebId">
    <vt:lpwstr>{e3b62e1b-357d-4d42-becf-206c8aada0ef}</vt:lpwstr>
  </property>
  <property fmtid="{D5CDD505-2E9C-101B-9397-08002B2CF9AE}" pid="49" name="IsLocked">
    <vt:lpwstr>Yes</vt:lpwstr>
  </property>
  <property fmtid="{D5CDD505-2E9C-101B-9397-08002B2CF9AE}" pid="50" name="RecordPoint_SubmissionDate">
    <vt:lpwstr/>
  </property>
  <property fmtid="{D5CDD505-2E9C-101B-9397-08002B2CF9AE}" pid="51" name="RecordPoint_RecordNumberSubmitted">
    <vt:lpwstr/>
  </property>
  <property fmtid="{D5CDD505-2E9C-101B-9397-08002B2CF9AE}" pid="52" name="RecordPoint_ActiveItemMoved">
    <vt:lpwstr/>
  </property>
  <property fmtid="{D5CDD505-2E9C-101B-9397-08002B2CF9AE}" pid="53" name="RecordPoint_RecordFormat">
    <vt:lpwstr/>
  </property>
  <property fmtid="{D5CDD505-2E9C-101B-9397-08002B2CF9AE}" pid="54" name="RecordPoint_SubmissionCompleted">
    <vt:lpwstr/>
  </property>
  <property fmtid="{D5CDD505-2E9C-101B-9397-08002B2CF9AE}" pid="55" name="PM_Display">
    <vt:lpwstr>Personal</vt:lpwstr>
  </property>
  <property fmtid="{D5CDD505-2E9C-101B-9397-08002B2CF9AE}" pid="56" name="PMUuid">
    <vt:lpwstr>v=2022.2;d=gov.au;g=65417EFE-F3B9-5E66-BD91-1E689FEC2EA6</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bfd5df59-fc4a-42eb-ac4e-d9fda266b5d9_SetDate">
    <vt:lpwstr>2022-09-12T22:50:11Z</vt:lpwstr>
  </property>
  <property fmtid="{D5CDD505-2E9C-101B-9397-08002B2CF9AE}" pid="60" name="MSIP_Label_bfd5df59-fc4a-42eb-ac4e-d9fda266b5d9_Enabled">
    <vt:lpwstr>true</vt:lpwstr>
  </property>
  <property fmtid="{D5CDD505-2E9C-101B-9397-08002B2CF9AE}" pid="61" name="MSIP_Label_bfd5df59-fc4a-42eb-ac4e-d9fda266b5d9_Name">
    <vt:lpwstr>UNOFFICIAL</vt:lpwstr>
  </property>
  <property fmtid="{D5CDD505-2E9C-101B-9397-08002B2CF9AE}" pid="62" name="MSIP_Label_bfd5df59-fc4a-42eb-ac4e-d9fda266b5d9_SiteId">
    <vt:lpwstr>c05e3ffd-b491-4431-9809-e61d4dc78816</vt:lpwstr>
  </property>
  <property fmtid="{D5CDD505-2E9C-101B-9397-08002B2CF9AE}" pid="63" name="MSIP_Label_bfd5df59-fc4a-42eb-ac4e-d9fda266b5d9_ActionId">
    <vt:lpwstr>6e5eaf2f989840a6a050dccbd8aca9f9</vt:lpwstr>
  </property>
  <property fmtid="{D5CDD505-2E9C-101B-9397-08002B2CF9AE}" pid="64" name="PMHMAC">
    <vt:lpwstr>v=2022.1;a=SHA256;h=C9227941875ABAF72030B0B9694A7221ABA64E88B3101F5A077EA56BA2CE78A6</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