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C7EF" w14:textId="77777777" w:rsidR="00071487" w:rsidRPr="00613F01" w:rsidRDefault="00071487"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Pr="005F7EEF">
        <w:rPr>
          <w:noProof/>
          <w:sz w:val="24"/>
          <w:szCs w:val="24"/>
        </w:rPr>
        <w:t>64</w:t>
      </w:r>
      <w:r w:rsidRPr="008234D8">
        <w:rPr>
          <w:sz w:val="24"/>
          <w:szCs w:val="24"/>
        </w:rPr>
        <w:t xml:space="preserve"> of 202</w:t>
      </w:r>
      <w:r>
        <w:rPr>
          <w:sz w:val="24"/>
          <w:szCs w:val="24"/>
        </w:rPr>
        <w:t>3</w:t>
      </w:r>
    </w:p>
    <w:p w14:paraId="0A7CFD9C" w14:textId="77777777" w:rsidR="00071487" w:rsidRPr="002C6D26" w:rsidRDefault="00071487" w:rsidP="00854C33">
      <w:pPr>
        <w:pStyle w:val="Heading"/>
        <w:tabs>
          <w:tab w:val="left" w:pos="360"/>
        </w:tabs>
        <w:spacing w:after="240"/>
        <w:jc w:val="center"/>
        <w:rPr>
          <w:sz w:val="24"/>
          <w:szCs w:val="24"/>
          <w:u w:val="single"/>
        </w:rPr>
      </w:pPr>
      <w:r w:rsidRPr="002C6D26">
        <w:rPr>
          <w:sz w:val="24"/>
          <w:szCs w:val="24"/>
          <w:u w:val="single"/>
        </w:rPr>
        <w:t>EXPLANATORY STATEMENT</w:t>
      </w:r>
    </w:p>
    <w:p w14:paraId="7819FEB8" w14:textId="77777777" w:rsidR="00071487" w:rsidRPr="002C6D26" w:rsidRDefault="00071487" w:rsidP="00854C33">
      <w:pPr>
        <w:pStyle w:val="Heading"/>
        <w:spacing w:after="240"/>
        <w:jc w:val="center"/>
        <w:rPr>
          <w:sz w:val="24"/>
          <w:szCs w:val="24"/>
        </w:rPr>
      </w:pPr>
      <w:r w:rsidRPr="002C6D26">
        <w:rPr>
          <w:sz w:val="24"/>
          <w:szCs w:val="24"/>
        </w:rPr>
        <w:t>Prepared by the Australian Prudential Regulation Authority (APRA)</w:t>
      </w:r>
    </w:p>
    <w:p w14:paraId="184DC9C3" w14:textId="77777777" w:rsidR="00071487" w:rsidRDefault="00071487" w:rsidP="00854C33">
      <w:pPr>
        <w:pStyle w:val="heading0"/>
        <w:spacing w:before="0" w:beforeAutospacing="0" w:after="240" w:afterAutospacing="0"/>
        <w:jc w:val="center"/>
      </w:pPr>
      <w:r>
        <w:rPr>
          <w:i/>
          <w:iCs/>
        </w:rPr>
        <w:t>Financial Sector (Collection of Data) Act 2001</w:t>
      </w:r>
      <w:r>
        <w:t>, sections 13 and 15</w:t>
      </w:r>
    </w:p>
    <w:p w14:paraId="7B420D7C" w14:textId="77777777" w:rsidR="00071487" w:rsidRDefault="00071487" w:rsidP="00854C33">
      <w:pPr>
        <w:pStyle w:val="heading0"/>
        <w:spacing w:before="0" w:beforeAutospacing="0" w:after="240" w:afterAutospacing="0"/>
        <w:jc w:val="center"/>
      </w:pPr>
      <w:r w:rsidRPr="00380068">
        <w:rPr>
          <w:i/>
        </w:rPr>
        <w:t>Acts Interpretation Act 1901</w:t>
      </w:r>
      <w:r>
        <w:t>, section 33</w:t>
      </w:r>
    </w:p>
    <w:p w14:paraId="300C5179" w14:textId="77777777" w:rsidR="00071487" w:rsidRPr="00B33A8A" w:rsidRDefault="00071487"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639E5982" w14:textId="77777777" w:rsidR="00071487" w:rsidRPr="007D1955" w:rsidRDefault="00071487"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4CDCC62A" w14:textId="77777777" w:rsidR="00071487" w:rsidRDefault="00071487"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4CAB0F5A" w14:textId="77777777" w:rsidR="00071487" w:rsidRPr="00DF2C01" w:rsidRDefault="00071487"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5F7EEF">
        <w:rPr>
          <w:rFonts w:ascii="Times New Roman" w:eastAsia="Times New Roman" w:hAnsi="Times New Roman" w:cs="Times New Roman"/>
          <w:noProof/>
          <w:sz w:val="24"/>
          <w:szCs w:val="24"/>
          <w:lang w:eastAsia="en-AU"/>
        </w:rPr>
        <w:t>64</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5978BE38" w14:textId="77777777" w:rsidR="00071487" w:rsidRPr="00D32051" w:rsidRDefault="00071487"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5F7EEF">
        <w:rPr>
          <w:rFonts w:ascii="Times New Roman" w:hAnsi="Times New Roman"/>
          <w:i/>
          <w:noProof/>
          <w:sz w:val="24"/>
          <w:szCs w:val="24"/>
        </w:rPr>
        <w:t>Reporting Standard GRS 112.0_G Determination of Capital Base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3 of 2016</w:t>
      </w:r>
      <w:r>
        <w:rPr>
          <w:rFonts w:ascii="Times New Roman" w:hAnsi="Times New Roman"/>
          <w:sz w:val="24"/>
          <w:szCs w:val="24"/>
        </w:rPr>
        <w:t xml:space="preserve">; </w:t>
      </w:r>
      <w:r w:rsidRPr="00D32051">
        <w:rPr>
          <w:rFonts w:ascii="Times New Roman" w:hAnsi="Times New Roman"/>
          <w:sz w:val="24"/>
          <w:szCs w:val="24"/>
        </w:rPr>
        <w:t>and</w:t>
      </w:r>
    </w:p>
    <w:p w14:paraId="082651F9" w14:textId="77777777" w:rsidR="00071487" w:rsidRDefault="00071487"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5F7EEF">
        <w:rPr>
          <w:rFonts w:ascii="Times New Roman" w:hAnsi="Times New Roman"/>
          <w:i/>
          <w:noProof/>
          <w:sz w:val="24"/>
          <w:szCs w:val="24"/>
        </w:rPr>
        <w:t>GRS 112.0.G Determination of Capital Base</w:t>
      </w:r>
      <w:r>
        <w:rPr>
          <w:rFonts w:ascii="Times New Roman" w:hAnsi="Times New Roman"/>
          <w:sz w:val="24"/>
          <w:szCs w:val="24"/>
        </w:rPr>
        <w:t>.</w:t>
      </w:r>
    </w:p>
    <w:p w14:paraId="412378F3" w14:textId="77777777" w:rsidR="00071487" w:rsidRPr="00CF46D3" w:rsidRDefault="00071487"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08E3E4A9" w14:textId="77777777" w:rsidR="00071487" w:rsidRPr="009535CD" w:rsidRDefault="00071487"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9C7EDD4" w14:textId="77777777" w:rsidR="00071487" w:rsidRPr="00743AE5" w:rsidRDefault="0007148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75FBADF6" w14:textId="77777777" w:rsidR="00071487" w:rsidRDefault="00071487"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34DAF4D" w14:textId="77777777" w:rsidR="00071487" w:rsidRDefault="00071487"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664AFD67" w14:textId="77777777" w:rsidR="00071487" w:rsidRPr="00BC1E70" w:rsidRDefault="00071487"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65E84FDA" w14:textId="77777777" w:rsidR="00071487" w:rsidRPr="00BC1E70" w:rsidRDefault="00071487"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112.0.G Determination of Capital Base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5F7EEF">
        <w:rPr>
          <w:rFonts w:ascii="Times New Roman" w:hAnsi="Times New Roman" w:cs="Times New Roman"/>
          <w:noProof/>
          <w:sz w:val="24"/>
          <w:szCs w:val="24"/>
        </w:rPr>
        <w:t>This Reporting Standard sets out the requirements for the provision of information to APRA relating to the determination of a Level 2 insurance group’s capital base.</w:t>
      </w:r>
    </w:p>
    <w:p w14:paraId="1C4C4C91" w14:textId="77777777" w:rsidR="00071487" w:rsidRDefault="00071487"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36221F82" w14:textId="77777777" w:rsidR="00071487" w:rsidRPr="004B2060" w:rsidRDefault="0007148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61F86FB" w14:textId="77777777" w:rsidR="00071487" w:rsidRPr="002E123D" w:rsidRDefault="0007148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128A3356" w14:textId="77777777" w:rsidR="00071487" w:rsidRPr="002E123D" w:rsidRDefault="0007148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5AE03026" w14:textId="77777777" w:rsidR="00071487" w:rsidRPr="002E123D" w:rsidRDefault="0007148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65A40DB3" w14:textId="77777777" w:rsidR="00071487" w:rsidRPr="002E123D" w:rsidRDefault="00071487"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61AE7B72" w14:textId="77777777" w:rsidR="00071487" w:rsidRPr="002E123D" w:rsidRDefault="0007148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DC2A212" w14:textId="77777777" w:rsidR="00071487" w:rsidRPr="002E123D" w:rsidRDefault="00071487"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2ED08EB1" w14:textId="77777777" w:rsidR="00071487" w:rsidRPr="002E123D" w:rsidRDefault="0007148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11FEE369" w14:textId="77777777" w:rsidR="00071487" w:rsidRPr="002E123D" w:rsidRDefault="00071487"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A66F514" w14:textId="77777777" w:rsidR="00071487" w:rsidRPr="002E123D" w:rsidRDefault="00071487"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5AD4FA79" w14:textId="77777777" w:rsidR="00071487" w:rsidRPr="002E123D" w:rsidRDefault="00071487"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3799D7B0" w14:textId="77777777" w:rsidR="00071487" w:rsidRPr="002E123D" w:rsidRDefault="00071487"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23F44BB6" w14:textId="77777777" w:rsidR="00071487" w:rsidRDefault="00071487"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6E09579C" w14:textId="77777777" w:rsidR="00071487" w:rsidRPr="00CE4F5D" w:rsidRDefault="00071487" w:rsidP="00B93DF1">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5F7EEF">
        <w:rPr>
          <w:rFonts w:ascii="Times New Roman" w:hAnsi="Times New Roman" w:cs="Times New Roman"/>
          <w:noProof/>
          <w:sz w:val="24"/>
          <w:szCs w:val="24"/>
        </w:rPr>
        <w:t xml:space="preserve">in respect of the first half year based on the financial year of the Level 2 insurance group on an unaudited </w:t>
      </w:r>
      <w:r w:rsidRPr="005F7EEF">
        <w:rPr>
          <w:rFonts w:ascii="Times New Roman" w:hAnsi="Times New Roman" w:cs="Times New Roman"/>
          <w:noProof/>
          <w:sz w:val="24"/>
          <w:szCs w:val="24"/>
        </w:rPr>
        <w:lastRenderedPageBreak/>
        <w:t>basis, and in respect of each financial year of the Level 2 insurance group on an audited basis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5F7EEF">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7772FB59" w14:textId="77777777" w:rsidR="00071487" w:rsidRPr="002E123D" w:rsidRDefault="00071487" w:rsidP="00B93DF1">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r w:rsidRPr="00B93DF1">
        <w:rPr>
          <w:rFonts w:ascii="Times New Roman" w:hAnsi="Times New Roman" w:cs="Times New Roman"/>
          <w:sz w:val="24"/>
          <w:szCs w:val="24"/>
        </w:rPr>
        <w:t>.</w:t>
      </w:r>
    </w:p>
    <w:p w14:paraId="112172F5" w14:textId="77777777" w:rsidR="00071487" w:rsidRPr="002E123D" w:rsidRDefault="00071487"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4B43CA97" w14:textId="77777777" w:rsidR="00071487" w:rsidRPr="002E123D" w:rsidRDefault="00071487"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02BFD56E" w14:textId="77777777" w:rsidR="00071487" w:rsidRPr="002E123D" w:rsidRDefault="00071487"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146B96E2" w14:textId="77777777" w:rsidR="00071487" w:rsidRPr="002E123D" w:rsidRDefault="00071487"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7E881F3C" w14:textId="77777777" w:rsidR="00071487" w:rsidRPr="002E123D" w:rsidRDefault="00071487"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47234E69" w14:textId="77777777" w:rsidR="00071487" w:rsidRPr="00CC16DE" w:rsidRDefault="00071487" w:rsidP="00D17490">
      <w:pPr>
        <w:rPr>
          <w:rFonts w:ascii="Times New Roman" w:hAnsi="Times New Roman" w:cs="Times New Roman"/>
          <w:sz w:val="24"/>
          <w:szCs w:val="24"/>
        </w:rPr>
      </w:pPr>
      <w:r w:rsidRPr="00732C47">
        <w:rPr>
          <w:rFonts w:ascii="Times New Roman" w:hAnsi="Times New Roman" w:cs="Times New Roman"/>
          <w:sz w:val="24"/>
          <w:szCs w:val="24"/>
        </w:rPr>
        <w:t xml:space="preserve">Paragraph 16 states that APRA may vary the requirements of this reporting standard in relation </w:t>
      </w:r>
      <w:r w:rsidRPr="00CC16DE">
        <w:rPr>
          <w:rFonts w:ascii="Times New Roman" w:hAnsi="Times New Roman" w:cs="Times New Roman"/>
          <w:sz w:val="24"/>
          <w:szCs w:val="24"/>
        </w:rPr>
        <w:t>to a financial sector entity in writing, as permitted by paragraph 13(2)(f) of the Act.</w:t>
      </w:r>
    </w:p>
    <w:p w14:paraId="3083F7AC" w14:textId="77777777" w:rsidR="00071487" w:rsidRPr="00CC16DE" w:rsidRDefault="00071487"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17</w:t>
      </w:r>
    </w:p>
    <w:p w14:paraId="51C1600B" w14:textId="77777777" w:rsidR="00071487" w:rsidRPr="00CC16DE" w:rsidRDefault="00071487"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17</w:t>
      </w:r>
      <w:r w:rsidRPr="00CC16DE">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CC16DE">
        <w:rPr>
          <w:rFonts w:ascii="Times New Roman" w:hAnsi="Times New Roman" w:cs="Times New Roman"/>
          <w:sz w:val="24"/>
          <w:szCs w:val="24"/>
        </w:rPr>
        <w:t xml:space="preserve">. </w:t>
      </w:r>
    </w:p>
    <w:p w14:paraId="028E68AE" w14:textId="77777777" w:rsidR="00071487" w:rsidRPr="002E123D" w:rsidRDefault="00071487"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2C529728" w14:textId="77777777" w:rsidR="00071487" w:rsidRPr="002E123D" w:rsidRDefault="00071487" w:rsidP="00D17490">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77D98FF" w14:textId="77777777" w:rsidR="00071487" w:rsidRPr="004B2060" w:rsidRDefault="00071487"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General instructions</w:t>
      </w:r>
    </w:p>
    <w:p w14:paraId="286359B6" w14:textId="77777777" w:rsidR="00071487" w:rsidRPr="004B2060" w:rsidRDefault="00071487"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06756453" w14:textId="77777777" w:rsidR="00071487" w:rsidRPr="004B2060" w:rsidRDefault="00071487"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60968962" w14:textId="77777777" w:rsidR="00071487" w:rsidRPr="004B2060" w:rsidRDefault="00071487"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0A216E83" w14:textId="77777777" w:rsidR="00071487" w:rsidRPr="004B2060" w:rsidRDefault="00071487"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3F995F5F" w14:textId="77777777" w:rsidR="00071487" w:rsidRPr="003A08B8" w:rsidRDefault="00071487"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79EC99CC" w14:textId="77777777" w:rsidR="00071487" w:rsidRDefault="0007148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04D52298" w14:textId="77777777" w:rsidR="00071487" w:rsidRPr="003A7F99" w:rsidRDefault="00071487"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7F9CE1E1" w14:textId="77777777" w:rsidR="00071487" w:rsidRPr="00455BA9" w:rsidRDefault="00071487"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40926B93" w14:textId="77777777" w:rsidR="00071487" w:rsidRPr="007B231E" w:rsidRDefault="00071487" w:rsidP="00EB187C">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4C35C38A" w14:textId="77777777" w:rsidR="00071487" w:rsidRDefault="00071487"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459B5681" w14:textId="77777777" w:rsidR="00071487" w:rsidRPr="00D274ED" w:rsidRDefault="00071487"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35276BD" w14:textId="77777777" w:rsidR="00071487" w:rsidRPr="006C1876" w:rsidRDefault="00071487"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 xml:space="preserve">parent entity of a Level 2 insurance group to provide information required by each of the </w:t>
      </w:r>
      <w:proofErr w:type="gramStart"/>
      <w:r w:rsidRPr="00B85DCE">
        <w:rPr>
          <w:rFonts w:ascii="Times New Roman" w:hAnsi="Times New Roman" w:cs="Times New Roman"/>
          <w:sz w:val="24"/>
          <w:szCs w:val="24"/>
        </w:rPr>
        <w:t>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w:t>
      </w:r>
      <w:proofErr w:type="gramEnd"/>
      <w:r w:rsidRPr="00B85DCE">
        <w:rPr>
          <w:rFonts w:ascii="Times New Roman" w:hAnsi="Times New Roman" w:cs="Times New Roman"/>
          <w:sz w:val="24"/>
          <w:szCs w:val="24"/>
        </w:rPr>
        <w:t xml:space="preserve"> excluding parent entities of Level 2 insurance groups from the requirement to provide half-yearly information.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3DA235BC" w14:textId="77777777" w:rsidR="00071487" w:rsidRPr="006C1876" w:rsidRDefault="0007148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2F4378E" w14:textId="77777777" w:rsidR="00071487" w:rsidRPr="006C1876" w:rsidRDefault="00071487"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E03F649" w14:textId="77777777" w:rsidR="00071487" w:rsidRPr="00BC1E70" w:rsidRDefault="00071487"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525F451B" w14:textId="77777777" w:rsidR="00161F9E" w:rsidRDefault="00161F9E" w:rsidP="00161F9E">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2BEAEF3B" w14:textId="77777777" w:rsidR="00161F9E" w:rsidRDefault="00161F9E" w:rsidP="00161F9E">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6EE87CC7" w14:textId="77777777" w:rsidR="00161F9E" w:rsidRPr="00F722AD" w:rsidRDefault="00161F9E" w:rsidP="00161F9E">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377327DE" w14:textId="77777777" w:rsidR="00071487" w:rsidRPr="00F921A4" w:rsidRDefault="00071487"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7CD4A89" w14:textId="77777777" w:rsidR="00071487" w:rsidRPr="00F921A4" w:rsidRDefault="00071487"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79B15045" w14:textId="77777777" w:rsidR="00071487" w:rsidRPr="00DE1106" w:rsidRDefault="00071487"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261537D" w14:textId="77777777" w:rsidR="00071487" w:rsidRPr="00D5162F" w:rsidRDefault="00071487"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ACCB5F5" w14:textId="77777777" w:rsidR="00071487" w:rsidRPr="000A1A15" w:rsidRDefault="00071487"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6A6D3FC8" w14:textId="77777777" w:rsidR="00071487" w:rsidRPr="00BC1E70" w:rsidRDefault="00071487"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7C34DC4E" w14:textId="77777777" w:rsidR="00071487" w:rsidRPr="00D5162F" w:rsidRDefault="00071487"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12F497D2" w14:textId="77777777" w:rsidR="00071487" w:rsidRPr="008234D8" w:rsidRDefault="00071487"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4C7113F4" w14:textId="77777777" w:rsidR="00071487" w:rsidRPr="008234D8" w:rsidRDefault="00071487"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5F7EEF">
        <w:rPr>
          <w:rFonts w:ascii="Times New Roman" w:eastAsia="Times New Roman" w:hAnsi="Times New Roman" w:cs="Times New Roman"/>
          <w:b/>
          <w:noProof/>
          <w:sz w:val="24"/>
          <w:szCs w:val="24"/>
          <w:lang w:eastAsia="en-AU"/>
        </w:rPr>
        <w:t>64</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917481E" w14:textId="77777777" w:rsidR="00071487" w:rsidRPr="00CC30A1" w:rsidRDefault="00071487"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D365D85" w14:textId="77777777" w:rsidR="00071487" w:rsidRPr="00DE1106" w:rsidRDefault="00071487"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9AEA11E" w14:textId="77777777" w:rsidR="00071487" w:rsidRDefault="00071487"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5F7EEF">
        <w:rPr>
          <w:rFonts w:ascii="Times New Roman" w:hAnsi="Times New Roman"/>
          <w:i/>
          <w:noProof/>
          <w:sz w:val="24"/>
          <w:szCs w:val="24"/>
        </w:rPr>
        <w:t>Reporting Standard GRS 112.0_G Determination of Capital Base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3 of 2016</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112.0.G Determination of Capital Base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2B67C1A9" w14:textId="77777777" w:rsidR="00071487" w:rsidRPr="00D615C7" w:rsidRDefault="00071487"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467D27FE" w14:textId="77777777" w:rsidR="00071487" w:rsidRPr="000A1A15" w:rsidRDefault="00071487"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4A740C92" w14:textId="77777777" w:rsidR="00071487" w:rsidRPr="000A1A15" w:rsidRDefault="00071487"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611319F3" w14:textId="77777777" w:rsidR="00071487" w:rsidRPr="000A1A15" w:rsidRDefault="00071487"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4D7621C" w14:textId="77777777" w:rsidR="00071487" w:rsidRDefault="00071487" w:rsidP="00A34ADD">
      <w:pPr>
        <w:rPr>
          <w:rFonts w:ascii="Times New Roman" w:hAnsi="Times New Roman" w:cs="Times New Roman"/>
        </w:rPr>
        <w:sectPr w:rsidR="00071487" w:rsidSect="00B06E21">
          <w:footerReference w:type="default" r:id="rId13"/>
          <w:pgSz w:w="11906" w:h="16838" w:code="9"/>
          <w:pgMar w:top="993" w:right="1440" w:bottom="1440" w:left="1440" w:header="567" w:footer="567" w:gutter="0"/>
          <w:pgNumType w:start="1"/>
          <w:cols w:space="708"/>
          <w:docGrid w:linePitch="360"/>
        </w:sectPr>
      </w:pPr>
    </w:p>
    <w:p w14:paraId="45DB960D" w14:textId="77777777" w:rsidR="00071487" w:rsidRPr="00B06E21" w:rsidRDefault="00071487" w:rsidP="00A34ADD">
      <w:pPr>
        <w:rPr>
          <w:rFonts w:ascii="Times New Roman" w:hAnsi="Times New Roman" w:cs="Times New Roman"/>
        </w:rPr>
      </w:pPr>
    </w:p>
    <w:sectPr w:rsidR="00071487" w:rsidRPr="00B06E21" w:rsidSect="00071487">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4CB0" w14:textId="77777777" w:rsidR="006D244A" w:rsidRPr="000D4EDE" w:rsidRDefault="006D244A" w:rsidP="000D4EDE">
      <w:r>
        <w:separator/>
      </w:r>
    </w:p>
  </w:endnote>
  <w:endnote w:type="continuationSeparator" w:id="0">
    <w:p w14:paraId="2840F49F" w14:textId="77777777" w:rsidR="006D244A" w:rsidRPr="000D4EDE" w:rsidRDefault="006D244A" w:rsidP="000D4EDE">
      <w:r>
        <w:continuationSeparator/>
      </w:r>
    </w:p>
  </w:endnote>
  <w:endnote w:type="continuationNotice" w:id="1">
    <w:p w14:paraId="7EF0102C" w14:textId="77777777" w:rsidR="006D244A" w:rsidRDefault="006D24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615785"/>
      <w:docPartObj>
        <w:docPartGallery w:val="Page Numbers (Bottom of Page)"/>
        <w:docPartUnique/>
      </w:docPartObj>
    </w:sdtPr>
    <w:sdtEndPr>
      <w:rPr>
        <w:rFonts w:ascii="Times New Roman" w:hAnsi="Times New Roman" w:cs="Times New Roman"/>
        <w:noProof/>
        <w:sz w:val="24"/>
        <w:szCs w:val="24"/>
      </w:rPr>
    </w:sdtEndPr>
    <w:sdtContent>
      <w:p w14:paraId="7F2A0D41" w14:textId="77777777" w:rsidR="00071487" w:rsidRPr="00657B2C" w:rsidRDefault="00071487"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6F2260A" w14:textId="77777777"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5830" w14:textId="77777777" w:rsidR="006D244A" w:rsidRPr="000D4EDE" w:rsidRDefault="006D244A" w:rsidP="000D4EDE">
      <w:r>
        <w:separator/>
      </w:r>
    </w:p>
  </w:footnote>
  <w:footnote w:type="continuationSeparator" w:id="0">
    <w:p w14:paraId="5D264B3A" w14:textId="77777777" w:rsidR="006D244A" w:rsidRPr="000D4EDE" w:rsidRDefault="006D244A" w:rsidP="000D4EDE">
      <w:r>
        <w:continuationSeparator/>
      </w:r>
    </w:p>
  </w:footnote>
  <w:footnote w:type="continuationNotice" w:id="1">
    <w:p w14:paraId="041F481A" w14:textId="77777777" w:rsidR="006D244A" w:rsidRDefault="006D244A">
      <w:pPr>
        <w:spacing w:after="0"/>
      </w:pPr>
    </w:p>
  </w:footnote>
  <w:footnote w:id="2">
    <w:p w14:paraId="6807D008" w14:textId="77777777" w:rsidR="00161F9E" w:rsidRDefault="00161F9E" w:rsidP="00161F9E">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1487"/>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C60E6"/>
    <w:rsid w:val="000D4EDE"/>
    <w:rsid w:val="000D6674"/>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1F9E"/>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55B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312"/>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2EB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0F15"/>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29D"/>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5F2"/>
    <w:rsid w:val="006506C1"/>
    <w:rsid w:val="00657459"/>
    <w:rsid w:val="0065747A"/>
    <w:rsid w:val="00657B2C"/>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44A"/>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6CFD"/>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41AA"/>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D43"/>
    <w:rsid w:val="00B55F0B"/>
    <w:rsid w:val="00B56C63"/>
    <w:rsid w:val="00B6011E"/>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4DE"/>
    <w:rsid w:val="00C04E4B"/>
    <w:rsid w:val="00C052D9"/>
    <w:rsid w:val="00C11531"/>
    <w:rsid w:val="00C11B56"/>
    <w:rsid w:val="00C14C04"/>
    <w:rsid w:val="00C1529E"/>
    <w:rsid w:val="00C16045"/>
    <w:rsid w:val="00C16050"/>
    <w:rsid w:val="00C175CC"/>
    <w:rsid w:val="00C21E27"/>
    <w:rsid w:val="00C2332A"/>
    <w:rsid w:val="00C25F3C"/>
    <w:rsid w:val="00C3686B"/>
    <w:rsid w:val="00C42500"/>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E6F79"/>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4759"/>
    <w:rsid w:val="00D9697A"/>
    <w:rsid w:val="00DA2B14"/>
    <w:rsid w:val="00DA3023"/>
    <w:rsid w:val="00DA4C48"/>
    <w:rsid w:val="00DA53A4"/>
    <w:rsid w:val="00DA5B10"/>
    <w:rsid w:val="00DA727D"/>
    <w:rsid w:val="00DB3022"/>
    <w:rsid w:val="00DB3B5D"/>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873CF"/>
    <w:rsid w:val="00E92385"/>
    <w:rsid w:val="00E93F74"/>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1CA"/>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D6A1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6276"/>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FE81A878-A5ED-49BC-BC41-2EB25B72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A39F2-5068-45BF-85CC-A816CCABDD3E}">
  <ds:schemaRefs>
    <ds:schemaRef ds:uri="http://schemas.microsoft.com/office/2006/documentManagement/types"/>
    <ds:schemaRef ds:uri="0873f81f-5545-4105-9cf3-1e567ff68fe4"/>
    <ds:schemaRef ds:uri="http://www.w3.org/XML/1998/namespace"/>
    <ds:schemaRef ds:uri="http://schemas.microsoft.com/office/2006/metadata/properties"/>
    <ds:schemaRef ds:uri="5e7d1d2f-1d1d-4328-b1c4-d23268d86024"/>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2053</Words>
  <Characters>11663</Characters>
  <Application>Microsoft Office Word</Application>
  <DocSecurity>4</DocSecurity>
  <Lines>194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2023-06-04T01:26:00Z</dcterms:created>
  <dcterms:modified xsi:type="dcterms:W3CDTF">2023-06-04T01:26:00Z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3913562FAB7CF902D5DF26BC7FD8889E</vt:lpwstr>
  </property>
  <property fmtid="{D5CDD505-2E9C-101B-9397-08002B2CF9AE}" pid="63" name="PM_Hash_Salt">
    <vt:lpwstr>58F776514C5407B73B8D83A49FA592C3</vt:lpwstr>
  </property>
  <property fmtid="{D5CDD505-2E9C-101B-9397-08002B2CF9AE}" pid="64" name="PM_Hash_SHA1">
    <vt:lpwstr>13B81EC46FE68452B64D8EC8F02BBF03917B0EEA</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v=2022.1;a=SHA256;h=D42EBDFBFF0E1B24C3DFC73434D22EC0C57A27C04C48FF7207C3D6A0B96C8839</vt:lpwstr>
  </property>
  <property fmtid="{D5CDD505-2E9C-101B-9397-08002B2CF9AE}" pid="67" name="MSIP_Label_c0129afb-6481-4f92-bc9f-5a4a6346364d_ActionId">
    <vt:lpwstr>7fad74002e9d4053a2728e5da0e441cf</vt:lpwstr>
  </property>
</Properties>
</file>