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89B4" w14:textId="1FB1E330"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073F77">
        <w:rPr>
          <w:rFonts w:ascii="Times New Roman" w:hAnsi="Times New Roman" w:cs="Times New Roman"/>
          <w:b/>
          <w:sz w:val="24"/>
          <w:szCs w:val="24"/>
        </w:rPr>
        <w:t xml:space="preserve">1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A0F4CFE"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w:t>
      </w:r>
      <w:r>
        <w:rPr>
          <w:rFonts w:ascii="Times New Roman" w:hAnsi="Times New Roman" w:cs="Times New Roman"/>
          <w:sz w:val="24"/>
          <w:szCs w:val="24"/>
        </w:rPr>
        <w:t>sub</w:t>
      </w:r>
      <w:r w:rsidR="00B06E21" w:rsidRPr="00D5162F">
        <w:rPr>
          <w:rFonts w:ascii="Times New Roman" w:hAnsi="Times New Roman" w:cs="Times New Roman"/>
          <w:sz w:val="24"/>
          <w:szCs w:val="24"/>
        </w:rPr>
        <w:t xml:space="preserve">section </w:t>
      </w:r>
      <w:r>
        <w:rPr>
          <w:rFonts w:ascii="Times New Roman" w:hAnsi="Times New Roman" w:cs="Times New Roman"/>
          <w:sz w:val="24"/>
          <w:szCs w:val="24"/>
        </w:rPr>
        <w:t>92(1)</w:t>
      </w:r>
    </w:p>
    <w:p w14:paraId="65761EA3" w14:textId="754271E5" w:rsidR="001F4D45" w:rsidRDefault="001F4D45" w:rsidP="00000AD0">
      <w:p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w:t>
      </w:r>
      <w:r w:rsidRPr="00D55383">
        <w:rPr>
          <w:rFonts w:ascii="Times New Roman" w:hAnsi="Times New Roman" w:cs="Times New Roman"/>
          <w:sz w:val="24"/>
          <w:szCs w:val="24"/>
        </w:rPr>
        <w:t>nder</w:t>
      </w:r>
      <w:bookmarkStart w:id="3" w:name="_Hlk128141819"/>
      <w:bookmarkStart w:id="4" w:name="_Hlk128145224"/>
      <w:r w:rsidRPr="00D55383">
        <w:rPr>
          <w:rFonts w:ascii="Times New Roman" w:hAnsi="Times New Roman" w:cs="Times New Roman"/>
          <w:sz w:val="24"/>
          <w:szCs w:val="24"/>
        </w:rPr>
        <w:t xml:space="preserve"> </w:t>
      </w:r>
      <w:r w:rsidRPr="00AD2B38">
        <w:rPr>
          <w:rFonts w:ascii="Times New Roman" w:hAnsi="Times New Roman" w:cs="Times New Roman"/>
          <w:sz w:val="24"/>
          <w:szCs w:val="24"/>
          <w:shd w:val="clear" w:color="auto" w:fill="FFFFFF"/>
        </w:rPr>
        <w:t xml:space="preserve">subsection </w:t>
      </w:r>
      <w:r w:rsidR="007A24DF">
        <w:rPr>
          <w:rFonts w:ascii="Times New Roman" w:hAnsi="Times New Roman" w:cs="Times New Roman"/>
          <w:sz w:val="24"/>
          <w:szCs w:val="24"/>
          <w:shd w:val="clear" w:color="auto" w:fill="FFFFFF"/>
        </w:rPr>
        <w:t>92(1)</w:t>
      </w:r>
      <w:r w:rsidRPr="00AD2B38">
        <w:rPr>
          <w:rFonts w:ascii="Times New Roman" w:hAnsi="Times New Roman" w:cs="Times New Roman"/>
          <w:sz w:val="24"/>
          <w:szCs w:val="24"/>
          <w:shd w:val="clear" w:color="auto" w:fill="FFFFFF"/>
        </w:rPr>
        <w:t xml:space="preserve"> of the</w:t>
      </w:r>
      <w:r>
        <w:rPr>
          <w:rFonts w:ascii="Times New Roman" w:hAnsi="Times New Roman" w:cs="Times New Roman"/>
          <w:sz w:val="24"/>
          <w:szCs w:val="24"/>
          <w:shd w:val="clear" w:color="auto" w:fill="FFFFFF"/>
        </w:rPr>
        <w:t xml:space="preserve"> </w:t>
      </w:r>
      <w:r w:rsidR="007A24DF">
        <w:rPr>
          <w:rFonts w:ascii="Times New Roman" w:hAnsi="Times New Roman" w:cs="Times New Roman"/>
          <w:i/>
          <w:iCs/>
          <w:sz w:val="24"/>
          <w:szCs w:val="24"/>
          <w:shd w:val="clear" w:color="auto" w:fill="FFFFFF"/>
        </w:rPr>
        <w:t>Private Health Insurance (Prudential Supervision) Act 2015</w:t>
      </w:r>
      <w:r>
        <w:rPr>
          <w:rFonts w:ascii="Times New Roman" w:hAnsi="Times New Roman" w:cs="Times New Roman"/>
          <w:i/>
          <w:iCs/>
          <w:sz w:val="24"/>
          <w:szCs w:val="24"/>
          <w:shd w:val="clear" w:color="auto" w:fill="FFFFFF"/>
        </w:rPr>
        <w:t xml:space="preserve"> </w:t>
      </w:r>
      <w:r w:rsidRPr="00AD2B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the </w:t>
      </w:r>
      <w:r w:rsidRPr="00AD2B38">
        <w:rPr>
          <w:rFonts w:ascii="Times New Roman" w:hAnsi="Times New Roman" w:cs="Times New Roman"/>
          <w:sz w:val="24"/>
          <w:szCs w:val="24"/>
          <w:shd w:val="clear" w:color="auto" w:fill="FFFFFF"/>
        </w:rPr>
        <w:t>Act),</w:t>
      </w:r>
      <w:r>
        <w:rPr>
          <w:rFonts w:ascii="Times New Roman" w:hAnsi="Times New Roman" w:cs="Times New Roman"/>
          <w:sz w:val="24"/>
          <w:szCs w:val="24"/>
          <w:shd w:val="clear" w:color="auto" w:fill="FFFFFF"/>
        </w:rPr>
        <w:t xml:space="preserve"> APRA has power to determine standards (prudential standards), in writing, in relation to prudential matters to be complied with by </w:t>
      </w:r>
      <w:r w:rsidR="007A24DF">
        <w:rPr>
          <w:rFonts w:ascii="Times New Roman" w:hAnsi="Times New Roman" w:cs="Times New Roman"/>
          <w:sz w:val="24"/>
          <w:szCs w:val="24"/>
          <w:shd w:val="clear" w:color="auto" w:fill="FFFFFF"/>
        </w:rPr>
        <w:t>private health insurers</w:t>
      </w:r>
      <w:r>
        <w:rPr>
          <w:rFonts w:ascii="Times New Roman" w:hAnsi="Times New Roman" w:cs="Times New Roman"/>
          <w:sz w:val="24"/>
          <w:szCs w:val="24"/>
          <w:shd w:val="clear" w:color="auto" w:fill="FFFFFF"/>
        </w:rPr>
        <w:t>.</w:t>
      </w:r>
      <w:bookmarkEnd w:id="3"/>
      <w:bookmarkEnd w:id="4"/>
      <w:r w:rsidRPr="00FC071B">
        <w:rPr>
          <w:rFonts w:ascii="Times New Roman" w:hAnsi="Times New Roman" w:cs="Times New Roman"/>
          <w:sz w:val="24"/>
          <w:szCs w:val="24"/>
        </w:rPr>
        <w:t xml:space="preserve"> </w:t>
      </w:r>
      <w:r>
        <w:rPr>
          <w:rFonts w:ascii="Times New Roman" w:hAnsi="Times New Roman" w:cs="Times New Roman"/>
          <w:sz w:val="24"/>
          <w:szCs w:val="24"/>
        </w:rPr>
        <w:t xml:space="preserve">Under subsection </w:t>
      </w:r>
      <w:r w:rsidR="004636CE">
        <w:rPr>
          <w:rFonts w:ascii="Times New Roman" w:hAnsi="Times New Roman" w:cs="Times New Roman"/>
          <w:sz w:val="24"/>
          <w:szCs w:val="24"/>
        </w:rPr>
        <w:t>92</w:t>
      </w:r>
      <w:r>
        <w:rPr>
          <w:rFonts w:ascii="Times New Roman" w:hAnsi="Times New Roman" w:cs="Times New Roman"/>
          <w:sz w:val="24"/>
          <w:szCs w:val="24"/>
        </w:rPr>
        <w:t xml:space="preserve">(5) of the Act, APRA may, in writing, vary or revoke a prudential standard. </w:t>
      </w:r>
    </w:p>
    <w:p w14:paraId="740CF691" w14:textId="1872BEF2" w:rsidR="00903D57" w:rsidRPr="00E635EF" w:rsidRDefault="004A6EA1"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 </w:t>
      </w:r>
      <w:r w:rsidR="004D3333">
        <w:rPr>
          <w:rFonts w:ascii="Times New Roman" w:hAnsi="Times New Roman" w:cs="Times New Roman"/>
          <w:sz w:val="24"/>
          <w:szCs w:val="24"/>
        </w:rPr>
        <w:t>24 May 2023</w:t>
      </w:r>
      <w:r w:rsidR="00903D57">
        <w:rPr>
          <w:rFonts w:ascii="Times New Roman" w:hAnsi="Times New Roman" w:cs="Times New Roman"/>
          <w:sz w:val="24"/>
          <w:szCs w:val="24"/>
        </w:rPr>
        <w:t xml:space="preserve">, APRA made </w:t>
      </w:r>
      <w:bookmarkStart w:id="5" w:name="_Hlk133234986"/>
      <w:r w:rsidR="00903D57" w:rsidRPr="00E635EF">
        <w:rPr>
          <w:rFonts w:ascii="Times New Roman" w:hAnsi="Times New Roman" w:cs="Times New Roman"/>
          <w:sz w:val="24"/>
          <w:szCs w:val="24"/>
        </w:rPr>
        <w:t>Health Insurance (prudential standard) determination No. 1 of 2023</w:t>
      </w:r>
      <w:bookmarkEnd w:id="5"/>
      <w:r w:rsidR="00E635EF">
        <w:rPr>
          <w:rFonts w:ascii="Times New Roman" w:hAnsi="Times New Roman" w:cs="Times New Roman"/>
          <w:sz w:val="24"/>
          <w:szCs w:val="24"/>
        </w:rPr>
        <w:t xml:space="preserve"> (the instrument)</w:t>
      </w:r>
      <w:r w:rsidR="00F603DE" w:rsidRPr="00E635EF">
        <w:rPr>
          <w:rFonts w:ascii="Times New Roman" w:hAnsi="Times New Roman" w:cs="Times New Roman"/>
          <w:sz w:val="24"/>
          <w:szCs w:val="24"/>
        </w:rPr>
        <w:t>,</w:t>
      </w:r>
      <w:r w:rsidR="00903D57" w:rsidRPr="00E635EF">
        <w:rPr>
          <w:rFonts w:ascii="Times New Roman" w:hAnsi="Times New Roman" w:cs="Times New Roman"/>
          <w:sz w:val="24"/>
          <w:szCs w:val="24"/>
        </w:rPr>
        <w:t xml:space="preserve"> </w:t>
      </w:r>
      <w:bookmarkStart w:id="6" w:name="_Hlk133228263"/>
      <w:r w:rsidR="00903D57" w:rsidRPr="00E635EF">
        <w:rPr>
          <w:rFonts w:ascii="Times New Roman" w:hAnsi="Times New Roman" w:cs="Times New Roman"/>
          <w:sz w:val="24"/>
          <w:szCs w:val="24"/>
        </w:rPr>
        <w:t xml:space="preserve">which revokes </w:t>
      </w:r>
      <w:r w:rsidR="00903D57" w:rsidRPr="00E635EF">
        <w:rPr>
          <w:rFonts w:ascii="Times New Roman" w:hAnsi="Times New Roman" w:cs="Times New Roman"/>
          <w:i/>
          <w:sz w:val="24"/>
          <w:szCs w:val="24"/>
        </w:rPr>
        <w:t>Prudential Standard HPS 001 Definitions</w:t>
      </w:r>
      <w:r w:rsidR="00903D57" w:rsidRPr="00E635EF">
        <w:rPr>
          <w:rFonts w:ascii="Times New Roman" w:hAnsi="Times New Roman" w:cs="Times New Roman"/>
          <w:sz w:val="24"/>
          <w:szCs w:val="24"/>
        </w:rPr>
        <w:t xml:space="preserve"> made under </w:t>
      </w:r>
      <w:r w:rsidR="00691C77" w:rsidRPr="00E635EF">
        <w:rPr>
          <w:rFonts w:ascii="Times New Roman" w:hAnsi="Times New Roman" w:cs="Times New Roman"/>
          <w:sz w:val="24"/>
          <w:szCs w:val="24"/>
        </w:rPr>
        <w:t xml:space="preserve">Health </w:t>
      </w:r>
      <w:r w:rsidR="00903D57" w:rsidRPr="00E635EF">
        <w:rPr>
          <w:rFonts w:ascii="Times New Roman" w:hAnsi="Times New Roman" w:cs="Times New Roman"/>
          <w:sz w:val="24"/>
          <w:szCs w:val="24"/>
        </w:rPr>
        <w:t>Insurance determination No. 1 of 20</w:t>
      </w:r>
      <w:r w:rsidR="00691C77" w:rsidRPr="00E635EF">
        <w:rPr>
          <w:rFonts w:ascii="Times New Roman" w:hAnsi="Times New Roman" w:cs="Times New Roman"/>
          <w:sz w:val="24"/>
          <w:szCs w:val="24"/>
        </w:rPr>
        <w:t>22</w:t>
      </w:r>
      <w:r w:rsidR="00903D57" w:rsidRPr="00E635EF">
        <w:rPr>
          <w:rFonts w:ascii="Times New Roman" w:hAnsi="Times New Roman" w:cs="Times New Roman"/>
          <w:sz w:val="24"/>
          <w:szCs w:val="24"/>
        </w:rPr>
        <w:t xml:space="preserve"> and determines a new </w:t>
      </w:r>
      <w:r w:rsidR="00903D57" w:rsidRPr="00E635EF">
        <w:rPr>
          <w:rFonts w:ascii="Times New Roman" w:hAnsi="Times New Roman" w:cs="Times New Roman"/>
          <w:i/>
          <w:sz w:val="24"/>
          <w:szCs w:val="24"/>
        </w:rPr>
        <w:t>Prudential Standard HPS 001 Definitions</w:t>
      </w:r>
      <w:bookmarkEnd w:id="6"/>
      <w:r w:rsidR="007E3348">
        <w:rPr>
          <w:rFonts w:ascii="Times New Roman" w:hAnsi="Times New Roman" w:cs="Times New Roman"/>
          <w:sz w:val="24"/>
          <w:szCs w:val="24"/>
        </w:rPr>
        <w:t xml:space="preserve"> (HPS 001)</w:t>
      </w:r>
      <w:r w:rsidR="00E635EF">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5E020B37"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F636DE">
        <w:rPr>
          <w:rFonts w:ascii="Times New Roman" w:hAnsi="Times New Roman" w:cs="Times New Roman"/>
          <w:sz w:val="24"/>
          <w:szCs w:val="24"/>
        </w:rPr>
        <w:t>o</w:t>
      </w:r>
      <w:r w:rsidR="00147586">
        <w:rPr>
          <w:rFonts w:ascii="Times New Roman" w:hAnsi="Times New Roman" w:cs="Times New Roman"/>
          <w:sz w:val="24"/>
          <w:szCs w:val="24"/>
        </w:rPr>
        <w:t>f</w:t>
      </w:r>
      <w:r w:rsidR="00F636DE">
        <w:rPr>
          <w:rFonts w:ascii="Times New Roman" w:hAnsi="Times New Roman" w:cs="Times New Roman"/>
          <w:sz w:val="24"/>
          <w:szCs w:val="24"/>
        </w:rPr>
        <w:t>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Contracts (AASB 17). This ensures alignment between he prudential and accounting </w:t>
      </w:r>
      <w:r>
        <w:rPr>
          <w:rFonts w:ascii="Times New Roman" w:hAnsi="Times New Roman" w:cs="Times New Roman"/>
          <w:sz w:val="24"/>
          <w:szCs w:val="24"/>
        </w:rPr>
        <w:lastRenderedPageBreak/>
        <w:t xml:space="preserve">requirements and reduces cost and complexity for industry from otherwise needing to manage and report on diverging frameworks. </w:t>
      </w:r>
    </w:p>
    <w:p w14:paraId="349A167C" w14:textId="4E824400" w:rsidR="00211AFD" w:rsidRPr="00512D0B" w:rsidRDefault="00B670E9" w:rsidP="00A540EB">
      <w:pPr>
        <w:numPr>
          <w:ilvl w:val="0"/>
          <w:numId w:val="0"/>
        </w:numPr>
        <w:rPr>
          <w:rFonts w:ascii="Times New Roman" w:hAnsi="Times New Roman" w:cs="Times New Roman"/>
          <w:b/>
          <w:sz w:val="24"/>
          <w:szCs w:val="24"/>
        </w:rPr>
      </w:pPr>
      <w:r w:rsidRPr="00512D0B">
        <w:rPr>
          <w:rFonts w:ascii="Times New Roman" w:hAnsi="Times New Roman" w:cs="Times New Roman"/>
          <w:b/>
          <w:sz w:val="24"/>
          <w:szCs w:val="24"/>
        </w:rPr>
        <w:t>2.</w:t>
      </w:r>
      <w:r w:rsidRPr="00512D0B">
        <w:rPr>
          <w:rFonts w:ascii="Times New Roman" w:hAnsi="Times New Roman" w:cs="Times New Roman"/>
          <w:b/>
          <w:sz w:val="24"/>
          <w:szCs w:val="24"/>
        </w:rPr>
        <w:tab/>
      </w:r>
      <w:r w:rsidR="00211AFD" w:rsidRPr="00512D0B">
        <w:rPr>
          <w:rFonts w:ascii="Times New Roman" w:hAnsi="Times New Roman" w:cs="Times New Roman"/>
          <w:b/>
          <w:sz w:val="24"/>
          <w:szCs w:val="24"/>
        </w:rPr>
        <w:t xml:space="preserve">Purpose and operation of the instrument </w:t>
      </w:r>
    </w:p>
    <w:p w14:paraId="5C8DADAA" w14:textId="770895A6" w:rsidR="00947280" w:rsidRPr="00512D0B" w:rsidRDefault="00947280" w:rsidP="00A540EB">
      <w:pPr>
        <w:numPr>
          <w:ilvl w:val="0"/>
          <w:numId w:val="0"/>
        </w:numPr>
        <w:rPr>
          <w:rFonts w:ascii="Times New Roman" w:hAnsi="Times New Roman" w:cs="Times New Roman"/>
          <w:sz w:val="24"/>
          <w:szCs w:val="24"/>
        </w:rPr>
      </w:pPr>
      <w:r w:rsidRPr="00512D0B">
        <w:rPr>
          <w:rFonts w:ascii="Times New Roman" w:hAnsi="Times New Roman" w:cs="Times New Roman"/>
          <w:sz w:val="24"/>
          <w:szCs w:val="24"/>
        </w:rPr>
        <w:t>The purpose of th</w:t>
      </w:r>
      <w:r w:rsidR="00154695" w:rsidRPr="00512D0B">
        <w:rPr>
          <w:rFonts w:ascii="Times New Roman" w:hAnsi="Times New Roman" w:cs="Times New Roman"/>
          <w:sz w:val="24"/>
          <w:szCs w:val="24"/>
        </w:rPr>
        <w:t>e</w:t>
      </w:r>
      <w:r w:rsidRPr="00512D0B">
        <w:rPr>
          <w:rFonts w:ascii="Times New Roman" w:hAnsi="Times New Roman" w:cs="Times New Roman"/>
          <w:sz w:val="24"/>
          <w:szCs w:val="24"/>
        </w:rPr>
        <w:t xml:space="preserve"> instrument is to revoke HPS 001 and replace it with a new version of HPS 001.</w:t>
      </w:r>
      <w:r w:rsidR="007E3348" w:rsidRPr="00512D0B">
        <w:rPr>
          <w:rFonts w:ascii="Times New Roman" w:hAnsi="Times New Roman" w:cs="Times New Roman"/>
          <w:sz w:val="24"/>
          <w:szCs w:val="24"/>
        </w:rPr>
        <w:t xml:space="preserve"> </w:t>
      </w:r>
      <w:r w:rsidRPr="00512D0B">
        <w:rPr>
          <w:rFonts w:ascii="Times New Roman" w:hAnsi="Times New Roman" w:cs="Times New Roman"/>
          <w:sz w:val="24"/>
          <w:szCs w:val="24"/>
        </w:rPr>
        <w:t xml:space="preserve">HPS 001 has been updated to include new defined terms referred to in other prudential standards appliable to private health insurers. </w:t>
      </w:r>
    </w:p>
    <w:p w14:paraId="5675BB74" w14:textId="77777777" w:rsidR="00C468B0" w:rsidRPr="00512D0B" w:rsidRDefault="00C468B0" w:rsidP="00C468B0">
      <w:pPr>
        <w:pStyle w:val="Heading5"/>
        <w:rPr>
          <w:rFonts w:ascii="Times New Roman" w:hAnsi="Times New Roman" w:cs="Times New Roman"/>
          <w:i/>
          <w:sz w:val="24"/>
          <w:szCs w:val="24"/>
        </w:rPr>
      </w:pPr>
      <w:r w:rsidRPr="00512D0B">
        <w:rPr>
          <w:rFonts w:ascii="Times New Roman" w:hAnsi="Times New Roman" w:cs="Times New Roman"/>
          <w:i/>
          <w:sz w:val="24"/>
          <w:szCs w:val="24"/>
        </w:rPr>
        <w:t>Documents incorporated by reference</w:t>
      </w:r>
    </w:p>
    <w:p w14:paraId="7DA5394A" w14:textId="77777777" w:rsidR="00C468B0" w:rsidRPr="00512D0B" w:rsidRDefault="00C468B0" w:rsidP="00C468B0">
      <w:pPr>
        <w:rPr>
          <w:rFonts w:ascii="Times New Roman" w:hAnsi="Times New Roman" w:cs="Times New Roman"/>
          <w:sz w:val="24"/>
          <w:szCs w:val="24"/>
        </w:rPr>
      </w:pPr>
      <w:r w:rsidRPr="00512D0B">
        <w:rPr>
          <w:rFonts w:ascii="Times New Roman" w:hAnsi="Times New Roman" w:cs="Times New Roman"/>
          <w:sz w:val="24"/>
          <w:szCs w:val="24"/>
        </w:rPr>
        <w:t xml:space="preserve">Under paragraph 14(1)(a) of the </w:t>
      </w:r>
      <w:r w:rsidRPr="00512D0B">
        <w:rPr>
          <w:rFonts w:ascii="Times New Roman" w:hAnsi="Times New Roman" w:cs="Times New Roman"/>
          <w:i/>
          <w:sz w:val="24"/>
          <w:szCs w:val="24"/>
        </w:rPr>
        <w:t>Legislation Act 2003</w:t>
      </w:r>
      <w:r w:rsidRPr="00512D0B">
        <w:rPr>
          <w:rFonts w:ascii="Times New Roman" w:hAnsi="Times New Roman" w:cs="Times New Roman"/>
          <w:sz w:val="24"/>
          <w:szCs w:val="24"/>
        </w:rPr>
        <w:t xml:space="preserve">, the prudential standard incorporates by reference as in force from time to time: </w:t>
      </w:r>
    </w:p>
    <w:p w14:paraId="4693B827" w14:textId="77777777" w:rsidR="00C468B0" w:rsidRPr="00512D0B" w:rsidRDefault="00C468B0" w:rsidP="00C468B0">
      <w:pPr>
        <w:numPr>
          <w:ilvl w:val="0"/>
          <w:numId w:val="24"/>
        </w:numPr>
        <w:rPr>
          <w:rFonts w:ascii="Times New Roman" w:hAnsi="Times New Roman" w:cs="Times New Roman"/>
          <w:sz w:val="24"/>
          <w:szCs w:val="24"/>
        </w:rPr>
      </w:pPr>
      <w:r w:rsidRPr="00512D0B">
        <w:rPr>
          <w:rFonts w:ascii="Times New Roman" w:hAnsi="Times New Roman" w:cs="Times New Roman"/>
          <w:sz w:val="24"/>
          <w:szCs w:val="24"/>
        </w:rPr>
        <w:t xml:space="preserve">Acts of Parliament and associated delegated </w:t>
      </w:r>
      <w:proofErr w:type="gramStart"/>
      <w:r w:rsidRPr="00512D0B">
        <w:rPr>
          <w:rFonts w:ascii="Times New Roman" w:hAnsi="Times New Roman" w:cs="Times New Roman"/>
          <w:sz w:val="24"/>
          <w:szCs w:val="24"/>
        </w:rPr>
        <w:t>legislation;</w:t>
      </w:r>
      <w:proofErr w:type="gramEnd"/>
    </w:p>
    <w:p w14:paraId="2C0C9C24" w14:textId="77777777" w:rsidR="00C468B0" w:rsidRPr="00512D0B" w:rsidRDefault="00C468B0" w:rsidP="00C468B0">
      <w:pPr>
        <w:numPr>
          <w:ilvl w:val="0"/>
          <w:numId w:val="24"/>
        </w:numPr>
        <w:rPr>
          <w:rFonts w:ascii="Times New Roman" w:hAnsi="Times New Roman" w:cs="Times New Roman"/>
          <w:sz w:val="24"/>
          <w:szCs w:val="24"/>
        </w:rPr>
      </w:pPr>
      <w:r w:rsidRPr="00512D0B">
        <w:rPr>
          <w:rFonts w:ascii="Times New Roman" w:hAnsi="Times New Roman" w:cs="Times New Roman"/>
          <w:sz w:val="24"/>
          <w:szCs w:val="24"/>
        </w:rPr>
        <w:t xml:space="preserve">Prudential Standards determined by APRA under: </w:t>
      </w:r>
    </w:p>
    <w:p w14:paraId="7ACEE119" w14:textId="77777777" w:rsidR="00C468B0" w:rsidRPr="00512D0B" w:rsidRDefault="00C468B0" w:rsidP="00C468B0">
      <w:pPr>
        <w:numPr>
          <w:ilvl w:val="1"/>
          <w:numId w:val="24"/>
        </w:numPr>
        <w:rPr>
          <w:rFonts w:ascii="Times New Roman" w:hAnsi="Times New Roman" w:cs="Times New Roman"/>
          <w:sz w:val="24"/>
          <w:szCs w:val="24"/>
        </w:rPr>
      </w:pPr>
      <w:r w:rsidRPr="00512D0B">
        <w:rPr>
          <w:rFonts w:ascii="Times New Roman" w:hAnsi="Times New Roman" w:cs="Times New Roman"/>
          <w:sz w:val="24"/>
          <w:szCs w:val="24"/>
        </w:rPr>
        <w:t>subsection 11</w:t>
      </w:r>
      <w:proofErr w:type="gramStart"/>
      <w:r w:rsidRPr="00512D0B">
        <w:rPr>
          <w:rFonts w:ascii="Times New Roman" w:hAnsi="Times New Roman" w:cs="Times New Roman"/>
          <w:sz w:val="24"/>
          <w:szCs w:val="24"/>
        </w:rPr>
        <w:t>AF(</w:t>
      </w:r>
      <w:proofErr w:type="gramEnd"/>
      <w:r w:rsidRPr="00512D0B">
        <w:rPr>
          <w:rFonts w:ascii="Times New Roman" w:hAnsi="Times New Roman" w:cs="Times New Roman"/>
          <w:sz w:val="24"/>
          <w:szCs w:val="24"/>
        </w:rPr>
        <w:t>1) of the</w:t>
      </w:r>
      <w:r w:rsidRPr="00512D0B">
        <w:rPr>
          <w:rFonts w:ascii="Times New Roman" w:hAnsi="Times New Roman" w:cs="Times New Roman"/>
          <w:i/>
          <w:iCs/>
          <w:sz w:val="24"/>
          <w:szCs w:val="24"/>
        </w:rPr>
        <w:t> Banking Act 1959</w:t>
      </w:r>
      <w:r w:rsidRPr="00512D0B">
        <w:rPr>
          <w:rFonts w:ascii="Times New Roman" w:hAnsi="Times New Roman" w:cs="Times New Roman"/>
          <w:iCs/>
          <w:sz w:val="24"/>
          <w:szCs w:val="24"/>
        </w:rPr>
        <w:t>;</w:t>
      </w:r>
    </w:p>
    <w:p w14:paraId="6D9E7BFB" w14:textId="77777777" w:rsidR="00C468B0" w:rsidRPr="00512D0B" w:rsidRDefault="00C468B0" w:rsidP="00C468B0">
      <w:pPr>
        <w:numPr>
          <w:ilvl w:val="1"/>
          <w:numId w:val="24"/>
        </w:numPr>
        <w:rPr>
          <w:rFonts w:ascii="Times New Roman" w:hAnsi="Times New Roman" w:cs="Times New Roman"/>
          <w:sz w:val="24"/>
          <w:szCs w:val="24"/>
        </w:rPr>
      </w:pPr>
      <w:r w:rsidRPr="00512D0B">
        <w:rPr>
          <w:rFonts w:ascii="Times New Roman" w:hAnsi="Times New Roman" w:cs="Times New Roman"/>
          <w:sz w:val="24"/>
          <w:szCs w:val="24"/>
        </w:rPr>
        <w:t>subsection 32(1) of the </w:t>
      </w:r>
      <w:r w:rsidRPr="00512D0B">
        <w:rPr>
          <w:rFonts w:ascii="Times New Roman" w:hAnsi="Times New Roman" w:cs="Times New Roman"/>
          <w:i/>
          <w:iCs/>
          <w:sz w:val="24"/>
          <w:szCs w:val="24"/>
        </w:rPr>
        <w:t xml:space="preserve">Insurance Act </w:t>
      </w:r>
      <w:proofErr w:type="gramStart"/>
      <w:r w:rsidRPr="00512D0B">
        <w:rPr>
          <w:rFonts w:ascii="Times New Roman" w:hAnsi="Times New Roman" w:cs="Times New Roman"/>
          <w:i/>
          <w:iCs/>
          <w:sz w:val="24"/>
          <w:szCs w:val="24"/>
        </w:rPr>
        <w:t>1973</w:t>
      </w:r>
      <w:r w:rsidRPr="00512D0B">
        <w:rPr>
          <w:rFonts w:ascii="Times New Roman" w:hAnsi="Times New Roman" w:cs="Times New Roman"/>
          <w:sz w:val="24"/>
          <w:szCs w:val="24"/>
        </w:rPr>
        <w:t>;</w:t>
      </w:r>
      <w:proofErr w:type="gramEnd"/>
    </w:p>
    <w:p w14:paraId="74074EC8" w14:textId="77777777" w:rsidR="00C468B0" w:rsidRPr="00512D0B" w:rsidRDefault="00C468B0" w:rsidP="00C468B0">
      <w:pPr>
        <w:numPr>
          <w:ilvl w:val="1"/>
          <w:numId w:val="24"/>
        </w:numPr>
        <w:rPr>
          <w:rFonts w:ascii="Times New Roman" w:hAnsi="Times New Roman" w:cs="Times New Roman"/>
          <w:sz w:val="24"/>
          <w:szCs w:val="24"/>
        </w:rPr>
      </w:pPr>
      <w:r w:rsidRPr="00512D0B">
        <w:rPr>
          <w:rFonts w:ascii="Times New Roman" w:hAnsi="Times New Roman" w:cs="Times New Roman"/>
          <w:sz w:val="24"/>
          <w:szCs w:val="24"/>
        </w:rPr>
        <w:t>subsection 230</w:t>
      </w:r>
      <w:proofErr w:type="gramStart"/>
      <w:r w:rsidRPr="00512D0B">
        <w:rPr>
          <w:rFonts w:ascii="Times New Roman" w:hAnsi="Times New Roman" w:cs="Times New Roman"/>
          <w:sz w:val="24"/>
          <w:szCs w:val="24"/>
        </w:rPr>
        <w:t>A(</w:t>
      </w:r>
      <w:proofErr w:type="gramEnd"/>
      <w:r w:rsidRPr="00512D0B">
        <w:rPr>
          <w:rFonts w:ascii="Times New Roman" w:hAnsi="Times New Roman" w:cs="Times New Roman"/>
          <w:sz w:val="24"/>
          <w:szCs w:val="24"/>
        </w:rPr>
        <w:t>1) of the </w:t>
      </w:r>
      <w:r w:rsidRPr="00512D0B">
        <w:rPr>
          <w:rFonts w:ascii="Times New Roman" w:hAnsi="Times New Roman" w:cs="Times New Roman"/>
          <w:i/>
          <w:iCs/>
          <w:sz w:val="24"/>
          <w:szCs w:val="24"/>
        </w:rPr>
        <w:t>Life Insurance Act 1995</w:t>
      </w:r>
      <w:r w:rsidRPr="00512D0B">
        <w:rPr>
          <w:rFonts w:ascii="Times New Roman" w:hAnsi="Times New Roman" w:cs="Times New Roman"/>
          <w:iCs/>
          <w:sz w:val="24"/>
          <w:szCs w:val="24"/>
        </w:rPr>
        <w:t>; and</w:t>
      </w:r>
    </w:p>
    <w:p w14:paraId="57663F92" w14:textId="77777777" w:rsidR="00C468B0" w:rsidRPr="00512D0B" w:rsidRDefault="00C468B0" w:rsidP="00C468B0">
      <w:pPr>
        <w:numPr>
          <w:ilvl w:val="1"/>
          <w:numId w:val="24"/>
        </w:numPr>
        <w:rPr>
          <w:rFonts w:ascii="Times New Roman" w:hAnsi="Times New Roman" w:cs="Times New Roman"/>
          <w:sz w:val="24"/>
          <w:szCs w:val="24"/>
        </w:rPr>
      </w:pPr>
      <w:r w:rsidRPr="00512D0B">
        <w:rPr>
          <w:rFonts w:ascii="Times New Roman" w:hAnsi="Times New Roman" w:cs="Times New Roman"/>
          <w:sz w:val="24"/>
          <w:szCs w:val="24"/>
        </w:rPr>
        <w:t> subsection 92(1) of the </w:t>
      </w:r>
      <w:r w:rsidRPr="00512D0B">
        <w:rPr>
          <w:rFonts w:ascii="Times New Roman" w:hAnsi="Times New Roman" w:cs="Times New Roman"/>
          <w:i/>
          <w:iCs/>
          <w:sz w:val="24"/>
          <w:szCs w:val="24"/>
        </w:rPr>
        <w:t>Private Health Insurance (Prudential Supervision) Act 2015</w:t>
      </w:r>
      <w:r w:rsidRPr="00512D0B">
        <w:rPr>
          <w:rFonts w:ascii="Times New Roman" w:hAnsi="Times New Roman" w:cs="Times New Roman"/>
          <w:iCs/>
          <w:sz w:val="24"/>
          <w:szCs w:val="24"/>
        </w:rPr>
        <w:t>; and</w:t>
      </w:r>
    </w:p>
    <w:p w14:paraId="08A1BA0E" w14:textId="77777777" w:rsidR="00C468B0" w:rsidRPr="00512D0B" w:rsidRDefault="00C468B0" w:rsidP="00C468B0">
      <w:pPr>
        <w:numPr>
          <w:ilvl w:val="0"/>
          <w:numId w:val="24"/>
        </w:numPr>
        <w:rPr>
          <w:rFonts w:ascii="Times New Roman" w:hAnsi="Times New Roman" w:cs="Times New Roman"/>
          <w:sz w:val="24"/>
          <w:szCs w:val="24"/>
        </w:rPr>
      </w:pPr>
      <w:r w:rsidRPr="00512D0B">
        <w:rPr>
          <w:rFonts w:ascii="Times New Roman" w:hAnsi="Times New Roman" w:cs="Times New Roman"/>
          <w:sz w:val="24"/>
          <w:szCs w:val="24"/>
        </w:rPr>
        <w:t xml:space="preserve">Reporting Standards determined by APRA under subsection 13(1) of the </w:t>
      </w:r>
      <w:proofErr w:type="gramStart"/>
      <w:r w:rsidRPr="00512D0B">
        <w:rPr>
          <w:rFonts w:ascii="Times New Roman" w:hAnsi="Times New Roman" w:cs="Times New Roman"/>
          <w:sz w:val="24"/>
          <w:szCs w:val="24"/>
        </w:rPr>
        <w:t>Act</w:t>
      </w:r>
      <w:r w:rsidRPr="00512D0B">
        <w:rPr>
          <w:rFonts w:ascii="Times New Roman" w:hAnsi="Times New Roman" w:cs="Times New Roman"/>
          <w:iCs/>
          <w:sz w:val="24"/>
          <w:szCs w:val="24"/>
          <w:lang w:val="en-US"/>
        </w:rPr>
        <w:t>;</w:t>
      </w:r>
      <w:proofErr w:type="gramEnd"/>
    </w:p>
    <w:p w14:paraId="3F6B61C9" w14:textId="77777777" w:rsidR="00C468B0" w:rsidRPr="00512D0B" w:rsidRDefault="00C468B0" w:rsidP="00C468B0">
      <w:pPr>
        <w:numPr>
          <w:ilvl w:val="0"/>
          <w:numId w:val="24"/>
        </w:numPr>
        <w:rPr>
          <w:rFonts w:ascii="Times New Roman" w:hAnsi="Times New Roman" w:cs="Times New Roman"/>
          <w:i/>
          <w:iCs/>
          <w:sz w:val="24"/>
          <w:szCs w:val="24"/>
        </w:rPr>
      </w:pPr>
      <w:r w:rsidRPr="00512D0B">
        <w:rPr>
          <w:rFonts w:ascii="Times New Roman" w:hAnsi="Times New Roman" w:cs="Times New Roman"/>
          <w:sz w:val="24"/>
          <w:szCs w:val="24"/>
        </w:rPr>
        <w:t xml:space="preserve">the Australian Accounting Standards determined by the Australian Accounting Standards Board under section 334 of the </w:t>
      </w:r>
      <w:r w:rsidRPr="00512D0B">
        <w:rPr>
          <w:rFonts w:ascii="Times New Roman" w:hAnsi="Times New Roman" w:cs="Times New Roman"/>
          <w:i/>
          <w:iCs/>
          <w:sz w:val="24"/>
          <w:szCs w:val="24"/>
        </w:rPr>
        <w:t xml:space="preserve">Corporations Act 2001 </w:t>
      </w:r>
      <w:r w:rsidRPr="00512D0B">
        <w:rPr>
          <w:rFonts w:ascii="Times New Roman" w:hAnsi="Times New Roman" w:cs="Times New Roman"/>
          <w:sz w:val="24"/>
          <w:szCs w:val="24"/>
        </w:rPr>
        <w:t>(</w:t>
      </w:r>
      <w:proofErr w:type="spellStart"/>
      <w:r w:rsidRPr="00512D0B">
        <w:rPr>
          <w:rFonts w:ascii="Times New Roman" w:hAnsi="Times New Roman" w:cs="Times New Roman"/>
          <w:sz w:val="24"/>
          <w:szCs w:val="24"/>
        </w:rPr>
        <w:t>Cth</w:t>
      </w:r>
      <w:proofErr w:type="spellEnd"/>
      <w:r w:rsidRPr="00512D0B">
        <w:rPr>
          <w:rFonts w:ascii="Times New Roman" w:hAnsi="Times New Roman" w:cs="Times New Roman"/>
          <w:sz w:val="24"/>
          <w:szCs w:val="24"/>
        </w:rPr>
        <w:t>); and</w:t>
      </w:r>
    </w:p>
    <w:p w14:paraId="1593266D" w14:textId="77777777" w:rsidR="00C468B0" w:rsidRPr="00512D0B" w:rsidRDefault="00C468B0" w:rsidP="00C468B0">
      <w:pPr>
        <w:numPr>
          <w:ilvl w:val="0"/>
          <w:numId w:val="24"/>
        </w:numPr>
        <w:rPr>
          <w:rFonts w:ascii="Times New Roman" w:hAnsi="Times New Roman" w:cs="Times New Roman"/>
          <w:i/>
          <w:iCs/>
          <w:sz w:val="24"/>
          <w:szCs w:val="24"/>
        </w:rPr>
      </w:pPr>
      <w:r w:rsidRPr="00512D0B">
        <w:rPr>
          <w:rFonts w:ascii="Times New Roman" w:hAnsi="Times New Roman" w:cs="Times New Roman"/>
          <w:sz w:val="24"/>
          <w:szCs w:val="24"/>
        </w:rPr>
        <w:t xml:space="preserve">the Australian Auditing Standards determined by the Auditing and Assurance Standards Board under section 336 of the </w:t>
      </w:r>
      <w:r w:rsidRPr="00512D0B">
        <w:rPr>
          <w:rFonts w:ascii="Times New Roman" w:hAnsi="Times New Roman" w:cs="Times New Roman"/>
          <w:i/>
          <w:sz w:val="24"/>
          <w:szCs w:val="24"/>
        </w:rPr>
        <w:t>Corporations Act 2001</w:t>
      </w:r>
      <w:r w:rsidRPr="00512D0B">
        <w:rPr>
          <w:rFonts w:ascii="Times New Roman" w:hAnsi="Times New Roman" w:cs="Times New Roman"/>
          <w:sz w:val="24"/>
          <w:szCs w:val="24"/>
        </w:rPr>
        <w:t xml:space="preserve"> (</w:t>
      </w:r>
      <w:proofErr w:type="spellStart"/>
      <w:r w:rsidRPr="00512D0B">
        <w:rPr>
          <w:rFonts w:ascii="Times New Roman" w:hAnsi="Times New Roman" w:cs="Times New Roman"/>
          <w:sz w:val="24"/>
          <w:szCs w:val="24"/>
        </w:rPr>
        <w:t>Cth</w:t>
      </w:r>
      <w:proofErr w:type="spellEnd"/>
      <w:r w:rsidRPr="00512D0B">
        <w:rPr>
          <w:rFonts w:ascii="Times New Roman" w:hAnsi="Times New Roman" w:cs="Times New Roman"/>
          <w:sz w:val="24"/>
          <w:szCs w:val="24"/>
        </w:rPr>
        <w:t>).</w:t>
      </w:r>
    </w:p>
    <w:p w14:paraId="4935E53C" w14:textId="77777777" w:rsidR="00C468B0" w:rsidRPr="00512D0B" w:rsidRDefault="00C468B0" w:rsidP="00C468B0">
      <w:pPr>
        <w:numPr>
          <w:ilvl w:val="0"/>
          <w:numId w:val="0"/>
        </w:numPr>
        <w:rPr>
          <w:rFonts w:ascii="Times New Roman" w:hAnsi="Times New Roman" w:cs="Times New Roman"/>
          <w:sz w:val="24"/>
          <w:szCs w:val="24"/>
        </w:rPr>
      </w:pPr>
      <w:r w:rsidRPr="00512D0B">
        <w:rPr>
          <w:rFonts w:ascii="Times New Roman" w:hAnsi="Times New Roman" w:cs="Times New Roman"/>
          <w:sz w:val="24"/>
          <w:szCs w:val="24"/>
        </w:rPr>
        <w:t xml:space="preserve">These documents may be freely obtained at </w:t>
      </w:r>
      <w:hyperlink r:id="rId11" w:history="1">
        <w:r w:rsidRPr="00512D0B">
          <w:rPr>
            <w:rStyle w:val="Hyperlink"/>
            <w:rFonts w:ascii="Times New Roman" w:hAnsi="Times New Roman" w:cs="Times New Roman"/>
            <w:sz w:val="24"/>
            <w:szCs w:val="24"/>
          </w:rPr>
          <w:t>www.legislation.gov.au</w:t>
        </w:r>
      </w:hyperlink>
      <w:r w:rsidRPr="00512D0B">
        <w:rPr>
          <w:rFonts w:ascii="Times New Roman" w:hAnsi="Times New Roman" w:cs="Times New Roman"/>
          <w:sz w:val="24"/>
          <w:szCs w:val="24"/>
        </w:rPr>
        <w:t xml:space="preserve"> (all documents listed above except for Australian Accounting and Auditing Standards), </w:t>
      </w:r>
      <w:hyperlink r:id="rId12" w:history="1">
        <w:r w:rsidRPr="00512D0B">
          <w:rPr>
            <w:rStyle w:val="Hyperlink"/>
            <w:rFonts w:ascii="Times New Roman" w:hAnsi="Times New Roman" w:cs="Times New Roman"/>
            <w:sz w:val="24"/>
            <w:szCs w:val="24"/>
          </w:rPr>
          <w:t>https://www.aasb.gov.au/pronouncements/accounting-standards/</w:t>
        </w:r>
      </w:hyperlink>
      <w:r w:rsidRPr="00512D0B">
        <w:rPr>
          <w:rFonts w:ascii="Times New Roman" w:hAnsi="Times New Roman" w:cs="Times New Roman"/>
          <w:sz w:val="24"/>
          <w:szCs w:val="24"/>
        </w:rPr>
        <w:t xml:space="preserve"> (Australian Accounting Standards) and </w:t>
      </w:r>
      <w:hyperlink r:id="rId13" w:history="1">
        <w:r w:rsidRPr="00512D0B">
          <w:rPr>
            <w:rStyle w:val="Hyperlink"/>
            <w:rFonts w:ascii="Times New Roman" w:hAnsi="Times New Roman" w:cs="Times New Roman"/>
            <w:sz w:val="24"/>
            <w:szCs w:val="24"/>
          </w:rPr>
          <w:t>https://auasb.gov.au/standards-guidance/auasb-standards/auditing-standards/</w:t>
        </w:r>
      </w:hyperlink>
      <w:r w:rsidRPr="00512D0B">
        <w:rPr>
          <w:rFonts w:ascii="Times New Roman" w:hAnsi="Times New Roman" w:cs="Times New Roman"/>
          <w:sz w:val="24"/>
          <w:szCs w:val="24"/>
        </w:rPr>
        <w:t xml:space="preserve"> (Australian Auditing Standards).</w:t>
      </w:r>
    </w:p>
    <w:p w14:paraId="33A80D22" w14:textId="77777777" w:rsidR="00C468B0" w:rsidRPr="00512D0B" w:rsidRDefault="00C468B0" w:rsidP="00C468B0">
      <w:pPr>
        <w:pStyle w:val="Heading5"/>
        <w:rPr>
          <w:rFonts w:ascii="Times New Roman" w:hAnsi="Times New Roman" w:cs="Times New Roman"/>
          <w:i/>
          <w:sz w:val="24"/>
          <w:szCs w:val="24"/>
        </w:rPr>
      </w:pPr>
      <w:r w:rsidRPr="00512D0B">
        <w:rPr>
          <w:rFonts w:ascii="Times New Roman" w:hAnsi="Times New Roman" w:cs="Times New Roman"/>
          <w:i/>
          <w:sz w:val="24"/>
          <w:szCs w:val="24"/>
        </w:rPr>
        <w:t>Review of decisions</w:t>
      </w:r>
    </w:p>
    <w:p w14:paraId="510C9F20" w14:textId="77777777" w:rsidR="00C468B0" w:rsidRPr="00512D0B" w:rsidRDefault="00C468B0" w:rsidP="00C468B0">
      <w:pPr>
        <w:numPr>
          <w:ilvl w:val="0"/>
          <w:numId w:val="0"/>
        </w:numPr>
        <w:rPr>
          <w:rFonts w:ascii="Times New Roman" w:hAnsi="Times New Roman" w:cs="Times New Roman"/>
          <w:sz w:val="24"/>
          <w:szCs w:val="24"/>
        </w:rPr>
      </w:pPr>
      <w:r w:rsidRPr="00512D0B">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the private health insurers to which the prudential standards apply. </w:t>
      </w:r>
    </w:p>
    <w:p w14:paraId="6C417D4B" w14:textId="77777777" w:rsidR="00C468B0" w:rsidRPr="00512D0B" w:rsidRDefault="00C468B0" w:rsidP="00C468B0">
      <w:pPr>
        <w:numPr>
          <w:ilvl w:val="0"/>
          <w:numId w:val="0"/>
        </w:numPr>
        <w:rPr>
          <w:rFonts w:ascii="Times New Roman" w:hAnsi="Times New Roman" w:cs="Times New Roman"/>
          <w:sz w:val="24"/>
          <w:szCs w:val="24"/>
        </w:rPr>
      </w:pPr>
      <w:r w:rsidRPr="00512D0B">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27708AF4" w14:textId="77777777" w:rsidR="00C468B0" w:rsidRPr="00512D0B" w:rsidRDefault="00C468B0" w:rsidP="00C468B0">
      <w:pPr>
        <w:numPr>
          <w:ilvl w:val="0"/>
          <w:numId w:val="0"/>
        </w:numPr>
        <w:autoSpaceDE w:val="0"/>
        <w:autoSpaceDN w:val="0"/>
        <w:adjustRightInd w:val="0"/>
        <w:spacing w:after="0"/>
        <w:rPr>
          <w:rFonts w:ascii="Times New Roman" w:hAnsi="Times New Roman" w:cs="Times New Roman"/>
          <w:sz w:val="24"/>
          <w:szCs w:val="24"/>
        </w:rPr>
      </w:pPr>
      <w:r w:rsidRPr="00512D0B">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w:t>
      </w:r>
      <w:r w:rsidRPr="00512D0B">
        <w:rPr>
          <w:rFonts w:ascii="Times New Roman" w:hAnsi="Times New Roman" w:cs="Times New Roman"/>
          <w:sz w:val="24"/>
          <w:szCs w:val="24"/>
        </w:rPr>
        <w:lastRenderedPageBreak/>
        <w:t xml:space="preserve">prescribed for such breaches. Instead, a private health insurer’s breach of a provision in the Act is grounds for APRA to make further, substantive decisions under the Act. </w:t>
      </w:r>
    </w:p>
    <w:p w14:paraId="71F2146A" w14:textId="77777777" w:rsidR="00A06A6F" w:rsidRPr="00512D0B"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512D0B" w:rsidRDefault="00B670E9" w:rsidP="00211AFD">
      <w:pPr>
        <w:numPr>
          <w:ilvl w:val="0"/>
          <w:numId w:val="0"/>
        </w:numPr>
        <w:rPr>
          <w:rFonts w:ascii="Times New Roman" w:hAnsi="Times New Roman" w:cs="Times New Roman"/>
          <w:b/>
          <w:sz w:val="24"/>
          <w:szCs w:val="24"/>
        </w:rPr>
      </w:pPr>
      <w:r w:rsidRPr="00512D0B">
        <w:rPr>
          <w:rFonts w:ascii="Times New Roman" w:hAnsi="Times New Roman" w:cs="Times New Roman"/>
          <w:b/>
          <w:sz w:val="24"/>
          <w:szCs w:val="24"/>
        </w:rPr>
        <w:t>3.</w:t>
      </w:r>
      <w:r w:rsidRPr="00512D0B">
        <w:rPr>
          <w:rFonts w:ascii="Times New Roman" w:hAnsi="Times New Roman" w:cs="Times New Roman"/>
          <w:b/>
          <w:sz w:val="24"/>
          <w:szCs w:val="24"/>
        </w:rPr>
        <w:tab/>
      </w:r>
      <w:r w:rsidR="00211AFD" w:rsidRPr="00512D0B">
        <w:rPr>
          <w:rFonts w:ascii="Times New Roman" w:hAnsi="Times New Roman" w:cs="Times New Roman"/>
          <w:b/>
          <w:sz w:val="24"/>
          <w:szCs w:val="24"/>
        </w:rPr>
        <w:t>Consultation</w:t>
      </w:r>
    </w:p>
    <w:p w14:paraId="20CFC957" w14:textId="0A9EB2A9" w:rsidR="001366BD" w:rsidRPr="00512D0B" w:rsidRDefault="00947280" w:rsidP="00A540EB">
      <w:pPr>
        <w:numPr>
          <w:ilvl w:val="0"/>
          <w:numId w:val="0"/>
        </w:numPr>
        <w:rPr>
          <w:rFonts w:ascii="Times New Roman" w:hAnsi="Times New Roman" w:cs="Times New Roman"/>
          <w:sz w:val="24"/>
          <w:szCs w:val="24"/>
        </w:rPr>
      </w:pPr>
      <w:r w:rsidRPr="00512D0B">
        <w:rPr>
          <w:rFonts w:ascii="Times New Roman" w:hAnsi="Times New Roman" w:cs="Times New Roman"/>
          <w:sz w:val="24"/>
          <w:szCs w:val="24"/>
        </w:rPr>
        <w:t>Th</w:t>
      </w:r>
      <w:r w:rsidR="007E3348" w:rsidRPr="00512D0B">
        <w:rPr>
          <w:rFonts w:ascii="Times New Roman" w:hAnsi="Times New Roman" w:cs="Times New Roman"/>
          <w:sz w:val="24"/>
          <w:szCs w:val="24"/>
        </w:rPr>
        <w:t xml:space="preserve">is and other prudential standards, forming the new private health insurance capital framework, </w:t>
      </w:r>
      <w:r w:rsidRPr="00512D0B">
        <w:rPr>
          <w:rFonts w:ascii="Times New Roman" w:hAnsi="Times New Roman" w:cs="Times New Roman"/>
          <w:sz w:val="24"/>
          <w:szCs w:val="24"/>
        </w:rPr>
        <w:t xml:space="preserve">are the product of extensive consultation with the industry and other key stakeholders. </w:t>
      </w:r>
      <w:r w:rsidR="001366BD" w:rsidRPr="00512D0B">
        <w:rPr>
          <w:rFonts w:ascii="Times New Roman" w:hAnsi="Times New Roman" w:cs="Times New Roman"/>
          <w:sz w:val="24"/>
          <w:szCs w:val="24"/>
        </w:rPr>
        <w:t>Submissions were received from, and discussions held with</w:t>
      </w:r>
      <w:r w:rsidR="0083348D" w:rsidRPr="00512D0B">
        <w:rPr>
          <w:rFonts w:ascii="Times New Roman" w:hAnsi="Times New Roman" w:cs="Times New Roman"/>
          <w:sz w:val="24"/>
          <w:szCs w:val="24"/>
        </w:rPr>
        <w:t>,</w:t>
      </w:r>
      <w:r w:rsidR="001366BD" w:rsidRPr="00512D0B">
        <w:rPr>
          <w:rFonts w:ascii="Times New Roman" w:hAnsi="Times New Roman" w:cs="Times New Roman"/>
          <w:sz w:val="24"/>
          <w:szCs w:val="24"/>
        </w:rPr>
        <w:t xml:space="preserve"> private health insurers, industry bodies and other government agencies. </w:t>
      </w:r>
    </w:p>
    <w:p w14:paraId="3D80BDCB" w14:textId="78CF6178" w:rsidR="001366BD" w:rsidRPr="00512D0B" w:rsidRDefault="001366BD" w:rsidP="00A540EB">
      <w:pPr>
        <w:numPr>
          <w:ilvl w:val="0"/>
          <w:numId w:val="0"/>
        </w:numPr>
        <w:rPr>
          <w:rFonts w:ascii="Times New Roman" w:hAnsi="Times New Roman" w:cs="Times New Roman"/>
          <w:sz w:val="24"/>
          <w:szCs w:val="24"/>
        </w:rPr>
      </w:pPr>
      <w:r w:rsidRPr="00512D0B">
        <w:rPr>
          <w:rFonts w:ascii="Times New Roman" w:hAnsi="Times New Roman" w:cs="Times New Roman"/>
          <w:sz w:val="24"/>
          <w:szCs w:val="24"/>
        </w:rPr>
        <w:t xml:space="preserve">Submissions were largely supportive of </w:t>
      </w:r>
      <w:r w:rsidR="004A42FA" w:rsidRPr="00512D0B">
        <w:rPr>
          <w:rFonts w:ascii="Times New Roman" w:hAnsi="Times New Roman" w:cs="Times New Roman"/>
          <w:sz w:val="24"/>
          <w:szCs w:val="24"/>
        </w:rPr>
        <w:t>aligning</w:t>
      </w:r>
      <w:r w:rsidRPr="00512D0B">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sidRPr="00512D0B">
        <w:rPr>
          <w:rFonts w:ascii="Times New Roman" w:hAnsi="Times New Roman" w:cs="Times New Roman"/>
          <w:sz w:val="24"/>
          <w:szCs w:val="24"/>
        </w:rPr>
        <w:t xml:space="preserve">Insurers also raised the scale </w:t>
      </w:r>
      <w:r w:rsidR="00070362" w:rsidRPr="00512D0B">
        <w:rPr>
          <w:rFonts w:ascii="Times New Roman" w:hAnsi="Times New Roman" w:cs="Times New Roman"/>
          <w:sz w:val="24"/>
          <w:szCs w:val="24"/>
        </w:rPr>
        <w:t>o</w:t>
      </w:r>
      <w:r w:rsidR="004A42FA" w:rsidRPr="00512D0B">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7" w:name="_Hlk133239296"/>
      <w:r w:rsidRPr="00F0561E">
        <w:rPr>
          <w:rFonts w:ascii="Times New Roman" w:hAnsi="Times New Roman" w:cs="Times New Roman"/>
          <w:i/>
          <w:sz w:val="24"/>
          <w:szCs w:val="24"/>
        </w:rPr>
        <w:t>Finalising the review of the Private Health Insurance Capital Framework</w:t>
      </w:r>
      <w:bookmarkEnd w:id="7"/>
      <w:r w:rsidR="00D8198D">
        <w:rPr>
          <w:rFonts w:ascii="Times New Roman" w:hAnsi="Times New Roman" w:cs="Times New Roman"/>
          <w:sz w:val="24"/>
          <w:szCs w:val="24"/>
        </w:rPr>
        <w:t>; and</w:t>
      </w:r>
    </w:p>
    <w:p w14:paraId="73EA4559" w14:textId="39B2E4E9" w:rsidR="00D8198D" w:rsidRPr="007F72F0"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11406277" w14:textId="77777777" w:rsidR="007F72F0" w:rsidRDefault="007F72F0" w:rsidP="007F72F0">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6FA9D0F3"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8" w:name="_Hlk127283454"/>
      <w:r w:rsidR="00BD64ED">
        <w:rPr>
          <w:rFonts w:ascii="Times New Roman" w:hAnsi="Times New Roman" w:cs="Times New Roman"/>
          <w:b/>
          <w:sz w:val="24"/>
          <w:szCs w:val="24"/>
        </w:rPr>
        <w:t>Impact Analysis (IA)</w:t>
      </w:r>
      <w:bookmarkEnd w:id="8"/>
    </w:p>
    <w:p w14:paraId="285FB9C9" w14:textId="5F19975D" w:rsidR="006C6ED5" w:rsidRPr="00A50B51" w:rsidRDefault="009436D9" w:rsidP="00A540EB">
      <w:pPr>
        <w:numPr>
          <w:ilvl w:val="0"/>
          <w:numId w:val="0"/>
        </w:numPr>
        <w:rPr>
          <w:rFonts w:ascii="Times New Roman" w:hAnsi="Times New Roman" w:cs="Times New Roman"/>
          <w:sz w:val="24"/>
          <w:szCs w:val="24"/>
        </w:rPr>
      </w:pPr>
      <w:bookmarkStart w:id="9"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001,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(RIS)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9"/>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3742C5F1" w:rsidR="00B670E9" w:rsidRPr="005921A3" w:rsidRDefault="000A2892"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25287F">
        <w:rPr>
          <w:rFonts w:ascii="Times New Roman" w:eastAsia="Times New Roman" w:hAnsi="Times New Roman" w:cs="Times New Roman"/>
          <w:b/>
          <w:sz w:val="24"/>
          <w:szCs w:val="24"/>
          <w:lang w:eastAsia="en-AU"/>
        </w:rPr>
        <w:t>1 of 202</w:t>
      </w:r>
      <w:r w:rsidR="00192668">
        <w:rPr>
          <w:rFonts w:ascii="Times New Roman" w:eastAsia="Times New Roman" w:hAnsi="Times New Roman" w:cs="Times New Roman"/>
          <w:b/>
          <w:sz w:val="24"/>
          <w:szCs w:val="24"/>
          <w:lang w:eastAsia="en-AU"/>
        </w:rPr>
        <w:t>3</w:t>
      </w:r>
    </w:p>
    <w:p w14:paraId="06CCC3E0" w14:textId="383BDB97"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s Legislative Instrument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1404BF6"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Pr="00444EFF">
        <w:rPr>
          <w:rFonts w:ascii="Times New Roman" w:hAnsi="Times New Roman" w:cs="Times New Roman"/>
          <w:b/>
          <w:sz w:val="24"/>
          <w:szCs w:val="24"/>
        </w:rPr>
        <w:t>Legislative</w:t>
      </w:r>
      <w:r w:rsidRPr="00BC1E70">
        <w:rPr>
          <w:rFonts w:ascii="Times New Roman" w:hAnsi="Times New Roman" w:cs="Times New Roman"/>
          <w:b/>
          <w:sz w:val="24"/>
          <w:szCs w:val="24"/>
        </w:rPr>
        <w:t xml:space="preserve"> Instrument</w:t>
      </w:r>
    </w:p>
    <w:p w14:paraId="5308450B" w14:textId="12BE4062" w:rsidR="00540FC6" w:rsidRPr="00E635EF" w:rsidRDefault="00497D8A" w:rsidP="00540FC6">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to revoke </w:t>
      </w:r>
      <w:r w:rsidR="00540FC6" w:rsidRPr="00E635EF">
        <w:rPr>
          <w:rFonts w:ascii="Times New Roman" w:hAnsi="Times New Roman" w:cs="Times New Roman"/>
          <w:i/>
          <w:sz w:val="24"/>
          <w:szCs w:val="24"/>
        </w:rPr>
        <w:t>Prudential Standard HPS 001 Definitions</w:t>
      </w:r>
      <w:r w:rsidR="00540FC6" w:rsidRPr="00E635EF">
        <w:rPr>
          <w:rFonts w:ascii="Times New Roman" w:hAnsi="Times New Roman" w:cs="Times New Roman"/>
          <w:sz w:val="24"/>
          <w:szCs w:val="24"/>
        </w:rPr>
        <w:t xml:space="preserve"> made under Health Insurance determination No. 1 of 2022 and determine a new </w:t>
      </w:r>
      <w:r w:rsidR="00540FC6" w:rsidRPr="00E635EF">
        <w:rPr>
          <w:rFonts w:ascii="Times New Roman" w:hAnsi="Times New Roman" w:cs="Times New Roman"/>
          <w:i/>
          <w:sz w:val="24"/>
          <w:szCs w:val="24"/>
        </w:rPr>
        <w:t>Prudential Standard HPS 001 Definitions</w:t>
      </w:r>
      <w:r w:rsidR="00685D1F">
        <w:rPr>
          <w:rFonts w:ascii="Times New Roman" w:hAnsi="Times New Roman" w:cs="Times New Roman"/>
          <w:i/>
          <w:sz w:val="24"/>
          <w:szCs w:val="24"/>
        </w:rPr>
        <w:t>.</w:t>
      </w:r>
    </w:p>
    <w:p w14:paraId="010F0382" w14:textId="77777777" w:rsidR="00B670E9" w:rsidRPr="00497D8A" w:rsidRDefault="00B670E9" w:rsidP="00497D8A">
      <w:pPr>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327649EF"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48CA7E4F"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B96F" w14:textId="77777777" w:rsidR="00211AFD" w:rsidRPr="000D4EDE" w:rsidRDefault="00211AFD" w:rsidP="000D4EDE">
      <w:r>
        <w:separator/>
      </w:r>
    </w:p>
  </w:endnote>
  <w:endnote w:type="continuationSeparator" w:id="0">
    <w:p w14:paraId="7EBF1C68" w14:textId="77777777" w:rsidR="00211AFD" w:rsidRPr="000D4EDE" w:rsidRDefault="00211AFD" w:rsidP="000D4EDE">
      <w:r>
        <w:continuationSeparator/>
      </w:r>
    </w:p>
  </w:endnote>
  <w:endnote w:type="continuationNotice" w:id="1">
    <w:p w14:paraId="30CAE51F"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89CA" w14:textId="77777777" w:rsidR="00211AFD" w:rsidRPr="000D4EDE" w:rsidRDefault="00211AFD" w:rsidP="000D4EDE">
      <w:r>
        <w:separator/>
      </w:r>
    </w:p>
  </w:footnote>
  <w:footnote w:type="continuationSeparator" w:id="0">
    <w:p w14:paraId="33D80D26" w14:textId="77777777" w:rsidR="00211AFD" w:rsidRPr="000D4EDE" w:rsidRDefault="00211AFD" w:rsidP="000D4EDE">
      <w:r>
        <w:continuationSeparator/>
      </w:r>
    </w:p>
  </w:footnote>
  <w:footnote w:type="continuationNotice" w:id="1">
    <w:p w14:paraId="16BD0DC9"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3531887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D98"/>
    <w:rsid w:val="00005F96"/>
    <w:rsid w:val="00007038"/>
    <w:rsid w:val="00007262"/>
    <w:rsid w:val="00010789"/>
    <w:rsid w:val="00011C96"/>
    <w:rsid w:val="000141B9"/>
    <w:rsid w:val="00020E4C"/>
    <w:rsid w:val="000329BB"/>
    <w:rsid w:val="00034A19"/>
    <w:rsid w:val="00036F9E"/>
    <w:rsid w:val="000413B3"/>
    <w:rsid w:val="000453D9"/>
    <w:rsid w:val="000573E5"/>
    <w:rsid w:val="00057B71"/>
    <w:rsid w:val="00065C04"/>
    <w:rsid w:val="0006638F"/>
    <w:rsid w:val="00070362"/>
    <w:rsid w:val="0007202C"/>
    <w:rsid w:val="00072B30"/>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2892"/>
    <w:rsid w:val="000A490E"/>
    <w:rsid w:val="000B04C5"/>
    <w:rsid w:val="000B2267"/>
    <w:rsid w:val="000B63CA"/>
    <w:rsid w:val="000B752A"/>
    <w:rsid w:val="000C14D9"/>
    <w:rsid w:val="000C15C7"/>
    <w:rsid w:val="000D4EDE"/>
    <w:rsid w:val="000D6EEB"/>
    <w:rsid w:val="000E2460"/>
    <w:rsid w:val="000E43AC"/>
    <w:rsid w:val="000E6E37"/>
    <w:rsid w:val="000F0E6F"/>
    <w:rsid w:val="000F2638"/>
    <w:rsid w:val="000F5821"/>
    <w:rsid w:val="001018A5"/>
    <w:rsid w:val="00106F56"/>
    <w:rsid w:val="00115A39"/>
    <w:rsid w:val="00117479"/>
    <w:rsid w:val="00123576"/>
    <w:rsid w:val="001241CB"/>
    <w:rsid w:val="00124B21"/>
    <w:rsid w:val="001327B8"/>
    <w:rsid w:val="0013471B"/>
    <w:rsid w:val="00134B76"/>
    <w:rsid w:val="001352D4"/>
    <w:rsid w:val="001366BD"/>
    <w:rsid w:val="00142132"/>
    <w:rsid w:val="001430F1"/>
    <w:rsid w:val="00147586"/>
    <w:rsid w:val="001509CD"/>
    <w:rsid w:val="00153283"/>
    <w:rsid w:val="00154695"/>
    <w:rsid w:val="00155789"/>
    <w:rsid w:val="001579AD"/>
    <w:rsid w:val="00157C98"/>
    <w:rsid w:val="001647D1"/>
    <w:rsid w:val="00164F67"/>
    <w:rsid w:val="001653B6"/>
    <w:rsid w:val="00165BF6"/>
    <w:rsid w:val="00174B0F"/>
    <w:rsid w:val="0018235E"/>
    <w:rsid w:val="00184187"/>
    <w:rsid w:val="00192668"/>
    <w:rsid w:val="001A4EA4"/>
    <w:rsid w:val="001A664F"/>
    <w:rsid w:val="001B2DB7"/>
    <w:rsid w:val="001B3A9F"/>
    <w:rsid w:val="001C7A1C"/>
    <w:rsid w:val="001D0C02"/>
    <w:rsid w:val="001D3D43"/>
    <w:rsid w:val="001E0F51"/>
    <w:rsid w:val="001E55BF"/>
    <w:rsid w:val="001F0C8F"/>
    <w:rsid w:val="001F4D45"/>
    <w:rsid w:val="001F6E1A"/>
    <w:rsid w:val="001F780A"/>
    <w:rsid w:val="001F7917"/>
    <w:rsid w:val="00200613"/>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6EAD"/>
    <w:rsid w:val="00292A60"/>
    <w:rsid w:val="0029389B"/>
    <w:rsid w:val="00293B7A"/>
    <w:rsid w:val="002A1894"/>
    <w:rsid w:val="002A2188"/>
    <w:rsid w:val="002A36F2"/>
    <w:rsid w:val="002A7D14"/>
    <w:rsid w:val="002B0913"/>
    <w:rsid w:val="002B28E4"/>
    <w:rsid w:val="002B2DD7"/>
    <w:rsid w:val="002B49A3"/>
    <w:rsid w:val="002B7504"/>
    <w:rsid w:val="002C0D97"/>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271"/>
    <w:rsid w:val="003C180A"/>
    <w:rsid w:val="003C1E25"/>
    <w:rsid w:val="003D27A7"/>
    <w:rsid w:val="003D27CB"/>
    <w:rsid w:val="003D292C"/>
    <w:rsid w:val="003D329D"/>
    <w:rsid w:val="003E29C5"/>
    <w:rsid w:val="003E6BF6"/>
    <w:rsid w:val="003F0F0D"/>
    <w:rsid w:val="0040173E"/>
    <w:rsid w:val="0040345F"/>
    <w:rsid w:val="00413456"/>
    <w:rsid w:val="00425F01"/>
    <w:rsid w:val="00435339"/>
    <w:rsid w:val="004410DC"/>
    <w:rsid w:val="0044447D"/>
    <w:rsid w:val="0044482D"/>
    <w:rsid w:val="00444EFF"/>
    <w:rsid w:val="00450C1B"/>
    <w:rsid w:val="00450C67"/>
    <w:rsid w:val="00457702"/>
    <w:rsid w:val="0046020A"/>
    <w:rsid w:val="00460CF7"/>
    <w:rsid w:val="004636CE"/>
    <w:rsid w:val="00463FA8"/>
    <w:rsid w:val="00463FEC"/>
    <w:rsid w:val="00464196"/>
    <w:rsid w:val="00464905"/>
    <w:rsid w:val="00466648"/>
    <w:rsid w:val="00472CBC"/>
    <w:rsid w:val="004765B3"/>
    <w:rsid w:val="004808E2"/>
    <w:rsid w:val="004843CA"/>
    <w:rsid w:val="00486B6D"/>
    <w:rsid w:val="00493DAA"/>
    <w:rsid w:val="00494335"/>
    <w:rsid w:val="00495A4C"/>
    <w:rsid w:val="004967A1"/>
    <w:rsid w:val="00497D8A"/>
    <w:rsid w:val="004A0FE7"/>
    <w:rsid w:val="004A42FA"/>
    <w:rsid w:val="004A6EA1"/>
    <w:rsid w:val="004B584E"/>
    <w:rsid w:val="004C1106"/>
    <w:rsid w:val="004C6D4B"/>
    <w:rsid w:val="004C766B"/>
    <w:rsid w:val="004D3333"/>
    <w:rsid w:val="004D33E3"/>
    <w:rsid w:val="004D76C1"/>
    <w:rsid w:val="004D7C22"/>
    <w:rsid w:val="004E2269"/>
    <w:rsid w:val="004E3925"/>
    <w:rsid w:val="004E451A"/>
    <w:rsid w:val="004F3339"/>
    <w:rsid w:val="004F72A2"/>
    <w:rsid w:val="004F78E5"/>
    <w:rsid w:val="005026D4"/>
    <w:rsid w:val="00503A51"/>
    <w:rsid w:val="00506774"/>
    <w:rsid w:val="00512309"/>
    <w:rsid w:val="005126D2"/>
    <w:rsid w:val="00512D0B"/>
    <w:rsid w:val="00514A0D"/>
    <w:rsid w:val="0051662E"/>
    <w:rsid w:val="00525C03"/>
    <w:rsid w:val="00530EDC"/>
    <w:rsid w:val="005405D5"/>
    <w:rsid w:val="00540FC6"/>
    <w:rsid w:val="00541D54"/>
    <w:rsid w:val="00542522"/>
    <w:rsid w:val="00543472"/>
    <w:rsid w:val="0054526E"/>
    <w:rsid w:val="00545CE1"/>
    <w:rsid w:val="00546297"/>
    <w:rsid w:val="005476B5"/>
    <w:rsid w:val="0055496A"/>
    <w:rsid w:val="005549D7"/>
    <w:rsid w:val="005602DA"/>
    <w:rsid w:val="00562087"/>
    <w:rsid w:val="00564FF8"/>
    <w:rsid w:val="005678FC"/>
    <w:rsid w:val="0057138A"/>
    <w:rsid w:val="00573327"/>
    <w:rsid w:val="00577D9B"/>
    <w:rsid w:val="005921A3"/>
    <w:rsid w:val="00592F64"/>
    <w:rsid w:val="005A3F63"/>
    <w:rsid w:val="005A59D0"/>
    <w:rsid w:val="005B073E"/>
    <w:rsid w:val="005B227F"/>
    <w:rsid w:val="005B7801"/>
    <w:rsid w:val="005C1785"/>
    <w:rsid w:val="005C5891"/>
    <w:rsid w:val="005C641B"/>
    <w:rsid w:val="005D04CC"/>
    <w:rsid w:val="005D5FAE"/>
    <w:rsid w:val="005E4BC9"/>
    <w:rsid w:val="005F29B7"/>
    <w:rsid w:val="00606EB5"/>
    <w:rsid w:val="00606FC8"/>
    <w:rsid w:val="00616C90"/>
    <w:rsid w:val="00617FDA"/>
    <w:rsid w:val="00620146"/>
    <w:rsid w:val="0062116F"/>
    <w:rsid w:val="00623FD7"/>
    <w:rsid w:val="00626087"/>
    <w:rsid w:val="00634E4C"/>
    <w:rsid w:val="00636B8B"/>
    <w:rsid w:val="00641EAA"/>
    <w:rsid w:val="006427FE"/>
    <w:rsid w:val="006506C1"/>
    <w:rsid w:val="00651203"/>
    <w:rsid w:val="00657459"/>
    <w:rsid w:val="0065747A"/>
    <w:rsid w:val="00662E28"/>
    <w:rsid w:val="00663820"/>
    <w:rsid w:val="0066674D"/>
    <w:rsid w:val="00666A78"/>
    <w:rsid w:val="00670B59"/>
    <w:rsid w:val="00676C12"/>
    <w:rsid w:val="00682A74"/>
    <w:rsid w:val="00685D1F"/>
    <w:rsid w:val="00691C77"/>
    <w:rsid w:val="0069375D"/>
    <w:rsid w:val="0069407C"/>
    <w:rsid w:val="0069574E"/>
    <w:rsid w:val="006969C0"/>
    <w:rsid w:val="006A1921"/>
    <w:rsid w:val="006A1B8B"/>
    <w:rsid w:val="006A2303"/>
    <w:rsid w:val="006A2C82"/>
    <w:rsid w:val="006A30FA"/>
    <w:rsid w:val="006C6ED5"/>
    <w:rsid w:val="006D2A45"/>
    <w:rsid w:val="006D315C"/>
    <w:rsid w:val="006D71B8"/>
    <w:rsid w:val="006E4272"/>
    <w:rsid w:val="006E6E63"/>
    <w:rsid w:val="006F145A"/>
    <w:rsid w:val="006F27CB"/>
    <w:rsid w:val="006F359B"/>
    <w:rsid w:val="006F4962"/>
    <w:rsid w:val="006F5865"/>
    <w:rsid w:val="00701EC6"/>
    <w:rsid w:val="00706179"/>
    <w:rsid w:val="007118A4"/>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07F"/>
    <w:rsid w:val="00775AA0"/>
    <w:rsid w:val="007770F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79E"/>
    <w:rsid w:val="007F471C"/>
    <w:rsid w:val="007F72F0"/>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70BC6"/>
    <w:rsid w:val="00873384"/>
    <w:rsid w:val="00875DAD"/>
    <w:rsid w:val="00877B84"/>
    <w:rsid w:val="00877E5F"/>
    <w:rsid w:val="0088036D"/>
    <w:rsid w:val="00881155"/>
    <w:rsid w:val="00882892"/>
    <w:rsid w:val="00885A14"/>
    <w:rsid w:val="0088689B"/>
    <w:rsid w:val="00890FA0"/>
    <w:rsid w:val="008947BF"/>
    <w:rsid w:val="008A0CBE"/>
    <w:rsid w:val="008A1CA8"/>
    <w:rsid w:val="008A214D"/>
    <w:rsid w:val="008A243F"/>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1D54"/>
    <w:rsid w:val="00903D57"/>
    <w:rsid w:val="00905EF0"/>
    <w:rsid w:val="00906799"/>
    <w:rsid w:val="009136D0"/>
    <w:rsid w:val="00922193"/>
    <w:rsid w:val="00922C7C"/>
    <w:rsid w:val="00923828"/>
    <w:rsid w:val="00924152"/>
    <w:rsid w:val="0093194D"/>
    <w:rsid w:val="00934C3F"/>
    <w:rsid w:val="0093521A"/>
    <w:rsid w:val="009417AE"/>
    <w:rsid w:val="009436D9"/>
    <w:rsid w:val="00945B3F"/>
    <w:rsid w:val="00947280"/>
    <w:rsid w:val="00950DCB"/>
    <w:rsid w:val="00952D47"/>
    <w:rsid w:val="00952D4C"/>
    <w:rsid w:val="00960246"/>
    <w:rsid w:val="009720E1"/>
    <w:rsid w:val="00973620"/>
    <w:rsid w:val="00974F0E"/>
    <w:rsid w:val="00975CD7"/>
    <w:rsid w:val="00980CA1"/>
    <w:rsid w:val="00985E70"/>
    <w:rsid w:val="0098783B"/>
    <w:rsid w:val="00993C2B"/>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A06A6F"/>
    <w:rsid w:val="00A10DA6"/>
    <w:rsid w:val="00A151E9"/>
    <w:rsid w:val="00A1599B"/>
    <w:rsid w:val="00A15DBB"/>
    <w:rsid w:val="00A259F2"/>
    <w:rsid w:val="00A2758A"/>
    <w:rsid w:val="00A3147C"/>
    <w:rsid w:val="00A33802"/>
    <w:rsid w:val="00A34ADD"/>
    <w:rsid w:val="00A37162"/>
    <w:rsid w:val="00A37E51"/>
    <w:rsid w:val="00A401E1"/>
    <w:rsid w:val="00A43831"/>
    <w:rsid w:val="00A50B51"/>
    <w:rsid w:val="00A51E2D"/>
    <w:rsid w:val="00A5319F"/>
    <w:rsid w:val="00A533A9"/>
    <w:rsid w:val="00A53690"/>
    <w:rsid w:val="00A540EB"/>
    <w:rsid w:val="00A5530D"/>
    <w:rsid w:val="00A62D31"/>
    <w:rsid w:val="00A63380"/>
    <w:rsid w:val="00A8129D"/>
    <w:rsid w:val="00A82188"/>
    <w:rsid w:val="00A865C7"/>
    <w:rsid w:val="00A909CC"/>
    <w:rsid w:val="00A964A5"/>
    <w:rsid w:val="00A96FAA"/>
    <w:rsid w:val="00A97E3B"/>
    <w:rsid w:val="00AA00CB"/>
    <w:rsid w:val="00AA20A1"/>
    <w:rsid w:val="00AA41F2"/>
    <w:rsid w:val="00AB039E"/>
    <w:rsid w:val="00AB1362"/>
    <w:rsid w:val="00AB4206"/>
    <w:rsid w:val="00AC1A02"/>
    <w:rsid w:val="00AC6B54"/>
    <w:rsid w:val="00AC7E54"/>
    <w:rsid w:val="00AD57F5"/>
    <w:rsid w:val="00AD72D9"/>
    <w:rsid w:val="00AE6A4E"/>
    <w:rsid w:val="00AE7B98"/>
    <w:rsid w:val="00AF129F"/>
    <w:rsid w:val="00AF2A72"/>
    <w:rsid w:val="00B04467"/>
    <w:rsid w:val="00B06E21"/>
    <w:rsid w:val="00B12DC9"/>
    <w:rsid w:val="00B13F84"/>
    <w:rsid w:val="00B14604"/>
    <w:rsid w:val="00B15ABA"/>
    <w:rsid w:val="00B20FA0"/>
    <w:rsid w:val="00B24DD4"/>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5923"/>
    <w:rsid w:val="00BD64ED"/>
    <w:rsid w:val="00BD7B83"/>
    <w:rsid w:val="00BE625B"/>
    <w:rsid w:val="00BF17C6"/>
    <w:rsid w:val="00BF6F09"/>
    <w:rsid w:val="00C00FDA"/>
    <w:rsid w:val="00C02EB9"/>
    <w:rsid w:val="00C0373C"/>
    <w:rsid w:val="00C04E4B"/>
    <w:rsid w:val="00C0599B"/>
    <w:rsid w:val="00C11531"/>
    <w:rsid w:val="00C11B56"/>
    <w:rsid w:val="00C13324"/>
    <w:rsid w:val="00C14C04"/>
    <w:rsid w:val="00C1529E"/>
    <w:rsid w:val="00C16045"/>
    <w:rsid w:val="00C21E27"/>
    <w:rsid w:val="00C2332A"/>
    <w:rsid w:val="00C33014"/>
    <w:rsid w:val="00C42EA5"/>
    <w:rsid w:val="00C468B0"/>
    <w:rsid w:val="00C62BF5"/>
    <w:rsid w:val="00C636DA"/>
    <w:rsid w:val="00C67E22"/>
    <w:rsid w:val="00C72271"/>
    <w:rsid w:val="00C72A17"/>
    <w:rsid w:val="00C81356"/>
    <w:rsid w:val="00C813CD"/>
    <w:rsid w:val="00C858D9"/>
    <w:rsid w:val="00C86949"/>
    <w:rsid w:val="00C86A64"/>
    <w:rsid w:val="00C87DA0"/>
    <w:rsid w:val="00CA4E4D"/>
    <w:rsid w:val="00CA6FF9"/>
    <w:rsid w:val="00CA73DA"/>
    <w:rsid w:val="00CB04F1"/>
    <w:rsid w:val="00CB2C58"/>
    <w:rsid w:val="00CB2E3D"/>
    <w:rsid w:val="00CB4238"/>
    <w:rsid w:val="00CB5938"/>
    <w:rsid w:val="00CB5B27"/>
    <w:rsid w:val="00CC13F5"/>
    <w:rsid w:val="00CC1A64"/>
    <w:rsid w:val="00CC30A1"/>
    <w:rsid w:val="00CC34EB"/>
    <w:rsid w:val="00CC4C58"/>
    <w:rsid w:val="00CC64C8"/>
    <w:rsid w:val="00CC66EA"/>
    <w:rsid w:val="00CD1253"/>
    <w:rsid w:val="00CD3C17"/>
    <w:rsid w:val="00CE1F9C"/>
    <w:rsid w:val="00CE2E48"/>
    <w:rsid w:val="00CF0184"/>
    <w:rsid w:val="00CF4514"/>
    <w:rsid w:val="00CF55F6"/>
    <w:rsid w:val="00CF59E0"/>
    <w:rsid w:val="00CF6672"/>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2602"/>
    <w:rsid w:val="00D64CB8"/>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61784"/>
    <w:rsid w:val="00E625B3"/>
    <w:rsid w:val="00E635EF"/>
    <w:rsid w:val="00E63EB9"/>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561E"/>
    <w:rsid w:val="00F06B06"/>
    <w:rsid w:val="00F06EE2"/>
    <w:rsid w:val="00F074DC"/>
    <w:rsid w:val="00F15632"/>
    <w:rsid w:val="00F17535"/>
    <w:rsid w:val="00F20949"/>
    <w:rsid w:val="00F24F8F"/>
    <w:rsid w:val="00F303B2"/>
    <w:rsid w:val="00F307E0"/>
    <w:rsid w:val="00F34D63"/>
    <w:rsid w:val="00F46414"/>
    <w:rsid w:val="00F57F7A"/>
    <w:rsid w:val="00F603DE"/>
    <w:rsid w:val="00F62D33"/>
    <w:rsid w:val="00F6301C"/>
    <w:rsid w:val="00F636DE"/>
    <w:rsid w:val="00F64AB3"/>
    <w:rsid w:val="00F655AA"/>
    <w:rsid w:val="00F6570B"/>
    <w:rsid w:val="00F66681"/>
    <w:rsid w:val="00F67615"/>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419E"/>
    <w:rsid w:val="00FF1227"/>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9530295-9eea-494d-b82a-9ff74409eafc" xsi:nil="true"/>
    <lcf76f155ced4ddcb4097134ff3c332f xmlns="5664482d-1961-4d38-bfc2-b109b34188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79530295-9eea-494d-b82a-9ff74409eafc"/>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664482d-1961-4d38-bfc2-b109b34188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0C3D0F9C-39E6-40A7-A92A-C29481962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8216</Characters>
  <Application>Microsoft Office Word</Application>
  <DocSecurity>0</DocSecurity>
  <Lines>141</Lines>
  <Paragraphs>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2</cp:revision>
  <cp:lastPrinted>2014-02-02T12:10:00Z</cp:lastPrinted>
  <dcterms:created xsi:type="dcterms:W3CDTF">2023-05-31T10:55:00Z</dcterms:created>
  <dcterms:modified xsi:type="dcterms:W3CDTF">2023-05-31T10:55:00Z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2022-06-16T05:11:15Z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B8078F3F444EC3326911C7AAEF076055</vt:lpwstr>
  </property>
  <property fmtid="{D5CDD505-2E9C-101B-9397-08002B2CF9AE}" pid="22" name="PM_Hash_Salt">
    <vt:lpwstr>9F8116906758D87FD4DA67E00676B8B1</vt:lpwstr>
  </property>
  <property fmtid="{D5CDD505-2E9C-101B-9397-08002B2CF9AE}" pid="23" name="PM_Hash_SHA1">
    <vt:lpwstr>9428244B060281876DF18F1697D98B20AEC45687</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ContentTypeId">
    <vt:lpwstr>0x010100E5E831F15EEA47429C4A0837D916ED91</vt:lpwstr>
  </property>
  <property fmtid="{D5CDD505-2E9C-101B-9397-08002B2CF9AE}" pid="27" name="APRAPeriod">
    <vt:lpwstr/>
  </property>
  <property fmtid="{D5CDD505-2E9C-101B-9397-08002B2CF9AE}" pid="28" name="APRAPRSG">
    <vt:lpwstr/>
  </property>
  <property fmtid="{D5CDD505-2E9C-101B-9397-08002B2CF9AE}" pid="29" name="APRAYear">
    <vt:lpwstr/>
  </property>
  <property fmtid="{D5CDD505-2E9C-101B-9397-08002B2CF9AE}" pid="30" name="APRAIndustry">
    <vt:lpwstr>14;#PHI|10657f9d-7e9a-e511-8d41-005056b54f10</vt:lpwstr>
  </property>
  <property fmtid="{D5CDD505-2E9C-101B-9397-08002B2CF9AE}" pid="31" name="_dlc_DocIdItemGuid">
    <vt:lpwstr>0d172230-06d0-44ca-9a6e-fc8c799de950</vt:lpwstr>
  </property>
  <property fmtid="{D5CDD505-2E9C-101B-9397-08002B2CF9AE}" pid="32" name="IsLocked">
    <vt:lpwstr>Yes</vt:lpwstr>
  </property>
  <property fmtid="{D5CDD505-2E9C-101B-9397-08002B2CF9AE}" pid="33" name="APRACostCentre">
    <vt:lpwstr/>
  </property>
  <property fmtid="{D5CDD505-2E9C-101B-9397-08002B2CF9AE}" pid="34" name="IT system type">
    <vt:lpwstr/>
  </property>
  <property fmtid="{D5CDD505-2E9C-101B-9397-08002B2CF9AE}" pid="35" name="APRACategory">
    <vt:lpwstr/>
  </property>
  <property fmtid="{D5CDD505-2E9C-101B-9397-08002B2CF9AE}" pid="36" name="APRADocumentType">
    <vt:lpwstr>91;#Note|a8212199-d195-4313-a455-11ff5a77bf8e</vt:lpwstr>
  </property>
  <property fmtid="{D5CDD505-2E9C-101B-9397-08002B2CF9AE}" pid="37" name="APRAStatus">
    <vt:lpwstr>1;#Draft|0e1556d2-3fe8-443a-ada7-3620563b46b3</vt:lpwstr>
  </property>
  <property fmtid="{D5CDD505-2E9C-101B-9397-08002B2CF9AE}" pid="38" name="APRAActivity">
    <vt:lpwstr>8;#Prudential policy development|4cf81ba0-32a2-4f8f-8216-9e632903331b</vt:lpwstr>
  </property>
  <property fmtid="{D5CDD505-2E9C-101B-9397-08002B2CF9AE}" pid="39" name="APRAEntityAdviceSupport">
    <vt:lpwstr/>
  </property>
  <property fmtid="{D5CDD505-2E9C-101B-9397-08002B2CF9AE}" pid="40" name="APRALegislation">
    <vt:lpwstr/>
  </property>
  <property fmtid="{D5CDD505-2E9C-101B-9397-08002B2CF9AE}" pid="41" name="APRAExternalOrganisation">
    <vt:lpwstr/>
  </property>
  <property fmtid="{D5CDD505-2E9C-101B-9397-08002B2CF9AE}" pid="42" name="APRAIRTR">
    <vt:lpwstr/>
  </property>
  <property fmtid="{D5CDD505-2E9C-101B-9397-08002B2CF9AE}" pid="43" name="RecordPoint_WorkflowType">
    <vt:lpwstr>ActiveSubmitStub</vt:lpwstr>
  </property>
  <property fmtid="{D5CDD505-2E9C-101B-9397-08002B2CF9AE}" pid="44" name="RecordPoint_ActiveItemSiteId">
    <vt:lpwstr>{0108aca2-193a-480a-9365-26eca985c6f0}</vt:lpwstr>
  </property>
  <property fmtid="{D5CDD505-2E9C-101B-9397-08002B2CF9AE}" pid="45" name="RecordPoint_ActiveItemListId">
    <vt:lpwstr>{8524f2be-f3e8-4e4e-b114-b0bf6497a529}</vt:lpwstr>
  </property>
  <property fmtid="{D5CDD505-2E9C-101B-9397-08002B2CF9AE}" pid="46" name="RecordPoint_ActiveItemUniqueId">
    <vt:lpwstr>{0d172230-06d0-44ca-9a6e-fc8c799de950}</vt:lpwstr>
  </property>
  <property fmtid="{D5CDD505-2E9C-101B-9397-08002B2CF9AE}" pid="47" name="RecordPoint_ActiveItemWebId">
    <vt:lpwstr>{b7c132af-ef8f-43c8-b784-c343c8358833}</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MSIP_Label_c0129afb-6481-4f92-bc9f-5a4a6346364d_Method">
    <vt:lpwstr>Privileged</vt:lpwstr>
  </property>
  <property fmtid="{D5CDD505-2E9C-101B-9397-08002B2CF9AE}" pid="53" name="PMHMAC">
    <vt:lpwstr>v=2022.1;a=SHA256;h=E4BE942E5704934AA3FC624C5E25AA028D891C28134A0D303C2B0FF63AC7B239</vt:lpwstr>
  </property>
  <property fmtid="{D5CDD505-2E9C-101B-9397-08002B2CF9AE}" pid="54" name="MSIP_Label_c0129afb-6481-4f92-bc9f-5a4a6346364d_SetDate">
    <vt:lpwstr>2022-06-16T05:11:15Z</vt:lpwstr>
  </property>
  <property fmtid="{D5CDD505-2E9C-101B-9397-08002B2CF9AE}" pid="55" name="MSIP_Label_c0129afb-6481-4f92-bc9f-5a4a6346364d_Name">
    <vt:lpwstr>OFFICIAL</vt:lpwstr>
  </property>
  <property fmtid="{D5CDD505-2E9C-101B-9397-08002B2CF9AE}" pid="56" name="MSIP_Label_c0129afb-6481-4f92-bc9f-5a4a6346364d_SiteId">
    <vt:lpwstr>c05e3ffd-b491-4431-9809-e61d4dc78816</vt:lpwstr>
  </property>
  <property fmtid="{D5CDD505-2E9C-101B-9397-08002B2CF9AE}" pid="57" name="MSIP_Label_c0129afb-6481-4f92-bc9f-5a4a6346364d_ContentBits">
    <vt:lpwstr>0</vt:lpwstr>
  </property>
  <property fmtid="{D5CDD505-2E9C-101B-9397-08002B2CF9AE}" pid="58" name="MSIP_Label_c0129afb-6481-4f92-bc9f-5a4a6346364d_Enabled">
    <vt:lpwstr>true</vt:lpwstr>
  </property>
  <property fmtid="{D5CDD505-2E9C-101B-9397-08002B2CF9AE}" pid="59" name="MSIP_Label_c0129afb-6481-4f92-bc9f-5a4a6346364d_ActionId">
    <vt:lpwstr>ce96870f81084ce1a7fc4c4acce42e43</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MediaServiceImageTags">
    <vt:lpwstr/>
  </property>
</Properties>
</file>