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8CE29" w14:textId="77777777" w:rsidR="00626CBF" w:rsidRPr="009D7EB6" w:rsidRDefault="00626CBF" w:rsidP="00626CBF">
      <w:pPr>
        <w:rPr>
          <w:rFonts w:ascii="Arial" w:hAnsi="Arial" w:cs="Arial"/>
        </w:rPr>
      </w:pPr>
      <w:bookmarkStart w:id="0" w:name="_Hlk132105461"/>
      <w:bookmarkEnd w:id="0"/>
      <w:r w:rsidRPr="009D7EB6">
        <w:rPr>
          <w:rFonts w:ascii="Arial" w:hAnsi="Arial" w:cs="Arial"/>
          <w:noProof/>
        </w:rPr>
        <w:drawing>
          <wp:inline distT="0" distB="0" distL="0" distR="0" wp14:anchorId="615B6909" wp14:editId="749E4B2A">
            <wp:extent cx="1419225" cy="1104900"/>
            <wp:effectExtent l="0" t="0" r="9525" b="0"/>
            <wp:docPr id="6" name="Picture 6" descr="Commonwealth Coat of Arm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ommonwealth Coat of Arms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12E9DC4E" w14:textId="77777777" w:rsidR="00626CBF" w:rsidRPr="00EA0A28" w:rsidRDefault="00626CBF" w:rsidP="00626CBF">
      <w:pPr>
        <w:pStyle w:val="Title"/>
        <w:spacing w:before="480" w:after="0"/>
        <w:jc w:val="both"/>
        <w:rPr>
          <w:rFonts w:ascii="Arial" w:hAnsi="Arial" w:cs="Arial"/>
          <w:color w:val="000000"/>
          <w:sz w:val="32"/>
          <w:szCs w:val="32"/>
        </w:rPr>
      </w:pPr>
      <w:r w:rsidRPr="00EA0A28">
        <w:rPr>
          <w:rFonts w:ascii="Arial" w:hAnsi="Arial" w:cs="Arial"/>
          <w:color w:val="000000"/>
          <w:sz w:val="32"/>
          <w:szCs w:val="32"/>
        </w:rPr>
        <w:t xml:space="preserve">Health Insurance (prudential standard) determination No. </w:t>
      </w:r>
      <w:r>
        <w:rPr>
          <w:rFonts w:ascii="Arial" w:hAnsi="Arial" w:cs="Arial"/>
          <w:color w:val="000000"/>
          <w:sz w:val="32"/>
          <w:szCs w:val="32"/>
        </w:rPr>
        <w:t>5</w:t>
      </w:r>
      <w:r w:rsidRPr="00EA0A28">
        <w:rPr>
          <w:rFonts w:ascii="Arial" w:hAnsi="Arial" w:cs="Arial"/>
          <w:color w:val="000000"/>
          <w:sz w:val="32"/>
          <w:szCs w:val="32"/>
        </w:rPr>
        <w:t xml:space="preserve"> of 2023 </w:t>
      </w:r>
    </w:p>
    <w:p w14:paraId="30B554E8" w14:textId="77777777" w:rsidR="00626CBF" w:rsidRDefault="00626CBF" w:rsidP="00626CBF">
      <w:pPr>
        <w:pStyle w:val="ActTitle"/>
        <w:spacing w:before="240"/>
        <w:rPr>
          <w:rFonts w:eastAsia="Calibri" w:cs="Arial"/>
          <w:b/>
          <w:i w:val="0"/>
          <w:iCs w:val="0"/>
          <w:color w:val="000000"/>
          <w:szCs w:val="28"/>
        </w:rPr>
      </w:pPr>
      <w:r w:rsidRPr="00D60AAB">
        <w:rPr>
          <w:rFonts w:eastAsia="Calibri" w:cs="Arial"/>
          <w:b/>
          <w:i w:val="0"/>
          <w:iCs w:val="0"/>
          <w:color w:val="000000"/>
          <w:szCs w:val="28"/>
        </w:rPr>
        <w:t>Prudential Standard HPS 115 Capital Adequacy: Insurance Risk Charge</w:t>
      </w:r>
    </w:p>
    <w:p w14:paraId="37872771" w14:textId="77777777" w:rsidR="00626CBF" w:rsidRPr="00C60305" w:rsidRDefault="00626CBF" w:rsidP="00626CBF">
      <w:pPr>
        <w:pStyle w:val="ActTitle"/>
        <w:spacing w:before="240"/>
        <w:rPr>
          <w:rFonts w:cs="Arial"/>
          <w:color w:val="000000"/>
        </w:rPr>
      </w:pPr>
      <w:r w:rsidRPr="00A13EF6">
        <w:rPr>
          <w:rFonts w:cs="Arial"/>
          <w:color w:val="000000"/>
        </w:rPr>
        <w:t>Private Health Insurance (Prudential Supervision) Act 2015</w:t>
      </w:r>
    </w:p>
    <w:p w14:paraId="5700E7C0" w14:textId="528C6389" w:rsidR="00626CBF" w:rsidRPr="005C1D4E" w:rsidRDefault="00626CBF" w:rsidP="00852B98">
      <w:pPr>
        <w:pStyle w:val="IntroTo"/>
        <w:spacing w:before="100" w:beforeAutospacing="1"/>
        <w:ind w:left="0" w:firstLine="0"/>
        <w:jc w:val="both"/>
        <w:rPr>
          <w:rFonts w:ascii="Arial" w:hAnsi="Arial" w:cs="Arial"/>
          <w:color w:val="000000"/>
          <w:sz w:val="22"/>
          <w:szCs w:val="22"/>
        </w:rPr>
      </w:pPr>
      <w:r w:rsidRPr="005C1D4E">
        <w:rPr>
          <w:rFonts w:ascii="Arial" w:hAnsi="Arial" w:cs="Arial"/>
          <w:sz w:val="22"/>
          <w:szCs w:val="22"/>
        </w:rPr>
        <w:t xml:space="preserve">I, </w:t>
      </w:r>
      <w:r w:rsidR="00FC1C96">
        <w:rPr>
          <w:rFonts w:ascii="Arial" w:hAnsi="Arial" w:cs="Arial"/>
          <w:sz w:val="22"/>
          <w:szCs w:val="22"/>
        </w:rPr>
        <w:t>Helen Rowell</w:t>
      </w:r>
      <w:r w:rsidRPr="005C1D4E">
        <w:rPr>
          <w:rFonts w:ascii="Arial" w:hAnsi="Arial" w:cs="Arial"/>
          <w:sz w:val="22"/>
          <w:szCs w:val="22"/>
        </w:rPr>
        <w:t xml:space="preserve">, </w:t>
      </w:r>
      <w:r>
        <w:rPr>
          <w:rFonts w:ascii="Arial" w:hAnsi="Arial" w:cs="Arial"/>
          <w:sz w:val="22"/>
          <w:szCs w:val="22"/>
        </w:rPr>
        <w:t xml:space="preserve">a </w:t>
      </w:r>
      <w:r w:rsidRPr="005C1D4E">
        <w:rPr>
          <w:rFonts w:ascii="Arial" w:hAnsi="Arial" w:cs="Arial"/>
          <w:sz w:val="22"/>
          <w:szCs w:val="22"/>
        </w:rPr>
        <w:t>delegate of APRA</w:t>
      </w:r>
      <w:r>
        <w:rPr>
          <w:rFonts w:ascii="Arial" w:hAnsi="Arial" w:cs="Arial"/>
          <w:sz w:val="22"/>
          <w:szCs w:val="22"/>
        </w:rPr>
        <w:t xml:space="preserve">, </w:t>
      </w:r>
      <w:r w:rsidRPr="00C1226B">
        <w:rPr>
          <w:rFonts w:ascii="Arial" w:hAnsi="Arial" w:cs="Arial"/>
          <w:color w:val="000000"/>
          <w:sz w:val="22"/>
          <w:szCs w:val="22"/>
        </w:rPr>
        <w:t>under subsection 92(</w:t>
      </w:r>
      <w:r>
        <w:rPr>
          <w:rFonts w:ascii="Arial" w:hAnsi="Arial" w:cs="Arial"/>
          <w:color w:val="000000"/>
          <w:sz w:val="22"/>
          <w:szCs w:val="22"/>
        </w:rPr>
        <w:t>1</w:t>
      </w:r>
      <w:r w:rsidRPr="00C1226B">
        <w:rPr>
          <w:rFonts w:ascii="Arial" w:hAnsi="Arial" w:cs="Arial"/>
          <w:color w:val="000000"/>
          <w:sz w:val="22"/>
          <w:szCs w:val="22"/>
        </w:rPr>
        <w:t xml:space="preserve">) of the </w:t>
      </w:r>
      <w:r w:rsidRPr="00C20B99">
        <w:rPr>
          <w:rFonts w:ascii="Arial" w:hAnsi="Arial" w:cs="Arial"/>
          <w:i/>
          <w:color w:val="000000"/>
          <w:sz w:val="22"/>
          <w:szCs w:val="22"/>
        </w:rPr>
        <w:t>Private Health</w:t>
      </w:r>
      <w:r>
        <w:rPr>
          <w:rFonts w:ascii="Arial" w:hAnsi="Arial" w:cs="Arial"/>
          <w:i/>
          <w:color w:val="000000"/>
          <w:sz w:val="22"/>
          <w:szCs w:val="22"/>
        </w:rPr>
        <w:t xml:space="preserve"> </w:t>
      </w:r>
      <w:r w:rsidRPr="00C20B99">
        <w:rPr>
          <w:rFonts w:ascii="Arial" w:hAnsi="Arial" w:cs="Arial"/>
          <w:i/>
          <w:color w:val="000000"/>
          <w:sz w:val="22"/>
          <w:szCs w:val="22"/>
        </w:rPr>
        <w:t>Insurance (Prudential Supervision) Act 2015</w:t>
      </w:r>
      <w:r w:rsidRPr="00C1226B">
        <w:rPr>
          <w:rFonts w:ascii="Arial" w:hAnsi="Arial" w:cs="Arial"/>
          <w:color w:val="000000"/>
          <w:sz w:val="22"/>
          <w:szCs w:val="22"/>
        </w:rPr>
        <w:t xml:space="preserve"> </w:t>
      </w:r>
      <w:r>
        <w:rPr>
          <w:rFonts w:ascii="Arial" w:hAnsi="Arial" w:cs="Arial"/>
          <w:color w:val="000000"/>
          <w:sz w:val="22"/>
          <w:szCs w:val="22"/>
        </w:rPr>
        <w:t xml:space="preserve">determine </w:t>
      </w:r>
      <w:r w:rsidRPr="00D60AAB">
        <w:rPr>
          <w:rFonts w:ascii="Arial" w:hAnsi="Arial" w:cs="Arial"/>
          <w:i/>
          <w:color w:val="000000"/>
          <w:sz w:val="22"/>
          <w:szCs w:val="22"/>
        </w:rPr>
        <w:t>Prudential Standard HPS 115 Capital Adequacy: Insurance Risk Charge</w:t>
      </w:r>
      <w:r w:rsidRPr="00D26050">
        <w:rPr>
          <w:rFonts w:ascii="Arial" w:hAnsi="Arial" w:cs="Arial"/>
          <w:color w:val="000000"/>
          <w:sz w:val="22"/>
          <w:szCs w:val="22"/>
        </w:rPr>
        <w:t>, in the form set out in the Schedule, which applies to all private health insurers.</w:t>
      </w:r>
    </w:p>
    <w:p w14:paraId="58C79873" w14:textId="77777777" w:rsidR="00626CBF" w:rsidRPr="009D7EB6" w:rsidRDefault="00626CBF" w:rsidP="00852B98">
      <w:pPr>
        <w:spacing w:before="100" w:beforeAutospacing="1"/>
        <w:jc w:val="both"/>
        <w:rPr>
          <w:rFonts w:ascii="Arial" w:hAnsi="Arial" w:cs="Arial"/>
          <w:sz w:val="22"/>
          <w:szCs w:val="22"/>
        </w:rPr>
      </w:pPr>
      <w:r w:rsidRPr="005C1D4E">
        <w:rPr>
          <w:rFonts w:ascii="Arial" w:hAnsi="Arial" w:cs="Arial"/>
          <w:sz w:val="22"/>
          <w:szCs w:val="22"/>
        </w:rPr>
        <w:t xml:space="preserve">This instrument commences </w:t>
      </w:r>
      <w:r>
        <w:rPr>
          <w:rFonts w:ascii="Arial" w:hAnsi="Arial" w:cs="Arial"/>
          <w:sz w:val="22"/>
          <w:szCs w:val="22"/>
        </w:rPr>
        <w:t>on 1 July 2023.</w:t>
      </w:r>
    </w:p>
    <w:p w14:paraId="7C305C99" w14:textId="70DF87A9" w:rsidR="00626CBF" w:rsidRPr="009D7EB6" w:rsidRDefault="00626CBF" w:rsidP="00626CBF">
      <w:pPr>
        <w:pStyle w:val="IntroTo"/>
        <w:jc w:val="both"/>
        <w:rPr>
          <w:rFonts w:ascii="Arial" w:hAnsi="Arial" w:cs="Arial"/>
          <w:sz w:val="22"/>
          <w:szCs w:val="22"/>
        </w:rPr>
      </w:pPr>
      <w:r w:rsidRPr="009D7EB6">
        <w:rPr>
          <w:rFonts w:ascii="Arial" w:hAnsi="Arial" w:cs="Arial"/>
          <w:sz w:val="22"/>
          <w:szCs w:val="22"/>
        </w:rPr>
        <w:t xml:space="preserve">Dated: </w:t>
      </w:r>
      <w:sdt>
        <w:sdtPr>
          <w:rPr>
            <w:rFonts w:ascii="Arial" w:hAnsi="Arial" w:cs="Arial"/>
            <w:sz w:val="22"/>
            <w:szCs w:val="22"/>
          </w:rPr>
          <w:alias w:val="Approval date"/>
          <w:tag w:val="APRAApprovalDate"/>
          <w:id w:val="-805078090"/>
          <w:placeholder>
            <w:docPart w:val="A5171F7816914DF1898F16E00115A51F"/>
          </w:placeholder>
          <w:dataBinding w:prefixMappings="xmlns:ns0='http://schemas.microsoft.com/office/2006/metadata/properties' xmlns:ns1='http://www.w3.org/2001/XMLSchema-instance' xmlns:ns2='http://schemas.microsoft.com/office/infopath/2007/PartnerControls' xmlns:ns3='814d62cb-2db6-4c25-ab62-b9075facbc11' xmlns:ns4='http://schemas.microsoft.com/sharepoint/v3' " w:xpath="/ns0:properties[1]/documentManagement[1]/ns3:APRAApprovalDate[1]" w:storeItemID="{C24C3764-E10F-4FE5-BBF9-D1F8112D0C80}"/>
          <w:date w:fullDate="2023-05-24T00:00:00Z">
            <w:dateFormat w:val="d MMMM yyyy"/>
            <w:lid w:val="en-AU"/>
            <w:storeMappedDataAs w:val="dateTime"/>
            <w:calendar w:val="gregorian"/>
          </w:date>
        </w:sdtPr>
        <w:sdtEndPr/>
        <w:sdtContent>
          <w:r w:rsidR="008B727F">
            <w:rPr>
              <w:rFonts w:ascii="Arial" w:hAnsi="Arial" w:cs="Arial"/>
              <w:sz w:val="22"/>
              <w:szCs w:val="22"/>
            </w:rPr>
            <w:t>24 May 2023</w:t>
          </w:r>
        </w:sdtContent>
      </w:sdt>
    </w:p>
    <w:p w14:paraId="24C0282C" w14:textId="77777777" w:rsidR="00FC1C96" w:rsidRDefault="00FC1C96" w:rsidP="00FC1C96">
      <w:pPr>
        <w:autoSpaceDE w:val="0"/>
        <w:autoSpaceDN w:val="0"/>
        <w:adjustRightInd w:val="0"/>
        <w:spacing w:after="0"/>
        <w:rPr>
          <w:rFonts w:ascii="Arial" w:hAnsi="Arial" w:cs="Arial"/>
          <w:sz w:val="22"/>
          <w:szCs w:val="22"/>
        </w:rPr>
      </w:pPr>
    </w:p>
    <w:p w14:paraId="1A3C0B7D" w14:textId="77777777" w:rsidR="002508E3" w:rsidRDefault="002508E3" w:rsidP="002508E3">
      <w:pPr>
        <w:pStyle w:val="IntroTo"/>
        <w:rPr>
          <w:rFonts w:ascii="Arial" w:hAnsi="Arial" w:cs="Arial"/>
          <w:sz w:val="22"/>
          <w:szCs w:val="22"/>
        </w:rPr>
      </w:pPr>
      <w:r>
        <w:rPr>
          <w:rFonts w:ascii="Arial" w:hAnsi="Arial" w:cs="Arial"/>
          <w:sz w:val="22"/>
          <w:szCs w:val="22"/>
        </w:rPr>
        <w:t>[Signed]</w:t>
      </w:r>
    </w:p>
    <w:p w14:paraId="5E3F36DD" w14:textId="77777777" w:rsidR="002508E3" w:rsidRDefault="002508E3" w:rsidP="00FC1C96">
      <w:pPr>
        <w:autoSpaceDE w:val="0"/>
        <w:autoSpaceDN w:val="0"/>
        <w:adjustRightInd w:val="0"/>
        <w:spacing w:after="0"/>
        <w:rPr>
          <w:rFonts w:ascii="Arial" w:hAnsi="Arial" w:cs="Arial"/>
          <w:sz w:val="22"/>
          <w:szCs w:val="22"/>
        </w:rPr>
      </w:pPr>
    </w:p>
    <w:p w14:paraId="7AD1DE52" w14:textId="3135131E" w:rsidR="00FC1C96" w:rsidRDefault="00FC1C96" w:rsidP="00FC1C96">
      <w:pPr>
        <w:autoSpaceDE w:val="0"/>
        <w:autoSpaceDN w:val="0"/>
        <w:adjustRightInd w:val="0"/>
        <w:spacing w:after="0"/>
        <w:rPr>
          <w:rFonts w:ascii="Arial" w:hAnsi="Arial" w:cs="Arial"/>
          <w:sz w:val="22"/>
          <w:szCs w:val="22"/>
        </w:rPr>
      </w:pPr>
      <w:r>
        <w:rPr>
          <w:rFonts w:ascii="Arial" w:hAnsi="Arial" w:cs="Arial"/>
          <w:sz w:val="22"/>
          <w:szCs w:val="22"/>
        </w:rPr>
        <w:t>Helen Rowell</w:t>
      </w:r>
    </w:p>
    <w:p w14:paraId="604AF4C9" w14:textId="77777777" w:rsidR="00FC1C96" w:rsidRPr="00B2530E" w:rsidRDefault="00FC1C96" w:rsidP="00FC1C96">
      <w:pPr>
        <w:autoSpaceDE w:val="0"/>
        <w:autoSpaceDN w:val="0"/>
        <w:adjustRightInd w:val="0"/>
        <w:spacing w:after="0"/>
        <w:rPr>
          <w:rFonts w:ascii="Arial" w:hAnsi="Arial" w:cs="Arial"/>
          <w:sz w:val="22"/>
          <w:szCs w:val="22"/>
        </w:rPr>
      </w:pPr>
      <w:r>
        <w:rPr>
          <w:rFonts w:ascii="Arial" w:hAnsi="Arial" w:cs="Arial"/>
          <w:sz w:val="22"/>
          <w:szCs w:val="22"/>
        </w:rPr>
        <w:t xml:space="preserve">Deputy Chair </w:t>
      </w:r>
    </w:p>
    <w:p w14:paraId="322C55B1" w14:textId="77777777" w:rsidR="00626CBF" w:rsidRPr="009D7EB6" w:rsidRDefault="00626CBF" w:rsidP="00626CBF">
      <w:pPr>
        <w:spacing w:before="480" w:after="0"/>
        <w:rPr>
          <w:rFonts w:ascii="Arial" w:hAnsi="Arial" w:cs="Arial"/>
          <w:b/>
        </w:rPr>
      </w:pPr>
      <w:r w:rsidRPr="009D7EB6">
        <w:rPr>
          <w:rFonts w:ascii="Arial" w:hAnsi="Arial" w:cs="Arial"/>
          <w:b/>
        </w:rPr>
        <w:t>Interpretation</w:t>
      </w:r>
    </w:p>
    <w:p w14:paraId="69E03CF1" w14:textId="77777777" w:rsidR="00626CBF" w:rsidRDefault="00626CBF" w:rsidP="00626CBF">
      <w:pPr>
        <w:spacing w:before="120" w:after="0"/>
        <w:rPr>
          <w:rFonts w:ascii="Arial" w:hAnsi="Arial" w:cs="Arial"/>
        </w:rPr>
      </w:pPr>
      <w:r w:rsidRPr="009D7EB6">
        <w:rPr>
          <w:rFonts w:ascii="Arial" w:hAnsi="Arial" w:cs="Arial"/>
        </w:rPr>
        <w:t>In this instrument:</w:t>
      </w:r>
    </w:p>
    <w:p w14:paraId="5A8EDAFE" w14:textId="77777777" w:rsidR="00626CBF" w:rsidRPr="009D7EB6" w:rsidRDefault="00626CBF" w:rsidP="00626CBF">
      <w:pPr>
        <w:spacing w:before="120" w:after="0"/>
        <w:rPr>
          <w:rFonts w:ascii="Arial" w:hAnsi="Arial" w:cs="Arial"/>
        </w:rPr>
      </w:pPr>
    </w:p>
    <w:p w14:paraId="35741C43" w14:textId="77777777" w:rsidR="00626CBF" w:rsidRPr="00EA0A28" w:rsidRDefault="00626CBF" w:rsidP="00626CBF">
      <w:pPr>
        <w:spacing w:after="0"/>
        <w:rPr>
          <w:rFonts w:ascii="Arial" w:hAnsi="Arial" w:cs="Arial"/>
          <w:sz w:val="22"/>
          <w:szCs w:val="22"/>
        </w:rPr>
      </w:pPr>
      <w:r w:rsidRPr="00EA0A28">
        <w:rPr>
          <w:rFonts w:ascii="Arial" w:hAnsi="Arial" w:cs="Arial"/>
          <w:b/>
          <w:i/>
          <w:sz w:val="22"/>
          <w:szCs w:val="22"/>
        </w:rPr>
        <w:t>APRA</w:t>
      </w:r>
      <w:r w:rsidRPr="00EA0A28">
        <w:rPr>
          <w:rFonts w:ascii="Arial" w:hAnsi="Arial" w:cs="Arial"/>
          <w:sz w:val="22"/>
          <w:szCs w:val="22"/>
        </w:rPr>
        <w:t xml:space="preserve"> means the Australian Prudential Regulation Authority.</w:t>
      </w:r>
    </w:p>
    <w:p w14:paraId="426D15F3" w14:textId="77777777" w:rsidR="00626CBF" w:rsidRPr="00EA0A28" w:rsidRDefault="00626CBF" w:rsidP="00626CBF">
      <w:pPr>
        <w:rPr>
          <w:rFonts w:ascii="Arial" w:hAnsi="Arial" w:cs="Arial"/>
          <w:color w:val="000000"/>
          <w:sz w:val="22"/>
          <w:szCs w:val="22"/>
          <w:lang w:eastAsia="en-US"/>
        </w:rPr>
      </w:pPr>
      <w:r w:rsidRPr="00EA0A28">
        <w:rPr>
          <w:rFonts w:ascii="Arial" w:hAnsi="Arial" w:cs="Arial"/>
          <w:b/>
          <w:i/>
          <w:color w:val="000000"/>
          <w:sz w:val="22"/>
          <w:szCs w:val="22"/>
          <w:lang w:eastAsia="en-US"/>
        </w:rPr>
        <w:t>private health insurer</w:t>
      </w:r>
      <w:r w:rsidRPr="00EA0A28">
        <w:rPr>
          <w:rFonts w:ascii="Arial" w:hAnsi="Arial" w:cs="Arial"/>
          <w:color w:val="000000"/>
          <w:sz w:val="22"/>
          <w:szCs w:val="22"/>
          <w:lang w:eastAsia="en-US"/>
        </w:rPr>
        <w:t xml:space="preserve"> has the meaning given in section 4 of the Act.</w:t>
      </w:r>
    </w:p>
    <w:p w14:paraId="6DEFDC6C" w14:textId="77777777" w:rsidR="00626CBF" w:rsidRPr="009D7EB6" w:rsidRDefault="00626CBF" w:rsidP="00626CBF">
      <w:pPr>
        <w:spacing w:before="120" w:after="0"/>
        <w:rPr>
          <w:rFonts w:ascii="Arial" w:hAnsi="Arial" w:cs="Arial"/>
        </w:rPr>
      </w:pPr>
    </w:p>
    <w:p w14:paraId="25E81093" w14:textId="77777777" w:rsidR="00626CBF" w:rsidRPr="00C72C1A" w:rsidRDefault="00626CBF" w:rsidP="00626CBF">
      <w:pPr>
        <w:rPr>
          <w:rFonts w:cs="Arial"/>
        </w:rPr>
      </w:pPr>
      <w:r w:rsidRPr="00C72C1A">
        <w:rPr>
          <w:rFonts w:cs="Arial"/>
        </w:rPr>
        <w:br w:type="page"/>
      </w:r>
    </w:p>
    <w:p w14:paraId="52D09C43" w14:textId="77777777" w:rsidR="00626CBF" w:rsidRPr="00EA0A28" w:rsidRDefault="00626CBF" w:rsidP="00626CBF">
      <w:pPr>
        <w:spacing w:after="0"/>
        <w:rPr>
          <w:rFonts w:ascii="Arial" w:hAnsi="Arial" w:cs="Arial"/>
          <w:b/>
          <w:sz w:val="32"/>
          <w:szCs w:val="32"/>
        </w:rPr>
      </w:pPr>
      <w:r w:rsidRPr="00EA0A28">
        <w:rPr>
          <w:rFonts w:ascii="Arial" w:hAnsi="Arial" w:cs="Arial"/>
          <w:b/>
          <w:sz w:val="32"/>
          <w:szCs w:val="32"/>
        </w:rPr>
        <w:lastRenderedPageBreak/>
        <w:t xml:space="preserve">Schedule </w:t>
      </w:r>
    </w:p>
    <w:p w14:paraId="28078D69" w14:textId="77777777" w:rsidR="00626CBF" w:rsidRDefault="00626CBF" w:rsidP="00626CBF">
      <w:pPr>
        <w:spacing w:after="0"/>
      </w:pPr>
    </w:p>
    <w:p w14:paraId="44C8AB2B" w14:textId="77777777" w:rsidR="00626CBF" w:rsidRDefault="00626CBF" w:rsidP="00626CBF">
      <w:pPr>
        <w:jc w:val="both"/>
        <w:rPr>
          <w:rFonts w:ascii="Arial" w:hAnsi="Arial" w:cs="Arial"/>
          <w:sz w:val="22"/>
          <w:szCs w:val="22"/>
        </w:rPr>
      </w:pPr>
      <w:r w:rsidRPr="00B52D88">
        <w:rPr>
          <w:rFonts w:ascii="Arial" w:hAnsi="Arial" w:cs="Arial"/>
          <w:i/>
          <w:color w:val="000000"/>
          <w:sz w:val="22"/>
          <w:szCs w:val="22"/>
        </w:rPr>
        <w:t>Prudential Standard HPS 115 Capital Adequacy: Insurance Risk Charge</w:t>
      </w:r>
      <w:r>
        <w:rPr>
          <w:rFonts w:ascii="Arial" w:hAnsi="Arial" w:cs="Arial"/>
          <w:i/>
          <w:sz w:val="22"/>
          <w:szCs w:val="22"/>
        </w:rPr>
        <w:t>,</w:t>
      </w:r>
      <w:r w:rsidRPr="00410EEC">
        <w:rPr>
          <w:rFonts w:ascii="Arial" w:hAnsi="Arial" w:cs="Arial"/>
          <w:i/>
          <w:sz w:val="22"/>
          <w:szCs w:val="22"/>
        </w:rPr>
        <w:t xml:space="preserve"> </w:t>
      </w:r>
      <w:r w:rsidRPr="006A3108">
        <w:rPr>
          <w:rFonts w:ascii="Arial" w:hAnsi="Arial" w:cs="Arial"/>
          <w:bCs/>
          <w:sz w:val="22"/>
          <w:szCs w:val="22"/>
        </w:rPr>
        <w:t>comprises the document commencing on the following page.</w:t>
      </w:r>
      <w:r w:rsidRPr="006A3108">
        <w:rPr>
          <w:rFonts w:ascii="Arial" w:hAnsi="Arial" w:cs="Arial"/>
          <w:sz w:val="22"/>
          <w:szCs w:val="22"/>
        </w:rPr>
        <w:t xml:space="preserve"> </w:t>
      </w:r>
    </w:p>
    <w:p w14:paraId="0219F49E" w14:textId="77777777" w:rsidR="00B22168" w:rsidRDefault="00B22168" w:rsidP="003B52EB">
      <w:pPr>
        <w:spacing w:after="0"/>
      </w:pPr>
    </w:p>
    <w:p w14:paraId="7AF33665" w14:textId="2D8FD638" w:rsidR="00E2589E" w:rsidRDefault="00E2589E" w:rsidP="003B52EB">
      <w:pPr>
        <w:spacing w:after="0"/>
        <w:sectPr w:rsidR="00E2589E" w:rsidSect="000D63A8">
          <w:headerReference w:type="even" r:id="rId12"/>
          <w:headerReference w:type="default" r:id="rId13"/>
          <w:footerReference w:type="even" r:id="rId14"/>
          <w:footerReference w:type="default" r:id="rId15"/>
          <w:headerReference w:type="first" r:id="rId16"/>
          <w:footerReference w:type="first" r:id="rId17"/>
          <w:pgSz w:w="11906" w:h="16838" w:code="9"/>
          <w:pgMar w:top="1440" w:right="1797" w:bottom="1440" w:left="1797" w:header="709" w:footer="709" w:gutter="0"/>
          <w:cols w:space="708"/>
          <w:docGrid w:linePitch="360"/>
        </w:sectPr>
      </w:pPr>
    </w:p>
    <w:p w14:paraId="7441B7D5" w14:textId="7AFA70F1" w:rsidR="003B52EB" w:rsidRDefault="00506079" w:rsidP="003B52EB">
      <w:pPr>
        <w:spacing w:after="0"/>
      </w:pPr>
      <w:r>
        <w:rPr>
          <w:noProof/>
          <w:lang w:val="en-US" w:eastAsia="en-US"/>
        </w:rPr>
        <w:lastRenderedPageBreak/>
        <w:drawing>
          <wp:inline distT="0" distB="0" distL="0" distR="0" wp14:anchorId="4BA819AB" wp14:editId="698171AF">
            <wp:extent cx="1485900" cy="1095375"/>
            <wp:effectExtent l="0" t="0" r="0" b="9525"/>
            <wp:docPr id="2"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mmonwealth Coat of Arm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inline>
        </w:drawing>
      </w:r>
    </w:p>
    <w:p w14:paraId="0607247F" w14:textId="77777777" w:rsidR="00DA3651" w:rsidRPr="00E32E0E" w:rsidRDefault="006A6A52" w:rsidP="001F6B8D">
      <w:pPr>
        <w:pStyle w:val="Title"/>
      </w:pPr>
      <w:bookmarkStart w:id="1" w:name="_Toc326937696"/>
      <w:r w:rsidRPr="001F6B8D">
        <w:t>Prudential</w:t>
      </w:r>
      <w:r w:rsidRPr="009B6212">
        <w:t xml:space="preserve"> Standard</w:t>
      </w:r>
      <w:r w:rsidRPr="00E07F40">
        <w:rPr>
          <w:rStyle w:val="PSNofieldtext"/>
        </w:rPr>
        <w:t xml:space="preserve"> </w:t>
      </w:r>
      <w:r w:rsidR="00C8002C" w:rsidRPr="00CC30D3">
        <w:rPr>
          <w:rStyle w:val="PSNofieldtext"/>
        </w:rPr>
        <w:t>HPS</w:t>
      </w:r>
      <w:r w:rsidR="00C8002C">
        <w:rPr>
          <w:rStyle w:val="PSNofieldtext"/>
        </w:rPr>
        <w:t xml:space="preserve"> 115</w:t>
      </w:r>
      <w:r w:rsidR="009B6212" w:rsidRPr="009B6212">
        <w:t xml:space="preserve">  </w:t>
      </w:r>
    </w:p>
    <w:bookmarkEnd w:id="1"/>
    <w:p w14:paraId="5B0FCAAA" w14:textId="77777777" w:rsidR="00BC2D08" w:rsidRPr="00110917" w:rsidRDefault="00C8002C" w:rsidP="001F6B8D">
      <w:pPr>
        <w:pStyle w:val="Title"/>
      </w:pPr>
      <w:r>
        <w:rPr>
          <w:rStyle w:val="PSNamefieldtext"/>
        </w:rPr>
        <w:t xml:space="preserve">Capital Adequacy: Insurance Risk Charge </w:t>
      </w:r>
      <w:r w:rsidR="00110917" w:rsidRPr="00110917">
        <w:t xml:space="preserve"> </w:t>
      </w:r>
      <w:r w:rsidR="00110917">
        <w:t xml:space="preserve"> </w:t>
      </w:r>
    </w:p>
    <w:tbl>
      <w:tblPr>
        <w:tblStyle w:val="TableGrid"/>
        <w:tblW w:w="0" w:type="auto"/>
        <w:shd w:val="clear" w:color="auto" w:fill="DDDDDD"/>
        <w:tblLook w:val="04A0" w:firstRow="1" w:lastRow="0" w:firstColumn="1" w:lastColumn="0" w:noHBand="0" w:noVBand="1"/>
      </w:tblPr>
      <w:tblGrid>
        <w:gridCol w:w="8302"/>
      </w:tblGrid>
      <w:tr w:rsidR="0048511B" w14:paraId="26455463" w14:textId="77777777" w:rsidTr="00DF539C">
        <w:tc>
          <w:tcPr>
            <w:tcW w:w="8528" w:type="dxa"/>
            <w:shd w:val="clear" w:color="auto" w:fill="DDDDDD"/>
          </w:tcPr>
          <w:p w14:paraId="07DED43F" w14:textId="77777777" w:rsidR="003C46D7" w:rsidRPr="00B37C03" w:rsidRDefault="003C46D7" w:rsidP="00656D42">
            <w:pPr>
              <w:pStyle w:val="BoxHeading"/>
            </w:pPr>
            <w:r w:rsidRPr="00B37C03">
              <w:t xml:space="preserve">Objectives and key requirements of this Prudential </w:t>
            </w:r>
            <w:r w:rsidRPr="00173A04">
              <w:t>Standard</w:t>
            </w:r>
          </w:p>
          <w:p w14:paraId="0A812B5D" w14:textId="77777777" w:rsidR="00C8002C" w:rsidRPr="009621DE" w:rsidRDefault="00C8002C" w:rsidP="00C8002C">
            <w:pPr>
              <w:rPr>
                <w:bCs/>
              </w:rPr>
            </w:pPr>
            <w:r w:rsidRPr="009621DE">
              <w:rPr>
                <w:bCs/>
              </w:rPr>
              <w:t xml:space="preserve">This Prudential Standard requires a private health insurer to maintain adequate capital against the insurance risks associated with its insurance activities. </w:t>
            </w:r>
          </w:p>
          <w:p w14:paraId="18694449" w14:textId="77777777" w:rsidR="00C8002C" w:rsidRPr="009621DE" w:rsidRDefault="00C8002C" w:rsidP="00C8002C">
            <w:r w:rsidRPr="009621DE">
              <w:t>The ultimate responsibility for the prudent management of capital of a private health insurer rests with its Board of directors. The Board must ensure that the private health insurer maintains an adequate level and quality of capital commensurate with the scale, nature and complexity of its business and risk profile, such that it is able to meet its obligations under a wide range of circumstances.</w:t>
            </w:r>
          </w:p>
          <w:p w14:paraId="196D7286" w14:textId="77777777" w:rsidR="00C8002C" w:rsidRPr="009621DE" w:rsidRDefault="00C8002C" w:rsidP="00C8002C">
            <w:r w:rsidRPr="009621DE">
              <w:t xml:space="preserve">The Insurance Risk Charge is the minimum amount of capital required to be held against insurance risks. </w:t>
            </w:r>
          </w:p>
          <w:p w14:paraId="16CF3588" w14:textId="77777777" w:rsidR="00173A04" w:rsidRDefault="00C8002C" w:rsidP="00C8002C">
            <w:r w:rsidRPr="009621DE">
              <w:t>This Prudential Standard sets out the method for calculating the Insurance Risk Charge. This charge is one of the components of the prescribed capital amount for private health insurers.</w:t>
            </w:r>
          </w:p>
        </w:tc>
      </w:tr>
    </w:tbl>
    <w:p w14:paraId="4CC3135C" w14:textId="77777777" w:rsidR="00BC2D08" w:rsidRDefault="00BC2D08" w:rsidP="00BC2D08">
      <w:pPr>
        <w:spacing w:after="0"/>
      </w:pPr>
    </w:p>
    <w:p w14:paraId="72CA8F81" w14:textId="77777777" w:rsidR="00C67A76" w:rsidRDefault="00C67A76" w:rsidP="00C67A76"/>
    <w:p w14:paraId="734173DD" w14:textId="77777777" w:rsidR="00C67A76" w:rsidRDefault="00C67A76" w:rsidP="00C67A76">
      <w:pPr>
        <w:sectPr w:rsidR="00C67A76" w:rsidSect="00B22168">
          <w:headerReference w:type="default" r:id="rId19"/>
          <w:footerReference w:type="default" r:id="rId20"/>
          <w:pgSz w:w="11906" w:h="16838" w:code="9"/>
          <w:pgMar w:top="1440" w:right="1797" w:bottom="1440" w:left="1797" w:header="709" w:footer="709" w:gutter="0"/>
          <w:pgNumType w:start="1"/>
          <w:cols w:space="708"/>
          <w:docGrid w:linePitch="360"/>
        </w:sectPr>
      </w:pPr>
    </w:p>
    <w:p w14:paraId="3106D049" w14:textId="77777777" w:rsidR="00C6788C" w:rsidRDefault="009D467A" w:rsidP="001F6B8D">
      <w:pPr>
        <w:pStyle w:val="TOCHeading"/>
      </w:pPr>
      <w:bookmarkStart w:id="2" w:name="_Toc326676936"/>
      <w:bookmarkStart w:id="3" w:name="_Toc326756341"/>
      <w:bookmarkStart w:id="4" w:name="_Toc256519850"/>
      <w:r>
        <w:lastRenderedPageBreak/>
        <w:t>Table of Contents</w:t>
      </w:r>
    </w:p>
    <w:p w14:paraId="2C28413E" w14:textId="4A535D24" w:rsidR="008F2FC3" w:rsidRDefault="009B0A33">
      <w:pPr>
        <w:pStyle w:val="TOC1"/>
        <w:rPr>
          <w:rFonts w:asciiTheme="minorHAnsi" w:eastAsiaTheme="minorEastAsia" w:hAnsiTheme="minorHAnsi" w:cstheme="minorBidi"/>
          <w:sz w:val="22"/>
          <w:szCs w:val="22"/>
        </w:rPr>
      </w:pPr>
      <w:r>
        <w:rPr>
          <w:rFonts w:ascii="Arial" w:hAnsi="Arial"/>
        </w:rPr>
        <w:fldChar w:fldCharType="begin"/>
      </w:r>
      <w:r w:rsidR="00C6788C" w:rsidRPr="009D467A">
        <w:instrText xml:space="preserve"> TOC \o "</w:instrText>
      </w:r>
      <w:r w:rsidR="00E96B6D">
        <w:instrText>1</w:instrText>
      </w:r>
      <w:r w:rsidR="00C86748">
        <w:instrText>-4</w:instrText>
      </w:r>
      <w:r w:rsidR="00C6788C" w:rsidRPr="009D467A">
        <w:instrText xml:space="preserve">" \h \z \u </w:instrText>
      </w:r>
      <w:r>
        <w:rPr>
          <w:rFonts w:ascii="Arial" w:hAnsi="Arial"/>
        </w:rPr>
        <w:fldChar w:fldCharType="separate"/>
      </w:r>
      <w:hyperlink w:anchor="_Toc109394477" w:history="1">
        <w:r w:rsidR="008F2FC3" w:rsidRPr="00DB32C7">
          <w:rPr>
            <w:rStyle w:val="Hyperlink"/>
          </w:rPr>
          <w:t>Authority</w:t>
        </w:r>
        <w:r w:rsidR="008F2FC3">
          <w:rPr>
            <w:webHidden/>
          </w:rPr>
          <w:tab/>
        </w:r>
        <w:r w:rsidR="008F2FC3">
          <w:rPr>
            <w:webHidden/>
          </w:rPr>
          <w:fldChar w:fldCharType="begin"/>
        </w:r>
        <w:r w:rsidR="008F2FC3">
          <w:rPr>
            <w:webHidden/>
          </w:rPr>
          <w:instrText xml:space="preserve"> PAGEREF _Toc109394477 \h </w:instrText>
        </w:r>
        <w:r w:rsidR="008F2FC3">
          <w:rPr>
            <w:webHidden/>
          </w:rPr>
        </w:r>
        <w:r w:rsidR="008F2FC3">
          <w:rPr>
            <w:webHidden/>
          </w:rPr>
          <w:fldChar w:fldCharType="separate"/>
        </w:r>
        <w:r w:rsidR="00925952">
          <w:rPr>
            <w:webHidden/>
          </w:rPr>
          <w:t>3</w:t>
        </w:r>
        <w:r w:rsidR="008F2FC3">
          <w:rPr>
            <w:webHidden/>
          </w:rPr>
          <w:fldChar w:fldCharType="end"/>
        </w:r>
      </w:hyperlink>
    </w:p>
    <w:p w14:paraId="1F5BAD82" w14:textId="23A2104B" w:rsidR="008F2FC3" w:rsidRDefault="00F75830">
      <w:pPr>
        <w:pStyle w:val="TOC1"/>
        <w:rPr>
          <w:rFonts w:asciiTheme="minorHAnsi" w:eastAsiaTheme="minorEastAsia" w:hAnsiTheme="minorHAnsi" w:cstheme="minorBidi"/>
          <w:sz w:val="22"/>
          <w:szCs w:val="22"/>
        </w:rPr>
      </w:pPr>
      <w:hyperlink w:anchor="_Toc109394478" w:history="1">
        <w:r w:rsidR="008F2FC3" w:rsidRPr="00DB32C7">
          <w:rPr>
            <w:rStyle w:val="Hyperlink"/>
          </w:rPr>
          <w:t>Application and commencement</w:t>
        </w:r>
        <w:r w:rsidR="008F2FC3">
          <w:rPr>
            <w:webHidden/>
          </w:rPr>
          <w:tab/>
        </w:r>
        <w:r w:rsidR="008F2FC3">
          <w:rPr>
            <w:webHidden/>
          </w:rPr>
          <w:fldChar w:fldCharType="begin"/>
        </w:r>
        <w:r w:rsidR="008F2FC3">
          <w:rPr>
            <w:webHidden/>
          </w:rPr>
          <w:instrText xml:space="preserve"> PAGEREF _Toc109394478 \h </w:instrText>
        </w:r>
        <w:r w:rsidR="008F2FC3">
          <w:rPr>
            <w:webHidden/>
          </w:rPr>
        </w:r>
        <w:r w:rsidR="008F2FC3">
          <w:rPr>
            <w:webHidden/>
          </w:rPr>
          <w:fldChar w:fldCharType="separate"/>
        </w:r>
        <w:r w:rsidR="00925952">
          <w:rPr>
            <w:webHidden/>
          </w:rPr>
          <w:t>3</w:t>
        </w:r>
        <w:r w:rsidR="008F2FC3">
          <w:rPr>
            <w:webHidden/>
          </w:rPr>
          <w:fldChar w:fldCharType="end"/>
        </w:r>
      </w:hyperlink>
    </w:p>
    <w:p w14:paraId="1B1C20BB" w14:textId="4C0FE765" w:rsidR="008F2FC3" w:rsidRDefault="00F75830">
      <w:pPr>
        <w:pStyle w:val="TOC1"/>
        <w:rPr>
          <w:rFonts w:asciiTheme="minorHAnsi" w:eastAsiaTheme="minorEastAsia" w:hAnsiTheme="minorHAnsi" w:cstheme="minorBidi"/>
          <w:sz w:val="22"/>
          <w:szCs w:val="22"/>
        </w:rPr>
      </w:pPr>
      <w:hyperlink w:anchor="_Toc109394479" w:history="1">
        <w:r w:rsidR="008F2FC3" w:rsidRPr="00DB32C7">
          <w:rPr>
            <w:rStyle w:val="Hyperlink"/>
          </w:rPr>
          <w:t>Interpretation</w:t>
        </w:r>
        <w:r w:rsidR="008F2FC3">
          <w:rPr>
            <w:webHidden/>
          </w:rPr>
          <w:tab/>
        </w:r>
        <w:r w:rsidR="008F2FC3">
          <w:rPr>
            <w:webHidden/>
          </w:rPr>
          <w:fldChar w:fldCharType="begin"/>
        </w:r>
        <w:r w:rsidR="008F2FC3">
          <w:rPr>
            <w:webHidden/>
          </w:rPr>
          <w:instrText xml:space="preserve"> PAGEREF _Toc109394479 \h </w:instrText>
        </w:r>
        <w:r w:rsidR="008F2FC3">
          <w:rPr>
            <w:webHidden/>
          </w:rPr>
        </w:r>
        <w:r w:rsidR="008F2FC3">
          <w:rPr>
            <w:webHidden/>
          </w:rPr>
          <w:fldChar w:fldCharType="separate"/>
        </w:r>
        <w:r w:rsidR="00925952">
          <w:rPr>
            <w:webHidden/>
          </w:rPr>
          <w:t>3</w:t>
        </w:r>
        <w:r w:rsidR="008F2FC3">
          <w:rPr>
            <w:webHidden/>
          </w:rPr>
          <w:fldChar w:fldCharType="end"/>
        </w:r>
      </w:hyperlink>
    </w:p>
    <w:p w14:paraId="21206ADF" w14:textId="35A7C6DA" w:rsidR="008F2FC3" w:rsidRDefault="00F75830">
      <w:pPr>
        <w:pStyle w:val="TOC1"/>
        <w:rPr>
          <w:rFonts w:asciiTheme="minorHAnsi" w:eastAsiaTheme="minorEastAsia" w:hAnsiTheme="minorHAnsi" w:cstheme="minorBidi"/>
          <w:sz w:val="22"/>
          <w:szCs w:val="22"/>
        </w:rPr>
      </w:pPr>
      <w:hyperlink w:anchor="_Toc109394480" w:history="1">
        <w:r w:rsidR="008F2FC3" w:rsidRPr="00DB32C7">
          <w:rPr>
            <w:rStyle w:val="Hyperlink"/>
          </w:rPr>
          <w:t>Insurance Risk Charge</w:t>
        </w:r>
        <w:r w:rsidR="008F2FC3">
          <w:rPr>
            <w:webHidden/>
          </w:rPr>
          <w:tab/>
        </w:r>
        <w:r w:rsidR="008F2FC3">
          <w:rPr>
            <w:webHidden/>
          </w:rPr>
          <w:fldChar w:fldCharType="begin"/>
        </w:r>
        <w:r w:rsidR="008F2FC3">
          <w:rPr>
            <w:webHidden/>
          </w:rPr>
          <w:instrText xml:space="preserve"> PAGEREF _Toc109394480 \h </w:instrText>
        </w:r>
        <w:r w:rsidR="008F2FC3">
          <w:rPr>
            <w:webHidden/>
          </w:rPr>
        </w:r>
        <w:r w:rsidR="008F2FC3">
          <w:rPr>
            <w:webHidden/>
          </w:rPr>
          <w:fldChar w:fldCharType="separate"/>
        </w:r>
        <w:r w:rsidR="00925952">
          <w:rPr>
            <w:webHidden/>
          </w:rPr>
          <w:t>3</w:t>
        </w:r>
        <w:r w:rsidR="008F2FC3">
          <w:rPr>
            <w:webHidden/>
          </w:rPr>
          <w:fldChar w:fldCharType="end"/>
        </w:r>
      </w:hyperlink>
    </w:p>
    <w:p w14:paraId="73B0A4AE" w14:textId="234F1FE8" w:rsidR="008F2FC3" w:rsidRDefault="00F75830">
      <w:pPr>
        <w:pStyle w:val="TOC1"/>
        <w:rPr>
          <w:rFonts w:asciiTheme="minorHAnsi" w:eastAsiaTheme="minorEastAsia" w:hAnsiTheme="minorHAnsi" w:cstheme="minorBidi"/>
          <w:sz w:val="22"/>
          <w:szCs w:val="22"/>
        </w:rPr>
      </w:pPr>
      <w:hyperlink w:anchor="_Toc109394481" w:history="1">
        <w:r w:rsidR="008F2FC3" w:rsidRPr="00DB32C7">
          <w:rPr>
            <w:rStyle w:val="Hyperlink"/>
          </w:rPr>
          <w:t>Insurance Liability Risk Charge</w:t>
        </w:r>
        <w:r w:rsidR="008F2FC3">
          <w:rPr>
            <w:webHidden/>
          </w:rPr>
          <w:tab/>
        </w:r>
        <w:r w:rsidR="008F2FC3">
          <w:rPr>
            <w:webHidden/>
          </w:rPr>
          <w:fldChar w:fldCharType="begin"/>
        </w:r>
        <w:r w:rsidR="008F2FC3">
          <w:rPr>
            <w:webHidden/>
          </w:rPr>
          <w:instrText xml:space="preserve"> PAGEREF _Toc109394481 \h </w:instrText>
        </w:r>
        <w:r w:rsidR="008F2FC3">
          <w:rPr>
            <w:webHidden/>
          </w:rPr>
        </w:r>
        <w:r w:rsidR="008F2FC3">
          <w:rPr>
            <w:webHidden/>
          </w:rPr>
          <w:fldChar w:fldCharType="separate"/>
        </w:r>
        <w:r w:rsidR="00925952">
          <w:rPr>
            <w:webHidden/>
          </w:rPr>
          <w:t>3</w:t>
        </w:r>
        <w:r w:rsidR="008F2FC3">
          <w:rPr>
            <w:webHidden/>
          </w:rPr>
          <w:fldChar w:fldCharType="end"/>
        </w:r>
      </w:hyperlink>
    </w:p>
    <w:p w14:paraId="5CA997F8" w14:textId="4DD27016" w:rsidR="008F2FC3" w:rsidRDefault="00F75830">
      <w:pPr>
        <w:pStyle w:val="TOC1"/>
        <w:rPr>
          <w:rFonts w:asciiTheme="minorHAnsi" w:eastAsiaTheme="minorEastAsia" w:hAnsiTheme="minorHAnsi" w:cstheme="minorBidi"/>
          <w:sz w:val="22"/>
          <w:szCs w:val="22"/>
        </w:rPr>
      </w:pPr>
      <w:hyperlink w:anchor="_Toc109394486" w:history="1">
        <w:r w:rsidR="008F2FC3" w:rsidRPr="00DB32C7">
          <w:rPr>
            <w:rStyle w:val="Hyperlink"/>
          </w:rPr>
          <w:t>Future Exposure Risk Charge</w:t>
        </w:r>
        <w:r w:rsidR="008F2FC3">
          <w:rPr>
            <w:webHidden/>
          </w:rPr>
          <w:tab/>
        </w:r>
        <w:r w:rsidR="008F2FC3">
          <w:rPr>
            <w:webHidden/>
          </w:rPr>
          <w:fldChar w:fldCharType="begin"/>
        </w:r>
        <w:r w:rsidR="008F2FC3">
          <w:rPr>
            <w:webHidden/>
          </w:rPr>
          <w:instrText xml:space="preserve"> PAGEREF _Toc109394486 \h </w:instrText>
        </w:r>
        <w:r w:rsidR="008F2FC3">
          <w:rPr>
            <w:webHidden/>
          </w:rPr>
        </w:r>
        <w:r w:rsidR="008F2FC3">
          <w:rPr>
            <w:webHidden/>
          </w:rPr>
          <w:fldChar w:fldCharType="separate"/>
        </w:r>
        <w:r w:rsidR="00925952">
          <w:rPr>
            <w:webHidden/>
          </w:rPr>
          <w:t>6</w:t>
        </w:r>
        <w:r w:rsidR="008F2FC3">
          <w:rPr>
            <w:webHidden/>
          </w:rPr>
          <w:fldChar w:fldCharType="end"/>
        </w:r>
      </w:hyperlink>
    </w:p>
    <w:p w14:paraId="7137DBC8" w14:textId="67DE0A8C" w:rsidR="008F2FC3" w:rsidRDefault="00F75830" w:rsidP="000A0ACD">
      <w:pPr>
        <w:pStyle w:val="TOC1"/>
        <w:ind w:left="8302" w:hanging="8302"/>
        <w:rPr>
          <w:rFonts w:asciiTheme="minorHAnsi" w:eastAsiaTheme="minorEastAsia" w:hAnsiTheme="minorHAnsi" w:cstheme="minorBidi"/>
          <w:sz w:val="22"/>
          <w:szCs w:val="22"/>
        </w:rPr>
      </w:pPr>
      <w:hyperlink w:anchor="_Toc109394487" w:history="1">
        <w:r w:rsidR="008F2FC3" w:rsidRPr="00DB32C7">
          <w:rPr>
            <w:rStyle w:val="Hyperlink"/>
          </w:rPr>
          <w:t>Future Exposure Risk Charge – Health Insurance Business</w:t>
        </w:r>
        <w:r w:rsidR="008F2FC3">
          <w:rPr>
            <w:webHidden/>
          </w:rPr>
          <w:tab/>
        </w:r>
        <w:r w:rsidR="008F2FC3">
          <w:rPr>
            <w:webHidden/>
          </w:rPr>
          <w:fldChar w:fldCharType="begin"/>
        </w:r>
        <w:r w:rsidR="008F2FC3">
          <w:rPr>
            <w:webHidden/>
          </w:rPr>
          <w:instrText xml:space="preserve"> PAGEREF _Toc109394487 \h </w:instrText>
        </w:r>
        <w:r w:rsidR="008F2FC3">
          <w:rPr>
            <w:webHidden/>
          </w:rPr>
        </w:r>
        <w:r w:rsidR="008F2FC3">
          <w:rPr>
            <w:webHidden/>
          </w:rPr>
          <w:fldChar w:fldCharType="separate"/>
        </w:r>
        <w:r w:rsidR="00925952">
          <w:rPr>
            <w:webHidden/>
          </w:rPr>
          <w:t>7</w:t>
        </w:r>
        <w:r w:rsidR="008F2FC3">
          <w:rPr>
            <w:webHidden/>
          </w:rPr>
          <w:fldChar w:fldCharType="end"/>
        </w:r>
      </w:hyperlink>
    </w:p>
    <w:p w14:paraId="1AE725C1" w14:textId="47757AAE" w:rsidR="008F2FC3" w:rsidRDefault="00F75830">
      <w:pPr>
        <w:pStyle w:val="TOC1"/>
        <w:rPr>
          <w:rFonts w:asciiTheme="minorHAnsi" w:eastAsiaTheme="minorEastAsia" w:hAnsiTheme="minorHAnsi" w:cstheme="minorBidi"/>
          <w:sz w:val="22"/>
          <w:szCs w:val="22"/>
        </w:rPr>
      </w:pPr>
      <w:hyperlink w:anchor="_Toc109394490" w:history="1">
        <w:r w:rsidR="008F2FC3" w:rsidRPr="00DB32C7">
          <w:rPr>
            <w:rStyle w:val="Hyperlink"/>
          </w:rPr>
          <w:t>Future Exposure Risk Charge – Health-related Insurance Business</w:t>
        </w:r>
        <w:r w:rsidR="008F2FC3">
          <w:rPr>
            <w:webHidden/>
          </w:rPr>
          <w:tab/>
        </w:r>
        <w:r w:rsidR="008F2FC3">
          <w:rPr>
            <w:webHidden/>
          </w:rPr>
          <w:fldChar w:fldCharType="begin"/>
        </w:r>
        <w:r w:rsidR="008F2FC3">
          <w:rPr>
            <w:webHidden/>
          </w:rPr>
          <w:instrText xml:space="preserve"> PAGEREF _Toc109394490 \h </w:instrText>
        </w:r>
        <w:r w:rsidR="008F2FC3">
          <w:rPr>
            <w:webHidden/>
          </w:rPr>
        </w:r>
        <w:r w:rsidR="008F2FC3">
          <w:rPr>
            <w:webHidden/>
          </w:rPr>
          <w:fldChar w:fldCharType="separate"/>
        </w:r>
        <w:r w:rsidR="00925952">
          <w:rPr>
            <w:webHidden/>
          </w:rPr>
          <w:t>8</w:t>
        </w:r>
        <w:r w:rsidR="008F2FC3">
          <w:rPr>
            <w:webHidden/>
          </w:rPr>
          <w:fldChar w:fldCharType="end"/>
        </w:r>
      </w:hyperlink>
    </w:p>
    <w:p w14:paraId="30A02353" w14:textId="270F2BBD" w:rsidR="008F2FC3" w:rsidRDefault="00F75830">
      <w:pPr>
        <w:pStyle w:val="TOC1"/>
        <w:rPr>
          <w:rFonts w:asciiTheme="minorHAnsi" w:eastAsiaTheme="minorEastAsia" w:hAnsiTheme="minorHAnsi" w:cstheme="minorBidi"/>
          <w:sz w:val="22"/>
          <w:szCs w:val="22"/>
        </w:rPr>
      </w:pPr>
      <w:hyperlink w:anchor="_Toc109394491" w:history="1">
        <w:r w:rsidR="008F2FC3" w:rsidRPr="00DB32C7">
          <w:rPr>
            <w:rStyle w:val="Hyperlink"/>
          </w:rPr>
          <w:t>Management actions</w:t>
        </w:r>
        <w:r w:rsidR="008F2FC3">
          <w:rPr>
            <w:webHidden/>
          </w:rPr>
          <w:tab/>
        </w:r>
        <w:r w:rsidR="008F2FC3">
          <w:rPr>
            <w:webHidden/>
          </w:rPr>
          <w:fldChar w:fldCharType="begin"/>
        </w:r>
        <w:r w:rsidR="008F2FC3">
          <w:rPr>
            <w:webHidden/>
          </w:rPr>
          <w:instrText xml:space="preserve"> PAGEREF _Toc109394491 \h </w:instrText>
        </w:r>
        <w:r w:rsidR="008F2FC3">
          <w:rPr>
            <w:webHidden/>
          </w:rPr>
        </w:r>
        <w:r w:rsidR="008F2FC3">
          <w:rPr>
            <w:webHidden/>
          </w:rPr>
          <w:fldChar w:fldCharType="separate"/>
        </w:r>
        <w:r w:rsidR="00925952">
          <w:rPr>
            <w:webHidden/>
          </w:rPr>
          <w:t>8</w:t>
        </w:r>
        <w:r w:rsidR="008F2FC3">
          <w:rPr>
            <w:webHidden/>
          </w:rPr>
          <w:fldChar w:fldCharType="end"/>
        </w:r>
      </w:hyperlink>
    </w:p>
    <w:p w14:paraId="0A77E233" w14:textId="3EBCCCD1" w:rsidR="008F2FC3" w:rsidRDefault="00F75830">
      <w:pPr>
        <w:pStyle w:val="TOC1"/>
        <w:rPr>
          <w:rFonts w:asciiTheme="minorHAnsi" w:eastAsiaTheme="minorEastAsia" w:hAnsiTheme="minorHAnsi" w:cstheme="minorBidi"/>
          <w:sz w:val="22"/>
          <w:szCs w:val="22"/>
        </w:rPr>
      </w:pPr>
      <w:hyperlink w:anchor="_Toc109394492" w:history="1">
        <w:r w:rsidR="008F2FC3" w:rsidRPr="00DB32C7">
          <w:rPr>
            <w:rStyle w:val="Hyperlink"/>
          </w:rPr>
          <w:t>Discounting of the Future Exposure Risk Charge</w:t>
        </w:r>
        <w:r w:rsidR="008F2FC3">
          <w:rPr>
            <w:webHidden/>
          </w:rPr>
          <w:tab/>
        </w:r>
        <w:r w:rsidR="008F2FC3">
          <w:rPr>
            <w:webHidden/>
          </w:rPr>
          <w:fldChar w:fldCharType="begin"/>
        </w:r>
        <w:r w:rsidR="008F2FC3">
          <w:rPr>
            <w:webHidden/>
          </w:rPr>
          <w:instrText xml:space="preserve"> PAGEREF _Toc109394492 \h </w:instrText>
        </w:r>
        <w:r w:rsidR="008F2FC3">
          <w:rPr>
            <w:webHidden/>
          </w:rPr>
        </w:r>
        <w:r w:rsidR="008F2FC3">
          <w:rPr>
            <w:webHidden/>
          </w:rPr>
          <w:fldChar w:fldCharType="separate"/>
        </w:r>
        <w:r w:rsidR="00925952">
          <w:rPr>
            <w:webHidden/>
          </w:rPr>
          <w:t>8</w:t>
        </w:r>
        <w:r w:rsidR="008F2FC3">
          <w:rPr>
            <w:webHidden/>
          </w:rPr>
          <w:fldChar w:fldCharType="end"/>
        </w:r>
      </w:hyperlink>
    </w:p>
    <w:p w14:paraId="342D7719" w14:textId="0FFF8EE4" w:rsidR="008F2FC3" w:rsidRDefault="00F75830">
      <w:pPr>
        <w:pStyle w:val="TOC1"/>
        <w:rPr>
          <w:rFonts w:asciiTheme="minorHAnsi" w:eastAsiaTheme="minorEastAsia" w:hAnsiTheme="minorHAnsi" w:cstheme="minorBidi"/>
          <w:sz w:val="22"/>
          <w:szCs w:val="22"/>
        </w:rPr>
      </w:pPr>
      <w:hyperlink w:anchor="_Toc109394493" w:history="1">
        <w:r w:rsidR="008F2FC3" w:rsidRPr="00DB32C7">
          <w:rPr>
            <w:rStyle w:val="Hyperlink"/>
          </w:rPr>
          <w:t>Deferred Claims Liability</w:t>
        </w:r>
        <w:r w:rsidR="00D150D9">
          <w:rPr>
            <w:rStyle w:val="Hyperlink"/>
          </w:rPr>
          <w:t xml:space="preserve"> Risk</w:t>
        </w:r>
        <w:r w:rsidR="008F2FC3" w:rsidRPr="00DB32C7">
          <w:rPr>
            <w:rStyle w:val="Hyperlink"/>
          </w:rPr>
          <w:t xml:space="preserve"> Charge</w:t>
        </w:r>
        <w:r w:rsidR="008F2FC3">
          <w:rPr>
            <w:webHidden/>
          </w:rPr>
          <w:tab/>
        </w:r>
        <w:r w:rsidR="008F2FC3">
          <w:rPr>
            <w:webHidden/>
          </w:rPr>
          <w:fldChar w:fldCharType="begin"/>
        </w:r>
        <w:r w:rsidR="008F2FC3">
          <w:rPr>
            <w:webHidden/>
          </w:rPr>
          <w:instrText xml:space="preserve"> PAGEREF _Toc109394493 \h </w:instrText>
        </w:r>
        <w:r w:rsidR="008F2FC3">
          <w:rPr>
            <w:webHidden/>
          </w:rPr>
        </w:r>
        <w:r w:rsidR="008F2FC3">
          <w:rPr>
            <w:webHidden/>
          </w:rPr>
          <w:fldChar w:fldCharType="separate"/>
        </w:r>
        <w:r w:rsidR="00925952">
          <w:rPr>
            <w:webHidden/>
          </w:rPr>
          <w:t>9</w:t>
        </w:r>
        <w:r w:rsidR="008F2FC3">
          <w:rPr>
            <w:webHidden/>
          </w:rPr>
          <w:fldChar w:fldCharType="end"/>
        </w:r>
      </w:hyperlink>
    </w:p>
    <w:p w14:paraId="4F3ED93E" w14:textId="69CDE4FA" w:rsidR="008F2FC3" w:rsidRDefault="00F75830">
      <w:pPr>
        <w:pStyle w:val="TOC1"/>
        <w:rPr>
          <w:rFonts w:asciiTheme="minorHAnsi" w:eastAsiaTheme="minorEastAsia" w:hAnsiTheme="minorHAnsi" w:cstheme="minorBidi"/>
          <w:sz w:val="22"/>
          <w:szCs w:val="22"/>
        </w:rPr>
      </w:pPr>
      <w:hyperlink w:anchor="_Toc109394494" w:history="1">
        <w:r w:rsidR="008F2FC3" w:rsidRPr="00DB32C7">
          <w:rPr>
            <w:rStyle w:val="Hyperlink"/>
          </w:rPr>
          <w:t>Tax benefits</w:t>
        </w:r>
        <w:r w:rsidR="008F2FC3">
          <w:rPr>
            <w:webHidden/>
          </w:rPr>
          <w:tab/>
        </w:r>
        <w:r w:rsidR="008F2FC3">
          <w:rPr>
            <w:webHidden/>
          </w:rPr>
          <w:fldChar w:fldCharType="begin"/>
        </w:r>
        <w:r w:rsidR="008F2FC3">
          <w:rPr>
            <w:webHidden/>
          </w:rPr>
          <w:instrText xml:space="preserve"> PAGEREF _Toc109394494 \h </w:instrText>
        </w:r>
        <w:r w:rsidR="008F2FC3">
          <w:rPr>
            <w:webHidden/>
          </w:rPr>
        </w:r>
        <w:r w:rsidR="008F2FC3">
          <w:rPr>
            <w:webHidden/>
          </w:rPr>
          <w:fldChar w:fldCharType="separate"/>
        </w:r>
        <w:r w:rsidR="00925952">
          <w:rPr>
            <w:webHidden/>
          </w:rPr>
          <w:t>9</w:t>
        </w:r>
        <w:r w:rsidR="008F2FC3">
          <w:rPr>
            <w:webHidden/>
          </w:rPr>
          <w:fldChar w:fldCharType="end"/>
        </w:r>
      </w:hyperlink>
    </w:p>
    <w:p w14:paraId="3920ED3A" w14:textId="1E2031D2" w:rsidR="008F2FC3" w:rsidRDefault="00F75830">
      <w:pPr>
        <w:pStyle w:val="TOC1"/>
        <w:rPr>
          <w:rFonts w:asciiTheme="minorHAnsi" w:eastAsiaTheme="minorEastAsia" w:hAnsiTheme="minorHAnsi" w:cstheme="minorBidi"/>
          <w:sz w:val="22"/>
          <w:szCs w:val="22"/>
        </w:rPr>
      </w:pPr>
      <w:hyperlink w:anchor="_Toc109394495" w:history="1">
        <w:r w:rsidR="008F2FC3" w:rsidRPr="00DB32C7">
          <w:rPr>
            <w:rStyle w:val="Hyperlink"/>
          </w:rPr>
          <w:t>Adjustments and exclusions</w:t>
        </w:r>
        <w:r w:rsidR="008F2FC3">
          <w:rPr>
            <w:webHidden/>
          </w:rPr>
          <w:tab/>
        </w:r>
        <w:r w:rsidR="008F2FC3">
          <w:rPr>
            <w:webHidden/>
          </w:rPr>
          <w:fldChar w:fldCharType="begin"/>
        </w:r>
        <w:r w:rsidR="008F2FC3">
          <w:rPr>
            <w:webHidden/>
          </w:rPr>
          <w:instrText xml:space="preserve"> PAGEREF _Toc109394495 \h </w:instrText>
        </w:r>
        <w:r w:rsidR="008F2FC3">
          <w:rPr>
            <w:webHidden/>
          </w:rPr>
        </w:r>
        <w:r w:rsidR="008F2FC3">
          <w:rPr>
            <w:webHidden/>
          </w:rPr>
          <w:fldChar w:fldCharType="separate"/>
        </w:r>
        <w:r w:rsidR="00925952">
          <w:rPr>
            <w:webHidden/>
          </w:rPr>
          <w:t>10</w:t>
        </w:r>
        <w:r w:rsidR="008F2FC3">
          <w:rPr>
            <w:webHidden/>
          </w:rPr>
          <w:fldChar w:fldCharType="end"/>
        </w:r>
      </w:hyperlink>
    </w:p>
    <w:p w14:paraId="4AF458B8" w14:textId="3F398B68" w:rsidR="009D467A" w:rsidRDefault="009B0A33" w:rsidP="00FF513E">
      <w:pPr>
        <w:pStyle w:val="NoSpacing"/>
      </w:pPr>
      <w:r>
        <w:fldChar w:fldCharType="end"/>
      </w:r>
      <w:bookmarkStart w:id="5" w:name="_Toc326937698"/>
      <w:bookmarkStart w:id="6" w:name="_Toc326938615"/>
      <w:bookmarkStart w:id="7" w:name="_Toc326938830"/>
      <w:bookmarkEnd w:id="2"/>
      <w:bookmarkEnd w:id="3"/>
    </w:p>
    <w:p w14:paraId="1AFC69A1" w14:textId="77777777" w:rsidR="00E96B6D" w:rsidRPr="00C152E5" w:rsidRDefault="00E96B6D" w:rsidP="001F6B8D">
      <w:pPr>
        <w:pStyle w:val="Heading1"/>
        <w:sectPr w:rsidR="00E96B6D" w:rsidRPr="00C152E5" w:rsidSect="000D63A8">
          <w:pgSz w:w="11906" w:h="16838" w:code="9"/>
          <w:pgMar w:top="1440" w:right="1797" w:bottom="1440" w:left="1797" w:header="709" w:footer="709" w:gutter="0"/>
          <w:cols w:space="708"/>
          <w:docGrid w:linePitch="360"/>
        </w:sectPr>
      </w:pPr>
      <w:bookmarkStart w:id="8" w:name="_Toc314733116"/>
      <w:bookmarkStart w:id="9" w:name="_Toc341686774"/>
      <w:bookmarkEnd w:id="4"/>
      <w:bookmarkEnd w:id="5"/>
      <w:bookmarkEnd w:id="6"/>
      <w:bookmarkEnd w:id="7"/>
    </w:p>
    <w:p w14:paraId="606D16B5" w14:textId="404BA5E3" w:rsidR="00E07F40" w:rsidRPr="001F6B8D" w:rsidRDefault="00E07F40" w:rsidP="001F6B8D">
      <w:pPr>
        <w:pStyle w:val="Heading1"/>
      </w:pPr>
      <w:bookmarkStart w:id="10" w:name="_Toc109394477"/>
      <w:r w:rsidRPr="00B37C03">
        <w:lastRenderedPageBreak/>
        <w:t>Authority</w:t>
      </w:r>
      <w:bookmarkEnd w:id="8"/>
      <w:bookmarkEnd w:id="9"/>
      <w:bookmarkEnd w:id="10"/>
    </w:p>
    <w:p w14:paraId="540D1A0F" w14:textId="77777777" w:rsidR="00E07F40" w:rsidRDefault="00C8002C" w:rsidP="00C8002C">
      <w:pPr>
        <w:pStyle w:val="BodyText1"/>
      </w:pPr>
      <w:r w:rsidRPr="009621DE">
        <w:t xml:space="preserve">This Prudential Standard is made under subsection 92(1) of the </w:t>
      </w:r>
      <w:r w:rsidRPr="009621DE">
        <w:rPr>
          <w:i/>
        </w:rPr>
        <w:t xml:space="preserve">Private Health Insurance (Prudential Supervision) Act 2015 </w:t>
      </w:r>
      <w:r w:rsidRPr="009621DE">
        <w:t>(the Act).</w:t>
      </w:r>
    </w:p>
    <w:p w14:paraId="15AD9867" w14:textId="79502A72" w:rsidR="00E07F40" w:rsidRDefault="00E07F40" w:rsidP="001F6B8D">
      <w:pPr>
        <w:pStyle w:val="Heading1"/>
      </w:pPr>
      <w:bookmarkStart w:id="11" w:name="_Toc314733118"/>
      <w:bookmarkStart w:id="12" w:name="_Toc341686775"/>
      <w:bookmarkStart w:id="13" w:name="_Toc109394478"/>
      <w:r w:rsidRPr="00B37C03">
        <w:t>Application</w:t>
      </w:r>
      <w:bookmarkEnd w:id="11"/>
      <w:bookmarkEnd w:id="12"/>
      <w:r w:rsidR="00773BB9">
        <w:t xml:space="preserve"> and commencement</w:t>
      </w:r>
      <w:bookmarkEnd w:id="13"/>
    </w:p>
    <w:p w14:paraId="3FBC70EC" w14:textId="77777777" w:rsidR="00C8002C" w:rsidRPr="009621DE" w:rsidRDefault="00C8002C" w:rsidP="00C8002C">
      <w:pPr>
        <w:pStyle w:val="BodyText1"/>
      </w:pPr>
      <w:r w:rsidRPr="009621DE">
        <w:t xml:space="preserve">This Prudential Standard applies to all </w:t>
      </w:r>
      <w:r w:rsidRPr="009621DE">
        <w:rPr>
          <w:b/>
        </w:rPr>
        <w:t>private health insurers</w:t>
      </w:r>
      <w:r w:rsidRPr="009621DE" w:rsidDel="00EF6B6A">
        <w:t xml:space="preserve"> </w:t>
      </w:r>
      <w:r w:rsidRPr="009621DE">
        <w:t>except where expressly noted otherwise.</w:t>
      </w:r>
    </w:p>
    <w:p w14:paraId="3B44EED8" w14:textId="77777777" w:rsidR="00C8002C" w:rsidRPr="009621DE" w:rsidRDefault="00C8002C" w:rsidP="00C8002C">
      <w:pPr>
        <w:pStyle w:val="BodyText1"/>
      </w:pPr>
      <w:r w:rsidRPr="009621DE">
        <w:t xml:space="preserve">A </w:t>
      </w:r>
      <w:r>
        <w:t xml:space="preserve">private </w:t>
      </w:r>
      <w:r w:rsidRPr="009621DE">
        <w:t xml:space="preserve">health insurer must apply this Prudential Standard separately to each of its </w:t>
      </w:r>
      <w:r w:rsidRPr="009621DE">
        <w:rPr>
          <w:b/>
        </w:rPr>
        <w:t>health benefits funds</w:t>
      </w:r>
      <w:r w:rsidRPr="009621DE">
        <w:t xml:space="preserve"> and its </w:t>
      </w:r>
      <w:r w:rsidRPr="009621DE">
        <w:rPr>
          <w:b/>
        </w:rPr>
        <w:t>general fund</w:t>
      </w:r>
      <w:r w:rsidRPr="009621DE">
        <w:t xml:space="preserve">, unless otherwise noted. The term ‘private health insurer’ refers to the </w:t>
      </w:r>
      <w:r>
        <w:t xml:space="preserve">private </w:t>
      </w:r>
      <w:r w:rsidRPr="009621DE">
        <w:t xml:space="preserve">health insurer as a whole. The term ‘fund’ refers to each health benefits fund and the general fund, unless otherwise noted. </w:t>
      </w:r>
    </w:p>
    <w:p w14:paraId="5E8B9787" w14:textId="77777777" w:rsidR="00C8002C" w:rsidRPr="009621DE" w:rsidRDefault="00C8002C" w:rsidP="00C8002C">
      <w:pPr>
        <w:pStyle w:val="BodyText1"/>
      </w:pPr>
      <w:r w:rsidRPr="009621DE">
        <w:t>This Prudential Standard applies to private health insurers from 1 July 2023.</w:t>
      </w:r>
    </w:p>
    <w:p w14:paraId="2C4105B0" w14:textId="77777777" w:rsidR="00C8002C" w:rsidRPr="009621DE" w:rsidRDefault="00C8002C" w:rsidP="00C8002C">
      <w:pPr>
        <w:pStyle w:val="Heading1"/>
      </w:pPr>
      <w:bookmarkStart w:id="14" w:name="_Toc109394479"/>
      <w:r w:rsidRPr="009621DE">
        <w:t>Interpretation</w:t>
      </w:r>
      <w:bookmarkEnd w:id="14"/>
    </w:p>
    <w:p w14:paraId="5583FD23" w14:textId="77777777" w:rsidR="00C8002C" w:rsidRPr="009621DE" w:rsidRDefault="00C8002C" w:rsidP="00C8002C">
      <w:pPr>
        <w:pStyle w:val="BodyText1"/>
      </w:pPr>
      <w:r w:rsidRPr="009621DE">
        <w:t xml:space="preserve">Terms that are defined in </w:t>
      </w:r>
      <w:r w:rsidRPr="009621DE">
        <w:rPr>
          <w:i/>
        </w:rPr>
        <w:t>Prudential Standard HPS 001 Definitions</w:t>
      </w:r>
      <w:r w:rsidRPr="009621DE">
        <w:t xml:space="preserve"> appear in bold the first time they are used in this Prudential Standard. </w:t>
      </w:r>
    </w:p>
    <w:p w14:paraId="43931D81" w14:textId="77777777" w:rsidR="00C8002C" w:rsidRPr="009621DE" w:rsidRDefault="00C8002C" w:rsidP="00C8002C">
      <w:pPr>
        <w:pStyle w:val="Heading1"/>
      </w:pPr>
      <w:bookmarkStart w:id="15" w:name="_Toc109394480"/>
      <w:r w:rsidRPr="009621DE">
        <w:t>Insurance Risk Charge</w:t>
      </w:r>
      <w:bookmarkEnd w:id="15"/>
    </w:p>
    <w:p w14:paraId="7DDFA604" w14:textId="77777777" w:rsidR="00C8002C" w:rsidRPr="009621DE" w:rsidRDefault="00C8002C" w:rsidP="00C8002C">
      <w:pPr>
        <w:pStyle w:val="BodyText1"/>
      </w:pPr>
      <w:r w:rsidRPr="009621DE">
        <w:t xml:space="preserve">This Prudential Standard sets out the method for calculating the </w:t>
      </w:r>
      <w:r w:rsidRPr="008155AD">
        <w:t>Insurance Risk Charge</w:t>
      </w:r>
      <w:r w:rsidRPr="009621DE">
        <w:t>.</w:t>
      </w:r>
    </w:p>
    <w:p w14:paraId="07F0E496" w14:textId="3E8F4006" w:rsidR="00C8002C" w:rsidRPr="009621DE" w:rsidRDefault="00C8002C" w:rsidP="00C8002C">
      <w:pPr>
        <w:pStyle w:val="BodyText1"/>
      </w:pPr>
      <w:r w:rsidRPr="009621DE">
        <w:t>The Insurance Risk Charge for each fund is the sum of the Insurance Liability Risk Charge</w:t>
      </w:r>
      <w:r w:rsidR="005B4375">
        <w:t xml:space="preserve">, </w:t>
      </w:r>
      <w:r w:rsidRPr="009621DE">
        <w:t>the Future Exposure Risk Charge</w:t>
      </w:r>
      <w:r w:rsidR="005B4375">
        <w:t xml:space="preserve"> and the Deferred Claims Liability</w:t>
      </w:r>
      <w:r w:rsidR="00CC30D3">
        <w:t xml:space="preserve"> Risk</w:t>
      </w:r>
      <w:r w:rsidR="005B4375">
        <w:t xml:space="preserve"> Charge</w:t>
      </w:r>
      <w:r w:rsidRPr="009621DE" w:rsidDel="00E911A1">
        <w:t>.</w:t>
      </w:r>
    </w:p>
    <w:p w14:paraId="3F7E0F28" w14:textId="77777777" w:rsidR="00C8002C" w:rsidRPr="009621DE" w:rsidRDefault="00C8002C" w:rsidP="00C8002C">
      <w:pPr>
        <w:pStyle w:val="Heading1"/>
      </w:pPr>
      <w:bookmarkStart w:id="16" w:name="_Toc109394481"/>
      <w:r w:rsidRPr="009621DE">
        <w:t xml:space="preserve">Insurance Liability </w:t>
      </w:r>
      <w:r w:rsidRPr="005B3581">
        <w:t>Risk</w:t>
      </w:r>
      <w:r w:rsidRPr="009621DE">
        <w:t xml:space="preserve"> Charge</w:t>
      </w:r>
      <w:bookmarkEnd w:id="16"/>
    </w:p>
    <w:p w14:paraId="62184201" w14:textId="77777777" w:rsidR="00C8002C" w:rsidRDefault="00C8002C" w:rsidP="00C8002C">
      <w:pPr>
        <w:pStyle w:val="BodyText1"/>
      </w:pPr>
      <w:r w:rsidRPr="009621DE">
        <w:t>The Insurance Liability Risk Charge is the sum of</w:t>
      </w:r>
      <w:r>
        <w:t>:</w:t>
      </w:r>
    </w:p>
    <w:p w14:paraId="57A8FD59" w14:textId="1897FE5F" w:rsidR="00C8002C" w:rsidRDefault="00C8002C" w:rsidP="00C8002C">
      <w:pPr>
        <w:pStyle w:val="BodyText2"/>
      </w:pPr>
      <w:r w:rsidRPr="009621DE">
        <w:t xml:space="preserve">the Outstanding Claims Risk Charge as defined in paragraphs </w:t>
      </w:r>
      <w:r w:rsidRPr="009621DE">
        <w:fldChar w:fldCharType="begin"/>
      </w:r>
      <w:r w:rsidRPr="009621DE">
        <w:instrText xml:space="preserve"> REF _Ref82777049 \r \h  \* MERGEFORMAT </w:instrText>
      </w:r>
      <w:r w:rsidRPr="009621DE">
        <w:fldChar w:fldCharType="separate"/>
      </w:r>
      <w:r w:rsidR="0053478C">
        <w:t>10</w:t>
      </w:r>
      <w:r w:rsidRPr="009621DE">
        <w:fldChar w:fldCharType="end"/>
      </w:r>
      <w:r w:rsidRPr="009621DE">
        <w:t xml:space="preserve"> to </w:t>
      </w:r>
      <w:r w:rsidRPr="009621DE">
        <w:fldChar w:fldCharType="begin"/>
      </w:r>
      <w:r w:rsidRPr="009621DE">
        <w:instrText xml:space="preserve"> REF _Ref78980215 \r \h  \* MERGEFORMAT </w:instrText>
      </w:r>
      <w:r w:rsidRPr="009621DE">
        <w:fldChar w:fldCharType="separate"/>
      </w:r>
      <w:r w:rsidR="0053478C">
        <w:t>13</w:t>
      </w:r>
      <w:r w:rsidRPr="009621DE">
        <w:fldChar w:fldCharType="end"/>
      </w:r>
      <w:r>
        <w:t>;</w:t>
      </w:r>
      <w:r w:rsidRPr="009621DE">
        <w:t xml:space="preserve"> </w:t>
      </w:r>
    </w:p>
    <w:p w14:paraId="090C2922" w14:textId="7510AA9C" w:rsidR="00C8002C" w:rsidRDefault="00C8002C" w:rsidP="00C8002C">
      <w:pPr>
        <w:pStyle w:val="BodyText2"/>
      </w:pPr>
      <w:r w:rsidRPr="009621DE">
        <w:t xml:space="preserve">the Premiums Liability Risk Charge as defined in paragraphs </w:t>
      </w:r>
      <w:r w:rsidRPr="009621DE">
        <w:fldChar w:fldCharType="begin"/>
      </w:r>
      <w:r w:rsidRPr="009621DE">
        <w:instrText xml:space="preserve"> REF _Ref82098050 \r \h  \* MERGEFORMAT </w:instrText>
      </w:r>
      <w:r w:rsidRPr="009621DE">
        <w:fldChar w:fldCharType="separate"/>
      </w:r>
      <w:r w:rsidR="0053478C">
        <w:t>14</w:t>
      </w:r>
      <w:r w:rsidRPr="009621DE">
        <w:fldChar w:fldCharType="end"/>
      </w:r>
      <w:r>
        <w:t>;</w:t>
      </w:r>
      <w:r w:rsidRPr="009621DE">
        <w:t xml:space="preserve"> </w:t>
      </w:r>
    </w:p>
    <w:p w14:paraId="3292C31C" w14:textId="66F74A0F" w:rsidR="00C8002C" w:rsidRDefault="00C8002C" w:rsidP="00C8002C">
      <w:pPr>
        <w:pStyle w:val="BodyText2"/>
      </w:pPr>
      <w:r w:rsidRPr="009621DE">
        <w:t xml:space="preserve">the Risk Equalisation </w:t>
      </w:r>
      <w:r w:rsidR="00FB4D95">
        <w:t xml:space="preserve">Risk </w:t>
      </w:r>
      <w:r w:rsidRPr="009621DE">
        <w:t xml:space="preserve">Charge as defined in paragraphs </w:t>
      </w:r>
      <w:r w:rsidRPr="009621DE">
        <w:fldChar w:fldCharType="begin"/>
      </w:r>
      <w:r w:rsidRPr="009621DE">
        <w:instrText xml:space="preserve"> REF _Ref82777098 \r \h  \* MERGEFORMAT </w:instrText>
      </w:r>
      <w:r w:rsidRPr="009621DE">
        <w:fldChar w:fldCharType="separate"/>
      </w:r>
      <w:r w:rsidR="0053478C">
        <w:t>15</w:t>
      </w:r>
      <w:r w:rsidRPr="009621DE">
        <w:fldChar w:fldCharType="end"/>
      </w:r>
      <w:r w:rsidRPr="009621DE">
        <w:t xml:space="preserve"> and </w:t>
      </w:r>
      <w:r w:rsidRPr="009621DE">
        <w:fldChar w:fldCharType="begin"/>
      </w:r>
      <w:r w:rsidRPr="009621DE">
        <w:instrText xml:space="preserve"> REF _Ref82098010 \r \h  \* MERGEFORMAT </w:instrText>
      </w:r>
      <w:r w:rsidRPr="009621DE">
        <w:fldChar w:fldCharType="separate"/>
      </w:r>
      <w:r w:rsidR="0053478C">
        <w:t>16</w:t>
      </w:r>
      <w:r w:rsidRPr="009621DE">
        <w:fldChar w:fldCharType="end"/>
      </w:r>
      <w:r>
        <w:t>;</w:t>
      </w:r>
      <w:r w:rsidRPr="009621DE">
        <w:t xml:space="preserve"> and </w:t>
      </w:r>
    </w:p>
    <w:p w14:paraId="24A72EC0" w14:textId="278709ED" w:rsidR="005B4375" w:rsidRDefault="00C8002C" w:rsidP="00416861">
      <w:pPr>
        <w:pStyle w:val="BodyText2"/>
      </w:pPr>
      <w:r w:rsidRPr="009621DE">
        <w:t>the Other Insurance Liabilities</w:t>
      </w:r>
      <w:r w:rsidR="00FB4D95">
        <w:t xml:space="preserve"> Risk</w:t>
      </w:r>
      <w:r w:rsidRPr="009621DE">
        <w:t xml:space="preserve"> Charge as defined in paragraphs </w:t>
      </w:r>
      <w:r w:rsidRPr="009621DE">
        <w:fldChar w:fldCharType="begin"/>
      </w:r>
      <w:r w:rsidRPr="009621DE">
        <w:instrText xml:space="preserve"> REF _Ref82173893 \r \h  \* MERGEFORMAT </w:instrText>
      </w:r>
      <w:r w:rsidRPr="009621DE">
        <w:fldChar w:fldCharType="separate"/>
      </w:r>
      <w:r w:rsidR="0053478C">
        <w:t>17</w:t>
      </w:r>
      <w:r w:rsidRPr="009621DE">
        <w:fldChar w:fldCharType="end"/>
      </w:r>
      <w:r w:rsidRPr="009621DE">
        <w:t xml:space="preserve"> and </w:t>
      </w:r>
      <w:r w:rsidRPr="009621DE">
        <w:fldChar w:fldCharType="begin"/>
      </w:r>
      <w:r w:rsidRPr="009621DE">
        <w:instrText xml:space="preserve"> REF _Ref82173900 \r \h  \* MERGEFORMAT </w:instrText>
      </w:r>
      <w:r w:rsidRPr="009621DE">
        <w:fldChar w:fldCharType="separate"/>
      </w:r>
      <w:r w:rsidR="0053478C">
        <w:t>18</w:t>
      </w:r>
      <w:r w:rsidRPr="009621DE">
        <w:fldChar w:fldCharType="end"/>
      </w:r>
      <w:r w:rsidR="005B4375">
        <w:t>.</w:t>
      </w:r>
    </w:p>
    <w:p w14:paraId="04D6D4A7" w14:textId="785B5928" w:rsidR="00C8002C" w:rsidRPr="009621DE" w:rsidRDefault="00C8002C" w:rsidP="00C8002C">
      <w:pPr>
        <w:pStyle w:val="BodyText1"/>
      </w:pPr>
      <w:r w:rsidRPr="009621DE">
        <w:t xml:space="preserve">The Insurance Liability Risk Charge applies to the private health insurer’s </w:t>
      </w:r>
      <w:r w:rsidRPr="009621DE">
        <w:rPr>
          <w:b/>
        </w:rPr>
        <w:t>health insurance business</w:t>
      </w:r>
      <w:r w:rsidRPr="009621DE">
        <w:t xml:space="preserve"> </w:t>
      </w:r>
      <w:r w:rsidR="00E32E0E" w:rsidRPr="00716DAF">
        <w:t>(HIB)</w:t>
      </w:r>
      <w:r w:rsidR="00E32E0E">
        <w:t xml:space="preserve"> </w:t>
      </w:r>
      <w:r w:rsidRPr="009621DE">
        <w:t xml:space="preserve">as well as its </w:t>
      </w:r>
      <w:r w:rsidRPr="009621DE" w:rsidDel="00433EBE">
        <w:rPr>
          <w:b/>
        </w:rPr>
        <w:t>health</w:t>
      </w:r>
      <w:r w:rsidRPr="009621DE">
        <w:rPr>
          <w:b/>
        </w:rPr>
        <w:t>-related insurance business</w:t>
      </w:r>
      <w:r w:rsidR="00E32E0E">
        <w:rPr>
          <w:b/>
        </w:rPr>
        <w:t xml:space="preserve"> </w:t>
      </w:r>
      <w:r w:rsidR="00E32E0E" w:rsidRPr="000A0ACD">
        <w:t>(HRIB)</w:t>
      </w:r>
      <w:r w:rsidRPr="009621DE">
        <w:t>.</w:t>
      </w:r>
    </w:p>
    <w:p w14:paraId="40A8C137" w14:textId="77777777" w:rsidR="00C8002C" w:rsidRPr="00696657" w:rsidRDefault="00C8002C" w:rsidP="00C8002C">
      <w:pPr>
        <w:pStyle w:val="Heading3"/>
        <w:rPr>
          <w:b/>
        </w:rPr>
      </w:pPr>
      <w:bookmarkStart w:id="17" w:name="_Toc109394482"/>
      <w:r w:rsidRPr="00916C4D">
        <w:lastRenderedPageBreak/>
        <w:t>Outstanding</w:t>
      </w:r>
      <w:r w:rsidRPr="00696657">
        <w:t xml:space="preserve"> Claims Risk Charge</w:t>
      </w:r>
      <w:bookmarkEnd w:id="17"/>
    </w:p>
    <w:p w14:paraId="25093DD0" w14:textId="77777777" w:rsidR="00C8002C" w:rsidRPr="009621DE" w:rsidRDefault="00C8002C" w:rsidP="00C8002C">
      <w:pPr>
        <w:pStyle w:val="BodyText1"/>
      </w:pPr>
      <w:bookmarkStart w:id="18" w:name="_Ref82777049"/>
      <w:bookmarkStart w:id="19" w:name="_Ref78980206"/>
      <w:r w:rsidRPr="009621DE">
        <w:t xml:space="preserve">The Outstanding Claims Risk Charge relates to the risk that the value of the outstanding claims liabilities will be greater than the value determined in accordance with </w:t>
      </w:r>
      <w:r w:rsidRPr="008155AD">
        <w:rPr>
          <w:i/>
        </w:rPr>
        <w:t>Prudential Standard HPS 340 Insurance Liability Valuation</w:t>
      </w:r>
      <w:r w:rsidRPr="009621DE">
        <w:t xml:space="preserve"> (HPS 340).</w:t>
      </w:r>
      <w:bookmarkEnd w:id="18"/>
      <w:r w:rsidRPr="009621DE">
        <w:t xml:space="preserve"> </w:t>
      </w:r>
      <w:bookmarkEnd w:id="19"/>
    </w:p>
    <w:p w14:paraId="6E951E70" w14:textId="5F5DCE04" w:rsidR="00C8002C" w:rsidRDefault="00C8002C" w:rsidP="00C8002C">
      <w:pPr>
        <w:pStyle w:val="BodyText1"/>
      </w:pPr>
      <w:r w:rsidRPr="009621DE">
        <w:t>The risk charge is calculated by multiplying the outstanding claims liabilities</w:t>
      </w:r>
      <w:r w:rsidRPr="00C9064D">
        <w:rPr>
          <w:vertAlign w:val="superscript"/>
        </w:rPr>
        <w:footnoteReference w:id="2"/>
      </w:r>
      <w:r w:rsidRPr="009621DE">
        <w:t xml:space="preserve"> excluding claims settled but not yet paid by the </w:t>
      </w:r>
      <w:r w:rsidRPr="008155AD">
        <w:rPr>
          <w:b/>
        </w:rPr>
        <w:t xml:space="preserve">Outstanding </w:t>
      </w:r>
      <w:r w:rsidR="00E32E0E">
        <w:rPr>
          <w:b/>
        </w:rPr>
        <w:t>c</w:t>
      </w:r>
      <w:r w:rsidRPr="008155AD">
        <w:rPr>
          <w:b/>
        </w:rPr>
        <w:t xml:space="preserve">laims </w:t>
      </w:r>
      <w:r w:rsidR="00E32E0E">
        <w:rPr>
          <w:b/>
        </w:rPr>
        <w:t>r</w:t>
      </w:r>
      <w:r w:rsidRPr="008155AD">
        <w:rPr>
          <w:b/>
        </w:rPr>
        <w:t>isk</w:t>
      </w:r>
      <w:r w:rsidRPr="009621DE">
        <w:t xml:space="preserve"> </w:t>
      </w:r>
      <w:r w:rsidR="00E32E0E">
        <w:rPr>
          <w:b/>
        </w:rPr>
        <w:t>s</w:t>
      </w:r>
      <w:r w:rsidRPr="009621DE">
        <w:rPr>
          <w:b/>
        </w:rPr>
        <w:t xml:space="preserve">ize </w:t>
      </w:r>
      <w:r w:rsidR="00E32E0E">
        <w:rPr>
          <w:b/>
        </w:rPr>
        <w:t>m</w:t>
      </w:r>
      <w:r w:rsidRPr="009621DE">
        <w:rPr>
          <w:b/>
        </w:rPr>
        <w:t>argin</w:t>
      </w:r>
      <w:r w:rsidRPr="009621DE">
        <w:t xml:space="preserve"> defined in paragraph </w:t>
      </w:r>
      <w:r w:rsidRPr="009621DE">
        <w:fldChar w:fldCharType="begin"/>
      </w:r>
      <w:r w:rsidRPr="009621DE">
        <w:instrText xml:space="preserve"> REF _Ref66287526 \r \h  \* MERGEFORMAT </w:instrText>
      </w:r>
      <w:r w:rsidRPr="009621DE">
        <w:fldChar w:fldCharType="separate"/>
      </w:r>
      <w:r w:rsidR="0053478C">
        <w:t>13</w:t>
      </w:r>
      <w:r w:rsidRPr="009621DE">
        <w:fldChar w:fldCharType="end"/>
      </w:r>
      <w:r w:rsidRPr="009621DE">
        <w:t>.</w:t>
      </w:r>
    </w:p>
    <w:p w14:paraId="5FC0C04B" w14:textId="56765A14" w:rsidR="00C8002C" w:rsidRPr="009621DE" w:rsidRDefault="00C8002C" w:rsidP="00C8002C">
      <w:pPr>
        <w:pStyle w:val="BodyText1"/>
      </w:pPr>
      <w:r w:rsidRPr="009621DE">
        <w:t xml:space="preserve">The outstanding claims of both </w:t>
      </w:r>
      <w:r w:rsidR="000A643C">
        <w:t>HIB</w:t>
      </w:r>
      <w:r w:rsidRPr="009621DE">
        <w:t xml:space="preserve"> and </w:t>
      </w:r>
      <w:r w:rsidR="000A643C">
        <w:t>HRIB</w:t>
      </w:r>
      <w:r w:rsidRPr="009621DE" w:rsidDel="008D73E8">
        <w:t xml:space="preserve"> </w:t>
      </w:r>
      <w:r w:rsidRPr="009621DE">
        <w:t>are subject to the risk margin</w:t>
      </w:r>
      <w:r w:rsidR="001C0262">
        <w:t xml:space="preserve"> defined in</w:t>
      </w:r>
      <w:r>
        <w:t xml:space="preserve"> paragraph </w:t>
      </w:r>
      <w:r>
        <w:fldChar w:fldCharType="begin"/>
      </w:r>
      <w:r>
        <w:instrText xml:space="preserve"> REF _Ref78980215 \r \h  \* MERGEFORMAT </w:instrText>
      </w:r>
      <w:r>
        <w:fldChar w:fldCharType="separate"/>
      </w:r>
      <w:r w:rsidR="0053478C">
        <w:t>13</w:t>
      </w:r>
      <w:r>
        <w:fldChar w:fldCharType="end"/>
      </w:r>
      <w:r w:rsidRPr="009621DE">
        <w:t xml:space="preserve">.  </w:t>
      </w:r>
    </w:p>
    <w:p w14:paraId="009DDA16" w14:textId="06342661" w:rsidR="00C8002C" w:rsidRDefault="00C8002C" w:rsidP="00C8002C">
      <w:pPr>
        <w:pStyle w:val="BodyText1"/>
      </w:pPr>
      <w:bookmarkStart w:id="20" w:name="_Ref78980215"/>
      <w:bookmarkStart w:id="21" w:name="_Ref66287526"/>
      <w:r w:rsidRPr="009621DE">
        <w:t xml:space="preserve">The Outstanding </w:t>
      </w:r>
      <w:r w:rsidR="00611651">
        <w:t>c</w:t>
      </w:r>
      <w:r w:rsidR="00611651" w:rsidRPr="009621DE">
        <w:t xml:space="preserve">laims </w:t>
      </w:r>
      <w:r w:rsidR="00611651">
        <w:t>r</w:t>
      </w:r>
      <w:r w:rsidR="00611651" w:rsidRPr="009621DE">
        <w:t xml:space="preserve">isk </w:t>
      </w:r>
      <w:r w:rsidR="00611651">
        <w:t>s</w:t>
      </w:r>
      <w:r w:rsidR="00611651" w:rsidRPr="009621DE">
        <w:t xml:space="preserve">ize </w:t>
      </w:r>
      <w:r w:rsidR="00611651">
        <w:t>m</w:t>
      </w:r>
      <w:r w:rsidR="00611651" w:rsidRPr="009621DE">
        <w:t xml:space="preserve">argin </w:t>
      </w:r>
      <w:r w:rsidRPr="009621DE">
        <w:t xml:space="preserve">of a fund is </w:t>
      </w:r>
      <w:r>
        <w:t>calculated as</w:t>
      </w:r>
      <w:r w:rsidRPr="009621DE">
        <w:t>:</w:t>
      </w:r>
      <w:bookmarkEnd w:id="20"/>
    </w:p>
    <w:p w14:paraId="2BEA7DD8" w14:textId="6ACAB7E4" w:rsidR="00A506D8" w:rsidRDefault="009C3853" w:rsidP="00A506D8">
      <w:pPr>
        <w:pStyle w:val="BodyText1"/>
        <w:numPr>
          <w:ilvl w:val="0"/>
          <w:numId w:val="0"/>
        </w:numPr>
        <w:ind w:left="567"/>
      </w:pPr>
      <w:r>
        <w:rPr>
          <w:noProof/>
        </w:rPr>
        <w:drawing>
          <wp:inline distT="0" distB="0" distL="0" distR="0" wp14:anchorId="7548B70E" wp14:editId="3D08A570">
            <wp:extent cx="4684659" cy="180975"/>
            <wp:effectExtent l="0" t="0" r="1905" b="0"/>
            <wp:docPr id="4" name="Picture 4" descr="The minimum of 1.03 times bracket hospital treatment single equivalent units close bracket to the power of negative 0.16 comma 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e minimum of 1.03 times bracket hospital treatment single equivalent units close bracket to the power of negative 0.16 comma 0.34"/>
                    <pic:cNvPicPr/>
                  </pic:nvPicPr>
                  <pic:blipFill>
                    <a:blip r:embed="rId21">
                      <a:extLst>
                        <a:ext uri="{28A0092B-C50C-407E-A947-70E740481C1C}">
                          <a14:useLocalDpi xmlns:a14="http://schemas.microsoft.com/office/drawing/2010/main" val="0"/>
                        </a:ext>
                      </a:extLst>
                    </a:blip>
                    <a:stretch>
                      <a:fillRect/>
                    </a:stretch>
                  </pic:blipFill>
                  <pic:spPr>
                    <a:xfrm>
                      <a:off x="0" y="0"/>
                      <a:ext cx="4711183" cy="182000"/>
                    </a:xfrm>
                    <a:prstGeom prst="rect">
                      <a:avLst/>
                    </a:prstGeom>
                  </pic:spPr>
                </pic:pic>
              </a:graphicData>
            </a:graphic>
          </wp:inline>
        </w:drawing>
      </w:r>
    </w:p>
    <w:p w14:paraId="7BF836C6" w14:textId="77777777" w:rsidR="00C8002C" w:rsidRPr="00696657" w:rsidRDefault="00C8002C" w:rsidP="002D6BFF">
      <w:pPr>
        <w:pStyle w:val="Heading3"/>
        <w:rPr>
          <w:b/>
        </w:rPr>
      </w:pPr>
      <w:bookmarkStart w:id="22" w:name="_Toc109394483"/>
      <w:bookmarkEnd w:id="21"/>
      <w:r w:rsidRPr="00696657">
        <w:t>Premiums Liability Risk Charge</w:t>
      </w:r>
      <w:bookmarkEnd w:id="22"/>
    </w:p>
    <w:p w14:paraId="7C5A329A" w14:textId="3127319A" w:rsidR="00C8002C" w:rsidRPr="002577B3" w:rsidRDefault="00C8002C" w:rsidP="002D6BFF">
      <w:pPr>
        <w:pStyle w:val="BodyText1"/>
      </w:pPr>
      <w:bookmarkStart w:id="23" w:name="_Ref78980237"/>
      <w:bookmarkStart w:id="24" w:name="_Ref82098050"/>
      <w:r w:rsidRPr="002577B3">
        <w:t>The Premiums Liability Risk</w:t>
      </w:r>
      <w:r w:rsidR="001C0262">
        <w:t xml:space="preserve"> Charge</w:t>
      </w:r>
      <w:r w:rsidRPr="002577B3">
        <w:t xml:space="preserve"> relates to the risk that the value of the premiums liabilities will be greater than the value determined in accordance with HPS 340. </w:t>
      </w:r>
      <w:bookmarkEnd w:id="23"/>
      <w:r w:rsidRPr="002577B3">
        <w:t xml:space="preserve">The Premiums Liability Risk Charge </w:t>
      </w:r>
      <w:r>
        <w:t>is</w:t>
      </w:r>
      <w:r w:rsidR="001C0262">
        <w:t xml:space="preserve"> calculated as</w:t>
      </w:r>
      <w:r w:rsidRPr="002577B3">
        <w:t>:</w:t>
      </w:r>
      <w:bookmarkEnd w:id="24"/>
      <w:r w:rsidRPr="002577B3">
        <w:t xml:space="preserve"> </w:t>
      </w:r>
    </w:p>
    <w:p w14:paraId="6B293289" w14:textId="25D640B3" w:rsidR="00A506D8" w:rsidRDefault="00F250D0" w:rsidP="00C8002C">
      <w:pPr>
        <w:pStyle w:val="BodyText"/>
        <w:ind w:left="567"/>
      </w:pPr>
      <w:r>
        <w:rPr>
          <w:noProof/>
        </w:rPr>
        <w:drawing>
          <wp:inline distT="0" distB="0" distL="0" distR="0" wp14:anchorId="277CDFC1" wp14:editId="1DFD81F5">
            <wp:extent cx="1447800" cy="216338"/>
            <wp:effectExtent l="0" t="0" r="0" b="0"/>
            <wp:docPr id="10" name="Picture 10" descr="PLCR subscript HIB plus PLRC subscript HRI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LCR subscript HIB plus PLRC subscript HRIB"/>
                    <pic:cNvPicPr/>
                  </pic:nvPicPr>
                  <pic:blipFill>
                    <a:blip r:embed="rId22">
                      <a:extLst>
                        <a:ext uri="{28A0092B-C50C-407E-A947-70E740481C1C}">
                          <a14:useLocalDpi xmlns:a14="http://schemas.microsoft.com/office/drawing/2010/main" val="0"/>
                        </a:ext>
                      </a:extLst>
                    </a:blip>
                    <a:stretch>
                      <a:fillRect/>
                    </a:stretch>
                  </pic:blipFill>
                  <pic:spPr>
                    <a:xfrm>
                      <a:off x="0" y="0"/>
                      <a:ext cx="1535882" cy="229500"/>
                    </a:xfrm>
                    <a:prstGeom prst="rect">
                      <a:avLst/>
                    </a:prstGeom>
                  </pic:spPr>
                </pic:pic>
              </a:graphicData>
            </a:graphic>
          </wp:inline>
        </w:drawing>
      </w:r>
    </w:p>
    <w:p w14:paraId="5876D9D8" w14:textId="031C2E4F" w:rsidR="00C8002C" w:rsidRPr="00E163C9" w:rsidRDefault="00C8002C" w:rsidP="00C8002C">
      <w:pPr>
        <w:pStyle w:val="BodyText"/>
        <w:ind w:left="567"/>
      </w:pPr>
      <w:r w:rsidRPr="00E163C9">
        <w:t>Where:</w:t>
      </w:r>
    </w:p>
    <w:p w14:paraId="6290285B" w14:textId="0E39820B" w:rsidR="00C8002C" w:rsidRPr="00E163C9" w:rsidRDefault="00C8002C" w:rsidP="002D6BFF">
      <w:pPr>
        <w:pStyle w:val="BodyText2"/>
      </w:pPr>
      <w:r w:rsidRPr="00E163C9">
        <w:t>PLRC</w:t>
      </w:r>
      <w:r w:rsidRPr="00E163C9">
        <w:rPr>
          <w:vertAlign w:val="subscript"/>
        </w:rPr>
        <w:t>HIB</w:t>
      </w:r>
      <w:r w:rsidRPr="00E163C9">
        <w:t xml:space="preserve"> is the Premiums Liability Risk Charge of the health insurance business and is calculated as:</w:t>
      </w:r>
    </w:p>
    <w:p w14:paraId="4F6912AF" w14:textId="00B8C767" w:rsidR="00C8002C" w:rsidRDefault="007A2286" w:rsidP="0086204C">
      <w:pPr>
        <w:pStyle w:val="BodyText3"/>
        <w:numPr>
          <w:ilvl w:val="0"/>
          <w:numId w:val="0"/>
        </w:numPr>
        <w:ind w:left="1701" w:hanging="567"/>
      </w:pPr>
      <w:r>
        <w:rPr>
          <w:noProof/>
        </w:rPr>
        <w:drawing>
          <wp:inline distT="0" distB="0" distL="0" distR="0" wp14:anchorId="4BC66547" wp14:editId="68DCB726">
            <wp:extent cx="1457325" cy="192797"/>
            <wp:effectExtent l="0" t="0" r="0" b="0"/>
            <wp:docPr id="3" name="Picture 3" descr="PL subscript HIB times HIB stress 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 subscript HIB times HIB stress percent"/>
                    <pic:cNvPicPr/>
                  </pic:nvPicPr>
                  <pic:blipFill>
                    <a:blip r:embed="rId23">
                      <a:extLst>
                        <a:ext uri="{28A0092B-C50C-407E-A947-70E740481C1C}">
                          <a14:useLocalDpi xmlns:a14="http://schemas.microsoft.com/office/drawing/2010/main" val="0"/>
                        </a:ext>
                      </a:extLst>
                    </a:blip>
                    <a:stretch>
                      <a:fillRect/>
                    </a:stretch>
                  </pic:blipFill>
                  <pic:spPr>
                    <a:xfrm>
                      <a:off x="0" y="0"/>
                      <a:ext cx="1501331" cy="198619"/>
                    </a:xfrm>
                    <a:prstGeom prst="rect">
                      <a:avLst/>
                    </a:prstGeom>
                  </pic:spPr>
                </pic:pic>
              </a:graphicData>
            </a:graphic>
          </wp:inline>
        </w:drawing>
      </w:r>
    </w:p>
    <w:p w14:paraId="6527DEE1" w14:textId="28E17F11" w:rsidR="0086204C" w:rsidRPr="00E163C9" w:rsidRDefault="0086204C" w:rsidP="000A0ACD">
      <w:pPr>
        <w:pStyle w:val="BodyText3"/>
        <w:numPr>
          <w:ilvl w:val="0"/>
          <w:numId w:val="0"/>
        </w:numPr>
        <w:ind w:left="1701" w:hanging="567"/>
      </w:pPr>
      <w:r>
        <w:t>Where:</w:t>
      </w:r>
    </w:p>
    <w:p w14:paraId="0CFEA56F" w14:textId="77777777" w:rsidR="00C8002C" w:rsidRPr="00E163C9" w:rsidRDefault="00C8002C" w:rsidP="002D6BFF">
      <w:pPr>
        <w:pStyle w:val="BodyText3"/>
      </w:pPr>
      <w:r w:rsidRPr="00E163C9">
        <w:t>PL</w:t>
      </w:r>
      <w:r w:rsidRPr="00E163C9">
        <w:rPr>
          <w:vertAlign w:val="subscript"/>
        </w:rPr>
        <w:t>HIB</w:t>
      </w:r>
      <w:r w:rsidRPr="00E163C9">
        <w:t xml:space="preserve"> is the health insurance business premiums liabilities determined in accordance with HPS 340.</w:t>
      </w:r>
    </w:p>
    <w:p w14:paraId="201D4F58" w14:textId="2E94F7B5" w:rsidR="00C8002C" w:rsidRPr="00E163C9" w:rsidRDefault="00C8002C" w:rsidP="002D6BFF">
      <w:pPr>
        <w:pStyle w:val="BodyText3"/>
      </w:pPr>
      <w:r w:rsidRPr="00E163C9">
        <w:t>HIB Stress % is defined in paragraph</w:t>
      </w:r>
      <w:r w:rsidR="00FF304E">
        <w:t xml:space="preserve"> 14 </w:t>
      </w:r>
      <w:r w:rsidR="00111D31">
        <w:fldChar w:fldCharType="begin"/>
      </w:r>
      <w:r w:rsidR="00111D31">
        <w:instrText xml:space="preserve"> REF _Ref137022873 \r \h </w:instrText>
      </w:r>
      <w:r w:rsidR="00111D31">
        <w:fldChar w:fldCharType="separate"/>
      </w:r>
      <w:r w:rsidR="00111D31">
        <w:t>(c)</w:t>
      </w:r>
      <w:r w:rsidR="00111D31">
        <w:fldChar w:fldCharType="end"/>
      </w:r>
    </w:p>
    <w:p w14:paraId="1F79A967" w14:textId="04FFCFA6" w:rsidR="00C8002C" w:rsidRPr="00E163C9" w:rsidRDefault="00C8002C" w:rsidP="002D6BFF">
      <w:pPr>
        <w:pStyle w:val="BodyText2"/>
      </w:pPr>
      <w:r w:rsidRPr="00E163C9">
        <w:t>PLRC</w:t>
      </w:r>
      <w:r w:rsidRPr="00E163C9">
        <w:rPr>
          <w:vertAlign w:val="subscript"/>
        </w:rPr>
        <w:t>HRIB</w:t>
      </w:r>
      <w:r w:rsidRPr="00E163C9">
        <w:t xml:space="preserve"> is the Premiums Liability Risk Charge of the health-related insurance business and is calculated as:</w:t>
      </w:r>
    </w:p>
    <w:p w14:paraId="1964A45E" w14:textId="327D35D2" w:rsidR="00C8002C" w:rsidRDefault="007E0E22" w:rsidP="0086204C">
      <w:pPr>
        <w:pStyle w:val="BodyText3"/>
        <w:numPr>
          <w:ilvl w:val="0"/>
          <w:numId w:val="0"/>
        </w:numPr>
        <w:ind w:left="1701" w:hanging="567"/>
      </w:pPr>
      <w:r>
        <w:rPr>
          <w:noProof/>
        </w:rPr>
        <w:drawing>
          <wp:inline distT="0" distB="0" distL="0" distR="0" wp14:anchorId="08867A68" wp14:editId="7734BE08">
            <wp:extent cx="1695450" cy="177565"/>
            <wp:effectExtent l="0" t="0" r="0" b="0"/>
            <wp:docPr id="11" name="Picture 11" descr="LHHRIB times HRIB stress 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HHRIB times HRIB stress percent"/>
                    <pic:cNvPicPr/>
                  </pic:nvPicPr>
                  <pic:blipFill>
                    <a:blip r:embed="rId24">
                      <a:extLst>
                        <a:ext uri="{28A0092B-C50C-407E-A947-70E740481C1C}">
                          <a14:useLocalDpi xmlns:a14="http://schemas.microsoft.com/office/drawing/2010/main" val="0"/>
                        </a:ext>
                      </a:extLst>
                    </a:blip>
                    <a:stretch>
                      <a:fillRect/>
                    </a:stretch>
                  </pic:blipFill>
                  <pic:spPr>
                    <a:xfrm>
                      <a:off x="0" y="0"/>
                      <a:ext cx="1936334" cy="202793"/>
                    </a:xfrm>
                    <a:prstGeom prst="rect">
                      <a:avLst/>
                    </a:prstGeom>
                  </pic:spPr>
                </pic:pic>
              </a:graphicData>
            </a:graphic>
          </wp:inline>
        </w:drawing>
      </w:r>
    </w:p>
    <w:p w14:paraId="124EB11B" w14:textId="3B011D73" w:rsidR="0086204C" w:rsidRPr="00E163C9" w:rsidRDefault="0086204C" w:rsidP="000A0ACD">
      <w:pPr>
        <w:pStyle w:val="BodyText3"/>
        <w:numPr>
          <w:ilvl w:val="0"/>
          <w:numId w:val="0"/>
        </w:numPr>
        <w:ind w:left="1701" w:hanging="567"/>
      </w:pPr>
      <w:r>
        <w:t>Where:</w:t>
      </w:r>
    </w:p>
    <w:p w14:paraId="45027CB8" w14:textId="6D26D961" w:rsidR="00C8002C" w:rsidRPr="00E163C9" w:rsidRDefault="00C8002C" w:rsidP="002D6BFF">
      <w:pPr>
        <w:pStyle w:val="BodyText3"/>
      </w:pPr>
      <w:r w:rsidRPr="00E163C9">
        <w:t>PL</w:t>
      </w:r>
      <w:r w:rsidRPr="00E163C9">
        <w:rPr>
          <w:vertAlign w:val="subscript"/>
        </w:rPr>
        <w:t>HRIB</w:t>
      </w:r>
      <w:r w:rsidRPr="00E163C9">
        <w:t xml:space="preserve"> is the health</w:t>
      </w:r>
      <w:r w:rsidR="00773BB9">
        <w:t>-related</w:t>
      </w:r>
      <w:r w:rsidRPr="00E163C9">
        <w:t xml:space="preserve"> insurance business premiums liabilities determined in accordance with HPS 340.</w:t>
      </w:r>
    </w:p>
    <w:p w14:paraId="0B777F21" w14:textId="76639ABE" w:rsidR="00C8002C" w:rsidRPr="00E163C9" w:rsidRDefault="00C8002C" w:rsidP="002D6BFF">
      <w:pPr>
        <w:pStyle w:val="BodyText3"/>
      </w:pPr>
      <w:r w:rsidRPr="00E163C9">
        <w:lastRenderedPageBreak/>
        <w:t>HRIB Stress % is as defined in paragraph</w:t>
      </w:r>
      <w:r w:rsidR="00B770CE">
        <w:t xml:space="preserve"> 14</w:t>
      </w:r>
      <w:r w:rsidRPr="00E163C9">
        <w:t xml:space="preserve"> </w:t>
      </w:r>
      <w:r w:rsidR="00FE2FF7">
        <w:fldChar w:fldCharType="begin"/>
      </w:r>
      <w:r w:rsidR="00FE2FF7">
        <w:instrText xml:space="preserve"> REF _Ref137022944 \r \h </w:instrText>
      </w:r>
      <w:r w:rsidR="00FE2FF7">
        <w:fldChar w:fldCharType="separate"/>
      </w:r>
      <w:r w:rsidR="00FE2FF7">
        <w:t>(d)</w:t>
      </w:r>
      <w:r w:rsidR="00FE2FF7">
        <w:fldChar w:fldCharType="end"/>
      </w:r>
      <w:r w:rsidRPr="00E163C9">
        <w:t>.</w:t>
      </w:r>
    </w:p>
    <w:p w14:paraId="0254D821" w14:textId="7FE2A9B3" w:rsidR="00C8002C" w:rsidRPr="00E163C9" w:rsidRDefault="005E5CB8" w:rsidP="002D6BFF">
      <w:pPr>
        <w:pStyle w:val="BodyText2"/>
      </w:pPr>
      <w:bookmarkStart w:id="25" w:name="_Ref137022873"/>
      <w:r>
        <w:rPr>
          <w:noProof/>
        </w:rPr>
        <w:drawing>
          <wp:inline distT="0" distB="0" distL="0" distR="0" wp14:anchorId="35953F46" wp14:editId="662D94E7">
            <wp:extent cx="3908520" cy="190500"/>
            <wp:effectExtent l="0" t="0" r="0" b="0"/>
            <wp:docPr id="16" name="Picture 16" descr="HIB stress percent equal size stress plus additional uncertainty st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HIB stress percent equal size stress plus additional uncertainty stress"/>
                    <pic:cNvPicPr/>
                  </pic:nvPicPr>
                  <pic:blipFill>
                    <a:blip r:embed="rId25">
                      <a:extLst>
                        <a:ext uri="{28A0092B-C50C-407E-A947-70E740481C1C}">
                          <a14:useLocalDpi xmlns:a14="http://schemas.microsoft.com/office/drawing/2010/main" val="0"/>
                        </a:ext>
                      </a:extLst>
                    </a:blip>
                    <a:stretch>
                      <a:fillRect/>
                    </a:stretch>
                  </pic:blipFill>
                  <pic:spPr>
                    <a:xfrm>
                      <a:off x="0" y="0"/>
                      <a:ext cx="3954774" cy="192754"/>
                    </a:xfrm>
                    <a:prstGeom prst="rect">
                      <a:avLst/>
                    </a:prstGeom>
                  </pic:spPr>
                </pic:pic>
              </a:graphicData>
            </a:graphic>
          </wp:inline>
        </w:drawing>
      </w:r>
      <w:bookmarkEnd w:id="25"/>
    </w:p>
    <w:p w14:paraId="0BF413E0" w14:textId="622C7D6F" w:rsidR="00C8002C" w:rsidRPr="00E163C9" w:rsidRDefault="00C8002C" w:rsidP="000A0ACD">
      <w:pPr>
        <w:pStyle w:val="BodyText"/>
        <w:ind w:left="567" w:firstLine="567"/>
      </w:pPr>
      <w:r w:rsidRPr="00E163C9">
        <w:t>Where:</w:t>
      </w:r>
    </w:p>
    <w:p w14:paraId="2DAB4076" w14:textId="7E9DCB0F" w:rsidR="00C8002C" w:rsidRDefault="00237F7F" w:rsidP="002D6BFF">
      <w:pPr>
        <w:pStyle w:val="BodyText3"/>
      </w:pPr>
      <w:r>
        <w:rPr>
          <w:noProof/>
        </w:rPr>
        <w:drawing>
          <wp:inline distT="0" distB="0" distL="0" distR="0" wp14:anchorId="0683F7B0" wp14:editId="18CE8D7F">
            <wp:extent cx="5095875" cy="169218"/>
            <wp:effectExtent l="0" t="0" r="0" b="2540"/>
            <wp:docPr id="17" name="Picture 17" descr="size stress equals 22.1 percent minus 1.2 percent times log bracket hospital treatment SEUs at the reporting date close bra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ize stress equals 22.1 percent minus 1.2 percent times log bracket hospital treatment SEUs at the reporting date close bracket"/>
                    <pic:cNvPicPr/>
                  </pic:nvPicPr>
                  <pic:blipFill>
                    <a:blip r:embed="rId26">
                      <a:extLst>
                        <a:ext uri="{28A0092B-C50C-407E-A947-70E740481C1C}">
                          <a14:useLocalDpi xmlns:a14="http://schemas.microsoft.com/office/drawing/2010/main" val="0"/>
                        </a:ext>
                      </a:extLst>
                    </a:blip>
                    <a:stretch>
                      <a:fillRect/>
                    </a:stretch>
                  </pic:blipFill>
                  <pic:spPr>
                    <a:xfrm>
                      <a:off x="0" y="0"/>
                      <a:ext cx="5359342" cy="177967"/>
                    </a:xfrm>
                    <a:prstGeom prst="rect">
                      <a:avLst/>
                    </a:prstGeom>
                  </pic:spPr>
                </pic:pic>
              </a:graphicData>
            </a:graphic>
          </wp:inline>
        </w:drawing>
      </w:r>
    </w:p>
    <w:p w14:paraId="1DD4AF4C" w14:textId="31473753" w:rsidR="002D6BFF" w:rsidRDefault="005546A4" w:rsidP="002D6BFF">
      <w:pPr>
        <w:pStyle w:val="BodyText3"/>
      </w:pPr>
      <w:r>
        <w:rPr>
          <w:noProof/>
        </w:rPr>
        <w:drawing>
          <wp:inline distT="0" distB="0" distL="0" distR="0" wp14:anchorId="14223AA7" wp14:editId="0EB93477">
            <wp:extent cx="4638675" cy="284615"/>
            <wp:effectExtent l="0" t="0" r="0" b="1270"/>
            <wp:docPr id="18" name="Picture 18" descr="additional uncertainty stress equals 33 percent times open bracket min open bracket max open bracket growth at time t comma growth at time t minus 1 comma growth at time t minus 2 comma 2.5 percent close bracket minus 2.5 percent comma 15 percent close bracket close bra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dditional uncertainty stress equals 33 percent times open bracket min open bracket max open bracket growth at time t comma growth at time t minus 1 comma growth at time t minus 2 comma 2.5 percent close bracket minus 2.5 percent comma 15 percent close bracket close bracket."/>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870707" cy="298852"/>
                    </a:xfrm>
                    <a:prstGeom prst="rect">
                      <a:avLst/>
                    </a:prstGeom>
                  </pic:spPr>
                </pic:pic>
              </a:graphicData>
            </a:graphic>
          </wp:inline>
        </w:drawing>
      </w:r>
    </w:p>
    <w:p w14:paraId="1D2C74F1" w14:textId="514A8C48" w:rsidR="00773BB9" w:rsidRPr="00613611" w:rsidRDefault="00773BB9" w:rsidP="000A0ACD">
      <w:pPr>
        <w:pStyle w:val="BodyText3"/>
        <w:numPr>
          <w:ilvl w:val="0"/>
          <w:numId w:val="0"/>
        </w:numPr>
        <w:ind w:left="1701"/>
      </w:pPr>
      <w:r>
        <w:t>Where:</w:t>
      </w:r>
    </w:p>
    <w:p w14:paraId="0355C94C" w14:textId="77777777" w:rsidR="002D6BFF" w:rsidRPr="00613611" w:rsidRDefault="002D6BFF" w:rsidP="000A0ACD">
      <w:pPr>
        <w:pStyle w:val="BodyText3"/>
        <w:numPr>
          <w:ilvl w:val="0"/>
          <w:numId w:val="0"/>
        </w:numPr>
        <w:ind w:left="1701"/>
      </w:pPr>
      <w:r w:rsidRPr="00613611">
        <w:t>growth</w:t>
      </w:r>
      <w:r w:rsidRPr="00613611">
        <w:rPr>
          <w:vertAlign w:val="subscript"/>
        </w:rPr>
        <w:t>t</w:t>
      </w:r>
      <w:r w:rsidRPr="00613611">
        <w:t xml:space="preserve"> = HT SEU increase over last 12 months divided by HT SEUs at the reporting date.</w:t>
      </w:r>
    </w:p>
    <w:p w14:paraId="0D1819CE" w14:textId="77777777" w:rsidR="002D6BFF" w:rsidRPr="00DD79FA" w:rsidRDefault="002D6BFF" w:rsidP="000A0ACD">
      <w:pPr>
        <w:pStyle w:val="BodyText3"/>
        <w:numPr>
          <w:ilvl w:val="0"/>
          <w:numId w:val="0"/>
        </w:numPr>
        <w:ind w:left="1701"/>
      </w:pPr>
      <w:r w:rsidRPr="00DD79FA">
        <w:t>growth</w:t>
      </w:r>
      <w:r w:rsidRPr="00DD79FA">
        <w:rPr>
          <w:vertAlign w:val="subscript"/>
        </w:rPr>
        <w:t xml:space="preserve">t-1 </w:t>
      </w:r>
      <w:r w:rsidRPr="00DD79FA">
        <w:t>= HT SEU increase over prior 12 months (12-24 months) divided by HT SEUs at the reporting date.</w:t>
      </w:r>
    </w:p>
    <w:p w14:paraId="70A29D9B" w14:textId="77777777" w:rsidR="002D6BFF" w:rsidRPr="00DD79FA" w:rsidRDefault="002D6BFF" w:rsidP="000A0ACD">
      <w:pPr>
        <w:pStyle w:val="BodyText3"/>
        <w:numPr>
          <w:ilvl w:val="0"/>
          <w:numId w:val="0"/>
        </w:numPr>
        <w:ind w:left="1701"/>
      </w:pPr>
      <w:r w:rsidRPr="00DD79FA">
        <w:t>growth</w:t>
      </w:r>
      <w:r w:rsidRPr="00DD79FA">
        <w:rPr>
          <w:vertAlign w:val="subscript"/>
        </w:rPr>
        <w:t xml:space="preserve">t-2 </w:t>
      </w:r>
      <w:r w:rsidRPr="00DD79FA">
        <w:t>= HT SEU increase over prior 12 months (24-36 months) divided by HT SEUs at the reporting date.</w:t>
      </w:r>
    </w:p>
    <w:p w14:paraId="29853A7C" w14:textId="76724410" w:rsidR="002D6BFF" w:rsidRPr="00DD79FA" w:rsidRDefault="002D6BFF" w:rsidP="000A0ACD">
      <w:pPr>
        <w:pStyle w:val="BodyText3"/>
        <w:numPr>
          <w:ilvl w:val="0"/>
          <w:numId w:val="0"/>
        </w:numPr>
        <w:ind w:left="1701"/>
      </w:pPr>
      <w:r w:rsidRPr="00DD79FA">
        <w:t>Where a merger has occurred since t-2, growth is to be calculated on the total HT SEU’s for the merged private health insurers, such that only organic growth is captured.</w:t>
      </w:r>
    </w:p>
    <w:p w14:paraId="772169F4" w14:textId="33AF3393" w:rsidR="002D6BFF" w:rsidRPr="00E163C9" w:rsidRDefault="001A5C2B" w:rsidP="002D6BFF">
      <w:pPr>
        <w:pStyle w:val="BodyText2"/>
      </w:pPr>
      <w:bookmarkStart w:id="26" w:name="_Ref137022944"/>
      <w:r>
        <w:rPr>
          <w:noProof/>
        </w:rPr>
        <w:drawing>
          <wp:anchor distT="0" distB="0" distL="114300" distR="114300" simplePos="0" relativeHeight="251658240" behindDoc="0" locked="0" layoutInCell="1" allowOverlap="1" wp14:anchorId="1FAD4BFA" wp14:editId="01B69C2B">
            <wp:simplePos x="0" y="0"/>
            <wp:positionH relativeFrom="column">
              <wp:posOffset>721043</wp:posOffset>
            </wp:positionH>
            <wp:positionV relativeFrom="paragraph">
              <wp:posOffset>0</wp:posOffset>
            </wp:positionV>
            <wp:extent cx="5279390" cy="506095"/>
            <wp:effectExtent l="0" t="0" r="0" b="0"/>
            <wp:wrapNone/>
            <wp:docPr id="15" name="Picture 15" descr="HRIB stress percent equals 37.9 percent minus 1.2 percent times log open bracket dollar value of health-related insurance business accrued premium for the 12 months ending on the reporting date close bra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HRIB stress percent equals 37.9 percent minus 1.2 percent times log open bracket dollar value of health-related insurance business accrued premium for the 12 months ending on the reporting date close bracke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79390" cy="506095"/>
                    </a:xfrm>
                    <a:prstGeom prst="rect">
                      <a:avLst/>
                    </a:prstGeom>
                    <a:noFill/>
                  </pic:spPr>
                </pic:pic>
              </a:graphicData>
            </a:graphic>
          </wp:anchor>
        </w:drawing>
      </w:r>
      <w:bookmarkEnd w:id="26"/>
    </w:p>
    <w:p w14:paraId="06FE5C37" w14:textId="77777777" w:rsidR="001A5C2B" w:rsidRDefault="001A5C2B" w:rsidP="002D6BFF">
      <w:pPr>
        <w:pStyle w:val="Heading3"/>
      </w:pPr>
      <w:bookmarkStart w:id="27" w:name="_Toc109394484"/>
    </w:p>
    <w:p w14:paraId="57EABDB6" w14:textId="4A324E9B" w:rsidR="002D6BFF" w:rsidRPr="0019393C" w:rsidRDefault="002D6BFF" w:rsidP="002D6BFF">
      <w:pPr>
        <w:pStyle w:val="Heading3"/>
        <w:rPr>
          <w:b/>
          <w:i w:val="0"/>
        </w:rPr>
      </w:pPr>
      <w:r w:rsidRPr="00696657">
        <w:t>Risk Equalisation</w:t>
      </w:r>
      <w:r w:rsidR="00FB4D95">
        <w:t xml:space="preserve"> Risk</w:t>
      </w:r>
      <w:r w:rsidRPr="00696657">
        <w:t xml:space="preserve"> Charge</w:t>
      </w:r>
      <w:bookmarkEnd w:id="27"/>
    </w:p>
    <w:p w14:paraId="637CC38F" w14:textId="189527CB" w:rsidR="002D6BFF" w:rsidRPr="002577B3" w:rsidRDefault="002D6BFF" w:rsidP="002D6BFF">
      <w:pPr>
        <w:pStyle w:val="BodyText1"/>
      </w:pPr>
      <w:bookmarkStart w:id="28" w:name="_Ref82777098"/>
      <w:bookmarkStart w:id="29" w:name="_Ref78980303"/>
      <w:r w:rsidRPr="002577B3">
        <w:t>The Risk Equalisation</w:t>
      </w:r>
      <w:r w:rsidR="00FB4D95">
        <w:t xml:space="preserve"> Risk</w:t>
      </w:r>
      <w:r w:rsidRPr="002577B3">
        <w:t xml:space="preserve"> Charge relates to the risk that </w:t>
      </w:r>
      <w:r w:rsidR="00C95B9F">
        <w:t xml:space="preserve">the value of </w:t>
      </w:r>
      <w:r w:rsidRPr="002577B3">
        <w:t xml:space="preserve">risk equalisation transfers are less favourable than the </w:t>
      </w:r>
      <w:r w:rsidR="00C95B9F">
        <w:t>value</w:t>
      </w:r>
      <w:r w:rsidRPr="002577B3">
        <w:t xml:space="preserve"> determined in accordance with HPS 340.</w:t>
      </w:r>
      <w:bookmarkEnd w:id="28"/>
    </w:p>
    <w:p w14:paraId="446739FD" w14:textId="2124BC10" w:rsidR="002D6BFF" w:rsidRPr="00F42CCB" w:rsidRDefault="002D6BFF" w:rsidP="002D6BFF">
      <w:pPr>
        <w:pStyle w:val="BodyText1"/>
      </w:pPr>
      <w:bookmarkStart w:id="30" w:name="_Ref82098010"/>
      <w:r w:rsidRPr="00F42CCB">
        <w:t>The risk equalisation</w:t>
      </w:r>
      <w:r w:rsidR="00FB4D95">
        <w:t xml:space="preserve"> risk</w:t>
      </w:r>
      <w:r w:rsidRPr="00F42CCB">
        <w:t xml:space="preserve"> charge is calculated as:</w:t>
      </w:r>
      <w:bookmarkEnd w:id="29"/>
      <w:bookmarkEnd w:id="30"/>
    </w:p>
    <w:p w14:paraId="47286E1C" w14:textId="4AEE9538" w:rsidR="002D6BFF" w:rsidRPr="00F42CCB" w:rsidRDefault="00877612" w:rsidP="002D6BFF">
      <w:pPr>
        <w:ind w:firstLine="567"/>
      </w:pPr>
      <w:r>
        <w:rPr>
          <w:noProof/>
        </w:rPr>
        <w:drawing>
          <wp:inline distT="0" distB="0" distL="0" distR="0" wp14:anchorId="7BCDEAD6" wp14:editId="6C012F68">
            <wp:extent cx="2024543" cy="185738"/>
            <wp:effectExtent l="0" t="0" r="0" b="5080"/>
            <wp:docPr id="5" name="Picture 5" descr="4 percent times unbilled calculated defic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4 percent times unbilled calculated deficit"/>
                    <pic:cNvPicPr/>
                  </pic:nvPicPr>
                  <pic:blipFill>
                    <a:blip r:embed="rId29">
                      <a:extLst>
                        <a:ext uri="{28A0092B-C50C-407E-A947-70E740481C1C}">
                          <a14:useLocalDpi xmlns:a14="http://schemas.microsoft.com/office/drawing/2010/main" val="0"/>
                        </a:ext>
                      </a:extLst>
                    </a:blip>
                    <a:stretch>
                      <a:fillRect/>
                    </a:stretch>
                  </pic:blipFill>
                  <pic:spPr>
                    <a:xfrm>
                      <a:off x="0" y="0"/>
                      <a:ext cx="2120300" cy="194523"/>
                    </a:xfrm>
                    <a:prstGeom prst="rect">
                      <a:avLst/>
                    </a:prstGeom>
                  </pic:spPr>
                </pic:pic>
              </a:graphicData>
            </a:graphic>
          </wp:inline>
        </w:drawing>
      </w:r>
    </w:p>
    <w:p w14:paraId="751501C8" w14:textId="77777777" w:rsidR="002D6BFF" w:rsidRPr="00F42CCB" w:rsidRDefault="002D6BFF" w:rsidP="002D6BFF">
      <w:pPr>
        <w:ind w:firstLine="567"/>
      </w:pPr>
      <w:r w:rsidRPr="00F42CCB">
        <w:t>Where:</w:t>
      </w:r>
    </w:p>
    <w:p w14:paraId="41F25F26" w14:textId="77777777" w:rsidR="002D6BFF" w:rsidRPr="00F42CCB" w:rsidRDefault="002D6BFF" w:rsidP="002D6BFF">
      <w:pPr>
        <w:ind w:left="567"/>
      </w:pPr>
      <w:r w:rsidRPr="00F42CCB">
        <w:t xml:space="preserve">Unbilled calculated deficit means </w:t>
      </w:r>
      <w:r>
        <w:t xml:space="preserve">total amount that would have been payable by the insurer should each SEU been entitled to the average amount as defined in rule 11(1)(e) of the </w:t>
      </w:r>
      <w:r w:rsidRPr="00F42CCB">
        <w:rPr>
          <w:i/>
        </w:rPr>
        <w:t>Private Health Insurance (Risk Equalisation Policy) Rules 20</w:t>
      </w:r>
      <w:r>
        <w:rPr>
          <w:i/>
        </w:rPr>
        <w:t xml:space="preserve">15 </w:t>
      </w:r>
      <w:r w:rsidRPr="00805509">
        <w:t>or its replacement</w:t>
      </w:r>
      <w:r w:rsidRPr="00F42CCB">
        <w:t>, and under the following conditions:</w:t>
      </w:r>
    </w:p>
    <w:p w14:paraId="0A391AA3" w14:textId="77777777" w:rsidR="002D6BFF" w:rsidRPr="00F42CCB" w:rsidRDefault="002D6BFF" w:rsidP="002D6BFF">
      <w:pPr>
        <w:pStyle w:val="BodyText2"/>
      </w:pPr>
      <w:r w:rsidRPr="00F42CCB">
        <w:t xml:space="preserve">over the period up to the </w:t>
      </w:r>
      <w:r w:rsidRPr="008155AD">
        <w:rPr>
          <w:b/>
        </w:rPr>
        <w:t>reporting date</w:t>
      </w:r>
      <w:r w:rsidRPr="00F42CCB">
        <w:t>;</w:t>
      </w:r>
    </w:p>
    <w:p w14:paraId="4BBF8CEC" w14:textId="77777777" w:rsidR="002D6BFF" w:rsidRPr="00F42CCB" w:rsidRDefault="002D6BFF" w:rsidP="002D6BFF">
      <w:pPr>
        <w:pStyle w:val="BodyText2"/>
      </w:pPr>
      <w:r w:rsidRPr="00F42CCB">
        <w:t xml:space="preserve">where the risk equalisation </w:t>
      </w:r>
      <w:r>
        <w:t>levy</w:t>
      </w:r>
      <w:r w:rsidRPr="00F42CCB">
        <w:t xml:space="preserve"> ha</w:t>
      </w:r>
      <w:r>
        <w:t>s</w:t>
      </w:r>
      <w:r w:rsidRPr="00F42CCB">
        <w:t xml:space="preserve"> accrued but ha</w:t>
      </w:r>
      <w:r>
        <w:t>s</w:t>
      </w:r>
      <w:r w:rsidRPr="00F42CCB">
        <w:t xml:space="preserve"> not yet been paid; and</w:t>
      </w:r>
    </w:p>
    <w:p w14:paraId="0E8E0BEF" w14:textId="77777777" w:rsidR="002D6BFF" w:rsidRPr="00F42CCB" w:rsidRDefault="002D6BFF" w:rsidP="002D6BFF">
      <w:pPr>
        <w:pStyle w:val="BodyText2"/>
      </w:pPr>
      <w:r w:rsidRPr="00F42CCB">
        <w:t>where an invoice, notice or receipt from APRA has not yet been received by the private health insurer, for that period.</w:t>
      </w:r>
    </w:p>
    <w:p w14:paraId="7A6C8D43" w14:textId="1558E30A" w:rsidR="002D6BFF" w:rsidRPr="004E5AA6" w:rsidRDefault="002D6BFF" w:rsidP="002D6BFF">
      <w:pPr>
        <w:pStyle w:val="Heading3"/>
        <w:rPr>
          <w:b/>
        </w:rPr>
      </w:pPr>
      <w:bookmarkStart w:id="31" w:name="_Toc109394485"/>
      <w:r w:rsidRPr="004E5AA6">
        <w:lastRenderedPageBreak/>
        <w:t>Other Insurance Liabilities</w:t>
      </w:r>
      <w:r w:rsidR="00FB4D95">
        <w:t xml:space="preserve"> Risk</w:t>
      </w:r>
      <w:r w:rsidRPr="004E5AA6">
        <w:t xml:space="preserve"> Charge</w:t>
      </w:r>
      <w:bookmarkEnd w:id="31"/>
    </w:p>
    <w:p w14:paraId="31744172" w14:textId="037F2A40" w:rsidR="002D6BFF" w:rsidRPr="005B3581" w:rsidRDefault="002D6BFF" w:rsidP="002D6BFF">
      <w:pPr>
        <w:pStyle w:val="BodyText1"/>
      </w:pPr>
      <w:bookmarkStart w:id="32" w:name="_Ref82173893"/>
      <w:r w:rsidRPr="005B3581">
        <w:t>The Other Insurance Liabilities</w:t>
      </w:r>
      <w:r w:rsidR="00FB4D95">
        <w:t xml:space="preserve"> Risk</w:t>
      </w:r>
      <w:r w:rsidRPr="005B3581">
        <w:t xml:space="preserve"> Charge relates to the risk that the value of other insurance liabilities will be greater than the value determined in accordance with HPS 340.</w:t>
      </w:r>
      <w:bookmarkEnd w:id="32"/>
    </w:p>
    <w:p w14:paraId="53FF80DD" w14:textId="75F13B82" w:rsidR="002D6BFF" w:rsidRPr="005B3581" w:rsidRDefault="002D6BFF" w:rsidP="002D6BFF">
      <w:pPr>
        <w:pStyle w:val="BodyText1"/>
      </w:pPr>
      <w:bookmarkStart w:id="33" w:name="_Ref82173900"/>
      <w:r w:rsidRPr="005B3581">
        <w:t xml:space="preserve">The </w:t>
      </w:r>
      <w:r>
        <w:t>O</w:t>
      </w:r>
      <w:r w:rsidRPr="005B3581">
        <w:t xml:space="preserve">ther </w:t>
      </w:r>
      <w:r>
        <w:t>I</w:t>
      </w:r>
      <w:r w:rsidRPr="005B3581">
        <w:t xml:space="preserve">nsurance </w:t>
      </w:r>
      <w:r>
        <w:t>L</w:t>
      </w:r>
      <w:r w:rsidRPr="005B3581">
        <w:t>iabilities</w:t>
      </w:r>
      <w:r w:rsidR="00FB4D95">
        <w:t xml:space="preserve"> Risk</w:t>
      </w:r>
      <w:r w:rsidRPr="005B3581">
        <w:t xml:space="preserve"> </w:t>
      </w:r>
      <w:r>
        <w:t>C</w:t>
      </w:r>
      <w:r w:rsidRPr="005B3581">
        <w:t>harge is calculated as:</w:t>
      </w:r>
      <w:bookmarkEnd w:id="33"/>
    </w:p>
    <w:p w14:paraId="0BFF7EF2" w14:textId="1F7EDBDE" w:rsidR="002D6BFF" w:rsidRPr="005B3581" w:rsidRDefault="002D6BFF" w:rsidP="002D6BFF">
      <w:pPr>
        <w:pStyle w:val="BodyText"/>
        <w:ind w:left="567"/>
      </w:pPr>
      <w:r w:rsidRPr="005B3581">
        <w:t>Other insurance liabilities at 99.</w:t>
      </w:r>
      <w:r w:rsidR="008F3363">
        <w:t>5 per cent</w:t>
      </w:r>
      <w:r w:rsidRPr="005B3581">
        <w:t>; less</w:t>
      </w:r>
      <w:r>
        <w:t xml:space="preserve"> </w:t>
      </w:r>
    </w:p>
    <w:p w14:paraId="63B5C987" w14:textId="77777777" w:rsidR="002D6BFF" w:rsidRDefault="002D6BFF" w:rsidP="002D6BFF">
      <w:pPr>
        <w:pStyle w:val="BodyText"/>
        <w:ind w:left="567"/>
      </w:pPr>
      <w:r w:rsidRPr="005B3581">
        <w:t>Other insurance liabilities.</w:t>
      </w:r>
    </w:p>
    <w:p w14:paraId="5001220C" w14:textId="77777777" w:rsidR="00AF0D36" w:rsidRPr="005B3581" w:rsidRDefault="00AF0D36" w:rsidP="00AF0D36">
      <w:pPr>
        <w:pStyle w:val="BodyText"/>
        <w:ind w:left="567"/>
      </w:pPr>
      <w:r w:rsidRPr="005B3581">
        <w:t>Where:</w:t>
      </w:r>
    </w:p>
    <w:p w14:paraId="568416AD" w14:textId="0069B94A" w:rsidR="00AF0D36" w:rsidRPr="005B3581" w:rsidRDefault="00AF0D36" w:rsidP="00AF0D36">
      <w:pPr>
        <w:pStyle w:val="BodyText2"/>
      </w:pPr>
      <w:r w:rsidRPr="005B3581">
        <w:t>Other insurance liabilities at 99.5</w:t>
      </w:r>
      <w:r w:rsidR="008F3363">
        <w:t xml:space="preserve"> per cent</w:t>
      </w:r>
      <w:r w:rsidRPr="005B3581">
        <w:t xml:space="preserve"> is other insurance liabilities </w:t>
      </w:r>
      <w:r w:rsidR="0081631F">
        <w:t xml:space="preserve">as defined by HPS 340 </w:t>
      </w:r>
      <w:r w:rsidRPr="005B3581">
        <w:t xml:space="preserve">valued at a 99.5 per cent </w:t>
      </w:r>
      <w:r>
        <w:t>level of sufficiency</w:t>
      </w:r>
      <w:r w:rsidRPr="00FE7163">
        <w:rPr>
          <w:shd w:val="clear" w:color="auto" w:fill="FFFFFF"/>
        </w:rPr>
        <w:t>. This means that, in the assessment of the private health insurer, there is no more than a 0.5 per cent probability that the actual cost will exceed th</w:t>
      </w:r>
      <w:r w:rsidR="0081631F">
        <w:rPr>
          <w:shd w:val="clear" w:color="auto" w:fill="FFFFFF"/>
        </w:rPr>
        <w:t xml:space="preserve">is </w:t>
      </w:r>
      <w:r w:rsidRPr="00FE7163">
        <w:rPr>
          <w:shd w:val="clear" w:color="auto" w:fill="FFFFFF"/>
        </w:rPr>
        <w:t>estimate</w:t>
      </w:r>
      <w:r w:rsidRPr="00A60482">
        <w:t>.</w:t>
      </w:r>
    </w:p>
    <w:p w14:paraId="2DA9D8F1" w14:textId="1D2CC5D4" w:rsidR="00F41101" w:rsidRPr="005B3581" w:rsidRDefault="00AF0D36" w:rsidP="006B0333">
      <w:pPr>
        <w:pStyle w:val="BodyText2"/>
      </w:pPr>
      <w:r w:rsidRPr="005B3581">
        <w:t>Other insurance liabilities is the value of other insurance liabilities determined in accordance with HPS 340.</w:t>
      </w:r>
    </w:p>
    <w:p w14:paraId="172F731E" w14:textId="77777777" w:rsidR="00AF0D36" w:rsidRPr="005B3581" w:rsidRDefault="00AF0D36" w:rsidP="00AF0D36">
      <w:pPr>
        <w:pStyle w:val="Heading1"/>
      </w:pPr>
      <w:bookmarkStart w:id="34" w:name="_Toc109394486"/>
      <w:r w:rsidRPr="005B3581">
        <w:t>Future Exposure Risk Charge</w:t>
      </w:r>
      <w:bookmarkEnd w:id="34"/>
    </w:p>
    <w:p w14:paraId="1260116E" w14:textId="735638E3" w:rsidR="00AF0D36" w:rsidRPr="005B3581" w:rsidRDefault="00AF0D36" w:rsidP="00AF0D36">
      <w:pPr>
        <w:pStyle w:val="BodyText1"/>
      </w:pPr>
      <w:r w:rsidRPr="005B3581">
        <w:t>The Future Exposure Risk Charge</w:t>
      </w:r>
      <w:r>
        <w:t xml:space="preserve"> (FER) </w:t>
      </w:r>
      <w:r w:rsidRPr="005B3581">
        <w:t>r</w:t>
      </w:r>
      <w:r>
        <w:t>elates to the risk</w:t>
      </w:r>
      <w:r w:rsidRPr="005B3581">
        <w:t xml:space="preserve"> </w:t>
      </w:r>
      <w:r>
        <w:t xml:space="preserve">that financial </w:t>
      </w:r>
      <w:r w:rsidRPr="005B3581">
        <w:t>performance</w:t>
      </w:r>
      <w:r>
        <w:t xml:space="preserve"> of the </w:t>
      </w:r>
      <w:r w:rsidR="000A643C">
        <w:t>HIB</w:t>
      </w:r>
      <w:r>
        <w:t xml:space="preserve"> and </w:t>
      </w:r>
      <w:r w:rsidR="000A643C">
        <w:t>HRIB</w:t>
      </w:r>
      <w:r w:rsidRPr="005B3581">
        <w:t xml:space="preserve"> may be materially worse than expected</w:t>
      </w:r>
      <w:r w:rsidR="00AA07D1">
        <w:t xml:space="preserve"> and </w:t>
      </w:r>
      <w:r w:rsidR="008F4E63">
        <w:t xml:space="preserve">may </w:t>
      </w:r>
      <w:r w:rsidR="00AA07D1">
        <w:t>require capital to meet policyholder obligations</w:t>
      </w:r>
      <w:r>
        <w:t xml:space="preserve">. The FER </w:t>
      </w:r>
      <w:r w:rsidRPr="005B3581">
        <w:t>is calculated as:</w:t>
      </w:r>
    </w:p>
    <w:p w14:paraId="0A896009" w14:textId="7B38F55C" w:rsidR="00AF0D36" w:rsidRPr="005B3581" w:rsidRDefault="0033470C" w:rsidP="00A84E09">
      <w:pPr>
        <w:ind w:left="567"/>
      </w:pPr>
      <w:r>
        <w:rPr>
          <w:noProof/>
        </w:rPr>
        <w:drawing>
          <wp:inline distT="0" distB="0" distL="0" distR="0" wp14:anchorId="5329BFC2" wp14:editId="15E35D6B">
            <wp:extent cx="1235807" cy="209550"/>
            <wp:effectExtent l="0" t="0" r="2540" b="0"/>
            <wp:docPr id="19" name="Picture 19" descr="FER subscript HIB plus FER subscript HRI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FER subscript HIB plus FER subscript HRIB"/>
                    <pic:cNvPicPr/>
                  </pic:nvPicPr>
                  <pic:blipFill>
                    <a:blip r:embed="rId30">
                      <a:extLst>
                        <a:ext uri="{28A0092B-C50C-407E-A947-70E740481C1C}">
                          <a14:useLocalDpi xmlns:a14="http://schemas.microsoft.com/office/drawing/2010/main" val="0"/>
                        </a:ext>
                      </a:extLst>
                    </a:blip>
                    <a:stretch>
                      <a:fillRect/>
                    </a:stretch>
                  </pic:blipFill>
                  <pic:spPr>
                    <a:xfrm>
                      <a:off x="0" y="0"/>
                      <a:ext cx="1249860" cy="211933"/>
                    </a:xfrm>
                    <a:prstGeom prst="rect">
                      <a:avLst/>
                    </a:prstGeom>
                  </pic:spPr>
                </pic:pic>
              </a:graphicData>
            </a:graphic>
          </wp:inline>
        </w:drawing>
      </w:r>
    </w:p>
    <w:p w14:paraId="53360027" w14:textId="77777777" w:rsidR="00AF0D36" w:rsidRPr="00391B7C" w:rsidRDefault="00AF0D36" w:rsidP="00A84E09">
      <w:pPr>
        <w:ind w:left="567"/>
      </w:pPr>
      <w:r w:rsidRPr="00391B7C">
        <w:t>Where:</w:t>
      </w:r>
    </w:p>
    <w:p w14:paraId="59B0AB90" w14:textId="77777777" w:rsidR="00AF0D36" w:rsidRPr="005B3581" w:rsidRDefault="00AF0D36" w:rsidP="00A84E09">
      <w:pPr>
        <w:pStyle w:val="BodyText2"/>
      </w:pPr>
      <w:r w:rsidRPr="005B3581">
        <w:t>FER</w:t>
      </w:r>
      <w:r w:rsidRPr="00A16E35">
        <w:rPr>
          <w:vertAlign w:val="subscript"/>
        </w:rPr>
        <w:t>HIB</w:t>
      </w:r>
      <w:r w:rsidRPr="005B3581">
        <w:t xml:space="preserve"> is the charge for the health insurance business, related to </w:t>
      </w:r>
      <w:r>
        <w:t>the</w:t>
      </w:r>
      <w:r w:rsidRPr="005B3581">
        <w:t xml:space="preserve"> </w:t>
      </w:r>
      <w:r>
        <w:t xml:space="preserve">Adverse Event Stress </w:t>
      </w:r>
      <w:r w:rsidRPr="005B3581">
        <w:t xml:space="preserve">combined with </w:t>
      </w:r>
      <w:r>
        <w:t>the</w:t>
      </w:r>
      <w:r w:rsidRPr="005B3581">
        <w:t xml:space="preserve"> </w:t>
      </w:r>
      <w:r>
        <w:t>P</w:t>
      </w:r>
      <w:r w:rsidRPr="005B3581">
        <w:t xml:space="preserve">rescribed </w:t>
      </w:r>
      <w:r>
        <w:t>B</w:t>
      </w:r>
      <w:r w:rsidRPr="005B3581">
        <w:t xml:space="preserve">enefit </w:t>
      </w:r>
      <w:r>
        <w:t>S</w:t>
      </w:r>
      <w:r w:rsidRPr="005B3581">
        <w:t>tress</w:t>
      </w:r>
      <w:r>
        <w:t>.</w:t>
      </w:r>
    </w:p>
    <w:p w14:paraId="69B29385" w14:textId="77777777" w:rsidR="00AF0D36" w:rsidRPr="005B3581" w:rsidRDefault="00AF0D36" w:rsidP="00A84E09">
      <w:pPr>
        <w:pStyle w:val="BodyText2"/>
      </w:pPr>
      <w:r w:rsidRPr="005B3581">
        <w:t>FER</w:t>
      </w:r>
      <w:r w:rsidRPr="00A16E35">
        <w:rPr>
          <w:vertAlign w:val="subscript"/>
        </w:rPr>
        <w:t>HRIB</w:t>
      </w:r>
      <w:r w:rsidRPr="005B3581">
        <w:t xml:space="preserve"> is the charge for health-related insurance business, related to </w:t>
      </w:r>
      <w:r>
        <w:t>the Prescribed Benefit Stress only.</w:t>
      </w:r>
    </w:p>
    <w:p w14:paraId="02D237DA" w14:textId="77777777" w:rsidR="00AF0D36" w:rsidRDefault="00AF0D36" w:rsidP="00A84E09">
      <w:pPr>
        <w:pStyle w:val="BodyText2"/>
      </w:pPr>
      <w:r w:rsidRPr="005B3581">
        <w:t xml:space="preserve">Both components have a minimum value of zero, </w:t>
      </w:r>
      <w:r>
        <w:t>so</w:t>
      </w:r>
      <w:r w:rsidRPr="005B3581">
        <w:t xml:space="preserve"> any </w:t>
      </w:r>
      <w:r>
        <w:t xml:space="preserve">forecast </w:t>
      </w:r>
      <w:r w:rsidRPr="005B3581">
        <w:t>profits</w:t>
      </w:r>
      <w:r>
        <w:t xml:space="preserve"> after the stresses</w:t>
      </w:r>
      <w:r w:rsidRPr="005B3581">
        <w:t xml:space="preserve"> cannot be used to offset the charge of</w:t>
      </w:r>
      <w:r>
        <w:t xml:space="preserve"> any</w:t>
      </w:r>
      <w:r w:rsidRPr="005B3581">
        <w:t xml:space="preserve"> other component.</w:t>
      </w:r>
    </w:p>
    <w:p w14:paraId="55B55433" w14:textId="065ABA25" w:rsidR="00AF0D36" w:rsidRPr="00533903" w:rsidRDefault="00AF0D36" w:rsidP="00A84E09">
      <w:pPr>
        <w:pStyle w:val="BodyText1"/>
      </w:pPr>
      <w:bookmarkStart w:id="35" w:name="_Hlk83971497"/>
      <w:r w:rsidRPr="006763F4">
        <w:t xml:space="preserve">The </w:t>
      </w:r>
      <w:r w:rsidR="000A643C">
        <w:t>FER</w:t>
      </w:r>
      <w:r w:rsidRPr="006763F4">
        <w:t xml:space="preserve">, for each of HIB and HRIB, is calculated </w:t>
      </w:r>
      <w:r w:rsidR="008F4E63">
        <w:t>by</w:t>
      </w:r>
      <w:r w:rsidR="008F4E63" w:rsidRPr="006763F4">
        <w:t xml:space="preserve"> </w:t>
      </w:r>
      <w:r w:rsidRPr="00533903">
        <w:t>stressing:</w:t>
      </w:r>
    </w:p>
    <w:p w14:paraId="286C169A" w14:textId="51AD3555" w:rsidR="00AF0D36" w:rsidRPr="006763F4" w:rsidRDefault="00AF0D36" w:rsidP="00A84E09">
      <w:pPr>
        <w:pStyle w:val="BodyText2"/>
      </w:pPr>
      <w:r w:rsidRPr="00533903">
        <w:t>Benefits incurred</w:t>
      </w:r>
      <w:r w:rsidRPr="006763F4">
        <w:t>; plus</w:t>
      </w:r>
    </w:p>
    <w:p w14:paraId="55ABD5E7" w14:textId="77777777" w:rsidR="00AF0D36" w:rsidRPr="00533903" w:rsidRDefault="00AF0D36" w:rsidP="00A84E09">
      <w:pPr>
        <w:pStyle w:val="BodyText2"/>
      </w:pPr>
      <w:r w:rsidRPr="00533903">
        <w:t>Management expenses; less</w:t>
      </w:r>
    </w:p>
    <w:p w14:paraId="3C39F575" w14:textId="70C1C3E9" w:rsidR="00AF0D36" w:rsidRPr="006763F4" w:rsidRDefault="00AF0D36" w:rsidP="00A84E09">
      <w:pPr>
        <w:pStyle w:val="BodyText2"/>
      </w:pPr>
      <w:r w:rsidRPr="00533903">
        <w:t>Accrued premium</w:t>
      </w:r>
      <w:r w:rsidRPr="006763F4">
        <w:t>.</w:t>
      </w:r>
    </w:p>
    <w:p w14:paraId="168A4A9F" w14:textId="6239D412" w:rsidR="00AF0D36" w:rsidRDefault="00AF0D36" w:rsidP="00A84E09">
      <w:pPr>
        <w:ind w:left="567"/>
      </w:pPr>
      <w:r>
        <w:t>This is to be calculated for the 12 months from the reporting date using stressed assumptions</w:t>
      </w:r>
      <w:r w:rsidR="008F4E63">
        <w:t xml:space="preserve"> as described in paragraphs </w:t>
      </w:r>
      <w:r w:rsidR="00F355F5">
        <w:fldChar w:fldCharType="begin"/>
      </w:r>
      <w:r w:rsidR="00F355F5">
        <w:instrText xml:space="preserve"> REF _Ref107304951 \r \h </w:instrText>
      </w:r>
      <w:r w:rsidR="00F355F5">
        <w:fldChar w:fldCharType="separate"/>
      </w:r>
      <w:r w:rsidR="0053478C">
        <w:t>22</w:t>
      </w:r>
      <w:r w:rsidR="00F355F5">
        <w:fldChar w:fldCharType="end"/>
      </w:r>
      <w:r w:rsidR="008F4E63">
        <w:t xml:space="preserve"> to </w:t>
      </w:r>
      <w:r w:rsidR="00F355F5">
        <w:fldChar w:fldCharType="begin"/>
      </w:r>
      <w:r w:rsidR="00F355F5">
        <w:instrText xml:space="preserve"> REF _Ref107304963 \r \h </w:instrText>
      </w:r>
      <w:r w:rsidR="00F355F5">
        <w:fldChar w:fldCharType="separate"/>
      </w:r>
      <w:r w:rsidR="0053478C">
        <w:t>27</w:t>
      </w:r>
      <w:r w:rsidR="00F355F5">
        <w:fldChar w:fldCharType="end"/>
      </w:r>
      <w:r w:rsidR="008F4E63">
        <w:t>.</w:t>
      </w:r>
      <w:r>
        <w:t xml:space="preserve"> </w:t>
      </w:r>
      <w:r w:rsidR="004B0077" w:rsidRPr="000D6041">
        <w:t xml:space="preserve">This is to be calculated net of any reinsurance arrangements. </w:t>
      </w:r>
      <w:r>
        <w:t xml:space="preserve"> </w:t>
      </w:r>
      <w:r w:rsidRPr="005B3581">
        <w:t xml:space="preserve">There is no allowance for investment income or </w:t>
      </w:r>
      <w:r w:rsidRPr="005B3581">
        <w:lastRenderedPageBreak/>
        <w:t>other parts of the business</w:t>
      </w:r>
      <w:r w:rsidR="00D9699E">
        <w:t xml:space="preserve"> other than</w:t>
      </w:r>
      <w:r w:rsidR="007B0138">
        <w:t xml:space="preserve"> discounting as described in paragraphs </w:t>
      </w:r>
      <w:r w:rsidR="00F355F5">
        <w:fldChar w:fldCharType="begin"/>
      </w:r>
      <w:r w:rsidR="00F355F5">
        <w:instrText xml:space="preserve"> REF _Ref107305003 \r \h </w:instrText>
      </w:r>
      <w:r w:rsidR="00F355F5">
        <w:fldChar w:fldCharType="separate"/>
      </w:r>
      <w:r w:rsidR="0053478C">
        <w:t>34</w:t>
      </w:r>
      <w:r w:rsidR="00F355F5">
        <w:fldChar w:fldCharType="end"/>
      </w:r>
      <w:r w:rsidR="007B0138">
        <w:t xml:space="preserve"> and </w:t>
      </w:r>
      <w:r w:rsidR="00F355F5">
        <w:fldChar w:fldCharType="begin"/>
      </w:r>
      <w:r w:rsidR="00F355F5">
        <w:instrText xml:space="preserve"> REF _Ref107305015 \r \h </w:instrText>
      </w:r>
      <w:r w:rsidR="00F355F5">
        <w:fldChar w:fldCharType="separate"/>
      </w:r>
      <w:r w:rsidR="0053478C">
        <w:t>35</w:t>
      </w:r>
      <w:r w:rsidR="00F355F5">
        <w:fldChar w:fldCharType="end"/>
      </w:r>
      <w:r>
        <w:t>.</w:t>
      </w:r>
    </w:p>
    <w:bookmarkEnd w:id="35"/>
    <w:p w14:paraId="525D6351" w14:textId="4A934307" w:rsidR="00AF0D36" w:rsidRPr="0062004F" w:rsidRDefault="00AF0D36" w:rsidP="00A84E09">
      <w:pPr>
        <w:pStyle w:val="BodyText1"/>
      </w:pPr>
      <w:r w:rsidRPr="0062004F">
        <w:t xml:space="preserve">The stressed assumptions may be adjusted for Management Actions as defined in paragraphs </w:t>
      </w:r>
      <w:bookmarkStart w:id="36" w:name="_Hlk84339313"/>
      <w:r>
        <w:rPr>
          <w:highlight w:val="yellow"/>
        </w:rPr>
        <w:fldChar w:fldCharType="begin"/>
      </w:r>
      <w:r>
        <w:instrText xml:space="preserve"> REF _Ref83026711 \r \h </w:instrText>
      </w:r>
      <w:r w:rsidR="00A84E09">
        <w:rPr>
          <w:highlight w:val="yellow"/>
        </w:rPr>
        <w:instrText xml:space="preserve"> \* MERGEFORMAT </w:instrText>
      </w:r>
      <w:r>
        <w:rPr>
          <w:highlight w:val="yellow"/>
        </w:rPr>
      </w:r>
      <w:r>
        <w:rPr>
          <w:highlight w:val="yellow"/>
        </w:rPr>
        <w:fldChar w:fldCharType="separate"/>
      </w:r>
      <w:r w:rsidR="0053478C">
        <w:t>28</w:t>
      </w:r>
      <w:r>
        <w:rPr>
          <w:highlight w:val="yellow"/>
        </w:rPr>
        <w:fldChar w:fldCharType="end"/>
      </w:r>
      <w:r w:rsidRPr="0062004F">
        <w:t xml:space="preserve"> </w:t>
      </w:r>
      <w:r>
        <w:t xml:space="preserve">to </w:t>
      </w:r>
      <w:bookmarkEnd w:id="36"/>
      <w:r w:rsidR="00F355F5">
        <w:fldChar w:fldCharType="begin"/>
      </w:r>
      <w:r w:rsidR="00F355F5">
        <w:instrText xml:space="preserve"> REF _Ref107305144 \r \h </w:instrText>
      </w:r>
      <w:r w:rsidR="00F355F5">
        <w:fldChar w:fldCharType="separate"/>
      </w:r>
      <w:r w:rsidR="0053478C">
        <w:t>33</w:t>
      </w:r>
      <w:r w:rsidR="00F355F5">
        <w:fldChar w:fldCharType="end"/>
      </w:r>
      <w:r>
        <w:t>.</w:t>
      </w:r>
    </w:p>
    <w:p w14:paraId="63B8050C" w14:textId="77777777" w:rsidR="00A84E09" w:rsidRPr="005B3581" w:rsidRDefault="00A84E09" w:rsidP="00A84E09">
      <w:pPr>
        <w:pStyle w:val="Heading1"/>
      </w:pPr>
      <w:bookmarkStart w:id="37" w:name="_Toc109394487"/>
      <w:r w:rsidRPr="005B3581">
        <w:t>Future Exposure Risk Charge – Health Insurance Business</w:t>
      </w:r>
      <w:bookmarkEnd w:id="37"/>
    </w:p>
    <w:p w14:paraId="25A68968" w14:textId="1DD075B4" w:rsidR="00A84E09" w:rsidRPr="00391B7C" w:rsidRDefault="00A84E09" w:rsidP="005B67AC">
      <w:pPr>
        <w:pStyle w:val="BodyText1"/>
      </w:pPr>
      <w:bookmarkStart w:id="38" w:name="_Ref107304951"/>
      <w:r w:rsidRPr="005B3581">
        <w:t xml:space="preserve">The Future Exposure Risk Charge for </w:t>
      </w:r>
      <w:r>
        <w:t>H</w:t>
      </w:r>
      <w:r w:rsidRPr="005B3581">
        <w:t xml:space="preserve">ealth </w:t>
      </w:r>
      <w:r>
        <w:t>I</w:t>
      </w:r>
      <w:r w:rsidRPr="005B3581">
        <w:t xml:space="preserve">nsurance </w:t>
      </w:r>
      <w:r>
        <w:t>B</w:t>
      </w:r>
      <w:r w:rsidRPr="005B3581">
        <w:t>usiness (FER</w:t>
      </w:r>
      <w:r w:rsidRPr="005B3581">
        <w:rPr>
          <w:vertAlign w:val="subscript"/>
        </w:rPr>
        <w:t>HIB</w:t>
      </w:r>
      <w:r w:rsidRPr="005B3581">
        <w:t>) is calculated as the losses occurring over the 12-month</w:t>
      </w:r>
      <w:r>
        <w:t>s from the reporting date due to</w:t>
      </w:r>
      <w:r w:rsidRPr="005B3581">
        <w:t xml:space="preserve"> </w:t>
      </w:r>
      <w:r>
        <w:t xml:space="preserve">the combined Adverse Event Stress </w:t>
      </w:r>
      <w:r w:rsidRPr="005B3581">
        <w:t>and the Prescribed Benefit Stress.</w:t>
      </w:r>
      <w:bookmarkEnd w:id="38"/>
      <w:r w:rsidRPr="005B3581">
        <w:t xml:space="preserve"> </w:t>
      </w:r>
    </w:p>
    <w:p w14:paraId="00F231C7" w14:textId="77777777" w:rsidR="00A84E09" w:rsidRPr="00696657" w:rsidRDefault="00A84E09" w:rsidP="005B67AC">
      <w:pPr>
        <w:pStyle w:val="Heading3"/>
        <w:rPr>
          <w:b/>
        </w:rPr>
      </w:pPr>
      <w:bookmarkStart w:id="39" w:name="_Toc109394488"/>
      <w:r w:rsidRPr="00696657">
        <w:t>Adverse Event Stress</w:t>
      </w:r>
      <w:bookmarkEnd w:id="39"/>
      <w:r w:rsidRPr="00696657">
        <w:t xml:space="preserve"> </w:t>
      </w:r>
    </w:p>
    <w:p w14:paraId="666C4E59" w14:textId="77777777" w:rsidR="00A84E09" w:rsidRPr="005B3581" w:rsidRDefault="00A84E09" w:rsidP="005B67AC">
      <w:pPr>
        <w:pStyle w:val="BodyText1"/>
      </w:pPr>
      <w:bookmarkStart w:id="40" w:name="_Hlk84337769"/>
      <w:r w:rsidRPr="005B3581">
        <w:t xml:space="preserve">The Adverse Event Stress </w:t>
      </w:r>
      <w:r>
        <w:t>quantifies</w:t>
      </w:r>
      <w:r w:rsidRPr="005B3581">
        <w:t xml:space="preserve"> the impact </w:t>
      </w:r>
      <w:r>
        <w:t>of an</w:t>
      </w:r>
      <w:r w:rsidRPr="005B3581">
        <w:t xml:space="preserve"> industry lapse s</w:t>
      </w:r>
      <w:r>
        <w:t>cenario</w:t>
      </w:r>
      <w:r w:rsidRPr="005B3581">
        <w:t xml:space="preserve">. This stress is focused on the lapse of younger </w:t>
      </w:r>
      <w:r w:rsidRPr="008155AD">
        <w:rPr>
          <w:b/>
        </w:rPr>
        <w:t>policy holders</w:t>
      </w:r>
      <w:r w:rsidRPr="005B3581">
        <w:t xml:space="preserve"> resulting in an adverse event on the </w:t>
      </w:r>
      <w:r>
        <w:t>insurer</w:t>
      </w:r>
      <w:r w:rsidRPr="005B3581">
        <w:t>.</w:t>
      </w:r>
      <w:bookmarkEnd w:id="40"/>
      <w:r w:rsidRPr="005B3581">
        <w:t xml:space="preserve"> </w:t>
      </w:r>
    </w:p>
    <w:p w14:paraId="640688DE" w14:textId="77777777" w:rsidR="00A84E09" w:rsidRPr="005B3581" w:rsidRDefault="00A84E09" w:rsidP="005B67AC">
      <w:pPr>
        <w:pStyle w:val="BodyText1"/>
      </w:pPr>
      <w:r w:rsidRPr="005B3581">
        <w:t xml:space="preserve">The Adverse Event Stress is </w:t>
      </w:r>
      <w:r>
        <w:t>based on the following parameters</w:t>
      </w:r>
      <w:r w:rsidRPr="005B3581">
        <w:t>:</w:t>
      </w:r>
    </w:p>
    <w:p w14:paraId="0B708310" w14:textId="58687009" w:rsidR="00225B87" w:rsidRPr="00225B87" w:rsidRDefault="00225B87" w:rsidP="00225B87">
      <w:pPr>
        <w:pStyle w:val="BodyText2"/>
      </w:pPr>
      <w:r w:rsidRPr="00225B87">
        <w:t>25% of all policies where the policyholder is aged under 65 years of age lapse immediately. Where the lapsing policies provide insurance for multiple people, all insured persons within these policies also lapse immediately</w:t>
      </w:r>
      <w:r>
        <w:t>;</w:t>
      </w:r>
    </w:p>
    <w:p w14:paraId="2A7511B3" w14:textId="77777777" w:rsidR="00A84E09" w:rsidRPr="005B3581" w:rsidRDefault="00A84E09" w:rsidP="005B67AC">
      <w:pPr>
        <w:pStyle w:val="BodyText2"/>
      </w:pPr>
      <w:r>
        <w:t>t</w:t>
      </w:r>
      <w:r w:rsidRPr="005B3581">
        <w:t xml:space="preserve">he </w:t>
      </w:r>
      <w:r w:rsidRPr="00CC5DCF">
        <w:t>accrued premium</w:t>
      </w:r>
      <w:r w:rsidRPr="005B3581">
        <w:t xml:space="preserve"> and claims incurred of those who lapse are the average for their age cohort. </w:t>
      </w:r>
      <w:r w:rsidRPr="005B3581" w:rsidDel="00185FCA">
        <w:t xml:space="preserve"> </w:t>
      </w:r>
      <w:r w:rsidRPr="005B3581">
        <w:t>This</w:t>
      </w:r>
      <w:r>
        <w:t xml:space="preserve"> is</w:t>
      </w:r>
      <w:r w:rsidRPr="005B3581">
        <w:t xml:space="preserve"> to be applied equally across all states, scales, products and across hospital and general treatment. This does not focus on any particular cohort other than age;</w:t>
      </w:r>
    </w:p>
    <w:p w14:paraId="6834CB07" w14:textId="7368FDB2" w:rsidR="00A84E09" w:rsidRPr="00391B7C" w:rsidRDefault="00A84E09" w:rsidP="005B67AC">
      <w:pPr>
        <w:pStyle w:val="BodyText2"/>
      </w:pPr>
      <w:r>
        <w:t>t</w:t>
      </w:r>
      <w:r w:rsidRPr="00391B7C">
        <w:t xml:space="preserve">he calculated deficit per SEU is to be increased by 20%. This reflects the impact on risk equalisation from fewer younger policy holders. The calculated deficit is the </w:t>
      </w:r>
      <w:r w:rsidRPr="00805509">
        <w:t>average</w:t>
      </w:r>
      <w:r w:rsidRPr="00391B7C">
        <w:rPr>
          <w:i/>
        </w:rPr>
        <w:t xml:space="preserve"> amount payable for each SEU</w:t>
      </w:r>
      <w:r w:rsidRPr="00391B7C">
        <w:t xml:space="preserve"> as defined in </w:t>
      </w:r>
      <w:r>
        <w:t>sub-rule</w:t>
      </w:r>
      <w:r w:rsidRPr="00391B7C">
        <w:t xml:space="preserve"> 11(1)(d) of the Private Health Insurance (Risk Equalisation Policy) Rules 2015 or its replacement;</w:t>
      </w:r>
      <w:r>
        <w:t xml:space="preserve"> and</w:t>
      </w:r>
    </w:p>
    <w:p w14:paraId="4C5DC4ED" w14:textId="52062A03" w:rsidR="00A84E09" w:rsidRPr="005B3581" w:rsidRDefault="00A84E09" w:rsidP="005B67AC">
      <w:pPr>
        <w:pStyle w:val="BodyText2"/>
      </w:pPr>
      <w:r>
        <w:t>m</w:t>
      </w:r>
      <w:r w:rsidRPr="00490E2F">
        <w:t>anagement expenses</w:t>
      </w:r>
      <w:r w:rsidRPr="005B3581">
        <w:t xml:space="preserve"> are to be reduced only by </w:t>
      </w:r>
      <w:r w:rsidR="00E016B0">
        <w:t xml:space="preserve">variable </w:t>
      </w:r>
      <w:r w:rsidRPr="005B3581">
        <w:t xml:space="preserve">costs which </w:t>
      </w:r>
      <w:r w:rsidR="00E016B0">
        <w:t xml:space="preserve">would be lower immediately following the stress. These must reflect the </w:t>
      </w:r>
      <w:r w:rsidR="002A60BA">
        <w:t>management expenses</w:t>
      </w:r>
      <w:r w:rsidR="00E016B0">
        <w:t xml:space="preserve"> </w:t>
      </w:r>
      <w:r w:rsidR="002A60BA">
        <w:t xml:space="preserve">of the </w:t>
      </w:r>
      <w:r w:rsidR="00E016B0">
        <w:t>insurer</w:t>
      </w:r>
      <w:r w:rsidR="002A60BA">
        <w:t xml:space="preserve"> </w:t>
      </w:r>
      <w:r>
        <w:t xml:space="preserve">over </w:t>
      </w:r>
      <w:r w:rsidR="002A60BA">
        <w:t xml:space="preserve">the 12-month period </w:t>
      </w:r>
      <w:r w:rsidR="000C60B7">
        <w:t xml:space="preserve">without specific management action as defined in paragraphs </w:t>
      </w:r>
      <w:r w:rsidR="006F4228">
        <w:fldChar w:fldCharType="begin"/>
      </w:r>
      <w:r w:rsidR="006F4228">
        <w:instrText xml:space="preserve"> REF _Ref83026711 \r \h </w:instrText>
      </w:r>
      <w:r w:rsidR="006F4228">
        <w:fldChar w:fldCharType="separate"/>
      </w:r>
      <w:r w:rsidR="0053478C">
        <w:t>28</w:t>
      </w:r>
      <w:r w:rsidR="006F4228">
        <w:fldChar w:fldCharType="end"/>
      </w:r>
      <w:r w:rsidR="00F355F5">
        <w:t xml:space="preserve"> to </w:t>
      </w:r>
      <w:r w:rsidR="006F4228">
        <w:fldChar w:fldCharType="begin"/>
      </w:r>
      <w:r w:rsidR="006F4228">
        <w:instrText xml:space="preserve"> REF _Ref107305144 \r \h </w:instrText>
      </w:r>
      <w:r w:rsidR="006F4228">
        <w:fldChar w:fldCharType="separate"/>
      </w:r>
      <w:r w:rsidR="0053478C">
        <w:t>33</w:t>
      </w:r>
      <w:r w:rsidR="006F4228">
        <w:fldChar w:fldCharType="end"/>
      </w:r>
      <w:r w:rsidR="000C60B7">
        <w:t>.</w:t>
      </w:r>
      <w:r>
        <w:t xml:space="preserve">  </w:t>
      </w:r>
    </w:p>
    <w:p w14:paraId="44589BD4" w14:textId="7FA47F40" w:rsidR="00A84E09" w:rsidRPr="00696657" w:rsidRDefault="00A84E09" w:rsidP="005B67AC">
      <w:pPr>
        <w:pStyle w:val="Heading3"/>
        <w:rPr>
          <w:b/>
        </w:rPr>
      </w:pPr>
      <w:bookmarkStart w:id="41" w:name="_Toc109394489"/>
      <w:r w:rsidRPr="00696657">
        <w:t xml:space="preserve">Prescribed Benefit Stress </w:t>
      </w:r>
      <w:r>
        <w:t>–</w:t>
      </w:r>
      <w:r w:rsidRPr="00696657">
        <w:t xml:space="preserve"> </w:t>
      </w:r>
      <w:r w:rsidR="000A643C">
        <w:t>Health Insurance Business</w:t>
      </w:r>
      <w:bookmarkEnd w:id="41"/>
    </w:p>
    <w:p w14:paraId="165EE4CB" w14:textId="6C2680F9" w:rsidR="00A84E09" w:rsidRPr="005B67AC" w:rsidRDefault="00A84E09" w:rsidP="005B67AC">
      <w:pPr>
        <w:pStyle w:val="BodyText1"/>
      </w:pPr>
      <w:r w:rsidRPr="005B67AC">
        <w:t xml:space="preserve">Prescribed Benefit Stress for HIB is an additional increase </w:t>
      </w:r>
      <w:r w:rsidR="007B0138">
        <w:t>in</w:t>
      </w:r>
      <w:r w:rsidRPr="005B67AC">
        <w:t xml:space="preserve"> the benefits incurred and management expenses, as calculated in the Adverse Event Stress, by the HIB Stress % as defined in paragraph </w:t>
      </w:r>
      <w:r w:rsidR="00C40663">
        <w:fldChar w:fldCharType="begin"/>
      </w:r>
      <w:r w:rsidR="00C40663">
        <w:instrText xml:space="preserve"> REF _Ref137022873 \r \h </w:instrText>
      </w:r>
      <w:r w:rsidR="00C40663">
        <w:fldChar w:fldCharType="separate"/>
      </w:r>
      <w:r w:rsidR="00C40663">
        <w:t>14(c)</w:t>
      </w:r>
      <w:r w:rsidR="00C40663">
        <w:fldChar w:fldCharType="end"/>
      </w:r>
      <w:r w:rsidRPr="005B67AC">
        <w:t>.</w:t>
      </w:r>
    </w:p>
    <w:p w14:paraId="517BEBE1" w14:textId="77777777" w:rsidR="00A84E09" w:rsidRPr="00696657" w:rsidRDefault="00A84E09" w:rsidP="00A84E09">
      <w:pPr>
        <w:pStyle w:val="Heading1"/>
      </w:pPr>
      <w:bookmarkStart w:id="42" w:name="_Toc109394490"/>
      <w:r w:rsidRPr="00696657">
        <w:t>Future Exposure Risk Charge – Health</w:t>
      </w:r>
      <w:r>
        <w:t>-r</w:t>
      </w:r>
      <w:r w:rsidRPr="00696657">
        <w:t>elated Insurance Business</w:t>
      </w:r>
      <w:bookmarkEnd w:id="42"/>
    </w:p>
    <w:p w14:paraId="1A14F00E" w14:textId="77777777" w:rsidR="00A84E09" w:rsidRPr="00372F4A" w:rsidRDefault="00A84E09" w:rsidP="00A84E09">
      <w:pPr>
        <w:pStyle w:val="BodyText1"/>
      </w:pPr>
      <w:r w:rsidRPr="00372F4A">
        <w:t>The Future Exposure Risk Charge for Health-Related Insurance Business (FER</w:t>
      </w:r>
      <w:r w:rsidRPr="00372F4A">
        <w:rPr>
          <w:vertAlign w:val="subscript"/>
        </w:rPr>
        <w:t>HRIB</w:t>
      </w:r>
      <w:r w:rsidRPr="00372F4A">
        <w:t>) is calculated as the losses occurring over the 12 months from the reporting date due to the Prescribed Benefits Stress.</w:t>
      </w:r>
    </w:p>
    <w:p w14:paraId="304A1058" w14:textId="4F3EC3C3" w:rsidR="00A84E09" w:rsidRPr="005B3581" w:rsidRDefault="00A84E09" w:rsidP="00A84E09">
      <w:pPr>
        <w:pStyle w:val="BodyText1"/>
      </w:pPr>
      <w:bookmarkStart w:id="43" w:name="_Ref107304963"/>
      <w:r>
        <w:lastRenderedPageBreak/>
        <w:t xml:space="preserve">Prescribed Benefit Stress for HRIB is an increase in forecast benefits incurred and management expenses by the HRIB Stress % as defined in paragraph </w:t>
      </w:r>
      <w:r w:rsidR="00C40663">
        <w:fldChar w:fldCharType="begin"/>
      </w:r>
      <w:r w:rsidR="00C40663">
        <w:instrText xml:space="preserve"> REF _Ref137022944 \r \h </w:instrText>
      </w:r>
      <w:r w:rsidR="00C40663">
        <w:fldChar w:fldCharType="separate"/>
      </w:r>
      <w:r w:rsidR="00C40663">
        <w:t>14(d)</w:t>
      </w:r>
      <w:r w:rsidR="00C40663">
        <w:fldChar w:fldCharType="end"/>
      </w:r>
      <w:r w:rsidRPr="00360490">
        <w:t>.</w:t>
      </w:r>
      <w:bookmarkEnd w:id="43"/>
    </w:p>
    <w:p w14:paraId="2461CFD8" w14:textId="77777777" w:rsidR="00A84E09" w:rsidRPr="00973DA1" w:rsidRDefault="00A84E09" w:rsidP="00A84E09">
      <w:pPr>
        <w:pStyle w:val="Heading1"/>
      </w:pPr>
      <w:bookmarkStart w:id="44" w:name="_Toc109394491"/>
      <w:r w:rsidRPr="00973DA1">
        <w:t>Management actions</w:t>
      </w:r>
      <w:bookmarkEnd w:id="44"/>
    </w:p>
    <w:p w14:paraId="576F5D12" w14:textId="202ED251" w:rsidR="00A84E09" w:rsidRPr="00973DA1" w:rsidRDefault="00A84E09" w:rsidP="00A84E09">
      <w:pPr>
        <w:pStyle w:val="BodyText1"/>
      </w:pPr>
      <w:bookmarkStart w:id="45" w:name="_Ref83026711"/>
      <w:r w:rsidRPr="00973DA1">
        <w:t xml:space="preserve">When determining the impact of losses from the </w:t>
      </w:r>
      <w:r w:rsidR="000A643C">
        <w:t>FER</w:t>
      </w:r>
      <w:r w:rsidRPr="00973DA1">
        <w:t xml:space="preserve">, a private health insurer may make allowance for the actions that it would expect to take in response to the stresses, subject to the restrictions described in paragraphs </w:t>
      </w:r>
      <w:r>
        <w:fldChar w:fldCharType="begin"/>
      </w:r>
      <w:r>
        <w:instrText xml:space="preserve"> REF _Ref78982951 \r \h  \* MERGEFORMAT </w:instrText>
      </w:r>
      <w:r>
        <w:fldChar w:fldCharType="separate"/>
      </w:r>
      <w:r w:rsidR="0053478C">
        <w:t>29</w:t>
      </w:r>
      <w:r>
        <w:fldChar w:fldCharType="end"/>
      </w:r>
      <w:r>
        <w:t xml:space="preserve"> </w:t>
      </w:r>
      <w:r w:rsidRPr="00973DA1">
        <w:t>to</w:t>
      </w:r>
      <w:r>
        <w:t xml:space="preserve"> </w:t>
      </w:r>
      <w:r w:rsidR="006F4228">
        <w:fldChar w:fldCharType="begin"/>
      </w:r>
      <w:r w:rsidR="006F4228">
        <w:instrText xml:space="preserve"> REF _Ref107305144 \r \h </w:instrText>
      </w:r>
      <w:r w:rsidR="006F4228">
        <w:fldChar w:fldCharType="separate"/>
      </w:r>
      <w:r w:rsidR="0053478C">
        <w:t>33</w:t>
      </w:r>
      <w:r w:rsidR="006F4228">
        <w:fldChar w:fldCharType="end"/>
      </w:r>
      <w:r w:rsidRPr="00973DA1">
        <w:t>.</w:t>
      </w:r>
      <w:bookmarkEnd w:id="45"/>
    </w:p>
    <w:p w14:paraId="66525FF1" w14:textId="77777777" w:rsidR="00A84E09" w:rsidRPr="00973DA1" w:rsidRDefault="00A84E09" w:rsidP="00A84E09">
      <w:pPr>
        <w:pStyle w:val="BodyText1"/>
      </w:pPr>
      <w:bookmarkStart w:id="46" w:name="_Ref78982951"/>
      <w:r w:rsidRPr="00973DA1">
        <w:t>Management actions may include, but are not limited to:</w:t>
      </w:r>
      <w:bookmarkEnd w:id="46"/>
    </w:p>
    <w:p w14:paraId="013789AE" w14:textId="77777777" w:rsidR="00A84E09" w:rsidRPr="00973DA1" w:rsidRDefault="00A84E09" w:rsidP="00A84E09">
      <w:pPr>
        <w:pStyle w:val="BodyText"/>
        <w:numPr>
          <w:ilvl w:val="2"/>
          <w:numId w:val="32"/>
        </w:numPr>
        <w:spacing w:after="240"/>
        <w:ind w:left="1134" w:hanging="567"/>
        <w:jc w:val="both"/>
      </w:pPr>
      <w:r>
        <w:t>c</w:t>
      </w:r>
      <w:r w:rsidRPr="00973DA1">
        <w:t>hanging coverage;</w:t>
      </w:r>
    </w:p>
    <w:p w14:paraId="4AA9859E" w14:textId="77777777" w:rsidR="00A84E09" w:rsidRPr="00973DA1" w:rsidRDefault="00A84E09" w:rsidP="00A84E09">
      <w:pPr>
        <w:pStyle w:val="BodyText"/>
        <w:numPr>
          <w:ilvl w:val="2"/>
          <w:numId w:val="32"/>
        </w:numPr>
        <w:spacing w:after="240"/>
        <w:ind w:left="1134" w:hanging="567"/>
        <w:jc w:val="both"/>
      </w:pPr>
      <w:r>
        <w:t>c</w:t>
      </w:r>
      <w:r w:rsidRPr="00973DA1">
        <w:t xml:space="preserve">hanging management expenses; </w:t>
      </w:r>
    </w:p>
    <w:p w14:paraId="6477DB16" w14:textId="77777777" w:rsidR="00A84E09" w:rsidRDefault="00A84E09" w:rsidP="00A84E09">
      <w:pPr>
        <w:pStyle w:val="BodyText"/>
        <w:numPr>
          <w:ilvl w:val="2"/>
          <w:numId w:val="32"/>
        </w:numPr>
        <w:spacing w:after="240"/>
        <w:ind w:left="1134" w:hanging="567"/>
        <w:jc w:val="both"/>
      </w:pPr>
      <w:r>
        <w:t>c</w:t>
      </w:r>
      <w:r w:rsidRPr="00973DA1">
        <w:t>losing products; and</w:t>
      </w:r>
    </w:p>
    <w:p w14:paraId="651CB461" w14:textId="17D8B845" w:rsidR="005B67AC" w:rsidRPr="00973DA1" w:rsidDel="00A44B80" w:rsidRDefault="005B67AC" w:rsidP="005B67AC">
      <w:pPr>
        <w:pStyle w:val="BodyText"/>
        <w:numPr>
          <w:ilvl w:val="2"/>
          <w:numId w:val="32"/>
        </w:numPr>
        <w:spacing w:after="240"/>
        <w:ind w:left="1134" w:hanging="567"/>
        <w:jc w:val="both"/>
      </w:pPr>
      <w:r>
        <w:t>m</w:t>
      </w:r>
      <w:r w:rsidRPr="00973DA1">
        <w:t xml:space="preserve">igrating </w:t>
      </w:r>
      <w:r w:rsidR="00264BE0" w:rsidRPr="00973DA1">
        <w:t>p</w:t>
      </w:r>
      <w:r w:rsidR="00264BE0">
        <w:t>olices</w:t>
      </w:r>
      <w:r w:rsidRPr="00973DA1">
        <w:t xml:space="preserve">. </w:t>
      </w:r>
    </w:p>
    <w:p w14:paraId="1940E1D4" w14:textId="3A74A94B" w:rsidR="005B67AC" w:rsidRDefault="005B67AC" w:rsidP="005B67AC">
      <w:pPr>
        <w:pStyle w:val="BodyText1"/>
      </w:pPr>
      <w:bookmarkStart w:id="47" w:name="_Hlk83822870"/>
      <w:r>
        <w:t>The allowances for management actions must be appropriate</w:t>
      </w:r>
      <w:r w:rsidR="00F55B23">
        <w:t xml:space="preserve"> and</w:t>
      </w:r>
      <w:r>
        <w:t xml:space="preserve"> justifiable. Any contractual guarantees must be taken into account in determining the management actions that would be applied.</w:t>
      </w:r>
      <w:bookmarkEnd w:id="47"/>
    </w:p>
    <w:p w14:paraId="2290977A" w14:textId="319F102D" w:rsidR="00416861" w:rsidRDefault="005B67AC">
      <w:pPr>
        <w:pStyle w:val="BodyText1"/>
      </w:pPr>
      <w:r>
        <w:t xml:space="preserve">Management actions cannot be assumed to occur within </w:t>
      </w:r>
      <w:r w:rsidR="00976D0D">
        <w:t>nine</w:t>
      </w:r>
      <w:r>
        <w:t xml:space="preserve"> months of the reporting date</w:t>
      </w:r>
      <w:r w:rsidRPr="007B0138">
        <w:t>. The</w:t>
      </w:r>
      <w:r w:rsidR="00976D0D" w:rsidRPr="00D9699E">
        <w:t xml:space="preserve"> nine</w:t>
      </w:r>
      <w:r w:rsidRPr="007B0138">
        <w:t xml:space="preserve"> month period must be extended if </w:t>
      </w:r>
      <w:r w:rsidR="00C56FA9" w:rsidRPr="001B12CF">
        <w:t>it is not sufficient</w:t>
      </w:r>
      <w:r w:rsidR="00C56FA9" w:rsidRPr="007B0138">
        <w:t xml:space="preserve"> </w:t>
      </w:r>
      <w:r w:rsidRPr="007B0138">
        <w:t xml:space="preserve">time </w:t>
      </w:r>
      <w:r w:rsidR="00BB64FE" w:rsidRPr="001B12CF">
        <w:t>to allow</w:t>
      </w:r>
      <w:r>
        <w:t xml:space="preserve"> the insurer to identify the event, assess the extent of the change, </w:t>
      </w:r>
      <w:r w:rsidR="00CD68E1">
        <w:t xml:space="preserve">align to </w:t>
      </w:r>
      <w:r>
        <w:t>the insurer’s risk appetite, implement the actions</w:t>
      </w:r>
      <w:r w:rsidR="00CD68E1">
        <w:t xml:space="preserve"> and for the actions to take effect</w:t>
      </w:r>
      <w:r>
        <w:t>.</w:t>
      </w:r>
      <w:bookmarkStart w:id="48" w:name="_Ref107305114"/>
    </w:p>
    <w:p w14:paraId="30C84A8C" w14:textId="3FAFD573" w:rsidR="005B67AC" w:rsidRDefault="005B67AC" w:rsidP="005B67AC">
      <w:pPr>
        <w:pStyle w:val="BodyText1"/>
      </w:pPr>
      <w:bookmarkStart w:id="49" w:name="_Hlk107309210"/>
      <w:bookmarkEnd w:id="48"/>
      <w:r w:rsidRPr="00973DA1">
        <w:t xml:space="preserve">Where </w:t>
      </w:r>
      <w:r>
        <w:t xml:space="preserve">a private health </w:t>
      </w:r>
      <w:r w:rsidRPr="00973DA1">
        <w:t>insurer propose</w:t>
      </w:r>
      <w:r>
        <w:t>s</w:t>
      </w:r>
      <w:r w:rsidRPr="00973DA1">
        <w:t xml:space="preserve"> to change products, </w:t>
      </w:r>
      <w:r>
        <w:t xml:space="preserve">the </w:t>
      </w:r>
      <w:r w:rsidRPr="00973DA1">
        <w:t xml:space="preserve">timeframes must </w:t>
      </w:r>
      <w:r>
        <w:t>include</w:t>
      </w:r>
      <w:r w:rsidRPr="00973DA1">
        <w:t xml:space="preserve"> informing </w:t>
      </w:r>
      <w:r>
        <w:t>an adult</w:t>
      </w:r>
      <w:r w:rsidRPr="00973DA1">
        <w:t xml:space="preserve"> </w:t>
      </w:r>
      <w:r>
        <w:t>insured under each policy</w:t>
      </w:r>
      <w:r w:rsidRPr="00973DA1">
        <w:t xml:space="preserve"> about proposed changes a ‘</w:t>
      </w:r>
      <w:r w:rsidRPr="00973DA1">
        <w:rPr>
          <w:i/>
        </w:rPr>
        <w:t xml:space="preserve">reasonable time before the change takes effect’ </w:t>
      </w:r>
      <w:r w:rsidRPr="00973DA1">
        <w:t xml:space="preserve">as outlined in 93-20 (2) of the </w:t>
      </w:r>
      <w:r w:rsidRPr="008155AD">
        <w:rPr>
          <w:b/>
        </w:rPr>
        <w:t>PHI Act.</w:t>
      </w:r>
    </w:p>
    <w:p w14:paraId="0EE09762" w14:textId="0AEF93AF" w:rsidR="005B67AC" w:rsidRPr="00075C76" w:rsidRDefault="005B67AC" w:rsidP="00BB64FE">
      <w:pPr>
        <w:pStyle w:val="BodyText1"/>
      </w:pPr>
      <w:bookmarkStart w:id="50" w:name="_Ref83823487"/>
      <w:bookmarkStart w:id="51" w:name="_Ref107305144"/>
      <w:bookmarkEnd w:id="49"/>
      <w:r w:rsidRPr="001B12CF">
        <w:rPr>
          <w:rFonts w:eastAsia="Calibri"/>
        </w:rPr>
        <w:t xml:space="preserve">Following the implementation of any management action, </w:t>
      </w:r>
      <w:r w:rsidR="00BB64FE" w:rsidRPr="001B12CF">
        <w:t>any</w:t>
      </w:r>
      <w:r w:rsidR="00BB64FE" w:rsidRPr="001B12CF">
        <w:rPr>
          <w:rFonts w:eastAsia="Calibri"/>
        </w:rPr>
        <w:t xml:space="preserve"> </w:t>
      </w:r>
      <w:r w:rsidRPr="001B12CF">
        <w:rPr>
          <w:rFonts w:eastAsia="Calibri"/>
        </w:rPr>
        <w:t>estimate</w:t>
      </w:r>
      <w:r w:rsidR="00BB64FE" w:rsidRPr="001B12CF">
        <w:t xml:space="preserve">d insurance profits on HIB or HRIB cannot be used to reduce the </w:t>
      </w:r>
      <w:r w:rsidR="00B04897" w:rsidRPr="001B12CF">
        <w:t>FER</w:t>
      </w:r>
      <w:r w:rsidRPr="007357D2">
        <w:rPr>
          <w:rFonts w:eastAsia="Calibri"/>
        </w:rPr>
        <w:t>. That is, any insurance profits forecast after management action cannot offset prior losses</w:t>
      </w:r>
      <w:r w:rsidRPr="00075C76">
        <w:t>.</w:t>
      </w:r>
      <w:bookmarkEnd w:id="50"/>
      <w:bookmarkEnd w:id="51"/>
    </w:p>
    <w:p w14:paraId="4EF03BCF" w14:textId="4FD382E5" w:rsidR="00626FC2" w:rsidRDefault="00626FC2" w:rsidP="00626FC2">
      <w:pPr>
        <w:pStyle w:val="Heading1"/>
      </w:pPr>
      <w:bookmarkStart w:id="52" w:name="_Toc109394492"/>
      <w:r>
        <w:t xml:space="preserve">Discounting of the </w:t>
      </w:r>
      <w:r w:rsidRPr="00696657">
        <w:t>Future Exposure Risk Charge</w:t>
      </w:r>
      <w:bookmarkEnd w:id="52"/>
    </w:p>
    <w:p w14:paraId="005177B1" w14:textId="03D6FC51" w:rsidR="00626FC2" w:rsidRDefault="00626FC2" w:rsidP="00626FC2">
      <w:pPr>
        <w:pStyle w:val="BodyText1"/>
      </w:pPr>
      <w:bookmarkStart w:id="53" w:name="_Ref107305003"/>
      <w:r w:rsidRPr="00626FC2">
        <w:t xml:space="preserve">The determination of the </w:t>
      </w:r>
      <w:r w:rsidR="008F2FC3">
        <w:t>FER</w:t>
      </w:r>
      <w:r w:rsidRPr="00626FC2">
        <w:t xml:space="preserve"> of the fund under this standard may allow for the discounting of future cash flows in accordance with </w:t>
      </w:r>
      <w:bookmarkEnd w:id="53"/>
      <w:r w:rsidR="00075C76">
        <w:t xml:space="preserve">paragraph </w:t>
      </w:r>
      <w:r w:rsidR="005E4C75">
        <w:fldChar w:fldCharType="begin"/>
      </w:r>
      <w:r w:rsidR="005E4C75">
        <w:instrText xml:space="preserve"> REF _Ref107305015 \r \h </w:instrText>
      </w:r>
      <w:r w:rsidR="005E4C75">
        <w:fldChar w:fldCharType="separate"/>
      </w:r>
      <w:r w:rsidR="0053478C">
        <w:t>35</w:t>
      </w:r>
      <w:r w:rsidR="005E4C75">
        <w:fldChar w:fldCharType="end"/>
      </w:r>
      <w:r w:rsidRPr="00626FC2">
        <w:t>.</w:t>
      </w:r>
    </w:p>
    <w:p w14:paraId="06AE9721" w14:textId="347C52B0" w:rsidR="00626FC2" w:rsidRPr="00AC50C2" w:rsidRDefault="00652DAE" w:rsidP="001B12CF">
      <w:pPr>
        <w:pStyle w:val="BodyText1"/>
      </w:pPr>
      <w:bookmarkStart w:id="54" w:name="_Ref107305015"/>
      <w:r>
        <w:t xml:space="preserve">The rates to be used in discounting </w:t>
      </w:r>
      <w:r w:rsidR="00626FC2" w:rsidRPr="00626FC2">
        <w:t xml:space="preserve">cash flows relating to the </w:t>
      </w:r>
      <w:r w:rsidR="008F2FC3">
        <w:t>FER</w:t>
      </w:r>
      <w:r w:rsidR="00626FC2" w:rsidRPr="00626FC2">
        <w:t xml:space="preserve"> </w:t>
      </w:r>
      <w:r>
        <w:t xml:space="preserve">are derived from yields of Commonwealth Government Securities (CGS), as at the calculation date, for the relevant </w:t>
      </w:r>
      <w:r w:rsidR="00626FC2" w:rsidRPr="00626FC2">
        <w:t>duration.</w:t>
      </w:r>
      <w:bookmarkEnd w:id="54"/>
    </w:p>
    <w:p w14:paraId="1355DEA4" w14:textId="41BE2397" w:rsidR="006B0333" w:rsidRDefault="006B0333" w:rsidP="006B0333">
      <w:pPr>
        <w:pStyle w:val="Heading1"/>
      </w:pPr>
      <w:bookmarkStart w:id="55" w:name="_Toc109394493"/>
      <w:r>
        <w:t>Deferred Claims Liabilit</w:t>
      </w:r>
      <w:r w:rsidR="009647CF">
        <w:t>y</w:t>
      </w:r>
      <w:r w:rsidR="00D150D9">
        <w:t xml:space="preserve"> Risk</w:t>
      </w:r>
      <w:r w:rsidRPr="004E5AA6">
        <w:t xml:space="preserve"> Charge</w:t>
      </w:r>
      <w:bookmarkEnd w:id="55"/>
    </w:p>
    <w:p w14:paraId="604AEDA7" w14:textId="76E752E4" w:rsidR="006B0333" w:rsidRDefault="006B0333" w:rsidP="006B0333">
      <w:pPr>
        <w:pStyle w:val="BodyText1"/>
        <w:jc w:val="left"/>
      </w:pPr>
      <w:bookmarkStart w:id="56" w:name="_Ref105685137"/>
      <w:r w:rsidRPr="00F41101">
        <w:t xml:space="preserve">The </w:t>
      </w:r>
      <w:r>
        <w:t>Deferred Claims</w:t>
      </w:r>
      <w:r w:rsidRPr="00F41101">
        <w:t xml:space="preserve"> </w:t>
      </w:r>
      <w:r>
        <w:t>Liabilit</w:t>
      </w:r>
      <w:r w:rsidR="009647CF">
        <w:t>y</w:t>
      </w:r>
      <w:r w:rsidR="00D150D9">
        <w:t xml:space="preserve"> Risk</w:t>
      </w:r>
      <w:r w:rsidRPr="00F41101">
        <w:t xml:space="preserve"> Charge relates to the risk that the value of the deferred claims liabilit</w:t>
      </w:r>
      <w:r w:rsidR="009647CF">
        <w:t>y</w:t>
      </w:r>
      <w:r w:rsidRPr="00F41101">
        <w:t xml:space="preserve"> will be greater than the value determined in accordance with HPS 340.</w:t>
      </w:r>
      <w:bookmarkEnd w:id="56"/>
    </w:p>
    <w:p w14:paraId="358C02B9" w14:textId="131795D0" w:rsidR="006B0333" w:rsidRDefault="006B0333" w:rsidP="006B0333">
      <w:pPr>
        <w:pStyle w:val="BodyText1"/>
      </w:pPr>
      <w:bookmarkStart w:id="57" w:name="_Ref105685169"/>
      <w:r>
        <w:lastRenderedPageBreak/>
        <w:t>The Deferred Claims Liabilit</w:t>
      </w:r>
      <w:r w:rsidR="009647CF">
        <w:t>y</w:t>
      </w:r>
      <w:r w:rsidR="00D150D9">
        <w:t xml:space="preserve"> Risk</w:t>
      </w:r>
      <w:r>
        <w:t xml:space="preserve"> Charge is calculated as:</w:t>
      </w:r>
      <w:bookmarkEnd w:id="57"/>
    </w:p>
    <w:p w14:paraId="575151FD" w14:textId="7E8DB248" w:rsidR="006B0333" w:rsidRDefault="006B0333" w:rsidP="006B0333">
      <w:pPr>
        <w:pStyle w:val="BodyText1"/>
        <w:numPr>
          <w:ilvl w:val="0"/>
          <w:numId w:val="0"/>
        </w:numPr>
        <w:ind w:left="567"/>
      </w:pPr>
      <w:r>
        <w:t>Deferred claims liabilit</w:t>
      </w:r>
      <w:r w:rsidR="009647CF">
        <w:t>y</w:t>
      </w:r>
      <w:r>
        <w:t xml:space="preserve"> at 99.5</w:t>
      </w:r>
      <w:r w:rsidR="008F3363">
        <w:t xml:space="preserve"> per cent</w:t>
      </w:r>
      <w:r>
        <w:t>; less</w:t>
      </w:r>
    </w:p>
    <w:p w14:paraId="65C34E7E" w14:textId="599AD09D" w:rsidR="006B0333" w:rsidRDefault="006B0333" w:rsidP="006B0333">
      <w:pPr>
        <w:pStyle w:val="BodyText1"/>
        <w:numPr>
          <w:ilvl w:val="0"/>
          <w:numId w:val="0"/>
        </w:numPr>
        <w:ind w:left="567"/>
      </w:pPr>
      <w:r>
        <w:t>Deferred claims liabilit</w:t>
      </w:r>
      <w:r w:rsidR="009647CF">
        <w:t>y</w:t>
      </w:r>
      <w:r>
        <w:t>; less</w:t>
      </w:r>
    </w:p>
    <w:p w14:paraId="10A73415" w14:textId="70779915" w:rsidR="006B0333" w:rsidRDefault="006B0333" w:rsidP="006B0333">
      <w:pPr>
        <w:pStyle w:val="BodyText1"/>
        <w:numPr>
          <w:ilvl w:val="0"/>
          <w:numId w:val="0"/>
        </w:numPr>
        <w:ind w:left="567"/>
      </w:pPr>
      <w:r>
        <w:t>DCL aggregation benefit.</w:t>
      </w:r>
    </w:p>
    <w:p w14:paraId="7985CA37" w14:textId="77777777" w:rsidR="006B0333" w:rsidRDefault="006B0333" w:rsidP="006B0333">
      <w:pPr>
        <w:pStyle w:val="BodyText1"/>
        <w:numPr>
          <w:ilvl w:val="0"/>
          <w:numId w:val="0"/>
        </w:numPr>
        <w:ind w:left="567"/>
      </w:pPr>
      <w:r>
        <w:t>Where:</w:t>
      </w:r>
    </w:p>
    <w:p w14:paraId="1CAB8FDA" w14:textId="10231D4D" w:rsidR="006B0333" w:rsidRDefault="006B0333" w:rsidP="006B0333">
      <w:pPr>
        <w:pStyle w:val="BodyText2"/>
      </w:pPr>
      <w:r>
        <w:t>Deferred claims liabilit</w:t>
      </w:r>
      <w:r w:rsidR="009647CF">
        <w:t>y</w:t>
      </w:r>
      <w:r>
        <w:t xml:space="preserve"> at 99.5</w:t>
      </w:r>
      <w:r w:rsidR="008F3363">
        <w:t xml:space="preserve"> per cent</w:t>
      </w:r>
      <w:r>
        <w:t xml:space="preserve"> is the deferred claims liabilit</w:t>
      </w:r>
      <w:r w:rsidR="009647CF">
        <w:t>y</w:t>
      </w:r>
      <w:r>
        <w:t xml:space="preserve"> valued at a 99.5 per cent level of sufficiency. This means that, in the assessment of the private health insurer, there is no more than a 0.5 per cent probability that the actual cost will exceed th</w:t>
      </w:r>
      <w:r w:rsidR="00DF7F38">
        <w:t xml:space="preserve">is </w:t>
      </w:r>
      <w:r>
        <w:t xml:space="preserve">estimate. </w:t>
      </w:r>
    </w:p>
    <w:p w14:paraId="7CBA5903" w14:textId="6022EFB1" w:rsidR="006B0333" w:rsidRDefault="006B0333" w:rsidP="006B0333">
      <w:pPr>
        <w:pStyle w:val="BodyText2"/>
      </w:pPr>
      <w:r>
        <w:t>Deferred claims liabilit</w:t>
      </w:r>
      <w:r w:rsidR="009647CF">
        <w:t>y</w:t>
      </w:r>
      <w:r>
        <w:t xml:space="preserve"> is the value of deferred claims </w:t>
      </w:r>
      <w:r w:rsidR="009647CF">
        <w:t xml:space="preserve">liability </w:t>
      </w:r>
      <w:r>
        <w:t xml:space="preserve">determined in accordance with HPS 340. </w:t>
      </w:r>
    </w:p>
    <w:p w14:paraId="13F5B87C" w14:textId="77777777" w:rsidR="006B0333" w:rsidRDefault="006B0333" w:rsidP="006B0333">
      <w:pPr>
        <w:pStyle w:val="BodyText2"/>
      </w:pPr>
      <w:r>
        <w:t>DCL aggregation benefit is:</w:t>
      </w:r>
    </w:p>
    <w:p w14:paraId="54B33234" w14:textId="76C51E6A" w:rsidR="006B0333" w:rsidRPr="00B4790F" w:rsidRDefault="00EB45E3" w:rsidP="006B0333">
      <w:pPr>
        <w:keepNext/>
        <w:tabs>
          <w:tab w:val="left" w:pos="567"/>
        </w:tabs>
        <w:ind w:left="567"/>
        <w:jc w:val="both"/>
      </w:pPr>
      <w:r>
        <w:rPr>
          <w:noProof/>
        </w:rPr>
        <w:drawing>
          <wp:inline distT="0" distB="0" distL="0" distR="0" wp14:anchorId="032CB5E8" wp14:editId="03C98B6D">
            <wp:extent cx="5014949" cy="233364"/>
            <wp:effectExtent l="0" t="0" r="0" b="0"/>
            <wp:docPr id="20" name="Picture 20" descr="DCL aggregation benefit equals open bracket D plus O close bracket minus root D squared plus O squared plus 2 times the correlation of D times 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CL aggregation benefit equals open bracket D plus O close bracket minus root D squared plus O squared plus 2 times the correlation of D times O."/>
                    <pic:cNvPicPr/>
                  </pic:nvPicPr>
                  <pic:blipFill>
                    <a:blip r:embed="rId31">
                      <a:extLst>
                        <a:ext uri="{28A0092B-C50C-407E-A947-70E740481C1C}">
                          <a14:useLocalDpi xmlns:a14="http://schemas.microsoft.com/office/drawing/2010/main" val="0"/>
                        </a:ext>
                      </a:extLst>
                    </a:blip>
                    <a:stretch>
                      <a:fillRect/>
                    </a:stretch>
                  </pic:blipFill>
                  <pic:spPr>
                    <a:xfrm>
                      <a:off x="0" y="0"/>
                      <a:ext cx="5014949" cy="233364"/>
                    </a:xfrm>
                    <a:prstGeom prst="rect">
                      <a:avLst/>
                    </a:prstGeom>
                  </pic:spPr>
                </pic:pic>
              </a:graphicData>
            </a:graphic>
          </wp:inline>
        </w:drawing>
      </w:r>
    </w:p>
    <w:p w14:paraId="205FA249" w14:textId="77777777" w:rsidR="006B0333" w:rsidRDefault="006B0333" w:rsidP="006B0333">
      <w:pPr>
        <w:pStyle w:val="BodyText2"/>
        <w:numPr>
          <w:ilvl w:val="0"/>
          <w:numId w:val="0"/>
        </w:numPr>
        <w:ind w:left="1134"/>
      </w:pPr>
      <w:r>
        <w:t>Where:</w:t>
      </w:r>
    </w:p>
    <w:p w14:paraId="0FE17E26" w14:textId="515B6A33" w:rsidR="006B0333" w:rsidRDefault="006B0333" w:rsidP="006B0333">
      <w:pPr>
        <w:pStyle w:val="BodyText2"/>
        <w:numPr>
          <w:ilvl w:val="0"/>
          <w:numId w:val="35"/>
        </w:numPr>
      </w:pPr>
      <w:r>
        <w:t>‘D’ is</w:t>
      </w:r>
      <w:r w:rsidR="00735EB0">
        <w:t xml:space="preserve"> </w:t>
      </w:r>
      <w:r w:rsidR="008F4E05">
        <w:t xml:space="preserve">the difference between the Deferred claims liability at 99.5 per cent and the </w:t>
      </w:r>
      <w:r w:rsidR="004B7E3F">
        <w:t>D</w:t>
      </w:r>
      <w:r w:rsidR="008F4E05">
        <w:t xml:space="preserve">eferred claims liability. It is </w:t>
      </w:r>
      <w:r w:rsidR="00B24D3A">
        <w:t>calculated as:</w:t>
      </w:r>
      <w:r w:rsidR="00B24D3A">
        <w:br/>
      </w:r>
      <w:r w:rsidR="00B24D3A">
        <w:br/>
      </w:r>
      <w:r>
        <w:t xml:space="preserve">Deferred </w:t>
      </w:r>
      <w:r w:rsidR="00B24D3A">
        <w:t>claims liability at a 99.5 per</w:t>
      </w:r>
      <w:r w:rsidR="00442416">
        <w:t xml:space="preserve"> </w:t>
      </w:r>
      <w:r w:rsidR="00B24D3A">
        <w:t xml:space="preserve">cent as defined in </w:t>
      </w:r>
      <w:r w:rsidR="00442416">
        <w:t xml:space="preserve">paragraph </w:t>
      </w:r>
      <w:r w:rsidR="00B24D3A">
        <w:t>37(a); less</w:t>
      </w:r>
      <w:r w:rsidR="00B24D3A">
        <w:br/>
      </w:r>
      <w:r w:rsidR="00B24D3A">
        <w:br/>
        <w:t xml:space="preserve">Deferred claims liability </w:t>
      </w:r>
      <w:r w:rsidR="008F4E05">
        <w:t xml:space="preserve">determined in accordance with HPS 340 </w:t>
      </w:r>
      <w:r w:rsidR="00B24D3A">
        <w:t xml:space="preserve">as defined in </w:t>
      </w:r>
      <w:r w:rsidR="00442416">
        <w:t xml:space="preserve">paragraph </w:t>
      </w:r>
      <w:r w:rsidR="00B24D3A">
        <w:t>37(b).</w:t>
      </w:r>
    </w:p>
    <w:p w14:paraId="58B1310C" w14:textId="5845F20C" w:rsidR="006B0333" w:rsidRDefault="006B0333" w:rsidP="006B0333">
      <w:pPr>
        <w:pStyle w:val="BodyText2"/>
        <w:numPr>
          <w:ilvl w:val="0"/>
          <w:numId w:val="35"/>
        </w:numPr>
      </w:pPr>
      <w:r>
        <w:t xml:space="preserve">‘O’ is the sum of all other components within the Insurance Risk Charge (i.e. the </w:t>
      </w:r>
      <w:r w:rsidR="00FE4F31">
        <w:t>Insurance Liability Risk Charge</w:t>
      </w:r>
      <w:r w:rsidR="009647CF">
        <w:t xml:space="preserve"> and </w:t>
      </w:r>
      <w:r w:rsidR="008F2FC3">
        <w:t>FER</w:t>
      </w:r>
      <w:r>
        <w:t>).</w:t>
      </w:r>
    </w:p>
    <w:p w14:paraId="20B390DF" w14:textId="23F02B10" w:rsidR="006B0333" w:rsidRDefault="006B0333" w:rsidP="006B0333">
      <w:pPr>
        <w:pStyle w:val="BodyText2"/>
        <w:numPr>
          <w:ilvl w:val="0"/>
          <w:numId w:val="35"/>
        </w:numPr>
      </w:pPr>
      <w:r>
        <w:t>‘correlation’ is 20 per cent</w:t>
      </w:r>
      <w:r w:rsidR="007D25D5">
        <w:t>.</w:t>
      </w:r>
    </w:p>
    <w:p w14:paraId="591C38C2" w14:textId="36960E6B" w:rsidR="005B67AC" w:rsidRPr="00973DA1" w:rsidRDefault="005B67AC" w:rsidP="005B67AC">
      <w:pPr>
        <w:pStyle w:val="Heading1"/>
      </w:pPr>
      <w:bookmarkStart w:id="58" w:name="_Toc109394494"/>
      <w:r w:rsidRPr="00973DA1">
        <w:t>Tax benefits</w:t>
      </w:r>
      <w:bookmarkEnd w:id="58"/>
    </w:p>
    <w:p w14:paraId="2ABA401F" w14:textId="65E0A5AA" w:rsidR="005B67AC" w:rsidRPr="00A22808" w:rsidRDefault="005B67AC" w:rsidP="005B67AC">
      <w:pPr>
        <w:pStyle w:val="BodyText1"/>
      </w:pPr>
      <w:r>
        <w:t xml:space="preserve">Each component of the Insurance Risk Charge must not incorporate any tax benefits. Tax benefits may reduce the </w:t>
      </w:r>
      <w:r>
        <w:rPr>
          <w:b/>
        </w:rPr>
        <w:t xml:space="preserve">prescribed capital amount </w:t>
      </w:r>
      <w:r>
        <w:t xml:space="preserve">as prescribed in </w:t>
      </w:r>
      <w:r>
        <w:rPr>
          <w:i/>
        </w:rPr>
        <w:t>Prudential Standard HPS 110 Capital Adequacy</w:t>
      </w:r>
      <w:r w:rsidR="003E6B50">
        <w:rPr>
          <w:i/>
        </w:rPr>
        <w:t xml:space="preserve"> </w:t>
      </w:r>
      <w:r w:rsidR="003E6B50">
        <w:t>(HPS 110)</w:t>
      </w:r>
      <w:r>
        <w:rPr>
          <w:i/>
        </w:rPr>
        <w:t xml:space="preserve">. </w:t>
      </w:r>
    </w:p>
    <w:p w14:paraId="463AB057" w14:textId="77777777" w:rsidR="005B67AC" w:rsidRPr="00973DA1" w:rsidRDefault="005B67AC" w:rsidP="005B67AC">
      <w:pPr>
        <w:pStyle w:val="Heading1"/>
      </w:pPr>
      <w:bookmarkStart w:id="59" w:name="_Toc109394495"/>
      <w:r w:rsidRPr="00973DA1">
        <w:t>Adjustments and exclusions</w:t>
      </w:r>
      <w:bookmarkEnd w:id="59"/>
    </w:p>
    <w:p w14:paraId="548BD398" w14:textId="77777777" w:rsidR="005B67AC" w:rsidRPr="00973DA1" w:rsidRDefault="005B67AC" w:rsidP="005B67AC">
      <w:pPr>
        <w:pStyle w:val="BodyText1"/>
      </w:pPr>
      <w:r w:rsidRPr="00973DA1">
        <w:t>APRA may, by notice in writing to a private health insurer, adjust or exclude a specific requirement in this Prudential Standard in relation to that private health insurer.</w:t>
      </w:r>
    </w:p>
    <w:p w14:paraId="5FA80D3B" w14:textId="5542D5C0" w:rsidR="005A75C6" w:rsidRPr="005E44F8" w:rsidRDefault="005A75C6" w:rsidP="007357D2">
      <w:pPr>
        <w:pStyle w:val="BodyText1"/>
        <w:numPr>
          <w:ilvl w:val="0"/>
          <w:numId w:val="0"/>
        </w:numPr>
      </w:pPr>
    </w:p>
    <w:sectPr w:rsidR="005A75C6" w:rsidRPr="005E44F8" w:rsidSect="000D63A8">
      <w:footerReference w:type="default" r:id="rId32"/>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7612C" w14:textId="77777777" w:rsidR="00F42576" w:rsidRDefault="00F42576" w:rsidP="006A6A52">
      <w:pPr>
        <w:spacing w:after="0"/>
      </w:pPr>
      <w:r>
        <w:separator/>
      </w:r>
    </w:p>
  </w:endnote>
  <w:endnote w:type="continuationSeparator" w:id="0">
    <w:p w14:paraId="326F3BA6" w14:textId="77777777" w:rsidR="00F42576" w:rsidRDefault="00F42576" w:rsidP="006A6A52">
      <w:pPr>
        <w:spacing w:after="0"/>
      </w:pPr>
      <w:r>
        <w:continuationSeparator/>
      </w:r>
    </w:p>
  </w:endnote>
  <w:endnote w:type="continuationNotice" w:id="1">
    <w:p w14:paraId="4BA0E0A2" w14:textId="77777777" w:rsidR="00CE5E5F" w:rsidRDefault="00CE5E5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2EED1" w14:textId="5A4A882B" w:rsidR="00626CBF" w:rsidRDefault="00626C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2E488" w14:textId="3E7931E3" w:rsidR="00745B81" w:rsidRPr="00842FBD" w:rsidRDefault="00745B81" w:rsidP="00B22168">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0673B" w14:textId="4A8FE7D0" w:rsidR="00626CBF" w:rsidRDefault="00626CB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47B99" w14:textId="26248AA0" w:rsidR="00B22168" w:rsidRPr="00842FBD" w:rsidRDefault="001402FB" w:rsidP="00842FBD">
    <w:pPr>
      <w:pStyle w:val="Footer"/>
    </w:pPr>
    <w:fldSimple w:instr=" STYLEREF  &quot;PS No. field text&quot;  \* MERGEFORMAT ">
      <w:r w:rsidR="00F75830">
        <w:rPr>
          <w:noProof/>
        </w:rPr>
        <w:t>HPS 115</w:t>
      </w:r>
    </w:fldSimple>
    <w:r w:rsidR="00B22168">
      <w:t xml:space="preserve"> - </w:t>
    </w:r>
    <w:r w:rsidR="00B22168" w:rsidRPr="00842FBD">
      <w:fldChar w:fldCharType="begin"/>
    </w:r>
    <w:r w:rsidR="00B22168" w:rsidRPr="00842FBD">
      <w:instrText xml:space="preserve"> PAGE </w:instrText>
    </w:r>
    <w:r w:rsidR="00B22168" w:rsidRPr="00842FBD">
      <w:fldChar w:fldCharType="separate"/>
    </w:r>
    <w:r w:rsidR="00B22168">
      <w:rPr>
        <w:noProof/>
      </w:rPr>
      <w:t>2</w:t>
    </w:r>
    <w:r w:rsidR="00B22168" w:rsidRPr="00842FBD">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EF35C" w14:textId="1FAE2765" w:rsidR="00867092" w:rsidRPr="00842FBD" w:rsidRDefault="001402FB" w:rsidP="00842FBD">
    <w:pPr>
      <w:pStyle w:val="Footer"/>
    </w:pPr>
    <w:fldSimple w:instr=" STYLEREF  &quot;PS No. field text&quot;  \* MERGEFORMAT ">
      <w:r w:rsidR="00F75830">
        <w:rPr>
          <w:noProof/>
        </w:rPr>
        <w:t>HPS 115</w:t>
      </w:r>
    </w:fldSimple>
    <w:r w:rsidR="005B6DC2">
      <w:t xml:space="preserve"> </w:t>
    </w:r>
    <w:r w:rsidR="00867092">
      <w:t xml:space="preserve">- </w:t>
    </w:r>
    <w:r w:rsidR="00867092" w:rsidRPr="00842FBD">
      <w:fldChar w:fldCharType="begin"/>
    </w:r>
    <w:r w:rsidR="00867092" w:rsidRPr="00842FBD">
      <w:instrText xml:space="preserve"> PAGE </w:instrText>
    </w:r>
    <w:r w:rsidR="00867092" w:rsidRPr="00842FBD">
      <w:fldChar w:fldCharType="separate"/>
    </w:r>
    <w:r w:rsidR="009E76B1">
      <w:rPr>
        <w:noProof/>
      </w:rPr>
      <w:t>5</w:t>
    </w:r>
    <w:r w:rsidR="00867092" w:rsidRPr="00842FB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E19BC" w14:textId="77777777" w:rsidR="00F42576" w:rsidRDefault="00F42576" w:rsidP="006A6A52">
      <w:pPr>
        <w:spacing w:after="0"/>
      </w:pPr>
      <w:r>
        <w:separator/>
      </w:r>
    </w:p>
  </w:footnote>
  <w:footnote w:type="continuationSeparator" w:id="0">
    <w:p w14:paraId="38DEA854" w14:textId="77777777" w:rsidR="00F42576" w:rsidRDefault="00F42576" w:rsidP="006A6A52">
      <w:pPr>
        <w:spacing w:after="0"/>
      </w:pPr>
      <w:r>
        <w:continuationSeparator/>
      </w:r>
    </w:p>
  </w:footnote>
  <w:footnote w:type="continuationNotice" w:id="1">
    <w:p w14:paraId="185F68ED" w14:textId="77777777" w:rsidR="00CE5E5F" w:rsidRDefault="00CE5E5F">
      <w:pPr>
        <w:spacing w:after="0"/>
      </w:pPr>
    </w:p>
  </w:footnote>
  <w:footnote w:id="2">
    <w:p w14:paraId="15BEBAB8" w14:textId="77777777" w:rsidR="00C8002C" w:rsidRDefault="00C8002C" w:rsidP="00C8002C">
      <w:pPr>
        <w:pStyle w:val="FootnoteText"/>
      </w:pPr>
      <w:r>
        <w:rPr>
          <w:rStyle w:val="FootnoteReference"/>
        </w:rPr>
        <w:footnoteRef/>
      </w:r>
      <w:r>
        <w:t xml:space="preserve"> </w:t>
      </w:r>
      <w:r w:rsidRPr="00837C76">
        <w:t>as determined in accordance with HPS 340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01BA8" w14:textId="2CF752E4" w:rsidR="00626CBF" w:rsidRDefault="00626C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4156"/>
      <w:gridCol w:w="4156"/>
    </w:tblGrid>
    <w:tr w:rsidR="00745B81" w14:paraId="67C5EFBF" w14:textId="77777777" w:rsidTr="000D63A8">
      <w:tc>
        <w:tcPr>
          <w:tcW w:w="4264" w:type="dxa"/>
          <w:tcBorders>
            <w:top w:val="nil"/>
            <w:left w:val="nil"/>
            <w:bottom w:val="nil"/>
            <w:right w:val="nil"/>
          </w:tcBorders>
        </w:tcPr>
        <w:p w14:paraId="572B083A" w14:textId="04FE3941" w:rsidR="00745B81" w:rsidRDefault="00745B81" w:rsidP="00FF513E">
          <w:pPr>
            <w:pStyle w:val="Header"/>
          </w:pPr>
        </w:p>
      </w:tc>
      <w:tc>
        <w:tcPr>
          <w:tcW w:w="4264" w:type="dxa"/>
          <w:tcBorders>
            <w:top w:val="nil"/>
            <w:left w:val="nil"/>
            <w:bottom w:val="nil"/>
            <w:right w:val="nil"/>
          </w:tcBorders>
        </w:tcPr>
        <w:p w14:paraId="595688AB" w14:textId="5ECA2F6C" w:rsidR="00745B81" w:rsidRDefault="00745B81" w:rsidP="000D63A8">
          <w:pPr>
            <w:pStyle w:val="Header"/>
          </w:pPr>
        </w:p>
      </w:tc>
    </w:tr>
  </w:tbl>
  <w:p w14:paraId="2F8B543F" w14:textId="77777777" w:rsidR="00745B81" w:rsidRDefault="00745B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CC080" w14:textId="25DFFEB7" w:rsidR="00626CBF" w:rsidRDefault="00626C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4149"/>
      <w:gridCol w:w="4163"/>
    </w:tblGrid>
    <w:tr w:rsidR="00B22168" w14:paraId="6BED863A" w14:textId="77777777" w:rsidTr="000D63A8">
      <w:tc>
        <w:tcPr>
          <w:tcW w:w="4264" w:type="dxa"/>
          <w:tcBorders>
            <w:top w:val="nil"/>
            <w:left w:val="nil"/>
            <w:bottom w:val="nil"/>
            <w:right w:val="nil"/>
          </w:tcBorders>
        </w:tcPr>
        <w:p w14:paraId="6440BEA9" w14:textId="1DEEF63B" w:rsidR="00B22168" w:rsidRDefault="00B22168" w:rsidP="00FF513E">
          <w:pPr>
            <w:pStyle w:val="Header"/>
          </w:pPr>
        </w:p>
      </w:tc>
      <w:tc>
        <w:tcPr>
          <w:tcW w:w="4264" w:type="dxa"/>
          <w:tcBorders>
            <w:top w:val="nil"/>
            <w:left w:val="nil"/>
            <w:bottom w:val="nil"/>
            <w:right w:val="nil"/>
          </w:tcBorders>
        </w:tcPr>
        <w:p w14:paraId="22DF4F2F" w14:textId="77777777" w:rsidR="00B22168" w:rsidRDefault="00B22168" w:rsidP="000D63A8">
          <w:pPr>
            <w:pStyle w:val="Header"/>
          </w:pPr>
          <w:r>
            <w:t>July 2023</w:t>
          </w:r>
        </w:p>
      </w:tc>
    </w:tr>
  </w:tbl>
  <w:p w14:paraId="12435C34" w14:textId="77777777" w:rsidR="00B22168" w:rsidRDefault="00B221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954EC24"/>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C2CAEEC"/>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C4826C46"/>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6A048E4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1D27F6C"/>
    <w:multiLevelType w:val="multilevel"/>
    <w:tmpl w:val="04E2A8B4"/>
    <w:lvl w:ilvl="0">
      <w:start w:val="1"/>
      <w:numFmt w:val="decimal"/>
      <w:lvlText w:val="%1."/>
      <w:lvlJc w:val="left"/>
      <w:pPr>
        <w:ind w:left="2563" w:hanging="360"/>
      </w:pPr>
      <w:rPr>
        <w:rFonts w:hint="default"/>
      </w:rPr>
    </w:lvl>
    <w:lvl w:ilvl="1">
      <w:start w:val="1"/>
      <w:numFmt w:val="lowerLetter"/>
      <w:lvlText w:val="(%2)."/>
      <w:lvlJc w:val="left"/>
      <w:pPr>
        <w:ind w:left="2007" w:hanging="360"/>
      </w:pPr>
      <w:rPr>
        <w:rFonts w:hint="default"/>
      </w:rPr>
    </w:lvl>
    <w:lvl w:ilvl="2">
      <w:start w:val="1"/>
      <w:numFmt w:val="lowerLetter"/>
      <w:lvlText w:val="(%3)"/>
      <w:lvlJc w:val="lef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5" w15:restartNumberingAfterBreak="0">
    <w:nsid w:val="0FF31B20"/>
    <w:multiLevelType w:val="hybridMultilevel"/>
    <w:tmpl w:val="BC7EBFF4"/>
    <w:lvl w:ilvl="0" w:tplc="301E3FFA">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3376630"/>
    <w:multiLevelType w:val="hybridMultilevel"/>
    <w:tmpl w:val="F348B32E"/>
    <w:lvl w:ilvl="0" w:tplc="A984B780">
      <w:start w:val="1"/>
      <w:numFmt w:val="lowerRoman"/>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7" w15:restartNumberingAfterBreak="0">
    <w:nsid w:val="146512D5"/>
    <w:multiLevelType w:val="hybridMultilevel"/>
    <w:tmpl w:val="61545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463545"/>
    <w:multiLevelType w:val="multilevel"/>
    <w:tmpl w:val="130E79A2"/>
    <w:lvl w:ilvl="0">
      <w:start w:val="1"/>
      <w:numFmt w:val="decimal"/>
      <w:pStyle w:val="BodyText1"/>
      <w:lvlText w:val="%1."/>
      <w:lvlJc w:val="left"/>
      <w:pPr>
        <w:tabs>
          <w:tab w:val="num" w:pos="567"/>
        </w:tabs>
        <w:ind w:left="567" w:hanging="567"/>
      </w:pPr>
      <w:rPr>
        <w:rFonts w:hint="default"/>
      </w:rPr>
    </w:lvl>
    <w:lvl w:ilvl="1">
      <w:start w:val="1"/>
      <w:numFmt w:val="lowerLetter"/>
      <w:pStyle w:val="BodyText2"/>
      <w:lvlText w:val="(%2)"/>
      <w:lvlJc w:val="left"/>
      <w:pPr>
        <w:tabs>
          <w:tab w:val="num" w:pos="1134"/>
        </w:tabs>
        <w:ind w:left="1134" w:hanging="567"/>
      </w:pPr>
      <w:rPr>
        <w:rFonts w:hint="default"/>
      </w:rPr>
    </w:lvl>
    <w:lvl w:ilvl="2">
      <w:start w:val="1"/>
      <w:numFmt w:val="lowerRoman"/>
      <w:pStyle w:val="BodyText3"/>
      <w:lvlText w:val="(%3)"/>
      <w:lvlJc w:val="left"/>
      <w:pPr>
        <w:tabs>
          <w:tab w:val="num" w:pos="1701"/>
        </w:tabs>
        <w:ind w:left="1701" w:hanging="567"/>
      </w:pPr>
      <w:rPr>
        <w:rFonts w:hint="default"/>
      </w:rPr>
    </w:lvl>
    <w:lvl w:ilvl="3">
      <w:start w:val="1"/>
      <w:numFmt w:val="upperLetter"/>
      <w:pStyle w:val="BodyText4"/>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C9F3A8B"/>
    <w:multiLevelType w:val="multilevel"/>
    <w:tmpl w:val="5E508266"/>
    <w:lvl w:ilvl="0">
      <w:start w:val="1"/>
      <w:numFmt w:val="decimal"/>
      <w:lvlText w:val="%1."/>
      <w:lvlJc w:val="left"/>
      <w:pPr>
        <w:ind w:left="927" w:hanging="360"/>
      </w:pPr>
      <w:rPr>
        <w:rFonts w:hint="default"/>
      </w:rPr>
    </w:lvl>
    <w:lvl w:ilvl="1">
      <w:start w:val="1"/>
      <w:numFmt w:val="lowerLetter"/>
      <w:lvlText w:val="(%2)."/>
      <w:lvlJc w:val="left"/>
      <w:pPr>
        <w:ind w:left="371" w:hanging="360"/>
      </w:pPr>
      <w:rPr>
        <w:rFonts w:hint="default"/>
      </w:rPr>
    </w:lvl>
    <w:lvl w:ilvl="2">
      <w:start w:val="1"/>
      <w:numFmt w:val="lowerLetter"/>
      <w:lvlText w:val="(%3)"/>
      <w:lvlJc w:val="left"/>
      <w:pPr>
        <w:ind w:left="2306" w:hanging="180"/>
      </w:pPr>
      <w:rPr>
        <w:rFonts w:hint="default"/>
      </w:rPr>
    </w:lvl>
    <w:lvl w:ilvl="3">
      <w:start w:val="1"/>
      <w:numFmt w:val="decimal"/>
      <w:lvlText w:val="%4."/>
      <w:lvlJc w:val="left"/>
      <w:pPr>
        <w:ind w:left="1811" w:hanging="360"/>
      </w:pPr>
      <w:rPr>
        <w:rFonts w:hint="default"/>
      </w:rPr>
    </w:lvl>
    <w:lvl w:ilvl="4">
      <w:start w:val="1"/>
      <w:numFmt w:val="lowerLetter"/>
      <w:lvlText w:val="%5."/>
      <w:lvlJc w:val="left"/>
      <w:pPr>
        <w:ind w:left="2531" w:hanging="360"/>
      </w:pPr>
      <w:rPr>
        <w:rFonts w:hint="default"/>
      </w:rPr>
    </w:lvl>
    <w:lvl w:ilvl="5">
      <w:start w:val="1"/>
      <w:numFmt w:val="lowerRoman"/>
      <w:lvlText w:val="%6."/>
      <w:lvlJc w:val="right"/>
      <w:pPr>
        <w:ind w:left="3251" w:hanging="180"/>
      </w:pPr>
      <w:rPr>
        <w:rFonts w:hint="default"/>
      </w:rPr>
    </w:lvl>
    <w:lvl w:ilvl="6">
      <w:start w:val="1"/>
      <w:numFmt w:val="decimal"/>
      <w:lvlText w:val="%7."/>
      <w:lvlJc w:val="left"/>
      <w:pPr>
        <w:ind w:left="3971" w:hanging="360"/>
      </w:pPr>
      <w:rPr>
        <w:rFonts w:hint="default"/>
      </w:rPr>
    </w:lvl>
    <w:lvl w:ilvl="7">
      <w:start w:val="1"/>
      <w:numFmt w:val="lowerLetter"/>
      <w:lvlText w:val="%8."/>
      <w:lvlJc w:val="left"/>
      <w:pPr>
        <w:ind w:left="4691" w:hanging="360"/>
      </w:pPr>
      <w:rPr>
        <w:rFonts w:hint="default"/>
      </w:rPr>
    </w:lvl>
    <w:lvl w:ilvl="8">
      <w:start w:val="1"/>
      <w:numFmt w:val="lowerRoman"/>
      <w:lvlText w:val="%9."/>
      <w:lvlJc w:val="right"/>
      <w:pPr>
        <w:ind w:left="5411" w:hanging="180"/>
      </w:pPr>
      <w:rPr>
        <w:rFonts w:hint="default"/>
      </w:rPr>
    </w:lvl>
  </w:abstractNum>
  <w:abstractNum w:abstractNumId="10" w15:restartNumberingAfterBreak="0">
    <w:nsid w:val="20E23160"/>
    <w:multiLevelType w:val="hybridMultilevel"/>
    <w:tmpl w:val="9A36975A"/>
    <w:lvl w:ilvl="0" w:tplc="A984B780">
      <w:start w:val="1"/>
      <w:numFmt w:val="lowerRoman"/>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1" w15:restartNumberingAfterBreak="0">
    <w:nsid w:val="23384EE9"/>
    <w:multiLevelType w:val="hybridMultilevel"/>
    <w:tmpl w:val="4230BD5E"/>
    <w:lvl w:ilvl="0" w:tplc="FA52CEA4">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23A51C94"/>
    <w:multiLevelType w:val="multilevel"/>
    <w:tmpl w:val="04E2A8B4"/>
    <w:lvl w:ilvl="0">
      <w:start w:val="1"/>
      <w:numFmt w:val="decimal"/>
      <w:lvlText w:val="%1."/>
      <w:lvlJc w:val="left"/>
      <w:pPr>
        <w:ind w:left="2563" w:hanging="360"/>
      </w:pPr>
      <w:rPr>
        <w:rFonts w:hint="default"/>
      </w:rPr>
    </w:lvl>
    <w:lvl w:ilvl="1">
      <w:start w:val="1"/>
      <w:numFmt w:val="lowerLetter"/>
      <w:lvlText w:val="(%2)."/>
      <w:lvlJc w:val="left"/>
      <w:pPr>
        <w:ind w:left="2007" w:hanging="360"/>
      </w:pPr>
      <w:rPr>
        <w:rFonts w:hint="default"/>
      </w:rPr>
    </w:lvl>
    <w:lvl w:ilvl="2">
      <w:start w:val="1"/>
      <w:numFmt w:val="lowerLetter"/>
      <w:lvlText w:val="(%3)"/>
      <w:lvlJc w:val="lef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3" w15:restartNumberingAfterBreak="0">
    <w:nsid w:val="25253708"/>
    <w:multiLevelType w:val="multilevel"/>
    <w:tmpl w:val="04E2A8B4"/>
    <w:lvl w:ilvl="0">
      <w:start w:val="1"/>
      <w:numFmt w:val="decimal"/>
      <w:lvlText w:val="%1."/>
      <w:lvlJc w:val="left"/>
      <w:pPr>
        <w:ind w:left="2563" w:hanging="360"/>
      </w:pPr>
      <w:rPr>
        <w:rFonts w:hint="default"/>
      </w:rPr>
    </w:lvl>
    <w:lvl w:ilvl="1">
      <w:start w:val="1"/>
      <w:numFmt w:val="lowerLetter"/>
      <w:lvlText w:val="(%2)."/>
      <w:lvlJc w:val="left"/>
      <w:pPr>
        <w:ind w:left="2007" w:hanging="360"/>
      </w:pPr>
      <w:rPr>
        <w:rFonts w:hint="default"/>
      </w:rPr>
    </w:lvl>
    <w:lvl w:ilvl="2">
      <w:start w:val="1"/>
      <w:numFmt w:val="lowerLetter"/>
      <w:lvlText w:val="(%3)"/>
      <w:lvlJc w:val="lef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4" w15:restartNumberingAfterBreak="0">
    <w:nsid w:val="26596D83"/>
    <w:multiLevelType w:val="hybridMultilevel"/>
    <w:tmpl w:val="F4FC1FAC"/>
    <w:lvl w:ilvl="0" w:tplc="508A19F4">
      <w:start w:val="1"/>
      <w:numFmt w:val="lowerRoman"/>
      <w:lvlText w:val="(%1)"/>
      <w:lvlJc w:val="left"/>
      <w:pPr>
        <w:ind w:left="1854" w:hanging="720"/>
      </w:pPr>
      <w:rPr>
        <w:rFonts w:ascii="Times New Roman" w:eastAsia="Calibri" w:hAnsi="Times New Roman" w:cs="Times New Roman"/>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5" w15:restartNumberingAfterBreak="0">
    <w:nsid w:val="38A67A19"/>
    <w:multiLevelType w:val="hybridMultilevel"/>
    <w:tmpl w:val="C4DCAE3A"/>
    <w:lvl w:ilvl="0" w:tplc="E4FC2854">
      <w:start w:val="1"/>
      <w:numFmt w:val="lowerLetter"/>
      <w:lvlText w:val="(%1)"/>
      <w:lvlJc w:val="left"/>
      <w:pPr>
        <w:tabs>
          <w:tab w:val="num" w:pos="1134"/>
        </w:tabs>
        <w:ind w:left="1134" w:hanging="567"/>
      </w:pPr>
      <w:rPr>
        <w:rFonts w:hint="default"/>
        <w:b w:val="0"/>
        <w:i w:val="0"/>
      </w:rPr>
    </w:lvl>
    <w:lvl w:ilvl="1" w:tplc="4CF85F20">
      <w:start w:val="1"/>
      <w:numFmt w:val="lowerRoman"/>
      <w:lvlText w:val="(%2)"/>
      <w:lvlJc w:val="left"/>
      <w:pPr>
        <w:tabs>
          <w:tab w:val="num" w:pos="1701"/>
        </w:tabs>
        <w:ind w:left="1701"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450F0215"/>
    <w:multiLevelType w:val="hybridMultilevel"/>
    <w:tmpl w:val="54908966"/>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7" w15:restartNumberingAfterBreak="0">
    <w:nsid w:val="47136269"/>
    <w:multiLevelType w:val="hybridMultilevel"/>
    <w:tmpl w:val="34146656"/>
    <w:lvl w:ilvl="0" w:tplc="5800855A">
      <w:start w:val="1"/>
      <w:numFmt w:val="bullet"/>
      <w:lvlText w:val=""/>
      <w:lvlJc w:val="left"/>
      <w:pPr>
        <w:ind w:left="259" w:hanging="360"/>
      </w:pPr>
      <w:rPr>
        <w:rFonts w:ascii="Symbol" w:hAnsi="Symbol" w:hint="default"/>
        <w:sz w:val="24"/>
        <w:szCs w:val="24"/>
      </w:rPr>
    </w:lvl>
    <w:lvl w:ilvl="1" w:tplc="0C090003" w:tentative="1">
      <w:start w:val="1"/>
      <w:numFmt w:val="bullet"/>
      <w:lvlText w:val="o"/>
      <w:lvlJc w:val="left"/>
      <w:pPr>
        <w:ind w:left="979" w:hanging="360"/>
      </w:pPr>
      <w:rPr>
        <w:rFonts w:ascii="Courier New" w:hAnsi="Courier New" w:cs="Courier New" w:hint="default"/>
      </w:rPr>
    </w:lvl>
    <w:lvl w:ilvl="2" w:tplc="0C090005" w:tentative="1">
      <w:start w:val="1"/>
      <w:numFmt w:val="bullet"/>
      <w:lvlText w:val=""/>
      <w:lvlJc w:val="left"/>
      <w:pPr>
        <w:ind w:left="1699" w:hanging="360"/>
      </w:pPr>
      <w:rPr>
        <w:rFonts w:ascii="Wingdings" w:hAnsi="Wingdings" w:hint="default"/>
      </w:rPr>
    </w:lvl>
    <w:lvl w:ilvl="3" w:tplc="0C090001" w:tentative="1">
      <w:start w:val="1"/>
      <w:numFmt w:val="bullet"/>
      <w:lvlText w:val=""/>
      <w:lvlJc w:val="left"/>
      <w:pPr>
        <w:ind w:left="2419" w:hanging="360"/>
      </w:pPr>
      <w:rPr>
        <w:rFonts w:ascii="Symbol" w:hAnsi="Symbol" w:hint="default"/>
      </w:rPr>
    </w:lvl>
    <w:lvl w:ilvl="4" w:tplc="0C090003" w:tentative="1">
      <w:start w:val="1"/>
      <w:numFmt w:val="bullet"/>
      <w:lvlText w:val="o"/>
      <w:lvlJc w:val="left"/>
      <w:pPr>
        <w:ind w:left="3139" w:hanging="360"/>
      </w:pPr>
      <w:rPr>
        <w:rFonts w:ascii="Courier New" w:hAnsi="Courier New" w:cs="Courier New" w:hint="default"/>
      </w:rPr>
    </w:lvl>
    <w:lvl w:ilvl="5" w:tplc="0C090005" w:tentative="1">
      <w:start w:val="1"/>
      <w:numFmt w:val="bullet"/>
      <w:lvlText w:val=""/>
      <w:lvlJc w:val="left"/>
      <w:pPr>
        <w:ind w:left="3859" w:hanging="360"/>
      </w:pPr>
      <w:rPr>
        <w:rFonts w:ascii="Wingdings" w:hAnsi="Wingdings" w:hint="default"/>
      </w:rPr>
    </w:lvl>
    <w:lvl w:ilvl="6" w:tplc="0C090001" w:tentative="1">
      <w:start w:val="1"/>
      <w:numFmt w:val="bullet"/>
      <w:lvlText w:val=""/>
      <w:lvlJc w:val="left"/>
      <w:pPr>
        <w:ind w:left="4579" w:hanging="360"/>
      </w:pPr>
      <w:rPr>
        <w:rFonts w:ascii="Symbol" w:hAnsi="Symbol" w:hint="default"/>
      </w:rPr>
    </w:lvl>
    <w:lvl w:ilvl="7" w:tplc="0C090003" w:tentative="1">
      <w:start w:val="1"/>
      <w:numFmt w:val="bullet"/>
      <w:lvlText w:val="o"/>
      <w:lvlJc w:val="left"/>
      <w:pPr>
        <w:ind w:left="5299" w:hanging="360"/>
      </w:pPr>
      <w:rPr>
        <w:rFonts w:ascii="Courier New" w:hAnsi="Courier New" w:cs="Courier New" w:hint="default"/>
      </w:rPr>
    </w:lvl>
    <w:lvl w:ilvl="8" w:tplc="0C090005" w:tentative="1">
      <w:start w:val="1"/>
      <w:numFmt w:val="bullet"/>
      <w:lvlText w:val=""/>
      <w:lvlJc w:val="left"/>
      <w:pPr>
        <w:ind w:left="6019" w:hanging="360"/>
      </w:pPr>
      <w:rPr>
        <w:rFonts w:ascii="Wingdings" w:hAnsi="Wingdings" w:hint="default"/>
      </w:rPr>
    </w:lvl>
  </w:abstractNum>
  <w:abstractNum w:abstractNumId="18" w15:restartNumberingAfterBreak="0">
    <w:nsid w:val="47803285"/>
    <w:multiLevelType w:val="multilevel"/>
    <w:tmpl w:val="04E2A8B4"/>
    <w:lvl w:ilvl="0">
      <w:start w:val="1"/>
      <w:numFmt w:val="decimal"/>
      <w:lvlText w:val="%1."/>
      <w:lvlJc w:val="left"/>
      <w:pPr>
        <w:ind w:left="2563" w:hanging="360"/>
      </w:pPr>
      <w:rPr>
        <w:rFonts w:hint="default"/>
      </w:rPr>
    </w:lvl>
    <w:lvl w:ilvl="1">
      <w:start w:val="1"/>
      <w:numFmt w:val="lowerLetter"/>
      <w:lvlText w:val="(%2)."/>
      <w:lvlJc w:val="left"/>
      <w:pPr>
        <w:ind w:left="2007" w:hanging="360"/>
      </w:pPr>
      <w:rPr>
        <w:rFonts w:hint="default"/>
      </w:rPr>
    </w:lvl>
    <w:lvl w:ilvl="2">
      <w:start w:val="1"/>
      <w:numFmt w:val="lowerLetter"/>
      <w:lvlText w:val="(%3)"/>
      <w:lvlJc w:val="lef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9" w15:restartNumberingAfterBreak="0">
    <w:nsid w:val="48BE6DA4"/>
    <w:multiLevelType w:val="multilevel"/>
    <w:tmpl w:val="FAF04EA0"/>
    <w:lvl w:ilvl="0">
      <w:start w:val="1"/>
      <w:numFmt w:val="bullet"/>
      <w:pStyle w:val="BoxBullet"/>
      <w:lvlText w:val=""/>
      <w:lvlJc w:val="left"/>
      <w:pPr>
        <w:tabs>
          <w:tab w:val="num" w:pos="567"/>
        </w:tabs>
        <w:ind w:left="567" w:hanging="567"/>
      </w:pPr>
      <w:rPr>
        <w:rFonts w:ascii="Symbol" w:hAnsi="Symbol" w:cs="Symbol" w:hint="default"/>
        <w:b/>
        <w:bCs/>
        <w:i w:val="0"/>
        <w:iCs w:val="0"/>
        <w:sz w:val="24"/>
        <w:szCs w:val="24"/>
      </w:rPr>
    </w:lvl>
    <w:lvl w:ilvl="1">
      <w:start w:val="1"/>
      <w:numFmt w:val="decimal"/>
      <w:isLgl/>
      <w:lvlText w:val="%1.%2"/>
      <w:lvlJc w:val="left"/>
      <w:pPr>
        <w:tabs>
          <w:tab w:val="num" w:pos="936"/>
        </w:tabs>
        <w:ind w:left="936" w:hanging="576"/>
      </w:pPr>
      <w:rPr>
        <w:rFonts w:ascii="Trebuchet MS" w:hAnsi="Trebuchet MS" w:cs="Trebuchet MS" w:hint="default"/>
        <w:b/>
        <w:bCs/>
        <w:i w:val="0"/>
        <w:iCs w:val="0"/>
        <w:sz w:val="24"/>
        <w:szCs w:val="24"/>
      </w:rPr>
    </w:lvl>
    <w:lvl w:ilvl="2">
      <w:start w:val="1"/>
      <w:numFmt w:val="decimal"/>
      <w:lvlText w:val="1%1.%2.%3"/>
      <w:lvlJc w:val="left"/>
      <w:pPr>
        <w:tabs>
          <w:tab w:val="num" w:pos="1080"/>
        </w:tabs>
        <w:ind w:left="1080" w:hanging="720"/>
      </w:pPr>
      <w:rPr>
        <w:rFonts w:ascii="Trebuchet MS" w:hAnsi="Trebuchet MS" w:cs="Trebuchet MS" w:hint="default"/>
        <w:b/>
        <w:bCs/>
        <w:i w:val="0"/>
        <w:iCs w:val="0"/>
        <w:sz w:val="24"/>
        <w:szCs w:val="24"/>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b/>
        <w:bCs/>
        <w:i w:val="0"/>
        <w:iCs w:val="0"/>
        <w:sz w:val="24"/>
        <w:szCs w:val="24"/>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0" w15:restartNumberingAfterBreak="0">
    <w:nsid w:val="494F0D1E"/>
    <w:multiLevelType w:val="hybridMultilevel"/>
    <w:tmpl w:val="F740FA28"/>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1" w15:restartNumberingAfterBreak="0">
    <w:nsid w:val="4D5E5CA2"/>
    <w:multiLevelType w:val="hybridMultilevel"/>
    <w:tmpl w:val="F774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907A4D"/>
    <w:multiLevelType w:val="hybridMultilevel"/>
    <w:tmpl w:val="4CF6D6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27C22CA"/>
    <w:multiLevelType w:val="hybridMultilevel"/>
    <w:tmpl w:val="0748B174"/>
    <w:lvl w:ilvl="0" w:tplc="4ECC6F08">
      <w:numFmt w:val="bullet"/>
      <w:lvlText w:val="-"/>
      <w:lvlJc w:val="left"/>
      <w:pPr>
        <w:ind w:left="720" w:hanging="360"/>
      </w:pPr>
      <w:rPr>
        <w:rFonts w:ascii="Times New Roman" w:eastAsia="Calibr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1E65D6"/>
    <w:multiLevelType w:val="hybridMultilevel"/>
    <w:tmpl w:val="F348B32E"/>
    <w:lvl w:ilvl="0" w:tplc="A984B780">
      <w:start w:val="1"/>
      <w:numFmt w:val="lowerRoman"/>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5" w15:restartNumberingAfterBreak="0">
    <w:nsid w:val="5B5B07DF"/>
    <w:multiLevelType w:val="hybridMultilevel"/>
    <w:tmpl w:val="3208DE5E"/>
    <w:lvl w:ilvl="0" w:tplc="FA52CEA4">
      <w:start w:val="1"/>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6" w15:restartNumberingAfterBreak="0">
    <w:nsid w:val="61F24C23"/>
    <w:multiLevelType w:val="multilevel"/>
    <w:tmpl w:val="04E2A8B4"/>
    <w:lvl w:ilvl="0">
      <w:start w:val="1"/>
      <w:numFmt w:val="decimal"/>
      <w:lvlText w:val="%1."/>
      <w:lvlJc w:val="left"/>
      <w:pPr>
        <w:ind w:left="2563" w:hanging="360"/>
      </w:pPr>
      <w:rPr>
        <w:rFonts w:hint="default"/>
      </w:rPr>
    </w:lvl>
    <w:lvl w:ilvl="1">
      <w:start w:val="1"/>
      <w:numFmt w:val="lowerLetter"/>
      <w:lvlText w:val="(%2)."/>
      <w:lvlJc w:val="left"/>
      <w:pPr>
        <w:ind w:left="2007" w:hanging="360"/>
      </w:pPr>
      <w:rPr>
        <w:rFonts w:hint="default"/>
      </w:rPr>
    </w:lvl>
    <w:lvl w:ilvl="2">
      <w:start w:val="1"/>
      <w:numFmt w:val="lowerLetter"/>
      <w:lvlText w:val="(%3)"/>
      <w:lvlJc w:val="lef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7" w15:restartNumberingAfterBreak="0">
    <w:nsid w:val="685304F3"/>
    <w:multiLevelType w:val="multilevel"/>
    <w:tmpl w:val="04E2A8B4"/>
    <w:lvl w:ilvl="0">
      <w:start w:val="1"/>
      <w:numFmt w:val="decimal"/>
      <w:lvlText w:val="%1."/>
      <w:lvlJc w:val="left"/>
      <w:pPr>
        <w:ind w:left="2563" w:hanging="360"/>
      </w:pPr>
      <w:rPr>
        <w:rFonts w:hint="default"/>
      </w:rPr>
    </w:lvl>
    <w:lvl w:ilvl="1">
      <w:start w:val="1"/>
      <w:numFmt w:val="lowerLetter"/>
      <w:lvlText w:val="(%2)."/>
      <w:lvlJc w:val="left"/>
      <w:pPr>
        <w:ind w:left="2007" w:hanging="360"/>
      </w:pPr>
      <w:rPr>
        <w:rFonts w:hint="default"/>
      </w:rPr>
    </w:lvl>
    <w:lvl w:ilvl="2">
      <w:start w:val="1"/>
      <w:numFmt w:val="lowerLetter"/>
      <w:lvlText w:val="(%3)"/>
      <w:lvlJc w:val="lef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8" w15:restartNumberingAfterBreak="0">
    <w:nsid w:val="6DF34285"/>
    <w:multiLevelType w:val="hybridMultilevel"/>
    <w:tmpl w:val="BCDCB964"/>
    <w:lvl w:ilvl="0" w:tplc="A6327D4E">
      <w:start w:val="1"/>
      <w:numFmt w:val="bullet"/>
      <w:lvlText w:val=""/>
      <w:lvlJc w:val="left"/>
      <w:pPr>
        <w:tabs>
          <w:tab w:val="num" w:pos="567"/>
        </w:tabs>
        <w:ind w:left="567" w:hanging="567"/>
      </w:pPr>
      <w:rPr>
        <w:rFonts w:ascii="Symbol" w:hAnsi="Symbol" w:hint="default"/>
        <w:color w:val="auto"/>
      </w:rPr>
    </w:lvl>
    <w:lvl w:ilvl="1" w:tplc="0C090003">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9" w15:restartNumberingAfterBreak="0">
    <w:nsid w:val="6EBB3B9C"/>
    <w:multiLevelType w:val="multilevel"/>
    <w:tmpl w:val="72BC167E"/>
    <w:lvl w:ilvl="0">
      <w:start w:val="1"/>
      <w:numFmt w:val="decimal"/>
      <w:lvlText w:val="%1."/>
      <w:lvlJc w:val="left"/>
      <w:pPr>
        <w:ind w:left="4188" w:hanging="36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0" w15:restartNumberingAfterBreak="0">
    <w:nsid w:val="710478C6"/>
    <w:multiLevelType w:val="hybridMultilevel"/>
    <w:tmpl w:val="39E8EFAC"/>
    <w:lvl w:ilvl="0" w:tplc="8A4CF75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C8A182D"/>
    <w:multiLevelType w:val="multilevel"/>
    <w:tmpl w:val="5E508266"/>
    <w:lvl w:ilvl="0">
      <w:start w:val="1"/>
      <w:numFmt w:val="decimal"/>
      <w:lvlText w:val="%1."/>
      <w:lvlJc w:val="left"/>
      <w:pPr>
        <w:ind w:left="927" w:hanging="360"/>
      </w:pPr>
      <w:rPr>
        <w:rFonts w:hint="default"/>
      </w:rPr>
    </w:lvl>
    <w:lvl w:ilvl="1">
      <w:start w:val="1"/>
      <w:numFmt w:val="lowerLetter"/>
      <w:lvlText w:val="(%2)."/>
      <w:lvlJc w:val="left"/>
      <w:pPr>
        <w:ind w:left="371" w:hanging="360"/>
      </w:pPr>
      <w:rPr>
        <w:rFonts w:hint="default"/>
      </w:rPr>
    </w:lvl>
    <w:lvl w:ilvl="2">
      <w:start w:val="1"/>
      <w:numFmt w:val="lowerLetter"/>
      <w:lvlText w:val="(%3)"/>
      <w:lvlJc w:val="left"/>
      <w:pPr>
        <w:ind w:left="2306" w:hanging="180"/>
      </w:pPr>
      <w:rPr>
        <w:rFonts w:hint="default"/>
      </w:rPr>
    </w:lvl>
    <w:lvl w:ilvl="3">
      <w:start w:val="1"/>
      <w:numFmt w:val="decimal"/>
      <w:lvlText w:val="%4."/>
      <w:lvlJc w:val="left"/>
      <w:pPr>
        <w:ind w:left="1811" w:hanging="360"/>
      </w:pPr>
      <w:rPr>
        <w:rFonts w:hint="default"/>
      </w:rPr>
    </w:lvl>
    <w:lvl w:ilvl="4">
      <w:start w:val="1"/>
      <w:numFmt w:val="lowerLetter"/>
      <w:lvlText w:val="%5."/>
      <w:lvlJc w:val="left"/>
      <w:pPr>
        <w:ind w:left="2531" w:hanging="360"/>
      </w:pPr>
      <w:rPr>
        <w:rFonts w:hint="default"/>
      </w:rPr>
    </w:lvl>
    <w:lvl w:ilvl="5">
      <w:start w:val="1"/>
      <w:numFmt w:val="lowerRoman"/>
      <w:lvlText w:val="%6."/>
      <w:lvlJc w:val="right"/>
      <w:pPr>
        <w:ind w:left="3251" w:hanging="180"/>
      </w:pPr>
      <w:rPr>
        <w:rFonts w:hint="default"/>
      </w:rPr>
    </w:lvl>
    <w:lvl w:ilvl="6">
      <w:start w:val="1"/>
      <w:numFmt w:val="decimal"/>
      <w:lvlText w:val="%7."/>
      <w:lvlJc w:val="left"/>
      <w:pPr>
        <w:ind w:left="3971" w:hanging="360"/>
      </w:pPr>
      <w:rPr>
        <w:rFonts w:hint="default"/>
      </w:rPr>
    </w:lvl>
    <w:lvl w:ilvl="7">
      <w:start w:val="1"/>
      <w:numFmt w:val="lowerLetter"/>
      <w:lvlText w:val="%8."/>
      <w:lvlJc w:val="left"/>
      <w:pPr>
        <w:ind w:left="4691" w:hanging="360"/>
      </w:pPr>
      <w:rPr>
        <w:rFonts w:hint="default"/>
      </w:rPr>
    </w:lvl>
    <w:lvl w:ilvl="8">
      <w:start w:val="1"/>
      <w:numFmt w:val="lowerRoman"/>
      <w:lvlText w:val="%9."/>
      <w:lvlJc w:val="right"/>
      <w:pPr>
        <w:ind w:left="5411" w:hanging="180"/>
      </w:pPr>
      <w:rPr>
        <w:rFonts w:hint="default"/>
      </w:rPr>
    </w:lvl>
  </w:abstractNum>
  <w:abstractNum w:abstractNumId="32" w15:restartNumberingAfterBreak="0">
    <w:nsid w:val="7E832A54"/>
    <w:multiLevelType w:val="hybridMultilevel"/>
    <w:tmpl w:val="1D3ABF7A"/>
    <w:lvl w:ilvl="0" w:tplc="6C7C485A">
      <w:start w:val="1"/>
      <w:numFmt w:val="lowerRoman"/>
      <w:lvlText w:val="(%1)"/>
      <w:lvlJc w:val="left"/>
      <w:pPr>
        <w:tabs>
          <w:tab w:val="num" w:pos="1701"/>
        </w:tabs>
        <w:ind w:left="1701" w:hanging="567"/>
      </w:pPr>
      <w:rPr>
        <w:rFonts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295840693">
    <w:abstractNumId w:val="16"/>
  </w:num>
  <w:num w:numId="2" w16cid:durableId="1563834521">
    <w:abstractNumId w:val="20"/>
  </w:num>
  <w:num w:numId="3" w16cid:durableId="1532496317">
    <w:abstractNumId w:val="5"/>
  </w:num>
  <w:num w:numId="4" w16cid:durableId="950085563">
    <w:abstractNumId w:val="15"/>
  </w:num>
  <w:num w:numId="5" w16cid:durableId="505361615">
    <w:abstractNumId w:val="32"/>
  </w:num>
  <w:num w:numId="6" w16cid:durableId="1231691043">
    <w:abstractNumId w:val="11"/>
  </w:num>
  <w:num w:numId="7" w16cid:durableId="1093739835">
    <w:abstractNumId w:val="30"/>
  </w:num>
  <w:num w:numId="8" w16cid:durableId="1302881975">
    <w:abstractNumId w:val="25"/>
  </w:num>
  <w:num w:numId="9" w16cid:durableId="539585307">
    <w:abstractNumId w:val="28"/>
  </w:num>
  <w:num w:numId="10" w16cid:durableId="955719054">
    <w:abstractNumId w:val="22"/>
  </w:num>
  <w:num w:numId="11" w16cid:durableId="489299042">
    <w:abstractNumId w:val="3"/>
  </w:num>
  <w:num w:numId="12" w16cid:durableId="128789918">
    <w:abstractNumId w:val="0"/>
  </w:num>
  <w:num w:numId="13" w16cid:durableId="288049690">
    <w:abstractNumId w:val="2"/>
  </w:num>
  <w:num w:numId="14" w16cid:durableId="806243821">
    <w:abstractNumId w:val="1"/>
  </w:num>
  <w:num w:numId="15" w16cid:durableId="851528800">
    <w:abstractNumId w:val="21"/>
  </w:num>
  <w:num w:numId="16" w16cid:durableId="1414811750">
    <w:abstractNumId w:val="7"/>
  </w:num>
  <w:num w:numId="17" w16cid:durableId="782727047">
    <w:abstractNumId w:val="19"/>
  </w:num>
  <w:num w:numId="18" w16cid:durableId="2097629704">
    <w:abstractNumId w:val="17"/>
  </w:num>
  <w:num w:numId="19" w16cid:durableId="351539898">
    <w:abstractNumId w:val="8"/>
  </w:num>
  <w:num w:numId="20" w16cid:durableId="6371543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121189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47950591">
    <w:abstractNumId w:val="29"/>
  </w:num>
  <w:num w:numId="23" w16cid:durableId="853374608">
    <w:abstractNumId w:val="12"/>
  </w:num>
  <w:num w:numId="24" w16cid:durableId="839924745">
    <w:abstractNumId w:val="24"/>
  </w:num>
  <w:num w:numId="25" w16cid:durableId="510684457">
    <w:abstractNumId w:val="26"/>
  </w:num>
  <w:num w:numId="26" w16cid:durableId="1638337816">
    <w:abstractNumId w:val="6"/>
  </w:num>
  <w:num w:numId="27" w16cid:durableId="1678263834">
    <w:abstractNumId w:val="10"/>
  </w:num>
  <w:num w:numId="28" w16cid:durableId="1577470794">
    <w:abstractNumId w:val="13"/>
  </w:num>
  <w:num w:numId="29" w16cid:durableId="1461652475">
    <w:abstractNumId w:val="4"/>
  </w:num>
  <w:num w:numId="30" w16cid:durableId="1921717341">
    <w:abstractNumId w:val="27"/>
  </w:num>
  <w:num w:numId="31" w16cid:durableId="392121042">
    <w:abstractNumId w:val="31"/>
  </w:num>
  <w:num w:numId="32" w16cid:durableId="299190772">
    <w:abstractNumId w:val="18"/>
  </w:num>
  <w:num w:numId="33" w16cid:durableId="2015179533">
    <w:abstractNumId w:val="9"/>
  </w:num>
  <w:num w:numId="34" w16cid:durableId="1372263045">
    <w:abstractNumId w:val="23"/>
  </w:num>
  <w:num w:numId="35" w16cid:durableId="7154744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567"/>
  <w:drawingGridHorizontalSpacing w:val="110"/>
  <w:displayHorizontalDrawingGridEvery w:val="2"/>
  <w:displayVerticalDrawingGridEvery w:val="2"/>
  <w:characterSpacingControl w:val="doNotCompress"/>
  <w:hdrShapeDefaults>
    <o:shapedefaults v:ext="edit" spidmax="983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576"/>
    <w:rsid w:val="0000183A"/>
    <w:rsid w:val="00001D43"/>
    <w:rsid w:val="00013BF5"/>
    <w:rsid w:val="00016096"/>
    <w:rsid w:val="00021EA8"/>
    <w:rsid w:val="00027DEE"/>
    <w:rsid w:val="000338D6"/>
    <w:rsid w:val="000518B9"/>
    <w:rsid w:val="0006337F"/>
    <w:rsid w:val="0007040F"/>
    <w:rsid w:val="00075C76"/>
    <w:rsid w:val="00087D3E"/>
    <w:rsid w:val="00095AB3"/>
    <w:rsid w:val="000A0ACD"/>
    <w:rsid w:val="000A2EC1"/>
    <w:rsid w:val="000A643C"/>
    <w:rsid w:val="000B1899"/>
    <w:rsid w:val="000C60B7"/>
    <w:rsid w:val="000D122C"/>
    <w:rsid w:val="000D53F4"/>
    <w:rsid w:val="000D6041"/>
    <w:rsid w:val="000D63A8"/>
    <w:rsid w:val="000D7A9C"/>
    <w:rsid w:val="000E47A3"/>
    <w:rsid w:val="000E6C1F"/>
    <w:rsid w:val="00106F23"/>
    <w:rsid w:val="00110917"/>
    <w:rsid w:val="00110A0F"/>
    <w:rsid w:val="00111D31"/>
    <w:rsid w:val="00113888"/>
    <w:rsid w:val="0011736E"/>
    <w:rsid w:val="0013237B"/>
    <w:rsid w:val="001402FB"/>
    <w:rsid w:val="00141CA6"/>
    <w:rsid w:val="00143707"/>
    <w:rsid w:val="00150206"/>
    <w:rsid w:val="00173A04"/>
    <w:rsid w:val="0017516C"/>
    <w:rsid w:val="00182FA1"/>
    <w:rsid w:val="0019393C"/>
    <w:rsid w:val="00194586"/>
    <w:rsid w:val="001A2498"/>
    <w:rsid w:val="001A4777"/>
    <w:rsid w:val="001A5C2B"/>
    <w:rsid w:val="001B12CF"/>
    <w:rsid w:val="001B743A"/>
    <w:rsid w:val="001C0262"/>
    <w:rsid w:val="001C297B"/>
    <w:rsid w:val="001C2CD3"/>
    <w:rsid w:val="001C755C"/>
    <w:rsid w:val="001C756D"/>
    <w:rsid w:val="001E4C83"/>
    <w:rsid w:val="001E7EA9"/>
    <w:rsid w:val="001F6B8D"/>
    <w:rsid w:val="002009FD"/>
    <w:rsid w:val="00207AA0"/>
    <w:rsid w:val="00210F14"/>
    <w:rsid w:val="00225B87"/>
    <w:rsid w:val="00237F7F"/>
    <w:rsid w:val="002500F9"/>
    <w:rsid w:val="002508E3"/>
    <w:rsid w:val="00264BE0"/>
    <w:rsid w:val="0029455F"/>
    <w:rsid w:val="00295E82"/>
    <w:rsid w:val="002A07F8"/>
    <w:rsid w:val="002A402C"/>
    <w:rsid w:val="002A60BA"/>
    <w:rsid w:val="002D2B73"/>
    <w:rsid w:val="002D6BFF"/>
    <w:rsid w:val="002E16C9"/>
    <w:rsid w:val="002E3F45"/>
    <w:rsid w:val="0033470C"/>
    <w:rsid w:val="0034044A"/>
    <w:rsid w:val="0035292A"/>
    <w:rsid w:val="00352B9E"/>
    <w:rsid w:val="003675D1"/>
    <w:rsid w:val="0037343B"/>
    <w:rsid w:val="00374DCC"/>
    <w:rsid w:val="003826E1"/>
    <w:rsid w:val="0038413F"/>
    <w:rsid w:val="00391AD7"/>
    <w:rsid w:val="003936EA"/>
    <w:rsid w:val="003A5ACA"/>
    <w:rsid w:val="003B52EB"/>
    <w:rsid w:val="003B5B2B"/>
    <w:rsid w:val="003C46D7"/>
    <w:rsid w:val="003D5032"/>
    <w:rsid w:val="003D5B11"/>
    <w:rsid w:val="003D64AB"/>
    <w:rsid w:val="003E6B50"/>
    <w:rsid w:val="004148D0"/>
    <w:rsid w:val="00416861"/>
    <w:rsid w:val="00430531"/>
    <w:rsid w:val="004323FD"/>
    <w:rsid w:val="00435391"/>
    <w:rsid w:val="0043763E"/>
    <w:rsid w:val="00442416"/>
    <w:rsid w:val="00453E3A"/>
    <w:rsid w:val="004560E3"/>
    <w:rsid w:val="00462A03"/>
    <w:rsid w:val="0046573F"/>
    <w:rsid w:val="00473A6C"/>
    <w:rsid w:val="004776D4"/>
    <w:rsid w:val="0048511B"/>
    <w:rsid w:val="004A593E"/>
    <w:rsid w:val="004A6B68"/>
    <w:rsid w:val="004A6CDB"/>
    <w:rsid w:val="004B0077"/>
    <w:rsid w:val="004B0766"/>
    <w:rsid w:val="004B34D7"/>
    <w:rsid w:val="004B7E3F"/>
    <w:rsid w:val="004C3D07"/>
    <w:rsid w:val="004F2AC1"/>
    <w:rsid w:val="00501D8D"/>
    <w:rsid w:val="005050E8"/>
    <w:rsid w:val="00506079"/>
    <w:rsid w:val="00511023"/>
    <w:rsid w:val="00517E4B"/>
    <w:rsid w:val="00521673"/>
    <w:rsid w:val="00522824"/>
    <w:rsid w:val="00533903"/>
    <w:rsid w:val="0053478C"/>
    <w:rsid w:val="00534FFE"/>
    <w:rsid w:val="00535F5F"/>
    <w:rsid w:val="00544072"/>
    <w:rsid w:val="005503E0"/>
    <w:rsid w:val="00550D66"/>
    <w:rsid w:val="00551C22"/>
    <w:rsid w:val="005546A4"/>
    <w:rsid w:val="00562481"/>
    <w:rsid w:val="0057294E"/>
    <w:rsid w:val="00576882"/>
    <w:rsid w:val="00590564"/>
    <w:rsid w:val="005A26EA"/>
    <w:rsid w:val="005A75C6"/>
    <w:rsid w:val="005B07EF"/>
    <w:rsid w:val="005B4375"/>
    <w:rsid w:val="005B49F3"/>
    <w:rsid w:val="005B67AC"/>
    <w:rsid w:val="005B6DC2"/>
    <w:rsid w:val="005C3661"/>
    <w:rsid w:val="005E1E75"/>
    <w:rsid w:val="005E44F8"/>
    <w:rsid w:val="005E4C75"/>
    <w:rsid w:val="005E5663"/>
    <w:rsid w:val="005E5910"/>
    <w:rsid w:val="005E5CB8"/>
    <w:rsid w:val="005F679D"/>
    <w:rsid w:val="005F6F74"/>
    <w:rsid w:val="005F72E5"/>
    <w:rsid w:val="0060381B"/>
    <w:rsid w:val="00611651"/>
    <w:rsid w:val="00622480"/>
    <w:rsid w:val="00626CBF"/>
    <w:rsid w:val="00626FC2"/>
    <w:rsid w:val="00631197"/>
    <w:rsid w:val="00645522"/>
    <w:rsid w:val="00647D58"/>
    <w:rsid w:val="00652DAE"/>
    <w:rsid w:val="00656D42"/>
    <w:rsid w:val="006763F4"/>
    <w:rsid w:val="00684F73"/>
    <w:rsid w:val="0069546F"/>
    <w:rsid w:val="00695A52"/>
    <w:rsid w:val="00696E43"/>
    <w:rsid w:val="006A6A52"/>
    <w:rsid w:val="006B0333"/>
    <w:rsid w:val="006B4C94"/>
    <w:rsid w:val="006B7EC3"/>
    <w:rsid w:val="006C06E6"/>
    <w:rsid w:val="006E5DD8"/>
    <w:rsid w:val="006F4228"/>
    <w:rsid w:val="007031F4"/>
    <w:rsid w:val="00716DAF"/>
    <w:rsid w:val="00720CE3"/>
    <w:rsid w:val="00725AA6"/>
    <w:rsid w:val="00727434"/>
    <w:rsid w:val="007357D2"/>
    <w:rsid w:val="00735EB0"/>
    <w:rsid w:val="0073643C"/>
    <w:rsid w:val="00745B81"/>
    <w:rsid w:val="00763B0D"/>
    <w:rsid w:val="007664D5"/>
    <w:rsid w:val="00773510"/>
    <w:rsid w:val="00773BB9"/>
    <w:rsid w:val="00776D66"/>
    <w:rsid w:val="00777ACD"/>
    <w:rsid w:val="007829A7"/>
    <w:rsid w:val="00787FA9"/>
    <w:rsid w:val="007A2286"/>
    <w:rsid w:val="007A2B5C"/>
    <w:rsid w:val="007A33E6"/>
    <w:rsid w:val="007A53AC"/>
    <w:rsid w:val="007B0138"/>
    <w:rsid w:val="007B1A38"/>
    <w:rsid w:val="007B6593"/>
    <w:rsid w:val="007D25D5"/>
    <w:rsid w:val="007D2D7F"/>
    <w:rsid w:val="007D3396"/>
    <w:rsid w:val="007E0E22"/>
    <w:rsid w:val="007E255A"/>
    <w:rsid w:val="007E257F"/>
    <w:rsid w:val="007F0E41"/>
    <w:rsid w:val="007F61D8"/>
    <w:rsid w:val="0081631F"/>
    <w:rsid w:val="008341BD"/>
    <w:rsid w:val="00834D04"/>
    <w:rsid w:val="00842FBD"/>
    <w:rsid w:val="00844E56"/>
    <w:rsid w:val="008501B2"/>
    <w:rsid w:val="00851411"/>
    <w:rsid w:val="00852B98"/>
    <w:rsid w:val="00852E0D"/>
    <w:rsid w:val="0086194F"/>
    <w:rsid w:val="0086204C"/>
    <w:rsid w:val="0086236C"/>
    <w:rsid w:val="00867092"/>
    <w:rsid w:val="00874466"/>
    <w:rsid w:val="00877612"/>
    <w:rsid w:val="00887222"/>
    <w:rsid w:val="008B192F"/>
    <w:rsid w:val="008B727F"/>
    <w:rsid w:val="008C3D9F"/>
    <w:rsid w:val="008D76C5"/>
    <w:rsid w:val="008E57A0"/>
    <w:rsid w:val="008F2FC3"/>
    <w:rsid w:val="008F3363"/>
    <w:rsid w:val="008F4E05"/>
    <w:rsid w:val="008F4E63"/>
    <w:rsid w:val="008F74D1"/>
    <w:rsid w:val="009101E1"/>
    <w:rsid w:val="009215F0"/>
    <w:rsid w:val="00925952"/>
    <w:rsid w:val="00926F00"/>
    <w:rsid w:val="009275D0"/>
    <w:rsid w:val="0093479C"/>
    <w:rsid w:val="00941893"/>
    <w:rsid w:val="00951C99"/>
    <w:rsid w:val="00956D1A"/>
    <w:rsid w:val="009647CF"/>
    <w:rsid w:val="00971180"/>
    <w:rsid w:val="00972186"/>
    <w:rsid w:val="009727F9"/>
    <w:rsid w:val="00973D13"/>
    <w:rsid w:val="00976D0D"/>
    <w:rsid w:val="009871FB"/>
    <w:rsid w:val="0098757B"/>
    <w:rsid w:val="00991307"/>
    <w:rsid w:val="00992617"/>
    <w:rsid w:val="009A0793"/>
    <w:rsid w:val="009A7105"/>
    <w:rsid w:val="009B0A33"/>
    <w:rsid w:val="009B28A5"/>
    <w:rsid w:val="009B2DBC"/>
    <w:rsid w:val="009B6212"/>
    <w:rsid w:val="009B6D79"/>
    <w:rsid w:val="009C3853"/>
    <w:rsid w:val="009C5368"/>
    <w:rsid w:val="009C62A9"/>
    <w:rsid w:val="009C77A0"/>
    <w:rsid w:val="009D467A"/>
    <w:rsid w:val="009E24B8"/>
    <w:rsid w:val="009E76B1"/>
    <w:rsid w:val="009E7DCA"/>
    <w:rsid w:val="009F66D9"/>
    <w:rsid w:val="009F7699"/>
    <w:rsid w:val="00A02BAF"/>
    <w:rsid w:val="00A04C79"/>
    <w:rsid w:val="00A47F62"/>
    <w:rsid w:val="00A50372"/>
    <w:rsid w:val="00A506D8"/>
    <w:rsid w:val="00A5159D"/>
    <w:rsid w:val="00A63A2B"/>
    <w:rsid w:val="00A666FC"/>
    <w:rsid w:val="00A84E09"/>
    <w:rsid w:val="00A953B7"/>
    <w:rsid w:val="00A97802"/>
    <w:rsid w:val="00AA07D1"/>
    <w:rsid w:val="00AB1422"/>
    <w:rsid w:val="00AB50A7"/>
    <w:rsid w:val="00AC2517"/>
    <w:rsid w:val="00AC3B8E"/>
    <w:rsid w:val="00AC50C2"/>
    <w:rsid w:val="00AD4E2C"/>
    <w:rsid w:val="00AE1650"/>
    <w:rsid w:val="00AF0661"/>
    <w:rsid w:val="00AF0D36"/>
    <w:rsid w:val="00B04897"/>
    <w:rsid w:val="00B04B20"/>
    <w:rsid w:val="00B12220"/>
    <w:rsid w:val="00B22168"/>
    <w:rsid w:val="00B24D3A"/>
    <w:rsid w:val="00B27035"/>
    <w:rsid w:val="00B47BD7"/>
    <w:rsid w:val="00B55B83"/>
    <w:rsid w:val="00B6068B"/>
    <w:rsid w:val="00B63F87"/>
    <w:rsid w:val="00B70917"/>
    <w:rsid w:val="00B744B7"/>
    <w:rsid w:val="00B75F61"/>
    <w:rsid w:val="00B766FA"/>
    <w:rsid w:val="00B770CE"/>
    <w:rsid w:val="00B81AD6"/>
    <w:rsid w:val="00B872F5"/>
    <w:rsid w:val="00BA4C45"/>
    <w:rsid w:val="00BA6D10"/>
    <w:rsid w:val="00BA7749"/>
    <w:rsid w:val="00BB64FE"/>
    <w:rsid w:val="00BC2D08"/>
    <w:rsid w:val="00BC43DA"/>
    <w:rsid w:val="00BE59F9"/>
    <w:rsid w:val="00BF24B5"/>
    <w:rsid w:val="00BF6CDF"/>
    <w:rsid w:val="00C0120F"/>
    <w:rsid w:val="00C02670"/>
    <w:rsid w:val="00C14367"/>
    <w:rsid w:val="00C152E5"/>
    <w:rsid w:val="00C21A2A"/>
    <w:rsid w:val="00C235AE"/>
    <w:rsid w:val="00C302FA"/>
    <w:rsid w:val="00C40663"/>
    <w:rsid w:val="00C53B33"/>
    <w:rsid w:val="00C5686C"/>
    <w:rsid w:val="00C56FA9"/>
    <w:rsid w:val="00C634DA"/>
    <w:rsid w:val="00C6788C"/>
    <w:rsid w:val="00C67A76"/>
    <w:rsid w:val="00C7325F"/>
    <w:rsid w:val="00C74819"/>
    <w:rsid w:val="00C8002C"/>
    <w:rsid w:val="00C86748"/>
    <w:rsid w:val="00C920C1"/>
    <w:rsid w:val="00C95B9F"/>
    <w:rsid w:val="00CA5EC9"/>
    <w:rsid w:val="00CA6032"/>
    <w:rsid w:val="00CA6CB3"/>
    <w:rsid w:val="00CA7235"/>
    <w:rsid w:val="00CB1B64"/>
    <w:rsid w:val="00CB6E35"/>
    <w:rsid w:val="00CB7762"/>
    <w:rsid w:val="00CC12AD"/>
    <w:rsid w:val="00CC30D3"/>
    <w:rsid w:val="00CD68E1"/>
    <w:rsid w:val="00CE5E5F"/>
    <w:rsid w:val="00CF27AC"/>
    <w:rsid w:val="00D01427"/>
    <w:rsid w:val="00D07AD1"/>
    <w:rsid w:val="00D07F3D"/>
    <w:rsid w:val="00D123E7"/>
    <w:rsid w:val="00D124EA"/>
    <w:rsid w:val="00D150D9"/>
    <w:rsid w:val="00D22147"/>
    <w:rsid w:val="00D3278A"/>
    <w:rsid w:val="00D373EF"/>
    <w:rsid w:val="00D42533"/>
    <w:rsid w:val="00D47051"/>
    <w:rsid w:val="00D57688"/>
    <w:rsid w:val="00D62EFA"/>
    <w:rsid w:val="00D64906"/>
    <w:rsid w:val="00D720E5"/>
    <w:rsid w:val="00D72BD8"/>
    <w:rsid w:val="00D857C7"/>
    <w:rsid w:val="00D95A92"/>
    <w:rsid w:val="00D96279"/>
    <w:rsid w:val="00D9699E"/>
    <w:rsid w:val="00D96E42"/>
    <w:rsid w:val="00DA18FF"/>
    <w:rsid w:val="00DA3651"/>
    <w:rsid w:val="00DB2E61"/>
    <w:rsid w:val="00DC52E3"/>
    <w:rsid w:val="00DD1BB1"/>
    <w:rsid w:val="00DE3174"/>
    <w:rsid w:val="00DF539C"/>
    <w:rsid w:val="00DF7F38"/>
    <w:rsid w:val="00E016B0"/>
    <w:rsid w:val="00E03A6D"/>
    <w:rsid w:val="00E043EB"/>
    <w:rsid w:val="00E05BC3"/>
    <w:rsid w:val="00E07F40"/>
    <w:rsid w:val="00E12125"/>
    <w:rsid w:val="00E15497"/>
    <w:rsid w:val="00E155D5"/>
    <w:rsid w:val="00E16DD9"/>
    <w:rsid w:val="00E201A8"/>
    <w:rsid w:val="00E217DC"/>
    <w:rsid w:val="00E2589E"/>
    <w:rsid w:val="00E32E0E"/>
    <w:rsid w:val="00E43174"/>
    <w:rsid w:val="00E439F7"/>
    <w:rsid w:val="00E819C1"/>
    <w:rsid w:val="00E83A76"/>
    <w:rsid w:val="00E850D8"/>
    <w:rsid w:val="00E90C89"/>
    <w:rsid w:val="00E96B6D"/>
    <w:rsid w:val="00E970FF"/>
    <w:rsid w:val="00EA0716"/>
    <w:rsid w:val="00EA17D6"/>
    <w:rsid w:val="00EB45E3"/>
    <w:rsid w:val="00EB55A9"/>
    <w:rsid w:val="00EC3C95"/>
    <w:rsid w:val="00EC5653"/>
    <w:rsid w:val="00EE1E86"/>
    <w:rsid w:val="00EF22B3"/>
    <w:rsid w:val="00F16D46"/>
    <w:rsid w:val="00F250D0"/>
    <w:rsid w:val="00F27AFC"/>
    <w:rsid w:val="00F355F5"/>
    <w:rsid w:val="00F35892"/>
    <w:rsid w:val="00F373F0"/>
    <w:rsid w:val="00F41101"/>
    <w:rsid w:val="00F42576"/>
    <w:rsid w:val="00F4493C"/>
    <w:rsid w:val="00F50EA8"/>
    <w:rsid w:val="00F51F56"/>
    <w:rsid w:val="00F55B23"/>
    <w:rsid w:val="00F55C9A"/>
    <w:rsid w:val="00F55E01"/>
    <w:rsid w:val="00F61FDE"/>
    <w:rsid w:val="00F6431E"/>
    <w:rsid w:val="00F66897"/>
    <w:rsid w:val="00F71016"/>
    <w:rsid w:val="00F75830"/>
    <w:rsid w:val="00F7706D"/>
    <w:rsid w:val="00F81DDA"/>
    <w:rsid w:val="00F835D0"/>
    <w:rsid w:val="00F85443"/>
    <w:rsid w:val="00F86281"/>
    <w:rsid w:val="00FA5345"/>
    <w:rsid w:val="00FB3240"/>
    <w:rsid w:val="00FB4D95"/>
    <w:rsid w:val="00FB5EB1"/>
    <w:rsid w:val="00FB60E0"/>
    <w:rsid w:val="00FB7B22"/>
    <w:rsid w:val="00FC1C96"/>
    <w:rsid w:val="00FC7320"/>
    <w:rsid w:val="00FE2FF7"/>
    <w:rsid w:val="00FE4F31"/>
    <w:rsid w:val="00FF0F1C"/>
    <w:rsid w:val="00FF304E"/>
    <w:rsid w:val="00FF51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70E0F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AU" w:eastAsia="en-AU"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6" w:unhideWhenUsed="1" w:qFormat="1"/>
    <w:lsdException w:name="heading 3" w:semiHidden="1" w:uiPriority="0" w:unhideWhenUsed="1" w:qFormat="1"/>
    <w:lsdException w:name="heading 4" w:semiHidden="1" w:uiPriority="3" w:unhideWhenUsed="1" w:qFormat="1"/>
    <w:lsdException w:name="heading 5" w:semiHidden="1" w:uiPriority="4" w:unhideWhenUsed="1" w:qFormat="1"/>
    <w:lsdException w:name="heading 6" w:semiHidden="1" w:uiPriority="8" w:unhideWhenUsed="1" w:qFormat="1"/>
    <w:lsdException w:name="heading 7" w:semiHidden="1" w:uiPriority="6" w:qFormat="1"/>
    <w:lsdException w:name="heading 8" w:semiHidden="1" w:uiPriority="7" w:qFormat="1"/>
    <w:lsdException w:name="heading 9" w:semiHidden="1" w:uiPriority="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4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49"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8" w:unhideWhenUsed="1"/>
    <w:lsdException w:name="List Bullet 3" w:semiHidden="1" w:uiPriority="38"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49"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nhideWhenUsed="1"/>
    <w:lsdException w:name="Body Text 2" w:semiHidden="1" w:uiPriority="0" w:unhideWhenUsed="1" w:qFormat="1"/>
    <w:lsdException w:name="Body Text 3" w:uiPriority="0" w:qFormat="1"/>
    <w:lsdException w:name="Body Text Indent 2" w:semiHidden="1" w:uiPriority="49" w:unhideWhenUsed="1"/>
    <w:lsdException w:name="Body Text Indent 3" w:semiHidden="1" w:uiPriority="49" w:unhideWhenUsed="1"/>
    <w:lsdException w:name="Block Text" w:semiHidden="1" w:uiPriority="49" w:unhideWhenUsed="1"/>
    <w:lsdException w:name="Hyperlink" w:semiHidden="1" w:unhideWhenUsed="1"/>
    <w:lsdException w:name="FollowedHyperlink" w:semiHidden="1" w:uiPriority="49" w:unhideWhenUsed="1"/>
    <w:lsdException w:name="Document Map" w:semiHidden="1" w:uiPriority="49" w:unhideWhenUsed="1"/>
    <w:lsdException w:name="Plain Text" w:semiHidden="1"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iPriority="49" w:unhideWhenUsed="1"/>
    <w:lsdException w:name="HTML Address" w:semiHidden="1" w:uiPriority="49" w:unhideWhenUsed="1"/>
    <w:lsdException w:name="HTML Cite" w:semiHidden="1" w:uiPriority="49" w:unhideWhenUsed="1"/>
    <w:lsdException w:name="HTML Code" w:semiHidden="1" w:uiPriority="49" w:unhideWhenUsed="1"/>
    <w:lsdException w:name="HTML Definition" w:semiHidden="1" w:uiPriority="49" w:unhideWhenUsed="1"/>
    <w:lsdException w:name="HTML Keyboard" w:semiHidden="1" w:uiPriority="49" w:unhideWhenUsed="1"/>
    <w:lsdException w:name="HTML Preformatted" w:semiHidden="1" w:uiPriority="49" w:unhideWhenUsed="1"/>
    <w:lsdException w:name="HTML Sample" w:semiHidden="1" w:uiPriority="49" w:unhideWhenUsed="1"/>
    <w:lsdException w:name="HTML Typewriter" w:semiHidden="1" w:uiPriority="49" w:unhideWhenUsed="1"/>
    <w:lsdException w:name="HTML Variable" w:semiHidden="1" w:uiPriority="49"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A76"/>
  </w:style>
  <w:style w:type="paragraph" w:styleId="Heading1">
    <w:name w:val="heading 1"/>
    <w:basedOn w:val="Normal"/>
    <w:next w:val="BodyText1"/>
    <w:link w:val="Heading1Char"/>
    <w:qFormat/>
    <w:rsid w:val="006C06E6"/>
    <w:pPr>
      <w:keepNext/>
      <w:outlineLvl w:val="0"/>
    </w:pPr>
    <w:rPr>
      <w:rFonts w:asciiTheme="majorHAnsi" w:hAnsiTheme="majorHAnsi"/>
      <w:b/>
    </w:rPr>
  </w:style>
  <w:style w:type="paragraph" w:styleId="Heading2">
    <w:name w:val="heading 2"/>
    <w:basedOn w:val="Normal"/>
    <w:next w:val="BodyText1"/>
    <w:link w:val="Heading2Char"/>
    <w:qFormat/>
    <w:rsid w:val="00C86748"/>
    <w:pPr>
      <w:keepNext/>
      <w:autoSpaceDE w:val="0"/>
      <w:autoSpaceDN w:val="0"/>
      <w:adjustRightInd w:val="0"/>
      <w:spacing w:before="120" w:after="360"/>
      <w:outlineLvl w:val="1"/>
    </w:pPr>
    <w:rPr>
      <w:rFonts w:asciiTheme="majorHAnsi" w:eastAsia="Times New Roman" w:hAnsiTheme="majorHAnsi" w:cs="Arial"/>
      <w:b/>
      <w:bCs/>
      <w:sz w:val="32"/>
    </w:rPr>
  </w:style>
  <w:style w:type="paragraph" w:styleId="Heading3">
    <w:name w:val="heading 3"/>
    <w:basedOn w:val="Normal"/>
    <w:next w:val="BodyText1"/>
    <w:link w:val="Heading3Char"/>
    <w:qFormat/>
    <w:rsid w:val="006C06E6"/>
    <w:pPr>
      <w:keepNext/>
      <w:outlineLvl w:val="2"/>
    </w:pPr>
    <w:rPr>
      <w:rFonts w:eastAsia="Times New Roman" w:cs="Arial"/>
      <w:bCs/>
      <w:i/>
      <w:sz w:val="26"/>
    </w:rPr>
  </w:style>
  <w:style w:type="paragraph" w:styleId="Heading4">
    <w:name w:val="heading 4"/>
    <w:basedOn w:val="Normal"/>
    <w:next w:val="BodyText1"/>
    <w:link w:val="Heading4Char"/>
    <w:qFormat/>
    <w:rsid w:val="00E83A76"/>
    <w:pPr>
      <w:keepNext/>
      <w:outlineLvl w:val="3"/>
    </w:pPr>
    <w:rPr>
      <w:rFonts w:ascii="Arial" w:hAnsi="Arial"/>
      <w:b/>
      <w:sz w:val="22"/>
    </w:rPr>
  </w:style>
  <w:style w:type="paragraph" w:styleId="Heading5">
    <w:name w:val="heading 5"/>
    <w:basedOn w:val="Normal"/>
    <w:next w:val="Normal"/>
    <w:link w:val="Heading5Char"/>
    <w:uiPriority w:val="4"/>
    <w:semiHidden/>
    <w:qFormat/>
    <w:rsid w:val="00DC52E3"/>
    <w:pPr>
      <w:outlineLvl w:val="4"/>
    </w:pPr>
    <w:rPr>
      <w:rFonts w:ascii="Trebuchet MS" w:hAnsi="Trebuchet MS"/>
      <w:b/>
      <w:sz w:val="32"/>
    </w:rPr>
  </w:style>
  <w:style w:type="paragraph" w:styleId="Heading6">
    <w:name w:val="heading 6"/>
    <w:basedOn w:val="Normal"/>
    <w:next w:val="Normal"/>
    <w:link w:val="Heading6Char"/>
    <w:uiPriority w:val="5"/>
    <w:semiHidden/>
    <w:qFormat/>
    <w:rsid w:val="00DC52E3"/>
    <w:pPr>
      <w:keepNext/>
      <w:keepLines/>
      <w:spacing w:before="200"/>
      <w:outlineLvl w:val="5"/>
    </w:pPr>
    <w:rPr>
      <w:rFonts w:ascii="Trebuchet MS" w:eastAsia="Times New Roman" w:hAnsi="Trebuchet MS"/>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06E6"/>
    <w:rPr>
      <w:rFonts w:asciiTheme="majorHAnsi" w:hAnsiTheme="majorHAnsi"/>
      <w:b/>
    </w:rPr>
  </w:style>
  <w:style w:type="character" w:customStyle="1" w:styleId="Heading2Char">
    <w:name w:val="Heading 2 Char"/>
    <w:basedOn w:val="DefaultParagraphFont"/>
    <w:link w:val="Heading2"/>
    <w:rsid w:val="00C86748"/>
    <w:rPr>
      <w:rFonts w:asciiTheme="majorHAnsi" w:eastAsia="Times New Roman" w:hAnsiTheme="majorHAnsi" w:cs="Arial"/>
      <w:b/>
      <w:bCs/>
      <w:sz w:val="32"/>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4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49"/>
    <w:semiHidden/>
    <w:rsid w:val="001F6B8D"/>
    <w:rPr>
      <w:rFonts w:ascii="Tahoma" w:hAnsi="Tahoma" w:cs="Tahoma"/>
      <w:sz w:val="16"/>
      <w:szCs w:val="16"/>
    </w:rPr>
  </w:style>
  <w:style w:type="character" w:customStyle="1" w:styleId="Heading3Char">
    <w:name w:val="Heading 3 Char"/>
    <w:basedOn w:val="DefaultParagraphFont"/>
    <w:link w:val="Heading3"/>
    <w:rsid w:val="006C06E6"/>
    <w:rPr>
      <w:rFonts w:eastAsia="Times New Roman" w:cs="Arial"/>
      <w:bCs/>
      <w:i/>
      <w:sz w:val="26"/>
    </w:rPr>
  </w:style>
  <w:style w:type="character" w:customStyle="1" w:styleId="Heading4Char">
    <w:name w:val="Heading 4 Char"/>
    <w:basedOn w:val="DefaultParagraphFont"/>
    <w:link w:val="Heading4"/>
    <w:rsid w:val="00E83A76"/>
    <w:rPr>
      <w:rFonts w:ascii="Arial" w:hAnsi="Arial"/>
      <w:b/>
      <w:sz w:val="22"/>
    </w:rPr>
  </w:style>
  <w:style w:type="character" w:customStyle="1" w:styleId="Heading5Char">
    <w:name w:val="Heading 5 Char"/>
    <w:basedOn w:val="DefaultParagraphFont"/>
    <w:link w:val="Heading5"/>
    <w:uiPriority w:val="4"/>
    <w:semiHidden/>
    <w:rsid w:val="00842FBD"/>
    <w:rPr>
      <w:rFonts w:ascii="Trebuchet MS" w:hAnsi="Trebuchet MS"/>
      <w:b/>
      <w:sz w:val="32"/>
    </w:rPr>
  </w:style>
  <w:style w:type="character" w:customStyle="1" w:styleId="Heading6Char">
    <w:name w:val="Heading 6 Char"/>
    <w:basedOn w:val="DefaultParagraphFont"/>
    <w:link w:val="Heading6"/>
    <w:uiPriority w:val="5"/>
    <w:semiHidden/>
    <w:rsid w:val="00787FA9"/>
    <w:rPr>
      <w:rFonts w:ascii="Trebuchet MS" w:eastAsia="Times New Roman" w:hAnsi="Trebuchet MS"/>
      <w:iCs/>
      <w:color w:val="0C2577"/>
      <w:sz w:val="90"/>
    </w:rPr>
  </w:style>
  <w:style w:type="paragraph" w:styleId="EnvelopeAddress">
    <w:name w:val="envelope address"/>
    <w:basedOn w:val="Normal"/>
    <w:uiPriority w:val="49"/>
    <w:semiHidden/>
    <w:unhideWhenUsed/>
    <w:rsid w:val="007031F4"/>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49"/>
    <w:semiHidden/>
    <w:unhideWhenUsed/>
    <w:rsid w:val="007031F4"/>
    <w:rPr>
      <w:rFonts w:eastAsia="Times New Roman"/>
      <w:sz w:val="20"/>
      <w:szCs w:val="20"/>
    </w:rPr>
  </w:style>
  <w:style w:type="character" w:styleId="Hyperlink">
    <w:name w:val="Hyperlink"/>
    <w:basedOn w:val="DefaultParagraphFont"/>
    <w:uiPriority w:val="99"/>
    <w:rsid w:val="00BC2D08"/>
    <w:rPr>
      <w:color w:val="0000FF"/>
      <w:u w:val="single"/>
    </w:rPr>
  </w:style>
  <w:style w:type="paragraph" w:styleId="BodyText2">
    <w:name w:val="Body Text 2"/>
    <w:basedOn w:val="Normal"/>
    <w:link w:val="BodyText2Char"/>
    <w:qFormat/>
    <w:rsid w:val="00656D42"/>
    <w:pPr>
      <w:numPr>
        <w:ilvl w:val="1"/>
        <w:numId w:val="19"/>
      </w:numPr>
    </w:pPr>
  </w:style>
  <w:style w:type="character" w:customStyle="1" w:styleId="BodyText2Char">
    <w:name w:val="Body Text 2 Char"/>
    <w:basedOn w:val="DefaultParagraphFont"/>
    <w:link w:val="BodyText2"/>
    <w:rsid w:val="00656D42"/>
  </w:style>
  <w:style w:type="paragraph" w:styleId="ListBullet">
    <w:name w:val="List Bullet"/>
    <w:basedOn w:val="Normal"/>
    <w:uiPriority w:val="38"/>
    <w:semiHidden/>
    <w:unhideWhenUsed/>
    <w:rsid w:val="005050E8"/>
    <w:pPr>
      <w:numPr>
        <w:numId w:val="11"/>
      </w:numPr>
      <w:ind w:left="357" w:hanging="357"/>
      <w:contextualSpacing/>
    </w:pPr>
  </w:style>
  <w:style w:type="paragraph" w:styleId="Header">
    <w:name w:val="header"/>
    <w:basedOn w:val="Normal"/>
    <w:next w:val="Normal"/>
    <w:link w:val="HeaderChar"/>
    <w:uiPriority w:val="1"/>
    <w:rsid w:val="00110917"/>
    <w:pPr>
      <w:tabs>
        <w:tab w:val="center" w:pos="4513"/>
        <w:tab w:val="right" w:pos="9026"/>
      </w:tabs>
      <w:spacing w:after="0"/>
      <w:contextualSpacing/>
      <w:jc w:val="right"/>
    </w:pPr>
    <w:rPr>
      <w:b/>
    </w:rPr>
  </w:style>
  <w:style w:type="character" w:customStyle="1" w:styleId="HeaderChar">
    <w:name w:val="Header Char"/>
    <w:basedOn w:val="DefaultParagraphFont"/>
    <w:link w:val="Header"/>
    <w:uiPriority w:val="1"/>
    <w:rsid w:val="00E83A76"/>
    <w:rPr>
      <w:b/>
    </w:rPr>
  </w:style>
  <w:style w:type="paragraph" w:styleId="Footer">
    <w:name w:val="footer"/>
    <w:basedOn w:val="Normal"/>
    <w:link w:val="FooterChar"/>
    <w:uiPriority w:val="1"/>
    <w:rsid w:val="00867092"/>
    <w:pPr>
      <w:tabs>
        <w:tab w:val="center" w:pos="4513"/>
        <w:tab w:val="right" w:pos="9026"/>
      </w:tabs>
      <w:spacing w:after="120"/>
      <w:jc w:val="right"/>
    </w:pPr>
    <w:rPr>
      <w:b/>
    </w:rPr>
  </w:style>
  <w:style w:type="character" w:customStyle="1" w:styleId="FooterChar">
    <w:name w:val="Footer Char"/>
    <w:basedOn w:val="DefaultParagraphFont"/>
    <w:link w:val="Footer"/>
    <w:uiPriority w:val="1"/>
    <w:rsid w:val="00E83A76"/>
    <w:rPr>
      <w:b/>
    </w:rPr>
  </w:style>
  <w:style w:type="paragraph" w:styleId="FootnoteText">
    <w:name w:val="footnote text"/>
    <w:basedOn w:val="Normal"/>
    <w:link w:val="FootnoteTextChar"/>
    <w:rsid w:val="00E83A76"/>
    <w:pPr>
      <w:spacing w:after="0"/>
      <w:ind w:left="567" w:hanging="567"/>
      <w:jc w:val="both"/>
    </w:pPr>
    <w:rPr>
      <w:sz w:val="20"/>
    </w:rPr>
  </w:style>
  <w:style w:type="character" w:customStyle="1" w:styleId="FootnoteTextChar">
    <w:name w:val="Footnote Text Char"/>
    <w:basedOn w:val="DefaultParagraphFont"/>
    <w:link w:val="FootnoteText"/>
    <w:uiPriority w:val="99"/>
    <w:rsid w:val="00E83A76"/>
    <w:rPr>
      <w:sz w:val="20"/>
    </w:rPr>
  </w:style>
  <w:style w:type="character" w:styleId="FootnoteReference">
    <w:name w:val="footnote reference"/>
    <w:basedOn w:val="DefaultParagraphFont"/>
    <w:rsid w:val="00725AA6"/>
    <w:rPr>
      <w:vertAlign w:val="superscript"/>
    </w:rPr>
  </w:style>
  <w:style w:type="table" w:styleId="TableGrid">
    <w:name w:val="Table Grid"/>
    <w:basedOn w:val="TableNormal"/>
    <w:uiPriority w:val="59"/>
    <w:rsid w:val="00485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B47BD7"/>
    <w:pPr>
      <w:tabs>
        <w:tab w:val="right" w:leader="dot" w:pos="8302"/>
      </w:tabs>
      <w:spacing w:after="120"/>
      <w:ind w:right="567"/>
    </w:pPr>
    <w:rPr>
      <w:rFonts w:ascii="Arial" w:hAnsi="Arial"/>
      <w:noProof/>
    </w:rPr>
  </w:style>
  <w:style w:type="paragraph" w:styleId="TOC3">
    <w:name w:val="toc 3"/>
    <w:basedOn w:val="Normal"/>
    <w:next w:val="Normal"/>
    <w:autoRedefine/>
    <w:uiPriority w:val="39"/>
    <w:rsid w:val="0029455F"/>
    <w:pPr>
      <w:tabs>
        <w:tab w:val="right" w:leader="dot" w:pos="8302"/>
      </w:tabs>
      <w:spacing w:after="120"/>
      <w:ind w:left="567" w:right="567"/>
    </w:pPr>
    <w:rPr>
      <w:rFonts w:ascii="Arial" w:hAnsi="Arial"/>
    </w:rPr>
  </w:style>
  <w:style w:type="paragraph" w:styleId="TOCHeading">
    <w:name w:val="TOC Heading"/>
    <w:basedOn w:val="Heading1"/>
    <w:next w:val="Normal"/>
    <w:uiPriority w:val="1"/>
    <w:rsid w:val="00E96B6D"/>
    <w:pPr>
      <w:outlineLvl w:val="9"/>
    </w:pPr>
    <w:rPr>
      <w:rFonts w:eastAsiaTheme="majorEastAsia" w:cstheme="majorBidi"/>
      <w:szCs w:val="28"/>
    </w:rPr>
  </w:style>
  <w:style w:type="character" w:customStyle="1" w:styleId="BodyText1Char">
    <w:name w:val="Body Text 1 Char"/>
    <w:basedOn w:val="DefaultParagraphFont"/>
    <w:link w:val="BodyText1"/>
    <w:rsid w:val="00656D42"/>
    <w:rPr>
      <w:rFonts w:eastAsia="Times New Roman"/>
    </w:rPr>
  </w:style>
  <w:style w:type="paragraph" w:styleId="NoSpacing">
    <w:name w:val="No Spacing"/>
    <w:uiPriority w:val="1"/>
    <w:qFormat/>
    <w:rsid w:val="009D467A"/>
    <w:pPr>
      <w:spacing w:after="0"/>
    </w:pPr>
  </w:style>
  <w:style w:type="paragraph" w:customStyle="1" w:styleId="BoxHeading">
    <w:name w:val="Box Heading"/>
    <w:next w:val="Normal"/>
    <w:uiPriority w:val="1"/>
    <w:qFormat/>
    <w:rsid w:val="00656D42"/>
    <w:pPr>
      <w:spacing w:before="120" w:after="360"/>
    </w:pPr>
    <w:rPr>
      <w:rFonts w:ascii="Arial" w:eastAsia="Times New Roman" w:hAnsi="Arial" w:cs="Arial"/>
      <w:b/>
      <w:bCs/>
      <w:sz w:val="32"/>
      <w:szCs w:val="32"/>
    </w:rPr>
  </w:style>
  <w:style w:type="paragraph" w:customStyle="1" w:styleId="BoxBullet">
    <w:name w:val="Box Bullet"/>
    <w:basedOn w:val="Normal"/>
    <w:uiPriority w:val="1"/>
    <w:qFormat/>
    <w:rsid w:val="003936EA"/>
    <w:pPr>
      <w:numPr>
        <w:numId w:val="17"/>
      </w:numPr>
    </w:pPr>
    <w:rPr>
      <w:rFonts w:eastAsia="Times New Roman"/>
      <w:szCs w:val="26"/>
    </w:rPr>
  </w:style>
  <w:style w:type="paragraph" w:customStyle="1" w:styleId="BodyText1">
    <w:name w:val="Body Text 1"/>
    <w:basedOn w:val="Normal"/>
    <w:link w:val="BodyText1Char"/>
    <w:qFormat/>
    <w:rsid w:val="00E07F40"/>
    <w:pPr>
      <w:numPr>
        <w:numId w:val="19"/>
      </w:numPr>
      <w:jc w:val="both"/>
    </w:pPr>
    <w:rPr>
      <w:rFonts w:eastAsia="Times New Roman"/>
    </w:rPr>
  </w:style>
  <w:style w:type="character" w:customStyle="1" w:styleId="PSNamefieldtext">
    <w:name w:val="PS Name field text"/>
    <w:basedOn w:val="DefaultParagraphFont"/>
    <w:uiPriority w:val="2"/>
    <w:qFormat/>
    <w:rsid w:val="00E07F40"/>
    <w:rPr>
      <w:lang w:eastAsia="en-AU"/>
    </w:rPr>
  </w:style>
  <w:style w:type="character" w:customStyle="1" w:styleId="PSNofieldtext">
    <w:name w:val="PS No. field text"/>
    <w:basedOn w:val="DefaultParagraphFont"/>
    <w:uiPriority w:val="2"/>
    <w:qFormat/>
    <w:rsid w:val="00E07F40"/>
  </w:style>
  <w:style w:type="paragraph" w:styleId="BodyText3">
    <w:name w:val="Body Text 3"/>
    <w:basedOn w:val="Normal"/>
    <w:link w:val="BodyText3Char"/>
    <w:qFormat/>
    <w:rsid w:val="00656D42"/>
    <w:pPr>
      <w:numPr>
        <w:ilvl w:val="2"/>
        <w:numId w:val="19"/>
      </w:numPr>
    </w:pPr>
    <w:rPr>
      <w:szCs w:val="16"/>
    </w:rPr>
  </w:style>
  <w:style w:type="character" w:customStyle="1" w:styleId="BodyText3Char">
    <w:name w:val="Body Text 3 Char"/>
    <w:basedOn w:val="DefaultParagraphFont"/>
    <w:link w:val="BodyText3"/>
    <w:rsid w:val="00656D42"/>
    <w:rPr>
      <w:szCs w:val="16"/>
    </w:rPr>
  </w:style>
  <w:style w:type="character" w:customStyle="1" w:styleId="Attachmentfieldtext">
    <w:name w:val="Attachment field text"/>
    <w:basedOn w:val="DefaultParagraphFont"/>
    <w:uiPriority w:val="2"/>
    <w:qFormat/>
    <w:rsid w:val="00867092"/>
  </w:style>
  <w:style w:type="paragraph" w:styleId="Title">
    <w:name w:val="Title"/>
    <w:basedOn w:val="Normal"/>
    <w:next w:val="Normal"/>
    <w:link w:val="TitleChar"/>
    <w:qFormat/>
    <w:rsid w:val="00C67A76"/>
    <w:pPr>
      <w:spacing w:before="120"/>
    </w:pPr>
    <w:rPr>
      <w:rFonts w:asciiTheme="majorHAnsi" w:hAnsiTheme="majorHAnsi"/>
      <w:b/>
      <w:sz w:val="40"/>
    </w:rPr>
  </w:style>
  <w:style w:type="character" w:customStyle="1" w:styleId="TitleChar">
    <w:name w:val="Title Char"/>
    <w:basedOn w:val="DefaultParagraphFont"/>
    <w:link w:val="Title"/>
    <w:rsid w:val="00C67A76"/>
    <w:rPr>
      <w:rFonts w:asciiTheme="majorHAnsi" w:hAnsiTheme="majorHAnsi"/>
      <w:b/>
      <w:sz w:val="40"/>
    </w:rPr>
  </w:style>
  <w:style w:type="paragraph" w:styleId="TOC1">
    <w:name w:val="toc 1"/>
    <w:basedOn w:val="Normal"/>
    <w:next w:val="Normal"/>
    <w:autoRedefine/>
    <w:uiPriority w:val="39"/>
    <w:rsid w:val="00E83A76"/>
    <w:pPr>
      <w:tabs>
        <w:tab w:val="right" w:leader="dot" w:pos="8302"/>
      </w:tabs>
      <w:spacing w:after="120"/>
      <w:ind w:right="567"/>
    </w:pPr>
    <w:rPr>
      <w:rFonts w:asciiTheme="majorHAnsi" w:hAnsiTheme="majorHAnsi" w:cstheme="majorHAnsi"/>
      <w:noProof/>
    </w:rPr>
  </w:style>
  <w:style w:type="paragraph" w:styleId="TOC4">
    <w:name w:val="toc 4"/>
    <w:basedOn w:val="Normal"/>
    <w:next w:val="Normal"/>
    <w:autoRedefine/>
    <w:uiPriority w:val="39"/>
    <w:semiHidden/>
    <w:rsid w:val="00E83A76"/>
    <w:pPr>
      <w:tabs>
        <w:tab w:val="right" w:leader="dot" w:pos="8302"/>
      </w:tabs>
      <w:spacing w:after="100"/>
      <w:ind w:left="1134" w:right="567"/>
    </w:pPr>
    <w:rPr>
      <w:rFonts w:asciiTheme="majorHAnsi" w:hAnsiTheme="majorHAnsi"/>
    </w:rPr>
  </w:style>
  <w:style w:type="paragraph" w:customStyle="1" w:styleId="BodyText4">
    <w:name w:val="Body Text 4"/>
    <w:basedOn w:val="Normal"/>
    <w:qFormat/>
    <w:rsid w:val="00BF6CDF"/>
    <w:pPr>
      <w:numPr>
        <w:ilvl w:val="3"/>
        <w:numId w:val="19"/>
      </w:numPr>
    </w:pPr>
  </w:style>
  <w:style w:type="paragraph" w:styleId="BodyText">
    <w:name w:val="Body Text"/>
    <w:basedOn w:val="Normal"/>
    <w:link w:val="BodyTextChar"/>
    <w:uiPriority w:val="49"/>
    <w:semiHidden/>
    <w:unhideWhenUsed/>
    <w:rsid w:val="00C8002C"/>
    <w:pPr>
      <w:spacing w:after="120"/>
    </w:pPr>
  </w:style>
  <w:style w:type="character" w:customStyle="1" w:styleId="BodyTextChar">
    <w:name w:val="Body Text Char"/>
    <w:basedOn w:val="DefaultParagraphFont"/>
    <w:link w:val="BodyText"/>
    <w:uiPriority w:val="49"/>
    <w:semiHidden/>
    <w:rsid w:val="00C8002C"/>
  </w:style>
  <w:style w:type="paragraph" w:customStyle="1" w:styleId="Heading">
    <w:name w:val="Heading"/>
    <w:basedOn w:val="Normal"/>
    <w:rsid w:val="00C8002C"/>
    <w:pPr>
      <w:spacing w:after="0"/>
    </w:pPr>
    <w:rPr>
      <w:rFonts w:eastAsia="Times New Roman"/>
      <w:b/>
      <w:sz w:val="26"/>
      <w:szCs w:val="20"/>
    </w:rPr>
  </w:style>
  <w:style w:type="paragraph" w:customStyle="1" w:styleId="GPSHeading">
    <w:name w:val="GPS Heading"/>
    <w:basedOn w:val="Heading"/>
    <w:qFormat/>
    <w:rsid w:val="00AF0D36"/>
    <w:pPr>
      <w:spacing w:before="120" w:after="240"/>
    </w:pPr>
    <w:rPr>
      <w:rFonts w:ascii="Arial" w:hAnsi="Arial"/>
      <w:bCs/>
      <w:sz w:val="24"/>
      <w:szCs w:val="24"/>
    </w:rPr>
  </w:style>
  <w:style w:type="character" w:styleId="CommentReference">
    <w:name w:val="annotation reference"/>
    <w:basedOn w:val="DefaultParagraphFont"/>
    <w:uiPriority w:val="49"/>
    <w:semiHidden/>
    <w:unhideWhenUsed/>
    <w:rsid w:val="00B12220"/>
    <w:rPr>
      <w:sz w:val="16"/>
      <w:szCs w:val="16"/>
    </w:rPr>
  </w:style>
  <w:style w:type="paragraph" w:styleId="CommentText">
    <w:name w:val="annotation text"/>
    <w:basedOn w:val="Normal"/>
    <w:link w:val="CommentTextChar"/>
    <w:uiPriority w:val="49"/>
    <w:unhideWhenUsed/>
    <w:rsid w:val="00B12220"/>
    <w:rPr>
      <w:sz w:val="20"/>
      <w:szCs w:val="20"/>
    </w:rPr>
  </w:style>
  <w:style w:type="character" w:customStyle="1" w:styleId="CommentTextChar">
    <w:name w:val="Comment Text Char"/>
    <w:basedOn w:val="DefaultParagraphFont"/>
    <w:link w:val="CommentText"/>
    <w:uiPriority w:val="49"/>
    <w:rsid w:val="00B12220"/>
    <w:rPr>
      <w:sz w:val="20"/>
      <w:szCs w:val="20"/>
    </w:rPr>
  </w:style>
  <w:style w:type="paragraph" w:styleId="CommentSubject">
    <w:name w:val="annotation subject"/>
    <w:basedOn w:val="CommentText"/>
    <w:next w:val="CommentText"/>
    <w:link w:val="CommentSubjectChar"/>
    <w:uiPriority w:val="49"/>
    <w:semiHidden/>
    <w:unhideWhenUsed/>
    <w:rsid w:val="00B12220"/>
    <w:rPr>
      <w:b/>
      <w:bCs/>
    </w:rPr>
  </w:style>
  <w:style w:type="character" w:customStyle="1" w:styleId="CommentSubjectChar">
    <w:name w:val="Comment Subject Char"/>
    <w:basedOn w:val="CommentTextChar"/>
    <w:link w:val="CommentSubject"/>
    <w:uiPriority w:val="49"/>
    <w:semiHidden/>
    <w:rsid w:val="00B12220"/>
    <w:rPr>
      <w:b/>
      <w:bCs/>
      <w:sz w:val="20"/>
      <w:szCs w:val="20"/>
    </w:rPr>
  </w:style>
  <w:style w:type="paragraph" w:styleId="Revision">
    <w:name w:val="Revision"/>
    <w:hidden/>
    <w:uiPriority w:val="99"/>
    <w:semiHidden/>
    <w:rsid w:val="003E6B50"/>
    <w:pPr>
      <w:spacing w:after="0"/>
    </w:pPr>
  </w:style>
  <w:style w:type="paragraph" w:customStyle="1" w:styleId="ActTitle">
    <w:name w:val="Act Title"/>
    <w:basedOn w:val="Normal"/>
    <w:next w:val="Normal"/>
    <w:rsid w:val="00626CBF"/>
    <w:pPr>
      <w:pBdr>
        <w:bottom w:val="single" w:sz="4" w:space="3" w:color="auto"/>
      </w:pBdr>
      <w:spacing w:before="480"/>
    </w:pPr>
    <w:rPr>
      <w:rFonts w:ascii="Arial" w:eastAsia="Times New Roman" w:hAnsi="Arial"/>
      <w:i/>
      <w:iCs/>
      <w:sz w:val="28"/>
      <w:szCs w:val="20"/>
    </w:rPr>
  </w:style>
  <w:style w:type="paragraph" w:customStyle="1" w:styleId="IntroTo">
    <w:name w:val="IntroTo:"/>
    <w:basedOn w:val="Normal"/>
    <w:rsid w:val="00626CBF"/>
    <w:pPr>
      <w:spacing w:after="0"/>
      <w:ind w:left="720" w:hanging="720"/>
    </w:pPr>
    <w:rPr>
      <w:rFonts w:eastAsia="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56888">
      <w:bodyDiv w:val="1"/>
      <w:marLeft w:val="0"/>
      <w:marRight w:val="0"/>
      <w:marTop w:val="0"/>
      <w:marBottom w:val="0"/>
      <w:divBdr>
        <w:top w:val="none" w:sz="0" w:space="0" w:color="auto"/>
        <w:left w:val="none" w:sz="0" w:space="0" w:color="auto"/>
        <w:bottom w:val="none" w:sz="0" w:space="0" w:color="auto"/>
        <w:right w:val="none" w:sz="0" w:space="0" w:color="auto"/>
      </w:divBdr>
    </w:div>
    <w:div w:id="1273128879">
      <w:bodyDiv w:val="1"/>
      <w:marLeft w:val="0"/>
      <w:marRight w:val="0"/>
      <w:marTop w:val="0"/>
      <w:marBottom w:val="0"/>
      <w:divBdr>
        <w:top w:val="none" w:sz="0" w:space="0" w:color="auto"/>
        <w:left w:val="none" w:sz="0" w:space="0" w:color="auto"/>
        <w:bottom w:val="none" w:sz="0" w:space="0" w:color="auto"/>
        <w:right w:val="none" w:sz="0" w:space="0" w:color="auto"/>
      </w:divBdr>
    </w:div>
    <w:div w:id="209138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7.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6.PNG"/><Relationship Id="rId32"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5.PNG"/><Relationship Id="rId28" Type="http://schemas.openxmlformats.org/officeDocument/2006/relationships/image" Target="media/image10.png"/><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image" Target="media/image1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theme" Target="theme/theme1.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171F7816914DF1898F16E00115A51F"/>
        <w:category>
          <w:name w:val="General"/>
          <w:gallery w:val="placeholder"/>
        </w:category>
        <w:types>
          <w:type w:val="bbPlcHdr"/>
        </w:types>
        <w:behaviors>
          <w:behavior w:val="content"/>
        </w:behaviors>
        <w:guid w:val="{2B6A3129-D3D2-4472-A928-11042D9D90ED}"/>
      </w:docPartPr>
      <w:docPartBody>
        <w:p w:rsidR="00A0114C" w:rsidRDefault="002336C3" w:rsidP="002336C3">
          <w:pPr>
            <w:pStyle w:val="A5171F7816914DF1898F16E00115A51F"/>
          </w:pPr>
          <w:r w:rsidRPr="00E74BEE">
            <w:rPr>
              <w:rStyle w:val="PlaceholderText"/>
            </w:rPr>
            <w:t>[Approval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6C3"/>
    <w:rsid w:val="002336C3"/>
    <w:rsid w:val="00A011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36C3"/>
    <w:rPr>
      <w:noProof w:val="0"/>
      <w:color w:val="000000" w:themeColor="text1"/>
      <w:sz w:val="22"/>
      <w:lang w:val="en-AU"/>
    </w:rPr>
  </w:style>
  <w:style w:type="paragraph" w:customStyle="1" w:styleId="A5171F7816914DF1898F16E00115A51F">
    <w:name w:val="A5171F7816914DF1898F16E00115A51F"/>
    <w:rsid w:val="002336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APRA">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664482d-1961-4d38-bfc2-b109b3418834">
      <Terms xmlns="http://schemas.microsoft.com/office/infopath/2007/PartnerControls"/>
    </lcf76f155ced4ddcb4097134ff3c332f>
    <TaxCatchAll xmlns="79530295-9eea-494d-b82a-9ff74409ea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E831F15EEA47429C4A0837D916ED91" ma:contentTypeVersion="10" ma:contentTypeDescription="Create a new document." ma:contentTypeScope="" ma:versionID="3217bb2e8243fb4c4e1a5f8247c6c879">
  <xsd:schema xmlns:xsd="http://www.w3.org/2001/XMLSchema" xmlns:xs="http://www.w3.org/2001/XMLSchema" xmlns:p="http://schemas.microsoft.com/office/2006/metadata/properties" xmlns:ns2="5664482d-1961-4d38-bfc2-b109b3418834" xmlns:ns3="79530295-9eea-494d-b82a-9ff74409eafc" targetNamespace="http://schemas.microsoft.com/office/2006/metadata/properties" ma:root="true" ma:fieldsID="99dfed44dddfc3bf463407ec98affee9" ns2:_="" ns3:_="">
    <xsd:import namespace="5664482d-1961-4d38-bfc2-b109b3418834"/>
    <xsd:import namespace="79530295-9eea-494d-b82a-9ff74409ea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4482d-1961-4d38-bfc2-b109b3418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530295-9eea-494d-b82a-9ff74409ea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8538fce-e890-4b7b-80be-36737fc852f6}" ma:internalName="TaxCatchAll" ma:showField="CatchAllData" ma:web="79530295-9eea-494d-b82a-9ff74409ea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C3764-E10F-4FE5-BBF9-D1F8112D0C80}">
  <ds:schemaRefs>
    <ds:schemaRef ds:uri="http://schemas.microsoft.com/office/2006/documentManagement/types"/>
    <ds:schemaRef ds:uri="http://purl.org/dc/dcmitype/"/>
    <ds:schemaRef ds:uri="http://purl.org/dc/terms/"/>
    <ds:schemaRef ds:uri="http://purl.org/dc/elements/1.1/"/>
    <ds:schemaRef ds:uri="http://schemas.microsoft.com/office/2006/metadata/properties"/>
    <ds:schemaRef ds:uri="http://schemas.openxmlformats.org/package/2006/metadata/core-properties"/>
    <ds:schemaRef ds:uri="79530295-9eea-494d-b82a-9ff74409eafc"/>
    <ds:schemaRef ds:uri="5664482d-1961-4d38-bfc2-b109b3418834"/>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C03A7EFD-4F1E-4843-A1DF-ECDDF0E4A6DC}">
  <ds:schemaRefs>
    <ds:schemaRef ds:uri="http://schemas.microsoft.com/sharepoint/v3/contenttype/forms"/>
  </ds:schemaRefs>
</ds:datastoreItem>
</file>

<file path=customXml/itemProps3.xml><?xml version="1.0" encoding="utf-8"?>
<ds:datastoreItem xmlns:ds="http://schemas.openxmlformats.org/officeDocument/2006/customXml" ds:itemID="{4B14D6D3-3B97-41E3-8396-D8EC6491B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4482d-1961-4d38-bfc2-b109b3418834"/>
    <ds:schemaRef ds:uri="79530295-9eea-494d-b82a-9ff74409e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5663FF-DBC7-4620-884D-FFC82BEBA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2587</Words>
  <Characters>13660</Characters>
  <Application>Microsoft Office Word</Application>
  <DocSecurity>0</DocSecurity>
  <Lines>333</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HPS 115 - Capital Adequacy Insurance Risk Charge</dc:title>
  <dc:subject/>
  <dc:creator/>
  <cp:keywords>[SEC=UNOFFICIAL]</cp:keywords>
  <cp:lastModifiedBy/>
  <cp:revision>1</cp:revision>
  <dcterms:created xsi:type="dcterms:W3CDTF">2023-06-07T00:26:00Z</dcterms:created>
  <dcterms:modified xsi:type="dcterms:W3CDTF">2023-06-07T00:26:00Z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DisplayValueSecClassificationWithQualifier">
    <vt:lpwstr>Personal</vt:lpwstr>
  </property>
  <property fmtid="{D5CDD505-2E9C-101B-9397-08002B2CF9AE}" pid="3" name="PM_SecurityClassification">
    <vt:lpwstr>UNOFFICIAL</vt:lpwstr>
  </property>
  <property fmtid="{D5CDD505-2E9C-101B-9397-08002B2CF9AE}" pid="4" name="PM_Qualifier">
    <vt:lpwstr/>
  </property>
  <property fmtid="{D5CDD505-2E9C-101B-9397-08002B2CF9AE}" pid="5" name="PM_InsertionValue">
    <vt:lpwstr>Personal</vt:lpwstr>
  </property>
  <property fmtid="{D5CDD505-2E9C-101B-9397-08002B2CF9AE}" pid="6" name="PM_Hash_Version">
    <vt:lpwstr>2022.1</vt:lpwstr>
  </property>
  <property fmtid="{D5CDD505-2E9C-101B-9397-08002B2CF9AE}" pid="7" name="PM_Qualifier_Prev">
    <vt:lpwstr/>
  </property>
  <property fmtid="{D5CDD505-2E9C-101B-9397-08002B2CF9AE}" pid="8" name="PM_SecurityClassification_Prev">
    <vt:lpwstr>UNOFFICIAL</vt:lpwstr>
  </property>
  <property fmtid="{D5CDD505-2E9C-101B-9397-08002B2CF9AE}" pid="9" name="PM_ProtectiveMarkingImage_Header">
    <vt:lpwstr>C:\Program Files\Common Files\janusNET Shared\janusSEAL\Images\DocumentSlashBlue.png</vt:lpwstr>
  </property>
  <property fmtid="{D5CDD505-2E9C-101B-9397-08002B2CF9AE}" pid="10" name="PM_Caveats_Count">
    <vt:lpwstr>0</vt:lpwstr>
  </property>
  <property fmtid="{D5CDD505-2E9C-101B-9397-08002B2CF9AE}" pid="11" name="PM_OriginationTimeStamp">
    <vt:lpwstr>2023-05-29T04:52:26Z</vt:lpwstr>
  </property>
  <property fmtid="{D5CDD505-2E9C-101B-9397-08002B2CF9AE}" pid="12" name="PM_ProtectiveMarkingValue_Header">
    <vt:lpwstr>Personal</vt:lpwstr>
  </property>
  <property fmtid="{D5CDD505-2E9C-101B-9397-08002B2CF9AE}" pid="13" name="PM_Originating_FileId">
    <vt:lpwstr>9CDD4A8A38FF4D3681F9F9DB8CFE362E</vt:lpwstr>
  </property>
  <property fmtid="{D5CDD505-2E9C-101B-9397-08002B2CF9AE}" pid="14" name="PM_ProtectiveMarkingValue_Footer">
    <vt:lpwstr>Personal</vt:lpwstr>
  </property>
  <property fmtid="{D5CDD505-2E9C-101B-9397-08002B2CF9AE}" pid="15" name="PM_ProtectiveMarkingImage_Footer">
    <vt:lpwstr>C:\Program Files\Common Files\janusNET Shared\janusSEAL\Images\DocumentSlashBlue.png</vt:lpwstr>
  </property>
  <property fmtid="{D5CDD505-2E9C-101B-9397-08002B2CF9AE}" pid="16" name="PM_Namespace">
    <vt:lpwstr>gov.au</vt:lpwstr>
  </property>
  <property fmtid="{D5CDD505-2E9C-101B-9397-08002B2CF9AE}" pid="17" name="PM_Version">
    <vt:lpwstr>2018.3</vt:lpwstr>
  </property>
  <property fmtid="{D5CDD505-2E9C-101B-9397-08002B2CF9AE}" pid="18" name="PM_Note">
    <vt:lpwstr/>
  </property>
  <property fmtid="{D5CDD505-2E9C-101B-9397-08002B2CF9AE}" pid="19" name="PM_Markers">
    <vt:lpwstr/>
  </property>
  <property fmtid="{D5CDD505-2E9C-101B-9397-08002B2CF9AE}" pid="20" name="PM_Display">
    <vt:lpwstr>Personal</vt:lpwstr>
  </property>
  <property fmtid="{D5CDD505-2E9C-101B-9397-08002B2CF9AE}" pid="21" name="PM_OriginatorDomainName_SHA256">
    <vt:lpwstr>ECBDE2B44A971754412B3FB70606937A119CC0D4B6C1B658A40FBD41C30BE3EC</vt:lpwstr>
  </property>
  <property fmtid="{D5CDD505-2E9C-101B-9397-08002B2CF9AE}" pid="22" name="PM_Originator_Hash_SHA1">
    <vt:lpwstr>C3AD57350F36D8E1BD75F8F67CB06D435C9C43CA</vt:lpwstr>
  </property>
  <property fmtid="{D5CDD505-2E9C-101B-9397-08002B2CF9AE}" pid="23" name="PM_OriginatorUserAccountName_SHA256">
    <vt:lpwstr>6E3018F28A186D2E5FF5207C041E7A82E907C3008E071057026A53705873B72E</vt:lpwstr>
  </property>
  <property fmtid="{D5CDD505-2E9C-101B-9397-08002B2CF9AE}" pid="24" name="PMUuid">
    <vt:lpwstr>v=2022.2;d=gov.au;g=65417EFE-F3B9-5E66-BD91-1E689FEC2EA6</vt:lpwstr>
  </property>
  <property fmtid="{D5CDD505-2E9C-101B-9397-08002B2CF9AE}" pid="25" name="ContentTypeId">
    <vt:lpwstr>0x010100E5E831F15EEA47429C4A0837D916ED91</vt:lpwstr>
  </property>
  <property fmtid="{D5CDD505-2E9C-101B-9397-08002B2CF9AE}" pid="26" name="APRAPeriod">
    <vt:lpwstr/>
  </property>
  <property fmtid="{D5CDD505-2E9C-101B-9397-08002B2CF9AE}" pid="27" name="APRAPRSG">
    <vt:lpwstr/>
  </property>
  <property fmtid="{D5CDD505-2E9C-101B-9397-08002B2CF9AE}" pid="28" name="APRAActivity">
    <vt:lpwstr>Prudential policy development</vt:lpwstr>
  </property>
  <property fmtid="{D5CDD505-2E9C-101B-9397-08002B2CF9AE}" pid="29" name="APRAYear">
    <vt:lpwstr/>
  </property>
  <property fmtid="{D5CDD505-2E9C-101B-9397-08002B2CF9AE}" pid="30" name="APRAIndustry">
    <vt:lpwstr>PHI</vt:lpwstr>
  </property>
  <property fmtid="{D5CDD505-2E9C-101B-9397-08002B2CF9AE}" pid="31" name="_dlc_DocIdItemGuid">
    <vt:lpwstr>2eccdbe5-c9b7-4a38-8d36-9918663a69a0</vt:lpwstr>
  </property>
  <property fmtid="{D5CDD505-2E9C-101B-9397-08002B2CF9AE}" pid="32" name="IsLocked">
    <vt:lpwstr>Yes</vt:lpwstr>
  </property>
  <property fmtid="{D5CDD505-2E9C-101B-9397-08002B2CF9AE}" pid="33" name="APRACostCentre">
    <vt:lpwstr/>
  </property>
  <property fmtid="{D5CDD505-2E9C-101B-9397-08002B2CF9AE}" pid="34" name="IT system type">
    <vt:lpwstr/>
  </property>
  <property fmtid="{D5CDD505-2E9C-101B-9397-08002B2CF9AE}" pid="35" name="APRACategory">
    <vt:lpwstr/>
  </property>
  <property fmtid="{D5CDD505-2E9C-101B-9397-08002B2CF9AE}" pid="36" name="APRADocumentType">
    <vt:lpwstr>Prudential standard</vt:lpwstr>
  </property>
  <property fmtid="{D5CDD505-2E9C-101B-9397-08002B2CF9AE}" pid="37" name="APRAStatus">
    <vt:lpwstr>Published</vt:lpwstr>
  </property>
  <property fmtid="{D5CDD505-2E9C-101B-9397-08002B2CF9AE}" pid="38" name="APRAEntityAdviceSupport">
    <vt:lpwstr/>
  </property>
  <property fmtid="{D5CDD505-2E9C-101B-9397-08002B2CF9AE}" pid="39" name="APRALegislation">
    <vt:lpwstr/>
  </property>
  <property fmtid="{D5CDD505-2E9C-101B-9397-08002B2CF9AE}" pid="40" name="APRAExternalOrganisation">
    <vt:lpwstr/>
  </property>
  <property fmtid="{D5CDD505-2E9C-101B-9397-08002B2CF9AE}" pid="41" name="APRAIRTR">
    <vt:lpwstr/>
  </property>
  <property fmtid="{D5CDD505-2E9C-101B-9397-08002B2CF9AE}" pid="42" name="RecordPoint_WorkflowType">
    <vt:lpwstr>ActiveSubmitStub</vt:lpwstr>
  </property>
  <property fmtid="{D5CDD505-2E9C-101B-9397-08002B2CF9AE}" pid="43" name="RecordPoint_ActiveItemSiteId">
    <vt:lpwstr>{0108aca2-193a-480a-9365-26eca985c6f0}</vt:lpwstr>
  </property>
  <property fmtid="{D5CDD505-2E9C-101B-9397-08002B2CF9AE}" pid="44" name="RecordPoint_ActiveItemListId">
    <vt:lpwstr>{8524f2be-f3e8-4e4e-b114-b0bf6497a529}</vt:lpwstr>
  </property>
  <property fmtid="{D5CDD505-2E9C-101B-9397-08002B2CF9AE}" pid="45" name="RecordPoint_ActiveItemUniqueId">
    <vt:lpwstr>{2eccdbe5-c9b7-4a38-8d36-9918663a69a0}</vt:lpwstr>
  </property>
  <property fmtid="{D5CDD505-2E9C-101B-9397-08002B2CF9AE}" pid="46" name="RecordPoint_ActiveItemWebId">
    <vt:lpwstr>{b7c132af-ef8f-43c8-b784-c343c8358833}</vt:lpwstr>
  </property>
  <property fmtid="{D5CDD505-2E9C-101B-9397-08002B2CF9AE}" pid="47" name="RecordPoint_RecordNumberSubmitted">
    <vt:lpwstr/>
  </property>
  <property fmtid="{D5CDD505-2E9C-101B-9397-08002B2CF9AE}" pid="48" name="RecordPoint_SubmissionCompleted">
    <vt:lpwstr/>
  </property>
  <property fmtid="{D5CDD505-2E9C-101B-9397-08002B2CF9AE}" pid="49" name="RecordPoint_SubmissionDate">
    <vt:lpwstr/>
  </property>
  <property fmtid="{D5CDD505-2E9C-101B-9397-08002B2CF9AE}" pid="50" name="RecordPoint_ActiveItemMoved">
    <vt:lpwstr/>
  </property>
  <property fmtid="{D5CDD505-2E9C-101B-9397-08002B2CF9AE}" pid="51" name="RecordPoint_RecordFormat">
    <vt:lpwstr/>
  </property>
  <property fmtid="{D5CDD505-2E9C-101B-9397-08002B2CF9AE}" pid="52" name="APRASecurityClassification">
    <vt:lpwstr>OFFICIAL</vt:lpwstr>
  </property>
  <property fmtid="{D5CDD505-2E9C-101B-9397-08002B2CF9AE}" pid="53" name="DocumentSetDescription">
    <vt:lpwstr/>
  </property>
  <property fmtid="{D5CDD505-2E9C-101B-9397-08002B2CF9AE}" pid="54" name="_ExtendedDescription">
    <vt:lpwstr/>
  </property>
  <property fmtid="{D5CDD505-2E9C-101B-9397-08002B2CF9AE}" pid="55" name="URL">
    <vt:lpwstr/>
  </property>
  <property fmtid="{D5CDD505-2E9C-101B-9397-08002B2CF9AE}" pid="56" name="MSIP_Label_bfd5df59-fc4a-42eb-ac4e-d9fda266b5d9_SetDate">
    <vt:lpwstr>2023-05-29T04:52:26Z</vt:lpwstr>
  </property>
  <property fmtid="{D5CDD505-2E9C-101B-9397-08002B2CF9AE}" pid="57" name="MSIP_Label_bfd5df59-fc4a-42eb-ac4e-d9fda266b5d9_Name">
    <vt:lpwstr>UNOFFICIAL</vt:lpwstr>
  </property>
  <property fmtid="{D5CDD505-2E9C-101B-9397-08002B2CF9AE}" pid="58" name="MSIP_Label_bfd5df59-fc4a-42eb-ac4e-d9fda266b5d9_SiteId">
    <vt:lpwstr>c05e3ffd-b491-4431-9809-e61d4dc78816</vt:lpwstr>
  </property>
  <property fmtid="{D5CDD505-2E9C-101B-9397-08002B2CF9AE}" pid="59" name="MSIP_Label_bfd5df59-fc4a-42eb-ac4e-d9fda266b5d9_ContentBits">
    <vt:lpwstr>0</vt:lpwstr>
  </property>
  <property fmtid="{D5CDD505-2E9C-101B-9397-08002B2CF9AE}" pid="60" name="MSIP_Label_bfd5df59-fc4a-42eb-ac4e-d9fda266b5d9_Enabled">
    <vt:lpwstr>true</vt:lpwstr>
  </property>
  <property fmtid="{D5CDD505-2E9C-101B-9397-08002B2CF9AE}" pid="61" name="MSIP_Label_bfd5df59-fc4a-42eb-ac4e-d9fda266b5d9_Method">
    <vt:lpwstr>Privileged</vt:lpwstr>
  </property>
  <property fmtid="{D5CDD505-2E9C-101B-9397-08002B2CF9AE}" pid="62" name="MediaServiceImageTags">
    <vt:lpwstr/>
  </property>
  <property fmtid="{D5CDD505-2E9C-101B-9397-08002B2CF9AE}" pid="63" name="PM_Hash_Salt">
    <vt:lpwstr>2FCD004353AD8D128E2BEB710C4DC590</vt:lpwstr>
  </property>
  <property fmtid="{D5CDD505-2E9C-101B-9397-08002B2CF9AE}" pid="64" name="PM_Hash_SHA1">
    <vt:lpwstr>4586756120E77D632C44B627BDBC99551F09EF90</vt:lpwstr>
  </property>
  <property fmtid="{D5CDD505-2E9C-101B-9397-08002B2CF9AE}" pid="65" name="PM_Hash_Salt_Prev">
    <vt:lpwstr>AC2BFE95C1BA2785BDC922744D7B7A47</vt:lpwstr>
  </property>
  <property fmtid="{D5CDD505-2E9C-101B-9397-08002B2CF9AE}" pid="66" name="PMHMAC">
    <vt:lpwstr>v=2022.1;a=SHA256;h=E9E41CD524B47AA1A70475B9413C4810F29391E273CA30CEC436C563BFE647D9</vt:lpwstr>
  </property>
  <property fmtid="{D5CDD505-2E9C-101B-9397-08002B2CF9AE}" pid="67" name="MSIP_Label_bfd5df59-fc4a-42eb-ac4e-d9fda266b5d9_ActionId">
    <vt:lpwstr>9645f8dfd2a2405aa11e55860743dcca</vt:lpwstr>
  </property>
</Properties>
</file>