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69F" w14:textId="77777777" w:rsidR="00C220DA" w:rsidRDefault="00AB35C3" w:rsidP="00AB35C3">
      <w:pPr>
        <w:pStyle w:val="BodyText"/>
        <w:ind w:left="13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99A0950" wp14:editId="4563EECB">
            <wp:extent cx="1498772" cy="1101852"/>
            <wp:effectExtent l="0" t="0" r="0" b="0"/>
            <wp:docPr id="1" name="image1.jpeg" descr="A picture containing sketch, clipart, illustration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sketch, clipart, illustration, silhouett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B0E8" w14:textId="7A5AC9E5" w:rsidR="00AB35C3" w:rsidRDefault="00AB35C3" w:rsidP="00AB35C3">
      <w:pPr>
        <w:pStyle w:val="ShortT"/>
      </w:pPr>
      <w:r>
        <w:t xml:space="preserve">Ozone Protection and Synthetic Greenhouse Gas Management </w:t>
      </w:r>
      <w:r w:rsidRPr="00DE0EF2">
        <w:t>(Non-grandfathered Quota— 2024</w:t>
      </w:r>
      <w:r>
        <w:noBreakHyphen/>
      </w:r>
      <w:r w:rsidRPr="00DE0EF2">
        <w:t>2025) Determination 2023</w:t>
      </w:r>
    </w:p>
    <w:p w14:paraId="134B5F38" w14:textId="77777777" w:rsidR="00AB35C3" w:rsidRPr="00DE0EF2" w:rsidRDefault="00AB35C3" w:rsidP="00AB35C3">
      <w:pPr>
        <w:pStyle w:val="SignCoverPageStart"/>
        <w:ind w:right="794"/>
      </w:pPr>
      <w:r>
        <w:t xml:space="preserve">I, TANYA PLIBERSEK, Minister for the Environment and Water, make the following </w:t>
      </w:r>
      <w:proofErr w:type="gramStart"/>
      <w:r>
        <w:t>determination</w:t>
      </w:r>
      <w:proofErr w:type="gramEnd"/>
      <w:r>
        <w:rPr>
          <w:i/>
          <w:iCs/>
        </w:rPr>
        <w:t xml:space="preserve"> </w:t>
      </w:r>
    </w:p>
    <w:p w14:paraId="1714F097" w14:textId="77777777" w:rsidR="00C220DA" w:rsidRDefault="00AB35C3" w:rsidP="00AB35C3">
      <w:pPr>
        <w:pStyle w:val="SignCoverPageStart"/>
        <w:ind w:right="794"/>
      </w:pPr>
      <w:r>
        <w:t xml:space="preserve">Dated </w:t>
      </w:r>
      <w:bookmarkStart w:id="0" w:name="BKCheck15B_1"/>
      <w:bookmarkEnd w:id="0"/>
      <w:r>
        <w:t xml:space="preserve">       </w:t>
      </w:r>
      <w:r>
        <w:tab/>
      </w:r>
      <w:r>
        <w:tab/>
        <w:t>23 May 2023</w:t>
      </w:r>
    </w:p>
    <w:p w14:paraId="46595776" w14:textId="1007D221" w:rsidR="00AB35C3" w:rsidRDefault="00AB35C3" w:rsidP="00AB35C3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lang w:bidi="ar-SA"/>
        </w:rPr>
      </w:pPr>
      <w:r>
        <w:t xml:space="preserve">TANYA PLIBERSEK </w:t>
      </w:r>
    </w:p>
    <w:p w14:paraId="6C7D182A" w14:textId="77777777" w:rsidR="00AB35C3" w:rsidRDefault="00AB35C3" w:rsidP="00AB35C3">
      <w:pPr>
        <w:pStyle w:val="SignCoverPageEnd"/>
        <w:ind w:right="794"/>
        <w:rPr>
          <w:sz w:val="22"/>
        </w:rPr>
      </w:pPr>
      <w:r>
        <w:rPr>
          <w:sz w:val="22"/>
        </w:rPr>
        <w:t xml:space="preserve">Minister for the Environment and Water </w:t>
      </w:r>
    </w:p>
    <w:p w14:paraId="1614FC58" w14:textId="77777777" w:rsidR="00AB35C3" w:rsidRDefault="00AB35C3" w:rsidP="00AB35C3">
      <w:pPr>
        <w:rPr>
          <w:sz w:val="17"/>
        </w:rPr>
        <w:sectPr w:rsidR="00AB35C3" w:rsidSect="00AB35C3">
          <w:headerReference w:type="default" r:id="rId8"/>
          <w:footerReference w:type="even" r:id="rId9"/>
          <w:pgSz w:w="11910" w:h="16840"/>
          <w:pgMar w:top="1580" w:right="1540" w:bottom="280" w:left="1660" w:header="0" w:footer="0" w:gutter="0"/>
          <w:cols w:space="720"/>
        </w:sectPr>
      </w:pPr>
    </w:p>
    <w:p w14:paraId="195E97F7" w14:textId="77777777" w:rsidR="00C220DA" w:rsidRDefault="00C220DA" w:rsidP="00AB35C3">
      <w:pPr>
        <w:pStyle w:val="BodyText"/>
        <w:rPr>
          <w:sz w:val="20"/>
        </w:rPr>
      </w:pPr>
    </w:p>
    <w:p w14:paraId="583AB9A4" w14:textId="77AEF2FC" w:rsidR="00AB35C3" w:rsidRDefault="00AB35C3" w:rsidP="00AB35C3">
      <w:pPr>
        <w:pStyle w:val="BodyText"/>
        <w:spacing w:line="20" w:lineRule="exact"/>
        <w:ind w:left="101"/>
        <w:rPr>
          <w:sz w:val="2"/>
        </w:rPr>
      </w:pPr>
    </w:p>
    <w:p w14:paraId="5FF0AFFA" w14:textId="77777777" w:rsidR="00AB35C3" w:rsidRDefault="00AB35C3" w:rsidP="00AB35C3">
      <w:pPr>
        <w:spacing w:line="20" w:lineRule="exact"/>
        <w:rPr>
          <w:sz w:val="2"/>
        </w:rPr>
        <w:sectPr w:rsidR="00AB35C3">
          <w:headerReference w:type="default" r:id="rId10"/>
          <w:footerReference w:type="default" r:id="rId11"/>
          <w:pgSz w:w="11910" w:h="16840"/>
          <w:pgMar w:top="1580" w:right="1540" w:bottom="880" w:left="1660" w:header="0" w:footer="692" w:gutter="0"/>
          <w:cols w:space="720"/>
        </w:sectPr>
      </w:pPr>
    </w:p>
    <w:p w14:paraId="309D8F26" w14:textId="77777777" w:rsidR="00AB35C3" w:rsidRDefault="00AB35C3" w:rsidP="00AB35C3">
      <w:pPr>
        <w:pStyle w:val="BodyText"/>
        <w:rPr>
          <w:sz w:val="20"/>
        </w:rPr>
      </w:pPr>
    </w:p>
    <w:p w14:paraId="25D4ABE2" w14:textId="77777777" w:rsidR="00AB35C3" w:rsidRPr="00AB35C3" w:rsidRDefault="00AB35C3" w:rsidP="00AB35C3">
      <w:pPr>
        <w:widowControl/>
        <w:autoSpaceDE/>
        <w:autoSpaceDN/>
        <w:spacing w:line="260" w:lineRule="atLeast"/>
        <w:outlineLvl w:val="0"/>
        <w:rPr>
          <w:rFonts w:eastAsia="Calibri"/>
          <w:sz w:val="36"/>
          <w:szCs w:val="20"/>
          <w:lang w:eastAsia="en-US" w:bidi="ar-SA"/>
        </w:rPr>
      </w:pPr>
      <w:r w:rsidRPr="00AB35C3">
        <w:rPr>
          <w:rFonts w:eastAsia="Calibri"/>
          <w:sz w:val="36"/>
          <w:szCs w:val="20"/>
          <w:lang w:eastAsia="en-US" w:bidi="ar-SA"/>
        </w:rPr>
        <w:t>Contents</w:t>
      </w:r>
    </w:p>
    <w:p w14:paraId="278975CE" w14:textId="0849B159" w:rsidR="00AB35C3" w:rsidRPr="00AB35C3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>1</w:t>
      </w:r>
      <w:r w:rsidRPr="00AB35C3">
        <w:rPr>
          <w:sz w:val="18"/>
          <w:szCs w:val="18"/>
        </w:rPr>
        <w:tab/>
        <w:t>Name…………………………………………………………………………………………………</w:t>
      </w:r>
      <w:r>
        <w:rPr>
          <w:sz w:val="18"/>
          <w:szCs w:val="18"/>
        </w:rPr>
        <w:t>……</w:t>
      </w:r>
      <w:proofErr w:type="gramStart"/>
      <w:r>
        <w:rPr>
          <w:sz w:val="18"/>
          <w:szCs w:val="18"/>
        </w:rPr>
        <w:t>…..</w:t>
      </w:r>
      <w:proofErr w:type="gramEnd"/>
      <w:r>
        <w:rPr>
          <w:sz w:val="18"/>
          <w:szCs w:val="18"/>
        </w:rPr>
        <w:t>…</w:t>
      </w:r>
      <w:r w:rsidRPr="00AB35C3">
        <w:rPr>
          <w:sz w:val="18"/>
          <w:szCs w:val="18"/>
        </w:rPr>
        <w:t>1</w:t>
      </w:r>
    </w:p>
    <w:p w14:paraId="77D125A0" w14:textId="1893E0D7" w:rsidR="00AB35C3" w:rsidRPr="00AB35C3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>2</w:t>
      </w:r>
      <w:r w:rsidRPr="00AB35C3">
        <w:rPr>
          <w:sz w:val="18"/>
          <w:szCs w:val="18"/>
        </w:rPr>
        <w:tab/>
        <w:t>Commencement…………………………………………………………………………………</w:t>
      </w:r>
      <w:r>
        <w:rPr>
          <w:sz w:val="18"/>
          <w:szCs w:val="18"/>
        </w:rPr>
        <w:t>….……….</w:t>
      </w:r>
      <w:r w:rsidRPr="00AB35C3">
        <w:rPr>
          <w:sz w:val="18"/>
          <w:szCs w:val="18"/>
        </w:rPr>
        <w:t>…...1</w:t>
      </w:r>
    </w:p>
    <w:p w14:paraId="71A88700" w14:textId="051E328A" w:rsidR="00AB35C3" w:rsidRPr="00AB35C3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 xml:space="preserve">3 </w:t>
      </w:r>
      <w:r w:rsidRPr="00AB35C3">
        <w:rPr>
          <w:sz w:val="18"/>
          <w:szCs w:val="18"/>
        </w:rPr>
        <w:tab/>
        <w:t>Authority………………………………………………………………………………………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…..</w:t>
      </w:r>
      <w:proofErr w:type="gramEnd"/>
      <w:r w:rsidRPr="00AB35C3">
        <w:rPr>
          <w:sz w:val="18"/>
          <w:szCs w:val="18"/>
        </w:rPr>
        <w:t>……..1</w:t>
      </w:r>
    </w:p>
    <w:p w14:paraId="3B35FB1F" w14:textId="3B62BB03" w:rsidR="00AB35C3" w:rsidRPr="00AB35C3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 xml:space="preserve">4 </w:t>
      </w:r>
      <w:r w:rsidRPr="00AB35C3">
        <w:rPr>
          <w:sz w:val="18"/>
          <w:szCs w:val="18"/>
        </w:rPr>
        <w:tab/>
        <w:t>Simplified outline of this instrument………………………………………………………………</w:t>
      </w:r>
      <w:r>
        <w:rPr>
          <w:sz w:val="18"/>
          <w:szCs w:val="18"/>
        </w:rPr>
        <w:t>…………</w:t>
      </w:r>
      <w:proofErr w:type="gramStart"/>
      <w:r>
        <w:rPr>
          <w:sz w:val="18"/>
          <w:szCs w:val="18"/>
        </w:rPr>
        <w:t>..</w:t>
      </w:r>
      <w:r w:rsidRPr="00AB35C3">
        <w:rPr>
          <w:sz w:val="18"/>
          <w:szCs w:val="18"/>
        </w:rPr>
        <w:t>...</w:t>
      </w:r>
      <w:proofErr w:type="gramEnd"/>
      <w:r w:rsidRPr="00AB35C3">
        <w:rPr>
          <w:sz w:val="18"/>
          <w:szCs w:val="18"/>
        </w:rPr>
        <w:t>1</w:t>
      </w:r>
    </w:p>
    <w:p w14:paraId="7F98D29E" w14:textId="68A114F4" w:rsidR="00AB35C3" w:rsidRPr="00AB35C3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 xml:space="preserve">5 </w:t>
      </w:r>
      <w:r w:rsidRPr="00AB35C3">
        <w:rPr>
          <w:sz w:val="18"/>
          <w:szCs w:val="18"/>
        </w:rPr>
        <w:tab/>
        <w:t>Definitions…………………………………………………………………………………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…..</w:t>
      </w:r>
      <w:proofErr w:type="gramEnd"/>
      <w:r w:rsidRPr="00AB35C3">
        <w:rPr>
          <w:sz w:val="18"/>
          <w:szCs w:val="18"/>
        </w:rPr>
        <w:t>………...2</w:t>
      </w:r>
    </w:p>
    <w:p w14:paraId="0B349D38" w14:textId="26C93620" w:rsidR="00AB35C3" w:rsidRPr="00AB35C3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 xml:space="preserve">6 </w:t>
      </w:r>
      <w:r w:rsidRPr="00AB35C3">
        <w:rPr>
          <w:sz w:val="18"/>
          <w:szCs w:val="18"/>
        </w:rPr>
        <w:tab/>
        <w:t>Entitlement…………………………………………………………………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…..</w:t>
      </w:r>
      <w:proofErr w:type="gramEnd"/>
      <w:r w:rsidRPr="00AB35C3">
        <w:rPr>
          <w:sz w:val="18"/>
          <w:szCs w:val="18"/>
        </w:rPr>
        <w:t>………………………..2</w:t>
      </w:r>
    </w:p>
    <w:p w14:paraId="493893F7" w14:textId="77777777" w:rsidR="00C220DA" w:rsidRDefault="00AB35C3" w:rsidP="00AB35C3">
      <w:pPr>
        <w:pStyle w:val="BodyText"/>
        <w:rPr>
          <w:sz w:val="18"/>
          <w:szCs w:val="18"/>
        </w:rPr>
      </w:pPr>
      <w:r w:rsidRPr="00AB35C3">
        <w:rPr>
          <w:sz w:val="18"/>
          <w:szCs w:val="18"/>
        </w:rPr>
        <w:t>7</w:t>
      </w:r>
      <w:r w:rsidRPr="00AB35C3">
        <w:rPr>
          <w:sz w:val="18"/>
          <w:szCs w:val="18"/>
        </w:rPr>
        <w:tab/>
        <w:t>Amount………………………………………………………………………………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…..</w:t>
      </w:r>
      <w:proofErr w:type="gramEnd"/>
      <w:r w:rsidRPr="00AB35C3">
        <w:rPr>
          <w:sz w:val="18"/>
          <w:szCs w:val="18"/>
        </w:rPr>
        <w:t>………………3</w:t>
      </w:r>
    </w:p>
    <w:p w14:paraId="40FA422B" w14:textId="77777777" w:rsidR="00AB35C3" w:rsidRDefault="00AB35C3" w:rsidP="00AB35C3">
      <w:pPr>
        <w:rPr>
          <w:sz w:val="18"/>
        </w:rPr>
        <w:sectPr w:rsidR="00AB35C3">
          <w:type w:val="continuous"/>
          <w:pgSz w:w="11910" w:h="16840"/>
          <w:pgMar w:top="1420" w:right="1540" w:bottom="900" w:left="1660" w:header="720" w:footer="720" w:gutter="0"/>
          <w:cols w:space="720"/>
        </w:sectPr>
      </w:pPr>
    </w:p>
    <w:p w14:paraId="26211AEE" w14:textId="37081EFF" w:rsidR="00AB35C3" w:rsidRDefault="00AB35C3" w:rsidP="00AB35C3">
      <w:pPr>
        <w:rPr>
          <w:sz w:val="26"/>
        </w:rPr>
        <w:sectPr w:rsidR="00AB35C3">
          <w:headerReference w:type="default" r:id="rId12"/>
          <w:footerReference w:type="default" r:id="rId13"/>
          <w:pgSz w:w="11910" w:h="16840"/>
          <w:pgMar w:top="1580" w:right="1540" w:bottom="1500" w:left="1660" w:header="0" w:footer="1319" w:gutter="0"/>
          <w:pgNumType w:start="1"/>
          <w:cols w:space="720"/>
        </w:sectPr>
      </w:pPr>
    </w:p>
    <w:p w14:paraId="5F12E271" w14:textId="77777777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  <w:spacing w:before="90"/>
      </w:pPr>
      <w:bookmarkStart w:id="4" w:name="_Toc69310642"/>
      <w:r>
        <w:t>Name</w:t>
      </w:r>
      <w:bookmarkEnd w:id="4"/>
    </w:p>
    <w:p w14:paraId="3F94F04E" w14:textId="3869BC34" w:rsidR="00C220DA" w:rsidRDefault="00AB35C3" w:rsidP="00AB35C3">
      <w:pPr>
        <w:pStyle w:val="BodyText"/>
        <w:rPr>
          <w:b/>
          <w:sz w:val="24"/>
        </w:rPr>
      </w:pPr>
      <w:r>
        <w:br w:type="column"/>
      </w:r>
    </w:p>
    <w:p w14:paraId="35702D5F" w14:textId="266659EF" w:rsidR="00AB35C3" w:rsidRDefault="00AB35C3" w:rsidP="00AB35C3">
      <w:pPr>
        <w:ind w:left="138" w:right="948"/>
      </w:pPr>
      <w:r>
        <w:t>This instrument is t</w:t>
      </w:r>
      <w:bookmarkStart w:id="5" w:name="BKCheck15B_3"/>
      <w:bookmarkEnd w:id="5"/>
      <w:r>
        <w:t xml:space="preserve">he </w:t>
      </w:r>
      <w:r>
        <w:rPr>
          <w:i/>
        </w:rPr>
        <w:t>Ozone Protection and Synthetic Greenhouse Gas Management (Non-grandfathered Quota—2024-2025) Determination 2023</w:t>
      </w:r>
      <w:r>
        <w:t>.</w:t>
      </w:r>
    </w:p>
    <w:p w14:paraId="2B896DC7" w14:textId="77777777" w:rsidR="00AB35C3" w:rsidRDefault="00AB35C3" w:rsidP="00AB35C3">
      <w:pPr>
        <w:sectPr w:rsidR="00AB35C3">
          <w:type w:val="continuous"/>
          <w:pgSz w:w="11910" w:h="16840"/>
          <w:pgMar w:top="1420" w:right="1540" w:bottom="900" w:left="1660" w:header="720" w:footer="720" w:gutter="0"/>
          <w:cols w:num="2" w:space="720" w:equalWidth="0">
            <w:col w:w="1017" w:space="116"/>
            <w:col w:w="7577"/>
          </w:cols>
        </w:sectPr>
      </w:pPr>
    </w:p>
    <w:p w14:paraId="52454415" w14:textId="1D277326" w:rsidR="00AB35C3" w:rsidRDefault="00AB35C3" w:rsidP="00AB35C3">
      <w:pPr>
        <w:pStyle w:val="BodyText"/>
        <w:spacing w:before="10"/>
        <w:rPr>
          <w:sz w:val="16"/>
        </w:rPr>
      </w:pPr>
    </w:p>
    <w:p w14:paraId="4651BCD5" w14:textId="108DBDDD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  <w:spacing w:before="90"/>
      </w:pPr>
      <w:bookmarkStart w:id="6" w:name="_Toc69310643"/>
      <w:r>
        <w:t>Commencement</w:t>
      </w:r>
      <w:bookmarkEnd w:id="6"/>
    </w:p>
    <w:p w14:paraId="48C6241A" w14:textId="46EDC7EE" w:rsidR="00AB35C3" w:rsidRDefault="00AB35C3" w:rsidP="00AB35C3">
      <w:pPr>
        <w:pStyle w:val="ListParagraph"/>
        <w:numPr>
          <w:ilvl w:val="1"/>
          <w:numId w:val="6"/>
        </w:numPr>
        <w:tabs>
          <w:tab w:val="left" w:pos="1271"/>
        </w:tabs>
        <w:spacing w:before="177"/>
        <w:ind w:right="354" w:hanging="369"/>
      </w:pPr>
      <w:r>
        <w:t>Each provision of this instrument specified in column 1 of the table commences, or is taken to have commenced, in accordance with column 2 of the table. Any other statement in column 2 has effect according to its</w:t>
      </w:r>
      <w:r>
        <w:rPr>
          <w:spacing w:val="-16"/>
        </w:rPr>
        <w:t xml:space="preserve"> </w:t>
      </w:r>
      <w:r>
        <w:t>terms.</w:t>
      </w:r>
    </w:p>
    <w:p w14:paraId="7463C26C" w14:textId="607DF632" w:rsidR="00AB35C3" w:rsidRPr="00CD6ECF" w:rsidRDefault="00AB35C3" w:rsidP="00AB35C3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3128"/>
        <w:gridCol w:w="3241"/>
      </w:tblGrid>
      <w:tr w:rsidR="00AB35C3" w14:paraId="0FC644DF" w14:textId="77777777" w:rsidTr="001203DE">
        <w:trPr>
          <w:trHeight w:val="341"/>
        </w:trPr>
        <w:tc>
          <w:tcPr>
            <w:tcW w:w="8375" w:type="dxa"/>
            <w:gridSpan w:val="3"/>
            <w:tcBorders>
              <w:top w:val="single" w:sz="12" w:space="0" w:color="000000"/>
            </w:tcBorders>
          </w:tcPr>
          <w:p w14:paraId="3226A64A" w14:textId="1C209A20" w:rsidR="00AB35C3" w:rsidRDefault="00AB35C3" w:rsidP="001203DE">
            <w:pPr>
              <w:pStyle w:val="TableParagraph"/>
              <w:tabs>
                <w:tab w:val="left" w:pos="8374"/>
              </w:tabs>
              <w:spacing w:before="69" w:line="240" w:lineRule="auto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Commencement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information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AB35C3" w14:paraId="6F8EEEFD" w14:textId="77777777" w:rsidTr="001203DE">
        <w:trPr>
          <w:trHeight w:val="263"/>
        </w:trPr>
        <w:tc>
          <w:tcPr>
            <w:tcW w:w="2006" w:type="dxa"/>
            <w:tcBorders>
              <w:bottom w:val="single" w:sz="2" w:space="0" w:color="000000"/>
            </w:tcBorders>
          </w:tcPr>
          <w:p w14:paraId="444CC646" w14:textId="77777777" w:rsidR="00AB35C3" w:rsidRDefault="00AB35C3" w:rsidP="001203D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Column 1</w:t>
            </w:r>
          </w:p>
        </w:tc>
        <w:tc>
          <w:tcPr>
            <w:tcW w:w="3128" w:type="dxa"/>
            <w:tcBorders>
              <w:bottom w:val="single" w:sz="2" w:space="0" w:color="000000"/>
            </w:tcBorders>
          </w:tcPr>
          <w:p w14:paraId="505F4C29" w14:textId="77777777" w:rsidR="00AB35C3" w:rsidRDefault="00AB35C3" w:rsidP="001203DE">
            <w:pPr>
              <w:pStyle w:val="TableParagraph"/>
              <w:spacing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Column 2</w:t>
            </w:r>
          </w:p>
        </w:tc>
        <w:tc>
          <w:tcPr>
            <w:tcW w:w="3241" w:type="dxa"/>
            <w:tcBorders>
              <w:bottom w:val="single" w:sz="2" w:space="0" w:color="000000"/>
            </w:tcBorders>
          </w:tcPr>
          <w:p w14:paraId="72F9ADD6" w14:textId="77777777" w:rsidR="00AB35C3" w:rsidRDefault="00AB35C3" w:rsidP="001203DE">
            <w:pPr>
              <w:pStyle w:val="TableParagraph"/>
              <w:spacing w:line="210" w:lineRule="exact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Column 3</w:t>
            </w:r>
          </w:p>
        </w:tc>
      </w:tr>
      <w:tr w:rsidR="00AB35C3" w14:paraId="1349A44A" w14:textId="77777777" w:rsidTr="001203DE">
        <w:trPr>
          <w:trHeight w:val="299"/>
        </w:trPr>
        <w:tc>
          <w:tcPr>
            <w:tcW w:w="2006" w:type="dxa"/>
            <w:tcBorders>
              <w:top w:val="single" w:sz="2" w:space="0" w:color="000000"/>
              <w:bottom w:val="single" w:sz="12" w:space="0" w:color="000000"/>
            </w:tcBorders>
          </w:tcPr>
          <w:p w14:paraId="597350AD" w14:textId="77777777" w:rsidR="00AB35C3" w:rsidRDefault="00AB35C3" w:rsidP="001203DE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Provisions</w:t>
            </w:r>
          </w:p>
        </w:tc>
        <w:tc>
          <w:tcPr>
            <w:tcW w:w="3128" w:type="dxa"/>
            <w:tcBorders>
              <w:top w:val="single" w:sz="2" w:space="0" w:color="000000"/>
              <w:bottom w:val="single" w:sz="12" w:space="0" w:color="000000"/>
            </w:tcBorders>
          </w:tcPr>
          <w:p w14:paraId="37EAE4ED" w14:textId="77777777" w:rsidR="00AB35C3" w:rsidRDefault="00AB35C3" w:rsidP="001203DE">
            <w:pPr>
              <w:pStyle w:val="TableParagraph"/>
              <w:spacing w:before="7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</w:p>
        </w:tc>
        <w:tc>
          <w:tcPr>
            <w:tcW w:w="3241" w:type="dxa"/>
            <w:tcBorders>
              <w:top w:val="single" w:sz="2" w:space="0" w:color="000000"/>
              <w:bottom w:val="single" w:sz="12" w:space="0" w:color="000000"/>
            </w:tcBorders>
          </w:tcPr>
          <w:p w14:paraId="495D170A" w14:textId="77777777" w:rsidR="00AB35C3" w:rsidRDefault="00AB35C3" w:rsidP="001203DE">
            <w:pPr>
              <w:pStyle w:val="TableParagraph"/>
              <w:spacing w:before="70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Date/Details</w:t>
            </w:r>
          </w:p>
        </w:tc>
      </w:tr>
      <w:tr w:rsidR="00AB35C3" w14:paraId="6EF39E2A" w14:textId="77777777" w:rsidTr="001203DE">
        <w:trPr>
          <w:trHeight w:val="541"/>
        </w:trPr>
        <w:tc>
          <w:tcPr>
            <w:tcW w:w="2006" w:type="dxa"/>
            <w:tcBorders>
              <w:top w:val="single" w:sz="12" w:space="0" w:color="000000"/>
              <w:bottom w:val="single" w:sz="12" w:space="0" w:color="000000"/>
            </w:tcBorders>
          </w:tcPr>
          <w:p w14:paraId="0B307391" w14:textId="77777777" w:rsidR="00AB35C3" w:rsidRDefault="00AB35C3" w:rsidP="001203DE">
            <w:pPr>
              <w:pStyle w:val="TableParagraph"/>
              <w:spacing w:before="57" w:line="240" w:lineRule="atLeast"/>
              <w:rPr>
                <w:sz w:val="20"/>
              </w:rPr>
            </w:pPr>
            <w:r>
              <w:rPr>
                <w:sz w:val="20"/>
              </w:rPr>
              <w:t>1. The whole of this instrument</w:t>
            </w:r>
          </w:p>
        </w:tc>
        <w:tc>
          <w:tcPr>
            <w:tcW w:w="636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CCE3C7E" w14:textId="77777777" w:rsidR="00AB35C3" w:rsidRDefault="00AB35C3" w:rsidP="001203DE">
            <w:pPr>
              <w:pStyle w:val="TableParagraph"/>
              <w:spacing w:before="55" w:line="240" w:lineRule="auto"/>
              <w:ind w:left="237"/>
              <w:rPr>
                <w:sz w:val="20"/>
              </w:rPr>
            </w:pPr>
            <w:r>
              <w:rPr>
                <w:sz w:val="20"/>
              </w:rPr>
              <w:t>The day after this instrument is registered.</w:t>
            </w:r>
          </w:p>
        </w:tc>
      </w:tr>
    </w:tbl>
    <w:p w14:paraId="0604FFC5" w14:textId="40D68E93" w:rsidR="00C220DA" w:rsidRDefault="00AB35C3" w:rsidP="00AB35C3">
      <w:pPr>
        <w:tabs>
          <w:tab w:val="left" w:pos="2123"/>
        </w:tabs>
        <w:spacing w:before="117"/>
        <w:ind w:left="2123" w:right="529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This table relates only to the provisions of this instrument as originally made. It will not be amended to deal with any later amendments of this</w:t>
      </w:r>
      <w:r>
        <w:rPr>
          <w:spacing w:val="-8"/>
          <w:sz w:val="18"/>
        </w:rPr>
        <w:t xml:space="preserve"> </w:t>
      </w:r>
      <w:r>
        <w:rPr>
          <w:sz w:val="18"/>
        </w:rPr>
        <w:t>instrument.</w:t>
      </w:r>
    </w:p>
    <w:p w14:paraId="6749F7D7" w14:textId="1F7A3B0B" w:rsidR="00C220DA" w:rsidRDefault="00AB35C3" w:rsidP="00AB35C3">
      <w:pPr>
        <w:pStyle w:val="ListParagraph"/>
        <w:numPr>
          <w:ilvl w:val="1"/>
          <w:numId w:val="6"/>
        </w:numPr>
        <w:tabs>
          <w:tab w:val="left" w:pos="1271"/>
        </w:tabs>
        <w:spacing w:before="1"/>
        <w:ind w:right="259" w:hanging="369"/>
      </w:pPr>
      <w:r>
        <w:t>Any information in column 3 of the table is not part of this instrument. Information may be inserted in this column, or information in it may be edited, in any published version of this</w:t>
      </w:r>
      <w:r>
        <w:rPr>
          <w:spacing w:val="-8"/>
        </w:rPr>
        <w:t xml:space="preserve"> </w:t>
      </w:r>
      <w:r>
        <w:t>instrument.</w:t>
      </w:r>
    </w:p>
    <w:p w14:paraId="19A6C865" w14:textId="4EDD8A66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</w:pPr>
      <w:bookmarkStart w:id="7" w:name="_Toc69310644"/>
      <w:r>
        <w:t>Authority</w:t>
      </w:r>
      <w:bookmarkEnd w:id="7"/>
    </w:p>
    <w:p w14:paraId="364F6E21" w14:textId="25FDFAA6" w:rsidR="00C220DA" w:rsidRDefault="00AB35C3" w:rsidP="00AB35C3">
      <w:pPr>
        <w:spacing w:before="177"/>
        <w:ind w:left="1270" w:right="411"/>
      </w:pPr>
      <w:r>
        <w:t xml:space="preserve">This instrument is made under </w:t>
      </w:r>
      <w:proofErr w:type="spellStart"/>
      <w:r>
        <w:t>subregulation</w:t>
      </w:r>
      <w:proofErr w:type="spellEnd"/>
      <w:r>
        <w:t xml:space="preserve"> 51(4) of the </w:t>
      </w:r>
      <w:r>
        <w:rPr>
          <w:i/>
        </w:rPr>
        <w:t>Ozone Protection and Synthetic Greenhouse Gas Management Regulations 1995</w:t>
      </w:r>
      <w:r>
        <w:t>.</w:t>
      </w:r>
    </w:p>
    <w:p w14:paraId="78837776" w14:textId="65D85A70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</w:pPr>
      <w:bookmarkStart w:id="8" w:name="_Toc69310645"/>
      <w:r>
        <w:t>Simplified outline of this</w:t>
      </w:r>
      <w:r>
        <w:rPr>
          <w:spacing w:val="-3"/>
        </w:rPr>
        <w:t xml:space="preserve"> </w:t>
      </w:r>
      <w:r>
        <w:t>instrument</w:t>
      </w:r>
      <w:bookmarkEnd w:id="8"/>
    </w:p>
    <w:p w14:paraId="033D818C" w14:textId="18E3F12A" w:rsidR="008F1A0E" w:rsidRDefault="008F1A0E" w:rsidP="008F1A0E">
      <w:pPr>
        <w:pStyle w:val="Heading1"/>
        <w:tabs>
          <w:tab w:val="left" w:pos="378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351850E" wp14:editId="7A5C6851">
                <wp:simplePos x="0" y="0"/>
                <wp:positionH relativeFrom="margin">
                  <wp:posOffset>151086</wp:posOffset>
                </wp:positionH>
                <wp:positionV relativeFrom="paragraph">
                  <wp:posOffset>181150</wp:posOffset>
                </wp:positionV>
                <wp:extent cx="4857750" cy="3259455"/>
                <wp:effectExtent l="0" t="0" r="19050" b="17145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2594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2FBD9" w14:textId="77777777" w:rsidR="008F1A0E" w:rsidRDefault="008F1A0E" w:rsidP="008F1A0E">
                            <w:pPr>
                              <w:pStyle w:val="BodyText"/>
                              <w:spacing w:before="94"/>
                              <w:ind w:left="124" w:right="185"/>
                            </w:pPr>
                            <w:r>
                              <w:t>This instrument specifies who is entitled to non-grandfathered quota for the fourth HFC quota allocation period (2024 and 2025) and the amount of the non-grandfathered quota to be allocated as follows:</w:t>
                            </w:r>
                          </w:p>
                          <w:p w14:paraId="07449F5C" w14:textId="77777777" w:rsidR="008F1A0E" w:rsidRPr="00C94A4C" w:rsidRDefault="008F1A0E" w:rsidP="008F1A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1"/>
                            </w:pPr>
                            <w:r w:rsidRPr="00C94A4C">
                              <w:t xml:space="preserve">each </w:t>
                            </w:r>
                            <w:r>
                              <w:t xml:space="preserve">eligible </w:t>
                            </w:r>
                            <w:r w:rsidRPr="00C94A4C">
                              <w:t>applicant is entitled to non-grandfathered quota;</w:t>
                            </w:r>
                            <w:r w:rsidRPr="00C94A4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C94A4C">
                              <w:t>and</w:t>
                            </w:r>
                          </w:p>
                          <w:p w14:paraId="6EA232A2" w14:textId="77777777" w:rsidR="008F1A0E" w:rsidRPr="00356A5A" w:rsidRDefault="008F1A0E" w:rsidP="008F1A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>
                              <w:t>the Department of Climate Change, Energy, the Environment and Water, on behalf of the Commonwealth, is entitled to 130 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tonnes; and</w:t>
                            </w:r>
                          </w:p>
                          <w:p w14:paraId="5F7D631E" w14:textId="77777777" w:rsidR="008F1A0E" w:rsidRDefault="008F1A0E" w:rsidP="008F1A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 w:rsidRPr="00C94A4C">
                              <w:t>the remaining non-grandfathered HFC industry limit is divided evenly between the</w:t>
                            </w:r>
                            <w:r>
                              <w:t xml:space="preserve"> eligible</w:t>
                            </w:r>
                            <w:r w:rsidRPr="00C94A4C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94A4C">
                              <w:t>applicants.</w:t>
                            </w:r>
                          </w:p>
                          <w:p w14:paraId="68504FE3" w14:textId="77777777" w:rsidR="008F1A0E" w:rsidRPr="00201F5E" w:rsidRDefault="008F1A0E" w:rsidP="008F1A0E">
                            <w:pPr>
                              <w:pStyle w:val="BodyText"/>
                              <w:spacing w:before="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185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9pt;margin-top:14.25pt;width:382.5pt;height:256.6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" filled="f" strokeweight=".72pt">
                <v:textbox inset="0,0,0,0">
                  <w:txbxContent>
                    <w:p w14:paraId="44C2FBD9" w14:textId="77777777" w:rsidR="008F1A0E" w:rsidRDefault="008F1A0E" w:rsidP="008F1A0E">
                      <w:pPr>
                        <w:pStyle w:val="BodyText"/>
                        <w:spacing w:before="94"/>
                        <w:ind w:left="124" w:right="185"/>
                      </w:pPr>
                      <w:r>
                        <w:t>This instrument specifies who is entitled to non-grandfathered quota for the fourth HFC quota allocation period (2024 and 2025) and the amount of the non-grandfathered quota to be allocated as follows:</w:t>
                      </w:r>
                    </w:p>
                    <w:p w14:paraId="07449F5C" w14:textId="77777777" w:rsidR="008F1A0E" w:rsidRPr="00C94A4C" w:rsidRDefault="008F1A0E" w:rsidP="008F1A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063"/>
                          <w:tab w:val="left" w:pos="1064"/>
                        </w:tabs>
                        <w:spacing w:before="41"/>
                      </w:pPr>
                      <w:r w:rsidRPr="00C94A4C">
                        <w:t xml:space="preserve">each </w:t>
                      </w:r>
                      <w:r>
                        <w:t xml:space="preserve">eligible </w:t>
                      </w:r>
                      <w:r w:rsidRPr="00C94A4C">
                        <w:t>applicant is entitled to non-grandfathered quota;</w:t>
                      </w:r>
                      <w:r w:rsidRPr="00C94A4C">
                        <w:rPr>
                          <w:spacing w:val="-10"/>
                        </w:rPr>
                        <w:t xml:space="preserve"> </w:t>
                      </w:r>
                      <w:r w:rsidRPr="00C94A4C">
                        <w:t>and</w:t>
                      </w:r>
                    </w:p>
                    <w:p w14:paraId="6EA232A2" w14:textId="77777777" w:rsidR="008F1A0E" w:rsidRPr="00356A5A" w:rsidRDefault="008F1A0E" w:rsidP="008F1A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>
                        <w:t>the Department of Climate Change, Energy, the Environment and Water, on behalf of the Commonwealth, is entitled to 130 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e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tonnes; and</w:t>
                      </w:r>
                    </w:p>
                    <w:p w14:paraId="5F7D631E" w14:textId="77777777" w:rsidR="008F1A0E" w:rsidRDefault="008F1A0E" w:rsidP="008F1A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 w:rsidRPr="00C94A4C">
                        <w:t>the remaining non-grandfathered HFC industry limit is divided evenly between the</w:t>
                      </w:r>
                      <w:r>
                        <w:t xml:space="preserve"> eligible</w:t>
                      </w:r>
                      <w:r w:rsidRPr="00C94A4C">
                        <w:rPr>
                          <w:spacing w:val="-1"/>
                        </w:rPr>
                        <w:t xml:space="preserve"> </w:t>
                      </w:r>
                      <w:r w:rsidRPr="00C94A4C">
                        <w:t>applicants.</w:t>
                      </w:r>
                    </w:p>
                    <w:p w14:paraId="68504FE3" w14:textId="77777777" w:rsidR="008F1A0E" w:rsidRPr="00201F5E" w:rsidRDefault="008F1A0E" w:rsidP="008F1A0E">
                      <w:pPr>
                        <w:pStyle w:val="BodyText"/>
                        <w:spacing w:before="8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8ADC5B" w14:textId="354A13D8" w:rsidR="00AB35C3" w:rsidRDefault="00AB35C3" w:rsidP="00AB35C3">
      <w:pPr>
        <w:rPr>
          <w:sz w:val="17"/>
        </w:rPr>
        <w:sectPr w:rsidR="00AB35C3">
          <w:type w:val="continuous"/>
          <w:pgSz w:w="11910" w:h="16840"/>
          <w:pgMar w:top="1420" w:right="1540" w:bottom="900" w:left="1660" w:header="720" w:footer="720" w:gutter="0"/>
          <w:cols w:space="720"/>
        </w:sectPr>
      </w:pPr>
    </w:p>
    <w:p w14:paraId="10CDED05" w14:textId="77777777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  <w:spacing w:before="113"/>
      </w:pPr>
      <w:bookmarkStart w:id="9" w:name="_Toc69310647"/>
      <w:r>
        <w:lastRenderedPageBreak/>
        <w:t>Definitions</w:t>
      </w:r>
      <w:bookmarkEnd w:id="9"/>
    </w:p>
    <w:p w14:paraId="470A88FF" w14:textId="77777777" w:rsidR="00AB35C3" w:rsidRDefault="00AB35C3" w:rsidP="00AB35C3">
      <w:pPr>
        <w:pStyle w:val="BodyText"/>
        <w:spacing w:before="173"/>
        <w:ind w:left="1270"/>
      </w:pPr>
      <w:r>
        <w:t>In this instrument:</w:t>
      </w:r>
    </w:p>
    <w:p w14:paraId="7A36709B" w14:textId="77777777" w:rsidR="00AB35C3" w:rsidRPr="000864D7" w:rsidRDefault="00AB35C3" w:rsidP="00AB35C3">
      <w:pPr>
        <w:spacing w:before="181"/>
        <w:ind w:left="1270"/>
        <w:rPr>
          <w:bCs/>
          <w:i/>
        </w:rPr>
      </w:pPr>
      <w:r>
        <w:rPr>
          <w:b/>
          <w:i/>
        </w:rPr>
        <w:t xml:space="preserve">Act </w:t>
      </w:r>
      <w:r w:rsidRPr="00EE383A">
        <w:rPr>
          <w:bCs/>
        </w:rPr>
        <w:t>means the</w:t>
      </w:r>
      <w:r>
        <w:rPr>
          <w:bCs/>
          <w:i/>
        </w:rPr>
        <w:t xml:space="preserve"> Ozone Protection and Synthetic Greenhouse Gas Management Act 1989.</w:t>
      </w:r>
    </w:p>
    <w:p w14:paraId="158ADF93" w14:textId="77777777" w:rsidR="00AB35C3" w:rsidRDefault="00AB35C3" w:rsidP="00AB35C3">
      <w:pPr>
        <w:spacing w:before="181"/>
        <w:ind w:left="1270"/>
        <w:rPr>
          <w:b/>
          <w:i/>
        </w:rPr>
      </w:pPr>
      <w:r>
        <w:rPr>
          <w:b/>
          <w:i/>
        </w:rPr>
        <w:t>CO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e </w:t>
      </w:r>
      <w:r w:rsidRPr="002A2CBF">
        <w:t>means carbon dioxide equivalent</w:t>
      </w:r>
      <w:r>
        <w:t>.</w:t>
      </w:r>
    </w:p>
    <w:p w14:paraId="0BAFC839" w14:textId="77777777" w:rsidR="00AB35C3" w:rsidRDefault="00AB35C3" w:rsidP="00AB35C3">
      <w:pPr>
        <w:spacing w:before="181"/>
        <w:ind w:left="1270"/>
      </w:pPr>
      <w:r>
        <w:rPr>
          <w:b/>
          <w:i/>
        </w:rPr>
        <w:t>CO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e tonne </w:t>
      </w:r>
      <w:r>
        <w:t xml:space="preserve">means </w:t>
      </w:r>
      <w:r>
        <w:rPr>
          <w:position w:val="6"/>
          <w:sz w:val="16"/>
        </w:rPr>
        <w:t>1</w:t>
      </w:r>
      <w:r>
        <w:t>/</w:t>
      </w:r>
      <w:r>
        <w:rPr>
          <w:vertAlign w:val="subscript"/>
        </w:rPr>
        <w:t>1,000,000</w:t>
      </w:r>
      <w:r>
        <w:t xml:space="preserve"> of a CO</w:t>
      </w:r>
      <w:r>
        <w:rPr>
          <w:vertAlign w:val="subscript"/>
        </w:rPr>
        <w:t>2</w:t>
      </w:r>
      <w:r>
        <w:t xml:space="preserve">e </w:t>
      </w:r>
      <w:proofErr w:type="spellStart"/>
      <w:r>
        <w:t>megatonne</w:t>
      </w:r>
      <w:proofErr w:type="spellEnd"/>
      <w:r>
        <w:t>.</w:t>
      </w:r>
    </w:p>
    <w:p w14:paraId="71A0E08F" w14:textId="77777777" w:rsidR="00AB35C3" w:rsidRDefault="00AB35C3" w:rsidP="00AB35C3">
      <w:pPr>
        <w:pStyle w:val="BodyText"/>
        <w:spacing w:before="179"/>
        <w:ind w:left="1270" w:right="339"/>
      </w:pPr>
      <w:r>
        <w:rPr>
          <w:b/>
          <w:i/>
        </w:rPr>
        <w:t xml:space="preserve">eligible applicant </w:t>
      </w:r>
      <w:r>
        <w:t xml:space="preserve">means a person who is entitled to non-grandfathered quota for the HFC quota allocation period 2024-2025 pursuant to </w:t>
      </w:r>
      <w:proofErr w:type="spellStart"/>
      <w:r>
        <w:t>subregulation</w:t>
      </w:r>
      <w:proofErr w:type="spellEnd"/>
      <w:r>
        <w:t xml:space="preserve"> 51(1) of the Regulations, other than the Commonwealth.</w:t>
      </w:r>
    </w:p>
    <w:p w14:paraId="43D3D472" w14:textId="77777777" w:rsidR="00AB35C3" w:rsidRPr="00087A12" w:rsidRDefault="00AB35C3" w:rsidP="00AB35C3">
      <w:pPr>
        <w:pStyle w:val="BodyText"/>
        <w:spacing w:before="179"/>
        <w:ind w:left="2155" w:right="339" w:hanging="885"/>
        <w:rPr>
          <w:bCs/>
          <w:iCs/>
          <w:sz w:val="18"/>
          <w:szCs w:val="18"/>
        </w:rPr>
      </w:pPr>
      <w:r w:rsidRPr="00087A12">
        <w:rPr>
          <w:bCs/>
          <w:iCs/>
          <w:sz w:val="18"/>
          <w:szCs w:val="18"/>
        </w:rPr>
        <w:t>Note:</w:t>
      </w:r>
      <w:r w:rsidRPr="00087A12">
        <w:rPr>
          <w:bCs/>
          <w:iCs/>
          <w:sz w:val="18"/>
          <w:szCs w:val="18"/>
        </w:rPr>
        <w:tab/>
        <w:t xml:space="preserve">For entitlement to non-grandfathered quota, see </w:t>
      </w:r>
      <w:proofErr w:type="spellStart"/>
      <w:r w:rsidRPr="00087A12">
        <w:rPr>
          <w:bCs/>
          <w:iCs/>
          <w:sz w:val="18"/>
          <w:szCs w:val="18"/>
        </w:rPr>
        <w:t>subregulation</w:t>
      </w:r>
      <w:proofErr w:type="spellEnd"/>
      <w:r w:rsidRPr="00087A12">
        <w:rPr>
          <w:bCs/>
          <w:iCs/>
          <w:sz w:val="18"/>
          <w:szCs w:val="18"/>
        </w:rPr>
        <w:t xml:space="preserve"> 51(1) of the Regulations</w:t>
      </w:r>
    </w:p>
    <w:p w14:paraId="3089F50D" w14:textId="77777777" w:rsidR="00AB35C3" w:rsidRDefault="00AB35C3" w:rsidP="00AB35C3">
      <w:pPr>
        <w:spacing w:before="178"/>
        <w:ind w:left="1270"/>
        <w:rPr>
          <w:bCs/>
          <w:i/>
        </w:rPr>
      </w:pPr>
      <w:r>
        <w:rPr>
          <w:b/>
          <w:i/>
        </w:rPr>
        <w:t xml:space="preserve">eligible applicant entitlement amount </w:t>
      </w:r>
      <w:r w:rsidRPr="00EE383A">
        <w:rPr>
          <w:bCs/>
        </w:rPr>
        <w:t>means the amount equal to:</w:t>
      </w:r>
    </w:p>
    <w:p w14:paraId="378AD32F" w14:textId="77777777" w:rsidR="00AB35C3" w:rsidRDefault="00AB35C3" w:rsidP="00AB35C3">
      <w:pPr>
        <w:spacing w:before="178"/>
        <w:ind w:left="1270"/>
        <w:jc w:val="center"/>
      </w:pPr>
      <w:r>
        <w:rPr>
          <w:bCs/>
          <w:i/>
        </w:rPr>
        <w:t>(</w:t>
      </w:r>
      <w:proofErr w:type="gramStart"/>
      <w:r>
        <w:rPr>
          <w:bCs/>
          <w:i/>
        </w:rPr>
        <w:t>the</w:t>
      </w:r>
      <w:proofErr w:type="gramEnd"/>
      <w:r>
        <w:rPr>
          <w:bCs/>
          <w:i/>
        </w:rPr>
        <w:t xml:space="preserve"> non-grandfathered HFC industry limit - </w:t>
      </w:r>
      <w:r>
        <w:t>130 CO</w:t>
      </w:r>
      <w:r>
        <w:rPr>
          <w:vertAlign w:val="subscript"/>
        </w:rPr>
        <w:t>2</w:t>
      </w:r>
      <w:r>
        <w:t>e tonnes)</w:t>
      </w:r>
    </w:p>
    <w:p w14:paraId="63D47548" w14:textId="77777777" w:rsidR="00AB35C3" w:rsidRDefault="00AB35C3" w:rsidP="00AB35C3">
      <w:pPr>
        <w:spacing w:before="178"/>
        <w:ind w:left="1270"/>
        <w:jc w:val="center"/>
        <w:rPr>
          <w:bCs/>
          <w:i/>
        </w:rPr>
      </w:pPr>
      <w:r>
        <w:rPr>
          <w:bCs/>
          <w:i/>
        </w:rPr>
        <w:t>÷</w:t>
      </w:r>
    </w:p>
    <w:p w14:paraId="68A448BC" w14:textId="77777777" w:rsidR="00AB35C3" w:rsidRPr="00916154" w:rsidRDefault="00AB35C3" w:rsidP="00AB35C3">
      <w:pPr>
        <w:spacing w:before="178"/>
        <w:ind w:left="1270"/>
        <w:jc w:val="center"/>
        <w:rPr>
          <w:bCs/>
          <w:i/>
        </w:rPr>
      </w:pPr>
      <w:r>
        <w:rPr>
          <w:bCs/>
          <w:i/>
        </w:rPr>
        <w:t>the number of eligible applicants who apply for non-grandfathered quota under section 6(a)</w:t>
      </w:r>
    </w:p>
    <w:p w14:paraId="01873EA0" w14:textId="77777777" w:rsidR="00AB35C3" w:rsidRDefault="00AB35C3" w:rsidP="00AB35C3">
      <w:pPr>
        <w:spacing w:before="178"/>
        <w:ind w:left="1270"/>
      </w:pPr>
      <w:r>
        <w:rPr>
          <w:b/>
          <w:i/>
        </w:rPr>
        <w:t xml:space="preserve">non-grandfathered HFC industry limit </w:t>
      </w:r>
      <w:r>
        <w:t xml:space="preserve">means </w:t>
      </w:r>
      <w:bookmarkStart w:id="10" w:name="_Hlk69826661"/>
      <w:r>
        <w:t>0.2625 CO</w:t>
      </w:r>
      <w:r>
        <w:rPr>
          <w:vertAlign w:val="subscript"/>
        </w:rPr>
        <w:t>2</w:t>
      </w:r>
      <w:r>
        <w:t xml:space="preserve">e </w:t>
      </w:r>
      <w:proofErr w:type="spellStart"/>
      <w:r>
        <w:t>megatonnes</w:t>
      </w:r>
      <w:bookmarkEnd w:id="10"/>
      <w:proofErr w:type="spellEnd"/>
      <w:r>
        <w:t>.</w:t>
      </w:r>
    </w:p>
    <w:p w14:paraId="3C7A29EF" w14:textId="77777777" w:rsidR="00AB35C3" w:rsidRDefault="00AB35C3" w:rsidP="00AB35C3">
      <w:pPr>
        <w:tabs>
          <w:tab w:val="left" w:pos="2123"/>
        </w:tabs>
        <w:spacing w:before="123"/>
        <w:ind w:left="2123" w:right="388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The non-grandfathered HFC industry limit is the non-grandfathered percentage (5%) of the HFC industry limit (</w:t>
      </w:r>
      <w:bookmarkStart w:id="11" w:name="_Hlk69826589"/>
      <w:r>
        <w:rPr>
          <w:sz w:val="18"/>
        </w:rPr>
        <w:t>5.25 CO</w:t>
      </w:r>
      <w:r>
        <w:rPr>
          <w:sz w:val="18"/>
          <w:vertAlign w:val="subscript"/>
        </w:rPr>
        <w:t>2</w:t>
      </w:r>
      <w:r>
        <w:rPr>
          <w:sz w:val="18"/>
        </w:rPr>
        <w:t xml:space="preserve">e </w:t>
      </w:r>
      <w:proofErr w:type="spellStart"/>
      <w:r>
        <w:rPr>
          <w:sz w:val="18"/>
        </w:rPr>
        <w:t>megatonnes</w:t>
      </w:r>
      <w:bookmarkEnd w:id="11"/>
      <w:proofErr w:type="spellEnd"/>
      <w:r>
        <w:rPr>
          <w:sz w:val="18"/>
        </w:rPr>
        <w:t>) for the years in the third HFC quota allocation</w:t>
      </w:r>
      <w:r>
        <w:rPr>
          <w:spacing w:val="-2"/>
          <w:sz w:val="18"/>
        </w:rPr>
        <w:t xml:space="preserve"> </w:t>
      </w:r>
      <w:r>
        <w:rPr>
          <w:sz w:val="18"/>
        </w:rPr>
        <w:t>period.</w:t>
      </w:r>
    </w:p>
    <w:p w14:paraId="35A79D4D" w14:textId="77777777" w:rsidR="00AB35C3" w:rsidRDefault="00AB35C3" w:rsidP="00AB35C3">
      <w:pPr>
        <w:spacing w:before="179"/>
        <w:ind w:left="1270" w:right="1016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Ozone Protection and Synthetic Greenhouse Gas Management Regulations 1995</w:t>
      </w:r>
      <w:r>
        <w:t>.</w:t>
      </w:r>
    </w:p>
    <w:p w14:paraId="7A4A725A" w14:textId="77777777" w:rsidR="00AB35C3" w:rsidRDefault="00AB35C3" w:rsidP="00AB35C3">
      <w:pPr>
        <w:tabs>
          <w:tab w:val="left" w:pos="2123"/>
        </w:tabs>
        <w:spacing w:before="118"/>
        <w:ind w:left="2123" w:right="486" w:hanging="853"/>
        <w:rPr>
          <w:sz w:val="18"/>
        </w:rPr>
      </w:pPr>
      <w:r>
        <w:rPr>
          <w:sz w:val="18"/>
        </w:rPr>
        <w:t>Note 1:</w:t>
      </w:r>
      <w:r>
        <w:rPr>
          <w:sz w:val="18"/>
        </w:rPr>
        <w:tab/>
      </w:r>
      <w:proofErr w:type="gramStart"/>
      <w:r>
        <w:rPr>
          <w:sz w:val="18"/>
        </w:rPr>
        <w:t>A number of</w:t>
      </w:r>
      <w:proofErr w:type="gramEnd"/>
      <w:r>
        <w:rPr>
          <w:sz w:val="18"/>
        </w:rPr>
        <w:t xml:space="preserve"> expressions used in this instrument are defined in the Act, including the</w:t>
      </w:r>
      <w:r>
        <w:rPr>
          <w:spacing w:val="-19"/>
          <w:sz w:val="18"/>
        </w:rPr>
        <w:t xml:space="preserve"> </w:t>
      </w:r>
      <w:r>
        <w:rPr>
          <w:sz w:val="18"/>
        </w:rPr>
        <w:t>following:</w:t>
      </w:r>
    </w:p>
    <w:p w14:paraId="1511EFAB" w14:textId="77777777" w:rsidR="00AB35C3" w:rsidRDefault="00AB35C3" w:rsidP="00AB35C3">
      <w:pPr>
        <w:pStyle w:val="ListParagraph"/>
        <w:numPr>
          <w:ilvl w:val="0"/>
          <w:numId w:val="4"/>
        </w:numPr>
        <w:tabs>
          <w:tab w:val="left" w:pos="2493"/>
        </w:tabs>
        <w:spacing w:before="38"/>
        <w:rPr>
          <w:sz w:val="18"/>
        </w:rPr>
      </w:pPr>
      <w:r>
        <w:rPr>
          <w:sz w:val="18"/>
        </w:rPr>
        <w:t>CO</w:t>
      </w:r>
      <w:r>
        <w:rPr>
          <w:sz w:val="18"/>
          <w:vertAlign w:val="subscript"/>
        </w:rPr>
        <w:t>2</w:t>
      </w:r>
      <w:r>
        <w:rPr>
          <w:sz w:val="18"/>
        </w:rPr>
        <w:t xml:space="preserve">e </w:t>
      </w:r>
      <w:proofErr w:type="spellStart"/>
      <w:r>
        <w:rPr>
          <w:sz w:val="18"/>
        </w:rPr>
        <w:t>megatonnes</w:t>
      </w:r>
      <w:proofErr w:type="spellEnd"/>
      <w:r>
        <w:rPr>
          <w:sz w:val="18"/>
        </w:rPr>
        <w:t>; and</w:t>
      </w:r>
    </w:p>
    <w:p w14:paraId="6C242818" w14:textId="77777777" w:rsidR="00AB35C3" w:rsidRDefault="00AB35C3" w:rsidP="00AB35C3">
      <w:pPr>
        <w:pStyle w:val="ListParagraph"/>
        <w:numPr>
          <w:ilvl w:val="0"/>
          <w:numId w:val="4"/>
        </w:numPr>
        <w:tabs>
          <w:tab w:val="left" w:pos="2493"/>
        </w:tabs>
        <w:spacing w:before="30"/>
        <w:rPr>
          <w:sz w:val="18"/>
        </w:rPr>
      </w:pPr>
      <w:r>
        <w:rPr>
          <w:sz w:val="18"/>
        </w:rPr>
        <w:t>HFC</w:t>
      </w:r>
      <w:r>
        <w:rPr>
          <w:spacing w:val="-1"/>
          <w:sz w:val="18"/>
        </w:rPr>
        <w:t xml:space="preserve"> </w:t>
      </w:r>
      <w:r>
        <w:rPr>
          <w:sz w:val="18"/>
        </w:rPr>
        <w:t>quota.</w:t>
      </w:r>
    </w:p>
    <w:p w14:paraId="42230AAB" w14:textId="77777777" w:rsidR="00AB35C3" w:rsidRDefault="00AB35C3" w:rsidP="00AB35C3">
      <w:pPr>
        <w:tabs>
          <w:tab w:val="left" w:pos="2123"/>
        </w:tabs>
        <w:spacing w:before="117"/>
        <w:ind w:left="2123" w:right="846" w:hanging="853"/>
        <w:rPr>
          <w:sz w:val="18"/>
        </w:rPr>
      </w:pPr>
      <w:r>
        <w:rPr>
          <w:sz w:val="18"/>
        </w:rPr>
        <w:t>Note 2:</w:t>
      </w:r>
      <w:r>
        <w:rPr>
          <w:sz w:val="18"/>
        </w:rPr>
        <w:tab/>
      </w:r>
      <w:proofErr w:type="gramStart"/>
      <w:r>
        <w:rPr>
          <w:sz w:val="18"/>
        </w:rPr>
        <w:t>A number of</w:t>
      </w:r>
      <w:proofErr w:type="gramEnd"/>
      <w:r>
        <w:rPr>
          <w:sz w:val="18"/>
        </w:rPr>
        <w:t xml:space="preserve"> expressions used in this instrument are defined in the Regulations, including 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following:</w:t>
      </w:r>
    </w:p>
    <w:p w14:paraId="555D15F7" w14:textId="77777777" w:rsidR="00AB35C3" w:rsidRDefault="00AB35C3" w:rsidP="00AB35C3">
      <w:pPr>
        <w:pStyle w:val="ListParagraph"/>
        <w:numPr>
          <w:ilvl w:val="0"/>
          <w:numId w:val="3"/>
        </w:numPr>
        <w:tabs>
          <w:tab w:val="left" w:pos="2493"/>
        </w:tabs>
        <w:spacing w:before="37"/>
        <w:rPr>
          <w:sz w:val="18"/>
        </w:rPr>
      </w:pPr>
      <w:r>
        <w:rPr>
          <w:sz w:val="18"/>
        </w:rPr>
        <w:t>non-grandfathered quota; and</w:t>
      </w:r>
    </w:p>
    <w:p w14:paraId="1B66816D" w14:textId="77777777" w:rsidR="00C220DA" w:rsidRDefault="00AB35C3" w:rsidP="00AB35C3">
      <w:pPr>
        <w:pStyle w:val="ListParagraph"/>
        <w:numPr>
          <w:ilvl w:val="0"/>
          <w:numId w:val="3"/>
        </w:numPr>
        <w:tabs>
          <w:tab w:val="left" w:pos="2493"/>
        </w:tabs>
        <w:spacing w:before="31"/>
        <w:rPr>
          <w:sz w:val="18"/>
        </w:rPr>
      </w:pPr>
      <w:r>
        <w:rPr>
          <w:sz w:val="18"/>
        </w:rPr>
        <w:t>HFC quota allocation period.</w:t>
      </w:r>
    </w:p>
    <w:p w14:paraId="4ABFE742" w14:textId="0D94AABB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</w:pPr>
      <w:bookmarkStart w:id="12" w:name="_Toc69310648"/>
      <w:r>
        <w:t>Entitlement</w:t>
      </w:r>
      <w:bookmarkEnd w:id="12"/>
    </w:p>
    <w:p w14:paraId="3F17AEE3" w14:textId="77777777" w:rsidR="00AB35C3" w:rsidRDefault="00AB35C3" w:rsidP="00AB35C3">
      <w:pPr>
        <w:pStyle w:val="BodyText"/>
        <w:spacing w:before="178"/>
        <w:ind w:left="1270" w:right="321"/>
      </w:pPr>
      <w:r>
        <w:t>For the purposes of paragraph 51(4)(a) of the Regulations, a person is entitled to non-grandfathered quota for each of the years 2024 and 2025 if:</w:t>
      </w:r>
    </w:p>
    <w:p w14:paraId="0A9D0120" w14:textId="77777777" w:rsidR="00AB35C3" w:rsidRDefault="00AB35C3" w:rsidP="00AB35C3">
      <w:pPr>
        <w:pStyle w:val="ListParagraph"/>
        <w:numPr>
          <w:ilvl w:val="0"/>
          <w:numId w:val="2"/>
        </w:numPr>
        <w:tabs>
          <w:tab w:val="left" w:pos="1782"/>
        </w:tabs>
        <w:ind w:hanging="370"/>
      </w:pPr>
      <w:r>
        <w:t xml:space="preserve">the person is an eligible </w:t>
      </w:r>
      <w:proofErr w:type="gramStart"/>
      <w:r>
        <w:t>applicant</w:t>
      </w:r>
      <w:proofErr w:type="gramEnd"/>
      <w:r>
        <w:t xml:space="preserve"> and that person makes an application for non-grandfathered quota; or</w:t>
      </w:r>
    </w:p>
    <w:p w14:paraId="5094DCDE" w14:textId="77777777" w:rsidR="00C220DA" w:rsidRDefault="00AB35C3" w:rsidP="00AB35C3">
      <w:pPr>
        <w:pStyle w:val="ListParagraph"/>
        <w:numPr>
          <w:ilvl w:val="0"/>
          <w:numId w:val="2"/>
        </w:numPr>
        <w:tabs>
          <w:tab w:val="left" w:pos="1782"/>
        </w:tabs>
        <w:ind w:hanging="370"/>
      </w:pPr>
      <w:r>
        <w:t>the person is the Commonwealth, as represented by the Department of Climate Change, Energy, the Environment and Water.</w:t>
      </w:r>
    </w:p>
    <w:p w14:paraId="6E4DA741" w14:textId="7506E6D3" w:rsidR="00AB35C3" w:rsidRPr="00EF592E" w:rsidRDefault="00AB35C3" w:rsidP="00AB35C3">
      <w:pPr>
        <w:tabs>
          <w:tab w:val="left" w:pos="1778"/>
        </w:tabs>
        <w:sectPr w:rsidR="00AB35C3" w:rsidRPr="00EF592E" w:rsidSect="00EF592E">
          <w:headerReference w:type="default" r:id="rId14"/>
          <w:footerReference w:type="even" r:id="rId15"/>
          <w:pgSz w:w="11910" w:h="16840"/>
          <w:pgMar w:top="1580" w:right="1540" w:bottom="280" w:left="1660" w:header="0" w:footer="0" w:gutter="0"/>
          <w:cols w:space="720"/>
          <w:docGrid w:linePitch="299"/>
        </w:sectPr>
      </w:pPr>
    </w:p>
    <w:p w14:paraId="58BD62BF" w14:textId="77777777" w:rsidR="00AB35C3" w:rsidRDefault="00AB35C3" w:rsidP="00AB35C3">
      <w:pPr>
        <w:rPr>
          <w:sz w:val="16"/>
        </w:rPr>
        <w:sectPr w:rsidR="00AB35C3">
          <w:headerReference w:type="default" r:id="rId16"/>
          <w:pgSz w:w="11910" w:h="16840"/>
          <w:pgMar w:top="1580" w:right="1540" w:bottom="280" w:left="1660" w:header="0" w:footer="0" w:gutter="0"/>
          <w:cols w:space="720"/>
        </w:sectPr>
      </w:pPr>
    </w:p>
    <w:p w14:paraId="3E677B63" w14:textId="77777777" w:rsidR="00AB35C3" w:rsidRDefault="00AB35C3" w:rsidP="00AB35C3">
      <w:pPr>
        <w:pStyle w:val="Heading1"/>
        <w:numPr>
          <w:ilvl w:val="0"/>
          <w:numId w:val="6"/>
        </w:numPr>
        <w:tabs>
          <w:tab w:val="left" w:pos="378"/>
        </w:tabs>
        <w:spacing w:before="90"/>
      </w:pPr>
      <w:bookmarkStart w:id="13" w:name="_Toc69310650"/>
      <w:r>
        <w:rPr>
          <w:spacing w:val="-1"/>
        </w:rPr>
        <w:t>Amount</w:t>
      </w:r>
      <w:bookmarkEnd w:id="13"/>
    </w:p>
    <w:p w14:paraId="3F63ABC6" w14:textId="77777777" w:rsidR="00C220DA" w:rsidRDefault="00AB35C3" w:rsidP="00AB35C3">
      <w:pPr>
        <w:pStyle w:val="BodyText"/>
        <w:rPr>
          <w:b/>
          <w:sz w:val="24"/>
        </w:rPr>
      </w:pPr>
      <w:r>
        <w:br w:type="column"/>
      </w:r>
    </w:p>
    <w:p w14:paraId="568622E6" w14:textId="7806FEA3" w:rsidR="00AB35C3" w:rsidRDefault="00AB35C3" w:rsidP="00AB35C3">
      <w:pPr>
        <w:pStyle w:val="BodyText"/>
        <w:ind w:left="12"/>
      </w:pPr>
    </w:p>
    <w:p w14:paraId="72F5AC84" w14:textId="77777777" w:rsidR="00AB35C3" w:rsidRDefault="00AB35C3" w:rsidP="00AB35C3">
      <w:pPr>
        <w:pStyle w:val="BodyText"/>
        <w:ind w:left="12"/>
      </w:pPr>
      <w:r>
        <w:t>For the purposes of paragraph 51(4)(b) of the Regulations, the amount of</w:t>
      </w:r>
    </w:p>
    <w:p w14:paraId="55E8316C" w14:textId="77777777" w:rsidR="00AB35C3" w:rsidRDefault="00AB35C3" w:rsidP="00AB35C3">
      <w:pPr>
        <w:pStyle w:val="BodyText"/>
        <w:spacing w:before="1"/>
        <w:ind w:left="12" w:right="320"/>
      </w:pPr>
      <w:r>
        <w:t>non-grandfathered quota to which a person is entitled for each of the years 2024 and 2023 is:</w:t>
      </w:r>
    </w:p>
    <w:p w14:paraId="47BCE49C" w14:textId="77777777" w:rsidR="00AB35C3" w:rsidRDefault="00AB35C3" w:rsidP="00AB35C3">
      <w:pPr>
        <w:pStyle w:val="ListParagraph"/>
        <w:numPr>
          <w:ilvl w:val="0"/>
          <w:numId w:val="1"/>
        </w:numPr>
        <w:tabs>
          <w:tab w:val="left" w:pos="524"/>
        </w:tabs>
        <w:spacing w:before="39"/>
        <w:ind w:right="414" w:hanging="357"/>
      </w:pPr>
      <w:r>
        <w:t>for an eligible applicant – the eligible applicant entitlement amount; or</w:t>
      </w:r>
    </w:p>
    <w:p w14:paraId="349B0F7C" w14:textId="09A6E9C1" w:rsidR="00AB35C3" w:rsidRDefault="00AB35C3" w:rsidP="00AB35C3">
      <w:pPr>
        <w:pStyle w:val="ListParagraph"/>
        <w:numPr>
          <w:ilvl w:val="0"/>
          <w:numId w:val="1"/>
        </w:numPr>
        <w:tabs>
          <w:tab w:val="left" w:pos="524"/>
        </w:tabs>
        <w:spacing w:before="39"/>
        <w:ind w:right="414" w:hanging="357"/>
        <w:sectPr w:rsidR="00AB35C3" w:rsidSect="00802946">
          <w:type w:val="continuous"/>
          <w:pgSz w:w="11910" w:h="16840"/>
          <w:pgMar w:top="1418" w:right="1542" w:bottom="902" w:left="1661" w:header="720" w:footer="720" w:gutter="0"/>
          <w:cols w:num="2" w:space="720" w:equalWidth="0">
            <w:col w:w="1218" w:space="40"/>
            <w:col w:w="7449"/>
          </w:cols>
        </w:sectPr>
      </w:pPr>
      <w:r>
        <w:t>for the Commonwealth, as represented by the Department of Climate Change, Energy, the Environment and Water – 130 CO</w:t>
      </w:r>
      <w:r>
        <w:rPr>
          <w:vertAlign w:val="subscript"/>
        </w:rPr>
        <w:t>2</w:t>
      </w:r>
      <w:r>
        <w:t>e to</w:t>
      </w:r>
      <w:r w:rsidR="00346321">
        <w:t>nn</w:t>
      </w:r>
      <w:r w:rsidR="00EF7AE4">
        <w:t>e</w:t>
      </w:r>
    </w:p>
    <w:p w14:paraId="34DA23A6" w14:textId="6DC1AECE" w:rsidR="00A20ECF" w:rsidRDefault="00A20ECF"/>
    <w:sectPr w:rsidR="00A20ECF">
      <w:footerReference w:type="default" r:id="rId17"/>
      <w:pgSz w:w="11910" w:h="16840"/>
      <w:pgMar w:top="1580" w:right="1540" w:bottom="1500" w:left="1660" w:header="0" w:footer="131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5EC2" w14:textId="77777777" w:rsidR="00000000" w:rsidRDefault="00EF7AE4">
      <w:r>
        <w:separator/>
      </w:r>
    </w:p>
  </w:endnote>
  <w:endnote w:type="continuationSeparator" w:id="0">
    <w:p w14:paraId="60153DAB" w14:textId="77777777" w:rsidR="00000000" w:rsidRDefault="00EF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EC72" w14:textId="77777777" w:rsidR="00E94157" w:rsidRDefault="00EF7AE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2FBA" w14:textId="77777777" w:rsidR="00802946" w:rsidRDefault="00802946" w:rsidP="00802946">
    <w:pPr>
      <w:pStyle w:val="BodyText"/>
      <w:rPr>
        <w:sz w:val="20"/>
      </w:rPr>
    </w:pPr>
  </w:p>
  <w:p w14:paraId="2B10DEEB" w14:textId="77777777" w:rsidR="00802946" w:rsidRDefault="00802946" w:rsidP="00802946">
    <w:pPr>
      <w:pStyle w:val="BodyText"/>
      <w:spacing w:line="20" w:lineRule="exact"/>
      <w:ind w:left="101"/>
      <w:rPr>
        <w:sz w:val="2"/>
      </w:rPr>
    </w:pPr>
    <w:r>
      <w:rPr>
        <w:noProof/>
        <w:sz w:val="2"/>
        <w:lang w:bidi="ar-SA"/>
      </w:rPr>
      <mc:AlternateContent>
        <mc:Choice Requires="wpg">
          <w:drawing>
            <wp:inline distT="0" distB="0" distL="0" distR="0" wp14:anchorId="0235BB50" wp14:editId="625FA3BC">
              <wp:extent cx="5316855" cy="9525"/>
              <wp:effectExtent l="13335" t="1905" r="13335" b="7620"/>
              <wp:docPr id="1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6855" cy="9525"/>
                        <a:chOff x="0" y="0"/>
                        <a:chExt cx="8373" cy="15"/>
                      </a:xfrm>
                    </wpg:grpSpPr>
                    <wps:wsp>
                      <wps:cNvPr id="18" name="Line 8"/>
                      <wps:cNvCnPr>
                        <a:cxnSpLocks noChangeShapeType="1"/>
                      </wps:cNvCnPr>
                      <wps:spPr bwMode="auto">
                        <a:xfrm>
                          <a:off x="0" y="7"/>
                          <a:ext cx="837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4D020D1" id="Group 7" o:spid="_x0000_s1026" style="width:418.65pt;height:.75pt;mso-position-horizontal-relative:char;mso-position-vertical-relative:line" coordsize="83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">
              <v:line id="Line 8" o:spid="_x0000_s1027" style="position:absolute;visibility:visible;mso-wrap-style:square" from="0,7" to="83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<w10:anchorlock/>
            </v:group>
          </w:pict>
        </mc:Fallback>
      </mc:AlternateContent>
    </w:r>
  </w:p>
  <w:p w14:paraId="4144A9E0" w14:textId="77777777" w:rsidR="00802946" w:rsidRDefault="00802946" w:rsidP="00802946">
    <w:pPr>
      <w:tabs>
        <w:tab w:val="left" w:pos="8342"/>
      </w:tabs>
      <w:ind w:left="3217" w:right="311" w:hanging="1626"/>
      <w:rPr>
        <w:i/>
        <w:sz w:val="18"/>
      </w:rPr>
    </w:pPr>
    <w:r>
      <w:rPr>
        <w:i/>
        <w:sz w:val="18"/>
      </w:rPr>
      <w:t>Ozone Protection and Synthetic Greenhouse Gas</w:t>
    </w:r>
    <w:r>
      <w:rPr>
        <w:i/>
        <w:spacing w:val="-19"/>
        <w:sz w:val="18"/>
      </w:rPr>
      <w:t xml:space="preserve"> </w:t>
    </w:r>
    <w:r>
      <w:rPr>
        <w:i/>
        <w:sz w:val="18"/>
      </w:rPr>
      <w:t>Management</w:t>
    </w:r>
    <w:r>
      <w:rPr>
        <w:i/>
        <w:spacing w:val="-3"/>
        <w:sz w:val="18"/>
      </w:rPr>
      <w:t xml:space="preserve"> </w:t>
    </w:r>
    <w:r>
      <w:rPr>
        <w:i/>
        <w:sz w:val="18"/>
      </w:rPr>
      <w:t>(Non-grandfathered</w:t>
    </w:r>
    <w:r>
      <w:rPr>
        <w:i/>
        <w:sz w:val="18"/>
      </w:rPr>
      <w:tab/>
    </w:r>
    <w:proofErr w:type="spellStart"/>
    <w:r>
      <w:rPr>
        <w:i/>
        <w:sz w:val="18"/>
      </w:rPr>
      <w:t>i</w:t>
    </w:r>
    <w:proofErr w:type="spellEnd"/>
    <w:r>
      <w:rPr>
        <w:i/>
        <w:sz w:val="18"/>
      </w:rPr>
      <w:t xml:space="preserve"> Quota—2024-2025) Determination</w:t>
    </w:r>
    <w:r>
      <w:rPr>
        <w:i/>
        <w:spacing w:val="-1"/>
        <w:sz w:val="18"/>
      </w:rPr>
      <w:t xml:space="preserve"> </w:t>
    </w:r>
    <w:r>
      <w:rPr>
        <w:i/>
        <w:sz w:val="18"/>
      </w:rPr>
      <w:t>2023</w:t>
    </w:r>
  </w:p>
  <w:p w14:paraId="0C52275C" w14:textId="77777777" w:rsidR="00E94157" w:rsidRDefault="008F1A0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F57B056" wp14:editId="7214B0FA">
              <wp:simplePos x="0" y="0"/>
              <wp:positionH relativeFrom="page">
                <wp:posOffset>1129030</wp:posOffset>
              </wp:positionH>
              <wp:positionV relativeFrom="page">
                <wp:posOffset>10102215</wp:posOffset>
              </wp:positionV>
              <wp:extent cx="706755" cy="152400"/>
              <wp:effectExtent l="0" t="0" r="2540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52B69" w14:textId="77777777" w:rsidR="00E94157" w:rsidRDefault="00EF7AE4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7B0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8.9pt;margin-top:795.45pt;width:55.65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" filled="f" stroked="f">
              <v:textbox inset="0,0,0,0">
                <w:txbxContent>
                  <w:p w14:paraId="0B052B69" w14:textId="77777777" w:rsidR="00E94157" w:rsidRDefault="00EF7AE4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E84" w14:textId="4506F488" w:rsidR="00802946" w:rsidRDefault="0080294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44D57F" wp14:editId="254B4778">
              <wp:simplePos x="0" y="0"/>
              <wp:positionH relativeFrom="page">
                <wp:posOffset>998921</wp:posOffset>
              </wp:positionH>
              <wp:positionV relativeFrom="page">
                <wp:posOffset>9782087</wp:posOffset>
              </wp:positionV>
              <wp:extent cx="5316855" cy="0"/>
              <wp:effectExtent l="8890" t="13970" r="8255" b="508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50555" id="Line 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65pt,770.25pt" to="497.3pt,7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" strokeweight=".72pt">
              <w10:wrap anchorx="page" anchory="page"/>
            </v:line>
          </w:pict>
        </mc:Fallback>
      </mc:AlternateContent>
    </w:r>
  </w:p>
  <w:p w14:paraId="4C6B4C48" w14:textId="34629550" w:rsidR="00E94157" w:rsidRDefault="0080294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A20F4D" wp14:editId="7D61F502">
              <wp:simplePos x="0" y="0"/>
              <wp:positionH relativeFrom="page">
                <wp:posOffset>2060203</wp:posOffset>
              </wp:positionH>
              <wp:positionV relativeFrom="page">
                <wp:posOffset>9931159</wp:posOffset>
              </wp:positionV>
              <wp:extent cx="3845560" cy="283210"/>
              <wp:effectExtent l="4445" t="381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05A03" w14:textId="77777777" w:rsidR="00E94157" w:rsidRDefault="008F1A0E">
                          <w:pPr>
                            <w:spacing w:before="12"/>
                            <w:ind w:left="1645" w:right="18" w:hanging="1626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Ozone Protection and Synthetic Greenhouse Gas Management (Non-grandfathered Quota—2024-2025) Determination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20F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62.2pt;margin-top:782pt;width:302.8pt;height:2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" filled="f" stroked="f">
              <v:textbox inset="0,0,0,0">
                <w:txbxContent>
                  <w:p w14:paraId="39E05A03" w14:textId="77777777" w:rsidR="00E94157" w:rsidRDefault="008F1A0E">
                    <w:pPr>
                      <w:spacing w:before="12"/>
                      <w:ind w:left="1645" w:right="18" w:hanging="1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Ozone Protection and Synthetic Greenhouse Gas Management (Non-grandfathered Quota—2024-2025) Determination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A0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E3FD4FC" wp14:editId="51DAB611">
              <wp:simplePos x="0" y="0"/>
              <wp:positionH relativeFrom="page">
                <wp:posOffset>6300470</wp:posOffset>
              </wp:positionH>
              <wp:positionV relativeFrom="page">
                <wp:posOffset>9805035</wp:posOffset>
              </wp:positionV>
              <wp:extent cx="107950" cy="152400"/>
              <wp:effectExtent l="4445" t="3810" r="190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92EF0" w14:textId="77777777" w:rsidR="00E94157" w:rsidRDefault="008F1A0E">
                          <w:pPr>
                            <w:spacing w:before="12"/>
                            <w:ind w:left="40"/>
                            <w:rPr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FD4FC" id="Text Box 6" o:spid="_x0000_s1029" type="#_x0000_t202" style="position:absolute;margin-left:496.1pt;margin-top:772.05pt;width:8.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" filled="f" stroked="f">
              <v:textbox inset="0,0,0,0">
                <w:txbxContent>
                  <w:p w14:paraId="20C92EF0" w14:textId="77777777" w:rsidR="00E94157" w:rsidRDefault="008F1A0E">
                    <w:pPr>
                      <w:spacing w:before="12"/>
                      <w:ind w:left="40"/>
                      <w:rPr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ED60" w14:textId="77777777" w:rsidR="00E94157" w:rsidRDefault="00EF7AE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33EA" w14:textId="77777777" w:rsidR="00E94157" w:rsidRDefault="008F1A0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059D031" wp14:editId="4094DC17">
              <wp:simplePos x="0" y="0"/>
              <wp:positionH relativeFrom="page">
                <wp:posOffset>1123315</wp:posOffset>
              </wp:positionH>
              <wp:positionV relativeFrom="page">
                <wp:posOffset>9681845</wp:posOffset>
              </wp:positionV>
              <wp:extent cx="5316855" cy="0"/>
              <wp:effectExtent l="8890" t="13970" r="8255" b="508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16FB5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45pt,762.35pt" to="507.1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CC349A" wp14:editId="1A0AAE0C">
              <wp:simplePos x="0" y="0"/>
              <wp:positionH relativeFrom="page">
                <wp:posOffset>2052320</wp:posOffset>
              </wp:positionH>
              <wp:positionV relativeFrom="page">
                <wp:posOffset>9805035</wp:posOffset>
              </wp:positionV>
              <wp:extent cx="3845560" cy="283210"/>
              <wp:effectExtent l="4445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780F1" w14:textId="77777777" w:rsidR="00E94157" w:rsidRDefault="008F1A0E">
                          <w:pPr>
                            <w:spacing w:before="12"/>
                            <w:ind w:left="1645" w:right="18" w:hanging="1626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Ozone Protection and Synthetic Greenhouse Gas Management (Non-grandfathered Quota—2024-2025) Determination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C34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61.6pt;margin-top:772.05pt;width:302.8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" filled="f" stroked="f">
              <v:textbox inset="0,0,0,0">
                <w:txbxContent>
                  <w:p w14:paraId="4E8780F1" w14:textId="77777777" w:rsidR="00E94157" w:rsidRDefault="008F1A0E">
                    <w:pPr>
                      <w:spacing w:before="12"/>
                      <w:ind w:left="1645" w:right="18" w:hanging="1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Ozone Protection and Synthetic Greenhouse Gas Management (Non-grandfathered Quota—2024-2025) Determination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C3BB62" wp14:editId="3DF85AD8">
              <wp:simplePos x="0" y="0"/>
              <wp:positionH relativeFrom="page">
                <wp:posOffset>6300470</wp:posOffset>
              </wp:positionH>
              <wp:positionV relativeFrom="page">
                <wp:posOffset>9805035</wp:posOffset>
              </wp:positionV>
              <wp:extent cx="107950" cy="152400"/>
              <wp:effectExtent l="4445" t="381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7327F" w14:textId="77777777" w:rsidR="00E94157" w:rsidRPr="00EF592E" w:rsidRDefault="008F1A0E">
                          <w:pPr>
                            <w:spacing w:before="12"/>
                            <w:ind w:left="4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EF592E">
                            <w:rPr>
                              <w:i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3BB62" id="Text Box 2" o:spid="_x0000_s1031" type="#_x0000_t202" style="position:absolute;margin-left:496.1pt;margin-top:772.05pt;width:8.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oi2QEAAJcDAAAOAAAAZHJzL2Uyb0RvYy54bWysU9tu2zAMfR+wfxD0vtgJ2l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" filled="f" stroked="f">
              <v:textbox inset="0,0,0,0">
                <w:txbxContent>
                  <w:p w14:paraId="7467327F" w14:textId="77777777" w:rsidR="00E94157" w:rsidRPr="00EF592E" w:rsidRDefault="008F1A0E">
                    <w:pPr>
                      <w:spacing w:before="12"/>
                      <w:ind w:left="40"/>
                      <w:rPr>
                        <w:i/>
                        <w:sz w:val="20"/>
                        <w:szCs w:val="20"/>
                      </w:rPr>
                    </w:pPr>
                    <w:r w:rsidRPr="00EF592E">
                      <w:rPr>
                        <w:i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7339" w14:textId="77777777" w:rsidR="00000000" w:rsidRDefault="00EF7AE4">
      <w:r>
        <w:separator/>
      </w:r>
    </w:p>
  </w:footnote>
  <w:footnote w:type="continuationSeparator" w:id="0">
    <w:p w14:paraId="484E74B3" w14:textId="77777777" w:rsidR="00000000" w:rsidRDefault="00EF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AD84" w14:textId="77777777" w:rsidR="00802946" w:rsidRDefault="00802946" w:rsidP="00802946">
    <w:pPr>
      <w:pStyle w:val="Heading2"/>
    </w:pPr>
    <w:bookmarkStart w:id="1" w:name="_Toc69310646"/>
    <w:bookmarkStart w:id="2" w:name="_Toc2856275"/>
    <w:bookmarkStart w:id="3" w:name="_Toc2856798"/>
  </w:p>
  <w:p w14:paraId="67207ECE" w14:textId="77777777" w:rsidR="00802946" w:rsidRDefault="00802946" w:rsidP="00802946">
    <w:pPr>
      <w:pStyle w:val="Heading2"/>
    </w:pPr>
  </w:p>
  <w:bookmarkEnd w:id="1"/>
  <w:bookmarkEnd w:id="2"/>
  <w:bookmarkEnd w:id="3"/>
  <w:p w14:paraId="5512A8A9" w14:textId="77777777" w:rsidR="00802946" w:rsidRDefault="00802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FEC7" w14:textId="77777777" w:rsidR="00802946" w:rsidRDefault="00802946" w:rsidP="00802946">
    <w:pPr>
      <w:pStyle w:val="Heading2"/>
    </w:pPr>
  </w:p>
  <w:p w14:paraId="2AE20670" w14:textId="77777777" w:rsidR="00802946" w:rsidRDefault="00802946" w:rsidP="00802946">
    <w:pPr>
      <w:pStyle w:val="Heading2"/>
    </w:pPr>
  </w:p>
  <w:p w14:paraId="3C1DD0FA" w14:textId="77F11B3D" w:rsidR="00802946" w:rsidRDefault="00802946" w:rsidP="00802946">
    <w:pPr>
      <w:pStyle w:val="Heading2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59906D36" wp14:editId="14BAA775">
              <wp:simplePos x="0" y="0"/>
              <wp:positionH relativeFrom="page">
                <wp:posOffset>1123315</wp:posOffset>
              </wp:positionH>
              <wp:positionV relativeFrom="paragraph">
                <wp:posOffset>306070</wp:posOffset>
              </wp:positionV>
              <wp:extent cx="5316855" cy="0"/>
              <wp:effectExtent l="8890" t="13970" r="8255" b="5080"/>
              <wp:wrapTopAndBottom/>
              <wp:docPr id="2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BCA6B" id="Line 4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" strokeweight=".72pt">
              <w10:wrap type="topAndBottom" anchorx="page"/>
            </v:line>
          </w:pict>
        </mc:Fallback>
      </mc:AlternateContent>
    </w:r>
  </w:p>
  <w:p w14:paraId="5EE6DBF0" w14:textId="77777777" w:rsidR="00802946" w:rsidRDefault="00802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9E40" w14:textId="77777777" w:rsidR="00802946" w:rsidRDefault="00802946" w:rsidP="00802946">
    <w:pPr>
      <w:pStyle w:val="Heading2"/>
    </w:pPr>
  </w:p>
  <w:p w14:paraId="255FEDCB" w14:textId="77777777" w:rsidR="00802946" w:rsidRDefault="00802946" w:rsidP="00802946">
    <w:pPr>
      <w:pStyle w:val="Heading2"/>
    </w:pPr>
  </w:p>
  <w:p w14:paraId="6C3257D7" w14:textId="103A96FF" w:rsidR="00802946" w:rsidRDefault="00802946" w:rsidP="00802946">
    <w:pPr>
      <w:pStyle w:val="Heading2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345E547D" wp14:editId="21DC1248">
              <wp:simplePos x="0" y="0"/>
              <wp:positionH relativeFrom="page">
                <wp:posOffset>1123315</wp:posOffset>
              </wp:positionH>
              <wp:positionV relativeFrom="paragraph">
                <wp:posOffset>306070</wp:posOffset>
              </wp:positionV>
              <wp:extent cx="5316855" cy="0"/>
              <wp:effectExtent l="8890" t="13970" r="8255" b="5080"/>
              <wp:wrapTopAndBottom/>
              <wp:docPr id="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39603" id="Line 4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" strokeweight=".72pt">
              <w10:wrap type="topAndBottom" anchorx="page"/>
            </v:line>
          </w:pict>
        </mc:Fallback>
      </mc:AlternateContent>
    </w:r>
    <w:r>
      <w:t xml:space="preserve">Section </w:t>
    </w:r>
    <w:r>
      <w:t>1</w:t>
    </w:r>
  </w:p>
  <w:p w14:paraId="6260BDCD" w14:textId="77777777" w:rsidR="00802946" w:rsidRDefault="008029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1D0D" w14:textId="77777777" w:rsidR="00802946" w:rsidRDefault="00802946" w:rsidP="00802946">
    <w:pPr>
      <w:pStyle w:val="Heading2"/>
    </w:pPr>
  </w:p>
  <w:p w14:paraId="675471E2" w14:textId="77777777" w:rsidR="00802946" w:rsidRDefault="00802946" w:rsidP="00802946">
    <w:pPr>
      <w:pStyle w:val="Heading2"/>
    </w:pPr>
  </w:p>
  <w:p w14:paraId="293278FE" w14:textId="105870DB" w:rsidR="00802946" w:rsidRDefault="00802946" w:rsidP="003B48E8">
    <w:pPr>
      <w:pStyle w:val="Heading2"/>
      <w:jc w:val="righ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0503DF3" wp14:editId="31656AF2">
              <wp:simplePos x="0" y="0"/>
              <wp:positionH relativeFrom="page">
                <wp:posOffset>1123315</wp:posOffset>
              </wp:positionH>
              <wp:positionV relativeFrom="paragraph">
                <wp:posOffset>306070</wp:posOffset>
              </wp:positionV>
              <wp:extent cx="5316855" cy="0"/>
              <wp:effectExtent l="8890" t="13970" r="8255" b="5080"/>
              <wp:wrapTopAndBottom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35ABD" id="Line 4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" strokeweight=".72pt">
              <w10:wrap type="topAndBottom" anchorx="page"/>
            </v:line>
          </w:pict>
        </mc:Fallback>
      </mc:AlternateContent>
    </w:r>
    <w:r>
      <w:t xml:space="preserve">Section </w:t>
    </w:r>
    <w:r>
      <w:t>5</w:t>
    </w:r>
  </w:p>
  <w:p w14:paraId="34A2457B" w14:textId="77777777" w:rsidR="00802946" w:rsidRDefault="0080294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BD" w14:textId="77777777" w:rsidR="00802946" w:rsidRDefault="00802946" w:rsidP="00802946">
    <w:pPr>
      <w:pStyle w:val="Heading2"/>
    </w:pPr>
  </w:p>
  <w:p w14:paraId="29A27FD8" w14:textId="77777777" w:rsidR="00802946" w:rsidRDefault="00802946" w:rsidP="00802946">
    <w:pPr>
      <w:pStyle w:val="Heading2"/>
    </w:pPr>
  </w:p>
  <w:p w14:paraId="5A0F4B7F" w14:textId="3BE01F32" w:rsidR="00802946" w:rsidRDefault="00802946" w:rsidP="00802946">
    <w:pPr>
      <w:pStyle w:val="Heading2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293449F9" wp14:editId="5606A15C">
              <wp:simplePos x="0" y="0"/>
              <wp:positionH relativeFrom="page">
                <wp:posOffset>1123315</wp:posOffset>
              </wp:positionH>
              <wp:positionV relativeFrom="paragraph">
                <wp:posOffset>306070</wp:posOffset>
              </wp:positionV>
              <wp:extent cx="5316855" cy="0"/>
              <wp:effectExtent l="8890" t="13970" r="8255" b="5080"/>
              <wp:wrapTopAndBottom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87E9A" id="Line 4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" strokeweight=".72pt">
              <w10:wrap type="topAndBottom" anchorx="page"/>
            </v:line>
          </w:pict>
        </mc:Fallback>
      </mc:AlternateContent>
    </w:r>
  </w:p>
  <w:p w14:paraId="17D032A9" w14:textId="77777777" w:rsidR="00802946" w:rsidRDefault="00802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34"/>
    <w:multiLevelType w:val="hybridMultilevel"/>
    <w:tmpl w:val="44806A4A"/>
    <w:lvl w:ilvl="0" w:tplc="3872E55C">
      <w:start w:val="1"/>
      <w:numFmt w:val="lowerLetter"/>
      <w:lvlText w:val="(%1)"/>
      <w:lvlJc w:val="left"/>
      <w:pPr>
        <w:ind w:left="2493" w:hanging="370"/>
      </w:pPr>
      <w:rPr>
        <w:rFonts w:ascii="Times New Roman" w:eastAsia="Times New Roman" w:hAnsi="Times New Roman" w:cs="Times New Roman" w:hint="default"/>
        <w:spacing w:val="-10"/>
        <w:w w:val="97"/>
        <w:sz w:val="18"/>
        <w:szCs w:val="18"/>
        <w:lang w:val="en-AU" w:eastAsia="en-AU" w:bidi="en-AU"/>
      </w:rPr>
    </w:lvl>
    <w:lvl w:ilvl="1" w:tplc="B0B23F64">
      <w:numFmt w:val="bullet"/>
      <w:lvlText w:val="•"/>
      <w:lvlJc w:val="left"/>
      <w:pPr>
        <w:ind w:left="3120" w:hanging="370"/>
      </w:pPr>
      <w:rPr>
        <w:rFonts w:hint="default"/>
        <w:lang w:val="en-AU" w:eastAsia="en-AU" w:bidi="en-AU"/>
      </w:rPr>
    </w:lvl>
    <w:lvl w:ilvl="2" w:tplc="61683BE2">
      <w:numFmt w:val="bullet"/>
      <w:lvlText w:val="•"/>
      <w:lvlJc w:val="left"/>
      <w:pPr>
        <w:ind w:left="3741" w:hanging="370"/>
      </w:pPr>
      <w:rPr>
        <w:rFonts w:hint="default"/>
        <w:lang w:val="en-AU" w:eastAsia="en-AU" w:bidi="en-AU"/>
      </w:rPr>
    </w:lvl>
    <w:lvl w:ilvl="3" w:tplc="BF804AB4">
      <w:numFmt w:val="bullet"/>
      <w:lvlText w:val="•"/>
      <w:lvlJc w:val="left"/>
      <w:pPr>
        <w:ind w:left="4361" w:hanging="370"/>
      </w:pPr>
      <w:rPr>
        <w:rFonts w:hint="default"/>
        <w:lang w:val="en-AU" w:eastAsia="en-AU" w:bidi="en-AU"/>
      </w:rPr>
    </w:lvl>
    <w:lvl w:ilvl="4" w:tplc="4F62D58C">
      <w:numFmt w:val="bullet"/>
      <w:lvlText w:val="•"/>
      <w:lvlJc w:val="left"/>
      <w:pPr>
        <w:ind w:left="4982" w:hanging="370"/>
      </w:pPr>
      <w:rPr>
        <w:rFonts w:hint="default"/>
        <w:lang w:val="en-AU" w:eastAsia="en-AU" w:bidi="en-AU"/>
      </w:rPr>
    </w:lvl>
    <w:lvl w:ilvl="5" w:tplc="E14CA576">
      <w:numFmt w:val="bullet"/>
      <w:lvlText w:val="•"/>
      <w:lvlJc w:val="left"/>
      <w:pPr>
        <w:ind w:left="5603" w:hanging="370"/>
      </w:pPr>
      <w:rPr>
        <w:rFonts w:hint="default"/>
        <w:lang w:val="en-AU" w:eastAsia="en-AU" w:bidi="en-AU"/>
      </w:rPr>
    </w:lvl>
    <w:lvl w:ilvl="6" w:tplc="34A036D2">
      <w:numFmt w:val="bullet"/>
      <w:lvlText w:val="•"/>
      <w:lvlJc w:val="left"/>
      <w:pPr>
        <w:ind w:left="6223" w:hanging="370"/>
      </w:pPr>
      <w:rPr>
        <w:rFonts w:hint="default"/>
        <w:lang w:val="en-AU" w:eastAsia="en-AU" w:bidi="en-AU"/>
      </w:rPr>
    </w:lvl>
    <w:lvl w:ilvl="7" w:tplc="A68E1894">
      <w:numFmt w:val="bullet"/>
      <w:lvlText w:val="•"/>
      <w:lvlJc w:val="left"/>
      <w:pPr>
        <w:ind w:left="6844" w:hanging="370"/>
      </w:pPr>
      <w:rPr>
        <w:rFonts w:hint="default"/>
        <w:lang w:val="en-AU" w:eastAsia="en-AU" w:bidi="en-AU"/>
      </w:rPr>
    </w:lvl>
    <w:lvl w:ilvl="8" w:tplc="3C2E0E52">
      <w:numFmt w:val="bullet"/>
      <w:lvlText w:val="•"/>
      <w:lvlJc w:val="left"/>
      <w:pPr>
        <w:ind w:left="7465" w:hanging="370"/>
      </w:pPr>
      <w:rPr>
        <w:rFonts w:hint="default"/>
        <w:lang w:val="en-AU" w:eastAsia="en-AU" w:bidi="en-AU"/>
      </w:rPr>
    </w:lvl>
  </w:abstractNum>
  <w:abstractNum w:abstractNumId="1" w15:restartNumberingAfterBreak="0">
    <w:nsid w:val="07236ED2"/>
    <w:multiLevelType w:val="hybridMultilevel"/>
    <w:tmpl w:val="5B8EC71A"/>
    <w:lvl w:ilvl="0" w:tplc="CD582E58">
      <w:start w:val="1"/>
      <w:numFmt w:val="lowerLetter"/>
      <w:lvlText w:val="(%1)"/>
      <w:lvlJc w:val="left"/>
      <w:pPr>
        <w:ind w:left="2493" w:hanging="370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  <w:lang w:val="en-AU" w:eastAsia="en-AU" w:bidi="en-AU"/>
      </w:rPr>
    </w:lvl>
    <w:lvl w:ilvl="1" w:tplc="5A10B12A">
      <w:numFmt w:val="bullet"/>
      <w:lvlText w:val="•"/>
      <w:lvlJc w:val="left"/>
      <w:pPr>
        <w:ind w:left="3120" w:hanging="370"/>
      </w:pPr>
      <w:rPr>
        <w:rFonts w:hint="default"/>
        <w:lang w:val="en-AU" w:eastAsia="en-AU" w:bidi="en-AU"/>
      </w:rPr>
    </w:lvl>
    <w:lvl w:ilvl="2" w:tplc="19B8FA90">
      <w:numFmt w:val="bullet"/>
      <w:lvlText w:val="•"/>
      <w:lvlJc w:val="left"/>
      <w:pPr>
        <w:ind w:left="3741" w:hanging="370"/>
      </w:pPr>
      <w:rPr>
        <w:rFonts w:hint="default"/>
        <w:lang w:val="en-AU" w:eastAsia="en-AU" w:bidi="en-AU"/>
      </w:rPr>
    </w:lvl>
    <w:lvl w:ilvl="3" w:tplc="F41C84A6">
      <w:numFmt w:val="bullet"/>
      <w:lvlText w:val="•"/>
      <w:lvlJc w:val="left"/>
      <w:pPr>
        <w:ind w:left="4361" w:hanging="370"/>
      </w:pPr>
      <w:rPr>
        <w:rFonts w:hint="default"/>
        <w:lang w:val="en-AU" w:eastAsia="en-AU" w:bidi="en-AU"/>
      </w:rPr>
    </w:lvl>
    <w:lvl w:ilvl="4" w:tplc="7C22A0F2">
      <w:numFmt w:val="bullet"/>
      <w:lvlText w:val="•"/>
      <w:lvlJc w:val="left"/>
      <w:pPr>
        <w:ind w:left="4982" w:hanging="370"/>
      </w:pPr>
      <w:rPr>
        <w:rFonts w:hint="default"/>
        <w:lang w:val="en-AU" w:eastAsia="en-AU" w:bidi="en-AU"/>
      </w:rPr>
    </w:lvl>
    <w:lvl w:ilvl="5" w:tplc="F71688EA">
      <w:numFmt w:val="bullet"/>
      <w:lvlText w:val="•"/>
      <w:lvlJc w:val="left"/>
      <w:pPr>
        <w:ind w:left="5603" w:hanging="370"/>
      </w:pPr>
      <w:rPr>
        <w:rFonts w:hint="default"/>
        <w:lang w:val="en-AU" w:eastAsia="en-AU" w:bidi="en-AU"/>
      </w:rPr>
    </w:lvl>
    <w:lvl w:ilvl="6" w:tplc="1898CEA8">
      <w:numFmt w:val="bullet"/>
      <w:lvlText w:val="•"/>
      <w:lvlJc w:val="left"/>
      <w:pPr>
        <w:ind w:left="6223" w:hanging="370"/>
      </w:pPr>
      <w:rPr>
        <w:rFonts w:hint="default"/>
        <w:lang w:val="en-AU" w:eastAsia="en-AU" w:bidi="en-AU"/>
      </w:rPr>
    </w:lvl>
    <w:lvl w:ilvl="7" w:tplc="B8063F80">
      <w:numFmt w:val="bullet"/>
      <w:lvlText w:val="•"/>
      <w:lvlJc w:val="left"/>
      <w:pPr>
        <w:ind w:left="6844" w:hanging="370"/>
      </w:pPr>
      <w:rPr>
        <w:rFonts w:hint="default"/>
        <w:lang w:val="en-AU" w:eastAsia="en-AU" w:bidi="en-AU"/>
      </w:rPr>
    </w:lvl>
    <w:lvl w:ilvl="8" w:tplc="9884989C">
      <w:numFmt w:val="bullet"/>
      <w:lvlText w:val="•"/>
      <w:lvlJc w:val="left"/>
      <w:pPr>
        <w:ind w:left="7465" w:hanging="370"/>
      </w:pPr>
      <w:rPr>
        <w:rFonts w:hint="default"/>
        <w:lang w:val="en-AU" w:eastAsia="en-AU" w:bidi="en-AU"/>
      </w:rPr>
    </w:lvl>
  </w:abstractNum>
  <w:abstractNum w:abstractNumId="2" w15:restartNumberingAfterBreak="0">
    <w:nsid w:val="191452A5"/>
    <w:multiLevelType w:val="hybridMultilevel"/>
    <w:tmpl w:val="A4783B20"/>
    <w:lvl w:ilvl="0" w:tplc="9FE0D68A">
      <w:start w:val="1"/>
      <w:numFmt w:val="lowerLetter"/>
      <w:lvlText w:val="(%1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16D8AB70">
      <w:numFmt w:val="bullet"/>
      <w:lvlText w:val="•"/>
      <w:lvlJc w:val="left"/>
      <w:pPr>
        <w:ind w:left="2472" w:hanging="358"/>
      </w:pPr>
      <w:rPr>
        <w:rFonts w:hint="default"/>
        <w:lang w:val="en-AU" w:eastAsia="en-AU" w:bidi="en-AU"/>
      </w:rPr>
    </w:lvl>
    <w:lvl w:ilvl="2" w:tplc="9858FEF0">
      <w:numFmt w:val="bullet"/>
      <w:lvlText w:val="•"/>
      <w:lvlJc w:val="left"/>
      <w:pPr>
        <w:ind w:left="3165" w:hanging="358"/>
      </w:pPr>
      <w:rPr>
        <w:rFonts w:hint="default"/>
        <w:lang w:val="en-AU" w:eastAsia="en-AU" w:bidi="en-AU"/>
      </w:rPr>
    </w:lvl>
    <w:lvl w:ilvl="3" w:tplc="EF9492FE">
      <w:numFmt w:val="bullet"/>
      <w:lvlText w:val="•"/>
      <w:lvlJc w:val="left"/>
      <w:pPr>
        <w:ind w:left="3857" w:hanging="358"/>
      </w:pPr>
      <w:rPr>
        <w:rFonts w:hint="default"/>
        <w:lang w:val="en-AU" w:eastAsia="en-AU" w:bidi="en-AU"/>
      </w:rPr>
    </w:lvl>
    <w:lvl w:ilvl="4" w:tplc="B49AF4C0">
      <w:numFmt w:val="bullet"/>
      <w:lvlText w:val="•"/>
      <w:lvlJc w:val="left"/>
      <w:pPr>
        <w:ind w:left="4550" w:hanging="358"/>
      </w:pPr>
      <w:rPr>
        <w:rFonts w:hint="default"/>
        <w:lang w:val="en-AU" w:eastAsia="en-AU" w:bidi="en-AU"/>
      </w:rPr>
    </w:lvl>
    <w:lvl w:ilvl="5" w:tplc="FE140A18">
      <w:numFmt w:val="bullet"/>
      <w:lvlText w:val="•"/>
      <w:lvlJc w:val="left"/>
      <w:pPr>
        <w:ind w:left="5243" w:hanging="358"/>
      </w:pPr>
      <w:rPr>
        <w:rFonts w:hint="default"/>
        <w:lang w:val="en-AU" w:eastAsia="en-AU" w:bidi="en-AU"/>
      </w:rPr>
    </w:lvl>
    <w:lvl w:ilvl="6" w:tplc="B79EAFF8">
      <w:numFmt w:val="bullet"/>
      <w:lvlText w:val="•"/>
      <w:lvlJc w:val="left"/>
      <w:pPr>
        <w:ind w:left="5935" w:hanging="358"/>
      </w:pPr>
      <w:rPr>
        <w:rFonts w:hint="default"/>
        <w:lang w:val="en-AU" w:eastAsia="en-AU" w:bidi="en-AU"/>
      </w:rPr>
    </w:lvl>
    <w:lvl w:ilvl="7" w:tplc="6AEAF852">
      <w:numFmt w:val="bullet"/>
      <w:lvlText w:val="•"/>
      <w:lvlJc w:val="left"/>
      <w:pPr>
        <w:ind w:left="6628" w:hanging="358"/>
      </w:pPr>
      <w:rPr>
        <w:rFonts w:hint="default"/>
        <w:lang w:val="en-AU" w:eastAsia="en-AU" w:bidi="en-AU"/>
      </w:rPr>
    </w:lvl>
    <w:lvl w:ilvl="8" w:tplc="298ADE12">
      <w:numFmt w:val="bullet"/>
      <w:lvlText w:val="•"/>
      <w:lvlJc w:val="left"/>
      <w:pPr>
        <w:ind w:left="7321" w:hanging="358"/>
      </w:pPr>
      <w:rPr>
        <w:rFonts w:hint="default"/>
        <w:lang w:val="en-AU" w:eastAsia="en-AU" w:bidi="en-AU"/>
      </w:rPr>
    </w:lvl>
  </w:abstractNum>
  <w:abstractNum w:abstractNumId="3" w15:restartNumberingAfterBreak="0">
    <w:nsid w:val="3D3D0C5D"/>
    <w:multiLevelType w:val="hybridMultilevel"/>
    <w:tmpl w:val="39F24D4E"/>
    <w:lvl w:ilvl="0" w:tplc="678A74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22EA7"/>
    <w:multiLevelType w:val="hybridMultilevel"/>
    <w:tmpl w:val="035678C6"/>
    <w:lvl w:ilvl="0" w:tplc="B5146622">
      <w:start w:val="1"/>
      <w:numFmt w:val="lowerLetter"/>
      <w:lvlText w:val="(%1)"/>
      <w:lvlJc w:val="left"/>
      <w:pPr>
        <w:ind w:left="1063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B20E3A42">
      <w:numFmt w:val="bullet"/>
      <w:lvlText w:val="•"/>
      <w:lvlJc w:val="left"/>
      <w:pPr>
        <w:ind w:left="1697" w:hanging="531"/>
      </w:pPr>
      <w:rPr>
        <w:rFonts w:hint="default"/>
        <w:lang w:val="en-AU" w:eastAsia="en-AU" w:bidi="en-AU"/>
      </w:rPr>
    </w:lvl>
    <w:lvl w:ilvl="2" w:tplc="4296C0F4">
      <w:numFmt w:val="bullet"/>
      <w:lvlText w:val="•"/>
      <w:lvlJc w:val="left"/>
      <w:pPr>
        <w:ind w:left="2334" w:hanging="531"/>
      </w:pPr>
      <w:rPr>
        <w:rFonts w:hint="default"/>
        <w:lang w:val="en-AU" w:eastAsia="en-AU" w:bidi="en-AU"/>
      </w:rPr>
    </w:lvl>
    <w:lvl w:ilvl="3" w:tplc="DE5E6C76">
      <w:numFmt w:val="bullet"/>
      <w:lvlText w:val="•"/>
      <w:lvlJc w:val="left"/>
      <w:pPr>
        <w:ind w:left="2972" w:hanging="531"/>
      </w:pPr>
      <w:rPr>
        <w:rFonts w:hint="default"/>
        <w:lang w:val="en-AU" w:eastAsia="en-AU" w:bidi="en-AU"/>
      </w:rPr>
    </w:lvl>
    <w:lvl w:ilvl="4" w:tplc="456CA066">
      <w:numFmt w:val="bullet"/>
      <w:lvlText w:val="•"/>
      <w:lvlJc w:val="left"/>
      <w:pPr>
        <w:ind w:left="3609" w:hanging="531"/>
      </w:pPr>
      <w:rPr>
        <w:rFonts w:hint="default"/>
        <w:lang w:val="en-AU" w:eastAsia="en-AU" w:bidi="en-AU"/>
      </w:rPr>
    </w:lvl>
    <w:lvl w:ilvl="5" w:tplc="F918B380">
      <w:numFmt w:val="bullet"/>
      <w:lvlText w:val="•"/>
      <w:lvlJc w:val="left"/>
      <w:pPr>
        <w:ind w:left="4247" w:hanging="531"/>
      </w:pPr>
      <w:rPr>
        <w:rFonts w:hint="default"/>
        <w:lang w:val="en-AU" w:eastAsia="en-AU" w:bidi="en-AU"/>
      </w:rPr>
    </w:lvl>
    <w:lvl w:ilvl="6" w:tplc="C714BFCE">
      <w:numFmt w:val="bullet"/>
      <w:lvlText w:val="•"/>
      <w:lvlJc w:val="left"/>
      <w:pPr>
        <w:ind w:left="4884" w:hanging="531"/>
      </w:pPr>
      <w:rPr>
        <w:rFonts w:hint="default"/>
        <w:lang w:val="en-AU" w:eastAsia="en-AU" w:bidi="en-AU"/>
      </w:rPr>
    </w:lvl>
    <w:lvl w:ilvl="7" w:tplc="C5280C1E">
      <w:numFmt w:val="bullet"/>
      <w:lvlText w:val="•"/>
      <w:lvlJc w:val="left"/>
      <w:pPr>
        <w:ind w:left="5522" w:hanging="531"/>
      </w:pPr>
      <w:rPr>
        <w:rFonts w:hint="default"/>
        <w:lang w:val="en-AU" w:eastAsia="en-AU" w:bidi="en-AU"/>
      </w:rPr>
    </w:lvl>
    <w:lvl w:ilvl="8" w:tplc="3A647486">
      <w:numFmt w:val="bullet"/>
      <w:lvlText w:val="•"/>
      <w:lvlJc w:val="left"/>
      <w:pPr>
        <w:ind w:left="6159" w:hanging="531"/>
      </w:pPr>
      <w:rPr>
        <w:rFonts w:hint="default"/>
        <w:lang w:val="en-AU" w:eastAsia="en-AU" w:bidi="en-AU"/>
      </w:rPr>
    </w:lvl>
  </w:abstractNum>
  <w:abstractNum w:abstractNumId="5" w15:restartNumberingAfterBreak="0">
    <w:nsid w:val="55DD4B19"/>
    <w:multiLevelType w:val="hybridMultilevel"/>
    <w:tmpl w:val="99189E7E"/>
    <w:lvl w:ilvl="0" w:tplc="AF4EB9F0">
      <w:start w:val="1"/>
      <w:numFmt w:val="lowerLetter"/>
      <w:lvlText w:val="(%1)"/>
      <w:lvlJc w:val="left"/>
      <w:pPr>
        <w:ind w:left="52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0C09001B">
      <w:start w:val="1"/>
      <w:numFmt w:val="lowerRoman"/>
      <w:lvlText w:val="%2."/>
      <w:lvlJc w:val="right"/>
      <w:pPr>
        <w:ind w:left="1212" w:hanging="358"/>
      </w:pPr>
      <w:rPr>
        <w:rFonts w:hint="default"/>
        <w:lang w:val="en-AU" w:eastAsia="en-AU" w:bidi="en-AU"/>
      </w:rPr>
    </w:lvl>
    <w:lvl w:ilvl="2" w:tplc="C666EE8E">
      <w:numFmt w:val="bullet"/>
      <w:lvlText w:val="•"/>
      <w:lvlJc w:val="left"/>
      <w:pPr>
        <w:ind w:left="1905" w:hanging="358"/>
      </w:pPr>
      <w:rPr>
        <w:rFonts w:hint="default"/>
        <w:lang w:val="en-AU" w:eastAsia="en-AU" w:bidi="en-AU"/>
      </w:rPr>
    </w:lvl>
    <w:lvl w:ilvl="3" w:tplc="4112C5D2">
      <w:numFmt w:val="bullet"/>
      <w:lvlText w:val="•"/>
      <w:lvlJc w:val="left"/>
      <w:pPr>
        <w:ind w:left="2598" w:hanging="358"/>
      </w:pPr>
      <w:rPr>
        <w:rFonts w:hint="default"/>
        <w:lang w:val="en-AU" w:eastAsia="en-AU" w:bidi="en-AU"/>
      </w:rPr>
    </w:lvl>
    <w:lvl w:ilvl="4" w:tplc="872C34E0">
      <w:numFmt w:val="bullet"/>
      <w:lvlText w:val="•"/>
      <w:lvlJc w:val="left"/>
      <w:pPr>
        <w:ind w:left="3291" w:hanging="358"/>
      </w:pPr>
      <w:rPr>
        <w:rFonts w:hint="default"/>
        <w:lang w:val="en-AU" w:eastAsia="en-AU" w:bidi="en-AU"/>
      </w:rPr>
    </w:lvl>
    <w:lvl w:ilvl="5" w:tplc="F6801F22">
      <w:numFmt w:val="bullet"/>
      <w:lvlText w:val="•"/>
      <w:lvlJc w:val="left"/>
      <w:pPr>
        <w:ind w:left="3984" w:hanging="358"/>
      </w:pPr>
      <w:rPr>
        <w:rFonts w:hint="default"/>
        <w:lang w:val="en-AU" w:eastAsia="en-AU" w:bidi="en-AU"/>
      </w:rPr>
    </w:lvl>
    <w:lvl w:ilvl="6" w:tplc="B1EC2944">
      <w:numFmt w:val="bullet"/>
      <w:lvlText w:val="•"/>
      <w:lvlJc w:val="left"/>
      <w:pPr>
        <w:ind w:left="4677" w:hanging="358"/>
      </w:pPr>
      <w:rPr>
        <w:rFonts w:hint="default"/>
        <w:lang w:val="en-AU" w:eastAsia="en-AU" w:bidi="en-AU"/>
      </w:rPr>
    </w:lvl>
    <w:lvl w:ilvl="7" w:tplc="984889F2">
      <w:numFmt w:val="bullet"/>
      <w:lvlText w:val="•"/>
      <w:lvlJc w:val="left"/>
      <w:pPr>
        <w:ind w:left="5369" w:hanging="358"/>
      </w:pPr>
      <w:rPr>
        <w:rFonts w:hint="default"/>
        <w:lang w:val="en-AU" w:eastAsia="en-AU" w:bidi="en-AU"/>
      </w:rPr>
    </w:lvl>
    <w:lvl w:ilvl="8" w:tplc="8C44B556">
      <w:numFmt w:val="bullet"/>
      <w:lvlText w:val="•"/>
      <w:lvlJc w:val="left"/>
      <w:pPr>
        <w:ind w:left="6062" w:hanging="358"/>
      </w:pPr>
      <w:rPr>
        <w:rFonts w:hint="default"/>
        <w:lang w:val="en-AU" w:eastAsia="en-AU" w:bidi="en-AU"/>
      </w:rPr>
    </w:lvl>
  </w:abstractNum>
  <w:abstractNum w:abstractNumId="6" w15:restartNumberingAfterBreak="0">
    <w:nsid w:val="65B75C11"/>
    <w:multiLevelType w:val="hybridMultilevel"/>
    <w:tmpl w:val="8168D406"/>
    <w:lvl w:ilvl="0" w:tplc="750A7AA0">
      <w:start w:val="1"/>
      <w:numFmt w:val="decimal"/>
      <w:lvlText w:val="%1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AU" w:eastAsia="en-AU" w:bidi="en-AU"/>
      </w:rPr>
    </w:lvl>
    <w:lvl w:ilvl="1" w:tplc="CFE4D47A">
      <w:start w:val="1"/>
      <w:numFmt w:val="decimal"/>
      <w:lvlText w:val="(%2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2" w:tplc="D24E91AC">
      <w:start w:val="1"/>
      <w:numFmt w:val="lowerLetter"/>
      <w:lvlText w:val="(%3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3" w:tplc="EC94A596">
      <w:numFmt w:val="bullet"/>
      <w:lvlText w:val="•"/>
      <w:lvlJc w:val="left"/>
      <w:pPr>
        <w:ind w:left="1684" w:hanging="358"/>
      </w:pPr>
      <w:rPr>
        <w:rFonts w:hint="default"/>
        <w:lang w:val="en-AU" w:eastAsia="en-AU" w:bidi="en-AU"/>
      </w:rPr>
    </w:lvl>
    <w:lvl w:ilvl="4" w:tplc="D6E6D750">
      <w:numFmt w:val="bullet"/>
      <w:lvlText w:val="•"/>
      <w:lvlJc w:val="left"/>
      <w:pPr>
        <w:ind w:left="1589" w:hanging="358"/>
      </w:pPr>
      <w:rPr>
        <w:rFonts w:hint="default"/>
        <w:lang w:val="en-AU" w:eastAsia="en-AU" w:bidi="en-AU"/>
      </w:rPr>
    </w:lvl>
    <w:lvl w:ilvl="5" w:tplc="D27EB220">
      <w:numFmt w:val="bullet"/>
      <w:lvlText w:val="•"/>
      <w:lvlJc w:val="left"/>
      <w:pPr>
        <w:ind w:left="1493" w:hanging="358"/>
      </w:pPr>
      <w:rPr>
        <w:rFonts w:hint="default"/>
        <w:lang w:val="en-AU" w:eastAsia="en-AU" w:bidi="en-AU"/>
      </w:rPr>
    </w:lvl>
    <w:lvl w:ilvl="6" w:tplc="17103252">
      <w:numFmt w:val="bullet"/>
      <w:lvlText w:val="•"/>
      <w:lvlJc w:val="left"/>
      <w:pPr>
        <w:ind w:left="1398" w:hanging="358"/>
      </w:pPr>
      <w:rPr>
        <w:rFonts w:hint="default"/>
        <w:lang w:val="en-AU" w:eastAsia="en-AU" w:bidi="en-AU"/>
      </w:rPr>
    </w:lvl>
    <w:lvl w:ilvl="7" w:tplc="CC8CA27A">
      <w:numFmt w:val="bullet"/>
      <w:lvlText w:val="•"/>
      <w:lvlJc w:val="left"/>
      <w:pPr>
        <w:ind w:left="1302" w:hanging="358"/>
      </w:pPr>
      <w:rPr>
        <w:rFonts w:hint="default"/>
        <w:lang w:val="en-AU" w:eastAsia="en-AU" w:bidi="en-AU"/>
      </w:rPr>
    </w:lvl>
    <w:lvl w:ilvl="8" w:tplc="CF3CE8F2">
      <w:numFmt w:val="bullet"/>
      <w:lvlText w:val="•"/>
      <w:lvlJc w:val="left"/>
      <w:pPr>
        <w:ind w:left="1207" w:hanging="358"/>
      </w:pPr>
      <w:rPr>
        <w:rFonts w:hint="default"/>
        <w:lang w:val="en-AU" w:eastAsia="en-AU" w:bidi="en-AU"/>
      </w:rPr>
    </w:lvl>
  </w:abstractNum>
  <w:num w:numId="1" w16cid:durableId="1501504642">
    <w:abstractNumId w:val="5"/>
  </w:num>
  <w:num w:numId="2" w16cid:durableId="1427925351">
    <w:abstractNumId w:val="2"/>
  </w:num>
  <w:num w:numId="3" w16cid:durableId="1463495182">
    <w:abstractNumId w:val="1"/>
  </w:num>
  <w:num w:numId="4" w16cid:durableId="346834067">
    <w:abstractNumId w:val="0"/>
  </w:num>
  <w:num w:numId="5" w16cid:durableId="98306362">
    <w:abstractNumId w:val="4"/>
  </w:num>
  <w:num w:numId="6" w16cid:durableId="372580362">
    <w:abstractNumId w:val="6"/>
  </w:num>
  <w:num w:numId="7" w16cid:durableId="141547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3"/>
    <w:rsid w:val="00346321"/>
    <w:rsid w:val="003B48E8"/>
    <w:rsid w:val="0065629F"/>
    <w:rsid w:val="00802946"/>
    <w:rsid w:val="008F1A0E"/>
    <w:rsid w:val="00A20ECF"/>
    <w:rsid w:val="00AB35C3"/>
    <w:rsid w:val="00C220DA"/>
    <w:rsid w:val="00CF5B37"/>
    <w:rsid w:val="00E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580E0"/>
  <w15:chartTrackingRefBased/>
  <w15:docId w15:val="{22A5B820-5554-4F28-A2A3-DFF7AC5F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AU" w:bidi="en-AU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AB35C3"/>
    <w:pPr>
      <w:ind w:left="378" w:hanging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B35C3"/>
    <w:pPr>
      <w:spacing w:before="17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5C3"/>
    <w:rPr>
      <w:rFonts w:ascii="Times New Roman" w:eastAsia="Times New Roman" w:hAnsi="Times New Roman" w:cs="Times New Roman"/>
      <w:b/>
      <w:bCs/>
      <w:kern w:val="0"/>
      <w:sz w:val="24"/>
      <w:szCs w:val="24"/>
      <w:lang w:eastAsia="en-AU" w:bidi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AB35C3"/>
    <w:rPr>
      <w:rFonts w:ascii="Times New Roman" w:eastAsia="Times New Roman" w:hAnsi="Times New Roman" w:cs="Times New Roman"/>
      <w:kern w:val="0"/>
      <w:sz w:val="24"/>
      <w:szCs w:val="24"/>
      <w:lang w:eastAsia="en-AU" w:bidi="en-AU"/>
      <w14:ligatures w14:val="none"/>
    </w:rPr>
  </w:style>
  <w:style w:type="paragraph" w:styleId="TOC1">
    <w:name w:val="toc 1"/>
    <w:basedOn w:val="Normal"/>
    <w:uiPriority w:val="39"/>
    <w:qFormat/>
    <w:rsid w:val="00AB35C3"/>
    <w:pPr>
      <w:spacing w:before="40"/>
      <w:ind w:left="776" w:hanging="679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B35C3"/>
  </w:style>
  <w:style w:type="character" w:customStyle="1" w:styleId="BodyTextChar">
    <w:name w:val="Body Text Char"/>
    <w:basedOn w:val="DefaultParagraphFont"/>
    <w:link w:val="BodyText"/>
    <w:uiPriority w:val="1"/>
    <w:rsid w:val="00AB35C3"/>
    <w:rPr>
      <w:rFonts w:ascii="Times New Roman" w:eastAsia="Times New Roman" w:hAnsi="Times New Roman" w:cs="Times New Roman"/>
      <w:kern w:val="0"/>
      <w:lang w:eastAsia="en-AU" w:bidi="en-AU"/>
      <w14:ligatures w14:val="none"/>
    </w:rPr>
  </w:style>
  <w:style w:type="paragraph" w:styleId="ListParagraph">
    <w:name w:val="List Paragraph"/>
    <w:basedOn w:val="Normal"/>
    <w:uiPriority w:val="1"/>
    <w:qFormat/>
    <w:rsid w:val="00AB35C3"/>
    <w:pPr>
      <w:spacing w:before="40"/>
      <w:ind w:left="1782" w:hanging="370"/>
    </w:pPr>
  </w:style>
  <w:style w:type="paragraph" w:customStyle="1" w:styleId="TableParagraph">
    <w:name w:val="Table Paragraph"/>
    <w:basedOn w:val="Normal"/>
    <w:uiPriority w:val="1"/>
    <w:qFormat/>
    <w:rsid w:val="00AB35C3"/>
    <w:pPr>
      <w:spacing w:before="33" w:line="209" w:lineRule="exact"/>
      <w:ind w:left="114"/>
    </w:pPr>
  </w:style>
  <w:style w:type="character" w:styleId="Hyperlink">
    <w:name w:val="Hyperlink"/>
    <w:basedOn w:val="DefaultParagraphFont"/>
    <w:uiPriority w:val="99"/>
    <w:unhideWhenUsed/>
    <w:rsid w:val="00AB35C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35C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B3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5C3"/>
    <w:rPr>
      <w:rFonts w:ascii="Times New Roman" w:eastAsia="Times New Roman" w:hAnsi="Times New Roman" w:cs="Times New Roman"/>
      <w:kern w:val="0"/>
      <w:lang w:eastAsia="en-AU" w:bidi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5C3"/>
    <w:rPr>
      <w:rFonts w:ascii="Times New Roman" w:eastAsia="Times New Roman" w:hAnsi="Times New Roman" w:cs="Times New Roman"/>
      <w:kern w:val="0"/>
      <w:lang w:eastAsia="en-AU" w:bidi="en-AU"/>
      <w14:ligatures w14:val="none"/>
    </w:rPr>
  </w:style>
  <w:style w:type="paragraph" w:customStyle="1" w:styleId="SignCoverPageEnd">
    <w:name w:val="SignCoverPageEnd"/>
    <w:basedOn w:val="Normal"/>
    <w:next w:val="Normal"/>
    <w:rsid w:val="00AB35C3"/>
    <w:pPr>
      <w:keepNext/>
      <w:widowControl/>
      <w:pBdr>
        <w:bottom w:val="single" w:sz="4" w:space="12" w:color="auto"/>
      </w:pBdr>
      <w:tabs>
        <w:tab w:val="left" w:pos="3402"/>
      </w:tabs>
      <w:autoSpaceDE/>
      <w:autoSpaceDN/>
      <w:spacing w:line="300" w:lineRule="atLeast"/>
      <w:ind w:right="397"/>
    </w:pPr>
    <w:rPr>
      <w:sz w:val="24"/>
      <w:szCs w:val="20"/>
      <w:lang w:bidi="ar-SA"/>
    </w:rPr>
  </w:style>
  <w:style w:type="paragraph" w:customStyle="1" w:styleId="ShortT">
    <w:name w:val="ShortT"/>
    <w:basedOn w:val="Normal"/>
    <w:next w:val="Normal"/>
    <w:qFormat/>
    <w:rsid w:val="00AB35C3"/>
    <w:pPr>
      <w:widowControl/>
      <w:autoSpaceDE/>
      <w:autoSpaceDN/>
    </w:pPr>
    <w:rPr>
      <w:b/>
      <w:sz w:val="40"/>
      <w:szCs w:val="20"/>
      <w:lang w:bidi="ar-SA"/>
    </w:rPr>
  </w:style>
  <w:style w:type="paragraph" w:customStyle="1" w:styleId="SignCoverPageStart">
    <w:name w:val="SignCoverPageStart"/>
    <w:basedOn w:val="Normal"/>
    <w:next w:val="Normal"/>
    <w:rsid w:val="00AB35C3"/>
    <w:pPr>
      <w:widowControl/>
      <w:pBdr>
        <w:top w:val="single" w:sz="4" w:space="1" w:color="auto"/>
      </w:pBdr>
      <w:autoSpaceDE/>
      <w:autoSpaceDN/>
      <w:spacing w:before="360" w:line="260" w:lineRule="atLeast"/>
      <w:ind w:right="397"/>
      <w:jc w:val="both"/>
    </w:pPr>
    <w:rPr>
      <w:szCs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B35C3"/>
    <w:pPr>
      <w:spacing w:after="100"/>
      <w:ind w:left="2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35C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35C3"/>
    <w:pPr>
      <w:spacing w:after="100"/>
      <w:ind w:left="1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35C3"/>
    <w:pPr>
      <w:spacing w:after="100"/>
      <w:ind w:left="1760"/>
    </w:pPr>
  </w:style>
  <w:style w:type="paragraph" w:customStyle="1" w:styleId="ActHead1">
    <w:name w:val="ActHead 1"/>
    <w:aliases w:val="c"/>
    <w:basedOn w:val="Normal"/>
    <w:next w:val="Normal"/>
    <w:qFormat/>
    <w:rsid w:val="00AB35C3"/>
    <w:pPr>
      <w:keepNext/>
      <w:keepLines/>
      <w:widowControl/>
      <w:autoSpaceDE/>
      <w:autoSpaceDN/>
      <w:ind w:left="1134" w:hanging="1134"/>
      <w:outlineLvl w:val="0"/>
    </w:pPr>
    <w:rPr>
      <w:b/>
      <w:kern w:val="28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Eliza</dc:creator>
  <cp:keywords/>
  <dc:description/>
  <cp:lastModifiedBy>Wilson, Eliza</cp:lastModifiedBy>
  <cp:revision>6</cp:revision>
  <dcterms:created xsi:type="dcterms:W3CDTF">2023-06-13T02:38:00Z</dcterms:created>
  <dcterms:modified xsi:type="dcterms:W3CDTF">2023-06-13T03:12:00Z</dcterms:modified>
</cp:coreProperties>
</file>