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82230" w14:textId="77777777" w:rsidR="002B1DB3" w:rsidRPr="007B401D" w:rsidRDefault="001813AC" w:rsidP="005D1ABF">
      <w:pPr>
        <w:spacing w:after="0" w:line="240" w:lineRule="auto"/>
        <w:jc w:val="center"/>
        <w:rPr>
          <w:rFonts w:ascii="Times New Roman" w:hAnsi="Times New Roman" w:cs="Times New Roman"/>
          <w:b/>
          <w:caps/>
          <w:sz w:val="24"/>
          <w:szCs w:val="24"/>
          <w:u w:val="single"/>
        </w:rPr>
      </w:pPr>
      <w:r w:rsidRPr="007B401D">
        <w:rPr>
          <w:rFonts w:ascii="Times New Roman" w:hAnsi="Times New Roman" w:cs="Times New Roman"/>
          <w:b/>
          <w:caps/>
          <w:sz w:val="24"/>
          <w:szCs w:val="24"/>
          <w:u w:val="single"/>
        </w:rPr>
        <w:t>Explanatory Statement</w:t>
      </w:r>
    </w:p>
    <w:p w14:paraId="4BB440A3" w14:textId="77777777" w:rsidR="005D1ABF" w:rsidRPr="007B401D" w:rsidRDefault="005D1ABF" w:rsidP="005D1ABF">
      <w:pPr>
        <w:spacing w:after="0" w:line="240" w:lineRule="auto"/>
        <w:jc w:val="center"/>
        <w:rPr>
          <w:rFonts w:ascii="Times New Roman" w:hAnsi="Times New Roman" w:cs="Times New Roman"/>
          <w:b/>
          <w:caps/>
          <w:sz w:val="24"/>
          <w:szCs w:val="24"/>
          <w:u w:val="single"/>
        </w:rPr>
      </w:pPr>
    </w:p>
    <w:p w14:paraId="5D2085B4" w14:textId="76BC1DB3" w:rsidR="002B1DB3" w:rsidRPr="007B401D" w:rsidRDefault="002B1DB3" w:rsidP="005D1ABF">
      <w:pPr>
        <w:spacing w:after="0" w:line="240" w:lineRule="auto"/>
        <w:jc w:val="center"/>
        <w:rPr>
          <w:rFonts w:ascii="Times New Roman" w:hAnsi="Times New Roman" w:cs="Times New Roman"/>
          <w:color w:val="FF0000"/>
          <w:sz w:val="24"/>
          <w:szCs w:val="24"/>
          <w:u w:val="single"/>
        </w:rPr>
      </w:pPr>
      <w:r w:rsidRPr="007B401D">
        <w:rPr>
          <w:rFonts w:ascii="Times New Roman" w:hAnsi="Times New Roman" w:cs="Times New Roman"/>
          <w:sz w:val="24"/>
          <w:szCs w:val="24"/>
          <w:u w:val="single"/>
        </w:rPr>
        <w:t>Issued by Authority of th</w:t>
      </w:r>
      <w:r w:rsidR="000A01DA" w:rsidRPr="007B401D">
        <w:rPr>
          <w:rFonts w:ascii="Times New Roman" w:hAnsi="Times New Roman" w:cs="Times New Roman"/>
          <w:sz w:val="24"/>
          <w:szCs w:val="24"/>
          <w:u w:val="single"/>
        </w:rPr>
        <w:t>e Minister for Agriculture, Fisheries and Forestry</w:t>
      </w:r>
    </w:p>
    <w:p w14:paraId="43B63816" w14:textId="77777777" w:rsidR="002B1DB3" w:rsidRPr="007B401D" w:rsidRDefault="002B1DB3" w:rsidP="005D1ABF">
      <w:pPr>
        <w:spacing w:after="0" w:line="240" w:lineRule="auto"/>
        <w:jc w:val="center"/>
        <w:rPr>
          <w:rFonts w:ascii="Times New Roman" w:hAnsi="Times New Roman" w:cs="Times New Roman"/>
          <w:sz w:val="24"/>
          <w:szCs w:val="24"/>
        </w:rPr>
      </w:pPr>
    </w:p>
    <w:p w14:paraId="21032A4C" w14:textId="6E2961AF" w:rsidR="00A34125" w:rsidRDefault="00CD1136" w:rsidP="005D1ABF">
      <w:pPr>
        <w:spacing w:after="0" w:line="240" w:lineRule="auto"/>
        <w:jc w:val="center"/>
        <w:rPr>
          <w:rFonts w:ascii="Times New Roman" w:hAnsi="Times New Roman" w:cs="Times New Roman"/>
          <w:i/>
          <w:snapToGrid w:val="0"/>
          <w:sz w:val="24"/>
          <w:szCs w:val="24"/>
        </w:rPr>
      </w:pPr>
      <w:r w:rsidRPr="00CD1136">
        <w:rPr>
          <w:rFonts w:ascii="Times New Roman" w:hAnsi="Times New Roman" w:cs="Times New Roman"/>
          <w:i/>
          <w:snapToGrid w:val="0"/>
          <w:sz w:val="24"/>
          <w:szCs w:val="24"/>
        </w:rPr>
        <w:t>Illegal Logging Prohibition Act 2012</w:t>
      </w:r>
    </w:p>
    <w:p w14:paraId="44956E03" w14:textId="77777777" w:rsidR="00CD1136" w:rsidRPr="007B401D" w:rsidRDefault="00CD1136" w:rsidP="005D1ABF">
      <w:pPr>
        <w:spacing w:after="0" w:line="240" w:lineRule="auto"/>
        <w:jc w:val="center"/>
        <w:rPr>
          <w:rFonts w:ascii="Times New Roman" w:hAnsi="Times New Roman" w:cs="Times New Roman"/>
          <w:i/>
          <w:snapToGrid w:val="0"/>
          <w:sz w:val="24"/>
          <w:szCs w:val="24"/>
        </w:rPr>
      </w:pPr>
    </w:p>
    <w:p w14:paraId="7FAA0E7B" w14:textId="1F35F1A7" w:rsidR="002B1DB3" w:rsidRPr="007B401D" w:rsidRDefault="00CD1136" w:rsidP="005D1ABF">
      <w:pPr>
        <w:spacing w:after="0" w:line="240" w:lineRule="auto"/>
        <w:jc w:val="center"/>
        <w:rPr>
          <w:rFonts w:ascii="Times New Roman" w:hAnsi="Times New Roman" w:cs="Times New Roman"/>
          <w:i/>
          <w:color w:val="FF0000"/>
          <w:sz w:val="24"/>
          <w:szCs w:val="24"/>
        </w:rPr>
      </w:pPr>
      <w:r w:rsidRPr="00CD1136">
        <w:rPr>
          <w:rFonts w:ascii="Times New Roman" w:hAnsi="Times New Roman" w:cs="Times New Roman"/>
          <w:i/>
          <w:snapToGrid w:val="0"/>
          <w:sz w:val="24"/>
          <w:szCs w:val="24"/>
        </w:rPr>
        <w:t>Illegal Logging Prohibition Amendment (Country and State Specific Guidelines) Regulations 2023</w:t>
      </w:r>
    </w:p>
    <w:p w14:paraId="39FA90A6" w14:textId="77777777" w:rsidR="001C09FB" w:rsidRPr="007B401D" w:rsidRDefault="001C09FB" w:rsidP="005D1ABF">
      <w:pPr>
        <w:spacing w:after="0" w:line="240" w:lineRule="auto"/>
        <w:jc w:val="center"/>
        <w:rPr>
          <w:rFonts w:ascii="Times New Roman" w:hAnsi="Times New Roman" w:cs="Times New Roman"/>
          <w:i/>
          <w:sz w:val="24"/>
          <w:szCs w:val="24"/>
        </w:rPr>
      </w:pPr>
    </w:p>
    <w:p w14:paraId="052E6AF1" w14:textId="77777777" w:rsidR="002B1DB3" w:rsidRPr="007B401D" w:rsidRDefault="002B1DB3" w:rsidP="005D1ABF">
      <w:pPr>
        <w:spacing w:after="0" w:line="240" w:lineRule="auto"/>
        <w:contextualSpacing/>
        <w:rPr>
          <w:rFonts w:ascii="Times New Roman" w:hAnsi="Times New Roman" w:cs="Times New Roman"/>
          <w:color w:val="FF0000"/>
          <w:sz w:val="24"/>
          <w:szCs w:val="24"/>
        </w:rPr>
      </w:pPr>
    </w:p>
    <w:p w14:paraId="60C95BDE" w14:textId="77777777" w:rsidR="002B1DB3" w:rsidRPr="007B401D" w:rsidRDefault="002B1DB3" w:rsidP="005D1ABF">
      <w:pPr>
        <w:tabs>
          <w:tab w:val="left" w:pos="1701"/>
          <w:tab w:val="right" w:pos="9072"/>
        </w:tabs>
        <w:spacing w:after="0" w:line="240" w:lineRule="auto"/>
        <w:rPr>
          <w:rFonts w:ascii="Times New Roman" w:hAnsi="Times New Roman" w:cs="Times New Roman"/>
          <w:sz w:val="24"/>
          <w:szCs w:val="24"/>
        </w:rPr>
      </w:pPr>
      <w:r w:rsidRPr="007B401D">
        <w:rPr>
          <w:rFonts w:ascii="Times New Roman" w:hAnsi="Times New Roman" w:cs="Times New Roman"/>
          <w:b/>
          <w:sz w:val="24"/>
          <w:szCs w:val="24"/>
        </w:rPr>
        <w:t>Legislative Authority</w:t>
      </w:r>
    </w:p>
    <w:p w14:paraId="048940F7" w14:textId="77777777" w:rsidR="000750C8" w:rsidRDefault="000750C8" w:rsidP="000750C8">
      <w:pPr>
        <w:spacing w:after="0"/>
        <w:rPr>
          <w:rFonts w:ascii="Times New Roman" w:hAnsi="Times New Roman" w:cs="Times New Roman"/>
          <w:sz w:val="24"/>
          <w:szCs w:val="24"/>
        </w:rPr>
      </w:pPr>
    </w:p>
    <w:p w14:paraId="3A8799A3" w14:textId="72C8FDCD" w:rsidR="00CD1136" w:rsidRPr="00504519" w:rsidRDefault="00CD1136" w:rsidP="000750C8">
      <w:pPr>
        <w:spacing w:after="0"/>
        <w:rPr>
          <w:rFonts w:ascii="Times New Roman" w:hAnsi="Times New Roman" w:cs="Times New Roman"/>
          <w:sz w:val="24"/>
          <w:szCs w:val="24"/>
        </w:rPr>
      </w:pPr>
      <w:r w:rsidRPr="00504519">
        <w:rPr>
          <w:rFonts w:ascii="Times New Roman" w:hAnsi="Times New Roman" w:cs="Times New Roman"/>
          <w:sz w:val="24"/>
          <w:szCs w:val="24"/>
        </w:rPr>
        <w:t xml:space="preserve">The </w:t>
      </w:r>
      <w:r w:rsidRPr="00504519">
        <w:rPr>
          <w:rFonts w:ascii="Times New Roman" w:hAnsi="Times New Roman" w:cs="Times New Roman"/>
          <w:i/>
          <w:iCs/>
          <w:sz w:val="24"/>
          <w:szCs w:val="24"/>
        </w:rPr>
        <w:t xml:space="preserve">Illegal Logging Prohibition Act 2012 </w:t>
      </w:r>
      <w:r w:rsidRPr="00504519">
        <w:rPr>
          <w:rFonts w:ascii="Times New Roman" w:hAnsi="Times New Roman" w:cs="Times New Roman"/>
          <w:sz w:val="24"/>
          <w:szCs w:val="24"/>
        </w:rPr>
        <w:t xml:space="preserve">(the Act) aims to reduce the harmful environmental, </w:t>
      </w:r>
      <w:proofErr w:type="gramStart"/>
      <w:r w:rsidRPr="00504519">
        <w:rPr>
          <w:rFonts w:ascii="Times New Roman" w:hAnsi="Times New Roman" w:cs="Times New Roman"/>
          <w:sz w:val="24"/>
          <w:szCs w:val="24"/>
        </w:rPr>
        <w:t>social</w:t>
      </w:r>
      <w:proofErr w:type="gramEnd"/>
      <w:r w:rsidRPr="00504519">
        <w:rPr>
          <w:rFonts w:ascii="Times New Roman" w:hAnsi="Times New Roman" w:cs="Times New Roman"/>
          <w:sz w:val="24"/>
          <w:szCs w:val="24"/>
        </w:rPr>
        <w:t xml:space="preserve"> and economic impacts of illegal logging by restricting the importation and sale of illegally logged timber in Australia. The Act requires importers of regulated timber products and processors of domestically grown raw logs to conduct a due diligence process </w:t>
      </w:r>
      <w:proofErr w:type="gramStart"/>
      <w:r w:rsidRPr="00504519">
        <w:rPr>
          <w:rFonts w:ascii="Times New Roman" w:hAnsi="Times New Roman" w:cs="Times New Roman"/>
          <w:sz w:val="24"/>
          <w:szCs w:val="24"/>
        </w:rPr>
        <w:t>in order to</w:t>
      </w:r>
      <w:proofErr w:type="gramEnd"/>
      <w:r w:rsidRPr="00504519">
        <w:rPr>
          <w:rFonts w:ascii="Times New Roman" w:hAnsi="Times New Roman" w:cs="Times New Roman"/>
          <w:sz w:val="24"/>
          <w:szCs w:val="24"/>
        </w:rPr>
        <w:t xml:space="preserve"> reduce the risk that illegally logged timber is imported or processed. </w:t>
      </w:r>
    </w:p>
    <w:p w14:paraId="7F1DDB60" w14:textId="77777777" w:rsidR="00CD1136" w:rsidRPr="00504519" w:rsidRDefault="00CD1136" w:rsidP="00CD1136">
      <w:pPr>
        <w:tabs>
          <w:tab w:val="left" w:pos="1701"/>
          <w:tab w:val="right" w:pos="9072"/>
        </w:tabs>
        <w:spacing w:after="0" w:line="240" w:lineRule="auto"/>
        <w:rPr>
          <w:rFonts w:ascii="Times New Roman" w:hAnsi="Times New Roman" w:cs="Times New Roman"/>
          <w:sz w:val="24"/>
          <w:szCs w:val="24"/>
        </w:rPr>
      </w:pPr>
    </w:p>
    <w:p w14:paraId="3775F7EC" w14:textId="09A4393C" w:rsidR="00CD1136" w:rsidRDefault="00CD1136" w:rsidP="00CD1136">
      <w:pPr>
        <w:tabs>
          <w:tab w:val="left" w:pos="1701"/>
          <w:tab w:val="right" w:pos="9072"/>
        </w:tabs>
        <w:spacing w:after="0" w:line="240" w:lineRule="auto"/>
        <w:rPr>
          <w:rFonts w:ascii="Times New Roman" w:hAnsi="Times New Roman" w:cs="Times New Roman"/>
          <w:sz w:val="24"/>
          <w:szCs w:val="24"/>
        </w:rPr>
      </w:pPr>
      <w:r w:rsidRPr="00504519">
        <w:rPr>
          <w:rFonts w:ascii="Times New Roman" w:hAnsi="Times New Roman" w:cs="Times New Roman"/>
          <w:sz w:val="24"/>
          <w:szCs w:val="24"/>
        </w:rPr>
        <w:t xml:space="preserve">Section 86 of the Act provides that the Governor-General may make regulations prescribing matters required or permitted to be prescribed by the Act or matters necessary and convenient to be prescribed for carrying out or giving effect to the Act. </w:t>
      </w:r>
    </w:p>
    <w:p w14:paraId="7C346884" w14:textId="68B93BC6" w:rsidR="00CD1136" w:rsidRDefault="00CD1136" w:rsidP="00CD1136">
      <w:pPr>
        <w:tabs>
          <w:tab w:val="left" w:pos="1701"/>
          <w:tab w:val="right" w:pos="9072"/>
        </w:tabs>
        <w:spacing w:after="0" w:line="240" w:lineRule="auto"/>
        <w:rPr>
          <w:rFonts w:ascii="Times New Roman" w:hAnsi="Times New Roman" w:cs="Times New Roman"/>
          <w:sz w:val="24"/>
          <w:szCs w:val="24"/>
        </w:rPr>
      </w:pPr>
    </w:p>
    <w:p w14:paraId="38AF7708" w14:textId="77777777" w:rsidR="00A2084B" w:rsidRPr="007B401D" w:rsidRDefault="00A2084B" w:rsidP="00A2084B">
      <w:pPr>
        <w:tabs>
          <w:tab w:val="left" w:pos="1701"/>
          <w:tab w:val="right" w:pos="9072"/>
        </w:tabs>
        <w:spacing w:after="0" w:line="240" w:lineRule="auto"/>
        <w:rPr>
          <w:rFonts w:ascii="Times New Roman" w:hAnsi="Times New Roman" w:cs="Times New Roman"/>
          <w:b/>
          <w:color w:val="FF0000"/>
          <w:sz w:val="24"/>
          <w:szCs w:val="24"/>
        </w:rPr>
      </w:pPr>
      <w:r w:rsidRPr="007B401D">
        <w:rPr>
          <w:rFonts w:ascii="Times New Roman" w:hAnsi="Times New Roman" w:cs="Times New Roman"/>
          <w:b/>
          <w:sz w:val="24"/>
          <w:szCs w:val="24"/>
        </w:rPr>
        <w:t>Purpose</w:t>
      </w:r>
    </w:p>
    <w:p w14:paraId="3E763936" w14:textId="77777777" w:rsidR="00A2084B" w:rsidRPr="007B401D" w:rsidRDefault="00A2084B" w:rsidP="00A2084B">
      <w:pPr>
        <w:tabs>
          <w:tab w:val="left" w:pos="1701"/>
          <w:tab w:val="right" w:pos="9072"/>
        </w:tabs>
        <w:spacing w:after="0" w:line="240" w:lineRule="auto"/>
        <w:rPr>
          <w:rFonts w:ascii="Times New Roman" w:hAnsi="Times New Roman" w:cs="Times New Roman"/>
          <w:sz w:val="24"/>
        </w:rPr>
      </w:pPr>
    </w:p>
    <w:p w14:paraId="587D9526" w14:textId="1CFAD16B" w:rsidR="00A2084B" w:rsidRPr="00504519" w:rsidRDefault="00A2084B" w:rsidP="00A2084B">
      <w:pPr>
        <w:tabs>
          <w:tab w:val="left" w:pos="1701"/>
          <w:tab w:val="right" w:pos="9072"/>
        </w:tabs>
        <w:spacing w:after="0" w:line="240" w:lineRule="auto"/>
        <w:rPr>
          <w:rFonts w:ascii="Times New Roman" w:hAnsi="Times New Roman" w:cs="Times New Roman"/>
          <w:sz w:val="24"/>
          <w:szCs w:val="24"/>
        </w:rPr>
      </w:pPr>
      <w:r w:rsidRPr="00504519">
        <w:rPr>
          <w:rFonts w:ascii="Times New Roman" w:hAnsi="Times New Roman" w:cs="Times New Roman"/>
          <w:sz w:val="24"/>
          <w:szCs w:val="24"/>
        </w:rPr>
        <w:t xml:space="preserve">The purpose of the </w:t>
      </w:r>
      <w:r w:rsidRPr="009301CB">
        <w:rPr>
          <w:rFonts w:ascii="Times New Roman" w:hAnsi="Times New Roman" w:cs="Times New Roman"/>
          <w:i/>
          <w:iCs/>
          <w:sz w:val="24"/>
          <w:szCs w:val="24"/>
        </w:rPr>
        <w:t>Illegal Logging Prohibition Amendment (Country and State Specific Guidelines) Regulations 2023</w:t>
      </w:r>
      <w:r>
        <w:rPr>
          <w:rFonts w:ascii="Times New Roman" w:hAnsi="Times New Roman" w:cs="Times New Roman"/>
          <w:sz w:val="24"/>
          <w:szCs w:val="24"/>
        </w:rPr>
        <w:t xml:space="preserve"> (the </w:t>
      </w:r>
      <w:r w:rsidRPr="00504519">
        <w:rPr>
          <w:rFonts w:ascii="Times New Roman" w:hAnsi="Times New Roman" w:cs="Times New Roman"/>
          <w:iCs/>
          <w:sz w:val="24"/>
          <w:szCs w:val="24"/>
        </w:rPr>
        <w:t>Regulation</w:t>
      </w:r>
      <w:r>
        <w:rPr>
          <w:rFonts w:ascii="Times New Roman" w:hAnsi="Times New Roman" w:cs="Times New Roman"/>
          <w:iCs/>
          <w:sz w:val="24"/>
          <w:szCs w:val="24"/>
        </w:rPr>
        <w:t>s)</w:t>
      </w:r>
      <w:r w:rsidRPr="00504519">
        <w:rPr>
          <w:rFonts w:ascii="Times New Roman" w:hAnsi="Times New Roman" w:cs="Times New Roman"/>
          <w:sz w:val="24"/>
          <w:szCs w:val="24"/>
        </w:rPr>
        <w:t xml:space="preserve"> is to amend the </w:t>
      </w:r>
      <w:r w:rsidRPr="009301CB">
        <w:rPr>
          <w:rFonts w:ascii="Times New Roman" w:hAnsi="Times New Roman" w:cs="Times New Roman"/>
          <w:i/>
          <w:iCs/>
          <w:sz w:val="24"/>
          <w:szCs w:val="24"/>
        </w:rPr>
        <w:t>Illegal Logging Prohibition  Regulation 2012</w:t>
      </w:r>
      <w:r>
        <w:rPr>
          <w:rFonts w:ascii="Times New Roman" w:hAnsi="Times New Roman" w:cs="Times New Roman"/>
          <w:sz w:val="24"/>
          <w:szCs w:val="24"/>
        </w:rPr>
        <w:t xml:space="preserve"> (the </w:t>
      </w:r>
      <w:r w:rsidR="001F51B0">
        <w:rPr>
          <w:rFonts w:ascii="Times New Roman" w:hAnsi="Times New Roman" w:cs="Times New Roman"/>
          <w:sz w:val="24"/>
          <w:szCs w:val="24"/>
        </w:rPr>
        <w:t>ILP</w:t>
      </w:r>
      <w:r>
        <w:rPr>
          <w:rFonts w:ascii="Times New Roman" w:hAnsi="Times New Roman" w:cs="Times New Roman"/>
          <w:sz w:val="24"/>
          <w:szCs w:val="24"/>
        </w:rPr>
        <w:t xml:space="preserve"> Regulation)</w:t>
      </w:r>
      <w:r w:rsidRPr="00504519">
        <w:rPr>
          <w:rFonts w:ascii="Times New Roman" w:hAnsi="Times New Roman" w:cs="Times New Roman"/>
          <w:sz w:val="24"/>
          <w:szCs w:val="24"/>
        </w:rPr>
        <w:t xml:space="preserve"> in order to: (i) </w:t>
      </w:r>
      <w:r w:rsidR="006461AC">
        <w:rPr>
          <w:rFonts w:ascii="Times New Roman" w:hAnsi="Times New Roman" w:cs="Times New Roman"/>
          <w:sz w:val="24"/>
          <w:szCs w:val="24"/>
        </w:rPr>
        <w:t>prescribe</w:t>
      </w:r>
      <w:r w:rsidRPr="00504519">
        <w:rPr>
          <w:rFonts w:ascii="Times New Roman" w:hAnsi="Times New Roman" w:cs="Times New Roman"/>
          <w:sz w:val="24"/>
          <w:szCs w:val="24"/>
        </w:rPr>
        <w:t xml:space="preserve"> one updated </w:t>
      </w:r>
      <w:r w:rsidR="00D67D70">
        <w:rPr>
          <w:rFonts w:ascii="Times New Roman" w:hAnsi="Times New Roman" w:cs="Times New Roman"/>
          <w:sz w:val="24"/>
          <w:szCs w:val="24"/>
        </w:rPr>
        <w:t>Country Specific Guideline (</w:t>
      </w:r>
      <w:r w:rsidRPr="00504519">
        <w:rPr>
          <w:rFonts w:ascii="Times New Roman" w:hAnsi="Times New Roman" w:cs="Times New Roman"/>
          <w:sz w:val="24"/>
          <w:szCs w:val="24"/>
        </w:rPr>
        <w:t>CSG</w:t>
      </w:r>
      <w:r w:rsidR="00D67D70">
        <w:rPr>
          <w:rFonts w:ascii="Times New Roman" w:hAnsi="Times New Roman" w:cs="Times New Roman"/>
          <w:sz w:val="24"/>
          <w:szCs w:val="24"/>
        </w:rPr>
        <w:t>)</w:t>
      </w:r>
      <w:r w:rsidRPr="00504519">
        <w:rPr>
          <w:rFonts w:ascii="Times New Roman" w:hAnsi="Times New Roman" w:cs="Times New Roman"/>
          <w:sz w:val="24"/>
          <w:szCs w:val="24"/>
        </w:rPr>
        <w:t xml:space="preserve"> in Part 2 of Schedule 2 to the </w:t>
      </w:r>
      <w:r w:rsidR="001F51B0">
        <w:rPr>
          <w:rFonts w:ascii="Times New Roman" w:hAnsi="Times New Roman" w:cs="Times New Roman"/>
          <w:sz w:val="24"/>
          <w:szCs w:val="24"/>
        </w:rPr>
        <w:t xml:space="preserve"> ILP</w:t>
      </w:r>
      <w:r w:rsidRPr="00504519">
        <w:rPr>
          <w:rFonts w:ascii="Times New Roman" w:hAnsi="Times New Roman" w:cs="Times New Roman"/>
          <w:sz w:val="24"/>
          <w:szCs w:val="24"/>
        </w:rPr>
        <w:t xml:space="preserve"> Regulation; (ii) </w:t>
      </w:r>
      <w:r w:rsidR="006461AC">
        <w:rPr>
          <w:rFonts w:ascii="Times New Roman" w:hAnsi="Times New Roman" w:cs="Times New Roman"/>
          <w:sz w:val="24"/>
          <w:szCs w:val="24"/>
        </w:rPr>
        <w:t>prescribe</w:t>
      </w:r>
      <w:r w:rsidRPr="00504519">
        <w:rPr>
          <w:rFonts w:ascii="Times New Roman" w:hAnsi="Times New Roman" w:cs="Times New Roman"/>
          <w:sz w:val="24"/>
          <w:szCs w:val="24"/>
        </w:rPr>
        <w:t xml:space="preserve"> four updated </w:t>
      </w:r>
      <w:r w:rsidR="00D67D70">
        <w:rPr>
          <w:rFonts w:ascii="Times New Roman" w:hAnsi="Times New Roman" w:cs="Times New Roman"/>
          <w:sz w:val="24"/>
          <w:szCs w:val="24"/>
        </w:rPr>
        <w:t>State Specific Guidelines (</w:t>
      </w:r>
      <w:r w:rsidRPr="00504519">
        <w:rPr>
          <w:rFonts w:ascii="Times New Roman" w:hAnsi="Times New Roman" w:cs="Times New Roman"/>
          <w:sz w:val="24"/>
          <w:szCs w:val="24"/>
        </w:rPr>
        <w:t>SSGs</w:t>
      </w:r>
      <w:r w:rsidR="00D67D70">
        <w:rPr>
          <w:rFonts w:ascii="Times New Roman" w:hAnsi="Times New Roman" w:cs="Times New Roman"/>
          <w:sz w:val="24"/>
          <w:szCs w:val="24"/>
        </w:rPr>
        <w:t>)</w:t>
      </w:r>
      <w:r w:rsidRPr="00504519">
        <w:rPr>
          <w:rFonts w:ascii="Times New Roman" w:hAnsi="Times New Roman" w:cs="Times New Roman"/>
          <w:sz w:val="24"/>
          <w:szCs w:val="24"/>
        </w:rPr>
        <w:t xml:space="preserve"> in Part 3 of Schedule 2 to the  </w:t>
      </w:r>
      <w:r w:rsidR="001F51B0">
        <w:rPr>
          <w:rFonts w:ascii="Times New Roman" w:hAnsi="Times New Roman" w:cs="Times New Roman"/>
          <w:sz w:val="24"/>
          <w:szCs w:val="24"/>
        </w:rPr>
        <w:t xml:space="preserve">ILP </w:t>
      </w:r>
      <w:r w:rsidRPr="00504519">
        <w:rPr>
          <w:rFonts w:ascii="Times New Roman" w:hAnsi="Times New Roman" w:cs="Times New Roman"/>
          <w:sz w:val="24"/>
          <w:szCs w:val="24"/>
        </w:rPr>
        <w:t>Regulation; and (iii) update references to the website of the Department of Agriculture, Fisheries and Forestry (the Department) to reflect the new Uniform Resource Locator (URL).</w:t>
      </w:r>
    </w:p>
    <w:p w14:paraId="2536FB24" w14:textId="77777777" w:rsidR="00A2084B" w:rsidRDefault="00A2084B" w:rsidP="00CD1136">
      <w:pPr>
        <w:tabs>
          <w:tab w:val="left" w:pos="1701"/>
          <w:tab w:val="right" w:pos="9072"/>
        </w:tabs>
        <w:spacing w:after="0" w:line="240" w:lineRule="auto"/>
        <w:rPr>
          <w:rFonts w:ascii="Times New Roman" w:hAnsi="Times New Roman" w:cs="Times New Roman"/>
          <w:sz w:val="24"/>
          <w:szCs w:val="24"/>
        </w:rPr>
      </w:pPr>
    </w:p>
    <w:p w14:paraId="4C563282" w14:textId="77777777" w:rsidR="00A2084B" w:rsidRPr="007B401D" w:rsidRDefault="00A2084B" w:rsidP="00A2084B">
      <w:pPr>
        <w:tabs>
          <w:tab w:val="left" w:pos="1701"/>
          <w:tab w:val="right" w:pos="9072"/>
        </w:tabs>
        <w:spacing w:after="0" w:line="240" w:lineRule="auto"/>
        <w:rPr>
          <w:rFonts w:ascii="Times New Roman" w:hAnsi="Times New Roman" w:cs="Times New Roman"/>
          <w:b/>
          <w:sz w:val="24"/>
          <w:szCs w:val="24"/>
        </w:rPr>
      </w:pPr>
      <w:r w:rsidRPr="007B401D">
        <w:rPr>
          <w:rFonts w:ascii="Times New Roman" w:hAnsi="Times New Roman" w:cs="Times New Roman"/>
          <w:b/>
          <w:sz w:val="24"/>
          <w:szCs w:val="24"/>
        </w:rPr>
        <w:t>Background</w:t>
      </w:r>
    </w:p>
    <w:p w14:paraId="2CDFC6FD" w14:textId="77777777" w:rsidR="000750C8" w:rsidRPr="000750C8" w:rsidRDefault="000750C8" w:rsidP="00CD1136">
      <w:pPr>
        <w:tabs>
          <w:tab w:val="left" w:pos="1701"/>
          <w:tab w:val="right" w:pos="9072"/>
        </w:tabs>
        <w:spacing w:after="0" w:line="240" w:lineRule="auto"/>
        <w:rPr>
          <w:rFonts w:ascii="Times New Roman" w:hAnsi="Times New Roman" w:cs="Times New Roman"/>
          <w:i/>
          <w:iCs/>
          <w:sz w:val="24"/>
          <w:szCs w:val="24"/>
          <w:u w:val="single"/>
        </w:rPr>
      </w:pPr>
    </w:p>
    <w:p w14:paraId="29BD510E" w14:textId="4B6F7CE2" w:rsidR="00CD1136" w:rsidRDefault="00CD1136" w:rsidP="00CD1136">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Section 12 of the Act relevantly provides that a person commits an offence if the person imports a regulated timber product </w:t>
      </w:r>
      <w:r w:rsidR="006461AC">
        <w:rPr>
          <w:rFonts w:ascii="Times New Roman" w:hAnsi="Times New Roman" w:cs="Times New Roman"/>
          <w:sz w:val="24"/>
          <w:szCs w:val="24"/>
        </w:rPr>
        <w:t xml:space="preserve">that is not </w:t>
      </w:r>
      <w:r w:rsidR="00791932">
        <w:rPr>
          <w:rFonts w:ascii="Times New Roman" w:hAnsi="Times New Roman" w:cs="Times New Roman"/>
          <w:sz w:val="24"/>
          <w:szCs w:val="24"/>
        </w:rPr>
        <w:t>exempt,</w:t>
      </w:r>
      <w:r w:rsidR="006461AC">
        <w:rPr>
          <w:rFonts w:ascii="Times New Roman" w:hAnsi="Times New Roman" w:cs="Times New Roman"/>
          <w:sz w:val="24"/>
          <w:szCs w:val="24"/>
        </w:rPr>
        <w:t xml:space="preserve"> </w:t>
      </w:r>
      <w:r>
        <w:rPr>
          <w:rFonts w:ascii="Times New Roman" w:hAnsi="Times New Roman" w:cs="Times New Roman"/>
          <w:sz w:val="24"/>
          <w:szCs w:val="24"/>
        </w:rPr>
        <w:t xml:space="preserve">and the person does not comply with the due diligence requirements for importing the product. Section 14 of the Act relevantly provides that the Regulations must prescribe due diligence requirements for importing regulated timber products and may provide for those due diligence requirements to be satisfied, wholly or partly, by compliance with specified laws, </w:t>
      </w:r>
      <w:proofErr w:type="gramStart"/>
      <w:r>
        <w:rPr>
          <w:rFonts w:ascii="Times New Roman" w:hAnsi="Times New Roman" w:cs="Times New Roman"/>
          <w:sz w:val="24"/>
          <w:szCs w:val="24"/>
        </w:rPr>
        <w:t>rules</w:t>
      </w:r>
      <w:proofErr w:type="gramEnd"/>
      <w:r>
        <w:rPr>
          <w:rFonts w:ascii="Times New Roman" w:hAnsi="Times New Roman" w:cs="Times New Roman"/>
          <w:sz w:val="24"/>
          <w:szCs w:val="24"/>
        </w:rPr>
        <w:t xml:space="preserve"> or processes, including laws, or processes under laws, in force in a State or Territory or another country.</w:t>
      </w:r>
    </w:p>
    <w:p w14:paraId="1EA1FD3C" w14:textId="477CA151" w:rsidR="000750C8" w:rsidRDefault="000750C8" w:rsidP="00CD1136">
      <w:pPr>
        <w:tabs>
          <w:tab w:val="left" w:pos="1701"/>
          <w:tab w:val="right" w:pos="9072"/>
        </w:tabs>
        <w:spacing w:after="0" w:line="240" w:lineRule="auto"/>
        <w:rPr>
          <w:rFonts w:ascii="Times New Roman" w:hAnsi="Times New Roman" w:cs="Times New Roman"/>
          <w:sz w:val="24"/>
          <w:szCs w:val="24"/>
        </w:rPr>
      </w:pPr>
    </w:p>
    <w:p w14:paraId="134574F3" w14:textId="0C242394" w:rsidR="000750C8" w:rsidRDefault="009301CB" w:rsidP="00CD1136">
      <w:pPr>
        <w:tabs>
          <w:tab w:val="left" w:pos="1701"/>
          <w:tab w:val="right" w:pos="9072"/>
        </w:tabs>
        <w:spacing w:after="0" w:line="240" w:lineRule="auto"/>
        <w:rPr>
          <w:rFonts w:ascii="Times New Roman" w:hAnsi="Times New Roman" w:cs="Times New Roman"/>
          <w:sz w:val="24"/>
          <w:szCs w:val="24"/>
        </w:rPr>
      </w:pPr>
      <w:r w:rsidRPr="003A6551">
        <w:rPr>
          <w:rFonts w:ascii="Times New Roman" w:hAnsi="Times New Roman" w:cs="Times New Roman"/>
          <w:sz w:val="24"/>
          <w:szCs w:val="24"/>
        </w:rPr>
        <w:t>Th</w:t>
      </w:r>
      <w:r w:rsidRPr="00504519">
        <w:rPr>
          <w:rFonts w:ascii="Times New Roman" w:hAnsi="Times New Roman" w:cs="Times New Roman"/>
          <w:sz w:val="24"/>
          <w:szCs w:val="24"/>
        </w:rPr>
        <w:t xml:space="preserve">e </w:t>
      </w:r>
      <w:r>
        <w:rPr>
          <w:rFonts w:ascii="Times New Roman" w:hAnsi="Times New Roman" w:cs="Times New Roman"/>
          <w:sz w:val="24"/>
          <w:szCs w:val="24"/>
        </w:rPr>
        <w:t>ILP</w:t>
      </w:r>
      <w:r w:rsidR="000750C8" w:rsidRPr="00504519">
        <w:rPr>
          <w:rFonts w:ascii="Times New Roman" w:hAnsi="Times New Roman" w:cs="Times New Roman"/>
          <w:sz w:val="24"/>
          <w:szCs w:val="24"/>
        </w:rPr>
        <w:t xml:space="preserve"> Regulation prescribes due diligence requirements for</w:t>
      </w:r>
      <w:r w:rsidR="000750C8">
        <w:rPr>
          <w:rFonts w:ascii="Times New Roman" w:hAnsi="Times New Roman" w:cs="Times New Roman"/>
          <w:sz w:val="24"/>
          <w:szCs w:val="24"/>
        </w:rPr>
        <w:t xml:space="preserve"> importing regulated timber products and processing raw logs</w:t>
      </w:r>
      <w:r w:rsidR="000750C8" w:rsidRPr="00504519">
        <w:rPr>
          <w:rFonts w:ascii="Times New Roman" w:hAnsi="Times New Roman" w:cs="Times New Roman"/>
          <w:sz w:val="24"/>
          <w:szCs w:val="24"/>
        </w:rPr>
        <w:t>.</w:t>
      </w:r>
      <w:r w:rsidR="000750C8">
        <w:rPr>
          <w:rFonts w:ascii="Times New Roman" w:hAnsi="Times New Roman" w:cs="Times New Roman"/>
          <w:sz w:val="24"/>
          <w:szCs w:val="24"/>
        </w:rPr>
        <w:t xml:space="preserve"> Under section 12 of </w:t>
      </w:r>
      <w:r>
        <w:rPr>
          <w:rFonts w:ascii="Times New Roman" w:hAnsi="Times New Roman" w:cs="Times New Roman"/>
          <w:sz w:val="24"/>
          <w:szCs w:val="24"/>
        </w:rPr>
        <w:t>the ILP</w:t>
      </w:r>
      <w:r w:rsidR="001F51B0">
        <w:rPr>
          <w:rFonts w:ascii="Times New Roman" w:hAnsi="Times New Roman" w:cs="Times New Roman"/>
          <w:sz w:val="24"/>
          <w:szCs w:val="24"/>
        </w:rPr>
        <w:t xml:space="preserve"> </w:t>
      </w:r>
      <w:r w:rsidR="000750C8">
        <w:rPr>
          <w:rFonts w:ascii="Times New Roman" w:hAnsi="Times New Roman" w:cs="Times New Roman"/>
          <w:sz w:val="24"/>
          <w:szCs w:val="24"/>
        </w:rPr>
        <w:t>Regulation, an importer of a regulated timber product may use a CSG in Part 2 of Schedule 2 (where applicable) to assess whether there is a risk that the product is, is made from, or includes, illegally logged timber.</w:t>
      </w:r>
    </w:p>
    <w:p w14:paraId="05DCC893" w14:textId="02076AE6" w:rsidR="000750C8" w:rsidRDefault="000750C8" w:rsidP="00CD1136">
      <w:pPr>
        <w:tabs>
          <w:tab w:val="left" w:pos="1701"/>
          <w:tab w:val="right" w:pos="9072"/>
        </w:tabs>
        <w:spacing w:after="0" w:line="240" w:lineRule="auto"/>
        <w:rPr>
          <w:rFonts w:ascii="Times New Roman" w:hAnsi="Times New Roman" w:cs="Times New Roman"/>
          <w:sz w:val="24"/>
          <w:szCs w:val="24"/>
        </w:rPr>
      </w:pPr>
    </w:p>
    <w:p w14:paraId="719CB592" w14:textId="3521F9F6" w:rsidR="000750C8" w:rsidRPr="000750C8" w:rsidRDefault="000750C8" w:rsidP="00CD1136">
      <w:pPr>
        <w:tabs>
          <w:tab w:val="left" w:pos="1701"/>
          <w:tab w:val="right" w:pos="9072"/>
        </w:tabs>
        <w:spacing w:after="0" w:line="240" w:lineRule="auto"/>
        <w:rPr>
          <w:rFonts w:ascii="Times New Roman" w:hAnsi="Times New Roman" w:cs="Times New Roman"/>
          <w:i/>
          <w:iCs/>
          <w:sz w:val="24"/>
          <w:szCs w:val="24"/>
          <w:u w:val="single"/>
        </w:rPr>
      </w:pPr>
    </w:p>
    <w:p w14:paraId="5EDB406B" w14:textId="77777777" w:rsidR="00CD1136" w:rsidRDefault="00CD1136" w:rsidP="00CD1136">
      <w:pPr>
        <w:tabs>
          <w:tab w:val="left" w:pos="1701"/>
          <w:tab w:val="right" w:pos="9072"/>
        </w:tabs>
        <w:spacing w:after="0" w:line="240" w:lineRule="auto"/>
        <w:rPr>
          <w:rFonts w:ascii="Times New Roman" w:hAnsi="Times New Roman" w:cs="Times New Roman"/>
          <w:sz w:val="24"/>
          <w:szCs w:val="24"/>
        </w:rPr>
      </w:pPr>
    </w:p>
    <w:p w14:paraId="07D90470" w14:textId="18BAA880" w:rsidR="002B1DB3" w:rsidRPr="009301CB" w:rsidRDefault="00CD1136" w:rsidP="009301CB">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Section 17 of the Act relevantly provides that a </w:t>
      </w:r>
      <w:r w:rsidR="006461AC">
        <w:rPr>
          <w:rFonts w:ascii="Times New Roman" w:hAnsi="Times New Roman" w:cs="Times New Roman"/>
          <w:sz w:val="24"/>
          <w:szCs w:val="24"/>
        </w:rPr>
        <w:t xml:space="preserve">certain </w:t>
      </w:r>
      <w:r>
        <w:rPr>
          <w:rFonts w:ascii="Times New Roman" w:hAnsi="Times New Roman" w:cs="Times New Roman"/>
          <w:sz w:val="24"/>
          <w:szCs w:val="24"/>
        </w:rPr>
        <w:t xml:space="preserve">person commits an offence if the person processes a raw log </w:t>
      </w:r>
      <w:r w:rsidR="006461AC">
        <w:rPr>
          <w:rFonts w:ascii="Times New Roman" w:hAnsi="Times New Roman" w:cs="Times New Roman"/>
          <w:sz w:val="24"/>
          <w:szCs w:val="24"/>
        </w:rPr>
        <w:t xml:space="preserve">(that is not exempt) </w:t>
      </w:r>
      <w:r>
        <w:rPr>
          <w:rFonts w:ascii="Times New Roman" w:hAnsi="Times New Roman" w:cs="Times New Roman"/>
          <w:sz w:val="24"/>
          <w:szCs w:val="24"/>
        </w:rPr>
        <w:t xml:space="preserve">into something other than a raw log and the person does not comply with the due diligence requirements for processing raw logs. Section 18 of the Act relevantly provides that the regulations must prescribe due diligence requirements for processing raw logs and may provide for those due diligence requirements to be satisfied, wholly or partly, by compliance with specified laws, </w:t>
      </w:r>
      <w:proofErr w:type="gramStart"/>
      <w:r>
        <w:rPr>
          <w:rFonts w:ascii="Times New Roman" w:hAnsi="Times New Roman" w:cs="Times New Roman"/>
          <w:sz w:val="24"/>
          <w:szCs w:val="24"/>
        </w:rPr>
        <w:t>rules</w:t>
      </w:r>
      <w:proofErr w:type="gramEnd"/>
      <w:r>
        <w:rPr>
          <w:rFonts w:ascii="Times New Roman" w:hAnsi="Times New Roman" w:cs="Times New Roman"/>
          <w:sz w:val="24"/>
          <w:szCs w:val="24"/>
        </w:rPr>
        <w:t xml:space="preserve"> or processes, including laws, or processes under laws, in force in a State or Territory. </w:t>
      </w:r>
    </w:p>
    <w:p w14:paraId="187CF402" w14:textId="0CA9BE95" w:rsidR="00226D84" w:rsidRPr="007B401D" w:rsidRDefault="00226D84" w:rsidP="00A42246">
      <w:pPr>
        <w:tabs>
          <w:tab w:val="left" w:pos="1701"/>
          <w:tab w:val="right" w:pos="9072"/>
        </w:tabs>
        <w:spacing w:after="0" w:line="240" w:lineRule="auto"/>
        <w:rPr>
          <w:rFonts w:ascii="Times New Roman" w:hAnsi="Times New Roman" w:cs="Times New Roman"/>
          <w:sz w:val="24"/>
        </w:rPr>
      </w:pPr>
    </w:p>
    <w:p w14:paraId="5DA9CFB4" w14:textId="7DEA382F" w:rsidR="00EC6543" w:rsidRDefault="00EC6543" w:rsidP="00EC6543">
      <w:pPr>
        <w:pStyle w:val="BodyNum"/>
        <w:numPr>
          <w:ilvl w:val="0"/>
          <w:numId w:val="0"/>
        </w:numPr>
        <w:spacing w:before="0"/>
        <w:rPr>
          <w:szCs w:val="24"/>
        </w:rPr>
      </w:pPr>
      <w:r w:rsidRPr="00504519">
        <w:rPr>
          <w:szCs w:val="24"/>
        </w:rPr>
        <w:t xml:space="preserve">The CSGs and the SSGs in Schedule 2 to </w:t>
      </w:r>
      <w:r w:rsidR="009301CB" w:rsidRPr="00504519">
        <w:rPr>
          <w:szCs w:val="24"/>
        </w:rPr>
        <w:t>the ILP</w:t>
      </w:r>
      <w:r w:rsidR="001F51B0">
        <w:rPr>
          <w:szCs w:val="24"/>
        </w:rPr>
        <w:t xml:space="preserve"> </w:t>
      </w:r>
      <w:r w:rsidRPr="00504519">
        <w:rPr>
          <w:szCs w:val="24"/>
        </w:rPr>
        <w:t xml:space="preserve">Regulation are periodically reviewed and updated where needed, in consultation with the relevant country or jurisdiction, and co-endorsed by the Commonwealth and the relevant country or jurisdiction, to ensure their currency. </w:t>
      </w:r>
    </w:p>
    <w:p w14:paraId="45BF619F" w14:textId="5A10E97A" w:rsidR="00EC6543" w:rsidRDefault="00EC6543" w:rsidP="00EC6543">
      <w:pPr>
        <w:pStyle w:val="BodyNum"/>
        <w:numPr>
          <w:ilvl w:val="0"/>
          <w:numId w:val="0"/>
        </w:numPr>
        <w:spacing w:before="0"/>
        <w:rPr>
          <w:szCs w:val="24"/>
        </w:rPr>
      </w:pPr>
    </w:p>
    <w:p w14:paraId="1F163D6E" w14:textId="0D069D2A" w:rsidR="00EC6543" w:rsidRPr="00504519" w:rsidRDefault="00EC6543" w:rsidP="00EC6543">
      <w:pPr>
        <w:pStyle w:val="BodyNum"/>
        <w:numPr>
          <w:ilvl w:val="0"/>
          <w:numId w:val="0"/>
        </w:numPr>
        <w:spacing w:before="0"/>
        <w:rPr>
          <w:szCs w:val="24"/>
        </w:rPr>
      </w:pPr>
      <w:r w:rsidRPr="00504519">
        <w:rPr>
          <w:szCs w:val="24"/>
        </w:rPr>
        <w:t xml:space="preserve">The Department has completed the process of reviewing the CSGs and the SSGs for 2022. On behalf of the Commonwealth, the Department has co-endorsed one update to the </w:t>
      </w:r>
      <w:r>
        <w:rPr>
          <w:szCs w:val="24"/>
        </w:rPr>
        <w:t>CSG</w:t>
      </w:r>
      <w:r w:rsidR="001F51B0">
        <w:rPr>
          <w:szCs w:val="24"/>
        </w:rPr>
        <w:t>s</w:t>
      </w:r>
      <w:r w:rsidRPr="00504519">
        <w:rPr>
          <w:szCs w:val="24"/>
        </w:rPr>
        <w:t xml:space="preserve"> (for Italy) and four updates to the </w:t>
      </w:r>
      <w:r>
        <w:rPr>
          <w:szCs w:val="24"/>
        </w:rPr>
        <w:t>SSG</w:t>
      </w:r>
      <w:r w:rsidR="001F51B0">
        <w:rPr>
          <w:szCs w:val="24"/>
        </w:rPr>
        <w:t>s</w:t>
      </w:r>
      <w:r w:rsidRPr="00504519">
        <w:rPr>
          <w:szCs w:val="24"/>
        </w:rPr>
        <w:t xml:space="preserve"> (for New South Wales, Victoria, </w:t>
      </w:r>
      <w:proofErr w:type="gramStart"/>
      <w:r w:rsidRPr="00504519">
        <w:rPr>
          <w:szCs w:val="24"/>
        </w:rPr>
        <w:t>Queensland</w:t>
      </w:r>
      <w:proofErr w:type="gramEnd"/>
      <w:r w:rsidRPr="00504519">
        <w:rPr>
          <w:szCs w:val="24"/>
        </w:rPr>
        <w:t xml:space="preserve"> and Western Australia). </w:t>
      </w:r>
    </w:p>
    <w:p w14:paraId="333F6D91" w14:textId="77777777" w:rsidR="00EC6543" w:rsidRPr="00504519" w:rsidRDefault="00EC6543" w:rsidP="00EC6543">
      <w:pPr>
        <w:tabs>
          <w:tab w:val="left" w:pos="1701"/>
          <w:tab w:val="right" w:pos="9072"/>
        </w:tabs>
        <w:spacing w:after="0" w:line="240" w:lineRule="auto"/>
        <w:rPr>
          <w:rFonts w:ascii="Times New Roman" w:hAnsi="Times New Roman" w:cs="Times New Roman"/>
          <w:sz w:val="24"/>
          <w:szCs w:val="24"/>
        </w:rPr>
      </w:pPr>
    </w:p>
    <w:p w14:paraId="55D9C98E" w14:textId="5D40B82E" w:rsidR="00EC6543" w:rsidRPr="00504519" w:rsidRDefault="00EC6543" w:rsidP="00EC6543">
      <w:pPr>
        <w:pStyle w:val="BodyNum"/>
        <w:numPr>
          <w:ilvl w:val="0"/>
          <w:numId w:val="0"/>
        </w:numPr>
        <w:spacing w:before="0"/>
        <w:rPr>
          <w:szCs w:val="24"/>
        </w:rPr>
      </w:pPr>
      <w:r w:rsidRPr="00504519">
        <w:rPr>
          <w:szCs w:val="24"/>
        </w:rPr>
        <w:t xml:space="preserve">Under the Administrative Arrangements Order dated 1 June 2022, the name of the department changed from the Department of Agriculture, Water and the Environment to the Department of Agriculture, Fisheries and Forestry. The URL was also changed to </w:t>
      </w:r>
      <w:hyperlink r:id="rId11" w:history="1">
        <w:r w:rsidRPr="00504519">
          <w:rPr>
            <w:rStyle w:val="Hyperlink"/>
            <w:szCs w:val="24"/>
          </w:rPr>
          <w:t>www.agriculture.gov.au</w:t>
        </w:r>
      </w:hyperlink>
      <w:r w:rsidRPr="00504519">
        <w:rPr>
          <w:szCs w:val="24"/>
        </w:rPr>
        <w:t>.</w:t>
      </w:r>
    </w:p>
    <w:p w14:paraId="3C949FC1" w14:textId="77777777" w:rsidR="00A42246" w:rsidRPr="007B401D" w:rsidRDefault="00A42246" w:rsidP="005D1ABF">
      <w:pPr>
        <w:tabs>
          <w:tab w:val="right" w:pos="9072"/>
        </w:tabs>
        <w:spacing w:after="0" w:line="240" w:lineRule="auto"/>
        <w:rPr>
          <w:rFonts w:ascii="Times New Roman" w:hAnsi="Times New Roman" w:cs="Times New Roman"/>
          <w:color w:val="FF0000"/>
          <w:sz w:val="24"/>
          <w:szCs w:val="24"/>
        </w:rPr>
      </w:pPr>
    </w:p>
    <w:p w14:paraId="3FC9771A" w14:textId="77777777" w:rsidR="002B1DB3" w:rsidRPr="007B401D" w:rsidRDefault="002B1DB3" w:rsidP="00B15CBD">
      <w:pPr>
        <w:keepNext/>
        <w:tabs>
          <w:tab w:val="left" w:pos="1701"/>
          <w:tab w:val="right" w:pos="9072"/>
        </w:tabs>
        <w:spacing w:after="0" w:line="240" w:lineRule="auto"/>
        <w:rPr>
          <w:rFonts w:ascii="Times New Roman" w:hAnsi="Times New Roman" w:cs="Times New Roman"/>
          <w:b/>
          <w:sz w:val="24"/>
          <w:szCs w:val="24"/>
        </w:rPr>
      </w:pPr>
      <w:r w:rsidRPr="00120B3F">
        <w:rPr>
          <w:rFonts w:ascii="Times New Roman" w:hAnsi="Times New Roman" w:cs="Times New Roman"/>
          <w:b/>
          <w:sz w:val="24"/>
          <w:szCs w:val="24"/>
        </w:rPr>
        <w:t>Impact and Effect</w:t>
      </w:r>
    </w:p>
    <w:p w14:paraId="2EEB0453" w14:textId="77777777" w:rsidR="002B1DB3" w:rsidRPr="007B401D" w:rsidRDefault="002B1DB3" w:rsidP="00B15CBD">
      <w:pPr>
        <w:keepNext/>
        <w:tabs>
          <w:tab w:val="right" w:pos="9072"/>
        </w:tabs>
        <w:spacing w:after="0" w:line="240" w:lineRule="auto"/>
        <w:rPr>
          <w:rFonts w:ascii="Times New Roman" w:hAnsi="Times New Roman" w:cs="Times New Roman"/>
          <w:color w:val="FF0000"/>
          <w:sz w:val="24"/>
          <w:szCs w:val="24"/>
        </w:rPr>
      </w:pPr>
    </w:p>
    <w:p w14:paraId="2561D306" w14:textId="00869655" w:rsidR="00A42246" w:rsidRDefault="00150048" w:rsidP="009C222F">
      <w:pPr>
        <w:spacing w:line="240" w:lineRule="auto"/>
        <w:rPr>
          <w:rFonts w:ascii="Times New Roman" w:hAnsi="Times New Roman" w:cs="Times New Roman"/>
          <w:sz w:val="24"/>
          <w:szCs w:val="24"/>
        </w:rPr>
      </w:pPr>
      <w:r>
        <w:rPr>
          <w:rFonts w:ascii="Times New Roman" w:hAnsi="Times New Roman" w:cs="Times New Roman"/>
          <w:sz w:val="24"/>
          <w:szCs w:val="24"/>
        </w:rPr>
        <w:t>The Regulations ensure that references to the CSG</w:t>
      </w:r>
      <w:r w:rsidR="001F51B0">
        <w:rPr>
          <w:rFonts w:ascii="Times New Roman" w:hAnsi="Times New Roman" w:cs="Times New Roman"/>
          <w:sz w:val="24"/>
          <w:szCs w:val="24"/>
        </w:rPr>
        <w:t>s</w:t>
      </w:r>
      <w:r>
        <w:rPr>
          <w:rFonts w:ascii="Times New Roman" w:hAnsi="Times New Roman" w:cs="Times New Roman"/>
          <w:sz w:val="24"/>
          <w:szCs w:val="24"/>
        </w:rPr>
        <w:t xml:space="preserve">, the SSGs and the URL for the Department of Agriculture, Fisheries and Forestry in </w:t>
      </w:r>
      <w:r w:rsidR="00691EE1">
        <w:rPr>
          <w:rFonts w:ascii="Times New Roman" w:hAnsi="Times New Roman" w:cs="Times New Roman"/>
          <w:sz w:val="24"/>
          <w:szCs w:val="24"/>
        </w:rPr>
        <w:t>the ILP</w:t>
      </w:r>
      <w:r>
        <w:rPr>
          <w:rFonts w:ascii="Times New Roman" w:hAnsi="Times New Roman" w:cs="Times New Roman"/>
          <w:sz w:val="24"/>
          <w:szCs w:val="24"/>
        </w:rPr>
        <w:t xml:space="preserve"> Regulation are up to date</w:t>
      </w:r>
      <w:r w:rsidR="00A42246" w:rsidRPr="007B401D">
        <w:rPr>
          <w:rFonts w:ascii="Times New Roman" w:hAnsi="Times New Roman" w:cs="Times New Roman"/>
          <w:sz w:val="24"/>
          <w:szCs w:val="24"/>
        </w:rPr>
        <w:t xml:space="preserve">. </w:t>
      </w:r>
    </w:p>
    <w:p w14:paraId="58E25F8A" w14:textId="77777777" w:rsidR="00A2084B" w:rsidRDefault="00A2084B" w:rsidP="00A2084B">
      <w:pPr>
        <w:tabs>
          <w:tab w:val="left" w:pos="1701"/>
          <w:tab w:val="right" w:pos="9072"/>
        </w:tabs>
        <w:spacing w:after="0" w:line="240" w:lineRule="auto"/>
        <w:rPr>
          <w:rFonts w:ascii="Times New Roman" w:hAnsi="Times New Roman" w:cs="Times New Roman"/>
          <w:sz w:val="24"/>
          <w:szCs w:val="24"/>
        </w:rPr>
      </w:pPr>
      <w:r w:rsidRPr="00120B3F">
        <w:rPr>
          <w:rFonts w:ascii="Times New Roman" w:hAnsi="Times New Roman" w:cs="Times New Roman"/>
          <w:sz w:val="24"/>
          <w:szCs w:val="24"/>
        </w:rPr>
        <w:t>The Regulations are machinery in nature and will not add any new obligations to the existing due diligence process or create any additional regulatory burden for affected stakeholders.</w:t>
      </w:r>
    </w:p>
    <w:p w14:paraId="44B472C3" w14:textId="77777777" w:rsidR="000B6BD9" w:rsidRPr="007B401D" w:rsidRDefault="000B6BD9" w:rsidP="005D1ABF">
      <w:pPr>
        <w:tabs>
          <w:tab w:val="right" w:pos="9072"/>
        </w:tabs>
        <w:spacing w:after="0" w:line="240" w:lineRule="auto"/>
        <w:rPr>
          <w:rFonts w:ascii="Times New Roman" w:hAnsi="Times New Roman" w:cs="Times New Roman"/>
          <w:sz w:val="24"/>
          <w:szCs w:val="24"/>
        </w:rPr>
      </w:pPr>
    </w:p>
    <w:p w14:paraId="446A2232" w14:textId="77777777" w:rsidR="002B1DB3" w:rsidRPr="007B401D" w:rsidRDefault="002B1DB3" w:rsidP="005D1ABF">
      <w:pPr>
        <w:tabs>
          <w:tab w:val="left" w:pos="1701"/>
          <w:tab w:val="right" w:pos="9072"/>
        </w:tabs>
        <w:spacing w:after="0" w:line="240" w:lineRule="auto"/>
        <w:rPr>
          <w:rFonts w:ascii="Times New Roman" w:hAnsi="Times New Roman" w:cs="Times New Roman"/>
          <w:sz w:val="24"/>
          <w:szCs w:val="24"/>
        </w:rPr>
      </w:pPr>
      <w:r w:rsidRPr="007B401D">
        <w:rPr>
          <w:rFonts w:ascii="Times New Roman" w:hAnsi="Times New Roman" w:cs="Times New Roman"/>
          <w:b/>
          <w:sz w:val="24"/>
          <w:szCs w:val="24"/>
        </w:rPr>
        <w:t>Consultation</w:t>
      </w:r>
    </w:p>
    <w:p w14:paraId="36AEBEBE" w14:textId="77777777" w:rsidR="002B1DB3" w:rsidRPr="007B401D" w:rsidRDefault="002B1DB3" w:rsidP="005D1ABF">
      <w:pPr>
        <w:tabs>
          <w:tab w:val="left" w:pos="1701"/>
          <w:tab w:val="right" w:pos="9072"/>
        </w:tabs>
        <w:spacing w:after="0" w:line="240" w:lineRule="auto"/>
        <w:rPr>
          <w:rFonts w:ascii="Times New Roman" w:hAnsi="Times New Roman" w:cs="Times New Roman"/>
          <w:color w:val="FF0000"/>
          <w:sz w:val="24"/>
          <w:szCs w:val="24"/>
        </w:rPr>
      </w:pPr>
    </w:p>
    <w:p w14:paraId="09164510" w14:textId="7BD47B60" w:rsidR="00120B3F" w:rsidRDefault="00B21EDA" w:rsidP="005D1ABF">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As t</w:t>
      </w:r>
      <w:r w:rsidR="006461AC" w:rsidRPr="005D7818">
        <w:rPr>
          <w:rFonts w:ascii="Times New Roman" w:hAnsi="Times New Roman" w:cs="Times New Roman"/>
          <w:sz w:val="24"/>
          <w:szCs w:val="24"/>
        </w:rPr>
        <w:t xml:space="preserve">he </w:t>
      </w:r>
      <w:r w:rsidR="006461AC">
        <w:rPr>
          <w:rFonts w:ascii="Times New Roman" w:hAnsi="Times New Roman" w:cs="Times New Roman"/>
          <w:sz w:val="24"/>
          <w:szCs w:val="24"/>
        </w:rPr>
        <w:t xml:space="preserve">Proposed </w:t>
      </w:r>
      <w:r w:rsidR="006461AC" w:rsidRPr="005D7818">
        <w:rPr>
          <w:rFonts w:ascii="Times New Roman" w:hAnsi="Times New Roman" w:cs="Times New Roman"/>
          <w:sz w:val="24"/>
          <w:szCs w:val="24"/>
        </w:rPr>
        <w:t>Regulations are machinery in nature, importers of timber products and processors of raw logs have not been consulted in relation to the proposed amendments. This is consistent with the approach used for the development of all previous country specific and State specific guidelines.</w:t>
      </w:r>
      <w:r w:rsidR="006461AC">
        <w:rPr>
          <w:rFonts w:ascii="Times New Roman" w:hAnsi="Times New Roman" w:cs="Times New Roman"/>
          <w:sz w:val="24"/>
          <w:szCs w:val="24"/>
        </w:rPr>
        <w:t xml:space="preserve"> The wider public is not impacted and was therefore not consulted.</w:t>
      </w:r>
    </w:p>
    <w:p w14:paraId="5D04F986" w14:textId="77777777" w:rsidR="006461AC" w:rsidRDefault="006461AC" w:rsidP="005D1ABF">
      <w:pPr>
        <w:tabs>
          <w:tab w:val="left" w:pos="1701"/>
          <w:tab w:val="right" w:pos="9072"/>
        </w:tabs>
        <w:spacing w:after="0" w:line="240" w:lineRule="auto"/>
        <w:rPr>
          <w:rFonts w:ascii="Times New Roman" w:hAnsi="Times New Roman" w:cs="Times New Roman"/>
          <w:sz w:val="24"/>
          <w:szCs w:val="24"/>
        </w:rPr>
      </w:pPr>
    </w:p>
    <w:p w14:paraId="61AF43D9" w14:textId="5452C278" w:rsidR="00150048" w:rsidRDefault="00EC6543" w:rsidP="005D1ABF">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Consultations regarding the proposed amendments to the CSG for Italy were conducted with the Government of Italy from 2018 onwards. </w:t>
      </w:r>
    </w:p>
    <w:p w14:paraId="4F400443" w14:textId="77777777" w:rsidR="00150048" w:rsidRDefault="00150048" w:rsidP="005D1ABF">
      <w:pPr>
        <w:tabs>
          <w:tab w:val="left" w:pos="1701"/>
          <w:tab w:val="right" w:pos="9072"/>
        </w:tabs>
        <w:spacing w:after="0" w:line="240" w:lineRule="auto"/>
        <w:rPr>
          <w:rFonts w:ascii="Times New Roman" w:hAnsi="Times New Roman" w:cs="Times New Roman"/>
          <w:sz w:val="24"/>
          <w:szCs w:val="24"/>
        </w:rPr>
      </w:pPr>
    </w:p>
    <w:p w14:paraId="20181363" w14:textId="48DFABF1" w:rsidR="00150048" w:rsidRPr="00150048" w:rsidRDefault="00150048" w:rsidP="00150048">
      <w:pPr>
        <w:tabs>
          <w:tab w:val="left" w:pos="1701"/>
          <w:tab w:val="right" w:pos="9072"/>
        </w:tabs>
        <w:spacing w:after="0" w:line="240" w:lineRule="auto"/>
        <w:rPr>
          <w:rFonts w:ascii="Times New Roman" w:hAnsi="Times New Roman" w:cs="Times New Roman"/>
          <w:iCs/>
          <w:sz w:val="24"/>
          <w:szCs w:val="24"/>
        </w:rPr>
      </w:pPr>
      <w:r w:rsidRPr="00150048">
        <w:rPr>
          <w:rFonts w:ascii="Times New Roman" w:hAnsi="Times New Roman" w:cs="Times New Roman"/>
          <w:iCs/>
          <w:sz w:val="24"/>
          <w:szCs w:val="24"/>
        </w:rPr>
        <w:t xml:space="preserve">Consultations regarding the amendments to the </w:t>
      </w:r>
      <w:r w:rsidR="00F725DC">
        <w:rPr>
          <w:rFonts w:ascii="Times New Roman" w:hAnsi="Times New Roman" w:cs="Times New Roman"/>
          <w:iCs/>
          <w:sz w:val="24"/>
          <w:szCs w:val="24"/>
        </w:rPr>
        <w:t>SSG</w:t>
      </w:r>
      <w:r w:rsidRPr="00150048">
        <w:rPr>
          <w:rFonts w:ascii="Times New Roman" w:hAnsi="Times New Roman" w:cs="Times New Roman"/>
          <w:iCs/>
          <w:sz w:val="24"/>
          <w:szCs w:val="24"/>
        </w:rPr>
        <w:t xml:space="preserve"> for New South Wales were conducted with the Government of New South Wales from approximately May 2019 to September 2022.</w:t>
      </w:r>
    </w:p>
    <w:p w14:paraId="56AC7576" w14:textId="77777777" w:rsidR="00150048" w:rsidRPr="00150048" w:rsidRDefault="00150048" w:rsidP="00150048">
      <w:pPr>
        <w:tabs>
          <w:tab w:val="left" w:pos="1701"/>
          <w:tab w:val="right" w:pos="9072"/>
        </w:tabs>
        <w:spacing w:after="0" w:line="240" w:lineRule="auto"/>
        <w:rPr>
          <w:rFonts w:ascii="Times New Roman" w:hAnsi="Times New Roman" w:cs="Times New Roman"/>
          <w:iCs/>
          <w:sz w:val="24"/>
          <w:szCs w:val="24"/>
        </w:rPr>
      </w:pPr>
    </w:p>
    <w:p w14:paraId="3123080F" w14:textId="717538F4" w:rsidR="00150048" w:rsidRPr="00150048" w:rsidRDefault="00150048" w:rsidP="00150048">
      <w:pPr>
        <w:tabs>
          <w:tab w:val="left" w:pos="1701"/>
          <w:tab w:val="right" w:pos="9072"/>
        </w:tabs>
        <w:spacing w:after="0" w:line="240" w:lineRule="auto"/>
        <w:rPr>
          <w:rFonts w:ascii="Times New Roman" w:hAnsi="Times New Roman" w:cs="Times New Roman"/>
          <w:iCs/>
          <w:sz w:val="24"/>
          <w:szCs w:val="24"/>
        </w:rPr>
      </w:pPr>
      <w:r w:rsidRPr="00150048">
        <w:rPr>
          <w:rFonts w:ascii="Times New Roman" w:hAnsi="Times New Roman" w:cs="Times New Roman"/>
          <w:iCs/>
          <w:sz w:val="24"/>
          <w:szCs w:val="24"/>
        </w:rPr>
        <w:t xml:space="preserve">Consultations regarding the amendments to the </w:t>
      </w:r>
      <w:r w:rsidR="00F725DC">
        <w:rPr>
          <w:rFonts w:ascii="Times New Roman" w:hAnsi="Times New Roman" w:cs="Times New Roman"/>
          <w:iCs/>
          <w:sz w:val="24"/>
          <w:szCs w:val="24"/>
        </w:rPr>
        <w:t>SSG</w:t>
      </w:r>
      <w:r w:rsidRPr="00150048">
        <w:rPr>
          <w:rFonts w:ascii="Times New Roman" w:hAnsi="Times New Roman" w:cs="Times New Roman"/>
          <w:iCs/>
          <w:sz w:val="24"/>
          <w:szCs w:val="24"/>
        </w:rPr>
        <w:t xml:space="preserve"> for Victoria were conducted with the Government of Victoria from approximately May 2019 to October 2022.</w:t>
      </w:r>
    </w:p>
    <w:p w14:paraId="27F8F946" w14:textId="77777777" w:rsidR="00150048" w:rsidRPr="00150048" w:rsidRDefault="00150048" w:rsidP="00150048">
      <w:pPr>
        <w:tabs>
          <w:tab w:val="left" w:pos="1701"/>
          <w:tab w:val="right" w:pos="9072"/>
        </w:tabs>
        <w:spacing w:after="0" w:line="240" w:lineRule="auto"/>
        <w:rPr>
          <w:rFonts w:ascii="Times New Roman" w:hAnsi="Times New Roman" w:cs="Times New Roman"/>
          <w:iCs/>
          <w:sz w:val="24"/>
          <w:szCs w:val="24"/>
        </w:rPr>
      </w:pPr>
    </w:p>
    <w:p w14:paraId="157FB365" w14:textId="5CB28B8D" w:rsidR="00150048" w:rsidRPr="00150048" w:rsidRDefault="00150048" w:rsidP="00150048">
      <w:pPr>
        <w:tabs>
          <w:tab w:val="left" w:pos="1701"/>
          <w:tab w:val="right" w:pos="9072"/>
        </w:tabs>
        <w:spacing w:after="0" w:line="240" w:lineRule="auto"/>
        <w:rPr>
          <w:rFonts w:ascii="Times New Roman" w:hAnsi="Times New Roman" w:cs="Times New Roman"/>
          <w:iCs/>
          <w:sz w:val="24"/>
          <w:szCs w:val="24"/>
        </w:rPr>
      </w:pPr>
      <w:r w:rsidRPr="00150048">
        <w:rPr>
          <w:rFonts w:ascii="Times New Roman" w:hAnsi="Times New Roman" w:cs="Times New Roman"/>
          <w:iCs/>
          <w:sz w:val="24"/>
          <w:szCs w:val="24"/>
        </w:rPr>
        <w:t xml:space="preserve">Consultations regarding the amendments to the </w:t>
      </w:r>
      <w:r w:rsidR="00F725DC">
        <w:rPr>
          <w:rFonts w:ascii="Times New Roman" w:hAnsi="Times New Roman" w:cs="Times New Roman"/>
          <w:iCs/>
          <w:sz w:val="24"/>
          <w:szCs w:val="24"/>
        </w:rPr>
        <w:t>SSG</w:t>
      </w:r>
      <w:r w:rsidRPr="00150048">
        <w:rPr>
          <w:rFonts w:ascii="Times New Roman" w:hAnsi="Times New Roman" w:cs="Times New Roman"/>
          <w:iCs/>
          <w:sz w:val="24"/>
          <w:szCs w:val="24"/>
        </w:rPr>
        <w:t xml:space="preserve"> for Queensland were conducted with the Government of Queensland from approximately May 2019 to June 2022.</w:t>
      </w:r>
    </w:p>
    <w:p w14:paraId="5F11EFAC" w14:textId="77777777" w:rsidR="00150048" w:rsidRPr="00150048" w:rsidRDefault="00150048" w:rsidP="00150048">
      <w:pPr>
        <w:tabs>
          <w:tab w:val="left" w:pos="1701"/>
          <w:tab w:val="right" w:pos="9072"/>
        </w:tabs>
        <w:spacing w:after="0" w:line="240" w:lineRule="auto"/>
        <w:rPr>
          <w:rFonts w:ascii="Times New Roman" w:hAnsi="Times New Roman" w:cs="Times New Roman"/>
          <w:iCs/>
          <w:sz w:val="24"/>
          <w:szCs w:val="24"/>
        </w:rPr>
      </w:pPr>
    </w:p>
    <w:p w14:paraId="4E248C59" w14:textId="6981A0B9" w:rsidR="00150048" w:rsidRPr="00150048" w:rsidRDefault="00150048" w:rsidP="00150048">
      <w:pPr>
        <w:tabs>
          <w:tab w:val="left" w:pos="1701"/>
          <w:tab w:val="right" w:pos="9072"/>
        </w:tabs>
        <w:spacing w:after="0" w:line="240" w:lineRule="auto"/>
        <w:rPr>
          <w:rFonts w:ascii="Times New Roman" w:hAnsi="Times New Roman" w:cs="Times New Roman"/>
          <w:iCs/>
          <w:sz w:val="24"/>
          <w:szCs w:val="24"/>
        </w:rPr>
      </w:pPr>
      <w:r w:rsidRPr="00150048">
        <w:rPr>
          <w:rFonts w:ascii="Times New Roman" w:hAnsi="Times New Roman" w:cs="Times New Roman"/>
          <w:iCs/>
          <w:sz w:val="24"/>
          <w:szCs w:val="24"/>
        </w:rPr>
        <w:lastRenderedPageBreak/>
        <w:t xml:space="preserve">Consultations regarding the amendments to the </w:t>
      </w:r>
      <w:r w:rsidR="00F725DC">
        <w:rPr>
          <w:rFonts w:ascii="Times New Roman" w:hAnsi="Times New Roman" w:cs="Times New Roman"/>
          <w:iCs/>
          <w:sz w:val="24"/>
          <w:szCs w:val="24"/>
        </w:rPr>
        <w:t>SSG</w:t>
      </w:r>
      <w:r w:rsidRPr="00150048">
        <w:rPr>
          <w:rFonts w:ascii="Times New Roman" w:hAnsi="Times New Roman" w:cs="Times New Roman"/>
          <w:iCs/>
          <w:sz w:val="24"/>
          <w:szCs w:val="24"/>
        </w:rPr>
        <w:t xml:space="preserve"> for Western Australia were conducted with the Government of Western Australia from approximately May 2019 to October 2022.</w:t>
      </w:r>
    </w:p>
    <w:p w14:paraId="046C7E65" w14:textId="77777777" w:rsidR="00EC6543" w:rsidRPr="007B401D" w:rsidRDefault="00EC6543" w:rsidP="005D1ABF">
      <w:pPr>
        <w:tabs>
          <w:tab w:val="left" w:pos="1701"/>
          <w:tab w:val="right" w:pos="9072"/>
        </w:tabs>
        <w:spacing w:after="0" w:line="240" w:lineRule="auto"/>
        <w:rPr>
          <w:rFonts w:ascii="Times New Roman" w:hAnsi="Times New Roman" w:cs="Times New Roman"/>
          <w:sz w:val="24"/>
          <w:szCs w:val="24"/>
        </w:rPr>
      </w:pPr>
    </w:p>
    <w:p w14:paraId="6B89AAE3" w14:textId="63A6E6D0" w:rsidR="004B0318" w:rsidRPr="007B401D" w:rsidRDefault="00881759" w:rsidP="005D1ABF">
      <w:pPr>
        <w:tabs>
          <w:tab w:val="left" w:pos="1701"/>
          <w:tab w:val="right" w:pos="9072"/>
        </w:tabs>
        <w:spacing w:after="0" w:line="240" w:lineRule="auto"/>
        <w:rPr>
          <w:rFonts w:ascii="Times New Roman" w:hAnsi="Times New Roman" w:cs="Times New Roman"/>
          <w:sz w:val="24"/>
          <w:szCs w:val="24"/>
        </w:rPr>
      </w:pPr>
      <w:r w:rsidRPr="009805D0">
        <w:rPr>
          <w:rFonts w:ascii="Times New Roman" w:hAnsi="Times New Roman" w:cs="Times New Roman"/>
          <w:sz w:val="24"/>
          <w:szCs w:val="24"/>
        </w:rPr>
        <w:t xml:space="preserve">The </w:t>
      </w:r>
      <w:r w:rsidR="009805D0" w:rsidRPr="009805D0">
        <w:rPr>
          <w:rFonts w:ascii="Times New Roman" w:hAnsi="Times New Roman" w:cs="Times New Roman"/>
          <w:sz w:val="24"/>
          <w:szCs w:val="24"/>
        </w:rPr>
        <w:t>Office of Impact Analysis, formerly the</w:t>
      </w:r>
      <w:r w:rsidR="00971690" w:rsidRPr="009805D0">
        <w:rPr>
          <w:rFonts w:ascii="Times New Roman" w:hAnsi="Times New Roman" w:cs="Times New Roman"/>
          <w:sz w:val="24"/>
          <w:szCs w:val="24"/>
        </w:rPr>
        <w:t xml:space="preserve"> </w:t>
      </w:r>
      <w:r w:rsidRPr="009805D0">
        <w:rPr>
          <w:rFonts w:ascii="Times New Roman" w:hAnsi="Times New Roman" w:cs="Times New Roman"/>
          <w:sz w:val="24"/>
          <w:szCs w:val="24"/>
        </w:rPr>
        <w:t>Office of Best Practice Regulation (OBPR)</w:t>
      </w:r>
      <w:r w:rsidR="009805D0" w:rsidRPr="009805D0">
        <w:rPr>
          <w:rFonts w:ascii="Times New Roman" w:hAnsi="Times New Roman" w:cs="Times New Roman"/>
          <w:sz w:val="24"/>
          <w:szCs w:val="24"/>
        </w:rPr>
        <w:t xml:space="preserve">, </w:t>
      </w:r>
      <w:r w:rsidRPr="009805D0">
        <w:rPr>
          <w:rFonts w:ascii="Times New Roman" w:hAnsi="Times New Roman" w:cs="Times New Roman"/>
          <w:sz w:val="24"/>
          <w:szCs w:val="24"/>
        </w:rPr>
        <w:t xml:space="preserve">was consulted </w:t>
      </w:r>
      <w:r w:rsidR="009805D0" w:rsidRPr="009805D0">
        <w:rPr>
          <w:rFonts w:ascii="Times New Roman" w:hAnsi="Times New Roman" w:cs="Times New Roman"/>
          <w:sz w:val="24"/>
          <w:szCs w:val="24"/>
        </w:rPr>
        <w:t>on the Regulation</w:t>
      </w:r>
      <w:r w:rsidR="001F51B0">
        <w:rPr>
          <w:rFonts w:ascii="Times New Roman" w:hAnsi="Times New Roman" w:cs="Times New Roman"/>
          <w:sz w:val="24"/>
          <w:szCs w:val="24"/>
        </w:rPr>
        <w:t>s</w:t>
      </w:r>
      <w:r w:rsidR="009805D0" w:rsidRPr="009805D0">
        <w:rPr>
          <w:rFonts w:ascii="Times New Roman" w:hAnsi="Times New Roman" w:cs="Times New Roman"/>
          <w:sz w:val="24"/>
          <w:szCs w:val="24"/>
        </w:rPr>
        <w:t xml:space="preserve"> </w:t>
      </w:r>
      <w:r w:rsidR="00691EE1" w:rsidRPr="009805D0">
        <w:rPr>
          <w:rFonts w:ascii="Times New Roman" w:hAnsi="Times New Roman" w:cs="Times New Roman"/>
          <w:sz w:val="24"/>
          <w:szCs w:val="24"/>
        </w:rPr>
        <w:t>and advised</w:t>
      </w:r>
      <w:r w:rsidR="009805D0" w:rsidRPr="009805D0">
        <w:rPr>
          <w:rFonts w:ascii="Times New Roman" w:hAnsi="Times New Roman" w:cs="Times New Roman"/>
          <w:sz w:val="24"/>
          <w:szCs w:val="24"/>
        </w:rPr>
        <w:t xml:space="preserve"> </w:t>
      </w:r>
      <w:r w:rsidR="0032303B" w:rsidRPr="009805D0">
        <w:rPr>
          <w:rFonts w:ascii="Times New Roman" w:hAnsi="Times New Roman" w:cs="Times New Roman"/>
          <w:sz w:val="24"/>
          <w:szCs w:val="24"/>
        </w:rPr>
        <w:t>that they</w:t>
      </w:r>
      <w:r w:rsidR="001F51B0">
        <w:rPr>
          <w:rFonts w:ascii="Times New Roman" w:hAnsi="Times New Roman" w:cs="Times New Roman"/>
          <w:sz w:val="24"/>
          <w:szCs w:val="24"/>
        </w:rPr>
        <w:t xml:space="preserve"> </w:t>
      </w:r>
      <w:r w:rsidR="009805D0" w:rsidRPr="009805D0">
        <w:rPr>
          <w:rFonts w:ascii="Times New Roman" w:hAnsi="Times New Roman" w:cs="Times New Roman"/>
          <w:sz w:val="24"/>
          <w:szCs w:val="24"/>
        </w:rPr>
        <w:t>appear likely to have a minor regulatory impact</w:t>
      </w:r>
      <w:r w:rsidR="00197481" w:rsidRPr="009805D0">
        <w:rPr>
          <w:rFonts w:ascii="Times New Roman" w:hAnsi="Times New Roman" w:cs="Times New Roman"/>
          <w:sz w:val="24"/>
          <w:szCs w:val="24"/>
        </w:rPr>
        <w:t>.</w:t>
      </w:r>
      <w:r w:rsidR="009805D0" w:rsidRPr="009805D0">
        <w:rPr>
          <w:rFonts w:ascii="Times New Roman" w:hAnsi="Times New Roman" w:cs="Times New Roman"/>
          <w:sz w:val="24"/>
          <w:szCs w:val="24"/>
        </w:rPr>
        <w:t xml:space="preserve"> A Regulation Impact Statement (RIS) is therefore not required (OBPR22-03701).</w:t>
      </w:r>
    </w:p>
    <w:p w14:paraId="4CEA5E12" w14:textId="77777777" w:rsidR="002B1DB3" w:rsidRPr="007B401D" w:rsidRDefault="002B1DB3" w:rsidP="005D1ABF">
      <w:pPr>
        <w:tabs>
          <w:tab w:val="right" w:pos="9072"/>
        </w:tabs>
        <w:spacing w:after="0" w:line="240" w:lineRule="auto"/>
        <w:rPr>
          <w:rFonts w:ascii="Times New Roman" w:hAnsi="Times New Roman" w:cs="Times New Roman"/>
          <w:sz w:val="24"/>
          <w:szCs w:val="24"/>
        </w:rPr>
      </w:pPr>
    </w:p>
    <w:p w14:paraId="5627C017" w14:textId="77777777" w:rsidR="00E76AB5" w:rsidRPr="007B401D" w:rsidRDefault="00E76AB5" w:rsidP="00E76AB5">
      <w:pPr>
        <w:tabs>
          <w:tab w:val="left" w:pos="1701"/>
          <w:tab w:val="right" w:pos="9072"/>
        </w:tabs>
        <w:spacing w:after="0" w:line="240" w:lineRule="auto"/>
        <w:rPr>
          <w:rFonts w:ascii="Times New Roman" w:hAnsi="Times New Roman" w:cs="Times New Roman"/>
          <w:b/>
          <w:sz w:val="24"/>
        </w:rPr>
      </w:pPr>
      <w:r w:rsidRPr="007B401D">
        <w:rPr>
          <w:rFonts w:ascii="Times New Roman" w:hAnsi="Times New Roman" w:cs="Times New Roman"/>
          <w:b/>
          <w:sz w:val="24"/>
        </w:rPr>
        <w:t>Details/ Operation</w:t>
      </w:r>
    </w:p>
    <w:p w14:paraId="4E010D3E" w14:textId="77777777" w:rsidR="00E76AB5" w:rsidRPr="007B401D" w:rsidRDefault="00E76AB5" w:rsidP="00E76AB5">
      <w:pPr>
        <w:tabs>
          <w:tab w:val="left" w:pos="1701"/>
          <w:tab w:val="right" w:pos="9072"/>
        </w:tabs>
        <w:spacing w:after="0" w:line="240" w:lineRule="auto"/>
        <w:rPr>
          <w:rFonts w:ascii="Times New Roman" w:hAnsi="Times New Roman" w:cs="Times New Roman"/>
          <w:color w:val="FF0000"/>
          <w:sz w:val="24"/>
        </w:rPr>
      </w:pPr>
    </w:p>
    <w:p w14:paraId="411BEB6A" w14:textId="205B51B5" w:rsidR="00E76AB5" w:rsidRPr="007B401D" w:rsidRDefault="00E76AB5" w:rsidP="00E76AB5">
      <w:pPr>
        <w:tabs>
          <w:tab w:val="left" w:pos="1701"/>
          <w:tab w:val="right" w:pos="9072"/>
        </w:tabs>
        <w:spacing w:after="0" w:line="240" w:lineRule="auto"/>
        <w:rPr>
          <w:rFonts w:ascii="Times New Roman" w:hAnsi="Times New Roman" w:cs="Times New Roman"/>
          <w:sz w:val="24"/>
        </w:rPr>
      </w:pPr>
      <w:r w:rsidRPr="007B401D">
        <w:rPr>
          <w:rFonts w:ascii="Times New Roman" w:hAnsi="Times New Roman" w:cs="Times New Roman"/>
          <w:sz w:val="24"/>
        </w:rPr>
        <w:t xml:space="preserve">Details of the </w:t>
      </w:r>
      <w:r w:rsidR="00275A43" w:rsidRPr="007B401D">
        <w:rPr>
          <w:rFonts w:ascii="Times New Roman" w:hAnsi="Times New Roman" w:cs="Times New Roman"/>
          <w:sz w:val="24"/>
        </w:rPr>
        <w:t>Regulations</w:t>
      </w:r>
      <w:r w:rsidR="003931D0" w:rsidRPr="007B401D">
        <w:rPr>
          <w:rFonts w:ascii="Times New Roman" w:hAnsi="Times New Roman" w:cs="Times New Roman"/>
          <w:sz w:val="24"/>
        </w:rPr>
        <w:t xml:space="preserve"> are set out in</w:t>
      </w:r>
      <w:r w:rsidRPr="007B401D">
        <w:rPr>
          <w:rFonts w:ascii="Times New Roman" w:hAnsi="Times New Roman" w:cs="Times New Roman"/>
          <w:sz w:val="24"/>
        </w:rPr>
        <w:t xml:space="preserve"> </w:t>
      </w:r>
      <w:r w:rsidRPr="007B401D">
        <w:rPr>
          <w:rFonts w:ascii="Times New Roman" w:hAnsi="Times New Roman" w:cs="Times New Roman"/>
          <w:sz w:val="24"/>
          <w:u w:val="single"/>
        </w:rPr>
        <w:t>Attachment A</w:t>
      </w:r>
      <w:r w:rsidRPr="007B401D">
        <w:rPr>
          <w:rFonts w:ascii="Times New Roman" w:hAnsi="Times New Roman" w:cs="Times New Roman"/>
          <w:sz w:val="24"/>
        </w:rPr>
        <w:t>.</w:t>
      </w:r>
    </w:p>
    <w:p w14:paraId="672328D5" w14:textId="77777777" w:rsidR="00B66DFF" w:rsidRPr="007B401D" w:rsidRDefault="00B66DFF" w:rsidP="005D1ABF">
      <w:pPr>
        <w:tabs>
          <w:tab w:val="left" w:pos="1701"/>
          <w:tab w:val="right" w:pos="9072"/>
        </w:tabs>
        <w:spacing w:after="0" w:line="240" w:lineRule="auto"/>
        <w:rPr>
          <w:rFonts w:ascii="Times New Roman" w:hAnsi="Times New Roman" w:cs="Times New Roman"/>
          <w:sz w:val="24"/>
          <w:szCs w:val="24"/>
        </w:rPr>
      </w:pPr>
    </w:p>
    <w:p w14:paraId="4AE25FBA" w14:textId="77777777" w:rsidR="00E76AB5" w:rsidRPr="007B401D" w:rsidRDefault="00E76AB5" w:rsidP="005D1ABF">
      <w:pPr>
        <w:tabs>
          <w:tab w:val="left" w:pos="1701"/>
          <w:tab w:val="right" w:pos="9072"/>
        </w:tabs>
        <w:spacing w:after="0" w:line="240" w:lineRule="auto"/>
        <w:rPr>
          <w:rFonts w:ascii="Times New Roman" w:hAnsi="Times New Roman" w:cs="Times New Roman"/>
          <w:sz w:val="24"/>
          <w:szCs w:val="24"/>
        </w:rPr>
      </w:pPr>
      <w:r w:rsidRPr="007B401D">
        <w:rPr>
          <w:rFonts w:ascii="Times New Roman" w:hAnsi="Times New Roman" w:cs="Times New Roman"/>
          <w:b/>
          <w:sz w:val="24"/>
          <w:szCs w:val="24"/>
        </w:rPr>
        <w:t>Other</w:t>
      </w:r>
    </w:p>
    <w:p w14:paraId="4F3DB0D6" w14:textId="77777777" w:rsidR="001C09FB" w:rsidRPr="007B401D" w:rsidRDefault="001C09FB" w:rsidP="00E76AB5">
      <w:pPr>
        <w:tabs>
          <w:tab w:val="left" w:pos="1701"/>
          <w:tab w:val="right" w:pos="9072"/>
        </w:tabs>
        <w:spacing w:after="0" w:line="240" w:lineRule="auto"/>
        <w:rPr>
          <w:rFonts w:ascii="Times New Roman" w:hAnsi="Times New Roman" w:cs="Times New Roman"/>
          <w:sz w:val="24"/>
          <w:szCs w:val="24"/>
        </w:rPr>
      </w:pPr>
    </w:p>
    <w:p w14:paraId="0CB5DFC8" w14:textId="34358FD9" w:rsidR="00E76AB5" w:rsidRPr="007B401D" w:rsidRDefault="00E76AB5" w:rsidP="00E76AB5">
      <w:pPr>
        <w:tabs>
          <w:tab w:val="left" w:pos="1701"/>
          <w:tab w:val="right" w:pos="9072"/>
        </w:tabs>
        <w:spacing w:after="0" w:line="240" w:lineRule="auto"/>
        <w:rPr>
          <w:rFonts w:ascii="Times New Roman" w:hAnsi="Times New Roman" w:cs="Times New Roman"/>
          <w:sz w:val="24"/>
          <w:szCs w:val="24"/>
        </w:rPr>
      </w:pPr>
      <w:r w:rsidRPr="000046DA">
        <w:rPr>
          <w:rFonts w:ascii="Times New Roman" w:hAnsi="Times New Roman" w:cs="Times New Roman"/>
          <w:sz w:val="24"/>
          <w:szCs w:val="24"/>
        </w:rPr>
        <w:t>The</w:t>
      </w:r>
      <w:r w:rsidR="00E4537E" w:rsidRPr="000046DA">
        <w:rPr>
          <w:rFonts w:ascii="Times New Roman" w:hAnsi="Times New Roman" w:cs="Times New Roman"/>
          <w:sz w:val="24"/>
          <w:szCs w:val="24"/>
        </w:rPr>
        <w:t xml:space="preserve"> Regulations </w:t>
      </w:r>
      <w:r w:rsidR="0023073A" w:rsidRPr="000046DA">
        <w:rPr>
          <w:rFonts w:ascii="Times New Roman" w:hAnsi="Times New Roman" w:cs="Times New Roman"/>
          <w:sz w:val="24"/>
          <w:szCs w:val="24"/>
        </w:rPr>
        <w:t>are</w:t>
      </w:r>
      <w:r w:rsidR="00E4537E" w:rsidRPr="007B401D">
        <w:rPr>
          <w:rFonts w:ascii="Times New Roman" w:hAnsi="Times New Roman" w:cs="Times New Roman"/>
          <w:sz w:val="24"/>
          <w:szCs w:val="24"/>
        </w:rPr>
        <w:t xml:space="preserve"> </w:t>
      </w:r>
      <w:r w:rsidR="003A3A60" w:rsidRPr="007B401D">
        <w:rPr>
          <w:rFonts w:ascii="Times New Roman" w:hAnsi="Times New Roman" w:cs="Times New Roman"/>
          <w:sz w:val="24"/>
          <w:szCs w:val="24"/>
        </w:rPr>
        <w:t>compatible</w:t>
      </w:r>
      <w:r w:rsidRPr="007B401D">
        <w:rPr>
          <w:rFonts w:ascii="Times New Roman" w:hAnsi="Times New Roman" w:cs="Times New Roman"/>
          <w:sz w:val="24"/>
          <w:szCs w:val="24"/>
        </w:rPr>
        <w:t xml:space="preserve"> with the human rights and freedoms recognised or declared under section 3 of the </w:t>
      </w:r>
      <w:r w:rsidRPr="007B401D">
        <w:rPr>
          <w:rFonts w:ascii="Times New Roman" w:hAnsi="Times New Roman" w:cs="Times New Roman"/>
          <w:i/>
          <w:sz w:val="24"/>
          <w:szCs w:val="24"/>
        </w:rPr>
        <w:t>Human Rights (Parliamentary Scrutiny) Act 2011.</w:t>
      </w:r>
      <w:r w:rsidRPr="007B401D">
        <w:rPr>
          <w:rFonts w:ascii="Times New Roman" w:hAnsi="Times New Roman" w:cs="Times New Roman"/>
          <w:sz w:val="24"/>
          <w:szCs w:val="24"/>
        </w:rPr>
        <w:t xml:space="preserve"> A full statement of compatibility is set out in </w:t>
      </w:r>
      <w:r w:rsidRPr="007B401D">
        <w:rPr>
          <w:rFonts w:ascii="Times New Roman" w:hAnsi="Times New Roman" w:cs="Times New Roman"/>
          <w:sz w:val="24"/>
          <w:szCs w:val="24"/>
          <w:u w:val="single"/>
        </w:rPr>
        <w:t>Attachment B</w:t>
      </w:r>
      <w:r w:rsidRPr="007B401D">
        <w:rPr>
          <w:rFonts w:ascii="Times New Roman" w:hAnsi="Times New Roman" w:cs="Times New Roman"/>
          <w:sz w:val="24"/>
          <w:szCs w:val="24"/>
        </w:rPr>
        <w:t>.</w:t>
      </w:r>
    </w:p>
    <w:p w14:paraId="3856AD8F" w14:textId="77777777" w:rsidR="00E76AB5" w:rsidRPr="007B401D" w:rsidRDefault="00E76AB5" w:rsidP="00E76AB5">
      <w:pPr>
        <w:tabs>
          <w:tab w:val="left" w:pos="1701"/>
          <w:tab w:val="right" w:pos="9072"/>
        </w:tabs>
        <w:spacing w:after="0" w:line="240" w:lineRule="auto"/>
        <w:rPr>
          <w:rFonts w:ascii="Times New Roman" w:hAnsi="Times New Roman" w:cs="Times New Roman"/>
          <w:sz w:val="24"/>
          <w:szCs w:val="24"/>
        </w:rPr>
      </w:pPr>
    </w:p>
    <w:p w14:paraId="704D1FBD" w14:textId="39A244E8" w:rsidR="00203AAB" w:rsidRPr="007B401D" w:rsidRDefault="00203AAB" w:rsidP="00E76AB5">
      <w:pPr>
        <w:tabs>
          <w:tab w:val="left" w:pos="1701"/>
          <w:tab w:val="right" w:pos="9072"/>
        </w:tabs>
        <w:spacing w:after="0" w:line="240" w:lineRule="auto"/>
        <w:rPr>
          <w:rFonts w:ascii="Times New Roman" w:hAnsi="Times New Roman" w:cs="Times New Roman"/>
          <w:sz w:val="24"/>
          <w:szCs w:val="24"/>
        </w:rPr>
      </w:pPr>
      <w:r w:rsidRPr="007B401D">
        <w:rPr>
          <w:rFonts w:ascii="Times New Roman" w:hAnsi="Times New Roman" w:cs="Times New Roman"/>
          <w:sz w:val="24"/>
          <w:szCs w:val="24"/>
        </w:rPr>
        <w:t>The</w:t>
      </w:r>
      <w:r w:rsidR="00E4537E" w:rsidRPr="007B401D">
        <w:rPr>
          <w:rFonts w:ascii="Times New Roman" w:hAnsi="Times New Roman" w:cs="Times New Roman"/>
          <w:sz w:val="24"/>
          <w:szCs w:val="24"/>
        </w:rPr>
        <w:t xml:space="preserve"> Regulations </w:t>
      </w:r>
      <w:r w:rsidR="0023073A" w:rsidRPr="007B401D">
        <w:rPr>
          <w:rFonts w:ascii="Times New Roman" w:hAnsi="Times New Roman" w:cs="Times New Roman"/>
          <w:sz w:val="24"/>
          <w:szCs w:val="24"/>
        </w:rPr>
        <w:t>are</w:t>
      </w:r>
      <w:r w:rsidR="00D45E13" w:rsidRPr="007B401D">
        <w:rPr>
          <w:rFonts w:ascii="Times New Roman" w:hAnsi="Times New Roman" w:cs="Times New Roman"/>
          <w:sz w:val="24"/>
          <w:szCs w:val="24"/>
        </w:rPr>
        <w:t xml:space="preserve"> </w:t>
      </w:r>
      <w:r w:rsidRPr="007B401D">
        <w:rPr>
          <w:rFonts w:ascii="Times New Roman" w:hAnsi="Times New Roman" w:cs="Times New Roman"/>
          <w:sz w:val="24"/>
          <w:szCs w:val="24"/>
        </w:rPr>
        <w:t xml:space="preserve">a legislative instrument for the purposes of the </w:t>
      </w:r>
      <w:r w:rsidR="000645AB" w:rsidRPr="007B401D">
        <w:rPr>
          <w:rFonts w:ascii="Times New Roman" w:hAnsi="Times New Roman" w:cs="Times New Roman"/>
          <w:i/>
          <w:sz w:val="24"/>
          <w:szCs w:val="24"/>
        </w:rPr>
        <w:t xml:space="preserve">Legislation </w:t>
      </w:r>
      <w:r w:rsidRPr="007B401D">
        <w:rPr>
          <w:rFonts w:ascii="Times New Roman" w:hAnsi="Times New Roman" w:cs="Times New Roman"/>
          <w:i/>
          <w:sz w:val="24"/>
          <w:szCs w:val="24"/>
        </w:rPr>
        <w:t>Act 2003</w:t>
      </w:r>
      <w:r w:rsidRPr="007B401D">
        <w:rPr>
          <w:rFonts w:ascii="Times New Roman" w:hAnsi="Times New Roman" w:cs="Times New Roman"/>
          <w:sz w:val="24"/>
          <w:szCs w:val="24"/>
        </w:rPr>
        <w:t>.</w:t>
      </w:r>
    </w:p>
    <w:p w14:paraId="59C778DD" w14:textId="77777777" w:rsidR="00E76AB5" w:rsidRPr="007B401D" w:rsidRDefault="00E76AB5" w:rsidP="00E76AB5">
      <w:pPr>
        <w:pStyle w:val="Normal-em"/>
        <w:spacing w:after="0" w:line="240" w:lineRule="auto"/>
        <w:rPr>
          <w:b/>
          <w:caps/>
          <w:szCs w:val="24"/>
          <w:u w:val="single"/>
        </w:rPr>
      </w:pPr>
      <w:r w:rsidRPr="007B401D">
        <w:rPr>
          <w:b/>
          <w:caps/>
          <w:szCs w:val="24"/>
          <w:u w:val="single"/>
        </w:rPr>
        <w:br w:type="page"/>
      </w:r>
    </w:p>
    <w:p w14:paraId="5474A301" w14:textId="610BD593" w:rsidR="002B1DB3" w:rsidRPr="007B401D" w:rsidRDefault="002B1DB3" w:rsidP="005D1ABF">
      <w:pPr>
        <w:pStyle w:val="Normal-em"/>
        <w:spacing w:after="0" w:line="240" w:lineRule="auto"/>
        <w:jc w:val="right"/>
        <w:rPr>
          <w:b/>
          <w:caps/>
          <w:szCs w:val="24"/>
          <w:u w:val="single"/>
        </w:rPr>
      </w:pPr>
      <w:r w:rsidRPr="007B401D">
        <w:rPr>
          <w:b/>
          <w:caps/>
          <w:szCs w:val="24"/>
          <w:u w:val="single"/>
        </w:rPr>
        <w:lastRenderedPageBreak/>
        <w:t>Attachment</w:t>
      </w:r>
      <w:r w:rsidR="004D27DA" w:rsidRPr="007B401D">
        <w:rPr>
          <w:b/>
          <w:caps/>
          <w:szCs w:val="24"/>
          <w:u w:val="single"/>
        </w:rPr>
        <w:t xml:space="preserve"> A</w:t>
      </w:r>
    </w:p>
    <w:p w14:paraId="199E4CB6" w14:textId="77777777" w:rsidR="002B1DB3" w:rsidRPr="007B401D" w:rsidRDefault="002B1DB3" w:rsidP="005D1ABF">
      <w:pPr>
        <w:pStyle w:val="Normal-em"/>
        <w:spacing w:after="0" w:line="240" w:lineRule="auto"/>
        <w:rPr>
          <w:color w:val="auto"/>
          <w:szCs w:val="24"/>
        </w:rPr>
      </w:pPr>
    </w:p>
    <w:p w14:paraId="78B47A28" w14:textId="4AE4BA12" w:rsidR="00EC6543" w:rsidRPr="00504519" w:rsidRDefault="00EC6543" w:rsidP="00EC6543">
      <w:pPr>
        <w:pStyle w:val="Normal-em"/>
        <w:spacing w:after="0" w:line="240" w:lineRule="auto"/>
        <w:rPr>
          <w:b/>
          <w:i/>
          <w:color w:val="FF0000"/>
          <w:szCs w:val="24"/>
          <w:u w:val="single"/>
        </w:rPr>
      </w:pPr>
      <w:r w:rsidRPr="00504519">
        <w:rPr>
          <w:b/>
          <w:iCs/>
          <w:color w:val="auto"/>
          <w:szCs w:val="24"/>
          <w:u w:val="single"/>
        </w:rPr>
        <w:t xml:space="preserve">Details of </w:t>
      </w:r>
      <w:r w:rsidR="0032303B" w:rsidRPr="00504519">
        <w:rPr>
          <w:b/>
          <w:iCs/>
          <w:color w:val="auto"/>
          <w:szCs w:val="24"/>
          <w:u w:val="single"/>
        </w:rPr>
        <w:t>the Illegal</w:t>
      </w:r>
      <w:r w:rsidRPr="00504519">
        <w:rPr>
          <w:b/>
          <w:i/>
          <w:color w:val="auto"/>
          <w:szCs w:val="24"/>
          <w:u w:val="single"/>
        </w:rPr>
        <w:t xml:space="preserve"> Logging Prohibition Amendment (Country and State Specific Guidelines) Regulations 2023</w:t>
      </w:r>
    </w:p>
    <w:p w14:paraId="3EBF56F4" w14:textId="77777777" w:rsidR="00EC6543" w:rsidRPr="00504519" w:rsidRDefault="00EC6543" w:rsidP="00EC6543">
      <w:pPr>
        <w:pStyle w:val="Normal-em"/>
        <w:spacing w:after="0" w:line="240" w:lineRule="auto"/>
        <w:rPr>
          <w:color w:val="auto"/>
          <w:szCs w:val="24"/>
        </w:rPr>
      </w:pPr>
    </w:p>
    <w:p w14:paraId="4D77A362" w14:textId="77777777" w:rsidR="00EC6543" w:rsidRPr="00504519" w:rsidRDefault="00EC6543" w:rsidP="00EC6543">
      <w:pPr>
        <w:pStyle w:val="Normal-em"/>
        <w:spacing w:after="0" w:line="240" w:lineRule="auto"/>
        <w:ind w:left="1440" w:hanging="1440"/>
        <w:rPr>
          <w:color w:val="auto"/>
          <w:szCs w:val="24"/>
          <w:u w:val="single"/>
        </w:rPr>
      </w:pPr>
      <w:r w:rsidRPr="00504519">
        <w:rPr>
          <w:color w:val="auto"/>
          <w:szCs w:val="24"/>
          <w:u w:val="single"/>
        </w:rPr>
        <w:t>Section 1 – Name</w:t>
      </w:r>
    </w:p>
    <w:p w14:paraId="01C3D127" w14:textId="77777777" w:rsidR="00EC6543" w:rsidRPr="00504519" w:rsidRDefault="00EC6543" w:rsidP="00EC6543">
      <w:pPr>
        <w:pStyle w:val="Normal-em"/>
        <w:spacing w:after="0" w:line="240" w:lineRule="auto"/>
        <w:ind w:left="1440" w:hanging="1440"/>
        <w:rPr>
          <w:b/>
          <w:color w:val="auto"/>
          <w:szCs w:val="24"/>
        </w:rPr>
      </w:pPr>
    </w:p>
    <w:p w14:paraId="503B83E2" w14:textId="105D5D76" w:rsidR="00EC6543" w:rsidRPr="00504519" w:rsidRDefault="00EC6543" w:rsidP="00EC6543">
      <w:pPr>
        <w:pStyle w:val="Normal-em"/>
        <w:spacing w:after="0" w:line="240" w:lineRule="auto"/>
        <w:rPr>
          <w:i/>
          <w:iCs/>
          <w:color w:val="auto"/>
          <w:szCs w:val="24"/>
        </w:rPr>
      </w:pPr>
      <w:r w:rsidRPr="00504519">
        <w:rPr>
          <w:color w:val="auto"/>
          <w:szCs w:val="24"/>
        </w:rPr>
        <w:t>This section provide</w:t>
      </w:r>
      <w:r w:rsidR="000046DA">
        <w:rPr>
          <w:color w:val="auto"/>
          <w:szCs w:val="24"/>
        </w:rPr>
        <w:t>s</w:t>
      </w:r>
      <w:r w:rsidRPr="00504519">
        <w:rPr>
          <w:color w:val="auto"/>
          <w:szCs w:val="24"/>
        </w:rPr>
        <w:t xml:space="preserve"> that the name of the Regulations is the </w:t>
      </w:r>
      <w:r w:rsidRPr="00504519">
        <w:rPr>
          <w:i/>
          <w:snapToGrid w:val="0"/>
          <w:color w:val="auto"/>
          <w:szCs w:val="24"/>
        </w:rPr>
        <w:t>Illegal Logging Prohibition Amendment (Country and State Specific Guidelines) Regulations 2023</w:t>
      </w:r>
      <w:r w:rsidRPr="00504519">
        <w:rPr>
          <w:color w:val="auto"/>
          <w:szCs w:val="24"/>
        </w:rPr>
        <w:t>.</w:t>
      </w:r>
    </w:p>
    <w:p w14:paraId="163F5038" w14:textId="77777777" w:rsidR="00EC6543" w:rsidRPr="00504519" w:rsidRDefault="00EC6543" w:rsidP="00EC6543">
      <w:pPr>
        <w:pStyle w:val="Normal-em"/>
        <w:spacing w:after="0" w:line="240" w:lineRule="auto"/>
        <w:rPr>
          <w:color w:val="auto"/>
          <w:szCs w:val="24"/>
        </w:rPr>
      </w:pPr>
    </w:p>
    <w:p w14:paraId="15F53A08" w14:textId="77777777" w:rsidR="00EC6543" w:rsidRPr="00504519" w:rsidRDefault="00EC6543" w:rsidP="00EC6543">
      <w:pPr>
        <w:pStyle w:val="Normal-em"/>
        <w:spacing w:after="0" w:line="240" w:lineRule="auto"/>
        <w:rPr>
          <w:color w:val="auto"/>
          <w:szCs w:val="24"/>
          <w:u w:val="single"/>
        </w:rPr>
      </w:pPr>
      <w:r w:rsidRPr="00504519">
        <w:rPr>
          <w:color w:val="auto"/>
          <w:szCs w:val="24"/>
          <w:u w:val="single"/>
        </w:rPr>
        <w:t>Section 2 – Commencement</w:t>
      </w:r>
    </w:p>
    <w:p w14:paraId="7BBFF588" w14:textId="77777777" w:rsidR="00EC6543" w:rsidRPr="00504519" w:rsidRDefault="00EC6543" w:rsidP="00EC6543">
      <w:pPr>
        <w:pStyle w:val="Normal-em"/>
        <w:spacing w:after="0" w:line="240" w:lineRule="auto"/>
        <w:rPr>
          <w:color w:val="auto"/>
          <w:szCs w:val="24"/>
        </w:rPr>
      </w:pPr>
    </w:p>
    <w:p w14:paraId="0E3B5E31" w14:textId="75AB662A" w:rsidR="00EC6543" w:rsidRPr="00504519" w:rsidRDefault="00EC6543" w:rsidP="00EC6543">
      <w:pPr>
        <w:pStyle w:val="Normal-em"/>
        <w:spacing w:after="0" w:line="240" w:lineRule="auto"/>
        <w:rPr>
          <w:iCs/>
          <w:szCs w:val="24"/>
        </w:rPr>
      </w:pPr>
      <w:r w:rsidRPr="00504519">
        <w:rPr>
          <w:color w:val="auto"/>
          <w:szCs w:val="24"/>
        </w:rPr>
        <w:t>This section provide</w:t>
      </w:r>
      <w:r w:rsidR="000046DA">
        <w:rPr>
          <w:color w:val="auto"/>
          <w:szCs w:val="24"/>
        </w:rPr>
        <w:t>s</w:t>
      </w:r>
      <w:r w:rsidRPr="00504519">
        <w:rPr>
          <w:color w:val="auto"/>
          <w:szCs w:val="24"/>
        </w:rPr>
        <w:t xml:space="preserve"> for </w:t>
      </w:r>
      <w:r w:rsidR="00691EE1" w:rsidRPr="00504519">
        <w:rPr>
          <w:color w:val="auto"/>
          <w:szCs w:val="24"/>
        </w:rPr>
        <w:t>the Regulations</w:t>
      </w:r>
      <w:r w:rsidRPr="00504519">
        <w:rPr>
          <w:color w:val="auto"/>
          <w:szCs w:val="24"/>
        </w:rPr>
        <w:t xml:space="preserve"> to </w:t>
      </w:r>
      <w:r w:rsidRPr="00504519">
        <w:rPr>
          <w:iCs/>
          <w:szCs w:val="24"/>
        </w:rPr>
        <w:t xml:space="preserve">commence on the day after the end of the period of 2 months beginning on the day on which the instrument is registered. </w:t>
      </w:r>
      <w:r w:rsidR="00691EE1" w:rsidRPr="00504519">
        <w:rPr>
          <w:iCs/>
          <w:szCs w:val="24"/>
        </w:rPr>
        <w:t>This allows</w:t>
      </w:r>
      <w:r w:rsidRPr="00504519">
        <w:rPr>
          <w:iCs/>
          <w:szCs w:val="24"/>
        </w:rPr>
        <w:t xml:space="preserve"> stakeholders sufficient notice to switch to undertaking due diligence in accordance with the updated CSG and SSGs and </w:t>
      </w:r>
      <w:r>
        <w:rPr>
          <w:iCs/>
          <w:szCs w:val="24"/>
        </w:rPr>
        <w:t>be</w:t>
      </w:r>
      <w:r w:rsidRPr="00504519">
        <w:rPr>
          <w:iCs/>
          <w:szCs w:val="24"/>
        </w:rPr>
        <w:t xml:space="preserve"> consistent with the commencement provision for the equivalent provisions in </w:t>
      </w:r>
      <w:r>
        <w:rPr>
          <w:iCs/>
          <w:szCs w:val="24"/>
        </w:rPr>
        <w:t>section</w:t>
      </w:r>
      <w:r w:rsidRPr="00504519">
        <w:rPr>
          <w:iCs/>
          <w:szCs w:val="24"/>
        </w:rPr>
        <w:t xml:space="preserve"> 2 of Schedule 1 of the </w:t>
      </w:r>
      <w:bookmarkStart w:id="0" w:name="_Hlk128389912"/>
      <w:r w:rsidRPr="00504519">
        <w:rPr>
          <w:i/>
          <w:szCs w:val="24"/>
        </w:rPr>
        <w:t>Illegal Logging Prohibition Amendment (2021 Measures No. 1) Regulations 2021</w:t>
      </w:r>
      <w:bookmarkEnd w:id="0"/>
      <w:r w:rsidRPr="00504519">
        <w:rPr>
          <w:iCs/>
          <w:szCs w:val="24"/>
        </w:rPr>
        <w:t xml:space="preserve">. </w:t>
      </w:r>
    </w:p>
    <w:p w14:paraId="169933FA" w14:textId="77777777" w:rsidR="00EC6543" w:rsidRPr="00504519" w:rsidRDefault="00EC6543" w:rsidP="00EC6543">
      <w:pPr>
        <w:pStyle w:val="Normal-em"/>
        <w:spacing w:after="0" w:line="240" w:lineRule="auto"/>
        <w:rPr>
          <w:color w:val="auto"/>
          <w:szCs w:val="24"/>
        </w:rPr>
      </w:pPr>
    </w:p>
    <w:p w14:paraId="0E6BBDD0" w14:textId="2DBF3471" w:rsidR="00EC6543" w:rsidRPr="00504519" w:rsidRDefault="00EC6543" w:rsidP="00EC6543">
      <w:pPr>
        <w:pStyle w:val="Normal-em"/>
        <w:spacing w:after="0" w:line="240" w:lineRule="auto"/>
        <w:rPr>
          <w:color w:val="auto"/>
          <w:szCs w:val="24"/>
        </w:rPr>
      </w:pPr>
      <w:r w:rsidRPr="00504519">
        <w:rPr>
          <w:color w:val="auto"/>
          <w:szCs w:val="24"/>
        </w:rPr>
        <w:t>The note following subsection 2(1) highlight</w:t>
      </w:r>
      <w:r w:rsidR="000046DA">
        <w:rPr>
          <w:color w:val="auto"/>
          <w:szCs w:val="24"/>
        </w:rPr>
        <w:t>s</w:t>
      </w:r>
      <w:r w:rsidRPr="00504519">
        <w:rPr>
          <w:color w:val="auto"/>
          <w:szCs w:val="24"/>
        </w:rPr>
        <w:t xml:space="preserve"> that the table only relates to the provisions of this instrument as originally made. The </w:t>
      </w:r>
      <w:r w:rsidR="00691EE1" w:rsidRPr="00504519">
        <w:rPr>
          <w:color w:val="auto"/>
          <w:szCs w:val="24"/>
        </w:rPr>
        <w:t xml:space="preserve">table </w:t>
      </w:r>
      <w:r w:rsidR="00691EE1">
        <w:rPr>
          <w:color w:val="auto"/>
          <w:szCs w:val="24"/>
        </w:rPr>
        <w:t>is</w:t>
      </w:r>
      <w:r w:rsidRPr="00504519">
        <w:rPr>
          <w:color w:val="auto"/>
          <w:szCs w:val="24"/>
        </w:rPr>
        <w:t xml:space="preserve"> </w:t>
      </w:r>
      <w:r w:rsidR="0032303B" w:rsidRPr="00504519">
        <w:rPr>
          <w:color w:val="auto"/>
          <w:szCs w:val="24"/>
        </w:rPr>
        <w:t>not amended</w:t>
      </w:r>
      <w:r w:rsidRPr="00504519">
        <w:rPr>
          <w:color w:val="auto"/>
          <w:szCs w:val="24"/>
        </w:rPr>
        <w:t xml:space="preserve"> to deal with any later amendments of this instrument.</w:t>
      </w:r>
    </w:p>
    <w:p w14:paraId="565D8CAF" w14:textId="77777777" w:rsidR="00EC6543" w:rsidRPr="00504519" w:rsidRDefault="00EC6543" w:rsidP="00EC6543">
      <w:pPr>
        <w:pStyle w:val="Normal-em"/>
        <w:spacing w:after="0" w:line="240" w:lineRule="auto"/>
        <w:rPr>
          <w:color w:val="auto"/>
          <w:szCs w:val="24"/>
        </w:rPr>
      </w:pPr>
    </w:p>
    <w:p w14:paraId="5DEAF149" w14:textId="7DD5C42D" w:rsidR="00EC6543" w:rsidRPr="00504519" w:rsidRDefault="00EC6543" w:rsidP="00EC6543">
      <w:pPr>
        <w:pStyle w:val="Normal-em"/>
        <w:spacing w:after="0" w:line="240" w:lineRule="auto"/>
        <w:rPr>
          <w:color w:val="auto"/>
          <w:szCs w:val="24"/>
        </w:rPr>
      </w:pPr>
      <w:r w:rsidRPr="00504519">
        <w:rPr>
          <w:color w:val="auto"/>
          <w:szCs w:val="24"/>
        </w:rPr>
        <w:t>Subsection 2(2) provide</w:t>
      </w:r>
      <w:r w:rsidR="000046DA">
        <w:rPr>
          <w:color w:val="auto"/>
          <w:szCs w:val="24"/>
        </w:rPr>
        <w:t>s</w:t>
      </w:r>
      <w:r w:rsidRPr="00504519">
        <w:rPr>
          <w:color w:val="auto"/>
          <w:szCs w:val="24"/>
        </w:rPr>
        <w:t xml:space="preserve"> that any information in column 3 of the table is not part of this instrument. Information may be inserted in this column, or information in it may be edited, in any published version of this instrument. Column 3 would contain relevant dates and details.</w:t>
      </w:r>
    </w:p>
    <w:p w14:paraId="193763F3" w14:textId="77777777" w:rsidR="00EC6543" w:rsidRPr="00504519" w:rsidRDefault="00EC6543" w:rsidP="00EC6543">
      <w:pPr>
        <w:pStyle w:val="Normal-em"/>
        <w:spacing w:after="0" w:line="240" w:lineRule="auto"/>
        <w:rPr>
          <w:color w:val="auto"/>
          <w:szCs w:val="24"/>
        </w:rPr>
      </w:pPr>
    </w:p>
    <w:p w14:paraId="7D02205D" w14:textId="77777777" w:rsidR="00EC6543" w:rsidRPr="00504519" w:rsidRDefault="00EC6543" w:rsidP="00EC6543">
      <w:pPr>
        <w:pStyle w:val="Normal-em"/>
        <w:spacing w:after="0" w:line="240" w:lineRule="auto"/>
        <w:ind w:left="1440" w:hanging="1440"/>
        <w:rPr>
          <w:color w:val="auto"/>
          <w:szCs w:val="24"/>
          <w:u w:val="single"/>
        </w:rPr>
      </w:pPr>
      <w:r w:rsidRPr="00504519">
        <w:rPr>
          <w:color w:val="auto"/>
          <w:szCs w:val="24"/>
          <w:u w:val="single"/>
        </w:rPr>
        <w:t xml:space="preserve">Section 3 – Authority </w:t>
      </w:r>
    </w:p>
    <w:p w14:paraId="55A08DBD" w14:textId="77777777" w:rsidR="00EC6543" w:rsidRPr="00504519" w:rsidRDefault="00EC6543" w:rsidP="00EC6543">
      <w:pPr>
        <w:pStyle w:val="Normal-em"/>
        <w:spacing w:after="0" w:line="240" w:lineRule="auto"/>
        <w:rPr>
          <w:color w:val="auto"/>
          <w:szCs w:val="24"/>
        </w:rPr>
      </w:pPr>
    </w:p>
    <w:p w14:paraId="0B6A728A" w14:textId="55648519" w:rsidR="00EC6543" w:rsidRPr="00504519" w:rsidRDefault="00EC6543" w:rsidP="00EC6543">
      <w:pPr>
        <w:pStyle w:val="Normal-em"/>
        <w:spacing w:after="0" w:line="240" w:lineRule="auto"/>
        <w:rPr>
          <w:iCs/>
          <w:color w:val="auto"/>
          <w:szCs w:val="24"/>
        </w:rPr>
      </w:pPr>
      <w:r w:rsidRPr="00504519">
        <w:rPr>
          <w:color w:val="auto"/>
          <w:szCs w:val="24"/>
        </w:rPr>
        <w:t>This section provide</w:t>
      </w:r>
      <w:r w:rsidR="000046DA">
        <w:rPr>
          <w:color w:val="auto"/>
          <w:szCs w:val="24"/>
        </w:rPr>
        <w:t>s</w:t>
      </w:r>
      <w:r w:rsidRPr="00504519">
        <w:rPr>
          <w:color w:val="auto"/>
          <w:szCs w:val="24"/>
        </w:rPr>
        <w:t xml:space="preserve"> that this instrument is made under the</w:t>
      </w:r>
      <w:r w:rsidRPr="00504519">
        <w:rPr>
          <w:szCs w:val="24"/>
        </w:rPr>
        <w:t xml:space="preserve"> </w:t>
      </w:r>
      <w:r w:rsidRPr="00504519">
        <w:rPr>
          <w:i/>
          <w:iCs/>
          <w:szCs w:val="24"/>
          <w:shd w:val="clear" w:color="auto" w:fill="FFFFFF"/>
        </w:rPr>
        <w:t>Illegal Logging Prohibition Act 2012</w:t>
      </w:r>
      <w:r w:rsidRPr="00504519">
        <w:rPr>
          <w:color w:val="auto"/>
          <w:szCs w:val="24"/>
        </w:rPr>
        <w:t>.</w:t>
      </w:r>
    </w:p>
    <w:p w14:paraId="0DB8DAAC" w14:textId="77777777" w:rsidR="00EC6543" w:rsidRPr="00504519" w:rsidRDefault="00EC6543" w:rsidP="00EC6543">
      <w:pPr>
        <w:pStyle w:val="Normal-em"/>
        <w:spacing w:after="0" w:line="240" w:lineRule="auto"/>
        <w:rPr>
          <w:iCs/>
          <w:color w:val="auto"/>
          <w:szCs w:val="24"/>
        </w:rPr>
      </w:pPr>
    </w:p>
    <w:p w14:paraId="07A9B75A" w14:textId="77777777" w:rsidR="00EC6543" w:rsidRPr="00504519" w:rsidRDefault="00EC6543" w:rsidP="00EC6543">
      <w:pPr>
        <w:pStyle w:val="Normal-em"/>
        <w:spacing w:after="0" w:line="240" w:lineRule="auto"/>
        <w:rPr>
          <w:color w:val="auto"/>
          <w:szCs w:val="24"/>
          <w:u w:val="single"/>
        </w:rPr>
      </w:pPr>
      <w:r w:rsidRPr="00504519">
        <w:rPr>
          <w:color w:val="auto"/>
          <w:szCs w:val="24"/>
          <w:u w:val="single"/>
        </w:rPr>
        <w:t>Section 4 – Schedules</w:t>
      </w:r>
    </w:p>
    <w:p w14:paraId="14EBBA62" w14:textId="77777777" w:rsidR="00EC6543" w:rsidRPr="00504519" w:rsidRDefault="00EC6543" w:rsidP="00EC6543">
      <w:pPr>
        <w:pStyle w:val="Normal-em"/>
        <w:spacing w:after="0" w:line="240" w:lineRule="auto"/>
        <w:rPr>
          <w:color w:val="auto"/>
          <w:szCs w:val="24"/>
        </w:rPr>
      </w:pPr>
    </w:p>
    <w:p w14:paraId="325A0E67" w14:textId="681F791E" w:rsidR="00EC6543" w:rsidRPr="00504519" w:rsidRDefault="00EC6543" w:rsidP="00EC6543">
      <w:pPr>
        <w:pStyle w:val="Normal-em"/>
        <w:spacing w:after="0" w:line="240" w:lineRule="auto"/>
        <w:rPr>
          <w:color w:val="auto"/>
          <w:szCs w:val="24"/>
        </w:rPr>
      </w:pPr>
      <w:r w:rsidRPr="00504519">
        <w:rPr>
          <w:color w:val="auto"/>
          <w:szCs w:val="24"/>
        </w:rPr>
        <w:t>This section provide</w:t>
      </w:r>
      <w:r w:rsidR="00232C9A">
        <w:rPr>
          <w:color w:val="auto"/>
          <w:szCs w:val="24"/>
        </w:rPr>
        <w:t>s</w:t>
      </w:r>
      <w:r w:rsidRPr="00504519">
        <w:rPr>
          <w:color w:val="auto"/>
          <w:szCs w:val="24"/>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43E7663A" w14:textId="77777777" w:rsidR="00EC6543" w:rsidRPr="00504519" w:rsidRDefault="00EC6543" w:rsidP="00EC6543">
      <w:pPr>
        <w:pStyle w:val="Normal-em"/>
        <w:spacing w:after="0" w:line="240" w:lineRule="auto"/>
        <w:rPr>
          <w:color w:val="auto"/>
          <w:szCs w:val="24"/>
          <w:u w:val="single"/>
        </w:rPr>
      </w:pPr>
    </w:p>
    <w:p w14:paraId="1F498CA0" w14:textId="77777777" w:rsidR="00EC6543" w:rsidRPr="002636FA" w:rsidRDefault="00EC6543" w:rsidP="00EC6543">
      <w:pPr>
        <w:pStyle w:val="Normal-em"/>
        <w:spacing w:after="0" w:line="240" w:lineRule="auto"/>
        <w:rPr>
          <w:color w:val="auto"/>
          <w:szCs w:val="24"/>
          <w:u w:val="single"/>
        </w:rPr>
      </w:pPr>
      <w:r w:rsidRPr="002636FA">
        <w:rPr>
          <w:color w:val="auto"/>
          <w:szCs w:val="24"/>
          <w:u w:val="single"/>
        </w:rPr>
        <w:t xml:space="preserve">Schedule 1 – Amendments </w:t>
      </w:r>
      <w:bookmarkStart w:id="1" w:name="_Toc127367532"/>
    </w:p>
    <w:p w14:paraId="63A48986" w14:textId="77777777" w:rsidR="00EC6543" w:rsidRPr="00504519" w:rsidRDefault="00EC6543" w:rsidP="00EC6543">
      <w:pPr>
        <w:pStyle w:val="Normal-em"/>
        <w:spacing w:after="0" w:line="240" w:lineRule="auto"/>
        <w:rPr>
          <w:b/>
          <w:bCs/>
          <w:color w:val="auto"/>
          <w:szCs w:val="24"/>
        </w:rPr>
      </w:pPr>
    </w:p>
    <w:p w14:paraId="3A3CCABF" w14:textId="77777777" w:rsidR="00EC6543" w:rsidRPr="00504519" w:rsidRDefault="00EC6543" w:rsidP="00EC6543">
      <w:pPr>
        <w:pStyle w:val="Normal-em"/>
        <w:spacing w:after="0" w:line="240" w:lineRule="auto"/>
        <w:rPr>
          <w:b/>
          <w:bCs/>
          <w:color w:val="auto"/>
          <w:szCs w:val="24"/>
        </w:rPr>
      </w:pPr>
      <w:r w:rsidRPr="00504519">
        <w:rPr>
          <w:b/>
          <w:bCs/>
          <w:i/>
          <w:iCs/>
          <w:color w:val="auto"/>
          <w:szCs w:val="24"/>
        </w:rPr>
        <w:t>Illegal Logging Prohibition Regulation 2012</w:t>
      </w:r>
      <w:bookmarkEnd w:id="1"/>
    </w:p>
    <w:p w14:paraId="493ADEE6" w14:textId="77777777" w:rsidR="00EC6543" w:rsidRPr="00504519" w:rsidRDefault="00EC6543" w:rsidP="00EC6543">
      <w:pPr>
        <w:pStyle w:val="Normal-em"/>
        <w:spacing w:after="0" w:line="240" w:lineRule="auto"/>
        <w:rPr>
          <w:color w:val="auto"/>
          <w:szCs w:val="24"/>
          <w:u w:val="single"/>
        </w:rPr>
      </w:pPr>
    </w:p>
    <w:p w14:paraId="7285EB67" w14:textId="77777777" w:rsidR="00EC6543" w:rsidRPr="002636FA" w:rsidRDefault="00EC6543" w:rsidP="00EC6543">
      <w:pPr>
        <w:pStyle w:val="Normal-em"/>
        <w:spacing w:after="0" w:line="240" w:lineRule="auto"/>
        <w:rPr>
          <w:b/>
          <w:bCs/>
          <w:color w:val="auto"/>
          <w:szCs w:val="24"/>
        </w:rPr>
      </w:pPr>
      <w:r w:rsidRPr="002636FA">
        <w:rPr>
          <w:b/>
          <w:bCs/>
          <w:color w:val="auto"/>
          <w:szCs w:val="24"/>
        </w:rPr>
        <w:t>Item 1 – Clause 2 of Schedule 2 (table item 4)</w:t>
      </w:r>
    </w:p>
    <w:p w14:paraId="16A4C40F" w14:textId="77777777" w:rsidR="00EC6543" w:rsidRPr="00504519" w:rsidRDefault="00EC6543" w:rsidP="00EC6543">
      <w:pPr>
        <w:spacing w:after="0" w:line="240" w:lineRule="auto"/>
        <w:rPr>
          <w:rFonts w:ascii="Times New Roman" w:hAnsi="Times New Roman" w:cs="Times New Roman"/>
          <w:bCs/>
          <w:sz w:val="24"/>
          <w:szCs w:val="24"/>
        </w:rPr>
      </w:pPr>
    </w:p>
    <w:p w14:paraId="4A022DD1" w14:textId="73FC2434" w:rsidR="00EC6543" w:rsidRPr="00504519" w:rsidRDefault="00EC6543" w:rsidP="00EC6543">
      <w:pPr>
        <w:pStyle w:val="Normal-em"/>
        <w:spacing w:after="0" w:line="240" w:lineRule="auto"/>
        <w:rPr>
          <w:szCs w:val="24"/>
        </w:rPr>
      </w:pPr>
      <w:r w:rsidRPr="00504519">
        <w:rPr>
          <w:color w:val="auto"/>
          <w:szCs w:val="24"/>
        </w:rPr>
        <w:t xml:space="preserve">This item </w:t>
      </w:r>
      <w:r>
        <w:rPr>
          <w:color w:val="auto"/>
          <w:szCs w:val="24"/>
        </w:rPr>
        <w:t>omit</w:t>
      </w:r>
      <w:r w:rsidR="00232C9A">
        <w:rPr>
          <w:color w:val="auto"/>
          <w:szCs w:val="24"/>
        </w:rPr>
        <w:t>s</w:t>
      </w:r>
      <w:r>
        <w:rPr>
          <w:color w:val="auto"/>
          <w:szCs w:val="24"/>
        </w:rPr>
        <w:t xml:space="preserve"> </w:t>
      </w:r>
      <w:r w:rsidRPr="00504519">
        <w:rPr>
          <w:color w:val="auto"/>
          <w:szCs w:val="24"/>
        </w:rPr>
        <w:t xml:space="preserve">the former date of co-endorsement of the CSG for Italy in table item 4 of clause 2 of the Schedule 2 to </w:t>
      </w:r>
      <w:r w:rsidR="00691EE1" w:rsidRPr="00504519">
        <w:rPr>
          <w:color w:val="auto"/>
          <w:szCs w:val="24"/>
        </w:rPr>
        <w:t xml:space="preserve">the </w:t>
      </w:r>
      <w:r w:rsidR="00691EE1">
        <w:rPr>
          <w:color w:val="auto"/>
          <w:szCs w:val="24"/>
        </w:rPr>
        <w:t>ILP</w:t>
      </w:r>
      <w:r w:rsidRPr="00504519">
        <w:rPr>
          <w:color w:val="auto"/>
          <w:szCs w:val="24"/>
        </w:rPr>
        <w:t xml:space="preserve"> Regulation and substitute</w:t>
      </w:r>
      <w:r w:rsidR="00232C9A">
        <w:rPr>
          <w:color w:val="auto"/>
          <w:szCs w:val="24"/>
        </w:rPr>
        <w:t>s</w:t>
      </w:r>
      <w:r w:rsidRPr="00504519">
        <w:rPr>
          <w:color w:val="auto"/>
          <w:szCs w:val="24"/>
        </w:rPr>
        <w:t xml:space="preserve"> a new date of </w:t>
      </w:r>
      <w:r w:rsidRPr="00504519">
        <w:rPr>
          <w:szCs w:val="24"/>
        </w:rPr>
        <w:t xml:space="preserve">19 December 2022. </w:t>
      </w:r>
    </w:p>
    <w:p w14:paraId="50A497DF" w14:textId="77777777" w:rsidR="00EC6543" w:rsidRPr="00504519" w:rsidRDefault="00EC6543" w:rsidP="00EC6543">
      <w:pPr>
        <w:pStyle w:val="Normal-em"/>
        <w:spacing w:after="0" w:line="240" w:lineRule="auto"/>
        <w:rPr>
          <w:szCs w:val="24"/>
        </w:rPr>
      </w:pPr>
    </w:p>
    <w:p w14:paraId="556323E5" w14:textId="354E5855" w:rsidR="00EC6543" w:rsidRPr="00504519" w:rsidRDefault="00EC6543" w:rsidP="00EC6543">
      <w:pPr>
        <w:pStyle w:val="Normal-em"/>
        <w:spacing w:after="0" w:line="240" w:lineRule="auto"/>
        <w:rPr>
          <w:color w:val="auto"/>
          <w:szCs w:val="24"/>
        </w:rPr>
      </w:pPr>
      <w:r w:rsidRPr="00504519">
        <w:rPr>
          <w:szCs w:val="24"/>
        </w:rPr>
        <w:t>This</w:t>
      </w:r>
      <w:r>
        <w:rPr>
          <w:szCs w:val="24"/>
        </w:rPr>
        <w:t xml:space="preserve"> amendment</w:t>
      </w:r>
      <w:r w:rsidRPr="00504519">
        <w:rPr>
          <w:szCs w:val="24"/>
        </w:rPr>
        <w:t xml:space="preserve"> </w:t>
      </w:r>
      <w:r w:rsidR="005F19F0">
        <w:rPr>
          <w:szCs w:val="24"/>
        </w:rPr>
        <w:t>prescribe</w:t>
      </w:r>
      <w:r w:rsidR="001E41FD">
        <w:rPr>
          <w:szCs w:val="24"/>
        </w:rPr>
        <w:t>s</w:t>
      </w:r>
      <w:r w:rsidRPr="00504519">
        <w:rPr>
          <w:szCs w:val="24"/>
        </w:rPr>
        <w:t xml:space="preserve"> the</w:t>
      </w:r>
      <w:r>
        <w:rPr>
          <w:szCs w:val="24"/>
        </w:rPr>
        <w:t xml:space="preserve"> updated</w:t>
      </w:r>
      <w:r w:rsidRPr="00504519">
        <w:rPr>
          <w:szCs w:val="24"/>
        </w:rPr>
        <w:t xml:space="preserve"> CSG</w:t>
      </w:r>
      <w:r>
        <w:rPr>
          <w:szCs w:val="24"/>
        </w:rPr>
        <w:t xml:space="preserve"> for Italy </w:t>
      </w:r>
      <w:r w:rsidR="00890F55">
        <w:rPr>
          <w:szCs w:val="24"/>
        </w:rPr>
        <w:t xml:space="preserve">that </w:t>
      </w:r>
      <w:r>
        <w:rPr>
          <w:szCs w:val="24"/>
        </w:rPr>
        <w:t xml:space="preserve">was co-endorsed </w:t>
      </w:r>
      <w:r w:rsidRPr="00504519">
        <w:rPr>
          <w:szCs w:val="24"/>
        </w:rPr>
        <w:t>by the Government of Australia and the Government of Italy on 19 December 2022</w:t>
      </w:r>
      <w:r w:rsidRPr="00504519">
        <w:rPr>
          <w:color w:val="auto"/>
          <w:szCs w:val="24"/>
        </w:rPr>
        <w:t xml:space="preserve">. </w:t>
      </w:r>
    </w:p>
    <w:p w14:paraId="5764F8E2" w14:textId="77777777" w:rsidR="00EC6543" w:rsidRPr="00504519" w:rsidRDefault="00EC6543" w:rsidP="00EC6543">
      <w:pPr>
        <w:pStyle w:val="Normal-em"/>
        <w:spacing w:after="0" w:line="240" w:lineRule="auto"/>
        <w:rPr>
          <w:color w:val="auto"/>
          <w:szCs w:val="24"/>
        </w:rPr>
      </w:pPr>
    </w:p>
    <w:p w14:paraId="57ACD722" w14:textId="4FB0E772" w:rsidR="00EC6543" w:rsidRPr="00504519" w:rsidRDefault="00EC6543" w:rsidP="00EC6543">
      <w:pPr>
        <w:pStyle w:val="Normal-em"/>
        <w:spacing w:after="0" w:line="240" w:lineRule="auto"/>
        <w:rPr>
          <w:color w:val="auto"/>
          <w:szCs w:val="24"/>
        </w:rPr>
      </w:pPr>
      <w:r w:rsidRPr="00504519">
        <w:rPr>
          <w:szCs w:val="24"/>
          <w:shd w:val="clear" w:color="auto" w:fill="FFFFFF"/>
        </w:rPr>
        <w:t>The updated CSG for Italy provide</w:t>
      </w:r>
      <w:r w:rsidR="00232C9A">
        <w:rPr>
          <w:szCs w:val="24"/>
          <w:shd w:val="clear" w:color="auto" w:fill="FFFFFF"/>
        </w:rPr>
        <w:t>s</w:t>
      </w:r>
      <w:r w:rsidRPr="00504519">
        <w:rPr>
          <w:szCs w:val="24"/>
          <w:shd w:val="clear" w:color="auto" w:fill="FFFFFF"/>
        </w:rPr>
        <w:t xml:space="preserve"> guidance material for importers</w:t>
      </w:r>
      <w:r>
        <w:rPr>
          <w:szCs w:val="24"/>
          <w:shd w:val="clear" w:color="auto" w:fill="FFFFFF"/>
        </w:rPr>
        <w:t xml:space="preserve"> of regulated timber products</w:t>
      </w:r>
      <w:r w:rsidRPr="00504519">
        <w:rPr>
          <w:szCs w:val="24"/>
          <w:shd w:val="clear" w:color="auto" w:fill="FFFFFF"/>
        </w:rPr>
        <w:t xml:space="preserve"> when gathering information to meet their due diligence requirements in section 10 of </w:t>
      </w:r>
      <w:r w:rsidR="00691EE1" w:rsidRPr="00504519">
        <w:rPr>
          <w:szCs w:val="24"/>
          <w:shd w:val="clear" w:color="auto" w:fill="FFFFFF"/>
        </w:rPr>
        <w:t xml:space="preserve">the </w:t>
      </w:r>
      <w:r w:rsidR="00691EE1">
        <w:rPr>
          <w:szCs w:val="24"/>
          <w:shd w:val="clear" w:color="auto" w:fill="FFFFFF"/>
        </w:rPr>
        <w:t>ILP</w:t>
      </w:r>
      <w:r w:rsidRPr="00504519">
        <w:rPr>
          <w:szCs w:val="24"/>
          <w:shd w:val="clear" w:color="auto" w:fill="FFFFFF"/>
        </w:rPr>
        <w:t xml:space="preserve"> Regulation to reduce the risk that imported regulated timber products containing timber harvested in Italy are, are made from, or include, illegally logged timber. Importers may elect to use the </w:t>
      </w:r>
      <w:r w:rsidR="003D0E83">
        <w:rPr>
          <w:szCs w:val="24"/>
          <w:shd w:val="clear" w:color="auto" w:fill="FFFFFF"/>
        </w:rPr>
        <w:t>C</w:t>
      </w:r>
      <w:r>
        <w:rPr>
          <w:szCs w:val="24"/>
          <w:shd w:val="clear" w:color="auto" w:fill="FFFFFF"/>
        </w:rPr>
        <w:t>SG</w:t>
      </w:r>
      <w:r w:rsidRPr="00504519">
        <w:rPr>
          <w:szCs w:val="24"/>
          <w:shd w:val="clear" w:color="auto" w:fill="FFFFFF"/>
        </w:rPr>
        <w:t xml:space="preserve"> optional</w:t>
      </w:r>
      <w:r>
        <w:rPr>
          <w:szCs w:val="24"/>
          <w:shd w:val="clear" w:color="auto" w:fill="FFFFFF"/>
        </w:rPr>
        <w:t xml:space="preserve"> risk mitigation</w:t>
      </w:r>
      <w:r w:rsidRPr="00504519">
        <w:rPr>
          <w:szCs w:val="24"/>
          <w:shd w:val="clear" w:color="auto" w:fill="FFFFFF"/>
        </w:rPr>
        <w:t xml:space="preserve"> </w:t>
      </w:r>
      <w:r>
        <w:rPr>
          <w:szCs w:val="24"/>
          <w:shd w:val="clear" w:color="auto" w:fill="FFFFFF"/>
        </w:rPr>
        <w:t>procedures</w:t>
      </w:r>
      <w:r w:rsidRPr="00504519">
        <w:rPr>
          <w:szCs w:val="24"/>
          <w:shd w:val="clear" w:color="auto" w:fill="FFFFFF"/>
        </w:rPr>
        <w:t xml:space="preserve"> under section 12 of </w:t>
      </w:r>
      <w:r w:rsidR="00691EE1" w:rsidRPr="00504519">
        <w:rPr>
          <w:szCs w:val="24"/>
          <w:shd w:val="clear" w:color="auto" w:fill="FFFFFF"/>
        </w:rPr>
        <w:t xml:space="preserve">the </w:t>
      </w:r>
      <w:r w:rsidR="00691EE1">
        <w:rPr>
          <w:szCs w:val="24"/>
          <w:shd w:val="clear" w:color="auto" w:fill="FFFFFF"/>
        </w:rPr>
        <w:t>ILP</w:t>
      </w:r>
      <w:r w:rsidRPr="00504519">
        <w:rPr>
          <w:szCs w:val="24"/>
          <w:shd w:val="clear" w:color="auto" w:fill="FFFFFF"/>
        </w:rPr>
        <w:t xml:space="preserve"> Regulation to conduct due diligence, if the </w:t>
      </w:r>
      <w:r>
        <w:rPr>
          <w:szCs w:val="24"/>
          <w:shd w:val="clear" w:color="auto" w:fill="FFFFFF"/>
        </w:rPr>
        <w:t>CSG</w:t>
      </w:r>
      <w:r w:rsidRPr="00504519">
        <w:rPr>
          <w:szCs w:val="24"/>
          <w:shd w:val="clear" w:color="auto" w:fill="FFFFFF"/>
        </w:rPr>
        <w:t xml:space="preserve"> for Italy applies to the timber in the product, or the area in which the timber is harvested.</w:t>
      </w:r>
    </w:p>
    <w:p w14:paraId="1CC615CF" w14:textId="77777777" w:rsidR="00EC6543" w:rsidRPr="00504519" w:rsidRDefault="00EC6543" w:rsidP="00EC6543">
      <w:pPr>
        <w:pStyle w:val="Normal-em"/>
        <w:spacing w:after="0" w:line="240" w:lineRule="auto"/>
        <w:rPr>
          <w:color w:val="auto"/>
          <w:szCs w:val="24"/>
        </w:rPr>
      </w:pPr>
    </w:p>
    <w:p w14:paraId="763F7399" w14:textId="77777777" w:rsidR="00EC6543" w:rsidRPr="002636FA" w:rsidRDefault="00EC6543" w:rsidP="00EC6543">
      <w:pPr>
        <w:pStyle w:val="Normal-em"/>
        <w:spacing w:after="0" w:line="240" w:lineRule="auto"/>
        <w:rPr>
          <w:b/>
          <w:bCs/>
          <w:color w:val="auto"/>
          <w:szCs w:val="24"/>
        </w:rPr>
      </w:pPr>
      <w:r w:rsidRPr="002636FA">
        <w:rPr>
          <w:b/>
          <w:bCs/>
          <w:color w:val="auto"/>
          <w:szCs w:val="24"/>
        </w:rPr>
        <w:t>Item 2 – Clause 2 of Schedule 2 (note)</w:t>
      </w:r>
    </w:p>
    <w:p w14:paraId="7B42A6C5" w14:textId="77777777" w:rsidR="00EC6543" w:rsidRPr="00504519" w:rsidRDefault="00EC6543" w:rsidP="00EC6543">
      <w:pPr>
        <w:pStyle w:val="Normal-em"/>
        <w:spacing w:after="0" w:line="240" w:lineRule="auto"/>
        <w:rPr>
          <w:color w:val="auto"/>
          <w:szCs w:val="24"/>
        </w:rPr>
      </w:pPr>
    </w:p>
    <w:p w14:paraId="4704CCE0" w14:textId="0D662630" w:rsidR="00EC6543" w:rsidRPr="00504519" w:rsidRDefault="00EC6543" w:rsidP="00EC6543">
      <w:pPr>
        <w:pStyle w:val="BodyNum"/>
        <w:numPr>
          <w:ilvl w:val="0"/>
          <w:numId w:val="0"/>
        </w:numPr>
        <w:spacing w:before="0"/>
        <w:rPr>
          <w:szCs w:val="24"/>
        </w:rPr>
      </w:pPr>
      <w:bookmarkStart w:id="2" w:name="_Hlk128402991"/>
      <w:r w:rsidRPr="00504519">
        <w:rPr>
          <w:szCs w:val="24"/>
        </w:rPr>
        <w:t xml:space="preserve">This item </w:t>
      </w:r>
      <w:r>
        <w:rPr>
          <w:szCs w:val="24"/>
        </w:rPr>
        <w:t>omit</w:t>
      </w:r>
      <w:r w:rsidR="00232C9A">
        <w:rPr>
          <w:szCs w:val="24"/>
        </w:rPr>
        <w:t>s</w:t>
      </w:r>
      <w:r w:rsidRPr="00504519">
        <w:rPr>
          <w:szCs w:val="24"/>
        </w:rPr>
        <w:t xml:space="preserve"> the existing note and substitute</w:t>
      </w:r>
      <w:r w:rsidR="00232C9A">
        <w:rPr>
          <w:szCs w:val="24"/>
        </w:rPr>
        <w:t>s</w:t>
      </w:r>
      <w:r w:rsidRPr="00504519">
        <w:rPr>
          <w:szCs w:val="24"/>
        </w:rPr>
        <w:t xml:space="preserve"> a note that explains that the </w:t>
      </w:r>
      <w:r>
        <w:rPr>
          <w:szCs w:val="24"/>
        </w:rPr>
        <w:t>CSGs</w:t>
      </w:r>
      <w:r w:rsidRPr="00504519">
        <w:rPr>
          <w:szCs w:val="24"/>
        </w:rPr>
        <w:t xml:space="preserve"> could in 2023 be viewed on the Department’s website at </w:t>
      </w:r>
      <w:hyperlink r:id="rId12" w:history="1">
        <w:r w:rsidRPr="00504519">
          <w:rPr>
            <w:rStyle w:val="Hyperlink"/>
            <w:szCs w:val="24"/>
          </w:rPr>
          <w:t>www.agriculture.gov.au</w:t>
        </w:r>
      </w:hyperlink>
      <w:r w:rsidRPr="00504519">
        <w:rPr>
          <w:szCs w:val="24"/>
        </w:rPr>
        <w:t xml:space="preserve">. </w:t>
      </w:r>
    </w:p>
    <w:bookmarkEnd w:id="2"/>
    <w:p w14:paraId="1E348A37" w14:textId="77777777" w:rsidR="00EC6543" w:rsidRDefault="00EC6543" w:rsidP="00EC6543">
      <w:pPr>
        <w:pStyle w:val="BodyNum"/>
        <w:numPr>
          <w:ilvl w:val="0"/>
          <w:numId w:val="0"/>
        </w:numPr>
        <w:spacing w:before="0"/>
        <w:rPr>
          <w:color w:val="000000"/>
          <w:szCs w:val="24"/>
          <w:shd w:val="clear" w:color="auto" w:fill="FFFFFF"/>
        </w:rPr>
      </w:pPr>
    </w:p>
    <w:p w14:paraId="60A7157A" w14:textId="4A987C6E" w:rsidR="00EC6543" w:rsidRPr="00504519" w:rsidRDefault="00EC6543" w:rsidP="00EC6543">
      <w:pPr>
        <w:pStyle w:val="BodyNum"/>
        <w:numPr>
          <w:ilvl w:val="0"/>
          <w:numId w:val="0"/>
        </w:numPr>
        <w:spacing w:before="0"/>
        <w:rPr>
          <w:szCs w:val="24"/>
        </w:rPr>
      </w:pPr>
      <w:r>
        <w:rPr>
          <w:color w:val="000000"/>
          <w:szCs w:val="24"/>
          <w:shd w:val="clear" w:color="auto" w:fill="FFFFFF"/>
        </w:rPr>
        <w:t>This amendment reflect</w:t>
      </w:r>
      <w:r w:rsidR="00232C9A">
        <w:rPr>
          <w:color w:val="000000"/>
          <w:szCs w:val="24"/>
          <w:shd w:val="clear" w:color="auto" w:fill="FFFFFF"/>
        </w:rPr>
        <w:t>s</w:t>
      </w:r>
      <w:r>
        <w:rPr>
          <w:color w:val="000000"/>
          <w:szCs w:val="24"/>
          <w:shd w:val="clear" w:color="auto" w:fill="FFFFFF"/>
        </w:rPr>
        <w:t xml:space="preserve"> that the name of the department changed from the Department of Agriculture, Water and the Environment to the Department of Agriculture, Fisheries and Forestry under the Administrative Arrangements Order dated 1 June 2022 and that the </w:t>
      </w:r>
      <w:r w:rsidR="00120B3F">
        <w:rPr>
          <w:color w:val="000000"/>
          <w:szCs w:val="24"/>
          <w:shd w:val="clear" w:color="auto" w:fill="FFFFFF"/>
        </w:rPr>
        <w:t>URL</w:t>
      </w:r>
      <w:r>
        <w:rPr>
          <w:color w:val="000000"/>
          <w:szCs w:val="24"/>
          <w:shd w:val="clear" w:color="auto" w:fill="FFFFFF"/>
        </w:rPr>
        <w:t xml:space="preserve"> of the Department also changed to </w:t>
      </w:r>
      <w:hyperlink r:id="rId13" w:history="1">
        <w:r w:rsidRPr="005504F3">
          <w:rPr>
            <w:rStyle w:val="Hyperlink"/>
            <w:szCs w:val="24"/>
            <w:shd w:val="clear" w:color="auto" w:fill="FFFFFF"/>
          </w:rPr>
          <w:t>www.agriculture.gov.au</w:t>
        </w:r>
      </w:hyperlink>
      <w:r>
        <w:rPr>
          <w:color w:val="000000"/>
          <w:szCs w:val="24"/>
          <w:shd w:val="clear" w:color="auto" w:fill="FFFFFF"/>
        </w:rPr>
        <w:t xml:space="preserve">. </w:t>
      </w:r>
    </w:p>
    <w:p w14:paraId="04EFDDB0" w14:textId="77777777" w:rsidR="00EC6543" w:rsidRPr="00504519" w:rsidRDefault="00EC6543" w:rsidP="00EC6543">
      <w:pPr>
        <w:pStyle w:val="Normal-em"/>
        <w:spacing w:after="0" w:line="240" w:lineRule="auto"/>
        <w:rPr>
          <w:color w:val="auto"/>
          <w:szCs w:val="24"/>
        </w:rPr>
      </w:pPr>
    </w:p>
    <w:p w14:paraId="01185FCA" w14:textId="77777777" w:rsidR="00EC6543" w:rsidRPr="002636FA" w:rsidRDefault="00EC6543" w:rsidP="00EC6543">
      <w:pPr>
        <w:spacing w:after="0" w:line="240" w:lineRule="auto"/>
        <w:rPr>
          <w:rFonts w:ascii="Times New Roman" w:hAnsi="Times New Roman" w:cs="Times New Roman"/>
          <w:b/>
          <w:sz w:val="24"/>
          <w:szCs w:val="24"/>
        </w:rPr>
      </w:pPr>
      <w:r w:rsidRPr="002636FA">
        <w:rPr>
          <w:rFonts w:ascii="Times New Roman" w:hAnsi="Times New Roman" w:cs="Times New Roman"/>
          <w:b/>
          <w:sz w:val="24"/>
          <w:szCs w:val="24"/>
        </w:rPr>
        <w:t>Item 3 – Clause 3 of Schedule 2 (table item 1)</w:t>
      </w:r>
    </w:p>
    <w:p w14:paraId="1F1F7A5D" w14:textId="77777777" w:rsidR="00EC6543" w:rsidRPr="00504519" w:rsidRDefault="00EC6543" w:rsidP="00EC6543">
      <w:pPr>
        <w:spacing w:after="0" w:line="240" w:lineRule="auto"/>
        <w:rPr>
          <w:rFonts w:ascii="Times New Roman" w:hAnsi="Times New Roman" w:cs="Times New Roman"/>
          <w:bCs/>
          <w:sz w:val="24"/>
          <w:szCs w:val="24"/>
        </w:rPr>
      </w:pPr>
    </w:p>
    <w:p w14:paraId="15A5FB2F" w14:textId="736A4CAD" w:rsidR="00EC6543" w:rsidRDefault="00EC6543" w:rsidP="0019099C">
      <w:pPr>
        <w:pStyle w:val="normal-em0"/>
        <w:shd w:val="clear" w:color="auto" w:fill="FFFFFF"/>
        <w:spacing w:before="0" w:beforeAutospacing="0" w:after="0" w:afterAutospacing="0"/>
      </w:pPr>
      <w:r w:rsidRPr="00504519">
        <w:t xml:space="preserve">This item </w:t>
      </w:r>
      <w:r>
        <w:t>omit</w:t>
      </w:r>
      <w:r w:rsidR="00232C9A">
        <w:t>s</w:t>
      </w:r>
      <w:r w:rsidRPr="00504519">
        <w:t xml:space="preserve"> the former date of co-endorsement of the SSG for New South Wales in table item 1</w:t>
      </w:r>
      <w:r>
        <w:t xml:space="preserve"> </w:t>
      </w:r>
      <w:r w:rsidRPr="00504519">
        <w:t xml:space="preserve">of clause 3 of Schedule 2 to </w:t>
      </w:r>
      <w:r w:rsidR="00691EE1" w:rsidRPr="00504519">
        <w:t>the ILP</w:t>
      </w:r>
      <w:r w:rsidR="00A43D6E">
        <w:t xml:space="preserve"> </w:t>
      </w:r>
      <w:r w:rsidRPr="00504519">
        <w:t>Regulation and substitute</w:t>
      </w:r>
      <w:r w:rsidR="00232C9A">
        <w:t>s</w:t>
      </w:r>
      <w:r w:rsidRPr="00504519">
        <w:t xml:space="preserve"> a new date of 15 September 2022.</w:t>
      </w:r>
    </w:p>
    <w:p w14:paraId="2D60730D" w14:textId="77777777" w:rsidR="0019099C" w:rsidRPr="00504519" w:rsidRDefault="0019099C" w:rsidP="0019099C">
      <w:pPr>
        <w:pStyle w:val="normal-em0"/>
        <w:shd w:val="clear" w:color="auto" w:fill="FFFFFF"/>
        <w:spacing w:before="0" w:beforeAutospacing="0" w:after="0" w:afterAutospacing="0"/>
        <w:rPr>
          <w:color w:val="000000"/>
        </w:rPr>
      </w:pPr>
    </w:p>
    <w:p w14:paraId="1BA1FE4D" w14:textId="0A5EB578" w:rsidR="00EC6543" w:rsidRPr="00504519" w:rsidRDefault="00EC6543" w:rsidP="0019099C">
      <w:pPr>
        <w:pStyle w:val="normal-em0"/>
        <w:shd w:val="clear" w:color="auto" w:fill="FFFFFF"/>
        <w:spacing w:before="0" w:beforeAutospacing="0" w:after="0" w:afterAutospacing="0"/>
        <w:rPr>
          <w:color w:val="000000"/>
        </w:rPr>
      </w:pPr>
      <w:r w:rsidRPr="00504519">
        <w:rPr>
          <w:color w:val="000000"/>
        </w:rPr>
        <w:t>This</w:t>
      </w:r>
      <w:r>
        <w:rPr>
          <w:color w:val="000000"/>
        </w:rPr>
        <w:t xml:space="preserve"> amendment</w:t>
      </w:r>
      <w:r w:rsidRPr="00504519">
        <w:rPr>
          <w:color w:val="000000"/>
        </w:rPr>
        <w:t xml:space="preserve"> </w:t>
      </w:r>
      <w:r w:rsidR="001E41FD" w:rsidRPr="001E41FD">
        <w:rPr>
          <w:color w:val="000000"/>
        </w:rPr>
        <w:t>prescribes</w:t>
      </w:r>
      <w:r w:rsidRPr="00504519">
        <w:rPr>
          <w:color w:val="000000"/>
        </w:rPr>
        <w:t xml:space="preserve"> the updated</w:t>
      </w:r>
      <w:r>
        <w:rPr>
          <w:color w:val="000000"/>
        </w:rPr>
        <w:t xml:space="preserve"> SSG for New South Wales </w:t>
      </w:r>
      <w:r w:rsidR="00890F55">
        <w:rPr>
          <w:color w:val="000000"/>
        </w:rPr>
        <w:t xml:space="preserve">that </w:t>
      </w:r>
      <w:r>
        <w:rPr>
          <w:color w:val="000000"/>
        </w:rPr>
        <w:t xml:space="preserve">was co-endorsed </w:t>
      </w:r>
      <w:r w:rsidRPr="00504519">
        <w:rPr>
          <w:color w:val="000000"/>
        </w:rPr>
        <w:t xml:space="preserve">by the Australian Government and the Government of </w:t>
      </w:r>
      <w:r w:rsidRPr="00504519">
        <w:t>New South Wales</w:t>
      </w:r>
      <w:r>
        <w:t xml:space="preserve"> on 15 September 2022</w:t>
      </w:r>
      <w:r w:rsidRPr="00504519">
        <w:rPr>
          <w:color w:val="000000"/>
        </w:rPr>
        <w:t>. Processors</w:t>
      </w:r>
      <w:r>
        <w:rPr>
          <w:color w:val="000000"/>
        </w:rPr>
        <w:t xml:space="preserve"> of raw </w:t>
      </w:r>
      <w:r w:rsidR="00691EE1">
        <w:rPr>
          <w:color w:val="000000"/>
        </w:rPr>
        <w:t>logs</w:t>
      </w:r>
      <w:r w:rsidR="00691EE1" w:rsidRPr="00504519">
        <w:rPr>
          <w:color w:val="000000"/>
        </w:rPr>
        <w:t xml:space="preserve"> </w:t>
      </w:r>
      <w:r w:rsidR="00691EE1">
        <w:rPr>
          <w:color w:val="000000"/>
        </w:rPr>
        <w:t>are</w:t>
      </w:r>
      <w:r w:rsidRPr="00504519">
        <w:rPr>
          <w:color w:val="000000"/>
        </w:rPr>
        <w:t xml:space="preserve"> required to use this updated version of the </w:t>
      </w:r>
      <w:r>
        <w:rPr>
          <w:color w:val="000000"/>
        </w:rPr>
        <w:t>SSG</w:t>
      </w:r>
      <w:r w:rsidRPr="00504519">
        <w:rPr>
          <w:color w:val="000000"/>
        </w:rPr>
        <w:t xml:space="preserve"> for </w:t>
      </w:r>
      <w:r w:rsidRPr="00504519">
        <w:t>New South Wales</w:t>
      </w:r>
      <w:r w:rsidRPr="00504519">
        <w:rPr>
          <w:color w:val="000000"/>
        </w:rPr>
        <w:t xml:space="preserve"> when they elect to use the </w:t>
      </w:r>
      <w:r>
        <w:rPr>
          <w:color w:val="000000"/>
        </w:rPr>
        <w:t>SSG</w:t>
      </w:r>
      <w:r w:rsidRPr="00504519">
        <w:rPr>
          <w:color w:val="000000"/>
        </w:rPr>
        <w:t xml:space="preserve"> optional</w:t>
      </w:r>
      <w:r>
        <w:rPr>
          <w:color w:val="000000"/>
        </w:rPr>
        <w:t xml:space="preserve"> risk mitigation</w:t>
      </w:r>
      <w:r w:rsidRPr="00504519">
        <w:rPr>
          <w:color w:val="000000"/>
        </w:rPr>
        <w:t xml:space="preserve"> process, provided for in section 21 of </w:t>
      </w:r>
      <w:r w:rsidR="0032303B" w:rsidRPr="00504519">
        <w:rPr>
          <w:color w:val="000000"/>
        </w:rPr>
        <w:t xml:space="preserve">the </w:t>
      </w:r>
      <w:r w:rsidR="0032303B">
        <w:rPr>
          <w:color w:val="000000"/>
        </w:rPr>
        <w:t>ILP</w:t>
      </w:r>
      <w:r w:rsidRPr="00504519">
        <w:rPr>
          <w:color w:val="000000"/>
        </w:rPr>
        <w:t xml:space="preserve"> Regulation, to conduct due diligence, or when required to obtain information about raw logs where a </w:t>
      </w:r>
      <w:r>
        <w:rPr>
          <w:color w:val="000000"/>
        </w:rPr>
        <w:t>SSG</w:t>
      </w:r>
      <w:r w:rsidRPr="00504519">
        <w:rPr>
          <w:color w:val="000000"/>
        </w:rPr>
        <w:t xml:space="preserve"> applies, as provided for in section 19 of </w:t>
      </w:r>
      <w:r w:rsidR="0032303B" w:rsidRPr="00504519">
        <w:rPr>
          <w:color w:val="000000"/>
        </w:rPr>
        <w:t>the ILP</w:t>
      </w:r>
      <w:r w:rsidR="003D0E83">
        <w:rPr>
          <w:color w:val="000000"/>
        </w:rPr>
        <w:t xml:space="preserve"> </w:t>
      </w:r>
      <w:r w:rsidRPr="00504519">
        <w:rPr>
          <w:color w:val="000000"/>
        </w:rPr>
        <w:t>Regulation.</w:t>
      </w:r>
    </w:p>
    <w:p w14:paraId="30A57EFE" w14:textId="77777777" w:rsidR="00EC6543" w:rsidRPr="00504519" w:rsidRDefault="00EC6543" w:rsidP="00EC6543">
      <w:pPr>
        <w:spacing w:after="0" w:line="240" w:lineRule="auto"/>
        <w:rPr>
          <w:rFonts w:ascii="Times New Roman" w:hAnsi="Times New Roman" w:cs="Times New Roman"/>
          <w:bCs/>
          <w:sz w:val="24"/>
          <w:szCs w:val="24"/>
          <w:u w:val="single"/>
        </w:rPr>
      </w:pPr>
    </w:p>
    <w:p w14:paraId="58059C25" w14:textId="77777777" w:rsidR="00EC6543" w:rsidRPr="002636FA" w:rsidRDefault="00EC6543" w:rsidP="00EC6543">
      <w:pPr>
        <w:spacing w:after="0" w:line="240" w:lineRule="auto"/>
        <w:rPr>
          <w:rFonts w:ascii="Times New Roman" w:hAnsi="Times New Roman" w:cs="Times New Roman"/>
          <w:b/>
          <w:sz w:val="24"/>
          <w:szCs w:val="24"/>
        </w:rPr>
      </w:pPr>
      <w:r w:rsidRPr="002636FA">
        <w:rPr>
          <w:rFonts w:ascii="Times New Roman" w:hAnsi="Times New Roman" w:cs="Times New Roman"/>
          <w:b/>
          <w:sz w:val="24"/>
          <w:szCs w:val="24"/>
        </w:rPr>
        <w:t>Item 4 – Clause 3 of Schedule 2 (table item 2)</w:t>
      </w:r>
    </w:p>
    <w:p w14:paraId="6A440CAC" w14:textId="77777777" w:rsidR="00EC6543" w:rsidRPr="00504519" w:rsidRDefault="00EC6543" w:rsidP="00EC6543">
      <w:pPr>
        <w:spacing w:after="0" w:line="240" w:lineRule="auto"/>
        <w:rPr>
          <w:rFonts w:ascii="Times New Roman" w:hAnsi="Times New Roman" w:cs="Times New Roman"/>
          <w:b/>
          <w:sz w:val="24"/>
          <w:szCs w:val="24"/>
          <w:u w:val="single"/>
        </w:rPr>
      </w:pPr>
    </w:p>
    <w:p w14:paraId="4FA700BE" w14:textId="7894A6D7" w:rsidR="00EC6543" w:rsidRDefault="00EC6543" w:rsidP="0019099C">
      <w:pPr>
        <w:pStyle w:val="normal-em0"/>
        <w:shd w:val="clear" w:color="auto" w:fill="FFFFFF"/>
        <w:spacing w:before="0" w:beforeAutospacing="0" w:after="0" w:afterAutospacing="0"/>
      </w:pPr>
      <w:r w:rsidRPr="00504519">
        <w:t xml:space="preserve">This item </w:t>
      </w:r>
      <w:r>
        <w:t>omit</w:t>
      </w:r>
      <w:r w:rsidR="00232C9A">
        <w:t>s</w:t>
      </w:r>
      <w:r w:rsidRPr="00504519">
        <w:t xml:space="preserve"> the former date of co-endorsement of the SSG for Victoria in table item 2 of clause 3 of Schedule 2 to </w:t>
      </w:r>
      <w:r w:rsidR="00691EE1" w:rsidRPr="00504519">
        <w:t xml:space="preserve">the </w:t>
      </w:r>
      <w:r w:rsidR="00691EE1">
        <w:t>ILP</w:t>
      </w:r>
      <w:r w:rsidRPr="00504519">
        <w:t xml:space="preserve"> Regulation and substitute</w:t>
      </w:r>
      <w:r w:rsidR="00232C9A">
        <w:t>s</w:t>
      </w:r>
      <w:r w:rsidRPr="00504519">
        <w:t xml:space="preserve"> a new date of 13 October 2022.</w:t>
      </w:r>
    </w:p>
    <w:p w14:paraId="56D858D0" w14:textId="77777777" w:rsidR="0019099C" w:rsidRPr="00504519" w:rsidRDefault="0019099C" w:rsidP="0019099C">
      <w:pPr>
        <w:pStyle w:val="normal-em0"/>
        <w:shd w:val="clear" w:color="auto" w:fill="FFFFFF"/>
        <w:spacing w:before="0" w:beforeAutospacing="0" w:after="0" w:afterAutospacing="0"/>
        <w:rPr>
          <w:color w:val="000000"/>
        </w:rPr>
      </w:pPr>
    </w:p>
    <w:p w14:paraId="54D46631" w14:textId="2811A1FD" w:rsidR="00EC6543" w:rsidRPr="00504519" w:rsidRDefault="00EC6543" w:rsidP="0019099C">
      <w:pPr>
        <w:pStyle w:val="normal-em0"/>
        <w:shd w:val="clear" w:color="auto" w:fill="FFFFFF"/>
        <w:spacing w:before="0" w:beforeAutospacing="0" w:after="0" w:afterAutospacing="0"/>
        <w:rPr>
          <w:color w:val="000000"/>
        </w:rPr>
      </w:pPr>
      <w:r w:rsidRPr="00504519">
        <w:rPr>
          <w:color w:val="000000"/>
        </w:rPr>
        <w:t>This</w:t>
      </w:r>
      <w:r>
        <w:rPr>
          <w:color w:val="000000"/>
        </w:rPr>
        <w:t xml:space="preserve"> amendment</w:t>
      </w:r>
      <w:r w:rsidRPr="00504519">
        <w:rPr>
          <w:color w:val="000000"/>
        </w:rPr>
        <w:t xml:space="preserve"> </w:t>
      </w:r>
      <w:r w:rsidR="00890F55" w:rsidRPr="00890F55">
        <w:rPr>
          <w:color w:val="000000"/>
        </w:rPr>
        <w:t>prescribes</w:t>
      </w:r>
      <w:r>
        <w:rPr>
          <w:color w:val="000000"/>
        </w:rPr>
        <w:t xml:space="preserve"> </w:t>
      </w:r>
      <w:r w:rsidRPr="00504519">
        <w:rPr>
          <w:color w:val="000000"/>
        </w:rPr>
        <w:t xml:space="preserve">the </w:t>
      </w:r>
      <w:r>
        <w:rPr>
          <w:color w:val="000000"/>
        </w:rPr>
        <w:t>updated SSG for Victoria</w:t>
      </w:r>
      <w:r w:rsidRPr="00504519">
        <w:rPr>
          <w:color w:val="000000"/>
        </w:rPr>
        <w:t xml:space="preserve"> </w:t>
      </w:r>
      <w:r w:rsidR="00890F55">
        <w:rPr>
          <w:color w:val="000000"/>
        </w:rPr>
        <w:t xml:space="preserve">that </w:t>
      </w:r>
      <w:r>
        <w:rPr>
          <w:color w:val="000000"/>
        </w:rPr>
        <w:t xml:space="preserve">was co-endorsed </w:t>
      </w:r>
      <w:r w:rsidRPr="00504519">
        <w:rPr>
          <w:color w:val="000000"/>
        </w:rPr>
        <w:t xml:space="preserve">by the Australian Government and the Government of </w:t>
      </w:r>
      <w:r w:rsidRPr="00504519">
        <w:t>Victoria</w:t>
      </w:r>
      <w:r>
        <w:t xml:space="preserve"> on 13 October 2022</w:t>
      </w:r>
      <w:r w:rsidRPr="00504519">
        <w:rPr>
          <w:color w:val="000000"/>
        </w:rPr>
        <w:t>. Processors</w:t>
      </w:r>
      <w:r>
        <w:rPr>
          <w:color w:val="000000"/>
        </w:rPr>
        <w:t xml:space="preserve"> of raw </w:t>
      </w:r>
      <w:r w:rsidR="00691EE1">
        <w:rPr>
          <w:color w:val="000000"/>
        </w:rPr>
        <w:t>logs</w:t>
      </w:r>
      <w:r w:rsidR="00691EE1" w:rsidRPr="00504519">
        <w:rPr>
          <w:color w:val="000000"/>
        </w:rPr>
        <w:t xml:space="preserve"> </w:t>
      </w:r>
      <w:r w:rsidR="00691EE1">
        <w:rPr>
          <w:color w:val="000000"/>
        </w:rPr>
        <w:t>are</w:t>
      </w:r>
      <w:r w:rsidRPr="00504519">
        <w:rPr>
          <w:color w:val="000000"/>
        </w:rPr>
        <w:t xml:space="preserve"> required to use this updated version of the SSG for </w:t>
      </w:r>
      <w:r w:rsidRPr="00504519">
        <w:t>Victoria</w:t>
      </w:r>
      <w:r w:rsidRPr="00504519">
        <w:rPr>
          <w:color w:val="000000"/>
        </w:rPr>
        <w:t xml:space="preserve"> when they elect to use the SSG</w:t>
      </w:r>
      <w:r>
        <w:rPr>
          <w:color w:val="000000"/>
        </w:rPr>
        <w:t xml:space="preserve"> </w:t>
      </w:r>
      <w:r w:rsidRPr="00504519">
        <w:rPr>
          <w:color w:val="000000"/>
        </w:rPr>
        <w:t xml:space="preserve">optional </w:t>
      </w:r>
      <w:r>
        <w:rPr>
          <w:color w:val="000000"/>
        </w:rPr>
        <w:t xml:space="preserve">risk mitigation </w:t>
      </w:r>
      <w:r w:rsidRPr="00504519">
        <w:rPr>
          <w:color w:val="000000"/>
        </w:rPr>
        <w:t xml:space="preserve">process, provided for in section 21 of the </w:t>
      </w:r>
      <w:r w:rsidR="003D0E83">
        <w:rPr>
          <w:color w:val="000000"/>
        </w:rPr>
        <w:t xml:space="preserve">ILP </w:t>
      </w:r>
      <w:r w:rsidRPr="00504519">
        <w:rPr>
          <w:color w:val="000000"/>
        </w:rPr>
        <w:t xml:space="preserve">Regulation, to conduct due diligence, or when required to obtain information about raw logs where a </w:t>
      </w:r>
      <w:r>
        <w:rPr>
          <w:color w:val="000000"/>
        </w:rPr>
        <w:t>SSG</w:t>
      </w:r>
      <w:r w:rsidRPr="00504519">
        <w:rPr>
          <w:color w:val="000000"/>
        </w:rPr>
        <w:t xml:space="preserve"> applies, as provided for in section 19 of </w:t>
      </w:r>
      <w:r w:rsidR="0032303B" w:rsidRPr="00504519">
        <w:rPr>
          <w:color w:val="000000"/>
        </w:rPr>
        <w:t xml:space="preserve">the </w:t>
      </w:r>
      <w:r w:rsidR="0032303B">
        <w:rPr>
          <w:color w:val="000000"/>
        </w:rPr>
        <w:t>ILP</w:t>
      </w:r>
      <w:r w:rsidRPr="00504519">
        <w:rPr>
          <w:color w:val="000000"/>
        </w:rPr>
        <w:t xml:space="preserve"> Regulation.</w:t>
      </w:r>
    </w:p>
    <w:p w14:paraId="73615897" w14:textId="77777777" w:rsidR="00EC6543" w:rsidRPr="00504519" w:rsidRDefault="00EC6543" w:rsidP="00EC6543">
      <w:pPr>
        <w:spacing w:after="0" w:line="240" w:lineRule="auto"/>
        <w:rPr>
          <w:rFonts w:ascii="Times New Roman" w:hAnsi="Times New Roman" w:cs="Times New Roman"/>
          <w:sz w:val="24"/>
          <w:szCs w:val="24"/>
        </w:rPr>
      </w:pPr>
    </w:p>
    <w:p w14:paraId="5A1F564E" w14:textId="06459725" w:rsidR="00EC6543" w:rsidRDefault="00EC6543" w:rsidP="0019099C">
      <w:pPr>
        <w:keepNext/>
        <w:spacing w:after="0" w:line="240" w:lineRule="auto"/>
        <w:rPr>
          <w:rFonts w:ascii="Times New Roman" w:hAnsi="Times New Roman" w:cs="Times New Roman"/>
          <w:b/>
          <w:bCs/>
          <w:sz w:val="24"/>
          <w:szCs w:val="24"/>
        </w:rPr>
      </w:pPr>
      <w:r w:rsidRPr="002636FA">
        <w:rPr>
          <w:rFonts w:ascii="Times New Roman" w:hAnsi="Times New Roman" w:cs="Times New Roman"/>
          <w:b/>
          <w:bCs/>
          <w:sz w:val="24"/>
          <w:szCs w:val="24"/>
        </w:rPr>
        <w:t>Item 5 – Clause 3 of Schedule 2 (table item 2A)</w:t>
      </w:r>
    </w:p>
    <w:p w14:paraId="36C40876" w14:textId="77777777" w:rsidR="0019099C" w:rsidRPr="0019099C" w:rsidRDefault="0019099C" w:rsidP="0019099C">
      <w:pPr>
        <w:keepNext/>
        <w:spacing w:after="0" w:line="240" w:lineRule="auto"/>
        <w:rPr>
          <w:rFonts w:ascii="Times New Roman" w:hAnsi="Times New Roman" w:cs="Times New Roman"/>
          <w:b/>
          <w:bCs/>
          <w:sz w:val="24"/>
          <w:szCs w:val="24"/>
        </w:rPr>
      </w:pPr>
    </w:p>
    <w:p w14:paraId="7F3ECD44" w14:textId="64F92808" w:rsidR="00EC6543" w:rsidRDefault="00EC6543" w:rsidP="0019099C">
      <w:pPr>
        <w:pStyle w:val="normal-em0"/>
        <w:shd w:val="clear" w:color="auto" w:fill="FFFFFF"/>
        <w:spacing w:before="0" w:beforeAutospacing="0" w:after="0" w:afterAutospacing="0"/>
      </w:pPr>
      <w:r w:rsidRPr="00504519">
        <w:t xml:space="preserve">This item </w:t>
      </w:r>
      <w:r>
        <w:t>omit</w:t>
      </w:r>
      <w:r w:rsidR="00232C9A">
        <w:t>s</w:t>
      </w:r>
      <w:r w:rsidRPr="00504519">
        <w:t xml:space="preserve"> the former date of co-endorsement of the SSG for Queensland in table item 2A of clause 3 of Schedule 2 to </w:t>
      </w:r>
      <w:r w:rsidR="00691EE1" w:rsidRPr="00504519">
        <w:t xml:space="preserve">the </w:t>
      </w:r>
      <w:r w:rsidR="00691EE1">
        <w:t>ILP</w:t>
      </w:r>
      <w:r w:rsidRPr="00504519">
        <w:t xml:space="preserve"> Regulation and substitute</w:t>
      </w:r>
      <w:r w:rsidR="00232C9A">
        <w:t>s</w:t>
      </w:r>
      <w:r w:rsidRPr="00504519">
        <w:t xml:space="preserve"> a new date of 29 June 2022.</w:t>
      </w:r>
    </w:p>
    <w:p w14:paraId="5E8FD9D1" w14:textId="77777777" w:rsidR="0019099C" w:rsidRPr="00504519" w:rsidRDefault="0019099C" w:rsidP="0019099C">
      <w:pPr>
        <w:pStyle w:val="normal-em0"/>
        <w:shd w:val="clear" w:color="auto" w:fill="FFFFFF"/>
        <w:spacing w:before="0" w:beforeAutospacing="0" w:after="0" w:afterAutospacing="0"/>
        <w:rPr>
          <w:color w:val="000000"/>
        </w:rPr>
      </w:pPr>
    </w:p>
    <w:p w14:paraId="2755AF3A" w14:textId="29886173" w:rsidR="00EC6543" w:rsidRPr="00504519" w:rsidRDefault="00EC6543" w:rsidP="0019099C">
      <w:pPr>
        <w:pStyle w:val="normal-em0"/>
        <w:shd w:val="clear" w:color="auto" w:fill="FFFFFF"/>
        <w:spacing w:before="0" w:beforeAutospacing="0" w:after="0" w:afterAutospacing="0"/>
        <w:rPr>
          <w:color w:val="000000"/>
        </w:rPr>
      </w:pPr>
      <w:r w:rsidRPr="00504519">
        <w:rPr>
          <w:color w:val="000000"/>
        </w:rPr>
        <w:lastRenderedPageBreak/>
        <w:t>This</w:t>
      </w:r>
      <w:r>
        <w:rPr>
          <w:color w:val="000000"/>
        </w:rPr>
        <w:t xml:space="preserve"> amendment</w:t>
      </w:r>
      <w:r w:rsidRPr="00504519">
        <w:rPr>
          <w:color w:val="000000"/>
        </w:rPr>
        <w:t xml:space="preserve"> </w:t>
      </w:r>
      <w:r w:rsidR="00E55FD6">
        <w:t>prescribes</w:t>
      </w:r>
      <w:r w:rsidRPr="00504519">
        <w:rPr>
          <w:color w:val="000000"/>
        </w:rPr>
        <w:t xml:space="preserve"> the </w:t>
      </w:r>
      <w:r>
        <w:rPr>
          <w:color w:val="000000"/>
        </w:rPr>
        <w:t xml:space="preserve">updated SSG for Queensland </w:t>
      </w:r>
      <w:r w:rsidR="00E55FD6">
        <w:rPr>
          <w:color w:val="000000"/>
        </w:rPr>
        <w:t xml:space="preserve">that </w:t>
      </w:r>
      <w:r>
        <w:rPr>
          <w:color w:val="000000"/>
        </w:rPr>
        <w:t>was co-endorsed</w:t>
      </w:r>
      <w:r w:rsidRPr="00504519">
        <w:rPr>
          <w:color w:val="000000"/>
        </w:rPr>
        <w:t xml:space="preserve"> by the Australian Government and the Government of </w:t>
      </w:r>
      <w:r w:rsidRPr="00504519">
        <w:t>Queensland</w:t>
      </w:r>
      <w:r>
        <w:t xml:space="preserve"> on 29 June 2022</w:t>
      </w:r>
      <w:r w:rsidRPr="00504519">
        <w:rPr>
          <w:color w:val="000000"/>
        </w:rPr>
        <w:t>. Processors</w:t>
      </w:r>
      <w:r>
        <w:rPr>
          <w:color w:val="000000"/>
        </w:rPr>
        <w:t xml:space="preserve"> of raw </w:t>
      </w:r>
      <w:r w:rsidR="00691EE1">
        <w:rPr>
          <w:color w:val="000000"/>
        </w:rPr>
        <w:t>logs</w:t>
      </w:r>
      <w:r w:rsidR="00691EE1" w:rsidRPr="00504519">
        <w:rPr>
          <w:color w:val="000000"/>
        </w:rPr>
        <w:t xml:space="preserve"> </w:t>
      </w:r>
      <w:r w:rsidR="00691EE1">
        <w:rPr>
          <w:color w:val="000000"/>
        </w:rPr>
        <w:t>are</w:t>
      </w:r>
      <w:r w:rsidRPr="00504519">
        <w:rPr>
          <w:color w:val="000000"/>
        </w:rPr>
        <w:t xml:space="preserve"> required to use this updated version of the SSG for </w:t>
      </w:r>
      <w:r w:rsidRPr="00504519">
        <w:t>Queensland</w:t>
      </w:r>
      <w:r w:rsidRPr="00504519">
        <w:rPr>
          <w:color w:val="000000"/>
        </w:rPr>
        <w:t xml:space="preserve"> when they elect to use the </w:t>
      </w:r>
      <w:r>
        <w:rPr>
          <w:color w:val="000000"/>
        </w:rPr>
        <w:t>SSG</w:t>
      </w:r>
      <w:r w:rsidRPr="00504519">
        <w:rPr>
          <w:color w:val="000000"/>
        </w:rPr>
        <w:t xml:space="preserve"> optional </w:t>
      </w:r>
      <w:r>
        <w:rPr>
          <w:color w:val="000000"/>
        </w:rPr>
        <w:t xml:space="preserve">risk mitigation </w:t>
      </w:r>
      <w:r w:rsidRPr="00504519">
        <w:rPr>
          <w:color w:val="000000"/>
        </w:rPr>
        <w:t xml:space="preserve">process, provided for in section 21 of </w:t>
      </w:r>
      <w:r w:rsidR="0032303B" w:rsidRPr="00504519">
        <w:rPr>
          <w:color w:val="000000"/>
        </w:rPr>
        <w:t xml:space="preserve">the </w:t>
      </w:r>
      <w:r w:rsidR="0032303B">
        <w:rPr>
          <w:color w:val="000000"/>
        </w:rPr>
        <w:t>ILP</w:t>
      </w:r>
      <w:r w:rsidRPr="00504519">
        <w:rPr>
          <w:color w:val="000000"/>
        </w:rPr>
        <w:t xml:space="preserve"> Regulation, to conduct due diligence, or when required to obtain information about raw logs where a </w:t>
      </w:r>
      <w:r>
        <w:rPr>
          <w:color w:val="000000"/>
        </w:rPr>
        <w:t>SSG</w:t>
      </w:r>
      <w:r w:rsidRPr="00504519">
        <w:rPr>
          <w:color w:val="000000"/>
        </w:rPr>
        <w:t xml:space="preserve"> applies, as provided for in section 19 of </w:t>
      </w:r>
      <w:r w:rsidR="0032303B" w:rsidRPr="00504519">
        <w:rPr>
          <w:color w:val="000000"/>
        </w:rPr>
        <w:t>the ILP</w:t>
      </w:r>
      <w:r w:rsidR="001F51B0">
        <w:rPr>
          <w:color w:val="000000"/>
        </w:rPr>
        <w:t xml:space="preserve"> </w:t>
      </w:r>
      <w:r w:rsidRPr="00504519">
        <w:rPr>
          <w:color w:val="000000"/>
        </w:rPr>
        <w:t>Regulation.</w:t>
      </w:r>
    </w:p>
    <w:p w14:paraId="1D3011EC" w14:textId="77777777" w:rsidR="00EC6543" w:rsidRPr="00504519" w:rsidRDefault="00EC6543" w:rsidP="0019099C">
      <w:pPr>
        <w:spacing w:after="0" w:line="240" w:lineRule="auto"/>
        <w:rPr>
          <w:rFonts w:ascii="Times New Roman" w:hAnsi="Times New Roman" w:cs="Times New Roman"/>
          <w:sz w:val="24"/>
          <w:szCs w:val="24"/>
        </w:rPr>
      </w:pPr>
    </w:p>
    <w:p w14:paraId="582C5A02" w14:textId="77777777" w:rsidR="00EC6543" w:rsidRPr="002636FA" w:rsidRDefault="00EC6543" w:rsidP="00EC6543">
      <w:pPr>
        <w:spacing w:after="0" w:line="240" w:lineRule="auto"/>
        <w:rPr>
          <w:rFonts w:ascii="Times New Roman" w:hAnsi="Times New Roman" w:cs="Times New Roman"/>
          <w:b/>
          <w:bCs/>
          <w:sz w:val="24"/>
          <w:szCs w:val="24"/>
        </w:rPr>
      </w:pPr>
      <w:r w:rsidRPr="002636FA">
        <w:rPr>
          <w:rFonts w:ascii="Times New Roman" w:hAnsi="Times New Roman" w:cs="Times New Roman"/>
          <w:b/>
          <w:bCs/>
          <w:sz w:val="24"/>
          <w:szCs w:val="24"/>
        </w:rPr>
        <w:t>Item 6 – Clause 3 of Schedule 2 (table item 3)</w:t>
      </w:r>
    </w:p>
    <w:p w14:paraId="3885DF4F" w14:textId="6F2BC2E0" w:rsidR="00EC6543" w:rsidRPr="00504519" w:rsidRDefault="001F51B0" w:rsidP="00EC6543">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14:paraId="02D4B8B6" w14:textId="58CC7E39" w:rsidR="00EC6543" w:rsidRPr="00504519" w:rsidRDefault="00EC6543" w:rsidP="00EC6543">
      <w:pPr>
        <w:pStyle w:val="normal-em0"/>
        <w:shd w:val="clear" w:color="auto" w:fill="FFFFFF"/>
        <w:spacing w:before="0" w:beforeAutospacing="0" w:after="120" w:afterAutospacing="0"/>
        <w:rPr>
          <w:color w:val="000000"/>
        </w:rPr>
      </w:pPr>
      <w:r w:rsidRPr="00504519">
        <w:t xml:space="preserve">This item </w:t>
      </w:r>
      <w:r>
        <w:t>omit</w:t>
      </w:r>
      <w:r w:rsidR="00A365EE">
        <w:t>s</w:t>
      </w:r>
      <w:r w:rsidRPr="00504519">
        <w:t xml:space="preserve"> the former date of co-endorsement of the SSG for Western Australia in table item 3 of clause 3 of Schedule 2 to </w:t>
      </w:r>
      <w:r w:rsidR="00691EE1" w:rsidRPr="00504519">
        <w:t xml:space="preserve">the </w:t>
      </w:r>
      <w:r w:rsidR="00691EE1">
        <w:t>ILP</w:t>
      </w:r>
      <w:r w:rsidRPr="00504519">
        <w:t xml:space="preserve"> Regulation and substitute</w:t>
      </w:r>
      <w:r w:rsidR="00A365EE">
        <w:t>s</w:t>
      </w:r>
      <w:r w:rsidRPr="00504519">
        <w:t xml:space="preserve"> a new date of 26 October 2022.</w:t>
      </w:r>
    </w:p>
    <w:p w14:paraId="35BEDDE2" w14:textId="10820DDB" w:rsidR="00EC6543" w:rsidRPr="00504519" w:rsidRDefault="00EC6543" w:rsidP="00EC6543">
      <w:pPr>
        <w:pStyle w:val="normal-em0"/>
        <w:shd w:val="clear" w:color="auto" w:fill="FFFFFF"/>
        <w:spacing w:before="0" w:beforeAutospacing="0" w:after="120" w:afterAutospacing="0"/>
        <w:rPr>
          <w:color w:val="000000"/>
        </w:rPr>
      </w:pPr>
      <w:r w:rsidRPr="00504519">
        <w:rPr>
          <w:color w:val="000000"/>
        </w:rPr>
        <w:t>This</w:t>
      </w:r>
      <w:r>
        <w:rPr>
          <w:color w:val="000000"/>
        </w:rPr>
        <w:t xml:space="preserve"> amendment</w:t>
      </w:r>
      <w:r w:rsidRPr="00504519">
        <w:rPr>
          <w:color w:val="000000"/>
        </w:rPr>
        <w:t xml:space="preserve"> </w:t>
      </w:r>
      <w:r w:rsidR="00ED4CA0">
        <w:t>prescribes</w:t>
      </w:r>
      <w:r w:rsidRPr="00504519">
        <w:rPr>
          <w:color w:val="000000"/>
        </w:rPr>
        <w:t xml:space="preserve"> the </w:t>
      </w:r>
      <w:r>
        <w:rPr>
          <w:color w:val="000000"/>
        </w:rPr>
        <w:t xml:space="preserve">updated SSG for Western Australia </w:t>
      </w:r>
      <w:r w:rsidR="00ED4CA0">
        <w:rPr>
          <w:color w:val="000000"/>
        </w:rPr>
        <w:t xml:space="preserve">that </w:t>
      </w:r>
      <w:r>
        <w:rPr>
          <w:color w:val="000000"/>
        </w:rPr>
        <w:t>was co-endorsed</w:t>
      </w:r>
      <w:r w:rsidRPr="00504519">
        <w:rPr>
          <w:color w:val="000000"/>
        </w:rPr>
        <w:t xml:space="preserve"> by the Australian Government and the Government of </w:t>
      </w:r>
      <w:r w:rsidRPr="00504519">
        <w:t>Western Australia</w:t>
      </w:r>
      <w:r>
        <w:t xml:space="preserve"> on 26 October 2022</w:t>
      </w:r>
      <w:r w:rsidRPr="00504519">
        <w:rPr>
          <w:color w:val="000000"/>
        </w:rPr>
        <w:t>. Processors</w:t>
      </w:r>
      <w:r>
        <w:rPr>
          <w:color w:val="000000"/>
        </w:rPr>
        <w:t xml:space="preserve"> of raw </w:t>
      </w:r>
      <w:r w:rsidR="00691EE1">
        <w:rPr>
          <w:color w:val="000000"/>
        </w:rPr>
        <w:t>logs</w:t>
      </w:r>
      <w:r w:rsidR="00691EE1" w:rsidRPr="00504519">
        <w:rPr>
          <w:color w:val="000000"/>
        </w:rPr>
        <w:t xml:space="preserve"> </w:t>
      </w:r>
      <w:r w:rsidR="00691EE1">
        <w:rPr>
          <w:color w:val="000000"/>
        </w:rPr>
        <w:t>are</w:t>
      </w:r>
      <w:r w:rsidRPr="00504519">
        <w:rPr>
          <w:color w:val="000000"/>
        </w:rPr>
        <w:t xml:space="preserve"> required to use this updated version of the SSG for </w:t>
      </w:r>
      <w:r w:rsidRPr="00504519">
        <w:t>Western Australia</w:t>
      </w:r>
      <w:r w:rsidRPr="00504519">
        <w:rPr>
          <w:color w:val="000000"/>
        </w:rPr>
        <w:t xml:space="preserve"> when they elect to use the </w:t>
      </w:r>
      <w:r>
        <w:rPr>
          <w:color w:val="000000"/>
        </w:rPr>
        <w:t>SSG</w:t>
      </w:r>
      <w:r w:rsidRPr="00504519">
        <w:rPr>
          <w:color w:val="000000"/>
        </w:rPr>
        <w:t xml:space="preserve"> optional </w:t>
      </w:r>
      <w:r>
        <w:rPr>
          <w:color w:val="000000"/>
        </w:rPr>
        <w:t xml:space="preserve">risk mitigation </w:t>
      </w:r>
      <w:r w:rsidRPr="00504519">
        <w:rPr>
          <w:color w:val="000000"/>
        </w:rPr>
        <w:t xml:space="preserve">process, provided for in section 21 of </w:t>
      </w:r>
      <w:r w:rsidR="0032303B" w:rsidRPr="00504519">
        <w:rPr>
          <w:color w:val="000000"/>
        </w:rPr>
        <w:t>the ILP</w:t>
      </w:r>
      <w:r w:rsidR="001F51B0">
        <w:rPr>
          <w:color w:val="000000"/>
        </w:rPr>
        <w:t xml:space="preserve"> </w:t>
      </w:r>
      <w:r w:rsidRPr="00504519">
        <w:rPr>
          <w:color w:val="000000"/>
        </w:rPr>
        <w:t xml:space="preserve">Regulation, to conduct due diligence, or when required to obtain information about raw logs where a </w:t>
      </w:r>
      <w:r>
        <w:rPr>
          <w:color w:val="000000"/>
        </w:rPr>
        <w:t>SSG</w:t>
      </w:r>
      <w:r w:rsidRPr="00504519">
        <w:rPr>
          <w:color w:val="000000"/>
        </w:rPr>
        <w:t xml:space="preserve"> applies, as provided for in section 19 of </w:t>
      </w:r>
      <w:r w:rsidR="0032303B" w:rsidRPr="00504519">
        <w:rPr>
          <w:color w:val="000000"/>
        </w:rPr>
        <w:t>the ILP</w:t>
      </w:r>
      <w:r w:rsidR="001F51B0">
        <w:rPr>
          <w:color w:val="000000"/>
        </w:rPr>
        <w:t xml:space="preserve"> </w:t>
      </w:r>
      <w:r w:rsidRPr="00504519">
        <w:rPr>
          <w:color w:val="000000"/>
        </w:rPr>
        <w:t>Regulation.</w:t>
      </w:r>
    </w:p>
    <w:p w14:paraId="7652F0AE" w14:textId="77777777" w:rsidR="00EC6543" w:rsidRPr="00504519" w:rsidRDefault="00EC6543" w:rsidP="00EC6543">
      <w:pPr>
        <w:spacing w:after="0" w:line="240" w:lineRule="auto"/>
        <w:rPr>
          <w:rFonts w:ascii="Times New Roman" w:hAnsi="Times New Roman" w:cs="Times New Roman"/>
          <w:sz w:val="24"/>
          <w:szCs w:val="24"/>
        </w:rPr>
      </w:pPr>
    </w:p>
    <w:p w14:paraId="66E8424A" w14:textId="77777777" w:rsidR="00EC6543" w:rsidRPr="002636FA" w:rsidRDefault="00EC6543" w:rsidP="00EC654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Item </w:t>
      </w:r>
      <w:r w:rsidRPr="002636FA">
        <w:rPr>
          <w:rFonts w:ascii="Times New Roman" w:hAnsi="Times New Roman" w:cs="Times New Roman"/>
          <w:b/>
          <w:sz w:val="24"/>
          <w:szCs w:val="24"/>
        </w:rPr>
        <w:t>7 – Clause 3 of Schedule 2 (note)</w:t>
      </w:r>
    </w:p>
    <w:p w14:paraId="7743ED1E" w14:textId="6534C2B1" w:rsidR="00EC6543" w:rsidRPr="00420054" w:rsidRDefault="00EC6543" w:rsidP="00EC6543">
      <w:pPr>
        <w:pStyle w:val="BodyNum"/>
        <w:numPr>
          <w:ilvl w:val="0"/>
          <w:numId w:val="0"/>
        </w:numPr>
        <w:rPr>
          <w:szCs w:val="24"/>
        </w:rPr>
      </w:pPr>
      <w:r w:rsidRPr="00420054">
        <w:rPr>
          <w:szCs w:val="24"/>
        </w:rPr>
        <w:t xml:space="preserve">This item </w:t>
      </w:r>
      <w:r>
        <w:rPr>
          <w:szCs w:val="24"/>
        </w:rPr>
        <w:t>omit</w:t>
      </w:r>
      <w:r w:rsidR="00A365EE">
        <w:rPr>
          <w:szCs w:val="24"/>
        </w:rPr>
        <w:t>s</w:t>
      </w:r>
      <w:r w:rsidRPr="00504519">
        <w:rPr>
          <w:szCs w:val="24"/>
        </w:rPr>
        <w:t xml:space="preserve"> </w:t>
      </w:r>
      <w:r w:rsidRPr="00420054">
        <w:rPr>
          <w:szCs w:val="24"/>
        </w:rPr>
        <w:t>the existing note and substitute</w:t>
      </w:r>
      <w:r w:rsidR="00A365EE">
        <w:rPr>
          <w:szCs w:val="24"/>
        </w:rPr>
        <w:t>s</w:t>
      </w:r>
      <w:r w:rsidRPr="00420054">
        <w:rPr>
          <w:szCs w:val="24"/>
        </w:rPr>
        <w:t xml:space="preserve"> a note that explains that the </w:t>
      </w:r>
      <w:r>
        <w:rPr>
          <w:szCs w:val="24"/>
        </w:rPr>
        <w:t>SSGs</w:t>
      </w:r>
      <w:r w:rsidRPr="00420054">
        <w:rPr>
          <w:szCs w:val="24"/>
        </w:rPr>
        <w:t xml:space="preserve"> could in 2023 be viewed on the Department’s website at </w:t>
      </w:r>
      <w:hyperlink r:id="rId14" w:history="1">
        <w:r w:rsidRPr="00420054">
          <w:rPr>
            <w:rStyle w:val="Hyperlink"/>
            <w:szCs w:val="24"/>
          </w:rPr>
          <w:t>www.agriculture.gov.au</w:t>
        </w:r>
      </w:hyperlink>
      <w:r w:rsidRPr="00420054">
        <w:rPr>
          <w:szCs w:val="24"/>
        </w:rPr>
        <w:t xml:space="preserve">. </w:t>
      </w:r>
    </w:p>
    <w:p w14:paraId="03EC88BF" w14:textId="77777777" w:rsidR="00EC6543" w:rsidRDefault="00EC6543" w:rsidP="00EC6543">
      <w:pPr>
        <w:pStyle w:val="BodyNum"/>
        <w:numPr>
          <w:ilvl w:val="0"/>
          <w:numId w:val="0"/>
        </w:numPr>
        <w:spacing w:before="0"/>
        <w:rPr>
          <w:color w:val="000000"/>
          <w:szCs w:val="24"/>
          <w:shd w:val="clear" w:color="auto" w:fill="FFFFFF"/>
        </w:rPr>
      </w:pPr>
    </w:p>
    <w:p w14:paraId="2446A9C8" w14:textId="14916839" w:rsidR="00EC6543" w:rsidRPr="00504519" w:rsidRDefault="00EC6543" w:rsidP="00EC6543">
      <w:pPr>
        <w:pStyle w:val="BodyNum"/>
        <w:numPr>
          <w:ilvl w:val="0"/>
          <w:numId w:val="0"/>
        </w:numPr>
        <w:spacing w:before="0"/>
        <w:rPr>
          <w:szCs w:val="24"/>
        </w:rPr>
      </w:pPr>
      <w:r>
        <w:rPr>
          <w:color w:val="000000"/>
          <w:szCs w:val="24"/>
          <w:shd w:val="clear" w:color="auto" w:fill="FFFFFF"/>
        </w:rPr>
        <w:t>This amendment reflect</w:t>
      </w:r>
      <w:r w:rsidR="00A365EE">
        <w:rPr>
          <w:color w:val="000000"/>
          <w:szCs w:val="24"/>
          <w:shd w:val="clear" w:color="auto" w:fill="FFFFFF"/>
        </w:rPr>
        <w:t>s</w:t>
      </w:r>
      <w:r>
        <w:rPr>
          <w:color w:val="000000"/>
          <w:szCs w:val="24"/>
          <w:shd w:val="clear" w:color="auto" w:fill="FFFFFF"/>
        </w:rPr>
        <w:t xml:space="preserve"> that the name of the Department changed from the Department of Agriculture, Water and the Environment to the Department of Agriculture, Fisheries and Forestry under the Administrative Arrangements Order dated 1 June 2022 and that the </w:t>
      </w:r>
      <w:r w:rsidR="00120B3F">
        <w:rPr>
          <w:color w:val="000000"/>
          <w:szCs w:val="24"/>
          <w:shd w:val="clear" w:color="auto" w:fill="FFFFFF"/>
        </w:rPr>
        <w:t>URL</w:t>
      </w:r>
      <w:r>
        <w:rPr>
          <w:color w:val="000000"/>
          <w:szCs w:val="24"/>
          <w:shd w:val="clear" w:color="auto" w:fill="FFFFFF"/>
        </w:rPr>
        <w:t xml:space="preserve"> of the Department also changed to </w:t>
      </w:r>
      <w:hyperlink r:id="rId15" w:history="1">
        <w:r w:rsidRPr="005504F3">
          <w:rPr>
            <w:rStyle w:val="Hyperlink"/>
            <w:szCs w:val="24"/>
            <w:shd w:val="clear" w:color="auto" w:fill="FFFFFF"/>
          </w:rPr>
          <w:t>www.agriculture.gov.au</w:t>
        </w:r>
      </w:hyperlink>
      <w:r>
        <w:rPr>
          <w:color w:val="000000"/>
          <w:szCs w:val="24"/>
          <w:shd w:val="clear" w:color="auto" w:fill="FFFFFF"/>
        </w:rPr>
        <w:t xml:space="preserve">. </w:t>
      </w:r>
    </w:p>
    <w:p w14:paraId="45EC1F71" w14:textId="77777777" w:rsidR="00EC6543" w:rsidRPr="00504519" w:rsidRDefault="00EC6543" w:rsidP="00EC6543">
      <w:pPr>
        <w:pStyle w:val="BodyNum"/>
        <w:numPr>
          <w:ilvl w:val="0"/>
          <w:numId w:val="0"/>
        </w:numPr>
        <w:spacing w:before="0"/>
        <w:rPr>
          <w:szCs w:val="24"/>
        </w:rPr>
      </w:pPr>
    </w:p>
    <w:p w14:paraId="7E71A987" w14:textId="733AC8BA" w:rsidR="002B1DB3" w:rsidRPr="007B401D" w:rsidRDefault="00120E8A" w:rsidP="00201DF4">
      <w:pPr>
        <w:rPr>
          <w:rFonts w:ascii="Times New Roman" w:eastAsia="Times New Roman" w:hAnsi="Times New Roman" w:cs="Times New Roman"/>
          <w:sz w:val="24"/>
          <w:szCs w:val="24"/>
          <w:u w:val="single"/>
        </w:rPr>
      </w:pPr>
      <w:r w:rsidRPr="007B401D">
        <w:rPr>
          <w:szCs w:val="24"/>
          <w:u w:val="single"/>
        </w:rPr>
        <w:br w:type="page"/>
      </w:r>
    </w:p>
    <w:p w14:paraId="2BE7CE54" w14:textId="5E8E111D" w:rsidR="002B1DB3" w:rsidRPr="007B401D" w:rsidRDefault="004D27DA" w:rsidP="004D27DA">
      <w:pPr>
        <w:spacing w:after="0" w:line="240" w:lineRule="auto"/>
        <w:jc w:val="right"/>
        <w:rPr>
          <w:rFonts w:ascii="Times New Roman" w:hAnsi="Times New Roman" w:cs="Times New Roman"/>
          <w:b/>
          <w:bCs/>
          <w:sz w:val="24"/>
          <w:szCs w:val="24"/>
          <w:u w:val="single"/>
        </w:rPr>
      </w:pPr>
      <w:r w:rsidRPr="007B401D">
        <w:rPr>
          <w:rFonts w:ascii="Times New Roman" w:hAnsi="Times New Roman" w:cs="Times New Roman"/>
          <w:b/>
          <w:bCs/>
          <w:sz w:val="24"/>
          <w:szCs w:val="24"/>
          <w:u w:val="single"/>
        </w:rPr>
        <w:lastRenderedPageBreak/>
        <w:t>ATTACHMENT B</w:t>
      </w:r>
    </w:p>
    <w:p w14:paraId="0B336D3D" w14:textId="77777777" w:rsidR="004D27DA" w:rsidRPr="007B401D" w:rsidRDefault="004D27DA" w:rsidP="004D27DA">
      <w:pPr>
        <w:spacing w:after="0" w:line="240" w:lineRule="auto"/>
        <w:jc w:val="right"/>
        <w:rPr>
          <w:rFonts w:ascii="Times New Roman" w:hAnsi="Times New Roman" w:cs="Times New Roman"/>
          <w:b/>
          <w:bCs/>
          <w:sz w:val="24"/>
          <w:szCs w:val="24"/>
          <w:u w:val="single"/>
        </w:rPr>
      </w:pPr>
    </w:p>
    <w:p w14:paraId="76E33D49" w14:textId="77777777" w:rsidR="002B1DB3" w:rsidRPr="007B401D" w:rsidRDefault="002B1DB3" w:rsidP="005D1ABF">
      <w:pPr>
        <w:spacing w:after="0" w:line="240" w:lineRule="auto"/>
        <w:jc w:val="center"/>
        <w:rPr>
          <w:rFonts w:ascii="Times New Roman" w:hAnsi="Times New Roman" w:cs="Times New Roman"/>
          <w:b/>
          <w:sz w:val="24"/>
          <w:szCs w:val="24"/>
        </w:rPr>
      </w:pPr>
      <w:r w:rsidRPr="00A365EE">
        <w:rPr>
          <w:rFonts w:ascii="Times New Roman" w:hAnsi="Times New Roman" w:cs="Times New Roman"/>
          <w:b/>
          <w:sz w:val="24"/>
          <w:szCs w:val="24"/>
        </w:rPr>
        <w:t>Statement of Compatibility with Human Rights</w:t>
      </w:r>
    </w:p>
    <w:p w14:paraId="06B31262" w14:textId="77777777" w:rsidR="002C177A" w:rsidRPr="007B401D" w:rsidRDefault="002C177A" w:rsidP="005D1ABF">
      <w:pPr>
        <w:spacing w:after="0" w:line="240" w:lineRule="auto"/>
        <w:jc w:val="center"/>
        <w:rPr>
          <w:rFonts w:ascii="Times New Roman" w:hAnsi="Times New Roman" w:cs="Times New Roman"/>
          <w:b/>
          <w:sz w:val="24"/>
          <w:szCs w:val="24"/>
        </w:rPr>
      </w:pPr>
    </w:p>
    <w:p w14:paraId="1ED4ECA1" w14:textId="77777777" w:rsidR="002B1DB3" w:rsidRPr="007B401D" w:rsidRDefault="002B1DB3" w:rsidP="005D1ABF">
      <w:pPr>
        <w:spacing w:after="0" w:line="240" w:lineRule="auto"/>
        <w:jc w:val="center"/>
        <w:rPr>
          <w:rFonts w:ascii="Times New Roman" w:hAnsi="Times New Roman" w:cs="Times New Roman"/>
          <w:sz w:val="24"/>
          <w:szCs w:val="24"/>
        </w:rPr>
      </w:pPr>
      <w:r w:rsidRPr="007B401D">
        <w:rPr>
          <w:rFonts w:ascii="Times New Roman" w:hAnsi="Times New Roman" w:cs="Times New Roman"/>
          <w:i/>
          <w:sz w:val="24"/>
          <w:szCs w:val="24"/>
        </w:rPr>
        <w:t>Prepared in accordance with Part 3 of the Human Rights (Parliamentary Scrutiny) Act 2011</w:t>
      </w:r>
    </w:p>
    <w:p w14:paraId="0D3F9BC7" w14:textId="506FBAC6" w:rsidR="002B1DB3" w:rsidRPr="007B401D" w:rsidRDefault="002B1DB3" w:rsidP="00DF22A1">
      <w:pPr>
        <w:spacing w:after="0" w:line="240" w:lineRule="auto"/>
        <w:rPr>
          <w:rFonts w:ascii="Times New Roman" w:hAnsi="Times New Roman" w:cs="Times New Roman"/>
          <w:sz w:val="24"/>
          <w:szCs w:val="24"/>
        </w:rPr>
      </w:pPr>
    </w:p>
    <w:p w14:paraId="09DB05AA" w14:textId="77777777" w:rsidR="0019099C" w:rsidRPr="007B401D" w:rsidRDefault="0019099C" w:rsidP="0019099C">
      <w:pPr>
        <w:spacing w:after="0" w:line="240" w:lineRule="auto"/>
        <w:jc w:val="center"/>
        <w:rPr>
          <w:rFonts w:ascii="Times New Roman" w:hAnsi="Times New Roman" w:cs="Times New Roman"/>
          <w:i/>
          <w:color w:val="FF0000"/>
          <w:sz w:val="24"/>
          <w:szCs w:val="24"/>
        </w:rPr>
      </w:pPr>
      <w:r w:rsidRPr="00CD1136">
        <w:rPr>
          <w:rFonts w:ascii="Times New Roman" w:hAnsi="Times New Roman" w:cs="Times New Roman"/>
          <w:i/>
          <w:snapToGrid w:val="0"/>
          <w:sz w:val="24"/>
          <w:szCs w:val="24"/>
        </w:rPr>
        <w:t>Illegal Logging Prohibition Amendment (Country and State Specific Guidelines) Regulations 2023</w:t>
      </w:r>
    </w:p>
    <w:p w14:paraId="3C06F1FD" w14:textId="77777777" w:rsidR="00026A14" w:rsidRPr="007B401D" w:rsidRDefault="00026A14" w:rsidP="00DF22A1">
      <w:pPr>
        <w:spacing w:after="0" w:line="240" w:lineRule="auto"/>
        <w:rPr>
          <w:rFonts w:ascii="Times New Roman" w:hAnsi="Times New Roman" w:cs="Times New Roman"/>
          <w:sz w:val="24"/>
          <w:szCs w:val="24"/>
        </w:rPr>
      </w:pPr>
    </w:p>
    <w:p w14:paraId="5C47DBF6" w14:textId="77777777" w:rsidR="002B1DB3" w:rsidRPr="007B401D" w:rsidRDefault="002B1DB3" w:rsidP="002C177A">
      <w:pPr>
        <w:spacing w:after="0" w:line="240" w:lineRule="auto"/>
        <w:rPr>
          <w:rFonts w:ascii="Times New Roman" w:hAnsi="Times New Roman" w:cs="Times New Roman"/>
          <w:sz w:val="24"/>
          <w:szCs w:val="24"/>
        </w:rPr>
      </w:pPr>
      <w:r w:rsidRPr="007B401D">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7B401D">
        <w:rPr>
          <w:rFonts w:ascii="Times New Roman" w:hAnsi="Times New Roman" w:cs="Times New Roman"/>
          <w:i/>
          <w:sz w:val="24"/>
          <w:szCs w:val="24"/>
        </w:rPr>
        <w:t>Human Rights (Parliamentary Scrutiny) Act 2011</w:t>
      </w:r>
      <w:r w:rsidRPr="007B401D">
        <w:rPr>
          <w:rFonts w:ascii="Times New Roman" w:hAnsi="Times New Roman" w:cs="Times New Roman"/>
          <w:sz w:val="24"/>
          <w:szCs w:val="24"/>
        </w:rPr>
        <w:t>.</w:t>
      </w:r>
    </w:p>
    <w:p w14:paraId="4BCE4ED3" w14:textId="77777777" w:rsidR="002B1DB3" w:rsidRPr="007B401D" w:rsidRDefault="002B1DB3" w:rsidP="005D1ABF">
      <w:pPr>
        <w:spacing w:after="0" w:line="240" w:lineRule="auto"/>
        <w:rPr>
          <w:rFonts w:ascii="Times New Roman" w:hAnsi="Times New Roman" w:cs="Times New Roman"/>
          <w:sz w:val="24"/>
          <w:szCs w:val="24"/>
        </w:rPr>
      </w:pPr>
    </w:p>
    <w:p w14:paraId="44B2C20E" w14:textId="088B68D4" w:rsidR="002B1DB3" w:rsidRPr="007B401D" w:rsidRDefault="002B1DB3" w:rsidP="005D1ABF">
      <w:pPr>
        <w:spacing w:after="0" w:line="240" w:lineRule="auto"/>
        <w:jc w:val="both"/>
        <w:rPr>
          <w:rFonts w:ascii="Times New Roman" w:hAnsi="Times New Roman" w:cs="Times New Roman"/>
          <w:b/>
          <w:sz w:val="24"/>
          <w:szCs w:val="24"/>
        </w:rPr>
      </w:pPr>
      <w:r w:rsidRPr="007B401D">
        <w:rPr>
          <w:rFonts w:ascii="Times New Roman" w:hAnsi="Times New Roman" w:cs="Times New Roman"/>
          <w:b/>
          <w:sz w:val="24"/>
          <w:szCs w:val="24"/>
        </w:rPr>
        <w:t>Overview of the Legislative Instrument</w:t>
      </w:r>
    </w:p>
    <w:p w14:paraId="6741383F" w14:textId="0E4381C4" w:rsidR="0035690E" w:rsidRDefault="0035690E" w:rsidP="005D1ABF">
      <w:pPr>
        <w:spacing w:after="0" w:line="240" w:lineRule="auto"/>
        <w:jc w:val="both"/>
        <w:rPr>
          <w:rFonts w:ascii="Times New Roman" w:hAnsi="Times New Roman" w:cs="Times New Roman"/>
          <w:b/>
          <w:sz w:val="24"/>
          <w:szCs w:val="24"/>
        </w:rPr>
      </w:pPr>
    </w:p>
    <w:p w14:paraId="1723B44E" w14:textId="34DCFE28" w:rsidR="005061ED" w:rsidRPr="00504519" w:rsidRDefault="005061ED" w:rsidP="005061ED">
      <w:pPr>
        <w:spacing w:after="0"/>
        <w:rPr>
          <w:rFonts w:ascii="Times New Roman" w:hAnsi="Times New Roman" w:cs="Times New Roman"/>
          <w:sz w:val="24"/>
          <w:szCs w:val="24"/>
        </w:rPr>
      </w:pPr>
      <w:r w:rsidRPr="002D4980">
        <w:rPr>
          <w:rFonts w:ascii="Times New Roman" w:eastAsia="Times New Roman" w:hAnsi="Times New Roman" w:cs="Times New Roman"/>
          <w:sz w:val="24"/>
          <w:lang w:eastAsia="en-AU"/>
        </w:rPr>
        <w:t xml:space="preserve">The </w:t>
      </w:r>
      <w:r w:rsidRPr="002636FA">
        <w:rPr>
          <w:rFonts w:ascii="Times New Roman" w:eastAsia="Times New Roman" w:hAnsi="Times New Roman" w:cs="Times New Roman"/>
          <w:i/>
          <w:iCs/>
          <w:sz w:val="24"/>
          <w:lang w:eastAsia="en-AU"/>
        </w:rPr>
        <w:t>Illegal Logging Prohibition Amendment (Country and State Specific Guidelines) Regulations 2023</w:t>
      </w:r>
      <w:r w:rsidRPr="002D4980">
        <w:rPr>
          <w:rFonts w:ascii="Times New Roman" w:eastAsia="Times New Roman" w:hAnsi="Times New Roman" w:cs="Times New Roman"/>
          <w:sz w:val="24"/>
          <w:lang w:eastAsia="en-AU"/>
        </w:rPr>
        <w:t xml:space="preserve"> </w:t>
      </w:r>
      <w:r w:rsidRPr="00504519">
        <w:rPr>
          <w:rFonts w:ascii="Times New Roman" w:hAnsi="Times New Roman" w:cs="Times New Roman"/>
          <w:iCs/>
          <w:sz w:val="24"/>
          <w:szCs w:val="24"/>
        </w:rPr>
        <w:t>(the Regulation</w:t>
      </w:r>
      <w:r>
        <w:rPr>
          <w:rFonts w:ascii="Times New Roman" w:hAnsi="Times New Roman" w:cs="Times New Roman"/>
          <w:iCs/>
          <w:sz w:val="24"/>
          <w:szCs w:val="24"/>
        </w:rPr>
        <w:t>s</w:t>
      </w:r>
      <w:r w:rsidRPr="00504519">
        <w:rPr>
          <w:rFonts w:ascii="Times New Roman" w:hAnsi="Times New Roman" w:cs="Times New Roman"/>
          <w:iCs/>
          <w:sz w:val="24"/>
          <w:szCs w:val="24"/>
        </w:rPr>
        <w:t>)</w:t>
      </w:r>
      <w:r>
        <w:rPr>
          <w:rFonts w:ascii="Times New Roman" w:hAnsi="Times New Roman" w:cs="Times New Roman"/>
          <w:sz w:val="24"/>
          <w:szCs w:val="24"/>
        </w:rPr>
        <w:t xml:space="preserve"> amends the </w:t>
      </w:r>
      <w:r w:rsidRPr="000A08E1">
        <w:rPr>
          <w:rFonts w:ascii="Times New Roman" w:hAnsi="Times New Roman" w:cs="Times New Roman"/>
          <w:i/>
          <w:iCs/>
          <w:sz w:val="24"/>
          <w:szCs w:val="24"/>
        </w:rPr>
        <w:t>Illegal Logging Prohibition Regulation 2012</w:t>
      </w:r>
      <w:r>
        <w:rPr>
          <w:rFonts w:ascii="Times New Roman" w:hAnsi="Times New Roman" w:cs="Times New Roman"/>
          <w:i/>
          <w:iCs/>
          <w:sz w:val="24"/>
          <w:szCs w:val="24"/>
        </w:rPr>
        <w:t xml:space="preserve"> </w:t>
      </w:r>
      <w:r w:rsidRPr="00504519">
        <w:rPr>
          <w:rFonts w:ascii="Times New Roman" w:hAnsi="Times New Roman" w:cs="Times New Roman"/>
          <w:sz w:val="24"/>
          <w:szCs w:val="24"/>
        </w:rPr>
        <w:t xml:space="preserve">(the </w:t>
      </w:r>
      <w:r>
        <w:rPr>
          <w:rFonts w:ascii="Times New Roman" w:hAnsi="Times New Roman" w:cs="Times New Roman"/>
          <w:sz w:val="24"/>
          <w:szCs w:val="24"/>
        </w:rPr>
        <w:t>ILP</w:t>
      </w:r>
      <w:r w:rsidRPr="00504519">
        <w:rPr>
          <w:rFonts w:ascii="Times New Roman" w:hAnsi="Times New Roman" w:cs="Times New Roman"/>
          <w:sz w:val="24"/>
          <w:szCs w:val="24"/>
        </w:rPr>
        <w:t xml:space="preserve"> Regulation) </w:t>
      </w:r>
      <w:r>
        <w:rPr>
          <w:rFonts w:ascii="Times New Roman" w:hAnsi="Times New Roman" w:cs="Times New Roman"/>
          <w:sz w:val="24"/>
          <w:szCs w:val="24"/>
        </w:rPr>
        <w:t xml:space="preserve">to </w:t>
      </w:r>
      <w:r w:rsidR="00106105" w:rsidRPr="00106105">
        <w:rPr>
          <w:rFonts w:ascii="Times New Roman" w:hAnsi="Times New Roman" w:cs="Times New Roman"/>
          <w:sz w:val="24"/>
          <w:szCs w:val="24"/>
        </w:rPr>
        <w:t>prescribe</w:t>
      </w:r>
      <w:r>
        <w:rPr>
          <w:rFonts w:ascii="Times New Roman" w:hAnsi="Times New Roman" w:cs="Times New Roman"/>
          <w:sz w:val="24"/>
          <w:szCs w:val="24"/>
        </w:rPr>
        <w:t xml:space="preserve"> one Country Specific Guideline</w:t>
      </w:r>
      <w:r w:rsidR="00752AEE">
        <w:rPr>
          <w:rFonts w:ascii="Times New Roman" w:hAnsi="Times New Roman" w:cs="Times New Roman"/>
          <w:sz w:val="24"/>
          <w:szCs w:val="24"/>
        </w:rPr>
        <w:t xml:space="preserve"> (CSG)</w:t>
      </w:r>
      <w:r>
        <w:rPr>
          <w:rFonts w:ascii="Times New Roman" w:hAnsi="Times New Roman" w:cs="Times New Roman"/>
          <w:sz w:val="24"/>
          <w:szCs w:val="24"/>
        </w:rPr>
        <w:t>, four State Specific Guidelines</w:t>
      </w:r>
      <w:r w:rsidR="00752AEE">
        <w:rPr>
          <w:rFonts w:ascii="Times New Roman" w:hAnsi="Times New Roman" w:cs="Times New Roman"/>
          <w:sz w:val="24"/>
          <w:szCs w:val="24"/>
        </w:rPr>
        <w:t xml:space="preserve"> (SSGs)</w:t>
      </w:r>
      <w:r>
        <w:rPr>
          <w:rFonts w:ascii="Times New Roman" w:hAnsi="Times New Roman" w:cs="Times New Roman"/>
          <w:sz w:val="24"/>
          <w:szCs w:val="24"/>
        </w:rPr>
        <w:t xml:space="preserve"> </w:t>
      </w:r>
      <w:r w:rsidR="003D0E83">
        <w:rPr>
          <w:rFonts w:ascii="Times New Roman" w:hAnsi="Times New Roman" w:cs="Times New Roman"/>
          <w:sz w:val="24"/>
          <w:szCs w:val="24"/>
        </w:rPr>
        <w:t>in Schedule 2 to the ILP Regulation and</w:t>
      </w:r>
      <w:r>
        <w:rPr>
          <w:rFonts w:ascii="Times New Roman" w:hAnsi="Times New Roman" w:cs="Times New Roman"/>
          <w:sz w:val="24"/>
          <w:szCs w:val="24"/>
        </w:rPr>
        <w:t xml:space="preserve"> </w:t>
      </w:r>
      <w:r w:rsidR="000E6DF0">
        <w:rPr>
          <w:rFonts w:ascii="Times New Roman" w:hAnsi="Times New Roman" w:cs="Times New Roman"/>
          <w:sz w:val="24"/>
          <w:szCs w:val="24"/>
        </w:rPr>
        <w:t xml:space="preserve">update </w:t>
      </w:r>
      <w:r>
        <w:rPr>
          <w:rFonts w:ascii="Times New Roman" w:hAnsi="Times New Roman" w:cs="Times New Roman"/>
          <w:sz w:val="24"/>
          <w:szCs w:val="24"/>
        </w:rPr>
        <w:t>the Uniform Resource Locator</w:t>
      </w:r>
      <w:r w:rsidR="00752AEE">
        <w:rPr>
          <w:rFonts w:ascii="Times New Roman" w:hAnsi="Times New Roman" w:cs="Times New Roman"/>
          <w:sz w:val="24"/>
          <w:szCs w:val="24"/>
        </w:rPr>
        <w:t xml:space="preserve"> (URL)</w:t>
      </w:r>
      <w:r>
        <w:rPr>
          <w:rFonts w:ascii="Times New Roman" w:hAnsi="Times New Roman" w:cs="Times New Roman"/>
          <w:sz w:val="24"/>
          <w:szCs w:val="24"/>
        </w:rPr>
        <w:t xml:space="preserve"> for the Department of Agriculture, Fisheries and Forestry</w:t>
      </w:r>
      <w:r w:rsidR="00752AEE">
        <w:rPr>
          <w:rFonts w:ascii="Times New Roman" w:hAnsi="Times New Roman" w:cs="Times New Roman"/>
          <w:sz w:val="24"/>
          <w:szCs w:val="24"/>
        </w:rPr>
        <w:t xml:space="preserve"> (the Department)</w:t>
      </w:r>
      <w:r>
        <w:rPr>
          <w:rFonts w:ascii="Times New Roman" w:hAnsi="Times New Roman" w:cs="Times New Roman"/>
          <w:sz w:val="24"/>
          <w:szCs w:val="24"/>
        </w:rPr>
        <w:t>.</w:t>
      </w:r>
    </w:p>
    <w:p w14:paraId="76317BF3" w14:textId="77777777" w:rsidR="005061ED" w:rsidRDefault="005061ED" w:rsidP="008F15D6">
      <w:pPr>
        <w:spacing w:after="0"/>
        <w:rPr>
          <w:rFonts w:ascii="Times New Roman" w:hAnsi="Times New Roman" w:cs="Times New Roman"/>
          <w:sz w:val="24"/>
          <w:szCs w:val="24"/>
        </w:rPr>
      </w:pPr>
    </w:p>
    <w:p w14:paraId="078C68FD" w14:textId="138BD32F" w:rsidR="008F15D6" w:rsidRDefault="008F15D6" w:rsidP="008F15D6">
      <w:pPr>
        <w:spacing w:after="0"/>
        <w:rPr>
          <w:rFonts w:ascii="Times New Roman" w:hAnsi="Times New Roman" w:cs="Times New Roman"/>
          <w:sz w:val="24"/>
          <w:szCs w:val="24"/>
        </w:rPr>
      </w:pPr>
      <w:r w:rsidRPr="00504519">
        <w:rPr>
          <w:rFonts w:ascii="Times New Roman" w:hAnsi="Times New Roman" w:cs="Times New Roman"/>
          <w:sz w:val="24"/>
          <w:szCs w:val="24"/>
        </w:rPr>
        <w:t xml:space="preserve">The </w:t>
      </w:r>
      <w:r w:rsidRPr="00504519">
        <w:rPr>
          <w:rFonts w:ascii="Times New Roman" w:hAnsi="Times New Roman" w:cs="Times New Roman"/>
          <w:i/>
          <w:iCs/>
          <w:sz w:val="24"/>
          <w:szCs w:val="24"/>
        </w:rPr>
        <w:t xml:space="preserve">Illegal Logging Prohibition Act 2012 </w:t>
      </w:r>
      <w:r w:rsidRPr="00504519">
        <w:rPr>
          <w:rFonts w:ascii="Times New Roman" w:hAnsi="Times New Roman" w:cs="Times New Roman"/>
          <w:sz w:val="24"/>
          <w:szCs w:val="24"/>
        </w:rPr>
        <w:t xml:space="preserve">(the Act) aims to reduce the harmful environmental, </w:t>
      </w:r>
      <w:proofErr w:type="gramStart"/>
      <w:r w:rsidRPr="00504519">
        <w:rPr>
          <w:rFonts w:ascii="Times New Roman" w:hAnsi="Times New Roman" w:cs="Times New Roman"/>
          <w:sz w:val="24"/>
          <w:szCs w:val="24"/>
        </w:rPr>
        <w:t>social</w:t>
      </w:r>
      <w:proofErr w:type="gramEnd"/>
      <w:r w:rsidRPr="00504519">
        <w:rPr>
          <w:rFonts w:ascii="Times New Roman" w:hAnsi="Times New Roman" w:cs="Times New Roman"/>
          <w:sz w:val="24"/>
          <w:szCs w:val="24"/>
        </w:rPr>
        <w:t xml:space="preserve"> and economic impacts of illegal logging by restricting the importation and sale of illegally logged timber in Australia. The Act requires importers of regulated timber products and processors of domestically grown raw logs to conduct a due diligence process </w:t>
      </w:r>
      <w:proofErr w:type="gramStart"/>
      <w:r w:rsidRPr="00504519">
        <w:rPr>
          <w:rFonts w:ascii="Times New Roman" w:hAnsi="Times New Roman" w:cs="Times New Roman"/>
          <w:sz w:val="24"/>
          <w:szCs w:val="24"/>
        </w:rPr>
        <w:t>in order to</w:t>
      </w:r>
      <w:proofErr w:type="gramEnd"/>
      <w:r w:rsidRPr="00504519">
        <w:rPr>
          <w:rFonts w:ascii="Times New Roman" w:hAnsi="Times New Roman" w:cs="Times New Roman"/>
          <w:sz w:val="24"/>
          <w:szCs w:val="24"/>
        </w:rPr>
        <w:t xml:space="preserve"> reduce the risk that illegally logged timber is imported or processed. </w:t>
      </w:r>
    </w:p>
    <w:p w14:paraId="1FC1891D" w14:textId="31AF11BB" w:rsidR="008F15D6" w:rsidRDefault="008F15D6" w:rsidP="008F15D6">
      <w:pPr>
        <w:spacing w:after="0"/>
        <w:rPr>
          <w:rFonts w:ascii="Times New Roman" w:hAnsi="Times New Roman" w:cs="Times New Roman"/>
          <w:sz w:val="24"/>
          <w:szCs w:val="24"/>
        </w:rPr>
      </w:pPr>
    </w:p>
    <w:p w14:paraId="2A5BA55B" w14:textId="106E00FF" w:rsidR="008F15D6" w:rsidRDefault="008F15D6" w:rsidP="008F15D6">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Section 12 of the Act relevantly provides that a person commits an offence if the person imports a regulated timber </w:t>
      </w:r>
      <w:r w:rsidR="00752AEE">
        <w:rPr>
          <w:rFonts w:ascii="Times New Roman" w:hAnsi="Times New Roman" w:cs="Times New Roman"/>
          <w:sz w:val="24"/>
          <w:szCs w:val="24"/>
        </w:rPr>
        <w:t>product</w:t>
      </w:r>
      <w:r w:rsidR="00C536D5" w:rsidRPr="00C536D5">
        <w:t xml:space="preserve"> </w:t>
      </w:r>
      <w:r w:rsidR="00C536D5" w:rsidRPr="00C536D5">
        <w:rPr>
          <w:rFonts w:ascii="Times New Roman" w:hAnsi="Times New Roman" w:cs="Times New Roman"/>
          <w:sz w:val="24"/>
          <w:szCs w:val="24"/>
        </w:rPr>
        <w:t>that is not exempt</w:t>
      </w:r>
      <w:r w:rsidR="00752AEE">
        <w:rPr>
          <w:rFonts w:ascii="Times New Roman" w:hAnsi="Times New Roman" w:cs="Times New Roman"/>
          <w:sz w:val="24"/>
          <w:szCs w:val="24"/>
        </w:rPr>
        <w:t>,</w:t>
      </w:r>
      <w:r>
        <w:rPr>
          <w:rFonts w:ascii="Times New Roman" w:hAnsi="Times New Roman" w:cs="Times New Roman"/>
          <w:sz w:val="24"/>
          <w:szCs w:val="24"/>
        </w:rPr>
        <w:t xml:space="preserve"> and the person does not comply with the due diligence requirements for importing the product. Section 14 of the Act relevantly provides that the Regulations must prescribe due diligence requirements for importing regulated timber products and may provide for those due diligence requirements to be satisfied, wholly or partly, by compliance with specified laws, </w:t>
      </w:r>
      <w:proofErr w:type="gramStart"/>
      <w:r>
        <w:rPr>
          <w:rFonts w:ascii="Times New Roman" w:hAnsi="Times New Roman" w:cs="Times New Roman"/>
          <w:sz w:val="24"/>
          <w:szCs w:val="24"/>
        </w:rPr>
        <w:t>rules</w:t>
      </w:r>
      <w:proofErr w:type="gramEnd"/>
      <w:r>
        <w:rPr>
          <w:rFonts w:ascii="Times New Roman" w:hAnsi="Times New Roman" w:cs="Times New Roman"/>
          <w:sz w:val="24"/>
          <w:szCs w:val="24"/>
        </w:rPr>
        <w:t xml:space="preserve"> or processes, including laws, or processes under laws, in force in a State or Territory or another country.</w:t>
      </w:r>
    </w:p>
    <w:p w14:paraId="18E3704C" w14:textId="77777777" w:rsidR="008F15D6" w:rsidRDefault="008F15D6" w:rsidP="008F15D6">
      <w:pPr>
        <w:tabs>
          <w:tab w:val="left" w:pos="1701"/>
          <w:tab w:val="right" w:pos="9072"/>
        </w:tabs>
        <w:spacing w:after="0" w:line="240" w:lineRule="auto"/>
        <w:rPr>
          <w:rFonts w:ascii="Times New Roman" w:hAnsi="Times New Roman" w:cs="Times New Roman"/>
          <w:sz w:val="24"/>
          <w:szCs w:val="24"/>
        </w:rPr>
      </w:pPr>
    </w:p>
    <w:p w14:paraId="6857DE16" w14:textId="607A7E28" w:rsidR="008F15D6" w:rsidRDefault="008F15D6" w:rsidP="008F15D6">
      <w:pPr>
        <w:tabs>
          <w:tab w:val="left" w:pos="1701"/>
          <w:tab w:val="right" w:pos="9072"/>
        </w:tabs>
        <w:spacing w:after="0" w:line="240" w:lineRule="auto"/>
        <w:rPr>
          <w:rFonts w:ascii="Times New Roman" w:hAnsi="Times New Roman" w:cs="Times New Roman"/>
          <w:sz w:val="24"/>
          <w:szCs w:val="24"/>
        </w:rPr>
      </w:pPr>
      <w:r w:rsidRPr="003A6551">
        <w:rPr>
          <w:rFonts w:ascii="Times New Roman" w:hAnsi="Times New Roman" w:cs="Times New Roman"/>
          <w:sz w:val="24"/>
          <w:szCs w:val="24"/>
        </w:rPr>
        <w:t>Th</w:t>
      </w:r>
      <w:r w:rsidRPr="00504519">
        <w:rPr>
          <w:rFonts w:ascii="Times New Roman" w:hAnsi="Times New Roman" w:cs="Times New Roman"/>
          <w:sz w:val="24"/>
          <w:szCs w:val="24"/>
        </w:rPr>
        <w:t xml:space="preserve">e </w:t>
      </w:r>
      <w:r w:rsidR="005061ED">
        <w:rPr>
          <w:rFonts w:ascii="Times New Roman" w:hAnsi="Times New Roman" w:cs="Times New Roman"/>
          <w:sz w:val="24"/>
          <w:szCs w:val="24"/>
        </w:rPr>
        <w:t>ILP</w:t>
      </w:r>
      <w:r w:rsidRPr="00504519">
        <w:rPr>
          <w:rFonts w:ascii="Times New Roman" w:hAnsi="Times New Roman" w:cs="Times New Roman"/>
          <w:sz w:val="24"/>
          <w:szCs w:val="24"/>
        </w:rPr>
        <w:t xml:space="preserve"> Regulation prescribes due diligence requirements for</w:t>
      </w:r>
      <w:r>
        <w:rPr>
          <w:rFonts w:ascii="Times New Roman" w:hAnsi="Times New Roman" w:cs="Times New Roman"/>
          <w:sz w:val="24"/>
          <w:szCs w:val="24"/>
        </w:rPr>
        <w:t xml:space="preserve"> importing regulated timber products and processing raw logs</w:t>
      </w:r>
      <w:r w:rsidRPr="00504519">
        <w:rPr>
          <w:rFonts w:ascii="Times New Roman" w:hAnsi="Times New Roman" w:cs="Times New Roman"/>
          <w:sz w:val="24"/>
          <w:szCs w:val="24"/>
        </w:rPr>
        <w:t>.</w:t>
      </w:r>
      <w:r>
        <w:rPr>
          <w:rFonts w:ascii="Times New Roman" w:hAnsi="Times New Roman" w:cs="Times New Roman"/>
          <w:sz w:val="24"/>
          <w:szCs w:val="24"/>
        </w:rPr>
        <w:t xml:space="preserve"> Under section 12 of the </w:t>
      </w:r>
      <w:r w:rsidR="005061ED">
        <w:rPr>
          <w:rFonts w:ascii="Times New Roman" w:hAnsi="Times New Roman" w:cs="Times New Roman"/>
          <w:sz w:val="24"/>
          <w:szCs w:val="24"/>
        </w:rPr>
        <w:t xml:space="preserve">ILP </w:t>
      </w:r>
      <w:r>
        <w:rPr>
          <w:rFonts w:ascii="Times New Roman" w:hAnsi="Times New Roman" w:cs="Times New Roman"/>
          <w:sz w:val="24"/>
          <w:szCs w:val="24"/>
        </w:rPr>
        <w:t>Regulation, an importer of a regulated timber product may use a CSG in Part 2 of Schedule 2 (where applicable) to assess whether there is a risk that the product is, is made from, or includes, illegally logged timber.</w:t>
      </w:r>
    </w:p>
    <w:p w14:paraId="0DEFE0F7" w14:textId="3D185EE3" w:rsidR="008F15D6" w:rsidRDefault="008F15D6" w:rsidP="008F15D6">
      <w:pPr>
        <w:tabs>
          <w:tab w:val="left" w:pos="1701"/>
          <w:tab w:val="right" w:pos="9072"/>
        </w:tabs>
        <w:spacing w:after="0" w:line="240" w:lineRule="auto"/>
        <w:rPr>
          <w:rFonts w:ascii="Times New Roman" w:hAnsi="Times New Roman" w:cs="Times New Roman"/>
          <w:sz w:val="24"/>
          <w:szCs w:val="24"/>
        </w:rPr>
      </w:pPr>
    </w:p>
    <w:p w14:paraId="11644AB7" w14:textId="6174AF5D" w:rsidR="008F15D6" w:rsidRPr="00504519" w:rsidRDefault="008F15D6" w:rsidP="008F15D6">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Section 17 of the Act relevantly provides that a </w:t>
      </w:r>
      <w:r w:rsidR="0051021E">
        <w:rPr>
          <w:rFonts w:ascii="Times New Roman" w:hAnsi="Times New Roman" w:cs="Times New Roman"/>
          <w:sz w:val="24"/>
          <w:szCs w:val="24"/>
        </w:rPr>
        <w:t xml:space="preserve">certain </w:t>
      </w:r>
      <w:r>
        <w:rPr>
          <w:rFonts w:ascii="Times New Roman" w:hAnsi="Times New Roman" w:cs="Times New Roman"/>
          <w:sz w:val="24"/>
          <w:szCs w:val="24"/>
        </w:rPr>
        <w:t xml:space="preserve">person commits an offence if the person processes a raw log </w:t>
      </w:r>
      <w:r w:rsidR="00741A55">
        <w:rPr>
          <w:rFonts w:ascii="Times New Roman" w:hAnsi="Times New Roman" w:cs="Times New Roman"/>
          <w:sz w:val="24"/>
          <w:szCs w:val="24"/>
        </w:rPr>
        <w:t xml:space="preserve">(that is not exempt) </w:t>
      </w:r>
      <w:r>
        <w:rPr>
          <w:rFonts w:ascii="Times New Roman" w:hAnsi="Times New Roman" w:cs="Times New Roman"/>
          <w:sz w:val="24"/>
          <w:szCs w:val="24"/>
        </w:rPr>
        <w:t xml:space="preserve">into something other than a raw log and the person does not comply with the due diligence requirements for processing raw logs. Section 18 of the Act relevantly provides that the regulations must prescribe due diligence requirements for processing raw logs and may provide for those due diligence requirements to be satisfied, wholly or partly, by compliance with specified laws, </w:t>
      </w:r>
      <w:proofErr w:type="gramStart"/>
      <w:r>
        <w:rPr>
          <w:rFonts w:ascii="Times New Roman" w:hAnsi="Times New Roman" w:cs="Times New Roman"/>
          <w:sz w:val="24"/>
          <w:szCs w:val="24"/>
        </w:rPr>
        <w:t>rules</w:t>
      </w:r>
      <w:proofErr w:type="gramEnd"/>
      <w:r>
        <w:rPr>
          <w:rFonts w:ascii="Times New Roman" w:hAnsi="Times New Roman" w:cs="Times New Roman"/>
          <w:sz w:val="24"/>
          <w:szCs w:val="24"/>
        </w:rPr>
        <w:t xml:space="preserve"> or processes, including laws, or processes under laws, in force in a State or Territory. </w:t>
      </w:r>
    </w:p>
    <w:p w14:paraId="4F9309F9" w14:textId="77777777" w:rsidR="008F15D6" w:rsidRPr="00504519" w:rsidRDefault="008F15D6" w:rsidP="008F15D6">
      <w:pPr>
        <w:tabs>
          <w:tab w:val="left" w:pos="1701"/>
          <w:tab w:val="right" w:pos="9072"/>
        </w:tabs>
        <w:spacing w:after="0" w:line="240" w:lineRule="auto"/>
        <w:rPr>
          <w:rFonts w:ascii="Times New Roman" w:hAnsi="Times New Roman" w:cs="Times New Roman"/>
          <w:sz w:val="24"/>
          <w:szCs w:val="24"/>
        </w:rPr>
      </w:pPr>
    </w:p>
    <w:p w14:paraId="56F277D6" w14:textId="0B727A29" w:rsidR="008F15D6" w:rsidRDefault="008F15D6" w:rsidP="008F15D6">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Section 21 of the </w:t>
      </w:r>
      <w:r w:rsidR="005061ED">
        <w:rPr>
          <w:rFonts w:ascii="Times New Roman" w:hAnsi="Times New Roman" w:cs="Times New Roman"/>
          <w:sz w:val="24"/>
          <w:szCs w:val="24"/>
        </w:rPr>
        <w:t xml:space="preserve">ILP </w:t>
      </w:r>
      <w:r>
        <w:rPr>
          <w:rFonts w:ascii="Times New Roman" w:hAnsi="Times New Roman" w:cs="Times New Roman"/>
          <w:sz w:val="24"/>
          <w:szCs w:val="24"/>
        </w:rPr>
        <w:t xml:space="preserve">Regulation provides that a processor of a raw log may use a SSG in Part 3 of Schedule 2 (where applicable) to assess if there is a risk that the raw log is illegally logged. </w:t>
      </w:r>
    </w:p>
    <w:p w14:paraId="5109F370" w14:textId="2732BF56" w:rsidR="008F15D6" w:rsidRDefault="008F15D6" w:rsidP="008F15D6">
      <w:pPr>
        <w:tabs>
          <w:tab w:val="left" w:pos="1701"/>
          <w:tab w:val="right" w:pos="9072"/>
        </w:tabs>
        <w:spacing w:after="0" w:line="240" w:lineRule="auto"/>
        <w:rPr>
          <w:rFonts w:ascii="Times New Roman" w:hAnsi="Times New Roman" w:cs="Times New Roman"/>
          <w:sz w:val="24"/>
          <w:szCs w:val="24"/>
        </w:rPr>
      </w:pPr>
    </w:p>
    <w:p w14:paraId="76A5399B" w14:textId="232B4DDE" w:rsidR="008F15D6" w:rsidRDefault="008F15D6" w:rsidP="008F15D6">
      <w:pPr>
        <w:pStyle w:val="BodyNum"/>
        <w:numPr>
          <w:ilvl w:val="0"/>
          <w:numId w:val="0"/>
        </w:numPr>
        <w:spacing w:before="0"/>
        <w:rPr>
          <w:szCs w:val="24"/>
        </w:rPr>
      </w:pPr>
      <w:r w:rsidRPr="00504519">
        <w:rPr>
          <w:szCs w:val="24"/>
        </w:rPr>
        <w:t xml:space="preserve">The CSGs and the SSGs in Schedule 2 to the </w:t>
      </w:r>
      <w:r w:rsidR="005061ED">
        <w:rPr>
          <w:szCs w:val="24"/>
        </w:rPr>
        <w:t>ILP</w:t>
      </w:r>
      <w:r w:rsidRPr="00504519">
        <w:rPr>
          <w:szCs w:val="24"/>
        </w:rPr>
        <w:t xml:space="preserve"> Regulation are periodically reviewed and updated where needed, in consultation with the relevant country or jurisdiction, and co-endorsed by the Commonwealth and the relevant country or jurisdiction, to ensure their currency. </w:t>
      </w:r>
    </w:p>
    <w:p w14:paraId="3B9FEA44" w14:textId="77777777" w:rsidR="008F15D6" w:rsidRDefault="008F15D6" w:rsidP="008F15D6">
      <w:pPr>
        <w:pStyle w:val="BodyNum"/>
        <w:numPr>
          <w:ilvl w:val="0"/>
          <w:numId w:val="0"/>
        </w:numPr>
        <w:spacing w:before="0"/>
        <w:rPr>
          <w:szCs w:val="24"/>
        </w:rPr>
      </w:pPr>
    </w:p>
    <w:p w14:paraId="00EB0F65" w14:textId="67C898A7" w:rsidR="008F15D6" w:rsidRPr="00504519" w:rsidRDefault="008F15D6" w:rsidP="008F15D6">
      <w:pPr>
        <w:pStyle w:val="BodyNum"/>
        <w:numPr>
          <w:ilvl w:val="0"/>
          <w:numId w:val="0"/>
        </w:numPr>
        <w:spacing w:before="0"/>
        <w:rPr>
          <w:szCs w:val="24"/>
        </w:rPr>
      </w:pPr>
      <w:r w:rsidRPr="00504519">
        <w:rPr>
          <w:szCs w:val="24"/>
        </w:rPr>
        <w:t>The</w:t>
      </w:r>
      <w:r w:rsidR="005061ED">
        <w:rPr>
          <w:szCs w:val="24"/>
        </w:rPr>
        <w:t xml:space="preserve"> Department </w:t>
      </w:r>
      <w:r w:rsidRPr="00504519">
        <w:rPr>
          <w:szCs w:val="24"/>
        </w:rPr>
        <w:t xml:space="preserve">has completed the process of reviewing the CSGs and the SSGs for 2022. On behalf of the Commonwealth, the Department has co-endorsed one update to the </w:t>
      </w:r>
      <w:r>
        <w:rPr>
          <w:szCs w:val="24"/>
        </w:rPr>
        <w:t>CSG</w:t>
      </w:r>
      <w:r w:rsidR="003D0E83">
        <w:rPr>
          <w:szCs w:val="24"/>
        </w:rPr>
        <w:t>s</w:t>
      </w:r>
      <w:r w:rsidRPr="00504519">
        <w:rPr>
          <w:szCs w:val="24"/>
        </w:rPr>
        <w:t xml:space="preserve"> (for Italy) and four updates to the </w:t>
      </w:r>
      <w:r>
        <w:rPr>
          <w:szCs w:val="24"/>
        </w:rPr>
        <w:t>SSG</w:t>
      </w:r>
      <w:r w:rsidR="00752AEE">
        <w:rPr>
          <w:szCs w:val="24"/>
        </w:rPr>
        <w:t>s</w:t>
      </w:r>
      <w:r w:rsidRPr="00504519">
        <w:rPr>
          <w:szCs w:val="24"/>
        </w:rPr>
        <w:t xml:space="preserve"> (for New South Wales, Victoria, </w:t>
      </w:r>
      <w:proofErr w:type="gramStart"/>
      <w:r w:rsidRPr="00504519">
        <w:rPr>
          <w:szCs w:val="24"/>
        </w:rPr>
        <w:t>Queensland</w:t>
      </w:r>
      <w:proofErr w:type="gramEnd"/>
      <w:r w:rsidRPr="00504519">
        <w:rPr>
          <w:szCs w:val="24"/>
        </w:rPr>
        <w:t xml:space="preserve"> and Western Australia). </w:t>
      </w:r>
    </w:p>
    <w:p w14:paraId="54BA3D41" w14:textId="77777777" w:rsidR="008F15D6" w:rsidRPr="00504519" w:rsidRDefault="008F15D6" w:rsidP="008F15D6">
      <w:pPr>
        <w:tabs>
          <w:tab w:val="left" w:pos="1701"/>
          <w:tab w:val="right" w:pos="9072"/>
        </w:tabs>
        <w:spacing w:after="0" w:line="240" w:lineRule="auto"/>
        <w:rPr>
          <w:rFonts w:ascii="Times New Roman" w:hAnsi="Times New Roman" w:cs="Times New Roman"/>
          <w:sz w:val="24"/>
          <w:szCs w:val="24"/>
        </w:rPr>
      </w:pPr>
    </w:p>
    <w:p w14:paraId="07CCBCDC" w14:textId="6FBA86FF" w:rsidR="008F15D6" w:rsidRPr="00504519" w:rsidRDefault="008F15D6" w:rsidP="008F15D6">
      <w:pPr>
        <w:pStyle w:val="BodyNum"/>
        <w:numPr>
          <w:ilvl w:val="0"/>
          <w:numId w:val="0"/>
        </w:numPr>
        <w:spacing w:before="0"/>
        <w:rPr>
          <w:szCs w:val="24"/>
        </w:rPr>
      </w:pPr>
      <w:r w:rsidRPr="00504519">
        <w:rPr>
          <w:szCs w:val="24"/>
        </w:rPr>
        <w:t xml:space="preserve">Under the Administrative Arrangements Order dated 1 June 2022, the name of the </w:t>
      </w:r>
      <w:r w:rsidR="005061ED">
        <w:rPr>
          <w:szCs w:val="24"/>
        </w:rPr>
        <w:t>D</w:t>
      </w:r>
      <w:r w:rsidRPr="00504519">
        <w:rPr>
          <w:szCs w:val="24"/>
        </w:rPr>
        <w:t xml:space="preserve">epartment changed from the Department of Agriculture, Water and the Environment to the Department of Agriculture, Fisheries and Forestry. The URL was also changed to </w:t>
      </w:r>
      <w:hyperlink r:id="rId16" w:history="1">
        <w:r w:rsidRPr="00504519">
          <w:rPr>
            <w:rStyle w:val="Hyperlink"/>
            <w:szCs w:val="24"/>
          </w:rPr>
          <w:t>www.agriculture.gov.au</w:t>
        </w:r>
      </w:hyperlink>
      <w:r w:rsidRPr="00504519">
        <w:rPr>
          <w:szCs w:val="24"/>
        </w:rPr>
        <w:t>.</w:t>
      </w:r>
    </w:p>
    <w:p w14:paraId="555BB267" w14:textId="77777777" w:rsidR="002B1DB3" w:rsidRPr="007B401D" w:rsidRDefault="002B1DB3" w:rsidP="005D1ABF">
      <w:pPr>
        <w:spacing w:after="0" w:line="240" w:lineRule="auto"/>
        <w:rPr>
          <w:rFonts w:ascii="Times New Roman" w:hAnsi="Times New Roman" w:cs="Times New Roman"/>
          <w:sz w:val="24"/>
          <w:szCs w:val="24"/>
        </w:rPr>
      </w:pPr>
    </w:p>
    <w:p w14:paraId="39D7EE50" w14:textId="77777777" w:rsidR="002B1DB3" w:rsidRPr="007B401D" w:rsidRDefault="002B1DB3" w:rsidP="005D1ABF">
      <w:pPr>
        <w:spacing w:after="0" w:line="240" w:lineRule="auto"/>
        <w:jc w:val="both"/>
        <w:rPr>
          <w:rFonts w:ascii="Times New Roman" w:hAnsi="Times New Roman" w:cs="Times New Roman"/>
          <w:b/>
          <w:sz w:val="24"/>
          <w:szCs w:val="24"/>
        </w:rPr>
      </w:pPr>
      <w:r w:rsidRPr="007B401D">
        <w:rPr>
          <w:rFonts w:ascii="Times New Roman" w:hAnsi="Times New Roman" w:cs="Times New Roman"/>
          <w:b/>
          <w:sz w:val="24"/>
          <w:szCs w:val="24"/>
        </w:rPr>
        <w:t>Human rights implications</w:t>
      </w:r>
    </w:p>
    <w:p w14:paraId="2BDE452F" w14:textId="77777777" w:rsidR="007B052D" w:rsidRPr="007B401D" w:rsidRDefault="007B052D" w:rsidP="005D1ABF">
      <w:pPr>
        <w:spacing w:after="0" w:line="240" w:lineRule="auto"/>
        <w:jc w:val="both"/>
        <w:rPr>
          <w:rFonts w:ascii="Times New Roman" w:hAnsi="Times New Roman" w:cs="Times New Roman"/>
          <w:b/>
          <w:sz w:val="24"/>
          <w:szCs w:val="24"/>
        </w:rPr>
      </w:pPr>
    </w:p>
    <w:p w14:paraId="0910F8EA" w14:textId="77777777" w:rsidR="002B1DB3" w:rsidRPr="007B401D" w:rsidRDefault="002B1DB3" w:rsidP="005D1ABF">
      <w:pPr>
        <w:spacing w:after="0" w:line="240" w:lineRule="auto"/>
        <w:rPr>
          <w:rFonts w:ascii="Times New Roman" w:hAnsi="Times New Roman" w:cs="Times New Roman"/>
          <w:sz w:val="24"/>
          <w:szCs w:val="24"/>
        </w:rPr>
      </w:pPr>
      <w:r w:rsidRPr="007B401D">
        <w:rPr>
          <w:rFonts w:ascii="Times New Roman" w:hAnsi="Times New Roman" w:cs="Times New Roman"/>
          <w:sz w:val="24"/>
          <w:szCs w:val="24"/>
        </w:rPr>
        <w:t>This Legislative Instrument does not engage any of the applicable rights or freedoms.</w:t>
      </w:r>
    </w:p>
    <w:p w14:paraId="0D7AAADB" w14:textId="77777777" w:rsidR="00AA2999" w:rsidRPr="007B401D" w:rsidRDefault="00AA2999" w:rsidP="005D1ABF">
      <w:pPr>
        <w:spacing w:after="0" w:line="240" w:lineRule="auto"/>
        <w:jc w:val="both"/>
        <w:rPr>
          <w:rFonts w:ascii="Times New Roman" w:hAnsi="Times New Roman" w:cs="Times New Roman"/>
          <w:sz w:val="24"/>
          <w:szCs w:val="24"/>
        </w:rPr>
      </w:pPr>
    </w:p>
    <w:p w14:paraId="34A7D3C1" w14:textId="7BD09F42" w:rsidR="002B1DB3" w:rsidRPr="007B401D" w:rsidRDefault="002B1DB3" w:rsidP="005D1ABF">
      <w:pPr>
        <w:spacing w:after="0" w:line="240" w:lineRule="auto"/>
        <w:jc w:val="both"/>
        <w:rPr>
          <w:rFonts w:ascii="Times New Roman" w:hAnsi="Times New Roman" w:cs="Times New Roman"/>
          <w:b/>
          <w:sz w:val="24"/>
          <w:szCs w:val="24"/>
        </w:rPr>
      </w:pPr>
      <w:r w:rsidRPr="007B401D">
        <w:rPr>
          <w:rFonts w:ascii="Times New Roman" w:hAnsi="Times New Roman" w:cs="Times New Roman"/>
          <w:b/>
          <w:sz w:val="24"/>
          <w:szCs w:val="24"/>
        </w:rPr>
        <w:t>Conclusion</w:t>
      </w:r>
    </w:p>
    <w:p w14:paraId="25736889" w14:textId="77777777" w:rsidR="007B052D" w:rsidRPr="007B401D" w:rsidRDefault="007B052D" w:rsidP="005D1ABF">
      <w:pPr>
        <w:spacing w:after="0" w:line="240" w:lineRule="auto"/>
        <w:jc w:val="both"/>
        <w:rPr>
          <w:rFonts w:ascii="Times New Roman" w:hAnsi="Times New Roman" w:cs="Times New Roman"/>
          <w:b/>
          <w:sz w:val="24"/>
          <w:szCs w:val="24"/>
        </w:rPr>
      </w:pPr>
    </w:p>
    <w:p w14:paraId="577E05F1" w14:textId="77777777" w:rsidR="002B1DB3" w:rsidRPr="007B401D" w:rsidRDefault="002B1DB3" w:rsidP="005D1ABF">
      <w:pPr>
        <w:spacing w:after="0" w:line="240" w:lineRule="auto"/>
        <w:rPr>
          <w:rFonts w:ascii="Times New Roman" w:hAnsi="Times New Roman" w:cs="Times New Roman"/>
          <w:sz w:val="24"/>
          <w:szCs w:val="24"/>
        </w:rPr>
      </w:pPr>
      <w:r w:rsidRPr="007B401D">
        <w:rPr>
          <w:rFonts w:ascii="Times New Roman" w:hAnsi="Times New Roman" w:cs="Times New Roman"/>
          <w:sz w:val="24"/>
          <w:szCs w:val="24"/>
        </w:rPr>
        <w:t>This Legislative Instrument is compatible with human rights as it does not raise any human rights issues.</w:t>
      </w:r>
    </w:p>
    <w:p w14:paraId="1F81976B" w14:textId="15855103" w:rsidR="00390CCA" w:rsidRPr="007B401D" w:rsidRDefault="00390CCA" w:rsidP="00390CCA">
      <w:pPr>
        <w:spacing w:before="120" w:line="240" w:lineRule="auto"/>
        <w:rPr>
          <w:rFonts w:ascii="Times New Roman" w:hAnsi="Times New Roman"/>
          <w:sz w:val="24"/>
          <w:szCs w:val="24"/>
        </w:rPr>
      </w:pPr>
    </w:p>
    <w:p w14:paraId="499AA2F6" w14:textId="77777777" w:rsidR="00390CCA" w:rsidRPr="007B401D" w:rsidRDefault="00390CCA" w:rsidP="005D1ABF">
      <w:pPr>
        <w:spacing w:after="0" w:line="240" w:lineRule="auto"/>
        <w:rPr>
          <w:rFonts w:ascii="Times New Roman" w:hAnsi="Times New Roman" w:cs="Times New Roman"/>
          <w:sz w:val="24"/>
          <w:szCs w:val="24"/>
        </w:rPr>
      </w:pPr>
    </w:p>
    <w:p w14:paraId="5D71138D" w14:textId="77777777" w:rsidR="00BE6861" w:rsidRPr="007B401D" w:rsidRDefault="00BE6861" w:rsidP="00AA2999">
      <w:pPr>
        <w:spacing w:after="0" w:line="240" w:lineRule="auto"/>
        <w:rPr>
          <w:rFonts w:ascii="Times New Roman" w:hAnsi="Times New Roman" w:cs="Times New Roman"/>
          <w:b/>
          <w:bCs/>
          <w:color w:val="FF0000"/>
          <w:sz w:val="24"/>
          <w:szCs w:val="24"/>
        </w:rPr>
      </w:pPr>
    </w:p>
    <w:p w14:paraId="5607F10C" w14:textId="249E19D9" w:rsidR="003F2B62" w:rsidRPr="007B401D" w:rsidRDefault="00AA2999" w:rsidP="003F2B62">
      <w:pPr>
        <w:spacing w:after="0" w:line="240" w:lineRule="auto"/>
        <w:jc w:val="center"/>
        <w:rPr>
          <w:rFonts w:ascii="Times New Roman" w:hAnsi="Times New Roman" w:cs="Times New Roman"/>
          <w:b/>
          <w:bCs/>
          <w:sz w:val="24"/>
          <w:szCs w:val="24"/>
        </w:rPr>
      </w:pPr>
      <w:r w:rsidRPr="007B401D">
        <w:rPr>
          <w:rFonts w:ascii="Times New Roman" w:hAnsi="Times New Roman" w:cs="Times New Roman"/>
          <w:b/>
          <w:bCs/>
          <w:sz w:val="24"/>
          <w:szCs w:val="24"/>
        </w:rPr>
        <w:t>Senator the Hon. Murray Watt</w:t>
      </w:r>
    </w:p>
    <w:p w14:paraId="60525D31" w14:textId="1E38D41E" w:rsidR="00587166" w:rsidRPr="003F2B62" w:rsidRDefault="00587166" w:rsidP="003F2B62">
      <w:pPr>
        <w:spacing w:after="0" w:line="240" w:lineRule="auto"/>
        <w:jc w:val="center"/>
        <w:rPr>
          <w:rFonts w:ascii="Times New Roman" w:hAnsi="Times New Roman" w:cs="Times New Roman"/>
          <w:b/>
          <w:bCs/>
          <w:sz w:val="24"/>
          <w:szCs w:val="24"/>
        </w:rPr>
      </w:pPr>
      <w:r w:rsidRPr="007B401D">
        <w:rPr>
          <w:rFonts w:ascii="Times New Roman" w:hAnsi="Times New Roman" w:cs="Times New Roman"/>
          <w:b/>
          <w:bCs/>
          <w:sz w:val="24"/>
          <w:szCs w:val="24"/>
        </w:rPr>
        <w:t>Minister for Agriculture, Fisheries and Forestry</w:t>
      </w:r>
    </w:p>
    <w:p w14:paraId="1FFE9235" w14:textId="77777777" w:rsidR="00FA26FF" w:rsidRPr="005D1ABF" w:rsidRDefault="00FA26FF" w:rsidP="002B1DB3">
      <w:pPr>
        <w:rPr>
          <w:rFonts w:ascii="Times New Roman" w:hAnsi="Times New Roman" w:cs="Times New Roman"/>
          <w:sz w:val="24"/>
          <w:szCs w:val="24"/>
          <w:lang w:val="en-GB"/>
        </w:rPr>
      </w:pPr>
    </w:p>
    <w:sectPr w:rsidR="00FA26FF" w:rsidRPr="005D1ABF" w:rsidSect="001C09FB">
      <w:footerReference w:type="default" r:id="rId17"/>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7DCB2" w14:textId="77777777" w:rsidR="00800570" w:rsidRDefault="00800570" w:rsidP="00151C54">
      <w:r>
        <w:separator/>
      </w:r>
    </w:p>
  </w:endnote>
  <w:endnote w:type="continuationSeparator" w:id="0">
    <w:p w14:paraId="0F973B6B" w14:textId="77777777" w:rsidR="00800570" w:rsidRDefault="00800570"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8"/>
      </w:rPr>
      <w:id w:val="-261679027"/>
      <w:docPartObj>
        <w:docPartGallery w:val="Page Numbers (Bottom of Page)"/>
        <w:docPartUnique/>
      </w:docPartObj>
    </w:sdtPr>
    <w:sdtEndPr>
      <w:rPr>
        <w:noProof/>
      </w:rPr>
    </w:sdtEndPr>
    <w:sdtContent>
      <w:p w14:paraId="01F12694" w14:textId="77777777" w:rsidR="00B15CBD" w:rsidRDefault="00B15CBD" w:rsidP="00B15CBD">
        <w:pPr>
          <w:pStyle w:val="Footer"/>
          <w:spacing w:after="0" w:line="240" w:lineRule="auto"/>
          <w:jc w:val="center"/>
          <w:rPr>
            <w:rFonts w:ascii="Times New Roman" w:hAnsi="Times New Roman" w:cs="Times New Roman"/>
            <w:noProof/>
            <w:sz w:val="24"/>
            <w:szCs w:val="28"/>
          </w:rPr>
        </w:pPr>
        <w:r w:rsidRPr="00B15CBD">
          <w:rPr>
            <w:rFonts w:ascii="Times New Roman" w:hAnsi="Times New Roman" w:cs="Times New Roman"/>
            <w:sz w:val="24"/>
            <w:szCs w:val="28"/>
          </w:rPr>
          <w:fldChar w:fldCharType="begin"/>
        </w:r>
        <w:r w:rsidRPr="00B15CBD">
          <w:rPr>
            <w:rFonts w:ascii="Times New Roman" w:hAnsi="Times New Roman" w:cs="Times New Roman"/>
            <w:sz w:val="24"/>
            <w:szCs w:val="28"/>
          </w:rPr>
          <w:instrText xml:space="preserve"> PAGE   \* MERGEFORMAT </w:instrText>
        </w:r>
        <w:r w:rsidRPr="00B15CBD">
          <w:rPr>
            <w:rFonts w:ascii="Times New Roman" w:hAnsi="Times New Roman" w:cs="Times New Roman"/>
            <w:sz w:val="24"/>
            <w:szCs w:val="28"/>
          </w:rPr>
          <w:fldChar w:fldCharType="separate"/>
        </w:r>
        <w:r w:rsidRPr="00B15CBD">
          <w:rPr>
            <w:rFonts w:ascii="Times New Roman" w:hAnsi="Times New Roman" w:cs="Times New Roman"/>
            <w:noProof/>
            <w:sz w:val="24"/>
            <w:szCs w:val="28"/>
          </w:rPr>
          <w:t>2</w:t>
        </w:r>
        <w:r w:rsidRPr="00B15CBD">
          <w:rPr>
            <w:rFonts w:ascii="Times New Roman" w:hAnsi="Times New Roman" w:cs="Times New Roman"/>
            <w:noProof/>
            <w:sz w:val="24"/>
            <w:szCs w:val="28"/>
          </w:rPr>
          <w:fldChar w:fldCharType="end"/>
        </w:r>
      </w:p>
      <w:p w14:paraId="2DC437A5" w14:textId="009F7FA9" w:rsidR="00B15CBD" w:rsidRPr="00B15CBD" w:rsidRDefault="00A810FA" w:rsidP="00B15CBD">
        <w:pPr>
          <w:pStyle w:val="Footer"/>
          <w:spacing w:after="0" w:line="240" w:lineRule="auto"/>
          <w:jc w:val="center"/>
          <w:rPr>
            <w:rFonts w:ascii="Times New Roman" w:hAnsi="Times New Roman" w:cs="Times New Roman"/>
            <w:sz w:val="24"/>
            <w:szCs w:val="2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32E71" w14:textId="77777777" w:rsidR="00800570" w:rsidRDefault="00800570" w:rsidP="00151C54">
      <w:r>
        <w:separator/>
      </w:r>
    </w:p>
  </w:footnote>
  <w:footnote w:type="continuationSeparator" w:id="0">
    <w:p w14:paraId="7F3E157E" w14:textId="77777777" w:rsidR="00800570" w:rsidRDefault="00800570" w:rsidP="00151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053AF6"/>
    <w:multiLevelType w:val="hybridMultilevel"/>
    <w:tmpl w:val="5398782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03710E"/>
    <w:multiLevelType w:val="multilevel"/>
    <w:tmpl w:val="6F7076BC"/>
    <w:styleLink w:val="OPCBodyList"/>
    <w:lvl w:ilvl="0">
      <w:start w:val="1"/>
      <w:numFmt w:val="decimal"/>
      <w:pStyle w:val="BodyNum"/>
      <w:lvlText w:val="%1"/>
      <w:lvlJc w:val="left"/>
      <w:pPr>
        <w:tabs>
          <w:tab w:val="num" w:pos="720"/>
        </w:tabs>
      </w:pPr>
      <w:rPr>
        <w:rFonts w:cs="Times New Roman" w:hint="default"/>
      </w:rPr>
    </w:lvl>
    <w:lvl w:ilvl="1">
      <w:start w:val="1"/>
      <w:numFmt w:val="lowerLetter"/>
      <w:pStyle w:val="BodyPara"/>
      <w:lvlText w:val="(%2)"/>
      <w:lvlJc w:val="left"/>
      <w:pPr>
        <w:tabs>
          <w:tab w:val="num" w:pos="1440"/>
        </w:tabs>
        <w:ind w:left="1440" w:hanging="720"/>
      </w:pPr>
      <w:rPr>
        <w:rFonts w:cs="Times New Roman"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1"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2"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18"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16cid:durableId="2116707168">
    <w:abstractNumId w:val="10"/>
  </w:num>
  <w:num w:numId="2" w16cid:durableId="1930887877">
    <w:abstractNumId w:val="20"/>
  </w:num>
  <w:num w:numId="3" w16cid:durableId="971013785">
    <w:abstractNumId w:val="13"/>
  </w:num>
  <w:num w:numId="4" w16cid:durableId="1554579889">
    <w:abstractNumId w:val="4"/>
  </w:num>
  <w:num w:numId="5" w16cid:durableId="743797650">
    <w:abstractNumId w:val="1"/>
  </w:num>
  <w:num w:numId="6" w16cid:durableId="685836491">
    <w:abstractNumId w:val="9"/>
  </w:num>
  <w:num w:numId="7" w16cid:durableId="1062947193">
    <w:abstractNumId w:val="2"/>
  </w:num>
  <w:num w:numId="8" w16cid:durableId="171074585">
    <w:abstractNumId w:val="6"/>
  </w:num>
  <w:num w:numId="9" w16cid:durableId="1854563191">
    <w:abstractNumId w:val="8"/>
  </w:num>
  <w:num w:numId="10" w16cid:durableId="340859978">
    <w:abstractNumId w:val="16"/>
  </w:num>
  <w:num w:numId="11" w16cid:durableId="2041852648">
    <w:abstractNumId w:val="18"/>
  </w:num>
  <w:num w:numId="12" w16cid:durableId="100999886">
    <w:abstractNumId w:val="11"/>
  </w:num>
  <w:num w:numId="13" w16cid:durableId="188422682">
    <w:abstractNumId w:val="11"/>
    <w:lvlOverride w:ilvl="0">
      <w:startOverride w:val="1"/>
    </w:lvlOverride>
  </w:num>
  <w:num w:numId="14" w16cid:durableId="596208018">
    <w:abstractNumId w:val="0"/>
  </w:num>
  <w:num w:numId="15" w16cid:durableId="87117506">
    <w:abstractNumId w:val="15"/>
  </w:num>
  <w:num w:numId="16" w16cid:durableId="1876501668">
    <w:abstractNumId w:val="19"/>
  </w:num>
  <w:num w:numId="17" w16cid:durableId="1821144922">
    <w:abstractNumId w:val="14"/>
  </w:num>
  <w:num w:numId="18" w16cid:durableId="1320845085">
    <w:abstractNumId w:val="12"/>
  </w:num>
  <w:num w:numId="19" w16cid:durableId="1134834008">
    <w:abstractNumId w:val="5"/>
  </w:num>
  <w:num w:numId="20" w16cid:durableId="1735927798">
    <w:abstractNumId w:val="3"/>
  </w:num>
  <w:num w:numId="21" w16cid:durableId="20271746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801410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AU" w:vendorID="64" w:dllVersion="6" w:nlCheck="1" w:checkStyle="1"/>
  <w:activeWritingStyle w:appName="MSWord" w:lang="en-GB" w:vendorID="64" w:dllVersion="0" w:nlCheck="1" w:checkStyle="0"/>
  <w:activeWritingStyle w:appName="MSWord" w:lang="en-A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0E38"/>
    <w:rsid w:val="000046DA"/>
    <w:rsid w:val="00006908"/>
    <w:rsid w:val="00006B7D"/>
    <w:rsid w:val="00010C34"/>
    <w:rsid w:val="000214D0"/>
    <w:rsid w:val="000223C5"/>
    <w:rsid w:val="00026A14"/>
    <w:rsid w:val="00035636"/>
    <w:rsid w:val="000412FC"/>
    <w:rsid w:val="000503F4"/>
    <w:rsid w:val="000514FF"/>
    <w:rsid w:val="000629B8"/>
    <w:rsid w:val="000645AB"/>
    <w:rsid w:val="000668A9"/>
    <w:rsid w:val="00073322"/>
    <w:rsid w:val="000750C8"/>
    <w:rsid w:val="000816EE"/>
    <w:rsid w:val="00092F2C"/>
    <w:rsid w:val="000962BA"/>
    <w:rsid w:val="000976DB"/>
    <w:rsid w:val="000A01DA"/>
    <w:rsid w:val="000A52A2"/>
    <w:rsid w:val="000A5EB5"/>
    <w:rsid w:val="000A65F6"/>
    <w:rsid w:val="000B129E"/>
    <w:rsid w:val="000B65E3"/>
    <w:rsid w:val="000B6BD9"/>
    <w:rsid w:val="000C3693"/>
    <w:rsid w:val="000D07B5"/>
    <w:rsid w:val="000D78D6"/>
    <w:rsid w:val="000E5AEF"/>
    <w:rsid w:val="000E6DF0"/>
    <w:rsid w:val="000F08F2"/>
    <w:rsid w:val="00102163"/>
    <w:rsid w:val="00106105"/>
    <w:rsid w:val="001118CD"/>
    <w:rsid w:val="001125D9"/>
    <w:rsid w:val="00112F0A"/>
    <w:rsid w:val="00113C4E"/>
    <w:rsid w:val="0012062A"/>
    <w:rsid w:val="00120B3F"/>
    <w:rsid w:val="00120E8A"/>
    <w:rsid w:val="00127498"/>
    <w:rsid w:val="0012775E"/>
    <w:rsid w:val="001372D1"/>
    <w:rsid w:val="0014159C"/>
    <w:rsid w:val="00150048"/>
    <w:rsid w:val="00150E55"/>
    <w:rsid w:val="00151C54"/>
    <w:rsid w:val="00153032"/>
    <w:rsid w:val="00155159"/>
    <w:rsid w:val="00161CE2"/>
    <w:rsid w:val="0016389D"/>
    <w:rsid w:val="001669D6"/>
    <w:rsid w:val="00167E67"/>
    <w:rsid w:val="001746B7"/>
    <w:rsid w:val="001751A8"/>
    <w:rsid w:val="00175BD8"/>
    <w:rsid w:val="00175BDA"/>
    <w:rsid w:val="00176E71"/>
    <w:rsid w:val="00180DEF"/>
    <w:rsid w:val="001813AC"/>
    <w:rsid w:val="0018204C"/>
    <w:rsid w:val="0018228A"/>
    <w:rsid w:val="0019099C"/>
    <w:rsid w:val="00197481"/>
    <w:rsid w:val="001A3202"/>
    <w:rsid w:val="001A5CE3"/>
    <w:rsid w:val="001A6453"/>
    <w:rsid w:val="001C09FB"/>
    <w:rsid w:val="001C7D10"/>
    <w:rsid w:val="001D006D"/>
    <w:rsid w:val="001D328D"/>
    <w:rsid w:val="001E1A14"/>
    <w:rsid w:val="001E41FD"/>
    <w:rsid w:val="001E6727"/>
    <w:rsid w:val="001E7355"/>
    <w:rsid w:val="001E7612"/>
    <w:rsid w:val="001F47AF"/>
    <w:rsid w:val="001F51B0"/>
    <w:rsid w:val="001F5A48"/>
    <w:rsid w:val="00201DF4"/>
    <w:rsid w:val="00203AAB"/>
    <w:rsid w:val="00216D62"/>
    <w:rsid w:val="002175D8"/>
    <w:rsid w:val="00224611"/>
    <w:rsid w:val="00224D28"/>
    <w:rsid w:val="00226D84"/>
    <w:rsid w:val="0023073A"/>
    <w:rsid w:val="00231F31"/>
    <w:rsid w:val="00232C9A"/>
    <w:rsid w:val="0024229F"/>
    <w:rsid w:val="0024504D"/>
    <w:rsid w:val="00245360"/>
    <w:rsid w:val="0025445B"/>
    <w:rsid w:val="00254E32"/>
    <w:rsid w:val="002675B0"/>
    <w:rsid w:val="00271C2E"/>
    <w:rsid w:val="002737B5"/>
    <w:rsid w:val="00273C11"/>
    <w:rsid w:val="00275A43"/>
    <w:rsid w:val="00281E12"/>
    <w:rsid w:val="00291DAA"/>
    <w:rsid w:val="0029727D"/>
    <w:rsid w:val="002A1F91"/>
    <w:rsid w:val="002A500B"/>
    <w:rsid w:val="002A7CEA"/>
    <w:rsid w:val="002B1DB3"/>
    <w:rsid w:val="002B2B54"/>
    <w:rsid w:val="002B6A07"/>
    <w:rsid w:val="002C0484"/>
    <w:rsid w:val="002C177A"/>
    <w:rsid w:val="002D2833"/>
    <w:rsid w:val="002D2972"/>
    <w:rsid w:val="002D3CE5"/>
    <w:rsid w:val="002D41BA"/>
    <w:rsid w:val="002D7BFE"/>
    <w:rsid w:val="002E4B64"/>
    <w:rsid w:val="002F2F4C"/>
    <w:rsid w:val="003015AF"/>
    <w:rsid w:val="00305927"/>
    <w:rsid w:val="003064B1"/>
    <w:rsid w:val="00315AE1"/>
    <w:rsid w:val="003228F6"/>
    <w:rsid w:val="0032303B"/>
    <w:rsid w:val="003318EB"/>
    <w:rsid w:val="003376BA"/>
    <w:rsid w:val="0034613E"/>
    <w:rsid w:val="0035690E"/>
    <w:rsid w:val="003710C0"/>
    <w:rsid w:val="003869BF"/>
    <w:rsid w:val="00387B76"/>
    <w:rsid w:val="00390CCA"/>
    <w:rsid w:val="0039127F"/>
    <w:rsid w:val="0039130D"/>
    <w:rsid w:val="003931D0"/>
    <w:rsid w:val="003943F8"/>
    <w:rsid w:val="003964B7"/>
    <w:rsid w:val="003A2479"/>
    <w:rsid w:val="003A3A60"/>
    <w:rsid w:val="003A4E32"/>
    <w:rsid w:val="003A6551"/>
    <w:rsid w:val="003C2ADC"/>
    <w:rsid w:val="003D0E83"/>
    <w:rsid w:val="003D2853"/>
    <w:rsid w:val="003D6D6F"/>
    <w:rsid w:val="003E0906"/>
    <w:rsid w:val="003E5CA0"/>
    <w:rsid w:val="003F2B62"/>
    <w:rsid w:val="003F6742"/>
    <w:rsid w:val="00400661"/>
    <w:rsid w:val="00402F72"/>
    <w:rsid w:val="0040710F"/>
    <w:rsid w:val="00407E2A"/>
    <w:rsid w:val="00412C9B"/>
    <w:rsid w:val="004158CD"/>
    <w:rsid w:val="00417598"/>
    <w:rsid w:val="004223EC"/>
    <w:rsid w:val="0042367C"/>
    <w:rsid w:val="00430DB3"/>
    <w:rsid w:val="00442785"/>
    <w:rsid w:val="004565E0"/>
    <w:rsid w:val="0045705D"/>
    <w:rsid w:val="00460080"/>
    <w:rsid w:val="004607C8"/>
    <w:rsid w:val="00461420"/>
    <w:rsid w:val="00461C7E"/>
    <w:rsid w:val="00470AE8"/>
    <w:rsid w:val="00483CF0"/>
    <w:rsid w:val="0048447F"/>
    <w:rsid w:val="00485C1E"/>
    <w:rsid w:val="00490980"/>
    <w:rsid w:val="004A300F"/>
    <w:rsid w:val="004A3A20"/>
    <w:rsid w:val="004A6FC7"/>
    <w:rsid w:val="004B0318"/>
    <w:rsid w:val="004B0DD7"/>
    <w:rsid w:val="004B14D6"/>
    <w:rsid w:val="004B6EDA"/>
    <w:rsid w:val="004C252F"/>
    <w:rsid w:val="004C276E"/>
    <w:rsid w:val="004C5892"/>
    <w:rsid w:val="004D257B"/>
    <w:rsid w:val="004D27DA"/>
    <w:rsid w:val="004E5E21"/>
    <w:rsid w:val="004E6468"/>
    <w:rsid w:val="004F3840"/>
    <w:rsid w:val="0050045F"/>
    <w:rsid w:val="0050279C"/>
    <w:rsid w:val="00502FD9"/>
    <w:rsid w:val="005061ED"/>
    <w:rsid w:val="0051021E"/>
    <w:rsid w:val="00510CBB"/>
    <w:rsid w:val="005120F3"/>
    <w:rsid w:val="00514073"/>
    <w:rsid w:val="005145C6"/>
    <w:rsid w:val="00524522"/>
    <w:rsid w:val="00543544"/>
    <w:rsid w:val="00543F39"/>
    <w:rsid w:val="00544388"/>
    <w:rsid w:val="00547846"/>
    <w:rsid w:val="005505AB"/>
    <w:rsid w:val="00554FE9"/>
    <w:rsid w:val="00564EA2"/>
    <w:rsid w:val="005664BC"/>
    <w:rsid w:val="00572C90"/>
    <w:rsid w:val="0057618B"/>
    <w:rsid w:val="00580DB2"/>
    <w:rsid w:val="00582E28"/>
    <w:rsid w:val="00584575"/>
    <w:rsid w:val="00587166"/>
    <w:rsid w:val="00587EB9"/>
    <w:rsid w:val="005902E8"/>
    <w:rsid w:val="005A0AB8"/>
    <w:rsid w:val="005A22CA"/>
    <w:rsid w:val="005A4C46"/>
    <w:rsid w:val="005B0205"/>
    <w:rsid w:val="005B0431"/>
    <w:rsid w:val="005B6B55"/>
    <w:rsid w:val="005B7015"/>
    <w:rsid w:val="005B759C"/>
    <w:rsid w:val="005B7D13"/>
    <w:rsid w:val="005C1AC3"/>
    <w:rsid w:val="005C7337"/>
    <w:rsid w:val="005D0111"/>
    <w:rsid w:val="005D1ABF"/>
    <w:rsid w:val="005D1EB1"/>
    <w:rsid w:val="005D4711"/>
    <w:rsid w:val="005D53EF"/>
    <w:rsid w:val="005E13E3"/>
    <w:rsid w:val="005E3D4B"/>
    <w:rsid w:val="005E4625"/>
    <w:rsid w:val="005E4E99"/>
    <w:rsid w:val="005F19F0"/>
    <w:rsid w:val="005F66F2"/>
    <w:rsid w:val="006022C4"/>
    <w:rsid w:val="00610E47"/>
    <w:rsid w:val="00614F15"/>
    <w:rsid w:val="006168F9"/>
    <w:rsid w:val="006327D8"/>
    <w:rsid w:val="00633472"/>
    <w:rsid w:val="006355CE"/>
    <w:rsid w:val="006400BC"/>
    <w:rsid w:val="00642BA8"/>
    <w:rsid w:val="006461AC"/>
    <w:rsid w:val="0064772B"/>
    <w:rsid w:val="00650566"/>
    <w:rsid w:val="006521C6"/>
    <w:rsid w:val="00652426"/>
    <w:rsid w:val="00653C86"/>
    <w:rsid w:val="006553D3"/>
    <w:rsid w:val="00662345"/>
    <w:rsid w:val="006774BB"/>
    <w:rsid w:val="00681FEE"/>
    <w:rsid w:val="00685763"/>
    <w:rsid w:val="00690055"/>
    <w:rsid w:val="00691EE1"/>
    <w:rsid w:val="006A19ED"/>
    <w:rsid w:val="006A253A"/>
    <w:rsid w:val="006A25AA"/>
    <w:rsid w:val="006A320D"/>
    <w:rsid w:val="006B7AE0"/>
    <w:rsid w:val="006C7C58"/>
    <w:rsid w:val="006D273D"/>
    <w:rsid w:val="006E07D0"/>
    <w:rsid w:val="006E41A3"/>
    <w:rsid w:val="006E6178"/>
    <w:rsid w:val="006F6F01"/>
    <w:rsid w:val="00700F91"/>
    <w:rsid w:val="00701072"/>
    <w:rsid w:val="007100DF"/>
    <w:rsid w:val="00713B00"/>
    <w:rsid w:val="00720AEC"/>
    <w:rsid w:val="00723C37"/>
    <w:rsid w:val="00725695"/>
    <w:rsid w:val="00725DC1"/>
    <w:rsid w:val="00727C4E"/>
    <w:rsid w:val="00734BCB"/>
    <w:rsid w:val="00741A55"/>
    <w:rsid w:val="00745BFD"/>
    <w:rsid w:val="00746D9D"/>
    <w:rsid w:val="00752AEE"/>
    <w:rsid w:val="0075723F"/>
    <w:rsid w:val="007667EB"/>
    <w:rsid w:val="00767639"/>
    <w:rsid w:val="00767D95"/>
    <w:rsid w:val="00770C0E"/>
    <w:rsid w:val="00784976"/>
    <w:rsid w:val="0078612D"/>
    <w:rsid w:val="0078628A"/>
    <w:rsid w:val="007910DF"/>
    <w:rsid w:val="00791932"/>
    <w:rsid w:val="00794F9C"/>
    <w:rsid w:val="007B052D"/>
    <w:rsid w:val="007B18BB"/>
    <w:rsid w:val="007B3A16"/>
    <w:rsid w:val="007B3C0B"/>
    <w:rsid w:val="007B3C56"/>
    <w:rsid w:val="007B401D"/>
    <w:rsid w:val="007B7C7B"/>
    <w:rsid w:val="007B7CAE"/>
    <w:rsid w:val="007C1076"/>
    <w:rsid w:val="007C45D8"/>
    <w:rsid w:val="007D20DF"/>
    <w:rsid w:val="007E3EC4"/>
    <w:rsid w:val="007F21BF"/>
    <w:rsid w:val="00800570"/>
    <w:rsid w:val="00813B12"/>
    <w:rsid w:val="00816C21"/>
    <w:rsid w:val="008224BE"/>
    <w:rsid w:val="0082572E"/>
    <w:rsid w:val="008300B9"/>
    <w:rsid w:val="008347C7"/>
    <w:rsid w:val="00841053"/>
    <w:rsid w:val="0085100D"/>
    <w:rsid w:val="008515F7"/>
    <w:rsid w:val="0085320C"/>
    <w:rsid w:val="00854190"/>
    <w:rsid w:val="008543CC"/>
    <w:rsid w:val="00855CF7"/>
    <w:rsid w:val="00855F20"/>
    <w:rsid w:val="00857D1A"/>
    <w:rsid w:val="008606D4"/>
    <w:rsid w:val="008616F0"/>
    <w:rsid w:val="00870516"/>
    <w:rsid w:val="008732DA"/>
    <w:rsid w:val="00877C5B"/>
    <w:rsid w:val="00881759"/>
    <w:rsid w:val="00884592"/>
    <w:rsid w:val="00885DD7"/>
    <w:rsid w:val="0088771F"/>
    <w:rsid w:val="00890F55"/>
    <w:rsid w:val="00896EBE"/>
    <w:rsid w:val="0089780D"/>
    <w:rsid w:val="008A143B"/>
    <w:rsid w:val="008B370D"/>
    <w:rsid w:val="008B73F3"/>
    <w:rsid w:val="008C09F4"/>
    <w:rsid w:val="008C1C7B"/>
    <w:rsid w:val="008C3F1D"/>
    <w:rsid w:val="008D29F0"/>
    <w:rsid w:val="008D4378"/>
    <w:rsid w:val="008F15D6"/>
    <w:rsid w:val="008F2D93"/>
    <w:rsid w:val="00900C00"/>
    <w:rsid w:val="009152CA"/>
    <w:rsid w:val="00922C40"/>
    <w:rsid w:val="009301CB"/>
    <w:rsid w:val="00932022"/>
    <w:rsid w:val="00941098"/>
    <w:rsid w:val="009531D7"/>
    <w:rsid w:val="009617FF"/>
    <w:rsid w:val="00961FB9"/>
    <w:rsid w:val="009642DF"/>
    <w:rsid w:val="00966F44"/>
    <w:rsid w:val="00971690"/>
    <w:rsid w:val="00973468"/>
    <w:rsid w:val="009805D0"/>
    <w:rsid w:val="009908D6"/>
    <w:rsid w:val="00992814"/>
    <w:rsid w:val="00995D93"/>
    <w:rsid w:val="009A0ACB"/>
    <w:rsid w:val="009A11A2"/>
    <w:rsid w:val="009A2F1E"/>
    <w:rsid w:val="009A38F6"/>
    <w:rsid w:val="009A465A"/>
    <w:rsid w:val="009B3BDE"/>
    <w:rsid w:val="009B60F5"/>
    <w:rsid w:val="009C222F"/>
    <w:rsid w:val="009C2A38"/>
    <w:rsid w:val="009C5B06"/>
    <w:rsid w:val="009D44D2"/>
    <w:rsid w:val="009D708D"/>
    <w:rsid w:val="009E3E35"/>
    <w:rsid w:val="009E61C5"/>
    <w:rsid w:val="00A00D5F"/>
    <w:rsid w:val="00A2084B"/>
    <w:rsid w:val="00A2099C"/>
    <w:rsid w:val="00A34125"/>
    <w:rsid w:val="00A351C1"/>
    <w:rsid w:val="00A365EE"/>
    <w:rsid w:val="00A37FDF"/>
    <w:rsid w:val="00A411AF"/>
    <w:rsid w:val="00A42246"/>
    <w:rsid w:val="00A426C7"/>
    <w:rsid w:val="00A43D6E"/>
    <w:rsid w:val="00A464BD"/>
    <w:rsid w:val="00A46E53"/>
    <w:rsid w:val="00A475FA"/>
    <w:rsid w:val="00A5184C"/>
    <w:rsid w:val="00A52956"/>
    <w:rsid w:val="00A53802"/>
    <w:rsid w:val="00A55745"/>
    <w:rsid w:val="00A61303"/>
    <w:rsid w:val="00A629BA"/>
    <w:rsid w:val="00A63920"/>
    <w:rsid w:val="00A6738E"/>
    <w:rsid w:val="00A806A9"/>
    <w:rsid w:val="00A810FA"/>
    <w:rsid w:val="00A81D79"/>
    <w:rsid w:val="00A849D8"/>
    <w:rsid w:val="00A92EDB"/>
    <w:rsid w:val="00AA2999"/>
    <w:rsid w:val="00AB234F"/>
    <w:rsid w:val="00AB4E1A"/>
    <w:rsid w:val="00AC7222"/>
    <w:rsid w:val="00AD4432"/>
    <w:rsid w:val="00AD5A31"/>
    <w:rsid w:val="00B0165E"/>
    <w:rsid w:val="00B02257"/>
    <w:rsid w:val="00B030B7"/>
    <w:rsid w:val="00B134CD"/>
    <w:rsid w:val="00B15C38"/>
    <w:rsid w:val="00B15CBD"/>
    <w:rsid w:val="00B20EBE"/>
    <w:rsid w:val="00B21EDA"/>
    <w:rsid w:val="00B26C7F"/>
    <w:rsid w:val="00B37AB7"/>
    <w:rsid w:val="00B452D1"/>
    <w:rsid w:val="00B57443"/>
    <w:rsid w:val="00B65C14"/>
    <w:rsid w:val="00B65E4A"/>
    <w:rsid w:val="00B66DFF"/>
    <w:rsid w:val="00B6725C"/>
    <w:rsid w:val="00B80A1E"/>
    <w:rsid w:val="00BA0B39"/>
    <w:rsid w:val="00BB4AD3"/>
    <w:rsid w:val="00BB4CD3"/>
    <w:rsid w:val="00BB7041"/>
    <w:rsid w:val="00BC12A9"/>
    <w:rsid w:val="00BC6B2F"/>
    <w:rsid w:val="00BD34E3"/>
    <w:rsid w:val="00BD3594"/>
    <w:rsid w:val="00BD412D"/>
    <w:rsid w:val="00BE46BA"/>
    <w:rsid w:val="00BE6861"/>
    <w:rsid w:val="00BF1F41"/>
    <w:rsid w:val="00C030E5"/>
    <w:rsid w:val="00C06F49"/>
    <w:rsid w:val="00C142FA"/>
    <w:rsid w:val="00C154F5"/>
    <w:rsid w:val="00C17F15"/>
    <w:rsid w:val="00C201A6"/>
    <w:rsid w:val="00C32367"/>
    <w:rsid w:val="00C32D7D"/>
    <w:rsid w:val="00C36CC7"/>
    <w:rsid w:val="00C4623B"/>
    <w:rsid w:val="00C463C2"/>
    <w:rsid w:val="00C46981"/>
    <w:rsid w:val="00C52CC5"/>
    <w:rsid w:val="00C536D5"/>
    <w:rsid w:val="00C55BA8"/>
    <w:rsid w:val="00C57334"/>
    <w:rsid w:val="00C75C14"/>
    <w:rsid w:val="00C81402"/>
    <w:rsid w:val="00C82AB8"/>
    <w:rsid w:val="00C91ECD"/>
    <w:rsid w:val="00C9474A"/>
    <w:rsid w:val="00C9657B"/>
    <w:rsid w:val="00CA266C"/>
    <w:rsid w:val="00CA6F6B"/>
    <w:rsid w:val="00CB26E2"/>
    <w:rsid w:val="00CB5929"/>
    <w:rsid w:val="00CC2CD7"/>
    <w:rsid w:val="00CC5ABC"/>
    <w:rsid w:val="00CC6BA7"/>
    <w:rsid w:val="00CD1136"/>
    <w:rsid w:val="00CD7150"/>
    <w:rsid w:val="00CE46FC"/>
    <w:rsid w:val="00CE72E2"/>
    <w:rsid w:val="00CE73AE"/>
    <w:rsid w:val="00CF1E27"/>
    <w:rsid w:val="00CF2006"/>
    <w:rsid w:val="00CF2995"/>
    <w:rsid w:val="00CF7161"/>
    <w:rsid w:val="00D0172F"/>
    <w:rsid w:val="00D0550D"/>
    <w:rsid w:val="00D05B97"/>
    <w:rsid w:val="00D076DD"/>
    <w:rsid w:val="00D121A6"/>
    <w:rsid w:val="00D15D40"/>
    <w:rsid w:val="00D3005F"/>
    <w:rsid w:val="00D31B6F"/>
    <w:rsid w:val="00D45E13"/>
    <w:rsid w:val="00D557BA"/>
    <w:rsid w:val="00D67088"/>
    <w:rsid w:val="00D67D70"/>
    <w:rsid w:val="00D70F10"/>
    <w:rsid w:val="00D821EC"/>
    <w:rsid w:val="00D92042"/>
    <w:rsid w:val="00D93E42"/>
    <w:rsid w:val="00D9423E"/>
    <w:rsid w:val="00DA2671"/>
    <w:rsid w:val="00DA6802"/>
    <w:rsid w:val="00DC0D50"/>
    <w:rsid w:val="00DD2C31"/>
    <w:rsid w:val="00DD6E51"/>
    <w:rsid w:val="00DE2764"/>
    <w:rsid w:val="00DE34B8"/>
    <w:rsid w:val="00DE51DD"/>
    <w:rsid w:val="00DE6B9D"/>
    <w:rsid w:val="00DF1A32"/>
    <w:rsid w:val="00DF22A1"/>
    <w:rsid w:val="00DF2F32"/>
    <w:rsid w:val="00DF3F6E"/>
    <w:rsid w:val="00E02E53"/>
    <w:rsid w:val="00E04EB6"/>
    <w:rsid w:val="00E14648"/>
    <w:rsid w:val="00E14B41"/>
    <w:rsid w:val="00E17A7C"/>
    <w:rsid w:val="00E2438A"/>
    <w:rsid w:val="00E26103"/>
    <w:rsid w:val="00E27357"/>
    <w:rsid w:val="00E3322A"/>
    <w:rsid w:val="00E34976"/>
    <w:rsid w:val="00E4537E"/>
    <w:rsid w:val="00E510A0"/>
    <w:rsid w:val="00E549EB"/>
    <w:rsid w:val="00E552D3"/>
    <w:rsid w:val="00E555F7"/>
    <w:rsid w:val="00E55FD6"/>
    <w:rsid w:val="00E57D7B"/>
    <w:rsid w:val="00E65993"/>
    <w:rsid w:val="00E66F10"/>
    <w:rsid w:val="00E70274"/>
    <w:rsid w:val="00E761E6"/>
    <w:rsid w:val="00E76AB5"/>
    <w:rsid w:val="00E8163B"/>
    <w:rsid w:val="00E820DB"/>
    <w:rsid w:val="00E922D3"/>
    <w:rsid w:val="00E9571B"/>
    <w:rsid w:val="00EA7474"/>
    <w:rsid w:val="00EA7498"/>
    <w:rsid w:val="00EB44CD"/>
    <w:rsid w:val="00EB62FF"/>
    <w:rsid w:val="00EC1E8C"/>
    <w:rsid w:val="00EC3738"/>
    <w:rsid w:val="00EC4AD6"/>
    <w:rsid w:val="00EC6543"/>
    <w:rsid w:val="00ED1CAC"/>
    <w:rsid w:val="00ED219E"/>
    <w:rsid w:val="00ED4CA0"/>
    <w:rsid w:val="00EE0A3F"/>
    <w:rsid w:val="00EF1E29"/>
    <w:rsid w:val="00EF1FE9"/>
    <w:rsid w:val="00EF75F8"/>
    <w:rsid w:val="00F0488E"/>
    <w:rsid w:val="00F11BB3"/>
    <w:rsid w:val="00F12365"/>
    <w:rsid w:val="00F173EC"/>
    <w:rsid w:val="00F20171"/>
    <w:rsid w:val="00F316C8"/>
    <w:rsid w:val="00F332AA"/>
    <w:rsid w:val="00F33D83"/>
    <w:rsid w:val="00F40BC6"/>
    <w:rsid w:val="00F45A06"/>
    <w:rsid w:val="00F56C59"/>
    <w:rsid w:val="00F725DC"/>
    <w:rsid w:val="00F865FA"/>
    <w:rsid w:val="00F95723"/>
    <w:rsid w:val="00FA0423"/>
    <w:rsid w:val="00FA26FF"/>
    <w:rsid w:val="00FA5229"/>
    <w:rsid w:val="00FA5628"/>
    <w:rsid w:val="00FA65D3"/>
    <w:rsid w:val="00FB4B41"/>
    <w:rsid w:val="00FC67CB"/>
    <w:rsid w:val="00FD4FCD"/>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486F3C"/>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paragraph" w:customStyle="1" w:styleId="BodyNum">
    <w:name w:val="BodyNum"/>
    <w:aliases w:val="b1"/>
    <w:basedOn w:val="Normal"/>
    <w:rsid w:val="00CD1136"/>
    <w:pPr>
      <w:numPr>
        <w:numId w:val="22"/>
      </w:numPr>
      <w:spacing w:before="240" w:after="0" w:line="240" w:lineRule="auto"/>
    </w:pPr>
    <w:rPr>
      <w:rFonts w:ascii="Times New Roman" w:eastAsia="Times New Roman" w:hAnsi="Times New Roman" w:cs="Times New Roman"/>
      <w:sz w:val="24"/>
      <w:lang w:eastAsia="en-AU"/>
    </w:rPr>
  </w:style>
  <w:style w:type="paragraph" w:customStyle="1" w:styleId="BodyPara">
    <w:name w:val="BodyPara"/>
    <w:aliases w:val="ba"/>
    <w:basedOn w:val="Normal"/>
    <w:rsid w:val="00CD1136"/>
    <w:pPr>
      <w:numPr>
        <w:ilvl w:val="1"/>
        <w:numId w:val="22"/>
      </w:numPr>
      <w:spacing w:before="240" w:after="0" w:line="240" w:lineRule="auto"/>
    </w:pPr>
    <w:rPr>
      <w:rFonts w:ascii="Times New Roman" w:eastAsia="Times New Roman" w:hAnsi="Times New Roman" w:cs="Times New Roman"/>
      <w:sz w:val="24"/>
      <w:lang w:eastAsia="en-AU"/>
    </w:rPr>
  </w:style>
  <w:style w:type="paragraph" w:customStyle="1" w:styleId="BodyParaBullet">
    <w:name w:val="BodyParaBullet"/>
    <w:aliases w:val="bpb"/>
    <w:basedOn w:val="Normal"/>
    <w:rsid w:val="00CD1136"/>
    <w:pPr>
      <w:numPr>
        <w:ilvl w:val="2"/>
        <w:numId w:val="22"/>
      </w:numPr>
      <w:tabs>
        <w:tab w:val="left" w:pos="2160"/>
      </w:tabs>
      <w:spacing w:before="240" w:after="0" w:line="240" w:lineRule="auto"/>
    </w:pPr>
    <w:rPr>
      <w:rFonts w:ascii="Times New Roman" w:eastAsia="Times New Roman" w:hAnsi="Times New Roman" w:cs="Times New Roman"/>
      <w:sz w:val="24"/>
      <w:lang w:eastAsia="en-AU"/>
    </w:rPr>
  </w:style>
  <w:style w:type="paragraph" w:customStyle="1" w:styleId="BodySubPara">
    <w:name w:val="BodySubPara"/>
    <w:aliases w:val="bi"/>
    <w:basedOn w:val="Normal"/>
    <w:rsid w:val="00CD1136"/>
    <w:pPr>
      <w:numPr>
        <w:ilvl w:val="3"/>
        <w:numId w:val="22"/>
      </w:numPr>
      <w:spacing w:before="240" w:after="0" w:line="240" w:lineRule="auto"/>
    </w:pPr>
    <w:rPr>
      <w:rFonts w:ascii="Times New Roman" w:eastAsia="Times New Roman" w:hAnsi="Times New Roman" w:cs="Times New Roman"/>
      <w:sz w:val="24"/>
      <w:lang w:eastAsia="en-AU"/>
    </w:rPr>
  </w:style>
  <w:style w:type="numbering" w:customStyle="1" w:styleId="OPCBodyList">
    <w:name w:val="OPCBodyList"/>
    <w:rsid w:val="00CD1136"/>
    <w:pPr>
      <w:numPr>
        <w:numId w:val="22"/>
      </w:numPr>
    </w:pPr>
  </w:style>
  <w:style w:type="paragraph" w:customStyle="1" w:styleId="normal-em0">
    <w:name w:val="normal-em"/>
    <w:basedOn w:val="Normal"/>
    <w:rsid w:val="00EC654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riculture.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riculture.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griculture.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riculture.gov.au" TargetMode="External"/><Relationship Id="rId5" Type="http://schemas.openxmlformats.org/officeDocument/2006/relationships/numbering" Target="numbering.xml"/><Relationship Id="rId15" Type="http://schemas.openxmlformats.org/officeDocument/2006/relationships/hyperlink" Target="http://www.agriculture.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ricultur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77FF3F8-40DB-465C-8174-2EAC72C4C5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BB7A16703C85440BDE03A15B0E629C6" ma:contentTypeVersion="" ma:contentTypeDescription="PDMS Document Site Content Type" ma:contentTypeScope="" ma:versionID="93b9835b8a9a33d8308b4ddf194314f1">
  <xsd:schema xmlns:xsd="http://www.w3.org/2001/XMLSchema" xmlns:xs="http://www.w3.org/2001/XMLSchema" xmlns:p="http://schemas.microsoft.com/office/2006/metadata/properties" xmlns:ns2="A77FF3F8-40DB-465C-8174-2EAC72C4C586" targetNamespace="http://schemas.microsoft.com/office/2006/metadata/properties" ma:root="true" ma:fieldsID="84446604c19a1528ce0587dafbf22f37" ns2:_="">
    <xsd:import namespace="A77FF3F8-40DB-465C-8174-2EAC72C4C58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FF3F8-40DB-465C-8174-2EAC72C4C58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1DB5B4-9E2F-44BF-A236-ABDBE4D6DA2D}">
  <ds:schemaRefs>
    <ds:schemaRef ds:uri="http://schemas.microsoft.com/office/2006/metadata/properties"/>
    <ds:schemaRef ds:uri="http://schemas.microsoft.com/office/infopath/2007/PartnerControls"/>
    <ds:schemaRef ds:uri="A77FF3F8-40DB-465C-8174-2EAC72C4C586"/>
  </ds:schemaRefs>
</ds:datastoreItem>
</file>

<file path=customXml/itemProps2.xml><?xml version="1.0" encoding="utf-8"?>
<ds:datastoreItem xmlns:ds="http://schemas.openxmlformats.org/officeDocument/2006/customXml" ds:itemID="{AD337CA2-BB85-46AD-AB2B-6BFC23459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7FF3F8-40DB-465C-8174-2EAC72C4C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BF6D6F-998B-4CE1-878C-A67E9AAA1D8E}">
  <ds:schemaRefs>
    <ds:schemaRef ds:uri="http://schemas.openxmlformats.org/officeDocument/2006/bibliography"/>
  </ds:schemaRefs>
</ds:datastoreItem>
</file>

<file path=customXml/itemProps4.xml><?xml version="1.0" encoding="utf-8"?>
<ds:datastoreItem xmlns:ds="http://schemas.openxmlformats.org/officeDocument/2006/customXml" ds:itemID="{E102607C-DBEE-421D-B90E-BCD507BAA9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2645</Words>
  <Characters>15080</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Meritt Nassif</dc:creator>
  <cp:lastModifiedBy>Megale, Mel</cp:lastModifiedBy>
  <cp:revision>2</cp:revision>
  <cp:lastPrinted>2023-03-08T01:03:00Z</cp:lastPrinted>
  <dcterms:created xsi:type="dcterms:W3CDTF">2023-06-09T04:31:00Z</dcterms:created>
  <dcterms:modified xsi:type="dcterms:W3CDTF">2023-06-09T04:31:00Z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0x010100266966F133664895A6EE3632470D45F5005BB7A16703C85440BDE03A15B0E629C6</vt:lpwstr>
  </property>
</Properties>
</file>