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85C1" w14:textId="77777777" w:rsidR="00F22CAA" w:rsidRPr="00CF56DA" w:rsidRDefault="00F57EEE" w:rsidP="00362DDF">
      <w:pPr>
        <w:spacing w:before="60"/>
        <w:ind w:left="80" w:right="178"/>
        <w:jc w:val="center"/>
        <w:rPr>
          <w:b/>
          <w:sz w:val="24"/>
        </w:rPr>
      </w:pPr>
      <w:r w:rsidRPr="00CF56DA">
        <w:rPr>
          <w:b/>
          <w:sz w:val="24"/>
          <w:u w:val="single"/>
        </w:rPr>
        <w:t>EXPLANATORY</w:t>
      </w:r>
      <w:r w:rsidRPr="00CF56DA">
        <w:rPr>
          <w:b/>
          <w:spacing w:val="-3"/>
          <w:sz w:val="24"/>
          <w:u w:val="single"/>
        </w:rPr>
        <w:t xml:space="preserve"> </w:t>
      </w:r>
      <w:r w:rsidRPr="00CF56DA">
        <w:rPr>
          <w:b/>
          <w:sz w:val="24"/>
          <w:u w:val="single"/>
        </w:rPr>
        <w:t>STATEMENT</w:t>
      </w:r>
    </w:p>
    <w:p w14:paraId="1D6485C2" w14:textId="77777777" w:rsidR="00F22CAA" w:rsidRPr="00CF56DA" w:rsidRDefault="00F22CAA" w:rsidP="00362DDF">
      <w:pPr>
        <w:pStyle w:val="BodyText"/>
        <w:ind w:right="178"/>
        <w:rPr>
          <w:b/>
          <w:sz w:val="20"/>
        </w:rPr>
      </w:pPr>
    </w:p>
    <w:p w14:paraId="1D6485C3" w14:textId="77777777" w:rsidR="00F22CAA" w:rsidRPr="00CF56DA" w:rsidRDefault="00F22CAA" w:rsidP="00362DDF">
      <w:pPr>
        <w:pStyle w:val="BodyText"/>
        <w:spacing w:before="3"/>
        <w:ind w:right="178"/>
        <w:rPr>
          <w:b/>
          <w:sz w:val="20"/>
        </w:rPr>
      </w:pPr>
    </w:p>
    <w:p w14:paraId="60E1DE49" w14:textId="319FEDF5" w:rsidR="002352AD" w:rsidRPr="00CF56DA" w:rsidRDefault="00F57EEE" w:rsidP="00362DDF">
      <w:pPr>
        <w:tabs>
          <w:tab w:val="left" w:pos="1560"/>
        </w:tabs>
        <w:ind w:left="1560" w:right="178" w:hanging="1560"/>
        <w:rPr>
          <w:i/>
          <w:sz w:val="24"/>
          <w:lang w:eastAsia="en-AU"/>
        </w:rPr>
      </w:pPr>
      <w:r w:rsidRPr="00CF56DA">
        <w:rPr>
          <w:sz w:val="24"/>
        </w:rPr>
        <w:t>Subject</w:t>
      </w:r>
      <w:r w:rsidRPr="00CF56DA">
        <w:rPr>
          <w:spacing w:val="-1"/>
          <w:sz w:val="24"/>
        </w:rPr>
        <w:t xml:space="preserve"> </w:t>
      </w:r>
      <w:r w:rsidRPr="00CF56DA">
        <w:rPr>
          <w:sz w:val="24"/>
        </w:rPr>
        <w:t>-</w:t>
      </w:r>
      <w:r w:rsidRPr="00CF56DA">
        <w:rPr>
          <w:sz w:val="24"/>
        </w:rPr>
        <w:tab/>
      </w:r>
      <w:r w:rsidR="002352AD" w:rsidRPr="00CF56DA">
        <w:rPr>
          <w:i/>
          <w:sz w:val="24"/>
          <w:lang w:eastAsia="en-AU"/>
        </w:rPr>
        <w:t>Australian Radiation Protection and Nuclear Safety Act 1998</w:t>
      </w:r>
    </w:p>
    <w:p w14:paraId="54199393" w14:textId="77777777" w:rsidR="002352AD" w:rsidRPr="00CF56DA" w:rsidRDefault="002352AD" w:rsidP="00362DDF">
      <w:pPr>
        <w:ind w:right="178"/>
        <w:rPr>
          <w:sz w:val="24"/>
          <w:lang w:eastAsia="en-AU"/>
        </w:rPr>
      </w:pPr>
    </w:p>
    <w:p w14:paraId="743F4E4F" w14:textId="72D3B00D" w:rsidR="002352AD" w:rsidRPr="00CF56DA" w:rsidRDefault="002352AD" w:rsidP="00362DDF">
      <w:pPr>
        <w:tabs>
          <w:tab w:val="left" w:pos="1560"/>
        </w:tabs>
        <w:ind w:left="1560" w:right="178"/>
        <w:rPr>
          <w:i/>
          <w:sz w:val="24"/>
          <w:lang w:eastAsia="en-AU"/>
        </w:rPr>
      </w:pPr>
      <w:r w:rsidRPr="00CF56DA">
        <w:rPr>
          <w:i/>
          <w:sz w:val="24"/>
          <w:lang w:eastAsia="en-AU"/>
        </w:rPr>
        <w:t xml:space="preserve">Australian Radiation Protection and Nuclear Safety Amendment (2023 Measures No. 1) Regulations 2023 </w:t>
      </w:r>
    </w:p>
    <w:p w14:paraId="1D6485C7" w14:textId="3BAC19B8" w:rsidR="00F22CAA" w:rsidRPr="00CF56DA" w:rsidRDefault="00F22CAA" w:rsidP="00362DDF">
      <w:pPr>
        <w:tabs>
          <w:tab w:val="left" w:pos="1680"/>
        </w:tabs>
        <w:spacing w:before="90"/>
        <w:ind w:left="1680" w:right="178" w:hanging="1560"/>
        <w:rPr>
          <w:i/>
          <w:sz w:val="26"/>
        </w:rPr>
      </w:pPr>
    </w:p>
    <w:p w14:paraId="74F2F2F7" w14:textId="77777777" w:rsidR="00696FFD" w:rsidRPr="00CF56DA" w:rsidRDefault="00696FFD" w:rsidP="00362DDF">
      <w:pPr>
        <w:tabs>
          <w:tab w:val="left" w:pos="6521"/>
        </w:tabs>
        <w:ind w:right="178"/>
        <w:rPr>
          <w:b/>
          <w:sz w:val="24"/>
          <w:lang w:eastAsia="en-AU"/>
        </w:rPr>
      </w:pPr>
    </w:p>
    <w:p w14:paraId="65554F02" w14:textId="24DB4B66" w:rsidR="00E44E9A" w:rsidRPr="00CF56DA" w:rsidRDefault="00E44E9A" w:rsidP="00362DDF">
      <w:pPr>
        <w:ind w:right="178"/>
        <w:rPr>
          <w:sz w:val="24"/>
          <w:lang w:eastAsia="en-AU"/>
        </w:rPr>
      </w:pPr>
      <w:r w:rsidRPr="00CF56DA">
        <w:rPr>
          <w:sz w:val="24"/>
          <w:lang w:eastAsia="en-AU"/>
        </w:rPr>
        <w:t>The instrument supports</w:t>
      </w:r>
      <w:r w:rsidR="00473F01" w:rsidRPr="00CF56DA">
        <w:rPr>
          <w:sz w:val="24"/>
          <w:lang w:eastAsia="en-AU"/>
        </w:rPr>
        <w:t xml:space="preserve"> </w:t>
      </w:r>
      <w:r w:rsidR="00473F01" w:rsidRPr="00CF56DA">
        <w:rPr>
          <w:sz w:val="24"/>
          <w:szCs w:val="24"/>
        </w:rPr>
        <w:t xml:space="preserve">the Australian Radiation Protection and Nuclear Safety Agency </w:t>
      </w:r>
      <w:r w:rsidR="00196BDA" w:rsidRPr="00CF56DA">
        <w:rPr>
          <w:sz w:val="24"/>
          <w:szCs w:val="24"/>
        </w:rPr>
        <w:t xml:space="preserve">(ARPANSA) </w:t>
      </w:r>
      <w:r w:rsidR="00473F01" w:rsidRPr="00CF56DA">
        <w:rPr>
          <w:sz w:val="24"/>
          <w:szCs w:val="24"/>
        </w:rPr>
        <w:t>in the recovery of the increased costs of processing licence applications and make</w:t>
      </w:r>
      <w:r w:rsidR="001745B5" w:rsidRPr="00CF56DA">
        <w:rPr>
          <w:sz w:val="24"/>
          <w:szCs w:val="24"/>
        </w:rPr>
        <w:t>s</w:t>
      </w:r>
      <w:r w:rsidR="00473F01" w:rsidRPr="00CF56DA">
        <w:rPr>
          <w:sz w:val="24"/>
          <w:szCs w:val="24"/>
        </w:rPr>
        <w:t xml:space="preserve"> other minor machinery amendments.</w:t>
      </w:r>
    </w:p>
    <w:p w14:paraId="615F4460" w14:textId="77777777" w:rsidR="00E44E9A" w:rsidRPr="00CF56DA" w:rsidRDefault="00E44E9A" w:rsidP="00362DDF">
      <w:pPr>
        <w:ind w:right="178"/>
        <w:rPr>
          <w:sz w:val="24"/>
          <w:lang w:eastAsia="en-AU"/>
        </w:rPr>
      </w:pPr>
    </w:p>
    <w:p w14:paraId="5CFDC1A6" w14:textId="0D64CB67" w:rsidR="00DB4C84" w:rsidRPr="00CF56DA" w:rsidRDefault="00DB4C84" w:rsidP="00DB4C84">
      <w:pPr>
        <w:ind w:right="95"/>
        <w:rPr>
          <w:sz w:val="24"/>
          <w:szCs w:val="24"/>
          <w:lang w:eastAsia="en-AU"/>
        </w:rPr>
      </w:pPr>
      <w:r w:rsidRPr="00CF56DA">
        <w:rPr>
          <w:sz w:val="24"/>
          <w:szCs w:val="24"/>
          <w:lang w:eastAsia="en-AU"/>
        </w:rPr>
        <w:t xml:space="preserve">The </w:t>
      </w:r>
      <w:r w:rsidRPr="00CF56DA">
        <w:rPr>
          <w:i/>
          <w:iCs/>
          <w:sz w:val="24"/>
          <w:szCs w:val="24"/>
        </w:rPr>
        <w:t xml:space="preserve">Australian Radiation Protection and Nuclear Safety </w:t>
      </w:r>
      <w:r w:rsidRPr="00CF56DA">
        <w:rPr>
          <w:i/>
          <w:iCs/>
          <w:sz w:val="24"/>
          <w:szCs w:val="24"/>
          <w:lang w:eastAsia="en-AU"/>
        </w:rPr>
        <w:t>Act 1998</w:t>
      </w:r>
      <w:r w:rsidRPr="00CF56DA">
        <w:rPr>
          <w:sz w:val="24"/>
          <w:szCs w:val="24"/>
          <w:lang w:eastAsia="en-AU"/>
        </w:rPr>
        <w:t xml:space="preserve"> (the ARPANS Act) has been established to protect the health and safety of people, and the environment, from the harmful effects of radiation. The ARPANS Act established the Chief Executive Officer (CEO) of the </w:t>
      </w:r>
      <w:r w:rsidRPr="00CF56DA">
        <w:rPr>
          <w:sz w:val="24"/>
          <w:szCs w:val="24"/>
        </w:rPr>
        <w:t xml:space="preserve">Australian Radiation Protection and Nuclear Safety Agency </w:t>
      </w:r>
      <w:r w:rsidRPr="00CF56DA">
        <w:rPr>
          <w:sz w:val="24"/>
          <w:szCs w:val="24"/>
          <w:lang w:eastAsia="en-AU"/>
        </w:rPr>
        <w:t>as a statutory office to provide regulatory services for Commonwealth entities that deal with radiation equipment and material or undertake certain activities in relation to radiation facilities and nuclear installations. The CEO of ARPANSA issues licences to Commonwealth entities to ensure that such operations can be undertaken safely, minimising the risk of harm to people or to the environment from the operations.</w:t>
      </w:r>
    </w:p>
    <w:p w14:paraId="2F9C70D0" w14:textId="0DFAF74B" w:rsidR="00696FFD" w:rsidRPr="00CF56DA" w:rsidRDefault="00696FFD" w:rsidP="00362DDF">
      <w:pPr>
        <w:ind w:right="178"/>
        <w:rPr>
          <w:sz w:val="24"/>
          <w:szCs w:val="24"/>
          <w:lang w:eastAsia="en-AU"/>
        </w:rPr>
      </w:pPr>
    </w:p>
    <w:p w14:paraId="38F6EB3C" w14:textId="77777777" w:rsidR="00654CBE" w:rsidRPr="00CF56DA" w:rsidRDefault="00654CBE" w:rsidP="00654CBE">
      <w:pPr>
        <w:ind w:right="95"/>
        <w:rPr>
          <w:sz w:val="24"/>
          <w:szCs w:val="24"/>
          <w:lang w:eastAsia="en-AU"/>
        </w:rPr>
      </w:pPr>
      <w:r w:rsidRPr="00CF56DA">
        <w:rPr>
          <w:sz w:val="24"/>
          <w:szCs w:val="24"/>
          <w:lang w:eastAsia="en-AU"/>
        </w:rPr>
        <w:t xml:space="preserve">Subsection 85(1) of </w:t>
      </w:r>
      <w:r w:rsidRPr="00CF56DA">
        <w:rPr>
          <w:sz w:val="24"/>
          <w:lang w:eastAsia="en-AU"/>
        </w:rPr>
        <w:t xml:space="preserve">the </w:t>
      </w:r>
      <w:r w:rsidRPr="00CF56DA">
        <w:rPr>
          <w:sz w:val="24"/>
          <w:szCs w:val="24"/>
          <w:lang w:eastAsia="en-AU"/>
        </w:rPr>
        <w:t>ARPANS Act provides that the Governor-General may make regulations prescribing matters required or permitted by the Act to be prescribed, or necessary or convenient to be prescribed for carrying out or giving effect to the Act.</w:t>
      </w:r>
    </w:p>
    <w:p w14:paraId="2B09571F" w14:textId="77777777" w:rsidR="00696FFD" w:rsidRPr="00CF56DA" w:rsidRDefault="00696FFD" w:rsidP="00362DDF">
      <w:pPr>
        <w:ind w:right="178"/>
        <w:rPr>
          <w:sz w:val="24"/>
          <w:szCs w:val="24"/>
          <w:lang w:eastAsia="en-AU"/>
        </w:rPr>
      </w:pPr>
    </w:p>
    <w:p w14:paraId="5AF7DA0A" w14:textId="77777777" w:rsidR="00E87508" w:rsidRPr="00CF56DA" w:rsidRDefault="00E87508" w:rsidP="00E87508">
      <w:pPr>
        <w:ind w:right="95"/>
        <w:rPr>
          <w:sz w:val="24"/>
          <w:lang w:eastAsia="en-AU"/>
        </w:rPr>
      </w:pPr>
      <w:r w:rsidRPr="00CF56DA">
        <w:rPr>
          <w:sz w:val="24"/>
          <w:szCs w:val="24"/>
          <w:lang w:eastAsia="en-AU"/>
        </w:rPr>
        <w:t xml:space="preserve">The </w:t>
      </w:r>
      <w:r w:rsidRPr="00CF56DA">
        <w:rPr>
          <w:i/>
          <w:sz w:val="24"/>
          <w:szCs w:val="24"/>
          <w:lang w:eastAsia="en-AU"/>
        </w:rPr>
        <w:t xml:space="preserve">Australian Radiation Protection and Nuclear Safety Regulations 2018 </w:t>
      </w:r>
      <w:r w:rsidRPr="00CF56DA">
        <w:rPr>
          <w:sz w:val="24"/>
          <w:szCs w:val="24"/>
          <w:lang w:eastAsia="en-AU"/>
        </w:rPr>
        <w:t>(the Principal Regulations) prescribe the fees for licence applications to give effect to the ARPANS Act.</w:t>
      </w:r>
    </w:p>
    <w:p w14:paraId="1F102910" w14:textId="77777777" w:rsidR="00696FFD" w:rsidRPr="00CF56DA" w:rsidRDefault="00696FFD" w:rsidP="00362DDF">
      <w:pPr>
        <w:ind w:right="178"/>
        <w:rPr>
          <w:sz w:val="24"/>
          <w:szCs w:val="24"/>
          <w:lang w:eastAsia="en-AU"/>
        </w:rPr>
      </w:pPr>
    </w:p>
    <w:p w14:paraId="2239BB30" w14:textId="3CC10B85" w:rsidR="00380EF5" w:rsidRPr="00CF56DA" w:rsidRDefault="00696FFD" w:rsidP="00380EF5">
      <w:pPr>
        <w:ind w:right="95"/>
        <w:rPr>
          <w:i/>
          <w:iCs/>
          <w:sz w:val="24"/>
          <w:szCs w:val="24"/>
        </w:rPr>
      </w:pPr>
      <w:r w:rsidRPr="00CF56DA">
        <w:rPr>
          <w:sz w:val="24"/>
          <w:szCs w:val="24"/>
          <w:lang w:eastAsia="en-AU"/>
        </w:rPr>
        <w:t xml:space="preserve">The purpose of </w:t>
      </w:r>
      <w:r w:rsidR="00844964" w:rsidRPr="00CF56DA">
        <w:rPr>
          <w:i/>
          <w:iCs/>
          <w:sz w:val="24"/>
          <w:szCs w:val="24"/>
          <w:lang w:eastAsia="en-AU"/>
        </w:rPr>
        <w:t>Australian Radiation Protection and Nuclear Safety Amendment (2023 Measures No. 1) Regulations 2023</w:t>
      </w:r>
      <w:r w:rsidR="00844964" w:rsidRPr="00CF56DA">
        <w:rPr>
          <w:sz w:val="24"/>
          <w:szCs w:val="24"/>
          <w:lang w:eastAsia="en-AU"/>
        </w:rPr>
        <w:t xml:space="preserve"> (</w:t>
      </w:r>
      <w:r w:rsidRPr="00CF56DA">
        <w:rPr>
          <w:sz w:val="24"/>
          <w:szCs w:val="24"/>
          <w:lang w:eastAsia="en-AU"/>
        </w:rPr>
        <w:t>the Regulations</w:t>
      </w:r>
      <w:r w:rsidR="00844964" w:rsidRPr="00CF56DA">
        <w:rPr>
          <w:sz w:val="24"/>
          <w:szCs w:val="24"/>
          <w:lang w:eastAsia="en-AU"/>
        </w:rPr>
        <w:t>)</w:t>
      </w:r>
      <w:r w:rsidRPr="00CF56DA">
        <w:rPr>
          <w:sz w:val="24"/>
          <w:szCs w:val="24"/>
          <w:lang w:eastAsia="en-AU"/>
        </w:rPr>
        <w:t xml:space="preserve"> is to </w:t>
      </w:r>
      <w:r w:rsidR="00380EF5" w:rsidRPr="00CF56DA">
        <w:rPr>
          <w:sz w:val="24"/>
          <w:szCs w:val="24"/>
        </w:rPr>
        <w:t xml:space="preserve">amend the Principal Regulations </w:t>
      </w:r>
      <w:r w:rsidR="00380EF5" w:rsidRPr="00CF56DA">
        <w:rPr>
          <w:rStyle w:val="normalchar1"/>
          <w:iCs/>
        </w:rPr>
        <w:t>to:</w:t>
      </w:r>
    </w:p>
    <w:p w14:paraId="1BCEF077" w14:textId="77777777" w:rsidR="00380EF5" w:rsidRPr="00CF56DA" w:rsidRDefault="00380EF5" w:rsidP="00380EF5">
      <w:pPr>
        <w:pStyle w:val="ListParagraph"/>
        <w:widowControl/>
        <w:numPr>
          <w:ilvl w:val="0"/>
          <w:numId w:val="7"/>
        </w:numPr>
        <w:autoSpaceDE/>
        <w:autoSpaceDN/>
        <w:spacing w:line="264" w:lineRule="auto"/>
        <w:ind w:right="95"/>
        <w:contextualSpacing/>
        <w:rPr>
          <w:spacing w:val="-2"/>
        </w:rPr>
      </w:pPr>
      <w:r w:rsidRPr="00CF56DA">
        <w:rPr>
          <w:spacing w:val="-2"/>
        </w:rPr>
        <w:t>give effect to an annual three per cent increase in fees for applications for licences under the ARPANS Act, from 1 July 2023; and</w:t>
      </w:r>
    </w:p>
    <w:p w14:paraId="6CEBC3E8" w14:textId="77777777" w:rsidR="00380EF5" w:rsidRPr="00CF56DA" w:rsidRDefault="00380EF5" w:rsidP="00380EF5">
      <w:pPr>
        <w:pStyle w:val="ListParagraph"/>
        <w:widowControl/>
        <w:numPr>
          <w:ilvl w:val="0"/>
          <w:numId w:val="7"/>
        </w:numPr>
        <w:autoSpaceDE/>
        <w:autoSpaceDN/>
        <w:spacing w:line="264" w:lineRule="auto"/>
        <w:ind w:right="95"/>
        <w:contextualSpacing/>
      </w:pPr>
      <w:r w:rsidRPr="00CF56DA">
        <w:rPr>
          <w:spacing w:val="-2"/>
        </w:rPr>
        <w:t xml:space="preserve">make other minor amendments that are machinery in nature to streamline administration of the ARPANS Act and to make the Principal Regulations easier to understand for licence holders. </w:t>
      </w:r>
    </w:p>
    <w:p w14:paraId="193EAC07" w14:textId="77777777" w:rsidR="00696FFD" w:rsidRPr="00CF56DA" w:rsidRDefault="00696FFD" w:rsidP="00362DDF">
      <w:pPr>
        <w:ind w:right="178"/>
        <w:rPr>
          <w:sz w:val="24"/>
          <w:szCs w:val="24"/>
          <w:lang w:eastAsia="en-AU"/>
        </w:rPr>
      </w:pPr>
    </w:p>
    <w:p w14:paraId="6680A92F" w14:textId="41AC04A3" w:rsidR="00696FFD" w:rsidRPr="00CF56DA" w:rsidRDefault="00696FFD" w:rsidP="00362DDF">
      <w:pPr>
        <w:ind w:right="178"/>
        <w:rPr>
          <w:sz w:val="24"/>
          <w:szCs w:val="24"/>
          <w:lang w:eastAsia="en-AU"/>
        </w:rPr>
      </w:pPr>
      <w:r w:rsidRPr="00CF56DA">
        <w:rPr>
          <w:sz w:val="24"/>
          <w:szCs w:val="24"/>
          <w:lang w:eastAsia="en-AU"/>
        </w:rPr>
        <w:t xml:space="preserve">The Regulations </w:t>
      </w:r>
      <w:r w:rsidR="00B478CE" w:rsidRPr="00CF56DA">
        <w:rPr>
          <w:sz w:val="24"/>
          <w:szCs w:val="24"/>
          <w:lang w:eastAsia="en-AU"/>
        </w:rPr>
        <w:t xml:space="preserve">ensure the CEO of ARPANSA </w:t>
      </w:r>
      <w:proofErr w:type="gramStart"/>
      <w:r w:rsidR="00B478CE" w:rsidRPr="00CF56DA">
        <w:rPr>
          <w:sz w:val="24"/>
          <w:szCs w:val="24"/>
          <w:lang w:eastAsia="en-AU"/>
        </w:rPr>
        <w:t>is able to</w:t>
      </w:r>
      <w:proofErr w:type="gramEnd"/>
      <w:r w:rsidR="00B478CE" w:rsidRPr="00CF56DA">
        <w:rPr>
          <w:sz w:val="24"/>
          <w:szCs w:val="24"/>
          <w:lang w:eastAsia="en-AU"/>
        </w:rPr>
        <w:t xml:space="preserve"> recover the actual cost of processing applications for licences issued under the ARPANS Act, as part of ARPANSA’s commitment to full cost recovery of ARPANSA’s regulatory services. Recovery of the costs of processing applications for licences is achieved through fees under the authority of the ARPANS Act. </w:t>
      </w:r>
      <w:r w:rsidR="00B478CE" w:rsidRPr="00CF56DA">
        <w:rPr>
          <w:sz w:val="24"/>
          <w:szCs w:val="24"/>
        </w:rPr>
        <w:t xml:space="preserve">The annual indexation amount of three per cent is based on the increase in the actual costs of wages of three per cent </w:t>
      </w:r>
      <w:r w:rsidR="42395A50" w:rsidRPr="00CF56DA">
        <w:rPr>
          <w:sz w:val="24"/>
          <w:szCs w:val="24"/>
        </w:rPr>
        <w:t>during</w:t>
      </w:r>
      <w:r w:rsidR="00B478CE" w:rsidRPr="00CF56DA">
        <w:rPr>
          <w:sz w:val="24"/>
          <w:szCs w:val="24"/>
        </w:rPr>
        <w:t xml:space="preserve"> the financial year 202</w:t>
      </w:r>
      <w:r w:rsidR="00210485" w:rsidRPr="00CF56DA">
        <w:rPr>
          <w:sz w:val="24"/>
          <w:szCs w:val="24"/>
        </w:rPr>
        <w:t>3</w:t>
      </w:r>
      <w:r w:rsidR="00B478CE" w:rsidRPr="00CF56DA">
        <w:rPr>
          <w:sz w:val="24"/>
          <w:szCs w:val="24"/>
        </w:rPr>
        <w:t>-202</w:t>
      </w:r>
      <w:r w:rsidR="00210485" w:rsidRPr="00CF56DA">
        <w:rPr>
          <w:sz w:val="24"/>
          <w:szCs w:val="24"/>
        </w:rPr>
        <w:t>4</w:t>
      </w:r>
      <w:r w:rsidR="00B478CE" w:rsidRPr="00CF56DA">
        <w:rPr>
          <w:sz w:val="24"/>
          <w:szCs w:val="24"/>
        </w:rPr>
        <w:t xml:space="preserve">. </w:t>
      </w:r>
      <w:r w:rsidR="00B478CE" w:rsidRPr="00CF56DA">
        <w:rPr>
          <w:sz w:val="24"/>
          <w:szCs w:val="24"/>
          <w:lang w:eastAsia="en-AU"/>
        </w:rPr>
        <w:t>The annual increase of three per cent in fees for processing of applications for licence</w:t>
      </w:r>
      <w:r w:rsidR="15E7D7F9" w:rsidRPr="00CF56DA">
        <w:rPr>
          <w:sz w:val="24"/>
          <w:szCs w:val="24"/>
          <w:lang w:eastAsia="en-AU"/>
        </w:rPr>
        <w:t>s</w:t>
      </w:r>
      <w:r w:rsidR="00B478CE" w:rsidRPr="00CF56DA">
        <w:rPr>
          <w:sz w:val="24"/>
          <w:szCs w:val="24"/>
          <w:lang w:eastAsia="en-AU"/>
        </w:rPr>
        <w:t xml:space="preserve"> </w:t>
      </w:r>
      <w:r w:rsidR="00354035" w:rsidRPr="00CF56DA">
        <w:rPr>
          <w:sz w:val="24"/>
          <w:szCs w:val="24"/>
          <w:lang w:eastAsia="en-AU"/>
        </w:rPr>
        <w:t xml:space="preserve">is </w:t>
      </w:r>
      <w:r w:rsidR="00B478CE" w:rsidRPr="00CF56DA">
        <w:rPr>
          <w:sz w:val="24"/>
          <w:szCs w:val="24"/>
          <w:lang w:eastAsia="en-AU"/>
        </w:rPr>
        <w:t xml:space="preserve">achieved by giving effect to the </w:t>
      </w:r>
      <w:r w:rsidR="00B478CE" w:rsidRPr="00CF56DA">
        <w:rPr>
          <w:sz w:val="24"/>
          <w:szCs w:val="24"/>
        </w:rPr>
        <w:t>Regulations.</w:t>
      </w:r>
    </w:p>
    <w:p w14:paraId="65A75456" w14:textId="77777777" w:rsidR="00696FFD" w:rsidRPr="00CF56DA" w:rsidRDefault="00696FFD" w:rsidP="00362DDF">
      <w:pPr>
        <w:ind w:right="178"/>
        <w:rPr>
          <w:sz w:val="24"/>
          <w:szCs w:val="24"/>
          <w:lang w:eastAsia="en-AU"/>
        </w:rPr>
      </w:pPr>
    </w:p>
    <w:p w14:paraId="5BB977AC" w14:textId="1344D505" w:rsidR="003072CB" w:rsidRPr="00CF56DA" w:rsidRDefault="00BE66C9" w:rsidP="00362DDF">
      <w:pPr>
        <w:ind w:right="178"/>
        <w:rPr>
          <w:sz w:val="24"/>
          <w:szCs w:val="24"/>
          <w:lang w:eastAsia="en-AU"/>
        </w:rPr>
      </w:pPr>
      <w:r w:rsidRPr="00CF56DA">
        <w:rPr>
          <w:sz w:val="24"/>
          <w:szCs w:val="24"/>
          <w:lang w:eastAsia="en-AU"/>
        </w:rPr>
        <w:t xml:space="preserve">All licence holders have been consulted about the proposed amendments. All licence holders are Commonwealth entities, </w:t>
      </w:r>
      <w:proofErr w:type="gramStart"/>
      <w:r w:rsidRPr="00CF56DA">
        <w:rPr>
          <w:sz w:val="24"/>
          <w:szCs w:val="24"/>
          <w:lang w:eastAsia="en-AU"/>
        </w:rPr>
        <w:t>with the exception of</w:t>
      </w:r>
      <w:proofErr w:type="gramEnd"/>
      <w:r w:rsidRPr="00CF56DA">
        <w:rPr>
          <w:sz w:val="24"/>
          <w:szCs w:val="24"/>
          <w:lang w:eastAsia="en-AU"/>
        </w:rPr>
        <w:t xml:space="preserve"> the publicly listed Silex Systems Limited. ARPANSA wrote to licence holders about the proposed amendments inviting feedback on the amendments over the consultation period of 11 November 2022 to 16 December 2022. No negative feedback was received by ARPANSA. Licence holders were overall supportive of the proposed amendments</w:t>
      </w:r>
    </w:p>
    <w:p w14:paraId="52ACCC6D" w14:textId="77777777" w:rsidR="00BE66C9" w:rsidRPr="00CF56DA" w:rsidRDefault="00BE66C9" w:rsidP="00362DDF">
      <w:pPr>
        <w:ind w:right="178"/>
        <w:rPr>
          <w:sz w:val="24"/>
          <w:szCs w:val="24"/>
          <w:lang w:eastAsia="en-AU"/>
        </w:rPr>
      </w:pPr>
    </w:p>
    <w:p w14:paraId="7530E702" w14:textId="1B809D98" w:rsidR="003072CB" w:rsidRPr="00CF56DA" w:rsidRDefault="003072CB" w:rsidP="00362DDF">
      <w:pPr>
        <w:ind w:right="178"/>
        <w:rPr>
          <w:sz w:val="24"/>
          <w:szCs w:val="24"/>
          <w:lang w:eastAsia="en-AU"/>
        </w:rPr>
      </w:pPr>
      <w:r w:rsidRPr="00CF56DA">
        <w:rPr>
          <w:sz w:val="24"/>
          <w:szCs w:val="24"/>
          <w:lang w:eastAsia="en-AU"/>
        </w:rPr>
        <w:t xml:space="preserve">The Act specifies no conditions that need to be satisfied before the power to make the Regulations may be exercised. </w:t>
      </w:r>
    </w:p>
    <w:p w14:paraId="701B3CA6" w14:textId="77777777" w:rsidR="003072CB" w:rsidRPr="00CF56DA" w:rsidRDefault="003072CB" w:rsidP="00362DDF">
      <w:pPr>
        <w:tabs>
          <w:tab w:val="left" w:pos="6521"/>
        </w:tabs>
        <w:ind w:right="178"/>
        <w:rPr>
          <w:sz w:val="24"/>
          <w:lang w:eastAsia="en-AU"/>
        </w:rPr>
      </w:pPr>
    </w:p>
    <w:p w14:paraId="5FF28F22" w14:textId="3DB7030A" w:rsidR="003072CB" w:rsidRPr="00CF56DA" w:rsidRDefault="003072CB" w:rsidP="00362DDF">
      <w:pPr>
        <w:tabs>
          <w:tab w:val="left" w:pos="6521"/>
        </w:tabs>
        <w:ind w:right="178"/>
        <w:rPr>
          <w:sz w:val="24"/>
          <w:lang w:eastAsia="en-AU"/>
        </w:rPr>
      </w:pPr>
      <w:r w:rsidRPr="00CF56DA">
        <w:rPr>
          <w:sz w:val="24"/>
          <w:lang w:eastAsia="en-AU"/>
        </w:rPr>
        <w:t xml:space="preserve">The Regulations </w:t>
      </w:r>
      <w:r w:rsidR="00D01171" w:rsidRPr="00CF56DA">
        <w:rPr>
          <w:sz w:val="24"/>
          <w:lang w:eastAsia="en-AU"/>
        </w:rPr>
        <w:t xml:space="preserve">are </w:t>
      </w:r>
      <w:r w:rsidRPr="00CF56DA">
        <w:rPr>
          <w:sz w:val="24"/>
          <w:lang w:eastAsia="en-AU"/>
        </w:rPr>
        <w:t xml:space="preserve">a legislative instrument for the purposes of the </w:t>
      </w:r>
      <w:r w:rsidRPr="00CF56DA">
        <w:rPr>
          <w:i/>
          <w:sz w:val="24"/>
          <w:lang w:eastAsia="en-AU"/>
        </w:rPr>
        <w:t>Legislation Act 2003</w:t>
      </w:r>
      <w:r w:rsidRPr="00CF56DA">
        <w:rPr>
          <w:sz w:val="24"/>
          <w:lang w:eastAsia="en-AU"/>
        </w:rPr>
        <w:t>.</w:t>
      </w:r>
    </w:p>
    <w:p w14:paraId="7769FBAA" w14:textId="77777777" w:rsidR="003072CB" w:rsidRPr="00CF56DA" w:rsidRDefault="003072CB" w:rsidP="00362DDF">
      <w:pPr>
        <w:tabs>
          <w:tab w:val="center" w:pos="4111"/>
          <w:tab w:val="left" w:pos="4536"/>
        </w:tabs>
        <w:ind w:right="178"/>
        <w:rPr>
          <w:sz w:val="24"/>
          <w:lang w:eastAsia="en-AU"/>
        </w:rPr>
      </w:pPr>
      <w:r w:rsidRPr="00CF56DA">
        <w:rPr>
          <w:sz w:val="24"/>
          <w:lang w:eastAsia="en-AU"/>
        </w:rPr>
        <w:tab/>
      </w:r>
    </w:p>
    <w:p w14:paraId="37E8B3AD" w14:textId="2487A94B" w:rsidR="003072CB" w:rsidRPr="00CF56DA" w:rsidRDefault="003072CB" w:rsidP="00362DDF">
      <w:pPr>
        <w:tabs>
          <w:tab w:val="left" w:pos="6521"/>
        </w:tabs>
        <w:ind w:right="178"/>
        <w:rPr>
          <w:sz w:val="24"/>
          <w:lang w:eastAsia="en-AU"/>
        </w:rPr>
      </w:pPr>
      <w:r w:rsidRPr="00CF56DA">
        <w:rPr>
          <w:sz w:val="24"/>
          <w:lang w:eastAsia="en-AU"/>
        </w:rPr>
        <w:t xml:space="preserve">The </w:t>
      </w:r>
      <w:r w:rsidR="00D01171" w:rsidRPr="00CF56DA">
        <w:rPr>
          <w:sz w:val="24"/>
          <w:lang w:eastAsia="en-AU"/>
        </w:rPr>
        <w:t xml:space="preserve">Regulations </w:t>
      </w:r>
      <w:r w:rsidRPr="00CF56DA">
        <w:rPr>
          <w:sz w:val="24"/>
          <w:lang w:eastAsia="en-AU"/>
        </w:rPr>
        <w:t>commence on 1 July 2023.</w:t>
      </w:r>
    </w:p>
    <w:p w14:paraId="7541C4B1" w14:textId="77777777" w:rsidR="003072CB" w:rsidRPr="00CF56DA" w:rsidRDefault="003072CB" w:rsidP="00362DDF">
      <w:pPr>
        <w:tabs>
          <w:tab w:val="left" w:pos="6521"/>
        </w:tabs>
        <w:ind w:right="178"/>
        <w:rPr>
          <w:sz w:val="24"/>
          <w:lang w:eastAsia="en-AU"/>
        </w:rPr>
      </w:pPr>
    </w:p>
    <w:p w14:paraId="7723BA20" w14:textId="043DC4F9" w:rsidR="003072CB" w:rsidRPr="00CF56DA" w:rsidRDefault="003072CB" w:rsidP="00362DDF">
      <w:pPr>
        <w:tabs>
          <w:tab w:val="left" w:pos="6521"/>
        </w:tabs>
        <w:ind w:right="178"/>
        <w:rPr>
          <w:sz w:val="24"/>
          <w:lang w:eastAsia="en-AU"/>
        </w:rPr>
      </w:pPr>
      <w:r w:rsidRPr="00CF56DA">
        <w:rPr>
          <w:sz w:val="24"/>
          <w:lang w:eastAsia="en-AU"/>
        </w:rPr>
        <w:t xml:space="preserve">Details of the Regulations are set out in the </w:t>
      </w:r>
      <w:r w:rsidRPr="00CF56DA">
        <w:rPr>
          <w:sz w:val="24"/>
          <w:u w:val="single"/>
          <w:lang w:eastAsia="en-AU"/>
        </w:rPr>
        <w:t>Attachment</w:t>
      </w:r>
      <w:r w:rsidRPr="00CF56DA">
        <w:rPr>
          <w:sz w:val="24"/>
          <w:lang w:eastAsia="en-AU"/>
        </w:rPr>
        <w:t>.</w:t>
      </w:r>
    </w:p>
    <w:p w14:paraId="1D6485DF" w14:textId="77777777" w:rsidR="00F22CAA" w:rsidRPr="00CF56DA" w:rsidRDefault="00F22CAA" w:rsidP="00362DDF">
      <w:pPr>
        <w:pStyle w:val="BodyText"/>
        <w:ind w:right="178"/>
      </w:pPr>
    </w:p>
    <w:p w14:paraId="1D6485E5" w14:textId="77777777" w:rsidR="00F22CAA" w:rsidRPr="00CF56DA" w:rsidRDefault="00F22CAA" w:rsidP="00362DDF">
      <w:pPr>
        <w:pStyle w:val="BodyText"/>
        <w:spacing w:before="9"/>
        <w:ind w:right="178"/>
        <w:rPr>
          <w:sz w:val="36"/>
        </w:rPr>
      </w:pPr>
    </w:p>
    <w:p w14:paraId="1D6485E6" w14:textId="345FFA93" w:rsidR="00F22CAA" w:rsidRPr="00CF56DA" w:rsidRDefault="00F57EEE" w:rsidP="00362DDF">
      <w:pPr>
        <w:ind w:left="4657" w:right="178"/>
        <w:rPr>
          <w:i/>
          <w:sz w:val="24"/>
        </w:rPr>
      </w:pPr>
      <w:r w:rsidRPr="00CF56DA">
        <w:rPr>
          <w:sz w:val="24"/>
          <w:u w:val="single"/>
        </w:rPr>
        <w:t>Authority:</w:t>
      </w:r>
      <w:r w:rsidRPr="00CF56DA">
        <w:rPr>
          <w:spacing w:val="1"/>
          <w:sz w:val="24"/>
        </w:rPr>
        <w:t xml:space="preserve"> </w:t>
      </w:r>
      <w:r w:rsidR="00362DDF" w:rsidRPr="00CF56DA">
        <w:rPr>
          <w:spacing w:val="1"/>
          <w:sz w:val="24"/>
        </w:rPr>
        <w:t xml:space="preserve"> </w:t>
      </w:r>
      <w:r w:rsidRPr="00CF56DA">
        <w:rPr>
          <w:sz w:val="24"/>
        </w:rPr>
        <w:t>Section</w:t>
      </w:r>
      <w:r w:rsidRPr="00CF56DA">
        <w:rPr>
          <w:spacing w:val="-1"/>
          <w:sz w:val="24"/>
        </w:rPr>
        <w:t xml:space="preserve"> </w:t>
      </w:r>
      <w:r w:rsidR="00FB48EF" w:rsidRPr="00CF56DA">
        <w:rPr>
          <w:spacing w:val="-1"/>
          <w:sz w:val="24"/>
        </w:rPr>
        <w:t>85</w:t>
      </w:r>
      <w:r w:rsidRPr="00CF56DA">
        <w:rPr>
          <w:sz w:val="24"/>
        </w:rPr>
        <w:t xml:space="preserve"> of</w:t>
      </w:r>
      <w:r w:rsidRPr="00CF56DA">
        <w:rPr>
          <w:spacing w:val="-2"/>
          <w:sz w:val="24"/>
        </w:rPr>
        <w:t xml:space="preserve"> </w:t>
      </w:r>
      <w:r w:rsidRPr="00CF56DA">
        <w:rPr>
          <w:sz w:val="24"/>
        </w:rPr>
        <w:t xml:space="preserve">the </w:t>
      </w:r>
      <w:r w:rsidRPr="00CF56DA">
        <w:rPr>
          <w:i/>
          <w:sz w:val="24"/>
        </w:rPr>
        <w:t>Australian</w:t>
      </w:r>
    </w:p>
    <w:p w14:paraId="1D6485E7" w14:textId="5966A28F" w:rsidR="00F22CAA" w:rsidRPr="00CF56DA" w:rsidRDefault="00F57EEE" w:rsidP="00362DDF">
      <w:pPr>
        <w:spacing w:before="29" w:line="264" w:lineRule="auto"/>
        <w:ind w:left="5792" w:right="178"/>
        <w:rPr>
          <w:i/>
          <w:sz w:val="24"/>
        </w:rPr>
      </w:pPr>
      <w:r w:rsidRPr="00CF56DA">
        <w:rPr>
          <w:i/>
          <w:sz w:val="24"/>
        </w:rPr>
        <w:t>Radiation Protection and Nuclear</w:t>
      </w:r>
      <w:r w:rsidRPr="00CF56DA">
        <w:rPr>
          <w:i/>
          <w:spacing w:val="1"/>
          <w:sz w:val="24"/>
        </w:rPr>
        <w:t xml:space="preserve"> </w:t>
      </w:r>
      <w:r w:rsidRPr="00CF56DA">
        <w:rPr>
          <w:i/>
          <w:sz w:val="24"/>
        </w:rPr>
        <w:t>Safety</w:t>
      </w:r>
      <w:r w:rsidRPr="00CF56DA">
        <w:rPr>
          <w:i/>
          <w:spacing w:val="-6"/>
          <w:sz w:val="24"/>
        </w:rPr>
        <w:t xml:space="preserve"> </w:t>
      </w:r>
      <w:r w:rsidRPr="00CF56DA">
        <w:rPr>
          <w:i/>
          <w:sz w:val="24"/>
        </w:rPr>
        <w:t>Act</w:t>
      </w:r>
      <w:r w:rsidRPr="00CF56DA">
        <w:rPr>
          <w:i/>
          <w:spacing w:val="-4"/>
          <w:sz w:val="24"/>
        </w:rPr>
        <w:t xml:space="preserve"> </w:t>
      </w:r>
      <w:r w:rsidRPr="00CF56DA">
        <w:rPr>
          <w:i/>
          <w:sz w:val="24"/>
        </w:rPr>
        <w:t>1998</w:t>
      </w:r>
    </w:p>
    <w:p w14:paraId="1D6485E8" w14:textId="77777777" w:rsidR="00F22CAA" w:rsidRPr="00CF56DA" w:rsidRDefault="00F22CAA">
      <w:pPr>
        <w:spacing w:line="264" w:lineRule="auto"/>
        <w:rPr>
          <w:sz w:val="24"/>
        </w:rPr>
        <w:sectPr w:rsidR="00F22CAA" w:rsidRPr="00CF56DA" w:rsidSect="003072CB">
          <w:footerReference w:type="default" r:id="rId10"/>
          <w:type w:val="continuous"/>
          <w:pgSz w:w="11910" w:h="16840"/>
          <w:pgMar w:top="1360" w:right="1340" w:bottom="960" w:left="1320" w:header="0" w:footer="773" w:gutter="0"/>
          <w:pgNumType w:start="2"/>
          <w:cols w:space="720"/>
        </w:sectPr>
      </w:pPr>
    </w:p>
    <w:p w14:paraId="1D6485E9" w14:textId="77777777" w:rsidR="00F22CAA" w:rsidRPr="00CF56DA" w:rsidRDefault="00F57EEE">
      <w:pPr>
        <w:spacing w:before="60"/>
        <w:ind w:right="188"/>
        <w:jc w:val="right"/>
        <w:rPr>
          <w:b/>
          <w:sz w:val="24"/>
        </w:rPr>
      </w:pPr>
      <w:r w:rsidRPr="00CF56DA">
        <w:rPr>
          <w:b/>
          <w:sz w:val="24"/>
          <w:u w:val="single"/>
        </w:rPr>
        <w:lastRenderedPageBreak/>
        <w:t>ATTACHMENT</w:t>
      </w:r>
    </w:p>
    <w:p w14:paraId="1D6485EA" w14:textId="77777777" w:rsidR="00F22CAA" w:rsidRPr="00CF56DA" w:rsidRDefault="00F22CAA">
      <w:pPr>
        <w:pStyle w:val="BodyText"/>
        <w:spacing w:before="3"/>
        <w:rPr>
          <w:b/>
          <w:sz w:val="16"/>
        </w:rPr>
      </w:pPr>
    </w:p>
    <w:p w14:paraId="1D6485EB" w14:textId="4725FD24" w:rsidR="00F22CAA" w:rsidRPr="00CF56DA" w:rsidRDefault="00F57EEE" w:rsidP="006D1664">
      <w:pPr>
        <w:spacing w:before="90"/>
        <w:ind w:right="36"/>
        <w:rPr>
          <w:b/>
          <w:i/>
          <w:sz w:val="24"/>
        </w:rPr>
      </w:pPr>
      <w:r w:rsidRPr="00CF56DA">
        <w:rPr>
          <w:b/>
          <w:sz w:val="24"/>
          <w:u w:val="single"/>
        </w:rPr>
        <w:t xml:space="preserve">Details of the </w:t>
      </w:r>
      <w:r w:rsidR="0023359E" w:rsidRPr="00CF56DA">
        <w:rPr>
          <w:b/>
          <w:i/>
          <w:iCs/>
          <w:sz w:val="24"/>
          <w:u w:val="single"/>
        </w:rPr>
        <w:t>Australian Radiation Protection and Nuclear Safety Amendment (2023 Measures No. 1) Regulations 2023</w:t>
      </w:r>
    </w:p>
    <w:p w14:paraId="1D6485EC" w14:textId="77777777" w:rsidR="00F22CAA" w:rsidRPr="00CF56DA" w:rsidRDefault="00F22CAA">
      <w:pPr>
        <w:pStyle w:val="BodyText"/>
        <w:spacing w:before="2"/>
        <w:rPr>
          <w:b/>
          <w:i/>
          <w:sz w:val="16"/>
        </w:rPr>
      </w:pPr>
    </w:p>
    <w:p w14:paraId="1D6485ED" w14:textId="77777777" w:rsidR="00F22CAA" w:rsidRPr="00CF56DA" w:rsidRDefault="00F57EEE" w:rsidP="00362DDF">
      <w:pPr>
        <w:pStyle w:val="BodyText"/>
        <w:spacing w:before="90"/>
        <w:ind w:right="178"/>
      </w:pPr>
      <w:r w:rsidRPr="00CF56DA">
        <w:rPr>
          <w:u w:val="single"/>
        </w:rPr>
        <w:t>Section</w:t>
      </w:r>
      <w:r w:rsidRPr="00CF56DA">
        <w:rPr>
          <w:spacing w:val="-1"/>
          <w:u w:val="single"/>
        </w:rPr>
        <w:t xml:space="preserve"> </w:t>
      </w:r>
      <w:r w:rsidRPr="00CF56DA">
        <w:rPr>
          <w:u w:val="single"/>
        </w:rPr>
        <w:t>1 -</w:t>
      </w:r>
      <w:r w:rsidRPr="00CF56DA">
        <w:rPr>
          <w:spacing w:val="-2"/>
          <w:u w:val="single"/>
        </w:rPr>
        <w:t xml:space="preserve"> </w:t>
      </w:r>
      <w:r w:rsidRPr="00CF56DA">
        <w:rPr>
          <w:u w:val="single"/>
        </w:rPr>
        <w:t>Name of</w:t>
      </w:r>
      <w:r w:rsidRPr="00CF56DA">
        <w:rPr>
          <w:spacing w:val="-3"/>
          <w:u w:val="single"/>
        </w:rPr>
        <w:t xml:space="preserve"> </w:t>
      </w:r>
      <w:r w:rsidRPr="00CF56DA">
        <w:rPr>
          <w:u w:val="single"/>
        </w:rPr>
        <w:t>Regulations</w:t>
      </w:r>
    </w:p>
    <w:p w14:paraId="1D6485EE" w14:textId="77777777" w:rsidR="00F22CAA" w:rsidRPr="00CF56DA" w:rsidRDefault="00F22CAA" w:rsidP="00362DDF">
      <w:pPr>
        <w:pStyle w:val="BodyText"/>
        <w:spacing w:before="2"/>
        <w:ind w:right="178"/>
        <w:rPr>
          <w:sz w:val="16"/>
        </w:rPr>
      </w:pPr>
    </w:p>
    <w:p w14:paraId="1D6485EF" w14:textId="2C404004" w:rsidR="00F22CAA" w:rsidRPr="00CF56DA" w:rsidRDefault="00F57EEE" w:rsidP="00362DDF">
      <w:pPr>
        <w:spacing w:before="90"/>
        <w:ind w:right="178"/>
        <w:rPr>
          <w:i/>
          <w:sz w:val="24"/>
        </w:rPr>
      </w:pPr>
      <w:r w:rsidRPr="00CF56DA">
        <w:rPr>
          <w:sz w:val="24"/>
        </w:rPr>
        <w:t xml:space="preserve">This section provides that the title of the Regulations is the </w:t>
      </w:r>
      <w:r w:rsidRPr="00CF56DA">
        <w:rPr>
          <w:i/>
          <w:sz w:val="24"/>
        </w:rPr>
        <w:t>Australian Radiation P</w:t>
      </w:r>
      <w:r w:rsidR="00362DDF" w:rsidRPr="00CF56DA">
        <w:rPr>
          <w:i/>
          <w:sz w:val="24"/>
        </w:rPr>
        <w:t xml:space="preserve">rotection and </w:t>
      </w:r>
      <w:r w:rsidRPr="00CF56DA">
        <w:rPr>
          <w:i/>
          <w:sz w:val="24"/>
        </w:rPr>
        <w:t>Nuclear</w:t>
      </w:r>
      <w:r w:rsidRPr="00CF56DA">
        <w:rPr>
          <w:i/>
          <w:spacing w:val="-1"/>
          <w:sz w:val="24"/>
        </w:rPr>
        <w:t xml:space="preserve"> </w:t>
      </w:r>
      <w:r w:rsidRPr="00CF56DA">
        <w:rPr>
          <w:i/>
          <w:sz w:val="24"/>
        </w:rPr>
        <w:t>Safety</w:t>
      </w:r>
      <w:r w:rsidRPr="00CF56DA">
        <w:rPr>
          <w:i/>
          <w:spacing w:val="-1"/>
          <w:sz w:val="24"/>
        </w:rPr>
        <w:t xml:space="preserve"> </w:t>
      </w:r>
      <w:r w:rsidRPr="00CF56DA">
        <w:rPr>
          <w:i/>
          <w:sz w:val="24"/>
        </w:rPr>
        <w:t>Amendment</w:t>
      </w:r>
      <w:r w:rsidRPr="00CF56DA">
        <w:rPr>
          <w:i/>
          <w:spacing w:val="-1"/>
          <w:sz w:val="24"/>
        </w:rPr>
        <w:t xml:space="preserve"> </w:t>
      </w:r>
      <w:r w:rsidRPr="00CF56DA">
        <w:rPr>
          <w:i/>
          <w:sz w:val="24"/>
        </w:rPr>
        <w:t>(</w:t>
      </w:r>
      <w:r w:rsidR="003F7290" w:rsidRPr="00CF56DA">
        <w:rPr>
          <w:i/>
          <w:sz w:val="24"/>
        </w:rPr>
        <w:t>2023 Measures No</w:t>
      </w:r>
      <w:r w:rsidRPr="00CF56DA">
        <w:rPr>
          <w:i/>
          <w:sz w:val="24"/>
        </w:rPr>
        <w:t>.</w:t>
      </w:r>
      <w:r w:rsidR="003F7290" w:rsidRPr="00CF56DA">
        <w:rPr>
          <w:i/>
          <w:sz w:val="24"/>
        </w:rPr>
        <w:t xml:space="preserve"> </w:t>
      </w:r>
      <w:r w:rsidR="0064332C" w:rsidRPr="00CF56DA">
        <w:rPr>
          <w:i/>
          <w:sz w:val="24"/>
        </w:rPr>
        <w:t>1</w:t>
      </w:r>
      <w:r w:rsidRPr="00CF56DA">
        <w:rPr>
          <w:i/>
          <w:sz w:val="24"/>
        </w:rPr>
        <w:t>) Regulations 202</w:t>
      </w:r>
      <w:r w:rsidR="0064332C" w:rsidRPr="00CF56DA">
        <w:rPr>
          <w:i/>
          <w:sz w:val="24"/>
        </w:rPr>
        <w:t>3</w:t>
      </w:r>
      <w:r w:rsidRPr="00CF56DA">
        <w:rPr>
          <w:i/>
          <w:sz w:val="24"/>
        </w:rPr>
        <w:t>.</w:t>
      </w:r>
    </w:p>
    <w:p w14:paraId="1D6485F0" w14:textId="77777777" w:rsidR="00F22CAA" w:rsidRPr="00CF56DA" w:rsidRDefault="00F22CAA" w:rsidP="00362DDF">
      <w:pPr>
        <w:pStyle w:val="BodyText"/>
        <w:ind w:right="178"/>
        <w:rPr>
          <w:i/>
        </w:rPr>
      </w:pPr>
    </w:p>
    <w:p w14:paraId="1D6485F1" w14:textId="77777777" w:rsidR="00F22CAA" w:rsidRPr="00CF56DA" w:rsidRDefault="00F57EEE" w:rsidP="00362DDF">
      <w:pPr>
        <w:pStyle w:val="BodyText"/>
        <w:ind w:right="178"/>
      </w:pPr>
      <w:r w:rsidRPr="00CF56DA">
        <w:rPr>
          <w:u w:val="single"/>
        </w:rPr>
        <w:t>Section</w:t>
      </w:r>
      <w:r w:rsidRPr="00CF56DA">
        <w:rPr>
          <w:spacing w:val="-1"/>
          <w:u w:val="single"/>
        </w:rPr>
        <w:t xml:space="preserve"> </w:t>
      </w:r>
      <w:r w:rsidRPr="00CF56DA">
        <w:rPr>
          <w:u w:val="single"/>
        </w:rPr>
        <w:t>2</w:t>
      </w:r>
      <w:r w:rsidRPr="00CF56DA">
        <w:rPr>
          <w:spacing w:val="-1"/>
          <w:u w:val="single"/>
        </w:rPr>
        <w:t xml:space="preserve"> </w:t>
      </w:r>
      <w:r w:rsidRPr="00CF56DA">
        <w:rPr>
          <w:u w:val="single"/>
        </w:rPr>
        <w:t>-</w:t>
      </w:r>
      <w:r w:rsidRPr="00CF56DA">
        <w:rPr>
          <w:spacing w:val="-2"/>
          <w:u w:val="single"/>
        </w:rPr>
        <w:t xml:space="preserve"> </w:t>
      </w:r>
      <w:r w:rsidRPr="00CF56DA">
        <w:rPr>
          <w:u w:val="single"/>
        </w:rPr>
        <w:t>Commencement</w:t>
      </w:r>
    </w:p>
    <w:p w14:paraId="1D6485F2" w14:textId="77777777" w:rsidR="00F22CAA" w:rsidRPr="00CF56DA" w:rsidRDefault="00F22CAA" w:rsidP="00362DDF">
      <w:pPr>
        <w:pStyle w:val="BodyText"/>
        <w:spacing w:before="2"/>
        <w:ind w:right="178"/>
        <w:rPr>
          <w:sz w:val="16"/>
        </w:rPr>
      </w:pPr>
    </w:p>
    <w:p w14:paraId="4F8DB5AF" w14:textId="77777777" w:rsidR="008952D3" w:rsidRPr="00CF56DA" w:rsidRDefault="00F57EEE" w:rsidP="00362DDF">
      <w:pPr>
        <w:pStyle w:val="BodyText"/>
        <w:spacing w:before="90" w:line="480" w:lineRule="auto"/>
        <w:ind w:right="178"/>
        <w:rPr>
          <w:spacing w:val="-57"/>
        </w:rPr>
      </w:pPr>
      <w:r w:rsidRPr="00CF56DA">
        <w:t>This section provides for the Regulations to commence on 1 July 202</w:t>
      </w:r>
      <w:r w:rsidR="0064332C" w:rsidRPr="00CF56DA">
        <w:t>3</w:t>
      </w:r>
      <w:r w:rsidRPr="00CF56DA">
        <w:t>.</w:t>
      </w:r>
      <w:r w:rsidRPr="00CF56DA">
        <w:rPr>
          <w:spacing w:val="-57"/>
        </w:rPr>
        <w:t xml:space="preserve"> </w:t>
      </w:r>
    </w:p>
    <w:p w14:paraId="1D6485F3" w14:textId="682ADDD9" w:rsidR="00F22CAA" w:rsidRPr="00CF56DA" w:rsidRDefault="00F57EEE" w:rsidP="00362DDF">
      <w:pPr>
        <w:pStyle w:val="BodyText"/>
        <w:spacing w:before="90" w:line="480" w:lineRule="auto"/>
        <w:ind w:right="178"/>
      </w:pPr>
      <w:r w:rsidRPr="00CF56DA">
        <w:rPr>
          <w:u w:val="single"/>
        </w:rPr>
        <w:t>Section</w:t>
      </w:r>
      <w:r w:rsidRPr="00CF56DA">
        <w:rPr>
          <w:spacing w:val="-1"/>
          <w:u w:val="single"/>
        </w:rPr>
        <w:t xml:space="preserve"> </w:t>
      </w:r>
      <w:r w:rsidRPr="00CF56DA">
        <w:rPr>
          <w:u w:val="single"/>
        </w:rPr>
        <w:t>3 -</w:t>
      </w:r>
      <w:r w:rsidRPr="00CF56DA">
        <w:rPr>
          <w:spacing w:val="-1"/>
          <w:u w:val="single"/>
        </w:rPr>
        <w:t xml:space="preserve"> </w:t>
      </w:r>
      <w:r w:rsidRPr="00CF56DA">
        <w:rPr>
          <w:u w:val="single"/>
        </w:rPr>
        <w:t>Authority</w:t>
      </w:r>
    </w:p>
    <w:p w14:paraId="1D6485F4" w14:textId="31C58F74" w:rsidR="00F22CAA" w:rsidRPr="00CF56DA" w:rsidRDefault="00F57EEE" w:rsidP="00362DDF">
      <w:pPr>
        <w:tabs>
          <w:tab w:val="left" w:pos="8906"/>
        </w:tabs>
        <w:spacing w:before="1"/>
        <w:ind w:right="178"/>
        <w:rPr>
          <w:sz w:val="24"/>
        </w:rPr>
      </w:pPr>
      <w:r w:rsidRPr="00CF56DA">
        <w:rPr>
          <w:sz w:val="24"/>
        </w:rPr>
        <w:t xml:space="preserve">This section provides that the </w:t>
      </w:r>
      <w:r w:rsidR="003279B9" w:rsidRPr="00CF56DA">
        <w:rPr>
          <w:i/>
          <w:sz w:val="24"/>
        </w:rPr>
        <w:t>Australian Radiation</w:t>
      </w:r>
      <w:r w:rsidR="008952D3" w:rsidRPr="00CF56DA">
        <w:rPr>
          <w:i/>
          <w:sz w:val="24"/>
        </w:rPr>
        <w:t xml:space="preserve"> Protection and Nuclear Safety</w:t>
      </w:r>
      <w:r w:rsidR="003279B9" w:rsidRPr="00CF56DA">
        <w:rPr>
          <w:i/>
          <w:sz w:val="24"/>
        </w:rPr>
        <w:t xml:space="preserve"> Amendment</w:t>
      </w:r>
      <w:r w:rsidR="003279B9" w:rsidRPr="00CF56DA">
        <w:rPr>
          <w:i/>
          <w:spacing w:val="-1"/>
          <w:sz w:val="24"/>
        </w:rPr>
        <w:t xml:space="preserve"> </w:t>
      </w:r>
      <w:r w:rsidR="003279B9" w:rsidRPr="00CF56DA">
        <w:rPr>
          <w:i/>
          <w:sz w:val="24"/>
        </w:rPr>
        <w:t>(2023 Measures No. 1) Regulations 2023</w:t>
      </w:r>
      <w:r w:rsidRPr="00CF56DA">
        <w:rPr>
          <w:i/>
          <w:sz w:val="24"/>
        </w:rPr>
        <w:t xml:space="preserve"> </w:t>
      </w:r>
      <w:r w:rsidR="00E517C6" w:rsidRPr="00CF56DA">
        <w:rPr>
          <w:sz w:val="24"/>
        </w:rPr>
        <w:t xml:space="preserve">are </w:t>
      </w:r>
      <w:r w:rsidRPr="00CF56DA">
        <w:rPr>
          <w:sz w:val="24"/>
        </w:rPr>
        <w:t xml:space="preserve">made under the </w:t>
      </w:r>
      <w:r w:rsidRPr="00CF56DA">
        <w:rPr>
          <w:i/>
          <w:sz w:val="24"/>
        </w:rPr>
        <w:t>Australian Radiation</w:t>
      </w:r>
      <w:r w:rsidRPr="00CF56DA">
        <w:rPr>
          <w:i/>
          <w:spacing w:val="1"/>
          <w:sz w:val="24"/>
        </w:rPr>
        <w:t xml:space="preserve"> </w:t>
      </w:r>
      <w:r w:rsidRPr="00CF56DA">
        <w:rPr>
          <w:i/>
          <w:sz w:val="24"/>
        </w:rPr>
        <w:t>Protection</w:t>
      </w:r>
      <w:r w:rsidRPr="00CF56DA">
        <w:rPr>
          <w:i/>
          <w:spacing w:val="-1"/>
          <w:sz w:val="24"/>
        </w:rPr>
        <w:t xml:space="preserve"> </w:t>
      </w:r>
      <w:r w:rsidRPr="00CF56DA">
        <w:rPr>
          <w:i/>
          <w:sz w:val="24"/>
        </w:rPr>
        <w:t>and Nuclear Safety</w:t>
      </w:r>
      <w:r w:rsidRPr="00CF56DA">
        <w:rPr>
          <w:i/>
          <w:spacing w:val="-2"/>
          <w:sz w:val="24"/>
        </w:rPr>
        <w:t xml:space="preserve"> </w:t>
      </w:r>
      <w:r w:rsidRPr="00CF56DA">
        <w:rPr>
          <w:i/>
          <w:sz w:val="24"/>
        </w:rPr>
        <w:t>Act 1998</w:t>
      </w:r>
      <w:r w:rsidRPr="00CF56DA">
        <w:rPr>
          <w:sz w:val="24"/>
        </w:rPr>
        <w:t>.</w:t>
      </w:r>
    </w:p>
    <w:p w14:paraId="1D6485F5" w14:textId="77777777" w:rsidR="00F22CAA" w:rsidRPr="00CF56DA" w:rsidRDefault="00F22CAA" w:rsidP="00362DDF">
      <w:pPr>
        <w:pStyle w:val="BodyText"/>
        <w:ind w:right="178"/>
      </w:pPr>
    </w:p>
    <w:p w14:paraId="1D6485F6" w14:textId="77777777" w:rsidR="00F22CAA" w:rsidRPr="00CF56DA" w:rsidRDefault="00F57EEE" w:rsidP="00362DDF">
      <w:pPr>
        <w:pStyle w:val="BodyText"/>
        <w:ind w:right="178"/>
      </w:pPr>
      <w:r w:rsidRPr="00CF56DA">
        <w:rPr>
          <w:u w:val="single"/>
        </w:rPr>
        <w:t>Section</w:t>
      </w:r>
      <w:r w:rsidRPr="00CF56DA">
        <w:rPr>
          <w:spacing w:val="-2"/>
          <w:u w:val="single"/>
        </w:rPr>
        <w:t xml:space="preserve"> </w:t>
      </w:r>
      <w:r w:rsidRPr="00CF56DA">
        <w:rPr>
          <w:u w:val="single"/>
        </w:rPr>
        <w:t>4</w:t>
      </w:r>
      <w:r w:rsidRPr="00CF56DA">
        <w:rPr>
          <w:spacing w:val="-1"/>
          <w:u w:val="single"/>
        </w:rPr>
        <w:t xml:space="preserve"> </w:t>
      </w:r>
      <w:r w:rsidRPr="00CF56DA">
        <w:rPr>
          <w:u w:val="single"/>
        </w:rPr>
        <w:t>-</w:t>
      </w:r>
      <w:r w:rsidRPr="00CF56DA">
        <w:rPr>
          <w:spacing w:val="-3"/>
          <w:u w:val="single"/>
        </w:rPr>
        <w:t xml:space="preserve"> </w:t>
      </w:r>
      <w:r w:rsidRPr="00CF56DA">
        <w:rPr>
          <w:u w:val="single"/>
        </w:rPr>
        <w:t>Schedule(s)</w:t>
      </w:r>
    </w:p>
    <w:p w14:paraId="1D6485F7" w14:textId="77777777" w:rsidR="00F22CAA" w:rsidRPr="00CF56DA" w:rsidRDefault="00F22CAA" w:rsidP="00362DDF">
      <w:pPr>
        <w:pStyle w:val="BodyText"/>
        <w:spacing w:before="2"/>
        <w:ind w:right="178"/>
        <w:rPr>
          <w:sz w:val="16"/>
        </w:rPr>
      </w:pPr>
    </w:p>
    <w:p w14:paraId="1D6485F8" w14:textId="790DF049" w:rsidR="00F22CAA" w:rsidRPr="00CF56DA" w:rsidRDefault="00F57EEE" w:rsidP="00362DDF">
      <w:pPr>
        <w:pStyle w:val="BodyText"/>
        <w:spacing w:before="90"/>
        <w:ind w:right="178"/>
      </w:pPr>
      <w:r w:rsidRPr="00CF56DA">
        <w:t>This section provides that each instrument that is specified in a Schedule to this</w:t>
      </w:r>
      <w:r w:rsidRPr="00CF56DA">
        <w:rPr>
          <w:spacing w:val="1"/>
        </w:rPr>
        <w:t xml:space="preserve"> </w:t>
      </w:r>
      <w:r w:rsidRPr="00CF56DA">
        <w:t>instrument is amended or repealed as set out in the applicable items in the Schedule</w:t>
      </w:r>
      <w:r w:rsidRPr="00CF56DA">
        <w:rPr>
          <w:spacing w:val="1"/>
        </w:rPr>
        <w:t xml:space="preserve"> </w:t>
      </w:r>
      <w:r w:rsidRPr="00CF56DA">
        <w:t>concerned, and any other item in a Schedule to this instrument has effect according</w:t>
      </w:r>
      <w:r w:rsidR="00437248" w:rsidRPr="00CF56DA">
        <w:t xml:space="preserve"> to its </w:t>
      </w:r>
      <w:r w:rsidRPr="00CF56DA">
        <w:t>terms.</w:t>
      </w:r>
    </w:p>
    <w:p w14:paraId="1D6485F9" w14:textId="77777777" w:rsidR="00F22CAA" w:rsidRPr="00CF56DA" w:rsidRDefault="00F22CAA">
      <w:pPr>
        <w:pStyle w:val="BodyText"/>
      </w:pPr>
    </w:p>
    <w:p w14:paraId="36182C5A" w14:textId="77777777" w:rsidR="009F1B4D" w:rsidRPr="00CF56DA" w:rsidRDefault="009F1B4D" w:rsidP="009F1B4D">
      <w:pPr>
        <w:ind w:right="91"/>
        <w:rPr>
          <w:sz w:val="24"/>
          <w:szCs w:val="24"/>
          <w:lang w:eastAsia="en-AU"/>
        </w:rPr>
      </w:pPr>
      <w:r w:rsidRPr="00CF56DA">
        <w:rPr>
          <w:sz w:val="24"/>
          <w:szCs w:val="24"/>
          <w:u w:val="single"/>
          <w:lang w:eastAsia="en-AU"/>
        </w:rPr>
        <w:t>Schedule 1 - Amendments</w:t>
      </w:r>
    </w:p>
    <w:p w14:paraId="586A4A37" w14:textId="77777777" w:rsidR="009F1B4D" w:rsidRPr="00CF56DA" w:rsidRDefault="009F1B4D" w:rsidP="009F1B4D">
      <w:pPr>
        <w:ind w:right="91"/>
        <w:rPr>
          <w:sz w:val="24"/>
          <w:szCs w:val="24"/>
          <w:lang w:eastAsia="en-AU"/>
        </w:rPr>
      </w:pPr>
    </w:p>
    <w:p w14:paraId="00AE11CD" w14:textId="77777777" w:rsidR="009F1B4D" w:rsidRPr="00CF56DA" w:rsidRDefault="009F1B4D" w:rsidP="009F1B4D">
      <w:pPr>
        <w:spacing w:before="100" w:beforeAutospacing="1" w:after="100" w:afterAutospacing="1"/>
        <w:ind w:right="91"/>
        <w:contextualSpacing/>
        <w:rPr>
          <w:bCs/>
          <w:sz w:val="24"/>
          <w:szCs w:val="24"/>
        </w:rPr>
      </w:pPr>
      <w:r w:rsidRPr="00CF56DA">
        <w:rPr>
          <w:b/>
          <w:sz w:val="24"/>
          <w:szCs w:val="24"/>
          <w:lang w:eastAsia="en-AU"/>
        </w:rPr>
        <w:t>Items [1], [2], [3], [4] and [5] - Section 49</w:t>
      </w:r>
    </w:p>
    <w:p w14:paraId="30ED9594" w14:textId="77777777" w:rsidR="009F1B4D" w:rsidRPr="00CF56DA" w:rsidRDefault="009F1B4D" w:rsidP="009F1B4D">
      <w:pPr>
        <w:spacing w:before="100" w:beforeAutospacing="1" w:after="100" w:afterAutospacing="1"/>
        <w:ind w:right="91"/>
        <w:contextualSpacing/>
        <w:rPr>
          <w:b/>
          <w:sz w:val="24"/>
          <w:szCs w:val="24"/>
          <w:lang w:eastAsia="en-AU"/>
        </w:rPr>
      </w:pPr>
    </w:p>
    <w:p w14:paraId="259019C6" w14:textId="29C817A5" w:rsidR="009F1B4D" w:rsidRPr="00CF56DA" w:rsidRDefault="009F1B4D" w:rsidP="009F1B4D">
      <w:pPr>
        <w:spacing w:before="100" w:beforeAutospacing="1" w:after="100" w:afterAutospacing="1"/>
        <w:ind w:right="-24"/>
        <w:contextualSpacing/>
        <w:rPr>
          <w:sz w:val="24"/>
          <w:szCs w:val="24"/>
        </w:rPr>
      </w:pPr>
      <w:r w:rsidRPr="00CF56DA">
        <w:rPr>
          <w:sz w:val="24"/>
          <w:szCs w:val="24"/>
        </w:rPr>
        <w:t>These items</w:t>
      </w:r>
      <w:r w:rsidR="002420D4" w:rsidRPr="00CF56DA">
        <w:rPr>
          <w:sz w:val="24"/>
          <w:szCs w:val="24"/>
        </w:rPr>
        <w:t xml:space="preserve"> </w:t>
      </w:r>
      <w:r w:rsidRPr="00CF56DA">
        <w:rPr>
          <w:sz w:val="24"/>
          <w:szCs w:val="24"/>
        </w:rPr>
        <w:t>increase the amount of the application fees listed in the section 49 table by three per cent as follows:</w:t>
      </w:r>
    </w:p>
    <w:p w14:paraId="24397917" w14:textId="77777777" w:rsidR="009F1B4D" w:rsidRPr="00CF56DA" w:rsidRDefault="009F1B4D" w:rsidP="009F1B4D">
      <w:pPr>
        <w:spacing w:before="100" w:beforeAutospacing="1" w:after="100" w:afterAutospacing="1"/>
        <w:ind w:right="-24"/>
        <w:contextualSpacing/>
        <w:rPr>
          <w:sz w:val="24"/>
          <w:szCs w:val="24"/>
        </w:rPr>
      </w:pPr>
    </w:p>
    <w:tbl>
      <w:tblPr>
        <w:tblW w:w="8364"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80"/>
        <w:gridCol w:w="4932"/>
        <w:gridCol w:w="1276"/>
        <w:gridCol w:w="1276"/>
      </w:tblGrid>
      <w:tr w:rsidR="00CF56DA" w:rsidRPr="00CF56DA" w14:paraId="148D39FF" w14:textId="77777777" w:rsidTr="009F1B4D">
        <w:trPr>
          <w:cantSplit/>
          <w:tblHeader/>
        </w:trPr>
        <w:tc>
          <w:tcPr>
            <w:tcW w:w="880" w:type="dxa"/>
            <w:shd w:val="clear" w:color="auto" w:fill="EEECE1" w:themeFill="background2"/>
          </w:tcPr>
          <w:p w14:paraId="4BE7335F" w14:textId="77777777" w:rsidR="009F1B4D" w:rsidRPr="00CF56DA" w:rsidRDefault="009F1B4D" w:rsidP="004A08F5">
            <w:pPr>
              <w:keepNext/>
              <w:spacing w:before="100" w:beforeAutospacing="1" w:after="100" w:afterAutospacing="1"/>
              <w:ind w:right="-24"/>
              <w:contextualSpacing/>
              <w:jc w:val="center"/>
              <w:rPr>
                <w:sz w:val="24"/>
                <w:szCs w:val="24"/>
              </w:rPr>
            </w:pPr>
            <w:r w:rsidRPr="00CF56DA">
              <w:rPr>
                <w:sz w:val="24"/>
                <w:szCs w:val="24"/>
              </w:rPr>
              <w:t>Table Item</w:t>
            </w:r>
          </w:p>
        </w:tc>
        <w:tc>
          <w:tcPr>
            <w:tcW w:w="4932" w:type="dxa"/>
            <w:shd w:val="clear" w:color="auto" w:fill="EEECE1" w:themeFill="background2"/>
          </w:tcPr>
          <w:p w14:paraId="7FAA94B1" w14:textId="77777777" w:rsidR="009F1B4D" w:rsidRPr="00CF56DA" w:rsidRDefault="009F1B4D" w:rsidP="004A08F5">
            <w:pPr>
              <w:keepNext/>
              <w:adjustRightInd w:val="0"/>
              <w:spacing w:before="100" w:beforeAutospacing="1" w:after="100" w:afterAutospacing="1"/>
              <w:ind w:right="-24"/>
              <w:contextualSpacing/>
              <w:rPr>
                <w:sz w:val="24"/>
                <w:szCs w:val="24"/>
              </w:rPr>
            </w:pPr>
            <w:r w:rsidRPr="00CF56DA">
              <w:rPr>
                <w:sz w:val="24"/>
                <w:szCs w:val="24"/>
              </w:rPr>
              <w:t>Application</w:t>
            </w:r>
          </w:p>
        </w:tc>
        <w:tc>
          <w:tcPr>
            <w:tcW w:w="1276" w:type="dxa"/>
            <w:shd w:val="clear" w:color="auto" w:fill="EEECE1" w:themeFill="background2"/>
            <w:vAlign w:val="center"/>
          </w:tcPr>
          <w:p w14:paraId="4E175644" w14:textId="77777777" w:rsidR="009F1B4D" w:rsidRPr="00CF56DA" w:rsidRDefault="009F1B4D" w:rsidP="004A08F5">
            <w:pPr>
              <w:keepNext/>
              <w:spacing w:before="100" w:beforeAutospacing="1" w:after="100" w:afterAutospacing="1"/>
              <w:ind w:right="-24"/>
              <w:contextualSpacing/>
              <w:jc w:val="center"/>
              <w:rPr>
                <w:sz w:val="24"/>
                <w:szCs w:val="24"/>
              </w:rPr>
            </w:pPr>
            <w:r w:rsidRPr="00CF56DA">
              <w:rPr>
                <w:sz w:val="24"/>
                <w:szCs w:val="24"/>
              </w:rPr>
              <w:t>Existing Fee ($)</w:t>
            </w:r>
          </w:p>
        </w:tc>
        <w:tc>
          <w:tcPr>
            <w:tcW w:w="1276" w:type="dxa"/>
            <w:shd w:val="clear" w:color="auto" w:fill="EEECE1" w:themeFill="background2"/>
            <w:vAlign w:val="center"/>
          </w:tcPr>
          <w:p w14:paraId="7055543A" w14:textId="77777777" w:rsidR="009F1B4D" w:rsidRPr="00CF56DA" w:rsidRDefault="009F1B4D" w:rsidP="004A08F5">
            <w:pPr>
              <w:keepNext/>
              <w:spacing w:before="100" w:beforeAutospacing="1" w:after="100" w:afterAutospacing="1"/>
              <w:ind w:right="-24"/>
              <w:contextualSpacing/>
              <w:jc w:val="center"/>
              <w:rPr>
                <w:sz w:val="24"/>
                <w:szCs w:val="24"/>
              </w:rPr>
            </w:pPr>
            <w:r w:rsidRPr="00CF56DA">
              <w:rPr>
                <w:sz w:val="24"/>
                <w:szCs w:val="24"/>
              </w:rPr>
              <w:t>New Fee ($)</w:t>
            </w:r>
          </w:p>
        </w:tc>
      </w:tr>
      <w:tr w:rsidR="00CF56DA" w:rsidRPr="00CF56DA" w14:paraId="7138B499" w14:textId="77777777" w:rsidTr="009F1B4D">
        <w:trPr>
          <w:cantSplit/>
        </w:trPr>
        <w:tc>
          <w:tcPr>
            <w:tcW w:w="880" w:type="dxa"/>
          </w:tcPr>
          <w:p w14:paraId="08F6A81C" w14:textId="77777777" w:rsidR="009F1B4D" w:rsidRPr="00CF56DA" w:rsidRDefault="009F1B4D" w:rsidP="009F1B4D">
            <w:pPr>
              <w:widowControl/>
              <w:numPr>
                <w:ilvl w:val="0"/>
                <w:numId w:val="4"/>
              </w:numPr>
              <w:autoSpaceDE/>
              <w:autoSpaceDN/>
              <w:spacing w:before="100" w:beforeAutospacing="1" w:after="100" w:afterAutospacing="1"/>
              <w:ind w:right="-24"/>
              <w:contextualSpacing/>
              <w:rPr>
                <w:sz w:val="24"/>
                <w:szCs w:val="24"/>
              </w:rPr>
            </w:pPr>
          </w:p>
        </w:tc>
        <w:tc>
          <w:tcPr>
            <w:tcW w:w="4932" w:type="dxa"/>
          </w:tcPr>
          <w:p w14:paraId="799BDDAF"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Application for a facility licence, except an application covered by item 2</w:t>
            </w:r>
          </w:p>
        </w:tc>
        <w:tc>
          <w:tcPr>
            <w:tcW w:w="1276" w:type="dxa"/>
          </w:tcPr>
          <w:p w14:paraId="6B948685"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10,299</w:t>
            </w:r>
          </w:p>
        </w:tc>
        <w:tc>
          <w:tcPr>
            <w:tcW w:w="1276" w:type="dxa"/>
          </w:tcPr>
          <w:p w14:paraId="3BF99793"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10,607</w:t>
            </w:r>
          </w:p>
        </w:tc>
      </w:tr>
      <w:tr w:rsidR="00CF56DA" w:rsidRPr="00CF56DA" w14:paraId="308519F3" w14:textId="77777777" w:rsidTr="009F1B4D">
        <w:trPr>
          <w:cantSplit/>
        </w:trPr>
        <w:tc>
          <w:tcPr>
            <w:tcW w:w="880" w:type="dxa"/>
          </w:tcPr>
          <w:p w14:paraId="27753563" w14:textId="77777777" w:rsidR="009F1B4D" w:rsidRPr="00CF56DA" w:rsidRDefault="009F1B4D" w:rsidP="009F1B4D">
            <w:pPr>
              <w:widowControl/>
              <w:numPr>
                <w:ilvl w:val="0"/>
                <w:numId w:val="4"/>
              </w:numPr>
              <w:autoSpaceDE/>
              <w:autoSpaceDN/>
              <w:spacing w:before="100" w:beforeAutospacing="1" w:after="100" w:afterAutospacing="1"/>
              <w:ind w:right="-24"/>
              <w:contextualSpacing/>
              <w:rPr>
                <w:sz w:val="24"/>
                <w:szCs w:val="24"/>
              </w:rPr>
            </w:pPr>
          </w:p>
        </w:tc>
        <w:tc>
          <w:tcPr>
            <w:tcW w:w="4932" w:type="dxa"/>
          </w:tcPr>
          <w:p w14:paraId="568DEEB4"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Application for a facility licence, if the application relates to a controlled facility that is a particle accelerator described in paragraph 13(1)(a) of this instrument</w:t>
            </w:r>
          </w:p>
        </w:tc>
        <w:tc>
          <w:tcPr>
            <w:tcW w:w="1276" w:type="dxa"/>
          </w:tcPr>
          <w:p w14:paraId="1E0B6422"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11,444</w:t>
            </w:r>
          </w:p>
        </w:tc>
        <w:tc>
          <w:tcPr>
            <w:tcW w:w="1276" w:type="dxa"/>
          </w:tcPr>
          <w:p w14:paraId="360D1FAE"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11,787</w:t>
            </w:r>
          </w:p>
        </w:tc>
      </w:tr>
      <w:tr w:rsidR="00CF56DA" w:rsidRPr="00CF56DA" w14:paraId="7C7EB76B" w14:textId="77777777" w:rsidTr="009F1B4D">
        <w:trPr>
          <w:cantSplit/>
        </w:trPr>
        <w:tc>
          <w:tcPr>
            <w:tcW w:w="880" w:type="dxa"/>
          </w:tcPr>
          <w:p w14:paraId="7D413A8B" w14:textId="77777777" w:rsidR="009F1B4D" w:rsidRPr="00CF56DA" w:rsidRDefault="009F1B4D" w:rsidP="009F1B4D">
            <w:pPr>
              <w:widowControl/>
              <w:numPr>
                <w:ilvl w:val="0"/>
                <w:numId w:val="4"/>
              </w:numPr>
              <w:autoSpaceDE/>
              <w:autoSpaceDN/>
              <w:spacing w:before="100" w:beforeAutospacing="1" w:after="100" w:afterAutospacing="1"/>
              <w:ind w:right="-24"/>
              <w:contextualSpacing/>
              <w:rPr>
                <w:sz w:val="24"/>
                <w:szCs w:val="24"/>
              </w:rPr>
            </w:pPr>
          </w:p>
        </w:tc>
        <w:tc>
          <w:tcPr>
            <w:tcW w:w="4932" w:type="dxa"/>
          </w:tcPr>
          <w:p w14:paraId="4A6FDA56"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Application for a source licence, if the application relates only to controlled apparatus or controlled material in Group 1</w:t>
            </w:r>
          </w:p>
        </w:tc>
        <w:tc>
          <w:tcPr>
            <w:tcW w:w="1276" w:type="dxa"/>
          </w:tcPr>
          <w:p w14:paraId="4017E830"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810</w:t>
            </w:r>
          </w:p>
        </w:tc>
        <w:tc>
          <w:tcPr>
            <w:tcW w:w="1276" w:type="dxa"/>
          </w:tcPr>
          <w:p w14:paraId="70335632"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834</w:t>
            </w:r>
          </w:p>
        </w:tc>
      </w:tr>
      <w:tr w:rsidR="00CF56DA" w:rsidRPr="00CF56DA" w14:paraId="52E71154" w14:textId="77777777" w:rsidTr="009F1B4D">
        <w:trPr>
          <w:cantSplit/>
        </w:trPr>
        <w:tc>
          <w:tcPr>
            <w:tcW w:w="880" w:type="dxa"/>
          </w:tcPr>
          <w:p w14:paraId="244F7C6F" w14:textId="77777777" w:rsidR="009F1B4D" w:rsidRPr="00CF56DA" w:rsidRDefault="009F1B4D" w:rsidP="009F1B4D">
            <w:pPr>
              <w:widowControl/>
              <w:numPr>
                <w:ilvl w:val="0"/>
                <w:numId w:val="4"/>
              </w:numPr>
              <w:autoSpaceDE/>
              <w:autoSpaceDN/>
              <w:spacing w:before="100" w:beforeAutospacing="1" w:after="100" w:afterAutospacing="1"/>
              <w:ind w:right="-24"/>
              <w:contextualSpacing/>
              <w:rPr>
                <w:sz w:val="24"/>
                <w:szCs w:val="24"/>
              </w:rPr>
            </w:pPr>
          </w:p>
        </w:tc>
        <w:tc>
          <w:tcPr>
            <w:tcW w:w="4932" w:type="dxa"/>
          </w:tcPr>
          <w:p w14:paraId="18656BD8"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Application for a source licence, if the application relates only to controlled apparatus or controlled material in:</w:t>
            </w:r>
          </w:p>
          <w:p w14:paraId="05E6F5D2"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 Group 2; or</w:t>
            </w:r>
          </w:p>
          <w:p w14:paraId="08711D2F"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(b) both Groups 1 and 2</w:t>
            </w:r>
          </w:p>
        </w:tc>
        <w:tc>
          <w:tcPr>
            <w:tcW w:w="1276" w:type="dxa"/>
          </w:tcPr>
          <w:p w14:paraId="767947C6"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2,392</w:t>
            </w:r>
          </w:p>
        </w:tc>
        <w:tc>
          <w:tcPr>
            <w:tcW w:w="1276" w:type="dxa"/>
          </w:tcPr>
          <w:p w14:paraId="25C35D82"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2,463</w:t>
            </w:r>
          </w:p>
        </w:tc>
      </w:tr>
      <w:tr w:rsidR="000D39B4" w:rsidRPr="00CF56DA" w14:paraId="62440EDF" w14:textId="77777777" w:rsidTr="009F1B4D">
        <w:trPr>
          <w:cantSplit/>
        </w:trPr>
        <w:tc>
          <w:tcPr>
            <w:tcW w:w="880" w:type="dxa"/>
          </w:tcPr>
          <w:p w14:paraId="059099D6" w14:textId="77777777" w:rsidR="009F1B4D" w:rsidRPr="00CF56DA" w:rsidRDefault="009F1B4D" w:rsidP="009F1B4D">
            <w:pPr>
              <w:widowControl/>
              <w:numPr>
                <w:ilvl w:val="0"/>
                <w:numId w:val="4"/>
              </w:numPr>
              <w:autoSpaceDE/>
              <w:autoSpaceDN/>
              <w:spacing w:before="100" w:beforeAutospacing="1" w:after="100" w:afterAutospacing="1"/>
              <w:ind w:right="-24"/>
              <w:contextualSpacing/>
              <w:rPr>
                <w:sz w:val="24"/>
                <w:szCs w:val="24"/>
              </w:rPr>
            </w:pPr>
          </w:p>
        </w:tc>
        <w:tc>
          <w:tcPr>
            <w:tcW w:w="4932" w:type="dxa"/>
          </w:tcPr>
          <w:p w14:paraId="176A63D0"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 xml:space="preserve">Application for a source </w:t>
            </w:r>
            <w:proofErr w:type="gramStart"/>
            <w:r w:rsidRPr="00CF56DA">
              <w:rPr>
                <w:sz w:val="24"/>
                <w:szCs w:val="24"/>
              </w:rPr>
              <w:t>licence, if</w:t>
            </w:r>
            <w:proofErr w:type="gramEnd"/>
            <w:r w:rsidRPr="00CF56DA">
              <w:rPr>
                <w:sz w:val="24"/>
                <w:szCs w:val="24"/>
              </w:rPr>
              <w:t xml:space="preserve"> the application relates to controlled apparatus or controlled material in:</w:t>
            </w:r>
          </w:p>
          <w:p w14:paraId="6783D776"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(a) Group 3; or</w:t>
            </w:r>
          </w:p>
          <w:p w14:paraId="47EDACD9" w14:textId="77777777" w:rsidR="009F1B4D" w:rsidRPr="00CF56DA" w:rsidRDefault="009F1B4D" w:rsidP="004A08F5">
            <w:pPr>
              <w:spacing w:before="100" w:beforeAutospacing="1" w:after="100" w:afterAutospacing="1"/>
              <w:ind w:right="-24"/>
              <w:contextualSpacing/>
              <w:rPr>
                <w:sz w:val="24"/>
                <w:szCs w:val="24"/>
              </w:rPr>
            </w:pPr>
            <w:r w:rsidRPr="00CF56DA">
              <w:rPr>
                <w:sz w:val="24"/>
                <w:szCs w:val="24"/>
              </w:rPr>
              <w:t>(b) Group 3, and either or both Groups 1 and 2</w:t>
            </w:r>
          </w:p>
        </w:tc>
        <w:tc>
          <w:tcPr>
            <w:tcW w:w="1276" w:type="dxa"/>
          </w:tcPr>
          <w:p w14:paraId="040CD8A7"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8,947</w:t>
            </w:r>
          </w:p>
        </w:tc>
        <w:tc>
          <w:tcPr>
            <w:tcW w:w="1276" w:type="dxa"/>
          </w:tcPr>
          <w:p w14:paraId="7BE02DA5" w14:textId="77777777" w:rsidR="009F1B4D" w:rsidRPr="00CF56DA" w:rsidRDefault="009F1B4D" w:rsidP="004A08F5">
            <w:pPr>
              <w:pStyle w:val="Default"/>
              <w:spacing w:beforeLines="60" w:before="144" w:beforeAutospacing="1" w:afterLines="60" w:after="144" w:afterAutospacing="1"/>
              <w:contextualSpacing/>
              <w:jc w:val="right"/>
              <w:rPr>
                <w:color w:val="auto"/>
              </w:rPr>
            </w:pPr>
            <w:r w:rsidRPr="00CF56DA">
              <w:rPr>
                <w:color w:val="auto"/>
              </w:rPr>
              <w:t>9,215</w:t>
            </w:r>
          </w:p>
        </w:tc>
      </w:tr>
    </w:tbl>
    <w:p w14:paraId="67FB6BA2" w14:textId="77777777" w:rsidR="009F1B4D" w:rsidRPr="00CF56DA" w:rsidRDefault="009F1B4D" w:rsidP="009F1B4D">
      <w:pPr>
        <w:spacing w:before="100" w:beforeAutospacing="1" w:after="100" w:afterAutospacing="1"/>
        <w:ind w:right="-24"/>
        <w:contextualSpacing/>
        <w:rPr>
          <w:sz w:val="24"/>
          <w:szCs w:val="24"/>
        </w:rPr>
      </w:pPr>
    </w:p>
    <w:p w14:paraId="335D11E6"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[6] – Paragraph 50(2)(a)</w:t>
      </w:r>
    </w:p>
    <w:p w14:paraId="14847B8D" w14:textId="77777777" w:rsidR="009F1B4D" w:rsidRPr="00CF56DA" w:rsidRDefault="009F1B4D" w:rsidP="009F1B4D">
      <w:pPr>
        <w:spacing w:before="100" w:beforeAutospacing="1" w:after="100" w:afterAutospacing="1"/>
        <w:ind w:right="-24"/>
        <w:contextualSpacing/>
        <w:rPr>
          <w:sz w:val="24"/>
          <w:szCs w:val="24"/>
        </w:rPr>
      </w:pPr>
    </w:p>
    <w:p w14:paraId="39847F47" w14:textId="45B943B4" w:rsidR="009F1B4D" w:rsidRPr="00CF56DA" w:rsidRDefault="009F1B4D" w:rsidP="009F1B4D">
      <w:pPr>
        <w:spacing w:before="100" w:beforeAutospacing="1" w:after="100" w:afterAutospacing="1"/>
        <w:ind w:right="-24"/>
        <w:contextualSpacing/>
        <w:rPr>
          <w:sz w:val="24"/>
          <w:szCs w:val="24"/>
        </w:rPr>
      </w:pPr>
      <w:r w:rsidRPr="00CF56DA">
        <w:rPr>
          <w:sz w:val="24"/>
          <w:szCs w:val="24"/>
        </w:rPr>
        <w:t>This item repeal</w:t>
      </w:r>
      <w:r w:rsidR="002420D4" w:rsidRPr="00CF56DA">
        <w:rPr>
          <w:sz w:val="24"/>
          <w:szCs w:val="24"/>
        </w:rPr>
        <w:t>s</w:t>
      </w:r>
      <w:r w:rsidRPr="00CF56DA">
        <w:rPr>
          <w:sz w:val="24"/>
          <w:szCs w:val="24"/>
        </w:rPr>
        <w:t xml:space="preserve"> the existing paragraph and substitute</w:t>
      </w:r>
      <w:r w:rsidR="002420D4" w:rsidRPr="00CF56DA">
        <w:rPr>
          <w:sz w:val="24"/>
          <w:szCs w:val="24"/>
        </w:rPr>
        <w:t>s</w:t>
      </w:r>
      <w:r w:rsidRPr="00CF56DA">
        <w:rPr>
          <w:sz w:val="24"/>
          <w:szCs w:val="24"/>
        </w:rPr>
        <w:t xml:space="preserve"> to increase the amount for each hour, or part of an hour, spent in assessing a licence application by three per cent from $171 to $176. This item increase</w:t>
      </w:r>
      <w:r w:rsidR="000D39B4" w:rsidRPr="00CF56DA">
        <w:rPr>
          <w:sz w:val="24"/>
          <w:szCs w:val="24"/>
        </w:rPr>
        <w:t>s</w:t>
      </w:r>
      <w:r w:rsidRPr="00CF56DA">
        <w:rPr>
          <w:sz w:val="24"/>
          <w:szCs w:val="24"/>
        </w:rPr>
        <w:t xml:space="preserve"> the amount credited to the applicant in determining the assessment fee by three per cent from $10,299 to $10,607. The amount credited to the applicant in paragraph 50(2)(a) assures that an applicant does not pay more than the value of the service provided in assessing an application by </w:t>
      </w:r>
      <w:proofErr w:type="gramStart"/>
      <w:r w:rsidRPr="00CF56DA">
        <w:rPr>
          <w:sz w:val="24"/>
          <w:szCs w:val="24"/>
        </w:rPr>
        <w:t>taking into account</w:t>
      </w:r>
      <w:proofErr w:type="gramEnd"/>
      <w:r w:rsidRPr="00CF56DA">
        <w:rPr>
          <w:sz w:val="24"/>
          <w:szCs w:val="24"/>
        </w:rPr>
        <w:t xml:space="preserve"> the nominal application fee covered by section 49 of the Regulations already paid by the applicant. </w:t>
      </w:r>
    </w:p>
    <w:p w14:paraId="2B13A355" w14:textId="77777777" w:rsidR="009F1B4D" w:rsidRPr="00CF56DA" w:rsidRDefault="009F1B4D" w:rsidP="009F1B4D">
      <w:pPr>
        <w:spacing w:before="100" w:beforeAutospacing="1" w:after="100" w:afterAutospacing="1"/>
        <w:ind w:right="91"/>
        <w:contextualSpacing/>
        <w:rPr>
          <w:b/>
          <w:sz w:val="24"/>
          <w:szCs w:val="24"/>
          <w:lang w:eastAsia="en-AU"/>
        </w:rPr>
      </w:pPr>
    </w:p>
    <w:p w14:paraId="2B6DB3DF"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[7] - After section 57A</w:t>
      </w:r>
    </w:p>
    <w:p w14:paraId="2A9A2A22" w14:textId="77777777" w:rsidR="009F1B4D" w:rsidRPr="00CF56DA" w:rsidRDefault="009F1B4D" w:rsidP="009F1B4D">
      <w:pPr>
        <w:spacing w:before="100" w:beforeAutospacing="1" w:after="100" w:afterAutospacing="1"/>
        <w:ind w:right="-24"/>
        <w:contextualSpacing/>
        <w:rPr>
          <w:sz w:val="24"/>
          <w:szCs w:val="24"/>
        </w:rPr>
      </w:pPr>
    </w:p>
    <w:p w14:paraId="774F3610" w14:textId="1A56E31E" w:rsidR="009F1B4D" w:rsidRPr="00CF56DA" w:rsidRDefault="009F1B4D" w:rsidP="009F1B4D">
      <w:pPr>
        <w:spacing w:before="100" w:beforeAutospacing="1" w:after="100" w:afterAutospacing="1"/>
        <w:ind w:right="-24"/>
        <w:contextualSpacing/>
        <w:rPr>
          <w:sz w:val="24"/>
          <w:szCs w:val="24"/>
        </w:rPr>
      </w:pPr>
      <w:r w:rsidRPr="00CF56DA">
        <w:rPr>
          <w:sz w:val="24"/>
          <w:szCs w:val="24"/>
        </w:rPr>
        <w:t>This item insert</w:t>
      </w:r>
      <w:r w:rsidR="00C516EA" w:rsidRPr="00CF56DA">
        <w:rPr>
          <w:sz w:val="24"/>
          <w:szCs w:val="24"/>
        </w:rPr>
        <w:t>s</w:t>
      </w:r>
      <w:r w:rsidRPr="00CF56DA">
        <w:rPr>
          <w:sz w:val="24"/>
          <w:szCs w:val="24"/>
        </w:rPr>
        <w:t xml:space="preserve"> a new section 57B after section 57A requiring the holder of a licence to have in place arrangements that demonstrate the licence holder’s preparedness to respond effectively to an emergency involving radiation exposure resulting from controlled materials, controlled apparatus or controlled facilities described in the licence. This amendment is required so that licence holders have an obligation to be prepared for emergencies and be able to respond to any emergency likely to arise from dealings with sources or activities at a facility. The effect of this amendment </w:t>
      </w:r>
      <w:r w:rsidR="0064082B" w:rsidRPr="00CF56DA">
        <w:rPr>
          <w:sz w:val="24"/>
          <w:szCs w:val="24"/>
        </w:rPr>
        <w:t>is t</w:t>
      </w:r>
      <w:r w:rsidRPr="00CF56DA">
        <w:rPr>
          <w:sz w:val="24"/>
          <w:szCs w:val="24"/>
        </w:rPr>
        <w:t>o promote and strengthen a licence holder’s emergency preparedness and response arrangements consistent with radiation protection in Australia.</w:t>
      </w:r>
    </w:p>
    <w:p w14:paraId="34D9EA3E" w14:textId="77777777" w:rsidR="009F1B4D" w:rsidRPr="00CF56DA" w:rsidRDefault="009F1B4D" w:rsidP="009F1B4D">
      <w:pPr>
        <w:spacing w:before="100" w:beforeAutospacing="1" w:after="100" w:afterAutospacing="1"/>
        <w:ind w:right="-24"/>
        <w:contextualSpacing/>
        <w:rPr>
          <w:sz w:val="24"/>
          <w:szCs w:val="24"/>
        </w:rPr>
      </w:pPr>
    </w:p>
    <w:p w14:paraId="26FC0BB1" w14:textId="457754F8" w:rsidR="009F1B4D" w:rsidRPr="00CF56DA" w:rsidRDefault="009F1B4D" w:rsidP="009F1B4D">
      <w:pPr>
        <w:spacing w:before="100" w:beforeAutospacing="1" w:after="100" w:afterAutospacing="1"/>
        <w:ind w:right="-24"/>
        <w:contextualSpacing/>
        <w:rPr>
          <w:sz w:val="24"/>
          <w:szCs w:val="24"/>
        </w:rPr>
      </w:pPr>
      <w:r w:rsidRPr="00CF56DA">
        <w:rPr>
          <w:sz w:val="24"/>
          <w:szCs w:val="24"/>
        </w:rPr>
        <w:t>This item also insert</w:t>
      </w:r>
      <w:r w:rsidR="00A73F08" w:rsidRPr="00CF56DA">
        <w:rPr>
          <w:sz w:val="24"/>
          <w:szCs w:val="24"/>
        </w:rPr>
        <w:t>s</w:t>
      </w:r>
      <w:r w:rsidRPr="00CF56DA">
        <w:rPr>
          <w:sz w:val="24"/>
          <w:szCs w:val="24"/>
        </w:rPr>
        <w:t xml:space="preserve"> a new section 57C requiring the holder of a licence to have in place arrangements to ensure the effective security of controlled materials, controlled </w:t>
      </w:r>
      <w:proofErr w:type="gramStart"/>
      <w:r w:rsidRPr="00CF56DA">
        <w:rPr>
          <w:sz w:val="24"/>
          <w:szCs w:val="24"/>
        </w:rPr>
        <w:t>apparatus</w:t>
      </w:r>
      <w:proofErr w:type="gramEnd"/>
      <w:r w:rsidRPr="00CF56DA">
        <w:rPr>
          <w:sz w:val="24"/>
          <w:szCs w:val="24"/>
        </w:rPr>
        <w:t xml:space="preserve"> and controlled facilities. This amendment is required so that the regulations include a clear obligation for licence holders to have effective arrangements and management for security, and to align the regulations with security practices for nuclear installations and radiation facilities in Australia. The effect of this amendment </w:t>
      </w:r>
      <w:r w:rsidR="0064082B" w:rsidRPr="00CF56DA">
        <w:rPr>
          <w:sz w:val="24"/>
          <w:szCs w:val="24"/>
        </w:rPr>
        <w:t xml:space="preserve">is </w:t>
      </w:r>
      <w:r w:rsidRPr="00CF56DA">
        <w:rPr>
          <w:sz w:val="24"/>
          <w:szCs w:val="24"/>
        </w:rPr>
        <w:t xml:space="preserve">to clarify licence holders’ understanding of what is required to ensure effective arrangements and management of security of controlled apparatus, controlled </w:t>
      </w:r>
      <w:proofErr w:type="gramStart"/>
      <w:r w:rsidRPr="00CF56DA">
        <w:rPr>
          <w:sz w:val="24"/>
          <w:szCs w:val="24"/>
        </w:rPr>
        <w:t>material</w:t>
      </w:r>
      <w:proofErr w:type="gramEnd"/>
      <w:r w:rsidRPr="00CF56DA">
        <w:rPr>
          <w:sz w:val="24"/>
          <w:szCs w:val="24"/>
        </w:rPr>
        <w:t xml:space="preserve"> and controlled facilities.</w:t>
      </w:r>
    </w:p>
    <w:p w14:paraId="2E593D80" w14:textId="77777777" w:rsidR="009F1B4D" w:rsidRPr="00CF56DA" w:rsidRDefault="009F1B4D" w:rsidP="009F1B4D">
      <w:pPr>
        <w:spacing w:before="100" w:beforeAutospacing="1"/>
        <w:ind w:right="91"/>
        <w:contextualSpacing/>
        <w:rPr>
          <w:b/>
          <w:sz w:val="24"/>
          <w:szCs w:val="24"/>
          <w:lang w:eastAsia="en-AU"/>
        </w:rPr>
      </w:pPr>
    </w:p>
    <w:p w14:paraId="309913D2" w14:textId="77777777" w:rsidR="009F1B4D" w:rsidRPr="00CF56DA" w:rsidRDefault="009F1B4D" w:rsidP="009F1B4D">
      <w:pPr>
        <w:spacing w:before="100" w:beforeAutospacing="1"/>
        <w:ind w:right="91"/>
        <w:contextualSpacing/>
        <w:rPr>
          <w:b/>
          <w:sz w:val="24"/>
          <w:szCs w:val="24"/>
          <w:lang w:eastAsia="en-AU"/>
        </w:rPr>
      </w:pPr>
    </w:p>
    <w:p w14:paraId="7B9A1B3A" w14:textId="77777777" w:rsidR="009F1B4D" w:rsidRPr="00CF56DA" w:rsidRDefault="009F1B4D" w:rsidP="009F1B4D">
      <w:pPr>
        <w:spacing w:after="160" w:line="259" w:lineRule="auto"/>
        <w:rPr>
          <w:b/>
          <w:sz w:val="24"/>
          <w:szCs w:val="24"/>
          <w:lang w:eastAsia="en-AU"/>
        </w:rPr>
      </w:pPr>
      <w:r w:rsidRPr="00CF56DA">
        <w:rPr>
          <w:b/>
          <w:sz w:val="24"/>
          <w:szCs w:val="24"/>
          <w:lang w:eastAsia="en-AU"/>
        </w:rPr>
        <w:br w:type="page"/>
      </w:r>
    </w:p>
    <w:p w14:paraId="62138C42" w14:textId="77777777" w:rsidR="009F1B4D" w:rsidRPr="00CF56DA" w:rsidRDefault="009F1B4D" w:rsidP="009F1B4D">
      <w:pPr>
        <w:spacing w:before="100" w:beforeAutospacing="1" w:after="100" w:afterAutospacing="1"/>
        <w:ind w:right="91"/>
        <w:contextualSpacing/>
        <w:rPr>
          <w:bCs/>
          <w:sz w:val="24"/>
          <w:szCs w:val="24"/>
        </w:rPr>
      </w:pPr>
      <w:r w:rsidRPr="00CF56DA">
        <w:rPr>
          <w:b/>
          <w:sz w:val="24"/>
          <w:szCs w:val="24"/>
          <w:lang w:eastAsia="en-AU"/>
        </w:rPr>
        <w:lastRenderedPageBreak/>
        <w:t>Items [8] and [9] - Section 62 and at the end of section 62</w:t>
      </w:r>
    </w:p>
    <w:p w14:paraId="22F8BA7D" w14:textId="77777777" w:rsidR="009F1B4D" w:rsidRPr="00CF56DA" w:rsidRDefault="009F1B4D" w:rsidP="009F1B4D">
      <w:pPr>
        <w:spacing w:before="100" w:beforeAutospacing="1"/>
        <w:ind w:right="91"/>
        <w:contextualSpacing/>
        <w:rPr>
          <w:sz w:val="24"/>
          <w:szCs w:val="24"/>
        </w:rPr>
      </w:pPr>
    </w:p>
    <w:p w14:paraId="3B170036" w14:textId="7B5DB7F4" w:rsidR="009F1B4D" w:rsidRPr="00CF56DA" w:rsidRDefault="009F1B4D" w:rsidP="77702380">
      <w:pPr>
        <w:spacing w:before="100" w:beforeAutospacing="1"/>
        <w:ind w:right="91"/>
        <w:contextualSpacing/>
        <w:rPr>
          <w:sz w:val="24"/>
          <w:szCs w:val="24"/>
        </w:rPr>
      </w:pPr>
      <w:r w:rsidRPr="00CF56DA">
        <w:rPr>
          <w:sz w:val="24"/>
          <w:szCs w:val="24"/>
        </w:rPr>
        <w:t xml:space="preserve">Items [8] and [9] amend section 62 so that a licence holder </w:t>
      </w:r>
      <w:r w:rsidR="00F80621" w:rsidRPr="00CF56DA">
        <w:rPr>
          <w:sz w:val="24"/>
          <w:szCs w:val="24"/>
        </w:rPr>
        <w:t xml:space="preserve">is </w:t>
      </w:r>
      <w:r w:rsidRPr="00CF56DA">
        <w:rPr>
          <w:sz w:val="24"/>
          <w:szCs w:val="24"/>
        </w:rPr>
        <w:t xml:space="preserve">required to maintain an accurate inventory of the controlled apparatus and controlled materials that the licence holder deals with, except to the extent that the licence makes other arrangements for such an inventory. This amendment is required because the general rule to maintain an inventory for sources does not fit all licensing situations. For example, sources may be shared by two or more licence holders. The licence holder that owns or controls the source is ultimately responsible for the security and safety of that source, which includes tracking via an accurate source inventory. The other licence holder may not need to duplicate the same sources in their inventory. The effect of this amendment </w:t>
      </w:r>
      <w:r w:rsidR="0064082B" w:rsidRPr="00CF56DA">
        <w:rPr>
          <w:sz w:val="24"/>
          <w:szCs w:val="24"/>
        </w:rPr>
        <w:t xml:space="preserve">is </w:t>
      </w:r>
      <w:r w:rsidRPr="00CF56DA">
        <w:rPr>
          <w:sz w:val="24"/>
          <w:szCs w:val="24"/>
        </w:rPr>
        <w:t>to allow licences to make specific arrangements for maintaining an inventory of sources and make section 62 easier to administer and for licence holders to understand.</w:t>
      </w:r>
    </w:p>
    <w:p w14:paraId="7C6FF74C" w14:textId="77777777" w:rsidR="009F1B4D" w:rsidRPr="00CF56DA" w:rsidRDefault="009F1B4D" w:rsidP="009F1B4D">
      <w:pPr>
        <w:spacing w:before="100" w:beforeAutospacing="1"/>
        <w:ind w:right="91"/>
        <w:contextualSpacing/>
        <w:rPr>
          <w:b/>
          <w:sz w:val="24"/>
          <w:szCs w:val="24"/>
          <w:lang w:eastAsia="en-AU"/>
        </w:rPr>
      </w:pPr>
    </w:p>
    <w:p w14:paraId="6E6F1D16"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 xml:space="preserve">Item [10] – Section 65 (heading) </w:t>
      </w:r>
    </w:p>
    <w:p w14:paraId="37BBC636" w14:textId="77777777" w:rsidR="009F1B4D" w:rsidRPr="00CF56DA" w:rsidRDefault="009F1B4D" w:rsidP="009F1B4D">
      <w:pPr>
        <w:spacing w:before="100" w:beforeAutospacing="1" w:after="100" w:afterAutospacing="1"/>
        <w:ind w:right="91"/>
        <w:contextualSpacing/>
        <w:rPr>
          <w:b/>
          <w:sz w:val="24"/>
          <w:szCs w:val="24"/>
          <w:lang w:eastAsia="en-AU"/>
        </w:rPr>
      </w:pPr>
    </w:p>
    <w:p w14:paraId="39AFCAC7" w14:textId="0FB49CCA" w:rsidR="009F1B4D" w:rsidRPr="00CF56DA" w:rsidRDefault="009F1B4D" w:rsidP="009F1B4D">
      <w:pPr>
        <w:spacing w:before="100" w:beforeAutospacing="1" w:after="100" w:afterAutospacing="1"/>
        <w:ind w:right="91"/>
        <w:contextualSpacing/>
        <w:rPr>
          <w:sz w:val="24"/>
          <w:szCs w:val="24"/>
        </w:rPr>
      </w:pPr>
      <w:r w:rsidRPr="00CF56DA">
        <w:rPr>
          <w:sz w:val="24"/>
          <w:szCs w:val="24"/>
        </w:rPr>
        <w:t>This item repeal</w:t>
      </w:r>
      <w:r w:rsidR="00285AF5" w:rsidRPr="00CF56DA">
        <w:rPr>
          <w:sz w:val="24"/>
          <w:szCs w:val="24"/>
        </w:rPr>
        <w:t>s</w:t>
      </w:r>
      <w:r w:rsidRPr="00CF56DA">
        <w:rPr>
          <w:sz w:val="24"/>
          <w:szCs w:val="24"/>
        </w:rPr>
        <w:t xml:space="preserve"> the existing section 65 heading and substitute</w:t>
      </w:r>
      <w:r w:rsidR="00285AF5" w:rsidRPr="00CF56DA">
        <w:rPr>
          <w:sz w:val="24"/>
          <w:szCs w:val="24"/>
        </w:rPr>
        <w:t>s</w:t>
      </w:r>
      <w:r w:rsidRPr="00CF56DA">
        <w:rPr>
          <w:sz w:val="24"/>
          <w:szCs w:val="24"/>
        </w:rPr>
        <w:t xml:space="preserve"> the heading “</w:t>
      </w:r>
      <w:r w:rsidRPr="00CF56DA">
        <w:rPr>
          <w:i/>
          <w:iCs/>
          <w:sz w:val="24"/>
          <w:szCs w:val="24"/>
        </w:rPr>
        <w:t>Disposal of controlled apparatus, controlled materials and controlled facilities”</w:t>
      </w:r>
      <w:r w:rsidRPr="00CF56DA">
        <w:rPr>
          <w:sz w:val="24"/>
          <w:szCs w:val="24"/>
        </w:rPr>
        <w:t xml:space="preserve">. This amendment is required to make the section 65 heading more accurate. The effect of this amendment </w:t>
      </w:r>
      <w:r w:rsidR="006C368A" w:rsidRPr="00CF56DA">
        <w:rPr>
          <w:sz w:val="24"/>
          <w:szCs w:val="24"/>
        </w:rPr>
        <w:t xml:space="preserve">is </w:t>
      </w:r>
      <w:r w:rsidRPr="00CF56DA">
        <w:rPr>
          <w:sz w:val="24"/>
          <w:szCs w:val="24"/>
        </w:rPr>
        <w:t>that the section 65 heading is easier for licence holders to understand.</w:t>
      </w:r>
    </w:p>
    <w:p w14:paraId="280300DF" w14:textId="77777777" w:rsidR="009F1B4D" w:rsidRPr="00CF56DA" w:rsidRDefault="009F1B4D" w:rsidP="009F1B4D">
      <w:pPr>
        <w:spacing w:before="100" w:beforeAutospacing="1" w:after="100" w:afterAutospacing="1"/>
        <w:ind w:right="91"/>
        <w:contextualSpacing/>
        <w:rPr>
          <w:sz w:val="24"/>
          <w:szCs w:val="24"/>
        </w:rPr>
      </w:pPr>
    </w:p>
    <w:p w14:paraId="164536EB" w14:textId="77777777" w:rsidR="009F1B4D" w:rsidRPr="00CF56DA" w:rsidRDefault="009F1B4D" w:rsidP="009F1B4D">
      <w:pPr>
        <w:spacing w:before="100" w:beforeAutospacing="1" w:after="100" w:afterAutospacing="1"/>
        <w:ind w:right="91"/>
        <w:contextualSpacing/>
        <w:rPr>
          <w:sz w:val="24"/>
          <w:szCs w:val="24"/>
        </w:rPr>
      </w:pPr>
    </w:p>
    <w:p w14:paraId="785888EB"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[11] – Subsections 65(1) and (2)</w:t>
      </w:r>
    </w:p>
    <w:p w14:paraId="77899E5F" w14:textId="77777777" w:rsidR="009F1B4D" w:rsidRPr="00CF56DA" w:rsidRDefault="009F1B4D" w:rsidP="009F1B4D">
      <w:pPr>
        <w:spacing w:before="100" w:beforeAutospacing="1" w:after="100" w:afterAutospacing="1"/>
        <w:ind w:right="91"/>
        <w:contextualSpacing/>
        <w:rPr>
          <w:sz w:val="24"/>
          <w:szCs w:val="24"/>
        </w:rPr>
      </w:pPr>
    </w:p>
    <w:p w14:paraId="758D9E37" w14:textId="3E0E9098" w:rsidR="009F1B4D" w:rsidRPr="00CF56DA" w:rsidRDefault="009F1B4D" w:rsidP="009F1B4D">
      <w:pPr>
        <w:spacing w:before="100" w:beforeAutospacing="1" w:after="100" w:afterAutospacing="1"/>
        <w:ind w:right="-24"/>
        <w:contextualSpacing/>
        <w:rPr>
          <w:sz w:val="24"/>
          <w:szCs w:val="24"/>
        </w:rPr>
      </w:pPr>
      <w:r w:rsidRPr="00CF56DA">
        <w:rPr>
          <w:sz w:val="24"/>
          <w:szCs w:val="24"/>
        </w:rPr>
        <w:t>This item repeal</w:t>
      </w:r>
      <w:r w:rsidR="0064082B" w:rsidRPr="00CF56DA">
        <w:rPr>
          <w:sz w:val="24"/>
          <w:szCs w:val="24"/>
        </w:rPr>
        <w:t>s</w:t>
      </w:r>
      <w:r w:rsidRPr="00CF56DA">
        <w:rPr>
          <w:sz w:val="24"/>
          <w:szCs w:val="24"/>
        </w:rPr>
        <w:t xml:space="preserve"> the existing subsections 65(1) and (2) and substitute</w:t>
      </w:r>
      <w:r w:rsidR="00F80621" w:rsidRPr="00CF56DA">
        <w:rPr>
          <w:sz w:val="24"/>
          <w:szCs w:val="24"/>
        </w:rPr>
        <w:t>s</w:t>
      </w:r>
      <w:r w:rsidRPr="00CF56DA">
        <w:rPr>
          <w:sz w:val="24"/>
          <w:szCs w:val="24"/>
        </w:rPr>
        <w:t>:</w:t>
      </w:r>
    </w:p>
    <w:p w14:paraId="54FB9FFC" w14:textId="77777777" w:rsidR="009F1B4D" w:rsidRPr="00CF56DA" w:rsidRDefault="009F1B4D" w:rsidP="009F1B4D">
      <w:pPr>
        <w:pStyle w:val="SubsectionHead"/>
        <w:rPr>
          <w:sz w:val="24"/>
          <w:szCs w:val="24"/>
        </w:rPr>
      </w:pPr>
      <w:r w:rsidRPr="00CF56DA">
        <w:rPr>
          <w:sz w:val="24"/>
          <w:szCs w:val="24"/>
        </w:rPr>
        <w:t>Disposal of controlled apparatus and controlled materials</w:t>
      </w:r>
    </w:p>
    <w:p w14:paraId="54357810" w14:textId="77777777" w:rsidR="009F1B4D" w:rsidRPr="00CF56DA" w:rsidRDefault="009F1B4D" w:rsidP="009F1B4D">
      <w:pPr>
        <w:pStyle w:val="subsection"/>
        <w:rPr>
          <w:sz w:val="24"/>
          <w:szCs w:val="24"/>
        </w:rPr>
      </w:pPr>
      <w:r w:rsidRPr="00CF56DA">
        <w:rPr>
          <w:sz w:val="24"/>
          <w:szCs w:val="24"/>
        </w:rPr>
        <w:tab/>
        <w:t>(1)</w:t>
      </w:r>
      <w:r w:rsidRPr="00CF56DA">
        <w:rPr>
          <w:sz w:val="24"/>
          <w:szCs w:val="24"/>
        </w:rPr>
        <w:tab/>
        <w:t>The holder of a licence must not dispose of controlled apparatus or controlled materials unless the licence holder:</w:t>
      </w:r>
    </w:p>
    <w:p w14:paraId="224BDEC6" w14:textId="77777777" w:rsidR="009F1B4D" w:rsidRPr="00CF56DA" w:rsidRDefault="009F1B4D" w:rsidP="009F1B4D">
      <w:pPr>
        <w:pStyle w:val="paragraph"/>
        <w:rPr>
          <w:sz w:val="24"/>
          <w:szCs w:val="24"/>
        </w:rPr>
      </w:pPr>
      <w:r w:rsidRPr="00CF56DA">
        <w:rPr>
          <w:sz w:val="24"/>
          <w:szCs w:val="24"/>
        </w:rPr>
        <w:tab/>
        <w:t>(a)</w:t>
      </w:r>
      <w:r w:rsidRPr="00CF56DA">
        <w:rPr>
          <w:sz w:val="24"/>
          <w:szCs w:val="24"/>
        </w:rPr>
        <w:tab/>
      </w:r>
      <w:r w:rsidRPr="00CF56DA">
        <w:rPr>
          <w:sz w:val="24"/>
          <w:szCs w:val="24"/>
          <w:lang w:eastAsia="en-US"/>
        </w:rPr>
        <w:t>has approval from the CEO to dispose of the controlled apparatus and controlled material; or</w:t>
      </w:r>
    </w:p>
    <w:p w14:paraId="53AE070E" w14:textId="77777777" w:rsidR="009F1B4D" w:rsidRPr="00CF56DA" w:rsidRDefault="009F1B4D" w:rsidP="009F1B4D">
      <w:pPr>
        <w:pStyle w:val="paragraph"/>
        <w:rPr>
          <w:sz w:val="24"/>
          <w:szCs w:val="24"/>
        </w:rPr>
      </w:pPr>
      <w:r w:rsidRPr="00CF56DA">
        <w:rPr>
          <w:sz w:val="24"/>
          <w:szCs w:val="24"/>
        </w:rPr>
        <w:tab/>
        <w:t>(b)</w:t>
      </w:r>
      <w:r w:rsidRPr="00CF56DA">
        <w:rPr>
          <w:sz w:val="24"/>
          <w:szCs w:val="24"/>
        </w:rPr>
        <w:tab/>
      </w:r>
      <w:r w:rsidRPr="00CF56DA">
        <w:rPr>
          <w:sz w:val="24"/>
          <w:szCs w:val="24"/>
          <w:lang w:eastAsia="en-US"/>
        </w:rPr>
        <w:t>transfers the controlled apparatus or controlled material to another licence holder in accordance with subsection (2); or</w:t>
      </w:r>
    </w:p>
    <w:p w14:paraId="5651759B" w14:textId="77777777" w:rsidR="009F1B4D" w:rsidRPr="00CF56DA" w:rsidRDefault="009F1B4D" w:rsidP="009F1B4D">
      <w:pPr>
        <w:pStyle w:val="paragraph"/>
        <w:rPr>
          <w:sz w:val="24"/>
          <w:szCs w:val="24"/>
        </w:rPr>
      </w:pPr>
      <w:r w:rsidRPr="00CF56DA">
        <w:rPr>
          <w:sz w:val="24"/>
          <w:szCs w:val="24"/>
        </w:rPr>
        <w:tab/>
        <w:t>(c)</w:t>
      </w:r>
      <w:r w:rsidRPr="00CF56DA">
        <w:rPr>
          <w:sz w:val="24"/>
          <w:szCs w:val="24"/>
        </w:rPr>
        <w:tab/>
      </w:r>
      <w:r w:rsidRPr="00CF56DA">
        <w:rPr>
          <w:sz w:val="24"/>
          <w:szCs w:val="24"/>
          <w:lang w:eastAsia="en-US"/>
        </w:rPr>
        <w:t>returns the controlled apparatus to the supplier of the controlled apparatus in accordance with paragraph (3</w:t>
      </w:r>
      <w:proofErr w:type="gramStart"/>
      <w:r w:rsidRPr="00CF56DA">
        <w:rPr>
          <w:sz w:val="24"/>
          <w:szCs w:val="24"/>
          <w:lang w:eastAsia="en-US"/>
        </w:rPr>
        <w:t>A)(</w:t>
      </w:r>
      <w:proofErr w:type="gramEnd"/>
      <w:r w:rsidRPr="00CF56DA">
        <w:rPr>
          <w:sz w:val="24"/>
          <w:szCs w:val="24"/>
          <w:lang w:eastAsia="en-US"/>
        </w:rPr>
        <w:t>a); or</w:t>
      </w:r>
    </w:p>
    <w:p w14:paraId="0E19AD21" w14:textId="77777777" w:rsidR="009F1B4D" w:rsidRPr="00CF56DA" w:rsidRDefault="009F1B4D" w:rsidP="009F1B4D">
      <w:pPr>
        <w:pStyle w:val="paragraph"/>
        <w:rPr>
          <w:sz w:val="24"/>
          <w:szCs w:val="24"/>
          <w:lang w:eastAsia="en-US"/>
        </w:rPr>
      </w:pPr>
      <w:r w:rsidRPr="00CF56DA">
        <w:rPr>
          <w:sz w:val="24"/>
          <w:szCs w:val="24"/>
        </w:rPr>
        <w:tab/>
        <w:t>(d)</w:t>
      </w:r>
      <w:r w:rsidRPr="00CF56DA">
        <w:rPr>
          <w:sz w:val="24"/>
          <w:szCs w:val="24"/>
        </w:rPr>
        <w:tab/>
      </w:r>
      <w:r w:rsidRPr="00CF56DA">
        <w:rPr>
          <w:sz w:val="24"/>
          <w:szCs w:val="24"/>
          <w:lang w:eastAsia="en-US"/>
        </w:rPr>
        <w:t>disposes of the controlled apparatus, by rendering the controlled apparatus permanently inoperable as a controlled apparatus, in accordance with paragraph (3</w:t>
      </w:r>
      <w:proofErr w:type="gramStart"/>
      <w:r w:rsidRPr="00CF56DA">
        <w:rPr>
          <w:sz w:val="24"/>
          <w:szCs w:val="24"/>
          <w:lang w:eastAsia="en-US"/>
        </w:rPr>
        <w:t>A)(</w:t>
      </w:r>
      <w:proofErr w:type="gramEnd"/>
      <w:r w:rsidRPr="00CF56DA">
        <w:rPr>
          <w:sz w:val="24"/>
          <w:szCs w:val="24"/>
          <w:lang w:eastAsia="en-US"/>
        </w:rPr>
        <w:t>b).</w:t>
      </w:r>
    </w:p>
    <w:p w14:paraId="0A137B19" w14:textId="77777777" w:rsidR="009F1B4D" w:rsidRPr="00CF56DA" w:rsidRDefault="009F1B4D" w:rsidP="009F1B4D">
      <w:pPr>
        <w:pStyle w:val="subsection"/>
        <w:rPr>
          <w:sz w:val="24"/>
          <w:szCs w:val="24"/>
        </w:rPr>
      </w:pPr>
      <w:r w:rsidRPr="00CF56DA">
        <w:rPr>
          <w:sz w:val="24"/>
          <w:szCs w:val="24"/>
        </w:rPr>
        <w:tab/>
        <w:t>(2)</w:t>
      </w:r>
      <w:r w:rsidRPr="00CF56DA">
        <w:rPr>
          <w:sz w:val="24"/>
          <w:szCs w:val="24"/>
        </w:rPr>
        <w:tab/>
        <w:t xml:space="preserve">The holder of a licence may, without the approval of the CEO, dispose of controlled apparatus or controlled materials described in the licence by way of transfer to another person (the </w:t>
      </w:r>
      <w:r w:rsidRPr="00CF56DA">
        <w:rPr>
          <w:b/>
          <w:i/>
          <w:sz w:val="24"/>
          <w:szCs w:val="24"/>
        </w:rPr>
        <w:t>transferee</w:t>
      </w:r>
      <w:r w:rsidRPr="00CF56DA">
        <w:rPr>
          <w:sz w:val="24"/>
          <w:szCs w:val="24"/>
        </w:rPr>
        <w:t>) if the disposal is not covered by subsection (3A) and both of the following apply:</w:t>
      </w:r>
    </w:p>
    <w:p w14:paraId="286612B9" w14:textId="77777777" w:rsidR="009F1B4D" w:rsidRPr="00CF56DA" w:rsidRDefault="009F1B4D" w:rsidP="009F1B4D">
      <w:pPr>
        <w:pStyle w:val="paragraph"/>
        <w:rPr>
          <w:sz w:val="24"/>
          <w:szCs w:val="24"/>
        </w:rPr>
      </w:pPr>
      <w:r w:rsidRPr="00CF56DA">
        <w:rPr>
          <w:sz w:val="24"/>
          <w:szCs w:val="24"/>
        </w:rPr>
        <w:tab/>
        <w:t>(a)</w:t>
      </w:r>
      <w:r w:rsidRPr="00CF56DA">
        <w:rPr>
          <w:sz w:val="24"/>
          <w:szCs w:val="24"/>
        </w:rPr>
        <w:tab/>
        <w:t xml:space="preserve">the transferee is the holder of a facility licence or a source </w:t>
      </w:r>
      <w:proofErr w:type="gramStart"/>
      <w:r w:rsidRPr="00CF56DA">
        <w:rPr>
          <w:sz w:val="24"/>
          <w:szCs w:val="24"/>
        </w:rPr>
        <w:t>licence;</w:t>
      </w:r>
      <w:proofErr w:type="gramEnd"/>
    </w:p>
    <w:p w14:paraId="6EE9163A" w14:textId="77777777" w:rsidR="009F1B4D" w:rsidRPr="00CF56DA" w:rsidRDefault="009F1B4D" w:rsidP="009F1B4D">
      <w:pPr>
        <w:pStyle w:val="paragraph"/>
        <w:rPr>
          <w:sz w:val="24"/>
          <w:szCs w:val="24"/>
        </w:rPr>
      </w:pPr>
      <w:r w:rsidRPr="00CF56DA">
        <w:rPr>
          <w:sz w:val="24"/>
          <w:szCs w:val="24"/>
        </w:rPr>
        <w:tab/>
        <w:t>(b)</w:t>
      </w:r>
      <w:r w:rsidRPr="00CF56DA">
        <w:rPr>
          <w:sz w:val="24"/>
          <w:szCs w:val="24"/>
        </w:rPr>
        <w:tab/>
        <w:t>the transferee’s licence authorises the transferee to deal with the controlled apparatus or controlled materials.</w:t>
      </w:r>
    </w:p>
    <w:p w14:paraId="7F0692CC" w14:textId="7F9281D7" w:rsidR="009F1B4D" w:rsidRPr="00CF56DA" w:rsidRDefault="009F1B4D" w:rsidP="009F1B4D">
      <w:pPr>
        <w:spacing w:before="100" w:beforeAutospacing="1"/>
        <w:ind w:right="91"/>
        <w:contextualSpacing/>
        <w:rPr>
          <w:sz w:val="24"/>
          <w:szCs w:val="24"/>
        </w:rPr>
      </w:pPr>
      <w:r w:rsidRPr="00CF56DA">
        <w:rPr>
          <w:sz w:val="24"/>
          <w:szCs w:val="24"/>
        </w:rPr>
        <w:t>The new subsections 65(1) and (2) provide</w:t>
      </w:r>
      <w:r w:rsidR="007E759B" w:rsidRPr="00CF56DA">
        <w:rPr>
          <w:sz w:val="24"/>
          <w:szCs w:val="24"/>
        </w:rPr>
        <w:t>s</w:t>
      </w:r>
      <w:r w:rsidRPr="00CF56DA">
        <w:rPr>
          <w:sz w:val="24"/>
          <w:szCs w:val="24"/>
        </w:rPr>
        <w:t xml:space="preserve"> the licence holder with four options to dispose of controlled material or controlled apparatus:</w:t>
      </w:r>
    </w:p>
    <w:p w14:paraId="3A3A9352" w14:textId="6F4CADDE" w:rsidR="009F1B4D" w:rsidRPr="00CF56DA" w:rsidRDefault="009F1B4D" w:rsidP="009F1B4D">
      <w:pPr>
        <w:pStyle w:val="ListParagraph"/>
        <w:widowControl/>
        <w:numPr>
          <w:ilvl w:val="0"/>
          <w:numId w:val="8"/>
        </w:numPr>
        <w:autoSpaceDE/>
        <w:autoSpaceDN/>
        <w:spacing w:before="40"/>
        <w:ind w:left="714" w:right="91" w:hanging="357"/>
        <w:contextualSpacing/>
        <w:rPr>
          <w:szCs w:val="24"/>
        </w:rPr>
      </w:pPr>
      <w:r w:rsidRPr="00CF56DA">
        <w:rPr>
          <w:szCs w:val="24"/>
        </w:rPr>
        <w:t xml:space="preserve">The first option for disposal </w:t>
      </w:r>
      <w:r w:rsidR="007E759B" w:rsidRPr="00CF56DA">
        <w:rPr>
          <w:szCs w:val="24"/>
        </w:rPr>
        <w:t xml:space="preserve">is </w:t>
      </w:r>
      <w:r w:rsidRPr="00CF56DA">
        <w:rPr>
          <w:szCs w:val="24"/>
        </w:rPr>
        <w:t>that the licence holder may dispose of controlled material or controlled apparatus</w:t>
      </w:r>
      <w:r w:rsidRPr="00CF56DA">
        <w:t xml:space="preserve"> after obtaining </w:t>
      </w:r>
      <w:r w:rsidRPr="00CF56DA">
        <w:rPr>
          <w:szCs w:val="24"/>
        </w:rPr>
        <w:t xml:space="preserve">prior </w:t>
      </w:r>
      <w:r w:rsidRPr="00CF56DA">
        <w:t xml:space="preserve">approval from the CEO. </w:t>
      </w:r>
    </w:p>
    <w:p w14:paraId="74328A53" w14:textId="606E3482" w:rsidR="009F1B4D" w:rsidRPr="00CF56DA" w:rsidRDefault="009F1B4D" w:rsidP="009F1B4D">
      <w:pPr>
        <w:pStyle w:val="ListParagraph"/>
        <w:widowControl/>
        <w:numPr>
          <w:ilvl w:val="0"/>
          <w:numId w:val="8"/>
        </w:numPr>
        <w:autoSpaceDE/>
        <w:autoSpaceDN/>
        <w:spacing w:before="40"/>
        <w:ind w:left="714" w:right="91" w:hanging="357"/>
        <w:contextualSpacing/>
        <w:rPr>
          <w:szCs w:val="24"/>
        </w:rPr>
      </w:pPr>
      <w:r w:rsidRPr="00CF56DA">
        <w:rPr>
          <w:szCs w:val="24"/>
        </w:rPr>
        <w:lastRenderedPageBreak/>
        <w:t>A</w:t>
      </w:r>
      <w:r w:rsidRPr="00CF56DA">
        <w:t xml:space="preserve"> second option for disposal</w:t>
      </w:r>
      <w:r w:rsidR="007E759B" w:rsidRPr="00CF56DA">
        <w:t xml:space="preserve"> is </w:t>
      </w:r>
      <w:r w:rsidRPr="00CF56DA">
        <w:rPr>
          <w:szCs w:val="24"/>
        </w:rPr>
        <w:t>that</w:t>
      </w:r>
      <w:r w:rsidRPr="00CF56DA">
        <w:t xml:space="preserve"> the licence holder may without approval of the CEO transfer the controlled apparatus or controlled material to another licence holder under certain conditions. </w:t>
      </w:r>
    </w:p>
    <w:p w14:paraId="51F194AD" w14:textId="7E3EC61A" w:rsidR="009F1B4D" w:rsidRPr="00CF56DA" w:rsidRDefault="009F1B4D" w:rsidP="009F1B4D">
      <w:pPr>
        <w:pStyle w:val="ListParagraph"/>
        <w:widowControl/>
        <w:numPr>
          <w:ilvl w:val="0"/>
          <w:numId w:val="8"/>
        </w:numPr>
        <w:autoSpaceDE/>
        <w:autoSpaceDN/>
        <w:spacing w:before="40"/>
        <w:ind w:left="714" w:right="91" w:hanging="357"/>
        <w:contextualSpacing/>
        <w:rPr>
          <w:szCs w:val="24"/>
        </w:rPr>
      </w:pPr>
      <w:r w:rsidRPr="00CF56DA">
        <w:t xml:space="preserve">A third option for disposal </w:t>
      </w:r>
      <w:r w:rsidR="007E759B" w:rsidRPr="00CF56DA">
        <w:t xml:space="preserve">is </w:t>
      </w:r>
      <w:r w:rsidRPr="00CF56DA">
        <w:t>that the licence holder may without approval</w:t>
      </w:r>
      <w:r w:rsidRPr="00CF56DA">
        <w:rPr>
          <w:szCs w:val="24"/>
        </w:rPr>
        <w:t xml:space="preserve"> of the CEO</w:t>
      </w:r>
      <w:r w:rsidRPr="00CF56DA">
        <w:t xml:space="preserve"> dispose of the controlled apparatus by returning certain controlled apparatus to the supplier of the controlled apparatus in certain circumstances.  </w:t>
      </w:r>
    </w:p>
    <w:p w14:paraId="3BE19ADF" w14:textId="7DED9B75" w:rsidR="009F1B4D" w:rsidRPr="00CF56DA" w:rsidRDefault="009F1B4D" w:rsidP="009F1B4D">
      <w:pPr>
        <w:pStyle w:val="ListParagraph"/>
        <w:widowControl/>
        <w:numPr>
          <w:ilvl w:val="0"/>
          <w:numId w:val="8"/>
        </w:numPr>
        <w:autoSpaceDE/>
        <w:autoSpaceDN/>
        <w:spacing w:before="40"/>
        <w:ind w:left="714" w:right="91" w:hanging="357"/>
        <w:contextualSpacing/>
        <w:rPr>
          <w:szCs w:val="24"/>
        </w:rPr>
      </w:pPr>
      <w:r w:rsidRPr="00CF56DA">
        <w:t xml:space="preserve">A fourth option </w:t>
      </w:r>
      <w:r w:rsidRPr="00CF56DA">
        <w:rPr>
          <w:szCs w:val="24"/>
        </w:rPr>
        <w:t xml:space="preserve">for disposal </w:t>
      </w:r>
      <w:r w:rsidR="007E759B" w:rsidRPr="00CF56DA">
        <w:rPr>
          <w:szCs w:val="24"/>
        </w:rPr>
        <w:t xml:space="preserve">is </w:t>
      </w:r>
      <w:r w:rsidRPr="00CF56DA">
        <w:t>that the licence holder may without approval of the CEO dispose of certain controlled apparatus by rendering the controlled apparatus permanently inoperable as a controlled apparatus in certain circumstances.</w:t>
      </w:r>
      <w:r w:rsidRPr="00CF56DA">
        <w:rPr>
          <w:szCs w:val="24"/>
        </w:rPr>
        <w:t xml:space="preserve"> </w:t>
      </w:r>
    </w:p>
    <w:p w14:paraId="58FF37AC" w14:textId="140BEF3C" w:rsidR="009F1B4D" w:rsidRPr="00CF56DA" w:rsidRDefault="009F1B4D" w:rsidP="009F1B4D">
      <w:pPr>
        <w:spacing w:before="100" w:beforeAutospacing="1"/>
        <w:ind w:right="91"/>
        <w:contextualSpacing/>
        <w:rPr>
          <w:sz w:val="24"/>
          <w:szCs w:val="24"/>
        </w:rPr>
      </w:pPr>
      <w:r w:rsidRPr="00CF56DA">
        <w:rPr>
          <w:sz w:val="24"/>
          <w:szCs w:val="24"/>
        </w:rPr>
        <w:t xml:space="preserve">This amendment is required to make subsections 65(1) and (2) easier for licence holders to understand regarding the first two options for disposal. The amendment is also required to give the licence holder a third and fourth option for disposal of certain controlled apparatus which </w:t>
      </w:r>
      <w:r w:rsidR="00195406" w:rsidRPr="00CF56DA">
        <w:rPr>
          <w:sz w:val="24"/>
          <w:szCs w:val="24"/>
        </w:rPr>
        <w:t xml:space="preserve">do </w:t>
      </w:r>
      <w:r w:rsidRPr="00CF56DA">
        <w:rPr>
          <w:sz w:val="24"/>
          <w:szCs w:val="24"/>
        </w:rPr>
        <w:t xml:space="preserve">not require the approval of the CEO under certain circumstances. </w:t>
      </w:r>
    </w:p>
    <w:p w14:paraId="5207B972" w14:textId="77777777" w:rsidR="009F1B4D" w:rsidRPr="00CF56DA" w:rsidRDefault="009F1B4D" w:rsidP="009F1B4D">
      <w:pPr>
        <w:spacing w:before="100" w:beforeAutospacing="1"/>
        <w:ind w:right="91"/>
        <w:contextualSpacing/>
        <w:rPr>
          <w:sz w:val="24"/>
          <w:szCs w:val="24"/>
        </w:rPr>
      </w:pPr>
    </w:p>
    <w:p w14:paraId="0D621CD7" w14:textId="656DD059" w:rsidR="009F1B4D" w:rsidRPr="00CF56DA" w:rsidRDefault="009F1B4D" w:rsidP="009F1B4D">
      <w:pPr>
        <w:spacing w:before="100" w:beforeAutospacing="1"/>
        <w:ind w:right="91"/>
        <w:contextualSpacing/>
        <w:rPr>
          <w:sz w:val="24"/>
          <w:szCs w:val="24"/>
        </w:rPr>
      </w:pPr>
      <w:r w:rsidRPr="00CF56DA">
        <w:rPr>
          <w:sz w:val="24"/>
          <w:szCs w:val="24"/>
        </w:rPr>
        <w:t xml:space="preserve">The effect of the amendment </w:t>
      </w:r>
      <w:r w:rsidR="00311F49" w:rsidRPr="00CF56DA">
        <w:rPr>
          <w:sz w:val="24"/>
          <w:szCs w:val="24"/>
        </w:rPr>
        <w:t>is</w:t>
      </w:r>
      <w:r w:rsidRPr="00CF56DA">
        <w:rPr>
          <w:sz w:val="24"/>
          <w:szCs w:val="24"/>
        </w:rPr>
        <w:t xml:space="preserve"> to make it easier for a licence holder to dispose of certain apparatus to the supplier and render certain apparatus inoperable without the administrative burden of seeking prior approval of the CEO.</w:t>
      </w:r>
    </w:p>
    <w:p w14:paraId="07F91018" w14:textId="77777777" w:rsidR="009F1B4D" w:rsidRPr="00CF56DA" w:rsidRDefault="009F1B4D" w:rsidP="009F1B4D">
      <w:pPr>
        <w:spacing w:before="100" w:beforeAutospacing="1"/>
        <w:ind w:right="91"/>
        <w:contextualSpacing/>
        <w:rPr>
          <w:sz w:val="24"/>
          <w:szCs w:val="24"/>
        </w:rPr>
      </w:pPr>
    </w:p>
    <w:p w14:paraId="78EB0DBB"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[12] - Subsection 65(3)</w:t>
      </w:r>
    </w:p>
    <w:p w14:paraId="6C7AB4CB" w14:textId="77777777" w:rsidR="009F1B4D" w:rsidRPr="00CF56DA" w:rsidRDefault="009F1B4D" w:rsidP="009F1B4D">
      <w:pPr>
        <w:spacing w:before="100" w:beforeAutospacing="1" w:after="100" w:afterAutospacing="1"/>
        <w:ind w:right="-24"/>
        <w:contextualSpacing/>
        <w:rPr>
          <w:sz w:val="24"/>
          <w:szCs w:val="24"/>
        </w:rPr>
      </w:pPr>
    </w:p>
    <w:p w14:paraId="3A76C54F" w14:textId="4B3894F3" w:rsidR="009F1B4D" w:rsidRPr="00CF56DA" w:rsidRDefault="009F1B4D" w:rsidP="009F1B4D">
      <w:pPr>
        <w:spacing w:before="100" w:beforeAutospacing="1" w:after="100" w:afterAutospacing="1"/>
        <w:ind w:right="-24"/>
        <w:contextualSpacing/>
        <w:rPr>
          <w:sz w:val="24"/>
          <w:szCs w:val="24"/>
        </w:rPr>
      </w:pPr>
      <w:r w:rsidRPr="00CF56DA">
        <w:rPr>
          <w:sz w:val="24"/>
          <w:szCs w:val="24"/>
        </w:rPr>
        <w:t>This item omit</w:t>
      </w:r>
      <w:r w:rsidR="00311F49" w:rsidRPr="00CF56DA">
        <w:rPr>
          <w:sz w:val="24"/>
          <w:szCs w:val="24"/>
        </w:rPr>
        <w:t>s</w:t>
      </w:r>
      <w:r w:rsidRPr="00CF56DA">
        <w:rPr>
          <w:sz w:val="24"/>
          <w:szCs w:val="24"/>
        </w:rPr>
        <w:t xml:space="preserve"> from subsection 65(3) the reference to “paragraph (2)(b)”, and substitute</w:t>
      </w:r>
      <w:r w:rsidR="00311F49" w:rsidRPr="00CF56DA">
        <w:rPr>
          <w:sz w:val="24"/>
          <w:szCs w:val="24"/>
        </w:rPr>
        <w:t>s</w:t>
      </w:r>
      <w:r w:rsidRPr="00CF56DA">
        <w:rPr>
          <w:sz w:val="24"/>
          <w:szCs w:val="24"/>
        </w:rPr>
        <w:t xml:space="preserve"> “subsection (2)”. This amendment is required for subsection 65(3) to correctly refer to new subsection 65(2) which sets out circumstances where the licence holder may without approval of the CEO transfer the controlled apparatus or controlled material to another licence holder. The effect of the amendment </w:t>
      </w:r>
      <w:r w:rsidR="00311F49" w:rsidRPr="00CF56DA">
        <w:rPr>
          <w:sz w:val="24"/>
          <w:szCs w:val="24"/>
        </w:rPr>
        <w:t xml:space="preserve">is </w:t>
      </w:r>
      <w:r w:rsidRPr="00CF56DA">
        <w:rPr>
          <w:sz w:val="24"/>
          <w:szCs w:val="24"/>
        </w:rPr>
        <w:t>that the new subsection 65(3) correctly refers to subsection 65(2).</w:t>
      </w:r>
    </w:p>
    <w:p w14:paraId="797C4163" w14:textId="77777777" w:rsidR="009F1B4D" w:rsidRPr="00CF56DA" w:rsidRDefault="009F1B4D" w:rsidP="009F1B4D">
      <w:pPr>
        <w:spacing w:before="100" w:beforeAutospacing="1"/>
        <w:ind w:right="91"/>
        <w:contextualSpacing/>
        <w:rPr>
          <w:b/>
          <w:sz w:val="24"/>
          <w:szCs w:val="24"/>
          <w:lang w:eastAsia="en-AU"/>
        </w:rPr>
      </w:pPr>
    </w:p>
    <w:p w14:paraId="2EE55D11"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[13] - After subsection 65(3)</w:t>
      </w:r>
    </w:p>
    <w:p w14:paraId="30301072" w14:textId="77777777" w:rsidR="009F1B4D" w:rsidRPr="00CF56DA" w:rsidRDefault="009F1B4D" w:rsidP="009F1B4D">
      <w:pPr>
        <w:spacing w:before="100" w:beforeAutospacing="1" w:after="100" w:afterAutospacing="1"/>
        <w:ind w:right="91"/>
        <w:contextualSpacing/>
        <w:rPr>
          <w:b/>
          <w:sz w:val="24"/>
          <w:szCs w:val="24"/>
          <w:lang w:eastAsia="en-AU"/>
        </w:rPr>
      </w:pPr>
    </w:p>
    <w:p w14:paraId="3EF3B2E4" w14:textId="03699B5E" w:rsidR="009F1B4D" w:rsidRPr="00CF56DA" w:rsidRDefault="009F1B4D" w:rsidP="009F1B4D">
      <w:pPr>
        <w:spacing w:before="100" w:beforeAutospacing="1" w:after="100" w:afterAutospacing="1"/>
        <w:ind w:right="91"/>
        <w:contextualSpacing/>
        <w:rPr>
          <w:sz w:val="24"/>
          <w:szCs w:val="24"/>
        </w:rPr>
      </w:pPr>
      <w:r w:rsidRPr="00CF56DA">
        <w:rPr>
          <w:sz w:val="24"/>
          <w:szCs w:val="24"/>
        </w:rPr>
        <w:t>This item after subsection 65(3) insert</w:t>
      </w:r>
      <w:r w:rsidR="00311F49" w:rsidRPr="00CF56DA">
        <w:rPr>
          <w:sz w:val="24"/>
          <w:szCs w:val="24"/>
        </w:rPr>
        <w:t>s</w:t>
      </w:r>
      <w:r w:rsidRPr="00CF56DA">
        <w:rPr>
          <w:sz w:val="24"/>
          <w:szCs w:val="24"/>
        </w:rPr>
        <w:t>:</w:t>
      </w:r>
    </w:p>
    <w:p w14:paraId="2622A7A0" w14:textId="77777777" w:rsidR="009F1B4D" w:rsidRPr="00CF56DA" w:rsidRDefault="009F1B4D" w:rsidP="009F1B4D">
      <w:pPr>
        <w:pStyle w:val="subsection"/>
        <w:rPr>
          <w:sz w:val="24"/>
          <w:szCs w:val="24"/>
        </w:rPr>
      </w:pPr>
      <w:r w:rsidRPr="00CF56DA">
        <w:rPr>
          <w:sz w:val="24"/>
          <w:szCs w:val="24"/>
        </w:rPr>
        <w:tab/>
        <w:t>(3A)</w:t>
      </w:r>
      <w:r w:rsidRPr="00CF56DA">
        <w:rPr>
          <w:sz w:val="24"/>
          <w:szCs w:val="24"/>
        </w:rPr>
        <w:tab/>
        <w:t>The holder of a licence may, without the approval of the CEO, dispose of Group 1 controlled apparatus that is described in the licence and that does not contain controlled material:</w:t>
      </w:r>
    </w:p>
    <w:p w14:paraId="1A8573F4" w14:textId="77777777" w:rsidR="009F1B4D" w:rsidRPr="00CF56DA" w:rsidRDefault="009F1B4D" w:rsidP="009F1B4D">
      <w:pPr>
        <w:pStyle w:val="paragraph"/>
        <w:rPr>
          <w:sz w:val="24"/>
          <w:szCs w:val="24"/>
        </w:rPr>
      </w:pPr>
      <w:r w:rsidRPr="00CF56DA">
        <w:rPr>
          <w:sz w:val="24"/>
          <w:szCs w:val="24"/>
        </w:rPr>
        <w:tab/>
        <w:t>(a)</w:t>
      </w:r>
      <w:r w:rsidRPr="00CF56DA">
        <w:rPr>
          <w:sz w:val="24"/>
          <w:szCs w:val="24"/>
        </w:rPr>
        <w:tab/>
        <w:t>by returning the controlled apparatus to the person that supplied the controlled apparatus to the holder of the licence; or</w:t>
      </w:r>
    </w:p>
    <w:p w14:paraId="0CBE0E6B" w14:textId="77777777" w:rsidR="009F1B4D" w:rsidRPr="00CF56DA" w:rsidRDefault="009F1B4D" w:rsidP="009F1B4D">
      <w:pPr>
        <w:pStyle w:val="paragraph"/>
        <w:rPr>
          <w:sz w:val="24"/>
          <w:szCs w:val="24"/>
        </w:rPr>
      </w:pPr>
      <w:r w:rsidRPr="00CF56DA">
        <w:rPr>
          <w:sz w:val="24"/>
          <w:szCs w:val="24"/>
        </w:rPr>
        <w:tab/>
        <w:t>(b)</w:t>
      </w:r>
      <w:r w:rsidRPr="00CF56DA">
        <w:rPr>
          <w:sz w:val="24"/>
          <w:szCs w:val="24"/>
        </w:rPr>
        <w:tab/>
        <w:t>by rendering the controlled apparatus permanently inoperable as a controlled apparatus.</w:t>
      </w:r>
    </w:p>
    <w:p w14:paraId="723BC9E1" w14:textId="1100DEB0" w:rsidR="009F1B4D" w:rsidRPr="00CF56DA" w:rsidRDefault="009F1B4D" w:rsidP="009F1B4D">
      <w:pPr>
        <w:spacing w:before="100" w:beforeAutospacing="1"/>
        <w:ind w:right="91"/>
        <w:contextualSpacing/>
        <w:rPr>
          <w:b/>
          <w:sz w:val="24"/>
          <w:szCs w:val="24"/>
          <w:lang w:eastAsia="en-AU"/>
        </w:rPr>
      </w:pPr>
      <w:r w:rsidRPr="00CF56DA">
        <w:rPr>
          <w:sz w:val="24"/>
          <w:szCs w:val="24"/>
        </w:rPr>
        <w:t xml:space="preserve">This item is required to allow the licence holder without the approval of the CEO to dispose of certain controlled apparatus by returning that controlled apparatus to the supplier of the controlled apparatus in certain circumstances, and to allow the licence holder without the approval of the CEO to dispose of certain controlled apparatus by rendering the controlled apparatus permanently inoperable in certain circumstances. The effect of the amendment </w:t>
      </w:r>
      <w:r w:rsidR="00311F49" w:rsidRPr="00CF56DA">
        <w:rPr>
          <w:sz w:val="24"/>
          <w:szCs w:val="24"/>
        </w:rPr>
        <w:t>is</w:t>
      </w:r>
      <w:r w:rsidRPr="00CF56DA">
        <w:rPr>
          <w:sz w:val="24"/>
          <w:szCs w:val="24"/>
        </w:rPr>
        <w:t xml:space="preserve"> to make it easier for a licence holder to dispose of certain apparatus to the supplier and render apparatus inoperable without the administrative burden of seeking prior approval of the CEO.</w:t>
      </w:r>
    </w:p>
    <w:p w14:paraId="7ABCA09D" w14:textId="77777777" w:rsidR="009F1B4D" w:rsidRPr="00CF56DA" w:rsidRDefault="009F1B4D" w:rsidP="009F1B4D">
      <w:pPr>
        <w:spacing w:before="100" w:beforeAutospacing="1"/>
        <w:ind w:right="91"/>
        <w:contextualSpacing/>
        <w:rPr>
          <w:b/>
          <w:sz w:val="24"/>
          <w:szCs w:val="24"/>
          <w:lang w:eastAsia="en-AU"/>
        </w:rPr>
      </w:pPr>
    </w:p>
    <w:p w14:paraId="316AAC2F" w14:textId="77777777" w:rsidR="009F1B4D" w:rsidRPr="00CF56DA" w:rsidRDefault="009F1B4D" w:rsidP="009F1B4D">
      <w:pPr>
        <w:spacing w:before="100" w:beforeAutospacing="1" w:after="100" w:afterAutospacing="1"/>
        <w:ind w:right="91"/>
        <w:contextualSpacing/>
        <w:rPr>
          <w:b/>
          <w:sz w:val="24"/>
          <w:szCs w:val="24"/>
          <w:lang w:eastAsia="en-AU"/>
        </w:rPr>
      </w:pPr>
      <w:r w:rsidRPr="00CF56DA">
        <w:rPr>
          <w:b/>
          <w:sz w:val="24"/>
          <w:szCs w:val="24"/>
          <w:lang w:eastAsia="en-AU"/>
        </w:rPr>
        <w:t>Item [14] - Before subsection 65(4)</w:t>
      </w:r>
    </w:p>
    <w:p w14:paraId="645C585F" w14:textId="77777777" w:rsidR="009F1B4D" w:rsidRPr="00CF56DA" w:rsidRDefault="009F1B4D" w:rsidP="009F1B4D">
      <w:pPr>
        <w:spacing w:before="100" w:beforeAutospacing="1" w:after="100" w:afterAutospacing="1"/>
        <w:ind w:right="91"/>
        <w:contextualSpacing/>
        <w:rPr>
          <w:sz w:val="24"/>
          <w:szCs w:val="24"/>
        </w:rPr>
      </w:pPr>
    </w:p>
    <w:p w14:paraId="45B7116C" w14:textId="67D3EC15" w:rsidR="009F1B4D" w:rsidRPr="00CF56DA" w:rsidRDefault="009F1B4D" w:rsidP="009F1B4D">
      <w:pPr>
        <w:spacing w:before="100" w:beforeAutospacing="1" w:after="100" w:afterAutospacing="1"/>
        <w:ind w:right="91"/>
        <w:contextualSpacing/>
        <w:rPr>
          <w:b/>
          <w:sz w:val="24"/>
          <w:szCs w:val="24"/>
          <w:lang w:eastAsia="en-AU"/>
        </w:rPr>
      </w:pPr>
      <w:r w:rsidRPr="00CF56DA">
        <w:rPr>
          <w:sz w:val="24"/>
          <w:szCs w:val="24"/>
        </w:rPr>
        <w:t>This item insert</w:t>
      </w:r>
      <w:r w:rsidR="00311F49" w:rsidRPr="00CF56DA">
        <w:rPr>
          <w:sz w:val="24"/>
          <w:szCs w:val="24"/>
        </w:rPr>
        <w:t>s</w:t>
      </w:r>
      <w:r w:rsidRPr="00CF56DA">
        <w:rPr>
          <w:sz w:val="24"/>
          <w:szCs w:val="24"/>
        </w:rPr>
        <w:t xml:space="preserve"> the heading for “</w:t>
      </w:r>
      <w:r w:rsidRPr="00CF56DA">
        <w:rPr>
          <w:i/>
          <w:iCs/>
          <w:sz w:val="24"/>
          <w:szCs w:val="24"/>
        </w:rPr>
        <w:t>Disposal of controlled facilities</w:t>
      </w:r>
      <w:r w:rsidRPr="00CF56DA">
        <w:rPr>
          <w:sz w:val="24"/>
          <w:szCs w:val="24"/>
        </w:rPr>
        <w:t xml:space="preserve">” before subsection 65(4). This amendment is required to assist the licence holder to understand that subsection 65(4) </w:t>
      </w:r>
      <w:r w:rsidRPr="00CF56DA">
        <w:rPr>
          <w:sz w:val="24"/>
          <w:szCs w:val="24"/>
        </w:rPr>
        <w:lastRenderedPageBreak/>
        <w:t xml:space="preserve">applies to disposal of controlled facilities. The effect of this amendment </w:t>
      </w:r>
      <w:r w:rsidR="00311F49" w:rsidRPr="00CF56DA">
        <w:rPr>
          <w:sz w:val="24"/>
          <w:szCs w:val="24"/>
        </w:rPr>
        <w:t xml:space="preserve">is </w:t>
      </w:r>
      <w:r w:rsidRPr="00CF56DA">
        <w:rPr>
          <w:sz w:val="24"/>
          <w:szCs w:val="24"/>
        </w:rPr>
        <w:t>that the licence holder easily understands that subsection 65(4) applies to disposal of controlled facilities.</w:t>
      </w:r>
    </w:p>
    <w:p w14:paraId="1B243F11" w14:textId="77777777" w:rsidR="009F1B4D" w:rsidRPr="00CF56DA" w:rsidRDefault="009F1B4D" w:rsidP="009F1B4D">
      <w:pPr>
        <w:spacing w:before="100" w:beforeAutospacing="1"/>
        <w:ind w:right="91"/>
        <w:contextualSpacing/>
        <w:rPr>
          <w:b/>
          <w:sz w:val="24"/>
          <w:szCs w:val="24"/>
          <w:lang w:eastAsia="en-AU"/>
        </w:rPr>
      </w:pPr>
    </w:p>
    <w:p w14:paraId="5894390E" w14:textId="77777777" w:rsidR="009F1B4D" w:rsidRPr="00CF56DA" w:rsidRDefault="009F1B4D" w:rsidP="009F1B4D">
      <w:pPr>
        <w:spacing w:before="100" w:beforeAutospacing="1"/>
        <w:ind w:right="91"/>
        <w:contextualSpacing/>
        <w:rPr>
          <w:b/>
          <w:bCs/>
          <w:sz w:val="24"/>
          <w:szCs w:val="24"/>
        </w:rPr>
      </w:pPr>
      <w:r w:rsidRPr="00CF56DA">
        <w:rPr>
          <w:b/>
          <w:bCs/>
          <w:sz w:val="24"/>
          <w:szCs w:val="24"/>
        </w:rPr>
        <w:t>Item [15] - Subsection 65(4)</w:t>
      </w:r>
    </w:p>
    <w:p w14:paraId="495DABAC" w14:textId="77777777" w:rsidR="009F1B4D" w:rsidRPr="00CF56DA" w:rsidRDefault="009F1B4D" w:rsidP="009F1B4D">
      <w:pPr>
        <w:spacing w:before="100" w:beforeAutospacing="1"/>
        <w:ind w:right="91"/>
        <w:contextualSpacing/>
        <w:rPr>
          <w:b/>
          <w:bCs/>
          <w:sz w:val="24"/>
          <w:szCs w:val="24"/>
        </w:rPr>
      </w:pPr>
    </w:p>
    <w:p w14:paraId="298FBA4E" w14:textId="1B009FF9" w:rsidR="009F1B4D" w:rsidRPr="00CF56DA" w:rsidRDefault="009F1B4D" w:rsidP="009F1B4D">
      <w:pPr>
        <w:spacing w:before="100" w:beforeAutospacing="1"/>
        <w:ind w:right="91"/>
        <w:contextualSpacing/>
        <w:rPr>
          <w:sz w:val="24"/>
          <w:szCs w:val="24"/>
        </w:rPr>
      </w:pPr>
      <w:r w:rsidRPr="00CF56DA">
        <w:rPr>
          <w:sz w:val="24"/>
          <w:szCs w:val="24"/>
        </w:rPr>
        <w:t>This item omit</w:t>
      </w:r>
      <w:r w:rsidR="00311F49" w:rsidRPr="00CF56DA">
        <w:rPr>
          <w:sz w:val="24"/>
          <w:szCs w:val="24"/>
        </w:rPr>
        <w:t>s</w:t>
      </w:r>
      <w:r w:rsidRPr="00CF56DA">
        <w:rPr>
          <w:sz w:val="24"/>
          <w:szCs w:val="24"/>
        </w:rPr>
        <w:t xml:space="preserve"> “</w:t>
      </w:r>
      <w:r w:rsidRPr="00CF56DA">
        <w:rPr>
          <w:i/>
          <w:iCs/>
          <w:sz w:val="24"/>
          <w:szCs w:val="24"/>
        </w:rPr>
        <w:t>, or transfer to the possession of another person,</w:t>
      </w:r>
      <w:r w:rsidRPr="00CF56DA">
        <w:rPr>
          <w:sz w:val="24"/>
          <w:szCs w:val="24"/>
        </w:rPr>
        <w:t xml:space="preserve">” from subsection 65(4). It is intended that the existing restriction on transferring to the possession of another person </w:t>
      </w:r>
      <w:r w:rsidR="00311F49" w:rsidRPr="00CF56DA">
        <w:rPr>
          <w:sz w:val="24"/>
          <w:szCs w:val="24"/>
        </w:rPr>
        <w:t xml:space="preserve">is </w:t>
      </w:r>
      <w:r w:rsidRPr="00CF56DA">
        <w:rPr>
          <w:sz w:val="24"/>
          <w:szCs w:val="24"/>
        </w:rPr>
        <w:t>covered by the words ‘</w:t>
      </w:r>
      <w:r w:rsidRPr="00CF56DA">
        <w:rPr>
          <w:i/>
          <w:iCs/>
          <w:sz w:val="24"/>
          <w:szCs w:val="24"/>
        </w:rPr>
        <w:t>must not dispose of</w:t>
      </w:r>
      <w:r w:rsidRPr="00CF56DA">
        <w:rPr>
          <w:sz w:val="24"/>
          <w:szCs w:val="24"/>
        </w:rPr>
        <w:t xml:space="preserve">’’ and that this amendment simplifies subsection 65(4). The effect of this amendment </w:t>
      </w:r>
      <w:r w:rsidR="00311F49" w:rsidRPr="00CF56DA">
        <w:rPr>
          <w:sz w:val="24"/>
          <w:szCs w:val="24"/>
        </w:rPr>
        <w:t xml:space="preserve">is </w:t>
      </w:r>
      <w:r w:rsidRPr="00CF56DA">
        <w:rPr>
          <w:sz w:val="24"/>
          <w:szCs w:val="24"/>
        </w:rPr>
        <w:t xml:space="preserve">that subsection 65(4) </w:t>
      </w:r>
      <w:r w:rsidR="00311F49" w:rsidRPr="00CF56DA">
        <w:rPr>
          <w:sz w:val="24"/>
          <w:szCs w:val="24"/>
        </w:rPr>
        <w:t xml:space="preserve">is </w:t>
      </w:r>
      <w:r w:rsidRPr="00CF56DA">
        <w:rPr>
          <w:sz w:val="24"/>
          <w:szCs w:val="24"/>
        </w:rPr>
        <w:t>easier to administer and easier for licence holders to understand.</w:t>
      </w:r>
    </w:p>
    <w:p w14:paraId="09EB0D7E" w14:textId="77777777" w:rsidR="009F1B4D" w:rsidRPr="00CF56DA" w:rsidRDefault="009F1B4D" w:rsidP="009F1B4D">
      <w:pPr>
        <w:spacing w:before="100" w:beforeAutospacing="1"/>
        <w:ind w:right="91"/>
        <w:contextualSpacing/>
        <w:rPr>
          <w:b/>
          <w:sz w:val="24"/>
          <w:szCs w:val="24"/>
          <w:lang w:eastAsia="en-AU"/>
        </w:rPr>
      </w:pPr>
    </w:p>
    <w:p w14:paraId="1971555F" w14:textId="77777777" w:rsidR="009F1B4D" w:rsidRPr="00CF56DA" w:rsidRDefault="009F1B4D" w:rsidP="009F1B4D">
      <w:pPr>
        <w:spacing w:before="100" w:beforeAutospacing="1"/>
        <w:ind w:right="91"/>
        <w:contextualSpacing/>
        <w:rPr>
          <w:b/>
          <w:sz w:val="24"/>
          <w:szCs w:val="24"/>
          <w:lang w:eastAsia="en-AU"/>
        </w:rPr>
      </w:pPr>
      <w:r w:rsidRPr="00CF56DA">
        <w:rPr>
          <w:b/>
          <w:sz w:val="24"/>
          <w:szCs w:val="24"/>
          <w:lang w:eastAsia="en-AU"/>
        </w:rPr>
        <w:t>Item [16] - Subsection 65(5)</w:t>
      </w:r>
    </w:p>
    <w:p w14:paraId="2BE4D2A3" w14:textId="77777777" w:rsidR="009F1B4D" w:rsidRPr="00CF56DA" w:rsidRDefault="009F1B4D" w:rsidP="009F1B4D">
      <w:pPr>
        <w:spacing w:before="100" w:beforeAutospacing="1"/>
        <w:ind w:right="91"/>
        <w:contextualSpacing/>
        <w:rPr>
          <w:b/>
          <w:sz w:val="24"/>
          <w:szCs w:val="24"/>
          <w:lang w:eastAsia="en-AU"/>
        </w:rPr>
      </w:pPr>
    </w:p>
    <w:p w14:paraId="047188BE" w14:textId="137DF8D8" w:rsidR="009F1B4D" w:rsidRPr="00CF56DA" w:rsidRDefault="009F1B4D" w:rsidP="009F1B4D">
      <w:pPr>
        <w:spacing w:before="100" w:beforeAutospacing="1"/>
        <w:ind w:right="91"/>
        <w:contextualSpacing/>
        <w:rPr>
          <w:bCs/>
          <w:sz w:val="24"/>
          <w:szCs w:val="24"/>
          <w:lang w:eastAsia="en-AU"/>
        </w:rPr>
      </w:pPr>
      <w:r w:rsidRPr="00CF56DA">
        <w:rPr>
          <w:bCs/>
          <w:sz w:val="24"/>
          <w:szCs w:val="24"/>
          <w:lang w:eastAsia="en-AU"/>
        </w:rPr>
        <w:t>This item repeal</w:t>
      </w:r>
      <w:r w:rsidR="00311F49" w:rsidRPr="00CF56DA">
        <w:rPr>
          <w:bCs/>
          <w:sz w:val="24"/>
          <w:szCs w:val="24"/>
          <w:lang w:eastAsia="en-AU"/>
        </w:rPr>
        <w:t>s</w:t>
      </w:r>
      <w:r w:rsidRPr="00CF56DA">
        <w:rPr>
          <w:bCs/>
          <w:sz w:val="24"/>
          <w:szCs w:val="24"/>
          <w:lang w:eastAsia="en-AU"/>
        </w:rPr>
        <w:t xml:space="preserve"> the subsection (not including the heading), and substitute</w:t>
      </w:r>
      <w:r w:rsidR="00311F49" w:rsidRPr="00CF56DA">
        <w:rPr>
          <w:bCs/>
          <w:sz w:val="24"/>
          <w:szCs w:val="24"/>
          <w:lang w:eastAsia="en-AU"/>
        </w:rPr>
        <w:t>s</w:t>
      </w:r>
      <w:r w:rsidRPr="00CF56DA">
        <w:rPr>
          <w:bCs/>
          <w:sz w:val="24"/>
          <w:szCs w:val="24"/>
          <w:lang w:eastAsia="en-AU"/>
        </w:rPr>
        <w:t xml:space="preserve">: </w:t>
      </w:r>
    </w:p>
    <w:p w14:paraId="1297861E" w14:textId="77777777" w:rsidR="009F1B4D" w:rsidRPr="00CF56DA" w:rsidRDefault="009F1B4D" w:rsidP="009F1B4D">
      <w:pPr>
        <w:pStyle w:val="subsection"/>
        <w:rPr>
          <w:sz w:val="24"/>
          <w:szCs w:val="24"/>
        </w:rPr>
      </w:pPr>
      <w:r w:rsidRPr="00CF56DA">
        <w:rPr>
          <w:sz w:val="24"/>
          <w:szCs w:val="24"/>
        </w:rPr>
        <w:tab/>
        <w:t>(5)</w:t>
      </w:r>
      <w:r w:rsidRPr="00CF56DA">
        <w:rPr>
          <w:sz w:val="24"/>
          <w:szCs w:val="24"/>
        </w:rPr>
        <w:tab/>
        <w:t>Subsection (1), (2), (3), (3A) or (4) does not apply to the extent that the licence makes other arrangements for a matter mentioned in that subsection.</w:t>
      </w:r>
    </w:p>
    <w:p w14:paraId="5A00DD00" w14:textId="2EF05220" w:rsidR="009F1B4D" w:rsidRPr="00CF56DA" w:rsidRDefault="009F1B4D" w:rsidP="009F1B4D">
      <w:pPr>
        <w:spacing w:before="100" w:beforeAutospacing="1"/>
        <w:ind w:right="91"/>
        <w:contextualSpacing/>
        <w:rPr>
          <w:sz w:val="24"/>
          <w:szCs w:val="24"/>
        </w:rPr>
      </w:pPr>
      <w:r w:rsidRPr="00CF56DA">
        <w:rPr>
          <w:sz w:val="24"/>
          <w:szCs w:val="24"/>
        </w:rPr>
        <w:t xml:space="preserve">The new subsection 65(5) </w:t>
      </w:r>
      <w:r w:rsidR="00311F49" w:rsidRPr="00CF56DA">
        <w:rPr>
          <w:sz w:val="24"/>
          <w:szCs w:val="24"/>
        </w:rPr>
        <w:t xml:space="preserve">has </w:t>
      </w:r>
      <w:r w:rsidRPr="00CF56DA">
        <w:rPr>
          <w:sz w:val="24"/>
          <w:szCs w:val="24"/>
        </w:rPr>
        <w:t>the same effect as the existing subsection 65(5) which provides that subsections (1), (2), (3) and (4) do not apply to the extent that the licence makes other arrangements for a matter mentioned in the subsection. New subsection 65(5) also ha</w:t>
      </w:r>
      <w:r w:rsidR="00311F49" w:rsidRPr="00CF56DA">
        <w:rPr>
          <w:sz w:val="24"/>
          <w:szCs w:val="24"/>
        </w:rPr>
        <w:t>s</w:t>
      </w:r>
      <w:r w:rsidRPr="00CF56DA">
        <w:rPr>
          <w:sz w:val="24"/>
          <w:szCs w:val="24"/>
        </w:rPr>
        <w:t xml:space="preserve"> the effect that the new subsection (3A) does not apply to the extent that the licence makes other arrangements for a matter mentioned in the subsection.</w:t>
      </w:r>
    </w:p>
    <w:p w14:paraId="6E2B3A5D" w14:textId="77777777" w:rsidR="009F1B4D" w:rsidRPr="00CF56DA" w:rsidRDefault="009F1B4D" w:rsidP="009F1B4D">
      <w:pPr>
        <w:spacing w:before="100" w:beforeAutospacing="1"/>
        <w:ind w:right="91"/>
        <w:contextualSpacing/>
        <w:rPr>
          <w:b/>
          <w:sz w:val="24"/>
          <w:szCs w:val="24"/>
          <w:lang w:eastAsia="en-AU"/>
        </w:rPr>
      </w:pPr>
    </w:p>
    <w:p w14:paraId="0B6AFB2C" w14:textId="77777777" w:rsidR="009F1B4D" w:rsidRPr="00CF56DA" w:rsidRDefault="009F1B4D" w:rsidP="009F1B4D">
      <w:pPr>
        <w:spacing w:before="100" w:beforeAutospacing="1"/>
        <w:ind w:right="91"/>
        <w:contextualSpacing/>
        <w:rPr>
          <w:b/>
          <w:sz w:val="24"/>
          <w:szCs w:val="24"/>
          <w:lang w:eastAsia="en-AU"/>
        </w:rPr>
      </w:pPr>
      <w:r w:rsidRPr="00CF56DA">
        <w:rPr>
          <w:b/>
          <w:sz w:val="24"/>
          <w:szCs w:val="24"/>
          <w:lang w:eastAsia="en-AU"/>
        </w:rPr>
        <w:t>Item [17] - Paragraph 84(e)</w:t>
      </w:r>
    </w:p>
    <w:p w14:paraId="2232845A" w14:textId="77777777" w:rsidR="009F1B4D" w:rsidRPr="00CF56DA" w:rsidRDefault="009F1B4D" w:rsidP="009F1B4D">
      <w:pPr>
        <w:spacing w:before="100" w:beforeAutospacing="1"/>
        <w:ind w:right="91"/>
        <w:contextualSpacing/>
        <w:rPr>
          <w:bCs/>
          <w:sz w:val="24"/>
          <w:szCs w:val="24"/>
          <w:lang w:eastAsia="en-AU"/>
        </w:rPr>
      </w:pPr>
    </w:p>
    <w:p w14:paraId="070C4179" w14:textId="189B341C" w:rsidR="009F1B4D" w:rsidRPr="00CF56DA" w:rsidRDefault="009F1B4D" w:rsidP="009F1B4D">
      <w:pPr>
        <w:spacing w:before="100" w:beforeAutospacing="1"/>
        <w:ind w:right="91"/>
        <w:contextualSpacing/>
        <w:rPr>
          <w:bCs/>
          <w:sz w:val="24"/>
          <w:szCs w:val="24"/>
          <w:lang w:eastAsia="en-AU"/>
        </w:rPr>
      </w:pPr>
      <w:r w:rsidRPr="00CF56DA">
        <w:rPr>
          <w:bCs/>
          <w:sz w:val="24"/>
          <w:szCs w:val="24"/>
          <w:lang w:eastAsia="en-AU"/>
        </w:rPr>
        <w:t>This item repeal</w:t>
      </w:r>
      <w:r w:rsidR="00F055C6" w:rsidRPr="00CF56DA">
        <w:rPr>
          <w:bCs/>
          <w:sz w:val="24"/>
          <w:szCs w:val="24"/>
          <w:lang w:eastAsia="en-AU"/>
        </w:rPr>
        <w:t>s</w:t>
      </w:r>
      <w:r w:rsidRPr="00CF56DA">
        <w:rPr>
          <w:bCs/>
          <w:sz w:val="24"/>
          <w:szCs w:val="24"/>
          <w:lang w:eastAsia="en-AU"/>
        </w:rPr>
        <w:t xml:space="preserve"> paragraph 84(e), and substitute</w:t>
      </w:r>
      <w:r w:rsidR="00F055C6" w:rsidRPr="00CF56DA">
        <w:rPr>
          <w:bCs/>
          <w:sz w:val="24"/>
          <w:szCs w:val="24"/>
          <w:lang w:eastAsia="en-AU"/>
        </w:rPr>
        <w:t>s</w:t>
      </w:r>
      <w:r w:rsidRPr="00CF56DA">
        <w:rPr>
          <w:bCs/>
          <w:sz w:val="24"/>
          <w:szCs w:val="24"/>
          <w:lang w:eastAsia="en-AU"/>
        </w:rPr>
        <w:t>:</w:t>
      </w:r>
    </w:p>
    <w:p w14:paraId="7C386B16" w14:textId="77777777" w:rsidR="009F1B4D" w:rsidRPr="00CF56DA" w:rsidRDefault="009F1B4D" w:rsidP="009F1B4D">
      <w:pPr>
        <w:spacing w:before="100" w:beforeAutospacing="1"/>
        <w:ind w:right="91"/>
        <w:contextualSpacing/>
        <w:rPr>
          <w:bCs/>
          <w:sz w:val="24"/>
          <w:szCs w:val="24"/>
          <w:lang w:eastAsia="en-AU"/>
        </w:rPr>
      </w:pPr>
    </w:p>
    <w:p w14:paraId="1B712AAC" w14:textId="77777777" w:rsidR="009F1B4D" w:rsidRPr="00CF56DA" w:rsidRDefault="009F1B4D" w:rsidP="009F1B4D">
      <w:pPr>
        <w:spacing w:before="100" w:beforeAutospacing="1"/>
        <w:ind w:right="91" w:firstLine="720"/>
        <w:contextualSpacing/>
        <w:rPr>
          <w:bCs/>
          <w:sz w:val="24"/>
          <w:szCs w:val="24"/>
          <w:lang w:eastAsia="en-AU"/>
        </w:rPr>
      </w:pPr>
      <w:r w:rsidRPr="00CF56DA">
        <w:rPr>
          <w:sz w:val="24"/>
          <w:szCs w:val="24"/>
          <w:lang w:eastAsia="en-AU"/>
        </w:rPr>
        <w:t xml:space="preserve">(e) the </w:t>
      </w:r>
      <w:r w:rsidRPr="00CF56DA">
        <w:rPr>
          <w:i/>
          <w:sz w:val="24"/>
          <w:szCs w:val="24"/>
          <w:lang w:eastAsia="en-AU"/>
        </w:rPr>
        <w:t>Radiation Protection and Control Act 2021</w:t>
      </w:r>
      <w:r w:rsidRPr="00CF56DA">
        <w:rPr>
          <w:sz w:val="24"/>
          <w:szCs w:val="24"/>
          <w:lang w:eastAsia="en-AU"/>
        </w:rPr>
        <w:t xml:space="preserve"> (SA</w:t>
      </w:r>
      <w:proofErr w:type="gramStart"/>
      <w:r w:rsidRPr="00CF56DA">
        <w:rPr>
          <w:sz w:val="24"/>
          <w:szCs w:val="24"/>
          <w:lang w:eastAsia="en-AU"/>
        </w:rPr>
        <w:t>);</w:t>
      </w:r>
      <w:proofErr w:type="gramEnd"/>
    </w:p>
    <w:p w14:paraId="5F7ECFBD" w14:textId="77777777" w:rsidR="009F1B4D" w:rsidRPr="00CF56DA" w:rsidRDefault="009F1B4D" w:rsidP="009F1B4D">
      <w:pPr>
        <w:spacing w:before="100" w:beforeAutospacing="1"/>
        <w:ind w:right="91"/>
        <w:contextualSpacing/>
        <w:rPr>
          <w:bCs/>
          <w:sz w:val="24"/>
          <w:szCs w:val="24"/>
          <w:lang w:eastAsia="en-AU"/>
        </w:rPr>
      </w:pPr>
    </w:p>
    <w:p w14:paraId="1EF47BE6" w14:textId="77777777" w:rsidR="009F1B4D" w:rsidRPr="00CF56DA" w:rsidRDefault="009F1B4D" w:rsidP="009F1B4D">
      <w:pPr>
        <w:spacing w:before="100" w:beforeAutospacing="1"/>
        <w:ind w:right="91"/>
        <w:contextualSpacing/>
        <w:rPr>
          <w:sz w:val="24"/>
          <w:szCs w:val="24"/>
        </w:rPr>
      </w:pPr>
      <w:r w:rsidRPr="00CF56DA">
        <w:rPr>
          <w:sz w:val="24"/>
          <w:szCs w:val="24"/>
        </w:rPr>
        <w:t xml:space="preserve">This amendment is required to ensure that activities of controlled or permitted persons covered by the operation of the </w:t>
      </w:r>
      <w:r w:rsidRPr="00CF56DA">
        <w:rPr>
          <w:i/>
          <w:iCs/>
          <w:sz w:val="24"/>
          <w:szCs w:val="24"/>
        </w:rPr>
        <w:t xml:space="preserve">Australian Radiation Protection and Nuclear Safety </w:t>
      </w:r>
      <w:r w:rsidRPr="00CF56DA">
        <w:rPr>
          <w:i/>
          <w:iCs/>
          <w:sz w:val="24"/>
          <w:szCs w:val="24"/>
          <w:lang w:eastAsia="en-AU"/>
        </w:rPr>
        <w:t>Act 1998</w:t>
      </w:r>
      <w:r w:rsidRPr="00CF56DA">
        <w:rPr>
          <w:sz w:val="24"/>
          <w:szCs w:val="24"/>
          <w:lang w:eastAsia="en-AU"/>
        </w:rPr>
        <w:t xml:space="preserve"> </w:t>
      </w:r>
      <w:r w:rsidRPr="00CF56DA">
        <w:rPr>
          <w:sz w:val="24"/>
          <w:szCs w:val="24"/>
        </w:rPr>
        <w:t xml:space="preserve">are not inadvertently covered by the </w:t>
      </w:r>
      <w:r w:rsidRPr="00CF56DA">
        <w:rPr>
          <w:i/>
          <w:iCs/>
          <w:sz w:val="24"/>
          <w:szCs w:val="24"/>
        </w:rPr>
        <w:t>Radiation Protection and Control Act 2021</w:t>
      </w:r>
      <w:r w:rsidRPr="00CF56DA">
        <w:rPr>
          <w:sz w:val="24"/>
          <w:szCs w:val="24"/>
        </w:rPr>
        <w:t xml:space="preserve"> (SA), which came into effect on 11 February 2023, replacing the </w:t>
      </w:r>
      <w:r w:rsidRPr="00CF56DA">
        <w:rPr>
          <w:i/>
          <w:iCs/>
          <w:sz w:val="24"/>
          <w:szCs w:val="24"/>
        </w:rPr>
        <w:t>Radiation Protection and Control Act 1982</w:t>
      </w:r>
      <w:r w:rsidRPr="00CF56DA">
        <w:rPr>
          <w:sz w:val="24"/>
          <w:szCs w:val="24"/>
        </w:rPr>
        <w:t xml:space="preserve"> (SA).</w:t>
      </w:r>
    </w:p>
    <w:p w14:paraId="2441F229" w14:textId="77777777" w:rsidR="009F1B4D" w:rsidRPr="00CF56DA" w:rsidRDefault="009F1B4D" w:rsidP="009F1B4D">
      <w:pPr>
        <w:spacing w:before="100" w:beforeAutospacing="1"/>
        <w:ind w:right="91"/>
        <w:contextualSpacing/>
        <w:rPr>
          <w:b/>
          <w:sz w:val="24"/>
        </w:rPr>
      </w:pPr>
    </w:p>
    <w:p w14:paraId="10F3CCF0" w14:textId="77777777" w:rsidR="009F1B4D" w:rsidRPr="00CF56DA" w:rsidRDefault="009F1B4D" w:rsidP="009F1B4D">
      <w:pPr>
        <w:spacing w:before="100" w:beforeAutospacing="1" w:after="100" w:afterAutospacing="1"/>
        <w:ind w:right="91"/>
        <w:contextualSpacing/>
        <w:rPr>
          <w:rStyle w:val="CharSectno"/>
          <w:b/>
          <w:bCs/>
          <w:sz w:val="24"/>
          <w:szCs w:val="24"/>
        </w:rPr>
      </w:pPr>
      <w:bookmarkStart w:id="0" w:name="_Toc99628132"/>
      <w:r w:rsidRPr="00CF56DA">
        <w:rPr>
          <w:rStyle w:val="CharSectno"/>
          <w:b/>
          <w:bCs/>
          <w:sz w:val="24"/>
          <w:szCs w:val="24"/>
        </w:rPr>
        <w:t>Item [18] – Part 8</w:t>
      </w:r>
    </w:p>
    <w:p w14:paraId="7409D5F2" w14:textId="77777777" w:rsidR="009F1B4D" w:rsidRPr="00CF56DA" w:rsidRDefault="009F1B4D" w:rsidP="009F1B4D">
      <w:pPr>
        <w:spacing w:before="100" w:beforeAutospacing="1" w:after="100" w:afterAutospacing="1"/>
        <w:ind w:right="91"/>
        <w:contextualSpacing/>
        <w:rPr>
          <w:rStyle w:val="CharSectno"/>
          <w:sz w:val="24"/>
          <w:szCs w:val="24"/>
        </w:rPr>
      </w:pPr>
    </w:p>
    <w:p w14:paraId="38619F0C" w14:textId="2E2B426F"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amend</w:t>
      </w:r>
      <w:r w:rsidR="00397091" w:rsidRPr="00CF56DA">
        <w:rPr>
          <w:sz w:val="24"/>
          <w:szCs w:val="24"/>
        </w:rPr>
        <w:t>s</w:t>
      </w:r>
      <w:r w:rsidRPr="00CF56DA">
        <w:rPr>
          <w:sz w:val="24"/>
          <w:szCs w:val="24"/>
        </w:rPr>
        <w:t xml:space="preserve"> Part 8 of the Regulations to add a new heading for </w:t>
      </w:r>
      <w:r w:rsidRPr="00CF56DA">
        <w:rPr>
          <w:i/>
          <w:iCs/>
          <w:sz w:val="24"/>
          <w:szCs w:val="24"/>
        </w:rPr>
        <w:t xml:space="preserve">Division 5 </w:t>
      </w:r>
      <w:r w:rsidRPr="00CF56DA">
        <w:rPr>
          <w:sz w:val="24"/>
          <w:szCs w:val="24"/>
        </w:rPr>
        <w:t xml:space="preserve">- </w:t>
      </w:r>
      <w:r w:rsidRPr="00CF56DA">
        <w:rPr>
          <w:i/>
          <w:iCs/>
          <w:sz w:val="24"/>
          <w:szCs w:val="24"/>
        </w:rPr>
        <w:t>Australian Radiation Protection and Nuclear Safety Amendment (2023 Measures No. 1) Regulations 2023</w:t>
      </w:r>
      <w:r w:rsidRPr="00CF56DA">
        <w:rPr>
          <w:sz w:val="24"/>
          <w:szCs w:val="24"/>
        </w:rPr>
        <w:t>.</w:t>
      </w:r>
    </w:p>
    <w:p w14:paraId="141F6C33" w14:textId="77777777" w:rsidR="009F1B4D" w:rsidRPr="00CF56DA" w:rsidRDefault="009F1B4D" w:rsidP="009F1B4D">
      <w:pPr>
        <w:spacing w:before="100" w:beforeAutospacing="1" w:after="100" w:afterAutospacing="1"/>
        <w:ind w:right="91"/>
        <w:contextualSpacing/>
        <w:rPr>
          <w:sz w:val="24"/>
          <w:szCs w:val="24"/>
        </w:rPr>
      </w:pPr>
    </w:p>
    <w:p w14:paraId="14869607" w14:textId="0DDFB0B5"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397091" w:rsidRPr="00CF56DA">
        <w:rPr>
          <w:sz w:val="24"/>
          <w:szCs w:val="24"/>
        </w:rPr>
        <w:t>s</w:t>
      </w:r>
      <w:r w:rsidRPr="00CF56DA">
        <w:rPr>
          <w:sz w:val="24"/>
          <w:szCs w:val="24"/>
        </w:rPr>
        <w:t xml:space="preserve"> a new section 97 following the new Division 5 heading to provide a definition of the </w:t>
      </w:r>
      <w:r w:rsidRPr="00CF56DA">
        <w:rPr>
          <w:i/>
          <w:iCs/>
          <w:sz w:val="24"/>
          <w:szCs w:val="24"/>
        </w:rPr>
        <w:t>amending instrument</w:t>
      </w:r>
      <w:r w:rsidRPr="00CF56DA">
        <w:rPr>
          <w:sz w:val="24"/>
          <w:szCs w:val="24"/>
        </w:rPr>
        <w:t xml:space="preserve"> and the </w:t>
      </w:r>
      <w:r w:rsidRPr="00CF56DA">
        <w:rPr>
          <w:i/>
          <w:iCs/>
          <w:sz w:val="24"/>
          <w:szCs w:val="24"/>
        </w:rPr>
        <w:t>commencement time</w:t>
      </w:r>
      <w:r w:rsidRPr="00CF56DA">
        <w:rPr>
          <w:sz w:val="24"/>
          <w:szCs w:val="24"/>
        </w:rPr>
        <w:t xml:space="preserve"> of the </w:t>
      </w:r>
      <w:r w:rsidRPr="00CF56DA">
        <w:rPr>
          <w:i/>
          <w:iCs/>
          <w:sz w:val="24"/>
          <w:szCs w:val="24"/>
        </w:rPr>
        <w:t>amending instrument</w:t>
      </w:r>
      <w:r w:rsidRPr="00CF56DA">
        <w:rPr>
          <w:sz w:val="24"/>
          <w:szCs w:val="24"/>
        </w:rPr>
        <w:t xml:space="preserve">.  </w:t>
      </w:r>
    </w:p>
    <w:p w14:paraId="0A36588C" w14:textId="77777777" w:rsidR="009F1B4D" w:rsidRPr="00CF56DA" w:rsidRDefault="009F1B4D" w:rsidP="009F1B4D">
      <w:pPr>
        <w:spacing w:before="100" w:beforeAutospacing="1" w:after="100" w:afterAutospacing="1"/>
        <w:ind w:right="91"/>
        <w:contextualSpacing/>
        <w:rPr>
          <w:sz w:val="24"/>
          <w:szCs w:val="24"/>
        </w:rPr>
      </w:pPr>
    </w:p>
    <w:p w14:paraId="61EFA9B5" w14:textId="4BBC0372" w:rsidR="009F1B4D" w:rsidRPr="00CF56DA" w:rsidRDefault="009F1B4D" w:rsidP="009F1B4D">
      <w:pPr>
        <w:spacing w:before="100" w:beforeAutospacing="1" w:after="100" w:afterAutospacing="1"/>
        <w:ind w:right="91"/>
        <w:contextualSpacing/>
        <w:rPr>
          <w:sz w:val="24"/>
          <w:szCs w:val="24"/>
        </w:rPr>
      </w:pPr>
      <w:r w:rsidRPr="00CF56DA">
        <w:rPr>
          <w:sz w:val="24"/>
          <w:szCs w:val="24"/>
        </w:rPr>
        <w:t>The amendment add</w:t>
      </w:r>
      <w:r w:rsidR="00397091" w:rsidRPr="00CF56DA">
        <w:rPr>
          <w:sz w:val="24"/>
          <w:szCs w:val="24"/>
        </w:rPr>
        <w:t>s</w:t>
      </w:r>
      <w:r w:rsidRPr="00CF56DA">
        <w:rPr>
          <w:sz w:val="24"/>
          <w:szCs w:val="24"/>
        </w:rPr>
        <w:t xml:space="preserve"> a new section 98 (heading) for </w:t>
      </w:r>
      <w:r w:rsidRPr="00CF56DA">
        <w:rPr>
          <w:i/>
          <w:iCs/>
          <w:sz w:val="24"/>
          <w:szCs w:val="24"/>
        </w:rPr>
        <w:t>Fees.</w:t>
      </w:r>
    </w:p>
    <w:p w14:paraId="424E5D18" w14:textId="77777777" w:rsidR="009F1B4D" w:rsidRPr="00CF56DA" w:rsidRDefault="009F1B4D" w:rsidP="009F1B4D">
      <w:pPr>
        <w:spacing w:before="100" w:beforeAutospacing="1" w:after="100" w:afterAutospacing="1"/>
        <w:ind w:right="91"/>
        <w:contextualSpacing/>
        <w:rPr>
          <w:sz w:val="24"/>
          <w:szCs w:val="24"/>
        </w:rPr>
      </w:pPr>
    </w:p>
    <w:p w14:paraId="5356417A" w14:textId="6433D841"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397091" w:rsidRPr="00CF56DA">
        <w:rPr>
          <w:sz w:val="24"/>
          <w:szCs w:val="24"/>
        </w:rPr>
        <w:t>s</w:t>
      </w:r>
      <w:r w:rsidRPr="00CF56DA">
        <w:rPr>
          <w:sz w:val="24"/>
          <w:szCs w:val="24"/>
        </w:rPr>
        <w:t xml:space="preserve"> a new subsection 98(1) to the Regulations and make</w:t>
      </w:r>
      <w:r w:rsidR="00397091" w:rsidRPr="00CF56DA">
        <w:rPr>
          <w:sz w:val="24"/>
          <w:szCs w:val="24"/>
        </w:rPr>
        <w:t>s</w:t>
      </w:r>
      <w:r w:rsidRPr="00CF56DA">
        <w:rPr>
          <w:sz w:val="24"/>
          <w:szCs w:val="24"/>
        </w:rPr>
        <w:t xml:space="preserve"> those amendments of section 49 made by the amending instrument, as referred to in items 1 to 5 above, apply in relation to applications made after the commencement time. This allow</w:t>
      </w:r>
      <w:r w:rsidR="001462E4" w:rsidRPr="00CF56DA">
        <w:rPr>
          <w:sz w:val="24"/>
          <w:szCs w:val="24"/>
        </w:rPr>
        <w:t xml:space="preserve">s </w:t>
      </w:r>
      <w:r w:rsidRPr="00CF56DA">
        <w:rPr>
          <w:sz w:val="24"/>
          <w:szCs w:val="24"/>
        </w:rPr>
        <w:t>the recovery of ARPANSA’s actual costs of processing licence applications.</w:t>
      </w:r>
    </w:p>
    <w:p w14:paraId="2F1AC468" w14:textId="77777777" w:rsidR="009F1B4D" w:rsidRPr="00CF56DA" w:rsidRDefault="009F1B4D" w:rsidP="009F1B4D">
      <w:pPr>
        <w:spacing w:before="100" w:beforeAutospacing="1" w:after="100" w:afterAutospacing="1"/>
        <w:ind w:right="91"/>
        <w:contextualSpacing/>
        <w:rPr>
          <w:sz w:val="24"/>
          <w:szCs w:val="24"/>
        </w:rPr>
      </w:pPr>
    </w:p>
    <w:p w14:paraId="30ED9084" w14:textId="6D5B51EE"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0F4DCB" w:rsidRPr="00CF56DA">
        <w:rPr>
          <w:sz w:val="24"/>
          <w:szCs w:val="24"/>
        </w:rPr>
        <w:t>s</w:t>
      </w:r>
      <w:r w:rsidRPr="00CF56DA">
        <w:rPr>
          <w:sz w:val="24"/>
          <w:szCs w:val="24"/>
        </w:rPr>
        <w:t xml:space="preserve"> a new subsection 98(2) to the Regulations and make</w:t>
      </w:r>
      <w:r w:rsidR="000F4DCB" w:rsidRPr="00CF56DA">
        <w:rPr>
          <w:sz w:val="24"/>
          <w:szCs w:val="24"/>
        </w:rPr>
        <w:t>s</w:t>
      </w:r>
      <w:r w:rsidRPr="00CF56DA">
        <w:rPr>
          <w:sz w:val="24"/>
          <w:szCs w:val="24"/>
        </w:rPr>
        <w:t xml:space="preserve"> those amendments of section 50 made by the amending instrument, as referred to in item 6 above, apply in relation to applications made after the commencement time. This allow</w:t>
      </w:r>
      <w:r w:rsidR="00E54471" w:rsidRPr="00CF56DA">
        <w:rPr>
          <w:sz w:val="24"/>
          <w:szCs w:val="24"/>
        </w:rPr>
        <w:t>s</w:t>
      </w:r>
      <w:r w:rsidRPr="00CF56DA">
        <w:rPr>
          <w:sz w:val="24"/>
          <w:szCs w:val="24"/>
        </w:rPr>
        <w:t xml:space="preserve"> the recovery of ARPANSA’s actual costs of processing licence applications.</w:t>
      </w:r>
    </w:p>
    <w:p w14:paraId="24CDDD6A" w14:textId="77777777" w:rsidR="009F1B4D" w:rsidRPr="00CF56DA" w:rsidRDefault="009F1B4D" w:rsidP="009F1B4D">
      <w:pPr>
        <w:spacing w:before="100" w:beforeAutospacing="1" w:after="100" w:afterAutospacing="1"/>
        <w:ind w:right="91"/>
        <w:contextualSpacing/>
        <w:rPr>
          <w:sz w:val="24"/>
          <w:szCs w:val="24"/>
        </w:rPr>
      </w:pPr>
    </w:p>
    <w:p w14:paraId="08B3ED99" w14:textId="35FFEB2D"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0F4DCB" w:rsidRPr="00CF56DA">
        <w:rPr>
          <w:sz w:val="24"/>
          <w:szCs w:val="24"/>
        </w:rPr>
        <w:t>s</w:t>
      </w:r>
      <w:r w:rsidRPr="00CF56DA">
        <w:rPr>
          <w:sz w:val="24"/>
          <w:szCs w:val="24"/>
        </w:rPr>
        <w:t xml:space="preserve"> a new subsection 98(3) to the Regulations and provide</w:t>
      </w:r>
      <w:r w:rsidR="000F4DCB" w:rsidRPr="00CF56DA">
        <w:rPr>
          <w:sz w:val="24"/>
          <w:szCs w:val="24"/>
        </w:rPr>
        <w:t>s</w:t>
      </w:r>
      <w:r w:rsidRPr="00CF56DA">
        <w:rPr>
          <w:sz w:val="24"/>
          <w:szCs w:val="24"/>
        </w:rPr>
        <w:t xml:space="preserve"> that despite the amendments of section 50 by the amending instrument, as referred to in item 6 above, the existing section 50 continues to apply, in relation to applications made before the commencement time, as if those amendments had not been made; and the fee for each hour, or part of an hour, spent after the commencement time in assessing the application were $176.</w:t>
      </w:r>
    </w:p>
    <w:p w14:paraId="79AEC1FF" w14:textId="77777777" w:rsidR="009F1B4D" w:rsidRPr="00CF56DA" w:rsidRDefault="009F1B4D" w:rsidP="009F1B4D">
      <w:pPr>
        <w:spacing w:before="100" w:beforeAutospacing="1" w:after="100" w:afterAutospacing="1"/>
        <w:ind w:right="91"/>
        <w:contextualSpacing/>
        <w:rPr>
          <w:sz w:val="24"/>
          <w:szCs w:val="24"/>
        </w:rPr>
      </w:pPr>
    </w:p>
    <w:p w14:paraId="4055556A" w14:textId="0038FDBD" w:rsidR="009F1B4D" w:rsidRPr="00CF56DA" w:rsidRDefault="009F1B4D" w:rsidP="009F1B4D">
      <w:pPr>
        <w:spacing w:before="100" w:beforeAutospacing="1" w:after="100" w:afterAutospacing="1"/>
        <w:ind w:right="91"/>
        <w:contextualSpacing/>
        <w:rPr>
          <w:sz w:val="24"/>
          <w:szCs w:val="24"/>
        </w:rPr>
      </w:pPr>
      <w:r w:rsidRPr="00CF56DA">
        <w:rPr>
          <w:sz w:val="24"/>
          <w:szCs w:val="24"/>
        </w:rPr>
        <w:t>The amendment add</w:t>
      </w:r>
      <w:r w:rsidR="00695C31" w:rsidRPr="00CF56DA">
        <w:rPr>
          <w:sz w:val="24"/>
          <w:szCs w:val="24"/>
        </w:rPr>
        <w:t>s</w:t>
      </w:r>
      <w:r w:rsidRPr="00CF56DA">
        <w:rPr>
          <w:sz w:val="24"/>
          <w:szCs w:val="24"/>
        </w:rPr>
        <w:t xml:space="preserve"> a new section 99 (heading) for </w:t>
      </w:r>
      <w:r w:rsidRPr="00CF56DA">
        <w:rPr>
          <w:i/>
          <w:iCs/>
          <w:sz w:val="24"/>
          <w:szCs w:val="24"/>
        </w:rPr>
        <w:t>Licence conditions.</w:t>
      </w:r>
    </w:p>
    <w:p w14:paraId="24BA8E10" w14:textId="77777777" w:rsidR="009F1B4D" w:rsidRPr="00CF56DA" w:rsidRDefault="009F1B4D" w:rsidP="009F1B4D">
      <w:pPr>
        <w:spacing w:before="100" w:beforeAutospacing="1" w:after="100" w:afterAutospacing="1"/>
        <w:ind w:right="91"/>
        <w:contextualSpacing/>
        <w:rPr>
          <w:sz w:val="24"/>
          <w:szCs w:val="24"/>
        </w:rPr>
      </w:pPr>
    </w:p>
    <w:bookmarkEnd w:id="0"/>
    <w:p w14:paraId="23E8CB63" w14:textId="3817423B"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695C31" w:rsidRPr="00CF56DA">
        <w:rPr>
          <w:sz w:val="24"/>
          <w:szCs w:val="24"/>
        </w:rPr>
        <w:t>s</w:t>
      </w:r>
      <w:r w:rsidRPr="00CF56DA">
        <w:rPr>
          <w:sz w:val="24"/>
          <w:szCs w:val="24"/>
        </w:rPr>
        <w:t xml:space="preserve"> a new subsection 99(1) to the Regulations and provide</w:t>
      </w:r>
      <w:r w:rsidR="00695C31" w:rsidRPr="00CF56DA">
        <w:rPr>
          <w:sz w:val="24"/>
          <w:szCs w:val="24"/>
        </w:rPr>
        <w:t>s</w:t>
      </w:r>
      <w:r w:rsidRPr="00CF56DA">
        <w:rPr>
          <w:sz w:val="24"/>
          <w:szCs w:val="24"/>
        </w:rPr>
        <w:t xml:space="preserve"> that sections 57B and 57C as inserted by the amending instrument, as referred to in item 7 above, apply in relation to licences issued before, at or after the commencement time.</w:t>
      </w:r>
    </w:p>
    <w:p w14:paraId="34CF6B0F" w14:textId="77777777" w:rsidR="009F1B4D" w:rsidRPr="00CF56DA" w:rsidRDefault="009F1B4D" w:rsidP="009F1B4D">
      <w:pPr>
        <w:spacing w:before="100" w:beforeAutospacing="1" w:after="100" w:afterAutospacing="1"/>
        <w:ind w:right="91"/>
        <w:contextualSpacing/>
        <w:rPr>
          <w:sz w:val="24"/>
          <w:szCs w:val="24"/>
        </w:rPr>
      </w:pPr>
    </w:p>
    <w:p w14:paraId="144AECFA" w14:textId="61C852B4" w:rsidR="009F1B4D" w:rsidRPr="00CF56DA" w:rsidRDefault="009F1B4D" w:rsidP="009F1B4D">
      <w:pPr>
        <w:spacing w:before="100" w:beforeAutospacing="1" w:after="100" w:afterAutospacing="1"/>
        <w:ind w:right="91"/>
        <w:contextualSpacing/>
        <w:rPr>
          <w:sz w:val="24"/>
          <w:szCs w:val="24"/>
        </w:rPr>
      </w:pPr>
      <w:r w:rsidRPr="00CF56DA">
        <w:rPr>
          <w:sz w:val="24"/>
          <w:szCs w:val="24"/>
        </w:rPr>
        <w:t>This amendment add</w:t>
      </w:r>
      <w:r w:rsidR="00695C31" w:rsidRPr="00CF56DA">
        <w:rPr>
          <w:sz w:val="24"/>
          <w:szCs w:val="24"/>
        </w:rPr>
        <w:t>s</w:t>
      </w:r>
      <w:r w:rsidRPr="00CF56DA">
        <w:rPr>
          <w:sz w:val="24"/>
          <w:szCs w:val="24"/>
        </w:rPr>
        <w:t xml:space="preserve"> a new subsection 99(2) to the Regulations and provide</w:t>
      </w:r>
      <w:r w:rsidR="00695C31" w:rsidRPr="00CF56DA">
        <w:rPr>
          <w:sz w:val="24"/>
          <w:szCs w:val="24"/>
        </w:rPr>
        <w:t>s</w:t>
      </w:r>
      <w:r w:rsidRPr="00CF56DA">
        <w:rPr>
          <w:sz w:val="24"/>
          <w:szCs w:val="24"/>
        </w:rPr>
        <w:t xml:space="preserve"> that the amendments of section 65 made by the amending instrument, as referred to in items 10 to 16 above, apply in relation to licences issued before, at or after the commencement time.</w:t>
      </w:r>
    </w:p>
    <w:p w14:paraId="1D648674" w14:textId="77777777" w:rsidR="00F22CAA" w:rsidRPr="00CF56DA" w:rsidRDefault="00F22CAA">
      <w:pPr>
        <w:rPr>
          <w:sz w:val="24"/>
        </w:rPr>
        <w:sectPr w:rsidR="00F22CAA" w:rsidRPr="00CF56DA">
          <w:pgSz w:w="11910" w:h="16840"/>
          <w:pgMar w:top="1360" w:right="1340" w:bottom="960" w:left="1320" w:header="0" w:footer="773" w:gutter="0"/>
          <w:cols w:space="720"/>
        </w:sectPr>
      </w:pPr>
    </w:p>
    <w:p w14:paraId="1D648675" w14:textId="77777777" w:rsidR="00F22CAA" w:rsidRPr="00CF56DA" w:rsidRDefault="00F57EEE" w:rsidP="00362DDF">
      <w:pPr>
        <w:pStyle w:val="Heading1"/>
        <w:spacing w:before="60"/>
        <w:ind w:left="161" w:right="178"/>
        <w:jc w:val="center"/>
      </w:pPr>
      <w:r w:rsidRPr="00CF56DA">
        <w:lastRenderedPageBreak/>
        <w:t>Statement</w:t>
      </w:r>
      <w:r w:rsidRPr="00CF56DA">
        <w:rPr>
          <w:spacing w:val="-1"/>
        </w:rPr>
        <w:t xml:space="preserve"> </w:t>
      </w:r>
      <w:r w:rsidRPr="00CF56DA">
        <w:t>of</w:t>
      </w:r>
      <w:r w:rsidRPr="00CF56DA">
        <w:rPr>
          <w:spacing w:val="-3"/>
        </w:rPr>
        <w:t xml:space="preserve"> </w:t>
      </w:r>
      <w:r w:rsidRPr="00CF56DA">
        <w:t>Compliance</w:t>
      </w:r>
      <w:r w:rsidRPr="00CF56DA">
        <w:rPr>
          <w:spacing w:val="-2"/>
        </w:rPr>
        <w:t xml:space="preserve"> </w:t>
      </w:r>
      <w:r w:rsidRPr="00CF56DA">
        <w:t>with</w:t>
      </w:r>
      <w:r w:rsidRPr="00CF56DA">
        <w:rPr>
          <w:spacing w:val="-1"/>
        </w:rPr>
        <w:t xml:space="preserve"> </w:t>
      </w:r>
      <w:r w:rsidRPr="00CF56DA">
        <w:t>Human</w:t>
      </w:r>
      <w:r w:rsidRPr="00CF56DA">
        <w:rPr>
          <w:spacing w:val="-1"/>
        </w:rPr>
        <w:t xml:space="preserve"> </w:t>
      </w:r>
      <w:r w:rsidRPr="00CF56DA">
        <w:t>Rights</w:t>
      </w:r>
    </w:p>
    <w:p w14:paraId="1D648676" w14:textId="77777777" w:rsidR="00F22CAA" w:rsidRPr="00CF56DA" w:rsidRDefault="00F57EEE" w:rsidP="00362DDF">
      <w:pPr>
        <w:spacing w:before="147"/>
        <w:ind w:left="161" w:right="178"/>
        <w:jc w:val="center"/>
        <w:rPr>
          <w:i/>
          <w:sz w:val="24"/>
          <w:szCs w:val="24"/>
        </w:rPr>
      </w:pPr>
      <w:r w:rsidRPr="00CF56DA">
        <w:rPr>
          <w:i/>
          <w:sz w:val="24"/>
          <w:szCs w:val="24"/>
        </w:rPr>
        <w:t>Prepared</w:t>
      </w:r>
      <w:r w:rsidRPr="00CF56DA">
        <w:rPr>
          <w:i/>
          <w:spacing w:val="-1"/>
          <w:sz w:val="24"/>
          <w:szCs w:val="24"/>
        </w:rPr>
        <w:t xml:space="preserve"> </w:t>
      </w:r>
      <w:r w:rsidRPr="00CF56DA">
        <w:rPr>
          <w:i/>
          <w:sz w:val="24"/>
          <w:szCs w:val="24"/>
        </w:rPr>
        <w:t>in</w:t>
      </w:r>
      <w:r w:rsidRPr="00CF56DA">
        <w:rPr>
          <w:i/>
          <w:spacing w:val="-1"/>
          <w:sz w:val="24"/>
          <w:szCs w:val="24"/>
        </w:rPr>
        <w:t xml:space="preserve"> </w:t>
      </w:r>
      <w:r w:rsidRPr="00CF56DA">
        <w:rPr>
          <w:i/>
          <w:sz w:val="24"/>
          <w:szCs w:val="24"/>
        </w:rPr>
        <w:t>accordance with</w:t>
      </w:r>
      <w:r w:rsidRPr="00CF56DA">
        <w:rPr>
          <w:i/>
          <w:spacing w:val="-1"/>
          <w:sz w:val="24"/>
          <w:szCs w:val="24"/>
        </w:rPr>
        <w:t xml:space="preserve"> </w:t>
      </w:r>
      <w:r w:rsidRPr="00CF56DA">
        <w:rPr>
          <w:i/>
          <w:sz w:val="24"/>
          <w:szCs w:val="24"/>
        </w:rPr>
        <w:t>Part</w:t>
      </w:r>
      <w:r w:rsidRPr="00CF56DA">
        <w:rPr>
          <w:i/>
          <w:spacing w:val="-1"/>
          <w:sz w:val="24"/>
          <w:szCs w:val="24"/>
        </w:rPr>
        <w:t xml:space="preserve"> </w:t>
      </w:r>
      <w:r w:rsidRPr="00CF56DA">
        <w:rPr>
          <w:i/>
          <w:sz w:val="24"/>
          <w:szCs w:val="24"/>
        </w:rPr>
        <w:t>3</w:t>
      </w:r>
      <w:r w:rsidRPr="00CF56DA">
        <w:rPr>
          <w:i/>
          <w:spacing w:val="-1"/>
          <w:sz w:val="24"/>
          <w:szCs w:val="24"/>
        </w:rPr>
        <w:t xml:space="preserve"> </w:t>
      </w:r>
      <w:r w:rsidRPr="00CF56DA">
        <w:rPr>
          <w:i/>
          <w:sz w:val="24"/>
          <w:szCs w:val="24"/>
        </w:rPr>
        <w:t>of</w:t>
      </w:r>
      <w:r w:rsidRPr="00CF56DA">
        <w:rPr>
          <w:i/>
          <w:spacing w:val="-1"/>
          <w:sz w:val="24"/>
          <w:szCs w:val="24"/>
        </w:rPr>
        <w:t xml:space="preserve"> </w:t>
      </w:r>
      <w:r w:rsidRPr="00CF56DA">
        <w:rPr>
          <w:i/>
          <w:sz w:val="24"/>
          <w:szCs w:val="24"/>
        </w:rPr>
        <w:t>the</w:t>
      </w:r>
      <w:r w:rsidRPr="00CF56DA">
        <w:rPr>
          <w:i/>
          <w:spacing w:val="-1"/>
          <w:sz w:val="24"/>
          <w:szCs w:val="24"/>
        </w:rPr>
        <w:t xml:space="preserve"> </w:t>
      </w:r>
      <w:r w:rsidRPr="00CF56DA">
        <w:rPr>
          <w:i/>
          <w:sz w:val="24"/>
          <w:szCs w:val="24"/>
        </w:rPr>
        <w:t>Human</w:t>
      </w:r>
      <w:r w:rsidRPr="00CF56DA">
        <w:rPr>
          <w:i/>
          <w:spacing w:val="-1"/>
          <w:sz w:val="24"/>
          <w:szCs w:val="24"/>
        </w:rPr>
        <w:t xml:space="preserve"> </w:t>
      </w:r>
      <w:r w:rsidRPr="00CF56DA">
        <w:rPr>
          <w:i/>
          <w:sz w:val="24"/>
          <w:szCs w:val="24"/>
        </w:rPr>
        <w:t>Rights</w:t>
      </w:r>
      <w:r w:rsidRPr="00CF56DA">
        <w:rPr>
          <w:i/>
          <w:spacing w:val="1"/>
          <w:sz w:val="24"/>
          <w:szCs w:val="24"/>
        </w:rPr>
        <w:t xml:space="preserve"> </w:t>
      </w:r>
      <w:r w:rsidRPr="00CF56DA">
        <w:rPr>
          <w:i/>
          <w:sz w:val="24"/>
          <w:szCs w:val="24"/>
        </w:rPr>
        <w:t>(Parliamentary</w:t>
      </w:r>
      <w:r w:rsidRPr="00CF56DA">
        <w:rPr>
          <w:i/>
          <w:spacing w:val="-1"/>
          <w:sz w:val="24"/>
          <w:szCs w:val="24"/>
        </w:rPr>
        <w:t xml:space="preserve"> </w:t>
      </w:r>
      <w:r w:rsidRPr="00CF56DA">
        <w:rPr>
          <w:i/>
          <w:sz w:val="24"/>
          <w:szCs w:val="24"/>
        </w:rPr>
        <w:t>Scrutiny)</w:t>
      </w:r>
      <w:r w:rsidRPr="00CF56DA">
        <w:rPr>
          <w:i/>
          <w:spacing w:val="-1"/>
          <w:sz w:val="24"/>
          <w:szCs w:val="24"/>
        </w:rPr>
        <w:t xml:space="preserve"> </w:t>
      </w:r>
      <w:r w:rsidRPr="00CF56DA">
        <w:rPr>
          <w:i/>
          <w:sz w:val="24"/>
          <w:szCs w:val="24"/>
        </w:rPr>
        <w:t>Act</w:t>
      </w:r>
      <w:r w:rsidRPr="00CF56DA">
        <w:rPr>
          <w:i/>
          <w:spacing w:val="-1"/>
          <w:sz w:val="24"/>
          <w:szCs w:val="24"/>
        </w:rPr>
        <w:t xml:space="preserve"> </w:t>
      </w:r>
      <w:r w:rsidRPr="00CF56DA">
        <w:rPr>
          <w:i/>
          <w:sz w:val="24"/>
          <w:szCs w:val="24"/>
        </w:rPr>
        <w:t>2011</w:t>
      </w:r>
    </w:p>
    <w:p w14:paraId="1D648677" w14:textId="77777777" w:rsidR="00F22CAA" w:rsidRPr="00CF56DA" w:rsidRDefault="00F22CAA" w:rsidP="00362DDF">
      <w:pPr>
        <w:pStyle w:val="BodyText"/>
        <w:ind w:right="178"/>
        <w:rPr>
          <w:i/>
        </w:rPr>
      </w:pPr>
    </w:p>
    <w:p w14:paraId="1D648678" w14:textId="77777777" w:rsidR="00F22CAA" w:rsidRPr="00CF56DA" w:rsidRDefault="00F22CAA" w:rsidP="00362DDF">
      <w:pPr>
        <w:pStyle w:val="BodyText"/>
        <w:spacing w:before="8"/>
        <w:ind w:right="178"/>
        <w:rPr>
          <w:i/>
        </w:rPr>
      </w:pPr>
    </w:p>
    <w:p w14:paraId="1D648679" w14:textId="1E95181B" w:rsidR="00F22CAA" w:rsidRPr="00CF56DA" w:rsidRDefault="00F57EEE" w:rsidP="00362DDF">
      <w:pPr>
        <w:pStyle w:val="Heading1"/>
        <w:spacing w:line="264" w:lineRule="auto"/>
        <w:ind w:left="353" w:right="178"/>
        <w:jc w:val="center"/>
      </w:pPr>
      <w:r w:rsidRPr="00CF56DA">
        <w:t>A</w:t>
      </w:r>
      <w:r w:rsidR="00915754" w:rsidRPr="00CF56DA">
        <w:t>ustralian Radiation Protection and Nuclear Safety Amendment (2023 Measures No. 1) Regulations 2023</w:t>
      </w:r>
    </w:p>
    <w:p w14:paraId="1D64867A" w14:textId="77777777" w:rsidR="00F22CAA" w:rsidRPr="00CF56DA" w:rsidRDefault="00F22CAA" w:rsidP="00362DDF">
      <w:pPr>
        <w:pStyle w:val="BodyText"/>
        <w:ind w:right="178"/>
        <w:rPr>
          <w:b/>
        </w:rPr>
      </w:pPr>
    </w:p>
    <w:p w14:paraId="1D64867B" w14:textId="77777777" w:rsidR="00F22CAA" w:rsidRPr="00CF56DA" w:rsidRDefault="00F22CAA" w:rsidP="00362DDF">
      <w:pPr>
        <w:pStyle w:val="BodyText"/>
        <w:ind w:right="178"/>
        <w:rPr>
          <w:b/>
        </w:rPr>
      </w:pPr>
    </w:p>
    <w:p w14:paraId="1D64867C" w14:textId="77777777" w:rsidR="00F22CAA" w:rsidRPr="00CF56DA" w:rsidRDefault="00F22CAA" w:rsidP="00362DDF">
      <w:pPr>
        <w:pStyle w:val="BodyText"/>
        <w:spacing w:before="1"/>
        <w:ind w:right="178"/>
        <w:rPr>
          <w:b/>
        </w:rPr>
      </w:pPr>
    </w:p>
    <w:p w14:paraId="1D64867D" w14:textId="77777777" w:rsidR="00F22CAA" w:rsidRPr="00CF56DA" w:rsidRDefault="00F57EEE" w:rsidP="00362DDF">
      <w:pPr>
        <w:ind w:left="120" w:right="178"/>
        <w:rPr>
          <w:sz w:val="24"/>
          <w:szCs w:val="24"/>
        </w:rPr>
      </w:pPr>
      <w:r w:rsidRPr="00CF56DA">
        <w:rPr>
          <w:sz w:val="24"/>
          <w:szCs w:val="24"/>
        </w:rPr>
        <w:t>This legislative instrument is compatible with the human rights and freedoms recognised or</w:t>
      </w:r>
      <w:r w:rsidRPr="00CF56DA">
        <w:rPr>
          <w:spacing w:val="-57"/>
          <w:sz w:val="24"/>
          <w:szCs w:val="24"/>
        </w:rPr>
        <w:t xml:space="preserve"> </w:t>
      </w:r>
      <w:r w:rsidRPr="00CF56DA">
        <w:rPr>
          <w:sz w:val="24"/>
          <w:szCs w:val="24"/>
        </w:rPr>
        <w:t xml:space="preserve">declared in the international instruments listed in section 3 of the </w:t>
      </w:r>
      <w:r w:rsidRPr="00CF56DA">
        <w:rPr>
          <w:i/>
          <w:sz w:val="24"/>
          <w:szCs w:val="24"/>
        </w:rPr>
        <w:t>Human Rights</w:t>
      </w:r>
      <w:r w:rsidRPr="00CF56DA">
        <w:rPr>
          <w:i/>
          <w:spacing w:val="1"/>
          <w:sz w:val="24"/>
          <w:szCs w:val="24"/>
        </w:rPr>
        <w:t xml:space="preserve"> </w:t>
      </w:r>
      <w:r w:rsidRPr="00CF56DA">
        <w:rPr>
          <w:i/>
          <w:sz w:val="24"/>
          <w:szCs w:val="24"/>
        </w:rPr>
        <w:t>(Parliamentary</w:t>
      </w:r>
      <w:r w:rsidRPr="00CF56DA">
        <w:rPr>
          <w:i/>
          <w:spacing w:val="-1"/>
          <w:sz w:val="24"/>
          <w:szCs w:val="24"/>
        </w:rPr>
        <w:t xml:space="preserve"> </w:t>
      </w:r>
      <w:r w:rsidRPr="00CF56DA">
        <w:rPr>
          <w:i/>
          <w:sz w:val="24"/>
          <w:szCs w:val="24"/>
        </w:rPr>
        <w:t>Scrutiny)</w:t>
      </w:r>
      <w:r w:rsidRPr="00CF56DA">
        <w:rPr>
          <w:i/>
          <w:spacing w:val="1"/>
          <w:sz w:val="24"/>
          <w:szCs w:val="24"/>
        </w:rPr>
        <w:t xml:space="preserve"> </w:t>
      </w:r>
      <w:r w:rsidRPr="00CF56DA">
        <w:rPr>
          <w:i/>
          <w:sz w:val="24"/>
          <w:szCs w:val="24"/>
        </w:rPr>
        <w:t>Act 2011</w:t>
      </w:r>
      <w:r w:rsidRPr="00CF56DA">
        <w:rPr>
          <w:sz w:val="24"/>
          <w:szCs w:val="24"/>
        </w:rPr>
        <w:t>.</w:t>
      </w:r>
    </w:p>
    <w:p w14:paraId="1D64867E" w14:textId="77777777" w:rsidR="00F22CAA" w:rsidRPr="00CF56DA" w:rsidRDefault="00F22CAA" w:rsidP="00362DDF">
      <w:pPr>
        <w:pStyle w:val="BodyText"/>
        <w:spacing w:before="1"/>
        <w:ind w:right="178"/>
      </w:pPr>
    </w:p>
    <w:p w14:paraId="1D64867F" w14:textId="77777777" w:rsidR="00F22CAA" w:rsidRPr="00CF56DA" w:rsidRDefault="00F57EEE" w:rsidP="00362DDF">
      <w:pPr>
        <w:pStyle w:val="Heading1"/>
        <w:ind w:right="178"/>
      </w:pPr>
      <w:r w:rsidRPr="00CF56DA">
        <w:t>Overview</w:t>
      </w:r>
      <w:r w:rsidRPr="00CF56DA">
        <w:rPr>
          <w:spacing w:val="-2"/>
        </w:rPr>
        <w:t xml:space="preserve"> </w:t>
      </w:r>
      <w:r w:rsidRPr="00CF56DA">
        <w:t>of the</w:t>
      </w:r>
      <w:r w:rsidRPr="00CF56DA">
        <w:rPr>
          <w:spacing w:val="-1"/>
        </w:rPr>
        <w:t xml:space="preserve"> </w:t>
      </w:r>
      <w:r w:rsidRPr="00CF56DA">
        <w:t>legislative</w:t>
      </w:r>
      <w:r w:rsidRPr="00CF56DA">
        <w:rPr>
          <w:spacing w:val="-1"/>
        </w:rPr>
        <w:t xml:space="preserve"> </w:t>
      </w:r>
      <w:r w:rsidRPr="00CF56DA">
        <w:t>instrument</w:t>
      </w:r>
    </w:p>
    <w:p w14:paraId="1D648680" w14:textId="77777777" w:rsidR="00F22CAA" w:rsidRPr="00CF56DA" w:rsidRDefault="00F22CAA" w:rsidP="00362DDF">
      <w:pPr>
        <w:pStyle w:val="BodyText"/>
        <w:ind w:right="178"/>
        <w:rPr>
          <w:b/>
        </w:rPr>
      </w:pPr>
    </w:p>
    <w:p w14:paraId="1D648681" w14:textId="006FE751" w:rsidR="00F22CAA" w:rsidRPr="00CF56DA" w:rsidRDefault="00F57EEE" w:rsidP="00362DDF">
      <w:pPr>
        <w:pStyle w:val="BodyText"/>
        <w:ind w:left="120" w:right="178"/>
      </w:pPr>
      <w:r w:rsidRPr="00CF56DA">
        <w:t>The legislative instrument amends the Australian Radiation Protection and Nuclear Safety</w:t>
      </w:r>
      <w:r w:rsidRPr="00CF56DA">
        <w:rPr>
          <w:spacing w:val="-57"/>
        </w:rPr>
        <w:t xml:space="preserve"> </w:t>
      </w:r>
      <w:r w:rsidRPr="00CF56DA">
        <w:t>Regulations 2018 to give effect</w:t>
      </w:r>
      <w:r w:rsidR="007750DA" w:rsidRPr="00CF56DA">
        <w:t xml:space="preserve"> to </w:t>
      </w:r>
      <w:r w:rsidR="00B45EA0" w:rsidRPr="00CF56DA">
        <w:rPr>
          <w:spacing w:val="-2"/>
        </w:rPr>
        <w:t xml:space="preserve">an annual three per cent increase in fees for applications for licences under the </w:t>
      </w:r>
      <w:r w:rsidR="00B45EA0" w:rsidRPr="00CF56DA">
        <w:rPr>
          <w:i/>
        </w:rPr>
        <w:t>Australian</w:t>
      </w:r>
      <w:r w:rsidR="00B45EA0" w:rsidRPr="00CF56DA">
        <w:rPr>
          <w:i/>
          <w:spacing w:val="-1"/>
        </w:rPr>
        <w:t xml:space="preserve"> </w:t>
      </w:r>
      <w:r w:rsidR="00B45EA0" w:rsidRPr="00CF56DA">
        <w:rPr>
          <w:i/>
        </w:rPr>
        <w:t>Radiation Protection and Nuclear Safety</w:t>
      </w:r>
      <w:r w:rsidR="00B45EA0" w:rsidRPr="00CF56DA">
        <w:rPr>
          <w:i/>
          <w:spacing w:val="-2"/>
        </w:rPr>
        <w:t xml:space="preserve"> </w:t>
      </w:r>
      <w:r w:rsidR="00B45EA0" w:rsidRPr="00CF56DA">
        <w:rPr>
          <w:i/>
        </w:rPr>
        <w:t xml:space="preserve">Act 1998 </w:t>
      </w:r>
      <w:r w:rsidR="00B45EA0" w:rsidRPr="00CF56DA">
        <w:rPr>
          <w:iCs/>
        </w:rPr>
        <w:t xml:space="preserve">(the </w:t>
      </w:r>
      <w:r w:rsidR="00B45EA0" w:rsidRPr="00CF56DA">
        <w:rPr>
          <w:spacing w:val="-2"/>
        </w:rPr>
        <w:t>ARPANS Act), from 1 July 2023, and make</w:t>
      </w:r>
      <w:r w:rsidR="00F3521A" w:rsidRPr="00CF56DA">
        <w:rPr>
          <w:spacing w:val="-2"/>
        </w:rPr>
        <w:t>s</w:t>
      </w:r>
      <w:r w:rsidR="00B45EA0" w:rsidRPr="00CF56DA">
        <w:rPr>
          <w:spacing w:val="-2"/>
        </w:rPr>
        <w:t xml:space="preserve"> other minor </w:t>
      </w:r>
      <w:r w:rsidR="00B86B7B" w:rsidRPr="00CF56DA">
        <w:rPr>
          <w:spacing w:val="-2"/>
        </w:rPr>
        <w:t xml:space="preserve">machinery </w:t>
      </w:r>
      <w:r w:rsidR="00B45EA0" w:rsidRPr="00CF56DA">
        <w:rPr>
          <w:spacing w:val="-2"/>
        </w:rPr>
        <w:t xml:space="preserve">amendments. </w:t>
      </w:r>
    </w:p>
    <w:p w14:paraId="1D648682" w14:textId="77777777" w:rsidR="00F22CAA" w:rsidRPr="00CF56DA" w:rsidRDefault="00F22CAA" w:rsidP="00362DDF">
      <w:pPr>
        <w:pStyle w:val="BodyText"/>
        <w:ind w:right="178"/>
      </w:pPr>
    </w:p>
    <w:p w14:paraId="1D648683" w14:textId="77777777" w:rsidR="00F22CAA" w:rsidRPr="00CF56DA" w:rsidRDefault="00F57EEE" w:rsidP="00362DDF">
      <w:pPr>
        <w:pStyle w:val="Heading1"/>
        <w:ind w:right="178"/>
      </w:pPr>
      <w:r w:rsidRPr="00CF56DA">
        <w:t>Human</w:t>
      </w:r>
      <w:r w:rsidRPr="00CF56DA">
        <w:rPr>
          <w:spacing w:val="-3"/>
        </w:rPr>
        <w:t xml:space="preserve"> </w:t>
      </w:r>
      <w:r w:rsidRPr="00CF56DA">
        <w:t>Rights</w:t>
      </w:r>
      <w:r w:rsidRPr="00CF56DA">
        <w:rPr>
          <w:spacing w:val="-2"/>
        </w:rPr>
        <w:t xml:space="preserve"> </w:t>
      </w:r>
      <w:r w:rsidRPr="00CF56DA">
        <w:t>Implications</w:t>
      </w:r>
    </w:p>
    <w:p w14:paraId="1D648684" w14:textId="77777777" w:rsidR="00F22CAA" w:rsidRPr="00CF56DA" w:rsidRDefault="00F22CAA" w:rsidP="00362DDF">
      <w:pPr>
        <w:pStyle w:val="BodyText"/>
        <w:ind w:right="178"/>
        <w:rPr>
          <w:b/>
        </w:rPr>
      </w:pPr>
    </w:p>
    <w:p w14:paraId="1D648685" w14:textId="77777777" w:rsidR="00F22CAA" w:rsidRPr="00CF56DA" w:rsidRDefault="00F57EEE" w:rsidP="00362DDF">
      <w:pPr>
        <w:pStyle w:val="BodyText"/>
        <w:ind w:left="120" w:right="178"/>
      </w:pPr>
      <w:r w:rsidRPr="00CF56DA">
        <w:t>The amendments are compatible with the right to an adequate standard of living and the right</w:t>
      </w:r>
      <w:r w:rsidRPr="00CF56DA">
        <w:rPr>
          <w:spacing w:val="-57"/>
        </w:rPr>
        <w:t xml:space="preserve"> </w:t>
      </w:r>
      <w:r w:rsidRPr="00CF56DA">
        <w:t>to the enjoyment of the highest attainable standard of physical and mental health as contained</w:t>
      </w:r>
      <w:r w:rsidRPr="00CF56DA">
        <w:rPr>
          <w:spacing w:val="-57"/>
        </w:rPr>
        <w:t xml:space="preserve"> </w:t>
      </w:r>
      <w:r w:rsidRPr="00CF56DA">
        <w:t>in article 11(1) and article 12(1) of the International Covenant on Economic, Social and</w:t>
      </w:r>
      <w:r w:rsidRPr="00CF56DA">
        <w:rPr>
          <w:spacing w:val="1"/>
        </w:rPr>
        <w:t xml:space="preserve"> </w:t>
      </w:r>
      <w:r w:rsidRPr="00CF56DA">
        <w:t>Cultural</w:t>
      </w:r>
      <w:r w:rsidRPr="00CF56DA">
        <w:rPr>
          <w:spacing w:val="-1"/>
        </w:rPr>
        <w:t xml:space="preserve"> </w:t>
      </w:r>
      <w:r w:rsidRPr="00CF56DA">
        <w:t>Rights.</w:t>
      </w:r>
    </w:p>
    <w:p w14:paraId="30C856A1" w14:textId="5F44848E" w:rsidR="00D67EDF" w:rsidRPr="00CF56DA" w:rsidRDefault="00D67EDF" w:rsidP="00362DDF">
      <w:pPr>
        <w:pStyle w:val="BodyText"/>
        <w:ind w:left="120" w:right="178"/>
      </w:pPr>
    </w:p>
    <w:p w14:paraId="5F89131F" w14:textId="00781ABB" w:rsidR="006D238E" w:rsidRPr="00CF56DA" w:rsidRDefault="006D238E" w:rsidP="00D67EDF">
      <w:pPr>
        <w:pStyle w:val="BodyText"/>
        <w:ind w:left="120" w:right="178"/>
      </w:pPr>
      <w:r w:rsidRPr="00CF56DA">
        <w:t>The amendments</w:t>
      </w:r>
      <w:r w:rsidR="00D80432" w:rsidRPr="00CF56DA">
        <w:t xml:space="preserve"> </w:t>
      </w:r>
      <w:r w:rsidRPr="00CF56DA">
        <w:rPr>
          <w:spacing w:val="-2"/>
        </w:rPr>
        <w:t>give effect to an annual three per cent increase in fees for applications for licences under the ARPANS Act, from 1 July 2023</w:t>
      </w:r>
      <w:r w:rsidR="00FF0EBD" w:rsidRPr="00CF56DA">
        <w:rPr>
          <w:spacing w:val="-2"/>
        </w:rPr>
        <w:t>,</w:t>
      </w:r>
      <w:r w:rsidR="00D80432" w:rsidRPr="00CF56DA">
        <w:rPr>
          <w:spacing w:val="-2"/>
        </w:rPr>
        <w:t xml:space="preserve"> </w:t>
      </w:r>
      <w:r w:rsidRPr="00CF56DA">
        <w:rPr>
          <w:spacing w:val="-2"/>
        </w:rPr>
        <w:t>and</w:t>
      </w:r>
      <w:r w:rsidR="00D80432" w:rsidRPr="00CF56DA">
        <w:rPr>
          <w:spacing w:val="-2"/>
        </w:rPr>
        <w:t xml:space="preserve"> </w:t>
      </w:r>
      <w:r w:rsidRPr="00CF56DA">
        <w:rPr>
          <w:spacing w:val="-2"/>
        </w:rPr>
        <w:t>make</w:t>
      </w:r>
      <w:r w:rsidR="00F3521A" w:rsidRPr="00CF56DA">
        <w:rPr>
          <w:spacing w:val="-2"/>
        </w:rPr>
        <w:t>s</w:t>
      </w:r>
      <w:r w:rsidRPr="00CF56DA">
        <w:rPr>
          <w:spacing w:val="-2"/>
        </w:rPr>
        <w:t xml:space="preserve"> other minor </w:t>
      </w:r>
      <w:r w:rsidR="003D5CD5" w:rsidRPr="00CF56DA">
        <w:rPr>
          <w:spacing w:val="-2"/>
        </w:rPr>
        <w:t xml:space="preserve">machinery </w:t>
      </w:r>
      <w:r w:rsidR="002A499A" w:rsidRPr="00CF56DA">
        <w:rPr>
          <w:spacing w:val="-2"/>
        </w:rPr>
        <w:t>amendments</w:t>
      </w:r>
      <w:r w:rsidRPr="00CF56DA">
        <w:rPr>
          <w:spacing w:val="-2"/>
        </w:rPr>
        <w:t xml:space="preserve">. </w:t>
      </w:r>
    </w:p>
    <w:p w14:paraId="1D648688" w14:textId="77777777" w:rsidR="00F22CAA" w:rsidRPr="00CF56DA" w:rsidRDefault="00F22CAA" w:rsidP="00362DDF">
      <w:pPr>
        <w:pStyle w:val="BodyText"/>
        <w:ind w:right="178"/>
      </w:pPr>
    </w:p>
    <w:p w14:paraId="1D648689" w14:textId="77777777" w:rsidR="00F22CAA" w:rsidRPr="00CF56DA" w:rsidRDefault="00F57EEE" w:rsidP="00362DDF">
      <w:pPr>
        <w:pStyle w:val="Heading1"/>
        <w:ind w:right="178"/>
      </w:pPr>
      <w:r w:rsidRPr="00CF56DA">
        <w:t>Conclusion</w:t>
      </w:r>
    </w:p>
    <w:p w14:paraId="1D64868A" w14:textId="77777777" w:rsidR="00F22CAA" w:rsidRPr="00CF56DA" w:rsidRDefault="00F22CAA" w:rsidP="00362DDF">
      <w:pPr>
        <w:pStyle w:val="BodyText"/>
        <w:ind w:right="178"/>
        <w:rPr>
          <w:b/>
        </w:rPr>
      </w:pPr>
    </w:p>
    <w:p w14:paraId="331B0C13" w14:textId="77777777" w:rsidR="003B5873" w:rsidRPr="00CF56DA" w:rsidRDefault="003B5873" w:rsidP="00362DDF">
      <w:pPr>
        <w:pStyle w:val="BodyText"/>
        <w:ind w:left="120" w:right="178"/>
      </w:pPr>
      <w:r w:rsidRPr="00CF56DA">
        <w:t>This legislative instrument is compatible with human rights as it promotes the human right to an adequate standard of living and the highest attainable standard of physical and mental health.</w:t>
      </w:r>
    </w:p>
    <w:p w14:paraId="2FAAFF15" w14:textId="77777777" w:rsidR="003B5873" w:rsidRPr="00CF56DA" w:rsidRDefault="003B5873" w:rsidP="00362DDF">
      <w:pPr>
        <w:ind w:right="178"/>
        <w:rPr>
          <w:sz w:val="24"/>
          <w:szCs w:val="24"/>
        </w:rPr>
      </w:pPr>
    </w:p>
    <w:p w14:paraId="4E089BB9" w14:textId="77777777" w:rsidR="003B5873" w:rsidRPr="00CF56DA" w:rsidRDefault="003B5873" w:rsidP="00362DDF">
      <w:pPr>
        <w:ind w:right="178"/>
        <w:jc w:val="center"/>
        <w:rPr>
          <w:b/>
          <w:bCs/>
          <w:sz w:val="24"/>
          <w:szCs w:val="24"/>
        </w:rPr>
      </w:pPr>
      <w:r w:rsidRPr="00CF56DA">
        <w:rPr>
          <w:b/>
          <w:bCs/>
          <w:sz w:val="24"/>
          <w:szCs w:val="24"/>
        </w:rPr>
        <w:t>The Hon. Ged Kearney</w:t>
      </w:r>
    </w:p>
    <w:p w14:paraId="3B4AF2E8" w14:textId="77777777" w:rsidR="003B5873" w:rsidRPr="00CF56DA" w:rsidRDefault="003B5873" w:rsidP="00362DDF">
      <w:pPr>
        <w:ind w:right="178"/>
        <w:jc w:val="center"/>
        <w:rPr>
          <w:b/>
          <w:bCs/>
          <w:sz w:val="24"/>
          <w:szCs w:val="24"/>
        </w:rPr>
      </w:pPr>
      <w:r w:rsidRPr="00CF56DA">
        <w:rPr>
          <w:b/>
          <w:bCs/>
          <w:sz w:val="24"/>
          <w:szCs w:val="24"/>
        </w:rPr>
        <w:t xml:space="preserve">Assistant Minister for Health and Aged Care </w:t>
      </w:r>
    </w:p>
    <w:p w14:paraId="45557AEF" w14:textId="77777777" w:rsidR="003B5873" w:rsidRPr="00CF56DA" w:rsidRDefault="003B5873" w:rsidP="00362DDF">
      <w:pPr>
        <w:ind w:right="178"/>
        <w:jc w:val="center"/>
        <w:rPr>
          <w:b/>
          <w:bCs/>
          <w:sz w:val="24"/>
          <w:szCs w:val="24"/>
        </w:rPr>
      </w:pPr>
      <w:r w:rsidRPr="00CF56DA">
        <w:rPr>
          <w:b/>
          <w:bCs/>
          <w:sz w:val="24"/>
          <w:szCs w:val="24"/>
        </w:rPr>
        <w:t xml:space="preserve">Parliamentary Secretary to the Minister for Health and Aged Care </w:t>
      </w:r>
    </w:p>
    <w:p w14:paraId="1D64868D" w14:textId="254DC213" w:rsidR="00F22CAA" w:rsidRPr="00CF56DA" w:rsidRDefault="00F22CAA" w:rsidP="00362DDF">
      <w:pPr>
        <w:pStyle w:val="BodyText"/>
        <w:ind w:left="120" w:right="178"/>
        <w:rPr>
          <w:b/>
        </w:rPr>
      </w:pPr>
    </w:p>
    <w:sectPr w:rsidR="00F22CAA" w:rsidRPr="00CF56DA">
      <w:pgSz w:w="11910" w:h="16840"/>
      <w:pgMar w:top="1360" w:right="1340" w:bottom="960" w:left="13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C771" w14:textId="77777777" w:rsidR="009C6289" w:rsidRDefault="009C6289">
      <w:r>
        <w:separator/>
      </w:r>
    </w:p>
  </w:endnote>
  <w:endnote w:type="continuationSeparator" w:id="0">
    <w:p w14:paraId="22B4D3ED" w14:textId="77777777" w:rsidR="009C6289" w:rsidRDefault="009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868E" w14:textId="77777777" w:rsidR="00F22CAA" w:rsidRDefault="00CF56DA">
    <w:pPr>
      <w:pStyle w:val="BodyText"/>
      <w:spacing w:line="14" w:lineRule="auto"/>
      <w:rPr>
        <w:sz w:val="20"/>
      </w:rPr>
    </w:pPr>
    <w:r>
      <w:pict w14:anchorId="1D64868F">
        <v:shapetype id="_x0000_t202" coordsize="21600,21600" o:spt="202" path="m,l,21600r21600,l21600,xe">
          <v:stroke joinstyle="miter"/>
          <v:path gradientshapeok="t" o:connecttype="rect"/>
        </v:shapetype>
        <v:shape id="docshape1" o:spid="_x0000_s1025" type="#_x0000_t202" style="position:absolute;margin-left:291.65pt;margin-top:792.3pt;width:19pt;height:16.8pt;z-index:-251658752;mso-position-horizontal-relative:page;mso-position-vertical-relative:page" filled="f" stroked="f">
          <v:textbox inset="0,0,0,0">
            <w:txbxContent>
              <w:p w14:paraId="1D648690" w14:textId="77777777" w:rsidR="00F22CAA" w:rsidRDefault="00F57EEE">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79AD" w14:textId="77777777" w:rsidR="009C6289" w:rsidRDefault="009C6289">
      <w:r>
        <w:separator/>
      </w:r>
    </w:p>
  </w:footnote>
  <w:footnote w:type="continuationSeparator" w:id="0">
    <w:p w14:paraId="7322E288" w14:textId="77777777" w:rsidR="009C6289" w:rsidRDefault="009C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53B70"/>
    <w:multiLevelType w:val="hybridMultilevel"/>
    <w:tmpl w:val="8D265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72F47"/>
    <w:multiLevelType w:val="hybridMultilevel"/>
    <w:tmpl w:val="05D2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6B2C44"/>
    <w:multiLevelType w:val="hybridMultilevel"/>
    <w:tmpl w:val="AC06CCE6"/>
    <w:lvl w:ilvl="0" w:tplc="19ECC3F8">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A0CC2040">
      <w:numFmt w:val="bullet"/>
      <w:lvlText w:val="•"/>
      <w:lvlJc w:val="left"/>
      <w:pPr>
        <w:ind w:left="852" w:hanging="325"/>
      </w:pPr>
      <w:rPr>
        <w:rFonts w:hint="default"/>
        <w:lang w:val="en-AU" w:eastAsia="en-US" w:bidi="ar-SA"/>
      </w:rPr>
    </w:lvl>
    <w:lvl w:ilvl="2" w:tplc="BFB4D176">
      <w:numFmt w:val="bullet"/>
      <w:lvlText w:val="•"/>
      <w:lvlJc w:val="left"/>
      <w:pPr>
        <w:ind w:left="1304" w:hanging="325"/>
      </w:pPr>
      <w:rPr>
        <w:rFonts w:hint="default"/>
        <w:lang w:val="en-AU" w:eastAsia="en-US" w:bidi="ar-SA"/>
      </w:rPr>
    </w:lvl>
    <w:lvl w:ilvl="3" w:tplc="304E70C8">
      <w:numFmt w:val="bullet"/>
      <w:lvlText w:val="•"/>
      <w:lvlJc w:val="left"/>
      <w:pPr>
        <w:ind w:left="1756" w:hanging="325"/>
      </w:pPr>
      <w:rPr>
        <w:rFonts w:hint="default"/>
        <w:lang w:val="en-AU" w:eastAsia="en-US" w:bidi="ar-SA"/>
      </w:rPr>
    </w:lvl>
    <w:lvl w:ilvl="4" w:tplc="35322DD0">
      <w:numFmt w:val="bullet"/>
      <w:lvlText w:val="•"/>
      <w:lvlJc w:val="left"/>
      <w:pPr>
        <w:ind w:left="2209" w:hanging="325"/>
      </w:pPr>
      <w:rPr>
        <w:rFonts w:hint="default"/>
        <w:lang w:val="en-AU" w:eastAsia="en-US" w:bidi="ar-SA"/>
      </w:rPr>
    </w:lvl>
    <w:lvl w:ilvl="5" w:tplc="15140C0E">
      <w:numFmt w:val="bullet"/>
      <w:lvlText w:val="•"/>
      <w:lvlJc w:val="left"/>
      <w:pPr>
        <w:ind w:left="2661" w:hanging="325"/>
      </w:pPr>
      <w:rPr>
        <w:rFonts w:hint="default"/>
        <w:lang w:val="en-AU" w:eastAsia="en-US" w:bidi="ar-SA"/>
      </w:rPr>
    </w:lvl>
    <w:lvl w:ilvl="6" w:tplc="CE9258B2">
      <w:numFmt w:val="bullet"/>
      <w:lvlText w:val="•"/>
      <w:lvlJc w:val="left"/>
      <w:pPr>
        <w:ind w:left="3113" w:hanging="325"/>
      </w:pPr>
      <w:rPr>
        <w:rFonts w:hint="default"/>
        <w:lang w:val="en-AU" w:eastAsia="en-US" w:bidi="ar-SA"/>
      </w:rPr>
    </w:lvl>
    <w:lvl w:ilvl="7" w:tplc="209EB484">
      <w:numFmt w:val="bullet"/>
      <w:lvlText w:val="•"/>
      <w:lvlJc w:val="left"/>
      <w:pPr>
        <w:ind w:left="3566" w:hanging="325"/>
      </w:pPr>
      <w:rPr>
        <w:rFonts w:hint="default"/>
        <w:lang w:val="en-AU" w:eastAsia="en-US" w:bidi="ar-SA"/>
      </w:rPr>
    </w:lvl>
    <w:lvl w:ilvl="8" w:tplc="A606CF18">
      <w:numFmt w:val="bullet"/>
      <w:lvlText w:val="•"/>
      <w:lvlJc w:val="left"/>
      <w:pPr>
        <w:ind w:left="4018" w:hanging="325"/>
      </w:pPr>
      <w:rPr>
        <w:rFonts w:hint="default"/>
        <w:lang w:val="en-AU" w:eastAsia="en-US" w:bidi="ar-SA"/>
      </w:rPr>
    </w:lvl>
  </w:abstractNum>
  <w:abstractNum w:abstractNumId="5" w15:restartNumberingAfterBreak="0">
    <w:nsid w:val="469A337D"/>
    <w:multiLevelType w:val="hybridMultilevel"/>
    <w:tmpl w:val="E884C704"/>
    <w:lvl w:ilvl="0" w:tplc="7E8435FA">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36085F62">
      <w:start w:val="1"/>
      <w:numFmt w:val="lowerRoman"/>
      <w:lvlText w:val="(%2)"/>
      <w:lvlJc w:val="left"/>
      <w:pPr>
        <w:ind w:left="935" w:hanging="286"/>
        <w:jc w:val="left"/>
      </w:pPr>
      <w:rPr>
        <w:rFonts w:ascii="Times New Roman" w:eastAsia="Times New Roman" w:hAnsi="Times New Roman" w:cs="Times New Roman" w:hint="default"/>
        <w:b w:val="0"/>
        <w:bCs w:val="0"/>
        <w:i w:val="0"/>
        <w:iCs w:val="0"/>
        <w:w w:val="99"/>
        <w:sz w:val="24"/>
        <w:szCs w:val="24"/>
        <w:lang w:val="en-AU" w:eastAsia="en-US" w:bidi="ar-SA"/>
      </w:rPr>
    </w:lvl>
    <w:lvl w:ilvl="2" w:tplc="8A4E43BC">
      <w:numFmt w:val="bullet"/>
      <w:lvlText w:val="•"/>
      <w:lvlJc w:val="left"/>
      <w:pPr>
        <w:ind w:left="1382" w:hanging="286"/>
      </w:pPr>
      <w:rPr>
        <w:rFonts w:hint="default"/>
        <w:lang w:val="en-AU" w:eastAsia="en-US" w:bidi="ar-SA"/>
      </w:rPr>
    </w:lvl>
    <w:lvl w:ilvl="3" w:tplc="CE5885E2">
      <w:numFmt w:val="bullet"/>
      <w:lvlText w:val="•"/>
      <w:lvlJc w:val="left"/>
      <w:pPr>
        <w:ind w:left="1825" w:hanging="286"/>
      </w:pPr>
      <w:rPr>
        <w:rFonts w:hint="default"/>
        <w:lang w:val="en-AU" w:eastAsia="en-US" w:bidi="ar-SA"/>
      </w:rPr>
    </w:lvl>
    <w:lvl w:ilvl="4" w:tplc="A3429534">
      <w:numFmt w:val="bullet"/>
      <w:lvlText w:val="•"/>
      <w:lvlJc w:val="left"/>
      <w:pPr>
        <w:ind w:left="2267" w:hanging="286"/>
      </w:pPr>
      <w:rPr>
        <w:rFonts w:hint="default"/>
        <w:lang w:val="en-AU" w:eastAsia="en-US" w:bidi="ar-SA"/>
      </w:rPr>
    </w:lvl>
    <w:lvl w:ilvl="5" w:tplc="950687C4">
      <w:numFmt w:val="bullet"/>
      <w:lvlText w:val="•"/>
      <w:lvlJc w:val="left"/>
      <w:pPr>
        <w:ind w:left="2710" w:hanging="286"/>
      </w:pPr>
      <w:rPr>
        <w:rFonts w:hint="default"/>
        <w:lang w:val="en-AU" w:eastAsia="en-US" w:bidi="ar-SA"/>
      </w:rPr>
    </w:lvl>
    <w:lvl w:ilvl="6" w:tplc="F7285AA0">
      <w:numFmt w:val="bullet"/>
      <w:lvlText w:val="•"/>
      <w:lvlJc w:val="left"/>
      <w:pPr>
        <w:ind w:left="3152" w:hanging="286"/>
      </w:pPr>
      <w:rPr>
        <w:rFonts w:hint="default"/>
        <w:lang w:val="en-AU" w:eastAsia="en-US" w:bidi="ar-SA"/>
      </w:rPr>
    </w:lvl>
    <w:lvl w:ilvl="7" w:tplc="20D4DA58">
      <w:numFmt w:val="bullet"/>
      <w:lvlText w:val="•"/>
      <w:lvlJc w:val="left"/>
      <w:pPr>
        <w:ind w:left="3595" w:hanging="286"/>
      </w:pPr>
      <w:rPr>
        <w:rFonts w:hint="default"/>
        <w:lang w:val="en-AU" w:eastAsia="en-US" w:bidi="ar-SA"/>
      </w:rPr>
    </w:lvl>
    <w:lvl w:ilvl="8" w:tplc="216462BA">
      <w:numFmt w:val="bullet"/>
      <w:lvlText w:val="•"/>
      <w:lvlJc w:val="left"/>
      <w:pPr>
        <w:ind w:left="4037" w:hanging="286"/>
      </w:pPr>
      <w:rPr>
        <w:rFonts w:hint="default"/>
        <w:lang w:val="en-AU" w:eastAsia="en-US" w:bidi="ar-SA"/>
      </w:rPr>
    </w:lvl>
  </w:abstractNum>
  <w:abstractNum w:abstractNumId="6" w15:restartNumberingAfterBreak="0">
    <w:nsid w:val="4DF169FE"/>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9948A1"/>
    <w:multiLevelType w:val="hybridMultilevel"/>
    <w:tmpl w:val="128CECE6"/>
    <w:lvl w:ilvl="0" w:tplc="EFE00FF6">
      <w:start w:val="1"/>
      <w:numFmt w:val="lowerLetter"/>
      <w:lvlText w:val="(%1)"/>
      <w:lvlJc w:val="left"/>
      <w:pPr>
        <w:ind w:left="390" w:hanging="325"/>
        <w:jc w:val="left"/>
      </w:pPr>
      <w:rPr>
        <w:rFonts w:ascii="Times New Roman" w:eastAsia="Times New Roman" w:hAnsi="Times New Roman" w:cs="Times New Roman" w:hint="default"/>
        <w:b w:val="0"/>
        <w:bCs w:val="0"/>
        <w:i w:val="0"/>
        <w:iCs w:val="0"/>
        <w:spacing w:val="-2"/>
        <w:w w:val="99"/>
        <w:sz w:val="24"/>
        <w:szCs w:val="24"/>
        <w:lang w:val="en-AU" w:eastAsia="en-US" w:bidi="ar-SA"/>
      </w:rPr>
    </w:lvl>
    <w:lvl w:ilvl="1" w:tplc="AC84D926">
      <w:numFmt w:val="bullet"/>
      <w:lvlText w:val="•"/>
      <w:lvlJc w:val="left"/>
      <w:pPr>
        <w:ind w:left="852" w:hanging="325"/>
      </w:pPr>
      <w:rPr>
        <w:rFonts w:hint="default"/>
        <w:lang w:val="en-AU" w:eastAsia="en-US" w:bidi="ar-SA"/>
      </w:rPr>
    </w:lvl>
    <w:lvl w:ilvl="2" w:tplc="26805C9A">
      <w:numFmt w:val="bullet"/>
      <w:lvlText w:val="•"/>
      <w:lvlJc w:val="left"/>
      <w:pPr>
        <w:ind w:left="1304" w:hanging="325"/>
      </w:pPr>
      <w:rPr>
        <w:rFonts w:hint="default"/>
        <w:lang w:val="en-AU" w:eastAsia="en-US" w:bidi="ar-SA"/>
      </w:rPr>
    </w:lvl>
    <w:lvl w:ilvl="3" w:tplc="D21654BC">
      <w:numFmt w:val="bullet"/>
      <w:lvlText w:val="•"/>
      <w:lvlJc w:val="left"/>
      <w:pPr>
        <w:ind w:left="1756" w:hanging="325"/>
      </w:pPr>
      <w:rPr>
        <w:rFonts w:hint="default"/>
        <w:lang w:val="en-AU" w:eastAsia="en-US" w:bidi="ar-SA"/>
      </w:rPr>
    </w:lvl>
    <w:lvl w:ilvl="4" w:tplc="4B6AB24E">
      <w:numFmt w:val="bullet"/>
      <w:lvlText w:val="•"/>
      <w:lvlJc w:val="left"/>
      <w:pPr>
        <w:ind w:left="2209" w:hanging="325"/>
      </w:pPr>
      <w:rPr>
        <w:rFonts w:hint="default"/>
        <w:lang w:val="en-AU" w:eastAsia="en-US" w:bidi="ar-SA"/>
      </w:rPr>
    </w:lvl>
    <w:lvl w:ilvl="5" w:tplc="0982FAE6">
      <w:numFmt w:val="bullet"/>
      <w:lvlText w:val="•"/>
      <w:lvlJc w:val="left"/>
      <w:pPr>
        <w:ind w:left="2661" w:hanging="325"/>
      </w:pPr>
      <w:rPr>
        <w:rFonts w:hint="default"/>
        <w:lang w:val="en-AU" w:eastAsia="en-US" w:bidi="ar-SA"/>
      </w:rPr>
    </w:lvl>
    <w:lvl w:ilvl="6" w:tplc="FD203DD0">
      <w:numFmt w:val="bullet"/>
      <w:lvlText w:val="•"/>
      <w:lvlJc w:val="left"/>
      <w:pPr>
        <w:ind w:left="3113" w:hanging="325"/>
      </w:pPr>
      <w:rPr>
        <w:rFonts w:hint="default"/>
        <w:lang w:val="en-AU" w:eastAsia="en-US" w:bidi="ar-SA"/>
      </w:rPr>
    </w:lvl>
    <w:lvl w:ilvl="7" w:tplc="CE8450D6">
      <w:numFmt w:val="bullet"/>
      <w:lvlText w:val="•"/>
      <w:lvlJc w:val="left"/>
      <w:pPr>
        <w:ind w:left="3566" w:hanging="325"/>
      </w:pPr>
      <w:rPr>
        <w:rFonts w:hint="default"/>
        <w:lang w:val="en-AU" w:eastAsia="en-US" w:bidi="ar-SA"/>
      </w:rPr>
    </w:lvl>
    <w:lvl w:ilvl="8" w:tplc="810049F0">
      <w:numFmt w:val="bullet"/>
      <w:lvlText w:val="•"/>
      <w:lvlJc w:val="left"/>
      <w:pPr>
        <w:ind w:left="4018" w:hanging="325"/>
      </w:pPr>
      <w:rPr>
        <w:rFonts w:hint="default"/>
        <w:lang w:val="en-AU" w:eastAsia="en-US" w:bidi="ar-SA"/>
      </w:rPr>
    </w:lvl>
  </w:abstractNum>
  <w:num w:numId="1">
    <w:abstractNumId w:val="4"/>
  </w:num>
  <w:num w:numId="2">
    <w:abstractNumId w:val="5"/>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2CAA"/>
    <w:rsid w:val="0000012C"/>
    <w:rsid w:val="00071DEB"/>
    <w:rsid w:val="0007438A"/>
    <w:rsid w:val="000A3CF5"/>
    <w:rsid w:val="000D39B4"/>
    <w:rsid w:val="000E2721"/>
    <w:rsid w:val="000F39CC"/>
    <w:rsid w:val="000F4DCB"/>
    <w:rsid w:val="00125F9C"/>
    <w:rsid w:val="001462E4"/>
    <w:rsid w:val="001745B5"/>
    <w:rsid w:val="00176B66"/>
    <w:rsid w:val="00195406"/>
    <w:rsid w:val="00196BDA"/>
    <w:rsid w:val="001C3288"/>
    <w:rsid w:val="001E2AC3"/>
    <w:rsid w:val="001F56E0"/>
    <w:rsid w:val="00210485"/>
    <w:rsid w:val="0023359E"/>
    <w:rsid w:val="002352AD"/>
    <w:rsid w:val="0024128C"/>
    <w:rsid w:val="002420D4"/>
    <w:rsid w:val="00242101"/>
    <w:rsid w:val="00242CAD"/>
    <w:rsid w:val="00273963"/>
    <w:rsid w:val="0027599E"/>
    <w:rsid w:val="00282739"/>
    <w:rsid w:val="0028357F"/>
    <w:rsid w:val="00285AF5"/>
    <w:rsid w:val="00287460"/>
    <w:rsid w:val="002A499A"/>
    <w:rsid w:val="002B6591"/>
    <w:rsid w:val="003072CB"/>
    <w:rsid w:val="00311F49"/>
    <w:rsid w:val="003279B9"/>
    <w:rsid w:val="00346005"/>
    <w:rsid w:val="00354035"/>
    <w:rsid w:val="00362DDF"/>
    <w:rsid w:val="00380836"/>
    <w:rsid w:val="00380EF5"/>
    <w:rsid w:val="00397091"/>
    <w:rsid w:val="003B5873"/>
    <w:rsid w:val="003D5CD5"/>
    <w:rsid w:val="003F7290"/>
    <w:rsid w:val="00437248"/>
    <w:rsid w:val="00473F01"/>
    <w:rsid w:val="00487170"/>
    <w:rsid w:val="004C4905"/>
    <w:rsid w:val="005474C8"/>
    <w:rsid w:val="005842AF"/>
    <w:rsid w:val="00586803"/>
    <w:rsid w:val="0059013A"/>
    <w:rsid w:val="005B36CB"/>
    <w:rsid w:val="005D4FF4"/>
    <w:rsid w:val="00614D16"/>
    <w:rsid w:val="00616EF3"/>
    <w:rsid w:val="0064082B"/>
    <w:rsid w:val="0064332C"/>
    <w:rsid w:val="00654CBE"/>
    <w:rsid w:val="00695C31"/>
    <w:rsid w:val="00696FFD"/>
    <w:rsid w:val="006C368A"/>
    <w:rsid w:val="006D1664"/>
    <w:rsid w:val="006D238E"/>
    <w:rsid w:val="007164D3"/>
    <w:rsid w:val="0075109F"/>
    <w:rsid w:val="0077042F"/>
    <w:rsid w:val="007750DA"/>
    <w:rsid w:val="0079302F"/>
    <w:rsid w:val="00796FD8"/>
    <w:rsid w:val="007C5FAB"/>
    <w:rsid w:val="007E6E71"/>
    <w:rsid w:val="007E759B"/>
    <w:rsid w:val="00833218"/>
    <w:rsid w:val="0083461B"/>
    <w:rsid w:val="00844964"/>
    <w:rsid w:val="008952D3"/>
    <w:rsid w:val="008D78A9"/>
    <w:rsid w:val="008F0BA5"/>
    <w:rsid w:val="00915754"/>
    <w:rsid w:val="009A209D"/>
    <w:rsid w:val="009B0A06"/>
    <w:rsid w:val="009C6289"/>
    <w:rsid w:val="009C6B02"/>
    <w:rsid w:val="009E1C85"/>
    <w:rsid w:val="009F0B4B"/>
    <w:rsid w:val="009F1B4D"/>
    <w:rsid w:val="00A06C13"/>
    <w:rsid w:val="00A12209"/>
    <w:rsid w:val="00A73F08"/>
    <w:rsid w:val="00A75A9D"/>
    <w:rsid w:val="00B027E0"/>
    <w:rsid w:val="00B219B4"/>
    <w:rsid w:val="00B45EA0"/>
    <w:rsid w:val="00B478CE"/>
    <w:rsid w:val="00B479F2"/>
    <w:rsid w:val="00B52646"/>
    <w:rsid w:val="00B805B8"/>
    <w:rsid w:val="00B86B7B"/>
    <w:rsid w:val="00BE66C9"/>
    <w:rsid w:val="00C516EA"/>
    <w:rsid w:val="00C763C1"/>
    <w:rsid w:val="00CA3150"/>
    <w:rsid w:val="00CB6509"/>
    <w:rsid w:val="00CC097D"/>
    <w:rsid w:val="00CE1D82"/>
    <w:rsid w:val="00CE3710"/>
    <w:rsid w:val="00CF56DA"/>
    <w:rsid w:val="00D01171"/>
    <w:rsid w:val="00D67EDF"/>
    <w:rsid w:val="00D80432"/>
    <w:rsid w:val="00D9016E"/>
    <w:rsid w:val="00DA54EF"/>
    <w:rsid w:val="00DB4C84"/>
    <w:rsid w:val="00E02BEF"/>
    <w:rsid w:val="00E30C84"/>
    <w:rsid w:val="00E44E9A"/>
    <w:rsid w:val="00E517C6"/>
    <w:rsid w:val="00E54471"/>
    <w:rsid w:val="00E662AD"/>
    <w:rsid w:val="00E7364B"/>
    <w:rsid w:val="00E87508"/>
    <w:rsid w:val="00EA2F4D"/>
    <w:rsid w:val="00F055C6"/>
    <w:rsid w:val="00F22CAA"/>
    <w:rsid w:val="00F264CA"/>
    <w:rsid w:val="00F3521A"/>
    <w:rsid w:val="00F4101B"/>
    <w:rsid w:val="00F54DD0"/>
    <w:rsid w:val="00F57EEE"/>
    <w:rsid w:val="00F64F26"/>
    <w:rsid w:val="00F73EDD"/>
    <w:rsid w:val="00F80621"/>
    <w:rsid w:val="00F94F1C"/>
    <w:rsid w:val="00FB48EF"/>
    <w:rsid w:val="00FF0EBD"/>
    <w:rsid w:val="00FF68CB"/>
    <w:rsid w:val="03D136E4"/>
    <w:rsid w:val="15E7D7F9"/>
    <w:rsid w:val="2BD4C9CB"/>
    <w:rsid w:val="30CC848C"/>
    <w:rsid w:val="42395A50"/>
    <w:rsid w:val="77702380"/>
    <w:rsid w:val="7D6AA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85C1"/>
  <w15:docId w15:val="{A3CA3B05-43D4-4D10-A4EA-3CC3D4A3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43"/>
      <w:jc w:val="right"/>
    </w:pPr>
  </w:style>
  <w:style w:type="table" w:styleId="TableGrid">
    <w:name w:val="Table Grid"/>
    <w:basedOn w:val="TableNormal"/>
    <w:uiPriority w:val="59"/>
    <w:rsid w:val="00833218"/>
    <w:pPr>
      <w:widowControl/>
      <w:autoSpaceDE/>
      <w:autoSpaceDN/>
    </w:pPr>
    <w:rPr>
      <w:rFonts w:ascii="Times New Roman" w:eastAsia="Times New Roman" w:hAnsi="Times New Roman"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833218"/>
    <w:pPr>
      <w:widowControl/>
      <w:autoSpaceDE/>
      <w:autoSpaceDN/>
      <w:spacing w:before="60" w:line="240" w:lineRule="atLeast"/>
    </w:pPr>
    <w:rPr>
      <w:sz w:val="20"/>
      <w:szCs w:val="20"/>
      <w:lang w:eastAsia="en-AU"/>
    </w:rPr>
  </w:style>
  <w:style w:type="paragraph" w:customStyle="1" w:styleId="Tablea">
    <w:name w:val="Table(a)"/>
    <w:aliases w:val="ta"/>
    <w:basedOn w:val="Normal"/>
    <w:rsid w:val="00833218"/>
    <w:pPr>
      <w:widowControl/>
      <w:autoSpaceDE/>
      <w:autoSpaceDN/>
      <w:spacing w:before="60"/>
      <w:ind w:left="284" w:hanging="284"/>
    </w:pPr>
    <w:rPr>
      <w:sz w:val="20"/>
      <w:szCs w:val="20"/>
      <w:lang w:eastAsia="en-AU"/>
    </w:rPr>
  </w:style>
  <w:style w:type="paragraph" w:customStyle="1" w:styleId="Tablei">
    <w:name w:val="Table(i)"/>
    <w:aliases w:val="taa"/>
    <w:basedOn w:val="Normal"/>
    <w:rsid w:val="00833218"/>
    <w:pPr>
      <w:widowControl/>
      <w:tabs>
        <w:tab w:val="left" w:pos="-6543"/>
        <w:tab w:val="left" w:pos="-6260"/>
        <w:tab w:val="right" w:pos="970"/>
      </w:tabs>
      <w:autoSpaceDE/>
      <w:autoSpaceDN/>
      <w:spacing w:line="240" w:lineRule="exact"/>
      <w:ind w:left="828" w:hanging="284"/>
    </w:pPr>
    <w:rPr>
      <w:sz w:val="20"/>
      <w:szCs w:val="20"/>
      <w:lang w:eastAsia="en-AU"/>
    </w:rPr>
  </w:style>
  <w:style w:type="paragraph" w:customStyle="1" w:styleId="Default">
    <w:name w:val="Default"/>
    <w:rsid w:val="00833218"/>
    <w:pPr>
      <w:widowControl/>
      <w:adjustRightInd w:val="0"/>
    </w:pPr>
    <w:rPr>
      <w:rFonts w:ascii="Times New Roman" w:eastAsia="Times New Roman" w:hAnsi="Times New Roman" w:cs="Times New Roman"/>
      <w:color w:val="000000"/>
      <w:sz w:val="24"/>
      <w:szCs w:val="24"/>
      <w:lang w:val="en-AU" w:eastAsia="en-AU"/>
    </w:rPr>
  </w:style>
  <w:style w:type="character" w:customStyle="1" w:styleId="normalchar1">
    <w:name w:val="normal__char1"/>
    <w:basedOn w:val="DefaultParagraphFont"/>
    <w:uiPriority w:val="99"/>
    <w:rsid w:val="006D238E"/>
    <w:rPr>
      <w:rFonts w:ascii="Times New Roman" w:hAnsi="Times New Roman" w:cs="Times New Roman"/>
      <w:sz w:val="24"/>
      <w:szCs w:val="24"/>
      <w:u w:val="none"/>
      <w:effect w:val="none"/>
    </w:rPr>
  </w:style>
  <w:style w:type="paragraph" w:customStyle="1" w:styleId="paragraph">
    <w:name w:val="paragraph"/>
    <w:aliases w:val="a"/>
    <w:basedOn w:val="Normal"/>
    <w:rsid w:val="009F1B4D"/>
    <w:pPr>
      <w:widowControl/>
      <w:tabs>
        <w:tab w:val="right" w:pos="1531"/>
      </w:tabs>
      <w:autoSpaceDE/>
      <w:autoSpaceDN/>
      <w:spacing w:before="40"/>
      <w:ind w:left="1644" w:hanging="1644"/>
    </w:pPr>
    <w:rPr>
      <w:szCs w:val="20"/>
      <w:lang w:eastAsia="en-AU"/>
    </w:rPr>
  </w:style>
  <w:style w:type="paragraph" w:customStyle="1" w:styleId="subsection">
    <w:name w:val="subsection"/>
    <w:aliases w:val="ss"/>
    <w:basedOn w:val="Normal"/>
    <w:link w:val="subsectionChar"/>
    <w:rsid w:val="009F1B4D"/>
    <w:pPr>
      <w:widowControl/>
      <w:tabs>
        <w:tab w:val="right" w:pos="1021"/>
      </w:tabs>
      <w:autoSpaceDE/>
      <w:autoSpaceDN/>
      <w:spacing w:before="180"/>
      <w:ind w:left="1134" w:hanging="1134"/>
    </w:pPr>
    <w:rPr>
      <w:szCs w:val="20"/>
      <w:lang w:eastAsia="en-AU"/>
    </w:rPr>
  </w:style>
  <w:style w:type="character" w:customStyle="1" w:styleId="subsectionChar">
    <w:name w:val="subsection Char"/>
    <w:aliases w:val="ss Char"/>
    <w:basedOn w:val="DefaultParagraphFont"/>
    <w:link w:val="subsection"/>
    <w:locked/>
    <w:rsid w:val="009F1B4D"/>
    <w:rPr>
      <w:rFonts w:ascii="Times New Roman" w:eastAsia="Times New Roman" w:hAnsi="Times New Roman" w:cs="Times New Roman"/>
      <w:szCs w:val="20"/>
      <w:lang w:val="en-AU" w:eastAsia="en-AU"/>
    </w:rPr>
  </w:style>
  <w:style w:type="paragraph" w:customStyle="1" w:styleId="SubsectionHead">
    <w:name w:val="SubsectionHead"/>
    <w:aliases w:val="ssh"/>
    <w:basedOn w:val="Normal"/>
    <w:next w:val="subsection"/>
    <w:rsid w:val="009F1B4D"/>
    <w:pPr>
      <w:keepNext/>
      <w:keepLines/>
      <w:widowControl/>
      <w:autoSpaceDE/>
      <w:autoSpaceDN/>
      <w:spacing w:before="240"/>
      <w:ind w:left="1134"/>
    </w:pPr>
    <w:rPr>
      <w:i/>
      <w:szCs w:val="20"/>
      <w:lang w:eastAsia="en-AU"/>
    </w:rPr>
  </w:style>
  <w:style w:type="character" w:customStyle="1" w:styleId="CharSectno">
    <w:name w:val="CharSectno"/>
    <w:basedOn w:val="DefaultParagraphFont"/>
    <w:qFormat/>
    <w:rsid w:val="009F1B4D"/>
  </w:style>
  <w:style w:type="paragraph" w:styleId="Header">
    <w:name w:val="header"/>
    <w:basedOn w:val="Normal"/>
    <w:link w:val="HeaderChar"/>
    <w:uiPriority w:val="99"/>
    <w:unhideWhenUsed/>
    <w:rsid w:val="00F3521A"/>
    <w:pPr>
      <w:tabs>
        <w:tab w:val="center" w:pos="4513"/>
        <w:tab w:val="right" w:pos="9026"/>
      </w:tabs>
    </w:pPr>
  </w:style>
  <w:style w:type="character" w:customStyle="1" w:styleId="HeaderChar">
    <w:name w:val="Header Char"/>
    <w:basedOn w:val="DefaultParagraphFont"/>
    <w:link w:val="Header"/>
    <w:uiPriority w:val="99"/>
    <w:rsid w:val="00F3521A"/>
    <w:rPr>
      <w:rFonts w:ascii="Times New Roman" w:eastAsia="Times New Roman" w:hAnsi="Times New Roman" w:cs="Times New Roman"/>
      <w:lang w:val="en-AU"/>
    </w:rPr>
  </w:style>
  <w:style w:type="paragraph" w:styleId="Footer">
    <w:name w:val="footer"/>
    <w:basedOn w:val="Normal"/>
    <w:link w:val="FooterChar"/>
    <w:uiPriority w:val="99"/>
    <w:unhideWhenUsed/>
    <w:rsid w:val="00F3521A"/>
    <w:pPr>
      <w:tabs>
        <w:tab w:val="center" w:pos="4513"/>
        <w:tab w:val="right" w:pos="9026"/>
      </w:tabs>
    </w:pPr>
  </w:style>
  <w:style w:type="character" w:customStyle="1" w:styleId="FooterChar">
    <w:name w:val="Footer Char"/>
    <w:basedOn w:val="DefaultParagraphFont"/>
    <w:link w:val="Footer"/>
    <w:uiPriority w:val="99"/>
    <w:rsid w:val="00F3521A"/>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lcf76f155ced4ddcb4097134ff3c332f xmlns="9117e6a1-d196-48d2-9359-b2065b5eaea6">
      <Terms xmlns="http://schemas.microsoft.com/office/infopath/2007/PartnerControls"/>
    </lcf76f155ced4ddcb4097134ff3c332f>
    <HideFromDelve xmlns="9117e6a1-d196-48d2-9359-b2065b5eaea6">false</HideFromDelve>
    <TaxCatchAll xmlns="8cc4a87a-43f9-47c0-bae0-73fd342ec3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19" ma:contentTypeDescription="Create a new document." ma:contentTypeScope="" ma:versionID="b56afe4b01df071e3c7b35abb542d6d2">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5e052cbf32ff79396083c9b00719c5d"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HideFromDel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HideFromDelve" ma:index="21" nillable="true" ma:displayName="HideFromDelve " ma:default="0" ma:format="Dropdown" ma:internalName="HideFromDelve">
      <xsd:simpleType>
        <xsd:restriction base="dms:Boolea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fddcd2-1842-4077-b5b9-3e0dd51a0b41}" ma:internalName="TaxCatchAll" ma:showField="CatchAllData" ma:web="8cc4a87a-43f9-47c0-bae0-73fd342e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705D1-C37A-48CB-B1A7-0DFA5F94D901}">
  <ds:schemaRefs>
    <ds:schemaRef ds:uri="http://schemas.microsoft.com/office/2006/metadata/properties"/>
    <ds:schemaRef ds:uri="http://schemas.microsoft.com/office/2006/documentManagement/types"/>
    <ds:schemaRef ds:uri="http://purl.org/dc/elements/1.1/"/>
    <ds:schemaRef ds:uri="9117e6a1-d196-48d2-9359-b2065b5eaea6"/>
    <ds:schemaRef ds:uri="http://schemas.openxmlformats.org/package/2006/metadata/core-properties"/>
    <ds:schemaRef ds:uri="http://www.w3.org/XML/1998/namespace"/>
    <ds:schemaRef ds:uri="8cc4a87a-43f9-47c0-bae0-73fd342ec37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2B5645E-C070-4163-A391-F600C19235C0}">
  <ds:schemaRefs>
    <ds:schemaRef ds:uri="http://schemas.microsoft.com/sharepoint/v3/contenttype/forms"/>
  </ds:schemaRefs>
</ds:datastoreItem>
</file>

<file path=customXml/itemProps3.xml><?xml version="1.0" encoding="utf-8"?>
<ds:datastoreItem xmlns:ds="http://schemas.openxmlformats.org/officeDocument/2006/customXml" ds:itemID="{49D736CA-BC70-429F-BE4F-8A478961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2906</Words>
  <Characters>16568</Characters>
  <Application>Microsoft Office Word</Application>
  <DocSecurity>0</DocSecurity>
  <Lines>138</Lines>
  <Paragraphs>38</Paragraphs>
  <ScaleCrop>false</ScaleCrop>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Templeton</dc:creator>
  <cp:lastModifiedBy>VANCUYLENBURG, Chrisanne</cp:lastModifiedBy>
  <cp:revision>135</cp:revision>
  <dcterms:created xsi:type="dcterms:W3CDTF">2021-12-06T06:35:00Z</dcterms:created>
  <dcterms:modified xsi:type="dcterms:W3CDTF">2023-06-08T06:41:00Z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for Microsoft 365</vt:lpwstr>
  </property>
  <property fmtid="{D5CDD505-2E9C-101B-9397-08002B2CF9AE}" pid="4" name="LastSaved">
    <vt:filetime>2021-12-06T00:00:00Z</vt:filetime>
  </property>
  <property fmtid="{D5CDD505-2E9C-101B-9397-08002B2CF9AE}" pid="5" name="ContentTypeId">
    <vt:lpwstr>0x010100EB73F496D7259045B717B9BCC29B46BD</vt:lpwstr>
  </property>
  <property fmtid="{D5CDD505-2E9C-101B-9397-08002B2CF9AE}" pid="6" name="MediaServiceImageTags">
    <vt:lpwstr/>
  </property>
</Properties>
</file>