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bookmarkStart w:id="0" w:name="Citation"/>
    </w:p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</w:p>
    <w:p w:rsidR="000B1AEB" w:rsidRPr="006E77B8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r w:rsidRPr="009E7092">
        <w:rPr>
          <w:sz w:val="36"/>
          <w:szCs w:val="36"/>
        </w:rPr>
        <w:t xml:space="preserve">Superannuation </w:t>
      </w:r>
      <w:r>
        <w:rPr>
          <w:sz w:val="36"/>
          <w:szCs w:val="36"/>
        </w:rPr>
        <w:t>(PSS)</w:t>
      </w:r>
      <w:r w:rsidRPr="009E7092">
        <w:rPr>
          <w:sz w:val="36"/>
          <w:szCs w:val="36"/>
        </w:rPr>
        <w:t xml:space="preserve"> </w:t>
      </w:r>
      <w:r>
        <w:rPr>
          <w:sz w:val="36"/>
          <w:szCs w:val="36"/>
        </w:rPr>
        <w:t>Productivity Contribution (</w:t>
      </w:r>
      <w:r w:rsidR="006E77B8" w:rsidRPr="006E77B8">
        <w:rPr>
          <w:sz w:val="36"/>
          <w:szCs w:val="36"/>
        </w:rPr>
        <w:t>2023-2024</w:t>
      </w:r>
      <w:r w:rsidR="006E77B8">
        <w:rPr>
          <w:sz w:val="36"/>
          <w:szCs w:val="36"/>
        </w:rPr>
        <w:t xml:space="preserve">) </w:t>
      </w:r>
      <w:r w:rsidRPr="006E77B8">
        <w:rPr>
          <w:sz w:val="36"/>
          <w:szCs w:val="36"/>
        </w:rPr>
        <w:t xml:space="preserve">Determination </w:t>
      </w:r>
      <w:bookmarkEnd w:id="0"/>
      <w:r w:rsidR="006E77B8" w:rsidRPr="006E77B8">
        <w:rPr>
          <w:sz w:val="36"/>
          <w:szCs w:val="36"/>
        </w:rPr>
        <w:t xml:space="preserve">2023 </w:t>
      </w:r>
      <w:r w:rsidRPr="006E77B8">
        <w:rPr>
          <w:sz w:val="36"/>
          <w:szCs w:val="36"/>
        </w:rPr>
        <w:t xml:space="preserve">– Explanatory Statement </w:t>
      </w:r>
    </w:p>
    <w:p w:rsidR="000B1AEB" w:rsidRPr="006E77B8" w:rsidRDefault="000B1AEB" w:rsidP="000B1AEB">
      <w:pPr>
        <w:pStyle w:val="A1"/>
        <w:spacing w:before="240"/>
      </w:pPr>
    </w:p>
    <w:p w:rsidR="000B1AEB" w:rsidRPr="006E77B8" w:rsidRDefault="000B1AEB" w:rsidP="000B1AEB">
      <w:pPr>
        <w:pStyle w:val="A1"/>
        <w:spacing w:before="240"/>
        <w:ind w:left="0"/>
      </w:pPr>
      <w:r w:rsidRPr="006E77B8">
        <w:tab/>
        <w:t>1</w:t>
      </w:r>
      <w:r w:rsidRPr="006E77B8">
        <w:tab/>
        <w:t>Name of Determination</w:t>
      </w:r>
    </w:p>
    <w:p w:rsidR="000B1AEB" w:rsidRPr="006E77B8" w:rsidRDefault="000B1AEB" w:rsidP="000B1AEB"/>
    <w:p w:rsidR="000B1AEB" w:rsidRPr="006E77B8" w:rsidRDefault="000B1AEB" w:rsidP="000B1AEB">
      <w:r w:rsidRPr="006E77B8">
        <w:tab/>
        <w:t xml:space="preserve">This determination is the </w:t>
      </w:r>
      <w:r w:rsidRPr="006E77B8">
        <w:rPr>
          <w:i/>
        </w:rPr>
        <w:t xml:space="preserve">Superannuation (PSS) Productivity Contribution </w:t>
      </w:r>
      <w:r w:rsidRPr="006E77B8">
        <w:rPr>
          <w:i/>
        </w:rPr>
        <w:tab/>
        <w:t>(</w:t>
      </w:r>
      <w:r w:rsidR="006E77B8" w:rsidRPr="006E77B8">
        <w:rPr>
          <w:i/>
        </w:rPr>
        <w:t>2023-2024</w:t>
      </w:r>
      <w:r w:rsidRPr="006E77B8">
        <w:rPr>
          <w:i/>
        </w:rPr>
        <w:t xml:space="preserve">) Determination </w:t>
      </w:r>
      <w:r w:rsidR="006E77B8" w:rsidRPr="006E77B8">
        <w:rPr>
          <w:i/>
        </w:rPr>
        <w:t>2023</w:t>
      </w:r>
    </w:p>
    <w:p w:rsidR="000B1AEB" w:rsidRPr="006E77B8" w:rsidRDefault="000B1AEB" w:rsidP="000B1AEB"/>
    <w:p w:rsidR="000B1AEB" w:rsidRPr="006E77B8" w:rsidRDefault="000B1AEB" w:rsidP="000B1AEB">
      <w:pPr>
        <w:pStyle w:val="SchedSectionBreak"/>
        <w:rPr>
          <w:rFonts w:ascii="Arial" w:hAnsi="Arial" w:cs="Arial"/>
          <w:b/>
        </w:rPr>
      </w:pPr>
      <w:r w:rsidRPr="006E77B8">
        <w:rPr>
          <w:rFonts w:ascii="Arial" w:hAnsi="Arial" w:cs="Arial"/>
          <w:b/>
        </w:rPr>
        <w:t>2</w:t>
      </w:r>
      <w:r w:rsidRPr="006E77B8">
        <w:rPr>
          <w:rFonts w:ascii="Arial" w:hAnsi="Arial" w:cs="Arial"/>
          <w:b/>
        </w:rPr>
        <w:tab/>
        <w:t>Commencement</w:t>
      </w:r>
    </w:p>
    <w:p w:rsidR="000B1AEB" w:rsidRPr="006E77B8" w:rsidRDefault="000B1AEB" w:rsidP="000B1AEB">
      <w:pPr>
        <w:ind w:left="1800"/>
      </w:pPr>
    </w:p>
    <w:p w:rsidR="000B1AEB" w:rsidRPr="006E77B8" w:rsidRDefault="000B1AEB" w:rsidP="000B1AEB">
      <w:pPr>
        <w:ind w:left="1800" w:hanging="1080"/>
      </w:pPr>
      <w:r w:rsidRPr="006E77B8">
        <w:t xml:space="preserve">This determination takes effect on 1 July </w:t>
      </w:r>
      <w:r w:rsidR="006E77B8" w:rsidRPr="006E77B8">
        <w:t>2023</w:t>
      </w:r>
      <w:r w:rsidRPr="006E77B8">
        <w:t xml:space="preserve">. </w:t>
      </w:r>
    </w:p>
    <w:p w:rsidR="000B1AEB" w:rsidRPr="006E77B8" w:rsidRDefault="000B1AEB" w:rsidP="000B1AEB">
      <w:r w:rsidRPr="006E77B8">
        <w:tab/>
      </w:r>
    </w:p>
    <w:p w:rsidR="000B1AEB" w:rsidRPr="006E77B8" w:rsidRDefault="000B1AEB" w:rsidP="000B1AEB">
      <w:r w:rsidRPr="006E77B8">
        <w:rPr>
          <w:rFonts w:ascii="Arial" w:hAnsi="Arial" w:cs="Arial"/>
          <w:b/>
        </w:rPr>
        <w:t>3</w:t>
      </w:r>
      <w:r w:rsidRPr="006E77B8">
        <w:rPr>
          <w:rFonts w:ascii="Arial" w:hAnsi="Arial" w:cs="Arial"/>
          <w:b/>
        </w:rPr>
        <w:tab/>
        <w:t>Purpose</w:t>
      </w:r>
    </w:p>
    <w:p w:rsidR="000B1AEB" w:rsidRPr="006E77B8" w:rsidRDefault="000B1AEB" w:rsidP="000B1AEB">
      <w:r w:rsidRPr="006E77B8">
        <w:tab/>
      </w:r>
    </w:p>
    <w:p w:rsidR="000B1AEB" w:rsidRDefault="000B1AEB" w:rsidP="000B1AEB">
      <w:r w:rsidRPr="006E77B8">
        <w:tab/>
        <w:t xml:space="preserve">The purpose of this determination is to set new productivity contribution rates </w:t>
      </w:r>
      <w:r w:rsidRPr="006E77B8">
        <w:tab/>
        <w:t xml:space="preserve">for the Public Sector Superannuation (PSS) scheme to apply for the financial </w:t>
      </w:r>
      <w:r w:rsidRPr="006E77B8">
        <w:tab/>
        <w:t xml:space="preserve">year beginning on 1 July </w:t>
      </w:r>
      <w:r w:rsidR="006E77B8" w:rsidRPr="006E77B8">
        <w:t>2023</w:t>
      </w:r>
      <w:r w:rsidRPr="006E77B8">
        <w:t>.</w:t>
      </w:r>
      <w:r>
        <w:t xml:space="preserve">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 w:rsidRPr="009468C1">
        <w:rPr>
          <w:rFonts w:ascii="Arial" w:hAnsi="Arial" w:cs="Arial"/>
          <w:b/>
        </w:rPr>
        <w:t>4</w:t>
      </w:r>
      <w:r w:rsidRPr="009468C1">
        <w:rPr>
          <w:rFonts w:ascii="Arial" w:hAnsi="Arial" w:cs="Arial"/>
          <w:b/>
        </w:rPr>
        <w:tab/>
        <w:t>Background</w:t>
      </w:r>
    </w:p>
    <w:p w:rsidR="000B1AEB" w:rsidRDefault="000B1AEB" w:rsidP="000B1AEB"/>
    <w:p w:rsidR="000B1AEB" w:rsidRPr="009468C1" w:rsidRDefault="000B1AEB" w:rsidP="000B1AEB">
      <w:pPr>
        <w:rPr>
          <w:i/>
        </w:rPr>
      </w:pPr>
      <w:r>
        <w:tab/>
      </w:r>
      <w:r>
        <w:rPr>
          <w:i/>
        </w:rPr>
        <w:t>Establishment of the PSS Scheme</w:t>
      </w:r>
    </w:p>
    <w:p w:rsidR="000B1AEB" w:rsidRPr="00AE5CDE" w:rsidRDefault="000B1AEB" w:rsidP="000B1AEB"/>
    <w:p w:rsidR="000B1AEB" w:rsidRDefault="000B1AEB" w:rsidP="000B1AEB">
      <w:r>
        <w:tab/>
        <w:t xml:space="preserve">The PSS scheme is established by the </w:t>
      </w:r>
      <w:r w:rsidRPr="00087F8B">
        <w:rPr>
          <w:i/>
        </w:rPr>
        <w:t>Superannuation Act 1990</w:t>
      </w:r>
      <w:r>
        <w:t>, a Trust Deed</w:t>
      </w:r>
      <w:r>
        <w:tab/>
        <w:t xml:space="preserve">and Rules. </w:t>
      </w:r>
    </w:p>
    <w:p w:rsidR="000B1AEB" w:rsidRDefault="000B1AEB" w:rsidP="000B1AEB"/>
    <w:p w:rsidR="000B1AEB" w:rsidRDefault="000B1AEB" w:rsidP="000B1AEB">
      <w:pPr>
        <w:ind w:left="720"/>
      </w:pPr>
      <w:r>
        <w:t xml:space="preserve">The PSS Rules were renumbered with effect from 1 July 1995, as a result of amendments made by the Ninth Amending Trust Deed. </w:t>
      </w:r>
      <w:r>
        <w:br/>
      </w:r>
      <w:r>
        <w:br/>
        <w:t>The PSS Rules were further amended by the Twenty-Eighth Amending Trust Deed executed in 2007 by the deletion of a “B” before each rule with effect from 29 June 2007.</w:t>
      </w:r>
    </w:p>
    <w:p w:rsidR="000B1AEB" w:rsidRDefault="000B1AEB" w:rsidP="000B1AEB">
      <w:pPr>
        <w:ind w:left="720" w:hanging="720"/>
      </w:pPr>
      <w:r>
        <w:tab/>
      </w:r>
    </w:p>
    <w:p w:rsidR="000B1AEB" w:rsidRPr="00537C27" w:rsidRDefault="000B1AEB" w:rsidP="000B1AEB">
      <w:pPr>
        <w:ind w:firstLine="720"/>
        <w:rPr>
          <w:i/>
        </w:rPr>
      </w:pPr>
      <w:r>
        <w:rPr>
          <w:i/>
        </w:rPr>
        <w:t>Productivity Contribution Rates</w:t>
      </w:r>
    </w:p>
    <w:p w:rsidR="000B1AEB" w:rsidRDefault="000B1AEB" w:rsidP="000B1AEB"/>
    <w:p w:rsidR="000B1AEB" w:rsidRPr="00087F8B" w:rsidRDefault="000B1AEB" w:rsidP="000B1AEB">
      <w:r>
        <w:tab/>
        <w:t xml:space="preserve">PSS Rule 4.3.2 sets out a </w:t>
      </w:r>
      <w:r w:rsidRPr="00E32E72">
        <w:rPr>
          <w:i/>
          <w:iCs/>
        </w:rPr>
        <w:t>Table of Productivity Contributions Rates</w:t>
      </w:r>
      <w:r>
        <w:rPr>
          <w:iCs/>
        </w:rPr>
        <w:t xml:space="preserve"> to apply </w:t>
      </w:r>
      <w:r>
        <w:rPr>
          <w:iCs/>
        </w:rPr>
        <w:tab/>
        <w:t xml:space="preserve">from 1 July 1995 until amended.  </w:t>
      </w:r>
    </w:p>
    <w:p w:rsidR="000B1AEB" w:rsidRDefault="000B1AEB" w:rsidP="000B1AEB"/>
    <w:p w:rsidR="000B1AEB" w:rsidRDefault="000B1AEB" w:rsidP="000B1AEB">
      <w:r>
        <w:tab/>
        <w:t xml:space="preserve">PSS Rule 4.3.3 provides for the productivity contribution rates set out in </w:t>
      </w:r>
    </w:p>
    <w:p w:rsidR="000B1AEB" w:rsidRDefault="000B1AEB" w:rsidP="000B1AEB">
      <w:pPr>
        <w:ind w:left="720"/>
      </w:pPr>
      <w:r>
        <w:t xml:space="preserve">the Table in rule 4.3.2 to be amended by the Commonwealth Superannuation Corporation (CSC) with effect from 1 July each year, </w:t>
      </w:r>
      <w:r w:rsidRPr="00E32E72">
        <w:t>to reflect</w:t>
      </w:r>
      <w:r>
        <w:t xml:space="preserve"> </w:t>
      </w:r>
      <w:r w:rsidRPr="00E32E72">
        <w:t>changes in the general salary levels of members.</w:t>
      </w:r>
      <w:r>
        <w:t xml:space="preserve"> </w:t>
      </w:r>
      <w:r w:rsidRPr="00E32E72">
        <w:t xml:space="preserve">The increase in the amounts in the </w:t>
      </w:r>
      <w:r w:rsidRPr="00E32E72">
        <w:rPr>
          <w:i/>
          <w:iCs/>
        </w:rPr>
        <w:t>Table of Productivity</w:t>
      </w:r>
      <w:r>
        <w:rPr>
          <w:i/>
          <w:iCs/>
        </w:rPr>
        <w:t xml:space="preserve"> </w:t>
      </w:r>
      <w:r w:rsidRPr="00E32E72">
        <w:rPr>
          <w:i/>
          <w:iCs/>
        </w:rPr>
        <w:t>Contribution Rates</w:t>
      </w:r>
      <w:r>
        <w:t xml:space="preserve"> </w:t>
      </w:r>
      <w:r w:rsidRPr="00E32E72">
        <w:t>maintains the real</w:t>
      </w:r>
      <w:r>
        <w:t xml:space="preserve"> </w:t>
      </w:r>
      <w:r w:rsidRPr="00E32E72">
        <w:t>value of the productivity contributions</w:t>
      </w:r>
      <w:r>
        <w:t xml:space="preserve"> </w:t>
      </w:r>
      <w:r w:rsidRPr="00E32E72">
        <w:t>in relation to the</w:t>
      </w:r>
      <w:r>
        <w:t xml:space="preserve"> </w:t>
      </w:r>
      <w:r w:rsidRPr="00E32E72">
        <w:t>overall salaries</w:t>
      </w:r>
      <w:r>
        <w:t xml:space="preserve"> </w:t>
      </w:r>
      <w:r w:rsidRPr="00E32E72">
        <w:t>of PSS</w:t>
      </w:r>
      <w:r>
        <w:t xml:space="preserve"> </w:t>
      </w:r>
      <w:r w:rsidRPr="00E32E72">
        <w:t>members.</w:t>
      </w:r>
    </w:p>
    <w:p w:rsidR="000B1AEB" w:rsidRDefault="000B1AEB" w:rsidP="000B1AEB">
      <w:pPr>
        <w:sectPr w:rsidR="000B1AEB" w:rsidSect="00EC23A9">
          <w:headerReference w:type="even" r:id="rId9"/>
          <w:footerReference w:type="default" r:id="rId10"/>
          <w:pgSz w:w="11906" w:h="16838" w:code="9"/>
          <w:pgMar w:top="567" w:right="1797" w:bottom="1134" w:left="1797" w:header="720" w:footer="720" w:gutter="0"/>
          <w:cols w:space="720"/>
        </w:sectPr>
      </w:pPr>
    </w:p>
    <w:p w:rsidR="000B1AEB" w:rsidRPr="00537C27" w:rsidRDefault="000B1AEB" w:rsidP="000B1AEB">
      <w:pPr>
        <w:rPr>
          <w:i/>
        </w:rPr>
      </w:pPr>
      <w:r>
        <w:lastRenderedPageBreak/>
        <w:t xml:space="preserve">  </w:t>
      </w:r>
      <w:r>
        <w:tab/>
      </w:r>
      <w:r>
        <w:rPr>
          <w:i/>
        </w:rPr>
        <w:t>Delegation</w:t>
      </w:r>
    </w:p>
    <w:p w:rsidR="000B1AEB" w:rsidRDefault="000B1AEB" w:rsidP="000B1AEB"/>
    <w:p w:rsidR="000B1AEB" w:rsidRDefault="000B1AEB" w:rsidP="00387DF9">
      <w:pPr>
        <w:ind w:left="720"/>
      </w:pPr>
      <w:r>
        <w:t xml:space="preserve">CSC has delegated its power under rule 4.3.3 to relevant </w:t>
      </w:r>
      <w:r w:rsidR="00387DF9" w:rsidRPr="001B560E">
        <w:t xml:space="preserve">officers of the </w:t>
      </w:r>
      <w:r w:rsidR="00FA46EC">
        <w:t>organisation</w:t>
      </w:r>
      <w:r w:rsidR="00387DF9" w:rsidRPr="001B560E">
        <w:t>.</w:t>
      </w:r>
    </w:p>
    <w:p w:rsidR="00387DF9" w:rsidRDefault="00387DF9" w:rsidP="00387DF9">
      <w:pPr>
        <w:ind w:left="720"/>
        <w:rPr>
          <w:i/>
        </w:rPr>
      </w:pPr>
    </w:p>
    <w:p w:rsidR="000B1AEB" w:rsidRDefault="000B1AEB" w:rsidP="000B1AEB">
      <w:pPr>
        <w:ind w:left="720"/>
      </w:pPr>
      <w:r w:rsidRPr="00B067FA">
        <w:rPr>
          <w:i/>
        </w:rPr>
        <w:t>Productivity Contribution Rates in the Period 1 July 1996-30 July 2005</w:t>
      </w:r>
    </w:p>
    <w:p w:rsidR="000B1AEB" w:rsidRDefault="000B1AEB" w:rsidP="000B1AEB">
      <w:pPr>
        <w:ind w:left="720"/>
        <w:rPr>
          <w:i/>
        </w:rPr>
      </w:pPr>
    </w:p>
    <w:p w:rsidR="000B1AEB" w:rsidRDefault="000B1AEB" w:rsidP="000B1AEB">
      <w:pPr>
        <w:ind w:left="720"/>
      </w:pPr>
      <w:r>
        <w:t xml:space="preserve">In the period from 1 July 1996 to 30 July 2005, the amounts set out in the table in rule 4.3.2 were replaced on 1 July each year, pursuant to the </w:t>
      </w:r>
      <w:r w:rsidRPr="003622E7">
        <w:rPr>
          <w:i/>
        </w:rPr>
        <w:t>PSS (Productivity Contribution Rates) Determination No. 1</w:t>
      </w:r>
      <w:r>
        <w:t xml:space="preserve">, which was amended each year in consecutively-numbered determinations.  That Determination was revoked on 1 July 2005 by the </w:t>
      </w:r>
      <w:r w:rsidRPr="003622E7">
        <w:rPr>
          <w:i/>
        </w:rPr>
        <w:t>Superannuation (PSS) Productivity Contribution (2006-2007) Determination 2006</w:t>
      </w:r>
      <w:r>
        <w:t xml:space="preserve">, which set out the productivity contribution rates for the financial year commencing on 1 July 2005. </w:t>
      </w:r>
    </w:p>
    <w:p w:rsidR="000B1AEB" w:rsidRDefault="000B1AEB" w:rsidP="000B1AEB">
      <w:pPr>
        <w:ind w:left="964"/>
      </w:pPr>
    </w:p>
    <w:p w:rsidR="000B1AEB" w:rsidRPr="00D45FB4" w:rsidRDefault="000B1AEB" w:rsidP="000B1AEB">
      <w:pPr>
        <w:ind w:left="720"/>
        <w:rPr>
          <w:i/>
        </w:rPr>
      </w:pPr>
      <w:r>
        <w:rPr>
          <w:i/>
        </w:rPr>
        <w:t>Productivity Contribution Rates</w:t>
      </w:r>
      <w:r w:rsidRPr="00D45FB4">
        <w:rPr>
          <w:i/>
        </w:rPr>
        <w:t xml:space="preserve"> in the Period </w:t>
      </w:r>
      <w:r>
        <w:rPr>
          <w:i/>
        </w:rPr>
        <w:t xml:space="preserve">from </w:t>
      </w:r>
      <w:r w:rsidRPr="00D45FB4">
        <w:rPr>
          <w:i/>
        </w:rPr>
        <w:t>1 July 200</w:t>
      </w:r>
      <w:r>
        <w:rPr>
          <w:i/>
        </w:rPr>
        <w:t>5</w:t>
      </w:r>
    </w:p>
    <w:p w:rsidR="000B1AEB" w:rsidRDefault="000B1AEB" w:rsidP="000B1AEB">
      <w:pPr>
        <w:ind w:left="964"/>
      </w:pPr>
    </w:p>
    <w:p w:rsidR="000B1AEB" w:rsidRDefault="000B1AEB" w:rsidP="000B1AEB">
      <w:pPr>
        <w:ind w:left="720"/>
      </w:pPr>
      <w:r>
        <w:t xml:space="preserve">Productivity contribution rates in the period from 1 July 2005 are set out in annual determinations that apply for the financial year commencing on 1 July each year. 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80A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New Productivity Contribution Rates</w:t>
      </w:r>
    </w:p>
    <w:p w:rsidR="000B1AEB" w:rsidRDefault="000B1AEB" w:rsidP="000B1AEB"/>
    <w:p w:rsidR="00480A9C" w:rsidRPr="00D93221" w:rsidRDefault="000B1AEB" w:rsidP="00480A9C">
      <w:pPr>
        <w:ind w:left="964"/>
      </w:pPr>
      <w:r w:rsidRPr="00537C27">
        <w:t xml:space="preserve">The new </w:t>
      </w:r>
      <w:r w:rsidRPr="00D93221">
        <w:t>productivity contribution rates that apply with effect from</w:t>
      </w:r>
      <w:r w:rsidR="00404037" w:rsidRPr="00D93221">
        <w:t xml:space="preserve"> </w:t>
      </w:r>
      <w:r w:rsidRPr="00D93221">
        <w:t xml:space="preserve">1 July </w:t>
      </w:r>
      <w:r w:rsidR="006E77B8" w:rsidRPr="00D93221">
        <w:t xml:space="preserve">2023 </w:t>
      </w:r>
      <w:r w:rsidRPr="00D93221">
        <w:t>are set out in the determination.</w:t>
      </w:r>
    </w:p>
    <w:p w:rsidR="00480A9C" w:rsidRPr="00D93221" w:rsidRDefault="00480A9C" w:rsidP="00480A9C">
      <w:pPr>
        <w:rPr>
          <w:i/>
        </w:rPr>
      </w:pPr>
    </w:p>
    <w:p w:rsidR="00480A9C" w:rsidRPr="00D93221" w:rsidRDefault="00480A9C" w:rsidP="00480A9C">
      <w:pPr>
        <w:pStyle w:val="SchedSectionBreak"/>
        <w:tabs>
          <w:tab w:val="left" w:pos="900"/>
        </w:tabs>
        <w:rPr>
          <w:rFonts w:ascii="Arial" w:hAnsi="Arial" w:cs="Arial"/>
          <w:b/>
        </w:rPr>
      </w:pPr>
      <w:r w:rsidRPr="00D93221">
        <w:rPr>
          <w:rFonts w:ascii="Arial" w:hAnsi="Arial" w:cs="Arial"/>
          <w:b/>
        </w:rPr>
        <w:t xml:space="preserve">6         Sun setting </w:t>
      </w:r>
      <w:r w:rsidR="00D93221" w:rsidRPr="00D93221">
        <w:rPr>
          <w:rFonts w:ascii="Arial" w:hAnsi="Arial" w:cs="Arial"/>
          <w:b/>
        </w:rPr>
        <w:t xml:space="preserve">and Disallowance </w:t>
      </w:r>
      <w:r w:rsidRPr="00D93221">
        <w:rPr>
          <w:rFonts w:ascii="Arial" w:hAnsi="Arial" w:cs="Arial"/>
          <w:b/>
        </w:rPr>
        <w:t>Exemptions</w:t>
      </w:r>
    </w:p>
    <w:p w:rsidR="00480A9C" w:rsidRPr="00D93221" w:rsidRDefault="00480A9C" w:rsidP="00480A9C">
      <w:pPr>
        <w:ind w:left="900"/>
      </w:pPr>
      <w:bookmarkStart w:id="1" w:name="_GoBack"/>
    </w:p>
    <w:bookmarkEnd w:id="1"/>
    <w:p w:rsidR="00D93221" w:rsidRPr="00D93221" w:rsidRDefault="00D93221" w:rsidP="00D93221">
      <w:pPr>
        <w:ind w:left="993"/>
      </w:pPr>
      <w:r w:rsidRPr="00D93221">
        <w:t xml:space="preserve"> </w:t>
      </w:r>
      <w:r w:rsidRPr="00D93221">
        <w:t xml:space="preserve">The following provisions assert that the PSS Instruments are exempt from </w:t>
      </w:r>
      <w:proofErr w:type="spellStart"/>
      <w:r w:rsidRPr="00D93221">
        <w:t>sunsetting</w:t>
      </w:r>
      <w:proofErr w:type="spellEnd"/>
      <w:r w:rsidRPr="00D93221">
        <w:t>:</w:t>
      </w:r>
    </w:p>
    <w:p w:rsidR="00D93221" w:rsidRPr="00D93221" w:rsidRDefault="00D93221" w:rsidP="00D93221">
      <w:pPr>
        <w:ind w:left="993"/>
      </w:pPr>
    </w:p>
    <w:p w:rsidR="00D93221" w:rsidRDefault="00D93221" w:rsidP="00D93221">
      <w:pPr>
        <w:ind w:left="993"/>
      </w:pPr>
      <w:r w:rsidRPr="00D93221">
        <w:t xml:space="preserve">(1) </w:t>
      </w:r>
      <w:proofErr w:type="gramStart"/>
      <w:r w:rsidRPr="00D93221">
        <w:t>s54(</w:t>
      </w:r>
      <w:proofErr w:type="gramEnd"/>
      <w:r w:rsidRPr="00D93221">
        <w:t xml:space="preserve">2)(b) of the </w:t>
      </w:r>
      <w:r w:rsidRPr="00D93221">
        <w:rPr>
          <w:i/>
        </w:rPr>
        <w:t>Legislation Act 2003</w:t>
      </w:r>
      <w:r w:rsidRPr="00D93221">
        <w:t xml:space="preserve"> provides that “This Part [</w:t>
      </w:r>
      <w:proofErr w:type="spellStart"/>
      <w:r w:rsidRPr="00D93221">
        <w:t>Sunsetting</w:t>
      </w:r>
      <w:proofErr w:type="spellEnd"/>
      <w:r w:rsidRPr="00D93221">
        <w:t xml:space="preserve"> of legislative instruments] does not apply in relation to a legislative instrument if the legislative instrument is prescribed by regulation for the purposes of this paragraph”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</w:pPr>
      <w:r>
        <w:t xml:space="preserve">(2) Regulation 11 (at Item 6 of the table) of the </w:t>
      </w:r>
      <w:r>
        <w:rPr>
          <w:i/>
        </w:rPr>
        <w:t>Legislation (Exemptions and Other Matters) (LEOM) Regulation 2015</w:t>
      </w:r>
      <w:r>
        <w:t xml:space="preserve"> specifies that “an instrument (other than a regulation) relating to superannuation” is not subject to </w:t>
      </w:r>
      <w:proofErr w:type="spellStart"/>
      <w:r>
        <w:t>sunsetting</w:t>
      </w:r>
      <w:proofErr w:type="spellEnd"/>
      <w:r>
        <w:t xml:space="preserve">. 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</w:pPr>
      <w:r>
        <w:t>The following provisions assert that the PSS Instruments are exempt from disallowance: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</w:pPr>
      <w:r>
        <w:t xml:space="preserve">(1) </w:t>
      </w:r>
      <w:proofErr w:type="gramStart"/>
      <w:r>
        <w:t>s44(</w:t>
      </w:r>
      <w:proofErr w:type="gramEnd"/>
      <w:r>
        <w:t xml:space="preserve">2)(b) of the </w:t>
      </w:r>
      <w:r>
        <w:rPr>
          <w:i/>
        </w:rPr>
        <w:t>Legislation Act 2003</w:t>
      </w:r>
      <w:r>
        <w:t xml:space="preserve"> provides that legislative instruments are not subject to disallowance if “the legislative instrument is prescribed by regulation for the purposes of this paragraph”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</w:pPr>
      <w:r>
        <w:t xml:space="preserve">(2) Regulation 9 (at Item 3 of the table) of the </w:t>
      </w:r>
      <w:r>
        <w:rPr>
          <w:i/>
        </w:rPr>
        <w:t>LEOM Regulation 2015</w:t>
      </w:r>
      <w:r>
        <w:t xml:space="preserve"> specifies that “an instrument (other than a regulation) relating to superannuation” is not subject to disallowance. The PSS Instruments pertain to superannuation. 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</w:pPr>
      <w:r>
        <w:lastRenderedPageBreak/>
        <w:t xml:space="preserve">The above provisions are relied upon as the source of exemption from </w:t>
      </w:r>
      <w:proofErr w:type="spellStart"/>
      <w:r>
        <w:t>sunsetting</w:t>
      </w:r>
      <w:proofErr w:type="spellEnd"/>
      <w:r>
        <w:t xml:space="preserve"> and disallowance. 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93"/>
        <w:rPr>
          <w:u w:val="single"/>
        </w:rPr>
      </w:pPr>
      <w:r>
        <w:rPr>
          <w:u w:val="single"/>
        </w:rPr>
        <w:t>Justification as to why these exemptions are relied upon:</w:t>
      </w:r>
    </w:p>
    <w:p w:rsidR="00D93221" w:rsidRDefault="00D93221" w:rsidP="00D93221">
      <w:pPr>
        <w:ind w:left="993"/>
      </w:pPr>
    </w:p>
    <w:p w:rsidR="00D93221" w:rsidRDefault="00D93221" w:rsidP="00D93221">
      <w:pPr>
        <w:ind w:left="964"/>
        <w:rPr>
          <w:i/>
        </w:rPr>
      </w:pPr>
      <w:r>
        <w:t xml:space="preserve">The PSS Instruments are used by employers (Government and Government agencies) to determine the rate payable for a member’s productivity contribution for superannuation purposes. It is therefore important that each PSS instrument is exempt from </w:t>
      </w:r>
      <w:proofErr w:type="spellStart"/>
      <w:r>
        <w:t>sunsetting</w:t>
      </w:r>
      <w:proofErr w:type="spellEnd"/>
      <w:r>
        <w:t xml:space="preserve"> because the current and previous instruments are required from time to time to determine rates payable to admit new members retrospectively, to rectify errors and/or changes in salary etc.</w:t>
      </w:r>
      <w:r>
        <w:rPr>
          <w:i/>
        </w:rPr>
        <w:tab/>
      </w:r>
    </w:p>
    <w:p w:rsidR="000B1AEB" w:rsidRPr="00537C27" w:rsidRDefault="000B1AEB" w:rsidP="00480A9C">
      <w:pPr>
        <w:ind w:left="709" w:firstLine="11"/>
      </w:pPr>
    </w:p>
    <w:p w:rsidR="000B1AEB" w:rsidRDefault="000B1AEB" w:rsidP="000B1AEB">
      <w:r>
        <w:tab/>
      </w:r>
    </w:p>
    <w:p w:rsidR="000B1AEB" w:rsidRDefault="000B1AEB" w:rsidP="000B1AEB">
      <w:pPr>
        <w:ind w:left="709" w:hanging="709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lang w:eastAsia="en-AU"/>
        </w:rPr>
        <w:t xml:space="preserve">References to CSC </w:t>
      </w: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rPr>
          <w:color w:val="000000"/>
        </w:rPr>
      </w:pP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Section 5 of the </w:t>
      </w:r>
      <w:r w:rsidRPr="00264CB1">
        <w:rPr>
          <w:i/>
          <w:color w:val="000000"/>
        </w:rPr>
        <w:t>Governance of Australian Government Superannuation Schemes Act 2011</w:t>
      </w:r>
      <w:r>
        <w:rPr>
          <w:color w:val="000000"/>
        </w:rPr>
        <w:t xml:space="preserve"> provides that “the board established by section 20 of the </w:t>
      </w:r>
      <w:r w:rsidRPr="00264CB1">
        <w:rPr>
          <w:i/>
          <w:color w:val="000000"/>
        </w:rPr>
        <w:t>Superannuation Act 1990</w:t>
      </w:r>
      <w:r>
        <w:rPr>
          <w:color w:val="000000"/>
        </w:rPr>
        <w:t xml:space="preserve"> as the Australian Reward Investment Alliance continues in existence by force of that section as a body corporate, under and subject to the provisions of this Act, under the name Commonwealth Superannuation Corporation (</w:t>
      </w:r>
      <w:r w:rsidRPr="00D929D0">
        <w:rPr>
          <w:b/>
          <w:color w:val="000000"/>
        </w:rPr>
        <w:t>CSC</w:t>
      </w:r>
      <w:r>
        <w:rPr>
          <w:color w:val="000000"/>
        </w:rPr>
        <w:t xml:space="preserve">)”. </w:t>
      </w: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Default="000B1AEB" w:rsidP="000B1AEB">
      <w:pPr>
        <w:ind w:left="709"/>
      </w:pPr>
      <w:r>
        <w:rPr>
          <w:color w:val="000000"/>
        </w:rPr>
        <w:t xml:space="preserve">In accordance with section 25B of the </w:t>
      </w:r>
      <w:r w:rsidRPr="002459B6">
        <w:rPr>
          <w:i/>
          <w:color w:val="000000"/>
        </w:rPr>
        <w:t>Acts Interpretation Act 1901</w:t>
      </w:r>
      <w:r>
        <w:rPr>
          <w:color w:val="000000"/>
        </w:rPr>
        <w:t>, any reference to Australian Reward Investment Alliance (ARIA) in an instrument made prior to 1 July 2011 shall be construed as a reference to CSC.</w:t>
      </w:r>
    </w:p>
    <w:p w:rsidR="000B1AEB" w:rsidRDefault="000B1AEB" w:rsidP="000B1AEB">
      <w:pPr>
        <w:tabs>
          <w:tab w:val="left" w:pos="709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468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Consultation</w:t>
      </w:r>
    </w:p>
    <w:p w:rsidR="000B1AEB" w:rsidRDefault="000B1AEB" w:rsidP="000B1AEB"/>
    <w:p w:rsidR="000B1AEB" w:rsidRDefault="000D188B" w:rsidP="009242F8">
      <w:pPr>
        <w:autoSpaceDE w:val="0"/>
        <w:autoSpaceDN w:val="0"/>
        <w:adjustRightInd w:val="0"/>
        <w:ind w:left="720"/>
      </w:pPr>
      <w:r>
        <w:t xml:space="preserve">As the instrument is for internal machinery of Government purposes only, no consultation was considered necessary with other persons </w:t>
      </w:r>
      <w:r w:rsidRPr="00512E31">
        <w:t xml:space="preserve">(see sections </w:t>
      </w:r>
      <w:r>
        <w:t xml:space="preserve">15J(2) and </w:t>
      </w:r>
      <w:r w:rsidRPr="00512E31">
        <w:t xml:space="preserve">17 of the </w:t>
      </w:r>
      <w:r w:rsidRPr="00512E31">
        <w:rPr>
          <w:i/>
        </w:rPr>
        <w:t>Legislat</w:t>
      </w:r>
      <w:r>
        <w:rPr>
          <w:i/>
        </w:rPr>
        <w:t>ion Act 2003</w:t>
      </w:r>
      <w:r w:rsidRPr="00512E31">
        <w:t>).</w:t>
      </w:r>
    </w:p>
    <w:p w:rsidR="000B1AEB" w:rsidRDefault="000B1AEB" w:rsidP="00BC0FF9"/>
    <w:p w:rsidR="000B1AEB" w:rsidRDefault="000B1AEB" w:rsidP="00BC0FF9"/>
    <w:p w:rsidR="000B1AEB" w:rsidRDefault="000B1AEB" w:rsidP="00BC0FF9"/>
    <w:p w:rsidR="00D67AC6" w:rsidRDefault="00D67AC6">
      <w:pPr>
        <w:spacing w:after="200" w:line="276" w:lineRule="auto"/>
      </w:pPr>
      <w:r>
        <w:br w:type="page"/>
      </w:r>
    </w:p>
    <w:p w:rsidR="000B1AEB" w:rsidRDefault="000B1AEB" w:rsidP="00BC0FF9"/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jc w:val="center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Statement of Compatibility with Human Rights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  <w:i/>
        </w:rPr>
        <w:t>Prepared in accordance with Part 3 of the Human Rights (Parliamentary Scrutiny) Act 2011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>
        <w:rPr>
          <w:rFonts w:eastAsia="Calibri"/>
        </w:rPr>
        <w:t xml:space="preserve">This </w:t>
      </w:r>
      <w:r w:rsidRPr="00B62D15">
        <w:rPr>
          <w:rFonts w:eastAsia="Calibri"/>
        </w:rPr>
        <w:t xml:space="preserve">Legislative Instrument is compatible with the human rights and freedoms recognised or declared in the international instruments listed in section 3 of the </w:t>
      </w:r>
      <w:r w:rsidRPr="00B62D15">
        <w:rPr>
          <w:rFonts w:eastAsia="Calibri"/>
          <w:i/>
        </w:rPr>
        <w:t>Human Rights (Parliamentary Scrutiny) Act 2011</w:t>
      </w:r>
      <w:r w:rsidRPr="00B62D15">
        <w:rPr>
          <w:rFonts w:eastAsia="Calibri"/>
        </w:rPr>
        <w:t>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Human rights implications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does not engage any of the applicable rights or freedoms.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Conclusion</w:t>
      </w:r>
    </w:p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is compatible with human rights as it does not raise any human rights issues.</w:t>
      </w:r>
    </w:p>
    <w:p w:rsidR="000B1AEB" w:rsidRPr="00BC0FF9" w:rsidRDefault="000B1AEB" w:rsidP="00BC0FF9"/>
    <w:sectPr w:rsidR="000B1AEB" w:rsidRPr="00BC0FF9" w:rsidSect="00C35EE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32" w:rsidRDefault="00E35432" w:rsidP="007238EE">
      <w:r>
        <w:separator/>
      </w:r>
    </w:p>
  </w:endnote>
  <w:endnote w:type="continuationSeparator" w:id="0">
    <w:p w:rsidR="00E35432" w:rsidRDefault="00E35432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B" w:rsidRDefault="000B1AEB">
    <w:pPr>
      <w:spacing w:line="200" w:lineRule="exact"/>
    </w:pPr>
  </w:p>
  <w:p w:rsidR="000B1AEB" w:rsidRDefault="000B1AEB" w:rsidP="00EC23A9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32" w:rsidRDefault="00E35432" w:rsidP="007238EE">
      <w:r>
        <w:separator/>
      </w:r>
    </w:p>
  </w:footnote>
  <w:footnote w:type="continuationSeparator" w:id="0">
    <w:p w:rsidR="00E35432" w:rsidRDefault="00E35432" w:rsidP="0072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68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12574"/>
    </w:tblGrid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068" w:type="dxa"/>
          <w:gridSpan w:val="2"/>
          <w:tcBorders>
            <w:bottom w:val="single" w:sz="4" w:space="0" w:color="auto"/>
          </w:tcBorders>
        </w:tcPr>
        <w:p w:rsidR="000B1AEB" w:rsidRDefault="000B1AEB">
          <w:pPr>
            <w:pStyle w:val="HeaderBoldEven"/>
          </w:pPr>
        </w:p>
      </w:tc>
    </w:tr>
  </w:tbl>
  <w:p w:rsidR="000B1AEB" w:rsidRDefault="000B1A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3"/>
  </w:num>
  <w:num w:numId="13">
    <w:abstractNumId w:val="18"/>
  </w:num>
  <w:num w:numId="14">
    <w:abstractNumId w:val="17"/>
  </w:num>
  <w:num w:numId="15">
    <w:abstractNumId w:val="20"/>
  </w:num>
  <w:num w:numId="16">
    <w:abstractNumId w:val="16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2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32"/>
    <w:rsid w:val="00017C95"/>
    <w:rsid w:val="000B1909"/>
    <w:rsid w:val="000B1AEB"/>
    <w:rsid w:val="000D188B"/>
    <w:rsid w:val="0012327C"/>
    <w:rsid w:val="00183C86"/>
    <w:rsid w:val="00185CD0"/>
    <w:rsid w:val="00195B88"/>
    <w:rsid w:val="001A5A8E"/>
    <w:rsid w:val="001C0289"/>
    <w:rsid w:val="001E5A87"/>
    <w:rsid w:val="001F4487"/>
    <w:rsid w:val="00210F0A"/>
    <w:rsid w:val="002265DE"/>
    <w:rsid w:val="00290B2A"/>
    <w:rsid w:val="002D5F02"/>
    <w:rsid w:val="002D7F00"/>
    <w:rsid w:val="002F2DA7"/>
    <w:rsid w:val="00385CFC"/>
    <w:rsid w:val="00387DF9"/>
    <w:rsid w:val="00404037"/>
    <w:rsid w:val="00433550"/>
    <w:rsid w:val="00447169"/>
    <w:rsid w:val="004610A8"/>
    <w:rsid w:val="00463181"/>
    <w:rsid w:val="004674A7"/>
    <w:rsid w:val="00480A9C"/>
    <w:rsid w:val="004B3A04"/>
    <w:rsid w:val="0051529E"/>
    <w:rsid w:val="005157EA"/>
    <w:rsid w:val="005212CA"/>
    <w:rsid w:val="00522D8F"/>
    <w:rsid w:val="00524E64"/>
    <w:rsid w:val="00576505"/>
    <w:rsid w:val="005E488D"/>
    <w:rsid w:val="005E6C06"/>
    <w:rsid w:val="005F14D0"/>
    <w:rsid w:val="006A35D7"/>
    <w:rsid w:val="006B38EB"/>
    <w:rsid w:val="006E77B8"/>
    <w:rsid w:val="007238EE"/>
    <w:rsid w:val="007901BA"/>
    <w:rsid w:val="00796DDD"/>
    <w:rsid w:val="007A105E"/>
    <w:rsid w:val="007D17D5"/>
    <w:rsid w:val="007D4C57"/>
    <w:rsid w:val="007F57DD"/>
    <w:rsid w:val="00844743"/>
    <w:rsid w:val="00862AED"/>
    <w:rsid w:val="008718A1"/>
    <w:rsid w:val="00896EBC"/>
    <w:rsid w:val="008B0F8C"/>
    <w:rsid w:val="008C52F1"/>
    <w:rsid w:val="008E4416"/>
    <w:rsid w:val="008E707C"/>
    <w:rsid w:val="008F546D"/>
    <w:rsid w:val="008F7237"/>
    <w:rsid w:val="009242F8"/>
    <w:rsid w:val="00960284"/>
    <w:rsid w:val="009619C3"/>
    <w:rsid w:val="009F6ADA"/>
    <w:rsid w:val="00A01A30"/>
    <w:rsid w:val="00A23748"/>
    <w:rsid w:val="00AA24D6"/>
    <w:rsid w:val="00B34DB8"/>
    <w:rsid w:val="00B37A5A"/>
    <w:rsid w:val="00B53B85"/>
    <w:rsid w:val="00BA1C7F"/>
    <w:rsid w:val="00BB771C"/>
    <w:rsid w:val="00BC0FF9"/>
    <w:rsid w:val="00C2115F"/>
    <w:rsid w:val="00C35EEC"/>
    <w:rsid w:val="00C40570"/>
    <w:rsid w:val="00C5036B"/>
    <w:rsid w:val="00C774F5"/>
    <w:rsid w:val="00CA7988"/>
    <w:rsid w:val="00CA7A92"/>
    <w:rsid w:val="00CB72CE"/>
    <w:rsid w:val="00CD3990"/>
    <w:rsid w:val="00CE0687"/>
    <w:rsid w:val="00CE5006"/>
    <w:rsid w:val="00D4339A"/>
    <w:rsid w:val="00D67AC6"/>
    <w:rsid w:val="00D93221"/>
    <w:rsid w:val="00D93A78"/>
    <w:rsid w:val="00DE10ED"/>
    <w:rsid w:val="00E35432"/>
    <w:rsid w:val="00E654A4"/>
    <w:rsid w:val="00E77AC7"/>
    <w:rsid w:val="00E87A23"/>
    <w:rsid w:val="00E93998"/>
    <w:rsid w:val="00EB566D"/>
    <w:rsid w:val="00F168B3"/>
    <w:rsid w:val="00F94F7E"/>
    <w:rsid w:val="00FA46EC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04DB05"/>
  <w15:docId w15:val="{BA604E2D-DDEF-439F-A8AD-4C6535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uiPriority w:val="99"/>
    <w:qFormat/>
    <w:rsid w:val="00017C95"/>
  </w:style>
  <w:style w:type="character" w:customStyle="1" w:styleId="BodyTextChar">
    <w:name w:val="Body Text Char"/>
    <w:basedOn w:val="DefaultParagraphFont"/>
    <w:link w:val="BodyText"/>
    <w:uiPriority w:val="99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BoldEven">
    <w:name w:val="HeaderBoldEven"/>
    <w:basedOn w:val="Normal"/>
    <w:rsid w:val="000B1AE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FooterInfo">
    <w:name w:val="FooterInfo"/>
    <w:basedOn w:val="Normal"/>
    <w:semiHidden/>
    <w:rsid w:val="000B1AEB"/>
    <w:rPr>
      <w:rFonts w:ascii="Arial" w:hAnsi="Arial"/>
      <w:sz w:val="12"/>
    </w:rPr>
  </w:style>
  <w:style w:type="paragraph" w:styleId="Title">
    <w:name w:val="Title"/>
    <w:basedOn w:val="Normal"/>
    <w:next w:val="Normal"/>
    <w:link w:val="TitleChar"/>
    <w:qFormat/>
    <w:rsid w:val="000B1AE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1AEB"/>
    <w:rPr>
      <w:rFonts w:ascii="Arial" w:eastAsia="Times New Roman" w:hAnsi="Arial" w:cs="Arial"/>
      <w:b/>
      <w:bCs/>
      <w:sz w:val="40"/>
      <w:szCs w:val="40"/>
      <w:lang w:val="en-AU"/>
    </w:rPr>
  </w:style>
  <w:style w:type="paragraph" w:customStyle="1" w:styleId="A1">
    <w:name w:val="A1"/>
    <w:aliases w:val="Heading Amendment,1. Amendment"/>
    <w:basedOn w:val="Normal"/>
    <w:next w:val="Normal"/>
    <w:rsid w:val="000B1AE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SchedSectionBreak">
    <w:name w:val="SchedSectionBreak"/>
    <w:basedOn w:val="Normal"/>
    <w:next w:val="Normal"/>
    <w:link w:val="SchedSectionBreakChar"/>
    <w:rsid w:val="000B1AEB"/>
  </w:style>
  <w:style w:type="character" w:customStyle="1" w:styleId="SchedSectionBreakChar">
    <w:name w:val="SchedSectionBreak Char"/>
    <w:link w:val="SchedSectionBreak"/>
    <w:rsid w:val="00480A9C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D2A375-E0C8-4CAE-9CBA-EDA2CB9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forda</dc:creator>
  <cp:lastModifiedBy>Michael Giorgi</cp:lastModifiedBy>
  <cp:revision>5</cp:revision>
  <cp:lastPrinted>2016-06-01T01:48:00Z</cp:lastPrinted>
  <dcterms:created xsi:type="dcterms:W3CDTF">2023-06-06T07:34:00Z</dcterms:created>
  <dcterms:modified xsi:type="dcterms:W3CDTF">2023-06-07T06:58:00Z</dcterms:modified>
</cp:coreProperties>
</file>