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3E7EC" w14:textId="77777777" w:rsidR="002733A2" w:rsidRDefault="002733A2" w:rsidP="002733A2">
      <w:pPr>
        <w:spacing w:before="280" w:after="240"/>
        <w:rPr>
          <w:b/>
          <w:sz w:val="32"/>
          <w:szCs w:val="32"/>
        </w:rPr>
      </w:pPr>
    </w:p>
    <w:p w14:paraId="28B520B4" w14:textId="77777777" w:rsidR="002733A2" w:rsidRPr="00BA28F4" w:rsidRDefault="002733A2" w:rsidP="002733A2">
      <w:pPr>
        <w:spacing w:before="280" w:after="240"/>
        <w:rPr>
          <w:b/>
          <w:sz w:val="32"/>
          <w:szCs w:val="32"/>
        </w:rPr>
      </w:pPr>
      <w:r w:rsidRPr="00BA28F4">
        <w:rPr>
          <w:noProof/>
        </w:rPr>
        <w:drawing>
          <wp:anchor distT="0" distB="0" distL="114300" distR="114300" simplePos="0" relativeHeight="251658240" behindDoc="0" locked="0" layoutInCell="1" allowOverlap="1" wp14:anchorId="4BF6F1AE" wp14:editId="71A4A92B">
            <wp:simplePos x="0" y="0"/>
            <wp:positionH relativeFrom="margin">
              <wp:align>center</wp:align>
            </wp:positionH>
            <wp:positionV relativeFrom="margin">
              <wp:align>top</wp:align>
            </wp:positionV>
            <wp:extent cx="3542030" cy="746760"/>
            <wp:effectExtent l="0" t="0" r="1270" b="0"/>
            <wp:wrapSquare wrapText="bothSides"/>
            <wp:docPr id="1" name="Picture 1"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Securities and Investments Commission logo and 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6FD25A52" w14:textId="177C8D78" w:rsidR="002733A2" w:rsidRPr="00BA28F4" w:rsidRDefault="002733A2" w:rsidP="002733A2">
      <w:pPr>
        <w:pStyle w:val="LI-Title"/>
        <w:pBdr>
          <w:top w:val="none" w:sz="0" w:space="0" w:color="auto"/>
        </w:pBdr>
        <w:jc w:val="center"/>
      </w:pPr>
      <w:r w:rsidRPr="00BA28F4">
        <w:t>Explanatory Statement</w:t>
      </w:r>
    </w:p>
    <w:p w14:paraId="73DFE7D5" w14:textId="77777777" w:rsidR="002733A2" w:rsidRPr="00BA28F4" w:rsidRDefault="002733A2" w:rsidP="002733A2">
      <w:pPr>
        <w:rPr>
          <w:lang w:eastAsia="en-AU"/>
        </w:rPr>
      </w:pPr>
    </w:p>
    <w:p w14:paraId="6FCDD3E2" w14:textId="0B4CC47D" w:rsidR="002733A2" w:rsidRPr="00BA28F4" w:rsidRDefault="002733A2" w:rsidP="002733A2">
      <w:pPr>
        <w:jc w:val="center"/>
        <w:rPr>
          <w:b/>
          <w:i/>
          <w:sz w:val="28"/>
          <w:szCs w:val="28"/>
          <w:lang w:eastAsia="en-AU"/>
        </w:rPr>
      </w:pPr>
      <w:bookmarkStart w:id="0" w:name="_Hlk135066286"/>
      <w:r w:rsidRPr="00BA28F4">
        <w:rPr>
          <w:b/>
          <w:i/>
          <w:sz w:val="28"/>
          <w:szCs w:val="28"/>
          <w:lang w:eastAsia="en-AU"/>
        </w:rPr>
        <w:t>ASIC Corporations (Registration of Relevant Providers) Instrument 2023/</w:t>
      </w:r>
      <w:r w:rsidR="002B0125" w:rsidRPr="00BA28F4">
        <w:rPr>
          <w:b/>
          <w:i/>
          <w:sz w:val="28"/>
          <w:szCs w:val="28"/>
          <w:lang w:eastAsia="en-AU"/>
        </w:rPr>
        <w:t>490</w:t>
      </w:r>
    </w:p>
    <w:bookmarkEnd w:id="0"/>
    <w:p w14:paraId="46466888" w14:textId="77777777" w:rsidR="002733A2" w:rsidRPr="00BA28F4" w:rsidRDefault="002733A2" w:rsidP="002733A2">
      <w:pPr>
        <w:jc w:val="center"/>
        <w:rPr>
          <w:b/>
          <w:i/>
          <w:sz w:val="28"/>
          <w:szCs w:val="28"/>
          <w:lang w:eastAsia="en-AU"/>
        </w:rPr>
      </w:pPr>
    </w:p>
    <w:p w14:paraId="162504BF" w14:textId="4704832A" w:rsidR="002733A2" w:rsidRPr="00BA28F4" w:rsidRDefault="002733A2" w:rsidP="002733A2">
      <w:pPr>
        <w:pStyle w:val="LI-BodyTextParaa"/>
        <w:ind w:left="0" w:firstLine="0"/>
        <w:rPr>
          <w:b/>
          <w:bCs/>
          <w:i/>
          <w:iCs/>
        </w:rPr>
      </w:pPr>
      <w:bookmarkStart w:id="1" w:name="BK_S3P1L1C1"/>
      <w:bookmarkEnd w:id="1"/>
      <w:r w:rsidRPr="00BA28F4">
        <w:t xml:space="preserve">This is the Explanatory Statement for the </w:t>
      </w:r>
      <w:r w:rsidRPr="00BA28F4">
        <w:rPr>
          <w:i/>
          <w:iCs/>
        </w:rPr>
        <w:t>ASIC Corporations (Registration of Relevant Providers) Instrument 2023/</w:t>
      </w:r>
      <w:r w:rsidR="002B0125" w:rsidRPr="00BA28F4">
        <w:rPr>
          <w:i/>
          <w:iCs/>
        </w:rPr>
        <w:t xml:space="preserve">490 </w:t>
      </w:r>
      <w:r w:rsidRPr="00BA28F4">
        <w:t xml:space="preserve">(the </w:t>
      </w:r>
      <w:r w:rsidRPr="00BA28F4">
        <w:rPr>
          <w:b/>
          <w:bCs/>
          <w:i/>
          <w:iCs/>
        </w:rPr>
        <w:t>Instrument</w:t>
      </w:r>
      <w:r w:rsidRPr="00BA28F4">
        <w:t>)</w:t>
      </w:r>
      <w:r w:rsidRPr="00BA28F4">
        <w:rPr>
          <w:i/>
          <w:iCs/>
        </w:rPr>
        <w:t>.</w:t>
      </w:r>
    </w:p>
    <w:p w14:paraId="2533D6F9" w14:textId="77777777" w:rsidR="002733A2" w:rsidRPr="00BA28F4" w:rsidRDefault="002733A2" w:rsidP="002733A2">
      <w:pPr>
        <w:pStyle w:val="LI-BodyTextParaa"/>
        <w:ind w:left="0" w:firstLine="0"/>
      </w:pPr>
      <w:r w:rsidRPr="00BA28F4">
        <w:t>The Explanatory Statement is approved by the Australian Securities and Investments Commission (</w:t>
      </w:r>
      <w:r w:rsidRPr="00BA28F4">
        <w:rPr>
          <w:b/>
          <w:i/>
        </w:rPr>
        <w:t>ASIC</w:t>
      </w:r>
      <w:r w:rsidRPr="00BA28F4">
        <w:t>).</w:t>
      </w:r>
    </w:p>
    <w:p w14:paraId="50CAE227" w14:textId="77777777" w:rsidR="002733A2" w:rsidRPr="00BA28F4" w:rsidRDefault="002733A2" w:rsidP="002733A2">
      <w:pPr>
        <w:pStyle w:val="LI-Heading2"/>
      </w:pPr>
      <w:r w:rsidRPr="00BA28F4">
        <w:t>Summary</w:t>
      </w:r>
    </w:p>
    <w:p w14:paraId="17028475" w14:textId="57E0ACE8" w:rsidR="00315461" w:rsidRPr="00CD2823" w:rsidRDefault="002733A2" w:rsidP="00A44E11">
      <w:pPr>
        <w:pStyle w:val="LI-BodyTextNumbered"/>
      </w:pPr>
      <w:r w:rsidRPr="00BA28F4">
        <w:t xml:space="preserve">The Instrument puts in place interim measures to </w:t>
      </w:r>
      <w:r w:rsidR="00EF47E3" w:rsidRPr="00BA28F4">
        <w:t>delay</w:t>
      </w:r>
      <w:r w:rsidR="00AF62F2" w:rsidRPr="00BA28F4">
        <w:t xml:space="preserve"> </w:t>
      </w:r>
      <w:r w:rsidR="00EF47E3" w:rsidRPr="00BA28F4">
        <w:t>the requirement</w:t>
      </w:r>
      <w:r w:rsidR="003D3B36" w:rsidRPr="00BA28F4">
        <w:t xml:space="preserve"> (the </w:t>
      </w:r>
      <w:r w:rsidR="003D3B36" w:rsidRPr="00BA28F4">
        <w:rPr>
          <w:b/>
          <w:bCs/>
          <w:i/>
          <w:iCs/>
        </w:rPr>
        <w:t>Registration Requirement</w:t>
      </w:r>
      <w:r w:rsidR="003D3B36" w:rsidRPr="00BA28F4">
        <w:t>)</w:t>
      </w:r>
      <w:r w:rsidR="00EF47E3" w:rsidRPr="00BA28F4">
        <w:t xml:space="preserve"> for </w:t>
      </w:r>
      <w:r w:rsidR="007514BE" w:rsidRPr="00BA28F4">
        <w:t>relevant providers</w:t>
      </w:r>
      <w:r w:rsidR="00F81164" w:rsidRPr="00BA28F4">
        <w:rPr>
          <w:rStyle w:val="FootnoteReference"/>
        </w:rPr>
        <w:footnoteReference w:id="2"/>
      </w:r>
      <w:r w:rsidR="007514BE" w:rsidRPr="00BA28F4">
        <w:t xml:space="preserve"> to be registered with ASIC as a precondition for providing personal advice</w:t>
      </w:r>
      <w:r w:rsidR="003D3B36" w:rsidRPr="00BA28F4">
        <w:t xml:space="preserve"> (</w:t>
      </w:r>
      <w:r w:rsidR="003D3B36" w:rsidRPr="00BA28F4">
        <w:rPr>
          <w:b/>
          <w:bCs/>
          <w:i/>
          <w:iCs/>
        </w:rPr>
        <w:t>Financial Advice</w:t>
      </w:r>
      <w:r w:rsidR="003D3B36" w:rsidRPr="00BA28F4">
        <w:t>)</w:t>
      </w:r>
      <w:r w:rsidR="007514BE" w:rsidRPr="00BA28F4">
        <w:t xml:space="preserve"> to retail clients about </w:t>
      </w:r>
      <w:r w:rsidR="00B30140" w:rsidRPr="00BA28F4">
        <w:t>relevant</w:t>
      </w:r>
      <w:r w:rsidR="007514BE" w:rsidRPr="00BA28F4">
        <w:t xml:space="preserve"> financial products</w:t>
      </w:r>
      <w:r w:rsidR="00EF47E3" w:rsidRPr="00BA28F4">
        <w:t>.</w:t>
      </w:r>
      <w:r w:rsidR="000F29FC" w:rsidRPr="00BA28F4">
        <w:t xml:space="preserve"> </w:t>
      </w:r>
      <w:r w:rsidR="00972A5E" w:rsidRPr="00BA28F4">
        <w:t xml:space="preserve">The delay extends an initial delay to the </w:t>
      </w:r>
      <w:r w:rsidR="001F469F" w:rsidRPr="00BA28F4">
        <w:t>R</w:t>
      </w:r>
      <w:r w:rsidR="00972A5E" w:rsidRPr="00BA28F4">
        <w:t xml:space="preserve">egistration </w:t>
      </w:r>
      <w:r w:rsidR="001F469F" w:rsidRPr="00BA28F4">
        <w:t>R</w:t>
      </w:r>
      <w:r w:rsidR="00972A5E" w:rsidRPr="00BA28F4">
        <w:t xml:space="preserve">equirement that was </w:t>
      </w:r>
      <w:r w:rsidR="00CD5943" w:rsidRPr="00BA28F4">
        <w:t>implemented by</w:t>
      </w:r>
      <w:r w:rsidR="00D5713D" w:rsidRPr="00BA28F4">
        <w:t xml:space="preserve"> the</w:t>
      </w:r>
      <w:r w:rsidR="00CD5943" w:rsidRPr="00BA28F4">
        <w:t xml:space="preserve"> </w:t>
      </w:r>
      <w:r w:rsidR="00E3293B" w:rsidRPr="00BA28F4">
        <w:rPr>
          <w:i/>
          <w:iCs/>
        </w:rPr>
        <w:t>Corporations Amendment (Registration of Relevant Providers</w:t>
      </w:r>
      <w:r w:rsidR="00E3293B" w:rsidRPr="00BA28F4">
        <w:t xml:space="preserve">) </w:t>
      </w:r>
      <w:r w:rsidR="00E3293B" w:rsidRPr="00BA28F4">
        <w:rPr>
          <w:i/>
        </w:rPr>
        <w:t>Regulation 2022</w:t>
      </w:r>
      <w:r w:rsidR="00EC721B" w:rsidRPr="00BA28F4">
        <w:rPr>
          <w:i/>
          <w:iCs/>
        </w:rPr>
        <w:t xml:space="preserve"> </w:t>
      </w:r>
      <w:r w:rsidR="00EC721B" w:rsidRPr="00BA28F4">
        <w:t xml:space="preserve">(the </w:t>
      </w:r>
      <w:r w:rsidR="00EC721B" w:rsidRPr="00BA28F4">
        <w:rPr>
          <w:b/>
          <w:bCs/>
          <w:i/>
          <w:iCs/>
        </w:rPr>
        <w:t>Initial Delay Regulation</w:t>
      </w:r>
      <w:r w:rsidR="00EC721B" w:rsidRPr="00BA28F4">
        <w:t>)</w:t>
      </w:r>
      <w:r w:rsidR="00B93C29" w:rsidRPr="00BA28F4">
        <w:t>.</w:t>
      </w:r>
      <w:r w:rsidR="00084AD8" w:rsidRPr="00BA28F4">
        <w:t xml:space="preserve"> The </w:t>
      </w:r>
      <w:r w:rsidR="00856F74" w:rsidRPr="00BA28F4">
        <w:t xml:space="preserve">initial </w:t>
      </w:r>
      <w:r w:rsidR="00294720" w:rsidRPr="00BA28F4">
        <w:t>delay</w:t>
      </w:r>
      <w:r w:rsidR="00104967" w:rsidRPr="00BA28F4">
        <w:t xml:space="preserve">, which postponed the Registration Requirement </w:t>
      </w:r>
      <w:r w:rsidR="006106E0" w:rsidRPr="00BA28F4">
        <w:t>from 1 January 2023 to</w:t>
      </w:r>
      <w:r w:rsidR="00F97EC6" w:rsidRPr="00BA28F4">
        <w:t xml:space="preserve"> 1 July 2023</w:t>
      </w:r>
      <w:r w:rsidR="0061599E" w:rsidRPr="00BA28F4">
        <w:t>,</w:t>
      </w:r>
      <w:r w:rsidR="00F97EC6" w:rsidRPr="00BA28F4">
        <w:t xml:space="preserve"> </w:t>
      </w:r>
      <w:r w:rsidR="006106E0" w:rsidRPr="00BA28F4">
        <w:t xml:space="preserve">was to </w:t>
      </w:r>
      <w:r w:rsidR="00F25ABE" w:rsidRPr="00BA28F4">
        <w:t>‘</w:t>
      </w:r>
      <w:r w:rsidR="00AB2683" w:rsidRPr="00BA28F4">
        <w:t xml:space="preserve">allow extra time for amendments to be </w:t>
      </w:r>
      <w:r w:rsidR="00D44336" w:rsidRPr="00BA28F4">
        <w:t xml:space="preserve">made that will improve the operation </w:t>
      </w:r>
      <w:r w:rsidR="00C3002F" w:rsidRPr="00BA28F4">
        <w:t xml:space="preserve">of the stage one registration process </w:t>
      </w:r>
      <w:r w:rsidR="00052E46" w:rsidRPr="00BA28F4">
        <w:t>with benefits for [AFS] licensees</w:t>
      </w:r>
      <w:r w:rsidR="00052E46" w:rsidRPr="00CD2823">
        <w:t xml:space="preserve"> and financial advisers.</w:t>
      </w:r>
      <w:r w:rsidR="00A44E11" w:rsidRPr="00CD2823">
        <w:t>’</w:t>
      </w:r>
      <w:r w:rsidR="006106E0" w:rsidRPr="00CD2823">
        <w:rPr>
          <w:rStyle w:val="FootnoteReference"/>
        </w:rPr>
        <w:footnoteReference w:id="3"/>
      </w:r>
      <w:r w:rsidR="00A44E11" w:rsidRPr="00CD2823">
        <w:t xml:space="preserve"> </w:t>
      </w:r>
      <w:r w:rsidR="00104967" w:rsidRPr="00CD2823">
        <w:t xml:space="preserve">The Instrument seeks to achieve the same </w:t>
      </w:r>
      <w:r w:rsidR="008B74E8" w:rsidRPr="00CD2823">
        <w:t>outcome</w:t>
      </w:r>
      <w:r w:rsidR="00104967" w:rsidRPr="00CD2823">
        <w:t xml:space="preserve"> as the </w:t>
      </w:r>
      <w:r w:rsidR="00B30140" w:rsidRPr="00CD2823">
        <w:t xml:space="preserve">Initial Delay Regulation. </w:t>
      </w:r>
      <w:r w:rsidR="00104967" w:rsidRPr="00CD2823">
        <w:t xml:space="preserve">  </w:t>
      </w:r>
    </w:p>
    <w:p w14:paraId="1A5160CD" w14:textId="77777777" w:rsidR="002733A2" w:rsidRPr="004A7DDF" w:rsidRDefault="002733A2" w:rsidP="002733A2">
      <w:pPr>
        <w:pStyle w:val="LI-Heading2"/>
      </w:pPr>
      <w:bookmarkStart w:id="3" w:name="_Hlk98225584"/>
      <w:r w:rsidRPr="00CD2823">
        <w:t>Purpose of the Instrument</w:t>
      </w:r>
    </w:p>
    <w:p w14:paraId="7F6D2271" w14:textId="243B65C4" w:rsidR="0032798D" w:rsidRDefault="003148A0" w:rsidP="0032798D">
      <w:pPr>
        <w:pStyle w:val="LI-BodyTextNumbered"/>
      </w:pPr>
      <w:r>
        <w:t xml:space="preserve">The requirement for </w:t>
      </w:r>
      <w:r w:rsidR="00100BA8">
        <w:t>relevant providers</w:t>
      </w:r>
      <w:r>
        <w:t xml:space="preserve"> to be registered was </w:t>
      </w:r>
      <w:r w:rsidR="0032798D">
        <w:t xml:space="preserve">introduced by the </w:t>
      </w:r>
      <w:r w:rsidR="0032798D" w:rsidRPr="007F3C5A">
        <w:rPr>
          <w:i/>
          <w:iCs/>
          <w:color w:val="000000"/>
          <w:shd w:val="clear" w:color="auto" w:fill="FFFFFF"/>
        </w:rPr>
        <w:t>Financial Sector Reform (Hayne Royal Commission Response—Better Advice) Act 2021</w:t>
      </w:r>
      <w:r w:rsidR="0032798D">
        <w:t xml:space="preserve"> (</w:t>
      </w:r>
      <w:r w:rsidR="0032798D" w:rsidRPr="00074BDF">
        <w:rPr>
          <w:b/>
          <w:bCs/>
          <w:i/>
          <w:iCs/>
        </w:rPr>
        <w:t>Better Advice Act</w:t>
      </w:r>
      <w:r w:rsidR="0032798D">
        <w:t xml:space="preserve">). </w:t>
      </w:r>
      <w:r w:rsidR="00B00BF9">
        <w:t>The Better Advice Act</w:t>
      </w:r>
      <w:r w:rsidR="00977797">
        <w:t>, in part,</w:t>
      </w:r>
      <w:r w:rsidR="00B00BF9">
        <w:t xml:space="preserve"> implemented </w:t>
      </w:r>
      <w:r w:rsidR="00B879ED">
        <w:t>r</w:t>
      </w:r>
      <w:r w:rsidR="0032798D" w:rsidRPr="007F3C5A">
        <w:rPr>
          <w:color w:val="000000"/>
          <w:shd w:val="clear" w:color="auto" w:fill="FFFFFF"/>
        </w:rPr>
        <w:t xml:space="preserve">ecommendation 2.10 of the </w:t>
      </w:r>
      <w:r w:rsidR="00B879ED">
        <w:rPr>
          <w:color w:val="000000"/>
          <w:shd w:val="clear" w:color="auto" w:fill="FFFFFF"/>
        </w:rPr>
        <w:t xml:space="preserve">Final Report of the </w:t>
      </w:r>
      <w:r w:rsidR="0032798D" w:rsidRPr="007F3C5A">
        <w:rPr>
          <w:color w:val="000000"/>
          <w:shd w:val="clear" w:color="auto" w:fill="FFFFFF"/>
        </w:rPr>
        <w:t>Financial Services Royal Commission</w:t>
      </w:r>
      <w:r w:rsidR="0032798D">
        <w:t>.</w:t>
      </w:r>
      <w:r w:rsidR="00E45865">
        <w:t xml:space="preserve"> </w:t>
      </w:r>
      <w:r w:rsidR="00F45F3E">
        <w:t>A component</w:t>
      </w:r>
      <w:r w:rsidR="0030636C">
        <w:t xml:space="preserve"> of recommendation 2.10 was that </w:t>
      </w:r>
      <w:r w:rsidR="00B30140">
        <w:t>relevant providers</w:t>
      </w:r>
      <w:r w:rsidR="0030636C">
        <w:t xml:space="preserve">, much like other professions, should </w:t>
      </w:r>
      <w:r w:rsidR="00750C02">
        <w:t xml:space="preserve">have a </w:t>
      </w:r>
      <w:r w:rsidR="00100BA8">
        <w:t xml:space="preserve">system of registration </w:t>
      </w:r>
      <w:r w:rsidR="00CE41AC">
        <w:t>in place</w:t>
      </w:r>
      <w:r w:rsidR="00100BA8">
        <w:t xml:space="preserve"> </w:t>
      </w:r>
      <w:r w:rsidR="00750C02">
        <w:t xml:space="preserve">that </w:t>
      </w:r>
      <w:r w:rsidR="00382CE6">
        <w:t xml:space="preserve">acts as a check and balance on the suitability of </w:t>
      </w:r>
      <w:r w:rsidR="00100BA8">
        <w:t>relevant providers</w:t>
      </w:r>
      <w:r w:rsidR="005A1381">
        <w:t xml:space="preserve"> to </w:t>
      </w:r>
      <w:r w:rsidR="00394E28">
        <w:t xml:space="preserve">provide Financial Advice. </w:t>
      </w:r>
      <w:r w:rsidR="005A1381">
        <w:t xml:space="preserve"> </w:t>
      </w:r>
      <w:r w:rsidR="003A0214">
        <w:t xml:space="preserve"> </w:t>
      </w:r>
      <w:r w:rsidR="0032798D">
        <w:t xml:space="preserve"> </w:t>
      </w:r>
    </w:p>
    <w:p w14:paraId="7C7CA5AF" w14:textId="61404DD4" w:rsidR="00036134" w:rsidRDefault="00533EBB" w:rsidP="002733A2">
      <w:pPr>
        <w:pStyle w:val="LI-BodyTextNumbered"/>
      </w:pPr>
      <w:r>
        <w:t xml:space="preserve">The </w:t>
      </w:r>
      <w:r w:rsidR="005678B7">
        <w:t xml:space="preserve">registration provisions, as </w:t>
      </w:r>
      <w:r w:rsidR="00D035BD">
        <w:t xml:space="preserve">inserted by the Better Advice Act, are set out in Division 8C of Part </w:t>
      </w:r>
      <w:r w:rsidR="00D7264A">
        <w:t xml:space="preserve">7.6 of the </w:t>
      </w:r>
      <w:r w:rsidR="00D7264A">
        <w:rPr>
          <w:i/>
          <w:iCs/>
        </w:rPr>
        <w:t xml:space="preserve">Corporations Act 2001 </w:t>
      </w:r>
      <w:r w:rsidR="00D7264A">
        <w:t xml:space="preserve">(the </w:t>
      </w:r>
      <w:r w:rsidR="00D7264A" w:rsidRPr="00074BDF">
        <w:rPr>
          <w:b/>
          <w:bCs/>
          <w:i/>
          <w:iCs/>
        </w:rPr>
        <w:t>Act</w:t>
      </w:r>
      <w:r w:rsidR="00D7264A">
        <w:t xml:space="preserve">). </w:t>
      </w:r>
      <w:r w:rsidR="00024009">
        <w:t xml:space="preserve">Subdivision </w:t>
      </w:r>
      <w:r w:rsidR="0018386E">
        <w:t xml:space="preserve">B of Division 8C </w:t>
      </w:r>
      <w:r w:rsidR="004111E9">
        <w:t xml:space="preserve">facilitates AFS licensees applying to ASIC to register </w:t>
      </w:r>
      <w:r w:rsidR="00DB2EDD">
        <w:t xml:space="preserve">their </w:t>
      </w:r>
      <w:r w:rsidR="00B30140">
        <w:t>relevant providers</w:t>
      </w:r>
      <w:r w:rsidR="00DB2EDD">
        <w:t xml:space="preserve">. </w:t>
      </w:r>
      <w:r w:rsidR="008F45EE">
        <w:t xml:space="preserve">Subdivision </w:t>
      </w:r>
      <w:r w:rsidR="00BB6012">
        <w:t xml:space="preserve">C of Division 8C </w:t>
      </w:r>
      <w:r w:rsidR="00CA337D">
        <w:t xml:space="preserve">sets out the </w:t>
      </w:r>
      <w:r w:rsidR="00E37794">
        <w:t xml:space="preserve">circumstances in which </w:t>
      </w:r>
      <w:r w:rsidR="000608C9">
        <w:t>ASIC is required to either approve or refuse registration applications</w:t>
      </w:r>
      <w:r w:rsidR="00E37794">
        <w:t>.</w:t>
      </w:r>
      <w:r w:rsidR="000608C9">
        <w:t xml:space="preserve"> </w:t>
      </w:r>
      <w:r w:rsidR="00495641">
        <w:t xml:space="preserve">Subdivision A of Division 8C </w:t>
      </w:r>
      <w:r w:rsidR="000D10A4">
        <w:t xml:space="preserve">puts in </w:t>
      </w:r>
      <w:r w:rsidR="000D10A4">
        <w:lastRenderedPageBreak/>
        <w:t>place</w:t>
      </w:r>
      <w:r w:rsidR="008A5E18">
        <w:t xml:space="preserve"> prohibitions on</w:t>
      </w:r>
      <w:r w:rsidR="00495641">
        <w:t xml:space="preserve"> AFS licensees and </w:t>
      </w:r>
      <w:r w:rsidR="00EC721B">
        <w:t>relevant providers</w:t>
      </w:r>
      <w:r w:rsidR="00495641">
        <w:t xml:space="preserve"> from providing </w:t>
      </w:r>
      <w:r w:rsidR="00B30140">
        <w:t>F</w:t>
      </w:r>
      <w:r w:rsidR="00495641">
        <w:t xml:space="preserve">inancial </w:t>
      </w:r>
      <w:r w:rsidR="00B30140">
        <w:t>A</w:t>
      </w:r>
      <w:r w:rsidR="00495641">
        <w:t xml:space="preserve">dvice </w:t>
      </w:r>
      <w:r w:rsidR="002D7945">
        <w:t xml:space="preserve">whilst not registered. </w:t>
      </w:r>
    </w:p>
    <w:p w14:paraId="439F4435" w14:textId="7E3E3466" w:rsidR="00BE45FC" w:rsidRDefault="00BE45FC" w:rsidP="00BE45FC">
      <w:pPr>
        <w:pStyle w:val="LI-BodyTextNumbered"/>
      </w:pPr>
      <w:r>
        <w:t xml:space="preserve">Subdivisions B and C of Division 8C commenced on 1 January 2022. Subdivision A of Division 8C </w:t>
      </w:r>
      <w:r w:rsidR="0067473B">
        <w:t xml:space="preserve">was originally set to </w:t>
      </w:r>
      <w:r>
        <w:t xml:space="preserve">commence on 1 January 2023. The effect of the staggered commencement </w:t>
      </w:r>
      <w:r w:rsidR="00D5012A">
        <w:t>dates</w:t>
      </w:r>
      <w:r w:rsidR="00EC721B">
        <w:t xml:space="preserve"> </w:t>
      </w:r>
      <w:r w:rsidR="00B30140">
        <w:t>was</w:t>
      </w:r>
      <w:r w:rsidR="00EC721B">
        <w:t xml:space="preserve"> that AFS licensees and relevant providers could continue providing </w:t>
      </w:r>
      <w:r w:rsidR="00B30140">
        <w:t>F</w:t>
      </w:r>
      <w:r w:rsidR="00EC721B">
        <w:t xml:space="preserve">inancial </w:t>
      </w:r>
      <w:r w:rsidR="00B30140">
        <w:t>A</w:t>
      </w:r>
      <w:r w:rsidR="00EC721B">
        <w:t>dvice without being registered</w:t>
      </w:r>
      <w:r w:rsidR="00D5012A">
        <w:t xml:space="preserve"> </w:t>
      </w:r>
      <w:r w:rsidR="00B30140">
        <w:t>up</w:t>
      </w:r>
      <w:r w:rsidR="00D5012A">
        <w:t xml:space="preserve"> to 1 January 2023</w:t>
      </w:r>
      <w:r w:rsidR="00EC721B">
        <w:t xml:space="preserve">. </w:t>
      </w:r>
    </w:p>
    <w:p w14:paraId="5B036A81" w14:textId="6A5430E5" w:rsidR="00EC721B" w:rsidRDefault="00EC721B" w:rsidP="00EC721B">
      <w:pPr>
        <w:pStyle w:val="LI-BodyTextNumbered"/>
      </w:pPr>
      <w:r>
        <w:t xml:space="preserve">On 16 December 2022 the Initial Delay Regulation commenced. </w:t>
      </w:r>
      <w:r w:rsidR="00D5012A">
        <w:t>The</w:t>
      </w:r>
      <w:r>
        <w:t xml:space="preserve"> </w:t>
      </w:r>
      <w:r w:rsidR="00D5012A">
        <w:t xml:space="preserve">purpose of the Initial Delay Regulation was set out in </w:t>
      </w:r>
      <w:r w:rsidR="00E779AE">
        <w:t>its</w:t>
      </w:r>
      <w:r w:rsidR="00D5012A">
        <w:t xml:space="preserve"> Explanatory Statement:</w:t>
      </w:r>
    </w:p>
    <w:p w14:paraId="47F2A8AD" w14:textId="097E44A5" w:rsidR="00EC721B" w:rsidRDefault="00EC721B" w:rsidP="00A80EE2">
      <w:pPr>
        <w:shd w:val="clear" w:color="auto" w:fill="FFFFFF"/>
        <w:spacing w:before="240" w:after="120" w:line="240" w:lineRule="auto"/>
        <w:ind w:left="993"/>
        <w:rPr>
          <w:rFonts w:eastAsia="Times New Roman"/>
          <w:i/>
          <w:iCs/>
          <w:color w:val="000000"/>
          <w:sz w:val="24"/>
          <w:szCs w:val="24"/>
          <w:lang w:eastAsia="en-AU"/>
        </w:rPr>
      </w:pPr>
      <w:bookmarkStart w:id="4" w:name="_Hlk118804955"/>
      <w:r w:rsidRPr="00651A3C">
        <w:rPr>
          <w:rFonts w:eastAsia="Times New Roman"/>
          <w:i/>
          <w:color w:val="000000"/>
          <w:sz w:val="24"/>
          <w:szCs w:val="24"/>
          <w:lang w:eastAsia="en-AU"/>
        </w:rPr>
        <w:t>The </w:t>
      </w:r>
      <w:r w:rsidRPr="00EC721B">
        <w:rPr>
          <w:rFonts w:eastAsia="Times New Roman"/>
          <w:i/>
          <w:iCs/>
          <w:color w:val="000000"/>
          <w:sz w:val="24"/>
          <w:szCs w:val="24"/>
          <w:lang w:eastAsia="en-AU"/>
        </w:rPr>
        <w:t>Financial Sector Reform (Hayne Royal Commission Response—Better Advice) Act 2021</w:t>
      </w:r>
      <w:r w:rsidRPr="00651A3C">
        <w:rPr>
          <w:rFonts w:eastAsia="Times New Roman"/>
          <w:i/>
          <w:color w:val="000000"/>
          <w:sz w:val="24"/>
          <w:szCs w:val="24"/>
          <w:lang w:eastAsia="en-AU"/>
        </w:rPr>
        <w:t> introduced a central registration requirement for financial advisers, in line with Recommendation 2.10 of the Financial Services Royal Commission. Registration was proposed to occur in two stages – stage one being a one</w:t>
      </w:r>
      <w:r w:rsidRPr="00651A3C">
        <w:rPr>
          <w:rFonts w:eastAsia="Times New Roman"/>
          <w:i/>
          <w:color w:val="000000"/>
          <w:sz w:val="24"/>
          <w:szCs w:val="24"/>
          <w:lang w:eastAsia="en-AU"/>
        </w:rPr>
        <w:noBreakHyphen/>
        <w:t>off registration process administered by the Australian Securities and Investments Commission (ASIC) using the Financial Advisers Register (FAR).</w:t>
      </w:r>
      <w:bookmarkEnd w:id="4"/>
    </w:p>
    <w:p w14:paraId="7A6C7F35" w14:textId="77777777" w:rsidR="00D5012A" w:rsidRPr="00AC1BFB" w:rsidRDefault="00D5012A" w:rsidP="00D5012A">
      <w:pPr>
        <w:shd w:val="clear" w:color="auto" w:fill="FFFFFF"/>
        <w:spacing w:before="240" w:after="120" w:line="240" w:lineRule="auto"/>
        <w:ind w:left="993"/>
        <w:rPr>
          <w:rFonts w:eastAsia="Times New Roman"/>
          <w:i/>
          <w:iCs/>
          <w:color w:val="000000"/>
          <w:sz w:val="24"/>
          <w:szCs w:val="24"/>
          <w:lang w:eastAsia="en-AU"/>
        </w:rPr>
      </w:pPr>
      <w:bookmarkStart w:id="5" w:name="_Hlk118805191"/>
      <w:r w:rsidRPr="00AC1BFB">
        <w:rPr>
          <w:rFonts w:eastAsia="Times New Roman"/>
          <w:i/>
          <w:iCs/>
          <w:color w:val="000000"/>
          <w:sz w:val="24"/>
          <w:szCs w:val="24"/>
          <w:lang w:eastAsia="en-AU"/>
        </w:rPr>
        <w:t>The purpose of the </w:t>
      </w:r>
      <w:r w:rsidRPr="00EC721B">
        <w:rPr>
          <w:rFonts w:eastAsia="Times New Roman"/>
          <w:i/>
          <w:iCs/>
          <w:color w:val="000000"/>
          <w:sz w:val="24"/>
          <w:szCs w:val="24"/>
          <w:lang w:eastAsia="en-AU"/>
        </w:rPr>
        <w:t>Corporations Amendment (Registration of Relevant Providers)</w:t>
      </w:r>
      <w:r>
        <w:rPr>
          <w:rFonts w:eastAsia="Times New Roman"/>
          <w:i/>
          <w:iCs/>
          <w:color w:val="000000"/>
          <w:sz w:val="24"/>
          <w:szCs w:val="24"/>
          <w:lang w:eastAsia="en-AU"/>
        </w:rPr>
        <w:t xml:space="preserve"> </w:t>
      </w:r>
      <w:r w:rsidRPr="00EC721B">
        <w:rPr>
          <w:rFonts w:eastAsia="Times New Roman"/>
          <w:i/>
          <w:iCs/>
          <w:color w:val="000000"/>
          <w:sz w:val="24"/>
          <w:szCs w:val="24"/>
          <w:lang w:eastAsia="en-AU"/>
        </w:rPr>
        <w:t>Regulations 2022</w:t>
      </w:r>
      <w:r w:rsidRPr="00AC1BFB">
        <w:rPr>
          <w:rFonts w:eastAsia="Times New Roman"/>
          <w:i/>
          <w:iCs/>
          <w:color w:val="000000"/>
          <w:sz w:val="24"/>
          <w:szCs w:val="24"/>
          <w:lang w:eastAsia="en-AU"/>
        </w:rPr>
        <w:t> (the Regulations) is</w:t>
      </w:r>
      <w:bookmarkEnd w:id="5"/>
      <w:r>
        <w:rPr>
          <w:rFonts w:eastAsia="Times New Roman"/>
          <w:i/>
          <w:iCs/>
          <w:color w:val="000000"/>
          <w:sz w:val="24"/>
          <w:szCs w:val="24"/>
          <w:lang w:eastAsia="en-AU"/>
        </w:rPr>
        <w:t xml:space="preserve"> to amend the Corporations Regulations 2001 </w:t>
      </w:r>
      <w:r w:rsidRPr="00AC1BFB">
        <w:rPr>
          <w:rFonts w:eastAsia="Times New Roman"/>
          <w:i/>
          <w:iCs/>
          <w:color w:val="000000"/>
          <w:sz w:val="24"/>
          <w:szCs w:val="24"/>
          <w:lang w:eastAsia="en-AU"/>
        </w:rPr>
        <w:t>to delay the requirement for financial services licensees to register financial advisers on the FAR for six months to 1 July 2023. The delay will allow extra time for amendments to be made that will improve the operation of the stage one registration process with benefits for licensees and financial advisers.</w:t>
      </w:r>
    </w:p>
    <w:p w14:paraId="380926C3" w14:textId="2BD514F5" w:rsidR="00EC721B" w:rsidRPr="00651A3C" w:rsidRDefault="00EC721B" w:rsidP="00651A3C">
      <w:pPr>
        <w:shd w:val="clear" w:color="auto" w:fill="FFFFFF"/>
        <w:spacing w:before="240" w:after="120" w:line="240" w:lineRule="auto"/>
        <w:ind w:left="993"/>
        <w:rPr>
          <w:rFonts w:eastAsia="Times New Roman"/>
          <w:i/>
          <w:color w:val="000000"/>
          <w:sz w:val="24"/>
          <w:szCs w:val="24"/>
          <w:lang w:eastAsia="en-AU"/>
        </w:rPr>
      </w:pPr>
      <w:bookmarkStart w:id="6" w:name="_Hlk118800774"/>
      <w:bookmarkStart w:id="7" w:name="_Hlk112248417"/>
      <w:bookmarkEnd w:id="6"/>
      <w:r w:rsidRPr="00651A3C">
        <w:rPr>
          <w:rFonts w:eastAsia="Times New Roman"/>
          <w:i/>
          <w:color w:val="000000"/>
          <w:sz w:val="24"/>
          <w:szCs w:val="24"/>
          <w:lang w:eastAsia="en-AU"/>
        </w:rPr>
        <w:t>Public consultation on the Regulations was not undertaken as the amendments are minor or machinery in nature. </w:t>
      </w:r>
      <w:bookmarkEnd w:id="7"/>
      <w:r w:rsidRPr="00651A3C">
        <w:rPr>
          <w:rFonts w:eastAsia="Times New Roman"/>
          <w:i/>
          <w:color w:val="000000"/>
          <w:sz w:val="24"/>
          <w:szCs w:val="24"/>
          <w:lang w:eastAsia="en-AU"/>
        </w:rPr>
        <w:t>However, confidential consultation was undertaken with ASIC.</w:t>
      </w:r>
    </w:p>
    <w:p w14:paraId="344E1D5A" w14:textId="2208E2B5" w:rsidR="00D5012A" w:rsidRDefault="00D5012A" w:rsidP="00D5012A">
      <w:pPr>
        <w:pStyle w:val="LI-BodyTextNumbered"/>
      </w:pPr>
      <w:r>
        <w:t xml:space="preserve">The amendments </w:t>
      </w:r>
      <w:r w:rsidR="00B30140">
        <w:t xml:space="preserve">foreshadowed in the Explanatory Statement </w:t>
      </w:r>
      <w:r>
        <w:t xml:space="preserve">are contained in Schedule 1 to </w:t>
      </w:r>
      <w:r w:rsidRPr="00A44E11">
        <w:rPr>
          <w:i/>
          <w:iCs/>
        </w:rPr>
        <w:t xml:space="preserve">Treasury Laws Amendment (2023 Measures No. 1) Bill 2023 </w:t>
      </w:r>
      <w:r>
        <w:t>(</w:t>
      </w:r>
      <w:r w:rsidRPr="003A0DCC">
        <w:rPr>
          <w:b/>
          <w:bCs/>
          <w:i/>
          <w:iCs/>
        </w:rPr>
        <w:t>TLAB 1</w:t>
      </w:r>
      <w:r>
        <w:t xml:space="preserve">). The amendments, inter alia, give ASIC the power to use </w:t>
      </w:r>
      <w:r w:rsidR="00021E15">
        <w:t xml:space="preserve">assisted </w:t>
      </w:r>
      <w:r w:rsidR="004B66B2">
        <w:t>decision-making</w:t>
      </w:r>
      <w:r>
        <w:t xml:space="preserve"> systems when processing registration applications and facilitate </w:t>
      </w:r>
      <w:r w:rsidR="00BA7E80">
        <w:t>multiple</w:t>
      </w:r>
      <w:r>
        <w:t xml:space="preserve"> registration of </w:t>
      </w:r>
      <w:r w:rsidR="00C812E7">
        <w:t>relevant providers</w:t>
      </w:r>
      <w:r>
        <w:t>. TLAB 1 was introduced into the House of Representatives on 16 February 2023. On 9 March 2023</w:t>
      </w:r>
      <w:r w:rsidR="00B30140">
        <w:t xml:space="preserve"> </w:t>
      </w:r>
      <w:r>
        <w:t xml:space="preserve">TLAB 1 </w:t>
      </w:r>
      <w:r w:rsidR="00B30140">
        <w:t xml:space="preserve">was referred </w:t>
      </w:r>
      <w:r>
        <w:t xml:space="preserve">to the Senate Economics Legislation Committee for inquiry and report. The Committee’s report </w:t>
      </w:r>
      <w:r w:rsidR="00903971">
        <w:t>was</w:t>
      </w:r>
      <w:r>
        <w:t xml:space="preserve"> handed down on </w:t>
      </w:r>
      <w:r w:rsidR="00DD555A">
        <w:t>2 June</w:t>
      </w:r>
      <w:r>
        <w:t xml:space="preserve"> 2023.  </w:t>
      </w:r>
      <w:r w:rsidR="0082560C">
        <w:t xml:space="preserve">The Committee recommended that Schedule 1 to TLAB 1 be passed unamended. </w:t>
      </w:r>
    </w:p>
    <w:p w14:paraId="15C27E74" w14:textId="6CED2E89" w:rsidR="00BA2E34" w:rsidRPr="00875DF3" w:rsidRDefault="00363E17" w:rsidP="002733A2">
      <w:pPr>
        <w:pStyle w:val="LI-BodyTextNumbered"/>
        <w:rPr>
          <w:color w:val="000000"/>
          <w:shd w:val="clear" w:color="auto" w:fill="FFFFFF"/>
        </w:rPr>
      </w:pPr>
      <w:r>
        <w:t>The Instrument delays the Registration Requirement to 1 October 2023. It does this by</w:t>
      </w:r>
      <w:r>
        <w:rPr>
          <w:color w:val="000000"/>
          <w:shd w:val="clear" w:color="auto" w:fill="FFFFFF"/>
        </w:rPr>
        <w:t xml:space="preserve"> exempting AFS licensees and relevant providers (unless they are subject to a registration suspension or a registration prohibition order made by a Financial Services and Credit Panel </w:t>
      </w:r>
      <w:r w:rsidR="00B30140">
        <w:rPr>
          <w:color w:val="000000"/>
          <w:shd w:val="clear" w:color="auto" w:fill="FFFFFF"/>
        </w:rPr>
        <w:t xml:space="preserve">- </w:t>
      </w:r>
      <w:r>
        <w:rPr>
          <w:color w:val="000000"/>
          <w:shd w:val="clear" w:color="auto" w:fill="FFFFFF"/>
        </w:rPr>
        <w:t>see Division 8B of Part 7.6 of the Act) from the prohibitions contained in Subdivision A of Division 8C until 1 October 2023. The effect of this exemption is that relevant providers and AFS licensees can continue providing Financial Advice until 1 October 2023 without being registered</w:t>
      </w:r>
      <w:r w:rsidR="005A0940">
        <w:rPr>
          <w:color w:val="000000"/>
          <w:shd w:val="clear" w:color="auto" w:fill="FFFFFF"/>
        </w:rPr>
        <w:t>,</w:t>
      </w:r>
      <w:r w:rsidR="00DA6AA8">
        <w:rPr>
          <w:color w:val="000000"/>
          <w:shd w:val="clear" w:color="auto" w:fill="FFFFFF"/>
        </w:rPr>
        <w:t xml:space="preserve"> whilst </w:t>
      </w:r>
      <w:r w:rsidR="00334031">
        <w:rPr>
          <w:color w:val="000000"/>
          <w:shd w:val="clear" w:color="auto" w:fill="FFFFFF"/>
        </w:rPr>
        <w:t>ensuring that</w:t>
      </w:r>
      <w:r w:rsidR="00DA6AA8">
        <w:rPr>
          <w:color w:val="000000"/>
          <w:shd w:val="clear" w:color="auto" w:fill="FFFFFF"/>
        </w:rPr>
        <w:t xml:space="preserve"> the </w:t>
      </w:r>
      <w:r w:rsidR="00AE79CC">
        <w:rPr>
          <w:color w:val="000000"/>
          <w:shd w:val="clear" w:color="auto" w:fill="FFFFFF"/>
        </w:rPr>
        <w:t>registration</w:t>
      </w:r>
      <w:r w:rsidR="005C17EB">
        <w:rPr>
          <w:color w:val="000000"/>
          <w:shd w:val="clear" w:color="auto" w:fill="FFFFFF"/>
        </w:rPr>
        <w:t xml:space="preserve"> </w:t>
      </w:r>
      <w:r w:rsidR="00D849B1">
        <w:rPr>
          <w:color w:val="000000"/>
          <w:shd w:val="clear" w:color="auto" w:fill="FFFFFF"/>
        </w:rPr>
        <w:t xml:space="preserve">suspension and registration prohibition </w:t>
      </w:r>
      <w:r w:rsidR="00A840D1">
        <w:rPr>
          <w:color w:val="000000"/>
          <w:shd w:val="clear" w:color="auto" w:fill="FFFFFF"/>
        </w:rPr>
        <w:t>provisions</w:t>
      </w:r>
      <w:r w:rsidR="00334031">
        <w:rPr>
          <w:color w:val="000000"/>
          <w:shd w:val="clear" w:color="auto" w:fill="FFFFFF"/>
        </w:rPr>
        <w:t xml:space="preserve"> operate </w:t>
      </w:r>
      <w:r w:rsidR="00254BC6">
        <w:rPr>
          <w:color w:val="000000"/>
          <w:shd w:val="clear" w:color="auto" w:fill="FFFFFF"/>
        </w:rPr>
        <w:t xml:space="preserve">as </w:t>
      </w:r>
      <w:r w:rsidR="00AE6CB3">
        <w:rPr>
          <w:color w:val="000000"/>
          <w:shd w:val="clear" w:color="auto" w:fill="FFFFFF"/>
        </w:rPr>
        <w:t>intended</w:t>
      </w:r>
      <w:r w:rsidR="0060688D">
        <w:rPr>
          <w:color w:val="000000"/>
          <w:shd w:val="clear" w:color="auto" w:fill="FFFFFF"/>
        </w:rPr>
        <w:t>.</w:t>
      </w:r>
      <w:r>
        <w:rPr>
          <w:color w:val="000000"/>
          <w:shd w:val="clear" w:color="auto" w:fill="FFFFFF"/>
        </w:rPr>
        <w:t xml:space="preserve"> </w:t>
      </w:r>
      <w:r>
        <w:t>This additional</w:t>
      </w:r>
      <w:r w:rsidR="00D5012A">
        <w:t xml:space="preserve"> delay provides time</w:t>
      </w:r>
      <w:r w:rsidR="00D5012A" w:rsidRPr="00172873">
        <w:t xml:space="preserve"> for</w:t>
      </w:r>
      <w:r w:rsidR="00BA2E34">
        <w:t>:</w:t>
      </w:r>
    </w:p>
    <w:p w14:paraId="03D8B4F4" w14:textId="63088F7F" w:rsidR="00BA2E34" w:rsidRPr="00875DF3" w:rsidRDefault="00D5012A" w:rsidP="00D923E0">
      <w:pPr>
        <w:pStyle w:val="LI-BodyTextSubparai"/>
        <w:numPr>
          <w:ilvl w:val="1"/>
          <w:numId w:val="3"/>
        </w:numPr>
        <w:rPr>
          <w:color w:val="000000"/>
          <w:shd w:val="clear" w:color="auto" w:fill="FFFFFF"/>
        </w:rPr>
      </w:pPr>
      <w:r w:rsidRPr="00172873">
        <w:t xml:space="preserve">TLAB 1 to </w:t>
      </w:r>
      <w:r>
        <w:t xml:space="preserve">be further considered by </w:t>
      </w:r>
      <w:proofErr w:type="gramStart"/>
      <w:r>
        <w:t>Parliament</w:t>
      </w:r>
      <w:r w:rsidR="00BA2E34">
        <w:t>;</w:t>
      </w:r>
      <w:proofErr w:type="gramEnd"/>
    </w:p>
    <w:p w14:paraId="39C93183" w14:textId="6C62FDDB" w:rsidR="00BA2E34" w:rsidRPr="00875DF3" w:rsidRDefault="00363E17" w:rsidP="00D923E0">
      <w:pPr>
        <w:pStyle w:val="LI-BodyTextSubparai"/>
        <w:numPr>
          <w:ilvl w:val="1"/>
          <w:numId w:val="3"/>
        </w:numPr>
        <w:rPr>
          <w:color w:val="000000"/>
          <w:shd w:val="clear" w:color="auto" w:fill="FFFFFF"/>
        </w:rPr>
      </w:pPr>
      <w:r>
        <w:t xml:space="preserve">ASIC to implement TLAB 1 if </w:t>
      </w:r>
      <w:r w:rsidR="0049580D">
        <w:t>TLAB 1</w:t>
      </w:r>
      <w:r>
        <w:t xml:space="preserve"> is </w:t>
      </w:r>
      <w:proofErr w:type="gramStart"/>
      <w:r>
        <w:t>enacted</w:t>
      </w:r>
      <w:r w:rsidR="00BA2E34">
        <w:t>;</w:t>
      </w:r>
      <w:proofErr w:type="gramEnd"/>
      <w:r>
        <w:t xml:space="preserve"> </w:t>
      </w:r>
    </w:p>
    <w:p w14:paraId="343C1D53" w14:textId="012BFA25" w:rsidR="00BA2E34" w:rsidRPr="00875DF3" w:rsidRDefault="00363E17" w:rsidP="00D923E0">
      <w:pPr>
        <w:pStyle w:val="LI-BodyTextSubparai"/>
        <w:numPr>
          <w:ilvl w:val="1"/>
          <w:numId w:val="3"/>
        </w:numPr>
        <w:rPr>
          <w:color w:val="000000"/>
          <w:shd w:val="clear" w:color="auto" w:fill="FFFFFF"/>
        </w:rPr>
      </w:pPr>
      <w:r>
        <w:lastRenderedPageBreak/>
        <w:t>industry to understand its rights and obligations concerning the Registration Requirement</w:t>
      </w:r>
      <w:r w:rsidR="00BA2E34">
        <w:t>;</w:t>
      </w:r>
      <w:r>
        <w:t xml:space="preserve"> and </w:t>
      </w:r>
    </w:p>
    <w:p w14:paraId="7FBF7457" w14:textId="45C67E46" w:rsidR="00CA35ED" w:rsidRDefault="00363E17" w:rsidP="00D923E0">
      <w:pPr>
        <w:pStyle w:val="LI-BodyTextSubparai"/>
        <w:numPr>
          <w:ilvl w:val="1"/>
          <w:numId w:val="3"/>
        </w:numPr>
        <w:rPr>
          <w:color w:val="000000"/>
          <w:shd w:val="clear" w:color="auto" w:fill="FFFFFF"/>
        </w:rPr>
      </w:pPr>
      <w:r>
        <w:t xml:space="preserve">AFS licensees to register their relevant providers with ASIC prior to the Registration Requirement </w:t>
      </w:r>
      <w:r w:rsidR="0049580D">
        <w:t>c</w:t>
      </w:r>
      <w:r>
        <w:t xml:space="preserve">ommencing. </w:t>
      </w:r>
    </w:p>
    <w:p w14:paraId="317A4F54" w14:textId="77777777" w:rsidR="002733A2" w:rsidRPr="005525AE" w:rsidRDefault="002733A2" w:rsidP="002733A2">
      <w:pPr>
        <w:pStyle w:val="LI-Heading2"/>
      </w:pPr>
      <w:r w:rsidRPr="005525AE">
        <w:t>Consultation</w:t>
      </w:r>
    </w:p>
    <w:p w14:paraId="3C422574" w14:textId="5256749A" w:rsidR="002733A2" w:rsidRDefault="002733A2" w:rsidP="002733A2">
      <w:pPr>
        <w:pStyle w:val="LI-BodyTextNumbered"/>
      </w:pPr>
      <w:r w:rsidRPr="005525AE">
        <w:t xml:space="preserve">ASIC </w:t>
      </w:r>
      <w:r w:rsidR="0049580D">
        <w:t xml:space="preserve">has </w:t>
      </w:r>
      <w:r w:rsidRPr="005525AE">
        <w:t>consulted with Treasury</w:t>
      </w:r>
      <w:r w:rsidR="004067D9">
        <w:t xml:space="preserve"> and Government</w:t>
      </w:r>
      <w:r w:rsidR="008D6C4C">
        <w:t xml:space="preserve"> on a confidential basis</w:t>
      </w:r>
      <w:r>
        <w:t xml:space="preserve">. </w:t>
      </w:r>
      <w:r w:rsidR="004067D9">
        <w:t xml:space="preserve">Both </w:t>
      </w:r>
      <w:r>
        <w:t xml:space="preserve">Treasury </w:t>
      </w:r>
      <w:r w:rsidR="004067D9">
        <w:t xml:space="preserve">and Government </w:t>
      </w:r>
      <w:r>
        <w:t xml:space="preserve">support the </w:t>
      </w:r>
      <w:r w:rsidR="000A6C35">
        <w:t>I</w:t>
      </w:r>
      <w:r>
        <w:t>nstrument.</w:t>
      </w:r>
    </w:p>
    <w:p w14:paraId="3ED64C77" w14:textId="621F38E0" w:rsidR="00327307" w:rsidRPr="00327307" w:rsidRDefault="004D5191" w:rsidP="004D5191">
      <w:pPr>
        <w:pStyle w:val="LI-BodyTextNumbered"/>
      </w:pPr>
      <w:r>
        <w:t xml:space="preserve">ASIC has </w:t>
      </w:r>
      <w:r w:rsidR="00213D27">
        <w:t xml:space="preserve">also </w:t>
      </w:r>
      <w:r w:rsidR="00ED363B">
        <w:t>engaged</w:t>
      </w:r>
      <w:r w:rsidR="005263DE">
        <w:t xml:space="preserve"> with </w:t>
      </w:r>
      <w:r w:rsidR="00F72054">
        <w:t>the Office of Impact Analysis</w:t>
      </w:r>
      <w:r w:rsidR="001F59A9">
        <w:t xml:space="preserve"> (ref OIA23-05078).</w:t>
      </w:r>
      <w:r w:rsidR="00453CB4">
        <w:t xml:space="preserve"> It </w:t>
      </w:r>
      <w:r w:rsidR="00F10AA2">
        <w:t xml:space="preserve">considers that </w:t>
      </w:r>
      <w:r w:rsidR="00C66F8F">
        <w:t xml:space="preserve">the Instrument is unlikely to have </w:t>
      </w:r>
      <w:r w:rsidR="00C76DC7">
        <w:t>a more than minor impact</w:t>
      </w:r>
      <w:r w:rsidR="00C30427">
        <w:t xml:space="preserve"> and that the delay will not impose any adverse impact on relevant providers</w:t>
      </w:r>
      <w:r w:rsidR="001F59A9">
        <w:t>.</w:t>
      </w:r>
    </w:p>
    <w:p w14:paraId="50A3A81C" w14:textId="39664F87" w:rsidR="002733A2" w:rsidRPr="008300A6" w:rsidRDefault="002733A2" w:rsidP="008300A6">
      <w:pPr>
        <w:pStyle w:val="LI-BodyTextNumbered"/>
        <w:rPr>
          <w:color w:val="FF0000"/>
        </w:rPr>
      </w:pPr>
      <w:r>
        <w:t xml:space="preserve">Given the </w:t>
      </w:r>
      <w:r w:rsidR="00085E9B">
        <w:t>timing and</w:t>
      </w:r>
      <w:r w:rsidR="003D3B36">
        <w:t xml:space="preserve"> temporary</w:t>
      </w:r>
      <w:r w:rsidR="00085E9B">
        <w:t xml:space="preserve"> </w:t>
      </w:r>
      <w:r>
        <w:t xml:space="preserve">nature of the relief, </w:t>
      </w:r>
      <w:r w:rsidR="004E18EC">
        <w:t>no further consultation has been undertaken by ASIC.</w:t>
      </w:r>
    </w:p>
    <w:p w14:paraId="31751343" w14:textId="47E39FAD" w:rsidR="002733A2" w:rsidRPr="00583BA6" w:rsidRDefault="002733A2" w:rsidP="002733A2">
      <w:pPr>
        <w:pStyle w:val="LI-Heading2"/>
        <w:ind w:left="0" w:firstLine="0"/>
      </w:pPr>
      <w:r>
        <w:t>Operation of the Instrument</w:t>
      </w:r>
    </w:p>
    <w:p w14:paraId="7370CA0D" w14:textId="77777777" w:rsidR="002733A2" w:rsidRPr="00583BA6" w:rsidRDefault="002733A2" w:rsidP="002733A2">
      <w:pPr>
        <w:pStyle w:val="LI-Heading2"/>
        <w:spacing w:before="120" w:after="120"/>
        <w:rPr>
          <w:i/>
          <w:iCs/>
        </w:rPr>
      </w:pPr>
      <w:r w:rsidRPr="00940EE0">
        <w:rPr>
          <w:i/>
          <w:iCs/>
        </w:rPr>
        <w:t>Commencement</w:t>
      </w:r>
    </w:p>
    <w:p w14:paraId="49045753" w14:textId="77777777" w:rsidR="002733A2" w:rsidRDefault="002733A2" w:rsidP="002733A2">
      <w:pPr>
        <w:pStyle w:val="LI-BodyTextNumbered"/>
      </w:pPr>
      <w:r w:rsidRPr="00B9138C">
        <w:t xml:space="preserve">Section 2 of the Instrument provides that the Instrument commences on the day after the Instrument is registered on the Federal Register of Legislation. </w:t>
      </w:r>
    </w:p>
    <w:p w14:paraId="4696D5B5" w14:textId="77777777" w:rsidR="002733A2" w:rsidRPr="00583BA6" w:rsidRDefault="002733A2" w:rsidP="002733A2">
      <w:pPr>
        <w:autoSpaceDE w:val="0"/>
        <w:autoSpaceDN w:val="0"/>
        <w:adjustRightInd w:val="0"/>
        <w:spacing w:before="120" w:after="120" w:line="240" w:lineRule="auto"/>
        <w:rPr>
          <w:b/>
          <w:bCs/>
          <w:i/>
          <w:iCs/>
          <w:sz w:val="24"/>
          <w:szCs w:val="24"/>
        </w:rPr>
      </w:pPr>
      <w:r>
        <w:rPr>
          <w:b/>
          <w:bCs/>
          <w:i/>
          <w:iCs/>
          <w:sz w:val="24"/>
          <w:szCs w:val="24"/>
        </w:rPr>
        <w:t>Authority</w:t>
      </w:r>
    </w:p>
    <w:p w14:paraId="23915054" w14:textId="7FC8069C" w:rsidR="002733A2" w:rsidRDefault="002733A2" w:rsidP="002733A2">
      <w:pPr>
        <w:pStyle w:val="LI-BodyTextNumbered"/>
        <w:rPr>
          <w:rFonts w:eastAsiaTheme="minorHAnsi"/>
        </w:rPr>
      </w:pPr>
      <w:r w:rsidRPr="00731AC7">
        <w:t xml:space="preserve">Section 3 of the Instrument provides that the Instrument is made under </w:t>
      </w:r>
      <w:bookmarkStart w:id="8" w:name="_Hlk98423850"/>
      <w:r>
        <w:t>paragraph</w:t>
      </w:r>
      <w:r w:rsidRPr="00731AC7">
        <w:t xml:space="preserve"> 926A(2)(</w:t>
      </w:r>
      <w:r w:rsidR="00EA3565">
        <w:t>a</w:t>
      </w:r>
      <w:r w:rsidRPr="00731AC7">
        <w:t>)</w:t>
      </w:r>
      <w:bookmarkEnd w:id="8"/>
      <w:r w:rsidR="0049580D">
        <w:t xml:space="preserve"> of the Act</w:t>
      </w:r>
      <w:r w:rsidRPr="00731AC7">
        <w:t xml:space="preserve">. This subsection confers power on ASIC to </w:t>
      </w:r>
      <w:r w:rsidR="006E58B0">
        <w:t>exempt</w:t>
      </w:r>
      <w:r w:rsidR="000A6C35">
        <w:t xml:space="preserve"> a person or a class of persons</w:t>
      </w:r>
      <w:r w:rsidR="00C306AF">
        <w:t xml:space="preserve"> from all or </w:t>
      </w:r>
      <w:r w:rsidR="00F401A6">
        <w:t xml:space="preserve">specified provisions to which </w:t>
      </w:r>
      <w:r w:rsidR="00533BB0">
        <w:t>the provision applies</w:t>
      </w:r>
      <w:r w:rsidR="0052370F">
        <w:t xml:space="preserve">, being </w:t>
      </w:r>
      <w:r w:rsidR="001B7D8D">
        <w:t>all provisions in Part 7.6</w:t>
      </w:r>
      <w:r w:rsidR="00E71CA7">
        <w:t xml:space="preserve"> of the Act</w:t>
      </w:r>
      <w:r w:rsidR="00C05562">
        <w:t xml:space="preserve"> other than Divisions 4 and 8</w:t>
      </w:r>
      <w:r w:rsidR="000A6C35">
        <w:t xml:space="preserve">. </w:t>
      </w:r>
      <w:r w:rsidRPr="00731AC7">
        <w:rPr>
          <w:rFonts w:eastAsiaTheme="minorHAnsi"/>
        </w:rPr>
        <w:t xml:space="preserve"> </w:t>
      </w:r>
    </w:p>
    <w:p w14:paraId="18C37C9C" w14:textId="01F3417C" w:rsidR="002733A2" w:rsidRDefault="002733A2" w:rsidP="002733A2">
      <w:pPr>
        <w:pStyle w:val="LI-BodyTextNumbered"/>
        <w:rPr>
          <w:rFonts w:eastAsiaTheme="minorHAnsi"/>
        </w:rPr>
      </w:pPr>
      <w:r>
        <w:t>In particular, paragraph</w:t>
      </w:r>
      <w:r w:rsidRPr="00731AC7">
        <w:rPr>
          <w:rFonts w:eastAsiaTheme="minorHAnsi"/>
        </w:rPr>
        <w:t xml:space="preserve"> 926A(2)(</w:t>
      </w:r>
      <w:r w:rsidR="00533BB0">
        <w:rPr>
          <w:rFonts w:eastAsiaTheme="minorHAnsi"/>
        </w:rPr>
        <w:t>a</w:t>
      </w:r>
      <w:r w:rsidRPr="00731AC7">
        <w:rPr>
          <w:rFonts w:eastAsiaTheme="minorHAnsi"/>
        </w:rPr>
        <w:t xml:space="preserve">) </w:t>
      </w:r>
      <w:r>
        <w:rPr>
          <w:rFonts w:eastAsiaTheme="minorHAnsi"/>
        </w:rPr>
        <w:t xml:space="preserve">enables ASIC to </w:t>
      </w:r>
      <w:r w:rsidR="00533BB0">
        <w:rPr>
          <w:rFonts w:eastAsiaTheme="minorHAnsi"/>
        </w:rPr>
        <w:t xml:space="preserve">exempt </w:t>
      </w:r>
      <w:r w:rsidR="005A3E60">
        <w:rPr>
          <w:rFonts w:eastAsiaTheme="minorHAnsi"/>
        </w:rPr>
        <w:t xml:space="preserve">relevant providers and financial services licensees </w:t>
      </w:r>
      <w:r w:rsidR="00233776">
        <w:rPr>
          <w:rFonts w:eastAsiaTheme="minorHAnsi"/>
        </w:rPr>
        <w:t xml:space="preserve">from </w:t>
      </w:r>
      <w:r w:rsidR="004158C6">
        <w:rPr>
          <w:rFonts w:eastAsiaTheme="minorHAnsi"/>
        </w:rPr>
        <w:t xml:space="preserve">the requirements of </w:t>
      </w:r>
      <w:r w:rsidR="00241590">
        <w:t>Subdivision A of Division 8C</w:t>
      </w:r>
      <w:r w:rsidR="00EF6094">
        <w:t xml:space="preserve"> of Part 7.6 of the Act</w:t>
      </w:r>
      <w:r>
        <w:rPr>
          <w:rFonts w:eastAsiaTheme="minorHAnsi"/>
        </w:rPr>
        <w:t>.</w:t>
      </w:r>
    </w:p>
    <w:p w14:paraId="0E64275B" w14:textId="57977E41" w:rsidR="00845530" w:rsidRDefault="00B33BD7" w:rsidP="00F24DFD">
      <w:pPr>
        <w:pStyle w:val="LI-BodyTextNumbered"/>
        <w:rPr>
          <w:rFonts w:eastAsiaTheme="minorHAnsi"/>
        </w:rPr>
      </w:pPr>
      <w:r>
        <w:rPr>
          <w:rFonts w:eastAsiaTheme="minorHAnsi"/>
        </w:rPr>
        <w:t xml:space="preserve">Section 5 of the </w:t>
      </w:r>
      <w:r w:rsidR="008A3750">
        <w:rPr>
          <w:rFonts w:eastAsiaTheme="minorHAnsi"/>
        </w:rPr>
        <w:t>I</w:t>
      </w:r>
      <w:r>
        <w:rPr>
          <w:rFonts w:eastAsiaTheme="minorHAnsi"/>
        </w:rPr>
        <w:t xml:space="preserve">nstrument </w:t>
      </w:r>
      <w:r w:rsidR="005F24EC">
        <w:rPr>
          <w:rFonts w:eastAsiaTheme="minorHAnsi"/>
        </w:rPr>
        <w:t xml:space="preserve">provides </w:t>
      </w:r>
      <w:r w:rsidR="00E535F5">
        <w:rPr>
          <w:rFonts w:eastAsiaTheme="minorHAnsi"/>
        </w:rPr>
        <w:t xml:space="preserve">for the deferral of the requirement for relevant providers to be registered </w:t>
      </w:r>
      <w:r w:rsidR="001155B1">
        <w:rPr>
          <w:rFonts w:eastAsiaTheme="minorHAnsi"/>
        </w:rPr>
        <w:t>until 1 October 2023. Specifical</w:t>
      </w:r>
      <w:r w:rsidR="00290F25">
        <w:rPr>
          <w:rFonts w:eastAsiaTheme="minorHAnsi"/>
        </w:rPr>
        <w:t>ly, s</w:t>
      </w:r>
      <w:r w:rsidR="001F0467">
        <w:rPr>
          <w:rFonts w:eastAsiaTheme="minorHAnsi"/>
        </w:rPr>
        <w:t xml:space="preserve">ubsection </w:t>
      </w:r>
      <w:r w:rsidR="00BF738E">
        <w:rPr>
          <w:rFonts w:eastAsiaTheme="minorHAnsi"/>
        </w:rPr>
        <w:t>5</w:t>
      </w:r>
      <w:r w:rsidR="002B2BE2">
        <w:rPr>
          <w:rFonts w:eastAsiaTheme="minorHAnsi"/>
        </w:rPr>
        <w:t>(</w:t>
      </w:r>
      <w:r w:rsidR="00290F25">
        <w:rPr>
          <w:rFonts w:eastAsiaTheme="minorHAnsi"/>
        </w:rPr>
        <w:t>1</w:t>
      </w:r>
      <w:r w:rsidR="002B2BE2">
        <w:rPr>
          <w:rFonts w:eastAsiaTheme="minorHAnsi"/>
        </w:rPr>
        <w:t>)</w:t>
      </w:r>
      <w:r w:rsidR="00290F25">
        <w:rPr>
          <w:rFonts w:eastAsiaTheme="minorHAnsi"/>
        </w:rPr>
        <w:t xml:space="preserve"> provides that </w:t>
      </w:r>
      <w:r w:rsidR="006A6447">
        <w:rPr>
          <w:rFonts w:eastAsiaTheme="minorHAnsi"/>
        </w:rPr>
        <w:t>a relevant provider does not have to comply with s</w:t>
      </w:r>
      <w:r w:rsidR="00E302CA">
        <w:rPr>
          <w:rFonts w:eastAsiaTheme="minorHAnsi"/>
        </w:rPr>
        <w:t xml:space="preserve">ection </w:t>
      </w:r>
      <w:r w:rsidR="00355126">
        <w:rPr>
          <w:rFonts w:eastAsiaTheme="minorHAnsi"/>
        </w:rPr>
        <w:t>921Y of the Act until 1 October 2023</w:t>
      </w:r>
      <w:r w:rsidR="00FB56E9">
        <w:rPr>
          <w:rFonts w:eastAsiaTheme="minorHAnsi"/>
        </w:rPr>
        <w:t xml:space="preserve">. </w:t>
      </w:r>
      <w:r w:rsidR="0099234C">
        <w:rPr>
          <w:rFonts w:eastAsiaTheme="minorHAnsi"/>
        </w:rPr>
        <w:t>S</w:t>
      </w:r>
      <w:r w:rsidR="001F0467">
        <w:rPr>
          <w:rFonts w:eastAsiaTheme="minorHAnsi"/>
        </w:rPr>
        <w:t xml:space="preserve">ubsection </w:t>
      </w:r>
      <w:r w:rsidR="00BF738E">
        <w:rPr>
          <w:rFonts w:eastAsiaTheme="minorHAnsi"/>
        </w:rPr>
        <w:t>5</w:t>
      </w:r>
      <w:r w:rsidR="002B2BE2">
        <w:rPr>
          <w:rFonts w:eastAsiaTheme="minorHAnsi"/>
        </w:rPr>
        <w:t>(</w:t>
      </w:r>
      <w:r w:rsidR="00B031C3">
        <w:rPr>
          <w:rFonts w:eastAsiaTheme="minorHAnsi"/>
        </w:rPr>
        <w:t>2</w:t>
      </w:r>
      <w:r w:rsidR="002B2BE2">
        <w:rPr>
          <w:rFonts w:eastAsiaTheme="minorHAnsi"/>
        </w:rPr>
        <w:t>) provides that a financial services licensee does not have to comply with s</w:t>
      </w:r>
      <w:r w:rsidR="001F0467">
        <w:rPr>
          <w:rFonts w:eastAsiaTheme="minorHAnsi"/>
        </w:rPr>
        <w:t xml:space="preserve">ection </w:t>
      </w:r>
      <w:r w:rsidR="00A9680F">
        <w:rPr>
          <w:rFonts w:eastAsiaTheme="minorHAnsi"/>
        </w:rPr>
        <w:t>921Z of the Act in relation to a relevant provider until 1 October 2023.</w:t>
      </w:r>
    </w:p>
    <w:p w14:paraId="236EF19D" w14:textId="46DC055C" w:rsidR="009B20A6" w:rsidRDefault="009812C8" w:rsidP="009812C8">
      <w:pPr>
        <w:pStyle w:val="LI-BodyTextNumbered"/>
        <w:rPr>
          <w:rFonts w:eastAsiaTheme="minorHAnsi"/>
        </w:rPr>
      </w:pPr>
      <w:r>
        <w:rPr>
          <w:rFonts w:eastAsiaTheme="minorHAnsi"/>
        </w:rPr>
        <w:t>Section 6</w:t>
      </w:r>
      <w:r w:rsidR="00DF3C59">
        <w:rPr>
          <w:rFonts w:eastAsiaTheme="minorHAnsi"/>
        </w:rPr>
        <w:t xml:space="preserve"> of the Instrument</w:t>
      </w:r>
      <w:r>
        <w:rPr>
          <w:rFonts w:eastAsiaTheme="minorHAnsi"/>
        </w:rPr>
        <w:t xml:space="preserve"> provides </w:t>
      </w:r>
      <w:r w:rsidR="000E0D3C">
        <w:rPr>
          <w:rFonts w:eastAsiaTheme="minorHAnsi"/>
        </w:rPr>
        <w:t xml:space="preserve">for two </w:t>
      </w:r>
      <w:r w:rsidR="00D66227">
        <w:rPr>
          <w:rFonts w:eastAsiaTheme="minorHAnsi"/>
        </w:rPr>
        <w:t xml:space="preserve">scenarios where </w:t>
      </w:r>
      <w:r w:rsidR="008F071D">
        <w:rPr>
          <w:rFonts w:eastAsiaTheme="minorHAnsi"/>
        </w:rPr>
        <w:t xml:space="preserve">the exemption is not available. </w:t>
      </w:r>
      <w:r w:rsidR="009E4AEF">
        <w:rPr>
          <w:rFonts w:eastAsiaTheme="minorHAnsi"/>
        </w:rPr>
        <w:t xml:space="preserve">First, </w:t>
      </w:r>
      <w:r w:rsidR="00791C11">
        <w:rPr>
          <w:rFonts w:eastAsiaTheme="minorHAnsi"/>
        </w:rPr>
        <w:t>s</w:t>
      </w:r>
      <w:r w:rsidR="001F0467">
        <w:rPr>
          <w:rFonts w:eastAsiaTheme="minorHAnsi"/>
        </w:rPr>
        <w:t xml:space="preserve">ubsection </w:t>
      </w:r>
      <w:r w:rsidR="00791C11">
        <w:rPr>
          <w:rFonts w:eastAsiaTheme="minorHAnsi"/>
        </w:rPr>
        <w:t>6(1) provides that s</w:t>
      </w:r>
      <w:r w:rsidR="001F0467">
        <w:rPr>
          <w:rFonts w:eastAsiaTheme="minorHAnsi"/>
        </w:rPr>
        <w:t xml:space="preserve">ubsection </w:t>
      </w:r>
      <w:r w:rsidR="00791C11">
        <w:rPr>
          <w:rFonts w:eastAsiaTheme="minorHAnsi"/>
        </w:rPr>
        <w:t xml:space="preserve">5(1) </w:t>
      </w:r>
      <w:r w:rsidR="002A4C02">
        <w:rPr>
          <w:rFonts w:eastAsiaTheme="minorHAnsi"/>
        </w:rPr>
        <w:t xml:space="preserve">does not apply </w:t>
      </w:r>
      <w:r w:rsidR="0090283E">
        <w:rPr>
          <w:rFonts w:eastAsiaTheme="minorHAnsi"/>
        </w:rPr>
        <w:t xml:space="preserve">to a relevant provider if an order </w:t>
      </w:r>
      <w:r w:rsidR="00024EC4">
        <w:rPr>
          <w:rFonts w:eastAsiaTheme="minorHAnsi"/>
        </w:rPr>
        <w:t>of a kind specified in</w:t>
      </w:r>
      <w:r w:rsidR="0090283E">
        <w:rPr>
          <w:rFonts w:eastAsiaTheme="minorHAnsi"/>
        </w:rPr>
        <w:t xml:space="preserve"> paragraph 921L(1)(b) </w:t>
      </w:r>
      <w:r w:rsidR="00A76999">
        <w:rPr>
          <w:rFonts w:eastAsiaTheme="minorHAnsi"/>
        </w:rPr>
        <w:t xml:space="preserve">or (c) </w:t>
      </w:r>
      <w:r w:rsidR="0090283E">
        <w:rPr>
          <w:rFonts w:eastAsiaTheme="minorHAnsi"/>
        </w:rPr>
        <w:t xml:space="preserve">of the Act is in force </w:t>
      </w:r>
      <w:r w:rsidR="00470D76">
        <w:rPr>
          <w:rFonts w:eastAsiaTheme="minorHAnsi"/>
        </w:rPr>
        <w:t>against a relevant provider</w:t>
      </w:r>
      <w:r w:rsidR="0073724C">
        <w:rPr>
          <w:rFonts w:eastAsiaTheme="minorHAnsi"/>
        </w:rPr>
        <w:t>.</w:t>
      </w:r>
      <w:r w:rsidR="009E4AEF">
        <w:rPr>
          <w:rFonts w:eastAsiaTheme="minorHAnsi"/>
        </w:rPr>
        <w:t xml:space="preserve"> Second, s</w:t>
      </w:r>
      <w:r w:rsidR="001F0467">
        <w:rPr>
          <w:rFonts w:eastAsiaTheme="minorHAnsi"/>
        </w:rPr>
        <w:t xml:space="preserve">ubsection </w:t>
      </w:r>
      <w:r w:rsidR="00791C11">
        <w:rPr>
          <w:rFonts w:eastAsiaTheme="minorHAnsi"/>
        </w:rPr>
        <w:t>6</w:t>
      </w:r>
      <w:r w:rsidR="009E4AEF">
        <w:rPr>
          <w:rFonts w:eastAsiaTheme="minorHAnsi"/>
        </w:rPr>
        <w:t xml:space="preserve">(2) </w:t>
      </w:r>
      <w:r w:rsidR="00E243B6">
        <w:rPr>
          <w:rFonts w:eastAsiaTheme="minorHAnsi"/>
        </w:rPr>
        <w:t xml:space="preserve">of the Instrument </w:t>
      </w:r>
      <w:r w:rsidR="00791C11">
        <w:rPr>
          <w:rFonts w:eastAsiaTheme="minorHAnsi"/>
        </w:rPr>
        <w:t>provides that s</w:t>
      </w:r>
      <w:r w:rsidR="001A4F02">
        <w:rPr>
          <w:rFonts w:eastAsiaTheme="minorHAnsi"/>
        </w:rPr>
        <w:t xml:space="preserve">ubsection </w:t>
      </w:r>
      <w:r w:rsidR="00791C11">
        <w:rPr>
          <w:rFonts w:eastAsiaTheme="minorHAnsi"/>
        </w:rPr>
        <w:t xml:space="preserve">5(2) </w:t>
      </w:r>
      <w:r w:rsidR="00E243B6">
        <w:rPr>
          <w:rFonts w:eastAsiaTheme="minorHAnsi"/>
        </w:rPr>
        <w:t xml:space="preserve">does not apply </w:t>
      </w:r>
      <w:r w:rsidR="001F64BE">
        <w:rPr>
          <w:rFonts w:eastAsiaTheme="minorHAnsi"/>
        </w:rPr>
        <w:t>to a financial services licensee in relation to a relevant provider i</w:t>
      </w:r>
      <w:r w:rsidR="001A4F02">
        <w:rPr>
          <w:rFonts w:eastAsiaTheme="minorHAnsi"/>
        </w:rPr>
        <w:t>f</w:t>
      </w:r>
      <w:r w:rsidR="001F64BE">
        <w:rPr>
          <w:rFonts w:eastAsiaTheme="minorHAnsi"/>
        </w:rPr>
        <w:t xml:space="preserve"> an order </w:t>
      </w:r>
      <w:r w:rsidR="00024EC4">
        <w:rPr>
          <w:rFonts w:eastAsiaTheme="minorHAnsi"/>
        </w:rPr>
        <w:t xml:space="preserve">of a kind specified in </w:t>
      </w:r>
      <w:r w:rsidR="001F64BE">
        <w:rPr>
          <w:rFonts w:eastAsiaTheme="minorHAnsi"/>
        </w:rPr>
        <w:t xml:space="preserve">paragraph </w:t>
      </w:r>
      <w:r w:rsidR="003255CC">
        <w:rPr>
          <w:rFonts w:eastAsiaTheme="minorHAnsi"/>
        </w:rPr>
        <w:t>921L</w:t>
      </w:r>
      <w:r w:rsidR="00955D20">
        <w:rPr>
          <w:rFonts w:eastAsiaTheme="minorHAnsi"/>
        </w:rPr>
        <w:t>(1)(</w:t>
      </w:r>
      <w:r w:rsidR="00DF1F36">
        <w:rPr>
          <w:rFonts w:eastAsiaTheme="minorHAnsi"/>
        </w:rPr>
        <w:t xml:space="preserve">b) or (c) </w:t>
      </w:r>
      <w:r w:rsidR="00EE6C16">
        <w:rPr>
          <w:rFonts w:eastAsiaTheme="minorHAnsi"/>
        </w:rPr>
        <w:t>of the Act is in force against the relevant provider.</w:t>
      </w:r>
    </w:p>
    <w:p w14:paraId="4F4C3C42" w14:textId="4306B0F8" w:rsidR="00791C11" w:rsidRPr="00791C11" w:rsidRDefault="00791C11" w:rsidP="00791C11">
      <w:pPr>
        <w:pStyle w:val="LI-BodyTextNumbered"/>
        <w:rPr>
          <w:rFonts w:eastAsiaTheme="minorHAnsi"/>
        </w:rPr>
      </w:pPr>
      <w:r>
        <w:rPr>
          <w:rFonts w:eastAsiaTheme="minorHAnsi"/>
        </w:rPr>
        <w:t xml:space="preserve">Section 7 of the Instrument provides that </w:t>
      </w:r>
      <w:r w:rsidR="00D725D8">
        <w:rPr>
          <w:rFonts w:eastAsiaTheme="minorHAnsi"/>
        </w:rPr>
        <w:t xml:space="preserve">the Instrument is </w:t>
      </w:r>
      <w:r w:rsidR="00DF3C59">
        <w:rPr>
          <w:rFonts w:eastAsiaTheme="minorHAnsi"/>
        </w:rPr>
        <w:t>to be repealed at the start of 1 October 2023.</w:t>
      </w:r>
    </w:p>
    <w:p w14:paraId="495C1DDB" w14:textId="77777777" w:rsidR="002733A2" w:rsidRPr="001D24AB" w:rsidRDefault="002733A2" w:rsidP="002733A2">
      <w:pPr>
        <w:autoSpaceDE w:val="0"/>
        <w:autoSpaceDN w:val="0"/>
        <w:adjustRightInd w:val="0"/>
        <w:spacing w:before="120" w:after="120" w:line="240" w:lineRule="auto"/>
        <w:rPr>
          <w:i/>
          <w:iCs/>
          <w:sz w:val="24"/>
          <w:szCs w:val="24"/>
        </w:rPr>
      </w:pPr>
      <w:bookmarkStart w:id="9" w:name="_Hlk98225698"/>
      <w:bookmarkEnd w:id="3"/>
      <w:r w:rsidRPr="00583BA6">
        <w:rPr>
          <w:b/>
          <w:bCs/>
          <w:i/>
          <w:iCs/>
          <w:sz w:val="24"/>
          <w:szCs w:val="24"/>
        </w:rPr>
        <w:lastRenderedPageBreak/>
        <w:t>Incorporation by Reference</w:t>
      </w:r>
    </w:p>
    <w:p w14:paraId="6DF240E8" w14:textId="77777777" w:rsidR="002733A2" w:rsidRDefault="002733A2" w:rsidP="002733A2">
      <w:pPr>
        <w:pStyle w:val="LI-BodyTextNumbered"/>
        <w:rPr>
          <w:u w:val="single"/>
        </w:rPr>
      </w:pPr>
      <w:r w:rsidRPr="001D24AB">
        <w:t xml:space="preserve">The </w:t>
      </w:r>
      <w:r w:rsidRPr="002E1D1F">
        <w:t>Instrument</w:t>
      </w:r>
      <w:r w:rsidRPr="001D24AB">
        <w:t xml:space="preserve"> does not incorporate any matter by reference for the purposes of section 14 of the</w:t>
      </w:r>
      <w:r w:rsidRPr="001D24AB">
        <w:rPr>
          <w:i/>
          <w:iCs/>
        </w:rPr>
        <w:t xml:space="preserve"> Legislation Act 2003</w:t>
      </w:r>
      <w:r w:rsidRPr="001D24AB">
        <w:t>.</w:t>
      </w:r>
    </w:p>
    <w:p w14:paraId="01B10922" w14:textId="77777777" w:rsidR="002733A2" w:rsidRPr="00583BA6" w:rsidRDefault="002733A2" w:rsidP="002733A2">
      <w:pPr>
        <w:autoSpaceDE w:val="0"/>
        <w:autoSpaceDN w:val="0"/>
        <w:adjustRightInd w:val="0"/>
        <w:spacing w:before="240" w:after="240" w:line="240" w:lineRule="auto"/>
        <w:rPr>
          <w:b/>
          <w:bCs/>
          <w:i/>
          <w:iCs/>
          <w:sz w:val="24"/>
          <w:szCs w:val="24"/>
        </w:rPr>
      </w:pPr>
      <w:r w:rsidRPr="00583BA6">
        <w:rPr>
          <w:b/>
          <w:bCs/>
          <w:i/>
          <w:iCs/>
          <w:sz w:val="24"/>
          <w:szCs w:val="24"/>
        </w:rPr>
        <w:t>Legislative instrument and primary legislation</w:t>
      </w:r>
    </w:p>
    <w:p w14:paraId="7FB812C6" w14:textId="3B7C92DE" w:rsidR="002733A2" w:rsidRPr="00BF3C5A" w:rsidRDefault="002733A2" w:rsidP="002733A2">
      <w:pPr>
        <w:pStyle w:val="LI-BodyTextNumbered"/>
      </w:pPr>
      <w:r>
        <w:t xml:space="preserve">ASIC considers that </w:t>
      </w:r>
      <w:r w:rsidR="00A5613C">
        <w:t xml:space="preserve">a delay to the Registration Requirement is necessary, and that </w:t>
      </w:r>
      <w:r w:rsidR="006C1F32">
        <w:t xml:space="preserve">making a </w:t>
      </w:r>
      <w:r w:rsidRPr="00BF3C5A">
        <w:t>legislative instrument</w:t>
      </w:r>
      <w:r w:rsidR="006C1F32">
        <w:t xml:space="preserve"> is </w:t>
      </w:r>
      <w:r w:rsidR="00D06BFD">
        <w:t xml:space="preserve">an </w:t>
      </w:r>
      <w:r w:rsidR="006C1F32">
        <w:t>appropriate</w:t>
      </w:r>
      <w:r w:rsidR="00D06BFD">
        <w:t xml:space="preserve"> mechanism</w:t>
      </w:r>
      <w:r w:rsidR="006C1F32">
        <w:t xml:space="preserve"> to implement the delay</w:t>
      </w:r>
      <w:r w:rsidR="00A5613C">
        <w:t>,</w:t>
      </w:r>
      <w:r w:rsidR="006C1F32">
        <w:t xml:space="preserve"> because</w:t>
      </w:r>
      <w:r w:rsidRPr="00BF3C5A">
        <w:t xml:space="preserve">: </w:t>
      </w:r>
    </w:p>
    <w:p w14:paraId="4AB76347" w14:textId="141F1FC7" w:rsidR="006C1F32" w:rsidRDefault="006C1F32" w:rsidP="00D07F16">
      <w:pPr>
        <w:pStyle w:val="LI-BodyTextSubparai"/>
        <w:ind w:left="993" w:hanging="567"/>
      </w:pPr>
      <w:r>
        <w:t>this a temporary interim measure; and</w:t>
      </w:r>
      <w:r w:rsidDel="006C1F32">
        <w:t xml:space="preserve"> </w:t>
      </w:r>
    </w:p>
    <w:p w14:paraId="0F953A49" w14:textId="53E0E6A0" w:rsidR="000B6C0B" w:rsidRDefault="002733A2" w:rsidP="00D07F16">
      <w:pPr>
        <w:pStyle w:val="LI-BodyTextSubparai"/>
        <w:ind w:left="993" w:hanging="567"/>
      </w:pPr>
      <w:r>
        <w:t>absent the making of the Instrument</w:t>
      </w:r>
      <w:r w:rsidR="00B80A37">
        <w:t>, there will be insufficient time for:</w:t>
      </w:r>
    </w:p>
    <w:p w14:paraId="01EC90FF" w14:textId="501E3176" w:rsidR="00B80A37" w:rsidRPr="00156FA4" w:rsidRDefault="006C1F32" w:rsidP="00156FA4">
      <w:pPr>
        <w:pStyle w:val="LI-BodyTextSubparai"/>
        <w:numPr>
          <w:ilvl w:val="2"/>
          <w:numId w:val="1"/>
        </w:numPr>
        <w:ind w:left="1418" w:hanging="425"/>
      </w:pPr>
      <w:r>
        <w:rPr>
          <w:shd w:val="clear" w:color="auto" w:fill="FFFFFF"/>
        </w:rPr>
        <w:t xml:space="preserve">TLAB 1 to be </w:t>
      </w:r>
      <w:r w:rsidR="003D3B36">
        <w:rPr>
          <w:shd w:val="clear" w:color="auto" w:fill="FFFFFF"/>
        </w:rPr>
        <w:t xml:space="preserve">considered by Parliament </w:t>
      </w:r>
      <w:r w:rsidR="00B80A37">
        <w:rPr>
          <w:shd w:val="clear" w:color="auto" w:fill="FFFFFF"/>
        </w:rPr>
        <w:t>and</w:t>
      </w:r>
      <w:r w:rsidR="003D3B36">
        <w:rPr>
          <w:shd w:val="clear" w:color="auto" w:fill="FFFFFF"/>
        </w:rPr>
        <w:t>, if enacted,</w:t>
      </w:r>
      <w:r>
        <w:rPr>
          <w:shd w:val="clear" w:color="auto" w:fill="FFFFFF"/>
        </w:rPr>
        <w:t xml:space="preserve"> implemented by </w:t>
      </w:r>
      <w:proofErr w:type="gramStart"/>
      <w:r>
        <w:rPr>
          <w:shd w:val="clear" w:color="auto" w:fill="FFFFFF"/>
        </w:rPr>
        <w:t>ASIC</w:t>
      </w:r>
      <w:r w:rsidR="00281699">
        <w:rPr>
          <w:shd w:val="clear" w:color="auto" w:fill="FFFFFF"/>
        </w:rPr>
        <w:t>;</w:t>
      </w:r>
      <w:proofErr w:type="gramEnd"/>
    </w:p>
    <w:p w14:paraId="1B63E855" w14:textId="624272C0" w:rsidR="006C1F32" w:rsidRPr="00156FA4" w:rsidRDefault="00B80A37" w:rsidP="00156FA4">
      <w:pPr>
        <w:pStyle w:val="LI-BodyTextSubparai"/>
        <w:numPr>
          <w:ilvl w:val="2"/>
          <w:numId w:val="1"/>
        </w:numPr>
        <w:ind w:left="1418" w:hanging="425"/>
      </w:pPr>
      <w:r>
        <w:rPr>
          <w:shd w:val="clear" w:color="auto" w:fill="FFFFFF"/>
        </w:rPr>
        <w:t>affected</w:t>
      </w:r>
      <w:r>
        <w:t xml:space="preserve"> relevant providers and their AFS licensees to understand</w:t>
      </w:r>
      <w:r w:rsidR="00281699">
        <w:t xml:space="preserve"> and take steps to comply with</w:t>
      </w:r>
      <w:r>
        <w:t xml:space="preserve"> the Registration Requirement (including any amendments made to the Registration Requirement by TLAB 1) prior to 1 July 2023; and</w:t>
      </w:r>
    </w:p>
    <w:p w14:paraId="24FA7D0C" w14:textId="315C61C5" w:rsidR="000B6C0B" w:rsidRDefault="00B80A37" w:rsidP="00156FA4">
      <w:pPr>
        <w:pStyle w:val="LI-BodyTextSubparai"/>
        <w:numPr>
          <w:ilvl w:val="2"/>
          <w:numId w:val="1"/>
        </w:numPr>
        <w:ind w:left="1418" w:hanging="425"/>
      </w:pPr>
      <w:r>
        <w:t xml:space="preserve">AFS licensees to </w:t>
      </w:r>
      <w:r w:rsidR="00E4438E">
        <w:t>register their</w:t>
      </w:r>
      <w:r>
        <w:t xml:space="preserve"> relevant providers</w:t>
      </w:r>
      <w:r>
        <w:rPr>
          <w:rStyle w:val="FootnoteReference"/>
        </w:rPr>
        <w:footnoteReference w:id="4"/>
      </w:r>
      <w:r>
        <w:t xml:space="preserve"> </w:t>
      </w:r>
      <w:r w:rsidR="00E4438E">
        <w:t>prior to</w:t>
      </w:r>
      <w:r>
        <w:t xml:space="preserve"> 1 July 2023</w:t>
      </w:r>
      <w:r w:rsidR="00B101F5">
        <w:t>; and</w:t>
      </w:r>
    </w:p>
    <w:p w14:paraId="67191F8F" w14:textId="25591721" w:rsidR="002733A2" w:rsidRDefault="00D960FC" w:rsidP="00156FA4">
      <w:pPr>
        <w:pStyle w:val="LI-BodyTextSubparai"/>
        <w:ind w:left="993" w:hanging="567"/>
      </w:pPr>
      <w:r>
        <w:t>a</w:t>
      </w:r>
      <w:r w:rsidR="00B101F5">
        <w:t>bsent the making of the Instrument, t</w:t>
      </w:r>
      <w:r w:rsidR="00281699">
        <w:t xml:space="preserve">here </w:t>
      </w:r>
      <w:r w:rsidR="005334FA" w:rsidRPr="00E4438E">
        <w:rPr>
          <w:shd w:val="clear" w:color="auto" w:fill="FFFFFF"/>
        </w:rPr>
        <w:t xml:space="preserve">will be </w:t>
      </w:r>
      <w:r w:rsidR="002733A2" w:rsidRPr="00E4438E">
        <w:rPr>
          <w:shd w:val="clear" w:color="auto" w:fill="FFFFFF"/>
        </w:rPr>
        <w:t xml:space="preserve">fewer </w:t>
      </w:r>
      <w:r w:rsidR="00281699">
        <w:rPr>
          <w:shd w:val="clear" w:color="auto" w:fill="FFFFFF"/>
        </w:rPr>
        <w:t>relevant providers</w:t>
      </w:r>
      <w:r w:rsidR="002733A2" w:rsidRPr="00E4438E">
        <w:rPr>
          <w:shd w:val="clear" w:color="auto" w:fill="FFFFFF"/>
        </w:rPr>
        <w:t xml:space="preserve"> who are </w:t>
      </w:r>
      <w:r w:rsidR="000D259E" w:rsidRPr="00E4438E">
        <w:rPr>
          <w:shd w:val="clear" w:color="auto" w:fill="FFFFFF"/>
        </w:rPr>
        <w:t>able</w:t>
      </w:r>
      <w:r w:rsidR="002733A2" w:rsidRPr="00E4438E">
        <w:rPr>
          <w:shd w:val="clear" w:color="auto" w:fill="FFFFFF"/>
        </w:rPr>
        <w:t xml:space="preserve"> to provide </w:t>
      </w:r>
      <w:r w:rsidR="00281699">
        <w:rPr>
          <w:shd w:val="clear" w:color="auto" w:fill="FFFFFF"/>
        </w:rPr>
        <w:t>personal advice</w:t>
      </w:r>
      <w:r w:rsidR="002733A2" w:rsidRPr="00E4438E">
        <w:rPr>
          <w:shd w:val="clear" w:color="auto" w:fill="FFFFFF"/>
        </w:rPr>
        <w:t xml:space="preserve"> in the</w:t>
      </w:r>
      <w:r w:rsidR="00E4438E">
        <w:rPr>
          <w:shd w:val="clear" w:color="auto" w:fill="FFFFFF"/>
        </w:rPr>
        <w:t xml:space="preserve"> </w:t>
      </w:r>
      <w:r w:rsidR="002733A2" w:rsidRPr="00E4438E">
        <w:rPr>
          <w:shd w:val="clear" w:color="auto" w:fill="FFFFFF"/>
        </w:rPr>
        <w:t>short-term</w:t>
      </w:r>
      <w:r w:rsidR="000D259E" w:rsidRPr="00E4438E">
        <w:rPr>
          <w:shd w:val="clear" w:color="auto" w:fill="FFFFFF"/>
        </w:rPr>
        <w:t xml:space="preserve"> and </w:t>
      </w:r>
      <w:r w:rsidR="00281699">
        <w:rPr>
          <w:shd w:val="clear" w:color="auto" w:fill="FFFFFF"/>
        </w:rPr>
        <w:t>likely a high</w:t>
      </w:r>
      <w:r w:rsidR="00DD17B4">
        <w:rPr>
          <w:shd w:val="clear" w:color="auto" w:fill="FFFFFF"/>
        </w:rPr>
        <w:t xml:space="preserve"> </w:t>
      </w:r>
      <w:r w:rsidR="00281699">
        <w:rPr>
          <w:shd w:val="clear" w:color="auto" w:fill="FFFFFF"/>
        </w:rPr>
        <w:t>rate of</w:t>
      </w:r>
      <w:r w:rsidR="000D259E" w:rsidRPr="00E4438E">
        <w:rPr>
          <w:shd w:val="clear" w:color="auto" w:fill="FFFFFF"/>
        </w:rPr>
        <w:t xml:space="preserve"> inadvertent non-compliance</w:t>
      </w:r>
      <w:r w:rsidR="002733A2" w:rsidRPr="00E4438E">
        <w:rPr>
          <w:shd w:val="clear" w:color="auto" w:fill="FFFFFF"/>
        </w:rPr>
        <w:t xml:space="preserve">. This </w:t>
      </w:r>
      <w:r w:rsidR="005334FA" w:rsidRPr="00E4438E">
        <w:rPr>
          <w:shd w:val="clear" w:color="auto" w:fill="FFFFFF"/>
        </w:rPr>
        <w:t xml:space="preserve">will </w:t>
      </w:r>
      <w:r w:rsidR="00EB2803" w:rsidRPr="00E4438E">
        <w:rPr>
          <w:shd w:val="clear" w:color="auto" w:fill="FFFFFF"/>
        </w:rPr>
        <w:t xml:space="preserve">have a </w:t>
      </w:r>
      <w:r w:rsidR="005334FA" w:rsidRPr="00E4438E">
        <w:rPr>
          <w:shd w:val="clear" w:color="auto" w:fill="FFFFFF"/>
        </w:rPr>
        <w:t>negative</w:t>
      </w:r>
      <w:r w:rsidR="00EB2803" w:rsidRPr="00E4438E">
        <w:rPr>
          <w:shd w:val="clear" w:color="auto" w:fill="FFFFFF"/>
        </w:rPr>
        <w:t xml:space="preserve"> impact on</w:t>
      </w:r>
      <w:r w:rsidR="002733A2" w:rsidRPr="00E4438E">
        <w:rPr>
          <w:shd w:val="clear" w:color="auto" w:fill="FFFFFF"/>
        </w:rPr>
        <w:t xml:space="preserve"> consumers</w:t>
      </w:r>
      <w:r w:rsidR="00281699">
        <w:rPr>
          <w:shd w:val="clear" w:color="auto" w:fill="FFFFFF"/>
        </w:rPr>
        <w:t xml:space="preserve"> and industry.</w:t>
      </w:r>
      <w:r w:rsidR="002733A2" w:rsidRPr="00E4438E">
        <w:rPr>
          <w:shd w:val="clear" w:color="auto" w:fill="FFFFFF"/>
        </w:rPr>
        <w:t xml:space="preserve"> </w:t>
      </w:r>
    </w:p>
    <w:p w14:paraId="49DCAD2E" w14:textId="77777777" w:rsidR="002733A2" w:rsidRPr="00302A9F" w:rsidRDefault="002733A2" w:rsidP="002733A2">
      <w:pPr>
        <w:pStyle w:val="LI-BodyTextNumbered"/>
        <w:numPr>
          <w:ilvl w:val="0"/>
          <w:numId w:val="0"/>
        </w:numPr>
        <w:rPr>
          <w:b/>
        </w:rPr>
      </w:pPr>
      <w:r w:rsidRPr="00302A9F">
        <w:rPr>
          <w:b/>
        </w:rPr>
        <w:t>Legislative Authority</w:t>
      </w:r>
      <w:r>
        <w:rPr>
          <w:b/>
        </w:rPr>
        <w:t xml:space="preserve"> and duration</w:t>
      </w:r>
    </w:p>
    <w:p w14:paraId="5D6A834A" w14:textId="18EB871D" w:rsidR="002733A2" w:rsidRDefault="002733A2" w:rsidP="00922E78">
      <w:pPr>
        <w:pStyle w:val="LI-BodyTextNumbered"/>
      </w:pPr>
      <w:r w:rsidRPr="008B6735">
        <w:t>This Instrument is made under paragraph 926A(2)(</w:t>
      </w:r>
      <w:r w:rsidR="00AA0ACC">
        <w:t>a</w:t>
      </w:r>
      <w:r w:rsidRPr="008B6735">
        <w:t xml:space="preserve">) and is a disallowable instrument under the </w:t>
      </w:r>
      <w:r w:rsidRPr="008B6735">
        <w:rPr>
          <w:i/>
          <w:iCs/>
        </w:rPr>
        <w:t>Legislation</w:t>
      </w:r>
      <w:r w:rsidRPr="008B6735">
        <w:t xml:space="preserve"> Act </w:t>
      </w:r>
      <w:r w:rsidRPr="008B6735">
        <w:rPr>
          <w:i/>
          <w:iCs/>
        </w:rPr>
        <w:t>2003</w:t>
      </w:r>
      <w:r w:rsidRPr="008B6735">
        <w:t>.</w:t>
      </w:r>
      <w:r>
        <w:t xml:space="preserve"> The Instrument continues in force </w:t>
      </w:r>
      <w:r w:rsidR="00281699">
        <w:t xml:space="preserve">until 1 </w:t>
      </w:r>
      <w:r w:rsidR="00922E78">
        <w:t>October</w:t>
      </w:r>
      <w:r w:rsidR="00281699">
        <w:t xml:space="preserve"> 2023.</w:t>
      </w:r>
      <w:r>
        <w:t xml:space="preserve"> </w:t>
      </w:r>
      <w:r w:rsidR="00922E78">
        <w:t>ASIC considers that t</w:t>
      </w:r>
      <w:r w:rsidR="000D259E">
        <w:t>his</w:t>
      </w:r>
      <w:r>
        <w:t xml:space="preserve"> duration provides sufficient time for </w:t>
      </w:r>
      <w:r w:rsidR="000D259E">
        <w:t>TLAB 1 to take effect</w:t>
      </w:r>
      <w:r w:rsidR="008374D0">
        <w:t xml:space="preserve"> (if enacted)</w:t>
      </w:r>
      <w:r w:rsidR="000D259E">
        <w:t xml:space="preserve">, and for relevant providers and AFS licensees to take </w:t>
      </w:r>
      <w:r w:rsidR="009377CF">
        <w:t xml:space="preserve">the </w:t>
      </w:r>
      <w:r w:rsidR="000D259E">
        <w:t>necessary steps</w:t>
      </w:r>
      <w:r w:rsidR="009377CF">
        <w:t xml:space="preserve"> to ensure all relevant providers</w:t>
      </w:r>
      <w:r w:rsidR="009377CF">
        <w:rPr>
          <w:rStyle w:val="FootnoteReference"/>
        </w:rPr>
        <w:footnoteReference w:id="5"/>
      </w:r>
      <w:r w:rsidR="009377CF">
        <w:t xml:space="preserve"> are registered</w:t>
      </w:r>
      <w:r w:rsidR="00922E78">
        <w:t xml:space="preserve"> prior to the commencement of the Registration Requirement</w:t>
      </w:r>
      <w:r w:rsidR="000D259E">
        <w:t xml:space="preserve">. </w:t>
      </w:r>
      <w:r w:rsidR="00922E78">
        <w:t xml:space="preserve">ASIC will monitor the progress of TLAB 1 and may seek to modify the Instrument if it appears its purpose will not be achieved. </w:t>
      </w:r>
    </w:p>
    <w:p w14:paraId="5A3B8E9D" w14:textId="77777777" w:rsidR="002733A2" w:rsidRPr="00FD3724" w:rsidRDefault="002733A2" w:rsidP="002733A2">
      <w:pPr>
        <w:pStyle w:val="LI-BodyTextParaa"/>
        <w:ind w:left="567"/>
        <w:rPr>
          <w:b/>
        </w:rPr>
      </w:pPr>
      <w:r w:rsidRPr="00FD3724">
        <w:rPr>
          <w:b/>
        </w:rPr>
        <w:t xml:space="preserve">Statement of </w:t>
      </w:r>
      <w:bookmarkEnd w:id="9"/>
      <w:r w:rsidRPr="00FD3724">
        <w:rPr>
          <w:b/>
        </w:rPr>
        <w:t xml:space="preserve">Compatibility with Human Rights  </w:t>
      </w:r>
    </w:p>
    <w:p w14:paraId="39DB09FB" w14:textId="54438F94" w:rsidR="002733A2" w:rsidRPr="00FD3724" w:rsidRDefault="002733A2" w:rsidP="002733A2">
      <w:pPr>
        <w:pStyle w:val="LI-BodyTextNumbered"/>
      </w:pPr>
      <w:r w:rsidRPr="00FD3724">
        <w:t xml:space="preserve">The Explanatory Statement for a disallowable legislative instrument must contain a Statement of Compatibility with Human Rights under subsection 9(1) of the </w:t>
      </w:r>
      <w:r w:rsidRPr="00FD3724">
        <w:rPr>
          <w:i/>
          <w:iCs/>
        </w:rPr>
        <w:t>Human Rights (Parliamentary Scrutiny) Act 2011.</w:t>
      </w:r>
      <w:r w:rsidRPr="00FD3724">
        <w:rPr>
          <w:iCs/>
        </w:rPr>
        <w:t xml:space="preserve"> </w:t>
      </w:r>
      <w:r w:rsidRPr="00FD3724">
        <w:t xml:space="preserve">A Statement of Compatibility with Human Rights is in the </w:t>
      </w:r>
      <w:r w:rsidRPr="00FD3724">
        <w:rPr>
          <w:u w:val="single"/>
        </w:rPr>
        <w:t>Attachment</w:t>
      </w:r>
      <w:r w:rsidRPr="00FD3724">
        <w:t xml:space="preserve">. </w:t>
      </w:r>
    </w:p>
    <w:p w14:paraId="2B339F4D" w14:textId="76731487" w:rsidR="00F0451A" w:rsidRDefault="00F0451A">
      <w:pPr>
        <w:spacing w:after="160" w:line="259" w:lineRule="auto"/>
        <w:rPr>
          <w:rFonts w:eastAsia="Times New Roman"/>
          <w:sz w:val="24"/>
          <w:szCs w:val="24"/>
          <w:lang w:eastAsia="en-AU"/>
        </w:rPr>
      </w:pPr>
      <w:r>
        <w:br w:type="page"/>
      </w:r>
    </w:p>
    <w:p w14:paraId="7DC19AF2" w14:textId="77777777" w:rsidR="00F0451A" w:rsidRPr="00F0451A" w:rsidRDefault="00F0451A" w:rsidP="00F0451A">
      <w:pPr>
        <w:spacing w:before="240" w:line="240" w:lineRule="auto"/>
        <w:ind w:left="567" w:hanging="567"/>
        <w:jc w:val="center"/>
        <w:rPr>
          <w:rFonts w:eastAsia="Times New Roman"/>
          <w:b/>
          <w:sz w:val="28"/>
          <w:szCs w:val="28"/>
          <w:lang w:eastAsia="en-AU"/>
        </w:rPr>
      </w:pPr>
      <w:r w:rsidRPr="00F0451A">
        <w:rPr>
          <w:rFonts w:eastAsia="Times New Roman"/>
          <w:b/>
          <w:sz w:val="28"/>
          <w:szCs w:val="28"/>
          <w:lang w:eastAsia="en-AU"/>
        </w:rPr>
        <w:lastRenderedPageBreak/>
        <w:t>Statement of Compatibility with Human Rights</w:t>
      </w:r>
    </w:p>
    <w:p w14:paraId="07622E8D" w14:textId="77777777" w:rsidR="00F0451A" w:rsidRPr="00F0451A" w:rsidRDefault="00F0451A" w:rsidP="00F0451A">
      <w:pPr>
        <w:spacing w:before="240" w:line="240" w:lineRule="auto"/>
        <w:rPr>
          <w:rFonts w:eastAsia="Times New Roman"/>
          <w:iCs/>
          <w:sz w:val="24"/>
          <w:szCs w:val="24"/>
          <w:lang w:eastAsia="en-AU"/>
        </w:rPr>
      </w:pPr>
      <w:bookmarkStart w:id="10" w:name="_Hlk534286677"/>
    </w:p>
    <w:p w14:paraId="5CA09BC8" w14:textId="77777777" w:rsidR="00F0451A" w:rsidRPr="00F0451A" w:rsidRDefault="00F0451A" w:rsidP="00F0451A">
      <w:pPr>
        <w:spacing w:before="240" w:line="240" w:lineRule="auto"/>
        <w:rPr>
          <w:rFonts w:eastAsia="Times New Roman"/>
          <w:iCs/>
          <w:sz w:val="24"/>
          <w:szCs w:val="24"/>
          <w:lang w:eastAsia="en-AU"/>
        </w:rPr>
      </w:pPr>
      <w:r w:rsidRPr="00F0451A">
        <w:rPr>
          <w:rFonts w:eastAsia="Times New Roman"/>
          <w:iCs/>
          <w:sz w:val="24"/>
          <w:szCs w:val="24"/>
          <w:lang w:eastAsia="en-AU"/>
        </w:rPr>
        <w:t xml:space="preserve">This Statement of Compatibility with Human Rights is prepared in accordance with Part 3 of </w:t>
      </w:r>
      <w:bookmarkStart w:id="11" w:name="_Hlk4054932"/>
      <w:r w:rsidRPr="00F0451A">
        <w:rPr>
          <w:rFonts w:eastAsia="Times New Roman"/>
          <w:iCs/>
          <w:sz w:val="24"/>
          <w:szCs w:val="24"/>
          <w:lang w:eastAsia="en-AU"/>
        </w:rPr>
        <w:t xml:space="preserve">the </w:t>
      </w:r>
      <w:r w:rsidRPr="00F0451A">
        <w:rPr>
          <w:rFonts w:eastAsia="Times New Roman"/>
          <w:i/>
          <w:iCs/>
          <w:sz w:val="24"/>
          <w:szCs w:val="24"/>
          <w:lang w:eastAsia="en-AU"/>
        </w:rPr>
        <w:t>Human Rights (Parliamentary Scrutiny) Act 2011</w:t>
      </w:r>
      <w:bookmarkEnd w:id="11"/>
      <w:r w:rsidRPr="00F0451A">
        <w:rPr>
          <w:rFonts w:eastAsia="Times New Roman"/>
          <w:iCs/>
          <w:sz w:val="24"/>
          <w:szCs w:val="24"/>
          <w:lang w:eastAsia="en-AU"/>
        </w:rPr>
        <w:t xml:space="preserve">.   </w:t>
      </w:r>
    </w:p>
    <w:p w14:paraId="76F4E170" w14:textId="69D36BB0" w:rsidR="00F0451A" w:rsidRPr="007F1967" w:rsidRDefault="00F0451A" w:rsidP="00F0451A">
      <w:pPr>
        <w:spacing w:before="240" w:line="240" w:lineRule="auto"/>
        <w:ind w:left="567" w:hanging="567"/>
        <w:jc w:val="both"/>
        <w:rPr>
          <w:b/>
          <w:i/>
          <w:sz w:val="24"/>
          <w:szCs w:val="24"/>
          <w:lang w:eastAsia="en-AU"/>
        </w:rPr>
      </w:pPr>
      <w:r w:rsidRPr="007F1967">
        <w:rPr>
          <w:b/>
          <w:i/>
          <w:sz w:val="24"/>
          <w:szCs w:val="24"/>
          <w:lang w:eastAsia="en-AU"/>
        </w:rPr>
        <w:t>ASIC Corporations (Registration of Relevant Providers) Instrument 2023/</w:t>
      </w:r>
      <w:r w:rsidR="002D0BA8">
        <w:rPr>
          <w:b/>
          <w:i/>
          <w:sz w:val="24"/>
          <w:szCs w:val="24"/>
          <w:lang w:eastAsia="en-AU"/>
        </w:rPr>
        <w:t>490</w:t>
      </w:r>
    </w:p>
    <w:p w14:paraId="478AE97D" w14:textId="77777777" w:rsidR="00F0451A" w:rsidRPr="00F0451A" w:rsidRDefault="00F0451A" w:rsidP="00F0451A">
      <w:pPr>
        <w:spacing w:before="240" w:line="240" w:lineRule="auto"/>
        <w:ind w:left="567" w:hanging="567"/>
        <w:jc w:val="both"/>
        <w:rPr>
          <w:rFonts w:eastAsia="Times New Roman"/>
          <w:sz w:val="24"/>
          <w:szCs w:val="24"/>
          <w:u w:val="single"/>
          <w:lang w:eastAsia="en-AU"/>
        </w:rPr>
      </w:pPr>
      <w:r w:rsidRPr="00F0451A">
        <w:rPr>
          <w:rFonts w:eastAsia="Times New Roman"/>
          <w:sz w:val="24"/>
          <w:szCs w:val="24"/>
          <w:u w:val="single"/>
          <w:lang w:eastAsia="en-AU"/>
        </w:rPr>
        <w:t>Overview</w:t>
      </w:r>
    </w:p>
    <w:p w14:paraId="372C3754" w14:textId="28EDA677" w:rsidR="00F0451A" w:rsidRPr="00F0451A" w:rsidRDefault="00F0451A" w:rsidP="00F0451A">
      <w:pPr>
        <w:spacing w:before="240" w:line="240" w:lineRule="auto"/>
        <w:ind w:left="567" w:hanging="567"/>
        <w:rPr>
          <w:rFonts w:eastAsia="Times New Roman"/>
          <w:sz w:val="24"/>
          <w:szCs w:val="24"/>
          <w:lang w:eastAsia="en-AU"/>
        </w:rPr>
      </w:pPr>
      <w:r w:rsidRPr="00F0451A">
        <w:rPr>
          <w:rFonts w:eastAsia="Times New Roman"/>
          <w:sz w:val="24"/>
          <w:szCs w:val="24"/>
          <w:lang w:eastAsia="en-AU"/>
        </w:rPr>
        <w:t>1.</w:t>
      </w:r>
      <w:r w:rsidRPr="00F0451A">
        <w:rPr>
          <w:rFonts w:eastAsia="Times New Roman"/>
          <w:sz w:val="24"/>
          <w:szCs w:val="24"/>
          <w:lang w:eastAsia="en-AU"/>
        </w:rPr>
        <w:tab/>
        <w:t xml:space="preserve">The </w:t>
      </w:r>
      <w:r w:rsidRPr="00F24717">
        <w:rPr>
          <w:i/>
          <w:sz w:val="24"/>
          <w:szCs w:val="24"/>
          <w:lang w:eastAsia="en-AU"/>
        </w:rPr>
        <w:t>ASIC Corporations (Registration of Relevant Providers) Instrument 2023/</w:t>
      </w:r>
      <w:r w:rsidR="002D0BA8">
        <w:rPr>
          <w:i/>
          <w:sz w:val="24"/>
          <w:szCs w:val="24"/>
          <w:lang w:eastAsia="en-AU"/>
        </w:rPr>
        <w:t>490</w:t>
      </w:r>
      <w:r w:rsidRPr="00F24717">
        <w:rPr>
          <w:i/>
          <w:sz w:val="24"/>
          <w:szCs w:val="24"/>
          <w:lang w:eastAsia="en-AU"/>
        </w:rPr>
        <w:t xml:space="preserve"> </w:t>
      </w:r>
      <w:r w:rsidRPr="00F0451A">
        <w:rPr>
          <w:sz w:val="24"/>
          <w:szCs w:val="24"/>
          <w:lang w:eastAsia="en-AU"/>
        </w:rPr>
        <w:t xml:space="preserve">(the </w:t>
      </w:r>
      <w:r w:rsidRPr="0022784C">
        <w:rPr>
          <w:b/>
          <w:i/>
          <w:iCs/>
          <w:sz w:val="24"/>
          <w:szCs w:val="24"/>
          <w:lang w:eastAsia="en-AU"/>
        </w:rPr>
        <w:t>Instrument</w:t>
      </w:r>
      <w:r w:rsidRPr="00F0451A">
        <w:rPr>
          <w:sz w:val="24"/>
          <w:szCs w:val="24"/>
          <w:lang w:eastAsia="en-AU"/>
        </w:rPr>
        <w:t xml:space="preserve">) </w:t>
      </w:r>
      <w:r w:rsidRPr="00F0451A">
        <w:rPr>
          <w:rFonts w:eastAsia="Times New Roman"/>
          <w:sz w:val="24"/>
          <w:szCs w:val="24"/>
          <w:lang w:eastAsia="en-AU"/>
        </w:rPr>
        <w:t xml:space="preserve">modifies the operation of </w:t>
      </w:r>
      <w:r>
        <w:rPr>
          <w:rFonts w:eastAsia="Times New Roman"/>
          <w:sz w:val="24"/>
          <w:szCs w:val="24"/>
          <w:lang w:eastAsia="en-AU"/>
        </w:rPr>
        <w:t xml:space="preserve">sections 921Y and 921Z of the </w:t>
      </w:r>
      <w:r>
        <w:rPr>
          <w:rFonts w:eastAsia="Times New Roman"/>
          <w:i/>
          <w:iCs/>
          <w:sz w:val="24"/>
          <w:szCs w:val="24"/>
          <w:lang w:eastAsia="en-AU"/>
        </w:rPr>
        <w:t>Corporations Act 2001</w:t>
      </w:r>
      <w:r w:rsidRPr="00F0451A">
        <w:rPr>
          <w:rFonts w:eastAsia="Times New Roman"/>
          <w:sz w:val="24"/>
          <w:szCs w:val="24"/>
          <w:lang w:eastAsia="en-AU"/>
        </w:rPr>
        <w:t>.</w:t>
      </w:r>
    </w:p>
    <w:p w14:paraId="4424FE83" w14:textId="7844A6A7" w:rsidR="003D3DCA" w:rsidRPr="00F24717" w:rsidRDefault="00F0451A" w:rsidP="00470247">
      <w:pPr>
        <w:spacing w:before="240" w:line="240" w:lineRule="auto"/>
        <w:ind w:left="567" w:hanging="567"/>
        <w:rPr>
          <w:sz w:val="24"/>
          <w:szCs w:val="24"/>
        </w:rPr>
      </w:pPr>
      <w:r w:rsidRPr="00F0451A">
        <w:rPr>
          <w:rFonts w:eastAsia="Times New Roman"/>
          <w:sz w:val="24"/>
          <w:szCs w:val="24"/>
          <w:lang w:eastAsia="en-AU"/>
        </w:rPr>
        <w:t>2</w:t>
      </w:r>
      <w:r w:rsidRPr="00F0451A">
        <w:rPr>
          <w:rFonts w:eastAsia="Times New Roman"/>
          <w:i/>
          <w:iCs/>
          <w:sz w:val="24"/>
          <w:szCs w:val="24"/>
          <w:lang w:eastAsia="en-AU"/>
        </w:rPr>
        <w:t>.</w:t>
      </w:r>
      <w:r w:rsidRPr="00F0451A">
        <w:rPr>
          <w:rFonts w:eastAsia="Times New Roman"/>
          <w:i/>
          <w:iCs/>
          <w:sz w:val="24"/>
          <w:szCs w:val="24"/>
          <w:lang w:eastAsia="en-AU"/>
        </w:rPr>
        <w:tab/>
      </w:r>
      <w:r w:rsidRPr="00F0451A">
        <w:rPr>
          <w:rFonts w:eastAsia="Times New Roman"/>
          <w:sz w:val="24"/>
          <w:szCs w:val="24"/>
          <w:lang w:eastAsia="en-AU"/>
        </w:rPr>
        <w:t xml:space="preserve">The modifications </w:t>
      </w:r>
      <w:r>
        <w:rPr>
          <w:rFonts w:eastAsia="Times New Roman"/>
          <w:sz w:val="24"/>
          <w:szCs w:val="24"/>
          <w:lang w:eastAsia="en-AU"/>
        </w:rPr>
        <w:t xml:space="preserve">delay the </w:t>
      </w:r>
      <w:r w:rsidR="005E2F50">
        <w:rPr>
          <w:rFonts w:eastAsia="Times New Roman"/>
          <w:sz w:val="24"/>
          <w:szCs w:val="24"/>
          <w:lang w:eastAsia="en-AU"/>
        </w:rPr>
        <w:t xml:space="preserve">date by which the </w:t>
      </w:r>
      <w:r w:rsidR="00CE45B8" w:rsidRPr="00F24717">
        <w:rPr>
          <w:sz w:val="24"/>
          <w:szCs w:val="24"/>
        </w:rPr>
        <w:t>requirement for Australian financial services (</w:t>
      </w:r>
      <w:r w:rsidR="00CE45B8" w:rsidRPr="0022784C">
        <w:rPr>
          <w:b/>
          <w:bCs/>
          <w:i/>
          <w:iCs/>
          <w:sz w:val="24"/>
          <w:szCs w:val="24"/>
        </w:rPr>
        <w:t>AFS</w:t>
      </w:r>
      <w:r w:rsidR="00CE45B8" w:rsidRPr="00F24717">
        <w:rPr>
          <w:sz w:val="24"/>
          <w:szCs w:val="24"/>
        </w:rPr>
        <w:t xml:space="preserve">) licensees to register their relevant providers </w:t>
      </w:r>
      <w:r w:rsidR="005E2F50">
        <w:rPr>
          <w:sz w:val="24"/>
          <w:szCs w:val="24"/>
        </w:rPr>
        <w:t xml:space="preserve">commences (currently </w:t>
      </w:r>
      <w:r w:rsidR="00CE45B8" w:rsidRPr="00F24717">
        <w:rPr>
          <w:sz w:val="24"/>
          <w:szCs w:val="24"/>
        </w:rPr>
        <w:t>1 July 2023</w:t>
      </w:r>
      <w:r w:rsidR="005E2F50">
        <w:rPr>
          <w:sz w:val="24"/>
          <w:szCs w:val="24"/>
        </w:rPr>
        <w:t>)</w:t>
      </w:r>
      <w:r w:rsidR="00306A7B">
        <w:rPr>
          <w:sz w:val="24"/>
          <w:szCs w:val="24"/>
        </w:rPr>
        <w:t>.</w:t>
      </w:r>
    </w:p>
    <w:p w14:paraId="56872B43" w14:textId="7F7E6FDC" w:rsidR="003D3DCA" w:rsidRDefault="003D3DCA" w:rsidP="003D3DCA">
      <w:pPr>
        <w:pStyle w:val="LI-BodyTextNumbered"/>
        <w:numPr>
          <w:ilvl w:val="0"/>
          <w:numId w:val="0"/>
        </w:numPr>
        <w:ind w:left="567" w:hanging="567"/>
      </w:pPr>
      <w:r>
        <w:t>3.</w:t>
      </w:r>
      <w:r>
        <w:tab/>
        <w:t xml:space="preserve">The Instrument provides exemptions from subsections 921Y and 921Z of the Act so that AFS licensees and relevant providers will not breach the law if an unregistered relevant provider provides personal advice to a retail client in relation to a relevant financial product between 1 July 2023 and the date the Instrument </w:t>
      </w:r>
      <w:r w:rsidR="00CE77FB">
        <w:t>expires</w:t>
      </w:r>
      <w:r>
        <w:t xml:space="preserve">. </w:t>
      </w:r>
    </w:p>
    <w:p w14:paraId="5F19CE69" w14:textId="14D63A55" w:rsidR="00055BB2" w:rsidRPr="00F24717" w:rsidRDefault="003D3DCA" w:rsidP="00F0451A">
      <w:pPr>
        <w:spacing w:before="240" w:line="240" w:lineRule="auto"/>
        <w:ind w:left="567" w:hanging="567"/>
        <w:rPr>
          <w:sz w:val="24"/>
          <w:szCs w:val="24"/>
        </w:rPr>
      </w:pPr>
      <w:r w:rsidRPr="00F24717">
        <w:rPr>
          <w:rFonts w:eastAsia="Times New Roman"/>
          <w:sz w:val="24"/>
          <w:szCs w:val="24"/>
          <w:lang w:eastAsia="en-AU"/>
        </w:rPr>
        <w:t>4.</w:t>
      </w:r>
      <w:r w:rsidRPr="00F24717">
        <w:rPr>
          <w:rFonts w:eastAsia="Times New Roman"/>
          <w:sz w:val="24"/>
          <w:szCs w:val="24"/>
          <w:lang w:eastAsia="en-AU"/>
        </w:rPr>
        <w:tab/>
        <w:t xml:space="preserve">The Instrument </w:t>
      </w:r>
      <w:r w:rsidRPr="00F24717">
        <w:rPr>
          <w:sz w:val="24"/>
          <w:szCs w:val="24"/>
        </w:rPr>
        <w:t xml:space="preserve">puts in place interim measures </w:t>
      </w:r>
      <w:r w:rsidR="000E6636">
        <w:rPr>
          <w:sz w:val="24"/>
          <w:szCs w:val="24"/>
        </w:rPr>
        <w:t xml:space="preserve">which </w:t>
      </w:r>
      <w:r w:rsidR="00CF4EFF">
        <w:rPr>
          <w:sz w:val="24"/>
          <w:szCs w:val="24"/>
        </w:rPr>
        <w:tab/>
      </w:r>
      <w:r w:rsidR="001F2754">
        <w:rPr>
          <w:sz w:val="24"/>
          <w:szCs w:val="24"/>
        </w:rPr>
        <w:t xml:space="preserve">delay the commencement of </w:t>
      </w:r>
      <w:r w:rsidR="00EC5725">
        <w:t xml:space="preserve">Division 8C of Part 7.6 of the Act </w:t>
      </w:r>
      <w:r w:rsidR="00BA24F2">
        <w:rPr>
          <w:sz w:val="24"/>
          <w:szCs w:val="24"/>
        </w:rPr>
        <w:t xml:space="preserve">to allow </w:t>
      </w:r>
      <w:r w:rsidR="006E5479">
        <w:rPr>
          <w:sz w:val="24"/>
          <w:szCs w:val="24"/>
        </w:rPr>
        <w:t xml:space="preserve">time for </w:t>
      </w:r>
      <w:r w:rsidR="00B93B6F" w:rsidRPr="00F24717">
        <w:rPr>
          <w:sz w:val="24"/>
          <w:szCs w:val="24"/>
        </w:rPr>
        <w:t xml:space="preserve">the </w:t>
      </w:r>
      <w:r w:rsidR="00B93B6F" w:rsidRPr="00F24717">
        <w:rPr>
          <w:i/>
          <w:iCs/>
          <w:sz w:val="24"/>
          <w:szCs w:val="24"/>
        </w:rPr>
        <w:t>Treasury Laws Amendment (2023 Measures No. 1) Bill 2023</w:t>
      </w:r>
      <w:r w:rsidR="00B93B6F" w:rsidRPr="00F24717">
        <w:rPr>
          <w:sz w:val="24"/>
          <w:szCs w:val="24"/>
        </w:rPr>
        <w:t xml:space="preserve"> (</w:t>
      </w:r>
      <w:r w:rsidR="00B93B6F" w:rsidRPr="0022784C">
        <w:rPr>
          <w:b/>
          <w:bCs/>
          <w:i/>
          <w:iCs/>
          <w:sz w:val="24"/>
          <w:szCs w:val="24"/>
        </w:rPr>
        <w:t>TLAB 1</w:t>
      </w:r>
      <w:r w:rsidR="00B93B6F" w:rsidRPr="00F24717">
        <w:rPr>
          <w:sz w:val="24"/>
          <w:szCs w:val="24"/>
        </w:rPr>
        <w:t>)</w:t>
      </w:r>
      <w:r w:rsidR="006E5479">
        <w:rPr>
          <w:sz w:val="24"/>
          <w:szCs w:val="24"/>
        </w:rPr>
        <w:t xml:space="preserve"> to be</w:t>
      </w:r>
      <w:r w:rsidR="008374D0">
        <w:rPr>
          <w:sz w:val="24"/>
          <w:szCs w:val="24"/>
        </w:rPr>
        <w:t xml:space="preserve"> considered by Parliament</w:t>
      </w:r>
      <w:r w:rsidR="00B93B6F">
        <w:rPr>
          <w:sz w:val="24"/>
          <w:szCs w:val="24"/>
        </w:rPr>
        <w:t>.</w:t>
      </w:r>
    </w:p>
    <w:p w14:paraId="1CE076B3" w14:textId="78D083A5" w:rsidR="00F24717" w:rsidRPr="00F24717" w:rsidRDefault="00F24717" w:rsidP="00F0451A">
      <w:pPr>
        <w:spacing w:before="240" w:line="240" w:lineRule="auto"/>
        <w:ind w:left="567" w:hanging="567"/>
        <w:rPr>
          <w:sz w:val="24"/>
          <w:szCs w:val="24"/>
        </w:rPr>
      </w:pPr>
      <w:r w:rsidRPr="00F24717">
        <w:rPr>
          <w:sz w:val="24"/>
          <w:szCs w:val="24"/>
        </w:rPr>
        <w:t>5.</w:t>
      </w:r>
      <w:r w:rsidRPr="00F24717">
        <w:rPr>
          <w:sz w:val="24"/>
          <w:szCs w:val="24"/>
        </w:rPr>
        <w:tab/>
      </w:r>
      <w:r w:rsidR="009D79CD" w:rsidRPr="002A7339">
        <w:rPr>
          <w:sz w:val="24"/>
          <w:szCs w:val="24"/>
        </w:rPr>
        <w:t>ASIC will monitor the progress of TLAB 1 and may seek to modify the Instrument if it appears its purpose will not be achieved.</w:t>
      </w:r>
    </w:p>
    <w:p w14:paraId="612B174E" w14:textId="4B1E1DF8" w:rsidR="00CE77FB" w:rsidRPr="00F0451A" w:rsidRDefault="00F0451A" w:rsidP="001510D4">
      <w:pPr>
        <w:spacing w:before="240" w:after="240" w:line="240" w:lineRule="auto"/>
        <w:ind w:left="567" w:hanging="567"/>
        <w:rPr>
          <w:rFonts w:eastAsia="Times New Roman"/>
          <w:sz w:val="24"/>
          <w:szCs w:val="24"/>
          <w:u w:val="single"/>
          <w:lang w:eastAsia="en-AU"/>
        </w:rPr>
      </w:pPr>
      <w:bookmarkStart w:id="12" w:name="_Hlk534286807"/>
      <w:bookmarkEnd w:id="10"/>
      <w:r w:rsidRPr="00F0451A">
        <w:rPr>
          <w:rFonts w:eastAsia="Times New Roman"/>
          <w:sz w:val="24"/>
          <w:szCs w:val="24"/>
          <w:u w:val="single"/>
          <w:lang w:eastAsia="en-AU"/>
        </w:rPr>
        <w:t>Assessment of human rights implications</w:t>
      </w:r>
    </w:p>
    <w:p w14:paraId="0586AB52" w14:textId="7C2DCC3B" w:rsidR="00CE77FB" w:rsidRPr="003A6B9B" w:rsidRDefault="00CE77FB" w:rsidP="00873D00">
      <w:pPr>
        <w:spacing w:after="240"/>
        <w:ind w:left="567" w:hanging="567"/>
        <w:rPr>
          <w:sz w:val="24"/>
          <w:szCs w:val="22"/>
        </w:rPr>
      </w:pPr>
      <w:r>
        <w:rPr>
          <w:rFonts w:eastAsia="Times New Roman"/>
          <w:sz w:val="24"/>
          <w:szCs w:val="24"/>
          <w:lang w:eastAsia="en-AU"/>
        </w:rPr>
        <w:t>6.</w:t>
      </w:r>
      <w:r>
        <w:rPr>
          <w:rFonts w:eastAsia="Times New Roman"/>
          <w:sz w:val="24"/>
          <w:szCs w:val="24"/>
          <w:lang w:eastAsia="en-AU"/>
        </w:rPr>
        <w:tab/>
      </w:r>
      <w:bookmarkEnd w:id="12"/>
      <w:r w:rsidRPr="003A6B9B">
        <w:rPr>
          <w:sz w:val="24"/>
          <w:szCs w:val="22"/>
        </w:rPr>
        <w:t xml:space="preserve">The Instrument </w:t>
      </w:r>
      <w:r w:rsidR="0065573B">
        <w:rPr>
          <w:sz w:val="24"/>
          <w:szCs w:val="22"/>
        </w:rPr>
        <w:t>does not engage any of the applicable rights or freedoms.</w:t>
      </w:r>
      <w:r w:rsidRPr="003A6B9B">
        <w:rPr>
          <w:sz w:val="24"/>
          <w:szCs w:val="22"/>
        </w:rPr>
        <w:t xml:space="preserve"> </w:t>
      </w:r>
    </w:p>
    <w:p w14:paraId="3C00B0E7" w14:textId="77777777" w:rsidR="00F0451A" w:rsidRPr="00F0451A" w:rsidRDefault="00F0451A" w:rsidP="00F0451A">
      <w:pPr>
        <w:spacing w:before="240" w:line="240" w:lineRule="auto"/>
        <w:ind w:left="567" w:hanging="567"/>
        <w:rPr>
          <w:rFonts w:eastAsia="Times New Roman"/>
          <w:sz w:val="24"/>
          <w:szCs w:val="24"/>
          <w:u w:val="single"/>
          <w:lang w:eastAsia="en-AU"/>
        </w:rPr>
      </w:pPr>
      <w:r w:rsidRPr="00F0451A">
        <w:rPr>
          <w:rFonts w:eastAsia="Times New Roman"/>
          <w:sz w:val="24"/>
          <w:szCs w:val="24"/>
          <w:u w:val="single"/>
          <w:lang w:eastAsia="en-AU"/>
        </w:rPr>
        <w:t>Conclusion</w:t>
      </w:r>
    </w:p>
    <w:p w14:paraId="018F727A" w14:textId="77777777" w:rsidR="00F0451A" w:rsidRPr="00F0451A" w:rsidRDefault="00F0451A" w:rsidP="00F0451A">
      <w:pPr>
        <w:spacing w:before="240" w:line="240" w:lineRule="auto"/>
        <w:ind w:left="567" w:hanging="567"/>
        <w:rPr>
          <w:rFonts w:eastAsia="Times New Roman"/>
          <w:sz w:val="24"/>
          <w:szCs w:val="24"/>
          <w:lang w:eastAsia="en-AU"/>
        </w:rPr>
      </w:pPr>
      <w:r w:rsidRPr="00F0451A">
        <w:rPr>
          <w:rFonts w:eastAsia="Times New Roman"/>
          <w:sz w:val="24"/>
          <w:szCs w:val="24"/>
          <w:lang w:eastAsia="en-AU"/>
        </w:rPr>
        <w:t>5.</w:t>
      </w:r>
      <w:r w:rsidRPr="00F0451A">
        <w:rPr>
          <w:rFonts w:eastAsia="Times New Roman"/>
          <w:sz w:val="24"/>
          <w:szCs w:val="24"/>
          <w:lang w:eastAsia="en-AU"/>
        </w:rPr>
        <w:tab/>
        <w:t xml:space="preserve">The Instrument is compatible with the human rights and freedoms recognised or declared in the international instruments listed in section 3 of </w:t>
      </w:r>
      <w:r w:rsidRPr="00F0451A">
        <w:rPr>
          <w:rFonts w:eastAsia="Times New Roman"/>
          <w:iCs/>
          <w:sz w:val="24"/>
          <w:szCs w:val="24"/>
          <w:lang w:eastAsia="en-AU"/>
        </w:rPr>
        <w:t xml:space="preserve">the </w:t>
      </w:r>
      <w:r w:rsidRPr="00F0451A">
        <w:rPr>
          <w:rFonts w:eastAsia="Times New Roman"/>
          <w:i/>
          <w:iCs/>
          <w:sz w:val="24"/>
          <w:szCs w:val="24"/>
          <w:lang w:eastAsia="en-AU"/>
        </w:rPr>
        <w:t>Human Rights (Parliamentary Scrutiny) Act 2011</w:t>
      </w:r>
      <w:r w:rsidRPr="00F0451A">
        <w:rPr>
          <w:rFonts w:eastAsia="Times New Roman"/>
          <w:sz w:val="24"/>
          <w:szCs w:val="24"/>
          <w:lang w:eastAsia="en-AU"/>
        </w:rPr>
        <w:t>.</w:t>
      </w:r>
    </w:p>
    <w:p w14:paraId="4C5D2A2C" w14:textId="399A88DA" w:rsidR="00AB7877" w:rsidRPr="002733A2" w:rsidRDefault="00AB7877" w:rsidP="002733A2">
      <w:pPr>
        <w:spacing w:after="160" w:line="259" w:lineRule="auto"/>
        <w:rPr>
          <w:sz w:val="24"/>
          <w:szCs w:val="24"/>
          <w:u w:val="single"/>
        </w:rPr>
      </w:pPr>
    </w:p>
    <w:sectPr w:rsidR="00AB7877" w:rsidRPr="002733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55C67" w14:textId="77777777" w:rsidR="00D0627F" w:rsidRDefault="00D0627F" w:rsidP="002733A2">
      <w:pPr>
        <w:spacing w:line="240" w:lineRule="auto"/>
      </w:pPr>
      <w:r>
        <w:separator/>
      </w:r>
    </w:p>
  </w:endnote>
  <w:endnote w:type="continuationSeparator" w:id="0">
    <w:p w14:paraId="548BD709" w14:textId="77777777" w:rsidR="00D0627F" w:rsidRDefault="00D0627F" w:rsidP="002733A2">
      <w:pPr>
        <w:spacing w:line="240" w:lineRule="auto"/>
      </w:pPr>
      <w:r>
        <w:continuationSeparator/>
      </w:r>
    </w:p>
  </w:endnote>
  <w:endnote w:type="continuationNotice" w:id="1">
    <w:p w14:paraId="151B6549" w14:textId="77777777" w:rsidR="00D0627F" w:rsidRDefault="00D062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0B505" w14:textId="77777777" w:rsidR="00D0627F" w:rsidRDefault="00D0627F" w:rsidP="002733A2">
      <w:pPr>
        <w:spacing w:line="240" w:lineRule="auto"/>
      </w:pPr>
      <w:r>
        <w:separator/>
      </w:r>
    </w:p>
  </w:footnote>
  <w:footnote w:type="continuationSeparator" w:id="0">
    <w:p w14:paraId="70F1C150" w14:textId="77777777" w:rsidR="00D0627F" w:rsidRDefault="00D0627F" w:rsidP="002733A2">
      <w:pPr>
        <w:spacing w:line="240" w:lineRule="auto"/>
      </w:pPr>
      <w:r>
        <w:continuationSeparator/>
      </w:r>
    </w:p>
  </w:footnote>
  <w:footnote w:type="continuationNotice" w:id="1">
    <w:p w14:paraId="4C748903" w14:textId="77777777" w:rsidR="00D0627F" w:rsidRDefault="00D0627F">
      <w:pPr>
        <w:spacing w:line="240" w:lineRule="auto"/>
      </w:pPr>
    </w:p>
  </w:footnote>
  <w:footnote w:id="2">
    <w:p w14:paraId="59DC1E37" w14:textId="7FD2A06A" w:rsidR="00F81164" w:rsidRDefault="00F81164">
      <w:pPr>
        <w:pStyle w:val="FootnoteText"/>
      </w:pPr>
      <w:r>
        <w:rPr>
          <w:rStyle w:val="FootnoteReference"/>
        </w:rPr>
        <w:footnoteRef/>
      </w:r>
      <w:r>
        <w:t xml:space="preserve"> A relevant provider is a person authorised to provide person advice to </w:t>
      </w:r>
      <w:r w:rsidR="008520EC">
        <w:t xml:space="preserve">retail clients about specified financial products. See </w:t>
      </w:r>
      <w:r w:rsidR="008500E9">
        <w:t xml:space="preserve">s 910A of the Act. </w:t>
      </w:r>
    </w:p>
  </w:footnote>
  <w:footnote w:id="3">
    <w:p w14:paraId="0AFD3E3C" w14:textId="065538FC" w:rsidR="006106E0" w:rsidRPr="002043A3" w:rsidRDefault="006106E0">
      <w:pPr>
        <w:pStyle w:val="FootnoteText"/>
      </w:pPr>
      <w:r>
        <w:rPr>
          <w:rStyle w:val="FootnoteReference"/>
        </w:rPr>
        <w:footnoteRef/>
      </w:r>
      <w:r>
        <w:t xml:space="preserve"> </w:t>
      </w:r>
      <w:r w:rsidR="00ED7C48">
        <w:t xml:space="preserve">Explanatory Statement to </w:t>
      </w:r>
      <w:bookmarkStart w:id="2" w:name="_Hlk119407554"/>
      <w:r w:rsidR="002043A3">
        <w:rPr>
          <w:i/>
          <w:iCs/>
          <w:color w:val="000000"/>
          <w:shd w:val="clear" w:color="auto" w:fill="FFFFFF"/>
        </w:rPr>
        <w:t>Corporations Amendment (Registration of Relevant Providers) Regulations 2022</w:t>
      </w:r>
      <w:bookmarkEnd w:id="2"/>
      <w:r w:rsidR="002043A3">
        <w:rPr>
          <w:color w:val="000000"/>
          <w:shd w:val="clear" w:color="auto" w:fill="FFFFFF"/>
        </w:rPr>
        <w:t xml:space="preserve"> </w:t>
      </w:r>
    </w:p>
  </w:footnote>
  <w:footnote w:id="4">
    <w:p w14:paraId="39AC4210" w14:textId="77777777" w:rsidR="00B80A37" w:rsidRDefault="00B80A37" w:rsidP="00B80A37">
      <w:pPr>
        <w:pStyle w:val="FootnoteText"/>
      </w:pPr>
      <w:r>
        <w:rPr>
          <w:rStyle w:val="FootnoteReference"/>
        </w:rPr>
        <w:footnoteRef/>
      </w:r>
      <w:r>
        <w:t xml:space="preserve"> Except provisional relevant providers, see s921ZB(1) of the Act.</w:t>
      </w:r>
    </w:p>
  </w:footnote>
  <w:footnote w:id="5">
    <w:p w14:paraId="6254EADC" w14:textId="77777777" w:rsidR="009377CF" w:rsidRDefault="009377CF" w:rsidP="009377CF">
      <w:pPr>
        <w:pStyle w:val="FootnoteText"/>
      </w:pPr>
      <w:r>
        <w:rPr>
          <w:rStyle w:val="FootnoteReference"/>
        </w:rPr>
        <w:footnoteRef/>
      </w:r>
      <w:r>
        <w:t xml:space="preserve"> Except provisional relevant providers, see s921ZB(1) of the 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1BBC"/>
    <w:multiLevelType w:val="multilevel"/>
    <w:tmpl w:val="55CAB504"/>
    <w:lvl w:ilvl="0">
      <w:start w:val="1"/>
      <w:numFmt w:val="decimal"/>
      <w:pStyle w:val="LI-BodyTextNumbered"/>
      <w:lvlText w:val="%1."/>
      <w:lvlJc w:val="left"/>
      <w:pPr>
        <w:ind w:left="360" w:hanging="360"/>
      </w:pPr>
      <w:rPr>
        <w:rFonts w:hint="default"/>
        <w:b w:val="0"/>
        <w:bCs w:val="0"/>
        <w:color w:val="auto"/>
      </w:rPr>
    </w:lvl>
    <w:lvl w:ilvl="1">
      <w:start w:val="1"/>
      <w:numFmt w:val="lowerRoman"/>
      <w:pStyle w:val="LI-BodyTextSubparai"/>
      <w:lvlText w:val="(%2)"/>
      <w:lvlJc w:val="left"/>
      <w:pPr>
        <w:ind w:left="108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5903254"/>
    <w:multiLevelType w:val="multilevel"/>
    <w:tmpl w:val="006802BA"/>
    <w:lvl w:ilvl="0">
      <w:start w:val="1"/>
      <w:numFmt w:val="decimal"/>
      <w:lvlText w:val="%1."/>
      <w:lvlJc w:val="left"/>
      <w:pPr>
        <w:ind w:left="360" w:hanging="360"/>
      </w:pPr>
      <w:rPr>
        <w:rFonts w:hint="default"/>
        <w:b w:val="0"/>
        <w:bCs w:val="0"/>
        <w:color w:val="auto"/>
      </w:rPr>
    </w:lvl>
    <w:lvl w:ilvl="1">
      <w:start w:val="1"/>
      <w:numFmt w:val="lowerRoman"/>
      <w:lvlText w:val="(%2)"/>
      <w:lvlJc w:val="left"/>
      <w:pPr>
        <w:ind w:left="108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921380609">
    <w:abstractNumId w:val="0"/>
  </w:num>
  <w:num w:numId="2" w16cid:durableId="522473922">
    <w:abstractNumId w:val="0"/>
    <w:lvlOverride w:ilvl="0">
      <w:startOverride w:val="1"/>
    </w:lvlOverride>
    <w:lvlOverride w:ilvl="1">
      <w:startOverride w:val="3"/>
    </w:lvlOverride>
  </w:num>
  <w:num w:numId="3" w16cid:durableId="44064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A2"/>
    <w:rsid w:val="000000C6"/>
    <w:rsid w:val="000004D3"/>
    <w:rsid w:val="00004BBB"/>
    <w:rsid w:val="00005B61"/>
    <w:rsid w:val="000076AC"/>
    <w:rsid w:val="000117BC"/>
    <w:rsid w:val="00015088"/>
    <w:rsid w:val="0001549A"/>
    <w:rsid w:val="00021202"/>
    <w:rsid w:val="00021E15"/>
    <w:rsid w:val="00023DFC"/>
    <w:rsid w:val="00024009"/>
    <w:rsid w:val="00024EC4"/>
    <w:rsid w:val="00025118"/>
    <w:rsid w:val="000251DF"/>
    <w:rsid w:val="00025597"/>
    <w:rsid w:val="00030781"/>
    <w:rsid w:val="00032C4C"/>
    <w:rsid w:val="00033BB0"/>
    <w:rsid w:val="0003488A"/>
    <w:rsid w:val="0003537E"/>
    <w:rsid w:val="00036134"/>
    <w:rsid w:val="000364FC"/>
    <w:rsid w:val="00040B1C"/>
    <w:rsid w:val="000413BF"/>
    <w:rsid w:val="0004514A"/>
    <w:rsid w:val="00045B16"/>
    <w:rsid w:val="00047058"/>
    <w:rsid w:val="0005205B"/>
    <w:rsid w:val="00052E46"/>
    <w:rsid w:val="000538A4"/>
    <w:rsid w:val="00053DE8"/>
    <w:rsid w:val="000550C9"/>
    <w:rsid w:val="00055BB2"/>
    <w:rsid w:val="000574BC"/>
    <w:rsid w:val="000608C9"/>
    <w:rsid w:val="0006160B"/>
    <w:rsid w:val="00061D04"/>
    <w:rsid w:val="000648D1"/>
    <w:rsid w:val="00065CE4"/>
    <w:rsid w:val="0007030B"/>
    <w:rsid w:val="00071C6D"/>
    <w:rsid w:val="00074BDF"/>
    <w:rsid w:val="00075B8F"/>
    <w:rsid w:val="000769CA"/>
    <w:rsid w:val="00080CB1"/>
    <w:rsid w:val="0008310D"/>
    <w:rsid w:val="00084AD8"/>
    <w:rsid w:val="00085E9B"/>
    <w:rsid w:val="0008753C"/>
    <w:rsid w:val="0009279E"/>
    <w:rsid w:val="00094EB7"/>
    <w:rsid w:val="00096E11"/>
    <w:rsid w:val="00097AD9"/>
    <w:rsid w:val="000A1F63"/>
    <w:rsid w:val="000A47B4"/>
    <w:rsid w:val="000A6C35"/>
    <w:rsid w:val="000A6D17"/>
    <w:rsid w:val="000B6C0B"/>
    <w:rsid w:val="000C417E"/>
    <w:rsid w:val="000C767B"/>
    <w:rsid w:val="000C7965"/>
    <w:rsid w:val="000D10A4"/>
    <w:rsid w:val="000D259E"/>
    <w:rsid w:val="000D5BFE"/>
    <w:rsid w:val="000E0D3C"/>
    <w:rsid w:val="000E2551"/>
    <w:rsid w:val="000E28E9"/>
    <w:rsid w:val="000E3B9C"/>
    <w:rsid w:val="000E47BA"/>
    <w:rsid w:val="000E50B9"/>
    <w:rsid w:val="000E5C8A"/>
    <w:rsid w:val="000E6636"/>
    <w:rsid w:val="000F0366"/>
    <w:rsid w:val="000F0D6A"/>
    <w:rsid w:val="000F29FC"/>
    <w:rsid w:val="000F31FD"/>
    <w:rsid w:val="00100BA8"/>
    <w:rsid w:val="0010143E"/>
    <w:rsid w:val="00101A30"/>
    <w:rsid w:val="00103790"/>
    <w:rsid w:val="00104967"/>
    <w:rsid w:val="00104D13"/>
    <w:rsid w:val="00112BEB"/>
    <w:rsid w:val="00113116"/>
    <w:rsid w:val="0011335C"/>
    <w:rsid w:val="00114BDB"/>
    <w:rsid w:val="001155B1"/>
    <w:rsid w:val="00116264"/>
    <w:rsid w:val="001162D6"/>
    <w:rsid w:val="001200BF"/>
    <w:rsid w:val="001226C2"/>
    <w:rsid w:val="00123577"/>
    <w:rsid w:val="00123D96"/>
    <w:rsid w:val="0012620B"/>
    <w:rsid w:val="0013052B"/>
    <w:rsid w:val="00132C41"/>
    <w:rsid w:val="00133489"/>
    <w:rsid w:val="00136091"/>
    <w:rsid w:val="001379AB"/>
    <w:rsid w:val="00137E96"/>
    <w:rsid w:val="001510D4"/>
    <w:rsid w:val="00151E82"/>
    <w:rsid w:val="00156FA4"/>
    <w:rsid w:val="00157318"/>
    <w:rsid w:val="00160F82"/>
    <w:rsid w:val="00161601"/>
    <w:rsid w:val="00162193"/>
    <w:rsid w:val="00162685"/>
    <w:rsid w:val="00162D4F"/>
    <w:rsid w:val="001640C6"/>
    <w:rsid w:val="001704DE"/>
    <w:rsid w:val="00172873"/>
    <w:rsid w:val="001739BA"/>
    <w:rsid w:val="0017575D"/>
    <w:rsid w:val="00176F80"/>
    <w:rsid w:val="00180461"/>
    <w:rsid w:val="00180FC8"/>
    <w:rsid w:val="001823C1"/>
    <w:rsid w:val="0018386E"/>
    <w:rsid w:val="00183979"/>
    <w:rsid w:val="00184A8D"/>
    <w:rsid w:val="00185DB9"/>
    <w:rsid w:val="00185FB7"/>
    <w:rsid w:val="001930F6"/>
    <w:rsid w:val="001A260F"/>
    <w:rsid w:val="001A4375"/>
    <w:rsid w:val="001A4F02"/>
    <w:rsid w:val="001A50AB"/>
    <w:rsid w:val="001A61A9"/>
    <w:rsid w:val="001A6D06"/>
    <w:rsid w:val="001B4479"/>
    <w:rsid w:val="001B559C"/>
    <w:rsid w:val="001B7D8D"/>
    <w:rsid w:val="001C1F03"/>
    <w:rsid w:val="001C1FCB"/>
    <w:rsid w:val="001C29B3"/>
    <w:rsid w:val="001C3360"/>
    <w:rsid w:val="001C3FF9"/>
    <w:rsid w:val="001D36A8"/>
    <w:rsid w:val="001D3DDE"/>
    <w:rsid w:val="001D535C"/>
    <w:rsid w:val="001D73FD"/>
    <w:rsid w:val="001E0CEC"/>
    <w:rsid w:val="001E10FF"/>
    <w:rsid w:val="001E1E46"/>
    <w:rsid w:val="001E229A"/>
    <w:rsid w:val="001E5150"/>
    <w:rsid w:val="001E6372"/>
    <w:rsid w:val="001E6C64"/>
    <w:rsid w:val="001E717A"/>
    <w:rsid w:val="001E75AC"/>
    <w:rsid w:val="001F0467"/>
    <w:rsid w:val="001F2754"/>
    <w:rsid w:val="001F3DC5"/>
    <w:rsid w:val="001F469F"/>
    <w:rsid w:val="001F4A52"/>
    <w:rsid w:val="001F51C7"/>
    <w:rsid w:val="001F59A9"/>
    <w:rsid w:val="001F64BE"/>
    <w:rsid w:val="001F6792"/>
    <w:rsid w:val="00201C6E"/>
    <w:rsid w:val="002034C8"/>
    <w:rsid w:val="002043A3"/>
    <w:rsid w:val="00204F90"/>
    <w:rsid w:val="00212B49"/>
    <w:rsid w:val="00213D27"/>
    <w:rsid w:val="002154B5"/>
    <w:rsid w:val="0021799F"/>
    <w:rsid w:val="00217C16"/>
    <w:rsid w:val="002240FF"/>
    <w:rsid w:val="0022440B"/>
    <w:rsid w:val="00224556"/>
    <w:rsid w:val="0022784C"/>
    <w:rsid w:val="0022788F"/>
    <w:rsid w:val="00230D1B"/>
    <w:rsid w:val="002314CA"/>
    <w:rsid w:val="00233776"/>
    <w:rsid w:val="00233D96"/>
    <w:rsid w:val="00236C3A"/>
    <w:rsid w:val="00241590"/>
    <w:rsid w:val="00243234"/>
    <w:rsid w:val="00243BA2"/>
    <w:rsid w:val="0024441E"/>
    <w:rsid w:val="0024695D"/>
    <w:rsid w:val="0024704B"/>
    <w:rsid w:val="0024735A"/>
    <w:rsid w:val="00247C55"/>
    <w:rsid w:val="00253A59"/>
    <w:rsid w:val="00254BC6"/>
    <w:rsid w:val="00256CEF"/>
    <w:rsid w:val="00262A44"/>
    <w:rsid w:val="002643D9"/>
    <w:rsid w:val="0026491E"/>
    <w:rsid w:val="0026592D"/>
    <w:rsid w:val="002733A2"/>
    <w:rsid w:val="00274D2C"/>
    <w:rsid w:val="00275670"/>
    <w:rsid w:val="00277524"/>
    <w:rsid w:val="00280245"/>
    <w:rsid w:val="00281699"/>
    <w:rsid w:val="002851EF"/>
    <w:rsid w:val="00285554"/>
    <w:rsid w:val="002860A2"/>
    <w:rsid w:val="00287395"/>
    <w:rsid w:val="002903B6"/>
    <w:rsid w:val="00290F25"/>
    <w:rsid w:val="002920C8"/>
    <w:rsid w:val="002940CF"/>
    <w:rsid w:val="00294720"/>
    <w:rsid w:val="00294C22"/>
    <w:rsid w:val="0029620B"/>
    <w:rsid w:val="002A2538"/>
    <w:rsid w:val="002A4C02"/>
    <w:rsid w:val="002A69BE"/>
    <w:rsid w:val="002A7339"/>
    <w:rsid w:val="002B0125"/>
    <w:rsid w:val="002B1BD7"/>
    <w:rsid w:val="002B2BE2"/>
    <w:rsid w:val="002B60D5"/>
    <w:rsid w:val="002C2B36"/>
    <w:rsid w:val="002C59A6"/>
    <w:rsid w:val="002C632E"/>
    <w:rsid w:val="002C798D"/>
    <w:rsid w:val="002D0BA8"/>
    <w:rsid w:val="002D3CF5"/>
    <w:rsid w:val="002D62E2"/>
    <w:rsid w:val="002D6E71"/>
    <w:rsid w:val="002D7945"/>
    <w:rsid w:val="002E0034"/>
    <w:rsid w:val="002E0340"/>
    <w:rsid w:val="002E3113"/>
    <w:rsid w:val="002F16B1"/>
    <w:rsid w:val="002F1D1B"/>
    <w:rsid w:val="002F4219"/>
    <w:rsid w:val="002F673C"/>
    <w:rsid w:val="002F6CCB"/>
    <w:rsid w:val="002F7196"/>
    <w:rsid w:val="00300C23"/>
    <w:rsid w:val="0030215A"/>
    <w:rsid w:val="003059BE"/>
    <w:rsid w:val="00305A7B"/>
    <w:rsid w:val="0030636C"/>
    <w:rsid w:val="00306A7B"/>
    <w:rsid w:val="00307110"/>
    <w:rsid w:val="003148A0"/>
    <w:rsid w:val="00315461"/>
    <w:rsid w:val="00322DFC"/>
    <w:rsid w:val="003255CC"/>
    <w:rsid w:val="00327307"/>
    <w:rsid w:val="003276A5"/>
    <w:rsid w:val="0032798D"/>
    <w:rsid w:val="00334031"/>
    <w:rsid w:val="00334533"/>
    <w:rsid w:val="0033456F"/>
    <w:rsid w:val="00335C65"/>
    <w:rsid w:val="00336B3F"/>
    <w:rsid w:val="003378A2"/>
    <w:rsid w:val="00342B76"/>
    <w:rsid w:val="003448E7"/>
    <w:rsid w:val="00350861"/>
    <w:rsid w:val="00350866"/>
    <w:rsid w:val="00353245"/>
    <w:rsid w:val="00355126"/>
    <w:rsid w:val="00356FBD"/>
    <w:rsid w:val="00360B5D"/>
    <w:rsid w:val="0036264C"/>
    <w:rsid w:val="00363E17"/>
    <w:rsid w:val="00363F35"/>
    <w:rsid w:val="00370704"/>
    <w:rsid w:val="003717DE"/>
    <w:rsid w:val="00376865"/>
    <w:rsid w:val="0037791D"/>
    <w:rsid w:val="003804AD"/>
    <w:rsid w:val="00380AE2"/>
    <w:rsid w:val="00380EA7"/>
    <w:rsid w:val="00382CE6"/>
    <w:rsid w:val="0038447E"/>
    <w:rsid w:val="00385614"/>
    <w:rsid w:val="003864D2"/>
    <w:rsid w:val="003869A2"/>
    <w:rsid w:val="00391490"/>
    <w:rsid w:val="00392413"/>
    <w:rsid w:val="00394E28"/>
    <w:rsid w:val="00395FB1"/>
    <w:rsid w:val="003960C1"/>
    <w:rsid w:val="00397D68"/>
    <w:rsid w:val="003A0214"/>
    <w:rsid w:val="003A0DCC"/>
    <w:rsid w:val="003A191F"/>
    <w:rsid w:val="003A29E7"/>
    <w:rsid w:val="003A64A9"/>
    <w:rsid w:val="003A6EF8"/>
    <w:rsid w:val="003B0ECA"/>
    <w:rsid w:val="003B105E"/>
    <w:rsid w:val="003B20AE"/>
    <w:rsid w:val="003B4F53"/>
    <w:rsid w:val="003B542D"/>
    <w:rsid w:val="003C4BB4"/>
    <w:rsid w:val="003D3643"/>
    <w:rsid w:val="003D3B36"/>
    <w:rsid w:val="003D3DCA"/>
    <w:rsid w:val="003D69F1"/>
    <w:rsid w:val="003E6750"/>
    <w:rsid w:val="003E7D70"/>
    <w:rsid w:val="003E7FF4"/>
    <w:rsid w:val="003F0559"/>
    <w:rsid w:val="003F1E06"/>
    <w:rsid w:val="003F321A"/>
    <w:rsid w:val="003F7738"/>
    <w:rsid w:val="0040146A"/>
    <w:rsid w:val="0040641F"/>
    <w:rsid w:val="004067D9"/>
    <w:rsid w:val="0040726A"/>
    <w:rsid w:val="004077EC"/>
    <w:rsid w:val="004111E9"/>
    <w:rsid w:val="00411A30"/>
    <w:rsid w:val="00411BD6"/>
    <w:rsid w:val="004158C6"/>
    <w:rsid w:val="00415AA6"/>
    <w:rsid w:val="0042170F"/>
    <w:rsid w:val="004267DE"/>
    <w:rsid w:val="004304BB"/>
    <w:rsid w:val="0043367B"/>
    <w:rsid w:val="004352F0"/>
    <w:rsid w:val="00437222"/>
    <w:rsid w:val="00440500"/>
    <w:rsid w:val="004417FB"/>
    <w:rsid w:val="00443021"/>
    <w:rsid w:val="00453CB4"/>
    <w:rsid w:val="00454BA3"/>
    <w:rsid w:val="00457509"/>
    <w:rsid w:val="00460E48"/>
    <w:rsid w:val="00463493"/>
    <w:rsid w:val="004642E8"/>
    <w:rsid w:val="004672DB"/>
    <w:rsid w:val="00470247"/>
    <w:rsid w:val="004705AD"/>
    <w:rsid w:val="00470D76"/>
    <w:rsid w:val="004714EA"/>
    <w:rsid w:val="004802C5"/>
    <w:rsid w:val="004815D5"/>
    <w:rsid w:val="00482EE5"/>
    <w:rsid w:val="0048382A"/>
    <w:rsid w:val="004850E1"/>
    <w:rsid w:val="00485648"/>
    <w:rsid w:val="00486B5F"/>
    <w:rsid w:val="00490AE8"/>
    <w:rsid w:val="0049197B"/>
    <w:rsid w:val="004919BC"/>
    <w:rsid w:val="00492C6D"/>
    <w:rsid w:val="00495641"/>
    <w:rsid w:val="0049580D"/>
    <w:rsid w:val="00496185"/>
    <w:rsid w:val="004970BD"/>
    <w:rsid w:val="004A1EA8"/>
    <w:rsid w:val="004A4441"/>
    <w:rsid w:val="004A4C87"/>
    <w:rsid w:val="004A5AF5"/>
    <w:rsid w:val="004A7D7B"/>
    <w:rsid w:val="004B33C6"/>
    <w:rsid w:val="004B66B2"/>
    <w:rsid w:val="004B7BEA"/>
    <w:rsid w:val="004C3ED6"/>
    <w:rsid w:val="004D1ADD"/>
    <w:rsid w:val="004D294F"/>
    <w:rsid w:val="004D3A2E"/>
    <w:rsid w:val="004D5191"/>
    <w:rsid w:val="004E18EC"/>
    <w:rsid w:val="004E361E"/>
    <w:rsid w:val="004E3D75"/>
    <w:rsid w:val="004E3FCE"/>
    <w:rsid w:val="004E44EA"/>
    <w:rsid w:val="004E4B2E"/>
    <w:rsid w:val="004E6BAB"/>
    <w:rsid w:val="004F416D"/>
    <w:rsid w:val="00501FAD"/>
    <w:rsid w:val="00504A29"/>
    <w:rsid w:val="005121E3"/>
    <w:rsid w:val="00513A29"/>
    <w:rsid w:val="00514576"/>
    <w:rsid w:val="00515BB9"/>
    <w:rsid w:val="0052370F"/>
    <w:rsid w:val="005263DE"/>
    <w:rsid w:val="005271F5"/>
    <w:rsid w:val="00527513"/>
    <w:rsid w:val="00530279"/>
    <w:rsid w:val="005316D5"/>
    <w:rsid w:val="005334FA"/>
    <w:rsid w:val="00533BB0"/>
    <w:rsid w:val="00533EBB"/>
    <w:rsid w:val="00535A90"/>
    <w:rsid w:val="0053635F"/>
    <w:rsid w:val="005418C1"/>
    <w:rsid w:val="00544269"/>
    <w:rsid w:val="005457A1"/>
    <w:rsid w:val="00546B4B"/>
    <w:rsid w:val="005508CC"/>
    <w:rsid w:val="00556503"/>
    <w:rsid w:val="005566E8"/>
    <w:rsid w:val="0056191E"/>
    <w:rsid w:val="00561980"/>
    <w:rsid w:val="00562398"/>
    <w:rsid w:val="005644CB"/>
    <w:rsid w:val="00565B97"/>
    <w:rsid w:val="005666DF"/>
    <w:rsid w:val="00566D5B"/>
    <w:rsid w:val="005678B7"/>
    <w:rsid w:val="00576233"/>
    <w:rsid w:val="00580EF7"/>
    <w:rsid w:val="00582F9C"/>
    <w:rsid w:val="0058369F"/>
    <w:rsid w:val="005856A2"/>
    <w:rsid w:val="005856FA"/>
    <w:rsid w:val="005915F3"/>
    <w:rsid w:val="0059498D"/>
    <w:rsid w:val="005962E0"/>
    <w:rsid w:val="00596361"/>
    <w:rsid w:val="00596F03"/>
    <w:rsid w:val="0059756B"/>
    <w:rsid w:val="005A0940"/>
    <w:rsid w:val="005A0D93"/>
    <w:rsid w:val="005A1381"/>
    <w:rsid w:val="005A3333"/>
    <w:rsid w:val="005A3E60"/>
    <w:rsid w:val="005A43C9"/>
    <w:rsid w:val="005A7AA9"/>
    <w:rsid w:val="005B00C8"/>
    <w:rsid w:val="005B557B"/>
    <w:rsid w:val="005B5F47"/>
    <w:rsid w:val="005B670E"/>
    <w:rsid w:val="005C17EB"/>
    <w:rsid w:val="005C2033"/>
    <w:rsid w:val="005C25ED"/>
    <w:rsid w:val="005C51E3"/>
    <w:rsid w:val="005C71F5"/>
    <w:rsid w:val="005C7498"/>
    <w:rsid w:val="005C7D94"/>
    <w:rsid w:val="005D3B5A"/>
    <w:rsid w:val="005D627F"/>
    <w:rsid w:val="005E0C0C"/>
    <w:rsid w:val="005E2921"/>
    <w:rsid w:val="005E2F50"/>
    <w:rsid w:val="005E30A1"/>
    <w:rsid w:val="005E721B"/>
    <w:rsid w:val="005E78BE"/>
    <w:rsid w:val="005F0FF0"/>
    <w:rsid w:val="005F24EC"/>
    <w:rsid w:val="005F3172"/>
    <w:rsid w:val="00600522"/>
    <w:rsid w:val="0060214C"/>
    <w:rsid w:val="00604046"/>
    <w:rsid w:val="00605058"/>
    <w:rsid w:val="006051CE"/>
    <w:rsid w:val="006066A8"/>
    <w:rsid w:val="0060688D"/>
    <w:rsid w:val="006106E0"/>
    <w:rsid w:val="00610944"/>
    <w:rsid w:val="0061599E"/>
    <w:rsid w:val="00615EBB"/>
    <w:rsid w:val="00617410"/>
    <w:rsid w:val="006214AA"/>
    <w:rsid w:val="0062190F"/>
    <w:rsid w:val="0062284C"/>
    <w:rsid w:val="0062326F"/>
    <w:rsid w:val="0063131F"/>
    <w:rsid w:val="006373CA"/>
    <w:rsid w:val="00637AED"/>
    <w:rsid w:val="0064390C"/>
    <w:rsid w:val="006448E6"/>
    <w:rsid w:val="006459B4"/>
    <w:rsid w:val="00645D92"/>
    <w:rsid w:val="00646513"/>
    <w:rsid w:val="00646ED2"/>
    <w:rsid w:val="00647981"/>
    <w:rsid w:val="006479D9"/>
    <w:rsid w:val="0065032F"/>
    <w:rsid w:val="00651A3C"/>
    <w:rsid w:val="00651BE3"/>
    <w:rsid w:val="00654B7A"/>
    <w:rsid w:val="0065573B"/>
    <w:rsid w:val="00656BDA"/>
    <w:rsid w:val="006628D5"/>
    <w:rsid w:val="006649A4"/>
    <w:rsid w:val="0066634A"/>
    <w:rsid w:val="0067183F"/>
    <w:rsid w:val="0067306D"/>
    <w:rsid w:val="006743E1"/>
    <w:rsid w:val="0067473B"/>
    <w:rsid w:val="00675505"/>
    <w:rsid w:val="0067596D"/>
    <w:rsid w:val="00677718"/>
    <w:rsid w:val="00680666"/>
    <w:rsid w:val="00681997"/>
    <w:rsid w:val="00681A1A"/>
    <w:rsid w:val="00685078"/>
    <w:rsid w:val="00690D6B"/>
    <w:rsid w:val="0069170D"/>
    <w:rsid w:val="00691975"/>
    <w:rsid w:val="006A6447"/>
    <w:rsid w:val="006A675D"/>
    <w:rsid w:val="006A6CA7"/>
    <w:rsid w:val="006A6D4F"/>
    <w:rsid w:val="006A7622"/>
    <w:rsid w:val="006B3125"/>
    <w:rsid w:val="006B4C9D"/>
    <w:rsid w:val="006C1F32"/>
    <w:rsid w:val="006C4E78"/>
    <w:rsid w:val="006D02FF"/>
    <w:rsid w:val="006D066B"/>
    <w:rsid w:val="006D26E5"/>
    <w:rsid w:val="006D3DDB"/>
    <w:rsid w:val="006D7855"/>
    <w:rsid w:val="006E1187"/>
    <w:rsid w:val="006E1612"/>
    <w:rsid w:val="006E1D70"/>
    <w:rsid w:val="006E206D"/>
    <w:rsid w:val="006E3FD7"/>
    <w:rsid w:val="006E5479"/>
    <w:rsid w:val="006E58B0"/>
    <w:rsid w:val="006E5BB1"/>
    <w:rsid w:val="006E7D6D"/>
    <w:rsid w:val="006F0AB9"/>
    <w:rsid w:val="006F1D5B"/>
    <w:rsid w:val="006F549A"/>
    <w:rsid w:val="006F56D2"/>
    <w:rsid w:val="006F5E22"/>
    <w:rsid w:val="006F7851"/>
    <w:rsid w:val="00702714"/>
    <w:rsid w:val="00703A7E"/>
    <w:rsid w:val="007152AD"/>
    <w:rsid w:val="00720FD4"/>
    <w:rsid w:val="0072123F"/>
    <w:rsid w:val="00723109"/>
    <w:rsid w:val="007271EA"/>
    <w:rsid w:val="00727239"/>
    <w:rsid w:val="007272B9"/>
    <w:rsid w:val="00731B7E"/>
    <w:rsid w:val="00731D45"/>
    <w:rsid w:val="00734E8D"/>
    <w:rsid w:val="00737140"/>
    <w:rsid w:val="0073724C"/>
    <w:rsid w:val="00737CEE"/>
    <w:rsid w:val="007415E1"/>
    <w:rsid w:val="00747E31"/>
    <w:rsid w:val="00750C02"/>
    <w:rsid w:val="007514BE"/>
    <w:rsid w:val="00753E00"/>
    <w:rsid w:val="00755BD7"/>
    <w:rsid w:val="00756298"/>
    <w:rsid w:val="00760427"/>
    <w:rsid w:val="007613E4"/>
    <w:rsid w:val="007636E1"/>
    <w:rsid w:val="007666F7"/>
    <w:rsid w:val="00767151"/>
    <w:rsid w:val="0077173D"/>
    <w:rsid w:val="00772EDD"/>
    <w:rsid w:val="00781491"/>
    <w:rsid w:val="00782F51"/>
    <w:rsid w:val="0078363C"/>
    <w:rsid w:val="00787FF0"/>
    <w:rsid w:val="00791889"/>
    <w:rsid w:val="00791983"/>
    <w:rsid w:val="00791C11"/>
    <w:rsid w:val="00796274"/>
    <w:rsid w:val="007A3CC3"/>
    <w:rsid w:val="007A5A43"/>
    <w:rsid w:val="007A66D1"/>
    <w:rsid w:val="007A7306"/>
    <w:rsid w:val="007A7854"/>
    <w:rsid w:val="007B0391"/>
    <w:rsid w:val="007B3627"/>
    <w:rsid w:val="007C38E2"/>
    <w:rsid w:val="007C3E1B"/>
    <w:rsid w:val="007C4628"/>
    <w:rsid w:val="007C47D9"/>
    <w:rsid w:val="007C4AF2"/>
    <w:rsid w:val="007C6F12"/>
    <w:rsid w:val="007D6A26"/>
    <w:rsid w:val="007D6D94"/>
    <w:rsid w:val="007D73CA"/>
    <w:rsid w:val="007E0ED9"/>
    <w:rsid w:val="007E32EB"/>
    <w:rsid w:val="007E73A2"/>
    <w:rsid w:val="007F06C8"/>
    <w:rsid w:val="007F1967"/>
    <w:rsid w:val="007F1FED"/>
    <w:rsid w:val="007F3C5A"/>
    <w:rsid w:val="007F74E0"/>
    <w:rsid w:val="008010DD"/>
    <w:rsid w:val="00801480"/>
    <w:rsid w:val="00805284"/>
    <w:rsid w:val="00806367"/>
    <w:rsid w:val="00807F4E"/>
    <w:rsid w:val="00811DAB"/>
    <w:rsid w:val="0081406B"/>
    <w:rsid w:val="0081407C"/>
    <w:rsid w:val="00815190"/>
    <w:rsid w:val="00816852"/>
    <w:rsid w:val="00816891"/>
    <w:rsid w:val="008205CB"/>
    <w:rsid w:val="0082398C"/>
    <w:rsid w:val="00824361"/>
    <w:rsid w:val="00824771"/>
    <w:rsid w:val="0082560C"/>
    <w:rsid w:val="00827D0C"/>
    <w:rsid w:val="008300A6"/>
    <w:rsid w:val="00833E56"/>
    <w:rsid w:val="008365C2"/>
    <w:rsid w:val="008374D0"/>
    <w:rsid w:val="00837C61"/>
    <w:rsid w:val="00840C3F"/>
    <w:rsid w:val="00843F3A"/>
    <w:rsid w:val="00844C4A"/>
    <w:rsid w:val="00845530"/>
    <w:rsid w:val="008459A6"/>
    <w:rsid w:val="00845AB8"/>
    <w:rsid w:val="008500E9"/>
    <w:rsid w:val="008520EC"/>
    <w:rsid w:val="00856690"/>
    <w:rsid w:val="00856E0E"/>
    <w:rsid w:val="00856F74"/>
    <w:rsid w:val="008571C7"/>
    <w:rsid w:val="008607F8"/>
    <w:rsid w:val="008622E3"/>
    <w:rsid w:val="00864C6E"/>
    <w:rsid w:val="0086600B"/>
    <w:rsid w:val="00873D00"/>
    <w:rsid w:val="0087498A"/>
    <w:rsid w:val="00875DF3"/>
    <w:rsid w:val="00876F4A"/>
    <w:rsid w:val="00880E02"/>
    <w:rsid w:val="00883B1B"/>
    <w:rsid w:val="00883BF4"/>
    <w:rsid w:val="00884FE0"/>
    <w:rsid w:val="00885EFA"/>
    <w:rsid w:val="0088701D"/>
    <w:rsid w:val="00887F97"/>
    <w:rsid w:val="00890D20"/>
    <w:rsid w:val="0089128E"/>
    <w:rsid w:val="008915EE"/>
    <w:rsid w:val="00892862"/>
    <w:rsid w:val="00893C92"/>
    <w:rsid w:val="00895401"/>
    <w:rsid w:val="00895D56"/>
    <w:rsid w:val="00896EAC"/>
    <w:rsid w:val="00897C48"/>
    <w:rsid w:val="008A2360"/>
    <w:rsid w:val="008A3750"/>
    <w:rsid w:val="008A42D6"/>
    <w:rsid w:val="008A4417"/>
    <w:rsid w:val="008A5E18"/>
    <w:rsid w:val="008B4BEA"/>
    <w:rsid w:val="008B5269"/>
    <w:rsid w:val="008B64D1"/>
    <w:rsid w:val="008B74E8"/>
    <w:rsid w:val="008C0DF5"/>
    <w:rsid w:val="008C22D1"/>
    <w:rsid w:val="008C2E5B"/>
    <w:rsid w:val="008C3BF2"/>
    <w:rsid w:val="008C40EB"/>
    <w:rsid w:val="008C5FD2"/>
    <w:rsid w:val="008D1D46"/>
    <w:rsid w:val="008D20BA"/>
    <w:rsid w:val="008D28D2"/>
    <w:rsid w:val="008D2ABB"/>
    <w:rsid w:val="008D30CE"/>
    <w:rsid w:val="008D6C4C"/>
    <w:rsid w:val="008E2D84"/>
    <w:rsid w:val="008E702A"/>
    <w:rsid w:val="008F071D"/>
    <w:rsid w:val="008F2F06"/>
    <w:rsid w:val="008F45EE"/>
    <w:rsid w:val="009002F6"/>
    <w:rsid w:val="009014BE"/>
    <w:rsid w:val="009014C0"/>
    <w:rsid w:val="0090283E"/>
    <w:rsid w:val="00903971"/>
    <w:rsid w:val="00904AA0"/>
    <w:rsid w:val="00904F03"/>
    <w:rsid w:val="009055A1"/>
    <w:rsid w:val="00915575"/>
    <w:rsid w:val="00922B1B"/>
    <w:rsid w:val="00922E78"/>
    <w:rsid w:val="00923C79"/>
    <w:rsid w:val="009259F4"/>
    <w:rsid w:val="00925EA9"/>
    <w:rsid w:val="0092777A"/>
    <w:rsid w:val="00927872"/>
    <w:rsid w:val="00930E30"/>
    <w:rsid w:val="00933533"/>
    <w:rsid w:val="0093644E"/>
    <w:rsid w:val="009377CF"/>
    <w:rsid w:val="00940547"/>
    <w:rsid w:val="009416E4"/>
    <w:rsid w:val="009422CC"/>
    <w:rsid w:val="00942918"/>
    <w:rsid w:val="00942A84"/>
    <w:rsid w:val="009431D0"/>
    <w:rsid w:val="00944499"/>
    <w:rsid w:val="00945B4F"/>
    <w:rsid w:val="00947AD4"/>
    <w:rsid w:val="00947BF5"/>
    <w:rsid w:val="0095021F"/>
    <w:rsid w:val="00950530"/>
    <w:rsid w:val="0095085C"/>
    <w:rsid w:val="00952B29"/>
    <w:rsid w:val="00955A58"/>
    <w:rsid w:val="00955D20"/>
    <w:rsid w:val="00956A8A"/>
    <w:rsid w:val="00961871"/>
    <w:rsid w:val="0096437A"/>
    <w:rsid w:val="00964CF4"/>
    <w:rsid w:val="00966EC5"/>
    <w:rsid w:val="00967A2E"/>
    <w:rsid w:val="0097091E"/>
    <w:rsid w:val="00972A5E"/>
    <w:rsid w:val="00973B54"/>
    <w:rsid w:val="00977797"/>
    <w:rsid w:val="009802C5"/>
    <w:rsid w:val="009812C8"/>
    <w:rsid w:val="0098150E"/>
    <w:rsid w:val="0098551F"/>
    <w:rsid w:val="009911C3"/>
    <w:rsid w:val="009916F5"/>
    <w:rsid w:val="0099234C"/>
    <w:rsid w:val="00992476"/>
    <w:rsid w:val="009929A0"/>
    <w:rsid w:val="009929F8"/>
    <w:rsid w:val="009979DA"/>
    <w:rsid w:val="009A00BB"/>
    <w:rsid w:val="009A0551"/>
    <w:rsid w:val="009A07CE"/>
    <w:rsid w:val="009A1F58"/>
    <w:rsid w:val="009A28D7"/>
    <w:rsid w:val="009A6876"/>
    <w:rsid w:val="009B20A6"/>
    <w:rsid w:val="009B2A0E"/>
    <w:rsid w:val="009B31EB"/>
    <w:rsid w:val="009B3269"/>
    <w:rsid w:val="009B3442"/>
    <w:rsid w:val="009B47A8"/>
    <w:rsid w:val="009B5788"/>
    <w:rsid w:val="009B6141"/>
    <w:rsid w:val="009B77F5"/>
    <w:rsid w:val="009C1F83"/>
    <w:rsid w:val="009C2B67"/>
    <w:rsid w:val="009C3548"/>
    <w:rsid w:val="009C3E06"/>
    <w:rsid w:val="009C5959"/>
    <w:rsid w:val="009D0C6D"/>
    <w:rsid w:val="009D753F"/>
    <w:rsid w:val="009D79CD"/>
    <w:rsid w:val="009D7C7D"/>
    <w:rsid w:val="009E0084"/>
    <w:rsid w:val="009E4AEF"/>
    <w:rsid w:val="009E4B78"/>
    <w:rsid w:val="009E767D"/>
    <w:rsid w:val="009E78F3"/>
    <w:rsid w:val="009F2938"/>
    <w:rsid w:val="009F619F"/>
    <w:rsid w:val="00A05586"/>
    <w:rsid w:val="00A11406"/>
    <w:rsid w:val="00A12A24"/>
    <w:rsid w:val="00A17AA8"/>
    <w:rsid w:val="00A17AD3"/>
    <w:rsid w:val="00A2049B"/>
    <w:rsid w:val="00A20FBE"/>
    <w:rsid w:val="00A2271F"/>
    <w:rsid w:val="00A2441B"/>
    <w:rsid w:val="00A26153"/>
    <w:rsid w:val="00A27EAE"/>
    <w:rsid w:val="00A30D58"/>
    <w:rsid w:val="00A311B4"/>
    <w:rsid w:val="00A3667A"/>
    <w:rsid w:val="00A421F4"/>
    <w:rsid w:val="00A42DDA"/>
    <w:rsid w:val="00A44E11"/>
    <w:rsid w:val="00A44E49"/>
    <w:rsid w:val="00A524BC"/>
    <w:rsid w:val="00A537DE"/>
    <w:rsid w:val="00A53B4B"/>
    <w:rsid w:val="00A542DA"/>
    <w:rsid w:val="00A5558F"/>
    <w:rsid w:val="00A5613C"/>
    <w:rsid w:val="00A60FE3"/>
    <w:rsid w:val="00A61760"/>
    <w:rsid w:val="00A61A8A"/>
    <w:rsid w:val="00A61D24"/>
    <w:rsid w:val="00A715E9"/>
    <w:rsid w:val="00A71765"/>
    <w:rsid w:val="00A7191B"/>
    <w:rsid w:val="00A742E6"/>
    <w:rsid w:val="00A76999"/>
    <w:rsid w:val="00A80EE2"/>
    <w:rsid w:val="00A83340"/>
    <w:rsid w:val="00A84048"/>
    <w:rsid w:val="00A840D1"/>
    <w:rsid w:val="00A84500"/>
    <w:rsid w:val="00A84691"/>
    <w:rsid w:val="00A850B8"/>
    <w:rsid w:val="00A850CC"/>
    <w:rsid w:val="00A8686B"/>
    <w:rsid w:val="00A87F0A"/>
    <w:rsid w:val="00A90A7D"/>
    <w:rsid w:val="00A920B3"/>
    <w:rsid w:val="00A9680F"/>
    <w:rsid w:val="00A971CB"/>
    <w:rsid w:val="00AA0ACC"/>
    <w:rsid w:val="00AA7115"/>
    <w:rsid w:val="00AB1134"/>
    <w:rsid w:val="00AB2683"/>
    <w:rsid w:val="00AB48D1"/>
    <w:rsid w:val="00AB7877"/>
    <w:rsid w:val="00AB7C4D"/>
    <w:rsid w:val="00AC4C50"/>
    <w:rsid w:val="00AD110C"/>
    <w:rsid w:val="00AD2214"/>
    <w:rsid w:val="00AD2559"/>
    <w:rsid w:val="00AD35C7"/>
    <w:rsid w:val="00AD3CF3"/>
    <w:rsid w:val="00AD524F"/>
    <w:rsid w:val="00AD73DD"/>
    <w:rsid w:val="00AE6CB3"/>
    <w:rsid w:val="00AE6E52"/>
    <w:rsid w:val="00AE79CC"/>
    <w:rsid w:val="00AF1E9F"/>
    <w:rsid w:val="00AF1F02"/>
    <w:rsid w:val="00AF261D"/>
    <w:rsid w:val="00AF62F2"/>
    <w:rsid w:val="00AF6898"/>
    <w:rsid w:val="00AF745F"/>
    <w:rsid w:val="00AF7B4C"/>
    <w:rsid w:val="00B00BF9"/>
    <w:rsid w:val="00B02BD1"/>
    <w:rsid w:val="00B031C3"/>
    <w:rsid w:val="00B06285"/>
    <w:rsid w:val="00B101F5"/>
    <w:rsid w:val="00B10C3A"/>
    <w:rsid w:val="00B112C6"/>
    <w:rsid w:val="00B1255E"/>
    <w:rsid w:val="00B13C7E"/>
    <w:rsid w:val="00B14846"/>
    <w:rsid w:val="00B14E62"/>
    <w:rsid w:val="00B176BC"/>
    <w:rsid w:val="00B22620"/>
    <w:rsid w:val="00B2296B"/>
    <w:rsid w:val="00B2352E"/>
    <w:rsid w:val="00B267B5"/>
    <w:rsid w:val="00B30140"/>
    <w:rsid w:val="00B312E0"/>
    <w:rsid w:val="00B32F53"/>
    <w:rsid w:val="00B33BD7"/>
    <w:rsid w:val="00B36E90"/>
    <w:rsid w:val="00B4142E"/>
    <w:rsid w:val="00B42EE3"/>
    <w:rsid w:val="00B435F3"/>
    <w:rsid w:val="00B4588E"/>
    <w:rsid w:val="00B55B88"/>
    <w:rsid w:val="00B62E34"/>
    <w:rsid w:val="00B64AA3"/>
    <w:rsid w:val="00B658DB"/>
    <w:rsid w:val="00B65B47"/>
    <w:rsid w:val="00B6708B"/>
    <w:rsid w:val="00B71951"/>
    <w:rsid w:val="00B74960"/>
    <w:rsid w:val="00B80536"/>
    <w:rsid w:val="00B80A37"/>
    <w:rsid w:val="00B84072"/>
    <w:rsid w:val="00B8437F"/>
    <w:rsid w:val="00B8560A"/>
    <w:rsid w:val="00B86BFB"/>
    <w:rsid w:val="00B879ED"/>
    <w:rsid w:val="00B92785"/>
    <w:rsid w:val="00B93B6F"/>
    <w:rsid w:val="00B93C29"/>
    <w:rsid w:val="00BA24F2"/>
    <w:rsid w:val="00BA277A"/>
    <w:rsid w:val="00BA28F4"/>
    <w:rsid w:val="00BA2E34"/>
    <w:rsid w:val="00BA38F3"/>
    <w:rsid w:val="00BA6220"/>
    <w:rsid w:val="00BA72A5"/>
    <w:rsid w:val="00BA78AA"/>
    <w:rsid w:val="00BA7E80"/>
    <w:rsid w:val="00BB097F"/>
    <w:rsid w:val="00BB1443"/>
    <w:rsid w:val="00BB2190"/>
    <w:rsid w:val="00BB2212"/>
    <w:rsid w:val="00BB52CF"/>
    <w:rsid w:val="00BB6012"/>
    <w:rsid w:val="00BB7386"/>
    <w:rsid w:val="00BC52E6"/>
    <w:rsid w:val="00BC5318"/>
    <w:rsid w:val="00BC5957"/>
    <w:rsid w:val="00BC7808"/>
    <w:rsid w:val="00BC7AF2"/>
    <w:rsid w:val="00BD3ED7"/>
    <w:rsid w:val="00BD4B9A"/>
    <w:rsid w:val="00BD6A8B"/>
    <w:rsid w:val="00BE208A"/>
    <w:rsid w:val="00BE25BC"/>
    <w:rsid w:val="00BE45FC"/>
    <w:rsid w:val="00BE4680"/>
    <w:rsid w:val="00BE6DDB"/>
    <w:rsid w:val="00BE7BC8"/>
    <w:rsid w:val="00BF0F54"/>
    <w:rsid w:val="00BF18BE"/>
    <w:rsid w:val="00BF43A6"/>
    <w:rsid w:val="00BF5565"/>
    <w:rsid w:val="00BF57AC"/>
    <w:rsid w:val="00BF5ACB"/>
    <w:rsid w:val="00BF5C78"/>
    <w:rsid w:val="00BF738E"/>
    <w:rsid w:val="00BF762F"/>
    <w:rsid w:val="00BF7F19"/>
    <w:rsid w:val="00C005A0"/>
    <w:rsid w:val="00C01EB5"/>
    <w:rsid w:val="00C0242F"/>
    <w:rsid w:val="00C05562"/>
    <w:rsid w:val="00C06778"/>
    <w:rsid w:val="00C10771"/>
    <w:rsid w:val="00C11174"/>
    <w:rsid w:val="00C142EC"/>
    <w:rsid w:val="00C17F95"/>
    <w:rsid w:val="00C21F05"/>
    <w:rsid w:val="00C2334E"/>
    <w:rsid w:val="00C23AB9"/>
    <w:rsid w:val="00C247E3"/>
    <w:rsid w:val="00C25336"/>
    <w:rsid w:val="00C265BC"/>
    <w:rsid w:val="00C26703"/>
    <w:rsid w:val="00C3002F"/>
    <w:rsid w:val="00C30427"/>
    <w:rsid w:val="00C306AF"/>
    <w:rsid w:val="00C32354"/>
    <w:rsid w:val="00C32D97"/>
    <w:rsid w:val="00C352B1"/>
    <w:rsid w:val="00C353C1"/>
    <w:rsid w:val="00C4096A"/>
    <w:rsid w:val="00C448AB"/>
    <w:rsid w:val="00C44C11"/>
    <w:rsid w:val="00C46380"/>
    <w:rsid w:val="00C470EA"/>
    <w:rsid w:val="00C47760"/>
    <w:rsid w:val="00C524B2"/>
    <w:rsid w:val="00C53CC4"/>
    <w:rsid w:val="00C5411A"/>
    <w:rsid w:val="00C56550"/>
    <w:rsid w:val="00C64720"/>
    <w:rsid w:val="00C64B13"/>
    <w:rsid w:val="00C66F8F"/>
    <w:rsid w:val="00C6748D"/>
    <w:rsid w:val="00C72E24"/>
    <w:rsid w:val="00C735F0"/>
    <w:rsid w:val="00C75F62"/>
    <w:rsid w:val="00C76DC7"/>
    <w:rsid w:val="00C773C4"/>
    <w:rsid w:val="00C77651"/>
    <w:rsid w:val="00C807B1"/>
    <w:rsid w:val="00C812E7"/>
    <w:rsid w:val="00C8414D"/>
    <w:rsid w:val="00C86E0D"/>
    <w:rsid w:val="00C871EE"/>
    <w:rsid w:val="00C91FD0"/>
    <w:rsid w:val="00C92E7D"/>
    <w:rsid w:val="00C94A0E"/>
    <w:rsid w:val="00C9688D"/>
    <w:rsid w:val="00CA2433"/>
    <w:rsid w:val="00CA2C5E"/>
    <w:rsid w:val="00CA2DED"/>
    <w:rsid w:val="00CA337D"/>
    <w:rsid w:val="00CA35ED"/>
    <w:rsid w:val="00CA3B06"/>
    <w:rsid w:val="00CA45B7"/>
    <w:rsid w:val="00CB1165"/>
    <w:rsid w:val="00CB71AD"/>
    <w:rsid w:val="00CB721A"/>
    <w:rsid w:val="00CC0389"/>
    <w:rsid w:val="00CC14F1"/>
    <w:rsid w:val="00CC3096"/>
    <w:rsid w:val="00CD02A2"/>
    <w:rsid w:val="00CD2823"/>
    <w:rsid w:val="00CD5590"/>
    <w:rsid w:val="00CD5943"/>
    <w:rsid w:val="00CD7130"/>
    <w:rsid w:val="00CD7C30"/>
    <w:rsid w:val="00CE3145"/>
    <w:rsid w:val="00CE41AC"/>
    <w:rsid w:val="00CE45B8"/>
    <w:rsid w:val="00CE77FB"/>
    <w:rsid w:val="00CF05A2"/>
    <w:rsid w:val="00CF4EFF"/>
    <w:rsid w:val="00CF4F1A"/>
    <w:rsid w:val="00CF5B9E"/>
    <w:rsid w:val="00CF6215"/>
    <w:rsid w:val="00CF64F7"/>
    <w:rsid w:val="00CF7FAF"/>
    <w:rsid w:val="00D01DDC"/>
    <w:rsid w:val="00D035BD"/>
    <w:rsid w:val="00D0627F"/>
    <w:rsid w:val="00D06BFD"/>
    <w:rsid w:val="00D07F16"/>
    <w:rsid w:val="00D10ADE"/>
    <w:rsid w:val="00D16F2A"/>
    <w:rsid w:val="00D20044"/>
    <w:rsid w:val="00D252CA"/>
    <w:rsid w:val="00D3097B"/>
    <w:rsid w:val="00D31966"/>
    <w:rsid w:val="00D32A44"/>
    <w:rsid w:val="00D33296"/>
    <w:rsid w:val="00D345C6"/>
    <w:rsid w:val="00D4353B"/>
    <w:rsid w:val="00D44336"/>
    <w:rsid w:val="00D5012A"/>
    <w:rsid w:val="00D50269"/>
    <w:rsid w:val="00D522EE"/>
    <w:rsid w:val="00D53FC1"/>
    <w:rsid w:val="00D547C2"/>
    <w:rsid w:val="00D55B5C"/>
    <w:rsid w:val="00D565E8"/>
    <w:rsid w:val="00D5713D"/>
    <w:rsid w:val="00D57B92"/>
    <w:rsid w:val="00D62D67"/>
    <w:rsid w:val="00D63538"/>
    <w:rsid w:val="00D63A20"/>
    <w:rsid w:val="00D63DE7"/>
    <w:rsid w:val="00D64A14"/>
    <w:rsid w:val="00D66022"/>
    <w:rsid w:val="00D66227"/>
    <w:rsid w:val="00D666FE"/>
    <w:rsid w:val="00D70164"/>
    <w:rsid w:val="00D705E6"/>
    <w:rsid w:val="00D70EEF"/>
    <w:rsid w:val="00D725D8"/>
    <w:rsid w:val="00D7264A"/>
    <w:rsid w:val="00D73B82"/>
    <w:rsid w:val="00D74458"/>
    <w:rsid w:val="00D74EE9"/>
    <w:rsid w:val="00D76C4F"/>
    <w:rsid w:val="00D7758F"/>
    <w:rsid w:val="00D82060"/>
    <w:rsid w:val="00D8253E"/>
    <w:rsid w:val="00D849B1"/>
    <w:rsid w:val="00D85CFD"/>
    <w:rsid w:val="00D923E0"/>
    <w:rsid w:val="00D9544A"/>
    <w:rsid w:val="00D959BC"/>
    <w:rsid w:val="00D95D48"/>
    <w:rsid w:val="00D96081"/>
    <w:rsid w:val="00D960FC"/>
    <w:rsid w:val="00D973A3"/>
    <w:rsid w:val="00DA2A0A"/>
    <w:rsid w:val="00DA6AA8"/>
    <w:rsid w:val="00DA6DE7"/>
    <w:rsid w:val="00DA75FF"/>
    <w:rsid w:val="00DB0335"/>
    <w:rsid w:val="00DB2EDD"/>
    <w:rsid w:val="00DB3D17"/>
    <w:rsid w:val="00DB52C9"/>
    <w:rsid w:val="00DB5937"/>
    <w:rsid w:val="00DB5E97"/>
    <w:rsid w:val="00DC0C9E"/>
    <w:rsid w:val="00DC45CD"/>
    <w:rsid w:val="00DC73B0"/>
    <w:rsid w:val="00DC74DD"/>
    <w:rsid w:val="00DD10D9"/>
    <w:rsid w:val="00DD1593"/>
    <w:rsid w:val="00DD17B4"/>
    <w:rsid w:val="00DD555A"/>
    <w:rsid w:val="00DD701B"/>
    <w:rsid w:val="00DE0C33"/>
    <w:rsid w:val="00DE10F3"/>
    <w:rsid w:val="00DE1555"/>
    <w:rsid w:val="00DE19B5"/>
    <w:rsid w:val="00DE38FE"/>
    <w:rsid w:val="00DE3C96"/>
    <w:rsid w:val="00DE562B"/>
    <w:rsid w:val="00DE7925"/>
    <w:rsid w:val="00DE7A1C"/>
    <w:rsid w:val="00DF1F36"/>
    <w:rsid w:val="00DF1FB9"/>
    <w:rsid w:val="00DF3BEC"/>
    <w:rsid w:val="00DF3C59"/>
    <w:rsid w:val="00E0013A"/>
    <w:rsid w:val="00E02B28"/>
    <w:rsid w:val="00E0422C"/>
    <w:rsid w:val="00E06E88"/>
    <w:rsid w:val="00E0711A"/>
    <w:rsid w:val="00E10A18"/>
    <w:rsid w:val="00E11959"/>
    <w:rsid w:val="00E14398"/>
    <w:rsid w:val="00E22A73"/>
    <w:rsid w:val="00E243B6"/>
    <w:rsid w:val="00E24977"/>
    <w:rsid w:val="00E258AB"/>
    <w:rsid w:val="00E25CE4"/>
    <w:rsid w:val="00E265A8"/>
    <w:rsid w:val="00E30080"/>
    <w:rsid w:val="00E302CA"/>
    <w:rsid w:val="00E3293B"/>
    <w:rsid w:val="00E32C8B"/>
    <w:rsid w:val="00E332BD"/>
    <w:rsid w:val="00E34714"/>
    <w:rsid w:val="00E37794"/>
    <w:rsid w:val="00E4406F"/>
    <w:rsid w:val="00E4438E"/>
    <w:rsid w:val="00E44C8B"/>
    <w:rsid w:val="00E45865"/>
    <w:rsid w:val="00E46144"/>
    <w:rsid w:val="00E47096"/>
    <w:rsid w:val="00E47653"/>
    <w:rsid w:val="00E50FE0"/>
    <w:rsid w:val="00E51749"/>
    <w:rsid w:val="00E52A84"/>
    <w:rsid w:val="00E535F5"/>
    <w:rsid w:val="00E559B3"/>
    <w:rsid w:val="00E60C58"/>
    <w:rsid w:val="00E62841"/>
    <w:rsid w:val="00E635D8"/>
    <w:rsid w:val="00E6384E"/>
    <w:rsid w:val="00E704E6"/>
    <w:rsid w:val="00E70C9E"/>
    <w:rsid w:val="00E71CA7"/>
    <w:rsid w:val="00E721AF"/>
    <w:rsid w:val="00E73D14"/>
    <w:rsid w:val="00E73E05"/>
    <w:rsid w:val="00E74AA5"/>
    <w:rsid w:val="00E75472"/>
    <w:rsid w:val="00E766EC"/>
    <w:rsid w:val="00E779AE"/>
    <w:rsid w:val="00E84AB4"/>
    <w:rsid w:val="00E86216"/>
    <w:rsid w:val="00E86528"/>
    <w:rsid w:val="00E87A1F"/>
    <w:rsid w:val="00E90B69"/>
    <w:rsid w:val="00E93B9B"/>
    <w:rsid w:val="00E974A9"/>
    <w:rsid w:val="00E977D2"/>
    <w:rsid w:val="00EA0BB4"/>
    <w:rsid w:val="00EA21A8"/>
    <w:rsid w:val="00EA27F6"/>
    <w:rsid w:val="00EA28C0"/>
    <w:rsid w:val="00EA3565"/>
    <w:rsid w:val="00EA3619"/>
    <w:rsid w:val="00EA5C4C"/>
    <w:rsid w:val="00EA5E39"/>
    <w:rsid w:val="00EA617E"/>
    <w:rsid w:val="00EA6AED"/>
    <w:rsid w:val="00EA78EA"/>
    <w:rsid w:val="00EB0E46"/>
    <w:rsid w:val="00EB18F9"/>
    <w:rsid w:val="00EB248D"/>
    <w:rsid w:val="00EB2803"/>
    <w:rsid w:val="00EB45BD"/>
    <w:rsid w:val="00EB4E05"/>
    <w:rsid w:val="00EB72A3"/>
    <w:rsid w:val="00EC12F4"/>
    <w:rsid w:val="00EC14D5"/>
    <w:rsid w:val="00EC484C"/>
    <w:rsid w:val="00EC5725"/>
    <w:rsid w:val="00EC5E53"/>
    <w:rsid w:val="00EC6E8A"/>
    <w:rsid w:val="00EC721B"/>
    <w:rsid w:val="00ED0367"/>
    <w:rsid w:val="00ED0C54"/>
    <w:rsid w:val="00ED235C"/>
    <w:rsid w:val="00ED3116"/>
    <w:rsid w:val="00ED363B"/>
    <w:rsid w:val="00ED52DF"/>
    <w:rsid w:val="00ED530C"/>
    <w:rsid w:val="00ED64D6"/>
    <w:rsid w:val="00ED7C48"/>
    <w:rsid w:val="00EE05D2"/>
    <w:rsid w:val="00EE14E0"/>
    <w:rsid w:val="00EE4600"/>
    <w:rsid w:val="00EE53C0"/>
    <w:rsid w:val="00EE6C16"/>
    <w:rsid w:val="00EF0F0B"/>
    <w:rsid w:val="00EF3E76"/>
    <w:rsid w:val="00EF47E3"/>
    <w:rsid w:val="00EF519E"/>
    <w:rsid w:val="00EF6094"/>
    <w:rsid w:val="00EF6E67"/>
    <w:rsid w:val="00F03E9D"/>
    <w:rsid w:val="00F03FA5"/>
    <w:rsid w:val="00F0444F"/>
    <w:rsid w:val="00F0451A"/>
    <w:rsid w:val="00F04AFC"/>
    <w:rsid w:val="00F10AA2"/>
    <w:rsid w:val="00F149E6"/>
    <w:rsid w:val="00F15CC4"/>
    <w:rsid w:val="00F16552"/>
    <w:rsid w:val="00F165C2"/>
    <w:rsid w:val="00F165C3"/>
    <w:rsid w:val="00F20025"/>
    <w:rsid w:val="00F201AD"/>
    <w:rsid w:val="00F2276E"/>
    <w:rsid w:val="00F23D87"/>
    <w:rsid w:val="00F24717"/>
    <w:rsid w:val="00F249AF"/>
    <w:rsid w:val="00F24DFD"/>
    <w:rsid w:val="00F25ABE"/>
    <w:rsid w:val="00F308E7"/>
    <w:rsid w:val="00F3244A"/>
    <w:rsid w:val="00F346D8"/>
    <w:rsid w:val="00F35273"/>
    <w:rsid w:val="00F3594F"/>
    <w:rsid w:val="00F35B12"/>
    <w:rsid w:val="00F373FE"/>
    <w:rsid w:val="00F37AEB"/>
    <w:rsid w:val="00F37C1A"/>
    <w:rsid w:val="00F401A6"/>
    <w:rsid w:val="00F40A4A"/>
    <w:rsid w:val="00F413ED"/>
    <w:rsid w:val="00F45404"/>
    <w:rsid w:val="00F45F3E"/>
    <w:rsid w:val="00F52BF3"/>
    <w:rsid w:val="00F55F13"/>
    <w:rsid w:val="00F55F9E"/>
    <w:rsid w:val="00F61602"/>
    <w:rsid w:val="00F650B1"/>
    <w:rsid w:val="00F664BB"/>
    <w:rsid w:val="00F6755C"/>
    <w:rsid w:val="00F700BF"/>
    <w:rsid w:val="00F70133"/>
    <w:rsid w:val="00F70E1B"/>
    <w:rsid w:val="00F72054"/>
    <w:rsid w:val="00F75B1A"/>
    <w:rsid w:val="00F760C3"/>
    <w:rsid w:val="00F8020A"/>
    <w:rsid w:val="00F80A09"/>
    <w:rsid w:val="00F81164"/>
    <w:rsid w:val="00F815A3"/>
    <w:rsid w:val="00F85051"/>
    <w:rsid w:val="00F87C9F"/>
    <w:rsid w:val="00F92FDB"/>
    <w:rsid w:val="00F94986"/>
    <w:rsid w:val="00F9559C"/>
    <w:rsid w:val="00F9669A"/>
    <w:rsid w:val="00F97EC6"/>
    <w:rsid w:val="00FA29F1"/>
    <w:rsid w:val="00FA4A1C"/>
    <w:rsid w:val="00FA4F30"/>
    <w:rsid w:val="00FA4F61"/>
    <w:rsid w:val="00FA4FE0"/>
    <w:rsid w:val="00FA7E84"/>
    <w:rsid w:val="00FB2CC9"/>
    <w:rsid w:val="00FB4FD9"/>
    <w:rsid w:val="00FB56E9"/>
    <w:rsid w:val="00FB61C0"/>
    <w:rsid w:val="00FC53B4"/>
    <w:rsid w:val="00FC6698"/>
    <w:rsid w:val="00FD0F8C"/>
    <w:rsid w:val="00FD16DD"/>
    <w:rsid w:val="00FD33ED"/>
    <w:rsid w:val="00FE2654"/>
    <w:rsid w:val="00FE475D"/>
    <w:rsid w:val="00FE6037"/>
    <w:rsid w:val="00FE6F82"/>
    <w:rsid w:val="00FF27A3"/>
    <w:rsid w:val="00FF58C9"/>
    <w:rsid w:val="00FF58EC"/>
    <w:rsid w:val="00FF64AC"/>
    <w:rsid w:val="0863F63D"/>
    <w:rsid w:val="32AFC877"/>
    <w:rsid w:val="4EB02AD7"/>
    <w:rsid w:val="51E51978"/>
    <w:rsid w:val="551495BE"/>
    <w:rsid w:val="739BFF38"/>
    <w:rsid w:val="77168F59"/>
    <w:rsid w:val="7C7F9F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4DE2"/>
  <w15:chartTrackingRefBased/>
  <w15:docId w15:val="{28994AB1-3D60-4176-8CD7-4376385D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33A2"/>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2733A2"/>
    <w:pPr>
      <w:pBdr>
        <w:top w:val="single" w:sz="4" w:space="1" w:color="auto"/>
      </w:pBdr>
      <w:spacing w:line="240" w:lineRule="auto"/>
    </w:pPr>
    <w:rPr>
      <w:rFonts w:eastAsia="Times New Roman"/>
      <w:b/>
      <w:sz w:val="40"/>
      <w:lang w:eastAsia="en-AU"/>
    </w:rPr>
  </w:style>
  <w:style w:type="paragraph" w:customStyle="1" w:styleId="LI-Heading2">
    <w:name w:val="LI - Heading 2"/>
    <w:basedOn w:val="Normal"/>
    <w:next w:val="Normal"/>
    <w:qFormat/>
    <w:rsid w:val="002733A2"/>
    <w:pPr>
      <w:keepNext/>
      <w:keepLines/>
      <w:spacing w:before="360" w:line="240" w:lineRule="auto"/>
      <w:ind w:left="567" w:hanging="567"/>
      <w:outlineLvl w:val="1"/>
    </w:pPr>
    <w:rPr>
      <w:rFonts w:eastAsia="Times New Roman"/>
      <w:b/>
      <w:kern w:val="28"/>
      <w:sz w:val="24"/>
      <w:lang w:eastAsia="en-AU"/>
    </w:rPr>
  </w:style>
  <w:style w:type="paragraph" w:customStyle="1" w:styleId="LI-BodyTextParaa">
    <w:name w:val="LI - Body Text Para (a)"/>
    <w:basedOn w:val="Normal"/>
    <w:link w:val="LI-BodyTextParaaChar"/>
    <w:rsid w:val="002733A2"/>
    <w:pPr>
      <w:spacing w:before="240" w:line="240" w:lineRule="auto"/>
      <w:ind w:left="1701" w:hanging="567"/>
    </w:pPr>
    <w:rPr>
      <w:rFonts w:eastAsia="Times New Roman"/>
      <w:sz w:val="24"/>
      <w:szCs w:val="24"/>
      <w:lang w:eastAsia="en-AU"/>
    </w:rPr>
  </w:style>
  <w:style w:type="paragraph" w:customStyle="1" w:styleId="LI-BodyTextSubparai">
    <w:name w:val="LI - Body Text Subpara (i)"/>
    <w:basedOn w:val="LI-BodyTextParaa"/>
    <w:link w:val="LI-BodyTextSubparaiChar"/>
    <w:qFormat/>
    <w:rsid w:val="002733A2"/>
    <w:pPr>
      <w:numPr>
        <w:ilvl w:val="1"/>
        <w:numId w:val="1"/>
      </w:numPr>
    </w:pPr>
  </w:style>
  <w:style w:type="character" w:customStyle="1" w:styleId="LI-BodyTextParaaChar">
    <w:name w:val="LI - Body Text Para (a) Char"/>
    <w:link w:val="LI-BodyTextParaa"/>
    <w:rsid w:val="002733A2"/>
    <w:rPr>
      <w:rFonts w:ascii="Times New Roman" w:eastAsia="Times New Roman" w:hAnsi="Times New Roman" w:cs="Times New Roman"/>
      <w:sz w:val="24"/>
      <w:szCs w:val="24"/>
      <w:lang w:eastAsia="en-AU"/>
    </w:rPr>
  </w:style>
  <w:style w:type="character" w:customStyle="1" w:styleId="LI-BodyTextSubparaiChar">
    <w:name w:val="LI - Body Text Subpara (i) Char"/>
    <w:basedOn w:val="LI-BodyTextParaaChar"/>
    <w:link w:val="LI-BodyTextSubparai"/>
    <w:rsid w:val="002733A2"/>
    <w:rPr>
      <w:rFonts w:ascii="Times New Roman" w:eastAsia="Times New Roman" w:hAnsi="Times New Roman" w:cs="Times New Roman"/>
      <w:sz w:val="24"/>
      <w:szCs w:val="24"/>
      <w:lang w:eastAsia="en-AU"/>
    </w:rPr>
  </w:style>
  <w:style w:type="paragraph" w:customStyle="1" w:styleId="LI-BodyTextNumbered">
    <w:name w:val="LI - Body Text Numbered"/>
    <w:basedOn w:val="Normal"/>
    <w:next w:val="LI-BodyTextSubparai"/>
    <w:link w:val="LI-BodyTextNumberedChar"/>
    <w:qFormat/>
    <w:rsid w:val="002733A2"/>
    <w:pPr>
      <w:numPr>
        <w:numId w:val="1"/>
      </w:numPr>
      <w:spacing w:before="240" w:line="240" w:lineRule="auto"/>
    </w:pPr>
    <w:rPr>
      <w:rFonts w:eastAsia="Times New Roman"/>
      <w:sz w:val="24"/>
      <w:szCs w:val="24"/>
      <w:lang w:eastAsia="en-AU"/>
    </w:rPr>
  </w:style>
  <w:style w:type="character" w:customStyle="1" w:styleId="LI-BodyTextNumberedChar">
    <w:name w:val="LI - Body Text Numbered Char"/>
    <w:link w:val="LI-BodyTextNumbered"/>
    <w:rsid w:val="002733A2"/>
    <w:rPr>
      <w:rFonts w:ascii="Times New Roman" w:eastAsia="Times New Roman" w:hAnsi="Times New Roman" w:cs="Times New Roman"/>
      <w:sz w:val="24"/>
      <w:szCs w:val="24"/>
      <w:lang w:eastAsia="en-AU"/>
    </w:rPr>
  </w:style>
  <w:style w:type="character" w:styleId="CommentReference">
    <w:name w:val="annotation reference"/>
    <w:uiPriority w:val="99"/>
    <w:semiHidden/>
    <w:unhideWhenUsed/>
    <w:rsid w:val="002733A2"/>
    <w:rPr>
      <w:sz w:val="16"/>
      <w:szCs w:val="16"/>
    </w:rPr>
  </w:style>
  <w:style w:type="paragraph" w:styleId="FootnoteText">
    <w:name w:val="footnote text"/>
    <w:basedOn w:val="Normal"/>
    <w:link w:val="FootnoteTextChar"/>
    <w:uiPriority w:val="99"/>
    <w:semiHidden/>
    <w:unhideWhenUsed/>
    <w:rsid w:val="002733A2"/>
    <w:pPr>
      <w:spacing w:line="240" w:lineRule="auto"/>
    </w:pPr>
    <w:rPr>
      <w:sz w:val="20"/>
    </w:rPr>
  </w:style>
  <w:style w:type="character" w:customStyle="1" w:styleId="FootnoteTextChar">
    <w:name w:val="Footnote Text Char"/>
    <w:basedOn w:val="DefaultParagraphFont"/>
    <w:link w:val="FootnoteText"/>
    <w:uiPriority w:val="99"/>
    <w:semiHidden/>
    <w:rsid w:val="002733A2"/>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2733A2"/>
    <w:rPr>
      <w:vertAlign w:val="superscript"/>
    </w:rPr>
  </w:style>
  <w:style w:type="paragraph" w:styleId="Revision">
    <w:name w:val="Revision"/>
    <w:hidden/>
    <w:uiPriority w:val="99"/>
    <w:semiHidden/>
    <w:rsid w:val="006E1D70"/>
    <w:pPr>
      <w:spacing w:after="0" w:line="240" w:lineRule="auto"/>
    </w:pPr>
    <w:rPr>
      <w:rFonts w:ascii="Times New Roman" w:eastAsia="Calibri" w:hAnsi="Times New Roman" w:cs="Times New Roman"/>
      <w:szCs w:val="20"/>
    </w:rPr>
  </w:style>
  <w:style w:type="paragraph" w:styleId="CommentText">
    <w:name w:val="annotation text"/>
    <w:basedOn w:val="Normal"/>
    <w:link w:val="CommentTextChar"/>
    <w:uiPriority w:val="99"/>
    <w:semiHidden/>
    <w:unhideWhenUsed/>
    <w:rsid w:val="002D6E71"/>
    <w:pPr>
      <w:spacing w:line="240" w:lineRule="auto"/>
    </w:pPr>
    <w:rPr>
      <w:sz w:val="20"/>
    </w:rPr>
  </w:style>
  <w:style w:type="character" w:customStyle="1" w:styleId="CommentTextChar">
    <w:name w:val="Comment Text Char"/>
    <w:basedOn w:val="DefaultParagraphFont"/>
    <w:link w:val="CommentText"/>
    <w:uiPriority w:val="99"/>
    <w:semiHidden/>
    <w:rsid w:val="002D6E7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6E71"/>
    <w:rPr>
      <w:b/>
      <w:bCs/>
    </w:rPr>
  </w:style>
  <w:style w:type="character" w:customStyle="1" w:styleId="CommentSubjectChar">
    <w:name w:val="Comment Subject Char"/>
    <w:basedOn w:val="CommentTextChar"/>
    <w:link w:val="CommentSubject"/>
    <w:uiPriority w:val="99"/>
    <w:semiHidden/>
    <w:rsid w:val="002D6E71"/>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0F0D6A"/>
    <w:pPr>
      <w:tabs>
        <w:tab w:val="center" w:pos="4680"/>
        <w:tab w:val="right" w:pos="9360"/>
      </w:tabs>
      <w:spacing w:line="240" w:lineRule="auto"/>
    </w:pPr>
  </w:style>
  <w:style w:type="character" w:customStyle="1" w:styleId="HeaderChar">
    <w:name w:val="Header Char"/>
    <w:basedOn w:val="DefaultParagraphFont"/>
    <w:link w:val="Header"/>
    <w:uiPriority w:val="99"/>
    <w:rsid w:val="000F0D6A"/>
    <w:rPr>
      <w:rFonts w:ascii="Times New Roman" w:eastAsia="Calibri" w:hAnsi="Times New Roman" w:cs="Times New Roman"/>
      <w:szCs w:val="20"/>
    </w:rPr>
  </w:style>
  <w:style w:type="paragraph" w:styleId="Footer">
    <w:name w:val="footer"/>
    <w:basedOn w:val="Normal"/>
    <w:link w:val="FooterChar"/>
    <w:uiPriority w:val="99"/>
    <w:unhideWhenUsed/>
    <w:rsid w:val="000F0D6A"/>
    <w:pPr>
      <w:tabs>
        <w:tab w:val="center" w:pos="4680"/>
        <w:tab w:val="right" w:pos="9360"/>
      </w:tabs>
      <w:spacing w:line="240" w:lineRule="auto"/>
    </w:pPr>
  </w:style>
  <w:style w:type="character" w:customStyle="1" w:styleId="FooterChar">
    <w:name w:val="Footer Char"/>
    <w:basedOn w:val="DefaultParagraphFont"/>
    <w:link w:val="Footer"/>
    <w:uiPriority w:val="99"/>
    <w:rsid w:val="000F0D6A"/>
    <w:rPr>
      <w:rFonts w:ascii="Times New Roman" w:eastAsia="Calibri" w:hAnsi="Times New Roman" w:cs="Times New Roman"/>
      <w:szCs w:val="20"/>
    </w:rPr>
  </w:style>
  <w:style w:type="character" w:styleId="Hyperlink">
    <w:name w:val="Hyperlink"/>
    <w:basedOn w:val="DefaultParagraphFont"/>
    <w:uiPriority w:val="99"/>
    <w:semiHidden/>
    <w:unhideWhenUsed/>
    <w:rsid w:val="0032798D"/>
    <w:rPr>
      <w:color w:val="0000FF"/>
      <w:u w:val="single"/>
    </w:rPr>
  </w:style>
  <w:style w:type="character" w:styleId="FollowedHyperlink">
    <w:name w:val="FollowedHyperlink"/>
    <w:basedOn w:val="DefaultParagraphFont"/>
    <w:uiPriority w:val="99"/>
    <w:semiHidden/>
    <w:unhideWhenUsed/>
    <w:rsid w:val="00656B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5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f302855-5de3-48f9-83c2-fc1acc0f760b" ContentTypeId="0x010100B5F685A1365F544391EF8C813B164F3A"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A Policy Document" ma:contentTypeID="0x010100B5F685A1365F544391EF8C813B164F3A95005157E13E3014D447AC19F7ED19C05EC4" ma:contentTypeVersion="28" ma:contentTypeDescription="" ma:contentTypeScope="" ma:versionID="717037e64e98afd3ef3588121e4322d9">
  <xsd:schema xmlns:xsd="http://www.w3.org/2001/XMLSchema" xmlns:xs="http://www.w3.org/2001/XMLSchema" xmlns:p="http://schemas.microsoft.com/office/2006/metadata/properties" xmlns:ns2="db2b92ca-6ed0-4085-802d-4c686a2e8c3f" xmlns:ns3="cd82e354-f4bf-4038-92d4-77a53c518f34" xmlns:ns4="5143b441-730d-468e-9e7b-525a5337cbbc" targetNamespace="http://schemas.microsoft.com/office/2006/metadata/properties" ma:root="true" ma:fieldsID="20cbaf257bdf441affaf16c205022b2f" ns2:_="" ns3:_="" ns4:_="">
    <xsd:import namespace="db2b92ca-6ed0-4085-802d-4c686a2e8c3f"/>
    <xsd:import namespace="cd82e354-f4bf-4038-92d4-77a53c518f34"/>
    <xsd:import namespace="5143b441-730d-468e-9e7b-525a5337cbbc"/>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Metadata" minOccurs="0"/>
                <xsd:element ref="ns4:FAPolicyDocumentTyp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ba201ce-87f9-4021-9c98-a8e8e3471095}" ma:internalName="TaxCatchAll" ma:showField="CatchAllData"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ba201ce-87f9-4021-9c98-a8e8e3471095}" ma:internalName="TaxCatchAllLabel" ma:readOnly="true" ma:showField="CatchAllDataLabel"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82e354-f4bf-4038-92d4-77a53c518f34" elementFormDefault="qualified">
    <xsd:import namespace="http://schemas.microsoft.com/office/2006/documentManagement/types"/>
    <xsd:import namespace="http://schemas.microsoft.com/office/infopath/2007/PartnerControls"/>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Metadata" ma:index="23"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43b441-730d-468e-9e7b-525a5337cbbc" elementFormDefault="qualified">
    <xsd:import namespace="http://schemas.microsoft.com/office/2006/documentManagement/types"/>
    <xsd:import namespace="http://schemas.microsoft.com/office/infopath/2007/PartnerControls"/>
    <xsd:element name="FAPolicyDocumentType" ma:index="24" nillable="true" ma:displayName="FA Policy Document Type" ma:format="Dropdown" ma:internalName="FAPolicyDocumentType" ma:readOnly="false">
      <xsd:simpleType>
        <xsd:restriction base="dms:Choice">
          <xsd:enumeration value="Communications"/>
          <xsd:enumeration value="Guidance"/>
          <xsd:enumeration value="Submission"/>
          <xsd:enumeration value="Speeches"/>
          <xsd:enumeration value="Briefings"/>
          <xsd:enumeration value="Agenda"/>
          <xsd:enumeration value="Minutes"/>
          <xsd:enumeration value="Media Release"/>
        </xsd:restriction>
      </xsd:simple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APReason xmlns="db2b92ca-6ed0-4085-802d-4c686a2e8c3f" xsi:nil="true"/>
    <_dlc_DocId xmlns="5143b441-730d-468e-9e7b-525a5337cbbc">000817-382038461-6196</_dlc_DocId>
    <TaxCatchAll xmlns="db2b92ca-6ed0-4085-802d-4c686a2e8c3f">
      <Value>2</Value>
    </TaxCatchAll>
    <FAPolicyDocumentType xmlns="5143b441-730d-468e-9e7b-525a5337cbbc" xsi:nil="true"/>
    <DocumentNotes xmlns="db2b92ca-6ed0-4085-802d-4c686a2e8c3f" xsi:nil="true"/>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_dlc_DocIdUrl xmlns="5143b441-730d-468e-9e7b-525a5337cbbc">
      <Url>https://asiclink.sharepoint.com/teams/000817/_layouts/15/DocIdRedir.aspx?ID=000817-382038461-6196</Url>
      <Description>000817-382038461-6196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F58B6AA9-B669-4A7F-A27B-384EE61A328F}">
  <ds:schemaRefs>
    <ds:schemaRef ds:uri="Microsoft.SharePoint.Taxonomy.ContentTypeSync"/>
  </ds:schemaRefs>
</ds:datastoreItem>
</file>

<file path=customXml/itemProps2.xml><?xml version="1.0" encoding="utf-8"?>
<ds:datastoreItem xmlns:ds="http://schemas.openxmlformats.org/officeDocument/2006/customXml" ds:itemID="{AF061680-45E2-465A-A960-9211DCC3E1D2}">
  <ds:schemaRefs>
    <ds:schemaRef ds:uri="http://schemas.microsoft.com/sharepoint/events"/>
  </ds:schemaRefs>
</ds:datastoreItem>
</file>

<file path=customXml/itemProps3.xml><?xml version="1.0" encoding="utf-8"?>
<ds:datastoreItem xmlns:ds="http://schemas.openxmlformats.org/officeDocument/2006/customXml" ds:itemID="{3DDA6912-3356-4BFD-816C-0DC5F93B2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cd82e354-f4bf-4038-92d4-77a53c518f34"/>
    <ds:schemaRef ds:uri="5143b441-730d-468e-9e7b-525a5337c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7DE408-34E1-4F98-AA3D-B061A44F47E0}">
  <ds:schemaRefs>
    <ds:schemaRef ds:uri="http://schemas.microsoft.com/office/2006/metadata/properties"/>
    <ds:schemaRef ds:uri="http://schemas.microsoft.com/office/infopath/2007/PartnerControls"/>
    <ds:schemaRef ds:uri="db2b92ca-6ed0-4085-802d-4c686a2e8c3f"/>
    <ds:schemaRef ds:uri="5143b441-730d-468e-9e7b-525a5337cbbc"/>
  </ds:schemaRefs>
</ds:datastoreItem>
</file>

<file path=customXml/itemProps5.xml><?xml version="1.0" encoding="utf-8"?>
<ds:datastoreItem xmlns:ds="http://schemas.openxmlformats.org/officeDocument/2006/customXml" ds:itemID="{13F99873-72BF-4136-A5F6-E2BE53624A03}">
  <ds:schemaRefs>
    <ds:schemaRef ds:uri="http://schemas.openxmlformats.org/officeDocument/2006/bibliography"/>
  </ds:schemaRefs>
</ds:datastoreItem>
</file>

<file path=customXml/itemProps6.xml><?xml version="1.0" encoding="utf-8"?>
<ds:datastoreItem xmlns:ds="http://schemas.openxmlformats.org/officeDocument/2006/customXml" ds:itemID="{EFBEF2B9-3900-4548-85B7-17D5F626D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1738</Words>
  <Characters>9840</Characters>
  <Application>Microsoft Office Word</Application>
  <DocSecurity>0</DocSecurity>
  <Lines>894</Lines>
  <Paragraphs>643</Paragraphs>
  <ScaleCrop>false</ScaleCrop>
  <HeadingPairs>
    <vt:vector size="2" baseType="variant">
      <vt:variant>
        <vt:lpstr>Title</vt:lpstr>
      </vt:variant>
      <vt:variant>
        <vt:i4>1</vt:i4>
      </vt:variant>
    </vt:vector>
  </HeadingPairs>
  <TitlesOfParts>
    <vt:vector size="1" baseType="lpstr">
      <vt:lpstr>20230511 - Draft ES - ASIC Corporations (Registration of Relevant Providers) Instrument 2023-XXX</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20230511 - Draft ES - ASIC Corporations (Registration of Relevant Providers) Instrument 2023-XXX</dc:title>
  <dc:subject/>
  <dc:creator>Claire Clegg</dc:creator>
  <cp:keywords/>
  <dc:description/>
  <cp:lastModifiedBy>Narelle Kane</cp:lastModifiedBy>
  <cp:revision>3</cp:revision>
  <dcterms:created xsi:type="dcterms:W3CDTF">2023-06-16T05:00:00Z</dcterms:created>
  <dcterms:modified xsi:type="dcterms:W3CDTF">2023-06-16T05:00:00Z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0x010100B5F685A1365F544391EF8C813B164F3A95005157E13E3014D447AC19F7ED19C05EC4</vt:lpwstr>
  </property>
  <property fmtid="{D5CDD505-2E9C-101B-9397-08002B2CF9AE}" pid="3" name="_dlc_DocIdItemGuid">
    <vt:lpwstr>e48ee012-e753-45f7-9cf0-ebce3b519909</vt:lpwstr>
  </property>
  <property fmtid="{D5CDD505-2E9C-101B-9397-08002B2CF9AE}" pid="4" name="kbf569726b2d432b89b4eaad7b69993d">
    <vt:lpwstr/>
  </property>
  <property fmtid="{D5CDD505-2E9C-101B-9397-08002B2CF9AE}" pid="5" name="Communication">
    <vt:lpwstr/>
  </property>
  <property fmtid="{D5CDD505-2E9C-101B-9397-08002B2CF9AE}" pid="6" name="SecurityClassification">
    <vt:lpwstr>2;#OFFICIAL|cffd3088-7a74-4edb-8c9e-fbf79371a422</vt:lpwstr>
  </property>
  <property fmtid="{D5CDD505-2E9C-101B-9397-08002B2CF9AE}" pid="7" name="MSIP_Label_a6aead41-07f8-4767-ac8e-ef1c9c793766_Enabled">
    <vt:lpwstr>true</vt:lpwstr>
  </property>
  <property fmtid="{D5CDD505-2E9C-101B-9397-08002B2CF9AE}" pid="8" name="MSIP_Label_a6aead41-07f8-4767-ac8e-ef1c9c793766_SetDate">
    <vt:lpwstr>2023-05-11T03:44:37Z</vt:lpwstr>
  </property>
  <property fmtid="{D5CDD505-2E9C-101B-9397-08002B2CF9AE}" pid="9" name="MSIP_Label_a6aead41-07f8-4767-ac8e-ef1c9c793766_Method">
    <vt:lpwstr>Standard</vt:lpwstr>
  </property>
  <property fmtid="{D5CDD505-2E9C-101B-9397-08002B2CF9AE}" pid="10" name="MSIP_Label_a6aead41-07f8-4767-ac8e-ef1c9c793766_Name">
    <vt:lpwstr>OFFICIAL</vt:lpwstr>
  </property>
  <property fmtid="{D5CDD505-2E9C-101B-9397-08002B2CF9AE}" pid="11" name="MSIP_Label_a6aead41-07f8-4767-ac8e-ef1c9c793766_SiteId">
    <vt:lpwstr>5f1de7c6-55cd-4bb2-902d-514c78cf10f4</vt:lpwstr>
  </property>
  <property fmtid="{D5CDD505-2E9C-101B-9397-08002B2CF9AE}" pid="12" name="MSIP_Label_a6aead41-07f8-4767-ac8e-ef1c9c793766_ActionId">
    <vt:lpwstr>8ae2b9a0-424b-45c0-a923-11b88efa2c91</vt:lpwstr>
  </property>
  <property fmtid="{D5CDD505-2E9C-101B-9397-08002B2CF9AE}" pid="13" name="MSIP_Label_a6aead41-07f8-4767-ac8e-ef1c9c793766_ContentBits">
    <vt:lpwstr>0</vt:lpwstr>
  </property>
  <property fmtid="{D5CDD505-2E9C-101B-9397-08002B2CF9AE}" pid="14" name="Order">
    <vt:r8>619600</vt:r8>
  </property>
</Properties>
</file>