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Pr="00584227" w:rsidRDefault="004C58B9" w:rsidP="00584227">
      <w:pPr>
        <w:jc w:val="center"/>
        <w:rPr>
          <w:b/>
          <w:bCs w:val="0"/>
          <w:sz w:val="28"/>
          <w:szCs w:val="28"/>
        </w:rPr>
      </w:pPr>
      <w:r w:rsidRPr="00584227">
        <w:rPr>
          <w:b/>
          <w:bCs w:val="0"/>
          <w:sz w:val="28"/>
          <w:szCs w:val="28"/>
        </w:rPr>
        <w:t>EXPLANATORY STATEMENT</w:t>
      </w:r>
    </w:p>
    <w:p w14:paraId="19E1CCC0" w14:textId="474BFBB9" w:rsidR="004C58B9" w:rsidRPr="00584227" w:rsidRDefault="004C58B9" w:rsidP="00584227">
      <w:pPr>
        <w:jc w:val="center"/>
        <w:rPr>
          <w:bCs w:val="0"/>
        </w:rPr>
      </w:pPr>
      <w:r w:rsidRPr="00584227">
        <w:rPr>
          <w:bCs w:val="0"/>
        </w:rPr>
        <w:t>Approved by the Australian Communications and Media Authority</w:t>
      </w:r>
    </w:p>
    <w:p w14:paraId="4904B143" w14:textId="007C8CC2" w:rsidR="002C58A4" w:rsidRPr="00584227" w:rsidRDefault="002C58A4" w:rsidP="00584227">
      <w:pPr>
        <w:jc w:val="center"/>
        <w:rPr>
          <w:i/>
        </w:rPr>
      </w:pPr>
      <w:r w:rsidRPr="00584227">
        <w:rPr>
          <w:i/>
        </w:rPr>
        <w:t>Radiocommunications Act 1992</w:t>
      </w:r>
    </w:p>
    <w:p w14:paraId="06789AC6" w14:textId="5C3DD096" w:rsidR="004C58B9" w:rsidRPr="00584227" w:rsidRDefault="007A74F0" w:rsidP="00584227">
      <w:pPr>
        <w:jc w:val="center"/>
        <w:rPr>
          <w:b/>
          <w:bCs w:val="0"/>
          <w:i/>
        </w:rPr>
      </w:pPr>
      <w:bookmarkStart w:id="0" w:name="_Hlk64899088"/>
      <w:r w:rsidRPr="00584227">
        <w:rPr>
          <w:b/>
          <w:bCs w:val="0"/>
          <w:i/>
        </w:rPr>
        <w:t>Radiocommunications Licence Conditions (Area-Wide Licence) Amendment Determination 202</w:t>
      </w:r>
      <w:r w:rsidR="003B1E26">
        <w:rPr>
          <w:b/>
          <w:bCs w:val="0"/>
          <w:i/>
        </w:rPr>
        <w:t>3</w:t>
      </w:r>
      <w:r w:rsidRPr="00584227">
        <w:rPr>
          <w:b/>
          <w:bCs w:val="0"/>
          <w:i/>
        </w:rPr>
        <w:t xml:space="preserve"> (No. 1)</w:t>
      </w:r>
    </w:p>
    <w:bookmarkEnd w:id="0"/>
    <w:p w14:paraId="494E2552" w14:textId="77777777" w:rsidR="004C58B9" w:rsidRPr="00584227" w:rsidRDefault="004C58B9" w:rsidP="000254BD">
      <w:pPr>
        <w:rPr>
          <w:b/>
          <w:bCs w:val="0"/>
        </w:rPr>
      </w:pPr>
      <w:r w:rsidRPr="00584227">
        <w:rPr>
          <w:b/>
          <w:bCs w:val="0"/>
        </w:rPr>
        <w:t>Authority</w:t>
      </w:r>
    </w:p>
    <w:p w14:paraId="55FAA4BD" w14:textId="58355AD4" w:rsidR="004C58B9" w:rsidRPr="00584227" w:rsidRDefault="004C58B9" w:rsidP="000254BD">
      <w:r w:rsidRPr="00584227">
        <w:t>The Australian Communications and Media Authority (</w:t>
      </w:r>
      <w:r w:rsidRPr="00584227">
        <w:rPr>
          <w:b/>
        </w:rPr>
        <w:t>the ACMA</w:t>
      </w:r>
      <w:r w:rsidRPr="00584227">
        <w:t xml:space="preserve">) has made the </w:t>
      </w:r>
      <w:r w:rsidR="007A74F0" w:rsidRPr="00584227">
        <w:rPr>
          <w:i/>
          <w:iCs/>
        </w:rPr>
        <w:t>Radiocommunications Licence Conditions (Area-Wide Licence) Amendment Determination 202</w:t>
      </w:r>
      <w:r w:rsidR="003B1E26">
        <w:rPr>
          <w:i/>
          <w:iCs/>
        </w:rPr>
        <w:t>3</w:t>
      </w:r>
      <w:r w:rsidR="007A74F0" w:rsidRPr="00584227">
        <w:rPr>
          <w:i/>
          <w:iCs/>
        </w:rPr>
        <w:t xml:space="preserve"> (No</w:t>
      </w:r>
      <w:r w:rsidR="00BF16FF" w:rsidRPr="00584227">
        <w:rPr>
          <w:i/>
          <w:iCs/>
        </w:rPr>
        <w:t>. </w:t>
      </w:r>
      <w:r w:rsidR="007A74F0" w:rsidRPr="00584227">
        <w:rPr>
          <w:i/>
          <w:iCs/>
        </w:rPr>
        <w:t>1)</w:t>
      </w:r>
      <w:r w:rsidR="009135C3" w:rsidRPr="00584227">
        <w:t xml:space="preserve"> </w:t>
      </w:r>
      <w:r w:rsidRPr="00584227">
        <w:t>(</w:t>
      </w:r>
      <w:r w:rsidRPr="00584227">
        <w:rPr>
          <w:b/>
        </w:rPr>
        <w:t>the</w:t>
      </w:r>
      <w:r w:rsidR="00601347" w:rsidRPr="00584227">
        <w:rPr>
          <w:b/>
        </w:rPr>
        <w:t xml:space="preserve"> </w:t>
      </w:r>
      <w:r w:rsidR="00A74CD3" w:rsidRPr="00584227">
        <w:rPr>
          <w:b/>
        </w:rPr>
        <w:t>instrument</w:t>
      </w:r>
      <w:r w:rsidR="00A74CD3" w:rsidRPr="00584227">
        <w:t>) under</w:t>
      </w:r>
      <w:r w:rsidR="00C9639A" w:rsidRPr="00584227">
        <w:t xml:space="preserve"> </w:t>
      </w:r>
      <w:r w:rsidR="002766B6" w:rsidRPr="00584227">
        <w:t>sub</w:t>
      </w:r>
      <w:r w:rsidR="00C9639A" w:rsidRPr="00584227">
        <w:t xml:space="preserve">subsection 110A(2) </w:t>
      </w:r>
      <w:r w:rsidRPr="00584227">
        <w:t xml:space="preserve">of the </w:t>
      </w:r>
      <w:r w:rsidR="00601347" w:rsidRPr="00584227">
        <w:rPr>
          <w:i/>
        </w:rPr>
        <w:t>Radiocommunications Act 1992</w:t>
      </w:r>
      <w:r w:rsidRPr="00584227">
        <w:t xml:space="preserve"> (</w:t>
      </w:r>
      <w:r w:rsidRPr="00584227">
        <w:rPr>
          <w:b/>
        </w:rPr>
        <w:t>the Act</w:t>
      </w:r>
      <w:r w:rsidRPr="00584227">
        <w:t>)</w:t>
      </w:r>
      <w:r w:rsidR="00383342" w:rsidRPr="00584227">
        <w:t xml:space="preserve"> and subsection 33(3) of the </w:t>
      </w:r>
      <w:r w:rsidR="00126455" w:rsidRPr="00584227">
        <w:rPr>
          <w:i/>
          <w:iCs/>
        </w:rPr>
        <w:t>Acts Interpretation Act</w:t>
      </w:r>
      <w:r w:rsidR="005857DB" w:rsidRPr="00584227">
        <w:rPr>
          <w:i/>
          <w:iCs/>
        </w:rPr>
        <w:t xml:space="preserve"> 1901</w:t>
      </w:r>
      <w:r w:rsidR="00126455" w:rsidRPr="00584227">
        <w:t xml:space="preserve"> (</w:t>
      </w:r>
      <w:r w:rsidR="00126455" w:rsidRPr="00584227">
        <w:rPr>
          <w:b/>
        </w:rPr>
        <w:t>the AIA</w:t>
      </w:r>
      <w:r w:rsidR="00126455" w:rsidRPr="00584227">
        <w:t xml:space="preserve">) </w:t>
      </w:r>
      <w:r w:rsidRPr="00584227">
        <w:t>.</w:t>
      </w:r>
    </w:p>
    <w:p w14:paraId="7F0070ED" w14:textId="4309610E" w:rsidR="00383342" w:rsidRPr="00584227" w:rsidRDefault="00054DC0" w:rsidP="000254BD">
      <w:r w:rsidRPr="00584227">
        <w:t xml:space="preserve">Subsection </w:t>
      </w:r>
      <w:r w:rsidR="007A74F0" w:rsidRPr="00584227">
        <w:t xml:space="preserve">110A(2) </w:t>
      </w:r>
      <w:r w:rsidRPr="00584227">
        <w:t xml:space="preserve">of the Act provides that the ACMA may determine, by </w:t>
      </w:r>
      <w:r w:rsidR="007A74F0" w:rsidRPr="00584227">
        <w:t xml:space="preserve">legislative </w:t>
      </w:r>
      <w:r w:rsidRPr="00584227">
        <w:t xml:space="preserve">instrument, </w:t>
      </w:r>
      <w:r w:rsidR="00826D70" w:rsidRPr="00584227">
        <w:t xml:space="preserve">that each apparatus licence in </w:t>
      </w:r>
      <w:r w:rsidR="007A74F0" w:rsidRPr="00584227">
        <w:t>a specified class of apparatus licence</w:t>
      </w:r>
      <w:r w:rsidR="00054541" w:rsidRPr="00584227">
        <w:t>s</w:t>
      </w:r>
      <w:r w:rsidR="00826D70" w:rsidRPr="00584227">
        <w:t xml:space="preserve"> is taken to include one or more specified conditions</w:t>
      </w:r>
      <w:r w:rsidR="00691B18" w:rsidRPr="00584227">
        <w:t>.</w:t>
      </w:r>
      <w:r w:rsidRPr="00584227">
        <w:t xml:space="preserve"> </w:t>
      </w:r>
    </w:p>
    <w:p w14:paraId="2F6E3D56" w14:textId="1A3C7F1E" w:rsidR="00383342" w:rsidRPr="00584227" w:rsidRDefault="00383342" w:rsidP="000254BD">
      <w:r w:rsidRPr="00584227">
        <w:t xml:space="preserve">Subsection 33(3) of the </w:t>
      </w:r>
      <w:r w:rsidR="00126455" w:rsidRPr="00584227">
        <w:t>AIA</w:t>
      </w:r>
      <w:r w:rsidRPr="00584227">
        <w:t xml:space="preserve"> provides that where an Act confers a power to make, grant or issue any instrument of a legislative or administrative character (including rules, regulations or by</w:t>
      </w:r>
      <w:r w:rsidRPr="00584227">
        <w:noBreakHyphen/>
        <w:t>laws) the power shall be construed as including a power exercisable in the like manner and subject to the like conditions (if any) to repeal, rescind, revoke, amend, or vary any such instrument.</w:t>
      </w:r>
    </w:p>
    <w:p w14:paraId="7D900AC6" w14:textId="77777777" w:rsidR="004C58B9" w:rsidRPr="00584227" w:rsidRDefault="004C58B9" w:rsidP="000254BD">
      <w:pPr>
        <w:rPr>
          <w:b/>
          <w:bCs w:val="0"/>
        </w:rPr>
      </w:pPr>
      <w:r w:rsidRPr="00584227">
        <w:rPr>
          <w:b/>
          <w:bCs w:val="0"/>
        </w:rPr>
        <w:t>Purpose and operation of the instrument</w:t>
      </w:r>
    </w:p>
    <w:p w14:paraId="719CE0F1" w14:textId="3FDA1279" w:rsidR="00471D59" w:rsidRPr="00584227" w:rsidRDefault="00471D59" w:rsidP="00471D59">
      <w:r w:rsidRPr="00584227">
        <w:t>In January 2020, the ACMA determined a new type of transmitter licence – the area-wide licence – under subsection 98(1) of the Act. At the same time, it</w:t>
      </w:r>
      <w:r w:rsidRPr="00584227" w:rsidDel="00F02119">
        <w:t xml:space="preserve"> </w:t>
      </w:r>
      <w:r w:rsidRPr="00584227">
        <w:t xml:space="preserve">made the </w:t>
      </w:r>
      <w:r w:rsidRPr="00584227">
        <w:rPr>
          <w:i/>
          <w:iCs/>
        </w:rPr>
        <w:t>Radiocommunications Licence Conditions (Area-Wide Licence) Determination 2020</w:t>
      </w:r>
      <w:r w:rsidRPr="00584227">
        <w:t xml:space="preserve"> (</w:t>
      </w:r>
      <w:r w:rsidRPr="00584227">
        <w:rPr>
          <w:b/>
          <w:bCs w:val="0"/>
        </w:rPr>
        <w:t xml:space="preserve">the </w:t>
      </w:r>
      <w:r w:rsidRPr="00584227">
        <w:rPr>
          <w:b/>
        </w:rPr>
        <w:t>Determination</w:t>
      </w:r>
      <w:r w:rsidRPr="00584227">
        <w:t>). The Determination imposed a condition for the provision, upon request, of information by licensees regarding radiocommunications devices authorised under an area-wide licence (</w:t>
      </w:r>
      <w:r w:rsidRPr="00584227">
        <w:rPr>
          <w:b/>
        </w:rPr>
        <w:t>AWL</w:t>
      </w:r>
      <w:r w:rsidRPr="00584227">
        <w:t>).</w:t>
      </w:r>
    </w:p>
    <w:p w14:paraId="2D63DB8C" w14:textId="714D343B" w:rsidR="002766B6" w:rsidRPr="00584227" w:rsidRDefault="002766B6" w:rsidP="000254BD">
      <w:r w:rsidRPr="00584227">
        <w:t xml:space="preserve">At that time, the ACMA also amended the </w:t>
      </w:r>
      <w:r w:rsidRPr="00584227">
        <w:rPr>
          <w:i/>
          <w:iCs/>
        </w:rPr>
        <w:t>Radiocommunications (Register of Radiocommunications Licences) Determination 2017</w:t>
      </w:r>
      <w:r w:rsidRPr="00584227">
        <w:t xml:space="preserve"> (</w:t>
      </w:r>
      <w:r w:rsidRPr="00584227">
        <w:rPr>
          <w:b/>
        </w:rPr>
        <w:t>RRL Determination</w:t>
      </w:r>
      <w:r w:rsidRPr="00584227">
        <w:t>) to exempt AWL licensees from certain device registration requirements, unless a licence condition requires otherwise.</w:t>
      </w:r>
    </w:p>
    <w:p w14:paraId="39D9BEB5" w14:textId="1546C084" w:rsidR="00DF65F7" w:rsidRPr="00584227" w:rsidRDefault="00EE25C3" w:rsidP="000254BD">
      <w:pPr>
        <w:rPr>
          <w:bCs w:val="0"/>
        </w:rPr>
      </w:pPr>
      <w:r w:rsidRPr="005C0A10">
        <w:t>T</w:t>
      </w:r>
      <w:r w:rsidR="00DF65F7" w:rsidRPr="005C0A10">
        <w:t>he Determination</w:t>
      </w:r>
      <w:r w:rsidR="00DF65F7" w:rsidRPr="00584227">
        <w:rPr>
          <w:b/>
        </w:rPr>
        <w:t xml:space="preserve"> </w:t>
      </w:r>
      <w:r w:rsidR="00DF65F7" w:rsidRPr="00584227">
        <w:rPr>
          <w:bCs w:val="0"/>
        </w:rPr>
        <w:t xml:space="preserve">was amended in November 2020 to impose a range of technical conditions to apply to AWLs in the 24.7 GHz </w:t>
      </w:r>
      <w:r w:rsidR="000E43EF">
        <w:rPr>
          <w:bCs w:val="0"/>
        </w:rPr>
        <w:t>to</w:t>
      </w:r>
      <w:r w:rsidR="000E43EF" w:rsidRPr="00584227">
        <w:rPr>
          <w:bCs w:val="0"/>
        </w:rPr>
        <w:t xml:space="preserve"> </w:t>
      </w:r>
      <w:r w:rsidR="00DF65F7" w:rsidRPr="00584227">
        <w:rPr>
          <w:bCs w:val="0"/>
        </w:rPr>
        <w:t>30 GHz frequency range.</w:t>
      </w:r>
    </w:p>
    <w:p w14:paraId="23B7DC95" w14:textId="7CDC94F6" w:rsidR="002766B6" w:rsidRPr="00584227" w:rsidRDefault="002766B6">
      <w:r w:rsidRPr="00584227">
        <w:t xml:space="preserve">The ACMA is </w:t>
      </w:r>
      <w:r w:rsidR="00AF0217" w:rsidRPr="00584227">
        <w:t xml:space="preserve">now </w:t>
      </w:r>
      <w:r w:rsidRPr="00584227">
        <w:t xml:space="preserve">preparing to issue AWLs in </w:t>
      </w:r>
      <w:r w:rsidR="008C4F30" w:rsidRPr="00584227">
        <w:t xml:space="preserve">parts of </w:t>
      </w:r>
      <w:r w:rsidRPr="00584227">
        <w:t>the 3400</w:t>
      </w:r>
      <w:r w:rsidR="008C4F30" w:rsidRPr="00584227">
        <w:t xml:space="preserve"> MHz to </w:t>
      </w:r>
      <w:r w:rsidRPr="00584227">
        <w:t xml:space="preserve">4000 MHz frequency range. The </w:t>
      </w:r>
      <w:r w:rsidR="007A4745" w:rsidRPr="00584227">
        <w:t>instrument amends</w:t>
      </w:r>
      <w:r w:rsidRPr="00584227">
        <w:t xml:space="preserve"> the </w:t>
      </w:r>
      <w:r w:rsidR="006B0585" w:rsidRPr="00584227">
        <w:t>D</w:t>
      </w:r>
      <w:r w:rsidRPr="00584227">
        <w:t xml:space="preserve">etermination </w:t>
      </w:r>
      <w:r w:rsidR="007870C1" w:rsidRPr="00584227">
        <w:t xml:space="preserve">to </w:t>
      </w:r>
      <w:r w:rsidRPr="00584227">
        <w:t>impose a range of technical conditions that apply to AWLs in the 3400</w:t>
      </w:r>
      <w:r w:rsidR="00FD73D6" w:rsidRPr="00584227">
        <w:t xml:space="preserve"> MHz to </w:t>
      </w:r>
      <w:r w:rsidRPr="00584227">
        <w:t xml:space="preserve">4000 MHz </w:t>
      </w:r>
      <w:r w:rsidR="00054541" w:rsidRPr="00584227">
        <w:t xml:space="preserve">frequency </w:t>
      </w:r>
      <w:r w:rsidRPr="00584227">
        <w:t xml:space="preserve">range. These conditions largely </w:t>
      </w:r>
      <w:r w:rsidR="00043980" w:rsidRPr="00584227">
        <w:t xml:space="preserve">relate </w:t>
      </w:r>
      <w:r w:rsidRPr="00584227">
        <w:t xml:space="preserve">to interference management, including conditions that enable radiocommunications transmitters operating under an AWL to coexist with other radiocommunications devices, and conditions imposing other responsibilities and requirements for managing interference. The </w:t>
      </w:r>
      <w:r w:rsidR="00DA6CD0" w:rsidRPr="00584227">
        <w:t xml:space="preserve">instrument </w:t>
      </w:r>
      <w:r w:rsidRPr="00584227">
        <w:t>also imposes conditions that effectively require some radiocommunications transmitters operated under AWLs to be subject to the requirements of the RRL Determination.</w:t>
      </w:r>
    </w:p>
    <w:p w14:paraId="23C3314A" w14:textId="2CF7F37C" w:rsidR="00EC42BD" w:rsidRPr="00584227" w:rsidRDefault="00EC42BD" w:rsidP="000254BD">
      <w:r w:rsidRPr="00584227">
        <w:t>Operation of a radiocommunications device is not authorised by an apparatus licence if it is not in accordance with the conditions of the licence (subsection 97(4) of the Act). It is an offence, and subject to a civil penalty, to operate radiocommunications devices otherwise than as authorised by a spectrum licence, apparatus licence or class licence (section 46 of the Act). The Act prescribes the following maximum penalties for the offence:</w:t>
      </w:r>
    </w:p>
    <w:p w14:paraId="3F44B104" w14:textId="50A694DC" w:rsidR="00EC42BD" w:rsidRPr="00584227" w:rsidRDefault="00EC42BD" w:rsidP="00EC42BD">
      <w:pPr>
        <w:pStyle w:val="ListParagraph"/>
        <w:numPr>
          <w:ilvl w:val="0"/>
          <w:numId w:val="30"/>
        </w:numPr>
      </w:pPr>
      <w:r w:rsidRPr="00584227">
        <w:t>if the radiocommunications device is a radiocommunications transmitter, and the offender is an individual – imprisonment for 2 years;</w:t>
      </w:r>
    </w:p>
    <w:p w14:paraId="21A9A978" w14:textId="062EB8F0" w:rsidR="00EC42BD" w:rsidRPr="00584227" w:rsidRDefault="00EC42BD" w:rsidP="00EC42BD">
      <w:pPr>
        <w:pStyle w:val="ListParagraph"/>
        <w:numPr>
          <w:ilvl w:val="0"/>
          <w:numId w:val="30"/>
        </w:numPr>
      </w:pPr>
      <w:r w:rsidRPr="00584227">
        <w:lastRenderedPageBreak/>
        <w:t>if the radiocommunications device is a radiocommunications transmitter, and the offender is not an individual – 1,500 penalty units (which is $</w:t>
      </w:r>
      <w:r w:rsidR="005A0BED">
        <w:t>412</w:t>
      </w:r>
      <w:r w:rsidRPr="00584227">
        <w:t>,</w:t>
      </w:r>
      <w:r w:rsidR="005A0BED">
        <w:t>5</w:t>
      </w:r>
      <w:r w:rsidRPr="00584227">
        <w:t>00 based on the current penalty unit amount of $</w:t>
      </w:r>
      <w:r w:rsidR="00FE443F">
        <w:t>275</w:t>
      </w:r>
      <w:r w:rsidRPr="00584227">
        <w:t>);</w:t>
      </w:r>
    </w:p>
    <w:p w14:paraId="0D801354" w14:textId="37E33342" w:rsidR="00EC42BD" w:rsidRPr="00584227" w:rsidRDefault="00EC42BD" w:rsidP="00EC42BD">
      <w:pPr>
        <w:pStyle w:val="ListParagraph"/>
        <w:numPr>
          <w:ilvl w:val="0"/>
          <w:numId w:val="30"/>
        </w:numPr>
      </w:pPr>
      <w:r w:rsidRPr="00584227">
        <w:t>if the radiocommunications device is not a radiocommunications transmitter – 20 penalty units ($</w:t>
      </w:r>
      <w:r w:rsidR="005A0BED">
        <w:t>5</w:t>
      </w:r>
      <w:r w:rsidRPr="00584227">
        <w:t>,</w:t>
      </w:r>
      <w:r w:rsidR="005A0BED">
        <w:t>50</w:t>
      </w:r>
      <w:r w:rsidRPr="00584227">
        <w:t>0).</w:t>
      </w:r>
    </w:p>
    <w:p w14:paraId="1879A53C" w14:textId="4B5D4FFD" w:rsidR="00EC42BD" w:rsidRPr="00584227" w:rsidRDefault="00EC42BD" w:rsidP="000254BD">
      <w:r w:rsidRPr="00584227">
        <w:t>The Act prescribes the following maximum civil penalties:</w:t>
      </w:r>
    </w:p>
    <w:p w14:paraId="55D279E5" w14:textId="0E4E4E5A" w:rsidR="00EC42BD" w:rsidRPr="00584227" w:rsidRDefault="00EC42BD" w:rsidP="00EC42BD">
      <w:pPr>
        <w:pStyle w:val="ListParagraph"/>
        <w:numPr>
          <w:ilvl w:val="0"/>
          <w:numId w:val="31"/>
        </w:numPr>
      </w:pPr>
      <w:r w:rsidRPr="00584227">
        <w:t>if the radiocommunications device is a radiocommunications transmitter – 300 penalty units ($</w:t>
      </w:r>
      <w:r w:rsidR="00FA2540">
        <w:t>82,500</w:t>
      </w:r>
      <w:r w:rsidRPr="00584227">
        <w:t>);</w:t>
      </w:r>
    </w:p>
    <w:p w14:paraId="03A77638" w14:textId="3FD3049A" w:rsidR="00EC42BD" w:rsidRPr="00584227" w:rsidRDefault="00EC42BD" w:rsidP="00EC42BD">
      <w:pPr>
        <w:pStyle w:val="ListParagraph"/>
        <w:numPr>
          <w:ilvl w:val="0"/>
          <w:numId w:val="31"/>
        </w:numPr>
      </w:pPr>
      <w:r w:rsidRPr="00584227">
        <w:t>if the radiocommunications device is not a radiocommunications transmitter – 20 penalty units ($</w:t>
      </w:r>
      <w:r w:rsidR="00A5184F">
        <w:t>5</w:t>
      </w:r>
      <w:r w:rsidRPr="00584227">
        <w:t>,</w:t>
      </w:r>
      <w:r w:rsidR="00A5184F">
        <w:t>50</w:t>
      </w:r>
      <w:r w:rsidRPr="00584227">
        <w:t>0).</w:t>
      </w:r>
    </w:p>
    <w:p w14:paraId="0A8CE909" w14:textId="39A3F17D" w:rsidR="00EC42BD" w:rsidRPr="00584227" w:rsidRDefault="00456864" w:rsidP="000254BD">
      <w:r w:rsidRPr="00584227">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61740F97" w14:textId="5BC68082" w:rsidR="002B15FA" w:rsidRPr="00584227" w:rsidRDefault="002B15FA" w:rsidP="000254BD">
      <w:r w:rsidRPr="00584227">
        <w:t xml:space="preserve">In addition, an apparatus licensee, or a person authorised under section 114 of the Act in relation to an apparatus licence, must not contravene a condition of the licence. Contravention is subject to a civil penalty (section 113 of the </w:t>
      </w:r>
      <w:r w:rsidR="008D14EB" w:rsidRPr="00584227">
        <w:t>Ac</w:t>
      </w:r>
      <w:r w:rsidRPr="00584227">
        <w:t>t). The Act prescribes a maximum civil penalty of 100 penalty units ($2</w:t>
      </w:r>
      <w:r w:rsidR="00A300EA">
        <w:t>7</w:t>
      </w:r>
      <w:r w:rsidRPr="00584227">
        <w:t>,</w:t>
      </w:r>
      <w:r w:rsidR="00A300EA">
        <w:t>5</w:t>
      </w:r>
      <w:r w:rsidRPr="00584227">
        <w:t>00).</w:t>
      </w:r>
    </w:p>
    <w:p w14:paraId="62529848" w14:textId="12C7DD18" w:rsidR="004C58B9" w:rsidRPr="00584227" w:rsidRDefault="004C58B9" w:rsidP="000254BD">
      <w:r w:rsidRPr="00584227">
        <w:t xml:space="preserve">A provision-by-provision description of the instrument is set out in the notes at </w:t>
      </w:r>
      <w:r w:rsidRPr="00584227">
        <w:rPr>
          <w:b/>
        </w:rPr>
        <w:t>Attachment A</w:t>
      </w:r>
      <w:r w:rsidRPr="00584227">
        <w:t>.</w:t>
      </w:r>
    </w:p>
    <w:p w14:paraId="0DA35BF4" w14:textId="07F7C5AB" w:rsidR="00964DDD" w:rsidRPr="00584227" w:rsidRDefault="00964DDD" w:rsidP="000254BD">
      <w:r w:rsidRPr="00584227">
        <w:t xml:space="preserve">The instrument is a disallowable legislative instrument for the purposes of the </w:t>
      </w:r>
      <w:r w:rsidRPr="00584227">
        <w:rPr>
          <w:i/>
          <w:iCs/>
        </w:rPr>
        <w:t>Legislation Act 2003</w:t>
      </w:r>
      <w:r w:rsidRPr="00584227">
        <w:t xml:space="preserve"> (</w:t>
      </w:r>
      <w:r w:rsidRPr="00584227">
        <w:rPr>
          <w:b/>
        </w:rPr>
        <w:t>the LA</w:t>
      </w:r>
      <w:r w:rsidRPr="00584227">
        <w:t xml:space="preserve">). </w:t>
      </w:r>
      <w:r w:rsidR="0061139E" w:rsidRPr="00584227">
        <w:t xml:space="preserve">The </w:t>
      </w:r>
      <w:r w:rsidR="00733D9B" w:rsidRPr="00584227">
        <w:t>Determination is subject to the sunsetting provisions of the LA.</w:t>
      </w:r>
      <w:r w:rsidRPr="00584227">
        <w:t xml:space="preserve"> </w:t>
      </w:r>
    </w:p>
    <w:p w14:paraId="0C627C6A" w14:textId="77777777" w:rsidR="004C58B9" w:rsidRPr="00584227" w:rsidRDefault="004C58B9" w:rsidP="000254BD">
      <w:pPr>
        <w:rPr>
          <w:b/>
          <w:bCs w:val="0"/>
        </w:rPr>
      </w:pPr>
      <w:r w:rsidRPr="00584227">
        <w:rPr>
          <w:b/>
          <w:bCs w:val="0"/>
        </w:rPr>
        <w:t>Documents incorporated by reference</w:t>
      </w:r>
    </w:p>
    <w:p w14:paraId="4259D054" w14:textId="4AECFBCA" w:rsidR="003D10C1" w:rsidRPr="00584227" w:rsidRDefault="003D10C1" w:rsidP="000254BD">
      <w:r w:rsidRPr="00584227">
        <w:t>S</w:t>
      </w:r>
      <w:r w:rsidR="00AA22EE" w:rsidRPr="00584227">
        <w:t>ubs</w:t>
      </w:r>
      <w:r w:rsidRPr="00584227">
        <w:t xml:space="preserve">ection 314A(1) of the Act provides that an instrument under the Act may make provision in relation to a matter by applying, </w:t>
      </w:r>
      <w:proofErr w:type="gramStart"/>
      <w:r w:rsidRPr="00584227">
        <w:t>adopting</w:t>
      </w:r>
      <w:proofErr w:type="gramEnd"/>
      <w:r w:rsidRPr="00584227">
        <w:t xml:space="preserve"> or incorporating (with or without modifications) matter contained in any </w:t>
      </w:r>
      <w:r w:rsidR="00367F8F" w:rsidRPr="00584227">
        <w:t>Act as in force at a particular time, or as in force from time to time.</w:t>
      </w:r>
    </w:p>
    <w:p w14:paraId="2441FD66" w14:textId="6E20D49B" w:rsidR="003D10C1" w:rsidRPr="00584227" w:rsidRDefault="003D10C1" w:rsidP="000254BD">
      <w:r w:rsidRPr="00584227">
        <w:t>S</w:t>
      </w:r>
      <w:r w:rsidR="0051323B" w:rsidRPr="00584227">
        <w:t>ubs</w:t>
      </w:r>
      <w:r w:rsidRPr="00584227">
        <w:t xml:space="preserve">ection 314A(2) of the Act provides that an instrument under the Act may make provision in relation to a matter by applying, </w:t>
      </w:r>
      <w:proofErr w:type="gramStart"/>
      <w:r w:rsidRPr="00584227">
        <w:t>adopting</w:t>
      </w:r>
      <w:proofErr w:type="gramEnd"/>
      <w:r w:rsidRPr="00584227">
        <w:t xml:space="preserve"> or incorporating (with or without modifications) matter contained in any other instrument or writing </w:t>
      </w:r>
      <w:r w:rsidR="001643C0" w:rsidRPr="00584227">
        <w:t>as in force or existing at a particular time, or as in force or existing from time to time.</w:t>
      </w:r>
    </w:p>
    <w:p w14:paraId="7C893C56" w14:textId="4CCD0095" w:rsidR="00F204DB" w:rsidRPr="00584227" w:rsidRDefault="00F204DB" w:rsidP="000254BD">
      <w:r w:rsidRPr="00584227">
        <w:t>The instrument amends the Determination to incorporate the following legislative instruments, as in force from time to time:</w:t>
      </w:r>
    </w:p>
    <w:p w14:paraId="50B4536B" w14:textId="764B611A" w:rsidR="00E13D3E" w:rsidRPr="00584227" w:rsidRDefault="00E13D3E" w:rsidP="00F204DB">
      <w:pPr>
        <w:pStyle w:val="ListParagraph"/>
        <w:numPr>
          <w:ilvl w:val="0"/>
          <w:numId w:val="32"/>
        </w:numPr>
      </w:pPr>
      <w:r w:rsidRPr="00584227">
        <w:t xml:space="preserve">the </w:t>
      </w:r>
      <w:r w:rsidRPr="00584227">
        <w:rPr>
          <w:i/>
          <w:iCs/>
        </w:rPr>
        <w:t xml:space="preserve">Radiocommunications Advisory Guidelines (Managing </w:t>
      </w:r>
      <w:r w:rsidR="007532DF" w:rsidRPr="00584227">
        <w:rPr>
          <w:i/>
          <w:iCs/>
        </w:rPr>
        <w:t>Interference to Spectrum Licens</w:t>
      </w:r>
      <w:r w:rsidR="00D804A1">
        <w:rPr>
          <w:i/>
          <w:iCs/>
        </w:rPr>
        <w:t>ed</w:t>
      </w:r>
      <w:r w:rsidR="007532DF" w:rsidRPr="00584227">
        <w:rPr>
          <w:i/>
          <w:iCs/>
        </w:rPr>
        <w:t xml:space="preserve"> Receivers – 3.4 GHz Band) 2015</w:t>
      </w:r>
      <w:r w:rsidR="007532DF" w:rsidRPr="00584227">
        <w:t>, or any instrument replacing those guidelines;</w:t>
      </w:r>
    </w:p>
    <w:p w14:paraId="2AD25739" w14:textId="3FCA5890" w:rsidR="00F204DB" w:rsidRPr="00584227" w:rsidRDefault="00F204DB" w:rsidP="00584227">
      <w:pPr>
        <w:pStyle w:val="ListParagraph"/>
        <w:numPr>
          <w:ilvl w:val="0"/>
          <w:numId w:val="32"/>
        </w:numPr>
      </w:pPr>
      <w:r w:rsidRPr="00584227">
        <w:t>the RRL determination, or any instrument replacing that determination;</w:t>
      </w:r>
    </w:p>
    <w:p w14:paraId="53660E3E" w14:textId="61144BEA" w:rsidR="00250EEA" w:rsidRPr="00584227" w:rsidRDefault="00250EEA" w:rsidP="000254BD">
      <w:r w:rsidRPr="00584227">
        <w:t xml:space="preserve">These legislative instruments are available, free of charge, from the Federal Register of Legislation at </w:t>
      </w:r>
      <w:hyperlink r:id="rId12" w:history="1">
        <w:r w:rsidRPr="00584227">
          <w:rPr>
            <w:rStyle w:val="Hyperlink"/>
          </w:rPr>
          <w:t>www.legislation.gov.au</w:t>
        </w:r>
      </w:hyperlink>
      <w:r w:rsidRPr="00584227">
        <w:t xml:space="preserve">. </w:t>
      </w:r>
    </w:p>
    <w:p w14:paraId="22A59B5B" w14:textId="6F9C1F34" w:rsidR="00E60BC5" w:rsidRPr="00584227" w:rsidRDefault="00104CBB" w:rsidP="000254BD">
      <w:r w:rsidRPr="00584227">
        <w:t xml:space="preserve">The </w:t>
      </w:r>
      <w:r w:rsidR="005B763D" w:rsidRPr="00584227">
        <w:t>i</w:t>
      </w:r>
      <w:r w:rsidRPr="00584227">
        <w:t xml:space="preserve">nstrument </w:t>
      </w:r>
      <w:r w:rsidR="00FF72CE" w:rsidRPr="00584227">
        <w:t>amends the Determination to</w:t>
      </w:r>
      <w:r w:rsidRPr="00584227">
        <w:t xml:space="preserve"> incorporate</w:t>
      </w:r>
      <w:r w:rsidR="00E60BC5" w:rsidRPr="00584227">
        <w:t xml:space="preserve"> the following</w:t>
      </w:r>
      <w:r w:rsidR="00E14AA4" w:rsidRPr="00584227">
        <w:t xml:space="preserve"> documents</w:t>
      </w:r>
      <w:r w:rsidR="00E60BC5" w:rsidRPr="00584227">
        <w:t>, as existing from time to time:</w:t>
      </w:r>
    </w:p>
    <w:p w14:paraId="44F62242" w14:textId="1E3985F9" w:rsidR="00A22697" w:rsidRPr="008F6619" w:rsidRDefault="00A22697" w:rsidP="008510C1">
      <w:pPr>
        <w:pStyle w:val="ListParagraph"/>
        <w:numPr>
          <w:ilvl w:val="0"/>
          <w:numId w:val="28"/>
        </w:numPr>
      </w:pPr>
      <w:r w:rsidRPr="008F6619">
        <w:t>Radiocommun</w:t>
      </w:r>
      <w:r w:rsidR="008510C1" w:rsidRPr="008F6619">
        <w:t>ications Assignment and Licensing Instruction MS 46</w:t>
      </w:r>
      <w:r w:rsidR="003845FA">
        <w:t xml:space="preserve"> (</w:t>
      </w:r>
      <w:r w:rsidR="003845FA" w:rsidRPr="008F6619">
        <w:rPr>
          <w:b/>
          <w:bCs w:val="0"/>
        </w:rPr>
        <w:t>RALI MS 46</w:t>
      </w:r>
      <w:r w:rsidR="003845FA">
        <w:t>)</w:t>
      </w:r>
      <w:r w:rsidR="008510C1" w:rsidRPr="008F6619">
        <w:t xml:space="preserve">, which is available, free of charge, from the ACMA’s website at </w:t>
      </w:r>
      <w:hyperlink r:id="rId13" w:history="1">
        <w:r w:rsidR="008510C1" w:rsidRPr="008F6619">
          <w:rPr>
            <w:rStyle w:val="Hyperlink"/>
            <w:color w:val="0F569E"/>
          </w:rPr>
          <w:t>www.acma.gov.au</w:t>
        </w:r>
      </w:hyperlink>
      <w:r w:rsidR="008510C1" w:rsidRPr="008F6619">
        <w:t>;</w:t>
      </w:r>
    </w:p>
    <w:p w14:paraId="44DAD5D3" w14:textId="6244B7A0" w:rsidR="00E60BC5" w:rsidRPr="00584227" w:rsidRDefault="006B0585" w:rsidP="000254BD">
      <w:pPr>
        <w:pStyle w:val="ListParagraph"/>
        <w:numPr>
          <w:ilvl w:val="0"/>
          <w:numId w:val="28"/>
        </w:numPr>
      </w:pPr>
      <w:r w:rsidRPr="00584227">
        <w:lastRenderedPageBreak/>
        <w:t>Radiocommunications Assignment and Licensing Instruction MS 47</w:t>
      </w:r>
      <w:r w:rsidR="00CC702E" w:rsidRPr="00584227">
        <w:t xml:space="preserve"> (</w:t>
      </w:r>
      <w:r w:rsidRPr="00584227">
        <w:rPr>
          <w:b/>
        </w:rPr>
        <w:t>RALI MS 47</w:t>
      </w:r>
      <w:r w:rsidR="00CC702E" w:rsidRPr="00584227">
        <w:t xml:space="preserve">), </w:t>
      </w:r>
      <w:r w:rsidR="00982AF2" w:rsidRPr="00584227">
        <w:t>which is</w:t>
      </w:r>
      <w:r w:rsidR="00CC702E" w:rsidRPr="00584227">
        <w:t xml:space="preserve"> available</w:t>
      </w:r>
      <w:r w:rsidR="00844BFD" w:rsidRPr="00584227">
        <w:t>,</w:t>
      </w:r>
      <w:r w:rsidR="00CC702E" w:rsidRPr="00584227">
        <w:t xml:space="preserve"> free of charge</w:t>
      </w:r>
      <w:r w:rsidR="00844BFD" w:rsidRPr="00584227">
        <w:t>,</w:t>
      </w:r>
      <w:r w:rsidR="00CC702E" w:rsidRPr="00584227">
        <w:t xml:space="preserve"> from </w:t>
      </w:r>
      <w:r w:rsidR="00982AF2" w:rsidRPr="00584227">
        <w:t>the ACMA’s</w:t>
      </w:r>
      <w:r w:rsidR="00CC702E" w:rsidRPr="00584227">
        <w:t xml:space="preserve"> website at</w:t>
      </w:r>
      <w:r w:rsidR="00165D22" w:rsidRPr="00584227">
        <w:t xml:space="preserve"> </w:t>
      </w:r>
      <w:hyperlink r:id="rId14" w:history="1">
        <w:r w:rsidRPr="00584227">
          <w:rPr>
            <w:rStyle w:val="Hyperlink"/>
            <w:color w:val="0F569E"/>
          </w:rPr>
          <w:t>www.acma.gov.au</w:t>
        </w:r>
      </w:hyperlink>
      <w:r w:rsidR="00165D22" w:rsidRPr="00584227">
        <w:t>;</w:t>
      </w:r>
    </w:p>
    <w:p w14:paraId="6C59F22B" w14:textId="01455DE1" w:rsidR="00DB1564" w:rsidRPr="00584227" w:rsidRDefault="00B62572" w:rsidP="000254BD">
      <w:pPr>
        <w:pStyle w:val="ListParagraph"/>
        <w:numPr>
          <w:ilvl w:val="0"/>
          <w:numId w:val="28"/>
        </w:numPr>
      </w:pPr>
      <w:r w:rsidRPr="00584227">
        <w:t>“</w:t>
      </w:r>
      <w:r w:rsidR="00DB1564" w:rsidRPr="00584227">
        <w:t>LTE; Evolved Universal Terrestrial Radio Access (E-UTRA); Physical channels and modulation (</w:t>
      </w:r>
      <w:r w:rsidR="00DB1564" w:rsidRPr="00584227">
        <w:rPr>
          <w:bCs w:val="0"/>
        </w:rPr>
        <w:t>3GPP TS 36.211</w:t>
      </w:r>
      <w:r w:rsidR="00DB1564" w:rsidRPr="00584227">
        <w:t>)</w:t>
      </w:r>
      <w:r w:rsidRPr="00584227">
        <w:t>”, published by the European Telecommunications Standards Institute</w:t>
      </w:r>
      <w:r w:rsidR="00DB1564" w:rsidRPr="00584227">
        <w:t xml:space="preserve"> and available, free of charge, from </w:t>
      </w:r>
      <w:r w:rsidRPr="00584227">
        <w:t>its</w:t>
      </w:r>
      <w:r w:rsidR="00DB1564" w:rsidRPr="00584227">
        <w:t xml:space="preserve"> website at </w:t>
      </w:r>
      <w:hyperlink r:id="rId15" w:history="1">
        <w:r w:rsidR="00DB1564" w:rsidRPr="00584227">
          <w:rPr>
            <w:rStyle w:val="Hyperlink"/>
          </w:rPr>
          <w:t>https://portal.etsi.org</w:t>
        </w:r>
      </w:hyperlink>
      <w:r w:rsidR="005036FD" w:rsidRPr="00584227">
        <w:rPr>
          <w:rStyle w:val="Hyperlink"/>
        </w:rPr>
        <w:t>.</w:t>
      </w:r>
    </w:p>
    <w:p w14:paraId="2EFDFDBF" w14:textId="77777777" w:rsidR="004C58B9" w:rsidRPr="00584227" w:rsidRDefault="004C58B9" w:rsidP="000254BD">
      <w:pPr>
        <w:rPr>
          <w:b/>
          <w:bCs w:val="0"/>
        </w:rPr>
      </w:pPr>
      <w:r w:rsidRPr="00584227">
        <w:rPr>
          <w:b/>
          <w:bCs w:val="0"/>
        </w:rPr>
        <w:t>Consultation</w:t>
      </w:r>
    </w:p>
    <w:p w14:paraId="60FC4B12" w14:textId="77777777" w:rsidR="004C58B9" w:rsidRPr="00584227" w:rsidRDefault="004C58B9" w:rsidP="00DE6F7B">
      <w:r w:rsidRPr="00584227">
        <w:t xml:space="preserve">Before the instrument was made, the ACMA was satisfied that consultation was undertaken to the extent appropriate and reasonably practicable, in accordance with section 17 of the LA.  </w:t>
      </w:r>
    </w:p>
    <w:p w14:paraId="525D583F" w14:textId="7691380C" w:rsidR="00372B29" w:rsidRPr="00584227" w:rsidRDefault="00CD28D8" w:rsidP="00DE6F7B">
      <w:r w:rsidRPr="00584227">
        <w:t xml:space="preserve">In </w:t>
      </w:r>
      <w:r w:rsidR="002766B6" w:rsidRPr="00584227">
        <w:t>July 2021</w:t>
      </w:r>
      <w:r w:rsidRPr="00584227">
        <w:t>, the ACMA established a Technical Liaison Group (</w:t>
      </w:r>
      <w:r w:rsidRPr="00584227">
        <w:rPr>
          <w:b/>
        </w:rPr>
        <w:t>TLG</w:t>
      </w:r>
      <w:r w:rsidRPr="00584227">
        <w:t xml:space="preserve">) to provide advice on what changes should be made to the 3.4 GHz band technical framework to accommodate </w:t>
      </w:r>
      <w:r w:rsidR="002766B6" w:rsidRPr="00584227">
        <w:t>AWLs</w:t>
      </w:r>
      <w:r w:rsidR="005036FD" w:rsidRPr="00584227">
        <w:t xml:space="preserve"> in the 3400</w:t>
      </w:r>
      <w:r w:rsidR="006E64DC" w:rsidRPr="00584227">
        <w:t xml:space="preserve"> MHz to </w:t>
      </w:r>
      <w:r w:rsidR="005036FD" w:rsidRPr="00584227">
        <w:t>4000 MHz frequency range</w:t>
      </w:r>
      <w:r w:rsidRPr="00584227">
        <w:t xml:space="preserve">. </w:t>
      </w:r>
      <w:r w:rsidR="0024224B" w:rsidRPr="00584227">
        <w:t xml:space="preserve">Membership of the TLG included </w:t>
      </w:r>
      <w:r w:rsidR="009D0FCB" w:rsidRPr="00584227">
        <w:t xml:space="preserve">existing </w:t>
      </w:r>
      <w:r w:rsidR="0024224B" w:rsidRPr="00584227">
        <w:t>3.4 GHz band spectrum</w:t>
      </w:r>
      <w:r w:rsidR="002766B6" w:rsidRPr="00584227">
        <w:t xml:space="preserve"> and apparatus</w:t>
      </w:r>
      <w:r w:rsidR="0024224B" w:rsidRPr="00584227">
        <w:t xml:space="preserve"> licensees, some adjacent band licensees, equipment manufacturers and some industry groups. </w:t>
      </w:r>
      <w:r w:rsidR="00372B29" w:rsidRPr="00584227">
        <w:t xml:space="preserve">The ACMA </w:t>
      </w:r>
      <w:proofErr w:type="gramStart"/>
      <w:r w:rsidR="00372B29" w:rsidRPr="00584227">
        <w:t>took into account</w:t>
      </w:r>
      <w:proofErr w:type="gramEnd"/>
      <w:r w:rsidR="00372B29" w:rsidRPr="00584227">
        <w:t xml:space="preserve"> the views expressed by the TLG when preparing variations to the Determination. The outcomes of the TLG are available on the ACMA website at </w:t>
      </w:r>
      <w:hyperlink r:id="rId16" w:history="1">
        <w:r w:rsidR="00372B29" w:rsidRPr="00584227">
          <w:rPr>
            <w:rStyle w:val="Hyperlink"/>
          </w:rPr>
          <w:t>www.acma.gov.au</w:t>
        </w:r>
      </w:hyperlink>
      <w:r w:rsidR="00372B29" w:rsidRPr="00584227">
        <w:t>.</w:t>
      </w:r>
    </w:p>
    <w:p w14:paraId="2EF0D332" w14:textId="02F8BF54" w:rsidR="001207BF" w:rsidRPr="00584227" w:rsidRDefault="001207BF" w:rsidP="00DE6F7B">
      <w:r w:rsidRPr="00584227">
        <w:t xml:space="preserve">The ACMA also publicly consulted on </w:t>
      </w:r>
      <w:r w:rsidR="00326887" w:rsidRPr="00584227">
        <w:t xml:space="preserve">a </w:t>
      </w:r>
      <w:r w:rsidRPr="00584227">
        <w:t xml:space="preserve">draft </w:t>
      </w:r>
      <w:r w:rsidR="00326887" w:rsidRPr="00584227">
        <w:t>of</w:t>
      </w:r>
      <w:r w:rsidRPr="00584227">
        <w:t xml:space="preserve"> the instrument</w:t>
      </w:r>
      <w:r w:rsidR="00326887" w:rsidRPr="00584227">
        <w:t>,</w:t>
      </w:r>
      <w:r w:rsidRPr="00584227">
        <w:t xml:space="preserve"> from </w:t>
      </w:r>
      <w:r w:rsidR="00DA7C92" w:rsidRPr="00584227">
        <w:t>2 March</w:t>
      </w:r>
      <w:r w:rsidRPr="00584227">
        <w:t xml:space="preserve"> </w:t>
      </w:r>
      <w:r w:rsidR="00326887" w:rsidRPr="00584227">
        <w:t xml:space="preserve">2022 </w:t>
      </w:r>
      <w:r w:rsidRPr="00584227">
        <w:t xml:space="preserve">to </w:t>
      </w:r>
      <w:r w:rsidR="002766B6" w:rsidRPr="00584227">
        <w:t>4 May 2022</w:t>
      </w:r>
      <w:r w:rsidRPr="00584227">
        <w:t xml:space="preserve">.  </w:t>
      </w:r>
    </w:p>
    <w:p w14:paraId="47585404" w14:textId="31CE03D3" w:rsidR="007E53C6" w:rsidRPr="00584227" w:rsidRDefault="00326887" w:rsidP="00DE6F7B">
      <w:r w:rsidRPr="00584227">
        <w:t xml:space="preserve">Thirty </w:t>
      </w:r>
      <w:r w:rsidR="00276D81" w:rsidRPr="00584227">
        <w:t>submissions were received during the public consultation period. Submissions were generally supportive of the proposed changes</w:t>
      </w:r>
      <w:r w:rsidR="008C792E" w:rsidRPr="00584227">
        <w:t xml:space="preserve"> but there were some comments on </w:t>
      </w:r>
      <w:r w:rsidR="00C17531" w:rsidRPr="00584227">
        <w:t xml:space="preserve">specific </w:t>
      </w:r>
      <w:r w:rsidR="008C792E" w:rsidRPr="00584227">
        <w:t>aspects of the draft</w:t>
      </w:r>
      <w:r w:rsidR="004438A6" w:rsidRPr="00584227">
        <w:t xml:space="preserve"> instrument</w:t>
      </w:r>
      <w:r w:rsidR="00276D81" w:rsidRPr="00584227">
        <w:t xml:space="preserve">. </w:t>
      </w:r>
      <w:r w:rsidR="00D6131F" w:rsidRPr="00584227">
        <w:t xml:space="preserve">After considering all submissions, </w:t>
      </w:r>
      <w:r w:rsidR="007138FD" w:rsidRPr="00584227">
        <w:t>the ACMA</w:t>
      </w:r>
      <w:r w:rsidR="005A3DB3" w:rsidRPr="00584227">
        <w:t xml:space="preserve"> decided to</w:t>
      </w:r>
      <w:r w:rsidR="004438A6" w:rsidRPr="00584227">
        <w:t xml:space="preserve"> remove a requirement for a radiocommunications transmitter operated under an AWL to synchronise with radiocommunications devices operated under a spectrum licence in the 3.4 GHz band</w:t>
      </w:r>
      <w:r w:rsidR="00BE13DB" w:rsidRPr="00584227">
        <w:t xml:space="preserve">. </w:t>
      </w:r>
    </w:p>
    <w:p w14:paraId="2E01E108" w14:textId="77777777" w:rsidR="004C58B9" w:rsidRPr="00584227" w:rsidRDefault="004C58B9" w:rsidP="00AD1E05">
      <w:pPr>
        <w:rPr>
          <w:b/>
          <w:bCs w:val="0"/>
        </w:rPr>
      </w:pPr>
      <w:r w:rsidRPr="00584227">
        <w:rPr>
          <w:b/>
          <w:bCs w:val="0"/>
        </w:rPr>
        <w:t>Regulatory impact assessment</w:t>
      </w:r>
    </w:p>
    <w:p w14:paraId="7C24DAA4" w14:textId="0575638A" w:rsidR="00A74CD3" w:rsidRPr="00584227" w:rsidRDefault="00A74CD3" w:rsidP="00584227">
      <w:r w:rsidRPr="00584227">
        <w:rPr>
          <w:color w:val="000000"/>
          <w:shd w:val="clear" w:color="auto" w:fill="FFFFFF"/>
        </w:rPr>
        <w:t>A Regulation Impact Statement (</w:t>
      </w:r>
      <w:r w:rsidRPr="00584227">
        <w:rPr>
          <w:b/>
          <w:bCs w:val="0"/>
          <w:color w:val="000000"/>
          <w:shd w:val="clear" w:color="auto" w:fill="FFFFFF"/>
        </w:rPr>
        <w:t>RIS</w:t>
      </w:r>
      <w:r w:rsidRPr="00584227">
        <w:rPr>
          <w:color w:val="000000"/>
          <w:shd w:val="clear" w:color="auto" w:fill="FFFFFF"/>
        </w:rPr>
        <w:t xml:space="preserve">) has been completed. The </w:t>
      </w:r>
      <w:r w:rsidR="00923855">
        <w:rPr>
          <w:color w:val="000000"/>
          <w:shd w:val="clear" w:color="auto" w:fill="FFFFFF"/>
        </w:rPr>
        <w:t xml:space="preserve">Office of Impact Analysis (formerly the </w:t>
      </w:r>
      <w:r w:rsidRPr="00584227">
        <w:rPr>
          <w:color w:val="000000"/>
          <w:shd w:val="clear" w:color="auto" w:fill="FFFFFF"/>
        </w:rPr>
        <w:t>Office of Best Practice Regulation</w:t>
      </w:r>
      <w:r w:rsidR="00F972A5">
        <w:rPr>
          <w:color w:val="000000"/>
          <w:shd w:val="clear" w:color="auto" w:fill="FFFFFF"/>
        </w:rPr>
        <w:t>)</w:t>
      </w:r>
      <w:r w:rsidRPr="00584227">
        <w:rPr>
          <w:color w:val="000000"/>
          <w:shd w:val="clear" w:color="auto" w:fill="FFFFFF"/>
        </w:rPr>
        <w:t xml:space="preserve"> has certified that the RIS is compliant with Australian Government RIS requirements (</w:t>
      </w:r>
      <w:r w:rsidRPr="00584227">
        <w:t>OBPR21-01290</w:t>
      </w:r>
      <w:r w:rsidRPr="00584227">
        <w:rPr>
          <w:color w:val="000000"/>
          <w:shd w:val="clear" w:color="auto" w:fill="FFFFFF"/>
        </w:rPr>
        <w:t>).</w:t>
      </w:r>
      <w:r w:rsidR="007173CC" w:rsidRPr="00584227">
        <w:rPr>
          <w:color w:val="000000"/>
          <w:shd w:val="clear" w:color="auto" w:fill="FFFFFF"/>
        </w:rPr>
        <w:t xml:space="preserve"> This RIS is available, free of charge, from the ACMA’s website at </w:t>
      </w:r>
      <w:hyperlink r:id="rId17" w:history="1">
        <w:r w:rsidR="007173CC" w:rsidRPr="00584227">
          <w:rPr>
            <w:rStyle w:val="Hyperlink"/>
            <w:shd w:val="clear" w:color="auto" w:fill="FFFFFF"/>
          </w:rPr>
          <w:t>www.acma.gov.au</w:t>
        </w:r>
      </w:hyperlink>
      <w:r w:rsidR="007173CC" w:rsidRPr="00584227">
        <w:rPr>
          <w:color w:val="000000"/>
          <w:shd w:val="clear" w:color="auto" w:fill="FFFFFF"/>
        </w:rPr>
        <w:t xml:space="preserve">. </w:t>
      </w:r>
    </w:p>
    <w:p w14:paraId="645DD02E" w14:textId="3D872167" w:rsidR="004C58B9" w:rsidRPr="00584227" w:rsidRDefault="004C58B9" w:rsidP="00584227">
      <w:pPr>
        <w:keepNext/>
        <w:spacing w:line="257" w:lineRule="auto"/>
        <w:rPr>
          <w:b/>
          <w:bCs w:val="0"/>
        </w:rPr>
      </w:pPr>
      <w:r w:rsidRPr="00584227">
        <w:rPr>
          <w:b/>
          <w:bCs w:val="0"/>
        </w:rPr>
        <w:t>Statement of compatibility with human rights</w:t>
      </w:r>
    </w:p>
    <w:p w14:paraId="67F8FCA3" w14:textId="77777777" w:rsidR="00227E00" w:rsidRPr="00584227" w:rsidRDefault="00227E00" w:rsidP="00AD1E05">
      <w:r w:rsidRPr="00584227">
        <w:t xml:space="preserve">Subsection 9(1) of the </w:t>
      </w:r>
      <w:r w:rsidRPr="00584227">
        <w:rPr>
          <w:i/>
          <w:iCs/>
        </w:rPr>
        <w:t>Human Rights (Parliamentary Scrutiny) Act 2011</w:t>
      </w:r>
      <w:r w:rsidRPr="00584227">
        <w:t xml:space="preserve"> requires the rule-maker in relation to a legislative instrument to which section 42 (disallowance) of the LA applies to cause a statement of compatibility with human rights to be prepared in respect of that legislative instrument.</w:t>
      </w:r>
    </w:p>
    <w:p w14:paraId="291EC061" w14:textId="7C481B4D" w:rsidR="00601347" w:rsidRPr="00584227" w:rsidRDefault="00227E00" w:rsidP="00AD1E05">
      <w:r w:rsidRPr="00584227">
        <w:t>The statement of compatibility set out below has been prepared to meet that requirement.</w:t>
      </w:r>
    </w:p>
    <w:p w14:paraId="695CEC3E" w14:textId="362E4BCD" w:rsidR="004C58B9" w:rsidRPr="00584227" w:rsidRDefault="004C58B9" w:rsidP="00AD1E05">
      <w:pPr>
        <w:rPr>
          <w:b/>
          <w:bCs w:val="0"/>
        </w:rPr>
      </w:pPr>
      <w:r w:rsidRPr="00584227">
        <w:rPr>
          <w:b/>
          <w:bCs w:val="0"/>
        </w:rPr>
        <w:t>Overview of the instrument</w:t>
      </w:r>
    </w:p>
    <w:p w14:paraId="5739AEA7" w14:textId="53053BEE" w:rsidR="00326612" w:rsidRPr="00584227" w:rsidRDefault="00326612">
      <w:r w:rsidRPr="00584227">
        <w:t xml:space="preserve">An AWL is a type of transmitter licence determined by the ACMA under section 98 of the Act. The ACMA is preparing to issue AWLs in </w:t>
      </w:r>
      <w:r w:rsidR="00DC53B9" w:rsidRPr="00584227">
        <w:t xml:space="preserve">parts of </w:t>
      </w:r>
      <w:r w:rsidRPr="00584227">
        <w:t>the 3400</w:t>
      </w:r>
      <w:r w:rsidR="00DC53B9" w:rsidRPr="00584227">
        <w:t xml:space="preserve"> MHz to </w:t>
      </w:r>
      <w:r w:rsidRPr="00584227">
        <w:t>4000 MHz frequency range. The purpose of the</w:t>
      </w:r>
      <w:r w:rsidR="00DC53B9" w:rsidRPr="00584227">
        <w:t xml:space="preserve"> instrument</w:t>
      </w:r>
      <w:r w:rsidRPr="00584227">
        <w:t xml:space="preserve"> is to include conditions in the Determination that apply to AWLs in the 3400</w:t>
      </w:r>
      <w:r w:rsidR="000F7CB0" w:rsidRPr="00584227">
        <w:t xml:space="preserve"> MHz to </w:t>
      </w:r>
      <w:r w:rsidRPr="00584227">
        <w:t xml:space="preserve">4000 MHz frequency range. These conditions largely </w:t>
      </w:r>
      <w:r w:rsidR="00CD4D40" w:rsidRPr="00584227">
        <w:t xml:space="preserve">relate </w:t>
      </w:r>
      <w:r w:rsidRPr="00584227">
        <w:t xml:space="preserve">to interference management, including conditions that enable radiocommunications transmitters operating under an AWL to coexist with other radiocommunications devices, and conditions imposing other responsibilities and requirements for managing interference. The instrument also imposes conditions that effectively require some radiocommunications transmitters operated under AWLs to be subject to the requirements of the RRL Determination. </w:t>
      </w:r>
    </w:p>
    <w:p w14:paraId="10CDCDCB" w14:textId="0AD8FCE5" w:rsidR="00227E00" w:rsidRPr="00584227" w:rsidRDefault="00227E00" w:rsidP="00AD1E05">
      <w:r w:rsidRPr="00584227">
        <w:lastRenderedPageBreak/>
        <w:t xml:space="preserve">These amendments </w:t>
      </w:r>
      <w:r w:rsidR="00326612" w:rsidRPr="00584227">
        <w:t>allow AWLs to be efficiently used in the 3400</w:t>
      </w:r>
      <w:r w:rsidR="00043980" w:rsidRPr="00584227">
        <w:t xml:space="preserve"> MHz to </w:t>
      </w:r>
      <w:r w:rsidR="00326612" w:rsidRPr="00584227">
        <w:t>4000 MHz frequency range to introduce the use of wireless broadband services such as 5G in remote areas</w:t>
      </w:r>
      <w:r w:rsidRPr="00584227">
        <w:t xml:space="preserve">. </w:t>
      </w:r>
    </w:p>
    <w:p w14:paraId="62B66CB7" w14:textId="77777777" w:rsidR="004C58B9" w:rsidRPr="00584227" w:rsidRDefault="004C58B9" w:rsidP="00AD1E05">
      <w:pPr>
        <w:rPr>
          <w:b/>
          <w:bCs w:val="0"/>
        </w:rPr>
      </w:pPr>
      <w:r w:rsidRPr="00584227">
        <w:rPr>
          <w:b/>
          <w:bCs w:val="0"/>
        </w:rPr>
        <w:t>Human rights implications</w:t>
      </w:r>
    </w:p>
    <w:p w14:paraId="0B759C40" w14:textId="77777777" w:rsidR="004C58B9" w:rsidRPr="00584227" w:rsidRDefault="004C58B9" w:rsidP="00AD1E05">
      <w:r w:rsidRPr="00584227">
        <w:t>The ACMA has assessed whether the instrument is compatible with human rights, being the rights and freedoms recognised or declared by the international instruments listed in subsection 3(1) of the</w:t>
      </w:r>
      <w:r w:rsidRPr="00584227">
        <w:rPr>
          <w:i/>
        </w:rPr>
        <w:t xml:space="preserve"> Human Rights (Parliamentary Scrutiny) Act 2011 </w:t>
      </w:r>
      <w:r w:rsidRPr="00584227">
        <w:t xml:space="preserve">as they apply to Australia. </w:t>
      </w:r>
    </w:p>
    <w:p w14:paraId="39F7E8B7" w14:textId="77777777" w:rsidR="004C58B9" w:rsidRPr="00584227" w:rsidRDefault="004C58B9" w:rsidP="00AD1E05">
      <w:r w:rsidRPr="00584227">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Pr="00584227" w:rsidRDefault="004C58B9" w:rsidP="00AD1E05">
      <w:pPr>
        <w:rPr>
          <w:b/>
          <w:bCs w:val="0"/>
        </w:rPr>
      </w:pPr>
      <w:r w:rsidRPr="00584227">
        <w:rPr>
          <w:b/>
          <w:bCs w:val="0"/>
        </w:rPr>
        <w:t>Conclusion</w:t>
      </w:r>
    </w:p>
    <w:p w14:paraId="14033D5D" w14:textId="77777777" w:rsidR="004C58B9" w:rsidRPr="00584227" w:rsidRDefault="004C58B9" w:rsidP="00AD1E05">
      <w:r w:rsidRPr="00584227">
        <w:t>The instrument is compatible with human rights as it does not raise any human rights issues.</w:t>
      </w:r>
    </w:p>
    <w:p w14:paraId="04D2004B" w14:textId="77777777" w:rsidR="004C58B9" w:rsidRPr="00584227" w:rsidRDefault="004C58B9" w:rsidP="00AD1E05"/>
    <w:p w14:paraId="0761EB7B" w14:textId="77777777" w:rsidR="004C58B9" w:rsidRPr="00584227" w:rsidRDefault="004C58B9" w:rsidP="00AD1E05"/>
    <w:p w14:paraId="529383EE" w14:textId="77777777" w:rsidR="004C58B9" w:rsidRPr="00584227" w:rsidRDefault="004C58B9" w:rsidP="00AD1E05">
      <w:r w:rsidRPr="00584227">
        <w:br w:type="page"/>
      </w:r>
    </w:p>
    <w:p w14:paraId="00392EC9" w14:textId="77777777" w:rsidR="004C58B9" w:rsidRPr="00584227" w:rsidRDefault="004C58B9" w:rsidP="00584227">
      <w:pPr>
        <w:jc w:val="right"/>
        <w:rPr>
          <w:b/>
          <w:bCs w:val="0"/>
          <w:sz w:val="28"/>
          <w:szCs w:val="28"/>
        </w:rPr>
      </w:pPr>
      <w:r w:rsidRPr="00584227">
        <w:rPr>
          <w:b/>
          <w:bCs w:val="0"/>
          <w:sz w:val="28"/>
          <w:szCs w:val="28"/>
        </w:rPr>
        <w:lastRenderedPageBreak/>
        <w:t>Attachment A</w:t>
      </w:r>
    </w:p>
    <w:p w14:paraId="2CC48905" w14:textId="03784608" w:rsidR="004C58B9" w:rsidRPr="00584227" w:rsidRDefault="004C58B9" w:rsidP="00584227">
      <w:pPr>
        <w:jc w:val="center"/>
        <w:rPr>
          <w:b/>
          <w:bCs w:val="0"/>
          <w:sz w:val="28"/>
          <w:szCs w:val="28"/>
        </w:rPr>
      </w:pPr>
      <w:r w:rsidRPr="00584227">
        <w:rPr>
          <w:b/>
          <w:bCs w:val="0"/>
          <w:sz w:val="28"/>
          <w:szCs w:val="28"/>
        </w:rPr>
        <w:t xml:space="preserve">Notes to the </w:t>
      </w:r>
      <w:r w:rsidR="00DB1564" w:rsidRPr="00584227">
        <w:rPr>
          <w:b/>
          <w:bCs w:val="0"/>
          <w:i/>
          <w:iCs/>
          <w:sz w:val="28"/>
          <w:szCs w:val="28"/>
        </w:rPr>
        <w:t>Radiocommunications Licence Condition</w:t>
      </w:r>
      <w:r w:rsidR="00BE4034" w:rsidRPr="00584227">
        <w:rPr>
          <w:b/>
          <w:bCs w:val="0"/>
          <w:i/>
          <w:iCs/>
          <w:sz w:val="28"/>
          <w:szCs w:val="28"/>
        </w:rPr>
        <w:t>s</w:t>
      </w:r>
      <w:r w:rsidR="00DB1564" w:rsidRPr="00584227">
        <w:rPr>
          <w:b/>
          <w:bCs w:val="0"/>
          <w:i/>
          <w:iCs/>
          <w:sz w:val="28"/>
          <w:szCs w:val="28"/>
        </w:rPr>
        <w:t xml:space="preserve"> (Area-Wide Licence) Amendment Determination 202</w:t>
      </w:r>
      <w:r w:rsidR="00482B9A">
        <w:rPr>
          <w:b/>
          <w:bCs w:val="0"/>
          <w:i/>
          <w:iCs/>
          <w:sz w:val="28"/>
          <w:szCs w:val="28"/>
        </w:rPr>
        <w:t>3</w:t>
      </w:r>
      <w:r w:rsidR="00DB1564" w:rsidRPr="00584227">
        <w:rPr>
          <w:b/>
          <w:bCs w:val="0"/>
          <w:i/>
          <w:iCs/>
          <w:sz w:val="28"/>
          <w:szCs w:val="28"/>
        </w:rPr>
        <w:t xml:space="preserve"> (No. 1)</w:t>
      </w:r>
    </w:p>
    <w:p w14:paraId="6A976F35" w14:textId="77777777" w:rsidR="004C58B9" w:rsidRPr="00584227" w:rsidRDefault="004C58B9" w:rsidP="00AD1E05">
      <w:pPr>
        <w:rPr>
          <w:b/>
          <w:bCs w:val="0"/>
        </w:rPr>
      </w:pPr>
      <w:r w:rsidRPr="00584227">
        <w:rPr>
          <w:b/>
          <w:bCs w:val="0"/>
        </w:rPr>
        <w:t>Section 1</w:t>
      </w:r>
      <w:r w:rsidRPr="00584227">
        <w:rPr>
          <w:b/>
          <w:bCs w:val="0"/>
        </w:rPr>
        <w:tab/>
        <w:t>Name</w:t>
      </w:r>
    </w:p>
    <w:p w14:paraId="5F5A1AC5" w14:textId="58FDD103" w:rsidR="00641D79" w:rsidRPr="00584227" w:rsidRDefault="004C58B9" w:rsidP="00AD1E05">
      <w:r w:rsidRPr="00584227">
        <w:t xml:space="preserve">This section provides for the instrument to be cited as the </w:t>
      </w:r>
      <w:r w:rsidR="00641D79" w:rsidRPr="00584227">
        <w:rPr>
          <w:i/>
          <w:iCs/>
        </w:rPr>
        <w:t>Radiocommunications Licence Conditions (Area-Wide Licence) Amendment Determination 202</w:t>
      </w:r>
      <w:r w:rsidR="00482B9A">
        <w:rPr>
          <w:i/>
          <w:iCs/>
        </w:rPr>
        <w:t>3</w:t>
      </w:r>
      <w:r w:rsidR="00641D79" w:rsidRPr="00584227">
        <w:rPr>
          <w:i/>
          <w:iCs/>
        </w:rPr>
        <w:t xml:space="preserve"> (No. 1)</w:t>
      </w:r>
      <w:r w:rsidR="00641D79" w:rsidRPr="00584227">
        <w:t>.</w:t>
      </w:r>
    </w:p>
    <w:p w14:paraId="5A4825F8" w14:textId="77777777" w:rsidR="004C58B9" w:rsidRPr="00584227" w:rsidRDefault="004C58B9" w:rsidP="00AD1E05">
      <w:pPr>
        <w:rPr>
          <w:b/>
          <w:bCs w:val="0"/>
        </w:rPr>
      </w:pPr>
      <w:r w:rsidRPr="00584227">
        <w:rPr>
          <w:b/>
          <w:bCs w:val="0"/>
        </w:rPr>
        <w:t>Section 2</w:t>
      </w:r>
      <w:r w:rsidRPr="00584227">
        <w:rPr>
          <w:b/>
          <w:bCs w:val="0"/>
        </w:rPr>
        <w:tab/>
        <w:t>Commencement</w:t>
      </w:r>
    </w:p>
    <w:p w14:paraId="1CE591DC" w14:textId="77777777" w:rsidR="004C58B9" w:rsidRPr="00584227" w:rsidRDefault="004C58B9" w:rsidP="00AD1E05">
      <w:r w:rsidRPr="00584227">
        <w:t xml:space="preserve">This section provides for the instrument to commence at the start of the day after the day it is registered on the Federal Register of Legislation.  </w:t>
      </w:r>
    </w:p>
    <w:p w14:paraId="1CCE7953" w14:textId="77777777" w:rsidR="004C58B9" w:rsidRPr="00584227" w:rsidRDefault="004C58B9" w:rsidP="00AD1E05">
      <w:pPr>
        <w:rPr>
          <w:b/>
          <w:bCs w:val="0"/>
        </w:rPr>
      </w:pPr>
      <w:r w:rsidRPr="00584227">
        <w:rPr>
          <w:b/>
          <w:bCs w:val="0"/>
        </w:rPr>
        <w:t>Section 3</w:t>
      </w:r>
      <w:r w:rsidRPr="00584227">
        <w:rPr>
          <w:b/>
          <w:bCs w:val="0"/>
        </w:rPr>
        <w:tab/>
        <w:t>Authority</w:t>
      </w:r>
    </w:p>
    <w:p w14:paraId="38112A89" w14:textId="4D13807F" w:rsidR="004C58B9" w:rsidRPr="00584227" w:rsidRDefault="004C58B9" w:rsidP="00AD1E05">
      <w:r w:rsidRPr="00584227">
        <w:t>This section identifies the provision of the Act that authorises the making of the instrument, namely</w:t>
      </w:r>
      <w:r w:rsidR="00FC40D1" w:rsidRPr="00584227">
        <w:t xml:space="preserve"> </w:t>
      </w:r>
      <w:r w:rsidR="00846872" w:rsidRPr="00584227">
        <w:t xml:space="preserve">subsection 110A(2) of the </w:t>
      </w:r>
      <w:r w:rsidR="00C1004A" w:rsidRPr="00584227">
        <w:t>Act</w:t>
      </w:r>
      <w:r w:rsidRPr="00584227">
        <w:t>.</w:t>
      </w:r>
    </w:p>
    <w:p w14:paraId="0599AB41" w14:textId="61976710" w:rsidR="004C58B9" w:rsidRPr="00584227" w:rsidRDefault="004C58B9" w:rsidP="00AD1E05">
      <w:pPr>
        <w:rPr>
          <w:b/>
          <w:bCs w:val="0"/>
        </w:rPr>
      </w:pPr>
      <w:r w:rsidRPr="00584227">
        <w:rPr>
          <w:b/>
          <w:bCs w:val="0"/>
        </w:rPr>
        <w:t>Section 4</w:t>
      </w:r>
      <w:r w:rsidRPr="00584227">
        <w:rPr>
          <w:b/>
          <w:bCs w:val="0"/>
        </w:rPr>
        <w:tab/>
      </w:r>
      <w:r w:rsidR="00FC40D1" w:rsidRPr="00584227">
        <w:rPr>
          <w:b/>
          <w:bCs w:val="0"/>
        </w:rPr>
        <w:t>Amendment</w:t>
      </w:r>
      <w:r w:rsidR="00E65D58" w:rsidRPr="00584227">
        <w:rPr>
          <w:b/>
          <w:bCs w:val="0"/>
        </w:rPr>
        <w:t>s</w:t>
      </w:r>
    </w:p>
    <w:p w14:paraId="734B9C26" w14:textId="59593350" w:rsidR="004C58B9" w:rsidRPr="00584227" w:rsidRDefault="004C58B9" w:rsidP="00AD1E05">
      <w:pPr>
        <w:rPr>
          <w:b/>
        </w:rPr>
      </w:pPr>
      <w:r w:rsidRPr="00584227">
        <w:t xml:space="preserve">This section provides that </w:t>
      </w:r>
      <w:r w:rsidR="00C1004A" w:rsidRPr="00584227">
        <w:t>Schedule 1 varies</w:t>
      </w:r>
      <w:r w:rsidR="007A196D" w:rsidRPr="00584227">
        <w:t xml:space="preserve"> the Determination</w:t>
      </w:r>
      <w:r w:rsidR="00846872" w:rsidRPr="00584227">
        <w:rPr>
          <w:bCs w:val="0"/>
        </w:rPr>
        <w:t>.</w:t>
      </w:r>
    </w:p>
    <w:p w14:paraId="2222481B" w14:textId="146E7B0E" w:rsidR="004C58B9" w:rsidRPr="00584227" w:rsidRDefault="006B6B34" w:rsidP="00AD1E05">
      <w:pPr>
        <w:rPr>
          <w:b/>
          <w:bCs w:val="0"/>
        </w:rPr>
      </w:pPr>
      <w:r w:rsidRPr="00584227">
        <w:rPr>
          <w:b/>
          <w:bCs w:val="0"/>
        </w:rPr>
        <w:t>Schedule 1</w:t>
      </w:r>
      <w:r w:rsidR="00E74D98" w:rsidRPr="00584227">
        <w:rPr>
          <w:b/>
          <w:bCs w:val="0"/>
        </w:rPr>
        <w:t>–</w:t>
      </w:r>
      <w:r w:rsidRPr="00584227">
        <w:rPr>
          <w:b/>
          <w:bCs w:val="0"/>
        </w:rPr>
        <w:t>Amendments</w:t>
      </w:r>
    </w:p>
    <w:p w14:paraId="4BEFED21" w14:textId="025617B8" w:rsidR="0072613D" w:rsidRPr="00584227" w:rsidRDefault="0072613D" w:rsidP="00AD1E05">
      <w:pPr>
        <w:rPr>
          <w:b/>
          <w:bCs w:val="0"/>
          <w:i/>
          <w:iCs/>
        </w:rPr>
      </w:pPr>
      <w:r w:rsidRPr="00584227">
        <w:rPr>
          <w:b/>
          <w:bCs w:val="0"/>
        </w:rPr>
        <w:t>Item 1</w:t>
      </w:r>
    </w:p>
    <w:p w14:paraId="4E68DA09" w14:textId="4E126E89" w:rsidR="0072613D" w:rsidRPr="00584227" w:rsidRDefault="00E74D98" w:rsidP="00AD1E05">
      <w:r w:rsidRPr="00584227">
        <w:t xml:space="preserve">Item 1 </w:t>
      </w:r>
      <w:r w:rsidR="00884461" w:rsidRPr="00584227">
        <w:t>inserts a note</w:t>
      </w:r>
      <w:r w:rsidR="005C4826" w:rsidRPr="00584227">
        <w:t xml:space="preserve"> after section 3 of the Determination,</w:t>
      </w:r>
      <w:r w:rsidR="00884461" w:rsidRPr="00584227">
        <w:t xml:space="preserve"> </w:t>
      </w:r>
      <w:r w:rsidR="00D4671F" w:rsidRPr="00584227">
        <w:t>explaining how the Determination has been affected by</w:t>
      </w:r>
      <w:r w:rsidR="00884461" w:rsidRPr="00584227">
        <w:t xml:space="preserve"> the </w:t>
      </w:r>
      <w:r w:rsidR="00884461" w:rsidRPr="00584227">
        <w:rPr>
          <w:i/>
          <w:iCs/>
        </w:rPr>
        <w:t>Radiocommunications Legislation Amendment (Reform and Modernisation) Act 2020</w:t>
      </w:r>
      <w:r w:rsidR="00884461" w:rsidRPr="00584227">
        <w:t>.</w:t>
      </w:r>
      <w:r w:rsidR="0072613D" w:rsidRPr="00584227">
        <w:t xml:space="preserve">  </w:t>
      </w:r>
    </w:p>
    <w:p w14:paraId="20763062" w14:textId="715D7E75" w:rsidR="006B6B34" w:rsidRPr="00584227" w:rsidRDefault="006B6B34" w:rsidP="00AD1E05">
      <w:pPr>
        <w:rPr>
          <w:b/>
          <w:bCs w:val="0"/>
        </w:rPr>
      </w:pPr>
      <w:r w:rsidRPr="00584227">
        <w:rPr>
          <w:b/>
          <w:bCs w:val="0"/>
        </w:rPr>
        <w:t xml:space="preserve">Item </w:t>
      </w:r>
      <w:r w:rsidR="005C2DAA" w:rsidRPr="00584227">
        <w:rPr>
          <w:b/>
          <w:bCs w:val="0"/>
        </w:rPr>
        <w:t>2</w:t>
      </w:r>
    </w:p>
    <w:p w14:paraId="3BC39389" w14:textId="50EB8618" w:rsidR="00C11257" w:rsidRPr="00584227" w:rsidRDefault="0002421F" w:rsidP="00AD1E05">
      <w:pPr>
        <w:rPr>
          <w:b/>
        </w:rPr>
      </w:pPr>
      <w:r w:rsidRPr="00584227">
        <w:t xml:space="preserve">Item 2 </w:t>
      </w:r>
      <w:r w:rsidR="00884461" w:rsidRPr="00584227">
        <w:t xml:space="preserve">repeals the definition of a </w:t>
      </w:r>
      <w:r w:rsidR="00884461" w:rsidRPr="00584227">
        <w:rPr>
          <w:b/>
          <w:bCs w:val="0"/>
          <w:i/>
          <w:iCs/>
        </w:rPr>
        <w:t>26 GHz band spectrum licence</w:t>
      </w:r>
      <w:r w:rsidR="003903F1" w:rsidRPr="00584227">
        <w:t xml:space="preserve"> from section 5 of the Determination</w:t>
      </w:r>
      <w:r w:rsidR="009C58C8" w:rsidRPr="00584227">
        <w:t>,</w:t>
      </w:r>
      <w:r w:rsidR="00884461" w:rsidRPr="00584227">
        <w:rPr>
          <w:i/>
          <w:iCs/>
        </w:rPr>
        <w:t xml:space="preserve"> </w:t>
      </w:r>
      <w:r w:rsidR="00884461" w:rsidRPr="00584227">
        <w:t xml:space="preserve">as that definition is </w:t>
      </w:r>
      <w:r w:rsidR="00046A68" w:rsidRPr="00584227">
        <w:t>now</w:t>
      </w:r>
      <w:r w:rsidR="00884461" w:rsidRPr="00584227">
        <w:t xml:space="preserve"> </w:t>
      </w:r>
      <w:r w:rsidR="0098035D" w:rsidRPr="00584227">
        <w:t>in</w:t>
      </w:r>
      <w:r w:rsidR="00884461" w:rsidRPr="00584227">
        <w:t xml:space="preserve"> Schedule 1 </w:t>
      </w:r>
      <w:r w:rsidR="00046A68" w:rsidRPr="00584227">
        <w:t xml:space="preserve">(see </w:t>
      </w:r>
      <w:r w:rsidR="003D4E64" w:rsidRPr="00584227">
        <w:rPr>
          <w:bCs w:val="0"/>
        </w:rPr>
        <w:t>i</w:t>
      </w:r>
      <w:r w:rsidR="00884461" w:rsidRPr="00584227">
        <w:rPr>
          <w:bCs w:val="0"/>
        </w:rPr>
        <w:t>tem 9</w:t>
      </w:r>
      <w:r w:rsidR="00046A68" w:rsidRPr="00584227">
        <w:rPr>
          <w:bCs w:val="0"/>
        </w:rPr>
        <w:t>)</w:t>
      </w:r>
      <w:r w:rsidR="00884461" w:rsidRPr="00584227">
        <w:rPr>
          <w:bCs w:val="0"/>
        </w:rPr>
        <w:t>.</w:t>
      </w:r>
    </w:p>
    <w:p w14:paraId="0555BE9D" w14:textId="5CC538B2" w:rsidR="000A6E19" w:rsidRPr="00584227" w:rsidRDefault="000A6E19" w:rsidP="00AD1E05">
      <w:pPr>
        <w:rPr>
          <w:b/>
          <w:bCs w:val="0"/>
        </w:rPr>
      </w:pPr>
      <w:r w:rsidRPr="00584227">
        <w:rPr>
          <w:b/>
          <w:bCs w:val="0"/>
        </w:rPr>
        <w:t xml:space="preserve">Item </w:t>
      </w:r>
      <w:r w:rsidR="005C2DAA" w:rsidRPr="00584227">
        <w:rPr>
          <w:b/>
          <w:bCs w:val="0"/>
        </w:rPr>
        <w:t xml:space="preserve">3 </w:t>
      </w:r>
    </w:p>
    <w:p w14:paraId="548DCDB2" w14:textId="365FD0E9" w:rsidR="000A6E19" w:rsidRPr="00584227" w:rsidRDefault="0051645A" w:rsidP="00AD1E05">
      <w:r w:rsidRPr="00584227">
        <w:t xml:space="preserve">Item 3 </w:t>
      </w:r>
      <w:r w:rsidR="00884461" w:rsidRPr="00584227">
        <w:t>inserts definition</w:t>
      </w:r>
      <w:r w:rsidR="00FD07F9" w:rsidRPr="00584227">
        <w:t>s</w:t>
      </w:r>
      <w:r w:rsidR="00884461" w:rsidRPr="00584227">
        <w:t xml:space="preserve"> of </w:t>
      </w:r>
      <w:r w:rsidR="00884461" w:rsidRPr="00584227">
        <w:rPr>
          <w:b/>
          <w:i/>
          <w:iCs/>
        </w:rPr>
        <w:t xml:space="preserve">AAS </w:t>
      </w:r>
      <w:r w:rsidR="00884461" w:rsidRPr="009123EF">
        <w:rPr>
          <w:bCs w:val="0"/>
        </w:rPr>
        <w:t>(</w:t>
      </w:r>
      <w:r w:rsidR="009123EF">
        <w:rPr>
          <w:bCs w:val="0"/>
        </w:rPr>
        <w:t xml:space="preserve">which stands for </w:t>
      </w:r>
      <w:r w:rsidR="00884461" w:rsidRPr="009123EF">
        <w:rPr>
          <w:bCs w:val="0"/>
        </w:rPr>
        <w:t xml:space="preserve">active antenna </w:t>
      </w:r>
      <w:r w:rsidR="008C2537" w:rsidRPr="009123EF">
        <w:rPr>
          <w:bCs w:val="0"/>
        </w:rPr>
        <w:t>system)</w:t>
      </w:r>
      <w:r w:rsidR="008C2537" w:rsidRPr="00584227">
        <w:rPr>
          <w:b/>
          <w:i/>
          <w:iCs/>
        </w:rPr>
        <w:t xml:space="preserve"> </w:t>
      </w:r>
      <w:r w:rsidR="008C2537" w:rsidRPr="00584227">
        <w:t>and</w:t>
      </w:r>
      <w:r w:rsidR="00884461" w:rsidRPr="00584227">
        <w:t xml:space="preserve"> </w:t>
      </w:r>
      <w:r w:rsidR="00884461" w:rsidRPr="00584227">
        <w:rPr>
          <w:b/>
          <w:i/>
          <w:iCs/>
        </w:rPr>
        <w:t>antenna port</w:t>
      </w:r>
      <w:r w:rsidR="003903F1" w:rsidRPr="00584227">
        <w:rPr>
          <w:bCs w:val="0"/>
        </w:rPr>
        <w:t xml:space="preserve"> in section 5 of the Determination</w:t>
      </w:r>
      <w:r w:rsidR="00884461" w:rsidRPr="00584227">
        <w:t>.</w:t>
      </w:r>
    </w:p>
    <w:p w14:paraId="5F19086B" w14:textId="3892DA7A" w:rsidR="000A6E19" w:rsidRPr="00584227" w:rsidRDefault="000A6E19" w:rsidP="00AD1E05">
      <w:pPr>
        <w:rPr>
          <w:b/>
          <w:bCs w:val="0"/>
        </w:rPr>
      </w:pPr>
      <w:r w:rsidRPr="00584227">
        <w:rPr>
          <w:b/>
          <w:bCs w:val="0"/>
        </w:rPr>
        <w:t xml:space="preserve">Item </w:t>
      </w:r>
      <w:r w:rsidR="00827F8A">
        <w:rPr>
          <w:b/>
          <w:bCs w:val="0"/>
        </w:rPr>
        <w:t>4</w:t>
      </w:r>
    </w:p>
    <w:p w14:paraId="043257BA" w14:textId="74D45402" w:rsidR="000A6E19" w:rsidRPr="00584227" w:rsidRDefault="001C17C8" w:rsidP="00AD1E05">
      <w:r w:rsidRPr="00584227">
        <w:t xml:space="preserve">Item </w:t>
      </w:r>
      <w:r w:rsidR="00827F8A">
        <w:t>4</w:t>
      </w:r>
      <w:r w:rsidR="00B64F55" w:rsidRPr="00584227">
        <w:t xml:space="preserve"> </w:t>
      </w:r>
      <w:r w:rsidR="00884461" w:rsidRPr="00584227">
        <w:t xml:space="preserve">repeals the definition of </w:t>
      </w:r>
      <w:r w:rsidR="00884461" w:rsidRPr="00584227">
        <w:rPr>
          <w:b/>
          <w:i/>
          <w:iCs/>
        </w:rPr>
        <w:t>indoor transmitter</w:t>
      </w:r>
      <w:r w:rsidR="003903F1" w:rsidRPr="00584227">
        <w:rPr>
          <w:bCs w:val="0"/>
        </w:rPr>
        <w:t xml:space="preserve"> from section 5 of the Determination</w:t>
      </w:r>
      <w:r w:rsidR="00884461" w:rsidRPr="00584227">
        <w:rPr>
          <w:bCs w:val="0"/>
        </w:rPr>
        <w:t xml:space="preserve">, </w:t>
      </w:r>
      <w:r w:rsidR="00A14854" w:rsidRPr="00584227">
        <w:t xml:space="preserve">as that definition is now </w:t>
      </w:r>
      <w:r w:rsidR="00884461" w:rsidRPr="00584227">
        <w:t>in Schedule 1</w:t>
      </w:r>
      <w:r w:rsidR="00373C14" w:rsidRPr="00584227">
        <w:t xml:space="preserve"> (see </w:t>
      </w:r>
      <w:r w:rsidR="003D4E64" w:rsidRPr="00584227">
        <w:t>i</w:t>
      </w:r>
      <w:r w:rsidR="00373C14" w:rsidRPr="00584227">
        <w:t>tem 9)</w:t>
      </w:r>
      <w:r w:rsidR="000B342D" w:rsidRPr="00584227">
        <w:t>.</w:t>
      </w:r>
    </w:p>
    <w:p w14:paraId="4670AEDB" w14:textId="54C29AB6" w:rsidR="0089700C" w:rsidRPr="00584227" w:rsidRDefault="0089700C" w:rsidP="00AD1E05">
      <w:pPr>
        <w:rPr>
          <w:b/>
          <w:bCs w:val="0"/>
        </w:rPr>
      </w:pPr>
      <w:r w:rsidRPr="00584227">
        <w:rPr>
          <w:b/>
          <w:bCs w:val="0"/>
        </w:rPr>
        <w:t xml:space="preserve">Item </w:t>
      </w:r>
      <w:r w:rsidR="005B5537">
        <w:rPr>
          <w:b/>
          <w:bCs w:val="0"/>
        </w:rPr>
        <w:t>5</w:t>
      </w:r>
    </w:p>
    <w:p w14:paraId="6BF0D363" w14:textId="2AE696A4" w:rsidR="0089700C" w:rsidRPr="00584227" w:rsidRDefault="00CF6722" w:rsidP="00AD1E05">
      <w:r w:rsidRPr="00584227">
        <w:t xml:space="preserve">Item </w:t>
      </w:r>
      <w:r w:rsidR="005B5537">
        <w:t>5</w:t>
      </w:r>
      <w:r w:rsidR="00870D77" w:rsidRPr="00584227">
        <w:t xml:space="preserve"> </w:t>
      </w:r>
      <w:r w:rsidR="00311AC4" w:rsidRPr="00584227">
        <w:t xml:space="preserve">repeals the definition of </w:t>
      </w:r>
      <w:proofErr w:type="gramStart"/>
      <w:r w:rsidR="008C2537" w:rsidRPr="00584227">
        <w:rPr>
          <w:b/>
          <w:i/>
          <w:iCs/>
        </w:rPr>
        <w:t>low risk</w:t>
      </w:r>
      <w:proofErr w:type="gramEnd"/>
      <w:r w:rsidR="00311AC4" w:rsidRPr="00584227">
        <w:rPr>
          <w:b/>
          <w:i/>
          <w:iCs/>
        </w:rPr>
        <w:t xml:space="preserve"> transmitter</w:t>
      </w:r>
      <w:r w:rsidR="003903F1" w:rsidRPr="00584227">
        <w:rPr>
          <w:bCs w:val="0"/>
        </w:rPr>
        <w:t xml:space="preserve"> from section 5 of the Determination</w:t>
      </w:r>
      <w:r w:rsidR="00311AC4" w:rsidRPr="00584227">
        <w:t>,</w:t>
      </w:r>
      <w:r w:rsidR="003D4E64" w:rsidRPr="00584227">
        <w:t xml:space="preserve"> </w:t>
      </w:r>
      <w:r w:rsidR="005408ED" w:rsidRPr="00584227">
        <w:t>as that definition is now</w:t>
      </w:r>
      <w:r w:rsidR="00311AC4" w:rsidRPr="00584227">
        <w:t xml:space="preserve"> in Schedule 1</w:t>
      </w:r>
      <w:r w:rsidR="005408ED" w:rsidRPr="00584227">
        <w:t xml:space="preserve"> (see </w:t>
      </w:r>
      <w:r w:rsidR="003D4E64" w:rsidRPr="00584227">
        <w:t xml:space="preserve">item </w:t>
      </w:r>
      <w:r w:rsidR="00852A3D">
        <w:t>9</w:t>
      </w:r>
      <w:r w:rsidR="003D4E64" w:rsidRPr="00584227">
        <w:t xml:space="preserve">) </w:t>
      </w:r>
      <w:r w:rsidR="00311AC4" w:rsidRPr="00584227">
        <w:t xml:space="preserve">and Schedule 4 </w:t>
      </w:r>
      <w:r w:rsidR="003D4E64" w:rsidRPr="00584227">
        <w:t xml:space="preserve">(see item </w:t>
      </w:r>
      <w:r w:rsidR="00852A3D">
        <w:t>13</w:t>
      </w:r>
      <w:r w:rsidR="003D4E64" w:rsidRPr="00584227">
        <w:t xml:space="preserve">). </w:t>
      </w:r>
      <w:r w:rsidR="001822C5" w:rsidRPr="00584227">
        <w:t>The</w:t>
      </w:r>
      <w:r w:rsidR="000B342D" w:rsidRPr="00584227">
        <w:t xml:space="preserve"> definition of </w:t>
      </w:r>
      <w:r w:rsidR="000B342D" w:rsidRPr="00584227">
        <w:rPr>
          <w:bCs w:val="0"/>
        </w:rPr>
        <w:t xml:space="preserve">a </w:t>
      </w:r>
      <w:proofErr w:type="gramStart"/>
      <w:r w:rsidR="000B342D" w:rsidRPr="00584227">
        <w:rPr>
          <w:b/>
          <w:i/>
          <w:iCs/>
        </w:rPr>
        <w:t>low risk</w:t>
      </w:r>
      <w:proofErr w:type="gramEnd"/>
      <w:r w:rsidR="000B342D" w:rsidRPr="00584227">
        <w:rPr>
          <w:b/>
          <w:i/>
          <w:iCs/>
        </w:rPr>
        <w:t xml:space="preserve"> transmitter</w:t>
      </w:r>
      <w:r w:rsidR="000B342D" w:rsidRPr="00584227">
        <w:t xml:space="preserve"> is different between the frequency ranges that </w:t>
      </w:r>
      <w:r w:rsidR="00620847" w:rsidRPr="00584227">
        <w:t>are covered by</w:t>
      </w:r>
      <w:r w:rsidR="000B342D" w:rsidRPr="00584227">
        <w:t xml:space="preserve"> Schedule 1 and </w:t>
      </w:r>
      <w:r w:rsidR="00620847" w:rsidRPr="00584227">
        <w:t>by Schedule </w:t>
      </w:r>
      <w:r w:rsidR="000B342D" w:rsidRPr="00584227">
        <w:t>4.</w:t>
      </w:r>
    </w:p>
    <w:p w14:paraId="337C6D53" w14:textId="60965D11" w:rsidR="000F7C8B" w:rsidRPr="00584227" w:rsidRDefault="000F7C8B" w:rsidP="00584227">
      <w:pPr>
        <w:keepNext/>
        <w:spacing w:line="257" w:lineRule="auto"/>
        <w:rPr>
          <w:b/>
          <w:bCs w:val="0"/>
        </w:rPr>
      </w:pPr>
      <w:r w:rsidRPr="00584227">
        <w:rPr>
          <w:b/>
          <w:bCs w:val="0"/>
        </w:rPr>
        <w:t xml:space="preserve">Item </w:t>
      </w:r>
      <w:r w:rsidR="00852A3D">
        <w:rPr>
          <w:b/>
          <w:bCs w:val="0"/>
        </w:rPr>
        <w:t>6</w:t>
      </w:r>
    </w:p>
    <w:p w14:paraId="477AC791" w14:textId="767C6369" w:rsidR="000F7C8B" w:rsidRPr="00584227" w:rsidRDefault="006C0E4B" w:rsidP="00AD1E05">
      <w:pPr>
        <w:rPr>
          <w:b/>
          <w:i/>
          <w:iCs/>
        </w:rPr>
      </w:pPr>
      <w:r w:rsidRPr="00584227">
        <w:t xml:space="preserve">Item </w:t>
      </w:r>
      <w:r w:rsidR="00852A3D">
        <w:t>6</w:t>
      </w:r>
      <w:r w:rsidR="00870D77" w:rsidRPr="00584227">
        <w:t xml:space="preserve"> </w:t>
      </w:r>
      <w:r w:rsidR="0098035D" w:rsidRPr="00584227">
        <w:t>inserts definition</w:t>
      </w:r>
      <w:r w:rsidR="009F7C9B" w:rsidRPr="00584227">
        <w:t>s</w:t>
      </w:r>
      <w:r w:rsidR="0098035D" w:rsidRPr="00584227">
        <w:t xml:space="preserve"> of </w:t>
      </w:r>
      <w:r w:rsidR="0098035D" w:rsidRPr="00584227">
        <w:rPr>
          <w:b/>
          <w:i/>
          <w:iCs/>
        </w:rPr>
        <w:t>RALI MS</w:t>
      </w:r>
      <w:r w:rsidR="00D12990" w:rsidRPr="00584227">
        <w:rPr>
          <w:b/>
          <w:i/>
          <w:iCs/>
        </w:rPr>
        <w:t xml:space="preserve"> </w:t>
      </w:r>
      <w:r w:rsidR="0098035D" w:rsidRPr="00584227">
        <w:rPr>
          <w:b/>
          <w:i/>
          <w:iCs/>
        </w:rPr>
        <w:t>47</w:t>
      </w:r>
      <w:r w:rsidR="0098035D" w:rsidRPr="00584227">
        <w:t xml:space="preserve"> and </w:t>
      </w:r>
      <w:r w:rsidR="0098035D" w:rsidRPr="00584227">
        <w:rPr>
          <w:b/>
          <w:i/>
          <w:iCs/>
        </w:rPr>
        <w:t xml:space="preserve">Register Determination </w:t>
      </w:r>
      <w:r w:rsidR="003903F1" w:rsidRPr="00584227">
        <w:rPr>
          <w:bCs w:val="0"/>
        </w:rPr>
        <w:t>in</w:t>
      </w:r>
      <w:r w:rsidR="00FD50EE" w:rsidRPr="00584227">
        <w:rPr>
          <w:bCs w:val="0"/>
        </w:rPr>
        <w:t xml:space="preserve"> section 5 of the Determination</w:t>
      </w:r>
      <w:r w:rsidR="0098035D" w:rsidRPr="00584227">
        <w:t>.</w:t>
      </w:r>
    </w:p>
    <w:p w14:paraId="30D60735" w14:textId="1CFEA2DD" w:rsidR="008D1608" w:rsidRPr="00584227" w:rsidRDefault="008D1608" w:rsidP="00AD1E05">
      <w:pPr>
        <w:rPr>
          <w:b/>
          <w:bCs w:val="0"/>
        </w:rPr>
      </w:pPr>
      <w:r w:rsidRPr="00584227">
        <w:rPr>
          <w:b/>
          <w:bCs w:val="0"/>
        </w:rPr>
        <w:lastRenderedPageBreak/>
        <w:t xml:space="preserve">Item </w:t>
      </w:r>
      <w:r w:rsidR="00852A3D">
        <w:rPr>
          <w:b/>
          <w:bCs w:val="0"/>
        </w:rPr>
        <w:t>7</w:t>
      </w:r>
    </w:p>
    <w:p w14:paraId="1DDF3EDE" w14:textId="5148EFC2" w:rsidR="008D1608" w:rsidRPr="00584227" w:rsidRDefault="009E0235" w:rsidP="00AD1E05">
      <w:r w:rsidRPr="00584227">
        <w:t xml:space="preserve">Item </w:t>
      </w:r>
      <w:r w:rsidR="00852A3D">
        <w:t>7</w:t>
      </w:r>
      <w:r w:rsidR="00870D77" w:rsidRPr="00584227">
        <w:t xml:space="preserve"> </w:t>
      </w:r>
      <w:r w:rsidR="000B342D" w:rsidRPr="00584227">
        <w:t xml:space="preserve">repeals the definition of </w:t>
      </w:r>
      <w:r w:rsidR="000B342D" w:rsidRPr="00584227">
        <w:rPr>
          <w:b/>
          <w:i/>
          <w:iCs/>
        </w:rPr>
        <w:t>uplink-downlink configuration</w:t>
      </w:r>
      <w:r w:rsidR="00FD50EE" w:rsidRPr="00584227">
        <w:rPr>
          <w:bCs w:val="0"/>
        </w:rPr>
        <w:t xml:space="preserve"> from section 5 of the Determination</w:t>
      </w:r>
      <w:r w:rsidR="0072455C">
        <w:rPr>
          <w:bCs w:val="0"/>
        </w:rPr>
        <w:t>.</w:t>
      </w:r>
      <w:r w:rsidR="000B342D" w:rsidRPr="00584227">
        <w:t xml:space="preserve"> </w:t>
      </w:r>
      <w:r w:rsidR="0072455C">
        <w:t>T</w:t>
      </w:r>
      <w:r w:rsidR="00E17F14" w:rsidRPr="00584227">
        <w:t>hat definition is now</w:t>
      </w:r>
      <w:r w:rsidR="000B342D" w:rsidRPr="00584227">
        <w:t xml:space="preserve"> in Schedule 1 </w:t>
      </w:r>
      <w:r w:rsidR="00E17F14" w:rsidRPr="00584227">
        <w:t>(see i</w:t>
      </w:r>
      <w:r w:rsidR="000B342D" w:rsidRPr="00584227">
        <w:rPr>
          <w:bCs w:val="0"/>
        </w:rPr>
        <w:t xml:space="preserve">tem </w:t>
      </w:r>
      <w:r w:rsidR="00852A3D">
        <w:rPr>
          <w:bCs w:val="0"/>
        </w:rPr>
        <w:t>9</w:t>
      </w:r>
      <w:r w:rsidR="00E17F14" w:rsidRPr="00584227">
        <w:rPr>
          <w:bCs w:val="0"/>
        </w:rPr>
        <w:t>)</w:t>
      </w:r>
      <w:r w:rsidR="000B342D" w:rsidRPr="00584227">
        <w:rPr>
          <w:b/>
        </w:rPr>
        <w:t xml:space="preserve"> </w:t>
      </w:r>
      <w:r w:rsidR="000B342D" w:rsidRPr="00584227">
        <w:t xml:space="preserve">and Schedule 4 </w:t>
      </w:r>
      <w:r w:rsidR="00E17F14" w:rsidRPr="00584227">
        <w:t>(see</w:t>
      </w:r>
      <w:r w:rsidR="000B342D" w:rsidRPr="00584227">
        <w:t xml:space="preserve"> item </w:t>
      </w:r>
      <w:r w:rsidR="00852A3D">
        <w:t>13</w:t>
      </w:r>
      <w:r w:rsidR="00E17F14" w:rsidRPr="00584227">
        <w:rPr>
          <w:bCs w:val="0"/>
        </w:rPr>
        <w:t>)</w:t>
      </w:r>
      <w:r w:rsidR="000B342D" w:rsidRPr="00584227">
        <w:t xml:space="preserve">, </w:t>
      </w:r>
      <w:r w:rsidR="00196183" w:rsidRPr="00584227">
        <w:rPr>
          <w:iCs/>
        </w:rPr>
        <w:t>as band specific definitions are now required</w:t>
      </w:r>
      <w:r w:rsidR="000B342D" w:rsidRPr="00584227">
        <w:t>.</w:t>
      </w:r>
    </w:p>
    <w:p w14:paraId="61BA15A5" w14:textId="6EC92DDC" w:rsidR="003B6808" w:rsidRPr="00584227" w:rsidRDefault="003B6808" w:rsidP="00AD1E05">
      <w:pPr>
        <w:rPr>
          <w:b/>
          <w:bCs w:val="0"/>
        </w:rPr>
      </w:pPr>
      <w:r w:rsidRPr="00584227">
        <w:rPr>
          <w:b/>
          <w:bCs w:val="0"/>
        </w:rPr>
        <w:t xml:space="preserve">Item </w:t>
      </w:r>
      <w:r w:rsidR="0072455C">
        <w:rPr>
          <w:b/>
          <w:bCs w:val="0"/>
        </w:rPr>
        <w:t>8</w:t>
      </w:r>
    </w:p>
    <w:p w14:paraId="58746DFC" w14:textId="0079710C" w:rsidR="00196183" w:rsidRPr="00584227" w:rsidRDefault="00196183" w:rsidP="00AD1E05">
      <w:pPr>
        <w:rPr>
          <w:b/>
        </w:rPr>
      </w:pPr>
      <w:r w:rsidRPr="00584227">
        <w:t xml:space="preserve">Item </w:t>
      </w:r>
      <w:r w:rsidR="0072455C">
        <w:t>8</w:t>
      </w:r>
      <w:r w:rsidR="00870D77" w:rsidRPr="00584227">
        <w:t xml:space="preserve"> </w:t>
      </w:r>
      <w:r w:rsidR="004E7145" w:rsidRPr="00584227">
        <w:t xml:space="preserve">replaces </w:t>
      </w:r>
      <w:r w:rsidRPr="00584227">
        <w:t xml:space="preserve">section 6 to account for </w:t>
      </w:r>
      <w:r w:rsidR="00E57250" w:rsidRPr="00584227">
        <w:t>AWLs</w:t>
      </w:r>
      <w:r w:rsidRPr="00584227">
        <w:t xml:space="preserve"> being </w:t>
      </w:r>
      <w:r w:rsidR="009F7C9B" w:rsidRPr="00584227">
        <w:t>subject to specified conditions</w:t>
      </w:r>
      <w:r w:rsidR="00CC1819" w:rsidRPr="00584227">
        <w:t xml:space="preserve"> under subsection 110A(2) of the Act</w:t>
      </w:r>
      <w:r w:rsidRPr="00584227">
        <w:t xml:space="preserve"> in two different frequency bands</w:t>
      </w:r>
      <w:r w:rsidR="009F7C9B" w:rsidRPr="00584227">
        <w:t>:</w:t>
      </w:r>
      <w:r w:rsidRPr="00584227">
        <w:t xml:space="preserve"> 24.7 GHz</w:t>
      </w:r>
      <w:r w:rsidR="00CC1D60" w:rsidRPr="00584227">
        <w:t xml:space="preserve"> to </w:t>
      </w:r>
      <w:r w:rsidRPr="00584227">
        <w:t xml:space="preserve">30 GHz under </w:t>
      </w:r>
      <w:r w:rsidR="009F7C9B" w:rsidRPr="00584227">
        <w:t>S</w:t>
      </w:r>
      <w:r w:rsidRPr="00584227">
        <w:t xml:space="preserve">chedule </w:t>
      </w:r>
      <w:r w:rsidR="009F7C9B" w:rsidRPr="00584227">
        <w:t xml:space="preserve">1 </w:t>
      </w:r>
      <w:r w:rsidRPr="00584227">
        <w:t>and 34</w:t>
      </w:r>
      <w:r w:rsidR="00CC1D60" w:rsidRPr="00584227">
        <w:t>00</w:t>
      </w:r>
      <w:r w:rsidR="00153EB5">
        <w:t> </w:t>
      </w:r>
      <w:r w:rsidR="00CC1D60" w:rsidRPr="00584227">
        <w:t xml:space="preserve">MHz to </w:t>
      </w:r>
      <w:r w:rsidRPr="00584227">
        <w:t>40</w:t>
      </w:r>
      <w:r w:rsidR="00CC1D60" w:rsidRPr="00584227">
        <w:t>00</w:t>
      </w:r>
      <w:r w:rsidRPr="00584227">
        <w:t xml:space="preserve"> </w:t>
      </w:r>
      <w:r w:rsidR="00CC1D60" w:rsidRPr="00584227">
        <w:t>M</w:t>
      </w:r>
      <w:r w:rsidRPr="00584227">
        <w:t xml:space="preserve">Hz under Schedule 4. </w:t>
      </w:r>
    </w:p>
    <w:p w14:paraId="4181CAD8" w14:textId="0AFDD0FA" w:rsidR="003B6808" w:rsidRPr="00584227" w:rsidRDefault="003B6808" w:rsidP="00AD1E05">
      <w:pPr>
        <w:rPr>
          <w:b/>
          <w:bCs w:val="0"/>
        </w:rPr>
      </w:pPr>
      <w:r w:rsidRPr="00584227">
        <w:rPr>
          <w:b/>
          <w:bCs w:val="0"/>
        </w:rPr>
        <w:t xml:space="preserve">Item </w:t>
      </w:r>
      <w:r w:rsidR="0072455C">
        <w:rPr>
          <w:b/>
          <w:bCs w:val="0"/>
        </w:rPr>
        <w:t>9</w:t>
      </w:r>
    </w:p>
    <w:p w14:paraId="6C840CBA" w14:textId="58D38EC1" w:rsidR="00196183" w:rsidRPr="00584227" w:rsidRDefault="00196183" w:rsidP="00196183">
      <w:r w:rsidRPr="00584227">
        <w:t xml:space="preserve">Item </w:t>
      </w:r>
      <w:r w:rsidR="00870D77" w:rsidRPr="00584227">
        <w:t xml:space="preserve">10 </w:t>
      </w:r>
      <w:r w:rsidRPr="00584227">
        <w:t>inserts, in Schedule 1</w:t>
      </w:r>
      <w:r w:rsidR="003D6093" w:rsidRPr="00584227">
        <w:t xml:space="preserve"> to the Determination</w:t>
      </w:r>
      <w:r w:rsidRPr="00584227">
        <w:t xml:space="preserve">, definitions for </w:t>
      </w:r>
      <w:r w:rsidRPr="00584227">
        <w:rPr>
          <w:b/>
          <w:i/>
          <w:iCs/>
        </w:rPr>
        <w:t>26 GHz band spectrum licence</w:t>
      </w:r>
      <w:r w:rsidRPr="00584227">
        <w:t xml:space="preserve">, </w:t>
      </w:r>
      <w:r w:rsidRPr="00584227">
        <w:rPr>
          <w:b/>
          <w:i/>
        </w:rPr>
        <w:t>indoor transmitter</w:t>
      </w:r>
      <w:r w:rsidRPr="00584227">
        <w:rPr>
          <w:bCs w:val="0"/>
          <w:iCs/>
        </w:rPr>
        <w:t>,</w:t>
      </w:r>
      <w:r w:rsidRPr="00584227">
        <w:rPr>
          <w:b/>
          <w:i/>
        </w:rPr>
        <w:t xml:space="preserve"> low risk transmitter </w:t>
      </w:r>
      <w:r w:rsidRPr="00584227">
        <w:rPr>
          <w:iCs/>
        </w:rPr>
        <w:t>and</w:t>
      </w:r>
      <w:r w:rsidRPr="00584227">
        <w:rPr>
          <w:b/>
          <w:i/>
        </w:rPr>
        <w:t xml:space="preserve"> uplink-downlink configuration, </w:t>
      </w:r>
      <w:r w:rsidRPr="00584227">
        <w:rPr>
          <w:iCs/>
        </w:rPr>
        <w:t>as band specific definitions are now required</w:t>
      </w:r>
      <w:r w:rsidR="00812030" w:rsidRPr="00584227">
        <w:rPr>
          <w:iCs/>
        </w:rPr>
        <w:t xml:space="preserve"> for the purposes of Schedule 1</w:t>
      </w:r>
      <w:r w:rsidRPr="00584227">
        <w:rPr>
          <w:bCs w:val="0"/>
          <w:iCs/>
        </w:rPr>
        <w:t>.</w:t>
      </w:r>
      <w:r w:rsidR="003D6093" w:rsidRPr="00584227">
        <w:rPr>
          <w:bCs w:val="0"/>
          <w:iCs/>
        </w:rPr>
        <w:t xml:space="preserve"> These definitions had previously been included in section 5 of the </w:t>
      </w:r>
      <w:proofErr w:type="gramStart"/>
      <w:r w:rsidR="003D6093" w:rsidRPr="00584227">
        <w:rPr>
          <w:bCs w:val="0"/>
          <w:iCs/>
        </w:rPr>
        <w:t>Determination, and</w:t>
      </w:r>
      <w:proofErr w:type="gramEnd"/>
      <w:r w:rsidR="003D6093" w:rsidRPr="00584227">
        <w:rPr>
          <w:bCs w:val="0"/>
          <w:iCs/>
        </w:rPr>
        <w:t xml:space="preserve"> are substantively unchanged.</w:t>
      </w:r>
    </w:p>
    <w:p w14:paraId="3DE90FC9" w14:textId="363E70C8" w:rsidR="006A2F71" w:rsidRPr="00584227" w:rsidRDefault="006A2F71" w:rsidP="00AD1E05">
      <w:pPr>
        <w:rPr>
          <w:b/>
          <w:bCs w:val="0"/>
        </w:rPr>
      </w:pPr>
      <w:r w:rsidRPr="00584227">
        <w:rPr>
          <w:b/>
          <w:bCs w:val="0"/>
        </w:rPr>
        <w:t xml:space="preserve">Item </w:t>
      </w:r>
      <w:r w:rsidR="00870D77" w:rsidRPr="00584227">
        <w:rPr>
          <w:b/>
          <w:bCs w:val="0"/>
        </w:rPr>
        <w:t>1</w:t>
      </w:r>
      <w:r w:rsidR="0072455C">
        <w:rPr>
          <w:b/>
          <w:bCs w:val="0"/>
        </w:rPr>
        <w:t>0</w:t>
      </w:r>
    </w:p>
    <w:p w14:paraId="0A05CA71" w14:textId="325AAB53" w:rsidR="003550DB" w:rsidRPr="00584227" w:rsidRDefault="003550DB" w:rsidP="00AD1E05">
      <w:r w:rsidRPr="00584227">
        <w:t xml:space="preserve">Item </w:t>
      </w:r>
      <w:r w:rsidR="00870D77" w:rsidRPr="00584227">
        <w:t>1</w:t>
      </w:r>
      <w:r w:rsidR="0072455C">
        <w:t>0</w:t>
      </w:r>
      <w:r w:rsidR="00870D77" w:rsidRPr="00584227">
        <w:t xml:space="preserve"> </w:t>
      </w:r>
      <w:r w:rsidR="007D1FA3" w:rsidRPr="00584227">
        <w:t xml:space="preserve">makes a </w:t>
      </w:r>
      <w:r w:rsidR="00700172">
        <w:t xml:space="preserve">change </w:t>
      </w:r>
      <w:r w:rsidR="007D1FA3" w:rsidRPr="00584227">
        <w:t xml:space="preserve">consequential </w:t>
      </w:r>
      <w:r w:rsidR="0072455C">
        <w:t>to</w:t>
      </w:r>
      <w:r w:rsidR="0072455C" w:rsidRPr="00584227">
        <w:t xml:space="preserve"> </w:t>
      </w:r>
      <w:r w:rsidR="007D1FA3" w:rsidRPr="00584227">
        <w:t xml:space="preserve">the change in item </w:t>
      </w:r>
      <w:r w:rsidR="0072455C">
        <w:t>5</w:t>
      </w:r>
      <w:r w:rsidR="00603352" w:rsidRPr="00584227">
        <w:t xml:space="preserve">. </w:t>
      </w:r>
    </w:p>
    <w:p w14:paraId="28ADDA8E" w14:textId="1D5971C7" w:rsidR="00C87784" w:rsidRPr="00584227" w:rsidRDefault="00C87784" w:rsidP="00C87784">
      <w:pPr>
        <w:rPr>
          <w:b/>
          <w:bCs w:val="0"/>
        </w:rPr>
      </w:pPr>
      <w:r w:rsidRPr="00584227">
        <w:rPr>
          <w:b/>
          <w:bCs w:val="0"/>
        </w:rPr>
        <w:t>Item</w:t>
      </w:r>
      <w:r w:rsidR="00794AFA">
        <w:rPr>
          <w:b/>
          <w:bCs w:val="0"/>
        </w:rPr>
        <w:t>s</w:t>
      </w:r>
      <w:r w:rsidRPr="00584227">
        <w:rPr>
          <w:b/>
          <w:bCs w:val="0"/>
        </w:rPr>
        <w:t xml:space="preserve"> 1</w:t>
      </w:r>
      <w:r w:rsidR="0072455C">
        <w:rPr>
          <w:b/>
          <w:bCs w:val="0"/>
        </w:rPr>
        <w:t>1</w:t>
      </w:r>
      <w:r w:rsidR="00977165">
        <w:rPr>
          <w:b/>
          <w:bCs w:val="0"/>
        </w:rPr>
        <w:t>, 12</w:t>
      </w:r>
      <w:r w:rsidR="00794AFA">
        <w:rPr>
          <w:b/>
          <w:bCs w:val="0"/>
        </w:rPr>
        <w:t xml:space="preserve"> and </w:t>
      </w:r>
      <w:r w:rsidR="00977165">
        <w:rPr>
          <w:b/>
          <w:bCs w:val="0"/>
        </w:rPr>
        <w:t>13</w:t>
      </w:r>
    </w:p>
    <w:p w14:paraId="122B38D4" w14:textId="0B49391B" w:rsidR="00C87784" w:rsidRPr="00584227" w:rsidRDefault="00C87784" w:rsidP="00AD1E05">
      <w:r w:rsidRPr="00584227">
        <w:t>Item</w:t>
      </w:r>
      <w:r w:rsidR="00794AFA">
        <w:t>s</w:t>
      </w:r>
      <w:r w:rsidRPr="00584227">
        <w:t xml:space="preserve"> 1</w:t>
      </w:r>
      <w:r w:rsidR="0072455C">
        <w:t>1</w:t>
      </w:r>
      <w:r w:rsidR="00977165">
        <w:t>, 12</w:t>
      </w:r>
      <w:r w:rsidR="00794AFA">
        <w:t xml:space="preserve"> and 1</w:t>
      </w:r>
      <w:r w:rsidR="009E30A3">
        <w:t>3</w:t>
      </w:r>
      <w:r w:rsidRPr="00584227">
        <w:t xml:space="preserve"> </w:t>
      </w:r>
      <w:r w:rsidR="002D0B7E">
        <w:t xml:space="preserve">make </w:t>
      </w:r>
      <w:r w:rsidR="00700172">
        <w:t>change</w:t>
      </w:r>
      <w:r w:rsidR="00794AFA">
        <w:t>s</w:t>
      </w:r>
      <w:r w:rsidR="00700172">
        <w:t xml:space="preserve"> </w:t>
      </w:r>
      <w:r w:rsidR="002D0B7E">
        <w:t>consequential to the change in item 1</w:t>
      </w:r>
      <w:r w:rsidR="00794AFA">
        <w:t>4</w:t>
      </w:r>
      <w:r w:rsidRPr="00584227">
        <w:t xml:space="preserve">. </w:t>
      </w:r>
    </w:p>
    <w:p w14:paraId="68A2D0FA" w14:textId="368B4F49" w:rsidR="00A83255" w:rsidRPr="00584227" w:rsidRDefault="00A83255" w:rsidP="00AD1E05">
      <w:pPr>
        <w:rPr>
          <w:b/>
          <w:bCs w:val="0"/>
        </w:rPr>
      </w:pPr>
      <w:r w:rsidRPr="00584227">
        <w:rPr>
          <w:b/>
          <w:bCs w:val="0"/>
        </w:rPr>
        <w:t xml:space="preserve">Item </w:t>
      </w:r>
      <w:r w:rsidR="00C87784" w:rsidRPr="00584227">
        <w:rPr>
          <w:b/>
          <w:bCs w:val="0"/>
        </w:rPr>
        <w:t>1</w:t>
      </w:r>
      <w:r w:rsidR="0094727F">
        <w:rPr>
          <w:b/>
          <w:bCs w:val="0"/>
        </w:rPr>
        <w:t>4</w:t>
      </w:r>
    </w:p>
    <w:p w14:paraId="6B318CF2" w14:textId="2940F97C" w:rsidR="00A83255" w:rsidRPr="00584227" w:rsidRDefault="002D0B7E" w:rsidP="00AD1E05">
      <w:r>
        <w:t xml:space="preserve">A condition in Schedule 1 requires transmitters to be operated in accordance with certain matters set out in RALI MS 46. </w:t>
      </w:r>
      <w:r w:rsidR="00A83255" w:rsidRPr="00584227">
        <w:t xml:space="preserve">Item </w:t>
      </w:r>
      <w:r w:rsidR="00C87784" w:rsidRPr="00584227">
        <w:t>1</w:t>
      </w:r>
      <w:r>
        <w:t>2</w:t>
      </w:r>
      <w:r w:rsidR="00A83255" w:rsidRPr="00584227">
        <w:t xml:space="preserve"> inserts </w:t>
      </w:r>
      <w:r w:rsidR="00C25653">
        <w:t xml:space="preserve">a </w:t>
      </w:r>
      <w:r w:rsidR="00A83255" w:rsidRPr="00584227">
        <w:t>clause to manage permission</w:t>
      </w:r>
      <w:r w:rsidR="00AB1849">
        <w:t>s</w:t>
      </w:r>
      <w:r w:rsidR="00A83255" w:rsidRPr="00584227">
        <w:t xml:space="preserve"> to operate a transmitter otherwise in accordance with RALI MS 46. This includes the process for application, decision</w:t>
      </w:r>
      <w:r w:rsidR="00700172">
        <w:t>-</w:t>
      </w:r>
      <w:r w:rsidR="00A83255" w:rsidRPr="00584227">
        <w:t>making</w:t>
      </w:r>
      <w:r w:rsidR="007454E7">
        <w:t>, reconsideration by the ACMA,</w:t>
      </w:r>
      <w:r w:rsidR="00A83255" w:rsidRPr="00584227">
        <w:t xml:space="preserve"> and </w:t>
      </w:r>
      <w:r w:rsidR="009E4F54">
        <w:t xml:space="preserve">external </w:t>
      </w:r>
      <w:r w:rsidR="00A83255" w:rsidRPr="00584227">
        <w:t>review.</w:t>
      </w:r>
    </w:p>
    <w:p w14:paraId="07281C16" w14:textId="7E1CE989" w:rsidR="003550DB" w:rsidRPr="00584227" w:rsidRDefault="003550DB" w:rsidP="00AD1E05">
      <w:pPr>
        <w:rPr>
          <w:b/>
          <w:bCs w:val="0"/>
        </w:rPr>
      </w:pPr>
      <w:r w:rsidRPr="00584227">
        <w:rPr>
          <w:b/>
          <w:bCs w:val="0"/>
        </w:rPr>
        <w:t xml:space="preserve">Item </w:t>
      </w:r>
      <w:r w:rsidR="00C657C6" w:rsidRPr="00584227">
        <w:rPr>
          <w:b/>
          <w:bCs w:val="0"/>
        </w:rPr>
        <w:t>1</w:t>
      </w:r>
      <w:r w:rsidR="0094727F">
        <w:rPr>
          <w:b/>
          <w:bCs w:val="0"/>
        </w:rPr>
        <w:t>5</w:t>
      </w:r>
    </w:p>
    <w:p w14:paraId="17FC2E25" w14:textId="4318B984" w:rsidR="00401ADB" w:rsidRPr="00584227" w:rsidRDefault="00C55D60" w:rsidP="00AD1E05">
      <w:pPr>
        <w:rPr>
          <w:rStyle w:val="CommentReference"/>
        </w:rPr>
      </w:pPr>
      <w:r w:rsidRPr="00584227">
        <w:t xml:space="preserve">Item </w:t>
      </w:r>
      <w:r w:rsidR="00C657C6" w:rsidRPr="00584227">
        <w:t>1</w:t>
      </w:r>
      <w:r w:rsidR="0010363A">
        <w:t>5</w:t>
      </w:r>
      <w:r w:rsidR="00C657C6" w:rsidRPr="00584227">
        <w:t xml:space="preserve"> </w:t>
      </w:r>
      <w:r w:rsidR="00603352" w:rsidRPr="00584227">
        <w:t xml:space="preserve">inserts a new Schedule 4 </w:t>
      </w:r>
      <w:r w:rsidR="00EB78FC" w:rsidRPr="00584227">
        <w:t xml:space="preserve">to the </w:t>
      </w:r>
      <w:r w:rsidR="003A50F3" w:rsidRPr="00584227">
        <w:t xml:space="preserve">Determination, </w:t>
      </w:r>
      <w:r w:rsidR="00603352" w:rsidRPr="00584227">
        <w:t xml:space="preserve">to </w:t>
      </w:r>
      <w:r w:rsidR="003A50F3" w:rsidRPr="00584227">
        <w:t>impose</w:t>
      </w:r>
      <w:r w:rsidR="00603352" w:rsidRPr="00584227">
        <w:t xml:space="preserve"> conditions that </w:t>
      </w:r>
      <w:r w:rsidR="009E4F54">
        <w:t>apply to</w:t>
      </w:r>
      <w:r w:rsidR="009E4F54" w:rsidRPr="00584227">
        <w:t xml:space="preserve"> </w:t>
      </w:r>
      <w:r w:rsidR="003A50F3" w:rsidRPr="00584227">
        <w:t>AWL</w:t>
      </w:r>
      <w:r w:rsidR="009E4F54">
        <w:t>s</w:t>
      </w:r>
      <w:r w:rsidR="003A50F3" w:rsidRPr="00584227">
        <w:t xml:space="preserve"> authorising the operation of radiocommunications transmitters</w:t>
      </w:r>
      <w:r w:rsidR="00603352" w:rsidRPr="00584227">
        <w:t xml:space="preserve"> in the frequency range </w:t>
      </w:r>
      <w:r w:rsidR="000254BD" w:rsidRPr="00584227">
        <w:t>34</w:t>
      </w:r>
      <w:r w:rsidR="003A50F3" w:rsidRPr="00584227">
        <w:t>00</w:t>
      </w:r>
      <w:r w:rsidR="008564F1" w:rsidRPr="00584227">
        <w:t> </w:t>
      </w:r>
      <w:r w:rsidR="003A50F3" w:rsidRPr="00584227">
        <w:t>MHz to</w:t>
      </w:r>
      <w:r w:rsidR="000254BD" w:rsidRPr="00584227">
        <w:t xml:space="preserve"> 40</w:t>
      </w:r>
      <w:r w:rsidR="003A50F3" w:rsidRPr="00584227">
        <w:t>00</w:t>
      </w:r>
      <w:r w:rsidR="000254BD" w:rsidRPr="00584227">
        <w:t xml:space="preserve"> </w:t>
      </w:r>
      <w:r w:rsidR="003A50F3" w:rsidRPr="00584227">
        <w:t>MHz</w:t>
      </w:r>
      <w:r w:rsidR="000254BD" w:rsidRPr="00584227">
        <w:t xml:space="preserve">. The structure </w:t>
      </w:r>
      <w:r w:rsidR="00EB4705" w:rsidRPr="00584227">
        <w:t xml:space="preserve">of Schedule 4 </w:t>
      </w:r>
      <w:r w:rsidR="000254BD" w:rsidRPr="00584227">
        <w:t xml:space="preserve">is similar to that of Schedule 1, which </w:t>
      </w:r>
      <w:r w:rsidR="00EB4705" w:rsidRPr="00584227">
        <w:t xml:space="preserve">imposes </w:t>
      </w:r>
      <w:r w:rsidR="000254BD" w:rsidRPr="00584227">
        <w:t xml:space="preserve">conditions for the </w:t>
      </w:r>
      <w:r w:rsidR="000254BD" w:rsidRPr="00584227">
        <w:rPr>
          <w:iCs/>
        </w:rPr>
        <w:t>frequency range 25.1 GHz</w:t>
      </w:r>
      <w:r w:rsidR="00EB4705" w:rsidRPr="00584227">
        <w:rPr>
          <w:iCs/>
        </w:rPr>
        <w:t xml:space="preserve"> to </w:t>
      </w:r>
      <w:r w:rsidR="000254BD" w:rsidRPr="00584227">
        <w:rPr>
          <w:iCs/>
        </w:rPr>
        <w:t>27.5 GHz</w:t>
      </w:r>
      <w:r w:rsidR="00EB4705" w:rsidRPr="00584227">
        <w:rPr>
          <w:rStyle w:val="CommentReference"/>
        </w:rPr>
        <w:t>.</w:t>
      </w:r>
    </w:p>
    <w:p w14:paraId="38E8531E" w14:textId="4BACB7A5" w:rsidR="00852BE5" w:rsidRPr="00584227" w:rsidRDefault="00852BE5" w:rsidP="00AD1E05">
      <w:pPr>
        <w:rPr>
          <w:rStyle w:val="CommentReference"/>
          <w:b/>
          <w:bCs w:val="0"/>
          <w:i/>
          <w:iCs/>
          <w:sz w:val="22"/>
          <w:szCs w:val="22"/>
        </w:rPr>
      </w:pPr>
      <w:r w:rsidRPr="00584227">
        <w:rPr>
          <w:rStyle w:val="CommentReference"/>
          <w:b/>
          <w:bCs w:val="0"/>
          <w:i/>
          <w:iCs/>
          <w:sz w:val="22"/>
          <w:szCs w:val="22"/>
        </w:rPr>
        <w:t>Clause 1</w:t>
      </w:r>
    </w:p>
    <w:p w14:paraId="15DF8684" w14:textId="09078BEC" w:rsidR="003A377B" w:rsidRPr="00584227" w:rsidRDefault="00F11A9F" w:rsidP="00F11A9F">
      <w:r w:rsidRPr="00584227">
        <w:t xml:space="preserve">Clause 1 of new Schedule 4 provides for </w:t>
      </w:r>
      <w:r w:rsidR="003A377B" w:rsidRPr="00584227">
        <w:t xml:space="preserve">definitions for the purposes of Schedule </w:t>
      </w:r>
      <w:r w:rsidR="009E4F54">
        <w:t>4</w:t>
      </w:r>
      <w:r w:rsidR="003A377B" w:rsidRPr="00584227">
        <w:t>.</w:t>
      </w:r>
    </w:p>
    <w:p w14:paraId="5572C303" w14:textId="5616E737" w:rsidR="00FF50FE" w:rsidRPr="00584227" w:rsidRDefault="00FF50FE" w:rsidP="00F11A9F">
      <w:pPr>
        <w:rPr>
          <w:b/>
          <w:bCs w:val="0"/>
          <w:i/>
          <w:iCs/>
        </w:rPr>
      </w:pPr>
      <w:r w:rsidRPr="00584227">
        <w:rPr>
          <w:b/>
          <w:bCs w:val="0"/>
          <w:i/>
          <w:iCs/>
        </w:rPr>
        <w:t>Clause 2</w:t>
      </w:r>
    </w:p>
    <w:p w14:paraId="003E464C" w14:textId="196135E0" w:rsidR="00C43250" w:rsidRDefault="00FF50FE" w:rsidP="00584227">
      <w:r w:rsidRPr="00584227">
        <w:t xml:space="preserve">Clause 2 of new Schedule 4 imposes a licence condition setting the maximum total radiated power </w:t>
      </w:r>
      <w:r w:rsidR="00A97CB4" w:rsidRPr="00584227">
        <w:t xml:space="preserve">for radiocommunications transmitters. </w:t>
      </w:r>
      <w:r w:rsidR="00E82C02" w:rsidRPr="00584227">
        <w:t>The limit is 48 dB</w:t>
      </w:r>
      <w:r w:rsidR="00C43250" w:rsidRPr="00584227">
        <w:t xml:space="preserve">m </w:t>
      </w:r>
      <w:r w:rsidR="00A97CB4" w:rsidRPr="00584227">
        <w:t>in a 5 MHz band</w:t>
      </w:r>
      <w:r w:rsidR="00C43250" w:rsidRPr="00584227">
        <w:t>width; logarithmic scaling can be used to find the appropriate level in alternative bandwidths.</w:t>
      </w:r>
    </w:p>
    <w:p w14:paraId="025FB009" w14:textId="315471B3" w:rsidR="006639F4" w:rsidRPr="00584227" w:rsidRDefault="006639F4" w:rsidP="00584227">
      <w:r>
        <w:t xml:space="preserve">Clause 2 also imposes a licence condition setting the maximum total equivalent </w:t>
      </w:r>
      <w:proofErr w:type="spellStart"/>
      <w:r>
        <w:t>istotropically</w:t>
      </w:r>
      <w:proofErr w:type="spellEnd"/>
      <w:r>
        <w:t xml:space="preserve"> radiated power for radiocommunications transmitters at frequencies above 3700 MHz. The limit is 7</w:t>
      </w:r>
      <w:r w:rsidR="008E2EDE">
        <w:t>2</w:t>
      </w:r>
      <w:r>
        <w:t> dBm/5 MHz</w:t>
      </w:r>
      <w:r w:rsidR="002A0746">
        <w:t>,</w:t>
      </w:r>
      <w:r w:rsidR="000916D7">
        <w:t xml:space="preserve"> which can also be met by </w:t>
      </w:r>
      <w:r w:rsidR="00062CB3">
        <w:t xml:space="preserve">a dual polarisation system restricting the equivalent </w:t>
      </w:r>
      <w:proofErr w:type="spellStart"/>
      <w:r w:rsidR="00062CB3">
        <w:t>istotropically</w:t>
      </w:r>
      <w:proofErr w:type="spellEnd"/>
      <w:r w:rsidR="00062CB3">
        <w:t xml:space="preserve"> radiated power to </w:t>
      </w:r>
      <w:r w:rsidR="001219AD">
        <w:t>6</w:t>
      </w:r>
      <w:r w:rsidR="009A6AFD">
        <w:t>9</w:t>
      </w:r>
      <w:r w:rsidR="001219AD">
        <w:t> dBm/5 MHz in each plane of polarisation</w:t>
      </w:r>
      <w:r>
        <w:t>.</w:t>
      </w:r>
    </w:p>
    <w:p w14:paraId="02408DB3" w14:textId="694A1A1F" w:rsidR="00C43250" w:rsidRPr="00584227" w:rsidRDefault="00C43250" w:rsidP="002A0746">
      <w:pPr>
        <w:keepNext/>
        <w:spacing w:line="257" w:lineRule="auto"/>
        <w:rPr>
          <w:b/>
          <w:bCs w:val="0"/>
          <w:i/>
          <w:iCs/>
        </w:rPr>
      </w:pPr>
      <w:r w:rsidRPr="00584227">
        <w:rPr>
          <w:b/>
          <w:bCs w:val="0"/>
          <w:i/>
          <w:iCs/>
        </w:rPr>
        <w:lastRenderedPageBreak/>
        <w:t>Clause 3</w:t>
      </w:r>
    </w:p>
    <w:p w14:paraId="5AD90FBF" w14:textId="63E9485B" w:rsidR="00C43250" w:rsidRPr="00584227" w:rsidRDefault="00BB5F94" w:rsidP="00C43250">
      <w:r w:rsidRPr="00584227">
        <w:t>Clause 3 of new Schedule 4 imposes a licence condition prohibiting the operation of a radiocommunications transmitter, other than a “low risk transmitter”, unless certain details of the transmitter have been included in the Register. This licence condition is a condition of the kind referred to in subsection 10(4A), (5A), (6A) and (7A) of the RRL Determination.</w:t>
      </w:r>
    </w:p>
    <w:p w14:paraId="0789B1F0" w14:textId="15051855" w:rsidR="00BB5F94" w:rsidRPr="00584227" w:rsidRDefault="00BB5F94" w:rsidP="00584227">
      <w:r w:rsidRPr="00584227">
        <w:t xml:space="preserve">Clause 3 also defines a </w:t>
      </w:r>
      <w:proofErr w:type="gramStart"/>
      <w:r w:rsidRPr="00584227">
        <w:rPr>
          <w:b/>
          <w:bCs w:val="0"/>
          <w:i/>
          <w:iCs/>
        </w:rPr>
        <w:t>low risk</w:t>
      </w:r>
      <w:proofErr w:type="gramEnd"/>
      <w:r w:rsidRPr="00584227">
        <w:rPr>
          <w:b/>
          <w:bCs w:val="0"/>
          <w:i/>
          <w:iCs/>
        </w:rPr>
        <w:t xml:space="preserve"> transmitter</w:t>
      </w:r>
      <w:r w:rsidR="003B4784" w:rsidRPr="00584227">
        <w:t xml:space="preserve"> to be a radiocommunications transmitter that operates with a maximum total radiated power that is less than or equal to 28 dBm per occupied bandwidth.</w:t>
      </w:r>
    </w:p>
    <w:p w14:paraId="15B205A0" w14:textId="27C46909" w:rsidR="00554217" w:rsidRPr="00584227" w:rsidRDefault="00554217" w:rsidP="00554217">
      <w:r w:rsidRPr="00584227">
        <w:rPr>
          <w:b/>
          <w:bCs w:val="0"/>
          <w:i/>
          <w:iCs/>
        </w:rPr>
        <w:t>Clause 4</w:t>
      </w:r>
    </w:p>
    <w:p w14:paraId="34FE52F1" w14:textId="5407EE42" w:rsidR="00554217" w:rsidRPr="00584227" w:rsidRDefault="00554217" w:rsidP="00584227">
      <w:r w:rsidRPr="00584227">
        <w:t>Clause 4 of new Schedule 4 imposes a condition prohibiting the operation of radiocommunications devices in a manner which is inconsistent with certain specified requirements contained in RALI MS 47, as in existence from time to time. RALI MS 47 is available, free of charge, from the ACMA’s website</w:t>
      </w:r>
      <w:r w:rsidR="00431EA8">
        <w:t xml:space="preserve"> at </w:t>
      </w:r>
      <w:hyperlink r:id="rId18" w:history="1">
        <w:r w:rsidR="00431EA8" w:rsidRPr="00584227">
          <w:rPr>
            <w:rStyle w:val="Hyperlink"/>
          </w:rPr>
          <w:t>www.acma.gov.au</w:t>
        </w:r>
      </w:hyperlink>
      <w:r w:rsidRPr="00584227">
        <w:t xml:space="preserve">. </w:t>
      </w:r>
      <w:r w:rsidR="009916AA" w:rsidRPr="00584227">
        <w:t xml:space="preserve">The specified requirements relate to </w:t>
      </w:r>
      <w:r w:rsidR="003A480F">
        <w:t>the</w:t>
      </w:r>
      <w:r w:rsidR="009916AA" w:rsidRPr="00584227">
        <w:t xml:space="preserve"> coordination</w:t>
      </w:r>
      <w:r w:rsidR="003A480F">
        <w:t xml:space="preserve"> of radiocommunications transmitters</w:t>
      </w:r>
      <w:r w:rsidR="009D03B2">
        <w:t xml:space="preserve"> under an AWL</w:t>
      </w:r>
      <w:r w:rsidR="009916AA" w:rsidRPr="00584227">
        <w:t xml:space="preserve"> with already registered radiocommunications receivers and other radiocommunications devices, </w:t>
      </w:r>
      <w:r w:rsidR="0093644C" w:rsidRPr="00584227">
        <w:t>and the location of the radiocommunication transmitter based on the ‘device boundary’ of the transmitter (</w:t>
      </w:r>
      <w:r w:rsidR="00AE049B" w:rsidRPr="00584227">
        <w:t>a measurement of certain power levels at points surrounding the transmitter).</w:t>
      </w:r>
      <w:r w:rsidR="008C03EA">
        <w:t xml:space="preserve"> At the time the instrument </w:t>
      </w:r>
      <w:r w:rsidR="00AB5569">
        <w:t>commenced</w:t>
      </w:r>
      <w:r w:rsidR="008C03EA">
        <w:t xml:space="preserve">, RALI MS 47 </w:t>
      </w:r>
      <w:r w:rsidR="006C26BB">
        <w:t>included</w:t>
      </w:r>
      <w:r w:rsidR="00566F8C">
        <w:t xml:space="preserve"> require</w:t>
      </w:r>
      <w:r w:rsidR="006C26BB">
        <w:t xml:space="preserve">ments about the coordination </w:t>
      </w:r>
      <w:r w:rsidR="009D03B2">
        <w:t xml:space="preserve">of radiocommunications transmitters </w:t>
      </w:r>
      <w:r w:rsidR="00CB5928">
        <w:t>with radio altimeters</w:t>
      </w:r>
      <w:r w:rsidR="009D03B2">
        <w:t xml:space="preserve"> used on aircraft</w:t>
      </w:r>
      <w:r w:rsidR="00BF55E9">
        <w:t xml:space="preserve"> (including in relation to the registration</w:t>
      </w:r>
      <w:r w:rsidR="000F62FC">
        <w:t xml:space="preserve"> or non-registration of such transmitters</w:t>
      </w:r>
      <w:r w:rsidR="00BF55E9">
        <w:t>, if they are proposed to be used in certain areas)</w:t>
      </w:r>
      <w:r w:rsidR="009D03B2">
        <w:t xml:space="preserve">, earth station receivers </w:t>
      </w:r>
      <w:r w:rsidR="00AC0B10">
        <w:t>and certain stations used in point-to-multipoint services</w:t>
      </w:r>
      <w:r w:rsidR="00AB5569">
        <w:t>, among other requirements</w:t>
      </w:r>
      <w:r w:rsidR="00AC0B10">
        <w:t>.</w:t>
      </w:r>
      <w:r w:rsidR="00AB5569">
        <w:t xml:space="preserve"> Each of these requirements is </w:t>
      </w:r>
      <w:r w:rsidR="002438EF">
        <w:t xml:space="preserve">one of the kind of requirements </w:t>
      </w:r>
      <w:r w:rsidR="009F138A">
        <w:t>specifie</w:t>
      </w:r>
      <w:r w:rsidR="002438EF">
        <w:t>d in clause 4.</w:t>
      </w:r>
    </w:p>
    <w:p w14:paraId="58E263DF" w14:textId="421D7BD8" w:rsidR="00AE049B" w:rsidRPr="00584227" w:rsidRDefault="00AE049B" w:rsidP="00AE049B">
      <w:pPr>
        <w:rPr>
          <w:b/>
          <w:bCs w:val="0"/>
          <w:i/>
          <w:iCs/>
        </w:rPr>
      </w:pPr>
      <w:r w:rsidRPr="00584227">
        <w:rPr>
          <w:b/>
          <w:bCs w:val="0"/>
          <w:i/>
          <w:iCs/>
        </w:rPr>
        <w:t>Clause 5</w:t>
      </w:r>
    </w:p>
    <w:p w14:paraId="0024E391" w14:textId="6686ECA5" w:rsidR="00AE049B" w:rsidRPr="00584227" w:rsidRDefault="001F0D66" w:rsidP="00AE049B">
      <w:r w:rsidRPr="00584227">
        <w:t>Clause 5 of new Schedule 4 imposes a licence condition that sets out a process for managing interference between two or more AWL licensees</w:t>
      </w:r>
      <w:r w:rsidR="006E192B" w:rsidRPr="00584227">
        <w:t xml:space="preserve"> if there is a certain level of interference and the licensees cannot agree to a resolution between themselves.</w:t>
      </w:r>
    </w:p>
    <w:p w14:paraId="6F27190C" w14:textId="1F75277C" w:rsidR="00814CAD" w:rsidRPr="00584227" w:rsidRDefault="006E192B">
      <w:r w:rsidRPr="00584227">
        <w:t>Broadly, in the absence of agreement between the licensees on how to manage interference, the licensees of AWLs will be required to synchronise operation of their devices with the other affected devices in accordance with certain technical specifications</w:t>
      </w:r>
      <w:r w:rsidR="007E199F" w:rsidRPr="00584227">
        <w:t xml:space="preserve"> (namely, a</w:t>
      </w:r>
      <w:r w:rsidR="00814CAD" w:rsidRPr="00584227">
        <w:t xml:space="preserve"> fallback time division duplex uplink-downlink configuration based on the </w:t>
      </w:r>
      <w:r w:rsidR="00814CAD" w:rsidRPr="00584227">
        <w:rPr>
          <w:b/>
          <w:i/>
        </w:rPr>
        <w:t>uplink-downlink configuration</w:t>
      </w:r>
      <w:r w:rsidR="00814CAD" w:rsidRPr="00584227">
        <w:t xml:space="preserve"> </w:t>
      </w:r>
      <w:r w:rsidR="003A377B" w:rsidRPr="00584227">
        <w:t xml:space="preserve">definition </w:t>
      </w:r>
      <w:r w:rsidR="00814CAD" w:rsidRPr="00584227">
        <w:t>which specifies a 3GPP Long Term Evolution frame structure</w:t>
      </w:r>
      <w:r w:rsidR="007E199F" w:rsidRPr="00584227">
        <w:t>)</w:t>
      </w:r>
      <w:r w:rsidR="00814CAD" w:rsidRPr="00584227">
        <w:t>.</w:t>
      </w:r>
    </w:p>
    <w:p w14:paraId="4B8FDAFA" w14:textId="17572020" w:rsidR="00F04B3D" w:rsidRPr="00584227" w:rsidRDefault="00F04B3D">
      <w:pPr>
        <w:rPr>
          <w:b/>
          <w:bCs w:val="0"/>
          <w:i/>
          <w:iCs/>
        </w:rPr>
      </w:pPr>
      <w:r w:rsidRPr="00584227">
        <w:rPr>
          <w:b/>
          <w:bCs w:val="0"/>
          <w:i/>
          <w:iCs/>
        </w:rPr>
        <w:t>Clause 6</w:t>
      </w:r>
    </w:p>
    <w:p w14:paraId="458C65F1" w14:textId="2C394B6B" w:rsidR="003D07A0" w:rsidRPr="00584227" w:rsidRDefault="003D07A0" w:rsidP="00584227">
      <w:r w:rsidRPr="00584227">
        <w:t>Clause 6 of new Schedule 4 imposes a licence condition in relation to interference management procedures for radiocommunications devices that are co-sited (that is, located within 500 metres of each other).</w:t>
      </w:r>
    </w:p>
    <w:p w14:paraId="56EB0CC2" w14:textId="51A82DBC" w:rsidR="00457421" w:rsidRPr="00584227" w:rsidRDefault="00457421" w:rsidP="00457421">
      <w:pPr>
        <w:rPr>
          <w:b/>
          <w:bCs w:val="0"/>
          <w:i/>
          <w:iCs/>
        </w:rPr>
      </w:pPr>
      <w:r w:rsidRPr="00584227">
        <w:rPr>
          <w:b/>
          <w:bCs w:val="0"/>
          <w:i/>
          <w:iCs/>
        </w:rPr>
        <w:t>Clause 7</w:t>
      </w:r>
    </w:p>
    <w:p w14:paraId="3BEF6CC6" w14:textId="5B0C36EE" w:rsidR="00457421" w:rsidRPr="00584227" w:rsidRDefault="00457421" w:rsidP="00457421">
      <w:r w:rsidRPr="00584227">
        <w:t xml:space="preserve">Clause 7 of new Schedule 4 imposes a licence condition </w:t>
      </w:r>
      <w:r w:rsidR="005470ED" w:rsidRPr="00584227">
        <w:t xml:space="preserve">that the licensee of an AWL is responsible for managing interference between radiocommunications devices operated under the AWL, and between radiocommunications operated under the AWL and under any other licence held by the </w:t>
      </w:r>
      <w:proofErr w:type="gramStart"/>
      <w:r w:rsidR="005470ED" w:rsidRPr="00584227">
        <w:t>licensee, or</w:t>
      </w:r>
      <w:proofErr w:type="gramEnd"/>
      <w:r w:rsidR="005470ED" w:rsidRPr="00584227">
        <w:t xml:space="preserve"> operated by the licensee under a class licence.</w:t>
      </w:r>
    </w:p>
    <w:p w14:paraId="7EA422AC" w14:textId="5760E678" w:rsidR="005470ED" w:rsidRPr="00584227" w:rsidRDefault="005470ED" w:rsidP="009744E7">
      <w:pPr>
        <w:keepNext/>
        <w:spacing w:line="257" w:lineRule="auto"/>
        <w:rPr>
          <w:b/>
          <w:bCs w:val="0"/>
          <w:i/>
          <w:iCs/>
        </w:rPr>
      </w:pPr>
      <w:r w:rsidRPr="00584227">
        <w:rPr>
          <w:b/>
          <w:bCs w:val="0"/>
          <w:i/>
          <w:iCs/>
        </w:rPr>
        <w:lastRenderedPageBreak/>
        <w:t>Clause 8</w:t>
      </w:r>
    </w:p>
    <w:p w14:paraId="3B765FFD" w14:textId="3FA10A5D" w:rsidR="005470ED" w:rsidRPr="00584227" w:rsidRDefault="00262ABA" w:rsidP="00584227">
      <w:r w:rsidRPr="00584227">
        <w:t xml:space="preserve">Clause 8 of new Schedule 4 imposes a licence condition that requires the licensee of an AWL to ensure that operation of a </w:t>
      </w:r>
      <w:proofErr w:type="gramStart"/>
      <w:r w:rsidRPr="00584227">
        <w:t>low risk</w:t>
      </w:r>
      <w:proofErr w:type="gramEnd"/>
      <w:r w:rsidRPr="00584227">
        <w:t xml:space="preserve"> transmitter does not cause harmful interference to other radiocommunications devices operating under a spectrum licence or apparatus licence held by any other person.</w:t>
      </w:r>
    </w:p>
    <w:p w14:paraId="17D77F4E" w14:textId="322B88DF" w:rsidR="00262ABA" w:rsidRPr="00584227" w:rsidRDefault="00722C21" w:rsidP="00262ABA">
      <w:pPr>
        <w:rPr>
          <w:b/>
          <w:bCs w:val="0"/>
          <w:i/>
          <w:iCs/>
        </w:rPr>
      </w:pPr>
      <w:r w:rsidRPr="00584227">
        <w:rPr>
          <w:b/>
          <w:bCs w:val="0"/>
          <w:i/>
          <w:iCs/>
        </w:rPr>
        <w:t>Clause 9</w:t>
      </w:r>
    </w:p>
    <w:p w14:paraId="71429D6F" w14:textId="36CADEEB" w:rsidR="00814CAD" w:rsidRPr="00584227" w:rsidRDefault="00722C21">
      <w:r w:rsidRPr="00584227">
        <w:t xml:space="preserve">Clause 9 of new Schedule 4 imposes a series of conditions prohibiting the operation of radiocommunications transmitters that are operated in a way that causes unwanted emissions to exceed specified limits. Section 5 of the Determination defines </w:t>
      </w:r>
      <w:r w:rsidRPr="00584227">
        <w:rPr>
          <w:b/>
          <w:bCs w:val="0"/>
          <w:i/>
          <w:iCs/>
        </w:rPr>
        <w:t xml:space="preserve">unwanted emission </w:t>
      </w:r>
      <w:r w:rsidRPr="00584227">
        <w:t xml:space="preserve">for an AWL to be </w:t>
      </w:r>
      <w:r w:rsidR="004F64A3">
        <w:t>an</w:t>
      </w:r>
      <w:r w:rsidRPr="00584227">
        <w:t xml:space="preserve"> omission that occur</w:t>
      </w:r>
      <w:r w:rsidR="004F64A3">
        <w:t>s</w:t>
      </w:r>
      <w:r w:rsidRPr="00584227">
        <w:t xml:space="preserve"> outside the frequency range within which the AWL authorises operation of radiocommunications transmitters. Different requirements apply depending on the </w:t>
      </w:r>
      <w:r w:rsidR="000F7B3D" w:rsidRPr="00584227">
        <w:t xml:space="preserve">frequency range that the radiocommunications transmitter is operating in, whether the transmitter is a </w:t>
      </w:r>
      <w:proofErr w:type="gramStart"/>
      <w:r w:rsidR="000F7B3D" w:rsidRPr="00584227">
        <w:t>low risk</w:t>
      </w:r>
      <w:proofErr w:type="gramEnd"/>
      <w:r w:rsidR="000F7B3D" w:rsidRPr="00584227">
        <w:t xml:space="preserve"> transmitter, and whether the transmitter has an active antenna system.</w:t>
      </w:r>
      <w:r w:rsidR="00E16C37" w:rsidRPr="00584227">
        <w:t xml:space="preserve"> </w:t>
      </w:r>
    </w:p>
    <w:p w14:paraId="72601BF1" w14:textId="0074D1EF" w:rsidR="00A75A07" w:rsidRPr="00584227" w:rsidRDefault="00A75A07" w:rsidP="00A75A07">
      <w:pPr>
        <w:rPr>
          <w:b/>
          <w:bCs w:val="0"/>
          <w:i/>
          <w:iCs/>
        </w:rPr>
      </w:pPr>
      <w:r w:rsidRPr="00584227">
        <w:rPr>
          <w:b/>
          <w:bCs w:val="0"/>
          <w:i/>
          <w:iCs/>
        </w:rPr>
        <w:t>Clause 10</w:t>
      </w:r>
    </w:p>
    <w:p w14:paraId="33646A79" w14:textId="517E8D26" w:rsidR="00A75A07" w:rsidRPr="005B18D9" w:rsidRDefault="00A75A07" w:rsidP="00A75A07">
      <w:r w:rsidRPr="00584227">
        <w:t>Clause 10</w:t>
      </w:r>
      <w:r w:rsidR="00F50F7C" w:rsidRPr="00584227">
        <w:t xml:space="preserve"> </w:t>
      </w:r>
      <w:r w:rsidR="004F64A3">
        <w:t>deals with</w:t>
      </w:r>
      <w:r w:rsidR="004F64A3" w:rsidRPr="00584227">
        <w:t xml:space="preserve"> </w:t>
      </w:r>
      <w:r w:rsidRPr="00584227">
        <w:t>permission to operate a transmitter otherwise in accordance with RALI MS 4</w:t>
      </w:r>
      <w:r w:rsidR="00F50F7C" w:rsidRPr="00584227">
        <w:t>7</w:t>
      </w:r>
      <w:r w:rsidRPr="00584227">
        <w:t>. This includes the process for application, decision</w:t>
      </w:r>
      <w:r w:rsidR="004F64A3">
        <w:t>-</w:t>
      </w:r>
      <w:r w:rsidRPr="00584227">
        <w:t>making</w:t>
      </w:r>
      <w:r w:rsidR="007454E7">
        <w:t>, reconsideration by the ACMA,</w:t>
      </w:r>
      <w:r w:rsidRPr="00584227">
        <w:t xml:space="preserve"> and </w:t>
      </w:r>
      <w:r w:rsidR="004F64A3">
        <w:t xml:space="preserve">external </w:t>
      </w:r>
      <w:r w:rsidRPr="00584227">
        <w:t>review.</w:t>
      </w:r>
    </w:p>
    <w:p w14:paraId="0F5C7760" w14:textId="77777777" w:rsidR="00A75A07" w:rsidRPr="008C2537" w:rsidRDefault="00A75A07" w:rsidP="00584227"/>
    <w:p w14:paraId="5FCE314D" w14:textId="59D4067C" w:rsidR="00974AA0" w:rsidRPr="008C2537" w:rsidRDefault="00974AA0" w:rsidP="009B3F0C">
      <w:pPr>
        <w:ind w:left="360"/>
      </w:pPr>
    </w:p>
    <w:sectPr w:rsidR="00974AA0" w:rsidRPr="008C2537" w:rsidSect="00082354">
      <w:headerReference w:type="default" r:id="rId19"/>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14C0" w14:textId="77777777" w:rsidR="00CF03DF" w:rsidRDefault="00CF03DF" w:rsidP="00AD1E05">
      <w:r>
        <w:separator/>
      </w:r>
    </w:p>
  </w:endnote>
  <w:endnote w:type="continuationSeparator" w:id="0">
    <w:p w14:paraId="1329438B" w14:textId="77777777" w:rsidR="00CF03DF" w:rsidRDefault="00CF03DF" w:rsidP="00AD1E05">
      <w:r>
        <w:continuationSeparator/>
      </w:r>
    </w:p>
  </w:endnote>
  <w:endnote w:type="continuationNotice" w:id="1">
    <w:p w14:paraId="6DDC986C" w14:textId="77777777" w:rsidR="00CF03DF" w:rsidRDefault="00CF03DF" w:rsidP="00AD1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noProof/>
      </w:rPr>
    </w:sdtEndPr>
    <w:sdtContent>
      <w:p w14:paraId="1E27C0A2" w14:textId="77777777" w:rsidR="004D2EF3" w:rsidRPr="00AD1E05" w:rsidRDefault="004D2EF3" w:rsidP="00AD1E05">
        <w:pPr>
          <w:pStyle w:val="Footer"/>
        </w:pPr>
      </w:p>
      <w:p w14:paraId="556B0C98" w14:textId="11B3506A" w:rsidR="004D2EF3" w:rsidRPr="00584227" w:rsidRDefault="004D2EF3" w:rsidP="00584227">
        <w:pPr>
          <w:pStyle w:val="Footer"/>
          <w:pBdr>
            <w:top w:val="single" w:sz="4" w:space="1" w:color="auto"/>
          </w:pBdr>
          <w:jc w:val="center"/>
          <w:rPr>
            <w:bCs w:val="0"/>
            <w:i/>
          </w:rPr>
        </w:pPr>
        <w:r w:rsidRPr="00584227">
          <w:rPr>
            <w:bCs w:val="0"/>
            <w:i/>
          </w:rPr>
          <w:t xml:space="preserve">Explanatory Statement to the </w:t>
        </w:r>
        <w:r w:rsidR="004A2D06" w:rsidRPr="00584227">
          <w:rPr>
            <w:bCs w:val="0"/>
            <w:i/>
          </w:rPr>
          <w:t>Radiocommunications Licence Conditions (Area-Wide Licence) Amendment Determination 202</w:t>
        </w:r>
        <w:r w:rsidR="00482B9A">
          <w:rPr>
            <w:bCs w:val="0"/>
            <w:i/>
          </w:rPr>
          <w:t>3</w:t>
        </w:r>
        <w:r w:rsidR="004A2D06" w:rsidRPr="00584227">
          <w:rPr>
            <w:bCs w:val="0"/>
            <w:i/>
          </w:rPr>
          <w:t xml:space="preserve"> (No. 1)</w:t>
        </w:r>
      </w:p>
      <w:p w14:paraId="4E36910F" w14:textId="06CF02C2" w:rsidR="004D2EF3" w:rsidRPr="00846872" w:rsidRDefault="004D2EF3" w:rsidP="00584227">
        <w:pPr>
          <w:pStyle w:val="Footer"/>
          <w:jc w:val="right"/>
        </w:pPr>
        <w:r w:rsidRPr="00846872">
          <w:fldChar w:fldCharType="begin"/>
        </w:r>
        <w:r w:rsidRPr="00846872">
          <w:instrText xml:space="preserve"> PAGE   \* MERGEFORMAT </w:instrText>
        </w:r>
        <w:r w:rsidRPr="00846872">
          <w:fldChar w:fldCharType="separate"/>
        </w:r>
        <w:r w:rsidRPr="00846872">
          <w:rPr>
            <w:noProof/>
          </w:rPr>
          <w:t>6</w:t>
        </w:r>
        <w:r w:rsidRPr="00846872">
          <w:rPr>
            <w:noProof/>
          </w:rPr>
          <w:fldChar w:fldCharType="end"/>
        </w:r>
      </w:p>
    </w:sdtContent>
  </w:sdt>
  <w:p w14:paraId="180626A1" w14:textId="72B67B1A" w:rsidR="004D2EF3" w:rsidRPr="00AD3414" w:rsidRDefault="004D2EF3" w:rsidP="00AD1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94F91" w14:textId="77777777" w:rsidR="00CF03DF" w:rsidRDefault="00CF03DF" w:rsidP="000254BD">
      <w:r>
        <w:separator/>
      </w:r>
    </w:p>
  </w:footnote>
  <w:footnote w:type="continuationSeparator" w:id="0">
    <w:p w14:paraId="590935F4" w14:textId="77777777" w:rsidR="00CF03DF" w:rsidRDefault="00CF03DF" w:rsidP="00AD1E05">
      <w:r>
        <w:continuationSeparator/>
      </w:r>
    </w:p>
  </w:footnote>
  <w:footnote w:type="continuationNotice" w:id="1">
    <w:p w14:paraId="135DC603" w14:textId="77777777" w:rsidR="00CF03DF" w:rsidRDefault="00CF03DF" w:rsidP="00AD1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4D2EF3" w:rsidRDefault="004D2EF3" w:rsidP="00AD1E05">
    <w:pPr>
      <w:pStyle w:val="Header"/>
    </w:pPr>
  </w:p>
  <w:p w14:paraId="1FE48E17" w14:textId="77777777" w:rsidR="004D2EF3" w:rsidRPr="00AD3414" w:rsidRDefault="004D2EF3" w:rsidP="00AD1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C83468"/>
    <w:lvl w:ilvl="0">
      <w:start w:val="1"/>
      <w:numFmt w:val="bullet"/>
      <w:pStyle w:val="ListBullet"/>
      <w:lvlText w:val="&gt;"/>
      <w:lvlJc w:val="left"/>
      <w:pPr>
        <w:tabs>
          <w:tab w:val="num" w:pos="295"/>
        </w:tabs>
        <w:ind w:left="295" w:hanging="295"/>
      </w:pPr>
      <w:rPr>
        <w:rFonts w:ascii="HelveticaNeueLT Std Lt" w:hAnsi="HelveticaNeueLT Std Lt" w:hint="default"/>
        <w:color w:val="auto"/>
        <w:sz w:val="20"/>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1B5219"/>
    <w:multiLevelType w:val="hybridMultilevel"/>
    <w:tmpl w:val="BE3C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22DBB"/>
    <w:multiLevelType w:val="hybridMultilevel"/>
    <w:tmpl w:val="1D44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8851D0"/>
    <w:multiLevelType w:val="hybridMultilevel"/>
    <w:tmpl w:val="AF0A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91377B"/>
    <w:multiLevelType w:val="hybridMultilevel"/>
    <w:tmpl w:val="6E123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4A2CD6"/>
    <w:multiLevelType w:val="hybridMultilevel"/>
    <w:tmpl w:val="78DAE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AC71C9"/>
    <w:multiLevelType w:val="hybridMultilevel"/>
    <w:tmpl w:val="3074350C"/>
    <w:lvl w:ilvl="0" w:tplc="59384D3A">
      <w:numFmt w:val="bullet"/>
      <w:lvlText w:val=""/>
      <w:lvlJc w:val="left"/>
      <w:pPr>
        <w:ind w:left="1080" w:hanging="72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47608B"/>
    <w:multiLevelType w:val="hybridMultilevel"/>
    <w:tmpl w:val="F0AA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3C0470"/>
    <w:multiLevelType w:val="hybridMultilevel"/>
    <w:tmpl w:val="B37628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AD42D51"/>
    <w:multiLevelType w:val="hybridMultilevel"/>
    <w:tmpl w:val="6F5E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5E6CA1"/>
    <w:multiLevelType w:val="hybridMultilevel"/>
    <w:tmpl w:val="4EE40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686D98"/>
    <w:multiLevelType w:val="hybridMultilevel"/>
    <w:tmpl w:val="840A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A940FE"/>
    <w:multiLevelType w:val="hybridMultilevel"/>
    <w:tmpl w:val="1A5489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D250B1"/>
    <w:multiLevelType w:val="hybridMultilevel"/>
    <w:tmpl w:val="D4C05BB6"/>
    <w:lvl w:ilvl="0" w:tplc="44D6412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99278185">
    <w:abstractNumId w:val="17"/>
  </w:num>
  <w:num w:numId="2" w16cid:durableId="2051801877">
    <w:abstractNumId w:val="12"/>
  </w:num>
  <w:num w:numId="3" w16cid:durableId="1578981439">
    <w:abstractNumId w:val="2"/>
  </w:num>
  <w:num w:numId="4" w16cid:durableId="656811022">
    <w:abstractNumId w:val="9"/>
  </w:num>
  <w:num w:numId="5" w16cid:durableId="723218609">
    <w:abstractNumId w:val="8"/>
  </w:num>
  <w:num w:numId="6" w16cid:durableId="962537464">
    <w:abstractNumId w:val="1"/>
  </w:num>
  <w:num w:numId="7" w16cid:durableId="114911120">
    <w:abstractNumId w:val="6"/>
  </w:num>
  <w:num w:numId="8" w16cid:durableId="111167220">
    <w:abstractNumId w:val="17"/>
  </w:num>
  <w:num w:numId="9" w16cid:durableId="1705520983">
    <w:abstractNumId w:val="2"/>
  </w:num>
  <w:num w:numId="10" w16cid:durableId="1021853555">
    <w:abstractNumId w:val="6"/>
  </w:num>
  <w:num w:numId="11" w16cid:durableId="157691010">
    <w:abstractNumId w:val="9"/>
  </w:num>
  <w:num w:numId="12" w16cid:durableId="577591829">
    <w:abstractNumId w:val="8"/>
  </w:num>
  <w:num w:numId="13" w16cid:durableId="52319134">
    <w:abstractNumId w:val="17"/>
  </w:num>
  <w:num w:numId="14" w16cid:durableId="281811702">
    <w:abstractNumId w:val="2"/>
  </w:num>
  <w:num w:numId="15" w16cid:durableId="1899170247">
    <w:abstractNumId w:val="6"/>
  </w:num>
  <w:num w:numId="16" w16cid:durableId="1977906059">
    <w:abstractNumId w:val="9"/>
  </w:num>
  <w:num w:numId="17" w16cid:durableId="1737971269">
    <w:abstractNumId w:val="8"/>
  </w:num>
  <w:num w:numId="18" w16cid:durableId="952588719">
    <w:abstractNumId w:val="3"/>
  </w:num>
  <w:num w:numId="19" w16cid:durableId="1570653113">
    <w:abstractNumId w:val="10"/>
  </w:num>
  <w:num w:numId="20" w16cid:durableId="1566647616">
    <w:abstractNumId w:val="21"/>
  </w:num>
  <w:num w:numId="21" w16cid:durableId="1491679187">
    <w:abstractNumId w:val="13"/>
  </w:num>
  <w:num w:numId="22" w16cid:durableId="167867730">
    <w:abstractNumId w:val="18"/>
  </w:num>
  <w:num w:numId="23" w16cid:durableId="1896814024">
    <w:abstractNumId w:val="7"/>
  </w:num>
  <w:num w:numId="24" w16cid:durableId="671642535">
    <w:abstractNumId w:val="5"/>
  </w:num>
  <w:num w:numId="25" w16cid:durableId="2049839402">
    <w:abstractNumId w:val="0"/>
  </w:num>
  <w:num w:numId="26" w16cid:durableId="1594125255">
    <w:abstractNumId w:val="15"/>
  </w:num>
  <w:num w:numId="27" w16cid:durableId="1323390416">
    <w:abstractNumId w:val="11"/>
  </w:num>
  <w:num w:numId="28" w16cid:durableId="1527401917">
    <w:abstractNumId w:val="4"/>
  </w:num>
  <w:num w:numId="29" w16cid:durableId="1602957283">
    <w:abstractNumId w:val="20"/>
  </w:num>
  <w:num w:numId="30" w16cid:durableId="1826701128">
    <w:abstractNumId w:val="14"/>
  </w:num>
  <w:num w:numId="31" w16cid:durableId="1485046859">
    <w:abstractNumId w:val="16"/>
  </w:num>
  <w:num w:numId="32" w16cid:durableId="5109938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3720"/>
    <w:rsid w:val="00010B32"/>
    <w:rsid w:val="00012192"/>
    <w:rsid w:val="000124F9"/>
    <w:rsid w:val="00013079"/>
    <w:rsid w:val="0002421F"/>
    <w:rsid w:val="000254BD"/>
    <w:rsid w:val="00025ACE"/>
    <w:rsid w:val="000314AA"/>
    <w:rsid w:val="00037F0E"/>
    <w:rsid w:val="00043980"/>
    <w:rsid w:val="00043F1E"/>
    <w:rsid w:val="00046A68"/>
    <w:rsid w:val="00046CF0"/>
    <w:rsid w:val="00047956"/>
    <w:rsid w:val="00050DD0"/>
    <w:rsid w:val="00054541"/>
    <w:rsid w:val="00054DC0"/>
    <w:rsid w:val="000618C1"/>
    <w:rsid w:val="00062CB3"/>
    <w:rsid w:val="00067290"/>
    <w:rsid w:val="00070D91"/>
    <w:rsid w:val="000726C7"/>
    <w:rsid w:val="00074A8D"/>
    <w:rsid w:val="000820DC"/>
    <w:rsid w:val="00082354"/>
    <w:rsid w:val="00085BCC"/>
    <w:rsid w:val="00090F80"/>
    <w:rsid w:val="000916D7"/>
    <w:rsid w:val="0009372B"/>
    <w:rsid w:val="00095AB3"/>
    <w:rsid w:val="000A3A94"/>
    <w:rsid w:val="000A6E19"/>
    <w:rsid w:val="000B09FC"/>
    <w:rsid w:val="000B0BA7"/>
    <w:rsid w:val="000B0FE0"/>
    <w:rsid w:val="000B33B6"/>
    <w:rsid w:val="000B342D"/>
    <w:rsid w:val="000B4B6C"/>
    <w:rsid w:val="000B51A6"/>
    <w:rsid w:val="000B652C"/>
    <w:rsid w:val="000C042F"/>
    <w:rsid w:val="000C6436"/>
    <w:rsid w:val="000C74C0"/>
    <w:rsid w:val="000D24B8"/>
    <w:rsid w:val="000D2F44"/>
    <w:rsid w:val="000D4ECE"/>
    <w:rsid w:val="000E1037"/>
    <w:rsid w:val="000E1CC0"/>
    <w:rsid w:val="000E38C9"/>
    <w:rsid w:val="000E4077"/>
    <w:rsid w:val="000E43EF"/>
    <w:rsid w:val="000E6F58"/>
    <w:rsid w:val="000F1097"/>
    <w:rsid w:val="000F1196"/>
    <w:rsid w:val="000F1DFD"/>
    <w:rsid w:val="000F6255"/>
    <w:rsid w:val="000F62FC"/>
    <w:rsid w:val="000F7B3D"/>
    <w:rsid w:val="000F7C8B"/>
    <w:rsid w:val="000F7CB0"/>
    <w:rsid w:val="00100D07"/>
    <w:rsid w:val="0010363A"/>
    <w:rsid w:val="00104130"/>
    <w:rsid w:val="00104CBB"/>
    <w:rsid w:val="00105B54"/>
    <w:rsid w:val="00106242"/>
    <w:rsid w:val="00112987"/>
    <w:rsid w:val="00114830"/>
    <w:rsid w:val="00116C9A"/>
    <w:rsid w:val="00117351"/>
    <w:rsid w:val="001207BF"/>
    <w:rsid w:val="001219AD"/>
    <w:rsid w:val="00121B9E"/>
    <w:rsid w:val="00122072"/>
    <w:rsid w:val="001228FB"/>
    <w:rsid w:val="00123144"/>
    <w:rsid w:val="00123892"/>
    <w:rsid w:val="00126455"/>
    <w:rsid w:val="001278B7"/>
    <w:rsid w:val="00134705"/>
    <w:rsid w:val="00135B39"/>
    <w:rsid w:val="00137153"/>
    <w:rsid w:val="001374D2"/>
    <w:rsid w:val="00146A0C"/>
    <w:rsid w:val="00147D0C"/>
    <w:rsid w:val="0015136F"/>
    <w:rsid w:val="00152239"/>
    <w:rsid w:val="00153EB5"/>
    <w:rsid w:val="0015779E"/>
    <w:rsid w:val="00161C73"/>
    <w:rsid w:val="001643C0"/>
    <w:rsid w:val="00165D22"/>
    <w:rsid w:val="001822C5"/>
    <w:rsid w:val="00185BDC"/>
    <w:rsid w:val="00191DD4"/>
    <w:rsid w:val="00192802"/>
    <w:rsid w:val="00193A4F"/>
    <w:rsid w:val="00195977"/>
    <w:rsid w:val="00196183"/>
    <w:rsid w:val="001B34D7"/>
    <w:rsid w:val="001B6446"/>
    <w:rsid w:val="001C0CA7"/>
    <w:rsid w:val="001C0E9A"/>
    <w:rsid w:val="001C17C8"/>
    <w:rsid w:val="001C4BF8"/>
    <w:rsid w:val="001C4C52"/>
    <w:rsid w:val="001C5421"/>
    <w:rsid w:val="001C7BD4"/>
    <w:rsid w:val="001D08B2"/>
    <w:rsid w:val="001D58AC"/>
    <w:rsid w:val="001D5C25"/>
    <w:rsid w:val="001E0185"/>
    <w:rsid w:val="001E216E"/>
    <w:rsid w:val="001E343E"/>
    <w:rsid w:val="001F0D66"/>
    <w:rsid w:val="00205B3A"/>
    <w:rsid w:val="00207241"/>
    <w:rsid w:val="00212847"/>
    <w:rsid w:val="00227E00"/>
    <w:rsid w:val="00233EEA"/>
    <w:rsid w:val="00234892"/>
    <w:rsid w:val="0024224B"/>
    <w:rsid w:val="002438EF"/>
    <w:rsid w:val="00247AF0"/>
    <w:rsid w:val="002508F7"/>
    <w:rsid w:val="00250EEA"/>
    <w:rsid w:val="002537B7"/>
    <w:rsid w:val="00256D9C"/>
    <w:rsid w:val="00257B8E"/>
    <w:rsid w:val="00262ABA"/>
    <w:rsid w:val="00264DB4"/>
    <w:rsid w:val="002674E7"/>
    <w:rsid w:val="002738B0"/>
    <w:rsid w:val="002766B6"/>
    <w:rsid w:val="00276D81"/>
    <w:rsid w:val="0029114B"/>
    <w:rsid w:val="00291E71"/>
    <w:rsid w:val="00292B5C"/>
    <w:rsid w:val="002A0746"/>
    <w:rsid w:val="002A17A9"/>
    <w:rsid w:val="002A2F18"/>
    <w:rsid w:val="002A67F9"/>
    <w:rsid w:val="002A6967"/>
    <w:rsid w:val="002B0C39"/>
    <w:rsid w:val="002B15FA"/>
    <w:rsid w:val="002B6699"/>
    <w:rsid w:val="002C2256"/>
    <w:rsid w:val="002C4833"/>
    <w:rsid w:val="002C48E4"/>
    <w:rsid w:val="002C58A4"/>
    <w:rsid w:val="002D0B7E"/>
    <w:rsid w:val="002D0DDE"/>
    <w:rsid w:val="002E3B2A"/>
    <w:rsid w:val="002F36E0"/>
    <w:rsid w:val="002F4983"/>
    <w:rsid w:val="0030720D"/>
    <w:rsid w:val="00311AC4"/>
    <w:rsid w:val="00317013"/>
    <w:rsid w:val="003170E5"/>
    <w:rsid w:val="003224DC"/>
    <w:rsid w:val="00326612"/>
    <w:rsid w:val="00326887"/>
    <w:rsid w:val="00332A67"/>
    <w:rsid w:val="00337C5A"/>
    <w:rsid w:val="003434D4"/>
    <w:rsid w:val="003550DB"/>
    <w:rsid w:val="00362AE9"/>
    <w:rsid w:val="0036752E"/>
    <w:rsid w:val="00367F8F"/>
    <w:rsid w:val="00370620"/>
    <w:rsid w:val="00372B29"/>
    <w:rsid w:val="00373C14"/>
    <w:rsid w:val="00375FA7"/>
    <w:rsid w:val="00383342"/>
    <w:rsid w:val="003845FA"/>
    <w:rsid w:val="00385EF1"/>
    <w:rsid w:val="003903F1"/>
    <w:rsid w:val="00396EBB"/>
    <w:rsid w:val="003A1751"/>
    <w:rsid w:val="003A3635"/>
    <w:rsid w:val="003A377B"/>
    <w:rsid w:val="003A3C9A"/>
    <w:rsid w:val="003A4148"/>
    <w:rsid w:val="003A480F"/>
    <w:rsid w:val="003A50F3"/>
    <w:rsid w:val="003A6398"/>
    <w:rsid w:val="003A7407"/>
    <w:rsid w:val="003B02D6"/>
    <w:rsid w:val="003B1E26"/>
    <w:rsid w:val="003B3D92"/>
    <w:rsid w:val="003B4784"/>
    <w:rsid w:val="003B4C0A"/>
    <w:rsid w:val="003B6808"/>
    <w:rsid w:val="003C29A4"/>
    <w:rsid w:val="003C2F82"/>
    <w:rsid w:val="003C44B4"/>
    <w:rsid w:val="003C5E96"/>
    <w:rsid w:val="003D07A0"/>
    <w:rsid w:val="003D10C1"/>
    <w:rsid w:val="003D3609"/>
    <w:rsid w:val="003D4A88"/>
    <w:rsid w:val="003D4E64"/>
    <w:rsid w:val="003D6093"/>
    <w:rsid w:val="003D74BE"/>
    <w:rsid w:val="003E5DDA"/>
    <w:rsid w:val="003F3392"/>
    <w:rsid w:val="003F71C1"/>
    <w:rsid w:val="00401ADB"/>
    <w:rsid w:val="0041003E"/>
    <w:rsid w:val="00414C40"/>
    <w:rsid w:val="004228D1"/>
    <w:rsid w:val="00426980"/>
    <w:rsid w:val="00431EA8"/>
    <w:rsid w:val="00433EC4"/>
    <w:rsid w:val="004344E9"/>
    <w:rsid w:val="00434B9E"/>
    <w:rsid w:val="004362E3"/>
    <w:rsid w:val="00436D24"/>
    <w:rsid w:val="004438A6"/>
    <w:rsid w:val="00446CB7"/>
    <w:rsid w:val="004502A3"/>
    <w:rsid w:val="00450F48"/>
    <w:rsid w:val="00452C6A"/>
    <w:rsid w:val="0045489F"/>
    <w:rsid w:val="00456864"/>
    <w:rsid w:val="00456CC4"/>
    <w:rsid w:val="00457421"/>
    <w:rsid w:val="004620EA"/>
    <w:rsid w:val="004661DA"/>
    <w:rsid w:val="00471D59"/>
    <w:rsid w:val="00474889"/>
    <w:rsid w:val="0047627E"/>
    <w:rsid w:val="004826DD"/>
    <w:rsid w:val="00482B9A"/>
    <w:rsid w:val="00485B8A"/>
    <w:rsid w:val="004971D6"/>
    <w:rsid w:val="004A1064"/>
    <w:rsid w:val="004A2C85"/>
    <w:rsid w:val="004A2D06"/>
    <w:rsid w:val="004A677D"/>
    <w:rsid w:val="004B66F0"/>
    <w:rsid w:val="004C4C9A"/>
    <w:rsid w:val="004C58B9"/>
    <w:rsid w:val="004D2843"/>
    <w:rsid w:val="004D2EF3"/>
    <w:rsid w:val="004D77C6"/>
    <w:rsid w:val="004E6ABD"/>
    <w:rsid w:val="004E7145"/>
    <w:rsid w:val="004E790E"/>
    <w:rsid w:val="004F0A32"/>
    <w:rsid w:val="004F2CA5"/>
    <w:rsid w:val="004F64A3"/>
    <w:rsid w:val="004F7275"/>
    <w:rsid w:val="005036FD"/>
    <w:rsid w:val="0050389F"/>
    <w:rsid w:val="005122F2"/>
    <w:rsid w:val="0051323B"/>
    <w:rsid w:val="0051645A"/>
    <w:rsid w:val="00525B94"/>
    <w:rsid w:val="0052687A"/>
    <w:rsid w:val="00532912"/>
    <w:rsid w:val="00535B18"/>
    <w:rsid w:val="005408ED"/>
    <w:rsid w:val="00544090"/>
    <w:rsid w:val="005450C8"/>
    <w:rsid w:val="005470ED"/>
    <w:rsid w:val="00554217"/>
    <w:rsid w:val="00566F8C"/>
    <w:rsid w:val="00570974"/>
    <w:rsid w:val="00573EFC"/>
    <w:rsid w:val="005745BB"/>
    <w:rsid w:val="005827EA"/>
    <w:rsid w:val="00583FC2"/>
    <w:rsid w:val="00584227"/>
    <w:rsid w:val="005857DB"/>
    <w:rsid w:val="005958D6"/>
    <w:rsid w:val="005964CF"/>
    <w:rsid w:val="005A0BED"/>
    <w:rsid w:val="005A1CCA"/>
    <w:rsid w:val="005A3DB3"/>
    <w:rsid w:val="005B2B93"/>
    <w:rsid w:val="005B4EED"/>
    <w:rsid w:val="005B5537"/>
    <w:rsid w:val="005B763D"/>
    <w:rsid w:val="005C0A10"/>
    <w:rsid w:val="005C0AF9"/>
    <w:rsid w:val="005C2DAA"/>
    <w:rsid w:val="005C4826"/>
    <w:rsid w:val="005C65EB"/>
    <w:rsid w:val="005C7653"/>
    <w:rsid w:val="005D0C3E"/>
    <w:rsid w:val="005D14DD"/>
    <w:rsid w:val="005D4536"/>
    <w:rsid w:val="005D77D6"/>
    <w:rsid w:val="005F5756"/>
    <w:rsid w:val="005F5BE6"/>
    <w:rsid w:val="00600CE1"/>
    <w:rsid w:val="00601347"/>
    <w:rsid w:val="00603352"/>
    <w:rsid w:val="00603B3F"/>
    <w:rsid w:val="0061058B"/>
    <w:rsid w:val="00610AE6"/>
    <w:rsid w:val="00610F56"/>
    <w:rsid w:val="0061139E"/>
    <w:rsid w:val="00612B02"/>
    <w:rsid w:val="00613A45"/>
    <w:rsid w:val="00613EE2"/>
    <w:rsid w:val="00614D12"/>
    <w:rsid w:val="00620847"/>
    <w:rsid w:val="00620940"/>
    <w:rsid w:val="00641906"/>
    <w:rsid w:val="00641D79"/>
    <w:rsid w:val="006612FB"/>
    <w:rsid w:val="00662699"/>
    <w:rsid w:val="0066372D"/>
    <w:rsid w:val="006639F4"/>
    <w:rsid w:val="00663AF2"/>
    <w:rsid w:val="006643CA"/>
    <w:rsid w:val="00664F9C"/>
    <w:rsid w:val="0066580D"/>
    <w:rsid w:val="00670716"/>
    <w:rsid w:val="00671216"/>
    <w:rsid w:val="00681986"/>
    <w:rsid w:val="00685E98"/>
    <w:rsid w:val="00686F06"/>
    <w:rsid w:val="00687290"/>
    <w:rsid w:val="00691B18"/>
    <w:rsid w:val="006940DB"/>
    <w:rsid w:val="00696659"/>
    <w:rsid w:val="00696F01"/>
    <w:rsid w:val="006A0BDF"/>
    <w:rsid w:val="006A2F71"/>
    <w:rsid w:val="006A32A3"/>
    <w:rsid w:val="006A4C2B"/>
    <w:rsid w:val="006A53BB"/>
    <w:rsid w:val="006A6D74"/>
    <w:rsid w:val="006B0585"/>
    <w:rsid w:val="006B6B34"/>
    <w:rsid w:val="006C0E4B"/>
    <w:rsid w:val="006C26BB"/>
    <w:rsid w:val="006C59D5"/>
    <w:rsid w:val="006C7183"/>
    <w:rsid w:val="006E175C"/>
    <w:rsid w:val="006E192B"/>
    <w:rsid w:val="006E1E3A"/>
    <w:rsid w:val="006E290F"/>
    <w:rsid w:val="006E64DC"/>
    <w:rsid w:val="006E680A"/>
    <w:rsid w:val="006E7EC4"/>
    <w:rsid w:val="006F16AB"/>
    <w:rsid w:val="006F1B0B"/>
    <w:rsid w:val="006F32BF"/>
    <w:rsid w:val="006F3430"/>
    <w:rsid w:val="006F58AE"/>
    <w:rsid w:val="006F7431"/>
    <w:rsid w:val="00700172"/>
    <w:rsid w:val="00703A6F"/>
    <w:rsid w:val="007044DA"/>
    <w:rsid w:val="00706F43"/>
    <w:rsid w:val="007125F1"/>
    <w:rsid w:val="00713068"/>
    <w:rsid w:val="007138FD"/>
    <w:rsid w:val="007173CC"/>
    <w:rsid w:val="00717947"/>
    <w:rsid w:val="00722C21"/>
    <w:rsid w:val="0072455C"/>
    <w:rsid w:val="0072613D"/>
    <w:rsid w:val="00733D9B"/>
    <w:rsid w:val="00734433"/>
    <w:rsid w:val="00737DCB"/>
    <w:rsid w:val="00740F82"/>
    <w:rsid w:val="00741A1B"/>
    <w:rsid w:val="007435E5"/>
    <w:rsid w:val="007454E7"/>
    <w:rsid w:val="0074661C"/>
    <w:rsid w:val="00750397"/>
    <w:rsid w:val="007532DF"/>
    <w:rsid w:val="00763A5E"/>
    <w:rsid w:val="00766475"/>
    <w:rsid w:val="00772AD5"/>
    <w:rsid w:val="0077364D"/>
    <w:rsid w:val="0078118B"/>
    <w:rsid w:val="00781D90"/>
    <w:rsid w:val="00785B58"/>
    <w:rsid w:val="00786DFE"/>
    <w:rsid w:val="007870C1"/>
    <w:rsid w:val="00794A49"/>
    <w:rsid w:val="00794AFA"/>
    <w:rsid w:val="00794C5F"/>
    <w:rsid w:val="007A0103"/>
    <w:rsid w:val="007A0903"/>
    <w:rsid w:val="007A196D"/>
    <w:rsid w:val="007A1DDF"/>
    <w:rsid w:val="007A2277"/>
    <w:rsid w:val="007A4745"/>
    <w:rsid w:val="007A74F0"/>
    <w:rsid w:val="007B21B6"/>
    <w:rsid w:val="007B37EF"/>
    <w:rsid w:val="007B3C38"/>
    <w:rsid w:val="007B78F3"/>
    <w:rsid w:val="007C0721"/>
    <w:rsid w:val="007C22BD"/>
    <w:rsid w:val="007D1247"/>
    <w:rsid w:val="007D1FA3"/>
    <w:rsid w:val="007E199F"/>
    <w:rsid w:val="007E53C6"/>
    <w:rsid w:val="007F6C23"/>
    <w:rsid w:val="007F6CEE"/>
    <w:rsid w:val="00805358"/>
    <w:rsid w:val="00806819"/>
    <w:rsid w:val="008070A8"/>
    <w:rsid w:val="00810499"/>
    <w:rsid w:val="0081166D"/>
    <w:rsid w:val="00812030"/>
    <w:rsid w:val="0081203C"/>
    <w:rsid w:val="00814CAD"/>
    <w:rsid w:val="00821F3F"/>
    <w:rsid w:val="00826D70"/>
    <w:rsid w:val="00827F8A"/>
    <w:rsid w:val="0083525B"/>
    <w:rsid w:val="00841D07"/>
    <w:rsid w:val="008431C2"/>
    <w:rsid w:val="008441CF"/>
    <w:rsid w:val="0084470A"/>
    <w:rsid w:val="00844BFD"/>
    <w:rsid w:val="00846872"/>
    <w:rsid w:val="0084781B"/>
    <w:rsid w:val="008510C1"/>
    <w:rsid w:val="00852A3D"/>
    <w:rsid w:val="00852BE5"/>
    <w:rsid w:val="008564F1"/>
    <w:rsid w:val="00860FB7"/>
    <w:rsid w:val="00863320"/>
    <w:rsid w:val="008649FB"/>
    <w:rsid w:val="00867EFB"/>
    <w:rsid w:val="00870D77"/>
    <w:rsid w:val="008726DE"/>
    <w:rsid w:val="0087707C"/>
    <w:rsid w:val="008806E3"/>
    <w:rsid w:val="0088188B"/>
    <w:rsid w:val="00884461"/>
    <w:rsid w:val="00890AE1"/>
    <w:rsid w:val="0089700C"/>
    <w:rsid w:val="008A1FDF"/>
    <w:rsid w:val="008B2CDA"/>
    <w:rsid w:val="008B7BFA"/>
    <w:rsid w:val="008C03EA"/>
    <w:rsid w:val="008C2537"/>
    <w:rsid w:val="008C4F30"/>
    <w:rsid w:val="008C584E"/>
    <w:rsid w:val="008C60E6"/>
    <w:rsid w:val="008C6747"/>
    <w:rsid w:val="008C792E"/>
    <w:rsid w:val="008D0F5C"/>
    <w:rsid w:val="008D14EB"/>
    <w:rsid w:val="008D1608"/>
    <w:rsid w:val="008D4667"/>
    <w:rsid w:val="008E1774"/>
    <w:rsid w:val="008E2EDE"/>
    <w:rsid w:val="008E3483"/>
    <w:rsid w:val="008E395E"/>
    <w:rsid w:val="008F08DB"/>
    <w:rsid w:val="008F47CE"/>
    <w:rsid w:val="008F4C58"/>
    <w:rsid w:val="008F6619"/>
    <w:rsid w:val="008F7299"/>
    <w:rsid w:val="008F7DCF"/>
    <w:rsid w:val="00904568"/>
    <w:rsid w:val="0090572C"/>
    <w:rsid w:val="0091080B"/>
    <w:rsid w:val="009123EF"/>
    <w:rsid w:val="009135C3"/>
    <w:rsid w:val="00917EE3"/>
    <w:rsid w:val="00920E3A"/>
    <w:rsid w:val="00923855"/>
    <w:rsid w:val="00923F7A"/>
    <w:rsid w:val="00926833"/>
    <w:rsid w:val="0093644C"/>
    <w:rsid w:val="0094727F"/>
    <w:rsid w:val="00961C90"/>
    <w:rsid w:val="00962949"/>
    <w:rsid w:val="00964DDD"/>
    <w:rsid w:val="009670B7"/>
    <w:rsid w:val="009723D1"/>
    <w:rsid w:val="009732C1"/>
    <w:rsid w:val="009744E7"/>
    <w:rsid w:val="00974AA0"/>
    <w:rsid w:val="00977165"/>
    <w:rsid w:val="00977705"/>
    <w:rsid w:val="0098035D"/>
    <w:rsid w:val="00982AF2"/>
    <w:rsid w:val="00984128"/>
    <w:rsid w:val="009916AA"/>
    <w:rsid w:val="009935B8"/>
    <w:rsid w:val="00993FFC"/>
    <w:rsid w:val="009A1469"/>
    <w:rsid w:val="009A47BB"/>
    <w:rsid w:val="009A6AFD"/>
    <w:rsid w:val="009A7A08"/>
    <w:rsid w:val="009B3961"/>
    <w:rsid w:val="009B3F0C"/>
    <w:rsid w:val="009C58C8"/>
    <w:rsid w:val="009D03B2"/>
    <w:rsid w:val="009D0E00"/>
    <w:rsid w:val="009D0FCB"/>
    <w:rsid w:val="009D5783"/>
    <w:rsid w:val="009D6798"/>
    <w:rsid w:val="009D67A8"/>
    <w:rsid w:val="009E0235"/>
    <w:rsid w:val="009E30A3"/>
    <w:rsid w:val="009E4F54"/>
    <w:rsid w:val="009F138A"/>
    <w:rsid w:val="009F7219"/>
    <w:rsid w:val="009F7C9B"/>
    <w:rsid w:val="00A001C2"/>
    <w:rsid w:val="00A05109"/>
    <w:rsid w:val="00A07A2F"/>
    <w:rsid w:val="00A12721"/>
    <w:rsid w:val="00A14854"/>
    <w:rsid w:val="00A17038"/>
    <w:rsid w:val="00A213A8"/>
    <w:rsid w:val="00A21F3E"/>
    <w:rsid w:val="00A22629"/>
    <w:rsid w:val="00A22697"/>
    <w:rsid w:val="00A24897"/>
    <w:rsid w:val="00A251AF"/>
    <w:rsid w:val="00A25517"/>
    <w:rsid w:val="00A26339"/>
    <w:rsid w:val="00A300EA"/>
    <w:rsid w:val="00A312B4"/>
    <w:rsid w:val="00A35E8B"/>
    <w:rsid w:val="00A361A0"/>
    <w:rsid w:val="00A5184F"/>
    <w:rsid w:val="00A527A6"/>
    <w:rsid w:val="00A531AE"/>
    <w:rsid w:val="00A549D9"/>
    <w:rsid w:val="00A56185"/>
    <w:rsid w:val="00A63896"/>
    <w:rsid w:val="00A64EC4"/>
    <w:rsid w:val="00A7023B"/>
    <w:rsid w:val="00A74C89"/>
    <w:rsid w:val="00A74CD3"/>
    <w:rsid w:val="00A7520A"/>
    <w:rsid w:val="00A75A07"/>
    <w:rsid w:val="00A76EF3"/>
    <w:rsid w:val="00A83255"/>
    <w:rsid w:val="00A83FE1"/>
    <w:rsid w:val="00A865F7"/>
    <w:rsid w:val="00A93665"/>
    <w:rsid w:val="00A97CB4"/>
    <w:rsid w:val="00AA00E9"/>
    <w:rsid w:val="00AA16FD"/>
    <w:rsid w:val="00AA22EE"/>
    <w:rsid w:val="00AA2E22"/>
    <w:rsid w:val="00AA6088"/>
    <w:rsid w:val="00AA69FB"/>
    <w:rsid w:val="00AB01E2"/>
    <w:rsid w:val="00AB1849"/>
    <w:rsid w:val="00AB2C03"/>
    <w:rsid w:val="00AB5569"/>
    <w:rsid w:val="00AB5C0C"/>
    <w:rsid w:val="00AB65E7"/>
    <w:rsid w:val="00AC0B10"/>
    <w:rsid w:val="00AC159B"/>
    <w:rsid w:val="00AC1D1E"/>
    <w:rsid w:val="00AC7F30"/>
    <w:rsid w:val="00AD1E05"/>
    <w:rsid w:val="00AD3414"/>
    <w:rsid w:val="00AD500F"/>
    <w:rsid w:val="00AD5ECC"/>
    <w:rsid w:val="00AD798F"/>
    <w:rsid w:val="00AE049B"/>
    <w:rsid w:val="00AE1370"/>
    <w:rsid w:val="00AE1605"/>
    <w:rsid w:val="00AE2CB4"/>
    <w:rsid w:val="00AE6898"/>
    <w:rsid w:val="00AF0217"/>
    <w:rsid w:val="00AF080D"/>
    <w:rsid w:val="00AF3E60"/>
    <w:rsid w:val="00AF6545"/>
    <w:rsid w:val="00AF7071"/>
    <w:rsid w:val="00AF75E7"/>
    <w:rsid w:val="00B0033B"/>
    <w:rsid w:val="00B00FC3"/>
    <w:rsid w:val="00B023A5"/>
    <w:rsid w:val="00B02BC0"/>
    <w:rsid w:val="00B22686"/>
    <w:rsid w:val="00B266D3"/>
    <w:rsid w:val="00B44024"/>
    <w:rsid w:val="00B52584"/>
    <w:rsid w:val="00B52F5E"/>
    <w:rsid w:val="00B537D9"/>
    <w:rsid w:val="00B547A7"/>
    <w:rsid w:val="00B62572"/>
    <w:rsid w:val="00B64F55"/>
    <w:rsid w:val="00B66450"/>
    <w:rsid w:val="00B665E6"/>
    <w:rsid w:val="00B727F3"/>
    <w:rsid w:val="00B8186D"/>
    <w:rsid w:val="00B83AFB"/>
    <w:rsid w:val="00B8503A"/>
    <w:rsid w:val="00B9009D"/>
    <w:rsid w:val="00B902AA"/>
    <w:rsid w:val="00B90F17"/>
    <w:rsid w:val="00B919B9"/>
    <w:rsid w:val="00B938DA"/>
    <w:rsid w:val="00B94B30"/>
    <w:rsid w:val="00BA5E4E"/>
    <w:rsid w:val="00BA7D17"/>
    <w:rsid w:val="00BB076E"/>
    <w:rsid w:val="00BB1CF2"/>
    <w:rsid w:val="00BB5F94"/>
    <w:rsid w:val="00BB7A25"/>
    <w:rsid w:val="00BC0A3C"/>
    <w:rsid w:val="00BC0A50"/>
    <w:rsid w:val="00BC5916"/>
    <w:rsid w:val="00BC621F"/>
    <w:rsid w:val="00BD13CD"/>
    <w:rsid w:val="00BD2C15"/>
    <w:rsid w:val="00BD41BD"/>
    <w:rsid w:val="00BE13DB"/>
    <w:rsid w:val="00BE28C3"/>
    <w:rsid w:val="00BE4034"/>
    <w:rsid w:val="00BE7E0E"/>
    <w:rsid w:val="00BF16FF"/>
    <w:rsid w:val="00BF24A9"/>
    <w:rsid w:val="00BF50E7"/>
    <w:rsid w:val="00BF51CD"/>
    <w:rsid w:val="00BF55E9"/>
    <w:rsid w:val="00C032F0"/>
    <w:rsid w:val="00C03503"/>
    <w:rsid w:val="00C1004A"/>
    <w:rsid w:val="00C10E3A"/>
    <w:rsid w:val="00C11257"/>
    <w:rsid w:val="00C12082"/>
    <w:rsid w:val="00C1216F"/>
    <w:rsid w:val="00C14388"/>
    <w:rsid w:val="00C14572"/>
    <w:rsid w:val="00C17531"/>
    <w:rsid w:val="00C2025E"/>
    <w:rsid w:val="00C20621"/>
    <w:rsid w:val="00C21933"/>
    <w:rsid w:val="00C25653"/>
    <w:rsid w:val="00C31318"/>
    <w:rsid w:val="00C35428"/>
    <w:rsid w:val="00C41100"/>
    <w:rsid w:val="00C43250"/>
    <w:rsid w:val="00C50176"/>
    <w:rsid w:val="00C50E1E"/>
    <w:rsid w:val="00C519EE"/>
    <w:rsid w:val="00C52681"/>
    <w:rsid w:val="00C55D60"/>
    <w:rsid w:val="00C57E29"/>
    <w:rsid w:val="00C63E8C"/>
    <w:rsid w:val="00C64B0E"/>
    <w:rsid w:val="00C657C6"/>
    <w:rsid w:val="00C659A7"/>
    <w:rsid w:val="00C71118"/>
    <w:rsid w:val="00C7301B"/>
    <w:rsid w:val="00C76FFC"/>
    <w:rsid w:val="00C87784"/>
    <w:rsid w:val="00C9259F"/>
    <w:rsid w:val="00C95A4A"/>
    <w:rsid w:val="00C9639A"/>
    <w:rsid w:val="00CA3398"/>
    <w:rsid w:val="00CA40FA"/>
    <w:rsid w:val="00CA6926"/>
    <w:rsid w:val="00CA735C"/>
    <w:rsid w:val="00CB2F6C"/>
    <w:rsid w:val="00CB3AD5"/>
    <w:rsid w:val="00CB3FD2"/>
    <w:rsid w:val="00CB425E"/>
    <w:rsid w:val="00CB5928"/>
    <w:rsid w:val="00CC1819"/>
    <w:rsid w:val="00CC1D60"/>
    <w:rsid w:val="00CC702E"/>
    <w:rsid w:val="00CD0D86"/>
    <w:rsid w:val="00CD28D8"/>
    <w:rsid w:val="00CD4D40"/>
    <w:rsid w:val="00CD5B7B"/>
    <w:rsid w:val="00CD71EB"/>
    <w:rsid w:val="00CE3CC8"/>
    <w:rsid w:val="00CE5861"/>
    <w:rsid w:val="00CE6655"/>
    <w:rsid w:val="00CF03DF"/>
    <w:rsid w:val="00CF60F6"/>
    <w:rsid w:val="00CF6722"/>
    <w:rsid w:val="00D02ABA"/>
    <w:rsid w:val="00D046E4"/>
    <w:rsid w:val="00D052F5"/>
    <w:rsid w:val="00D07B9D"/>
    <w:rsid w:val="00D12990"/>
    <w:rsid w:val="00D13D39"/>
    <w:rsid w:val="00D1414F"/>
    <w:rsid w:val="00D23BD5"/>
    <w:rsid w:val="00D2518B"/>
    <w:rsid w:val="00D32E4E"/>
    <w:rsid w:val="00D35790"/>
    <w:rsid w:val="00D41699"/>
    <w:rsid w:val="00D4671F"/>
    <w:rsid w:val="00D5385A"/>
    <w:rsid w:val="00D57387"/>
    <w:rsid w:val="00D61006"/>
    <w:rsid w:val="00D6131F"/>
    <w:rsid w:val="00D7526F"/>
    <w:rsid w:val="00D804A1"/>
    <w:rsid w:val="00D90C6C"/>
    <w:rsid w:val="00D90FEC"/>
    <w:rsid w:val="00D9309D"/>
    <w:rsid w:val="00DA0D39"/>
    <w:rsid w:val="00DA6CD0"/>
    <w:rsid w:val="00DA7C92"/>
    <w:rsid w:val="00DB1564"/>
    <w:rsid w:val="00DB3351"/>
    <w:rsid w:val="00DB4A50"/>
    <w:rsid w:val="00DB5DBB"/>
    <w:rsid w:val="00DC0839"/>
    <w:rsid w:val="00DC53B9"/>
    <w:rsid w:val="00DE264D"/>
    <w:rsid w:val="00DE6F7B"/>
    <w:rsid w:val="00DF2758"/>
    <w:rsid w:val="00DF65F7"/>
    <w:rsid w:val="00E0085D"/>
    <w:rsid w:val="00E13D3E"/>
    <w:rsid w:val="00E14AA4"/>
    <w:rsid w:val="00E14BF5"/>
    <w:rsid w:val="00E16C37"/>
    <w:rsid w:val="00E17F14"/>
    <w:rsid w:val="00E2041C"/>
    <w:rsid w:val="00E25468"/>
    <w:rsid w:val="00E302B0"/>
    <w:rsid w:val="00E34B17"/>
    <w:rsid w:val="00E357B8"/>
    <w:rsid w:val="00E47D70"/>
    <w:rsid w:val="00E53FD2"/>
    <w:rsid w:val="00E54411"/>
    <w:rsid w:val="00E57250"/>
    <w:rsid w:val="00E60BC5"/>
    <w:rsid w:val="00E63885"/>
    <w:rsid w:val="00E6468E"/>
    <w:rsid w:val="00E65D58"/>
    <w:rsid w:val="00E733E3"/>
    <w:rsid w:val="00E74D98"/>
    <w:rsid w:val="00E82C02"/>
    <w:rsid w:val="00E833DA"/>
    <w:rsid w:val="00E85637"/>
    <w:rsid w:val="00E86F6F"/>
    <w:rsid w:val="00E90168"/>
    <w:rsid w:val="00EA543A"/>
    <w:rsid w:val="00EA7479"/>
    <w:rsid w:val="00EA7CC9"/>
    <w:rsid w:val="00EB0C79"/>
    <w:rsid w:val="00EB1823"/>
    <w:rsid w:val="00EB4705"/>
    <w:rsid w:val="00EB78FC"/>
    <w:rsid w:val="00EC42BD"/>
    <w:rsid w:val="00EC54C3"/>
    <w:rsid w:val="00EC76A0"/>
    <w:rsid w:val="00ED099D"/>
    <w:rsid w:val="00ED6727"/>
    <w:rsid w:val="00EE141F"/>
    <w:rsid w:val="00EE25C3"/>
    <w:rsid w:val="00EE34A2"/>
    <w:rsid w:val="00EE5E7F"/>
    <w:rsid w:val="00F04B3D"/>
    <w:rsid w:val="00F11A9F"/>
    <w:rsid w:val="00F12DFC"/>
    <w:rsid w:val="00F13222"/>
    <w:rsid w:val="00F1770E"/>
    <w:rsid w:val="00F204DB"/>
    <w:rsid w:val="00F21ACE"/>
    <w:rsid w:val="00F21D99"/>
    <w:rsid w:val="00F32494"/>
    <w:rsid w:val="00F332EE"/>
    <w:rsid w:val="00F33BD8"/>
    <w:rsid w:val="00F34B7E"/>
    <w:rsid w:val="00F37497"/>
    <w:rsid w:val="00F406BB"/>
    <w:rsid w:val="00F4414D"/>
    <w:rsid w:val="00F50F7C"/>
    <w:rsid w:val="00F6255B"/>
    <w:rsid w:val="00F662E1"/>
    <w:rsid w:val="00F675AA"/>
    <w:rsid w:val="00F76815"/>
    <w:rsid w:val="00F808EE"/>
    <w:rsid w:val="00F83AB0"/>
    <w:rsid w:val="00F93618"/>
    <w:rsid w:val="00F93DEA"/>
    <w:rsid w:val="00F972A5"/>
    <w:rsid w:val="00FA2540"/>
    <w:rsid w:val="00FB4437"/>
    <w:rsid w:val="00FB5499"/>
    <w:rsid w:val="00FC0BF3"/>
    <w:rsid w:val="00FC40D1"/>
    <w:rsid w:val="00FC67DA"/>
    <w:rsid w:val="00FD01AF"/>
    <w:rsid w:val="00FD07F9"/>
    <w:rsid w:val="00FD50EE"/>
    <w:rsid w:val="00FD6A58"/>
    <w:rsid w:val="00FD73D6"/>
    <w:rsid w:val="00FE3A48"/>
    <w:rsid w:val="00FE443F"/>
    <w:rsid w:val="00FF2BE5"/>
    <w:rsid w:val="00FF385B"/>
    <w:rsid w:val="00FF3C16"/>
    <w:rsid w:val="00FF50FE"/>
    <w:rsid w:val="00FF7282"/>
    <w:rsid w:val="00FF72CE"/>
    <w:rsid w:val="00FF7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BD"/>
    <w:pPr>
      <w:spacing w:line="256" w:lineRule="auto"/>
    </w:pPr>
    <w:rPr>
      <w:rFonts w:ascii="Times New Roman" w:hAnsi="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val="0"/>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207BF"/>
    <w:rPr>
      <w:color w:val="605E5C"/>
      <w:shd w:val="clear" w:color="auto" w:fill="E1DFDD"/>
    </w:rPr>
  </w:style>
  <w:style w:type="paragraph" w:styleId="Revision">
    <w:name w:val="Revision"/>
    <w:hidden/>
    <w:uiPriority w:val="99"/>
    <w:semiHidden/>
    <w:rsid w:val="00841D07"/>
    <w:pPr>
      <w:spacing w:after="0" w:line="240" w:lineRule="auto"/>
    </w:pPr>
  </w:style>
  <w:style w:type="paragraph" w:styleId="ListBullet">
    <w:name w:val="List Bullet"/>
    <w:basedOn w:val="Normal"/>
    <w:qFormat/>
    <w:rsid w:val="0009372B"/>
    <w:pPr>
      <w:numPr>
        <w:numId w:val="25"/>
      </w:numPr>
      <w:spacing w:after="80" w:line="240" w:lineRule="atLeast"/>
    </w:pPr>
    <w:rPr>
      <w:rFonts w:ascii="Arial" w:eastAsia="Times New Roman" w:hAnsi="Arial"/>
      <w:sz w:val="20"/>
      <w:szCs w:val="24"/>
      <w:lang w:eastAsia="en-AU"/>
    </w:rPr>
  </w:style>
  <w:style w:type="paragraph" w:customStyle="1" w:styleId="ListBulletLast">
    <w:name w:val="List Bullet Last"/>
    <w:basedOn w:val="ListBullet"/>
    <w:qFormat/>
    <w:rsid w:val="00662699"/>
    <w:pPr>
      <w:spacing w:after="24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ma.gov.au/" TargetMode="External"/><Relationship Id="rId18" Type="http://schemas.openxmlformats.org/officeDocument/2006/relationships/hyperlink" Target="http://www.acma.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yperlink" Target="http://www.acma.gov.au" TargetMode="External"/><Relationship Id="rId2" Type="http://schemas.openxmlformats.org/officeDocument/2006/relationships/customXml" Target="../customXml/item2.xml"/><Relationship Id="rId16" Type="http://schemas.openxmlformats.org/officeDocument/2006/relationships/hyperlink" Target="http://www.acma.gov.au" TargetMode="External"/><Relationship Id="rId20" Type="http://schemas.openxmlformats.org/officeDocument/2006/relationships/footer" Target="footer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portal.etsi.org" TargetMode="Externa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ma.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FDB167D62F6D44E90C1229C323553E2" ma:contentTypeVersion="2" ma:contentTypeDescription="Create a new document." ma:contentTypeScope="" ma:versionID="fc4efb765a22df879d9ad0a3d56d054e">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UQVA7MFFXVNW-850449931-623</_dlc_DocId>
    <_dlc_DocIdUrl xmlns="04b8ec43-391f-4ce4-8841-d6a482add564">
      <Url>http://collaboration/organisation/auth/Chair/Auth/_layouts/15/DocIdRedir.aspx?ID=UQVA7MFFXVNW-850449931-623</Url>
      <Description>UQVA7MFFXVNW-850449931-623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92EAC7-E9F9-4FDB-84C0-84DF0B8D1CE0}">
  <ds:schemaRefs>
    <ds:schemaRef ds:uri="http://schemas.microsoft.com/sharepoint/events"/>
  </ds:schemaRefs>
</ds:datastoreItem>
</file>

<file path=customXml/itemProps2.xml><?xml version="1.0" encoding="utf-8"?>
<ds:datastoreItem xmlns:ds="http://schemas.openxmlformats.org/officeDocument/2006/customXml" ds:itemID="{19D34F10-61BF-4551-96E0-D9AFFF217DAE}"/>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4.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5.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6.xml><?xml version="1.0" encoding="utf-8"?>
<ds:datastoreItem xmlns:ds="http://schemas.openxmlformats.org/officeDocument/2006/customXml" ds:itemID="{F3C84BD9-C2BE-4B79-AEEB-AC6E395C5F14}"/>
</file>

<file path=docProps/app.xml><?xml version="1.0" encoding="utf-8"?>
<Properties xmlns="http://schemas.openxmlformats.org/officeDocument/2006/extended-properties" xmlns:vt="http://schemas.openxmlformats.org/officeDocument/2006/docPropsVTypes">
  <Template>Normal.dotm</Template>
  <TotalTime>0</TotalTime>
  <Pages>8</Pages>
  <Words>3048</Words>
  <Characters>16128</Characters>
  <Application>Microsoft Office Word</Application>
  <DocSecurity>0</DocSecurity>
  <Lines>413</Lines>
  <Paragraphs>233</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2</cp:revision>
  <cp:lastPrinted>2022-06-30T01:09:00Z</cp:lastPrinted>
  <dcterms:created xsi:type="dcterms:W3CDTF">2023-06-02T01:10:00Z</dcterms:created>
  <dcterms:modified xsi:type="dcterms:W3CDTF">2023-06-02T01:10:00Z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0x010100BFDB167D62F6D44E90C1229C323553E2</vt:lpwstr>
  </property>
  <property fmtid="{D5CDD505-2E9C-101B-9397-08002B2CF9AE}" pid="3" name="_dlc_DocIdItemGuid">
    <vt:lpwstr>8ac3f087-2cac-4e65-85ca-65e9bfe5210c</vt:lpwstr>
  </property>
  <property fmtid="{D5CDD505-2E9C-101B-9397-08002B2CF9AE}" pid="4" name="TitusGUID">
    <vt:lpwstr>319c3d86-aa53-4217-a608-c379ec63e138</vt:lpwstr>
  </property>
</Properties>
</file>