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Default="00D00EFA" w:rsidP="00D00EFA">
      <w:pPr>
        <w:rPr>
          <w:rFonts w:ascii="Times New Roman" w:hAnsi="Times New Roman" w:cs="Times New Roman"/>
          <w:sz w:val="28"/>
        </w:rPr>
      </w:pPr>
      <w:r>
        <w:rPr>
          <w:rFonts w:ascii="Times New Roman" w:hAnsi="Times New Roman" w:cs="Times New Roman"/>
          <w:noProof/>
          <w:lang w:eastAsia="en-AU"/>
        </w:rPr>
        <w:drawing>
          <wp:inline distT="0" distB="0" distL="0" distR="0" wp14:anchorId="7AC4A017" wp14:editId="6C037955">
            <wp:extent cx="1504950" cy="1104900"/>
            <wp:effectExtent l="0" t="0" r="0" b="0"/>
            <wp:docPr id="1" name="Picture 1" descr="Commonwealth of Australia coat of arm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of Australia coat of arm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Default="00D00EFA" w:rsidP="00D00EFA">
      <w:pPr>
        <w:rPr>
          <w:rFonts w:ascii="Times New Roman" w:hAnsi="Times New Roman" w:cs="Times New Roman"/>
          <w:sz w:val="19"/>
        </w:rPr>
      </w:pPr>
    </w:p>
    <w:p w14:paraId="35EA92C9" w14:textId="62453AE4" w:rsidR="00D00EFA" w:rsidRDefault="00247D4A" w:rsidP="00D00EFA">
      <w:pPr>
        <w:pStyle w:val="ShortT"/>
      </w:pPr>
      <w:r>
        <w:t>Radiocommunications</w:t>
      </w:r>
      <w:r w:rsidR="00C064D0">
        <w:t xml:space="preserve"> </w:t>
      </w:r>
      <w:r w:rsidR="0098543D">
        <w:t>Licence Condition</w:t>
      </w:r>
      <w:r w:rsidR="00B85310">
        <w:t>s</w:t>
      </w:r>
      <w:r w:rsidR="0098543D">
        <w:t xml:space="preserve"> </w:t>
      </w:r>
      <w:r>
        <w:t>(</w:t>
      </w:r>
      <w:r w:rsidR="00B35F5E">
        <w:t>Area-Wide Licence</w:t>
      </w:r>
      <w:r w:rsidR="00644471">
        <w:t xml:space="preserve">) Amendment </w:t>
      </w:r>
      <w:r w:rsidR="00B35F5E">
        <w:t>Determination 202</w:t>
      </w:r>
      <w:r w:rsidR="00692FE8">
        <w:t>3</w:t>
      </w:r>
      <w:r w:rsidR="0099193E">
        <w:t xml:space="preserve"> (No.</w:t>
      </w:r>
      <w:r w:rsidR="00B35F5E">
        <w:t> </w:t>
      </w:r>
      <w:r w:rsidR="0099193E">
        <w:t>1)</w:t>
      </w:r>
    </w:p>
    <w:p w14:paraId="030DF66D" w14:textId="77777777" w:rsidR="00D00EFA" w:rsidRDefault="00D00EFA" w:rsidP="00D00EFA">
      <w:pPr>
        <w:pStyle w:val="SignCoverPageStart"/>
        <w:spacing w:before="0" w:line="240" w:lineRule="auto"/>
        <w:rPr>
          <w:szCs w:val="22"/>
        </w:rPr>
      </w:pPr>
    </w:p>
    <w:p w14:paraId="49B35910" w14:textId="31C78514" w:rsidR="00D00EFA" w:rsidRPr="00F55B9E" w:rsidRDefault="00D00EFA" w:rsidP="00D00EFA">
      <w:pPr>
        <w:pStyle w:val="SignCoverPageStart"/>
        <w:spacing w:before="0" w:line="240" w:lineRule="auto"/>
        <w:rPr>
          <w:iCs/>
          <w:szCs w:val="22"/>
        </w:rPr>
      </w:pPr>
      <w:r>
        <w:rPr>
          <w:szCs w:val="22"/>
        </w:rPr>
        <w:t xml:space="preserve">The Australian Communications and Media Authority makes the following </w:t>
      </w:r>
      <w:r w:rsidR="00C064D0">
        <w:rPr>
          <w:szCs w:val="22"/>
        </w:rPr>
        <w:t>instrument</w:t>
      </w:r>
      <w:r w:rsidR="00B67814">
        <w:rPr>
          <w:szCs w:val="22"/>
        </w:rPr>
        <w:t xml:space="preserve"> under subsection </w:t>
      </w:r>
      <w:r w:rsidR="00B35F5E">
        <w:rPr>
          <w:szCs w:val="22"/>
        </w:rPr>
        <w:t>110A</w:t>
      </w:r>
      <w:r w:rsidR="00B67814">
        <w:rPr>
          <w:szCs w:val="22"/>
        </w:rPr>
        <w:t>(</w:t>
      </w:r>
      <w:r w:rsidR="00B35F5E">
        <w:rPr>
          <w:szCs w:val="22"/>
        </w:rPr>
        <w:t>2</w:t>
      </w:r>
      <w:r w:rsidR="00B67814">
        <w:rPr>
          <w:szCs w:val="22"/>
        </w:rPr>
        <w:t xml:space="preserve">) of the </w:t>
      </w:r>
      <w:r w:rsidR="003C0801">
        <w:rPr>
          <w:i/>
          <w:iCs/>
          <w:szCs w:val="22"/>
        </w:rPr>
        <w:t>Radiocommunications Act 1992</w:t>
      </w:r>
      <w:r w:rsidRPr="00F55B9E">
        <w:rPr>
          <w:iCs/>
        </w:rPr>
        <w:t>.</w:t>
      </w:r>
    </w:p>
    <w:p w14:paraId="006C8DC4" w14:textId="6CE159BC" w:rsidR="00D00EFA" w:rsidRDefault="00D00EFA" w:rsidP="00D00EFA">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441F90">
        <w:rPr>
          <w:rFonts w:ascii="Times New Roman" w:hAnsi="Times New Roman" w:cs="Times New Roman"/>
        </w:rPr>
        <w:t xml:space="preserve"> 16 June 2023</w:t>
      </w:r>
    </w:p>
    <w:p w14:paraId="2E857068" w14:textId="4259259D" w:rsidR="00B22B8E" w:rsidRDefault="00441F90"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James Cameron</w:t>
      </w:r>
    </w:p>
    <w:p w14:paraId="50361C19" w14:textId="329CF471" w:rsidR="00B22B8E" w:rsidRDefault="00441F90"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46E0CE83" w14:textId="77777777" w:rsidR="00B22B8E" w:rsidRDefault="00B22B8E"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Member</w:t>
      </w:r>
    </w:p>
    <w:p w14:paraId="395F52DA" w14:textId="77777777" w:rsidR="00B22B8E" w:rsidRDefault="00B22B8E" w:rsidP="00B22B8E">
      <w:pPr>
        <w:tabs>
          <w:tab w:val="left" w:pos="3119"/>
        </w:tabs>
        <w:spacing w:after="0" w:line="240" w:lineRule="atLeast"/>
        <w:ind w:right="374"/>
        <w:jc w:val="right"/>
        <w:rPr>
          <w:rFonts w:ascii="Times New Roman" w:hAnsi="Times New Roman" w:cs="Times New Roman"/>
        </w:rPr>
      </w:pPr>
    </w:p>
    <w:p w14:paraId="18FA582E" w14:textId="3BAC2461" w:rsidR="00B22B8E" w:rsidRDefault="00441F90"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Cathy Rainsford</w:t>
      </w:r>
    </w:p>
    <w:p w14:paraId="57158E2A" w14:textId="7FBF5DDF" w:rsidR="00B22B8E" w:rsidRDefault="00441F90" w:rsidP="00B22B8E">
      <w:pPr>
        <w:tabs>
          <w:tab w:val="left" w:pos="3119"/>
        </w:tabs>
        <w:spacing w:after="0" w:line="240" w:lineRule="atLeast"/>
        <w:ind w:right="374"/>
        <w:jc w:val="right"/>
        <w:rPr>
          <w:rFonts w:ascii="Times New Roman" w:hAnsi="Times New Roman" w:cs="Times New Roman"/>
        </w:rPr>
      </w:pPr>
      <w:r>
        <w:rPr>
          <w:rFonts w:ascii="Times New Roman" w:hAnsi="Times New Roman" w:cs="Times New Roman"/>
        </w:rPr>
        <w:t>[signed]</w:t>
      </w:r>
    </w:p>
    <w:p w14:paraId="70FBB699" w14:textId="77777777" w:rsidR="00B22B8E" w:rsidRDefault="00B22B8E" w:rsidP="00B22B8E">
      <w:pPr>
        <w:tabs>
          <w:tab w:val="left" w:pos="3119"/>
        </w:tabs>
        <w:spacing w:after="0" w:line="240" w:lineRule="atLeast"/>
        <w:ind w:right="374"/>
        <w:jc w:val="right"/>
        <w:rPr>
          <w:rFonts w:ascii="Times New Roman" w:hAnsi="Times New Roman" w:cs="Times New Roman"/>
        </w:rPr>
      </w:pPr>
      <w:r w:rsidRPr="00441F90">
        <w:rPr>
          <w:rFonts w:ascii="Times New Roman" w:hAnsi="Times New Roman" w:cs="Times New Roman"/>
          <w:strike/>
        </w:rPr>
        <w:t>Member</w:t>
      </w:r>
      <w:r>
        <w:rPr>
          <w:rFonts w:ascii="Times New Roman" w:hAnsi="Times New Roman" w:cs="Times New Roman"/>
        </w:rPr>
        <w:t>/General Manager</w:t>
      </w:r>
    </w:p>
    <w:p w14:paraId="1517D01C" w14:textId="77777777" w:rsidR="00D00EFA" w:rsidRDefault="00D00EFA" w:rsidP="00D00EFA">
      <w:pPr>
        <w:pStyle w:val="SignCoverPageEnd"/>
        <w:ind w:right="794"/>
        <w:rPr>
          <w:szCs w:val="22"/>
        </w:rPr>
      </w:pPr>
    </w:p>
    <w:p w14:paraId="4D97708D" w14:textId="77777777" w:rsidR="00D00EFA" w:rsidRDefault="00D00EFA" w:rsidP="00D00EFA">
      <w:pPr>
        <w:pStyle w:val="SignCoverPageEnd"/>
        <w:ind w:right="794"/>
        <w:rPr>
          <w:szCs w:val="22"/>
        </w:rPr>
      </w:pPr>
      <w:r>
        <w:rPr>
          <w:szCs w:val="22"/>
        </w:rPr>
        <w:t>Australian Communications and Media Authority</w:t>
      </w:r>
    </w:p>
    <w:p w14:paraId="45C5BBC5" w14:textId="77777777" w:rsidR="00D00EFA" w:rsidRDefault="00D00EFA" w:rsidP="00D00EFA">
      <w:pPr>
        <w:rPr>
          <w:rFonts w:ascii="Times New Roman" w:hAnsi="Times New Roman" w:cs="Times New Roman"/>
        </w:rPr>
      </w:pPr>
    </w:p>
    <w:p w14:paraId="4DC159A5" w14:textId="77777777" w:rsidR="00D00EFA" w:rsidRDefault="00D00EFA" w:rsidP="00D00EFA">
      <w:pPr>
        <w:rPr>
          <w:rFonts w:ascii="Times New Roman" w:hAnsi="Times New Roman" w:cs="Times New Roman"/>
        </w:rPr>
      </w:pPr>
    </w:p>
    <w:p w14:paraId="0D98EA0F" w14:textId="77777777" w:rsidR="00D00EFA" w:rsidRDefault="00D00EFA" w:rsidP="00D00EFA">
      <w:pPr>
        <w:rPr>
          <w:rFonts w:ascii="Times New Roman" w:hAnsi="Times New Roman" w:cs="Times New Roman"/>
        </w:rPr>
      </w:pPr>
    </w:p>
    <w:p w14:paraId="3E57F021" w14:textId="77777777" w:rsidR="00D00EFA" w:rsidRDefault="00D00EFA" w:rsidP="00D00EFA">
      <w:pPr>
        <w:spacing w:after="0"/>
        <w:rPr>
          <w:rFonts w:ascii="Times New Roman" w:hAnsi="Times New Roman" w:cs="Times New Roman"/>
        </w:rPr>
        <w:sectPr w:rsidR="00D00EFA">
          <w:pgSz w:w="11906" w:h="16838"/>
          <w:pgMar w:top="1440" w:right="1440" w:bottom="1440" w:left="1440" w:header="708" w:footer="708" w:gutter="0"/>
          <w:pgNumType w:start="1"/>
          <w:cols w:space="720"/>
        </w:sectPr>
      </w:pPr>
    </w:p>
    <w:p w14:paraId="35E12F58" w14:textId="77777777" w:rsidR="00D00EFA" w:rsidRDefault="00D00EFA" w:rsidP="00D00EFA">
      <w:pPr>
        <w:pStyle w:val="ActHead5"/>
        <w:spacing w:before="0"/>
        <w:ind w:left="0" w:firstLine="0"/>
        <w:rPr>
          <w:rStyle w:val="CharSectno"/>
          <w:szCs w:val="24"/>
        </w:rPr>
      </w:pPr>
      <w:bookmarkStart w:id="1" w:name="_Toc444596031"/>
    </w:p>
    <w:p w14:paraId="1AE20F53" w14:textId="77777777" w:rsidR="00D00EFA" w:rsidRDefault="00D00EFA" w:rsidP="00D00EFA">
      <w:pPr>
        <w:pStyle w:val="ActHead5"/>
        <w:spacing w:before="0"/>
        <w:ind w:left="0" w:firstLine="0"/>
        <w:rPr>
          <w:sz w:val="32"/>
          <w:szCs w:val="32"/>
        </w:rPr>
      </w:pPr>
      <w:r>
        <w:rPr>
          <w:rStyle w:val="CharSectno"/>
        </w:rPr>
        <w:t>1</w:t>
      </w:r>
      <w:r>
        <w:t xml:space="preserve">  Name</w:t>
      </w:r>
    </w:p>
    <w:p w14:paraId="6D729A26" w14:textId="38D3A1A1" w:rsidR="00D00EFA" w:rsidRDefault="00D00EFA" w:rsidP="00D00EFA">
      <w:pPr>
        <w:pStyle w:val="subsection"/>
      </w:pPr>
      <w:r>
        <w:tab/>
      </w:r>
      <w:r>
        <w:tab/>
        <w:t>This is the</w:t>
      </w:r>
      <w:r w:rsidR="00F4519A">
        <w:t xml:space="preserve"> </w:t>
      </w:r>
      <w:r w:rsidR="00F4519A">
        <w:rPr>
          <w:i/>
          <w:iCs/>
        </w:rPr>
        <w:t xml:space="preserve">Radiocommunications </w:t>
      </w:r>
      <w:r w:rsidR="00B35F5E">
        <w:rPr>
          <w:i/>
          <w:iCs/>
        </w:rPr>
        <w:t>Licence Conditions</w:t>
      </w:r>
      <w:r w:rsidR="00F576F9">
        <w:rPr>
          <w:i/>
          <w:iCs/>
        </w:rPr>
        <w:t xml:space="preserve"> </w:t>
      </w:r>
      <w:r w:rsidR="00F4519A">
        <w:rPr>
          <w:i/>
          <w:iCs/>
        </w:rPr>
        <w:t>(</w:t>
      </w:r>
      <w:r w:rsidR="00B35F5E">
        <w:rPr>
          <w:i/>
          <w:iCs/>
        </w:rPr>
        <w:t>Area-Wide Licence</w:t>
      </w:r>
      <w:r w:rsidR="00F4519A">
        <w:rPr>
          <w:i/>
          <w:iCs/>
        </w:rPr>
        <w:t xml:space="preserve">) Amendment </w:t>
      </w:r>
      <w:bookmarkStart w:id="2" w:name="BKCheck15B_3"/>
      <w:bookmarkEnd w:id="2"/>
      <w:r w:rsidR="00B35F5E">
        <w:rPr>
          <w:i/>
          <w:iCs/>
        </w:rPr>
        <w:t>Determination 202</w:t>
      </w:r>
      <w:r w:rsidR="00BC67A9">
        <w:rPr>
          <w:i/>
          <w:iCs/>
        </w:rPr>
        <w:t>3</w:t>
      </w:r>
      <w:r w:rsidR="00E53F1D">
        <w:rPr>
          <w:i/>
          <w:iCs/>
        </w:rPr>
        <w:t xml:space="preserve"> (No. 1)</w:t>
      </w:r>
      <w:r>
        <w:t>.</w:t>
      </w:r>
    </w:p>
    <w:p w14:paraId="60908A15" w14:textId="77777777" w:rsidR="00D00EFA" w:rsidRDefault="00D00EFA" w:rsidP="00D00EFA">
      <w:pPr>
        <w:pStyle w:val="ActHead5"/>
      </w:pPr>
      <w:bookmarkStart w:id="3" w:name="_Toc444596032"/>
      <w:r>
        <w:rPr>
          <w:rStyle w:val="CharSectno"/>
        </w:rPr>
        <w:t>2</w:t>
      </w:r>
      <w:r>
        <w:t xml:space="preserve">  Commencement</w:t>
      </w:r>
      <w:bookmarkEnd w:id="3"/>
    </w:p>
    <w:p w14:paraId="3E71573B" w14:textId="3F3801B1" w:rsidR="00AC6465" w:rsidRDefault="00AC6465" w:rsidP="00F576F9">
      <w:pPr>
        <w:pStyle w:val="subsection"/>
      </w:pPr>
      <w:bookmarkStart w:id="4" w:name="_Toc444596033"/>
      <w:r>
        <w:tab/>
      </w:r>
      <w:r>
        <w:tab/>
        <w:t xml:space="preserve">This instrument commences on the day after the day </w:t>
      </w:r>
      <w:r w:rsidR="006C6D24">
        <w:t>it</w:t>
      </w:r>
      <w:r>
        <w:t xml:space="preserve"> is registered on the Federal Register of Legislation.</w:t>
      </w:r>
    </w:p>
    <w:p w14:paraId="1D2C386B" w14:textId="77777777" w:rsidR="00AC6465" w:rsidRDefault="00AC6465" w:rsidP="00AC6465">
      <w:pPr>
        <w:pStyle w:val="LI-BodyTextNote"/>
        <w:spacing w:before="122"/>
      </w:pPr>
      <w:r>
        <w:t>Note:</w:t>
      </w:r>
      <w:r>
        <w:tab/>
        <w:t xml:space="preserve">The Federal Register of Legislation may be accessed free of charge at </w:t>
      </w:r>
      <w:hyperlink r:id="rId13" w:history="1">
        <w:r>
          <w:rPr>
            <w:rStyle w:val="Hyperlink"/>
            <w:rFonts w:eastAsiaTheme="majorEastAsia"/>
          </w:rPr>
          <w:t>www.legislation.gov.au</w:t>
        </w:r>
      </w:hyperlink>
      <w:r>
        <w:t>.</w:t>
      </w:r>
    </w:p>
    <w:p w14:paraId="77EA035F" w14:textId="77777777" w:rsidR="00D00EFA" w:rsidRDefault="00D00EFA" w:rsidP="00D00EFA">
      <w:pPr>
        <w:pStyle w:val="ActHead5"/>
      </w:pPr>
      <w:r>
        <w:rPr>
          <w:rStyle w:val="CharSectno"/>
        </w:rPr>
        <w:t>3</w:t>
      </w:r>
      <w:r>
        <w:t xml:space="preserve">  Authority</w:t>
      </w:r>
      <w:bookmarkEnd w:id="4"/>
    </w:p>
    <w:p w14:paraId="67903CDC" w14:textId="32D3A0F1" w:rsidR="00D00EFA" w:rsidRDefault="00D00EFA" w:rsidP="00D00EFA">
      <w:pPr>
        <w:pStyle w:val="subsection"/>
      </w:pPr>
      <w:r>
        <w:tab/>
      </w:r>
      <w:r>
        <w:tab/>
        <w:t xml:space="preserve">This instrument is made under </w:t>
      </w:r>
      <w:r w:rsidR="001C53BB">
        <w:t xml:space="preserve">subsection </w:t>
      </w:r>
      <w:r w:rsidR="00B35F5E">
        <w:t>110A</w:t>
      </w:r>
      <w:r w:rsidR="001C53BB">
        <w:t>(</w:t>
      </w:r>
      <w:r w:rsidR="00B35F5E">
        <w:t>2</w:t>
      </w:r>
      <w:r w:rsidR="001C53BB">
        <w:t>)</w:t>
      </w:r>
      <w:r>
        <w:t xml:space="preserve"> of the </w:t>
      </w:r>
      <w:r w:rsidR="006C6D24">
        <w:rPr>
          <w:i/>
        </w:rPr>
        <w:t>Radiocommunications Act 1992</w:t>
      </w:r>
      <w:r w:rsidRPr="008E62E7">
        <w:rPr>
          <w:i/>
          <w:iCs/>
        </w:rPr>
        <w:t>.</w:t>
      </w:r>
    </w:p>
    <w:p w14:paraId="237BACC0" w14:textId="77777777" w:rsidR="00D00EFA" w:rsidRDefault="00D00EFA" w:rsidP="00D00EFA">
      <w:pPr>
        <w:pStyle w:val="ActHead5"/>
      </w:pPr>
      <w:bookmarkStart w:id="5" w:name="_Toc444596034"/>
      <w:r>
        <w:t>4  Amendments</w:t>
      </w:r>
    </w:p>
    <w:p w14:paraId="5A9EF9A5" w14:textId="784B9B2E" w:rsidR="00D00EFA" w:rsidRDefault="00D00EFA" w:rsidP="00D00EFA">
      <w:pPr>
        <w:pStyle w:val="subsection"/>
        <w:rPr>
          <w:rStyle w:val="CharSectno"/>
        </w:rPr>
      </w:pPr>
      <w:r>
        <w:tab/>
      </w:r>
      <w:r>
        <w:tab/>
        <w:t>The instrument that is specified in Schedule 1 is amended as set out in the applicable items in that Schedule.</w:t>
      </w:r>
      <w:r>
        <w:rPr>
          <w:i/>
        </w:rPr>
        <w:t xml:space="preserve"> </w:t>
      </w:r>
    </w:p>
    <w:bookmarkEnd w:id="5"/>
    <w:p w14:paraId="1FDC1C1D" w14:textId="77777777" w:rsidR="00D00EFA" w:rsidRDefault="00D00EFA" w:rsidP="00D00EFA">
      <w:pPr>
        <w:pStyle w:val="notetext"/>
      </w:pPr>
      <w:r>
        <w:t xml:space="preserve"> </w:t>
      </w:r>
    </w:p>
    <w:bookmarkEnd w:id="1"/>
    <w:p w14:paraId="5A2F50F6" w14:textId="77777777" w:rsidR="00D00EFA" w:rsidRDefault="00D00EFA" w:rsidP="00D00EFA">
      <w:pPr>
        <w:spacing w:after="0"/>
        <w:rPr>
          <w:rFonts w:ascii="Times New Roman" w:hAnsi="Times New Roman" w:cs="Times New Roman"/>
          <w:b/>
          <w:sz w:val="24"/>
          <w:szCs w:val="24"/>
        </w:rPr>
        <w:sectPr w:rsidR="00D00EFA" w:rsidSect="00704AFD">
          <w:headerReference w:type="even" r:id="rId14"/>
          <w:headerReference w:type="default" r:id="rId15"/>
          <w:footerReference w:type="default" r:id="rId16"/>
          <w:headerReference w:type="first" r:id="rId17"/>
          <w:pgSz w:w="11906" w:h="16838"/>
          <w:pgMar w:top="1440" w:right="1440" w:bottom="1440" w:left="1440" w:header="708" w:footer="708" w:gutter="0"/>
          <w:pgNumType w:start="2"/>
          <w:cols w:space="720"/>
        </w:sectPr>
      </w:pPr>
    </w:p>
    <w:p w14:paraId="4C167BD2" w14:textId="77777777" w:rsidR="00D00EFA" w:rsidRDefault="00D00EFA" w:rsidP="00D00EFA">
      <w:pPr>
        <w:pStyle w:val="ActHead5"/>
        <w:spacing w:before="0"/>
        <w:ind w:left="0" w:firstLine="0"/>
        <w:rPr>
          <w:rStyle w:val="CharSectno"/>
          <w:rFonts w:ascii="Arial" w:hAnsi="Arial" w:cs="Arial"/>
          <w:sz w:val="32"/>
          <w:szCs w:val="32"/>
        </w:rPr>
      </w:pPr>
      <w:r>
        <w:rPr>
          <w:rStyle w:val="CharSectno"/>
          <w:rFonts w:ascii="Arial" w:hAnsi="Arial" w:cs="Arial"/>
          <w:sz w:val="32"/>
          <w:szCs w:val="32"/>
        </w:rPr>
        <w:lastRenderedPageBreak/>
        <w:t>Schedule 1</w:t>
      </w:r>
      <w:r>
        <w:rPr>
          <w:rFonts w:ascii="Arial" w:hAnsi="Arial" w:cs="Arial"/>
          <w:sz w:val="32"/>
          <w:szCs w:val="32"/>
        </w:rPr>
        <w:t>—Amendments</w:t>
      </w:r>
    </w:p>
    <w:p w14:paraId="1598FF2F" w14:textId="2613263C" w:rsidR="00D00EFA" w:rsidRPr="00DF74EC" w:rsidRDefault="008D1846" w:rsidP="00D00EFA">
      <w:pPr>
        <w:pStyle w:val="ActHead9"/>
        <w:ind w:left="0" w:firstLine="0"/>
      </w:pPr>
      <w:bookmarkStart w:id="6" w:name="_Toc438623396"/>
      <w:bookmarkStart w:id="7" w:name="_Toc444596036"/>
      <w:r w:rsidRPr="00DF74EC">
        <w:t xml:space="preserve">Radiocommunications </w:t>
      </w:r>
      <w:r w:rsidR="00597D10">
        <w:t>Licence Conditions</w:t>
      </w:r>
      <w:r w:rsidR="004863B5">
        <w:t xml:space="preserve"> </w:t>
      </w:r>
      <w:r w:rsidR="007369E4">
        <w:t>(</w:t>
      </w:r>
      <w:r w:rsidR="00597D10">
        <w:t>Area-Wide Licence</w:t>
      </w:r>
      <w:r w:rsidRPr="00DF74EC">
        <w:t xml:space="preserve">) </w:t>
      </w:r>
      <w:r w:rsidR="00597D10">
        <w:t>Determination 2020</w:t>
      </w:r>
      <w:r w:rsidR="001F22AD" w:rsidRPr="00DF74EC">
        <w:t xml:space="preserve"> </w:t>
      </w:r>
      <w:bookmarkEnd w:id="6"/>
      <w:r w:rsidR="00BC6765">
        <w:rPr>
          <w:i w:val="0"/>
          <w:iCs/>
        </w:rPr>
        <w:t>(</w:t>
      </w:r>
      <w:r w:rsidR="00D00EFA" w:rsidRPr="00BC6765">
        <w:rPr>
          <w:i w:val="0"/>
          <w:iCs/>
          <w:szCs w:val="28"/>
        </w:rPr>
        <w:t>F20</w:t>
      </w:r>
      <w:r w:rsidR="0065107F">
        <w:rPr>
          <w:i w:val="0"/>
          <w:iCs/>
          <w:szCs w:val="28"/>
        </w:rPr>
        <w:t>2</w:t>
      </w:r>
      <w:r w:rsidR="000575DC">
        <w:rPr>
          <w:i w:val="0"/>
          <w:iCs/>
          <w:szCs w:val="28"/>
        </w:rPr>
        <w:t>0</w:t>
      </w:r>
      <w:r w:rsidR="00D00EFA" w:rsidRPr="00BC6765">
        <w:rPr>
          <w:i w:val="0"/>
          <w:iCs/>
          <w:szCs w:val="28"/>
        </w:rPr>
        <w:t>L</w:t>
      </w:r>
      <w:r w:rsidR="001F22AD" w:rsidRPr="00BC6765">
        <w:rPr>
          <w:i w:val="0"/>
          <w:iCs/>
          <w:szCs w:val="28"/>
        </w:rPr>
        <w:t>00</w:t>
      </w:r>
      <w:r w:rsidR="000575DC">
        <w:rPr>
          <w:i w:val="0"/>
          <w:iCs/>
          <w:szCs w:val="28"/>
        </w:rPr>
        <w:t>070</w:t>
      </w:r>
      <w:r w:rsidR="00BC6765">
        <w:rPr>
          <w:i w:val="0"/>
          <w:iCs/>
          <w:szCs w:val="28"/>
        </w:rPr>
        <w:t>)</w:t>
      </w:r>
    </w:p>
    <w:p w14:paraId="38882936" w14:textId="385A5311" w:rsidR="009C523F" w:rsidRDefault="008413E9" w:rsidP="00D00EFA">
      <w:pPr>
        <w:pStyle w:val="ItemHead"/>
      </w:pPr>
      <w:r w:rsidRPr="00686A3C">
        <w:t xml:space="preserve">1  </w:t>
      </w:r>
      <w:r w:rsidR="00214CF2">
        <w:t>After s</w:t>
      </w:r>
      <w:r w:rsidR="009C523F">
        <w:t>ection 3</w:t>
      </w:r>
    </w:p>
    <w:p w14:paraId="1356ABE8" w14:textId="49F4A26D" w:rsidR="009C523F" w:rsidRDefault="00214CF2" w:rsidP="009C523F">
      <w:pPr>
        <w:pStyle w:val="Item"/>
      </w:pPr>
      <w:r>
        <w:t>Insert</w:t>
      </w:r>
      <w:r w:rsidR="00FC56C1">
        <w:t>:</w:t>
      </w:r>
    </w:p>
    <w:p w14:paraId="248776A6" w14:textId="1F8D16E4" w:rsidR="005C6DB4" w:rsidRPr="001A0D49" w:rsidRDefault="005C6DB4" w:rsidP="14FE06F4">
      <w:pPr>
        <w:pStyle w:val="notetext"/>
        <w:rPr>
          <w:szCs w:val="18"/>
        </w:rPr>
      </w:pPr>
      <w:r>
        <w:t>Note:</w:t>
      </w:r>
      <w:r>
        <w:tab/>
      </w:r>
      <w:r w:rsidR="00AC5189">
        <w:t xml:space="preserve">Paragraph 107(1)(f) of the Act was repealed by the </w:t>
      </w:r>
      <w:r w:rsidR="001A0D49" w:rsidRPr="14FE06F4">
        <w:rPr>
          <w:i/>
          <w:iCs/>
        </w:rPr>
        <w:t>Radiocommunications Legislation Amendment (Reform and Modernisation) Act 2020</w:t>
      </w:r>
      <w:r w:rsidR="001A0D49">
        <w:t xml:space="preserve">. This Determination has effect as if it had been </w:t>
      </w:r>
      <w:r w:rsidR="0062680C">
        <w:t xml:space="preserve">made under </w:t>
      </w:r>
      <w:r w:rsidR="005F2BD0">
        <w:t>sub</w:t>
      </w:r>
      <w:r w:rsidR="0062680C">
        <w:t xml:space="preserve">section 110A(2) of the Act: see item 24 of Schedule 5 to the </w:t>
      </w:r>
      <w:r w:rsidR="0062680C" w:rsidRPr="14FE06F4">
        <w:rPr>
          <w:i/>
          <w:iCs/>
        </w:rPr>
        <w:t>Radiocommunications Legislation Amendment (Reform and Modernisation) Act 2020</w:t>
      </w:r>
      <w:r w:rsidR="0062680C">
        <w:t>.</w:t>
      </w:r>
    </w:p>
    <w:p w14:paraId="2FFCB00D" w14:textId="4E92B072" w:rsidR="008413E9" w:rsidRPr="00EF3FD6" w:rsidRDefault="000F6E6E" w:rsidP="00D00EFA">
      <w:pPr>
        <w:pStyle w:val="ItemHead"/>
      </w:pPr>
      <w:r>
        <w:t xml:space="preserve">2  </w:t>
      </w:r>
      <w:r w:rsidR="008413E9" w:rsidRPr="00686A3C">
        <w:t>S</w:t>
      </w:r>
      <w:r w:rsidR="006C71DC">
        <w:t>ection</w:t>
      </w:r>
      <w:r w:rsidR="008413E9" w:rsidRPr="00686A3C">
        <w:t xml:space="preserve"> </w:t>
      </w:r>
      <w:r>
        <w:t>5</w:t>
      </w:r>
      <w:r w:rsidR="00704AFD">
        <w:t xml:space="preserve"> (</w:t>
      </w:r>
      <w:r w:rsidR="008B32EA">
        <w:t xml:space="preserve">definition of </w:t>
      </w:r>
      <w:r w:rsidR="008B32EA">
        <w:rPr>
          <w:i/>
          <w:iCs/>
        </w:rPr>
        <w:t>26 GHz band spectrum licence</w:t>
      </w:r>
      <w:r w:rsidR="00704AFD">
        <w:t>)</w:t>
      </w:r>
    </w:p>
    <w:p w14:paraId="38FD214E" w14:textId="4CB8DBCB" w:rsidR="008B32EA" w:rsidRDefault="008B32EA" w:rsidP="00332F7E">
      <w:pPr>
        <w:pStyle w:val="Item"/>
      </w:pPr>
      <w:r>
        <w:t>R</w:t>
      </w:r>
      <w:r w:rsidR="00C31A95">
        <w:t>e</w:t>
      </w:r>
      <w:r>
        <w:t>peal the definition.</w:t>
      </w:r>
    </w:p>
    <w:p w14:paraId="680373C8" w14:textId="00D898A6" w:rsidR="00C35940" w:rsidRDefault="00C35940" w:rsidP="008B32EA">
      <w:pPr>
        <w:pStyle w:val="ItemHead"/>
      </w:pPr>
      <w:r>
        <w:t>3  Section 5</w:t>
      </w:r>
    </w:p>
    <w:p w14:paraId="1064D201" w14:textId="31959926" w:rsidR="00C35940" w:rsidRDefault="00C35940" w:rsidP="00C35940">
      <w:pPr>
        <w:pStyle w:val="Item"/>
      </w:pPr>
      <w:r>
        <w:t xml:space="preserve">Insert: </w:t>
      </w:r>
    </w:p>
    <w:p w14:paraId="379309AE" w14:textId="77777777" w:rsidR="00101AB4" w:rsidRDefault="00101AB4" w:rsidP="00101AB4">
      <w:pPr>
        <w:pStyle w:val="Definition"/>
        <w:rPr>
          <w:bCs/>
          <w:iCs/>
        </w:rPr>
      </w:pPr>
      <w:r>
        <w:rPr>
          <w:b/>
          <w:i/>
        </w:rPr>
        <w:t xml:space="preserve">AAS </w:t>
      </w:r>
      <w:r>
        <w:rPr>
          <w:bCs/>
          <w:iCs/>
        </w:rPr>
        <w:t>means an antenna system where the amplitude and/or phase between antenna elements is continually adjusted, resulting in an antenna pattern that varies in response to short term changes in the radio environment.</w:t>
      </w:r>
    </w:p>
    <w:p w14:paraId="1EE7229E" w14:textId="7728AE42" w:rsidR="00101AB4" w:rsidRDefault="00101AB4" w:rsidP="00101AB4">
      <w:pPr>
        <w:pStyle w:val="notetext"/>
        <w:rPr>
          <w:bCs/>
          <w:iCs/>
        </w:rPr>
      </w:pPr>
      <w:r>
        <w:rPr>
          <w:bCs/>
          <w:iCs/>
        </w:rPr>
        <w:t>Note:</w:t>
      </w:r>
      <w:r>
        <w:rPr>
          <w:bCs/>
          <w:iCs/>
        </w:rPr>
        <w:tab/>
        <w:t>AAS stands for active antenna system.</w:t>
      </w:r>
    </w:p>
    <w:p w14:paraId="27C46306" w14:textId="275A5D0E" w:rsidR="00C37A88" w:rsidRDefault="00C37A88" w:rsidP="00C37A88">
      <w:pPr>
        <w:pStyle w:val="Definition"/>
        <w:rPr>
          <w:bCs/>
          <w:iCs/>
        </w:rPr>
      </w:pPr>
      <w:r>
        <w:rPr>
          <w:b/>
          <w:i/>
        </w:rPr>
        <w:t xml:space="preserve">antenna port </w:t>
      </w:r>
      <w:r>
        <w:rPr>
          <w:bCs/>
          <w:iCs/>
        </w:rPr>
        <w:t xml:space="preserve">means an input connector </w:t>
      </w:r>
      <w:r w:rsidR="009029E6">
        <w:rPr>
          <w:bCs/>
          <w:iCs/>
        </w:rPr>
        <w:t xml:space="preserve">for </w:t>
      </w:r>
      <w:r>
        <w:rPr>
          <w:bCs/>
          <w:iCs/>
        </w:rPr>
        <w:t>an antenna system.</w:t>
      </w:r>
    </w:p>
    <w:p w14:paraId="098D1662" w14:textId="5C3E9ECC" w:rsidR="008B32EA" w:rsidRPr="00EF3FD6" w:rsidRDefault="00F00712" w:rsidP="008B32EA">
      <w:pPr>
        <w:pStyle w:val="ItemHead"/>
      </w:pPr>
      <w:r>
        <w:t>4</w:t>
      </w:r>
      <w:r w:rsidR="00C31A95">
        <w:t xml:space="preserve">  Section 5</w:t>
      </w:r>
      <w:r w:rsidR="00704AFD">
        <w:t xml:space="preserve"> (</w:t>
      </w:r>
      <w:r w:rsidR="00C31A95">
        <w:t xml:space="preserve">definition of </w:t>
      </w:r>
      <w:r w:rsidR="00C31A95">
        <w:rPr>
          <w:i/>
          <w:iCs/>
        </w:rPr>
        <w:t>indoor transmitter</w:t>
      </w:r>
      <w:r w:rsidR="00704AFD">
        <w:t>)</w:t>
      </w:r>
    </w:p>
    <w:p w14:paraId="6CCABD97" w14:textId="36B4C6FC" w:rsidR="00C31A95" w:rsidRDefault="00C31A95" w:rsidP="00C31A95">
      <w:pPr>
        <w:pStyle w:val="Item"/>
      </w:pPr>
      <w:r w:rsidRPr="00C31A95">
        <w:t xml:space="preserve">Repeal </w:t>
      </w:r>
      <w:r>
        <w:t>the definition.</w:t>
      </w:r>
    </w:p>
    <w:p w14:paraId="3E386E95" w14:textId="214AE2AC" w:rsidR="00C31A95" w:rsidRPr="00EF3FD6" w:rsidRDefault="00F00712" w:rsidP="00C31A95">
      <w:pPr>
        <w:pStyle w:val="ItemHead"/>
      </w:pPr>
      <w:proofErr w:type="gramStart"/>
      <w:r>
        <w:t>5</w:t>
      </w:r>
      <w:r w:rsidR="00015347">
        <w:t xml:space="preserve">  </w:t>
      </w:r>
      <w:r w:rsidR="00C31A95">
        <w:t>Section</w:t>
      </w:r>
      <w:proofErr w:type="gramEnd"/>
      <w:r w:rsidR="00C31A95">
        <w:t xml:space="preserve"> 5</w:t>
      </w:r>
      <w:r w:rsidR="00704AFD">
        <w:t xml:space="preserve"> (</w:t>
      </w:r>
      <w:r w:rsidR="00C31A95">
        <w:t xml:space="preserve">definition of </w:t>
      </w:r>
      <w:r w:rsidR="00C31A95">
        <w:rPr>
          <w:i/>
          <w:iCs/>
        </w:rPr>
        <w:t>low risk transmitter</w:t>
      </w:r>
      <w:r w:rsidR="00704AFD">
        <w:t>)</w:t>
      </w:r>
    </w:p>
    <w:p w14:paraId="732B79F3" w14:textId="5A27DFF0" w:rsidR="00C31A95" w:rsidRDefault="00C31A95" w:rsidP="00332F7E">
      <w:pPr>
        <w:pStyle w:val="Item"/>
      </w:pPr>
      <w:r>
        <w:t>Repeal the definition.</w:t>
      </w:r>
    </w:p>
    <w:p w14:paraId="476F2E4D" w14:textId="517415FB" w:rsidR="00B76EE9" w:rsidRDefault="00F00712" w:rsidP="00C31A95">
      <w:pPr>
        <w:pStyle w:val="ItemHead"/>
      </w:pPr>
      <w:r>
        <w:t>6</w:t>
      </w:r>
      <w:r w:rsidR="00B76EE9">
        <w:t xml:space="preserve">  Section 5</w:t>
      </w:r>
    </w:p>
    <w:p w14:paraId="3AC139BA" w14:textId="6D5CD618" w:rsidR="00B76EE9" w:rsidRDefault="00B76EE9" w:rsidP="00B76EE9">
      <w:pPr>
        <w:pStyle w:val="Item"/>
      </w:pPr>
      <w:r>
        <w:t>Insert:</w:t>
      </w:r>
    </w:p>
    <w:p w14:paraId="13AA9152" w14:textId="2DEA6189" w:rsidR="00B76EE9" w:rsidRDefault="00B76EE9" w:rsidP="00B76EE9">
      <w:pPr>
        <w:pStyle w:val="Definition"/>
        <w:rPr>
          <w:bCs/>
          <w:iCs/>
        </w:rPr>
      </w:pPr>
      <w:r>
        <w:rPr>
          <w:b/>
          <w:i/>
        </w:rPr>
        <w:t>RALI MS 4</w:t>
      </w:r>
      <w:r w:rsidR="007677A3">
        <w:rPr>
          <w:b/>
          <w:i/>
        </w:rPr>
        <w:t>7</w:t>
      </w:r>
      <w:r>
        <w:rPr>
          <w:b/>
          <w:i/>
        </w:rPr>
        <w:t xml:space="preserve"> </w:t>
      </w:r>
      <w:r>
        <w:rPr>
          <w:bCs/>
          <w:iCs/>
        </w:rPr>
        <w:t xml:space="preserve">means </w:t>
      </w:r>
      <w:r w:rsidR="00300B13">
        <w:rPr>
          <w:bCs/>
          <w:iCs/>
        </w:rPr>
        <w:t>the Radiocommunications Assignment and Licensing Instruction No. MS 4</w:t>
      </w:r>
      <w:r w:rsidR="007677A3">
        <w:rPr>
          <w:bCs/>
          <w:iCs/>
        </w:rPr>
        <w:t>7</w:t>
      </w:r>
      <w:r w:rsidR="00300B13">
        <w:rPr>
          <w:bCs/>
          <w:iCs/>
        </w:rPr>
        <w:t xml:space="preserve"> published by the ACMA</w:t>
      </w:r>
      <w:r>
        <w:rPr>
          <w:bCs/>
          <w:iCs/>
        </w:rPr>
        <w:t>.</w:t>
      </w:r>
    </w:p>
    <w:p w14:paraId="13AC9984" w14:textId="0AFEABC6" w:rsidR="007677A3" w:rsidRDefault="007677A3" w:rsidP="007677A3">
      <w:pPr>
        <w:pStyle w:val="notetext"/>
        <w:rPr>
          <w:bCs/>
          <w:iCs/>
        </w:rPr>
      </w:pPr>
      <w:r>
        <w:rPr>
          <w:bCs/>
          <w:iCs/>
        </w:rPr>
        <w:t>Note:</w:t>
      </w:r>
      <w:r>
        <w:rPr>
          <w:bCs/>
          <w:iCs/>
        </w:rPr>
        <w:tab/>
        <w:t xml:space="preserve">All Radiocommunications Assignment and Licensing Instructions made by the ACMA are available, free of charge, from the ACMA’s website at </w:t>
      </w:r>
      <w:hyperlink r:id="rId18" w:history="1">
        <w:r w:rsidRPr="00452FFA">
          <w:rPr>
            <w:rStyle w:val="Hyperlink"/>
            <w:bCs/>
            <w:iCs/>
          </w:rPr>
          <w:t>www.acma.gov.au</w:t>
        </w:r>
      </w:hyperlink>
      <w:r>
        <w:rPr>
          <w:bCs/>
          <w:iCs/>
        </w:rPr>
        <w:t xml:space="preserve">. </w:t>
      </w:r>
    </w:p>
    <w:p w14:paraId="04CB4CB8" w14:textId="79E82231" w:rsidR="00A70DC1" w:rsidRDefault="00A70DC1" w:rsidP="00B76EE9">
      <w:pPr>
        <w:pStyle w:val="Definition"/>
        <w:rPr>
          <w:bCs/>
          <w:iCs/>
        </w:rPr>
      </w:pPr>
      <w:r>
        <w:rPr>
          <w:b/>
          <w:i/>
        </w:rPr>
        <w:t xml:space="preserve">Register Determination </w:t>
      </w:r>
      <w:r>
        <w:rPr>
          <w:bCs/>
          <w:iCs/>
        </w:rPr>
        <w:t>means:</w:t>
      </w:r>
    </w:p>
    <w:p w14:paraId="59749CA6" w14:textId="329BA4FB" w:rsidR="00A70DC1" w:rsidRDefault="00A70DC1" w:rsidP="00A70DC1">
      <w:pPr>
        <w:pStyle w:val="paragraph"/>
        <w:rPr>
          <w:bCs/>
          <w:iCs/>
        </w:rPr>
      </w:pPr>
      <w:r>
        <w:rPr>
          <w:bCs/>
          <w:iCs/>
        </w:rPr>
        <w:tab/>
        <w:t>(a)</w:t>
      </w:r>
      <w:r>
        <w:rPr>
          <w:bCs/>
          <w:iCs/>
        </w:rPr>
        <w:tab/>
        <w:t xml:space="preserve">the </w:t>
      </w:r>
      <w:r>
        <w:rPr>
          <w:bCs/>
          <w:i/>
        </w:rPr>
        <w:t>Radiocommunications (Register of Radiocommunications Licences) Determination 2017</w:t>
      </w:r>
      <w:r>
        <w:rPr>
          <w:bCs/>
          <w:iCs/>
        </w:rPr>
        <w:t>; or</w:t>
      </w:r>
    </w:p>
    <w:p w14:paraId="1814FC31" w14:textId="02066D82" w:rsidR="00A70DC1" w:rsidRPr="00A70DC1" w:rsidRDefault="00A70DC1" w:rsidP="00A70DC1">
      <w:pPr>
        <w:pStyle w:val="paragraph"/>
        <w:rPr>
          <w:bCs/>
          <w:iCs/>
        </w:rPr>
      </w:pPr>
      <w:r>
        <w:rPr>
          <w:bCs/>
          <w:iCs/>
        </w:rPr>
        <w:tab/>
        <w:t>(b)</w:t>
      </w:r>
      <w:r>
        <w:rPr>
          <w:bCs/>
          <w:iCs/>
        </w:rPr>
        <w:tab/>
        <w:t>if another instrument replaces that determination – the other instrument.</w:t>
      </w:r>
    </w:p>
    <w:p w14:paraId="46C6DBAB" w14:textId="744811E8" w:rsidR="00C31A95" w:rsidRPr="00EF3FD6" w:rsidRDefault="00BC67A9" w:rsidP="00C31A95">
      <w:pPr>
        <w:pStyle w:val="ItemHead"/>
      </w:pPr>
      <w:r>
        <w:t>7</w:t>
      </w:r>
      <w:r w:rsidR="00C31A95">
        <w:t xml:space="preserve">  Section 5</w:t>
      </w:r>
      <w:r w:rsidR="00704AFD">
        <w:t xml:space="preserve"> (</w:t>
      </w:r>
      <w:r w:rsidR="00C31A95">
        <w:t xml:space="preserve">definition of </w:t>
      </w:r>
      <w:r w:rsidR="00C31A95">
        <w:rPr>
          <w:i/>
          <w:iCs/>
        </w:rPr>
        <w:t>uplink-downlink configuration</w:t>
      </w:r>
      <w:r w:rsidR="00704AFD">
        <w:t>)</w:t>
      </w:r>
    </w:p>
    <w:p w14:paraId="75B594AD" w14:textId="60BDB0B3" w:rsidR="00C35940" w:rsidRDefault="00C35940" w:rsidP="00332F7E">
      <w:pPr>
        <w:pStyle w:val="Item"/>
      </w:pPr>
      <w:r>
        <w:t>Repeal the definition.</w:t>
      </w:r>
    </w:p>
    <w:p w14:paraId="68309E5D" w14:textId="50C65569" w:rsidR="00C35940" w:rsidRPr="00C35940" w:rsidRDefault="00BC67A9" w:rsidP="00A67646">
      <w:pPr>
        <w:pStyle w:val="ItemHead"/>
      </w:pPr>
      <w:r>
        <w:t>8</w:t>
      </w:r>
      <w:r w:rsidR="00015347">
        <w:t xml:space="preserve">  </w:t>
      </w:r>
      <w:r w:rsidR="007C02EC">
        <w:t>Section 6</w:t>
      </w:r>
    </w:p>
    <w:p w14:paraId="2FDA890C" w14:textId="20D0951F" w:rsidR="007C02EC" w:rsidRDefault="007C02EC" w:rsidP="00A67646">
      <w:pPr>
        <w:pStyle w:val="Item"/>
        <w:keepNext/>
      </w:pPr>
      <w:r>
        <w:t>Repeal the section, substitute:</w:t>
      </w:r>
    </w:p>
    <w:p w14:paraId="011C8AA6" w14:textId="50AD08AE" w:rsidR="00DC0FD5" w:rsidRPr="0034159C" w:rsidRDefault="00DC0FD5" w:rsidP="00A67646">
      <w:pPr>
        <w:keepNext/>
        <w:spacing w:before="120" w:after="120" w:line="257" w:lineRule="auto"/>
        <w:rPr>
          <w:rStyle w:val="CharSectno"/>
          <w:rFonts w:ascii="Times New Roman" w:eastAsia="Times New Roman" w:hAnsi="Times New Roman" w:cs="Times New Roman"/>
          <w:b/>
          <w:kern w:val="28"/>
          <w:sz w:val="24"/>
          <w:szCs w:val="20"/>
        </w:rPr>
      </w:pPr>
      <w:r>
        <w:rPr>
          <w:rStyle w:val="CharSectno"/>
          <w:rFonts w:ascii="Times New Roman" w:eastAsia="Times New Roman" w:hAnsi="Times New Roman" w:cs="Times New Roman"/>
          <w:b/>
          <w:kern w:val="28"/>
          <w:sz w:val="24"/>
          <w:szCs w:val="20"/>
        </w:rPr>
        <w:t>6</w:t>
      </w:r>
      <w:r w:rsidRPr="0034159C">
        <w:rPr>
          <w:rStyle w:val="CharSectno"/>
          <w:rFonts w:ascii="Times New Roman" w:eastAsia="Times New Roman" w:hAnsi="Times New Roman" w:cs="Times New Roman"/>
          <w:b/>
          <w:kern w:val="28"/>
          <w:sz w:val="24"/>
          <w:szCs w:val="20"/>
        </w:rPr>
        <w:t xml:space="preserve">  </w:t>
      </w:r>
      <w:r>
        <w:rPr>
          <w:rStyle w:val="CharSectno"/>
          <w:rFonts w:ascii="Times New Roman" w:eastAsia="Times New Roman" w:hAnsi="Times New Roman" w:cs="Times New Roman"/>
          <w:b/>
          <w:kern w:val="28"/>
          <w:sz w:val="24"/>
          <w:szCs w:val="20"/>
        </w:rPr>
        <w:t>Conditions</w:t>
      </w:r>
    </w:p>
    <w:p w14:paraId="3EFFB76E" w14:textId="0CFF6DDB" w:rsidR="00DC0FD5" w:rsidRDefault="00DC0FD5" w:rsidP="00DC0FD5">
      <w:pPr>
        <w:pStyle w:val="subsection"/>
        <w:spacing w:before="120"/>
      </w:pPr>
      <w:r>
        <w:tab/>
      </w:r>
      <w:r>
        <w:tab/>
        <w:t>For subsection 110A(2) of the Act:</w:t>
      </w:r>
    </w:p>
    <w:p w14:paraId="1316C4A8" w14:textId="4AADA1AB" w:rsidR="00DC0FD5" w:rsidRDefault="00DC0FD5" w:rsidP="00DC0FD5">
      <w:pPr>
        <w:pStyle w:val="paragraph"/>
      </w:pPr>
      <w:r>
        <w:lastRenderedPageBreak/>
        <w:tab/>
        <w:t>(a)</w:t>
      </w:r>
      <w:r>
        <w:tab/>
        <w:t>every area-wide licence is subject to the condition in section 7; and</w:t>
      </w:r>
    </w:p>
    <w:p w14:paraId="5284B0CC" w14:textId="70274F63" w:rsidR="00DC0FD5" w:rsidRDefault="00DC0FD5" w:rsidP="00DC0FD5">
      <w:pPr>
        <w:pStyle w:val="paragraph"/>
      </w:pPr>
      <w:r>
        <w:tab/>
        <w:t>(b)</w:t>
      </w:r>
      <w:r>
        <w:tab/>
        <w:t xml:space="preserve">every area-wide licence </w:t>
      </w:r>
      <w:r w:rsidR="00415EDF">
        <w:t>that</w:t>
      </w:r>
      <w:r>
        <w:t xml:space="preserve"> authorises the operation of radiocommunications </w:t>
      </w:r>
      <w:r w:rsidR="00EA44FE">
        <w:t xml:space="preserve">transmitters </w:t>
      </w:r>
      <w:r>
        <w:t>in any part of the frequency range 24.7 GHz–30 GHz is subject to the conditions specified in Schedule 1; and</w:t>
      </w:r>
    </w:p>
    <w:p w14:paraId="0ACD0F15" w14:textId="57E8B839" w:rsidR="00DC0FD5" w:rsidRDefault="00DC0FD5" w:rsidP="00DC0FD5">
      <w:pPr>
        <w:pStyle w:val="paragraph"/>
      </w:pPr>
      <w:r>
        <w:tab/>
        <w:t>(c)</w:t>
      </w:r>
      <w:r>
        <w:tab/>
        <w:t xml:space="preserve">every area-wide licence </w:t>
      </w:r>
      <w:r w:rsidR="00415EDF">
        <w:t>that</w:t>
      </w:r>
      <w:r>
        <w:t xml:space="preserve"> authorises the operation of radiocommunications </w:t>
      </w:r>
      <w:r w:rsidR="00EA44FE">
        <w:t>transmitters</w:t>
      </w:r>
      <w:r>
        <w:t xml:space="preserve"> in any part of the frequency range 3.4 GHz–</w:t>
      </w:r>
      <w:r w:rsidR="00A64870">
        <w:t>4</w:t>
      </w:r>
      <w:r>
        <w:t xml:space="preserve"> GHz is subject to the conditions specified in Schedule 4.</w:t>
      </w:r>
    </w:p>
    <w:p w14:paraId="7CF590F6" w14:textId="3646B3DB" w:rsidR="007C02EC" w:rsidRDefault="00BC67A9" w:rsidP="007C02EC">
      <w:pPr>
        <w:pStyle w:val="ItemHead"/>
      </w:pPr>
      <w:r>
        <w:t>9</w:t>
      </w:r>
      <w:r w:rsidR="00E83636">
        <w:t xml:space="preserve">  </w:t>
      </w:r>
      <w:r w:rsidR="00DB00CD">
        <w:t>B</w:t>
      </w:r>
      <w:r w:rsidR="00E83636">
        <w:t>efore clause 1</w:t>
      </w:r>
      <w:r w:rsidR="00DB00CD">
        <w:t xml:space="preserve"> of Schedule 1</w:t>
      </w:r>
    </w:p>
    <w:p w14:paraId="6D48B186" w14:textId="721F954E" w:rsidR="00DC0FD5" w:rsidRDefault="00E83636" w:rsidP="00DC0FD5">
      <w:pPr>
        <w:pStyle w:val="Item"/>
      </w:pPr>
      <w:r>
        <w:t>Insert:</w:t>
      </w:r>
    </w:p>
    <w:p w14:paraId="73161B2E" w14:textId="52537FDA" w:rsidR="00157BD5" w:rsidRPr="0034159C" w:rsidRDefault="00157BD5" w:rsidP="00157BD5">
      <w:pPr>
        <w:spacing w:before="120" w:after="120" w:line="257" w:lineRule="auto"/>
        <w:rPr>
          <w:rStyle w:val="CharSectno"/>
          <w:rFonts w:ascii="Times New Roman" w:eastAsia="Times New Roman" w:hAnsi="Times New Roman" w:cs="Times New Roman"/>
          <w:b/>
          <w:kern w:val="28"/>
          <w:sz w:val="24"/>
          <w:szCs w:val="20"/>
        </w:rPr>
      </w:pPr>
      <w:r>
        <w:rPr>
          <w:rStyle w:val="CharSectno"/>
          <w:rFonts w:ascii="Times New Roman" w:eastAsia="Times New Roman" w:hAnsi="Times New Roman" w:cs="Times New Roman"/>
          <w:b/>
          <w:kern w:val="28"/>
          <w:sz w:val="24"/>
          <w:szCs w:val="20"/>
        </w:rPr>
        <w:t>1A</w:t>
      </w:r>
      <w:r w:rsidRPr="0034159C">
        <w:rPr>
          <w:rStyle w:val="CharSectno"/>
          <w:rFonts w:ascii="Times New Roman" w:eastAsia="Times New Roman" w:hAnsi="Times New Roman" w:cs="Times New Roman"/>
          <w:b/>
          <w:kern w:val="28"/>
          <w:sz w:val="24"/>
          <w:szCs w:val="20"/>
        </w:rPr>
        <w:t xml:space="preserve">  </w:t>
      </w:r>
      <w:r>
        <w:rPr>
          <w:rStyle w:val="CharSectno"/>
          <w:rFonts w:ascii="Times New Roman" w:eastAsia="Times New Roman" w:hAnsi="Times New Roman" w:cs="Times New Roman"/>
          <w:b/>
          <w:kern w:val="28"/>
          <w:sz w:val="24"/>
          <w:szCs w:val="20"/>
        </w:rPr>
        <w:t>Interpretation</w:t>
      </w:r>
    </w:p>
    <w:p w14:paraId="321DAA79" w14:textId="266DBA25" w:rsidR="00157BD5" w:rsidRDefault="00157BD5" w:rsidP="00157BD5">
      <w:pPr>
        <w:pStyle w:val="subsection"/>
        <w:spacing w:before="120"/>
      </w:pPr>
      <w:r>
        <w:tab/>
      </w:r>
      <w:r>
        <w:tab/>
        <w:t>In this Schedule:</w:t>
      </w:r>
    </w:p>
    <w:p w14:paraId="1BD00FA7" w14:textId="260473DE" w:rsidR="00157BD5" w:rsidRDefault="00157BD5" w:rsidP="00157BD5">
      <w:pPr>
        <w:pStyle w:val="Definition"/>
        <w:rPr>
          <w:bCs/>
          <w:iCs/>
        </w:rPr>
      </w:pPr>
      <w:r>
        <w:rPr>
          <w:b/>
          <w:i/>
        </w:rPr>
        <w:t xml:space="preserve">26 GHz band spectrum licence </w:t>
      </w:r>
      <w:r>
        <w:rPr>
          <w:bCs/>
          <w:iCs/>
        </w:rPr>
        <w:t xml:space="preserve">means a spectrum licence that authorises the operation of radiocommunications devices in any part of the frequency range 25.1 GHz–27.5 GHz. </w:t>
      </w:r>
    </w:p>
    <w:p w14:paraId="13DDDF0C" w14:textId="739CD26B" w:rsidR="00370CD9" w:rsidRDefault="00370CD9" w:rsidP="00157BD5">
      <w:pPr>
        <w:pStyle w:val="Definition"/>
        <w:rPr>
          <w:bCs/>
          <w:iCs/>
        </w:rPr>
      </w:pPr>
      <w:r>
        <w:rPr>
          <w:b/>
          <w:i/>
        </w:rPr>
        <w:t>indoor transmitter</w:t>
      </w:r>
      <w:r>
        <w:rPr>
          <w:bCs/>
          <w:iCs/>
        </w:rPr>
        <w:t xml:space="preserve"> means a radiocommunications transmitter that:</w:t>
      </w:r>
    </w:p>
    <w:p w14:paraId="2FB10935" w14:textId="0D2A90AB" w:rsidR="00370CD9" w:rsidRDefault="00370CD9" w:rsidP="00370CD9">
      <w:pPr>
        <w:pStyle w:val="paragraph"/>
      </w:pPr>
      <w:r>
        <w:tab/>
        <w:t>(a)</w:t>
      </w:r>
      <w:r>
        <w:tab/>
        <w:t>is in an enclosed space; and</w:t>
      </w:r>
    </w:p>
    <w:p w14:paraId="35BB0395" w14:textId="1834135E" w:rsidR="00370CD9" w:rsidRDefault="00370CD9" w:rsidP="00370CD9">
      <w:pPr>
        <w:pStyle w:val="paragraph"/>
      </w:pPr>
      <w:r>
        <w:tab/>
        <w:t>(b)</w:t>
      </w:r>
      <w:r>
        <w:tab/>
      </w:r>
      <w:r w:rsidR="00560ABA">
        <w:t>has, at every point that is 2 metres from the outside surface of the enclosed space, a power flux density that:</w:t>
      </w:r>
    </w:p>
    <w:p w14:paraId="20D7B6C5" w14:textId="3B4D3CA5" w:rsidR="00560ABA" w:rsidRDefault="006D7D91" w:rsidP="006D7D91">
      <w:pPr>
        <w:pStyle w:val="paragraphsub"/>
      </w:pPr>
      <w:r>
        <w:tab/>
        <w:t>(i)</w:t>
      </w:r>
      <w:r>
        <w:tab/>
        <w:t xml:space="preserve">if the transmitter transmits within the frequency range 27 GHz–27.5 GHz and is located inside an inner-footprint </w:t>
      </w:r>
      <w:r w:rsidR="005F7E7D">
        <w:t xml:space="preserve">area – is less than or equal to -9 </w:t>
      </w:r>
      <w:proofErr w:type="spellStart"/>
      <w:r w:rsidR="005F7E7D">
        <w:t>dBW</w:t>
      </w:r>
      <w:proofErr w:type="spellEnd"/>
      <w:r w:rsidR="005F7E7D">
        <w:t>/m</w:t>
      </w:r>
      <w:r w:rsidR="005F7E7D">
        <w:rPr>
          <w:vertAlign w:val="superscript"/>
        </w:rPr>
        <w:t>2</w:t>
      </w:r>
      <w:r w:rsidR="00BC4B9E">
        <w:t xml:space="preserve"> per occupied bandwidth; </w:t>
      </w:r>
      <w:r w:rsidR="00907D37">
        <w:t>or</w:t>
      </w:r>
    </w:p>
    <w:p w14:paraId="2668A1AD" w14:textId="774EF701" w:rsidR="00BC4B9E" w:rsidRDefault="00BC4B9E" w:rsidP="006D7D91">
      <w:pPr>
        <w:pStyle w:val="paragraphsub"/>
      </w:pPr>
      <w:r>
        <w:tab/>
        <w:t>(ii)</w:t>
      </w:r>
      <w:r>
        <w:tab/>
        <w:t xml:space="preserve">if the transmitter transmits </w:t>
      </w:r>
      <w:r w:rsidR="00907D37">
        <w:t>with</w:t>
      </w:r>
      <w:r>
        <w:t xml:space="preserve">in the frequency range 27.5 GHz–30 GHz – is less than or equal to -9 </w:t>
      </w:r>
      <w:proofErr w:type="spellStart"/>
      <w:r>
        <w:t>dBW</w:t>
      </w:r>
      <w:proofErr w:type="spellEnd"/>
      <w:r w:rsidR="00D707A1">
        <w:t>/m</w:t>
      </w:r>
      <w:r w:rsidR="00D707A1">
        <w:rPr>
          <w:vertAlign w:val="superscript"/>
        </w:rPr>
        <w:t>2</w:t>
      </w:r>
      <w:r w:rsidR="00D707A1">
        <w:t xml:space="preserve"> per occupied bandwidth; </w:t>
      </w:r>
      <w:r w:rsidR="00907D37">
        <w:t>or</w:t>
      </w:r>
    </w:p>
    <w:p w14:paraId="6DC6BC5E" w14:textId="5587861B" w:rsidR="00D707A1" w:rsidRPr="00D707A1" w:rsidRDefault="00D707A1" w:rsidP="006D7D91">
      <w:pPr>
        <w:pStyle w:val="paragraphsub"/>
        <w:rPr>
          <w:sz w:val="24"/>
          <w:szCs w:val="22"/>
        </w:rPr>
      </w:pPr>
      <w:r>
        <w:tab/>
        <w:t>(iii)</w:t>
      </w:r>
      <w:r>
        <w:tab/>
        <w:t xml:space="preserve">in any other case – is less than or equal to -7 </w:t>
      </w:r>
      <w:proofErr w:type="spellStart"/>
      <w:r>
        <w:t>dBW</w:t>
      </w:r>
      <w:proofErr w:type="spellEnd"/>
      <w:r>
        <w:t>/m</w:t>
      </w:r>
      <w:r>
        <w:rPr>
          <w:vertAlign w:val="superscript"/>
        </w:rPr>
        <w:t>2</w:t>
      </w:r>
      <w:r>
        <w:t xml:space="preserve"> per occupied bandwidth.</w:t>
      </w:r>
    </w:p>
    <w:p w14:paraId="17E9469A" w14:textId="4EB7D619" w:rsidR="00EF0C03" w:rsidRDefault="00EF0C03" w:rsidP="00EF0C03">
      <w:pPr>
        <w:pStyle w:val="Definition"/>
        <w:rPr>
          <w:bCs/>
          <w:iCs/>
        </w:rPr>
      </w:pPr>
      <w:r>
        <w:rPr>
          <w:b/>
          <w:i/>
        </w:rPr>
        <w:t>low risk transmitter</w:t>
      </w:r>
      <w:r>
        <w:rPr>
          <w:bCs/>
          <w:iCs/>
        </w:rPr>
        <w:t>: see subclause 4(2).</w:t>
      </w:r>
    </w:p>
    <w:p w14:paraId="1010D0EF" w14:textId="2647E16C" w:rsidR="005D126B" w:rsidRPr="005D126B" w:rsidRDefault="005D126B" w:rsidP="00EF0C03">
      <w:pPr>
        <w:pStyle w:val="Definition"/>
        <w:rPr>
          <w:bCs/>
          <w:iCs/>
        </w:rPr>
      </w:pPr>
      <w:r>
        <w:rPr>
          <w:b/>
          <w:i/>
        </w:rPr>
        <w:t xml:space="preserve">uplink-downlink configuration </w:t>
      </w:r>
      <w:r>
        <w:rPr>
          <w:bCs/>
          <w:iCs/>
        </w:rPr>
        <w:t>means an uplink-downlink</w:t>
      </w:r>
      <w:r w:rsidR="00EA772D">
        <w:rPr>
          <w:bCs/>
          <w:iCs/>
        </w:rPr>
        <w:t xml:space="preserve"> configuration that is consistent with the uplink-downlink configuration set out in Appendix A of RALI</w:t>
      </w:r>
      <w:r w:rsidR="00B479DA">
        <w:rPr>
          <w:bCs/>
          <w:iCs/>
        </w:rPr>
        <w:t> </w:t>
      </w:r>
      <w:r w:rsidR="00EA772D">
        <w:rPr>
          <w:bCs/>
          <w:iCs/>
        </w:rPr>
        <w:t>MS</w:t>
      </w:r>
      <w:r w:rsidR="00B479DA">
        <w:rPr>
          <w:bCs/>
          <w:iCs/>
        </w:rPr>
        <w:t> </w:t>
      </w:r>
      <w:r w:rsidR="00EA772D">
        <w:rPr>
          <w:bCs/>
          <w:iCs/>
        </w:rPr>
        <w:t>46.</w:t>
      </w:r>
    </w:p>
    <w:p w14:paraId="046714C4" w14:textId="37CDC175" w:rsidR="002129A3" w:rsidRDefault="002129A3" w:rsidP="00E83636">
      <w:pPr>
        <w:pStyle w:val="ItemHead"/>
      </w:pPr>
      <w:r>
        <w:t>1</w:t>
      </w:r>
      <w:r w:rsidR="00BC67A9">
        <w:t>0</w:t>
      </w:r>
      <w:r>
        <w:t xml:space="preserve">  </w:t>
      </w:r>
      <w:r w:rsidR="00DB00CD">
        <w:t>S</w:t>
      </w:r>
      <w:r>
        <w:t>ubparagraph 4(1)(a)(i)</w:t>
      </w:r>
      <w:r w:rsidR="00DB00CD">
        <w:t xml:space="preserve"> of Schedule 1</w:t>
      </w:r>
    </w:p>
    <w:p w14:paraId="7F2811D4" w14:textId="1A93CB1B" w:rsidR="002129A3" w:rsidRDefault="002129A3" w:rsidP="002129A3">
      <w:pPr>
        <w:pStyle w:val="Item"/>
      </w:pPr>
      <w:r>
        <w:t xml:space="preserve">Omit </w:t>
      </w:r>
      <w:r w:rsidR="00D846E8">
        <w:t>“</w:t>
      </w:r>
      <w:r>
        <w:rPr>
          <w:i/>
          <w:iCs/>
        </w:rPr>
        <w:t xml:space="preserve">Radiocommunications (Register of Radiocommunications </w:t>
      </w:r>
      <w:r w:rsidR="00177874">
        <w:rPr>
          <w:i/>
          <w:iCs/>
        </w:rPr>
        <w:t>Licences</w:t>
      </w:r>
      <w:r>
        <w:rPr>
          <w:i/>
          <w:iCs/>
        </w:rPr>
        <w:t xml:space="preserve">) Determination 2017 </w:t>
      </w:r>
      <w:r>
        <w:t>(</w:t>
      </w:r>
      <w:r w:rsidRPr="007E5386">
        <w:rPr>
          <w:b/>
          <w:bCs/>
          <w:i/>
          <w:iCs/>
        </w:rPr>
        <w:t>Register Determination</w:t>
      </w:r>
      <w:r>
        <w:t>)</w:t>
      </w:r>
      <w:r w:rsidR="00D846E8">
        <w:t>”</w:t>
      </w:r>
      <w:r w:rsidR="007E5386">
        <w:t xml:space="preserve">, substitute </w:t>
      </w:r>
      <w:r w:rsidR="00D846E8">
        <w:t>“</w:t>
      </w:r>
      <w:r w:rsidR="007E5386">
        <w:t>Register Determination</w:t>
      </w:r>
      <w:r w:rsidR="00D846E8">
        <w:t>”</w:t>
      </w:r>
      <w:r w:rsidR="007E5386">
        <w:t>.</w:t>
      </w:r>
    </w:p>
    <w:p w14:paraId="69822900" w14:textId="0F2A4D0D" w:rsidR="00513601" w:rsidRDefault="00513601" w:rsidP="008C484E">
      <w:pPr>
        <w:pStyle w:val="ItemHead"/>
      </w:pPr>
      <w:r>
        <w:t xml:space="preserve">11  </w:t>
      </w:r>
      <w:r w:rsidR="00D24AD4">
        <w:t>Subclause 4(1) (note)</w:t>
      </w:r>
    </w:p>
    <w:p w14:paraId="6944AA41" w14:textId="0B7E9E15" w:rsidR="00D24AD4" w:rsidRDefault="00D24AD4" w:rsidP="00D24AD4">
      <w:pPr>
        <w:pStyle w:val="Item"/>
      </w:pPr>
      <w:r>
        <w:t>Omit the note, substitute:</w:t>
      </w:r>
    </w:p>
    <w:p w14:paraId="3AFAB625" w14:textId="77777777" w:rsidR="00D24AD4" w:rsidRDefault="00D24AD4" w:rsidP="00D24AD4">
      <w:pPr>
        <w:pStyle w:val="notetext"/>
        <w:rPr>
          <w:iCs/>
        </w:rPr>
      </w:pPr>
      <w:r>
        <w:rPr>
          <w:iCs/>
        </w:rPr>
        <w:t>Note 1:</w:t>
      </w:r>
      <w:r>
        <w:rPr>
          <w:iCs/>
        </w:rPr>
        <w:tab/>
        <w:t xml:space="preserve">Subclause (1) is a condition of the kind referred to in subsections 10(4A), (5A), (6A) and (7A) of the Register Determination. The Register Determination is available, free of charge, from the Federal Register of Legislation at </w:t>
      </w:r>
      <w:hyperlink r:id="rId19" w:history="1">
        <w:r w:rsidRPr="00452FFA">
          <w:rPr>
            <w:rStyle w:val="Hyperlink"/>
            <w:iCs/>
          </w:rPr>
          <w:t>www.legislation.gov.au</w:t>
        </w:r>
      </w:hyperlink>
      <w:r>
        <w:rPr>
          <w:iCs/>
        </w:rPr>
        <w:t xml:space="preserve">. </w:t>
      </w:r>
    </w:p>
    <w:p w14:paraId="78F4A49D" w14:textId="58A9EF00" w:rsidR="00D24AD4" w:rsidRPr="00D24AD4" w:rsidRDefault="00D24AD4" w:rsidP="00D24AD4">
      <w:pPr>
        <w:pStyle w:val="notetext"/>
      </w:pPr>
      <w:r>
        <w:rPr>
          <w:iCs/>
        </w:rPr>
        <w:t>Note 2:</w:t>
      </w:r>
      <w:r>
        <w:rPr>
          <w:iCs/>
        </w:rPr>
        <w:tab/>
        <w:t>If details of a radiocommunications transmitter are not entered into the Register because the operation of the transmitter would not comply with a condition of the relevant licence (other than subclause (1)), subclause (1) also prohibits the operation of the transmitter.</w:t>
      </w:r>
    </w:p>
    <w:p w14:paraId="24BA8DDF" w14:textId="6757E84B" w:rsidR="00D24AD4" w:rsidRDefault="00D24AD4" w:rsidP="008C484E">
      <w:pPr>
        <w:pStyle w:val="ItemHead"/>
      </w:pPr>
      <w:r>
        <w:t>12  Subclause 4(3)</w:t>
      </w:r>
    </w:p>
    <w:p w14:paraId="5A0504EF" w14:textId="1D3C2A2F" w:rsidR="00D24AD4" w:rsidRPr="00D24AD4" w:rsidRDefault="000C60B2" w:rsidP="000C60B2">
      <w:pPr>
        <w:pStyle w:val="Item"/>
      </w:pPr>
      <w:r>
        <w:t>Omit the subclause.</w:t>
      </w:r>
    </w:p>
    <w:p w14:paraId="1F2E69E8" w14:textId="3ECCAE1E" w:rsidR="008C484E" w:rsidRDefault="00C72330" w:rsidP="008C484E">
      <w:pPr>
        <w:pStyle w:val="ItemHead"/>
      </w:pPr>
      <w:r>
        <w:t>1</w:t>
      </w:r>
      <w:r w:rsidR="000C60B2">
        <w:t>3</w:t>
      </w:r>
      <w:r w:rsidR="008C484E">
        <w:t xml:space="preserve">  </w:t>
      </w:r>
      <w:r w:rsidR="00DB00CD">
        <w:t>C</w:t>
      </w:r>
      <w:r w:rsidR="008C484E">
        <w:t>lause 5</w:t>
      </w:r>
      <w:r w:rsidR="00DB00CD">
        <w:t xml:space="preserve"> of Schedule 1</w:t>
      </w:r>
    </w:p>
    <w:p w14:paraId="52A1BE06" w14:textId="4CDB1152" w:rsidR="008C484E" w:rsidRDefault="008C484E" w:rsidP="008C484E">
      <w:pPr>
        <w:pStyle w:val="Item"/>
      </w:pPr>
      <w:r>
        <w:t xml:space="preserve">Omit </w:t>
      </w:r>
      <w:r w:rsidR="008E4FCE">
        <w:t>“</w:t>
      </w:r>
      <w:r>
        <w:t>A licensee must not</w:t>
      </w:r>
      <w:r w:rsidR="008E4FCE">
        <w:t>”</w:t>
      </w:r>
      <w:r>
        <w:t xml:space="preserve">, substitute </w:t>
      </w:r>
      <w:r w:rsidR="008E4FCE">
        <w:t>“</w:t>
      </w:r>
      <w:r>
        <w:t>Subject to clause 16, a licensee must not</w:t>
      </w:r>
      <w:r w:rsidR="008E4FCE">
        <w:t>”</w:t>
      </w:r>
      <w:r>
        <w:t>.</w:t>
      </w:r>
    </w:p>
    <w:p w14:paraId="0E4DD279" w14:textId="4D4095C8" w:rsidR="008C484E" w:rsidRDefault="00C72330" w:rsidP="008C484E">
      <w:pPr>
        <w:pStyle w:val="ItemHead"/>
      </w:pPr>
      <w:r>
        <w:lastRenderedPageBreak/>
        <w:t>1</w:t>
      </w:r>
      <w:r w:rsidR="000C60B2">
        <w:t>4</w:t>
      </w:r>
      <w:r w:rsidR="008C484E">
        <w:t xml:space="preserve">  </w:t>
      </w:r>
      <w:r w:rsidR="0027076E">
        <w:t>A</w:t>
      </w:r>
      <w:r w:rsidR="008C484E">
        <w:t>fter clause 15</w:t>
      </w:r>
      <w:r w:rsidR="0027076E">
        <w:t xml:space="preserve"> of Schedule 1</w:t>
      </w:r>
    </w:p>
    <w:p w14:paraId="5A9019BD" w14:textId="79C9A296" w:rsidR="008C484E" w:rsidRDefault="008C484E" w:rsidP="008C484E">
      <w:pPr>
        <w:pStyle w:val="Item"/>
      </w:pPr>
      <w:r>
        <w:t>Add:</w:t>
      </w:r>
    </w:p>
    <w:p w14:paraId="146FBE24" w14:textId="72198A1E" w:rsidR="008C484E" w:rsidRPr="00894D32" w:rsidRDefault="008C484E" w:rsidP="008C484E">
      <w:pPr>
        <w:pStyle w:val="ActHead5"/>
      </w:pPr>
      <w:r w:rsidRPr="00894D32">
        <w:rPr>
          <w:rStyle w:val="CharSectno"/>
        </w:rPr>
        <w:t>1</w:t>
      </w:r>
      <w:r>
        <w:rPr>
          <w:rStyle w:val="CharSectno"/>
        </w:rPr>
        <w:t>6</w:t>
      </w:r>
      <w:r w:rsidRPr="00894D32">
        <w:t xml:space="preserve">  Permission – RALI MS 4</w:t>
      </w:r>
      <w:r>
        <w:t>6</w:t>
      </w:r>
    </w:p>
    <w:p w14:paraId="1DDE3496" w14:textId="6FD098A4" w:rsidR="008C484E" w:rsidRPr="00894D32" w:rsidRDefault="008C484E" w:rsidP="008C484E">
      <w:pPr>
        <w:pStyle w:val="subsection"/>
        <w:rPr>
          <w:i/>
          <w:iCs/>
        </w:rPr>
      </w:pPr>
      <w:r w:rsidRPr="00894D32">
        <w:rPr>
          <w:i/>
          <w:iCs/>
        </w:rPr>
        <w:t>Permission to operate transmitter otherwise than in accordance with RALI MS 4</w:t>
      </w:r>
      <w:r>
        <w:rPr>
          <w:i/>
          <w:iCs/>
        </w:rPr>
        <w:t>6</w:t>
      </w:r>
    </w:p>
    <w:p w14:paraId="7094193C" w14:textId="77777777" w:rsidR="008C484E" w:rsidRPr="00894D32" w:rsidRDefault="008C484E" w:rsidP="008C484E">
      <w:pPr>
        <w:pStyle w:val="subsection"/>
      </w:pPr>
      <w:r w:rsidRPr="00894D32">
        <w:tab/>
        <w:t>(1)</w:t>
      </w:r>
      <w:r w:rsidRPr="00894D32">
        <w:tab/>
        <w:t>If:</w:t>
      </w:r>
    </w:p>
    <w:p w14:paraId="7C98FC38" w14:textId="6FCF9020" w:rsidR="008C484E" w:rsidRPr="00894D32" w:rsidRDefault="008C484E" w:rsidP="008C484E">
      <w:pPr>
        <w:pStyle w:val="paragraph"/>
      </w:pPr>
      <w:r w:rsidRPr="00894D32">
        <w:tab/>
        <w:t>(a)</w:t>
      </w:r>
      <w:r w:rsidRPr="00894D32">
        <w:tab/>
        <w:t xml:space="preserve">a </w:t>
      </w:r>
      <w:r w:rsidR="006C13D9">
        <w:t>licensee</w:t>
      </w:r>
      <w:r w:rsidRPr="00894D32">
        <w:t xml:space="preserve"> is given permission under this clause in relation to the operation of a radiocommunications transmitter otherwise than in accordance with </w:t>
      </w:r>
      <w:r w:rsidR="0083401B">
        <w:t>a</w:t>
      </w:r>
      <w:r w:rsidRPr="00894D32">
        <w:t xml:space="preserve"> requirement of RALI MS 4</w:t>
      </w:r>
      <w:r>
        <w:t>6</w:t>
      </w:r>
      <w:r w:rsidRPr="00894D32">
        <w:t>; and</w:t>
      </w:r>
    </w:p>
    <w:p w14:paraId="1410E011" w14:textId="08998957" w:rsidR="008C484E" w:rsidRPr="00894D32" w:rsidRDefault="008C484E" w:rsidP="008C484E">
      <w:pPr>
        <w:pStyle w:val="paragraph"/>
      </w:pPr>
      <w:r w:rsidRPr="00894D32">
        <w:tab/>
        <w:t>(b)</w:t>
      </w:r>
      <w:r w:rsidRPr="00894D32">
        <w:tab/>
        <w:t>th</w:t>
      </w:r>
      <w:r w:rsidR="0083401B">
        <w:t>e</w:t>
      </w:r>
      <w:r w:rsidRPr="00894D32">
        <w:t xml:space="preserve"> requirement of RALI MS 4</w:t>
      </w:r>
      <w:r>
        <w:t>6</w:t>
      </w:r>
      <w:r w:rsidRPr="00894D32">
        <w:t xml:space="preserve"> relate</w:t>
      </w:r>
      <w:r w:rsidR="0083401B">
        <w:t>s</w:t>
      </w:r>
      <w:r w:rsidRPr="00894D32">
        <w:t xml:space="preserve"> to </w:t>
      </w:r>
      <w:r w:rsidR="0083401B">
        <w:t xml:space="preserve">a </w:t>
      </w:r>
      <w:r w:rsidRPr="00894D32">
        <w:t xml:space="preserve">matter specified in clause </w:t>
      </w:r>
      <w:r>
        <w:t>5</w:t>
      </w:r>
      <w:r w:rsidRPr="00894D32">
        <w:t>; and</w:t>
      </w:r>
    </w:p>
    <w:p w14:paraId="6670990E" w14:textId="1A239B11" w:rsidR="008C484E" w:rsidRPr="00894D32" w:rsidRDefault="008C484E" w:rsidP="008C484E">
      <w:pPr>
        <w:pStyle w:val="paragraph"/>
      </w:pPr>
      <w:r w:rsidRPr="00894D32">
        <w:tab/>
        <w:t>(c)</w:t>
      </w:r>
      <w:r w:rsidRPr="00894D32">
        <w:tab/>
        <w:t xml:space="preserve">operation of the transmitter would, but for the effect of this clause, contravene the condition in clause </w:t>
      </w:r>
      <w:r>
        <w:t>5</w:t>
      </w:r>
      <w:r w:rsidRPr="00894D32">
        <w:t>; and</w:t>
      </w:r>
    </w:p>
    <w:p w14:paraId="08ACA6B9" w14:textId="77777777" w:rsidR="008C484E" w:rsidRPr="00894D32" w:rsidRDefault="008C484E" w:rsidP="008C484E">
      <w:pPr>
        <w:pStyle w:val="paragraph"/>
      </w:pPr>
      <w:r w:rsidRPr="00894D32">
        <w:tab/>
        <w:t>(d)</w:t>
      </w:r>
      <w:r w:rsidRPr="00894D32">
        <w:tab/>
        <w:t xml:space="preserve">the ACMA has not revoked the permission; </w:t>
      </w:r>
    </w:p>
    <w:p w14:paraId="6284CB9D" w14:textId="299A1AB8" w:rsidR="008C484E" w:rsidRPr="00894D32" w:rsidRDefault="008C484E" w:rsidP="008C484E">
      <w:pPr>
        <w:pStyle w:val="subsection"/>
        <w:spacing w:before="60"/>
      </w:pPr>
      <w:r w:rsidRPr="00894D32">
        <w:tab/>
      </w:r>
      <w:r w:rsidRPr="00894D32">
        <w:tab/>
        <w:t xml:space="preserve">the </w:t>
      </w:r>
      <w:r w:rsidR="006C13D9">
        <w:t>licensee</w:t>
      </w:r>
      <w:r w:rsidRPr="00894D32">
        <w:t xml:space="preserve"> does </w:t>
      </w:r>
      <w:r w:rsidR="00737333">
        <w:t xml:space="preserve">not </w:t>
      </w:r>
      <w:r w:rsidRPr="00894D32">
        <w:t xml:space="preserve">contravene the condition in clause </w:t>
      </w:r>
      <w:r>
        <w:t>5</w:t>
      </w:r>
      <w:r w:rsidRPr="00894D32">
        <w:t xml:space="preserve"> if they operate the transmitter in accordance with the permission.</w:t>
      </w:r>
    </w:p>
    <w:p w14:paraId="1B844005" w14:textId="77777777" w:rsidR="008C484E" w:rsidRPr="00894D32" w:rsidRDefault="008C484E" w:rsidP="008C484E">
      <w:pPr>
        <w:pStyle w:val="subsection"/>
        <w:rPr>
          <w:i/>
          <w:iCs/>
        </w:rPr>
      </w:pPr>
      <w:r w:rsidRPr="00894D32">
        <w:rPr>
          <w:i/>
          <w:iCs/>
        </w:rPr>
        <w:t>Application for permission</w:t>
      </w:r>
    </w:p>
    <w:p w14:paraId="3B98CE91" w14:textId="17FFC489" w:rsidR="008C484E" w:rsidRPr="00894D32" w:rsidRDefault="008C484E" w:rsidP="008C484E">
      <w:pPr>
        <w:pStyle w:val="subsection"/>
      </w:pPr>
      <w:r w:rsidRPr="00894D32">
        <w:tab/>
        <w:t>(2)</w:t>
      </w:r>
      <w:r w:rsidRPr="00894D32">
        <w:tab/>
        <w:t xml:space="preserve">A </w:t>
      </w:r>
      <w:r w:rsidR="006C13D9">
        <w:t>licensee</w:t>
      </w:r>
      <w:r w:rsidRPr="00894D32">
        <w:t xml:space="preserve"> may apply, in writing, to the ACMA for permission to operate a radiocommunications transmitter otherwise than in accordance with </w:t>
      </w:r>
      <w:r w:rsidR="00A67076">
        <w:t xml:space="preserve">a requirement of RALI MS 46 that relates to a matter </w:t>
      </w:r>
      <w:r w:rsidR="00084497">
        <w:t>specified in clause 5</w:t>
      </w:r>
      <w:r w:rsidRPr="00894D32">
        <w:t>.</w:t>
      </w:r>
    </w:p>
    <w:p w14:paraId="703966D7" w14:textId="77777777" w:rsidR="008C484E" w:rsidRPr="00894D32" w:rsidRDefault="008C484E" w:rsidP="008C484E">
      <w:pPr>
        <w:pStyle w:val="subsection"/>
      </w:pPr>
      <w:r w:rsidRPr="00894D32">
        <w:tab/>
        <w:t>(3)</w:t>
      </w:r>
      <w:r w:rsidRPr="00894D32">
        <w:tab/>
        <w:t>An application under subclause (2) must be:</w:t>
      </w:r>
    </w:p>
    <w:p w14:paraId="652B41F6" w14:textId="77777777" w:rsidR="008C484E" w:rsidRPr="00894D32" w:rsidRDefault="008C484E" w:rsidP="008C484E">
      <w:pPr>
        <w:pStyle w:val="paragraph"/>
      </w:pPr>
      <w:r w:rsidRPr="00894D32">
        <w:tab/>
        <w:t>(a)</w:t>
      </w:r>
      <w:r w:rsidRPr="00894D32">
        <w:tab/>
        <w:t>in a form approved by the ACMA (if any); and</w:t>
      </w:r>
    </w:p>
    <w:p w14:paraId="478E5DF2" w14:textId="77777777" w:rsidR="008C484E" w:rsidRPr="00894D32" w:rsidRDefault="008C484E" w:rsidP="008C484E">
      <w:pPr>
        <w:pStyle w:val="paragraph"/>
      </w:pPr>
      <w:r w:rsidRPr="00894D32">
        <w:tab/>
        <w:t>(b)</w:t>
      </w:r>
      <w:r w:rsidRPr="00894D32">
        <w:tab/>
        <w:t>made in a manner approved by the ACMA (if any); and</w:t>
      </w:r>
    </w:p>
    <w:p w14:paraId="3BB6F61D" w14:textId="77777777" w:rsidR="008C484E" w:rsidRPr="00894D32" w:rsidRDefault="008C484E" w:rsidP="008C484E">
      <w:pPr>
        <w:pStyle w:val="paragraph"/>
      </w:pPr>
      <w:r w:rsidRPr="00894D32">
        <w:tab/>
        <w:t>(c)</w:t>
      </w:r>
      <w:r w:rsidRPr="00894D32">
        <w:tab/>
        <w:t xml:space="preserve">accompanied by the charged determined by the ACMA (if any) under section 60 of the </w:t>
      </w:r>
      <w:r w:rsidRPr="00894D32">
        <w:rPr>
          <w:i/>
          <w:iCs/>
        </w:rPr>
        <w:t>Australian Communications and Media Authority Act 2005</w:t>
      </w:r>
      <w:r w:rsidRPr="00894D32">
        <w:t>.</w:t>
      </w:r>
    </w:p>
    <w:p w14:paraId="750C9145" w14:textId="77777777" w:rsidR="008C484E" w:rsidRPr="00894D32" w:rsidRDefault="008C484E" w:rsidP="008C484E">
      <w:pPr>
        <w:pStyle w:val="subsection"/>
      </w:pPr>
      <w:r w:rsidRPr="00894D32">
        <w:tab/>
        <w:t>(4)</w:t>
      </w:r>
      <w:r w:rsidRPr="00894D32">
        <w:tab/>
        <w:t>The ACMA may approve one or more forms for the purposes of paragraph (3)(a).</w:t>
      </w:r>
    </w:p>
    <w:p w14:paraId="7E2E02FE" w14:textId="77777777" w:rsidR="008C484E" w:rsidRPr="00894D32" w:rsidRDefault="008C484E" w:rsidP="008C484E">
      <w:pPr>
        <w:pStyle w:val="subsection"/>
      </w:pPr>
      <w:r w:rsidRPr="00894D32">
        <w:tab/>
        <w:t>(5)</w:t>
      </w:r>
      <w:r w:rsidRPr="00894D32">
        <w:tab/>
        <w:t>The ACMA may approve one or more manners of applying, for the purposes of paragraph (3)(b).</w:t>
      </w:r>
    </w:p>
    <w:p w14:paraId="4635BF16" w14:textId="77777777" w:rsidR="008C484E" w:rsidRPr="00894D32" w:rsidRDefault="008C484E" w:rsidP="008C484E">
      <w:pPr>
        <w:pStyle w:val="subsection"/>
        <w:rPr>
          <w:i/>
          <w:iCs/>
        </w:rPr>
      </w:pPr>
      <w:r w:rsidRPr="00894D32">
        <w:rPr>
          <w:i/>
          <w:iCs/>
        </w:rPr>
        <w:t>Decision whether to give permission</w:t>
      </w:r>
    </w:p>
    <w:p w14:paraId="16F08FBA" w14:textId="4A237E61" w:rsidR="008C484E" w:rsidRPr="00894D32" w:rsidRDefault="008C484E" w:rsidP="008C484E">
      <w:pPr>
        <w:pStyle w:val="subsection"/>
      </w:pPr>
      <w:r w:rsidRPr="00894D32">
        <w:tab/>
        <w:t>(6)</w:t>
      </w:r>
      <w:r w:rsidRPr="00894D32">
        <w:tab/>
        <w:t xml:space="preserve">If a </w:t>
      </w:r>
      <w:r w:rsidR="008A3868">
        <w:t>licensee</w:t>
      </w:r>
      <w:r w:rsidRPr="00894D32">
        <w:t xml:space="preserve"> makes an application under subclause (2), the ACMA must decide whether to give permission within 30 days after the application is made, or such longer period as agreed between the ACMA and the </w:t>
      </w:r>
      <w:r w:rsidR="00787B98">
        <w:t>licensee</w:t>
      </w:r>
      <w:r w:rsidRPr="00894D32">
        <w:t>.</w:t>
      </w:r>
    </w:p>
    <w:p w14:paraId="25C69928" w14:textId="3EE62DE6" w:rsidR="008C484E" w:rsidRPr="0029301D" w:rsidRDefault="008C484E" w:rsidP="008C484E">
      <w:pPr>
        <w:pStyle w:val="subsection"/>
      </w:pPr>
      <w:r w:rsidRPr="00894D32">
        <w:tab/>
        <w:t>(7)</w:t>
      </w:r>
      <w:r w:rsidRPr="00894D32">
        <w:tab/>
        <w:t>Before deciding whether to give permission, the ACMA may have regard to the following matters</w:t>
      </w:r>
      <w:r w:rsidRPr="0029301D">
        <w:t>:</w:t>
      </w:r>
    </w:p>
    <w:p w14:paraId="4EEE4B0D" w14:textId="4EB43B6F" w:rsidR="008C484E" w:rsidRPr="00175431" w:rsidRDefault="008C484E" w:rsidP="008C484E">
      <w:pPr>
        <w:pStyle w:val="paragraph"/>
      </w:pPr>
      <w:r w:rsidRPr="0029301D">
        <w:tab/>
        <w:t>(a)</w:t>
      </w:r>
      <w:r>
        <w:tab/>
      </w:r>
      <w:r w:rsidRPr="0029301D">
        <w:t xml:space="preserve">the potential for the </w:t>
      </w:r>
      <w:r>
        <w:t xml:space="preserve">radiocommunications </w:t>
      </w:r>
      <w:r w:rsidRPr="0029301D">
        <w:t xml:space="preserve">transmitter to cause interference to </w:t>
      </w:r>
      <w:r>
        <w:t xml:space="preserve">radiocommunications involving </w:t>
      </w:r>
      <w:r w:rsidRPr="0029301D">
        <w:t xml:space="preserve">existing or future radiocommunications </w:t>
      </w:r>
      <w:r w:rsidR="00594226">
        <w:t>services</w:t>
      </w:r>
      <w:r>
        <w:t>;</w:t>
      </w:r>
    </w:p>
    <w:p w14:paraId="26C2226B" w14:textId="3DD01E93" w:rsidR="008C484E" w:rsidRPr="00175431" w:rsidRDefault="008C484E" w:rsidP="008C484E">
      <w:pPr>
        <w:pStyle w:val="paragraph"/>
      </w:pPr>
      <w:r w:rsidRPr="00175431">
        <w:tab/>
        <w:t>(b)</w:t>
      </w:r>
      <w:r>
        <w:tab/>
      </w:r>
      <w:r w:rsidRPr="00175431">
        <w:t xml:space="preserve">the efficient management of the </w:t>
      </w:r>
      <w:r w:rsidR="004346D9">
        <w:t>frequency range 24.7 G</w:t>
      </w:r>
      <w:r>
        <w:t>Hz</w:t>
      </w:r>
      <w:r w:rsidR="0084555D">
        <w:t>–</w:t>
      </w:r>
      <w:r w:rsidR="006C2274">
        <w:t>27 G</w:t>
      </w:r>
      <w:r w:rsidRPr="00175431">
        <w:t>Hz</w:t>
      </w:r>
      <w:r>
        <w:t>;</w:t>
      </w:r>
    </w:p>
    <w:p w14:paraId="00AF1D8B" w14:textId="77777777" w:rsidR="008C484E" w:rsidRPr="00175431" w:rsidRDefault="008C484E" w:rsidP="008C484E">
      <w:pPr>
        <w:pStyle w:val="paragraph"/>
      </w:pPr>
      <w:r w:rsidRPr="00175431">
        <w:tab/>
        <w:t>(c)</w:t>
      </w:r>
      <w:r>
        <w:tab/>
      </w:r>
      <w:r w:rsidRPr="00175431">
        <w:t>any other matter the ACMA considers relevant.</w:t>
      </w:r>
    </w:p>
    <w:p w14:paraId="590D1996" w14:textId="77777777" w:rsidR="008C484E" w:rsidRPr="00175431" w:rsidRDefault="008C484E" w:rsidP="008C484E">
      <w:pPr>
        <w:pStyle w:val="subsection"/>
      </w:pPr>
      <w:r w:rsidRPr="00175431">
        <w:tab/>
        <w:t>(8)</w:t>
      </w:r>
      <w:r w:rsidRPr="00175431">
        <w:tab/>
        <w:t>The ACMA may:</w:t>
      </w:r>
    </w:p>
    <w:p w14:paraId="669B8341" w14:textId="02198191" w:rsidR="008C484E" w:rsidRPr="00175431" w:rsidRDefault="008C484E" w:rsidP="008C484E">
      <w:pPr>
        <w:pStyle w:val="paragraph"/>
      </w:pPr>
      <w:r w:rsidRPr="00175431">
        <w:tab/>
        <w:t>(a)</w:t>
      </w:r>
      <w:r w:rsidRPr="00175431">
        <w:tab/>
        <w:t xml:space="preserve">give permission to operate a radiocommunications transmitter otherwise than in accordance with </w:t>
      </w:r>
      <w:r w:rsidR="00703497">
        <w:t>a requirement of RALI MS 46 that relates to a matter specified in clause 5</w:t>
      </w:r>
      <w:r w:rsidRPr="00175431">
        <w:t>; or</w:t>
      </w:r>
    </w:p>
    <w:p w14:paraId="77075244" w14:textId="0C81CC65" w:rsidR="008C484E" w:rsidRPr="00175431" w:rsidRDefault="008C484E" w:rsidP="008C484E">
      <w:pPr>
        <w:pStyle w:val="paragraph"/>
      </w:pPr>
      <w:r w:rsidRPr="00175431">
        <w:tab/>
        <w:t>(b)</w:t>
      </w:r>
      <w:r w:rsidRPr="00175431">
        <w:tab/>
        <w:t xml:space="preserve">give permission to operate a radiocommunications transmitter otherwise than in accordance with </w:t>
      </w:r>
      <w:r w:rsidR="00703497">
        <w:t>a requirement of RALI MS 46 that relates to a matter specified in clause 5</w:t>
      </w:r>
      <w:r w:rsidRPr="00175431">
        <w:t xml:space="preserve">, subject to </w:t>
      </w:r>
      <w:r w:rsidR="00D4476B">
        <w:t xml:space="preserve">a </w:t>
      </w:r>
      <w:r w:rsidRPr="00175431">
        <w:t>condition</w:t>
      </w:r>
      <w:r w:rsidR="00D4476B">
        <w:t xml:space="preserve"> specified in the permission</w:t>
      </w:r>
      <w:r w:rsidRPr="00175431">
        <w:t>; or</w:t>
      </w:r>
    </w:p>
    <w:p w14:paraId="6EEBEBFE" w14:textId="2BB46297" w:rsidR="008C484E" w:rsidRPr="00175431" w:rsidRDefault="008C484E" w:rsidP="008C484E">
      <w:pPr>
        <w:pStyle w:val="paragraph"/>
      </w:pPr>
      <w:r w:rsidRPr="00175431">
        <w:lastRenderedPageBreak/>
        <w:tab/>
        <w:t>(</w:t>
      </w:r>
      <w:r w:rsidR="00C72330">
        <w:t>c</w:t>
      </w:r>
      <w:r w:rsidRPr="00175431">
        <w:t>)</w:t>
      </w:r>
      <w:r w:rsidRPr="00175431">
        <w:tab/>
        <w:t>refuse permission.</w:t>
      </w:r>
    </w:p>
    <w:p w14:paraId="6BC961B0" w14:textId="77777777" w:rsidR="008C484E" w:rsidRPr="00175431" w:rsidRDefault="008C484E" w:rsidP="008C484E">
      <w:pPr>
        <w:pStyle w:val="notetext"/>
      </w:pPr>
      <w:r w:rsidRPr="00175431">
        <w:t>Note:</w:t>
      </w:r>
      <w:r w:rsidRPr="00175431">
        <w:tab/>
        <w:t>See subsection 110A(5) of the Act.</w:t>
      </w:r>
    </w:p>
    <w:p w14:paraId="27B584DD" w14:textId="36EBE8CA" w:rsidR="008C484E" w:rsidRPr="00175431" w:rsidRDefault="008C484E" w:rsidP="008C484E">
      <w:pPr>
        <w:pStyle w:val="subsection"/>
      </w:pPr>
      <w:r w:rsidRPr="00175431">
        <w:tab/>
        <w:t>(9)</w:t>
      </w:r>
      <w:r w:rsidRPr="00175431">
        <w:tab/>
        <w:t xml:space="preserve">The ACMA may specify, in the permission, </w:t>
      </w:r>
      <w:r w:rsidR="00703497">
        <w:t xml:space="preserve">a requirement of RALI MS 46 that relates to a matter specified in clause 5, that is different to a requirement </w:t>
      </w:r>
      <w:r w:rsidRPr="00175431">
        <w:t xml:space="preserve">specified in the </w:t>
      </w:r>
      <w:r w:rsidR="008A3868">
        <w:t>licensee</w:t>
      </w:r>
      <w:r w:rsidRPr="00175431">
        <w:t>’s application.</w:t>
      </w:r>
    </w:p>
    <w:p w14:paraId="79B6E9B9" w14:textId="77777777" w:rsidR="008C484E" w:rsidRPr="00175431" w:rsidRDefault="008C484E" w:rsidP="008C484E">
      <w:pPr>
        <w:pStyle w:val="subsection"/>
      </w:pPr>
      <w:r w:rsidRPr="00175431">
        <w:tab/>
        <w:t>(10)</w:t>
      </w:r>
      <w:r w:rsidRPr="00175431">
        <w:tab/>
        <w:t>The ACMA must, within 14 days after the decision under subclause (8) is made, give the licensee a written notice of:</w:t>
      </w:r>
    </w:p>
    <w:p w14:paraId="79315D6F" w14:textId="77777777" w:rsidR="008C484E" w:rsidRPr="00175431" w:rsidRDefault="008C484E" w:rsidP="008C484E">
      <w:pPr>
        <w:pStyle w:val="paragraph"/>
      </w:pPr>
      <w:r w:rsidRPr="00175431">
        <w:tab/>
        <w:t>(a)</w:t>
      </w:r>
      <w:r w:rsidRPr="00175431">
        <w:tab/>
        <w:t>the decision; and</w:t>
      </w:r>
    </w:p>
    <w:p w14:paraId="75DA55A5" w14:textId="44041B08" w:rsidR="008C484E" w:rsidRPr="00175431" w:rsidRDefault="008C484E" w:rsidP="008C484E">
      <w:pPr>
        <w:pStyle w:val="paragraph"/>
      </w:pPr>
      <w:r w:rsidRPr="00175431">
        <w:tab/>
        <w:t>(b)</w:t>
      </w:r>
      <w:r w:rsidRPr="00175431">
        <w:tab/>
        <w:t>if the decision is to refuse permission</w:t>
      </w:r>
      <w:r w:rsidR="00626A2D">
        <w:t>, or to give permission subject to a condition</w:t>
      </w:r>
      <w:r w:rsidRPr="00175431">
        <w:t>:</w:t>
      </w:r>
    </w:p>
    <w:p w14:paraId="5414918D" w14:textId="77777777" w:rsidR="008C484E" w:rsidRPr="00175431" w:rsidRDefault="008C484E" w:rsidP="008C484E">
      <w:pPr>
        <w:pStyle w:val="paragraphsub"/>
      </w:pPr>
      <w:r w:rsidRPr="00175431">
        <w:tab/>
        <w:t>(i)</w:t>
      </w:r>
      <w:r w:rsidRPr="00175431">
        <w:tab/>
        <w:t>the reasons for the decision; and</w:t>
      </w:r>
    </w:p>
    <w:p w14:paraId="3420BCBE" w14:textId="77777777" w:rsidR="008C484E" w:rsidRPr="00175431" w:rsidRDefault="008C484E" w:rsidP="008C484E">
      <w:pPr>
        <w:pStyle w:val="paragraphsub"/>
      </w:pPr>
      <w:r w:rsidRPr="00175431">
        <w:tab/>
        <w:t>(ii)</w:t>
      </w:r>
      <w:r w:rsidRPr="00175431">
        <w:tab/>
        <w:t>the licensee’s right to request a reconsideration of the decision under subclause (11).</w:t>
      </w:r>
    </w:p>
    <w:p w14:paraId="66F59BCA" w14:textId="77777777" w:rsidR="008C484E" w:rsidRPr="00175431" w:rsidRDefault="008C484E" w:rsidP="008C484E">
      <w:pPr>
        <w:pStyle w:val="subsection"/>
        <w:rPr>
          <w:i/>
          <w:iCs/>
        </w:rPr>
      </w:pPr>
      <w:r w:rsidRPr="00175431">
        <w:rPr>
          <w:i/>
          <w:iCs/>
        </w:rPr>
        <w:t>Reconsideration of refusal</w:t>
      </w:r>
    </w:p>
    <w:p w14:paraId="77667B42" w14:textId="7C761460" w:rsidR="008C484E" w:rsidRPr="00175431" w:rsidRDefault="008C484E" w:rsidP="008C484E">
      <w:pPr>
        <w:pStyle w:val="subsection"/>
      </w:pPr>
      <w:r w:rsidRPr="00175431">
        <w:tab/>
        <w:t>(11)</w:t>
      </w:r>
      <w:r w:rsidRPr="00175431">
        <w:tab/>
        <w:t>A licensee may apply, in writing, for the ACMA to reconsider a decision to refuse permission</w:t>
      </w:r>
      <w:r w:rsidR="00076BC2">
        <w:t>, or to give permission subject to a condition,</w:t>
      </w:r>
      <w:r w:rsidRPr="00175431">
        <w:t xml:space="preserve"> under subclause (8) (</w:t>
      </w:r>
      <w:r w:rsidRPr="00175431">
        <w:rPr>
          <w:b/>
          <w:bCs/>
          <w:i/>
          <w:iCs/>
        </w:rPr>
        <w:t>original decision</w:t>
      </w:r>
      <w:r w:rsidRPr="00175431">
        <w:t>).</w:t>
      </w:r>
    </w:p>
    <w:p w14:paraId="31937BE1" w14:textId="77777777" w:rsidR="008C484E" w:rsidRPr="00175431" w:rsidRDefault="008C484E" w:rsidP="008C484E">
      <w:pPr>
        <w:pStyle w:val="subsection"/>
      </w:pPr>
      <w:r w:rsidRPr="00175431">
        <w:tab/>
        <w:t>(12)</w:t>
      </w:r>
      <w:r w:rsidRPr="00175431">
        <w:tab/>
        <w:t>An application under subclause (11) must:</w:t>
      </w:r>
    </w:p>
    <w:p w14:paraId="0204259B" w14:textId="77777777" w:rsidR="008C484E" w:rsidRPr="00175431" w:rsidRDefault="008C484E" w:rsidP="008C484E">
      <w:pPr>
        <w:pStyle w:val="paragraph"/>
      </w:pPr>
      <w:r w:rsidRPr="00175431">
        <w:tab/>
        <w:t>(a)</w:t>
      </w:r>
      <w:r w:rsidRPr="00175431">
        <w:tab/>
        <w:t>be made in writing; and</w:t>
      </w:r>
    </w:p>
    <w:p w14:paraId="74236DFE" w14:textId="77777777" w:rsidR="008C484E" w:rsidRPr="00175431" w:rsidRDefault="008C484E" w:rsidP="008C484E">
      <w:pPr>
        <w:pStyle w:val="paragraph"/>
      </w:pPr>
      <w:r w:rsidRPr="00175431">
        <w:tab/>
        <w:t>(b)</w:t>
      </w:r>
      <w:r w:rsidRPr="00175431">
        <w:tab/>
        <w:t>set out the reasons for the application; and</w:t>
      </w:r>
    </w:p>
    <w:p w14:paraId="0E3F9C72" w14:textId="77777777" w:rsidR="008C484E" w:rsidRPr="00175431" w:rsidRDefault="008C484E" w:rsidP="008C484E">
      <w:pPr>
        <w:pStyle w:val="paragraph"/>
      </w:pPr>
      <w:r w:rsidRPr="00175431">
        <w:tab/>
        <w:t>(c)</w:t>
      </w:r>
      <w:r w:rsidRPr="00175431">
        <w:tab/>
        <w:t>be given to the ACMA within 30 days after the licensee is notified of the original decision.</w:t>
      </w:r>
    </w:p>
    <w:p w14:paraId="39616C80" w14:textId="77777777" w:rsidR="008C484E" w:rsidRPr="00175431" w:rsidRDefault="008C484E" w:rsidP="008C484E">
      <w:pPr>
        <w:pStyle w:val="subsection"/>
      </w:pPr>
      <w:r w:rsidRPr="00175431">
        <w:tab/>
        <w:t>(13)</w:t>
      </w:r>
      <w:r w:rsidRPr="00175431">
        <w:tab/>
        <w:t>The ACMA must, within 30 days after the application under subclause (11) is received, reconsider the original decision and either:</w:t>
      </w:r>
    </w:p>
    <w:p w14:paraId="698C2EFB" w14:textId="77777777" w:rsidR="008C484E" w:rsidRPr="00175431" w:rsidRDefault="008C484E" w:rsidP="008C484E">
      <w:pPr>
        <w:pStyle w:val="paragraph"/>
      </w:pPr>
      <w:r w:rsidRPr="00175431">
        <w:tab/>
        <w:t>(a)</w:t>
      </w:r>
      <w:r w:rsidRPr="00175431">
        <w:tab/>
        <w:t>affirm the original decision; or</w:t>
      </w:r>
    </w:p>
    <w:p w14:paraId="41F35423" w14:textId="4A5F3B58" w:rsidR="008C484E" w:rsidRPr="00175431" w:rsidRDefault="008C484E" w:rsidP="008C484E">
      <w:pPr>
        <w:pStyle w:val="paragraph"/>
      </w:pPr>
      <w:r w:rsidRPr="00175431">
        <w:tab/>
        <w:t>(b)</w:t>
      </w:r>
      <w:r w:rsidRPr="00175431">
        <w:tab/>
      </w:r>
      <w:r w:rsidR="00076BC2">
        <w:t xml:space="preserve">if the original decision was to refuse permission – </w:t>
      </w:r>
      <w:r w:rsidRPr="00175431">
        <w:t>revoke the original decision, and either:</w:t>
      </w:r>
    </w:p>
    <w:p w14:paraId="2EEF8D58" w14:textId="3C9B7E11" w:rsidR="008C484E" w:rsidRPr="00175431" w:rsidRDefault="008C484E" w:rsidP="008C484E">
      <w:pPr>
        <w:pStyle w:val="paragraphsub"/>
      </w:pPr>
      <w:r w:rsidRPr="00175431">
        <w:tab/>
        <w:t>(i)</w:t>
      </w:r>
      <w:r w:rsidRPr="00175431">
        <w:tab/>
        <w:t xml:space="preserve">give permission to operate a radiocommunications transmitter otherwise than in accordance with </w:t>
      </w:r>
      <w:r w:rsidR="00D4476B">
        <w:t>a requirement of RALI MS 46 that relates to a matter specified in clause 5</w:t>
      </w:r>
      <w:r w:rsidRPr="00175431">
        <w:t>; or</w:t>
      </w:r>
    </w:p>
    <w:p w14:paraId="62726712" w14:textId="227C63F8" w:rsidR="00076BC2" w:rsidRDefault="008C484E" w:rsidP="008C484E">
      <w:pPr>
        <w:pStyle w:val="paragraphsub"/>
      </w:pPr>
      <w:r w:rsidRPr="00175431">
        <w:tab/>
        <w:t>(ii)</w:t>
      </w:r>
      <w:r w:rsidRPr="00175431">
        <w:tab/>
        <w:t>give permission to operate a radiocommunications transmitter otherwise than in accordance with</w:t>
      </w:r>
      <w:r w:rsidR="00D4476B">
        <w:t xml:space="preserve"> a requirement of RALI MS 46 that relates to a matter specified in clause 5</w:t>
      </w:r>
      <w:r w:rsidRPr="00175431">
        <w:t xml:space="preserve">, subject </w:t>
      </w:r>
      <w:r w:rsidR="00D4476B">
        <w:t>to a</w:t>
      </w:r>
      <w:r w:rsidRPr="00175431">
        <w:t xml:space="preserve"> condition</w:t>
      </w:r>
      <w:r w:rsidR="00D4476B">
        <w:t xml:space="preserve"> specified in the permission</w:t>
      </w:r>
      <w:r w:rsidR="00076BC2">
        <w:t>; or</w:t>
      </w:r>
    </w:p>
    <w:p w14:paraId="4EDB32B3" w14:textId="366C1C9B" w:rsidR="00076BC2" w:rsidRPr="00175431" w:rsidRDefault="00076BC2" w:rsidP="00076BC2">
      <w:pPr>
        <w:pStyle w:val="paragraph"/>
      </w:pPr>
      <w:r w:rsidRPr="00175431">
        <w:tab/>
        <w:t>(</w:t>
      </w:r>
      <w:r>
        <w:t>c</w:t>
      </w:r>
      <w:r w:rsidRPr="00175431">
        <w:t>)</w:t>
      </w:r>
      <w:r w:rsidRPr="00175431">
        <w:tab/>
      </w:r>
      <w:r>
        <w:t xml:space="preserve">if the original decision was to give permission subject to a condition – </w:t>
      </w:r>
      <w:r w:rsidRPr="00175431">
        <w:t>revoke the original decision, and either:</w:t>
      </w:r>
    </w:p>
    <w:p w14:paraId="4A34E40E" w14:textId="77777777" w:rsidR="00076BC2" w:rsidRPr="00175431" w:rsidRDefault="00076BC2" w:rsidP="00076BC2">
      <w:pPr>
        <w:pStyle w:val="paragraphsub"/>
      </w:pPr>
      <w:r w:rsidRPr="00175431">
        <w:tab/>
        <w:t>(i)</w:t>
      </w:r>
      <w:r w:rsidRPr="00175431">
        <w:tab/>
        <w:t xml:space="preserve">give permission to operate a radiocommunications transmitter otherwise than in accordance with </w:t>
      </w:r>
      <w:r>
        <w:t>a requirement of RALI MS 46 that relates to a matter specified in clause 5</w:t>
      </w:r>
      <w:r w:rsidRPr="00175431">
        <w:t>; or</w:t>
      </w:r>
    </w:p>
    <w:p w14:paraId="6A1DBD8F" w14:textId="231ACBD9" w:rsidR="00076BC2" w:rsidRDefault="00076BC2" w:rsidP="00076BC2">
      <w:pPr>
        <w:pStyle w:val="paragraphsub"/>
      </w:pPr>
      <w:r w:rsidRPr="00175431">
        <w:tab/>
        <w:t>(ii)</w:t>
      </w:r>
      <w:r w:rsidRPr="00175431">
        <w:tab/>
        <w:t>give permission to operate a radiocommunications transmitter otherwise than in accordance with</w:t>
      </w:r>
      <w:r>
        <w:t xml:space="preserve"> a requirement of RALI MS 46 that relates to a matter specified in clause 5</w:t>
      </w:r>
      <w:r w:rsidRPr="00175431">
        <w:t xml:space="preserve">, subject </w:t>
      </w:r>
      <w:r>
        <w:t>to a</w:t>
      </w:r>
      <w:r w:rsidRPr="00175431">
        <w:t xml:space="preserve"> condition</w:t>
      </w:r>
      <w:r>
        <w:t xml:space="preserve"> specified in the permission that is different to the condition in the original decision; or</w:t>
      </w:r>
    </w:p>
    <w:p w14:paraId="370E3F83" w14:textId="6E631763" w:rsidR="008C484E" w:rsidRPr="00175431" w:rsidRDefault="00076BC2" w:rsidP="008C484E">
      <w:pPr>
        <w:pStyle w:val="paragraphsub"/>
      </w:pPr>
      <w:r>
        <w:tab/>
        <w:t>(iii)</w:t>
      </w:r>
      <w:r>
        <w:tab/>
      </w:r>
      <w:r w:rsidR="008E05B6">
        <w:t>refuse permission</w:t>
      </w:r>
      <w:r w:rsidR="008C484E" w:rsidRPr="00175431">
        <w:t>.</w:t>
      </w:r>
    </w:p>
    <w:p w14:paraId="38A75690" w14:textId="77777777" w:rsidR="008C484E" w:rsidRPr="00175431" w:rsidRDefault="008C484E" w:rsidP="008C484E">
      <w:pPr>
        <w:pStyle w:val="subsection"/>
      </w:pPr>
      <w:r w:rsidRPr="00175431">
        <w:tab/>
        <w:t>(14)</w:t>
      </w:r>
      <w:r w:rsidRPr="00175431">
        <w:tab/>
        <w:t>The ACMA must, within 14 days after the decision under subclause (13) is made, give the licensee a written notice of:</w:t>
      </w:r>
    </w:p>
    <w:p w14:paraId="06B0A137" w14:textId="77777777" w:rsidR="008C484E" w:rsidRPr="00175431" w:rsidRDefault="008C484E" w:rsidP="008C484E">
      <w:pPr>
        <w:pStyle w:val="paragraph"/>
      </w:pPr>
      <w:r w:rsidRPr="00175431">
        <w:tab/>
        <w:t>(a)</w:t>
      </w:r>
      <w:r w:rsidRPr="00175431">
        <w:tab/>
        <w:t>the decision; and</w:t>
      </w:r>
    </w:p>
    <w:p w14:paraId="412578B9" w14:textId="55651B46" w:rsidR="008C484E" w:rsidRPr="00175431" w:rsidRDefault="008C484E" w:rsidP="008C484E">
      <w:pPr>
        <w:pStyle w:val="paragraph"/>
      </w:pPr>
      <w:r w:rsidRPr="00175431">
        <w:tab/>
        <w:t>(b)</w:t>
      </w:r>
      <w:r w:rsidRPr="00175431">
        <w:tab/>
        <w:t>if the decision is to affirm the original decision</w:t>
      </w:r>
      <w:r w:rsidR="00B76C5D">
        <w:t>, or to revoke the original decision and either refuse permission or give permission subject to a condition</w:t>
      </w:r>
      <w:r w:rsidRPr="00175431">
        <w:t>:</w:t>
      </w:r>
    </w:p>
    <w:p w14:paraId="55951E75" w14:textId="77777777" w:rsidR="008C484E" w:rsidRPr="00175431" w:rsidRDefault="008C484E" w:rsidP="008C484E">
      <w:pPr>
        <w:pStyle w:val="paragraphsub"/>
      </w:pPr>
      <w:r w:rsidRPr="00175431">
        <w:lastRenderedPageBreak/>
        <w:tab/>
        <w:t>(i)</w:t>
      </w:r>
      <w:r w:rsidRPr="00175431">
        <w:tab/>
        <w:t>the reasons for that decision; and</w:t>
      </w:r>
    </w:p>
    <w:p w14:paraId="54BE52C2" w14:textId="5A3B3611" w:rsidR="008C484E" w:rsidRPr="00175431" w:rsidRDefault="008C484E" w:rsidP="008C484E">
      <w:pPr>
        <w:pStyle w:val="paragraphsub"/>
      </w:pPr>
      <w:r w:rsidRPr="00175431">
        <w:tab/>
        <w:t>(ii)</w:t>
      </w:r>
      <w:r w:rsidRPr="00175431">
        <w:tab/>
        <w:t xml:space="preserve">the licensee’s right to have that </w:t>
      </w:r>
      <w:r w:rsidR="00C861D8">
        <w:t xml:space="preserve">decision </w:t>
      </w:r>
      <w:r w:rsidRPr="00175431">
        <w:t>reviewed under subclause (15).</w:t>
      </w:r>
    </w:p>
    <w:p w14:paraId="2479B7AB" w14:textId="77777777" w:rsidR="008C484E" w:rsidRPr="00175431" w:rsidRDefault="008C484E" w:rsidP="008C484E">
      <w:pPr>
        <w:pStyle w:val="subsection"/>
        <w:rPr>
          <w:i/>
          <w:iCs/>
        </w:rPr>
      </w:pPr>
      <w:r w:rsidRPr="00175431">
        <w:rPr>
          <w:i/>
          <w:iCs/>
        </w:rPr>
        <w:t>Review</w:t>
      </w:r>
    </w:p>
    <w:p w14:paraId="308C60F1" w14:textId="3AF4C9E3" w:rsidR="008C484E" w:rsidRPr="008C484E" w:rsidRDefault="008C484E" w:rsidP="006C2274">
      <w:pPr>
        <w:pStyle w:val="subsection"/>
      </w:pPr>
      <w:r w:rsidRPr="00175431">
        <w:tab/>
        <w:t>(15)</w:t>
      </w:r>
      <w:r w:rsidRPr="00175431">
        <w:tab/>
        <w:t>If a decision under subclause (1</w:t>
      </w:r>
      <w:r w:rsidR="002079D8">
        <w:t>4</w:t>
      </w:r>
      <w:r w:rsidRPr="00175431">
        <w:t xml:space="preserve">) is </w:t>
      </w:r>
      <w:r w:rsidR="00B76C5D">
        <w:t xml:space="preserve">specified in </w:t>
      </w:r>
      <w:r w:rsidR="00032647">
        <w:t>paragraph (14)(b)</w:t>
      </w:r>
      <w:r w:rsidRPr="00175431">
        <w:t>, the licensee may apply to the AAT</w:t>
      </w:r>
      <w:r w:rsidRPr="00894D32">
        <w:t xml:space="preserve"> for review of that decision.</w:t>
      </w:r>
    </w:p>
    <w:p w14:paraId="40AFCE3E" w14:textId="06FDA8CA" w:rsidR="00E83636" w:rsidRDefault="00C72330" w:rsidP="000B018F">
      <w:pPr>
        <w:pStyle w:val="ItemHead"/>
      </w:pPr>
      <w:r>
        <w:t>1</w:t>
      </w:r>
      <w:r w:rsidR="000C60B2">
        <w:t>5</w:t>
      </w:r>
      <w:r w:rsidR="003328AB">
        <w:t xml:space="preserve">  After Schedule 3</w:t>
      </w:r>
    </w:p>
    <w:p w14:paraId="2B47B1A0" w14:textId="70A72783" w:rsidR="008413E9" w:rsidRDefault="003328AB" w:rsidP="000B018F">
      <w:pPr>
        <w:pStyle w:val="Item"/>
        <w:keepNext/>
      </w:pPr>
      <w:r>
        <w:t>I</w:t>
      </w:r>
      <w:r w:rsidR="002A08A4">
        <w:t>nsert:</w:t>
      </w:r>
    </w:p>
    <w:p w14:paraId="66B9DCF3" w14:textId="2CD044B1" w:rsidR="003328AB" w:rsidRPr="00F37DD5" w:rsidRDefault="003328AB" w:rsidP="003328AB">
      <w:pPr>
        <w:pStyle w:val="Heading1"/>
        <w:keepLines w:val="0"/>
        <w:spacing w:after="160" w:line="257" w:lineRule="auto"/>
        <w:rPr>
          <w:rFonts w:ascii="Times New Roman" w:eastAsiaTheme="minorHAnsi" w:hAnsi="Times New Roman" w:cs="Times New Roman"/>
          <w:color w:val="auto"/>
        </w:rPr>
      </w:pPr>
      <w:r w:rsidRPr="00F37DD5">
        <w:rPr>
          <w:rFonts w:ascii="Times New Roman" w:eastAsiaTheme="minorHAnsi" w:hAnsi="Times New Roman" w:cs="Times New Roman"/>
          <w:b/>
          <w:bCs/>
          <w:color w:val="auto"/>
        </w:rPr>
        <w:t xml:space="preserve">Schedule </w:t>
      </w:r>
      <w:r>
        <w:rPr>
          <w:rFonts w:ascii="Times New Roman" w:eastAsiaTheme="minorHAnsi" w:hAnsi="Times New Roman" w:cs="Times New Roman"/>
          <w:b/>
          <w:bCs/>
          <w:color w:val="auto"/>
        </w:rPr>
        <w:t>4</w:t>
      </w:r>
      <w:r w:rsidRPr="00F37DD5">
        <w:rPr>
          <w:rFonts w:ascii="Times New Roman" w:eastAsiaTheme="minorHAnsi" w:hAnsi="Times New Roman" w:cs="Times New Roman"/>
          <w:b/>
          <w:bCs/>
          <w:color w:val="auto"/>
        </w:rPr>
        <w:t>—</w:t>
      </w:r>
      <w:r>
        <w:rPr>
          <w:rFonts w:ascii="Times New Roman" w:eastAsiaTheme="minorHAnsi" w:hAnsi="Times New Roman" w:cs="Times New Roman"/>
          <w:b/>
          <w:bCs/>
          <w:color w:val="auto"/>
        </w:rPr>
        <w:t>Conditions for radiocommun</w:t>
      </w:r>
      <w:r w:rsidR="00364BD4">
        <w:rPr>
          <w:rFonts w:ascii="Times New Roman" w:eastAsiaTheme="minorHAnsi" w:hAnsi="Times New Roman" w:cs="Times New Roman"/>
          <w:b/>
          <w:bCs/>
          <w:color w:val="auto"/>
        </w:rPr>
        <w:t xml:space="preserve">ications </w:t>
      </w:r>
      <w:r w:rsidR="00EA44FE">
        <w:rPr>
          <w:rFonts w:ascii="Times New Roman" w:eastAsiaTheme="minorHAnsi" w:hAnsi="Times New Roman" w:cs="Times New Roman"/>
          <w:b/>
          <w:bCs/>
          <w:color w:val="auto"/>
        </w:rPr>
        <w:t>transmitters</w:t>
      </w:r>
      <w:r w:rsidR="00364BD4">
        <w:rPr>
          <w:rFonts w:ascii="Times New Roman" w:eastAsiaTheme="minorHAnsi" w:hAnsi="Times New Roman" w:cs="Times New Roman"/>
          <w:b/>
          <w:bCs/>
          <w:color w:val="auto"/>
        </w:rPr>
        <w:t xml:space="preserve"> authorised to operate in the frequency range 3.4 GHz–</w:t>
      </w:r>
      <w:r w:rsidR="00A64870">
        <w:rPr>
          <w:rFonts w:ascii="Times New Roman" w:eastAsiaTheme="minorHAnsi" w:hAnsi="Times New Roman" w:cs="Times New Roman"/>
          <w:b/>
          <w:bCs/>
          <w:color w:val="auto"/>
        </w:rPr>
        <w:t>4</w:t>
      </w:r>
      <w:r w:rsidR="00364BD4">
        <w:rPr>
          <w:rFonts w:ascii="Times New Roman" w:eastAsiaTheme="minorHAnsi" w:hAnsi="Times New Roman" w:cs="Times New Roman"/>
          <w:b/>
          <w:bCs/>
          <w:color w:val="auto"/>
        </w:rPr>
        <w:t xml:space="preserve"> GHz</w:t>
      </w:r>
    </w:p>
    <w:p w14:paraId="035E360A" w14:textId="6446DE32" w:rsidR="003328AB" w:rsidRDefault="003328AB" w:rsidP="007C58DD">
      <w:pPr>
        <w:pStyle w:val="Schedulereference"/>
        <w:spacing w:after="120"/>
        <w:ind w:left="1559"/>
        <w:rPr>
          <w:rStyle w:val="CharSectno"/>
          <w:rFonts w:ascii="Times New Roman" w:eastAsiaTheme="minorHAnsi" w:hAnsi="Times New Roman"/>
          <w:b/>
          <w:bCs/>
          <w:sz w:val="32"/>
          <w:szCs w:val="32"/>
          <w:lang w:eastAsia="en-US"/>
        </w:rPr>
      </w:pPr>
      <w:r>
        <w:rPr>
          <w:rStyle w:val="CharSectno"/>
          <w:rFonts w:ascii="Times New Roman" w:hAnsi="Times New Roman"/>
        </w:rPr>
        <w:t>(</w:t>
      </w:r>
      <w:r w:rsidR="00364BD4">
        <w:rPr>
          <w:rStyle w:val="CharSectno"/>
          <w:rFonts w:ascii="Times New Roman" w:hAnsi="Times New Roman"/>
        </w:rPr>
        <w:t>paragraph 6(c)</w:t>
      </w:r>
      <w:r>
        <w:rPr>
          <w:rStyle w:val="CharSectno"/>
          <w:rFonts w:ascii="Times New Roman" w:hAnsi="Times New Roman"/>
        </w:rPr>
        <w:t>)</w:t>
      </w:r>
    </w:p>
    <w:p w14:paraId="086B27CB" w14:textId="2B76899B" w:rsidR="003328AB" w:rsidRPr="005460DE" w:rsidRDefault="003328AB" w:rsidP="003328AB">
      <w:pPr>
        <w:pStyle w:val="Heading2"/>
        <w:rPr>
          <w:rStyle w:val="CharSectno"/>
          <w:rFonts w:ascii="Times New Roman" w:eastAsia="Times New Roman" w:hAnsi="Times New Roman" w:cs="Times New Roman"/>
          <w:b/>
          <w:color w:val="auto"/>
          <w:kern w:val="28"/>
          <w:sz w:val="24"/>
          <w:szCs w:val="20"/>
          <w:lang w:eastAsia="en-AU"/>
        </w:rPr>
      </w:pPr>
      <w:r w:rsidRPr="005460DE">
        <w:rPr>
          <w:rStyle w:val="CharSectno"/>
          <w:rFonts w:ascii="Times New Roman" w:eastAsia="Times New Roman" w:hAnsi="Times New Roman" w:cs="Times New Roman"/>
          <w:b/>
          <w:color w:val="auto"/>
          <w:kern w:val="28"/>
          <w:sz w:val="24"/>
          <w:szCs w:val="20"/>
          <w:lang w:eastAsia="en-AU"/>
        </w:rPr>
        <w:t xml:space="preserve">1  </w:t>
      </w:r>
      <w:r w:rsidR="00871E15">
        <w:rPr>
          <w:rStyle w:val="CharSectno"/>
          <w:rFonts w:ascii="Times New Roman" w:eastAsia="Times New Roman" w:hAnsi="Times New Roman" w:cs="Times New Roman"/>
          <w:b/>
          <w:color w:val="auto"/>
          <w:kern w:val="28"/>
          <w:sz w:val="24"/>
          <w:szCs w:val="20"/>
          <w:lang w:eastAsia="en-AU"/>
        </w:rPr>
        <w:t>Interpretation</w:t>
      </w:r>
    </w:p>
    <w:p w14:paraId="11E25C35" w14:textId="2D213787" w:rsidR="003328AB" w:rsidRDefault="003328AB" w:rsidP="003328AB">
      <w:pPr>
        <w:pStyle w:val="subsection"/>
      </w:pPr>
      <w:r>
        <w:tab/>
      </w:r>
      <w:r>
        <w:tab/>
      </w:r>
      <w:r w:rsidR="00871E15">
        <w:t>In this Schedule:</w:t>
      </w:r>
    </w:p>
    <w:p w14:paraId="23380F18" w14:textId="7C920962" w:rsidR="00A45D28" w:rsidRDefault="00A45D28" w:rsidP="00BF5809">
      <w:pPr>
        <w:pStyle w:val="Definition"/>
        <w:rPr>
          <w:iCs/>
        </w:rPr>
      </w:pPr>
      <w:r>
        <w:rPr>
          <w:b/>
          <w:bCs/>
          <w:i/>
        </w:rPr>
        <w:t>3.4 GHz band guidelines</w:t>
      </w:r>
      <w:r>
        <w:rPr>
          <w:iCs/>
        </w:rPr>
        <w:t xml:space="preserve"> means:</w:t>
      </w:r>
    </w:p>
    <w:p w14:paraId="657FA038" w14:textId="0AF3FFAC" w:rsidR="00A45D28" w:rsidRDefault="00A45D28" w:rsidP="00A45D28">
      <w:pPr>
        <w:pStyle w:val="paragraph"/>
        <w:rPr>
          <w:bCs/>
          <w:iCs/>
        </w:rPr>
      </w:pPr>
      <w:r>
        <w:rPr>
          <w:bCs/>
          <w:iCs/>
        </w:rPr>
        <w:tab/>
        <w:t>(a)</w:t>
      </w:r>
      <w:r>
        <w:rPr>
          <w:bCs/>
          <w:iCs/>
        </w:rPr>
        <w:tab/>
        <w:t xml:space="preserve">the </w:t>
      </w:r>
      <w:r>
        <w:rPr>
          <w:bCs/>
          <w:i/>
        </w:rPr>
        <w:t>Radiocommunications Advisory Guidelines (Managing Interference to Spectrum Licensed Receivers</w:t>
      </w:r>
      <w:r w:rsidR="00361DA4">
        <w:rPr>
          <w:bCs/>
          <w:i/>
        </w:rPr>
        <w:t xml:space="preserve"> – 3.4 GHz Band) 2015</w:t>
      </w:r>
      <w:r>
        <w:rPr>
          <w:bCs/>
          <w:iCs/>
        </w:rPr>
        <w:t>; or</w:t>
      </w:r>
    </w:p>
    <w:p w14:paraId="6C327E53" w14:textId="0162858C" w:rsidR="00A45D28" w:rsidRPr="00A70DC1" w:rsidRDefault="00A45D28" w:rsidP="00A45D28">
      <w:pPr>
        <w:pStyle w:val="paragraph"/>
        <w:rPr>
          <w:bCs/>
          <w:iCs/>
        </w:rPr>
      </w:pPr>
      <w:r>
        <w:rPr>
          <w:bCs/>
          <w:iCs/>
        </w:rPr>
        <w:tab/>
        <w:t>(b)</w:t>
      </w:r>
      <w:r>
        <w:rPr>
          <w:bCs/>
          <w:iCs/>
        </w:rPr>
        <w:tab/>
        <w:t>if another instrument replaces those guidelines – the other instrument.</w:t>
      </w:r>
    </w:p>
    <w:p w14:paraId="00AA4174" w14:textId="2D36CCAB" w:rsidR="00D750A7" w:rsidRDefault="00D750A7" w:rsidP="00BF5809">
      <w:pPr>
        <w:pStyle w:val="Definition"/>
        <w:rPr>
          <w:iCs/>
        </w:rPr>
      </w:pPr>
      <w:r>
        <w:rPr>
          <w:b/>
          <w:bCs/>
          <w:i/>
        </w:rPr>
        <w:t xml:space="preserve">3GPP TS 36.211 </w:t>
      </w:r>
      <w:r w:rsidR="00091F19">
        <w:rPr>
          <w:iCs/>
        </w:rPr>
        <w:t xml:space="preserve">means </w:t>
      </w:r>
      <w:r w:rsidR="00EA658C">
        <w:rPr>
          <w:iCs/>
        </w:rPr>
        <w:t>“</w:t>
      </w:r>
      <w:r w:rsidR="00091F19">
        <w:rPr>
          <w:iCs/>
        </w:rPr>
        <w:t>LTE; Evol</w:t>
      </w:r>
      <w:r w:rsidR="00EA658C">
        <w:rPr>
          <w:iCs/>
        </w:rPr>
        <w:t xml:space="preserve">ved Universal </w:t>
      </w:r>
      <w:r w:rsidR="00177874">
        <w:rPr>
          <w:iCs/>
        </w:rPr>
        <w:t>Terrestrial</w:t>
      </w:r>
      <w:r w:rsidR="00EA658C">
        <w:rPr>
          <w:iCs/>
        </w:rPr>
        <w:t xml:space="preserve"> Radio Access (E-UTRA); Physical channels and modulation (3GPP TS 36.211</w:t>
      </w:r>
      <w:r w:rsidR="005D686C">
        <w:rPr>
          <w:iCs/>
        </w:rPr>
        <w:t>)”, published by the European Telecommunications Standards Institute.</w:t>
      </w:r>
    </w:p>
    <w:p w14:paraId="59CD8FEA" w14:textId="71B516EC" w:rsidR="00583D36" w:rsidRPr="00583D36" w:rsidRDefault="00583D36" w:rsidP="00583D36">
      <w:pPr>
        <w:pStyle w:val="notetext"/>
        <w:rPr>
          <w:iCs/>
        </w:rPr>
      </w:pPr>
      <w:r w:rsidRPr="00583D36">
        <w:rPr>
          <w:iCs/>
        </w:rPr>
        <w:t>Note:</w:t>
      </w:r>
      <w:r w:rsidRPr="00583D36">
        <w:rPr>
          <w:iCs/>
        </w:rPr>
        <w:tab/>
      </w:r>
      <w:r>
        <w:rPr>
          <w:iCs/>
        </w:rPr>
        <w:t xml:space="preserve">3GPP TS 36.211 is available, free of </w:t>
      </w:r>
      <w:r w:rsidR="00177874">
        <w:rPr>
          <w:iCs/>
        </w:rPr>
        <w:t>charge</w:t>
      </w:r>
      <w:r>
        <w:rPr>
          <w:iCs/>
        </w:rPr>
        <w:t xml:space="preserve">, from the European Telecommunication Standards Institute’s website at </w:t>
      </w:r>
      <w:hyperlink r:id="rId20" w:history="1">
        <w:r w:rsidR="00FB57AF" w:rsidRPr="00452FFA">
          <w:rPr>
            <w:rStyle w:val="Hyperlink"/>
            <w:iCs/>
          </w:rPr>
          <w:t>https://portal.etsi.org</w:t>
        </w:r>
      </w:hyperlink>
      <w:r w:rsidR="00FB57AF">
        <w:rPr>
          <w:iCs/>
        </w:rPr>
        <w:t>.</w:t>
      </w:r>
    </w:p>
    <w:p w14:paraId="4AD9ECB3" w14:textId="31A386D7" w:rsidR="00BF5809" w:rsidRDefault="005B13CB" w:rsidP="00BF5809">
      <w:pPr>
        <w:pStyle w:val="Definition"/>
        <w:rPr>
          <w:iCs/>
        </w:rPr>
      </w:pPr>
      <w:r>
        <w:rPr>
          <w:b/>
          <w:bCs/>
          <w:i/>
        </w:rPr>
        <w:t>low risk transmitter</w:t>
      </w:r>
      <w:r w:rsidRPr="005B13CB">
        <w:rPr>
          <w:iCs/>
        </w:rPr>
        <w:t>:</w:t>
      </w:r>
      <w:r w:rsidR="00BF5809">
        <w:rPr>
          <w:b/>
          <w:bCs/>
          <w:i/>
        </w:rPr>
        <w:t xml:space="preserve"> </w:t>
      </w:r>
      <w:r>
        <w:rPr>
          <w:iCs/>
        </w:rPr>
        <w:t>see subclause 3(2).</w:t>
      </w:r>
    </w:p>
    <w:p w14:paraId="20A54C0E" w14:textId="1E00D010" w:rsidR="00300B13" w:rsidRDefault="00300B13" w:rsidP="00BF5809">
      <w:pPr>
        <w:pStyle w:val="Definition"/>
        <w:rPr>
          <w:iCs/>
        </w:rPr>
      </w:pPr>
      <w:r>
        <w:rPr>
          <w:b/>
          <w:bCs/>
          <w:i/>
        </w:rPr>
        <w:t xml:space="preserve">uplink-downlink configuration </w:t>
      </w:r>
      <w:r>
        <w:rPr>
          <w:iCs/>
        </w:rPr>
        <w:t>means an uplink-downlink configuration that is consistent with both:</w:t>
      </w:r>
    </w:p>
    <w:p w14:paraId="203AC9E2" w14:textId="539C4273" w:rsidR="00300B13" w:rsidRDefault="00300B13" w:rsidP="00300B13">
      <w:pPr>
        <w:pStyle w:val="paragraph"/>
        <w:rPr>
          <w:iCs/>
        </w:rPr>
      </w:pPr>
      <w:r>
        <w:rPr>
          <w:iCs/>
        </w:rPr>
        <w:tab/>
      </w:r>
      <w:r w:rsidR="00896732">
        <w:rPr>
          <w:iCs/>
        </w:rPr>
        <w:t>(a)</w:t>
      </w:r>
      <w:r w:rsidR="00896732">
        <w:rPr>
          <w:iCs/>
        </w:rPr>
        <w:tab/>
        <w:t>uplink-downlink configuration 2 in Table 4.2-2 of 3GPP TS 36.211; and</w:t>
      </w:r>
    </w:p>
    <w:p w14:paraId="2CAE1397" w14:textId="48607D5C" w:rsidR="00896732" w:rsidRDefault="00896732" w:rsidP="00BE5D25">
      <w:pPr>
        <w:pStyle w:val="paragraph"/>
        <w:spacing w:after="120"/>
        <w:rPr>
          <w:iCs/>
        </w:rPr>
      </w:pPr>
      <w:r>
        <w:rPr>
          <w:iCs/>
        </w:rPr>
        <w:tab/>
        <w:t>(b)</w:t>
      </w:r>
      <w:r>
        <w:rPr>
          <w:iCs/>
        </w:rPr>
        <w:tab/>
      </w:r>
      <w:r w:rsidR="00D750A7">
        <w:rPr>
          <w:iCs/>
        </w:rPr>
        <w:t>special subframe configuration 6 in Table 4.2-1 of 3GPP TS 36.211.</w:t>
      </w:r>
    </w:p>
    <w:p w14:paraId="4B936C1A" w14:textId="6427944C" w:rsidR="00BE5D25" w:rsidRPr="005460DE" w:rsidRDefault="00BE5D25" w:rsidP="00EE47D5">
      <w:pPr>
        <w:pStyle w:val="Heading2"/>
        <w:spacing w:before="120" w:line="257" w:lineRule="auto"/>
        <w:rPr>
          <w:rStyle w:val="CharSectno"/>
          <w:rFonts w:ascii="Times New Roman" w:eastAsia="Times New Roman" w:hAnsi="Times New Roman" w:cs="Times New Roman"/>
          <w:b/>
          <w:color w:val="auto"/>
          <w:kern w:val="28"/>
          <w:sz w:val="24"/>
          <w:szCs w:val="20"/>
          <w:lang w:eastAsia="en-AU"/>
        </w:rPr>
      </w:pPr>
      <w:r>
        <w:rPr>
          <w:rStyle w:val="CharSectno"/>
          <w:rFonts w:ascii="Times New Roman" w:eastAsia="Times New Roman" w:hAnsi="Times New Roman" w:cs="Times New Roman"/>
          <w:b/>
          <w:color w:val="auto"/>
          <w:kern w:val="28"/>
          <w:sz w:val="24"/>
          <w:szCs w:val="20"/>
          <w:lang w:eastAsia="en-AU"/>
        </w:rPr>
        <w:t>2</w:t>
      </w:r>
      <w:r w:rsidRPr="005460DE">
        <w:rPr>
          <w:rStyle w:val="CharSectno"/>
          <w:rFonts w:ascii="Times New Roman" w:eastAsia="Times New Roman" w:hAnsi="Times New Roman" w:cs="Times New Roman"/>
          <w:b/>
          <w:color w:val="auto"/>
          <w:kern w:val="28"/>
          <w:sz w:val="24"/>
          <w:szCs w:val="20"/>
          <w:lang w:eastAsia="en-AU"/>
        </w:rPr>
        <w:t xml:space="preserve">  </w:t>
      </w:r>
      <w:r>
        <w:rPr>
          <w:rStyle w:val="CharSectno"/>
          <w:rFonts w:ascii="Times New Roman" w:eastAsia="Times New Roman" w:hAnsi="Times New Roman" w:cs="Times New Roman"/>
          <w:b/>
          <w:color w:val="auto"/>
          <w:kern w:val="28"/>
          <w:sz w:val="24"/>
          <w:szCs w:val="20"/>
          <w:lang w:eastAsia="en-AU"/>
        </w:rPr>
        <w:t xml:space="preserve">Maximum radiated power </w:t>
      </w:r>
      <w:r w:rsidR="00047D36">
        <w:rPr>
          <w:rStyle w:val="CharSectno"/>
          <w:rFonts w:ascii="Times New Roman" w:eastAsia="Times New Roman" w:hAnsi="Times New Roman" w:cs="Times New Roman"/>
          <w:b/>
          <w:color w:val="auto"/>
          <w:kern w:val="28"/>
          <w:sz w:val="24"/>
          <w:szCs w:val="20"/>
          <w:lang w:eastAsia="en-AU"/>
        </w:rPr>
        <w:t>–</w:t>
      </w:r>
      <w:r>
        <w:rPr>
          <w:rStyle w:val="CharSectno"/>
          <w:rFonts w:ascii="Times New Roman" w:eastAsia="Times New Roman" w:hAnsi="Times New Roman" w:cs="Times New Roman"/>
          <w:b/>
          <w:color w:val="auto"/>
          <w:kern w:val="28"/>
          <w:sz w:val="24"/>
          <w:szCs w:val="20"/>
          <w:lang w:eastAsia="en-AU"/>
        </w:rPr>
        <w:t xml:space="preserve"> transmitters</w:t>
      </w:r>
    </w:p>
    <w:p w14:paraId="71A70639" w14:textId="0CA3123E" w:rsidR="00BE5D25" w:rsidRDefault="00BC67A9" w:rsidP="00BC67A9">
      <w:pPr>
        <w:pStyle w:val="subsection"/>
        <w:rPr>
          <w:iCs/>
        </w:rPr>
      </w:pPr>
      <w:r>
        <w:rPr>
          <w:iCs/>
        </w:rPr>
        <w:tab/>
        <w:t>(1)</w:t>
      </w:r>
      <w:r>
        <w:rPr>
          <w:iCs/>
        </w:rPr>
        <w:tab/>
      </w:r>
      <w:r w:rsidR="00BE5D25" w:rsidRPr="006160BD">
        <w:rPr>
          <w:iCs/>
        </w:rPr>
        <w:t xml:space="preserve">A licensee must not operate a radiocommunications transmitter </w:t>
      </w:r>
      <w:r w:rsidR="003937D5" w:rsidRPr="006160BD">
        <w:rPr>
          <w:iCs/>
        </w:rPr>
        <w:t xml:space="preserve">under an area-wide licence </w:t>
      </w:r>
      <w:r w:rsidR="00BE5D25" w:rsidRPr="006160BD">
        <w:rPr>
          <w:iCs/>
        </w:rPr>
        <w:t>at a total radiated power</w:t>
      </w:r>
      <w:r w:rsidR="00335AAC" w:rsidRPr="006160BD">
        <w:rPr>
          <w:iCs/>
        </w:rPr>
        <w:t xml:space="preserve"> greater than 48 dBm/5 MHz.</w:t>
      </w:r>
    </w:p>
    <w:p w14:paraId="573D25F7" w14:textId="549F9564" w:rsidR="006160BD" w:rsidRDefault="00BC67A9" w:rsidP="00422373">
      <w:pPr>
        <w:pStyle w:val="subsection"/>
        <w:rPr>
          <w:iCs/>
        </w:rPr>
      </w:pPr>
      <w:r>
        <w:rPr>
          <w:iCs/>
        </w:rPr>
        <w:tab/>
        <w:t>(2)</w:t>
      </w:r>
      <w:r>
        <w:rPr>
          <w:iCs/>
        </w:rPr>
        <w:tab/>
      </w:r>
      <w:r w:rsidR="006160BD">
        <w:rPr>
          <w:iCs/>
        </w:rPr>
        <w:t xml:space="preserve">A licensee must not operate a radiocommunications transmitter under an area-wide licence at a total </w:t>
      </w:r>
      <w:r w:rsidR="00E81D27">
        <w:rPr>
          <w:iCs/>
        </w:rPr>
        <w:t>EIRP</w:t>
      </w:r>
      <w:r w:rsidR="006160BD">
        <w:rPr>
          <w:iCs/>
        </w:rPr>
        <w:t xml:space="preserve"> greater than 7</w:t>
      </w:r>
      <w:r w:rsidR="00CC3AFE">
        <w:rPr>
          <w:iCs/>
        </w:rPr>
        <w:t>2</w:t>
      </w:r>
      <w:r w:rsidR="006160BD">
        <w:rPr>
          <w:iCs/>
        </w:rPr>
        <w:t xml:space="preserve"> dBm/5 MHz at frequencies </w:t>
      </w:r>
      <w:r w:rsidR="00F551E5">
        <w:rPr>
          <w:iCs/>
        </w:rPr>
        <w:t>above</w:t>
      </w:r>
      <w:r w:rsidR="006160BD">
        <w:rPr>
          <w:iCs/>
        </w:rPr>
        <w:t xml:space="preserve"> 3700 MHz.</w:t>
      </w:r>
    </w:p>
    <w:p w14:paraId="405D31F8" w14:textId="3651C638" w:rsidR="0014333A" w:rsidRPr="006160BD" w:rsidRDefault="00A7368D" w:rsidP="00BB7380">
      <w:pPr>
        <w:pStyle w:val="notetext"/>
        <w:rPr>
          <w:iCs/>
        </w:rPr>
      </w:pPr>
      <w:r w:rsidRPr="00A7368D">
        <w:rPr>
          <w:iCs/>
        </w:rPr>
        <w:t>Note:</w:t>
      </w:r>
      <w:r w:rsidR="00B00D2D">
        <w:rPr>
          <w:iCs/>
        </w:rPr>
        <w:tab/>
      </w:r>
      <w:r w:rsidRPr="00A7368D">
        <w:rPr>
          <w:iCs/>
        </w:rPr>
        <w:t xml:space="preserve">For </w:t>
      </w:r>
      <w:r w:rsidR="00D563DD">
        <w:rPr>
          <w:iCs/>
        </w:rPr>
        <w:t xml:space="preserve">a </w:t>
      </w:r>
      <w:r w:rsidRPr="00A7368D">
        <w:rPr>
          <w:iCs/>
        </w:rPr>
        <w:t xml:space="preserve">radiocommunication transmitter operating </w:t>
      </w:r>
      <w:r w:rsidR="00D563DD">
        <w:rPr>
          <w:iCs/>
        </w:rPr>
        <w:t xml:space="preserve">a </w:t>
      </w:r>
      <w:r w:rsidRPr="00A7368D">
        <w:rPr>
          <w:iCs/>
        </w:rPr>
        <w:t xml:space="preserve">dual polarised </w:t>
      </w:r>
      <w:r w:rsidR="00930ACE">
        <w:rPr>
          <w:iCs/>
        </w:rPr>
        <w:t xml:space="preserve">antenna </w:t>
      </w:r>
      <w:r w:rsidRPr="00A7368D">
        <w:rPr>
          <w:iCs/>
        </w:rPr>
        <w:t xml:space="preserve">system, </w:t>
      </w:r>
      <w:r w:rsidR="003F511E">
        <w:rPr>
          <w:iCs/>
        </w:rPr>
        <w:t>if</w:t>
      </w:r>
      <w:r w:rsidRPr="00A7368D">
        <w:rPr>
          <w:iCs/>
        </w:rPr>
        <w:t xml:space="preserve"> the EIRP on each polarisation </w:t>
      </w:r>
      <w:r w:rsidR="003F511E">
        <w:rPr>
          <w:iCs/>
        </w:rPr>
        <w:t>is not greater than</w:t>
      </w:r>
      <w:r w:rsidRPr="00A7368D">
        <w:rPr>
          <w:iCs/>
        </w:rPr>
        <w:t xml:space="preserve"> 6</w:t>
      </w:r>
      <w:r w:rsidR="00EE5CEA">
        <w:rPr>
          <w:iCs/>
        </w:rPr>
        <w:t>9</w:t>
      </w:r>
      <w:r w:rsidRPr="00A7368D">
        <w:rPr>
          <w:iCs/>
        </w:rPr>
        <w:t xml:space="preserve"> dBm/5 MHz</w:t>
      </w:r>
      <w:r w:rsidR="003F511E">
        <w:rPr>
          <w:iCs/>
        </w:rPr>
        <w:t xml:space="preserve">, the </w:t>
      </w:r>
      <w:r w:rsidR="00D563DD">
        <w:rPr>
          <w:iCs/>
        </w:rPr>
        <w:t>total EIRP for the transmitter will not be greater than 7</w:t>
      </w:r>
      <w:r w:rsidR="00CC3AFE">
        <w:rPr>
          <w:iCs/>
        </w:rPr>
        <w:t>2</w:t>
      </w:r>
      <w:r w:rsidR="00D563DD">
        <w:rPr>
          <w:iCs/>
        </w:rPr>
        <w:t xml:space="preserve"> dBm</w:t>
      </w:r>
      <w:r w:rsidR="00C7448E">
        <w:rPr>
          <w:iCs/>
        </w:rPr>
        <w:t>/5 MHz</w:t>
      </w:r>
      <w:r w:rsidRPr="00A7368D">
        <w:rPr>
          <w:iCs/>
        </w:rPr>
        <w:t>.</w:t>
      </w:r>
    </w:p>
    <w:p w14:paraId="70958A24" w14:textId="17006CC9" w:rsidR="00EE47D5" w:rsidRPr="005460DE" w:rsidRDefault="00EE47D5" w:rsidP="00EE47D5">
      <w:pPr>
        <w:pStyle w:val="Heading2"/>
        <w:spacing w:before="120" w:line="257" w:lineRule="auto"/>
        <w:rPr>
          <w:rStyle w:val="CharSectno"/>
          <w:rFonts w:ascii="Times New Roman" w:eastAsia="Times New Roman" w:hAnsi="Times New Roman" w:cs="Times New Roman"/>
          <w:b/>
          <w:color w:val="auto"/>
          <w:kern w:val="28"/>
          <w:sz w:val="24"/>
          <w:szCs w:val="20"/>
          <w:lang w:eastAsia="en-AU"/>
        </w:rPr>
      </w:pPr>
      <w:r>
        <w:rPr>
          <w:rStyle w:val="CharSectno"/>
          <w:rFonts w:ascii="Times New Roman" w:eastAsia="Times New Roman" w:hAnsi="Times New Roman" w:cs="Times New Roman"/>
          <w:b/>
          <w:color w:val="auto"/>
          <w:kern w:val="28"/>
          <w:sz w:val="24"/>
          <w:szCs w:val="20"/>
          <w:lang w:eastAsia="en-AU"/>
        </w:rPr>
        <w:t>3</w:t>
      </w:r>
      <w:r w:rsidRPr="005460DE">
        <w:rPr>
          <w:rStyle w:val="CharSectno"/>
          <w:rFonts w:ascii="Times New Roman" w:eastAsia="Times New Roman" w:hAnsi="Times New Roman" w:cs="Times New Roman"/>
          <w:b/>
          <w:color w:val="auto"/>
          <w:kern w:val="28"/>
          <w:sz w:val="24"/>
          <w:szCs w:val="20"/>
          <w:lang w:eastAsia="en-AU"/>
        </w:rPr>
        <w:t xml:space="preserve">  </w:t>
      </w:r>
      <w:r w:rsidR="004C4778">
        <w:rPr>
          <w:rStyle w:val="CharSectno"/>
          <w:rFonts w:ascii="Times New Roman" w:eastAsia="Times New Roman" w:hAnsi="Times New Roman" w:cs="Times New Roman"/>
          <w:b/>
          <w:color w:val="auto"/>
          <w:kern w:val="28"/>
          <w:sz w:val="24"/>
          <w:szCs w:val="20"/>
          <w:lang w:eastAsia="en-AU"/>
        </w:rPr>
        <w:t>Recording devices in the Register</w:t>
      </w:r>
    </w:p>
    <w:p w14:paraId="38B60AB1" w14:textId="11DD31C0" w:rsidR="009034BC" w:rsidRDefault="00EE47D5" w:rsidP="00EE47D5">
      <w:pPr>
        <w:pStyle w:val="subsection"/>
        <w:rPr>
          <w:iCs/>
        </w:rPr>
      </w:pPr>
      <w:r>
        <w:rPr>
          <w:iCs/>
        </w:rPr>
        <w:tab/>
        <w:t>(1)</w:t>
      </w:r>
      <w:r>
        <w:rPr>
          <w:iCs/>
        </w:rPr>
        <w:tab/>
        <w:t>A licensee must not operate a radiocommunications transmitter under an area-wide licence (</w:t>
      </w:r>
      <w:r w:rsidRPr="00EE47D5">
        <w:rPr>
          <w:b/>
          <w:bCs/>
          <w:i/>
        </w:rPr>
        <w:t>the relevant licence</w:t>
      </w:r>
      <w:r>
        <w:rPr>
          <w:iCs/>
        </w:rPr>
        <w:t>) unless:</w:t>
      </w:r>
    </w:p>
    <w:p w14:paraId="307A6D13" w14:textId="4D3FDEFD" w:rsidR="009034BC" w:rsidRDefault="00EE47D5" w:rsidP="00300B13">
      <w:pPr>
        <w:pStyle w:val="paragraph"/>
        <w:rPr>
          <w:iCs/>
        </w:rPr>
      </w:pPr>
      <w:r>
        <w:rPr>
          <w:iCs/>
        </w:rPr>
        <w:tab/>
        <w:t>(a)</w:t>
      </w:r>
      <w:r>
        <w:rPr>
          <w:iCs/>
        </w:rPr>
        <w:tab/>
        <w:t>the following details in relation to the transmitter have been entered in the Register:</w:t>
      </w:r>
    </w:p>
    <w:p w14:paraId="181B3687" w14:textId="2AEEE237" w:rsidR="0047393C" w:rsidRDefault="00EE47D5" w:rsidP="00EE47D5">
      <w:pPr>
        <w:pStyle w:val="paragraphsub"/>
        <w:rPr>
          <w:iCs/>
        </w:rPr>
      </w:pPr>
      <w:r>
        <w:rPr>
          <w:iCs/>
        </w:rPr>
        <w:tab/>
      </w:r>
      <w:r w:rsidR="009E4402">
        <w:rPr>
          <w:iCs/>
        </w:rPr>
        <w:t>(i)</w:t>
      </w:r>
      <w:r w:rsidR="009E4402">
        <w:rPr>
          <w:iCs/>
        </w:rPr>
        <w:tab/>
        <w:t>the details about the use of spectrum by the transmitter set out in subsection 10(4) of the Register Determination;</w:t>
      </w:r>
    </w:p>
    <w:p w14:paraId="265A6DCC" w14:textId="392218F6" w:rsidR="00EE47D5" w:rsidRDefault="009E4402" w:rsidP="00EE47D5">
      <w:pPr>
        <w:pStyle w:val="paragraphsub"/>
        <w:rPr>
          <w:iCs/>
        </w:rPr>
      </w:pPr>
      <w:r>
        <w:rPr>
          <w:iCs/>
        </w:rPr>
        <w:lastRenderedPageBreak/>
        <w:tab/>
      </w:r>
      <w:r w:rsidR="00EE47D5">
        <w:rPr>
          <w:iCs/>
        </w:rPr>
        <w:t>(</w:t>
      </w:r>
      <w:r>
        <w:rPr>
          <w:iCs/>
        </w:rPr>
        <w:t>i</w:t>
      </w:r>
      <w:r w:rsidR="00EE47D5">
        <w:rPr>
          <w:iCs/>
        </w:rPr>
        <w:t>i)</w:t>
      </w:r>
      <w:r w:rsidR="00EE47D5">
        <w:rPr>
          <w:iCs/>
        </w:rPr>
        <w:tab/>
        <w:t xml:space="preserve">the details about the transmitter set out in subsection 10(5) of the Register Determination; </w:t>
      </w:r>
    </w:p>
    <w:p w14:paraId="298E16FD" w14:textId="54A42B68" w:rsidR="00272B16" w:rsidRDefault="00272B16" w:rsidP="00EE47D5">
      <w:pPr>
        <w:pStyle w:val="paragraphsub"/>
        <w:rPr>
          <w:iCs/>
        </w:rPr>
      </w:pPr>
      <w:r>
        <w:rPr>
          <w:iCs/>
        </w:rPr>
        <w:tab/>
        <w:t>(iii)</w:t>
      </w:r>
      <w:r>
        <w:rPr>
          <w:iCs/>
        </w:rPr>
        <w:tab/>
        <w:t xml:space="preserve">the details about the antenna for the transmitter set out in subsection 10(6) of the Register Determination; </w:t>
      </w:r>
    </w:p>
    <w:p w14:paraId="7D86211F" w14:textId="6F94FCE0" w:rsidR="00272B16" w:rsidRDefault="00272B16" w:rsidP="00EE47D5">
      <w:pPr>
        <w:pStyle w:val="paragraphsub"/>
        <w:rPr>
          <w:iCs/>
        </w:rPr>
      </w:pPr>
      <w:r>
        <w:rPr>
          <w:iCs/>
        </w:rPr>
        <w:tab/>
        <w:t>(iv)</w:t>
      </w:r>
      <w:r>
        <w:rPr>
          <w:iCs/>
        </w:rPr>
        <w:tab/>
        <w:t>the details about the site where the transmitter is located set out in subsection 10(7) of the Register Determination; and</w:t>
      </w:r>
    </w:p>
    <w:p w14:paraId="41B6236C" w14:textId="34F4D63D" w:rsidR="00272B16" w:rsidRPr="00272B16" w:rsidRDefault="00272B16" w:rsidP="00272B16">
      <w:pPr>
        <w:pStyle w:val="paragraph"/>
        <w:rPr>
          <w:iCs/>
        </w:rPr>
      </w:pPr>
      <w:r w:rsidRPr="00272B16">
        <w:rPr>
          <w:iCs/>
        </w:rPr>
        <w:tab/>
        <w:t>(</w:t>
      </w:r>
      <w:r>
        <w:rPr>
          <w:iCs/>
        </w:rPr>
        <w:t>b</w:t>
      </w:r>
      <w:r w:rsidRPr="00272B16">
        <w:rPr>
          <w:iCs/>
        </w:rPr>
        <w:t>)</w:t>
      </w:r>
      <w:r w:rsidRPr="00272B16">
        <w:rPr>
          <w:iCs/>
        </w:rPr>
        <w:tab/>
      </w:r>
      <w:r>
        <w:rPr>
          <w:iCs/>
        </w:rPr>
        <w:t>the transmitter complies with the details in relation to it that have been entered in the Register.</w:t>
      </w:r>
    </w:p>
    <w:p w14:paraId="0715C9E7" w14:textId="68A842E0" w:rsidR="009034BC" w:rsidRDefault="00272B16" w:rsidP="00272B16">
      <w:pPr>
        <w:pStyle w:val="notetext"/>
        <w:rPr>
          <w:iCs/>
        </w:rPr>
      </w:pPr>
      <w:r>
        <w:rPr>
          <w:iCs/>
        </w:rPr>
        <w:t>Note</w:t>
      </w:r>
      <w:r w:rsidR="003404D6">
        <w:rPr>
          <w:iCs/>
        </w:rPr>
        <w:t xml:space="preserve"> 1</w:t>
      </w:r>
      <w:r>
        <w:rPr>
          <w:iCs/>
        </w:rPr>
        <w:t>:</w:t>
      </w:r>
      <w:r>
        <w:rPr>
          <w:iCs/>
        </w:rPr>
        <w:tab/>
        <w:t xml:space="preserve">Subclause (1) is a condition of the kind referred to in </w:t>
      </w:r>
      <w:r w:rsidR="004C4778">
        <w:rPr>
          <w:iCs/>
        </w:rPr>
        <w:t xml:space="preserve">subsections 10(4A), (5A), (6A) and (7A) of the Register Determination. The Register Determination is available, free of charge, from the Federal Register of Legislation at </w:t>
      </w:r>
      <w:hyperlink r:id="rId21" w:history="1">
        <w:r w:rsidR="004C4778" w:rsidRPr="00452FFA">
          <w:rPr>
            <w:rStyle w:val="Hyperlink"/>
            <w:iCs/>
          </w:rPr>
          <w:t>www.legislation.gov.au</w:t>
        </w:r>
      </w:hyperlink>
      <w:r w:rsidR="004C4778">
        <w:rPr>
          <w:iCs/>
        </w:rPr>
        <w:t xml:space="preserve">. </w:t>
      </w:r>
    </w:p>
    <w:p w14:paraId="3043E611" w14:textId="6F4FF960" w:rsidR="003404D6" w:rsidRDefault="003404D6" w:rsidP="00272B16">
      <w:pPr>
        <w:pStyle w:val="notetext"/>
        <w:rPr>
          <w:iCs/>
        </w:rPr>
      </w:pPr>
      <w:r>
        <w:rPr>
          <w:iCs/>
        </w:rPr>
        <w:t>Note 2:</w:t>
      </w:r>
      <w:r>
        <w:rPr>
          <w:iCs/>
        </w:rPr>
        <w:tab/>
        <w:t xml:space="preserve">If details of a radiocommunications transmitter are not entered into the Register because the operation of the transmitter would not comply with a condition of the relevant licence (other than subclause (1)), subclause (1) </w:t>
      </w:r>
      <w:r w:rsidR="009E7B3E">
        <w:rPr>
          <w:iCs/>
        </w:rPr>
        <w:t>also prohibits the operation of the transmitter.</w:t>
      </w:r>
    </w:p>
    <w:p w14:paraId="1C4E23D3" w14:textId="34BF6703" w:rsidR="009034BC" w:rsidRDefault="00243EED" w:rsidP="00243EED">
      <w:pPr>
        <w:pStyle w:val="subsection"/>
        <w:rPr>
          <w:iCs/>
        </w:rPr>
      </w:pPr>
      <w:r>
        <w:rPr>
          <w:iCs/>
        </w:rPr>
        <w:tab/>
        <w:t>(2)</w:t>
      </w:r>
      <w:r>
        <w:rPr>
          <w:iCs/>
        </w:rPr>
        <w:tab/>
        <w:t>Subclause (1) does not apply in relation to a radiocommunications transmitter (</w:t>
      </w:r>
      <w:r w:rsidRPr="00940376">
        <w:rPr>
          <w:b/>
          <w:bCs/>
          <w:i/>
        </w:rPr>
        <w:t>low risk transmitter</w:t>
      </w:r>
      <w:r>
        <w:rPr>
          <w:iCs/>
        </w:rPr>
        <w:t>) that operates with a maximum total radiated power that is less than or equal to 28 dBm per occu</w:t>
      </w:r>
      <w:r w:rsidR="00940376">
        <w:rPr>
          <w:iCs/>
        </w:rPr>
        <w:t>pied bandwidth.</w:t>
      </w:r>
    </w:p>
    <w:p w14:paraId="5858992B" w14:textId="2359FF5E" w:rsidR="00195F88" w:rsidRDefault="00195F88" w:rsidP="00195F88">
      <w:pPr>
        <w:pStyle w:val="notetext"/>
        <w:rPr>
          <w:iCs/>
        </w:rPr>
      </w:pPr>
      <w:r>
        <w:rPr>
          <w:iCs/>
        </w:rPr>
        <w:t>Note:</w:t>
      </w:r>
      <w:r>
        <w:rPr>
          <w:iCs/>
        </w:rPr>
        <w:tab/>
        <w:t>A low risk transmitter must still comply with the limit</w:t>
      </w:r>
      <w:r w:rsidR="00047D36">
        <w:rPr>
          <w:iCs/>
        </w:rPr>
        <w:t>s</w:t>
      </w:r>
      <w:r>
        <w:rPr>
          <w:iCs/>
        </w:rPr>
        <w:t xml:space="preserve"> in the condition</w:t>
      </w:r>
      <w:r w:rsidR="00047D36">
        <w:rPr>
          <w:iCs/>
        </w:rPr>
        <w:t>s</w:t>
      </w:r>
      <w:r>
        <w:rPr>
          <w:iCs/>
        </w:rPr>
        <w:t xml:space="preserve"> in clause 2, and with other applicable conditions in this Determination.</w:t>
      </w:r>
    </w:p>
    <w:p w14:paraId="3423BCE6" w14:textId="6EBBFA97" w:rsidR="00032647" w:rsidRDefault="00032647" w:rsidP="00032647">
      <w:pPr>
        <w:pStyle w:val="notetext"/>
        <w:rPr>
          <w:iCs/>
        </w:rPr>
      </w:pPr>
    </w:p>
    <w:p w14:paraId="7FF97791" w14:textId="0A904DDE" w:rsidR="00940376" w:rsidRPr="00120A5E" w:rsidRDefault="00120A5E" w:rsidP="00120A5E">
      <w:pPr>
        <w:pStyle w:val="Heading2"/>
        <w:spacing w:before="120" w:line="257" w:lineRule="auto"/>
        <w:rPr>
          <w:rStyle w:val="CharSectno"/>
          <w:rFonts w:ascii="Times New Roman" w:eastAsia="Times New Roman" w:hAnsi="Times New Roman" w:cs="Times New Roman"/>
          <w:b/>
          <w:color w:val="auto"/>
          <w:kern w:val="28"/>
          <w:sz w:val="24"/>
          <w:szCs w:val="20"/>
          <w:lang w:eastAsia="en-AU"/>
        </w:rPr>
      </w:pPr>
      <w:r w:rsidRPr="00120A5E">
        <w:rPr>
          <w:rStyle w:val="CharSectno"/>
          <w:rFonts w:ascii="Times New Roman" w:eastAsia="Times New Roman" w:hAnsi="Times New Roman" w:cs="Times New Roman"/>
          <w:b/>
          <w:color w:val="auto"/>
          <w:kern w:val="28"/>
          <w:sz w:val="24"/>
          <w:szCs w:val="20"/>
          <w:lang w:eastAsia="en-AU"/>
        </w:rPr>
        <w:t xml:space="preserve">4  </w:t>
      </w:r>
      <w:r>
        <w:rPr>
          <w:rStyle w:val="CharSectno"/>
          <w:rFonts w:ascii="Times New Roman" w:eastAsia="Times New Roman" w:hAnsi="Times New Roman" w:cs="Times New Roman"/>
          <w:b/>
          <w:color w:val="auto"/>
          <w:kern w:val="28"/>
          <w:sz w:val="24"/>
          <w:szCs w:val="20"/>
          <w:lang w:eastAsia="en-AU"/>
        </w:rPr>
        <w:t>Compliance with RALI MS 47</w:t>
      </w:r>
    </w:p>
    <w:p w14:paraId="471ED8FE" w14:textId="4264C12C" w:rsidR="004C4778" w:rsidRDefault="00F54288" w:rsidP="00F54288">
      <w:pPr>
        <w:pStyle w:val="subsection"/>
        <w:rPr>
          <w:iCs/>
        </w:rPr>
      </w:pPr>
      <w:r>
        <w:rPr>
          <w:iCs/>
        </w:rPr>
        <w:tab/>
      </w:r>
      <w:r>
        <w:rPr>
          <w:iCs/>
        </w:rPr>
        <w:tab/>
      </w:r>
      <w:r w:rsidR="00434E95" w:rsidRPr="00894D32">
        <w:rPr>
          <w:iCs/>
        </w:rPr>
        <w:t xml:space="preserve">Subject to </w:t>
      </w:r>
      <w:r w:rsidR="00651D97" w:rsidRPr="00894D32">
        <w:rPr>
          <w:iCs/>
        </w:rPr>
        <w:t>clause 10</w:t>
      </w:r>
      <w:r w:rsidR="00434E95" w:rsidRPr="00894D32">
        <w:rPr>
          <w:iCs/>
        </w:rPr>
        <w:t>, a</w:t>
      </w:r>
      <w:r w:rsidR="00AD40CA" w:rsidRPr="00894D32">
        <w:rPr>
          <w:iCs/>
        </w:rPr>
        <w:t xml:space="preserve"> licensee</w:t>
      </w:r>
      <w:r w:rsidR="00AD40CA">
        <w:rPr>
          <w:iCs/>
        </w:rPr>
        <w:t xml:space="preserve"> must not operate a radiocommunications transmitter under an area-wide licence if the operation of the transmitter would be inconsistent with any requirement in RALI MS 47 in relation to one or more of the following matters:</w:t>
      </w:r>
    </w:p>
    <w:p w14:paraId="3A238F4F" w14:textId="3A904EAF" w:rsidR="00AD40CA" w:rsidRDefault="00AD40CA" w:rsidP="00AD40CA">
      <w:pPr>
        <w:pStyle w:val="paragraph"/>
        <w:rPr>
          <w:iCs/>
        </w:rPr>
      </w:pPr>
      <w:r>
        <w:rPr>
          <w:iCs/>
        </w:rPr>
        <w:tab/>
        <w:t>(a)</w:t>
      </w:r>
      <w:r>
        <w:rPr>
          <w:iCs/>
        </w:rPr>
        <w:tab/>
        <w:t>coordination of a radiocommunications transmitter with radiocommunications receivers included in the Register before the transmitter was first operated;</w:t>
      </w:r>
    </w:p>
    <w:p w14:paraId="4D27654B" w14:textId="2DD582C7" w:rsidR="00AD40CA" w:rsidRDefault="00AD40CA" w:rsidP="00AD40CA">
      <w:pPr>
        <w:pStyle w:val="paragraph"/>
        <w:rPr>
          <w:iCs/>
        </w:rPr>
      </w:pPr>
      <w:r>
        <w:rPr>
          <w:iCs/>
        </w:rPr>
        <w:tab/>
        <w:t>(b)</w:t>
      </w:r>
      <w:r>
        <w:rPr>
          <w:iCs/>
        </w:rPr>
        <w:tab/>
        <w:t xml:space="preserve">coordination </w:t>
      </w:r>
      <w:r w:rsidR="002831E4">
        <w:rPr>
          <w:iCs/>
        </w:rPr>
        <w:t xml:space="preserve">of </w:t>
      </w:r>
      <w:r w:rsidR="00AD7359">
        <w:rPr>
          <w:iCs/>
        </w:rPr>
        <w:t xml:space="preserve">a </w:t>
      </w:r>
      <w:r w:rsidR="002831E4">
        <w:rPr>
          <w:iCs/>
        </w:rPr>
        <w:t>radiocommunications transmitter</w:t>
      </w:r>
      <w:r w:rsidR="00AD7359">
        <w:rPr>
          <w:iCs/>
        </w:rPr>
        <w:t xml:space="preserve"> </w:t>
      </w:r>
      <w:r w:rsidR="002831E4">
        <w:rPr>
          <w:iCs/>
        </w:rPr>
        <w:t xml:space="preserve">with </w:t>
      </w:r>
      <w:r w:rsidR="00EA44FE">
        <w:rPr>
          <w:iCs/>
        </w:rPr>
        <w:t xml:space="preserve">any </w:t>
      </w:r>
      <w:r w:rsidR="002831E4">
        <w:rPr>
          <w:iCs/>
        </w:rPr>
        <w:t>other radiocommunications devices;</w:t>
      </w:r>
    </w:p>
    <w:p w14:paraId="7D67326E" w14:textId="06A4913A" w:rsidR="002831E4" w:rsidRDefault="002831E4" w:rsidP="00AD40CA">
      <w:pPr>
        <w:pStyle w:val="paragraph"/>
        <w:rPr>
          <w:iCs/>
        </w:rPr>
      </w:pPr>
      <w:r>
        <w:rPr>
          <w:iCs/>
        </w:rPr>
        <w:tab/>
        <w:t>(c)</w:t>
      </w:r>
      <w:r>
        <w:rPr>
          <w:iCs/>
        </w:rPr>
        <w:tab/>
        <w:t>the permitted location of the device boundary for a radiocommunications transmitter.</w:t>
      </w:r>
    </w:p>
    <w:p w14:paraId="4DC57DAF" w14:textId="1B34B596" w:rsidR="004C4778" w:rsidRDefault="00DC2D43" w:rsidP="00DC2D43">
      <w:pPr>
        <w:pStyle w:val="notetext"/>
        <w:rPr>
          <w:iCs/>
        </w:rPr>
      </w:pPr>
      <w:r>
        <w:rPr>
          <w:iCs/>
        </w:rPr>
        <w:t>Note 1:</w:t>
      </w:r>
      <w:r>
        <w:rPr>
          <w:iCs/>
        </w:rPr>
        <w:tab/>
        <w:t>For paragraph (c), the ‘device boundary’ for a radiocommunications transmitter in RALI MS 47 is a measurement of certain power levels at points surrounding the transmitter.</w:t>
      </w:r>
    </w:p>
    <w:p w14:paraId="5026EBF8" w14:textId="4340F71C" w:rsidR="00DC2D43" w:rsidRDefault="00DC2D43" w:rsidP="00DC2D43">
      <w:pPr>
        <w:pStyle w:val="notetext"/>
        <w:rPr>
          <w:iCs/>
        </w:rPr>
      </w:pPr>
      <w:r>
        <w:rPr>
          <w:iCs/>
        </w:rPr>
        <w:t>Note 2:</w:t>
      </w:r>
      <w:r>
        <w:rPr>
          <w:iCs/>
        </w:rPr>
        <w:tab/>
        <w:t xml:space="preserve">All Radiocommunications Assignment and Licensing Instructions made by the ACMA are available, free of charge, from the ACMA’s website at </w:t>
      </w:r>
      <w:hyperlink r:id="rId22" w:history="1">
        <w:r w:rsidRPr="00452FFA">
          <w:rPr>
            <w:rStyle w:val="Hyperlink"/>
            <w:iCs/>
          </w:rPr>
          <w:t>www.acma.gov.au</w:t>
        </w:r>
      </w:hyperlink>
      <w:r>
        <w:rPr>
          <w:iCs/>
        </w:rPr>
        <w:t xml:space="preserve">. </w:t>
      </w:r>
    </w:p>
    <w:p w14:paraId="1E5B0EEC" w14:textId="58A3E0FA" w:rsidR="00DC2D43" w:rsidRPr="00120A5E" w:rsidRDefault="00DC2D43" w:rsidP="00DC2D43">
      <w:pPr>
        <w:pStyle w:val="Heading2"/>
        <w:spacing w:before="120" w:line="257" w:lineRule="auto"/>
        <w:rPr>
          <w:rStyle w:val="CharSectno"/>
          <w:rFonts w:ascii="Times New Roman" w:eastAsia="Times New Roman" w:hAnsi="Times New Roman" w:cs="Times New Roman"/>
          <w:b/>
          <w:color w:val="auto"/>
          <w:kern w:val="28"/>
          <w:sz w:val="24"/>
          <w:szCs w:val="20"/>
          <w:lang w:eastAsia="en-AU"/>
        </w:rPr>
      </w:pPr>
      <w:r>
        <w:rPr>
          <w:rStyle w:val="CharSectno"/>
          <w:rFonts w:ascii="Times New Roman" w:eastAsia="Times New Roman" w:hAnsi="Times New Roman" w:cs="Times New Roman"/>
          <w:b/>
          <w:color w:val="auto"/>
          <w:kern w:val="28"/>
          <w:sz w:val="24"/>
          <w:szCs w:val="20"/>
          <w:lang w:eastAsia="en-AU"/>
        </w:rPr>
        <w:t>5</w:t>
      </w:r>
      <w:r w:rsidRPr="00120A5E">
        <w:rPr>
          <w:rStyle w:val="CharSectno"/>
          <w:rFonts w:ascii="Times New Roman" w:eastAsia="Times New Roman" w:hAnsi="Times New Roman" w:cs="Times New Roman"/>
          <w:b/>
          <w:color w:val="auto"/>
          <w:kern w:val="28"/>
          <w:sz w:val="24"/>
          <w:szCs w:val="20"/>
          <w:lang w:eastAsia="en-AU"/>
        </w:rPr>
        <w:t xml:space="preserve">  </w:t>
      </w:r>
      <w:r>
        <w:rPr>
          <w:rStyle w:val="CharSectno"/>
          <w:rFonts w:ascii="Times New Roman" w:eastAsia="Times New Roman" w:hAnsi="Times New Roman" w:cs="Times New Roman"/>
          <w:b/>
          <w:color w:val="auto"/>
          <w:kern w:val="28"/>
          <w:sz w:val="24"/>
          <w:szCs w:val="20"/>
          <w:lang w:eastAsia="en-AU"/>
        </w:rPr>
        <w:t>Synchronisation requirement</w:t>
      </w:r>
    </w:p>
    <w:p w14:paraId="26582FD4" w14:textId="59D333D2" w:rsidR="00DC2D43" w:rsidRDefault="00DC2D43" w:rsidP="00DC2D43">
      <w:pPr>
        <w:pStyle w:val="subsection"/>
        <w:rPr>
          <w:iCs/>
        </w:rPr>
      </w:pPr>
      <w:r>
        <w:rPr>
          <w:iCs/>
        </w:rPr>
        <w:tab/>
        <w:t>(1)</w:t>
      </w:r>
      <w:r>
        <w:rPr>
          <w:iCs/>
        </w:rPr>
        <w:tab/>
        <w:t>If</w:t>
      </w:r>
      <w:r w:rsidR="004D4DD3">
        <w:rPr>
          <w:iCs/>
        </w:rPr>
        <w:t>:</w:t>
      </w:r>
    </w:p>
    <w:p w14:paraId="202FA56B" w14:textId="386F7615" w:rsidR="00DC2D43" w:rsidRDefault="00DC2D43" w:rsidP="00DC2D43">
      <w:pPr>
        <w:pStyle w:val="paragraph"/>
        <w:rPr>
          <w:iCs/>
        </w:rPr>
      </w:pPr>
      <w:r>
        <w:rPr>
          <w:iCs/>
        </w:rPr>
        <w:tab/>
        <w:t>(a)</w:t>
      </w:r>
      <w:r>
        <w:rPr>
          <w:iCs/>
        </w:rPr>
        <w:tab/>
        <w:t>interference occurs between:</w:t>
      </w:r>
    </w:p>
    <w:p w14:paraId="5EF2EEE4" w14:textId="1B772757" w:rsidR="00E63D17" w:rsidRDefault="00E63D17" w:rsidP="00E63D17">
      <w:pPr>
        <w:pStyle w:val="paragraphsub"/>
      </w:pPr>
      <w:r w:rsidRPr="00DD3491">
        <w:tab/>
        <w:t>(i)</w:t>
      </w:r>
      <w:r w:rsidRPr="00DD3491">
        <w:tab/>
      </w:r>
      <w:r w:rsidR="00DC2D43">
        <w:t xml:space="preserve">a radiocommunications </w:t>
      </w:r>
      <w:r w:rsidR="00027444">
        <w:t>transmitter</w:t>
      </w:r>
      <w:r w:rsidR="00DC2D43">
        <w:t xml:space="preserve"> (</w:t>
      </w:r>
      <w:r w:rsidR="00027444">
        <w:t xml:space="preserve">the </w:t>
      </w:r>
      <w:r w:rsidR="00DC2D43" w:rsidRPr="00DC2D43">
        <w:rPr>
          <w:b/>
          <w:bCs/>
          <w:i/>
          <w:iCs/>
        </w:rPr>
        <w:t>first device</w:t>
      </w:r>
      <w:r w:rsidR="00DC2D43">
        <w:t>) operated under an area-wide licence</w:t>
      </w:r>
      <w:r w:rsidR="00027444">
        <w:t xml:space="preserve"> (the </w:t>
      </w:r>
      <w:r w:rsidR="00027444" w:rsidRPr="00027444">
        <w:rPr>
          <w:b/>
          <w:bCs/>
          <w:i/>
          <w:iCs/>
        </w:rPr>
        <w:t>first licence</w:t>
      </w:r>
      <w:r w:rsidR="00027444">
        <w:t>); and</w:t>
      </w:r>
    </w:p>
    <w:p w14:paraId="5D450B8D" w14:textId="01207724" w:rsidR="00027444" w:rsidRDefault="00027444" w:rsidP="00E63D17">
      <w:pPr>
        <w:pStyle w:val="paragraphsub"/>
      </w:pPr>
      <w:r>
        <w:tab/>
        <w:t>(ii)</w:t>
      </w:r>
      <w:r>
        <w:tab/>
        <w:t xml:space="preserve">one or more radiocommunications devices (the </w:t>
      </w:r>
      <w:r w:rsidRPr="00027444">
        <w:rPr>
          <w:b/>
          <w:bCs/>
          <w:i/>
          <w:iCs/>
        </w:rPr>
        <w:t>other devices</w:t>
      </w:r>
      <w:r>
        <w:t>) operated under another area-wide licence</w:t>
      </w:r>
      <w:r w:rsidR="00692FE8">
        <w:t xml:space="preserve"> or area-wide receive licence</w:t>
      </w:r>
      <w:r>
        <w:t xml:space="preserve"> (the </w:t>
      </w:r>
      <w:r w:rsidRPr="00027444">
        <w:rPr>
          <w:b/>
          <w:bCs/>
          <w:i/>
          <w:iCs/>
        </w:rPr>
        <w:t>other licence</w:t>
      </w:r>
      <w:r>
        <w:t>)</w:t>
      </w:r>
      <w:r w:rsidR="003C2AF9">
        <w:t>; and</w:t>
      </w:r>
    </w:p>
    <w:p w14:paraId="00845E9C" w14:textId="474849C9" w:rsidR="00DC2D43" w:rsidRDefault="003C2AF9" w:rsidP="003C2AF9">
      <w:pPr>
        <w:pStyle w:val="paragraph"/>
      </w:pPr>
      <w:r>
        <w:tab/>
        <w:t>(b)</w:t>
      </w:r>
      <w:r>
        <w:tab/>
        <w:t xml:space="preserve">the level of interference to the first device or to one or more of the other devices exceeds the compatibility requirement set out in Schedule 2 to the </w:t>
      </w:r>
      <w:r w:rsidR="00A45D28">
        <w:t>3.4 GHz band guidelines;</w:t>
      </w:r>
      <w:r w:rsidR="008F4474">
        <w:t xml:space="preserve"> and</w:t>
      </w:r>
    </w:p>
    <w:p w14:paraId="2AE6C754" w14:textId="07502E65" w:rsidR="00361DA4" w:rsidRDefault="00361DA4" w:rsidP="003C2AF9">
      <w:pPr>
        <w:pStyle w:val="paragraph"/>
      </w:pPr>
      <w:r>
        <w:tab/>
        <w:t>(c)</w:t>
      </w:r>
      <w:r>
        <w:tab/>
        <w:t>either the licensee of the first licence or the licensee of the other lice</w:t>
      </w:r>
      <w:r w:rsidR="00BE00C9">
        <w:t>n</w:t>
      </w:r>
      <w:r>
        <w:t>ce wishes to resolve the interference; and</w:t>
      </w:r>
    </w:p>
    <w:p w14:paraId="615C4B85" w14:textId="3548745F" w:rsidR="004D4DD3" w:rsidRDefault="004D4DD3" w:rsidP="003C2AF9">
      <w:pPr>
        <w:pStyle w:val="paragraph"/>
      </w:pPr>
      <w:r>
        <w:tab/>
        <w:t>(d)</w:t>
      </w:r>
      <w:r>
        <w:tab/>
        <w:t>no agreement between the licensee and each person operating one or more of the other devices can be reached on how to manage the interference;</w:t>
      </w:r>
    </w:p>
    <w:p w14:paraId="37A5419F" w14:textId="3B2E0E71" w:rsidR="004D4DD3" w:rsidRDefault="004D4DD3" w:rsidP="004D4DD3">
      <w:pPr>
        <w:pStyle w:val="subsection"/>
        <w:spacing w:before="60"/>
      </w:pPr>
      <w:r>
        <w:lastRenderedPageBreak/>
        <w:tab/>
      </w:r>
      <w:r>
        <w:tab/>
        <w:t>then, by the end of the day specified in subclause (2), the licensee of the first licence is required to manage the interference by:</w:t>
      </w:r>
    </w:p>
    <w:p w14:paraId="716E2F77" w14:textId="69BFFFE9" w:rsidR="003C2AF9" w:rsidRDefault="004D4DD3" w:rsidP="004D4DD3">
      <w:pPr>
        <w:pStyle w:val="paragraph"/>
      </w:pPr>
      <w:r>
        <w:tab/>
        <w:t>(e)</w:t>
      </w:r>
      <w:r>
        <w:tab/>
        <w:t>either:</w:t>
      </w:r>
    </w:p>
    <w:p w14:paraId="28C393C5" w14:textId="75559551" w:rsidR="00E63D17" w:rsidRDefault="00E63D17" w:rsidP="00E63D17">
      <w:pPr>
        <w:pStyle w:val="paragraphsub"/>
      </w:pPr>
      <w:r w:rsidRPr="00DD3491">
        <w:tab/>
        <w:t>(i)</w:t>
      </w:r>
      <w:r w:rsidRPr="00DD3491">
        <w:tab/>
      </w:r>
      <w:r w:rsidR="004D4DD3">
        <w:t>operating the first device with the 3.4 GHz band uplink</w:t>
      </w:r>
      <w:r w:rsidR="003D0412">
        <w:t>-downlink configuration; or</w:t>
      </w:r>
    </w:p>
    <w:p w14:paraId="6F4E357D" w14:textId="34D965F9" w:rsidR="003D0412" w:rsidRDefault="003D0412" w:rsidP="00E63D17">
      <w:pPr>
        <w:pStyle w:val="paragraphsub"/>
      </w:pPr>
      <w:r>
        <w:tab/>
        <w:t>(ii)</w:t>
      </w:r>
      <w:r>
        <w:tab/>
        <w:t xml:space="preserve">operating the first device using a sequence and duration of radio emissions that is consistent with </w:t>
      </w:r>
      <w:r w:rsidR="000D034B">
        <w:t>that</w:t>
      </w:r>
      <w:r>
        <w:t xml:space="preserve"> configuration (disregarding any time at which the device is not making a radio emission); and</w:t>
      </w:r>
    </w:p>
    <w:p w14:paraId="1FFCD157" w14:textId="4D0FF573" w:rsidR="003D0412" w:rsidRDefault="003D0412" w:rsidP="003D0412">
      <w:pPr>
        <w:pStyle w:val="paragraph"/>
      </w:pPr>
      <w:r>
        <w:tab/>
        <w:t>(f)</w:t>
      </w:r>
      <w:r>
        <w:tab/>
        <w:t>synchronising the timing of the 3.4 GHz band uplink-downlink configuration or other sequence of radio emissions of the first device with the timing of the uplink-downlink configuration or other sequence of radio emissions of each of the other devices (disregarding any device at a time at which the device is not making a radio emission).</w:t>
      </w:r>
    </w:p>
    <w:p w14:paraId="78EE51AB" w14:textId="5B63138A" w:rsidR="003D0412" w:rsidRDefault="003D0412" w:rsidP="003D0412">
      <w:pPr>
        <w:pStyle w:val="subsection"/>
      </w:pPr>
      <w:r>
        <w:tab/>
        <w:t>(2)</w:t>
      </w:r>
      <w:r>
        <w:tab/>
        <w:t>For the purposes of subclause (1), the later of the following days is specified:</w:t>
      </w:r>
    </w:p>
    <w:p w14:paraId="02F18455" w14:textId="2F3D03C1" w:rsidR="003D0412" w:rsidRDefault="002B4BD1" w:rsidP="002B4BD1">
      <w:pPr>
        <w:pStyle w:val="paragraph"/>
      </w:pPr>
      <w:r>
        <w:tab/>
        <w:t>(a)</w:t>
      </w:r>
      <w:r>
        <w:tab/>
        <w:t xml:space="preserve">the day occurring 14 days after the day the interference was first reported in writing to the licensee of the first licence; </w:t>
      </w:r>
    </w:p>
    <w:p w14:paraId="52C5D17D" w14:textId="4418A68D" w:rsidR="002B4BD1" w:rsidRDefault="002B4BD1" w:rsidP="002B4BD1">
      <w:pPr>
        <w:pStyle w:val="paragraph"/>
      </w:pPr>
      <w:r>
        <w:tab/>
        <w:t>(b)</w:t>
      </w:r>
      <w:r>
        <w:tab/>
        <w:t>if an alternative day is agreed with the licensee of the other licence – that alternative day.</w:t>
      </w:r>
    </w:p>
    <w:p w14:paraId="6A6DFE16" w14:textId="3C418485" w:rsidR="002B4BD1" w:rsidRDefault="005C3D90" w:rsidP="002B4BD1">
      <w:pPr>
        <w:pStyle w:val="notetext"/>
      </w:pPr>
      <w:r>
        <w:t xml:space="preserve">Note </w:t>
      </w:r>
      <w:r w:rsidR="00B50013">
        <w:t>1</w:t>
      </w:r>
      <w:r>
        <w:t>:</w:t>
      </w:r>
      <w:r>
        <w:tab/>
        <w:t>This condition applies equally to all area-wide licences which authorise the operation of radiocommunications devices in any part of the frequency range 3.4 GHz–4 GHz.</w:t>
      </w:r>
      <w:r w:rsidR="00F4187C">
        <w:t xml:space="preserve"> </w:t>
      </w:r>
      <w:r w:rsidR="00464647">
        <w:t>I</w:t>
      </w:r>
      <w:r w:rsidR="00F4187C">
        <w:t xml:space="preserve">f interference </w:t>
      </w:r>
      <w:r w:rsidR="00177874">
        <w:t>occurs</w:t>
      </w:r>
      <w:r w:rsidR="00F4187C">
        <w:t xml:space="preserve"> between two radiocommunications devices operated under two </w:t>
      </w:r>
      <w:r w:rsidR="00201BFE">
        <w:t xml:space="preserve">or more </w:t>
      </w:r>
      <w:r w:rsidR="00F4187C">
        <w:t>area-wide licences, each licensee must comply with this condition.</w:t>
      </w:r>
    </w:p>
    <w:p w14:paraId="46934DB2" w14:textId="6DC72DB1" w:rsidR="00F4187C" w:rsidRDefault="00F4187C" w:rsidP="002B4BD1">
      <w:pPr>
        <w:pStyle w:val="notetext"/>
      </w:pPr>
      <w:r>
        <w:t xml:space="preserve">Note </w:t>
      </w:r>
      <w:r w:rsidR="00B50013">
        <w:t>2</w:t>
      </w:r>
      <w:r>
        <w:t>:</w:t>
      </w:r>
      <w:r>
        <w:tab/>
        <w:t>The 3.4 GHz band g</w:t>
      </w:r>
      <w:r w:rsidR="00677A4F">
        <w:t>u</w:t>
      </w:r>
      <w:r>
        <w:t xml:space="preserve">idelines are available, free of charge, from the Federal Register of Legislation at </w:t>
      </w:r>
      <w:hyperlink r:id="rId23" w:history="1">
        <w:r w:rsidRPr="00452FFA">
          <w:rPr>
            <w:rStyle w:val="Hyperlink"/>
          </w:rPr>
          <w:t>www.legislation.gov.au</w:t>
        </w:r>
      </w:hyperlink>
      <w:r>
        <w:t xml:space="preserve">. </w:t>
      </w:r>
    </w:p>
    <w:p w14:paraId="385861B5" w14:textId="2D3338BB" w:rsidR="005561CA" w:rsidRPr="00120A5E" w:rsidRDefault="005561CA" w:rsidP="005561CA">
      <w:pPr>
        <w:pStyle w:val="Heading2"/>
        <w:spacing w:before="120" w:line="257" w:lineRule="auto"/>
        <w:rPr>
          <w:rStyle w:val="CharSectno"/>
          <w:rFonts w:ascii="Times New Roman" w:eastAsia="Times New Roman" w:hAnsi="Times New Roman" w:cs="Times New Roman"/>
          <w:b/>
          <w:color w:val="auto"/>
          <w:kern w:val="28"/>
          <w:sz w:val="24"/>
          <w:szCs w:val="20"/>
          <w:lang w:eastAsia="en-AU"/>
        </w:rPr>
      </w:pPr>
      <w:r>
        <w:rPr>
          <w:rStyle w:val="CharSectno"/>
          <w:rFonts w:ascii="Times New Roman" w:eastAsia="Times New Roman" w:hAnsi="Times New Roman" w:cs="Times New Roman"/>
          <w:b/>
          <w:color w:val="auto"/>
          <w:kern w:val="28"/>
          <w:sz w:val="24"/>
          <w:szCs w:val="20"/>
          <w:lang w:eastAsia="en-AU"/>
        </w:rPr>
        <w:t>6</w:t>
      </w:r>
      <w:r w:rsidRPr="00120A5E">
        <w:rPr>
          <w:rStyle w:val="CharSectno"/>
          <w:rFonts w:ascii="Times New Roman" w:eastAsia="Times New Roman" w:hAnsi="Times New Roman" w:cs="Times New Roman"/>
          <w:b/>
          <w:color w:val="auto"/>
          <w:kern w:val="28"/>
          <w:sz w:val="24"/>
          <w:szCs w:val="20"/>
          <w:lang w:eastAsia="en-AU"/>
        </w:rPr>
        <w:t xml:space="preserve">  </w:t>
      </w:r>
      <w:r w:rsidR="00B51DF3">
        <w:rPr>
          <w:rStyle w:val="CharSectno"/>
          <w:rFonts w:ascii="Times New Roman" w:eastAsia="Times New Roman" w:hAnsi="Times New Roman" w:cs="Times New Roman"/>
          <w:b/>
          <w:color w:val="auto"/>
          <w:kern w:val="28"/>
          <w:sz w:val="24"/>
          <w:szCs w:val="20"/>
          <w:lang w:eastAsia="en-AU"/>
        </w:rPr>
        <w:t>Co-sited radiocommunications devices</w:t>
      </w:r>
    </w:p>
    <w:p w14:paraId="31A921D7" w14:textId="77777777" w:rsidR="005561CA" w:rsidRDefault="005561CA" w:rsidP="005561CA">
      <w:pPr>
        <w:pStyle w:val="subsection"/>
        <w:rPr>
          <w:iCs/>
        </w:rPr>
      </w:pPr>
      <w:r>
        <w:rPr>
          <w:iCs/>
        </w:rPr>
        <w:tab/>
        <w:t>(1)</w:t>
      </w:r>
      <w:r>
        <w:rPr>
          <w:iCs/>
        </w:rPr>
        <w:tab/>
        <w:t>If:</w:t>
      </w:r>
    </w:p>
    <w:p w14:paraId="4083FAB7" w14:textId="21141A54" w:rsidR="005561CA" w:rsidRDefault="005561CA" w:rsidP="005561CA">
      <w:pPr>
        <w:pStyle w:val="paragraph"/>
        <w:rPr>
          <w:iCs/>
        </w:rPr>
      </w:pPr>
      <w:r>
        <w:rPr>
          <w:iCs/>
        </w:rPr>
        <w:tab/>
        <w:t>(a)</w:t>
      </w:r>
      <w:r>
        <w:rPr>
          <w:iCs/>
        </w:rPr>
        <w:tab/>
        <w:t>interference occurs between:</w:t>
      </w:r>
    </w:p>
    <w:p w14:paraId="5FA32906" w14:textId="77777777" w:rsidR="00B51DF3" w:rsidRDefault="00B51DF3" w:rsidP="00B51DF3">
      <w:pPr>
        <w:pStyle w:val="paragraphsub"/>
      </w:pPr>
      <w:r w:rsidRPr="00DD3491">
        <w:tab/>
        <w:t>(i)</w:t>
      </w:r>
      <w:r w:rsidRPr="00DD3491">
        <w:tab/>
      </w:r>
      <w:r>
        <w:t xml:space="preserve">a radiocommunications transmitter (the </w:t>
      </w:r>
      <w:r w:rsidRPr="00DC2D43">
        <w:rPr>
          <w:b/>
          <w:bCs/>
          <w:i/>
          <w:iCs/>
        </w:rPr>
        <w:t>first device</w:t>
      </w:r>
      <w:r>
        <w:t xml:space="preserve">) operated under an area-wide licence (the </w:t>
      </w:r>
      <w:r w:rsidRPr="00027444">
        <w:rPr>
          <w:b/>
          <w:bCs/>
          <w:i/>
          <w:iCs/>
        </w:rPr>
        <w:t>first licence</w:t>
      </w:r>
      <w:r>
        <w:t>); and</w:t>
      </w:r>
    </w:p>
    <w:p w14:paraId="1169A7A6" w14:textId="2EE3FC49" w:rsidR="00B51DF3" w:rsidRDefault="00B51DF3" w:rsidP="00B51DF3">
      <w:pPr>
        <w:pStyle w:val="paragraphsub"/>
      </w:pPr>
      <w:r>
        <w:tab/>
        <w:t>(ii)</w:t>
      </w:r>
      <w:r>
        <w:tab/>
        <w:t xml:space="preserve">a radiocommunications device (the </w:t>
      </w:r>
      <w:r w:rsidRPr="00027444">
        <w:rPr>
          <w:b/>
          <w:bCs/>
          <w:i/>
          <w:iCs/>
        </w:rPr>
        <w:t>other device</w:t>
      </w:r>
      <w:r>
        <w:t xml:space="preserve">) operated under </w:t>
      </w:r>
      <w:r w:rsidR="00C07B29">
        <w:t>a</w:t>
      </w:r>
      <w:r>
        <w:t xml:space="preserve"> spectrum licence</w:t>
      </w:r>
      <w:r w:rsidR="00C07B29">
        <w:t xml:space="preserve"> or another apparatus licence</w:t>
      </w:r>
      <w:r>
        <w:t xml:space="preserve"> (the </w:t>
      </w:r>
      <w:r w:rsidRPr="00027444">
        <w:rPr>
          <w:b/>
          <w:bCs/>
          <w:i/>
          <w:iCs/>
        </w:rPr>
        <w:t>other licence</w:t>
      </w:r>
      <w:r>
        <w:t>);</w:t>
      </w:r>
    </w:p>
    <w:p w14:paraId="20495EC9" w14:textId="44BA6224" w:rsidR="00C07B29" w:rsidRDefault="00C07B29" w:rsidP="00B51DF3">
      <w:pPr>
        <w:pStyle w:val="paragraph"/>
      </w:pPr>
      <w:r>
        <w:tab/>
      </w:r>
      <w:r>
        <w:tab/>
        <w:t>when the measured separation between the phase centre of the antenna used with each device is less than 500 metres; and</w:t>
      </w:r>
    </w:p>
    <w:p w14:paraId="455FDE25" w14:textId="488BF067" w:rsidR="00983BA2" w:rsidRDefault="00B51DF3" w:rsidP="00B51DF3">
      <w:pPr>
        <w:pStyle w:val="paragraph"/>
      </w:pPr>
      <w:r>
        <w:tab/>
        <w:t>(b)</w:t>
      </w:r>
      <w:r>
        <w:tab/>
      </w:r>
      <w:r w:rsidR="00A12E4E">
        <w:t xml:space="preserve">that interference is not the result of operation </w:t>
      </w:r>
      <w:r w:rsidR="00983BA2">
        <w:t>of:</w:t>
      </w:r>
    </w:p>
    <w:p w14:paraId="1D5134F8" w14:textId="13189DF4" w:rsidR="00B51DF3" w:rsidRDefault="00983BA2" w:rsidP="00983BA2">
      <w:pPr>
        <w:pStyle w:val="paragraphsub"/>
      </w:pPr>
      <w:r>
        <w:tab/>
        <w:t>(i)</w:t>
      </w:r>
      <w:r>
        <w:tab/>
        <w:t>the first device in a manner that does not comply with the conditions of the first licence; or</w:t>
      </w:r>
    </w:p>
    <w:p w14:paraId="327060E6" w14:textId="61DE9B25" w:rsidR="00983BA2" w:rsidRDefault="00983BA2" w:rsidP="00983BA2">
      <w:pPr>
        <w:pStyle w:val="paragraphsub"/>
      </w:pPr>
      <w:r>
        <w:tab/>
        <w:t>(ii)</w:t>
      </w:r>
      <w:r>
        <w:tab/>
        <w:t xml:space="preserve">the other </w:t>
      </w:r>
      <w:r w:rsidR="00177874">
        <w:t>device</w:t>
      </w:r>
      <w:r>
        <w:t xml:space="preserve"> in a manner that does not comply with the conditions of the other licence; and</w:t>
      </w:r>
    </w:p>
    <w:p w14:paraId="1B42CB6E" w14:textId="73D8DE76" w:rsidR="00B51DF3" w:rsidRDefault="00983BA2" w:rsidP="005561CA">
      <w:pPr>
        <w:pStyle w:val="paragraph"/>
        <w:rPr>
          <w:iCs/>
        </w:rPr>
      </w:pPr>
      <w:r>
        <w:rPr>
          <w:iCs/>
        </w:rPr>
        <w:tab/>
        <w:t>(c)</w:t>
      </w:r>
      <w:r>
        <w:rPr>
          <w:iCs/>
        </w:rPr>
        <w:tab/>
      </w:r>
      <w:r w:rsidR="00430D3B">
        <w:rPr>
          <w:iCs/>
        </w:rPr>
        <w:t>either the licensee of the first licence or the licensee of the other licence wishes to resolve the interference;</w:t>
      </w:r>
    </w:p>
    <w:p w14:paraId="5B57B2B9" w14:textId="7AB14A83" w:rsidR="00430D3B" w:rsidRDefault="00430D3B" w:rsidP="00430D3B">
      <w:pPr>
        <w:pStyle w:val="subsection"/>
        <w:spacing w:before="60"/>
      </w:pPr>
      <w:r>
        <w:tab/>
      </w:r>
      <w:r>
        <w:tab/>
      </w:r>
      <w:r w:rsidR="004863EE">
        <w:t>the licensee of the first licence must manage the interference with either:</w:t>
      </w:r>
    </w:p>
    <w:p w14:paraId="4E705386" w14:textId="2A881DEE" w:rsidR="00430D3B" w:rsidRDefault="00430D3B" w:rsidP="00430D3B">
      <w:pPr>
        <w:pStyle w:val="paragraph"/>
      </w:pPr>
      <w:r>
        <w:tab/>
        <w:t>(</w:t>
      </w:r>
      <w:r w:rsidR="00CF4767">
        <w:t>d</w:t>
      </w:r>
      <w:r>
        <w:t>)</w:t>
      </w:r>
      <w:r>
        <w:tab/>
      </w:r>
      <w:r w:rsidR="004863EE">
        <w:t>the licensee of the other licence; or</w:t>
      </w:r>
    </w:p>
    <w:p w14:paraId="4732998A" w14:textId="317338DB" w:rsidR="004863EE" w:rsidRDefault="004863EE" w:rsidP="00430D3B">
      <w:pPr>
        <w:pStyle w:val="paragraph"/>
      </w:pPr>
      <w:r>
        <w:tab/>
        <w:t>(</w:t>
      </w:r>
      <w:r w:rsidR="00CF4767">
        <w:t>e</w:t>
      </w:r>
      <w:r>
        <w:t>)</w:t>
      </w:r>
      <w:r>
        <w:tab/>
        <w:t>if a site manager is responsible for managing interference at the location of the other device – that site manager.</w:t>
      </w:r>
    </w:p>
    <w:p w14:paraId="223749E9" w14:textId="03B58068" w:rsidR="004863EE" w:rsidRDefault="004863EE" w:rsidP="004863EE">
      <w:pPr>
        <w:pStyle w:val="notetext"/>
      </w:pPr>
      <w:r>
        <w:t>Note:</w:t>
      </w:r>
      <w:r>
        <w:tab/>
        <w:t xml:space="preserve">This condition applies equally to all area-wide licences which authorise the operation of radiocommunications devices in any part of the frequency range 3.4 GHz–4 GHz. For example, if interference </w:t>
      </w:r>
      <w:r w:rsidR="00177874">
        <w:t>occurs</w:t>
      </w:r>
      <w:r>
        <w:t xml:space="preserve"> between two radiocommunications devices operated under two area-wide licences, each licensee must comply with this condition.</w:t>
      </w:r>
    </w:p>
    <w:p w14:paraId="32ED92C6" w14:textId="10C45769" w:rsidR="003304F4" w:rsidRPr="00120A5E" w:rsidRDefault="003304F4" w:rsidP="003304F4">
      <w:pPr>
        <w:pStyle w:val="Heading2"/>
        <w:spacing w:before="120" w:line="257" w:lineRule="auto"/>
        <w:rPr>
          <w:rStyle w:val="CharSectno"/>
          <w:rFonts w:ascii="Times New Roman" w:eastAsia="Times New Roman" w:hAnsi="Times New Roman" w:cs="Times New Roman"/>
          <w:b/>
          <w:color w:val="auto"/>
          <w:kern w:val="28"/>
          <w:sz w:val="24"/>
          <w:szCs w:val="20"/>
          <w:lang w:eastAsia="en-AU"/>
        </w:rPr>
      </w:pPr>
      <w:r>
        <w:rPr>
          <w:rStyle w:val="CharSectno"/>
          <w:rFonts w:ascii="Times New Roman" w:eastAsia="Times New Roman" w:hAnsi="Times New Roman" w:cs="Times New Roman"/>
          <w:b/>
          <w:color w:val="auto"/>
          <w:kern w:val="28"/>
          <w:sz w:val="24"/>
          <w:szCs w:val="20"/>
          <w:lang w:eastAsia="en-AU"/>
        </w:rPr>
        <w:lastRenderedPageBreak/>
        <w:t>7</w:t>
      </w:r>
      <w:r w:rsidRPr="00120A5E">
        <w:rPr>
          <w:rStyle w:val="CharSectno"/>
          <w:rFonts w:ascii="Times New Roman" w:eastAsia="Times New Roman" w:hAnsi="Times New Roman" w:cs="Times New Roman"/>
          <w:b/>
          <w:color w:val="auto"/>
          <w:kern w:val="28"/>
          <w:sz w:val="24"/>
          <w:szCs w:val="20"/>
          <w:lang w:eastAsia="en-AU"/>
        </w:rPr>
        <w:t xml:space="preserve">  </w:t>
      </w:r>
      <w:r>
        <w:rPr>
          <w:rStyle w:val="CharSectno"/>
          <w:rFonts w:ascii="Times New Roman" w:eastAsia="Times New Roman" w:hAnsi="Times New Roman" w:cs="Times New Roman"/>
          <w:b/>
          <w:color w:val="auto"/>
          <w:kern w:val="28"/>
          <w:sz w:val="24"/>
          <w:szCs w:val="20"/>
          <w:lang w:eastAsia="en-AU"/>
        </w:rPr>
        <w:t>Responsibility to manage interference</w:t>
      </w:r>
    </w:p>
    <w:p w14:paraId="5F2485F4" w14:textId="1ED41CF8" w:rsidR="003304F4" w:rsidRDefault="003304F4" w:rsidP="003304F4">
      <w:pPr>
        <w:pStyle w:val="subsection"/>
        <w:rPr>
          <w:iCs/>
        </w:rPr>
      </w:pPr>
      <w:r>
        <w:rPr>
          <w:iCs/>
        </w:rPr>
        <w:tab/>
      </w:r>
      <w:r>
        <w:rPr>
          <w:iCs/>
        </w:rPr>
        <w:tab/>
        <w:t>The licensee of an area-wide licence must manage interference between:</w:t>
      </w:r>
    </w:p>
    <w:p w14:paraId="178CA6A5" w14:textId="21B4F238" w:rsidR="002B4BD1" w:rsidRDefault="003304F4" w:rsidP="002B4BD1">
      <w:pPr>
        <w:pStyle w:val="paragraph"/>
      </w:pPr>
      <w:r>
        <w:tab/>
        <w:t>(a)</w:t>
      </w:r>
      <w:r>
        <w:tab/>
        <w:t>radiocommunications devices operated under the licence; and</w:t>
      </w:r>
    </w:p>
    <w:p w14:paraId="35BD233D" w14:textId="5C450699" w:rsidR="003304F4" w:rsidRDefault="003304F4" w:rsidP="002B4BD1">
      <w:pPr>
        <w:pStyle w:val="paragraph"/>
      </w:pPr>
      <w:r>
        <w:tab/>
        <w:t>(b)</w:t>
      </w:r>
      <w:r>
        <w:tab/>
        <w:t>radiocommunications devices operated under any other licence held by the licensee or operated by the licensee under a class licence.</w:t>
      </w:r>
    </w:p>
    <w:p w14:paraId="7633E5EF" w14:textId="45D9C0C9" w:rsidR="00A008E9" w:rsidRPr="00120A5E" w:rsidRDefault="00A008E9" w:rsidP="00A008E9">
      <w:pPr>
        <w:pStyle w:val="Heading2"/>
        <w:spacing w:before="120" w:line="257" w:lineRule="auto"/>
        <w:rPr>
          <w:rStyle w:val="CharSectno"/>
          <w:rFonts w:ascii="Times New Roman" w:eastAsia="Times New Roman" w:hAnsi="Times New Roman" w:cs="Times New Roman"/>
          <w:b/>
          <w:color w:val="auto"/>
          <w:kern w:val="28"/>
          <w:sz w:val="24"/>
          <w:szCs w:val="20"/>
          <w:lang w:eastAsia="en-AU"/>
        </w:rPr>
      </w:pPr>
      <w:proofErr w:type="gramStart"/>
      <w:r>
        <w:rPr>
          <w:rStyle w:val="CharSectno"/>
          <w:rFonts w:ascii="Times New Roman" w:eastAsia="Times New Roman" w:hAnsi="Times New Roman" w:cs="Times New Roman"/>
          <w:b/>
          <w:color w:val="auto"/>
          <w:kern w:val="28"/>
          <w:sz w:val="24"/>
          <w:szCs w:val="20"/>
          <w:lang w:eastAsia="en-AU"/>
        </w:rPr>
        <w:t>8</w:t>
      </w:r>
      <w:r w:rsidRPr="00120A5E">
        <w:rPr>
          <w:rStyle w:val="CharSectno"/>
          <w:rFonts w:ascii="Times New Roman" w:eastAsia="Times New Roman" w:hAnsi="Times New Roman" w:cs="Times New Roman"/>
          <w:b/>
          <w:color w:val="auto"/>
          <w:kern w:val="28"/>
          <w:sz w:val="24"/>
          <w:szCs w:val="20"/>
          <w:lang w:eastAsia="en-AU"/>
        </w:rPr>
        <w:t xml:space="preserve">  </w:t>
      </w:r>
      <w:r>
        <w:rPr>
          <w:rStyle w:val="CharSectno"/>
          <w:rFonts w:ascii="Times New Roman" w:eastAsia="Times New Roman" w:hAnsi="Times New Roman" w:cs="Times New Roman"/>
          <w:b/>
          <w:color w:val="auto"/>
          <w:kern w:val="28"/>
          <w:sz w:val="24"/>
          <w:szCs w:val="20"/>
          <w:lang w:eastAsia="en-AU"/>
        </w:rPr>
        <w:t>Harmful</w:t>
      </w:r>
      <w:proofErr w:type="gramEnd"/>
      <w:r>
        <w:rPr>
          <w:rStyle w:val="CharSectno"/>
          <w:rFonts w:ascii="Times New Roman" w:eastAsia="Times New Roman" w:hAnsi="Times New Roman" w:cs="Times New Roman"/>
          <w:b/>
          <w:color w:val="auto"/>
          <w:kern w:val="28"/>
          <w:sz w:val="24"/>
          <w:szCs w:val="20"/>
          <w:lang w:eastAsia="en-AU"/>
        </w:rPr>
        <w:t xml:space="preserve"> interference</w:t>
      </w:r>
    </w:p>
    <w:p w14:paraId="4008F224" w14:textId="3DB9C837" w:rsidR="00A008E9" w:rsidRDefault="00A008E9" w:rsidP="00A008E9">
      <w:pPr>
        <w:pStyle w:val="subsection"/>
        <w:rPr>
          <w:iCs/>
        </w:rPr>
      </w:pPr>
      <w:r>
        <w:rPr>
          <w:iCs/>
        </w:rPr>
        <w:tab/>
      </w:r>
      <w:r>
        <w:rPr>
          <w:iCs/>
        </w:rPr>
        <w:tab/>
        <w:t>The licensee of an area-wide licence must ensure that the operation of a low-risk transmitter does not cause harmful interference to a radiocommunications device operated under a spectrum licence or an apparatus licence held by another person.</w:t>
      </w:r>
    </w:p>
    <w:p w14:paraId="4E83B1D1" w14:textId="58557DFF" w:rsidR="003B76FB" w:rsidRPr="00120A5E" w:rsidRDefault="003B76FB" w:rsidP="00C452EB">
      <w:pPr>
        <w:pStyle w:val="Heading2"/>
        <w:spacing w:before="120" w:line="257" w:lineRule="auto"/>
        <w:rPr>
          <w:rStyle w:val="CharSectno"/>
          <w:rFonts w:ascii="Times New Roman" w:eastAsia="Times New Roman" w:hAnsi="Times New Roman" w:cs="Times New Roman"/>
          <w:b/>
          <w:color w:val="auto"/>
          <w:kern w:val="28"/>
          <w:sz w:val="24"/>
          <w:szCs w:val="20"/>
          <w:lang w:eastAsia="en-AU"/>
        </w:rPr>
      </w:pPr>
      <w:r>
        <w:rPr>
          <w:rStyle w:val="CharSectno"/>
          <w:rFonts w:ascii="Times New Roman" w:eastAsia="Times New Roman" w:hAnsi="Times New Roman" w:cs="Times New Roman"/>
          <w:b/>
          <w:color w:val="auto"/>
          <w:kern w:val="28"/>
          <w:sz w:val="24"/>
          <w:szCs w:val="20"/>
          <w:lang w:eastAsia="en-AU"/>
        </w:rPr>
        <w:t>9</w:t>
      </w:r>
      <w:r w:rsidRPr="00120A5E">
        <w:rPr>
          <w:rStyle w:val="CharSectno"/>
          <w:rFonts w:ascii="Times New Roman" w:eastAsia="Times New Roman" w:hAnsi="Times New Roman" w:cs="Times New Roman"/>
          <w:b/>
          <w:color w:val="auto"/>
          <w:kern w:val="28"/>
          <w:sz w:val="24"/>
          <w:szCs w:val="20"/>
          <w:lang w:eastAsia="en-AU"/>
        </w:rPr>
        <w:t xml:space="preserve">  </w:t>
      </w:r>
      <w:r>
        <w:rPr>
          <w:rStyle w:val="CharSectno"/>
          <w:rFonts w:ascii="Times New Roman" w:eastAsia="Times New Roman" w:hAnsi="Times New Roman" w:cs="Times New Roman"/>
          <w:b/>
          <w:color w:val="auto"/>
          <w:kern w:val="28"/>
          <w:sz w:val="24"/>
          <w:szCs w:val="20"/>
          <w:lang w:eastAsia="en-AU"/>
        </w:rPr>
        <w:t>Unwanted emissions</w:t>
      </w:r>
    </w:p>
    <w:p w14:paraId="4E205BB9" w14:textId="77777777" w:rsidR="003B76FB" w:rsidRPr="0025450B" w:rsidRDefault="003B76FB" w:rsidP="00C452EB">
      <w:pPr>
        <w:pStyle w:val="Item"/>
        <w:keepNext/>
        <w:ind w:left="1276" w:hanging="567"/>
        <w:rPr>
          <w:i/>
          <w:iCs/>
        </w:rPr>
      </w:pPr>
      <w:r>
        <w:rPr>
          <w:i/>
          <w:iCs/>
        </w:rPr>
        <w:t xml:space="preserve">Unwanted emission limits – application </w:t>
      </w:r>
    </w:p>
    <w:p w14:paraId="1E1A9933" w14:textId="2F00B390" w:rsidR="003B76FB" w:rsidRDefault="003B76FB" w:rsidP="003B76FB">
      <w:pPr>
        <w:pStyle w:val="subsection"/>
        <w:rPr>
          <w:iCs/>
        </w:rPr>
      </w:pPr>
      <w:r>
        <w:rPr>
          <w:iCs/>
        </w:rPr>
        <w:tab/>
        <w:t>(1)</w:t>
      </w:r>
      <w:r>
        <w:rPr>
          <w:iCs/>
        </w:rPr>
        <w:tab/>
        <w:t xml:space="preserve">The licensee of an area-wide licence must </w:t>
      </w:r>
      <w:r w:rsidR="00192429">
        <w:rPr>
          <w:iCs/>
        </w:rPr>
        <w:t xml:space="preserve">not operate a radiocommunications transmitter that is not a </w:t>
      </w:r>
      <w:proofErr w:type="gramStart"/>
      <w:r w:rsidR="00192429">
        <w:rPr>
          <w:iCs/>
        </w:rPr>
        <w:t>low risk</w:t>
      </w:r>
      <w:proofErr w:type="gramEnd"/>
      <w:r w:rsidR="00192429">
        <w:rPr>
          <w:iCs/>
        </w:rPr>
        <w:t xml:space="preserve"> transmitter if its unwanted emissions exceed the limits in subclauses (</w:t>
      </w:r>
      <w:r w:rsidR="00D17D57">
        <w:rPr>
          <w:iCs/>
        </w:rPr>
        <w:t>3</w:t>
      </w:r>
      <w:r w:rsidR="00192429">
        <w:rPr>
          <w:iCs/>
        </w:rPr>
        <w:t xml:space="preserve">), </w:t>
      </w:r>
      <w:r w:rsidR="00D17D57">
        <w:rPr>
          <w:iCs/>
        </w:rPr>
        <w:t>(4</w:t>
      </w:r>
      <w:r w:rsidR="00192429">
        <w:rPr>
          <w:iCs/>
        </w:rPr>
        <w:t>), (</w:t>
      </w:r>
      <w:r w:rsidR="00D17D57">
        <w:rPr>
          <w:iCs/>
        </w:rPr>
        <w:t>6</w:t>
      </w:r>
      <w:r w:rsidR="00192429">
        <w:rPr>
          <w:iCs/>
        </w:rPr>
        <w:t>) or (</w:t>
      </w:r>
      <w:r w:rsidR="00D17D57">
        <w:rPr>
          <w:iCs/>
        </w:rPr>
        <w:t>7</w:t>
      </w:r>
      <w:r w:rsidR="00192429">
        <w:rPr>
          <w:iCs/>
        </w:rPr>
        <w:t>)</w:t>
      </w:r>
      <w:r w:rsidR="00771489">
        <w:rPr>
          <w:iCs/>
        </w:rPr>
        <w:t>.</w:t>
      </w:r>
    </w:p>
    <w:p w14:paraId="1EF9AA63" w14:textId="7726A668" w:rsidR="00771489" w:rsidRDefault="00771489" w:rsidP="003B76FB">
      <w:pPr>
        <w:pStyle w:val="subsection"/>
        <w:rPr>
          <w:iCs/>
        </w:rPr>
      </w:pPr>
      <w:r>
        <w:rPr>
          <w:iCs/>
        </w:rPr>
        <w:tab/>
        <w:t>(2)</w:t>
      </w:r>
      <w:r>
        <w:rPr>
          <w:iCs/>
        </w:rPr>
        <w:tab/>
        <w:t xml:space="preserve">The licensee of an area-wide licence must not operate a radiocommunications transmitter that is a </w:t>
      </w:r>
      <w:proofErr w:type="gramStart"/>
      <w:r>
        <w:rPr>
          <w:iCs/>
        </w:rPr>
        <w:t>low risk</w:t>
      </w:r>
      <w:proofErr w:type="gramEnd"/>
      <w:r>
        <w:rPr>
          <w:iCs/>
        </w:rPr>
        <w:t xml:space="preserve"> transmitter if its unwanted emissions exceed the </w:t>
      </w:r>
      <w:r w:rsidR="004D0B15">
        <w:rPr>
          <w:iCs/>
        </w:rPr>
        <w:t>limits in subclauses (</w:t>
      </w:r>
      <w:r w:rsidR="00D17D57">
        <w:rPr>
          <w:iCs/>
        </w:rPr>
        <w:t>5</w:t>
      </w:r>
      <w:r w:rsidR="004D0B15">
        <w:rPr>
          <w:iCs/>
        </w:rPr>
        <w:t>), (</w:t>
      </w:r>
      <w:r w:rsidR="00D17D57">
        <w:rPr>
          <w:iCs/>
        </w:rPr>
        <w:t>6</w:t>
      </w:r>
      <w:r w:rsidR="004D0B15">
        <w:rPr>
          <w:iCs/>
        </w:rPr>
        <w:t>) or (</w:t>
      </w:r>
      <w:r w:rsidR="00D17D57">
        <w:rPr>
          <w:iCs/>
        </w:rPr>
        <w:t>7</w:t>
      </w:r>
      <w:r w:rsidR="004D0B15">
        <w:rPr>
          <w:iCs/>
        </w:rPr>
        <w:t>).</w:t>
      </w:r>
    </w:p>
    <w:p w14:paraId="042C6E82" w14:textId="1D73245D" w:rsidR="00F4187C" w:rsidRPr="0093082D" w:rsidRDefault="0093082D" w:rsidP="0093082D">
      <w:pPr>
        <w:pStyle w:val="Item"/>
        <w:ind w:left="1276" w:hanging="567"/>
        <w:rPr>
          <w:i/>
          <w:iCs/>
        </w:rPr>
      </w:pPr>
      <w:r w:rsidRPr="0093082D">
        <w:rPr>
          <w:i/>
          <w:iCs/>
        </w:rPr>
        <w:t>Radioco</w:t>
      </w:r>
      <w:r>
        <w:rPr>
          <w:i/>
          <w:iCs/>
        </w:rPr>
        <w:t>mmunications transmitters</w:t>
      </w:r>
      <w:r w:rsidR="00D17D57">
        <w:rPr>
          <w:i/>
          <w:iCs/>
        </w:rPr>
        <w:t xml:space="preserve"> other than low risk transmitters</w:t>
      </w:r>
    </w:p>
    <w:p w14:paraId="601B9DB6" w14:textId="42BA9ABE" w:rsidR="00F4187C" w:rsidRDefault="00D17D57" w:rsidP="00D17D57">
      <w:pPr>
        <w:pStyle w:val="subsection"/>
      </w:pPr>
      <w:r>
        <w:tab/>
        <w:t>(3)</w:t>
      </w:r>
      <w:r>
        <w:tab/>
        <w:t xml:space="preserve">For radiocommunications transmitters </w:t>
      </w:r>
      <w:r w:rsidR="002203D7">
        <w:t>with</w:t>
      </w:r>
      <w:r w:rsidR="00C35588">
        <w:t>out</w:t>
      </w:r>
      <w:r w:rsidR="002203D7">
        <w:t xml:space="preserve"> AAS, </w:t>
      </w:r>
      <w:r w:rsidR="00BC0CD2">
        <w:t>the unwanted emission limit in Table 1, measured over the specified bandwidth, applies at frequencies:</w:t>
      </w:r>
    </w:p>
    <w:p w14:paraId="0BCF30C9" w14:textId="04ED469B" w:rsidR="00BC0CD2" w:rsidRDefault="00BC0CD2" w:rsidP="00BC0CD2">
      <w:pPr>
        <w:pStyle w:val="paragraph"/>
        <w:rPr>
          <w:iCs/>
        </w:rPr>
      </w:pPr>
      <w:r>
        <w:rPr>
          <w:iCs/>
        </w:rPr>
        <w:tab/>
        <w:t>(a)</w:t>
      </w:r>
      <w:r>
        <w:rPr>
          <w:iCs/>
        </w:rPr>
        <w:tab/>
        <w:t>outside the upper or lower frequency limits specified in the licence; and</w:t>
      </w:r>
    </w:p>
    <w:p w14:paraId="1DBA5D49" w14:textId="7D78C8AC" w:rsidR="00BC0CD2" w:rsidRPr="00D17D57" w:rsidRDefault="00BC0CD2" w:rsidP="00BC0CD2">
      <w:pPr>
        <w:pStyle w:val="paragraph"/>
        <w:rPr>
          <w:iCs/>
        </w:rPr>
      </w:pPr>
      <w:r>
        <w:rPr>
          <w:iCs/>
        </w:rPr>
        <w:tab/>
        <w:t>(b)</w:t>
      </w:r>
      <w:r>
        <w:rPr>
          <w:iCs/>
        </w:rPr>
        <w:tab/>
        <w:t>offset from the upper and lower frequenc</w:t>
      </w:r>
      <w:r w:rsidR="004D51E1">
        <w:rPr>
          <w:iCs/>
        </w:rPr>
        <w:t>y limits set out in the licence;</w:t>
      </w:r>
    </w:p>
    <w:p w14:paraId="5F1102EA" w14:textId="025ABC78" w:rsidR="000E56A9" w:rsidRDefault="000E56A9" w:rsidP="000E56A9">
      <w:pPr>
        <w:pStyle w:val="subsection"/>
      </w:pPr>
      <w:r>
        <w:tab/>
      </w:r>
      <w:r>
        <w:tab/>
        <w:t>where:</w:t>
      </w:r>
    </w:p>
    <w:p w14:paraId="4A901A35" w14:textId="00524376" w:rsidR="000E56A9" w:rsidRDefault="000E56A9" w:rsidP="000E56A9">
      <w:pPr>
        <w:pStyle w:val="Item"/>
        <w:keepNext/>
        <w:ind w:left="1276"/>
      </w:pPr>
      <w:proofErr w:type="spellStart"/>
      <w:r>
        <w:rPr>
          <w:b/>
          <w:bCs/>
          <w:i/>
          <w:iCs/>
        </w:rPr>
        <w:t>f</w:t>
      </w:r>
      <w:r>
        <w:rPr>
          <w:b/>
          <w:bCs/>
          <w:i/>
          <w:iCs/>
          <w:vertAlign w:val="subscript"/>
        </w:rPr>
        <w:t>offset</w:t>
      </w:r>
      <w:proofErr w:type="spellEnd"/>
      <w:r>
        <w:t xml:space="preserve"> means the frequency offset from the upper or lower frequency limit</w:t>
      </w:r>
      <w:r w:rsidR="0042168E">
        <w:t>s</w:t>
      </w:r>
      <w:r>
        <w:t xml:space="preserve"> set out in the licence. The closest -3dB point of the specified bandwidth to the upper and lower frequency limits set out in the licence is placed at </w:t>
      </w:r>
      <w:proofErr w:type="spellStart"/>
      <w:r>
        <w:t>f</w:t>
      </w:r>
      <w:r>
        <w:rPr>
          <w:vertAlign w:val="subscript"/>
        </w:rPr>
        <w:t>offset</w:t>
      </w:r>
      <w:proofErr w:type="spellEnd"/>
      <w:r>
        <w:t>.</w:t>
      </w:r>
    </w:p>
    <w:p w14:paraId="154A4E7B" w14:textId="29A524A8" w:rsidR="000E56A9" w:rsidRPr="006F7DE8" w:rsidRDefault="000E56A9" w:rsidP="00C7448E">
      <w:pPr>
        <w:pStyle w:val="notetext"/>
        <w:spacing w:after="120"/>
      </w:pPr>
      <w:r>
        <w:t>Note:</w:t>
      </w:r>
      <w:r w:rsidR="006D4466">
        <w:tab/>
      </w:r>
      <w:r>
        <w:t xml:space="preserve">This subclause </w:t>
      </w:r>
      <w:r w:rsidR="00111F72">
        <w:t xml:space="preserve">does not </w:t>
      </w:r>
      <w:r>
        <w:t>appl</w:t>
      </w:r>
      <w:r w:rsidR="00111F72">
        <w:t>y</w:t>
      </w:r>
      <w:r>
        <w:t xml:space="preserve"> to </w:t>
      </w:r>
      <w:proofErr w:type="gramStart"/>
      <w:r w:rsidR="00111F72">
        <w:t>low risk</w:t>
      </w:r>
      <w:proofErr w:type="gramEnd"/>
      <w:r w:rsidR="00111F72">
        <w:t xml:space="preserve"> transmitters</w:t>
      </w:r>
      <w:r>
        <w:t xml:space="preserve"> – see subclause (1).</w:t>
      </w:r>
    </w:p>
    <w:p w14:paraId="5EB17563" w14:textId="0A1DB1CE" w:rsidR="000E56A9" w:rsidRPr="0099583D" w:rsidRDefault="000E56A9" w:rsidP="000E56A9">
      <w:pPr>
        <w:pStyle w:val="paragraph"/>
        <w:keepNext/>
        <w:tabs>
          <w:tab w:val="clear" w:pos="1531"/>
        </w:tabs>
        <w:spacing w:after="120"/>
        <w:ind w:left="1843" w:hanging="851"/>
        <w:rPr>
          <w:b/>
          <w:bCs/>
          <w:vertAlign w:val="subscript"/>
        </w:rPr>
      </w:pPr>
      <w:r>
        <w:rPr>
          <w:b/>
          <w:bCs/>
        </w:rPr>
        <w:t xml:space="preserve">Table 1: </w:t>
      </w:r>
      <w:r w:rsidR="00C41799">
        <w:rPr>
          <w:b/>
          <w:bCs/>
        </w:rPr>
        <w:t xml:space="preserve">Unwanted </w:t>
      </w:r>
      <w:r>
        <w:rPr>
          <w:b/>
          <w:bCs/>
        </w:rPr>
        <w:t>emission limit</w:t>
      </w:r>
      <w:r w:rsidR="00C41799">
        <w:rPr>
          <w:b/>
          <w:bCs/>
        </w:rPr>
        <w:t xml:space="preserve"> </w:t>
      </w:r>
      <w:r w:rsidR="00892310">
        <w:rPr>
          <w:b/>
          <w:bCs/>
        </w:rPr>
        <w:t>–</w:t>
      </w:r>
      <w:r w:rsidR="00C41799">
        <w:rPr>
          <w:b/>
          <w:bCs/>
        </w:rPr>
        <w:t xml:space="preserve"> radiocommunications transmitters without AAS that are not low risk transmitters</w:t>
      </w:r>
    </w:p>
    <w:tbl>
      <w:tblPr>
        <w:tblW w:w="711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2835"/>
        <w:gridCol w:w="2694"/>
        <w:gridCol w:w="1582"/>
      </w:tblGrid>
      <w:tr w:rsidR="000E56A9" w:rsidRPr="00AB629C" w14:paraId="52F0C684" w14:textId="77777777" w:rsidTr="001A1B5B">
        <w:trPr>
          <w:tblHeader/>
          <w:jc w:val="center"/>
        </w:trPr>
        <w:tc>
          <w:tcPr>
            <w:tcW w:w="2835" w:type="dxa"/>
            <w:tcBorders>
              <w:top w:val="single" w:sz="6" w:space="0" w:color="auto"/>
              <w:bottom w:val="single" w:sz="6" w:space="0" w:color="auto"/>
            </w:tcBorders>
            <w:shd w:val="clear" w:color="auto" w:fill="auto"/>
          </w:tcPr>
          <w:p w14:paraId="58F1335A" w14:textId="77777777" w:rsidR="000E56A9" w:rsidRPr="00AB629C" w:rsidRDefault="000E56A9" w:rsidP="001A1B5B">
            <w:pPr>
              <w:pStyle w:val="TableHeading"/>
              <w:jc w:val="center"/>
            </w:pPr>
            <w:r w:rsidRPr="00AB629C">
              <w:t>Column 1</w:t>
            </w:r>
          </w:p>
        </w:tc>
        <w:tc>
          <w:tcPr>
            <w:tcW w:w="2694" w:type="dxa"/>
            <w:tcBorders>
              <w:top w:val="single" w:sz="6" w:space="0" w:color="auto"/>
              <w:bottom w:val="single" w:sz="6" w:space="0" w:color="auto"/>
            </w:tcBorders>
            <w:shd w:val="clear" w:color="auto" w:fill="auto"/>
          </w:tcPr>
          <w:p w14:paraId="384BDC1D" w14:textId="77777777" w:rsidR="000E56A9" w:rsidRPr="00AB629C" w:rsidRDefault="000E56A9" w:rsidP="001A1B5B">
            <w:pPr>
              <w:pStyle w:val="TableHeading"/>
              <w:jc w:val="center"/>
            </w:pPr>
            <w:r w:rsidRPr="00AB629C">
              <w:t>Column 2</w:t>
            </w:r>
          </w:p>
        </w:tc>
        <w:tc>
          <w:tcPr>
            <w:tcW w:w="1582" w:type="dxa"/>
            <w:tcBorders>
              <w:top w:val="single" w:sz="6" w:space="0" w:color="auto"/>
              <w:bottom w:val="single" w:sz="6" w:space="0" w:color="auto"/>
            </w:tcBorders>
            <w:shd w:val="clear" w:color="auto" w:fill="auto"/>
          </w:tcPr>
          <w:p w14:paraId="514804E6" w14:textId="77777777" w:rsidR="000E56A9" w:rsidRPr="00AB629C" w:rsidRDefault="000E56A9" w:rsidP="001A1B5B">
            <w:pPr>
              <w:pStyle w:val="TableHeading"/>
              <w:jc w:val="center"/>
            </w:pPr>
            <w:r w:rsidRPr="00AB629C">
              <w:t>Column 3</w:t>
            </w:r>
          </w:p>
        </w:tc>
      </w:tr>
      <w:tr w:rsidR="000E56A9" w:rsidRPr="00AB629C" w14:paraId="70DDB7C3" w14:textId="77777777" w:rsidTr="001A1B5B">
        <w:trPr>
          <w:tblHeader/>
          <w:jc w:val="center"/>
        </w:trPr>
        <w:tc>
          <w:tcPr>
            <w:tcW w:w="2835" w:type="dxa"/>
            <w:tcBorders>
              <w:top w:val="single" w:sz="6" w:space="0" w:color="auto"/>
              <w:bottom w:val="single" w:sz="12" w:space="0" w:color="auto"/>
            </w:tcBorders>
            <w:shd w:val="clear" w:color="auto" w:fill="auto"/>
          </w:tcPr>
          <w:p w14:paraId="79FCA36C" w14:textId="77777777" w:rsidR="000E56A9" w:rsidRPr="00AB629C" w:rsidRDefault="000E56A9" w:rsidP="001A1B5B">
            <w:pPr>
              <w:pStyle w:val="TableHeading"/>
              <w:jc w:val="center"/>
            </w:pPr>
            <w:r>
              <w:t>Frequency range (</w:t>
            </w:r>
            <w:proofErr w:type="spellStart"/>
            <w:r>
              <w:rPr>
                <w:i/>
                <w:iCs/>
              </w:rPr>
              <w:t>f</w:t>
            </w:r>
            <w:r>
              <w:rPr>
                <w:i/>
                <w:iCs/>
                <w:vertAlign w:val="subscript"/>
              </w:rPr>
              <w:t>offset</w:t>
            </w:r>
            <w:proofErr w:type="spellEnd"/>
            <w:r>
              <w:t>)</w:t>
            </w:r>
          </w:p>
        </w:tc>
        <w:tc>
          <w:tcPr>
            <w:tcW w:w="2694" w:type="dxa"/>
            <w:tcBorders>
              <w:top w:val="single" w:sz="6" w:space="0" w:color="auto"/>
              <w:bottom w:val="single" w:sz="12" w:space="0" w:color="auto"/>
            </w:tcBorders>
            <w:shd w:val="clear" w:color="auto" w:fill="auto"/>
          </w:tcPr>
          <w:p w14:paraId="6C164E88" w14:textId="73944FB6" w:rsidR="000E56A9" w:rsidRPr="00AB629C" w:rsidRDefault="00BD54F1" w:rsidP="001A1B5B">
            <w:pPr>
              <w:pStyle w:val="TableHeading"/>
              <w:jc w:val="center"/>
            </w:pPr>
            <w:r>
              <w:t>Mean</w:t>
            </w:r>
            <w:r w:rsidR="000E56A9">
              <w:t xml:space="preserve"> power </w:t>
            </w:r>
            <w:r>
              <w:t xml:space="preserve">per antenna port </w:t>
            </w:r>
            <w:r w:rsidR="000E56A9">
              <w:t>(dBm)</w:t>
            </w:r>
          </w:p>
        </w:tc>
        <w:tc>
          <w:tcPr>
            <w:tcW w:w="1582" w:type="dxa"/>
            <w:tcBorders>
              <w:top w:val="single" w:sz="6" w:space="0" w:color="auto"/>
              <w:bottom w:val="single" w:sz="12" w:space="0" w:color="auto"/>
            </w:tcBorders>
            <w:shd w:val="clear" w:color="auto" w:fill="auto"/>
          </w:tcPr>
          <w:p w14:paraId="2ECFB19E" w14:textId="77777777" w:rsidR="000E56A9" w:rsidRPr="00AB629C" w:rsidRDefault="000E56A9" w:rsidP="001A1B5B">
            <w:pPr>
              <w:pStyle w:val="TableHeading"/>
              <w:jc w:val="center"/>
            </w:pPr>
            <w:r>
              <w:t>Specified bandwidth</w:t>
            </w:r>
          </w:p>
        </w:tc>
      </w:tr>
      <w:tr w:rsidR="000E56A9" w:rsidRPr="00AB629C" w14:paraId="69C0430F" w14:textId="77777777" w:rsidTr="00892310">
        <w:trPr>
          <w:jc w:val="center"/>
        </w:trPr>
        <w:tc>
          <w:tcPr>
            <w:tcW w:w="2835" w:type="dxa"/>
            <w:tcBorders>
              <w:top w:val="single" w:sz="12" w:space="0" w:color="auto"/>
              <w:bottom w:val="single" w:sz="4" w:space="0" w:color="auto"/>
            </w:tcBorders>
            <w:shd w:val="clear" w:color="auto" w:fill="auto"/>
          </w:tcPr>
          <w:p w14:paraId="04DFAAFB" w14:textId="498A1905" w:rsidR="000E56A9" w:rsidRPr="000D2783" w:rsidRDefault="000E56A9" w:rsidP="001A1B5B">
            <w:pPr>
              <w:pStyle w:val="Tabletext0"/>
              <w:jc w:val="center"/>
              <w:rPr>
                <w:vertAlign w:val="subscript"/>
              </w:rPr>
            </w:pPr>
            <w:r>
              <w:t>0 MHz ≤</w:t>
            </w:r>
            <w:r>
              <w:rPr>
                <w:i/>
                <w:iCs/>
              </w:rPr>
              <w:t xml:space="preserve"> </w:t>
            </w:r>
            <w:proofErr w:type="spellStart"/>
            <w:r>
              <w:rPr>
                <w:i/>
                <w:iCs/>
              </w:rPr>
              <w:t>f</w:t>
            </w:r>
            <w:r>
              <w:rPr>
                <w:i/>
                <w:iCs/>
                <w:vertAlign w:val="subscript"/>
              </w:rPr>
              <w:t>offset</w:t>
            </w:r>
            <w:proofErr w:type="spellEnd"/>
            <w:r>
              <w:rPr>
                <w:i/>
                <w:iCs/>
              </w:rPr>
              <w:t xml:space="preserve"> </w:t>
            </w:r>
            <w:r w:rsidR="00892310">
              <w:t>&lt;</w:t>
            </w:r>
            <w:r>
              <w:t xml:space="preserve"> </w:t>
            </w:r>
            <w:r w:rsidR="00892310">
              <w:t>5 MHz</w:t>
            </w:r>
          </w:p>
        </w:tc>
        <w:tc>
          <w:tcPr>
            <w:tcW w:w="2694" w:type="dxa"/>
            <w:tcBorders>
              <w:top w:val="single" w:sz="12" w:space="0" w:color="auto"/>
              <w:bottom w:val="single" w:sz="4" w:space="0" w:color="auto"/>
            </w:tcBorders>
            <w:shd w:val="clear" w:color="auto" w:fill="auto"/>
          </w:tcPr>
          <w:p w14:paraId="13AF0B78" w14:textId="5EC10598" w:rsidR="000E56A9" w:rsidRPr="00912BA5" w:rsidRDefault="000E56A9" w:rsidP="001A1B5B">
            <w:pPr>
              <w:pStyle w:val="Tabletext0"/>
              <w:jc w:val="center"/>
            </w:pPr>
            <w:r>
              <w:t>-</w:t>
            </w:r>
            <w:r w:rsidR="00D93D3A">
              <w:t xml:space="preserve">7 – (7/5) </w:t>
            </w:r>
            <w:proofErr w:type="spellStart"/>
            <w:r w:rsidR="00D93D3A">
              <w:rPr>
                <w:i/>
                <w:iCs/>
              </w:rPr>
              <w:t>f</w:t>
            </w:r>
            <w:r w:rsidR="00D93D3A">
              <w:rPr>
                <w:i/>
                <w:iCs/>
                <w:vertAlign w:val="subscript"/>
              </w:rPr>
              <w:t>offset</w:t>
            </w:r>
            <w:proofErr w:type="spellEnd"/>
            <w:r w:rsidR="00D93D3A">
              <w:rPr>
                <w:i/>
                <w:iCs/>
              </w:rPr>
              <w:t xml:space="preserve"> </w:t>
            </w:r>
            <w:r w:rsidR="00912BA5">
              <w:t>(MHz)</w:t>
            </w:r>
          </w:p>
        </w:tc>
        <w:tc>
          <w:tcPr>
            <w:tcW w:w="1582" w:type="dxa"/>
            <w:tcBorders>
              <w:top w:val="single" w:sz="12" w:space="0" w:color="auto"/>
              <w:bottom w:val="single" w:sz="4" w:space="0" w:color="auto"/>
            </w:tcBorders>
            <w:shd w:val="clear" w:color="auto" w:fill="auto"/>
          </w:tcPr>
          <w:p w14:paraId="3D57BB7B" w14:textId="07BD8456" w:rsidR="000E56A9" w:rsidRPr="00AB629C" w:rsidRDefault="00912BA5" w:rsidP="001A1B5B">
            <w:pPr>
              <w:pStyle w:val="Tabletext0"/>
              <w:jc w:val="center"/>
            </w:pPr>
            <w:r>
              <w:t>100</w:t>
            </w:r>
            <w:r w:rsidR="000E56A9">
              <w:t xml:space="preserve"> </w:t>
            </w:r>
            <w:r>
              <w:t>k</w:t>
            </w:r>
            <w:r w:rsidR="000E56A9">
              <w:t>Hz</w:t>
            </w:r>
          </w:p>
        </w:tc>
      </w:tr>
      <w:tr w:rsidR="00892310" w:rsidRPr="00AB629C" w14:paraId="2DF301B1" w14:textId="77777777" w:rsidTr="00892310">
        <w:trPr>
          <w:jc w:val="center"/>
        </w:trPr>
        <w:tc>
          <w:tcPr>
            <w:tcW w:w="2835" w:type="dxa"/>
            <w:tcBorders>
              <w:top w:val="single" w:sz="4" w:space="0" w:color="auto"/>
              <w:bottom w:val="single" w:sz="4" w:space="0" w:color="auto"/>
            </w:tcBorders>
            <w:shd w:val="clear" w:color="auto" w:fill="auto"/>
          </w:tcPr>
          <w:p w14:paraId="23009021" w14:textId="0A49E6CF" w:rsidR="00892310" w:rsidRDefault="00D93D3A" w:rsidP="001A1B5B">
            <w:pPr>
              <w:pStyle w:val="Tabletext0"/>
              <w:jc w:val="center"/>
            </w:pPr>
            <w:r>
              <w:t>5 MHz ≤</w:t>
            </w:r>
            <w:r>
              <w:rPr>
                <w:i/>
                <w:iCs/>
              </w:rPr>
              <w:t xml:space="preserve"> </w:t>
            </w:r>
            <w:proofErr w:type="spellStart"/>
            <w:r>
              <w:rPr>
                <w:i/>
                <w:iCs/>
              </w:rPr>
              <w:t>f</w:t>
            </w:r>
            <w:r>
              <w:rPr>
                <w:i/>
                <w:iCs/>
                <w:vertAlign w:val="subscript"/>
              </w:rPr>
              <w:t>offset</w:t>
            </w:r>
            <w:proofErr w:type="spellEnd"/>
            <w:r>
              <w:rPr>
                <w:i/>
                <w:iCs/>
              </w:rPr>
              <w:t xml:space="preserve"> </w:t>
            </w:r>
            <w:r>
              <w:t xml:space="preserve">&lt; </w:t>
            </w:r>
            <w:r w:rsidR="002F437F">
              <w:t>10</w:t>
            </w:r>
            <w:r>
              <w:t xml:space="preserve"> MHz</w:t>
            </w:r>
          </w:p>
        </w:tc>
        <w:tc>
          <w:tcPr>
            <w:tcW w:w="2694" w:type="dxa"/>
            <w:tcBorders>
              <w:top w:val="single" w:sz="4" w:space="0" w:color="auto"/>
              <w:bottom w:val="single" w:sz="4" w:space="0" w:color="auto"/>
            </w:tcBorders>
            <w:shd w:val="clear" w:color="auto" w:fill="auto"/>
          </w:tcPr>
          <w:p w14:paraId="67A600DA" w14:textId="7B737200" w:rsidR="00892310" w:rsidRDefault="00114BD7" w:rsidP="001A1B5B">
            <w:pPr>
              <w:pStyle w:val="Tabletext0"/>
              <w:jc w:val="center"/>
            </w:pPr>
            <w:r>
              <w:t>-14</w:t>
            </w:r>
          </w:p>
        </w:tc>
        <w:tc>
          <w:tcPr>
            <w:tcW w:w="1582" w:type="dxa"/>
            <w:tcBorders>
              <w:top w:val="single" w:sz="4" w:space="0" w:color="auto"/>
              <w:bottom w:val="single" w:sz="4" w:space="0" w:color="auto"/>
            </w:tcBorders>
            <w:shd w:val="clear" w:color="auto" w:fill="auto"/>
          </w:tcPr>
          <w:p w14:paraId="667B943E" w14:textId="75104CE9" w:rsidR="00892310" w:rsidRDefault="00114BD7" w:rsidP="001A1B5B">
            <w:pPr>
              <w:pStyle w:val="Tabletext0"/>
              <w:jc w:val="center"/>
            </w:pPr>
            <w:r>
              <w:t>100 kHz</w:t>
            </w:r>
          </w:p>
        </w:tc>
      </w:tr>
      <w:tr w:rsidR="00892310" w:rsidRPr="00AB629C" w14:paraId="2B1EB67D" w14:textId="77777777" w:rsidTr="00892310">
        <w:trPr>
          <w:jc w:val="center"/>
        </w:trPr>
        <w:tc>
          <w:tcPr>
            <w:tcW w:w="2835" w:type="dxa"/>
            <w:tcBorders>
              <w:top w:val="single" w:sz="4" w:space="0" w:color="auto"/>
              <w:bottom w:val="single" w:sz="12" w:space="0" w:color="auto"/>
            </w:tcBorders>
            <w:shd w:val="clear" w:color="auto" w:fill="auto"/>
          </w:tcPr>
          <w:p w14:paraId="3E271445" w14:textId="2A8DE73B" w:rsidR="00892310" w:rsidRPr="00905D58" w:rsidRDefault="00905D58" w:rsidP="001A1B5B">
            <w:pPr>
              <w:pStyle w:val="Tabletext0"/>
              <w:jc w:val="center"/>
            </w:pPr>
            <w:proofErr w:type="spellStart"/>
            <w:r>
              <w:rPr>
                <w:i/>
                <w:iCs/>
              </w:rPr>
              <w:t>f</w:t>
            </w:r>
            <w:r>
              <w:rPr>
                <w:i/>
                <w:iCs/>
                <w:vertAlign w:val="subscript"/>
              </w:rPr>
              <w:t>offset</w:t>
            </w:r>
            <w:proofErr w:type="spellEnd"/>
            <w:r w:rsidR="0091415F">
              <w:rPr>
                <w:i/>
                <w:iCs/>
                <w:vertAlign w:val="subscript"/>
              </w:rPr>
              <w:t xml:space="preserve"> </w:t>
            </w:r>
            <w:r>
              <w:rPr>
                <w:i/>
                <w:iCs/>
                <w:vertAlign w:val="subscript"/>
              </w:rPr>
              <w:t xml:space="preserve"> </w:t>
            </w:r>
            <w:r>
              <w:t>≥ 10 MHz</w:t>
            </w:r>
          </w:p>
        </w:tc>
        <w:tc>
          <w:tcPr>
            <w:tcW w:w="2694" w:type="dxa"/>
            <w:tcBorders>
              <w:top w:val="single" w:sz="4" w:space="0" w:color="auto"/>
              <w:bottom w:val="single" w:sz="12" w:space="0" w:color="auto"/>
            </w:tcBorders>
            <w:shd w:val="clear" w:color="auto" w:fill="auto"/>
          </w:tcPr>
          <w:p w14:paraId="7C416A6A" w14:textId="1E1C2F67" w:rsidR="00892310" w:rsidRDefault="00285899" w:rsidP="001A1B5B">
            <w:pPr>
              <w:pStyle w:val="Tabletext0"/>
              <w:jc w:val="center"/>
            </w:pPr>
            <w:r>
              <w:t>-15</w:t>
            </w:r>
          </w:p>
        </w:tc>
        <w:tc>
          <w:tcPr>
            <w:tcW w:w="1582" w:type="dxa"/>
            <w:tcBorders>
              <w:top w:val="single" w:sz="4" w:space="0" w:color="auto"/>
              <w:bottom w:val="single" w:sz="12" w:space="0" w:color="auto"/>
            </w:tcBorders>
            <w:shd w:val="clear" w:color="auto" w:fill="auto"/>
          </w:tcPr>
          <w:p w14:paraId="749C4C0E" w14:textId="6164D3DC" w:rsidR="00892310" w:rsidRDefault="00285899" w:rsidP="001A1B5B">
            <w:pPr>
              <w:pStyle w:val="Tabletext0"/>
              <w:jc w:val="center"/>
            </w:pPr>
            <w:r>
              <w:t>1 MHz</w:t>
            </w:r>
          </w:p>
        </w:tc>
      </w:tr>
    </w:tbl>
    <w:p w14:paraId="6AD00CFC" w14:textId="623461E5" w:rsidR="00285899" w:rsidRDefault="00285899" w:rsidP="00285899">
      <w:pPr>
        <w:pStyle w:val="subsection"/>
      </w:pPr>
      <w:r>
        <w:tab/>
        <w:t>(4)</w:t>
      </w:r>
      <w:r>
        <w:tab/>
        <w:t xml:space="preserve">For radiocommunications transmitters with AAS, the unwanted emission limit in Table </w:t>
      </w:r>
      <w:r w:rsidR="00111F72">
        <w:t> 2</w:t>
      </w:r>
      <w:r>
        <w:t>, measured over the specified bandwidth, applies at frequencies:</w:t>
      </w:r>
    </w:p>
    <w:p w14:paraId="4A8F0E84" w14:textId="77777777" w:rsidR="00285899" w:rsidRDefault="00285899" w:rsidP="00285899">
      <w:pPr>
        <w:pStyle w:val="paragraph"/>
        <w:rPr>
          <w:iCs/>
        </w:rPr>
      </w:pPr>
      <w:r>
        <w:rPr>
          <w:iCs/>
        </w:rPr>
        <w:tab/>
        <w:t>(a)</w:t>
      </w:r>
      <w:r>
        <w:rPr>
          <w:iCs/>
        </w:rPr>
        <w:tab/>
        <w:t>outside the upper or lower frequency limits specified in the licence; and</w:t>
      </w:r>
    </w:p>
    <w:p w14:paraId="6D2CC3C7" w14:textId="77777777" w:rsidR="00285899" w:rsidRPr="00D17D57" w:rsidRDefault="00285899" w:rsidP="00285899">
      <w:pPr>
        <w:pStyle w:val="paragraph"/>
        <w:rPr>
          <w:iCs/>
        </w:rPr>
      </w:pPr>
      <w:r>
        <w:rPr>
          <w:iCs/>
        </w:rPr>
        <w:tab/>
        <w:t>(b)</w:t>
      </w:r>
      <w:r>
        <w:rPr>
          <w:iCs/>
        </w:rPr>
        <w:tab/>
        <w:t>offset from the upper and lower frequency limits set out in the licence;</w:t>
      </w:r>
    </w:p>
    <w:p w14:paraId="695FA3B9" w14:textId="77777777" w:rsidR="00285899" w:rsidRDefault="00285899" w:rsidP="00285899">
      <w:pPr>
        <w:pStyle w:val="subsection"/>
      </w:pPr>
      <w:r>
        <w:tab/>
      </w:r>
      <w:r>
        <w:tab/>
        <w:t>where:</w:t>
      </w:r>
    </w:p>
    <w:p w14:paraId="1518E8EB" w14:textId="6EF2B632" w:rsidR="00285899" w:rsidRDefault="00285899" w:rsidP="00285899">
      <w:pPr>
        <w:pStyle w:val="Item"/>
        <w:keepNext/>
        <w:ind w:left="1276"/>
      </w:pPr>
      <w:proofErr w:type="spellStart"/>
      <w:r>
        <w:rPr>
          <w:b/>
          <w:bCs/>
          <w:i/>
          <w:iCs/>
        </w:rPr>
        <w:lastRenderedPageBreak/>
        <w:t>f</w:t>
      </w:r>
      <w:r>
        <w:rPr>
          <w:b/>
          <w:bCs/>
          <w:i/>
          <w:iCs/>
          <w:vertAlign w:val="subscript"/>
        </w:rPr>
        <w:t>offset</w:t>
      </w:r>
      <w:proofErr w:type="spellEnd"/>
      <w:r>
        <w:t xml:space="preserve"> means the frequency offset from the upper or lower frequency limit</w:t>
      </w:r>
      <w:r w:rsidR="0042168E">
        <w:t>s</w:t>
      </w:r>
      <w:r>
        <w:t xml:space="preserve"> set out in the licence. The closest -3dB point of the specified bandwidth to the upper and lower frequency limits set out in the licence is placed at </w:t>
      </w:r>
      <w:proofErr w:type="spellStart"/>
      <w:r>
        <w:t>f</w:t>
      </w:r>
      <w:r>
        <w:rPr>
          <w:vertAlign w:val="subscript"/>
        </w:rPr>
        <w:t>offset</w:t>
      </w:r>
      <w:proofErr w:type="spellEnd"/>
      <w:r>
        <w:t>.</w:t>
      </w:r>
    </w:p>
    <w:p w14:paraId="77AC4ABF" w14:textId="579A89FE" w:rsidR="00285899" w:rsidRPr="006F7DE8" w:rsidRDefault="00285899" w:rsidP="00C7448E">
      <w:pPr>
        <w:pStyle w:val="notetext"/>
        <w:spacing w:after="120"/>
      </w:pPr>
      <w:r>
        <w:t>Note:</w:t>
      </w:r>
      <w:r w:rsidR="006D4466">
        <w:tab/>
      </w:r>
      <w:r>
        <w:t xml:space="preserve">This subclause </w:t>
      </w:r>
      <w:r w:rsidR="002B1DFE">
        <w:t xml:space="preserve">does not apply to </w:t>
      </w:r>
      <w:proofErr w:type="gramStart"/>
      <w:r w:rsidR="002B1DFE">
        <w:t>low risk</w:t>
      </w:r>
      <w:proofErr w:type="gramEnd"/>
      <w:r w:rsidR="002B1DFE">
        <w:t xml:space="preserve"> transmitters</w:t>
      </w:r>
      <w:r>
        <w:t xml:space="preserve"> – see subclause (1).</w:t>
      </w:r>
    </w:p>
    <w:p w14:paraId="27BC7740" w14:textId="113BD99A" w:rsidR="00285899" w:rsidRPr="0099583D" w:rsidRDefault="00285899" w:rsidP="00285899">
      <w:pPr>
        <w:pStyle w:val="paragraph"/>
        <w:keepNext/>
        <w:tabs>
          <w:tab w:val="clear" w:pos="1531"/>
        </w:tabs>
        <w:spacing w:after="120"/>
        <w:ind w:left="1843" w:hanging="851"/>
        <w:rPr>
          <w:b/>
          <w:bCs/>
          <w:vertAlign w:val="subscript"/>
        </w:rPr>
      </w:pPr>
      <w:r>
        <w:rPr>
          <w:b/>
          <w:bCs/>
        </w:rPr>
        <w:t xml:space="preserve">Table </w:t>
      </w:r>
      <w:r w:rsidR="00F27E89">
        <w:rPr>
          <w:b/>
          <w:bCs/>
        </w:rPr>
        <w:t>2</w:t>
      </w:r>
      <w:r>
        <w:rPr>
          <w:b/>
          <w:bCs/>
        </w:rPr>
        <w:t>: Unwanted emission limit – radiocommunications transmitters with AAS that are not low risk transmitters</w:t>
      </w:r>
    </w:p>
    <w:tbl>
      <w:tblPr>
        <w:tblW w:w="711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2835"/>
        <w:gridCol w:w="2694"/>
        <w:gridCol w:w="1582"/>
      </w:tblGrid>
      <w:tr w:rsidR="00285899" w:rsidRPr="00AB629C" w14:paraId="00561343" w14:textId="77777777" w:rsidTr="001A1B5B">
        <w:trPr>
          <w:tblHeader/>
          <w:jc w:val="center"/>
        </w:trPr>
        <w:tc>
          <w:tcPr>
            <w:tcW w:w="2835" w:type="dxa"/>
            <w:tcBorders>
              <w:top w:val="single" w:sz="6" w:space="0" w:color="auto"/>
              <w:bottom w:val="single" w:sz="6" w:space="0" w:color="auto"/>
            </w:tcBorders>
            <w:shd w:val="clear" w:color="auto" w:fill="auto"/>
          </w:tcPr>
          <w:p w14:paraId="0437A174" w14:textId="77777777" w:rsidR="00285899" w:rsidRPr="00AB629C" w:rsidRDefault="00285899" w:rsidP="001A1B5B">
            <w:pPr>
              <w:pStyle w:val="TableHeading"/>
              <w:jc w:val="center"/>
            </w:pPr>
            <w:r w:rsidRPr="00AB629C">
              <w:t>Column 1</w:t>
            </w:r>
          </w:p>
        </w:tc>
        <w:tc>
          <w:tcPr>
            <w:tcW w:w="2694" w:type="dxa"/>
            <w:tcBorders>
              <w:top w:val="single" w:sz="6" w:space="0" w:color="auto"/>
              <w:bottom w:val="single" w:sz="6" w:space="0" w:color="auto"/>
            </w:tcBorders>
            <w:shd w:val="clear" w:color="auto" w:fill="auto"/>
          </w:tcPr>
          <w:p w14:paraId="65399264" w14:textId="77777777" w:rsidR="00285899" w:rsidRPr="00AB629C" w:rsidRDefault="00285899" w:rsidP="001A1B5B">
            <w:pPr>
              <w:pStyle w:val="TableHeading"/>
              <w:jc w:val="center"/>
            </w:pPr>
            <w:r w:rsidRPr="00AB629C">
              <w:t>Column 2</w:t>
            </w:r>
          </w:p>
        </w:tc>
        <w:tc>
          <w:tcPr>
            <w:tcW w:w="1582" w:type="dxa"/>
            <w:tcBorders>
              <w:top w:val="single" w:sz="6" w:space="0" w:color="auto"/>
              <w:bottom w:val="single" w:sz="6" w:space="0" w:color="auto"/>
            </w:tcBorders>
            <w:shd w:val="clear" w:color="auto" w:fill="auto"/>
          </w:tcPr>
          <w:p w14:paraId="6CB1E975" w14:textId="77777777" w:rsidR="00285899" w:rsidRPr="00AB629C" w:rsidRDefault="00285899" w:rsidP="001A1B5B">
            <w:pPr>
              <w:pStyle w:val="TableHeading"/>
              <w:jc w:val="center"/>
            </w:pPr>
            <w:r w:rsidRPr="00AB629C">
              <w:t>Column 3</w:t>
            </w:r>
          </w:p>
        </w:tc>
      </w:tr>
      <w:tr w:rsidR="00285899" w:rsidRPr="00AB629C" w14:paraId="012A8250" w14:textId="77777777" w:rsidTr="001A1B5B">
        <w:trPr>
          <w:tblHeader/>
          <w:jc w:val="center"/>
        </w:trPr>
        <w:tc>
          <w:tcPr>
            <w:tcW w:w="2835" w:type="dxa"/>
            <w:tcBorders>
              <w:top w:val="single" w:sz="6" w:space="0" w:color="auto"/>
              <w:bottom w:val="single" w:sz="12" w:space="0" w:color="auto"/>
            </w:tcBorders>
            <w:shd w:val="clear" w:color="auto" w:fill="auto"/>
          </w:tcPr>
          <w:p w14:paraId="012D983B" w14:textId="77777777" w:rsidR="00285899" w:rsidRPr="00AB629C" w:rsidRDefault="00285899" w:rsidP="001A1B5B">
            <w:pPr>
              <w:pStyle w:val="TableHeading"/>
              <w:jc w:val="center"/>
            </w:pPr>
            <w:r>
              <w:t>Frequency range (</w:t>
            </w:r>
            <w:proofErr w:type="spellStart"/>
            <w:r>
              <w:rPr>
                <w:i/>
                <w:iCs/>
              </w:rPr>
              <w:t>f</w:t>
            </w:r>
            <w:r>
              <w:rPr>
                <w:i/>
                <w:iCs/>
                <w:vertAlign w:val="subscript"/>
              </w:rPr>
              <w:t>offset</w:t>
            </w:r>
            <w:proofErr w:type="spellEnd"/>
            <w:r>
              <w:t>)</w:t>
            </w:r>
          </w:p>
        </w:tc>
        <w:tc>
          <w:tcPr>
            <w:tcW w:w="2694" w:type="dxa"/>
            <w:tcBorders>
              <w:top w:val="single" w:sz="6" w:space="0" w:color="auto"/>
              <w:bottom w:val="single" w:sz="12" w:space="0" w:color="auto"/>
            </w:tcBorders>
            <w:shd w:val="clear" w:color="auto" w:fill="auto"/>
          </w:tcPr>
          <w:p w14:paraId="4D35CD53" w14:textId="0C18A988" w:rsidR="00285899" w:rsidRPr="00AB629C" w:rsidRDefault="002B1DFE" w:rsidP="001A1B5B">
            <w:pPr>
              <w:pStyle w:val="TableHeading"/>
              <w:jc w:val="center"/>
            </w:pPr>
            <w:r>
              <w:t>Total radiated power</w:t>
            </w:r>
            <w:r w:rsidR="00285899">
              <w:t xml:space="preserve"> (dBm)</w:t>
            </w:r>
          </w:p>
        </w:tc>
        <w:tc>
          <w:tcPr>
            <w:tcW w:w="1582" w:type="dxa"/>
            <w:tcBorders>
              <w:top w:val="single" w:sz="6" w:space="0" w:color="auto"/>
              <w:bottom w:val="single" w:sz="12" w:space="0" w:color="auto"/>
            </w:tcBorders>
            <w:shd w:val="clear" w:color="auto" w:fill="auto"/>
          </w:tcPr>
          <w:p w14:paraId="2412D2B7" w14:textId="77777777" w:rsidR="00285899" w:rsidRPr="00AB629C" w:rsidRDefault="00285899" w:rsidP="001A1B5B">
            <w:pPr>
              <w:pStyle w:val="TableHeading"/>
              <w:jc w:val="center"/>
            </w:pPr>
            <w:r>
              <w:t>Specified bandwidth</w:t>
            </w:r>
          </w:p>
        </w:tc>
      </w:tr>
      <w:tr w:rsidR="00285899" w:rsidRPr="00AB629C" w14:paraId="419F99DB" w14:textId="77777777" w:rsidTr="001A1B5B">
        <w:trPr>
          <w:jc w:val="center"/>
        </w:trPr>
        <w:tc>
          <w:tcPr>
            <w:tcW w:w="2835" w:type="dxa"/>
            <w:tcBorders>
              <w:top w:val="single" w:sz="12" w:space="0" w:color="auto"/>
              <w:bottom w:val="single" w:sz="4" w:space="0" w:color="auto"/>
            </w:tcBorders>
            <w:shd w:val="clear" w:color="auto" w:fill="auto"/>
          </w:tcPr>
          <w:p w14:paraId="56D5E3A5" w14:textId="77777777" w:rsidR="00285899" w:rsidRPr="000D2783" w:rsidRDefault="00285899" w:rsidP="001A1B5B">
            <w:pPr>
              <w:pStyle w:val="Tabletext0"/>
              <w:jc w:val="center"/>
              <w:rPr>
                <w:vertAlign w:val="subscript"/>
              </w:rPr>
            </w:pPr>
            <w:r>
              <w:t>0 MHz ≤</w:t>
            </w:r>
            <w:r>
              <w:rPr>
                <w:i/>
                <w:iCs/>
              </w:rPr>
              <w:t xml:space="preserve"> </w:t>
            </w:r>
            <w:proofErr w:type="spellStart"/>
            <w:r>
              <w:rPr>
                <w:i/>
                <w:iCs/>
              </w:rPr>
              <w:t>f</w:t>
            </w:r>
            <w:r>
              <w:rPr>
                <w:i/>
                <w:iCs/>
                <w:vertAlign w:val="subscript"/>
              </w:rPr>
              <w:t>offset</w:t>
            </w:r>
            <w:proofErr w:type="spellEnd"/>
            <w:r>
              <w:rPr>
                <w:i/>
                <w:iCs/>
              </w:rPr>
              <w:t xml:space="preserve"> </w:t>
            </w:r>
            <w:r>
              <w:t>&lt; 5 MHz</w:t>
            </w:r>
          </w:p>
        </w:tc>
        <w:tc>
          <w:tcPr>
            <w:tcW w:w="2694" w:type="dxa"/>
            <w:tcBorders>
              <w:top w:val="single" w:sz="12" w:space="0" w:color="auto"/>
              <w:bottom w:val="single" w:sz="4" w:space="0" w:color="auto"/>
            </w:tcBorders>
            <w:shd w:val="clear" w:color="auto" w:fill="auto"/>
          </w:tcPr>
          <w:p w14:paraId="668B0DB4" w14:textId="16226BE8" w:rsidR="00285899" w:rsidRPr="00912BA5" w:rsidRDefault="002B1DFE" w:rsidP="001A1B5B">
            <w:pPr>
              <w:pStyle w:val="Tabletext0"/>
              <w:jc w:val="center"/>
            </w:pPr>
            <w:r>
              <w:t>2</w:t>
            </w:r>
            <w:r w:rsidR="00285899">
              <w:t xml:space="preserve"> – (7/5) </w:t>
            </w:r>
            <w:proofErr w:type="spellStart"/>
            <w:r w:rsidR="00285899">
              <w:rPr>
                <w:i/>
                <w:iCs/>
              </w:rPr>
              <w:t>f</w:t>
            </w:r>
            <w:r w:rsidR="00285899">
              <w:rPr>
                <w:i/>
                <w:iCs/>
                <w:vertAlign w:val="subscript"/>
              </w:rPr>
              <w:t>offset</w:t>
            </w:r>
            <w:proofErr w:type="spellEnd"/>
            <w:r w:rsidR="00285899">
              <w:rPr>
                <w:i/>
                <w:iCs/>
              </w:rPr>
              <w:t xml:space="preserve"> </w:t>
            </w:r>
            <w:r w:rsidR="00285899">
              <w:t>(MHz)</w:t>
            </w:r>
          </w:p>
        </w:tc>
        <w:tc>
          <w:tcPr>
            <w:tcW w:w="1582" w:type="dxa"/>
            <w:tcBorders>
              <w:top w:val="single" w:sz="12" w:space="0" w:color="auto"/>
              <w:bottom w:val="single" w:sz="4" w:space="0" w:color="auto"/>
            </w:tcBorders>
            <w:shd w:val="clear" w:color="auto" w:fill="auto"/>
          </w:tcPr>
          <w:p w14:paraId="7F9992BF" w14:textId="77777777" w:rsidR="00285899" w:rsidRPr="00AB629C" w:rsidRDefault="00285899" w:rsidP="001A1B5B">
            <w:pPr>
              <w:pStyle w:val="Tabletext0"/>
              <w:jc w:val="center"/>
            </w:pPr>
            <w:r>
              <w:t>100 kHz</w:t>
            </w:r>
          </w:p>
        </w:tc>
      </w:tr>
      <w:tr w:rsidR="00285899" w:rsidRPr="00AB629C" w14:paraId="2AA528B1" w14:textId="77777777" w:rsidTr="001A1B5B">
        <w:trPr>
          <w:jc w:val="center"/>
        </w:trPr>
        <w:tc>
          <w:tcPr>
            <w:tcW w:w="2835" w:type="dxa"/>
            <w:tcBorders>
              <w:top w:val="single" w:sz="4" w:space="0" w:color="auto"/>
              <w:bottom w:val="single" w:sz="4" w:space="0" w:color="auto"/>
            </w:tcBorders>
            <w:shd w:val="clear" w:color="auto" w:fill="auto"/>
          </w:tcPr>
          <w:p w14:paraId="22DE32C3" w14:textId="77777777" w:rsidR="00285899" w:rsidRDefault="00285899" w:rsidP="001A1B5B">
            <w:pPr>
              <w:pStyle w:val="Tabletext0"/>
              <w:jc w:val="center"/>
            </w:pPr>
            <w:r>
              <w:t>5 MHz ≤</w:t>
            </w:r>
            <w:r>
              <w:rPr>
                <w:i/>
                <w:iCs/>
              </w:rPr>
              <w:t xml:space="preserve"> </w:t>
            </w:r>
            <w:proofErr w:type="spellStart"/>
            <w:r>
              <w:rPr>
                <w:i/>
                <w:iCs/>
              </w:rPr>
              <w:t>f</w:t>
            </w:r>
            <w:r>
              <w:rPr>
                <w:i/>
                <w:iCs/>
                <w:vertAlign w:val="subscript"/>
              </w:rPr>
              <w:t>offset</w:t>
            </w:r>
            <w:proofErr w:type="spellEnd"/>
            <w:r>
              <w:rPr>
                <w:i/>
                <w:iCs/>
              </w:rPr>
              <w:t xml:space="preserve"> </w:t>
            </w:r>
            <w:r>
              <w:t>&lt; 10 MHz</w:t>
            </w:r>
          </w:p>
        </w:tc>
        <w:tc>
          <w:tcPr>
            <w:tcW w:w="2694" w:type="dxa"/>
            <w:tcBorders>
              <w:top w:val="single" w:sz="4" w:space="0" w:color="auto"/>
              <w:bottom w:val="single" w:sz="4" w:space="0" w:color="auto"/>
            </w:tcBorders>
            <w:shd w:val="clear" w:color="auto" w:fill="auto"/>
          </w:tcPr>
          <w:p w14:paraId="414E3244" w14:textId="3EF99D0A" w:rsidR="00285899" w:rsidRDefault="00285899" w:rsidP="001A1B5B">
            <w:pPr>
              <w:pStyle w:val="Tabletext0"/>
              <w:jc w:val="center"/>
            </w:pPr>
            <w:r>
              <w:t>-</w:t>
            </w:r>
            <w:r w:rsidR="002B1DFE">
              <w:t>5</w:t>
            </w:r>
          </w:p>
        </w:tc>
        <w:tc>
          <w:tcPr>
            <w:tcW w:w="1582" w:type="dxa"/>
            <w:tcBorders>
              <w:top w:val="single" w:sz="4" w:space="0" w:color="auto"/>
              <w:bottom w:val="single" w:sz="4" w:space="0" w:color="auto"/>
            </w:tcBorders>
            <w:shd w:val="clear" w:color="auto" w:fill="auto"/>
          </w:tcPr>
          <w:p w14:paraId="6FEB22DB" w14:textId="77777777" w:rsidR="00285899" w:rsidRDefault="00285899" w:rsidP="001A1B5B">
            <w:pPr>
              <w:pStyle w:val="Tabletext0"/>
              <w:jc w:val="center"/>
            </w:pPr>
            <w:r>
              <w:t>100 kHz</w:t>
            </w:r>
          </w:p>
        </w:tc>
      </w:tr>
      <w:tr w:rsidR="00285899" w:rsidRPr="00AB629C" w14:paraId="7E7EA02C" w14:textId="77777777" w:rsidTr="001A1B5B">
        <w:trPr>
          <w:jc w:val="center"/>
        </w:trPr>
        <w:tc>
          <w:tcPr>
            <w:tcW w:w="2835" w:type="dxa"/>
            <w:tcBorders>
              <w:top w:val="single" w:sz="4" w:space="0" w:color="auto"/>
              <w:bottom w:val="single" w:sz="12" w:space="0" w:color="auto"/>
            </w:tcBorders>
            <w:shd w:val="clear" w:color="auto" w:fill="auto"/>
          </w:tcPr>
          <w:p w14:paraId="1D16CEF7" w14:textId="11F2CC22" w:rsidR="00285899" w:rsidRPr="00905D58" w:rsidRDefault="00285899" w:rsidP="001A1B5B">
            <w:pPr>
              <w:pStyle w:val="Tabletext0"/>
              <w:jc w:val="center"/>
            </w:pPr>
            <w:proofErr w:type="spellStart"/>
            <w:r>
              <w:rPr>
                <w:i/>
                <w:iCs/>
              </w:rPr>
              <w:t>f</w:t>
            </w:r>
            <w:r>
              <w:rPr>
                <w:i/>
                <w:iCs/>
                <w:vertAlign w:val="subscript"/>
              </w:rPr>
              <w:t>offset</w:t>
            </w:r>
            <w:proofErr w:type="spellEnd"/>
            <w:r>
              <w:rPr>
                <w:i/>
                <w:iCs/>
                <w:vertAlign w:val="subscript"/>
              </w:rPr>
              <w:t xml:space="preserve"> </w:t>
            </w:r>
            <w:r w:rsidR="0091415F">
              <w:rPr>
                <w:i/>
                <w:iCs/>
                <w:vertAlign w:val="subscript"/>
              </w:rPr>
              <w:t xml:space="preserve"> </w:t>
            </w:r>
            <w:r>
              <w:t>≥ 10 MHz</w:t>
            </w:r>
          </w:p>
        </w:tc>
        <w:tc>
          <w:tcPr>
            <w:tcW w:w="2694" w:type="dxa"/>
            <w:tcBorders>
              <w:top w:val="single" w:sz="4" w:space="0" w:color="auto"/>
              <w:bottom w:val="single" w:sz="12" w:space="0" w:color="auto"/>
            </w:tcBorders>
            <w:shd w:val="clear" w:color="auto" w:fill="auto"/>
          </w:tcPr>
          <w:p w14:paraId="0F0EAA35" w14:textId="0296AD0E" w:rsidR="00285899" w:rsidRDefault="00285899" w:rsidP="001A1B5B">
            <w:pPr>
              <w:pStyle w:val="Tabletext0"/>
              <w:jc w:val="center"/>
            </w:pPr>
            <w:r>
              <w:t>-</w:t>
            </w:r>
            <w:r w:rsidR="002B1DFE">
              <w:t>6</w:t>
            </w:r>
          </w:p>
        </w:tc>
        <w:tc>
          <w:tcPr>
            <w:tcW w:w="1582" w:type="dxa"/>
            <w:tcBorders>
              <w:top w:val="single" w:sz="4" w:space="0" w:color="auto"/>
              <w:bottom w:val="single" w:sz="12" w:space="0" w:color="auto"/>
            </w:tcBorders>
            <w:shd w:val="clear" w:color="auto" w:fill="auto"/>
          </w:tcPr>
          <w:p w14:paraId="40A469E0" w14:textId="77777777" w:rsidR="00285899" w:rsidRDefault="00285899" w:rsidP="001A1B5B">
            <w:pPr>
              <w:pStyle w:val="Tabletext0"/>
              <w:jc w:val="center"/>
            </w:pPr>
            <w:r>
              <w:t>1 MHz</w:t>
            </w:r>
          </w:p>
        </w:tc>
      </w:tr>
    </w:tbl>
    <w:p w14:paraId="394B1696" w14:textId="08FFFABF" w:rsidR="003F1AF7" w:rsidRPr="0093082D" w:rsidRDefault="003F1AF7" w:rsidP="00F27E89">
      <w:pPr>
        <w:pStyle w:val="Item"/>
        <w:keepNext/>
        <w:ind w:left="1276" w:hanging="567"/>
        <w:rPr>
          <w:i/>
          <w:iCs/>
        </w:rPr>
      </w:pPr>
      <w:r w:rsidRPr="0093082D">
        <w:rPr>
          <w:i/>
          <w:iCs/>
        </w:rPr>
        <w:t>Radioco</w:t>
      </w:r>
      <w:r>
        <w:rPr>
          <w:i/>
          <w:iCs/>
        </w:rPr>
        <w:t>mmunications transmitters that are low risk transmitters</w:t>
      </w:r>
    </w:p>
    <w:p w14:paraId="33C29D32" w14:textId="2B74F56B" w:rsidR="002B4BD1" w:rsidRDefault="001348AE" w:rsidP="001348AE">
      <w:pPr>
        <w:pStyle w:val="subsection"/>
      </w:pPr>
      <w:r>
        <w:tab/>
        <w:t>(5)</w:t>
      </w:r>
      <w:r>
        <w:tab/>
        <w:t xml:space="preserve">For </w:t>
      </w:r>
      <w:proofErr w:type="gramStart"/>
      <w:r>
        <w:t>low risk</w:t>
      </w:r>
      <w:proofErr w:type="gramEnd"/>
      <w:r>
        <w:t xml:space="preserve"> transmitters, the unwanted emission </w:t>
      </w:r>
      <w:r w:rsidR="007E6712">
        <w:t>limit</w:t>
      </w:r>
      <w:r w:rsidR="00655A85">
        <w:t xml:space="preserve"> in Table 3, measured over the specific bandwidth, applies at frequencies:</w:t>
      </w:r>
    </w:p>
    <w:p w14:paraId="14EF3235" w14:textId="77777777" w:rsidR="00655A85" w:rsidRDefault="00655A85" w:rsidP="00655A85">
      <w:pPr>
        <w:pStyle w:val="paragraph"/>
        <w:rPr>
          <w:iCs/>
        </w:rPr>
      </w:pPr>
      <w:r>
        <w:rPr>
          <w:iCs/>
        </w:rPr>
        <w:tab/>
        <w:t>(a)</w:t>
      </w:r>
      <w:r>
        <w:rPr>
          <w:iCs/>
        </w:rPr>
        <w:tab/>
        <w:t>outside the upper or lower frequency limits specified in the licence; and</w:t>
      </w:r>
    </w:p>
    <w:p w14:paraId="3765C9A3" w14:textId="77777777" w:rsidR="00655A85" w:rsidRPr="00D17D57" w:rsidRDefault="00655A85" w:rsidP="00655A85">
      <w:pPr>
        <w:pStyle w:val="paragraph"/>
        <w:rPr>
          <w:iCs/>
        </w:rPr>
      </w:pPr>
      <w:r>
        <w:rPr>
          <w:iCs/>
        </w:rPr>
        <w:tab/>
        <w:t>(b)</w:t>
      </w:r>
      <w:r>
        <w:rPr>
          <w:iCs/>
        </w:rPr>
        <w:tab/>
        <w:t>offset from the upper and lower frequency limits set out in the licence;</w:t>
      </w:r>
    </w:p>
    <w:p w14:paraId="56F53666" w14:textId="77777777" w:rsidR="00655A85" w:rsidRDefault="00655A85" w:rsidP="00655A85">
      <w:pPr>
        <w:pStyle w:val="subsection"/>
      </w:pPr>
      <w:r>
        <w:tab/>
      </w:r>
      <w:r>
        <w:tab/>
        <w:t>where:</w:t>
      </w:r>
    </w:p>
    <w:p w14:paraId="1834CC23" w14:textId="14D02176" w:rsidR="00655A85" w:rsidRDefault="00655A85" w:rsidP="00655A85">
      <w:pPr>
        <w:pStyle w:val="Item"/>
        <w:keepNext/>
        <w:ind w:left="1276"/>
      </w:pPr>
      <w:proofErr w:type="spellStart"/>
      <w:r>
        <w:rPr>
          <w:b/>
          <w:bCs/>
          <w:i/>
          <w:iCs/>
        </w:rPr>
        <w:t>f</w:t>
      </w:r>
      <w:r>
        <w:rPr>
          <w:b/>
          <w:bCs/>
          <w:i/>
          <w:iCs/>
          <w:vertAlign w:val="subscript"/>
        </w:rPr>
        <w:t>offset</w:t>
      </w:r>
      <w:proofErr w:type="spellEnd"/>
      <w:r>
        <w:t xml:space="preserve"> means the frequency offset from the upper or lower frequency limit</w:t>
      </w:r>
      <w:r w:rsidR="003B4E00">
        <w:t>s</w:t>
      </w:r>
      <w:r>
        <w:t xml:space="preserve"> set out in the licence. The closest -3dB point of the specified bandwidth to the upper and lower frequency limits set out in the licence is placed at </w:t>
      </w:r>
      <w:proofErr w:type="spellStart"/>
      <w:r>
        <w:t>f</w:t>
      </w:r>
      <w:r>
        <w:rPr>
          <w:vertAlign w:val="subscript"/>
        </w:rPr>
        <w:t>offset</w:t>
      </w:r>
      <w:proofErr w:type="spellEnd"/>
      <w:r>
        <w:t>.</w:t>
      </w:r>
    </w:p>
    <w:p w14:paraId="3C880F77" w14:textId="79F78AA3" w:rsidR="00655A85" w:rsidRPr="006F7DE8" w:rsidRDefault="00655A85" w:rsidP="00C7448E">
      <w:pPr>
        <w:pStyle w:val="notetext"/>
        <w:spacing w:after="120"/>
      </w:pPr>
      <w:r>
        <w:t>Note:</w:t>
      </w:r>
      <w:r w:rsidR="006D4466">
        <w:tab/>
      </w:r>
      <w:r>
        <w:t xml:space="preserve">This subclause </w:t>
      </w:r>
      <w:r w:rsidR="00F27E89">
        <w:t>only</w:t>
      </w:r>
      <w:r>
        <w:t xml:space="preserve"> appl</w:t>
      </w:r>
      <w:r w:rsidR="00F27E89">
        <w:t>ies</w:t>
      </w:r>
      <w:r>
        <w:t xml:space="preserve"> to </w:t>
      </w:r>
      <w:proofErr w:type="gramStart"/>
      <w:r>
        <w:t>low risk</w:t>
      </w:r>
      <w:proofErr w:type="gramEnd"/>
      <w:r>
        <w:t xml:space="preserve"> transmitters – see subclause (</w:t>
      </w:r>
      <w:r w:rsidR="00F27E89">
        <w:t>2</w:t>
      </w:r>
      <w:r>
        <w:t>).</w:t>
      </w:r>
    </w:p>
    <w:p w14:paraId="7C2C058E" w14:textId="7BE6F49A" w:rsidR="00F27E89" w:rsidRPr="0099583D" w:rsidRDefault="00F27E89" w:rsidP="00F27E89">
      <w:pPr>
        <w:pStyle w:val="paragraph"/>
        <w:keepNext/>
        <w:tabs>
          <w:tab w:val="clear" w:pos="1531"/>
        </w:tabs>
        <w:spacing w:after="120"/>
        <w:ind w:left="1843" w:hanging="851"/>
        <w:rPr>
          <w:b/>
          <w:bCs/>
          <w:vertAlign w:val="subscript"/>
        </w:rPr>
      </w:pPr>
      <w:r>
        <w:rPr>
          <w:b/>
          <w:bCs/>
        </w:rPr>
        <w:t>Table 3: Unwanted emission limit – radiocommunications transmitters that are low risk transmitters</w:t>
      </w:r>
    </w:p>
    <w:tbl>
      <w:tblPr>
        <w:tblW w:w="711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2835"/>
        <w:gridCol w:w="2694"/>
        <w:gridCol w:w="1582"/>
      </w:tblGrid>
      <w:tr w:rsidR="00F27E89" w:rsidRPr="00AB629C" w14:paraId="3E391EC8" w14:textId="77777777" w:rsidTr="001A1B5B">
        <w:trPr>
          <w:tblHeader/>
          <w:jc w:val="center"/>
        </w:trPr>
        <w:tc>
          <w:tcPr>
            <w:tcW w:w="2835" w:type="dxa"/>
            <w:tcBorders>
              <w:top w:val="single" w:sz="6" w:space="0" w:color="auto"/>
              <w:bottom w:val="single" w:sz="6" w:space="0" w:color="auto"/>
            </w:tcBorders>
            <w:shd w:val="clear" w:color="auto" w:fill="auto"/>
          </w:tcPr>
          <w:p w14:paraId="3FDE11E5" w14:textId="77777777" w:rsidR="00F27E89" w:rsidRPr="00AB629C" w:rsidRDefault="00F27E89" w:rsidP="001A1B5B">
            <w:pPr>
              <w:pStyle w:val="TableHeading"/>
              <w:jc w:val="center"/>
            </w:pPr>
            <w:r w:rsidRPr="00AB629C">
              <w:t>Column 1</w:t>
            </w:r>
          </w:p>
        </w:tc>
        <w:tc>
          <w:tcPr>
            <w:tcW w:w="2694" w:type="dxa"/>
            <w:tcBorders>
              <w:top w:val="single" w:sz="6" w:space="0" w:color="auto"/>
              <w:bottom w:val="single" w:sz="6" w:space="0" w:color="auto"/>
            </w:tcBorders>
            <w:shd w:val="clear" w:color="auto" w:fill="auto"/>
          </w:tcPr>
          <w:p w14:paraId="45615B07" w14:textId="77777777" w:rsidR="00F27E89" w:rsidRPr="00AB629C" w:rsidRDefault="00F27E89" w:rsidP="001A1B5B">
            <w:pPr>
              <w:pStyle w:val="TableHeading"/>
              <w:jc w:val="center"/>
            </w:pPr>
            <w:r w:rsidRPr="00AB629C">
              <w:t>Column 2</w:t>
            </w:r>
          </w:p>
        </w:tc>
        <w:tc>
          <w:tcPr>
            <w:tcW w:w="1582" w:type="dxa"/>
            <w:tcBorders>
              <w:top w:val="single" w:sz="6" w:space="0" w:color="auto"/>
              <w:bottom w:val="single" w:sz="6" w:space="0" w:color="auto"/>
            </w:tcBorders>
            <w:shd w:val="clear" w:color="auto" w:fill="auto"/>
          </w:tcPr>
          <w:p w14:paraId="42EDF768" w14:textId="77777777" w:rsidR="00F27E89" w:rsidRPr="00AB629C" w:rsidRDefault="00F27E89" w:rsidP="001A1B5B">
            <w:pPr>
              <w:pStyle w:val="TableHeading"/>
              <w:jc w:val="center"/>
            </w:pPr>
            <w:r w:rsidRPr="00AB629C">
              <w:t>Column 3</w:t>
            </w:r>
          </w:p>
        </w:tc>
      </w:tr>
      <w:tr w:rsidR="00F27E89" w:rsidRPr="00AB629C" w14:paraId="61412734" w14:textId="77777777" w:rsidTr="001A1B5B">
        <w:trPr>
          <w:tblHeader/>
          <w:jc w:val="center"/>
        </w:trPr>
        <w:tc>
          <w:tcPr>
            <w:tcW w:w="2835" w:type="dxa"/>
            <w:tcBorders>
              <w:top w:val="single" w:sz="6" w:space="0" w:color="auto"/>
              <w:bottom w:val="single" w:sz="12" w:space="0" w:color="auto"/>
            </w:tcBorders>
            <w:shd w:val="clear" w:color="auto" w:fill="auto"/>
          </w:tcPr>
          <w:p w14:paraId="305EBBDE" w14:textId="77777777" w:rsidR="00F27E89" w:rsidRPr="00AB629C" w:rsidRDefault="00F27E89" w:rsidP="001A1B5B">
            <w:pPr>
              <w:pStyle w:val="TableHeading"/>
              <w:jc w:val="center"/>
            </w:pPr>
            <w:r>
              <w:t>Frequency range (</w:t>
            </w:r>
            <w:proofErr w:type="spellStart"/>
            <w:r>
              <w:rPr>
                <w:i/>
                <w:iCs/>
              </w:rPr>
              <w:t>f</w:t>
            </w:r>
            <w:r>
              <w:rPr>
                <w:i/>
                <w:iCs/>
                <w:vertAlign w:val="subscript"/>
              </w:rPr>
              <w:t>offset</w:t>
            </w:r>
            <w:proofErr w:type="spellEnd"/>
            <w:r>
              <w:t>)</w:t>
            </w:r>
          </w:p>
        </w:tc>
        <w:tc>
          <w:tcPr>
            <w:tcW w:w="2694" w:type="dxa"/>
            <w:tcBorders>
              <w:top w:val="single" w:sz="6" w:space="0" w:color="auto"/>
              <w:bottom w:val="single" w:sz="12" w:space="0" w:color="auto"/>
            </w:tcBorders>
            <w:shd w:val="clear" w:color="auto" w:fill="auto"/>
          </w:tcPr>
          <w:p w14:paraId="3D5A0BFD" w14:textId="77777777" w:rsidR="00F27E89" w:rsidRPr="00AB629C" w:rsidRDefault="00F27E89" w:rsidP="001A1B5B">
            <w:pPr>
              <w:pStyle w:val="TableHeading"/>
              <w:jc w:val="center"/>
            </w:pPr>
            <w:r>
              <w:t>Total radiated power (dBm)</w:t>
            </w:r>
          </w:p>
        </w:tc>
        <w:tc>
          <w:tcPr>
            <w:tcW w:w="1582" w:type="dxa"/>
            <w:tcBorders>
              <w:top w:val="single" w:sz="6" w:space="0" w:color="auto"/>
              <w:bottom w:val="single" w:sz="12" w:space="0" w:color="auto"/>
            </w:tcBorders>
            <w:shd w:val="clear" w:color="auto" w:fill="auto"/>
          </w:tcPr>
          <w:p w14:paraId="428AC8AB" w14:textId="77777777" w:rsidR="00F27E89" w:rsidRPr="00AB629C" w:rsidRDefault="00F27E89" w:rsidP="001A1B5B">
            <w:pPr>
              <w:pStyle w:val="TableHeading"/>
              <w:jc w:val="center"/>
            </w:pPr>
            <w:r>
              <w:t>Specified bandwidth</w:t>
            </w:r>
          </w:p>
        </w:tc>
      </w:tr>
      <w:tr w:rsidR="00F27E89" w:rsidRPr="00AB629C" w14:paraId="54E5E65D" w14:textId="77777777" w:rsidTr="001A1B5B">
        <w:trPr>
          <w:jc w:val="center"/>
        </w:trPr>
        <w:tc>
          <w:tcPr>
            <w:tcW w:w="2835" w:type="dxa"/>
            <w:tcBorders>
              <w:top w:val="single" w:sz="12" w:space="0" w:color="auto"/>
              <w:bottom w:val="single" w:sz="4" w:space="0" w:color="auto"/>
            </w:tcBorders>
            <w:shd w:val="clear" w:color="auto" w:fill="auto"/>
          </w:tcPr>
          <w:p w14:paraId="1B89E2FD" w14:textId="245AA492" w:rsidR="00F27E89" w:rsidRPr="000D2783" w:rsidRDefault="00F27E89" w:rsidP="001A1B5B">
            <w:pPr>
              <w:pStyle w:val="Tabletext0"/>
              <w:jc w:val="center"/>
              <w:rPr>
                <w:vertAlign w:val="subscript"/>
              </w:rPr>
            </w:pPr>
            <w:r>
              <w:t>0 MHz ≤</w:t>
            </w:r>
            <w:r>
              <w:rPr>
                <w:i/>
                <w:iCs/>
              </w:rPr>
              <w:t xml:space="preserve"> </w:t>
            </w:r>
            <w:proofErr w:type="spellStart"/>
            <w:r>
              <w:rPr>
                <w:i/>
                <w:iCs/>
              </w:rPr>
              <w:t>f</w:t>
            </w:r>
            <w:r>
              <w:rPr>
                <w:i/>
                <w:iCs/>
                <w:vertAlign w:val="subscript"/>
              </w:rPr>
              <w:t>offset</w:t>
            </w:r>
            <w:proofErr w:type="spellEnd"/>
            <w:r>
              <w:rPr>
                <w:i/>
                <w:iCs/>
              </w:rPr>
              <w:t xml:space="preserve"> </w:t>
            </w:r>
            <w:r>
              <w:t xml:space="preserve">&lt; </w:t>
            </w:r>
            <w:r w:rsidR="00023C06">
              <w:t>1</w:t>
            </w:r>
            <w:r>
              <w:t xml:space="preserve"> MHz</w:t>
            </w:r>
          </w:p>
        </w:tc>
        <w:tc>
          <w:tcPr>
            <w:tcW w:w="2694" w:type="dxa"/>
            <w:tcBorders>
              <w:top w:val="single" w:sz="12" w:space="0" w:color="auto"/>
              <w:bottom w:val="single" w:sz="4" w:space="0" w:color="auto"/>
            </w:tcBorders>
            <w:shd w:val="clear" w:color="auto" w:fill="auto"/>
          </w:tcPr>
          <w:p w14:paraId="13D5C95F" w14:textId="162EDC89" w:rsidR="00F27E89" w:rsidRPr="00912BA5" w:rsidRDefault="00023C06" w:rsidP="001A1B5B">
            <w:pPr>
              <w:pStyle w:val="Tabletext0"/>
              <w:jc w:val="center"/>
            </w:pPr>
            <w:r>
              <w:t>-15</w:t>
            </w:r>
          </w:p>
        </w:tc>
        <w:tc>
          <w:tcPr>
            <w:tcW w:w="1582" w:type="dxa"/>
            <w:tcBorders>
              <w:top w:val="single" w:sz="12" w:space="0" w:color="auto"/>
              <w:bottom w:val="single" w:sz="4" w:space="0" w:color="auto"/>
            </w:tcBorders>
            <w:shd w:val="clear" w:color="auto" w:fill="auto"/>
          </w:tcPr>
          <w:p w14:paraId="0B9B039A" w14:textId="690F135F" w:rsidR="00F27E89" w:rsidRPr="00AB629C" w:rsidRDefault="00023C06" w:rsidP="001A1B5B">
            <w:pPr>
              <w:pStyle w:val="Tabletext0"/>
              <w:jc w:val="center"/>
            </w:pPr>
            <w:r>
              <w:t>3</w:t>
            </w:r>
            <w:r w:rsidR="00F27E89">
              <w:t>0 kHz</w:t>
            </w:r>
          </w:p>
        </w:tc>
      </w:tr>
      <w:tr w:rsidR="00F27E89" w:rsidRPr="00AB629C" w14:paraId="4E958622" w14:textId="77777777" w:rsidTr="001A1B5B">
        <w:trPr>
          <w:jc w:val="center"/>
        </w:trPr>
        <w:tc>
          <w:tcPr>
            <w:tcW w:w="2835" w:type="dxa"/>
            <w:tcBorders>
              <w:top w:val="single" w:sz="4" w:space="0" w:color="auto"/>
              <w:bottom w:val="single" w:sz="4" w:space="0" w:color="auto"/>
            </w:tcBorders>
            <w:shd w:val="clear" w:color="auto" w:fill="auto"/>
          </w:tcPr>
          <w:p w14:paraId="12C35933" w14:textId="0BED4E75" w:rsidR="00F27E89" w:rsidRDefault="00023C06" w:rsidP="001A1B5B">
            <w:pPr>
              <w:pStyle w:val="Tabletext0"/>
              <w:jc w:val="center"/>
            </w:pPr>
            <w:r>
              <w:t>1</w:t>
            </w:r>
            <w:r w:rsidR="00F27E89">
              <w:t xml:space="preserve"> MHz ≤</w:t>
            </w:r>
            <w:r w:rsidR="00F27E89">
              <w:rPr>
                <w:i/>
                <w:iCs/>
              </w:rPr>
              <w:t xml:space="preserve"> </w:t>
            </w:r>
            <w:proofErr w:type="spellStart"/>
            <w:r w:rsidR="00F27E89">
              <w:rPr>
                <w:i/>
                <w:iCs/>
              </w:rPr>
              <w:t>f</w:t>
            </w:r>
            <w:r w:rsidR="00F27E89">
              <w:rPr>
                <w:i/>
                <w:iCs/>
                <w:vertAlign w:val="subscript"/>
              </w:rPr>
              <w:t>offset</w:t>
            </w:r>
            <w:proofErr w:type="spellEnd"/>
            <w:r w:rsidR="00F27E89">
              <w:rPr>
                <w:i/>
                <w:iCs/>
              </w:rPr>
              <w:t xml:space="preserve"> </w:t>
            </w:r>
            <w:r w:rsidR="00F27E89">
              <w:t xml:space="preserve">&lt; </w:t>
            </w:r>
            <w:r>
              <w:t>5</w:t>
            </w:r>
            <w:r w:rsidR="00F27E89">
              <w:t xml:space="preserve"> MHz</w:t>
            </w:r>
          </w:p>
        </w:tc>
        <w:tc>
          <w:tcPr>
            <w:tcW w:w="2694" w:type="dxa"/>
            <w:tcBorders>
              <w:top w:val="single" w:sz="4" w:space="0" w:color="auto"/>
              <w:bottom w:val="single" w:sz="4" w:space="0" w:color="auto"/>
            </w:tcBorders>
            <w:shd w:val="clear" w:color="auto" w:fill="auto"/>
          </w:tcPr>
          <w:p w14:paraId="6B41C414" w14:textId="304A4C85" w:rsidR="00F27E89" w:rsidRDefault="00F27E89" w:rsidP="001A1B5B">
            <w:pPr>
              <w:pStyle w:val="Tabletext0"/>
              <w:jc w:val="center"/>
            </w:pPr>
            <w:r>
              <w:t>-</w:t>
            </w:r>
            <w:r w:rsidR="00023C06">
              <w:t>10</w:t>
            </w:r>
          </w:p>
        </w:tc>
        <w:tc>
          <w:tcPr>
            <w:tcW w:w="1582" w:type="dxa"/>
            <w:tcBorders>
              <w:top w:val="single" w:sz="4" w:space="0" w:color="auto"/>
              <w:bottom w:val="single" w:sz="4" w:space="0" w:color="auto"/>
            </w:tcBorders>
            <w:shd w:val="clear" w:color="auto" w:fill="auto"/>
          </w:tcPr>
          <w:p w14:paraId="550C2934" w14:textId="3575D97E" w:rsidR="00F27E89" w:rsidRDefault="00F27E89" w:rsidP="001A1B5B">
            <w:pPr>
              <w:pStyle w:val="Tabletext0"/>
              <w:jc w:val="center"/>
            </w:pPr>
            <w:r>
              <w:t xml:space="preserve">1 </w:t>
            </w:r>
            <w:r w:rsidR="00023C06">
              <w:t>M</w:t>
            </w:r>
            <w:r>
              <w:t>Hz</w:t>
            </w:r>
          </w:p>
        </w:tc>
      </w:tr>
      <w:tr w:rsidR="00023C06" w:rsidRPr="00AB629C" w14:paraId="53FDF143" w14:textId="77777777" w:rsidTr="001A1B5B">
        <w:trPr>
          <w:jc w:val="center"/>
        </w:trPr>
        <w:tc>
          <w:tcPr>
            <w:tcW w:w="2835" w:type="dxa"/>
            <w:tcBorders>
              <w:top w:val="single" w:sz="4" w:space="0" w:color="auto"/>
              <w:bottom w:val="single" w:sz="4" w:space="0" w:color="auto"/>
            </w:tcBorders>
            <w:shd w:val="clear" w:color="auto" w:fill="auto"/>
          </w:tcPr>
          <w:p w14:paraId="723AF259" w14:textId="5DB99061" w:rsidR="00023C06" w:rsidRDefault="00023C06" w:rsidP="00023C06">
            <w:pPr>
              <w:pStyle w:val="Tabletext0"/>
              <w:jc w:val="center"/>
            </w:pPr>
            <w:r>
              <w:t>5 MHz ≤</w:t>
            </w:r>
            <w:r>
              <w:rPr>
                <w:i/>
                <w:iCs/>
              </w:rPr>
              <w:t xml:space="preserve"> </w:t>
            </w:r>
            <w:proofErr w:type="spellStart"/>
            <w:r>
              <w:rPr>
                <w:i/>
                <w:iCs/>
              </w:rPr>
              <w:t>f</w:t>
            </w:r>
            <w:r>
              <w:rPr>
                <w:i/>
                <w:iCs/>
                <w:vertAlign w:val="subscript"/>
              </w:rPr>
              <w:t>offset</w:t>
            </w:r>
            <w:proofErr w:type="spellEnd"/>
            <w:r>
              <w:rPr>
                <w:i/>
                <w:iCs/>
              </w:rPr>
              <w:t xml:space="preserve"> </w:t>
            </w:r>
            <w:r>
              <w:t>&lt; 100 MHz</w:t>
            </w:r>
          </w:p>
        </w:tc>
        <w:tc>
          <w:tcPr>
            <w:tcW w:w="2694" w:type="dxa"/>
            <w:tcBorders>
              <w:top w:val="single" w:sz="4" w:space="0" w:color="auto"/>
              <w:bottom w:val="single" w:sz="4" w:space="0" w:color="auto"/>
            </w:tcBorders>
            <w:shd w:val="clear" w:color="auto" w:fill="auto"/>
          </w:tcPr>
          <w:p w14:paraId="5A703452" w14:textId="48E42814" w:rsidR="00023C06" w:rsidRDefault="00023C06" w:rsidP="00023C06">
            <w:pPr>
              <w:pStyle w:val="Tabletext0"/>
              <w:jc w:val="center"/>
            </w:pPr>
            <w:r>
              <w:t>-13</w:t>
            </w:r>
          </w:p>
        </w:tc>
        <w:tc>
          <w:tcPr>
            <w:tcW w:w="1582" w:type="dxa"/>
            <w:tcBorders>
              <w:top w:val="single" w:sz="4" w:space="0" w:color="auto"/>
              <w:bottom w:val="single" w:sz="4" w:space="0" w:color="auto"/>
            </w:tcBorders>
            <w:shd w:val="clear" w:color="auto" w:fill="auto"/>
          </w:tcPr>
          <w:p w14:paraId="1D940E86" w14:textId="1D6DE273" w:rsidR="00023C06" w:rsidRDefault="00023C06" w:rsidP="00023C06">
            <w:pPr>
              <w:pStyle w:val="Tabletext0"/>
              <w:jc w:val="center"/>
            </w:pPr>
            <w:r>
              <w:t>1 MHz</w:t>
            </w:r>
          </w:p>
        </w:tc>
      </w:tr>
      <w:tr w:rsidR="00023C06" w:rsidRPr="00AB629C" w14:paraId="518B9BA7" w14:textId="77777777" w:rsidTr="001A1B5B">
        <w:trPr>
          <w:jc w:val="center"/>
        </w:trPr>
        <w:tc>
          <w:tcPr>
            <w:tcW w:w="2835" w:type="dxa"/>
            <w:tcBorders>
              <w:top w:val="single" w:sz="4" w:space="0" w:color="auto"/>
              <w:bottom w:val="single" w:sz="12" w:space="0" w:color="auto"/>
            </w:tcBorders>
            <w:shd w:val="clear" w:color="auto" w:fill="auto"/>
          </w:tcPr>
          <w:p w14:paraId="5947A2D0" w14:textId="1CD0D11B" w:rsidR="00023C06" w:rsidRPr="00905D58" w:rsidRDefault="00023C06" w:rsidP="00023C06">
            <w:pPr>
              <w:pStyle w:val="Tabletext0"/>
              <w:jc w:val="center"/>
            </w:pPr>
            <w:proofErr w:type="spellStart"/>
            <w:r>
              <w:rPr>
                <w:i/>
                <w:iCs/>
              </w:rPr>
              <w:t>f</w:t>
            </w:r>
            <w:r>
              <w:rPr>
                <w:i/>
                <w:iCs/>
                <w:vertAlign w:val="subscript"/>
              </w:rPr>
              <w:t>offset</w:t>
            </w:r>
            <w:proofErr w:type="spellEnd"/>
            <w:r>
              <w:rPr>
                <w:i/>
                <w:iCs/>
                <w:vertAlign w:val="subscript"/>
              </w:rPr>
              <w:t xml:space="preserve"> </w:t>
            </w:r>
            <w:r w:rsidR="0091415F">
              <w:rPr>
                <w:i/>
                <w:iCs/>
                <w:vertAlign w:val="subscript"/>
              </w:rPr>
              <w:t xml:space="preserve"> </w:t>
            </w:r>
            <w:r>
              <w:t>≥ 100 MHz</w:t>
            </w:r>
          </w:p>
        </w:tc>
        <w:tc>
          <w:tcPr>
            <w:tcW w:w="2694" w:type="dxa"/>
            <w:tcBorders>
              <w:top w:val="single" w:sz="4" w:space="0" w:color="auto"/>
              <w:bottom w:val="single" w:sz="12" w:space="0" w:color="auto"/>
            </w:tcBorders>
            <w:shd w:val="clear" w:color="auto" w:fill="auto"/>
          </w:tcPr>
          <w:p w14:paraId="2C3DE4F3" w14:textId="607CEC2A" w:rsidR="00023C06" w:rsidRDefault="00023C06" w:rsidP="00023C06">
            <w:pPr>
              <w:pStyle w:val="Tabletext0"/>
              <w:jc w:val="center"/>
            </w:pPr>
            <w:r>
              <w:t>-25</w:t>
            </w:r>
          </w:p>
        </w:tc>
        <w:tc>
          <w:tcPr>
            <w:tcW w:w="1582" w:type="dxa"/>
            <w:tcBorders>
              <w:top w:val="single" w:sz="4" w:space="0" w:color="auto"/>
              <w:bottom w:val="single" w:sz="12" w:space="0" w:color="auto"/>
            </w:tcBorders>
            <w:shd w:val="clear" w:color="auto" w:fill="auto"/>
          </w:tcPr>
          <w:p w14:paraId="5D84FA85" w14:textId="77777777" w:rsidR="00023C06" w:rsidRDefault="00023C06" w:rsidP="00023C06">
            <w:pPr>
              <w:pStyle w:val="Tabletext0"/>
              <w:jc w:val="center"/>
            </w:pPr>
            <w:r>
              <w:t>1 MHz</w:t>
            </w:r>
          </w:p>
        </w:tc>
      </w:tr>
    </w:tbl>
    <w:p w14:paraId="3A3132B8" w14:textId="2B92565B" w:rsidR="003B76FB" w:rsidRPr="002539F6" w:rsidRDefault="002539F6" w:rsidP="002539F6">
      <w:pPr>
        <w:pStyle w:val="Item"/>
        <w:keepNext/>
        <w:spacing w:before="240"/>
        <w:ind w:left="1276" w:hanging="567"/>
        <w:rPr>
          <w:i/>
          <w:iCs/>
        </w:rPr>
      </w:pPr>
      <w:r w:rsidRPr="002539F6">
        <w:rPr>
          <w:i/>
          <w:iCs/>
        </w:rPr>
        <w:t>All r</w:t>
      </w:r>
      <w:r>
        <w:rPr>
          <w:i/>
          <w:iCs/>
        </w:rPr>
        <w:t>adiocommunications transmitters</w:t>
      </w:r>
    </w:p>
    <w:p w14:paraId="794607F8" w14:textId="23F4D5F2" w:rsidR="006161AC" w:rsidRDefault="006161AC" w:rsidP="006161AC">
      <w:pPr>
        <w:pStyle w:val="subsection"/>
      </w:pPr>
      <w:r>
        <w:tab/>
        <w:t>(6)</w:t>
      </w:r>
      <w:r>
        <w:tab/>
        <w:t>For radiocommunications transmitters without AAS, the unwanted emission limit in Table 4, measured over the specified bandwidth, applies at frequencies:</w:t>
      </w:r>
    </w:p>
    <w:p w14:paraId="0EACA09F" w14:textId="3C574D48" w:rsidR="006161AC" w:rsidRDefault="006161AC" w:rsidP="006161AC">
      <w:pPr>
        <w:pStyle w:val="paragraph"/>
        <w:rPr>
          <w:iCs/>
        </w:rPr>
      </w:pPr>
      <w:r>
        <w:rPr>
          <w:iCs/>
        </w:rPr>
        <w:tab/>
        <w:t>(a)</w:t>
      </w:r>
      <w:r>
        <w:rPr>
          <w:iCs/>
        </w:rPr>
        <w:tab/>
      </w:r>
      <w:r w:rsidR="006A6E7F">
        <w:rPr>
          <w:iCs/>
        </w:rPr>
        <w:t xml:space="preserve">for </w:t>
      </w:r>
      <w:proofErr w:type="gramStart"/>
      <w:r w:rsidR="006A6E7F">
        <w:rPr>
          <w:iCs/>
        </w:rPr>
        <w:t>low risk</w:t>
      </w:r>
      <w:proofErr w:type="gramEnd"/>
      <w:r w:rsidR="006A6E7F">
        <w:rPr>
          <w:iCs/>
        </w:rPr>
        <w:t xml:space="preserve"> transmitters </w:t>
      </w:r>
      <w:r w:rsidR="005D1017">
        <w:rPr>
          <w:iCs/>
        </w:rPr>
        <w:t xml:space="preserve">– </w:t>
      </w:r>
      <w:r>
        <w:rPr>
          <w:iCs/>
        </w:rPr>
        <w:t xml:space="preserve">outside the </w:t>
      </w:r>
      <w:r w:rsidR="009F3BC1">
        <w:rPr>
          <w:iCs/>
        </w:rPr>
        <w:t>32</w:t>
      </w:r>
      <w:r w:rsidR="004724CD">
        <w:rPr>
          <w:iCs/>
        </w:rPr>
        <w:t>9</w:t>
      </w:r>
      <w:r w:rsidR="009F3BC1">
        <w:rPr>
          <w:iCs/>
        </w:rPr>
        <w:t>5 MHz to 4105 MHz frequency band</w:t>
      </w:r>
      <w:r>
        <w:rPr>
          <w:iCs/>
        </w:rPr>
        <w:t>;</w:t>
      </w:r>
      <w:r w:rsidR="00407C9C">
        <w:rPr>
          <w:iCs/>
        </w:rPr>
        <w:t xml:space="preserve"> or</w:t>
      </w:r>
    </w:p>
    <w:p w14:paraId="0F9A9A0E" w14:textId="761CFE10" w:rsidR="006161AC" w:rsidRPr="00D17D57" w:rsidRDefault="006161AC" w:rsidP="006161AC">
      <w:pPr>
        <w:pStyle w:val="paragraph"/>
        <w:rPr>
          <w:iCs/>
        </w:rPr>
      </w:pPr>
      <w:r>
        <w:rPr>
          <w:iCs/>
        </w:rPr>
        <w:tab/>
        <w:t>(b)</w:t>
      </w:r>
      <w:r>
        <w:rPr>
          <w:iCs/>
        </w:rPr>
        <w:tab/>
      </w:r>
      <w:r w:rsidR="009F3BC1">
        <w:rPr>
          <w:iCs/>
        </w:rPr>
        <w:t xml:space="preserve">otherwise – outside the 3360 MHz to </w:t>
      </w:r>
      <w:r w:rsidR="00407CB9">
        <w:rPr>
          <w:iCs/>
        </w:rPr>
        <w:t xml:space="preserve">4040 </w:t>
      </w:r>
      <w:r w:rsidR="009F3BC1">
        <w:rPr>
          <w:iCs/>
        </w:rPr>
        <w:t>MHz frequency band;</w:t>
      </w:r>
    </w:p>
    <w:p w14:paraId="3914B798" w14:textId="77777777" w:rsidR="006161AC" w:rsidRDefault="006161AC" w:rsidP="006161AC">
      <w:pPr>
        <w:pStyle w:val="subsection"/>
      </w:pPr>
      <w:r>
        <w:tab/>
      </w:r>
      <w:r>
        <w:tab/>
        <w:t>where:</w:t>
      </w:r>
    </w:p>
    <w:p w14:paraId="6AD41802" w14:textId="11BDE360" w:rsidR="006161AC" w:rsidRDefault="006161AC" w:rsidP="006161AC">
      <w:pPr>
        <w:pStyle w:val="Item"/>
        <w:keepNext/>
        <w:ind w:left="1276"/>
      </w:pPr>
      <w:r>
        <w:rPr>
          <w:b/>
          <w:bCs/>
          <w:i/>
          <w:iCs/>
        </w:rPr>
        <w:t>f</w:t>
      </w:r>
      <w:r>
        <w:t xml:space="preserve"> means the frequency </w:t>
      </w:r>
      <w:r w:rsidR="009F3BC1">
        <w:t>of the unwanted emission</w:t>
      </w:r>
      <w:r>
        <w:t>.</w:t>
      </w:r>
    </w:p>
    <w:p w14:paraId="65AA041A" w14:textId="143AE60E" w:rsidR="006161AC" w:rsidRPr="006F7DE8" w:rsidRDefault="006161AC" w:rsidP="00C7448E">
      <w:pPr>
        <w:pStyle w:val="notetext"/>
        <w:spacing w:after="120"/>
      </w:pPr>
      <w:r>
        <w:t>Note:</w:t>
      </w:r>
      <w:r w:rsidR="006D4466">
        <w:tab/>
      </w:r>
      <w:r>
        <w:t xml:space="preserve">This subclause </w:t>
      </w:r>
      <w:r w:rsidR="009F3BC1">
        <w:t>applies to all radiocommunications</w:t>
      </w:r>
      <w:r>
        <w:t xml:space="preserve"> transmitters</w:t>
      </w:r>
      <w:r w:rsidR="001E037F">
        <w:t xml:space="preserve"> without AAS</w:t>
      </w:r>
      <w:r>
        <w:t xml:space="preserve"> – see subclause</w:t>
      </w:r>
      <w:r w:rsidR="009F3BC1">
        <w:t>s</w:t>
      </w:r>
      <w:r>
        <w:t xml:space="preserve"> (1)</w:t>
      </w:r>
      <w:r w:rsidR="009F3BC1">
        <w:t xml:space="preserve"> and (2)</w:t>
      </w:r>
      <w:r>
        <w:t>.</w:t>
      </w:r>
    </w:p>
    <w:p w14:paraId="1AF83B21" w14:textId="6BA9BA11" w:rsidR="00417BE1" w:rsidRPr="0099583D" w:rsidRDefault="00417BE1" w:rsidP="00417BE1">
      <w:pPr>
        <w:pStyle w:val="paragraph"/>
        <w:keepNext/>
        <w:tabs>
          <w:tab w:val="clear" w:pos="1531"/>
        </w:tabs>
        <w:spacing w:after="120"/>
        <w:ind w:left="1843" w:hanging="851"/>
        <w:rPr>
          <w:b/>
          <w:bCs/>
          <w:vertAlign w:val="subscript"/>
        </w:rPr>
      </w:pPr>
      <w:r>
        <w:rPr>
          <w:b/>
          <w:bCs/>
        </w:rPr>
        <w:lastRenderedPageBreak/>
        <w:t>Table 4: Unwanted emission limit – radiocommunications transmitters without AAS</w:t>
      </w:r>
      <w:r w:rsidR="00831B3B">
        <w:rPr>
          <w:b/>
          <w:bCs/>
        </w:rPr>
        <w:t>, outside certain bands</w:t>
      </w:r>
    </w:p>
    <w:tbl>
      <w:tblPr>
        <w:tblW w:w="711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2835"/>
        <w:gridCol w:w="2694"/>
        <w:gridCol w:w="1582"/>
      </w:tblGrid>
      <w:tr w:rsidR="00417BE1" w:rsidRPr="00AB629C" w14:paraId="21F9F0B8" w14:textId="77777777" w:rsidTr="001A1B5B">
        <w:trPr>
          <w:tblHeader/>
          <w:jc w:val="center"/>
        </w:trPr>
        <w:tc>
          <w:tcPr>
            <w:tcW w:w="2835" w:type="dxa"/>
            <w:tcBorders>
              <w:top w:val="single" w:sz="6" w:space="0" w:color="auto"/>
              <w:bottom w:val="single" w:sz="6" w:space="0" w:color="auto"/>
            </w:tcBorders>
            <w:shd w:val="clear" w:color="auto" w:fill="auto"/>
          </w:tcPr>
          <w:p w14:paraId="40012476" w14:textId="77777777" w:rsidR="00417BE1" w:rsidRPr="00AB629C" w:rsidRDefault="00417BE1" w:rsidP="001A1B5B">
            <w:pPr>
              <w:pStyle w:val="TableHeading"/>
              <w:jc w:val="center"/>
            </w:pPr>
            <w:r w:rsidRPr="00AB629C">
              <w:t>Column 1</w:t>
            </w:r>
          </w:p>
        </w:tc>
        <w:tc>
          <w:tcPr>
            <w:tcW w:w="2694" w:type="dxa"/>
            <w:tcBorders>
              <w:top w:val="single" w:sz="6" w:space="0" w:color="auto"/>
              <w:bottom w:val="single" w:sz="6" w:space="0" w:color="auto"/>
            </w:tcBorders>
            <w:shd w:val="clear" w:color="auto" w:fill="auto"/>
          </w:tcPr>
          <w:p w14:paraId="06E0884B" w14:textId="77777777" w:rsidR="00417BE1" w:rsidRPr="00AB629C" w:rsidRDefault="00417BE1" w:rsidP="001A1B5B">
            <w:pPr>
              <w:pStyle w:val="TableHeading"/>
              <w:jc w:val="center"/>
            </w:pPr>
            <w:r w:rsidRPr="00AB629C">
              <w:t>Column 2</w:t>
            </w:r>
          </w:p>
        </w:tc>
        <w:tc>
          <w:tcPr>
            <w:tcW w:w="1582" w:type="dxa"/>
            <w:tcBorders>
              <w:top w:val="single" w:sz="6" w:space="0" w:color="auto"/>
              <w:bottom w:val="single" w:sz="6" w:space="0" w:color="auto"/>
            </w:tcBorders>
            <w:shd w:val="clear" w:color="auto" w:fill="auto"/>
          </w:tcPr>
          <w:p w14:paraId="6ED950B4" w14:textId="77777777" w:rsidR="00417BE1" w:rsidRPr="00AB629C" w:rsidRDefault="00417BE1" w:rsidP="001A1B5B">
            <w:pPr>
              <w:pStyle w:val="TableHeading"/>
              <w:jc w:val="center"/>
            </w:pPr>
            <w:r w:rsidRPr="00AB629C">
              <w:t>Column 3</w:t>
            </w:r>
          </w:p>
        </w:tc>
      </w:tr>
      <w:tr w:rsidR="00417BE1" w:rsidRPr="00AB629C" w14:paraId="21074D7D" w14:textId="77777777" w:rsidTr="001A1B5B">
        <w:trPr>
          <w:tblHeader/>
          <w:jc w:val="center"/>
        </w:trPr>
        <w:tc>
          <w:tcPr>
            <w:tcW w:w="2835" w:type="dxa"/>
            <w:tcBorders>
              <w:top w:val="single" w:sz="6" w:space="0" w:color="auto"/>
              <w:bottom w:val="single" w:sz="12" w:space="0" w:color="auto"/>
            </w:tcBorders>
            <w:shd w:val="clear" w:color="auto" w:fill="auto"/>
          </w:tcPr>
          <w:p w14:paraId="0C9488E8" w14:textId="05CEEE84" w:rsidR="00417BE1" w:rsidRPr="00AB629C" w:rsidRDefault="00417BE1" w:rsidP="001A1B5B">
            <w:pPr>
              <w:pStyle w:val="TableHeading"/>
              <w:jc w:val="center"/>
            </w:pPr>
            <w:r>
              <w:t>Frequency range (</w:t>
            </w:r>
            <w:r>
              <w:rPr>
                <w:i/>
                <w:iCs/>
              </w:rPr>
              <w:t>f</w:t>
            </w:r>
            <w:r>
              <w:t>)</w:t>
            </w:r>
          </w:p>
        </w:tc>
        <w:tc>
          <w:tcPr>
            <w:tcW w:w="2694" w:type="dxa"/>
            <w:tcBorders>
              <w:top w:val="single" w:sz="6" w:space="0" w:color="auto"/>
              <w:bottom w:val="single" w:sz="12" w:space="0" w:color="auto"/>
            </w:tcBorders>
            <w:shd w:val="clear" w:color="auto" w:fill="auto"/>
          </w:tcPr>
          <w:p w14:paraId="3954D964" w14:textId="7BCF162D" w:rsidR="00417BE1" w:rsidRPr="00AB629C" w:rsidRDefault="00831B3B" w:rsidP="001A1B5B">
            <w:pPr>
              <w:pStyle w:val="TableHeading"/>
              <w:jc w:val="center"/>
            </w:pPr>
            <w:r>
              <w:t>Mean</w:t>
            </w:r>
            <w:r w:rsidR="00417BE1">
              <w:t xml:space="preserve"> power </w:t>
            </w:r>
            <w:r>
              <w:t xml:space="preserve">per antenna port </w:t>
            </w:r>
            <w:r w:rsidR="00417BE1">
              <w:t>(dBm)</w:t>
            </w:r>
          </w:p>
        </w:tc>
        <w:tc>
          <w:tcPr>
            <w:tcW w:w="1582" w:type="dxa"/>
            <w:tcBorders>
              <w:top w:val="single" w:sz="6" w:space="0" w:color="auto"/>
              <w:bottom w:val="single" w:sz="12" w:space="0" w:color="auto"/>
            </w:tcBorders>
            <w:shd w:val="clear" w:color="auto" w:fill="auto"/>
          </w:tcPr>
          <w:p w14:paraId="07249225" w14:textId="77777777" w:rsidR="00417BE1" w:rsidRPr="00AB629C" w:rsidRDefault="00417BE1" w:rsidP="001A1B5B">
            <w:pPr>
              <w:pStyle w:val="TableHeading"/>
              <w:jc w:val="center"/>
            </w:pPr>
            <w:r>
              <w:t>Specified bandwidth</w:t>
            </w:r>
          </w:p>
        </w:tc>
      </w:tr>
      <w:tr w:rsidR="00417BE1" w:rsidRPr="00AB629C" w14:paraId="34D0B510" w14:textId="77777777" w:rsidTr="001A1B5B">
        <w:trPr>
          <w:jc w:val="center"/>
        </w:trPr>
        <w:tc>
          <w:tcPr>
            <w:tcW w:w="2835" w:type="dxa"/>
            <w:tcBorders>
              <w:top w:val="single" w:sz="12" w:space="0" w:color="auto"/>
              <w:bottom w:val="single" w:sz="4" w:space="0" w:color="auto"/>
            </w:tcBorders>
            <w:shd w:val="clear" w:color="auto" w:fill="auto"/>
          </w:tcPr>
          <w:p w14:paraId="30348928" w14:textId="0F2A7F0D" w:rsidR="00417BE1" w:rsidRPr="000D2783" w:rsidRDefault="00831B3B" w:rsidP="001A1B5B">
            <w:pPr>
              <w:pStyle w:val="Tabletext0"/>
              <w:jc w:val="center"/>
              <w:rPr>
                <w:vertAlign w:val="subscript"/>
              </w:rPr>
            </w:pPr>
            <w:r>
              <w:t>9</w:t>
            </w:r>
            <w:r w:rsidR="00417BE1">
              <w:t xml:space="preserve"> </w:t>
            </w:r>
            <w:r>
              <w:t>k</w:t>
            </w:r>
            <w:r w:rsidR="00417BE1">
              <w:t>Hz ≤</w:t>
            </w:r>
            <w:r w:rsidR="00417BE1">
              <w:rPr>
                <w:i/>
                <w:iCs/>
              </w:rPr>
              <w:t xml:space="preserve"> f</w:t>
            </w:r>
            <w:r>
              <w:rPr>
                <w:i/>
                <w:iCs/>
              </w:rPr>
              <w:t xml:space="preserve"> </w:t>
            </w:r>
            <w:r w:rsidR="00417BE1">
              <w:t xml:space="preserve">&lt; </w:t>
            </w:r>
            <w:r>
              <w:t>150</w:t>
            </w:r>
            <w:r w:rsidR="00417BE1">
              <w:t xml:space="preserve"> </w:t>
            </w:r>
            <w:r>
              <w:t>k</w:t>
            </w:r>
            <w:r w:rsidR="00417BE1">
              <w:t>Hz</w:t>
            </w:r>
          </w:p>
        </w:tc>
        <w:tc>
          <w:tcPr>
            <w:tcW w:w="2694" w:type="dxa"/>
            <w:tcBorders>
              <w:top w:val="single" w:sz="12" w:space="0" w:color="auto"/>
              <w:bottom w:val="single" w:sz="4" w:space="0" w:color="auto"/>
            </w:tcBorders>
            <w:shd w:val="clear" w:color="auto" w:fill="auto"/>
          </w:tcPr>
          <w:p w14:paraId="6A7E87B7" w14:textId="6A0DAAAD" w:rsidR="00417BE1" w:rsidRPr="00912BA5" w:rsidRDefault="00417BE1" w:rsidP="001A1B5B">
            <w:pPr>
              <w:pStyle w:val="Tabletext0"/>
              <w:jc w:val="center"/>
            </w:pPr>
            <w:r>
              <w:t>-</w:t>
            </w:r>
            <w:r w:rsidR="00822121">
              <w:t>36</w:t>
            </w:r>
          </w:p>
        </w:tc>
        <w:tc>
          <w:tcPr>
            <w:tcW w:w="1582" w:type="dxa"/>
            <w:tcBorders>
              <w:top w:val="single" w:sz="12" w:space="0" w:color="auto"/>
              <w:bottom w:val="single" w:sz="4" w:space="0" w:color="auto"/>
            </w:tcBorders>
            <w:shd w:val="clear" w:color="auto" w:fill="auto"/>
          </w:tcPr>
          <w:p w14:paraId="13295C90" w14:textId="5F6CD14B" w:rsidR="00417BE1" w:rsidRPr="00AB629C" w:rsidRDefault="00822121" w:rsidP="001A1B5B">
            <w:pPr>
              <w:pStyle w:val="Tabletext0"/>
              <w:jc w:val="center"/>
            </w:pPr>
            <w:r>
              <w:t>1</w:t>
            </w:r>
            <w:r w:rsidR="00417BE1">
              <w:t xml:space="preserve"> kHz</w:t>
            </w:r>
          </w:p>
        </w:tc>
      </w:tr>
      <w:tr w:rsidR="00417BE1" w:rsidRPr="00AB629C" w14:paraId="75FBA9E2" w14:textId="77777777" w:rsidTr="001A1B5B">
        <w:trPr>
          <w:jc w:val="center"/>
        </w:trPr>
        <w:tc>
          <w:tcPr>
            <w:tcW w:w="2835" w:type="dxa"/>
            <w:tcBorders>
              <w:top w:val="single" w:sz="4" w:space="0" w:color="auto"/>
              <w:bottom w:val="single" w:sz="4" w:space="0" w:color="auto"/>
            </w:tcBorders>
            <w:shd w:val="clear" w:color="auto" w:fill="auto"/>
          </w:tcPr>
          <w:p w14:paraId="45BEFBDB" w14:textId="1F2883F4" w:rsidR="00417BE1" w:rsidRDefault="00822121" w:rsidP="001A1B5B">
            <w:pPr>
              <w:pStyle w:val="Tabletext0"/>
              <w:jc w:val="center"/>
            </w:pPr>
            <w:r>
              <w:t>150</w:t>
            </w:r>
            <w:r w:rsidR="00417BE1">
              <w:t xml:space="preserve"> </w:t>
            </w:r>
            <w:r>
              <w:t>k</w:t>
            </w:r>
            <w:r w:rsidR="00417BE1">
              <w:t>Hz ≤</w:t>
            </w:r>
            <w:r w:rsidR="00417BE1">
              <w:rPr>
                <w:i/>
                <w:iCs/>
              </w:rPr>
              <w:t xml:space="preserve"> f </w:t>
            </w:r>
            <w:r w:rsidR="00417BE1">
              <w:t xml:space="preserve">&lt; </w:t>
            </w:r>
            <w:r>
              <w:t>30</w:t>
            </w:r>
            <w:r w:rsidR="00417BE1">
              <w:t xml:space="preserve"> MHz</w:t>
            </w:r>
          </w:p>
        </w:tc>
        <w:tc>
          <w:tcPr>
            <w:tcW w:w="2694" w:type="dxa"/>
            <w:tcBorders>
              <w:top w:val="single" w:sz="4" w:space="0" w:color="auto"/>
              <w:bottom w:val="single" w:sz="4" w:space="0" w:color="auto"/>
            </w:tcBorders>
            <w:shd w:val="clear" w:color="auto" w:fill="auto"/>
          </w:tcPr>
          <w:p w14:paraId="4AD0E09E" w14:textId="0BC23A1F" w:rsidR="00417BE1" w:rsidRDefault="00417BE1" w:rsidP="001A1B5B">
            <w:pPr>
              <w:pStyle w:val="Tabletext0"/>
              <w:jc w:val="center"/>
            </w:pPr>
            <w:r>
              <w:t>-</w:t>
            </w:r>
            <w:r w:rsidR="00822121">
              <w:t>36</w:t>
            </w:r>
          </w:p>
        </w:tc>
        <w:tc>
          <w:tcPr>
            <w:tcW w:w="1582" w:type="dxa"/>
            <w:tcBorders>
              <w:top w:val="single" w:sz="4" w:space="0" w:color="auto"/>
              <w:bottom w:val="single" w:sz="4" w:space="0" w:color="auto"/>
            </w:tcBorders>
            <w:shd w:val="clear" w:color="auto" w:fill="auto"/>
          </w:tcPr>
          <w:p w14:paraId="4A45E1FE" w14:textId="3CD4D8BF" w:rsidR="00417BE1" w:rsidRDefault="00822121" w:rsidP="001A1B5B">
            <w:pPr>
              <w:pStyle w:val="Tabletext0"/>
              <w:jc w:val="center"/>
            </w:pPr>
            <w:r>
              <w:t>10</w:t>
            </w:r>
            <w:r w:rsidR="00417BE1">
              <w:t xml:space="preserve"> </w:t>
            </w:r>
            <w:r>
              <w:t>k</w:t>
            </w:r>
            <w:r w:rsidR="00417BE1">
              <w:t>Hz</w:t>
            </w:r>
          </w:p>
        </w:tc>
      </w:tr>
      <w:tr w:rsidR="00417BE1" w:rsidRPr="00AB629C" w14:paraId="40A9F311" w14:textId="77777777" w:rsidTr="001A1B5B">
        <w:trPr>
          <w:jc w:val="center"/>
        </w:trPr>
        <w:tc>
          <w:tcPr>
            <w:tcW w:w="2835" w:type="dxa"/>
            <w:tcBorders>
              <w:top w:val="single" w:sz="4" w:space="0" w:color="auto"/>
              <w:bottom w:val="single" w:sz="4" w:space="0" w:color="auto"/>
            </w:tcBorders>
            <w:shd w:val="clear" w:color="auto" w:fill="auto"/>
          </w:tcPr>
          <w:p w14:paraId="52B1306C" w14:textId="008711BB" w:rsidR="00417BE1" w:rsidRDefault="00822121" w:rsidP="001A1B5B">
            <w:pPr>
              <w:pStyle w:val="Tabletext0"/>
              <w:jc w:val="center"/>
            </w:pPr>
            <w:r>
              <w:t>30</w:t>
            </w:r>
            <w:r w:rsidR="00417BE1">
              <w:t xml:space="preserve"> MHz ≤</w:t>
            </w:r>
            <w:r w:rsidR="00417BE1">
              <w:rPr>
                <w:i/>
                <w:iCs/>
              </w:rPr>
              <w:t xml:space="preserve"> f</w:t>
            </w:r>
            <w:r>
              <w:rPr>
                <w:i/>
                <w:iCs/>
              </w:rPr>
              <w:t xml:space="preserve"> </w:t>
            </w:r>
            <w:r w:rsidR="00417BE1">
              <w:t xml:space="preserve">&lt; </w:t>
            </w:r>
            <w:r>
              <w:t>1 G</w:t>
            </w:r>
            <w:r w:rsidR="00417BE1">
              <w:t>Hz</w:t>
            </w:r>
          </w:p>
        </w:tc>
        <w:tc>
          <w:tcPr>
            <w:tcW w:w="2694" w:type="dxa"/>
            <w:tcBorders>
              <w:top w:val="single" w:sz="4" w:space="0" w:color="auto"/>
              <w:bottom w:val="single" w:sz="4" w:space="0" w:color="auto"/>
            </w:tcBorders>
            <w:shd w:val="clear" w:color="auto" w:fill="auto"/>
          </w:tcPr>
          <w:p w14:paraId="729B79AC" w14:textId="6FD4814D" w:rsidR="00417BE1" w:rsidRDefault="00417BE1" w:rsidP="001A1B5B">
            <w:pPr>
              <w:pStyle w:val="Tabletext0"/>
              <w:jc w:val="center"/>
            </w:pPr>
            <w:r>
              <w:t>-</w:t>
            </w:r>
            <w:r w:rsidR="00822121">
              <w:t>36</w:t>
            </w:r>
          </w:p>
        </w:tc>
        <w:tc>
          <w:tcPr>
            <w:tcW w:w="1582" w:type="dxa"/>
            <w:tcBorders>
              <w:top w:val="single" w:sz="4" w:space="0" w:color="auto"/>
              <w:bottom w:val="single" w:sz="4" w:space="0" w:color="auto"/>
            </w:tcBorders>
            <w:shd w:val="clear" w:color="auto" w:fill="auto"/>
          </w:tcPr>
          <w:p w14:paraId="51979E8A" w14:textId="005CC6AE" w:rsidR="00417BE1" w:rsidRDefault="00822121" w:rsidP="001A1B5B">
            <w:pPr>
              <w:pStyle w:val="Tabletext0"/>
              <w:jc w:val="center"/>
            </w:pPr>
            <w:r>
              <w:t>100</w:t>
            </w:r>
            <w:r w:rsidR="00417BE1">
              <w:t xml:space="preserve"> </w:t>
            </w:r>
            <w:r>
              <w:t>k</w:t>
            </w:r>
            <w:r w:rsidR="00417BE1">
              <w:t>Hz</w:t>
            </w:r>
          </w:p>
        </w:tc>
      </w:tr>
      <w:tr w:rsidR="00417BE1" w:rsidRPr="00AB629C" w14:paraId="2027FB14" w14:textId="77777777" w:rsidTr="001A1B5B">
        <w:trPr>
          <w:jc w:val="center"/>
        </w:trPr>
        <w:tc>
          <w:tcPr>
            <w:tcW w:w="2835" w:type="dxa"/>
            <w:tcBorders>
              <w:top w:val="single" w:sz="4" w:space="0" w:color="auto"/>
              <w:bottom w:val="single" w:sz="12" w:space="0" w:color="auto"/>
            </w:tcBorders>
            <w:shd w:val="clear" w:color="auto" w:fill="auto"/>
          </w:tcPr>
          <w:p w14:paraId="52DEB255" w14:textId="239A58C0" w:rsidR="00417BE1" w:rsidRPr="00905D58" w:rsidRDefault="00A66206" w:rsidP="001A1B5B">
            <w:pPr>
              <w:pStyle w:val="Tabletext0"/>
              <w:jc w:val="center"/>
            </w:pPr>
            <w:r>
              <w:t>1 GHz ≤</w:t>
            </w:r>
            <w:r>
              <w:rPr>
                <w:i/>
                <w:iCs/>
              </w:rPr>
              <w:t xml:space="preserve"> f </w:t>
            </w:r>
            <w:r>
              <w:t>&lt; 19 GHz</w:t>
            </w:r>
          </w:p>
        </w:tc>
        <w:tc>
          <w:tcPr>
            <w:tcW w:w="2694" w:type="dxa"/>
            <w:tcBorders>
              <w:top w:val="single" w:sz="4" w:space="0" w:color="auto"/>
              <w:bottom w:val="single" w:sz="12" w:space="0" w:color="auto"/>
            </w:tcBorders>
            <w:shd w:val="clear" w:color="auto" w:fill="auto"/>
          </w:tcPr>
          <w:p w14:paraId="446C5AF1" w14:textId="25F95236" w:rsidR="00417BE1" w:rsidRDefault="00417BE1" w:rsidP="001A1B5B">
            <w:pPr>
              <w:pStyle w:val="Tabletext0"/>
              <w:jc w:val="center"/>
            </w:pPr>
            <w:r>
              <w:t>-</w:t>
            </w:r>
            <w:r w:rsidR="00822121">
              <w:t>3</w:t>
            </w:r>
            <w:r w:rsidR="00A66206">
              <w:t>0</w:t>
            </w:r>
          </w:p>
        </w:tc>
        <w:tc>
          <w:tcPr>
            <w:tcW w:w="1582" w:type="dxa"/>
            <w:tcBorders>
              <w:top w:val="single" w:sz="4" w:space="0" w:color="auto"/>
              <w:bottom w:val="single" w:sz="12" w:space="0" w:color="auto"/>
            </w:tcBorders>
            <w:shd w:val="clear" w:color="auto" w:fill="auto"/>
          </w:tcPr>
          <w:p w14:paraId="0BE9B741" w14:textId="77777777" w:rsidR="00417BE1" w:rsidRDefault="00417BE1" w:rsidP="001A1B5B">
            <w:pPr>
              <w:pStyle w:val="Tabletext0"/>
              <w:jc w:val="center"/>
            </w:pPr>
            <w:r>
              <w:t>1 MHz</w:t>
            </w:r>
          </w:p>
        </w:tc>
      </w:tr>
    </w:tbl>
    <w:p w14:paraId="093EF1F9" w14:textId="2DEB3063" w:rsidR="0091415F" w:rsidRDefault="0091415F" w:rsidP="0091415F">
      <w:pPr>
        <w:pStyle w:val="subsection"/>
      </w:pPr>
      <w:r>
        <w:tab/>
        <w:t>(</w:t>
      </w:r>
      <w:r w:rsidR="004724CD">
        <w:t>7</w:t>
      </w:r>
      <w:r>
        <w:t>)</w:t>
      </w:r>
      <w:r>
        <w:tab/>
        <w:t>For radiocommunications transmitters with AAS, the unwanted emission limit in Table</w:t>
      </w:r>
      <w:r w:rsidR="00CB7F96">
        <w:t> 5</w:t>
      </w:r>
      <w:r>
        <w:t>, measured over the specified bandwidth, applies at frequencies:</w:t>
      </w:r>
    </w:p>
    <w:p w14:paraId="4ED598F3" w14:textId="5E703462" w:rsidR="0091415F" w:rsidRDefault="0091415F" w:rsidP="0091415F">
      <w:pPr>
        <w:pStyle w:val="paragraph"/>
        <w:rPr>
          <w:iCs/>
        </w:rPr>
      </w:pPr>
      <w:r>
        <w:rPr>
          <w:iCs/>
        </w:rPr>
        <w:tab/>
        <w:t>(a)</w:t>
      </w:r>
      <w:r>
        <w:rPr>
          <w:iCs/>
        </w:rPr>
        <w:tab/>
        <w:t xml:space="preserve">for </w:t>
      </w:r>
      <w:proofErr w:type="gramStart"/>
      <w:r>
        <w:rPr>
          <w:iCs/>
        </w:rPr>
        <w:t>low risk</w:t>
      </w:r>
      <w:proofErr w:type="gramEnd"/>
      <w:r>
        <w:rPr>
          <w:iCs/>
        </w:rPr>
        <w:t xml:space="preserve"> transmitters – outside the 32</w:t>
      </w:r>
      <w:r w:rsidR="004724CD">
        <w:rPr>
          <w:iCs/>
        </w:rPr>
        <w:t>9</w:t>
      </w:r>
      <w:r>
        <w:rPr>
          <w:iCs/>
        </w:rPr>
        <w:t>5 MHz to 4105 MHz frequency band;</w:t>
      </w:r>
      <w:r w:rsidR="00FB6952">
        <w:rPr>
          <w:iCs/>
        </w:rPr>
        <w:t xml:space="preserve"> or</w:t>
      </w:r>
    </w:p>
    <w:p w14:paraId="735984A8" w14:textId="6A1556E6" w:rsidR="0091415F" w:rsidRPr="00D17D57" w:rsidRDefault="0091415F" w:rsidP="0091415F">
      <w:pPr>
        <w:pStyle w:val="paragraph"/>
        <w:rPr>
          <w:iCs/>
        </w:rPr>
      </w:pPr>
      <w:r>
        <w:rPr>
          <w:iCs/>
        </w:rPr>
        <w:tab/>
        <w:t>(b)</w:t>
      </w:r>
      <w:r>
        <w:rPr>
          <w:iCs/>
        </w:rPr>
        <w:tab/>
        <w:t xml:space="preserve">otherwise – outside the 3360 MHz to </w:t>
      </w:r>
      <w:r w:rsidR="00407CB9">
        <w:rPr>
          <w:iCs/>
        </w:rPr>
        <w:t xml:space="preserve">4040 </w:t>
      </w:r>
      <w:r>
        <w:rPr>
          <w:iCs/>
        </w:rPr>
        <w:t>MHz frequency band;</w:t>
      </w:r>
    </w:p>
    <w:p w14:paraId="4C430DD4" w14:textId="77777777" w:rsidR="0091415F" w:rsidRDefault="0091415F" w:rsidP="0091415F">
      <w:pPr>
        <w:pStyle w:val="subsection"/>
      </w:pPr>
      <w:r>
        <w:tab/>
      </w:r>
      <w:r>
        <w:tab/>
        <w:t>where:</w:t>
      </w:r>
    </w:p>
    <w:p w14:paraId="43764DF7" w14:textId="77777777" w:rsidR="0091415F" w:rsidRDefault="0091415F" w:rsidP="0091415F">
      <w:pPr>
        <w:pStyle w:val="Item"/>
        <w:keepNext/>
        <w:ind w:left="1276"/>
      </w:pPr>
      <w:r>
        <w:rPr>
          <w:b/>
          <w:bCs/>
          <w:i/>
          <w:iCs/>
        </w:rPr>
        <w:t>f</w:t>
      </w:r>
      <w:r>
        <w:t xml:space="preserve"> means the frequency of the unwanted emission.</w:t>
      </w:r>
    </w:p>
    <w:p w14:paraId="2C99CF4E" w14:textId="573E4E97" w:rsidR="0091415F" w:rsidRPr="006F7DE8" w:rsidRDefault="0091415F" w:rsidP="00C7448E">
      <w:pPr>
        <w:pStyle w:val="notetext"/>
        <w:spacing w:after="120"/>
      </w:pPr>
      <w:r>
        <w:t>Note:</w:t>
      </w:r>
      <w:r w:rsidR="006D4466">
        <w:tab/>
      </w:r>
      <w:r>
        <w:t>This subclause applies to all radiocommunications transmitters</w:t>
      </w:r>
      <w:r w:rsidR="00A24B5D">
        <w:t xml:space="preserve"> with AAS</w:t>
      </w:r>
      <w:r>
        <w:t xml:space="preserve"> – see subclauses (1) and (2).</w:t>
      </w:r>
    </w:p>
    <w:p w14:paraId="23B29D42" w14:textId="1083910E" w:rsidR="0091415F" w:rsidRPr="0099583D" w:rsidRDefault="0091415F" w:rsidP="0091415F">
      <w:pPr>
        <w:pStyle w:val="paragraph"/>
        <w:keepNext/>
        <w:tabs>
          <w:tab w:val="clear" w:pos="1531"/>
        </w:tabs>
        <w:spacing w:after="120"/>
        <w:ind w:left="1843" w:hanging="851"/>
        <w:rPr>
          <w:b/>
          <w:bCs/>
          <w:vertAlign w:val="subscript"/>
        </w:rPr>
      </w:pPr>
      <w:r>
        <w:rPr>
          <w:b/>
          <w:bCs/>
        </w:rPr>
        <w:t xml:space="preserve">Table </w:t>
      </w:r>
      <w:r w:rsidR="00CB7F96">
        <w:rPr>
          <w:b/>
          <w:bCs/>
        </w:rPr>
        <w:t>5</w:t>
      </w:r>
      <w:r>
        <w:rPr>
          <w:b/>
          <w:bCs/>
        </w:rPr>
        <w:t>: Unwanted emission limit – radiocommunications transmitters with AAS, outside certain bands</w:t>
      </w:r>
    </w:p>
    <w:tbl>
      <w:tblPr>
        <w:tblW w:w="7111" w:type="dxa"/>
        <w:jc w:val="center"/>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2835"/>
        <w:gridCol w:w="2694"/>
        <w:gridCol w:w="1582"/>
      </w:tblGrid>
      <w:tr w:rsidR="0091415F" w:rsidRPr="00AB629C" w14:paraId="1BD7783F" w14:textId="77777777" w:rsidTr="001A1B5B">
        <w:trPr>
          <w:tblHeader/>
          <w:jc w:val="center"/>
        </w:trPr>
        <w:tc>
          <w:tcPr>
            <w:tcW w:w="2835" w:type="dxa"/>
            <w:tcBorders>
              <w:top w:val="single" w:sz="6" w:space="0" w:color="auto"/>
              <w:bottom w:val="single" w:sz="6" w:space="0" w:color="auto"/>
            </w:tcBorders>
            <w:shd w:val="clear" w:color="auto" w:fill="auto"/>
          </w:tcPr>
          <w:p w14:paraId="1647B01D" w14:textId="77777777" w:rsidR="0091415F" w:rsidRPr="00AB629C" w:rsidRDefault="0091415F" w:rsidP="001A1B5B">
            <w:pPr>
              <w:pStyle w:val="TableHeading"/>
              <w:jc w:val="center"/>
            </w:pPr>
            <w:r w:rsidRPr="00AB629C">
              <w:t>Column 1</w:t>
            </w:r>
          </w:p>
        </w:tc>
        <w:tc>
          <w:tcPr>
            <w:tcW w:w="2694" w:type="dxa"/>
            <w:tcBorders>
              <w:top w:val="single" w:sz="6" w:space="0" w:color="auto"/>
              <w:bottom w:val="single" w:sz="6" w:space="0" w:color="auto"/>
            </w:tcBorders>
            <w:shd w:val="clear" w:color="auto" w:fill="auto"/>
          </w:tcPr>
          <w:p w14:paraId="573C18C8" w14:textId="77777777" w:rsidR="0091415F" w:rsidRPr="00AB629C" w:rsidRDefault="0091415F" w:rsidP="001A1B5B">
            <w:pPr>
              <w:pStyle w:val="TableHeading"/>
              <w:jc w:val="center"/>
            </w:pPr>
            <w:r w:rsidRPr="00AB629C">
              <w:t>Column 2</w:t>
            </w:r>
          </w:p>
        </w:tc>
        <w:tc>
          <w:tcPr>
            <w:tcW w:w="1582" w:type="dxa"/>
            <w:tcBorders>
              <w:top w:val="single" w:sz="6" w:space="0" w:color="auto"/>
              <w:bottom w:val="single" w:sz="6" w:space="0" w:color="auto"/>
            </w:tcBorders>
            <w:shd w:val="clear" w:color="auto" w:fill="auto"/>
          </w:tcPr>
          <w:p w14:paraId="378F9F1A" w14:textId="77777777" w:rsidR="0091415F" w:rsidRPr="00AB629C" w:rsidRDefault="0091415F" w:rsidP="001A1B5B">
            <w:pPr>
              <w:pStyle w:val="TableHeading"/>
              <w:jc w:val="center"/>
            </w:pPr>
            <w:r w:rsidRPr="00AB629C">
              <w:t>Column 3</w:t>
            </w:r>
          </w:p>
        </w:tc>
      </w:tr>
      <w:tr w:rsidR="0091415F" w:rsidRPr="00AB629C" w14:paraId="5E204FD9" w14:textId="77777777" w:rsidTr="001A1B5B">
        <w:trPr>
          <w:tblHeader/>
          <w:jc w:val="center"/>
        </w:trPr>
        <w:tc>
          <w:tcPr>
            <w:tcW w:w="2835" w:type="dxa"/>
            <w:tcBorders>
              <w:top w:val="single" w:sz="6" w:space="0" w:color="auto"/>
              <w:bottom w:val="single" w:sz="12" w:space="0" w:color="auto"/>
            </w:tcBorders>
            <w:shd w:val="clear" w:color="auto" w:fill="auto"/>
          </w:tcPr>
          <w:p w14:paraId="342CCD86" w14:textId="77777777" w:rsidR="0091415F" w:rsidRPr="00AB629C" w:rsidRDefault="0091415F" w:rsidP="001A1B5B">
            <w:pPr>
              <w:pStyle w:val="TableHeading"/>
              <w:jc w:val="center"/>
            </w:pPr>
            <w:r>
              <w:t>Frequency range (</w:t>
            </w:r>
            <w:r>
              <w:rPr>
                <w:i/>
                <w:iCs/>
              </w:rPr>
              <w:t>f</w:t>
            </w:r>
            <w:r>
              <w:t>)</w:t>
            </w:r>
          </w:p>
        </w:tc>
        <w:tc>
          <w:tcPr>
            <w:tcW w:w="2694" w:type="dxa"/>
            <w:tcBorders>
              <w:top w:val="single" w:sz="6" w:space="0" w:color="auto"/>
              <w:bottom w:val="single" w:sz="12" w:space="0" w:color="auto"/>
            </w:tcBorders>
            <w:shd w:val="clear" w:color="auto" w:fill="auto"/>
          </w:tcPr>
          <w:p w14:paraId="35D54FD8" w14:textId="2BBC83A7" w:rsidR="0091415F" w:rsidRPr="00AB629C" w:rsidRDefault="00A66206" w:rsidP="001A1B5B">
            <w:pPr>
              <w:pStyle w:val="TableHeading"/>
              <w:jc w:val="center"/>
            </w:pPr>
            <w:r>
              <w:t>Total radiated power</w:t>
            </w:r>
            <w:r w:rsidR="0091415F">
              <w:t xml:space="preserve"> (dBm)</w:t>
            </w:r>
          </w:p>
        </w:tc>
        <w:tc>
          <w:tcPr>
            <w:tcW w:w="1582" w:type="dxa"/>
            <w:tcBorders>
              <w:top w:val="single" w:sz="6" w:space="0" w:color="auto"/>
              <w:bottom w:val="single" w:sz="12" w:space="0" w:color="auto"/>
            </w:tcBorders>
            <w:shd w:val="clear" w:color="auto" w:fill="auto"/>
          </w:tcPr>
          <w:p w14:paraId="5364D3DB" w14:textId="77777777" w:rsidR="0091415F" w:rsidRPr="00AB629C" w:rsidRDefault="0091415F" w:rsidP="001A1B5B">
            <w:pPr>
              <w:pStyle w:val="TableHeading"/>
              <w:jc w:val="center"/>
            </w:pPr>
            <w:r>
              <w:t>Specified bandwidth</w:t>
            </w:r>
          </w:p>
        </w:tc>
      </w:tr>
      <w:tr w:rsidR="0091415F" w:rsidRPr="00AB629C" w14:paraId="28420394" w14:textId="77777777" w:rsidTr="001A1B5B">
        <w:trPr>
          <w:jc w:val="center"/>
        </w:trPr>
        <w:tc>
          <w:tcPr>
            <w:tcW w:w="2835" w:type="dxa"/>
            <w:tcBorders>
              <w:top w:val="single" w:sz="12" w:space="0" w:color="auto"/>
              <w:bottom w:val="single" w:sz="4" w:space="0" w:color="auto"/>
            </w:tcBorders>
            <w:shd w:val="clear" w:color="auto" w:fill="auto"/>
          </w:tcPr>
          <w:p w14:paraId="18A42920" w14:textId="77777777" w:rsidR="0091415F" w:rsidRPr="000D2783" w:rsidRDefault="0091415F" w:rsidP="001A1B5B">
            <w:pPr>
              <w:pStyle w:val="Tabletext0"/>
              <w:jc w:val="center"/>
              <w:rPr>
                <w:vertAlign w:val="subscript"/>
              </w:rPr>
            </w:pPr>
            <w:r>
              <w:t>9 kHz ≤</w:t>
            </w:r>
            <w:r>
              <w:rPr>
                <w:i/>
                <w:iCs/>
              </w:rPr>
              <w:t xml:space="preserve"> f </w:t>
            </w:r>
            <w:r>
              <w:t>&lt; 150 kHz</w:t>
            </w:r>
          </w:p>
        </w:tc>
        <w:tc>
          <w:tcPr>
            <w:tcW w:w="2694" w:type="dxa"/>
            <w:tcBorders>
              <w:top w:val="single" w:sz="12" w:space="0" w:color="auto"/>
              <w:bottom w:val="single" w:sz="4" w:space="0" w:color="auto"/>
            </w:tcBorders>
            <w:shd w:val="clear" w:color="auto" w:fill="auto"/>
          </w:tcPr>
          <w:p w14:paraId="6CCA7CAD" w14:textId="2D088B89" w:rsidR="0091415F" w:rsidRPr="00912BA5" w:rsidRDefault="0091415F" w:rsidP="001A1B5B">
            <w:pPr>
              <w:pStyle w:val="Tabletext0"/>
              <w:jc w:val="center"/>
            </w:pPr>
            <w:r>
              <w:t>-</w:t>
            </w:r>
            <w:r w:rsidR="00A66206">
              <w:t>27</w:t>
            </w:r>
          </w:p>
        </w:tc>
        <w:tc>
          <w:tcPr>
            <w:tcW w:w="1582" w:type="dxa"/>
            <w:tcBorders>
              <w:top w:val="single" w:sz="12" w:space="0" w:color="auto"/>
              <w:bottom w:val="single" w:sz="4" w:space="0" w:color="auto"/>
            </w:tcBorders>
            <w:shd w:val="clear" w:color="auto" w:fill="auto"/>
          </w:tcPr>
          <w:p w14:paraId="2F1DE0B3" w14:textId="77777777" w:rsidR="0091415F" w:rsidRPr="00AB629C" w:rsidRDefault="0091415F" w:rsidP="001A1B5B">
            <w:pPr>
              <w:pStyle w:val="Tabletext0"/>
              <w:jc w:val="center"/>
            </w:pPr>
            <w:r>
              <w:t>1 kHz</w:t>
            </w:r>
          </w:p>
        </w:tc>
      </w:tr>
      <w:tr w:rsidR="0091415F" w:rsidRPr="00AB629C" w14:paraId="3645D02F" w14:textId="77777777" w:rsidTr="001A1B5B">
        <w:trPr>
          <w:jc w:val="center"/>
        </w:trPr>
        <w:tc>
          <w:tcPr>
            <w:tcW w:w="2835" w:type="dxa"/>
            <w:tcBorders>
              <w:top w:val="single" w:sz="4" w:space="0" w:color="auto"/>
              <w:bottom w:val="single" w:sz="4" w:space="0" w:color="auto"/>
            </w:tcBorders>
            <w:shd w:val="clear" w:color="auto" w:fill="auto"/>
          </w:tcPr>
          <w:p w14:paraId="0790025C" w14:textId="77777777" w:rsidR="0091415F" w:rsidRDefault="0091415F" w:rsidP="001A1B5B">
            <w:pPr>
              <w:pStyle w:val="Tabletext0"/>
              <w:jc w:val="center"/>
            </w:pPr>
            <w:r>
              <w:t>150 kHz ≤</w:t>
            </w:r>
            <w:r>
              <w:rPr>
                <w:i/>
                <w:iCs/>
              </w:rPr>
              <w:t xml:space="preserve"> f </w:t>
            </w:r>
            <w:r>
              <w:t>&lt; 30 MHz</w:t>
            </w:r>
          </w:p>
        </w:tc>
        <w:tc>
          <w:tcPr>
            <w:tcW w:w="2694" w:type="dxa"/>
            <w:tcBorders>
              <w:top w:val="single" w:sz="4" w:space="0" w:color="auto"/>
              <w:bottom w:val="single" w:sz="4" w:space="0" w:color="auto"/>
            </w:tcBorders>
            <w:shd w:val="clear" w:color="auto" w:fill="auto"/>
          </w:tcPr>
          <w:p w14:paraId="3AB742BD" w14:textId="50291F0D" w:rsidR="0091415F" w:rsidRDefault="0091415F" w:rsidP="001A1B5B">
            <w:pPr>
              <w:pStyle w:val="Tabletext0"/>
              <w:jc w:val="center"/>
            </w:pPr>
            <w:r>
              <w:t>-</w:t>
            </w:r>
            <w:r w:rsidR="00A66206">
              <w:t>27</w:t>
            </w:r>
          </w:p>
        </w:tc>
        <w:tc>
          <w:tcPr>
            <w:tcW w:w="1582" w:type="dxa"/>
            <w:tcBorders>
              <w:top w:val="single" w:sz="4" w:space="0" w:color="auto"/>
              <w:bottom w:val="single" w:sz="4" w:space="0" w:color="auto"/>
            </w:tcBorders>
            <w:shd w:val="clear" w:color="auto" w:fill="auto"/>
          </w:tcPr>
          <w:p w14:paraId="238812CC" w14:textId="77777777" w:rsidR="0091415F" w:rsidRDefault="0091415F" w:rsidP="001A1B5B">
            <w:pPr>
              <w:pStyle w:val="Tabletext0"/>
              <w:jc w:val="center"/>
            </w:pPr>
            <w:r>
              <w:t>10 kHz</w:t>
            </w:r>
          </w:p>
        </w:tc>
      </w:tr>
      <w:tr w:rsidR="0091415F" w:rsidRPr="00AB629C" w14:paraId="089EDD1D" w14:textId="77777777" w:rsidTr="001A1B5B">
        <w:trPr>
          <w:jc w:val="center"/>
        </w:trPr>
        <w:tc>
          <w:tcPr>
            <w:tcW w:w="2835" w:type="dxa"/>
            <w:tcBorders>
              <w:top w:val="single" w:sz="4" w:space="0" w:color="auto"/>
              <w:bottom w:val="single" w:sz="4" w:space="0" w:color="auto"/>
            </w:tcBorders>
            <w:shd w:val="clear" w:color="auto" w:fill="auto"/>
          </w:tcPr>
          <w:p w14:paraId="2F507E21" w14:textId="77777777" w:rsidR="0091415F" w:rsidRDefault="0091415F" w:rsidP="001A1B5B">
            <w:pPr>
              <w:pStyle w:val="Tabletext0"/>
              <w:jc w:val="center"/>
            </w:pPr>
            <w:r>
              <w:t>30 MHz ≤</w:t>
            </w:r>
            <w:r>
              <w:rPr>
                <w:i/>
                <w:iCs/>
              </w:rPr>
              <w:t xml:space="preserve"> f </w:t>
            </w:r>
            <w:r>
              <w:t>&lt; 1 GHz</w:t>
            </w:r>
          </w:p>
        </w:tc>
        <w:tc>
          <w:tcPr>
            <w:tcW w:w="2694" w:type="dxa"/>
            <w:tcBorders>
              <w:top w:val="single" w:sz="4" w:space="0" w:color="auto"/>
              <w:bottom w:val="single" w:sz="4" w:space="0" w:color="auto"/>
            </w:tcBorders>
            <w:shd w:val="clear" w:color="auto" w:fill="auto"/>
          </w:tcPr>
          <w:p w14:paraId="3E0396C6" w14:textId="1B93180D" w:rsidR="0091415F" w:rsidRDefault="0091415F" w:rsidP="001A1B5B">
            <w:pPr>
              <w:pStyle w:val="Tabletext0"/>
              <w:jc w:val="center"/>
            </w:pPr>
            <w:r>
              <w:t>-</w:t>
            </w:r>
            <w:r w:rsidR="00A66206">
              <w:t>27</w:t>
            </w:r>
          </w:p>
        </w:tc>
        <w:tc>
          <w:tcPr>
            <w:tcW w:w="1582" w:type="dxa"/>
            <w:tcBorders>
              <w:top w:val="single" w:sz="4" w:space="0" w:color="auto"/>
              <w:bottom w:val="single" w:sz="4" w:space="0" w:color="auto"/>
            </w:tcBorders>
            <w:shd w:val="clear" w:color="auto" w:fill="auto"/>
          </w:tcPr>
          <w:p w14:paraId="2ABBFB27" w14:textId="77777777" w:rsidR="0091415F" w:rsidRDefault="0091415F" w:rsidP="001A1B5B">
            <w:pPr>
              <w:pStyle w:val="Tabletext0"/>
              <w:jc w:val="center"/>
            </w:pPr>
            <w:r>
              <w:t>100 kHz</w:t>
            </w:r>
          </w:p>
        </w:tc>
      </w:tr>
      <w:tr w:rsidR="0091415F" w:rsidRPr="00AB629C" w14:paraId="0F261025" w14:textId="77777777" w:rsidTr="001A1B5B">
        <w:trPr>
          <w:jc w:val="center"/>
        </w:trPr>
        <w:tc>
          <w:tcPr>
            <w:tcW w:w="2835" w:type="dxa"/>
            <w:tcBorders>
              <w:top w:val="single" w:sz="4" w:space="0" w:color="auto"/>
              <w:bottom w:val="single" w:sz="12" w:space="0" w:color="auto"/>
            </w:tcBorders>
            <w:shd w:val="clear" w:color="auto" w:fill="auto"/>
          </w:tcPr>
          <w:p w14:paraId="5195621F" w14:textId="590CFDB7" w:rsidR="0091415F" w:rsidRPr="00905D58" w:rsidRDefault="00A66206" w:rsidP="001A1B5B">
            <w:pPr>
              <w:pStyle w:val="Tabletext0"/>
              <w:jc w:val="center"/>
            </w:pPr>
            <w:r>
              <w:t>1 GHz ≤</w:t>
            </w:r>
            <w:r>
              <w:rPr>
                <w:i/>
                <w:iCs/>
              </w:rPr>
              <w:t xml:space="preserve"> f </w:t>
            </w:r>
            <w:r>
              <w:t>&lt; 19 GHz</w:t>
            </w:r>
          </w:p>
        </w:tc>
        <w:tc>
          <w:tcPr>
            <w:tcW w:w="2694" w:type="dxa"/>
            <w:tcBorders>
              <w:top w:val="single" w:sz="4" w:space="0" w:color="auto"/>
              <w:bottom w:val="single" w:sz="12" w:space="0" w:color="auto"/>
            </w:tcBorders>
            <w:shd w:val="clear" w:color="auto" w:fill="auto"/>
          </w:tcPr>
          <w:p w14:paraId="6AE22F21" w14:textId="7CC22354" w:rsidR="0091415F" w:rsidRDefault="0091415F" w:rsidP="001A1B5B">
            <w:pPr>
              <w:pStyle w:val="Tabletext0"/>
              <w:jc w:val="center"/>
            </w:pPr>
            <w:r>
              <w:t>-</w:t>
            </w:r>
            <w:r w:rsidR="00A66206">
              <w:t>21</w:t>
            </w:r>
          </w:p>
        </w:tc>
        <w:tc>
          <w:tcPr>
            <w:tcW w:w="1582" w:type="dxa"/>
            <w:tcBorders>
              <w:top w:val="single" w:sz="4" w:space="0" w:color="auto"/>
              <w:bottom w:val="single" w:sz="12" w:space="0" w:color="auto"/>
            </w:tcBorders>
            <w:shd w:val="clear" w:color="auto" w:fill="auto"/>
          </w:tcPr>
          <w:p w14:paraId="0236E619" w14:textId="77777777" w:rsidR="0091415F" w:rsidRDefault="0091415F" w:rsidP="001A1B5B">
            <w:pPr>
              <w:pStyle w:val="Tabletext0"/>
              <w:jc w:val="center"/>
            </w:pPr>
            <w:r>
              <w:t>1 MHz</w:t>
            </w:r>
          </w:p>
        </w:tc>
      </w:tr>
    </w:tbl>
    <w:bookmarkEnd w:id="7"/>
    <w:p w14:paraId="4FD01990" w14:textId="025F301F" w:rsidR="00136A75" w:rsidRPr="00894D32" w:rsidRDefault="00136A75" w:rsidP="00136A75">
      <w:pPr>
        <w:pStyle w:val="ActHead5"/>
      </w:pPr>
      <w:r w:rsidRPr="00894D32">
        <w:rPr>
          <w:rStyle w:val="CharSectno"/>
        </w:rPr>
        <w:t>1</w:t>
      </w:r>
      <w:r w:rsidR="0023354F" w:rsidRPr="00894D32">
        <w:rPr>
          <w:rStyle w:val="CharSectno"/>
        </w:rPr>
        <w:t>0</w:t>
      </w:r>
      <w:r w:rsidRPr="00894D32">
        <w:t xml:space="preserve">  Permission –</w:t>
      </w:r>
      <w:r w:rsidR="00DE74C5" w:rsidRPr="00894D32">
        <w:t xml:space="preserve"> RALI MS 47</w:t>
      </w:r>
    </w:p>
    <w:p w14:paraId="7D717F8D" w14:textId="0B1216E4" w:rsidR="00136A75" w:rsidRPr="00894D32" w:rsidRDefault="00136A75" w:rsidP="00136A75">
      <w:pPr>
        <w:pStyle w:val="subsection"/>
        <w:rPr>
          <w:i/>
          <w:iCs/>
        </w:rPr>
      </w:pPr>
      <w:r w:rsidRPr="00894D32">
        <w:rPr>
          <w:i/>
          <w:iCs/>
        </w:rPr>
        <w:t>Permission to operate transmitter otherwise than in accordance with RALI MS 47</w:t>
      </w:r>
    </w:p>
    <w:p w14:paraId="0637470D" w14:textId="77777777" w:rsidR="00136A75" w:rsidRPr="00894D32" w:rsidRDefault="00136A75" w:rsidP="00136A75">
      <w:pPr>
        <w:pStyle w:val="subsection"/>
      </w:pPr>
      <w:r w:rsidRPr="00894D32">
        <w:tab/>
        <w:t>(1)</w:t>
      </w:r>
      <w:r w:rsidRPr="00894D32">
        <w:tab/>
        <w:t>If:</w:t>
      </w:r>
    </w:p>
    <w:p w14:paraId="11AD76E5" w14:textId="2E538862" w:rsidR="00136A75" w:rsidRPr="00894D32" w:rsidRDefault="00136A75" w:rsidP="00136A75">
      <w:pPr>
        <w:pStyle w:val="paragraph"/>
      </w:pPr>
      <w:r w:rsidRPr="00894D32">
        <w:tab/>
        <w:t>(a)</w:t>
      </w:r>
      <w:r w:rsidRPr="00894D32">
        <w:tab/>
        <w:t xml:space="preserve">a </w:t>
      </w:r>
      <w:r w:rsidR="008F4E55">
        <w:t>licensee</w:t>
      </w:r>
      <w:r w:rsidRPr="00894D32">
        <w:t xml:space="preserve"> is given permission under this </w:t>
      </w:r>
      <w:r w:rsidR="00236820" w:rsidRPr="00894D32">
        <w:t xml:space="preserve">clause </w:t>
      </w:r>
      <w:r w:rsidRPr="00894D32">
        <w:t>in relation to the operation of a</w:t>
      </w:r>
      <w:r w:rsidR="00DE74C5" w:rsidRPr="00894D32">
        <w:t xml:space="preserve"> radiocommunications transmitter otherwise than in accordance with </w:t>
      </w:r>
      <w:r w:rsidR="0083401B">
        <w:t xml:space="preserve">a </w:t>
      </w:r>
      <w:r w:rsidR="007C7991" w:rsidRPr="00894D32">
        <w:t>requirement</w:t>
      </w:r>
      <w:r w:rsidR="00DE74C5" w:rsidRPr="00894D32">
        <w:t xml:space="preserve"> of RALI MS 47</w:t>
      </w:r>
      <w:r w:rsidRPr="00894D32">
        <w:t>; and</w:t>
      </w:r>
    </w:p>
    <w:p w14:paraId="46B6F95F" w14:textId="7453AE42" w:rsidR="00136A75" w:rsidRPr="00894D32" w:rsidRDefault="00136A75" w:rsidP="00136A75">
      <w:pPr>
        <w:pStyle w:val="paragraph"/>
      </w:pPr>
      <w:r w:rsidRPr="00894D32">
        <w:tab/>
        <w:t>(b)</w:t>
      </w:r>
      <w:r w:rsidRPr="00894D32">
        <w:tab/>
      </w:r>
      <w:r w:rsidR="00657CC1" w:rsidRPr="00894D32">
        <w:t xml:space="preserve">the </w:t>
      </w:r>
      <w:r w:rsidR="007C7991" w:rsidRPr="00894D32">
        <w:t>requirement</w:t>
      </w:r>
      <w:r w:rsidR="00657CC1" w:rsidRPr="00894D32">
        <w:t xml:space="preserve"> of RALI MS 47 relate</w:t>
      </w:r>
      <w:r w:rsidR="00AD1CC1">
        <w:t>s</w:t>
      </w:r>
      <w:r w:rsidR="00657CC1" w:rsidRPr="00894D32">
        <w:t xml:space="preserve"> to</w:t>
      </w:r>
      <w:r w:rsidR="00AD1CC1">
        <w:t xml:space="preserve"> a</w:t>
      </w:r>
      <w:r w:rsidR="00657CC1" w:rsidRPr="00894D32">
        <w:t xml:space="preserve"> matter specified in clause 4</w:t>
      </w:r>
      <w:r w:rsidRPr="00894D32">
        <w:t>; and</w:t>
      </w:r>
    </w:p>
    <w:p w14:paraId="7489849B" w14:textId="5A61ED1C" w:rsidR="00136A75" w:rsidRPr="00894D32" w:rsidRDefault="00136A75" w:rsidP="00136A75">
      <w:pPr>
        <w:pStyle w:val="paragraph"/>
      </w:pPr>
      <w:r w:rsidRPr="00894D32">
        <w:tab/>
        <w:t>(c)</w:t>
      </w:r>
      <w:r w:rsidRPr="00894D32">
        <w:tab/>
        <w:t>operation of th</w:t>
      </w:r>
      <w:r w:rsidR="000800B9" w:rsidRPr="00894D32">
        <w:t xml:space="preserve">e transmitter </w:t>
      </w:r>
      <w:r w:rsidRPr="00894D32">
        <w:t xml:space="preserve">would, but for the effect of this </w:t>
      </w:r>
      <w:r w:rsidR="00657CC1" w:rsidRPr="00894D32">
        <w:t>clause</w:t>
      </w:r>
      <w:r w:rsidRPr="00894D32">
        <w:t xml:space="preserve">, contravene </w:t>
      </w:r>
      <w:r w:rsidR="00657CC1" w:rsidRPr="00894D32">
        <w:t>the</w:t>
      </w:r>
      <w:r w:rsidRPr="00894D32">
        <w:t xml:space="preserve"> condition in </w:t>
      </w:r>
      <w:r w:rsidR="00657CC1" w:rsidRPr="00894D32">
        <w:t>clause 4</w:t>
      </w:r>
      <w:r w:rsidRPr="00894D32">
        <w:t>; and</w:t>
      </w:r>
    </w:p>
    <w:p w14:paraId="5AB11901" w14:textId="77777777" w:rsidR="00136A75" w:rsidRPr="00894D32" w:rsidRDefault="00136A75" w:rsidP="00136A75">
      <w:pPr>
        <w:pStyle w:val="paragraph"/>
      </w:pPr>
      <w:r w:rsidRPr="00894D32">
        <w:tab/>
        <w:t>(d)</w:t>
      </w:r>
      <w:r w:rsidRPr="00894D32">
        <w:tab/>
        <w:t xml:space="preserve">the ACMA has not revoked the permission; </w:t>
      </w:r>
    </w:p>
    <w:p w14:paraId="57192E61" w14:textId="55A3D172" w:rsidR="00136A75" w:rsidRPr="00894D32" w:rsidRDefault="00136A75" w:rsidP="00136A75">
      <w:pPr>
        <w:pStyle w:val="subsection"/>
        <w:spacing w:before="60"/>
      </w:pPr>
      <w:r w:rsidRPr="00894D32">
        <w:tab/>
      </w:r>
      <w:r w:rsidRPr="00894D32">
        <w:tab/>
      </w:r>
      <w:r w:rsidR="00BE266A" w:rsidRPr="00894D32">
        <w:t xml:space="preserve">the </w:t>
      </w:r>
      <w:r w:rsidR="008F4E55">
        <w:t>licensee</w:t>
      </w:r>
      <w:r w:rsidR="00BE266A" w:rsidRPr="00894D32">
        <w:t xml:space="preserve"> does </w:t>
      </w:r>
      <w:r w:rsidR="008F4E55">
        <w:t xml:space="preserve">not </w:t>
      </w:r>
      <w:r w:rsidR="00BE266A" w:rsidRPr="00894D32">
        <w:t>contravene the condition in clause 4 if they operate the transmitter in accordance with the permission.</w:t>
      </w:r>
    </w:p>
    <w:p w14:paraId="26F41602" w14:textId="77777777" w:rsidR="00136A75" w:rsidRPr="00894D32" w:rsidRDefault="00136A75" w:rsidP="00136A75">
      <w:pPr>
        <w:pStyle w:val="subsection"/>
        <w:rPr>
          <w:i/>
          <w:iCs/>
        </w:rPr>
      </w:pPr>
      <w:r w:rsidRPr="00894D32">
        <w:rPr>
          <w:i/>
          <w:iCs/>
        </w:rPr>
        <w:t>Application for permission</w:t>
      </w:r>
    </w:p>
    <w:p w14:paraId="7CFD0099" w14:textId="0149949C" w:rsidR="00136A75" w:rsidRPr="00894D32" w:rsidRDefault="00136A75" w:rsidP="00136A75">
      <w:pPr>
        <w:pStyle w:val="subsection"/>
      </w:pPr>
      <w:r w:rsidRPr="00894D32">
        <w:tab/>
        <w:t>(2)</w:t>
      </w:r>
      <w:r w:rsidRPr="00894D32">
        <w:tab/>
        <w:t xml:space="preserve">A </w:t>
      </w:r>
      <w:r w:rsidR="008F4E55">
        <w:t>licensee</w:t>
      </w:r>
      <w:r w:rsidRPr="00894D32">
        <w:t xml:space="preserve"> may apply, in writing, to the ACMA for permission to operate </w:t>
      </w:r>
      <w:r w:rsidR="00BE266A" w:rsidRPr="00894D32">
        <w:t>a radiocommunications transmitter</w:t>
      </w:r>
      <w:r w:rsidR="002B18B9" w:rsidRPr="00894D32">
        <w:t xml:space="preserve"> otherwise than in accordance </w:t>
      </w:r>
      <w:r w:rsidR="000376F1">
        <w:t xml:space="preserve">with a </w:t>
      </w:r>
      <w:r w:rsidR="00AD1CC1">
        <w:t>requirement of RALI MS 47 that relates to a matter specified in clause 4</w:t>
      </w:r>
      <w:r w:rsidRPr="00894D32">
        <w:t>.</w:t>
      </w:r>
    </w:p>
    <w:p w14:paraId="110CDE6D" w14:textId="0CD806A9" w:rsidR="00136A75" w:rsidRPr="00894D32" w:rsidRDefault="00136A75" w:rsidP="00136A75">
      <w:pPr>
        <w:pStyle w:val="subsection"/>
      </w:pPr>
      <w:r w:rsidRPr="00894D32">
        <w:lastRenderedPageBreak/>
        <w:tab/>
        <w:t>(3)</w:t>
      </w:r>
      <w:r w:rsidRPr="00894D32">
        <w:tab/>
        <w:t>An application under sub</w:t>
      </w:r>
      <w:r w:rsidR="002B18B9" w:rsidRPr="00894D32">
        <w:t>clause</w:t>
      </w:r>
      <w:r w:rsidRPr="00894D32">
        <w:t xml:space="preserve"> </w:t>
      </w:r>
      <w:r w:rsidR="002B18B9" w:rsidRPr="00894D32">
        <w:t>(2</w:t>
      </w:r>
      <w:r w:rsidRPr="00894D32">
        <w:t>) must be:</w:t>
      </w:r>
    </w:p>
    <w:p w14:paraId="35BDC45B" w14:textId="77777777" w:rsidR="00136A75" w:rsidRPr="00894D32" w:rsidRDefault="00136A75" w:rsidP="00136A75">
      <w:pPr>
        <w:pStyle w:val="paragraph"/>
      </w:pPr>
      <w:r w:rsidRPr="00894D32">
        <w:tab/>
        <w:t>(a)</w:t>
      </w:r>
      <w:r w:rsidRPr="00894D32">
        <w:tab/>
        <w:t>in a form approved by the ACMA (if any); and</w:t>
      </w:r>
    </w:p>
    <w:p w14:paraId="4C2298D8" w14:textId="77777777" w:rsidR="00136A75" w:rsidRPr="00894D32" w:rsidRDefault="00136A75" w:rsidP="00136A75">
      <w:pPr>
        <w:pStyle w:val="paragraph"/>
      </w:pPr>
      <w:r w:rsidRPr="00894D32">
        <w:tab/>
        <w:t>(b)</w:t>
      </w:r>
      <w:r w:rsidRPr="00894D32">
        <w:tab/>
        <w:t>made in a manner approved by the ACMA (if any); and</w:t>
      </w:r>
    </w:p>
    <w:p w14:paraId="664E82BD" w14:textId="77777777" w:rsidR="00136A75" w:rsidRPr="00894D32" w:rsidRDefault="00136A75" w:rsidP="00136A75">
      <w:pPr>
        <w:pStyle w:val="paragraph"/>
      </w:pPr>
      <w:r w:rsidRPr="00894D32">
        <w:tab/>
        <w:t>(c)</w:t>
      </w:r>
      <w:r w:rsidRPr="00894D32">
        <w:tab/>
        <w:t xml:space="preserve">accompanied by the charged determined by the ACMA (if any) under section 60 of the </w:t>
      </w:r>
      <w:r w:rsidRPr="00894D32">
        <w:rPr>
          <w:i/>
          <w:iCs/>
        </w:rPr>
        <w:t>Australian Communications and Media Authority Act 2005</w:t>
      </w:r>
      <w:r w:rsidRPr="00894D32">
        <w:t>.</w:t>
      </w:r>
    </w:p>
    <w:p w14:paraId="6CFA788E" w14:textId="77777777" w:rsidR="00136A75" w:rsidRPr="00894D32" w:rsidRDefault="00136A75" w:rsidP="00136A75">
      <w:pPr>
        <w:pStyle w:val="subsection"/>
      </w:pPr>
      <w:r w:rsidRPr="00894D32">
        <w:tab/>
        <w:t>(4)</w:t>
      </w:r>
      <w:r w:rsidRPr="00894D32">
        <w:tab/>
        <w:t>The ACMA may approve one or more forms for the purposes of paragraph (3)(a).</w:t>
      </w:r>
    </w:p>
    <w:p w14:paraId="5FEFCF01" w14:textId="77777777" w:rsidR="00136A75" w:rsidRPr="00894D32" w:rsidRDefault="00136A75" w:rsidP="00136A75">
      <w:pPr>
        <w:pStyle w:val="subsection"/>
      </w:pPr>
      <w:r w:rsidRPr="00894D32">
        <w:tab/>
        <w:t>(5)</w:t>
      </w:r>
      <w:r w:rsidRPr="00894D32">
        <w:tab/>
        <w:t>The ACMA may approve one or more manners of applying, for the purposes of paragraph (3)(b).</w:t>
      </w:r>
    </w:p>
    <w:p w14:paraId="0DE5371A" w14:textId="77777777" w:rsidR="00136A75" w:rsidRPr="00894D32" w:rsidRDefault="00136A75" w:rsidP="00136A75">
      <w:pPr>
        <w:pStyle w:val="subsection"/>
        <w:rPr>
          <w:i/>
          <w:iCs/>
        </w:rPr>
      </w:pPr>
      <w:r w:rsidRPr="00894D32">
        <w:rPr>
          <w:i/>
          <w:iCs/>
        </w:rPr>
        <w:t>Decision whether to give permission</w:t>
      </w:r>
    </w:p>
    <w:p w14:paraId="2D7F9CD7" w14:textId="62DA7439" w:rsidR="00136A75" w:rsidRPr="00894D32" w:rsidRDefault="00136A75" w:rsidP="00136A75">
      <w:pPr>
        <w:pStyle w:val="subsection"/>
      </w:pPr>
      <w:r w:rsidRPr="00894D32">
        <w:tab/>
        <w:t>(6)</w:t>
      </w:r>
      <w:r w:rsidRPr="00894D32">
        <w:tab/>
        <w:t xml:space="preserve">If a </w:t>
      </w:r>
      <w:r w:rsidR="00210D61">
        <w:t>licensee</w:t>
      </w:r>
      <w:r w:rsidRPr="00894D32">
        <w:t xml:space="preserve"> makes an application under sub</w:t>
      </w:r>
      <w:r w:rsidR="002B18B9" w:rsidRPr="00894D32">
        <w:t>clause</w:t>
      </w:r>
      <w:r w:rsidRPr="00894D32">
        <w:t xml:space="preserve"> (2), the ACMA must decide whether to give permission within </w:t>
      </w:r>
      <w:r w:rsidR="00A417C1" w:rsidRPr="00894D32">
        <w:t>30</w:t>
      </w:r>
      <w:r w:rsidRPr="00894D32">
        <w:t xml:space="preserve"> days after the application is made, or such longer period as agreed between the ACMA and the </w:t>
      </w:r>
      <w:r w:rsidR="00210D61">
        <w:t>licensee</w:t>
      </w:r>
      <w:r w:rsidRPr="00894D32">
        <w:t>.</w:t>
      </w:r>
    </w:p>
    <w:p w14:paraId="13B0A705" w14:textId="0AF3C9B4" w:rsidR="00136A75" w:rsidRPr="0029301D" w:rsidRDefault="00136A75" w:rsidP="00136A75">
      <w:pPr>
        <w:pStyle w:val="subsection"/>
      </w:pPr>
      <w:r w:rsidRPr="00894D32">
        <w:tab/>
        <w:t>(</w:t>
      </w:r>
      <w:r w:rsidR="00773FD4" w:rsidRPr="00894D32">
        <w:t>7</w:t>
      </w:r>
      <w:r w:rsidRPr="00894D32">
        <w:t>)</w:t>
      </w:r>
      <w:r w:rsidRPr="00894D32">
        <w:tab/>
        <w:t>Before deciding whether to give permission, the ACMA may have regard to the following matters</w:t>
      </w:r>
      <w:r w:rsidRPr="0029301D">
        <w:t>:</w:t>
      </w:r>
    </w:p>
    <w:p w14:paraId="0AF19529" w14:textId="087912DD" w:rsidR="00136A75" w:rsidRPr="00EF3FD6" w:rsidRDefault="002B18B9" w:rsidP="00773FD4">
      <w:pPr>
        <w:pStyle w:val="paragraph"/>
      </w:pPr>
      <w:r w:rsidRPr="0029301D">
        <w:tab/>
      </w:r>
      <w:r w:rsidR="00773FD4" w:rsidRPr="0029301D">
        <w:t>(</w:t>
      </w:r>
      <w:r w:rsidR="00E84033" w:rsidRPr="0029301D">
        <w:t>a</w:t>
      </w:r>
      <w:r w:rsidR="00773FD4" w:rsidRPr="0029301D">
        <w:t>)</w:t>
      </w:r>
      <w:r w:rsidR="0029301D">
        <w:tab/>
      </w:r>
      <w:r w:rsidR="00DE32B5" w:rsidRPr="0029301D">
        <w:t xml:space="preserve">the </w:t>
      </w:r>
      <w:r w:rsidR="00447152" w:rsidRPr="0029301D">
        <w:t xml:space="preserve">potential for the </w:t>
      </w:r>
      <w:r w:rsidR="0029301D">
        <w:t xml:space="preserve">radiocommunications </w:t>
      </w:r>
      <w:r w:rsidR="00447152" w:rsidRPr="0029301D">
        <w:t xml:space="preserve">transmitter to cause interference to </w:t>
      </w:r>
      <w:r w:rsidR="0029301D">
        <w:t xml:space="preserve">radiocommunications involving </w:t>
      </w:r>
      <w:r w:rsidR="00825D22" w:rsidRPr="0029301D">
        <w:t xml:space="preserve">existing or future </w:t>
      </w:r>
      <w:r w:rsidR="00E71140" w:rsidRPr="0029301D">
        <w:t>radiocommu</w:t>
      </w:r>
      <w:r w:rsidR="00690F8E" w:rsidRPr="0029301D">
        <w:t xml:space="preserve">nications </w:t>
      </w:r>
      <w:r w:rsidR="00C6453A">
        <w:t>services</w:t>
      </w:r>
      <w:r w:rsidR="0029301D">
        <w:t>;</w:t>
      </w:r>
    </w:p>
    <w:p w14:paraId="5996A319" w14:textId="31AE59FA" w:rsidR="00B40484" w:rsidRPr="00EF3FD6" w:rsidRDefault="008614CD" w:rsidP="00773FD4">
      <w:pPr>
        <w:pStyle w:val="paragraph"/>
      </w:pPr>
      <w:r w:rsidRPr="00EF3FD6">
        <w:tab/>
        <w:t>(b)</w:t>
      </w:r>
      <w:r w:rsidR="0029301D">
        <w:tab/>
      </w:r>
      <w:r w:rsidR="00B40484" w:rsidRPr="00EF3FD6">
        <w:t xml:space="preserve">the efficient management of the 3400 </w:t>
      </w:r>
      <w:r w:rsidR="0029301D">
        <w:t>MHz to</w:t>
      </w:r>
      <w:r w:rsidR="00B40484" w:rsidRPr="00EF3FD6">
        <w:t xml:space="preserve"> 4000 MHz </w:t>
      </w:r>
      <w:r w:rsidR="0029301D">
        <w:t xml:space="preserve">frequency </w:t>
      </w:r>
      <w:r w:rsidR="00B40484" w:rsidRPr="0029301D">
        <w:t>band</w:t>
      </w:r>
      <w:r w:rsidR="0029301D">
        <w:t>;</w:t>
      </w:r>
    </w:p>
    <w:p w14:paraId="70F3FE63" w14:textId="1185F919" w:rsidR="00136A75" w:rsidRPr="00EF3FD6" w:rsidRDefault="006D3698" w:rsidP="0029301D">
      <w:pPr>
        <w:pStyle w:val="paragraph"/>
      </w:pPr>
      <w:r w:rsidRPr="00EF3FD6">
        <w:tab/>
      </w:r>
      <w:r w:rsidR="00136A75" w:rsidRPr="00EF3FD6">
        <w:t>(</w:t>
      </w:r>
      <w:r w:rsidRPr="00EF3FD6">
        <w:t>c</w:t>
      </w:r>
      <w:r w:rsidR="00136A75" w:rsidRPr="00EF3FD6">
        <w:t>)</w:t>
      </w:r>
      <w:r w:rsidR="0029301D">
        <w:tab/>
      </w:r>
      <w:r w:rsidR="00136A75" w:rsidRPr="00EF3FD6">
        <w:t>any other matter the ACMA considers relevant.</w:t>
      </w:r>
    </w:p>
    <w:p w14:paraId="5B731A84" w14:textId="56F81FB0" w:rsidR="00136A75" w:rsidRPr="00EF3FD6" w:rsidRDefault="00136A75" w:rsidP="00136A75">
      <w:pPr>
        <w:pStyle w:val="subsection"/>
      </w:pPr>
      <w:r w:rsidRPr="00EF3FD6">
        <w:tab/>
        <w:t>(</w:t>
      </w:r>
      <w:r w:rsidR="00773FD4" w:rsidRPr="00EF3FD6">
        <w:t>8</w:t>
      </w:r>
      <w:r w:rsidRPr="00EF3FD6">
        <w:t>)</w:t>
      </w:r>
      <w:r w:rsidRPr="00EF3FD6">
        <w:tab/>
        <w:t>The ACMA may:</w:t>
      </w:r>
    </w:p>
    <w:p w14:paraId="69CD3236" w14:textId="1F6B9183" w:rsidR="00136A75" w:rsidRPr="00B15D0E" w:rsidRDefault="00136A75" w:rsidP="00136A75">
      <w:pPr>
        <w:pStyle w:val="paragraph"/>
      </w:pPr>
      <w:r w:rsidRPr="00EF3FD6">
        <w:tab/>
        <w:t>(a)</w:t>
      </w:r>
      <w:r w:rsidRPr="00EF3FD6">
        <w:tab/>
        <w:t xml:space="preserve">give permission to operate </w:t>
      </w:r>
      <w:r w:rsidR="00ED55CB" w:rsidRPr="00EF3FD6">
        <w:t xml:space="preserve">a radiocommunications transmitter otherwise than in accordance with </w:t>
      </w:r>
      <w:r w:rsidR="00B15D0E">
        <w:t xml:space="preserve">a requirement </w:t>
      </w:r>
      <w:r w:rsidR="00255C1C">
        <w:t xml:space="preserve">of </w:t>
      </w:r>
      <w:r w:rsidR="00B15D0E">
        <w:t>RALI MS 47 that relates to a matter specified in clause 4</w:t>
      </w:r>
      <w:r w:rsidRPr="00B15D0E">
        <w:t>; or</w:t>
      </w:r>
    </w:p>
    <w:p w14:paraId="5B95B3F6" w14:textId="5BB1E65C" w:rsidR="00ED55CB" w:rsidRPr="00B15D0E" w:rsidRDefault="00ED55CB" w:rsidP="00136A75">
      <w:pPr>
        <w:pStyle w:val="paragraph"/>
      </w:pPr>
      <w:r w:rsidRPr="00B15D0E">
        <w:tab/>
        <w:t>(b)</w:t>
      </w:r>
      <w:r w:rsidRPr="00B15D0E">
        <w:tab/>
        <w:t xml:space="preserve">give </w:t>
      </w:r>
      <w:r w:rsidR="008D7800" w:rsidRPr="00B15D0E">
        <w:t xml:space="preserve">permission to operate a radiocommunications transmitter otherwise than in accordance with </w:t>
      </w:r>
      <w:r w:rsidR="00B15D0E">
        <w:t>a</w:t>
      </w:r>
      <w:r w:rsidR="008D7800" w:rsidRPr="00B15D0E">
        <w:t xml:space="preserve"> </w:t>
      </w:r>
      <w:r w:rsidR="0055142D" w:rsidRPr="00B15D0E">
        <w:t>requirement</w:t>
      </w:r>
      <w:r w:rsidR="008D7800" w:rsidRPr="00B15D0E">
        <w:t xml:space="preserve"> of RALI MS 47</w:t>
      </w:r>
      <w:r w:rsidR="00B15D0E">
        <w:t xml:space="preserve"> that relates to a matter specified in clause 4</w:t>
      </w:r>
      <w:r w:rsidR="008D7800" w:rsidRPr="00B15D0E">
        <w:t>, subject to one or more conditions</w:t>
      </w:r>
      <w:r w:rsidR="00054A36">
        <w:t xml:space="preserve"> specified in the </w:t>
      </w:r>
      <w:r w:rsidR="00B15D0E">
        <w:t>permission</w:t>
      </w:r>
      <w:r w:rsidR="008D7800" w:rsidRPr="00B15D0E">
        <w:t>; or</w:t>
      </w:r>
    </w:p>
    <w:p w14:paraId="000C2FEA" w14:textId="67A3138C" w:rsidR="00136A75" w:rsidRPr="00B15D0E" w:rsidRDefault="00136A75" w:rsidP="00136A75">
      <w:pPr>
        <w:pStyle w:val="paragraph"/>
      </w:pPr>
      <w:r w:rsidRPr="00B15D0E">
        <w:tab/>
        <w:t>(</w:t>
      </w:r>
      <w:r w:rsidR="00C72330">
        <w:t>c</w:t>
      </w:r>
      <w:r w:rsidRPr="00B15D0E">
        <w:t>)</w:t>
      </w:r>
      <w:r w:rsidRPr="00B15D0E">
        <w:tab/>
        <w:t>refuse permission.</w:t>
      </w:r>
    </w:p>
    <w:p w14:paraId="6E96E5DE" w14:textId="22F55EA3" w:rsidR="00136A75" w:rsidRPr="00B15D0E" w:rsidRDefault="00136A75" w:rsidP="00136A75">
      <w:pPr>
        <w:pStyle w:val="notetext"/>
      </w:pPr>
      <w:r w:rsidRPr="00B15D0E">
        <w:t>Note:</w:t>
      </w:r>
      <w:r w:rsidRPr="00B15D0E">
        <w:tab/>
        <w:t>See subsection 1</w:t>
      </w:r>
      <w:r w:rsidR="00ED55CB" w:rsidRPr="00B15D0E">
        <w:t>10A</w:t>
      </w:r>
      <w:r w:rsidRPr="00B15D0E">
        <w:t>(</w:t>
      </w:r>
      <w:r w:rsidR="00D07630" w:rsidRPr="00B15D0E">
        <w:t>5</w:t>
      </w:r>
      <w:r w:rsidRPr="00B15D0E">
        <w:t>) of the Act.</w:t>
      </w:r>
    </w:p>
    <w:p w14:paraId="2DFD68E4" w14:textId="75B9D49D" w:rsidR="00136A75" w:rsidRPr="00B15D0E" w:rsidRDefault="00136A75" w:rsidP="00136A75">
      <w:pPr>
        <w:pStyle w:val="subsection"/>
      </w:pPr>
      <w:r w:rsidRPr="00B15D0E">
        <w:tab/>
        <w:t>(</w:t>
      </w:r>
      <w:r w:rsidR="00442FCA" w:rsidRPr="00B15D0E">
        <w:t>9</w:t>
      </w:r>
      <w:r w:rsidRPr="00B15D0E">
        <w:t>)</w:t>
      </w:r>
      <w:r w:rsidRPr="00B15D0E">
        <w:tab/>
        <w:t xml:space="preserve">The ACMA may specify, in the permission, </w:t>
      </w:r>
      <w:r w:rsidR="00542399">
        <w:t>a</w:t>
      </w:r>
      <w:r w:rsidR="00BB5BBD" w:rsidRPr="00B15D0E">
        <w:t xml:space="preserve"> </w:t>
      </w:r>
      <w:r w:rsidR="0055142D" w:rsidRPr="00B15D0E">
        <w:t>requirement</w:t>
      </w:r>
      <w:r w:rsidR="00BB5BBD" w:rsidRPr="00B15D0E">
        <w:t xml:space="preserve"> of RALI MS 47</w:t>
      </w:r>
      <w:r w:rsidRPr="00B15D0E">
        <w:t xml:space="preserve"> </w:t>
      </w:r>
      <w:r w:rsidR="009C67B5">
        <w:t>that relates to a matter</w:t>
      </w:r>
      <w:r w:rsidR="00542399">
        <w:t xml:space="preserve"> specified</w:t>
      </w:r>
      <w:r w:rsidR="009C67B5">
        <w:t xml:space="preserve"> in clause </w:t>
      </w:r>
      <w:r w:rsidR="00542399">
        <w:t>4,</w:t>
      </w:r>
      <w:r w:rsidR="009C67B5">
        <w:t xml:space="preserve"> </w:t>
      </w:r>
      <w:r w:rsidRPr="00B15D0E">
        <w:t xml:space="preserve">that </w:t>
      </w:r>
      <w:r w:rsidR="00542399">
        <w:t>is</w:t>
      </w:r>
      <w:r w:rsidRPr="00B15D0E">
        <w:t xml:space="preserve"> different to the </w:t>
      </w:r>
      <w:r w:rsidR="0055142D" w:rsidRPr="00B15D0E">
        <w:t>requirements</w:t>
      </w:r>
      <w:r w:rsidRPr="00B15D0E">
        <w:t xml:space="preserve"> specified in the </w:t>
      </w:r>
      <w:r w:rsidR="00DF4138">
        <w:t>licensee</w:t>
      </w:r>
      <w:r w:rsidRPr="00B15D0E">
        <w:t>’s application.</w:t>
      </w:r>
    </w:p>
    <w:p w14:paraId="6DADC206" w14:textId="6D24713C" w:rsidR="00136A75" w:rsidRPr="00B15D0E" w:rsidRDefault="00136A75" w:rsidP="00136A75">
      <w:pPr>
        <w:pStyle w:val="subsection"/>
      </w:pPr>
      <w:r w:rsidRPr="00B15D0E">
        <w:tab/>
        <w:t>(</w:t>
      </w:r>
      <w:r w:rsidR="00442FCA" w:rsidRPr="00B15D0E">
        <w:t>10</w:t>
      </w:r>
      <w:r w:rsidRPr="00B15D0E">
        <w:t>)</w:t>
      </w:r>
      <w:r w:rsidRPr="00B15D0E">
        <w:tab/>
        <w:t>The ACMA must, within 14 days after the decision under sub</w:t>
      </w:r>
      <w:r w:rsidR="00442FCA" w:rsidRPr="00B15D0E">
        <w:t>clause</w:t>
      </w:r>
      <w:r w:rsidRPr="00B15D0E">
        <w:t xml:space="preserve"> (</w:t>
      </w:r>
      <w:r w:rsidR="00442FCA" w:rsidRPr="00B15D0E">
        <w:t>8</w:t>
      </w:r>
      <w:r w:rsidRPr="00B15D0E">
        <w:t>) is made, give the licensee a written notice of:</w:t>
      </w:r>
    </w:p>
    <w:p w14:paraId="3DF96028" w14:textId="77777777" w:rsidR="00136A75" w:rsidRPr="00B15D0E" w:rsidRDefault="00136A75" w:rsidP="00136A75">
      <w:pPr>
        <w:pStyle w:val="paragraph"/>
      </w:pPr>
      <w:r w:rsidRPr="00B15D0E">
        <w:tab/>
        <w:t>(a)</w:t>
      </w:r>
      <w:r w:rsidRPr="00B15D0E">
        <w:tab/>
        <w:t>the decision; and</w:t>
      </w:r>
    </w:p>
    <w:p w14:paraId="22EAC1AA" w14:textId="5CC56132" w:rsidR="00136A75" w:rsidRPr="00B15D0E" w:rsidRDefault="00136A75" w:rsidP="00136A75">
      <w:pPr>
        <w:pStyle w:val="paragraph"/>
      </w:pPr>
      <w:r w:rsidRPr="00B15D0E">
        <w:tab/>
        <w:t>(b)</w:t>
      </w:r>
      <w:r w:rsidRPr="00B15D0E">
        <w:tab/>
        <w:t>if the decision is to refuse permission</w:t>
      </w:r>
      <w:r w:rsidR="00255C1C">
        <w:t xml:space="preserve"> or to give permission subject to a condition</w:t>
      </w:r>
      <w:r w:rsidRPr="00B15D0E">
        <w:t>:</w:t>
      </w:r>
    </w:p>
    <w:p w14:paraId="23145626" w14:textId="77777777" w:rsidR="00136A75" w:rsidRPr="00B15D0E" w:rsidRDefault="00136A75" w:rsidP="00136A75">
      <w:pPr>
        <w:pStyle w:val="paragraphsub"/>
      </w:pPr>
      <w:r w:rsidRPr="00B15D0E">
        <w:tab/>
        <w:t>(i)</w:t>
      </w:r>
      <w:r w:rsidRPr="00B15D0E">
        <w:tab/>
        <w:t>the reasons for the decision; and</w:t>
      </w:r>
    </w:p>
    <w:p w14:paraId="5E39BCE8" w14:textId="4EF02E85" w:rsidR="00136A75" w:rsidRPr="00B15D0E" w:rsidRDefault="00136A75" w:rsidP="00136A75">
      <w:pPr>
        <w:pStyle w:val="paragraphsub"/>
      </w:pPr>
      <w:r w:rsidRPr="00B15D0E">
        <w:tab/>
        <w:t>(ii)</w:t>
      </w:r>
      <w:r w:rsidRPr="00B15D0E">
        <w:tab/>
        <w:t>the licensee’s right to request a reconsideration of the decision under sub</w:t>
      </w:r>
      <w:r w:rsidR="00442FCA" w:rsidRPr="00B15D0E">
        <w:t>clause</w:t>
      </w:r>
      <w:r w:rsidRPr="00B15D0E">
        <w:t xml:space="preserve"> (1</w:t>
      </w:r>
      <w:r w:rsidR="00442FCA" w:rsidRPr="00B15D0E">
        <w:t>1</w:t>
      </w:r>
      <w:r w:rsidRPr="00B15D0E">
        <w:t>).</w:t>
      </w:r>
    </w:p>
    <w:p w14:paraId="6810E699" w14:textId="77777777" w:rsidR="00136A75" w:rsidRPr="00B15D0E" w:rsidRDefault="00136A75" w:rsidP="00136A75">
      <w:pPr>
        <w:pStyle w:val="subsection"/>
        <w:rPr>
          <w:i/>
          <w:iCs/>
        </w:rPr>
      </w:pPr>
      <w:r w:rsidRPr="00B15D0E">
        <w:rPr>
          <w:i/>
          <w:iCs/>
        </w:rPr>
        <w:t>Reconsideration of refusal</w:t>
      </w:r>
    </w:p>
    <w:p w14:paraId="6B6B5F02" w14:textId="3DFCFC42" w:rsidR="00136A75" w:rsidRPr="00B15D0E" w:rsidRDefault="00136A75" w:rsidP="00136A75">
      <w:pPr>
        <w:pStyle w:val="subsection"/>
      </w:pPr>
      <w:r w:rsidRPr="00B15D0E">
        <w:tab/>
        <w:t>(1</w:t>
      </w:r>
      <w:r w:rsidR="00442FCA" w:rsidRPr="00B15D0E">
        <w:t>1</w:t>
      </w:r>
      <w:r w:rsidRPr="00B15D0E">
        <w:t>)</w:t>
      </w:r>
      <w:r w:rsidRPr="00B15D0E">
        <w:tab/>
        <w:t>A licensee may apply, in writing, for the ACMA to reconsider a decision to refuse permission</w:t>
      </w:r>
      <w:r w:rsidR="00255C1C">
        <w:t>, or to give permission subject to a condition,</w:t>
      </w:r>
      <w:r w:rsidRPr="00B15D0E">
        <w:t xml:space="preserve"> under sub</w:t>
      </w:r>
      <w:r w:rsidR="00442FCA" w:rsidRPr="00B15D0E">
        <w:t>clause</w:t>
      </w:r>
      <w:r w:rsidRPr="00B15D0E">
        <w:t xml:space="preserve"> (</w:t>
      </w:r>
      <w:r w:rsidR="00442FCA" w:rsidRPr="00B15D0E">
        <w:t>8</w:t>
      </w:r>
      <w:r w:rsidRPr="00B15D0E">
        <w:t>) (</w:t>
      </w:r>
      <w:r w:rsidRPr="00B15D0E">
        <w:rPr>
          <w:b/>
          <w:bCs/>
          <w:i/>
          <w:iCs/>
        </w:rPr>
        <w:t>original decision</w:t>
      </w:r>
      <w:r w:rsidRPr="00B15D0E">
        <w:t>).</w:t>
      </w:r>
    </w:p>
    <w:p w14:paraId="1128D15B" w14:textId="245B1BC6" w:rsidR="00136A75" w:rsidRPr="00B15D0E" w:rsidRDefault="00136A75" w:rsidP="00136A75">
      <w:pPr>
        <w:pStyle w:val="subsection"/>
      </w:pPr>
      <w:r w:rsidRPr="00B15D0E">
        <w:tab/>
        <w:t>(1</w:t>
      </w:r>
      <w:r w:rsidR="00442FCA" w:rsidRPr="00B15D0E">
        <w:t>2</w:t>
      </w:r>
      <w:r w:rsidRPr="00B15D0E">
        <w:t>)</w:t>
      </w:r>
      <w:r w:rsidRPr="00B15D0E">
        <w:tab/>
        <w:t>An application under sub</w:t>
      </w:r>
      <w:r w:rsidR="00442FCA" w:rsidRPr="00B15D0E">
        <w:t>clause</w:t>
      </w:r>
      <w:r w:rsidRPr="00B15D0E">
        <w:t xml:space="preserve"> (1</w:t>
      </w:r>
      <w:r w:rsidR="00442FCA" w:rsidRPr="00B15D0E">
        <w:t>1</w:t>
      </w:r>
      <w:r w:rsidRPr="00B15D0E">
        <w:t>) must:</w:t>
      </w:r>
    </w:p>
    <w:p w14:paraId="65F44CD3" w14:textId="77777777" w:rsidR="00136A75" w:rsidRPr="00B15D0E" w:rsidRDefault="00136A75" w:rsidP="00136A75">
      <w:pPr>
        <w:pStyle w:val="paragraph"/>
      </w:pPr>
      <w:r w:rsidRPr="00B15D0E">
        <w:tab/>
        <w:t>(a)</w:t>
      </w:r>
      <w:r w:rsidRPr="00B15D0E">
        <w:tab/>
        <w:t>be made in writing; and</w:t>
      </w:r>
    </w:p>
    <w:p w14:paraId="68342067" w14:textId="77777777" w:rsidR="00136A75" w:rsidRPr="00B15D0E" w:rsidRDefault="00136A75" w:rsidP="00136A75">
      <w:pPr>
        <w:pStyle w:val="paragraph"/>
      </w:pPr>
      <w:r w:rsidRPr="00B15D0E">
        <w:tab/>
        <w:t>(b)</w:t>
      </w:r>
      <w:r w:rsidRPr="00B15D0E">
        <w:tab/>
        <w:t>set out the reasons for the application; and</w:t>
      </w:r>
    </w:p>
    <w:p w14:paraId="32CC02E2" w14:textId="77777777" w:rsidR="00136A75" w:rsidRPr="00B15D0E" w:rsidRDefault="00136A75" w:rsidP="00136A75">
      <w:pPr>
        <w:pStyle w:val="paragraph"/>
      </w:pPr>
      <w:r w:rsidRPr="00B15D0E">
        <w:lastRenderedPageBreak/>
        <w:tab/>
        <w:t>(c)</w:t>
      </w:r>
      <w:r w:rsidRPr="00B15D0E">
        <w:tab/>
        <w:t>be given to the ACMA within 30 days after the licensee is notified of the original decision.</w:t>
      </w:r>
    </w:p>
    <w:p w14:paraId="57976E6B" w14:textId="56C250E6" w:rsidR="00136A75" w:rsidRPr="00B15D0E" w:rsidRDefault="00136A75" w:rsidP="00136A75">
      <w:pPr>
        <w:pStyle w:val="subsection"/>
      </w:pPr>
      <w:r w:rsidRPr="00B15D0E">
        <w:tab/>
        <w:t>(1</w:t>
      </w:r>
      <w:r w:rsidR="00FE3B26" w:rsidRPr="00B15D0E">
        <w:t>3</w:t>
      </w:r>
      <w:r w:rsidRPr="00B15D0E">
        <w:t>)</w:t>
      </w:r>
      <w:r w:rsidRPr="00B15D0E">
        <w:tab/>
        <w:t xml:space="preserve">The ACMA must, within </w:t>
      </w:r>
      <w:r w:rsidR="0069314A" w:rsidRPr="00B15D0E">
        <w:t>3</w:t>
      </w:r>
      <w:r w:rsidRPr="00B15D0E">
        <w:t xml:space="preserve">0 days after the application under </w:t>
      </w:r>
      <w:r w:rsidR="00442FCA" w:rsidRPr="00B15D0E">
        <w:t>subclause</w:t>
      </w:r>
      <w:r w:rsidRPr="00B15D0E">
        <w:t xml:space="preserve"> (1</w:t>
      </w:r>
      <w:r w:rsidR="00442FCA" w:rsidRPr="00B15D0E">
        <w:t>1</w:t>
      </w:r>
      <w:r w:rsidRPr="00B15D0E">
        <w:t>) is received, reconsider the original decision and either:</w:t>
      </w:r>
    </w:p>
    <w:p w14:paraId="6773E24D" w14:textId="77777777" w:rsidR="00136A75" w:rsidRPr="00B15D0E" w:rsidRDefault="00136A75" w:rsidP="00136A75">
      <w:pPr>
        <w:pStyle w:val="paragraph"/>
      </w:pPr>
      <w:r w:rsidRPr="00B15D0E">
        <w:tab/>
        <w:t>(a)</w:t>
      </w:r>
      <w:r w:rsidRPr="00B15D0E">
        <w:tab/>
        <w:t>affirm the original decision; or</w:t>
      </w:r>
    </w:p>
    <w:p w14:paraId="4841E2FE" w14:textId="577BB5BE" w:rsidR="00EA0B1E" w:rsidRPr="00B15D0E" w:rsidRDefault="00136A75" w:rsidP="00136A75">
      <w:pPr>
        <w:pStyle w:val="paragraph"/>
      </w:pPr>
      <w:r w:rsidRPr="00B15D0E">
        <w:tab/>
        <w:t>(b)</w:t>
      </w:r>
      <w:r w:rsidRPr="00B15D0E">
        <w:tab/>
      </w:r>
      <w:r w:rsidR="00255C1C">
        <w:t xml:space="preserve">if the original decision was to refuse permission – </w:t>
      </w:r>
      <w:r w:rsidRPr="00B15D0E">
        <w:t xml:space="preserve">revoke the original decision, and </w:t>
      </w:r>
      <w:r w:rsidR="00EA0B1E" w:rsidRPr="00B15D0E">
        <w:t>either:</w:t>
      </w:r>
    </w:p>
    <w:p w14:paraId="63BD7F3C" w14:textId="4D0DD183" w:rsidR="00136A75" w:rsidRPr="00B15D0E" w:rsidRDefault="00EA0B1E" w:rsidP="00EA0B1E">
      <w:pPr>
        <w:pStyle w:val="paragraphsub"/>
      </w:pPr>
      <w:r w:rsidRPr="00B15D0E">
        <w:tab/>
        <w:t>(i)</w:t>
      </w:r>
      <w:r w:rsidRPr="00B15D0E">
        <w:tab/>
      </w:r>
      <w:r w:rsidR="00136A75" w:rsidRPr="00B15D0E">
        <w:t xml:space="preserve">give permission to </w:t>
      </w:r>
      <w:r w:rsidRPr="00B15D0E">
        <w:t>operate a radiocommunications transmitter otherwise than in accordance with requirements of RALI MS 47</w:t>
      </w:r>
      <w:r w:rsidR="00A93629">
        <w:t xml:space="preserve"> that relates to a matter specified in clause 4</w:t>
      </w:r>
      <w:r w:rsidRPr="00B15D0E">
        <w:t>; or</w:t>
      </w:r>
    </w:p>
    <w:p w14:paraId="1B983926" w14:textId="77777777" w:rsidR="00255C1C" w:rsidRDefault="00EA0B1E" w:rsidP="00EA0B1E">
      <w:pPr>
        <w:pStyle w:val="paragraphsub"/>
      </w:pPr>
      <w:r w:rsidRPr="00B15D0E">
        <w:tab/>
        <w:t>(ii)</w:t>
      </w:r>
      <w:r w:rsidRPr="00B15D0E">
        <w:tab/>
        <w:t xml:space="preserve">give permission to operate a radiocommunications transmitter otherwise than in accordance with </w:t>
      </w:r>
      <w:r w:rsidR="00A93629">
        <w:t>a</w:t>
      </w:r>
      <w:r w:rsidRPr="00B15D0E">
        <w:t xml:space="preserve"> requirement of RALI MS 47</w:t>
      </w:r>
      <w:r w:rsidR="00A93629">
        <w:t xml:space="preserve"> that relates to a matter specified in clause 4</w:t>
      </w:r>
      <w:r w:rsidRPr="00B15D0E">
        <w:t xml:space="preserve">, subject to </w:t>
      </w:r>
      <w:r w:rsidR="00A93629">
        <w:t>a</w:t>
      </w:r>
      <w:r w:rsidRPr="00B15D0E">
        <w:t xml:space="preserve"> condition</w:t>
      </w:r>
      <w:r w:rsidR="00FC4798">
        <w:t xml:space="preserve"> specified in the </w:t>
      </w:r>
      <w:r w:rsidR="00A93629">
        <w:t>permission</w:t>
      </w:r>
      <w:r w:rsidR="00255C1C">
        <w:t>; or</w:t>
      </w:r>
    </w:p>
    <w:p w14:paraId="08484DDD" w14:textId="77777777" w:rsidR="005155B8" w:rsidRPr="00175431" w:rsidRDefault="005155B8" w:rsidP="005155B8">
      <w:pPr>
        <w:pStyle w:val="paragraph"/>
      </w:pPr>
      <w:r w:rsidRPr="00175431">
        <w:tab/>
        <w:t>(</w:t>
      </w:r>
      <w:r>
        <w:t>c</w:t>
      </w:r>
      <w:r w:rsidRPr="00175431">
        <w:t>)</w:t>
      </w:r>
      <w:r w:rsidRPr="00175431">
        <w:tab/>
      </w:r>
      <w:r>
        <w:t xml:space="preserve">if the original decision was to give permission subject to a condition – </w:t>
      </w:r>
      <w:r w:rsidRPr="00175431">
        <w:t>revoke the original decision, and either:</w:t>
      </w:r>
    </w:p>
    <w:p w14:paraId="58DFD793" w14:textId="374728C0" w:rsidR="005155B8" w:rsidRPr="00175431" w:rsidRDefault="005155B8" w:rsidP="005155B8">
      <w:pPr>
        <w:pStyle w:val="paragraphsub"/>
      </w:pPr>
      <w:r w:rsidRPr="00175431">
        <w:tab/>
        <w:t>(i)</w:t>
      </w:r>
      <w:r w:rsidRPr="00175431">
        <w:tab/>
        <w:t xml:space="preserve">give permission to operate a radiocommunications transmitter otherwise than in accordance with </w:t>
      </w:r>
      <w:r>
        <w:t>a requirement of RALI MS 4</w:t>
      </w:r>
      <w:r w:rsidR="00B354A5">
        <w:t>7</w:t>
      </w:r>
      <w:r>
        <w:t xml:space="preserve"> that relates to a matter specified in clause 5</w:t>
      </w:r>
      <w:r w:rsidRPr="00175431">
        <w:t>; or</w:t>
      </w:r>
    </w:p>
    <w:p w14:paraId="1E5DF666" w14:textId="13993C7E" w:rsidR="005155B8" w:rsidRDefault="005155B8" w:rsidP="005155B8">
      <w:pPr>
        <w:pStyle w:val="paragraphsub"/>
      </w:pPr>
      <w:r w:rsidRPr="00175431">
        <w:tab/>
        <w:t>(ii)</w:t>
      </w:r>
      <w:r w:rsidRPr="00175431">
        <w:tab/>
        <w:t>give permission to operate a radiocommunications transmitter otherwise than in accordance with</w:t>
      </w:r>
      <w:r>
        <w:t xml:space="preserve"> a requirement of RALI MS 4</w:t>
      </w:r>
      <w:r w:rsidR="00B354A5">
        <w:t>7</w:t>
      </w:r>
      <w:r>
        <w:t xml:space="preserve"> that relates to a matter specified in clause 5</w:t>
      </w:r>
      <w:r w:rsidRPr="00175431">
        <w:t xml:space="preserve">, subject </w:t>
      </w:r>
      <w:r>
        <w:t>to a</w:t>
      </w:r>
      <w:r w:rsidRPr="00175431">
        <w:t xml:space="preserve"> condition</w:t>
      </w:r>
      <w:r>
        <w:t xml:space="preserve"> specified in the permission that is different to the condition in the original decision; or</w:t>
      </w:r>
    </w:p>
    <w:p w14:paraId="65528BEF" w14:textId="3C19E4E9" w:rsidR="00EA0B1E" w:rsidRPr="00A93629" w:rsidRDefault="005155B8" w:rsidP="005155B8">
      <w:pPr>
        <w:pStyle w:val="paragraphsub"/>
      </w:pPr>
      <w:r>
        <w:tab/>
        <w:t>(iii)</w:t>
      </w:r>
      <w:r>
        <w:tab/>
      </w:r>
      <w:r w:rsidR="00730817">
        <w:t>refuse permission</w:t>
      </w:r>
      <w:r w:rsidR="00EA0B1E" w:rsidRPr="00A93629">
        <w:t>.</w:t>
      </w:r>
    </w:p>
    <w:p w14:paraId="77C703C6" w14:textId="1518FE44" w:rsidR="00136A75" w:rsidRPr="00A93629" w:rsidRDefault="00136A75" w:rsidP="00136A75">
      <w:pPr>
        <w:pStyle w:val="subsection"/>
      </w:pPr>
      <w:r w:rsidRPr="00A93629">
        <w:tab/>
        <w:t>(1</w:t>
      </w:r>
      <w:r w:rsidR="00FE3B26" w:rsidRPr="00A93629">
        <w:t>4</w:t>
      </w:r>
      <w:r w:rsidRPr="00A93629">
        <w:t>)</w:t>
      </w:r>
      <w:r w:rsidRPr="00A93629">
        <w:tab/>
        <w:t>The ACMA must, within 14 days after the decision under sub</w:t>
      </w:r>
      <w:r w:rsidR="00FE3B26" w:rsidRPr="00A93629">
        <w:t>clause</w:t>
      </w:r>
      <w:r w:rsidRPr="00A93629">
        <w:t xml:space="preserve"> (1</w:t>
      </w:r>
      <w:r w:rsidR="00FE3B26" w:rsidRPr="00A93629">
        <w:t>3</w:t>
      </w:r>
      <w:r w:rsidRPr="00A93629">
        <w:t>) is made, give the licensee a written notice of:</w:t>
      </w:r>
    </w:p>
    <w:p w14:paraId="28E8C11C" w14:textId="77777777" w:rsidR="00136A75" w:rsidRPr="00A93629" w:rsidRDefault="00136A75" w:rsidP="00136A75">
      <w:pPr>
        <w:pStyle w:val="paragraph"/>
      </w:pPr>
      <w:r w:rsidRPr="00A93629">
        <w:tab/>
        <w:t>(a)</w:t>
      </w:r>
      <w:r w:rsidRPr="00A93629">
        <w:tab/>
        <w:t>the decision; and</w:t>
      </w:r>
    </w:p>
    <w:p w14:paraId="04452485" w14:textId="22DA0817" w:rsidR="00136A75" w:rsidRPr="00A93629" w:rsidRDefault="00136A75" w:rsidP="00136A75">
      <w:pPr>
        <w:pStyle w:val="paragraph"/>
      </w:pPr>
      <w:r w:rsidRPr="00A93629">
        <w:tab/>
        <w:t>(b)</w:t>
      </w:r>
      <w:r w:rsidRPr="00A93629">
        <w:tab/>
        <w:t>if the decision is to affirm the original decision</w:t>
      </w:r>
      <w:r w:rsidR="002E7C34">
        <w:t>, or to revoke the original decision and either refuse permission or give permission subject to a condition</w:t>
      </w:r>
      <w:r w:rsidRPr="00A93629">
        <w:t>:</w:t>
      </w:r>
    </w:p>
    <w:p w14:paraId="6B96B185" w14:textId="77777777" w:rsidR="00136A75" w:rsidRPr="00A93629" w:rsidRDefault="00136A75" w:rsidP="00136A75">
      <w:pPr>
        <w:pStyle w:val="paragraphsub"/>
      </w:pPr>
      <w:r w:rsidRPr="00A93629">
        <w:tab/>
        <w:t>(i)</w:t>
      </w:r>
      <w:r w:rsidRPr="00A93629">
        <w:tab/>
        <w:t>the reasons for that decision; and</w:t>
      </w:r>
    </w:p>
    <w:p w14:paraId="0F2525CB" w14:textId="03DDBA6B" w:rsidR="00136A75" w:rsidRPr="00DD283F" w:rsidRDefault="00136A75" w:rsidP="00136A75">
      <w:pPr>
        <w:pStyle w:val="paragraphsub"/>
      </w:pPr>
      <w:r w:rsidRPr="00A93629">
        <w:tab/>
        <w:t>(ii)</w:t>
      </w:r>
      <w:r w:rsidRPr="00A93629">
        <w:tab/>
        <w:t xml:space="preserve">the licensee’s right to have that </w:t>
      </w:r>
      <w:r w:rsidR="00BB1CFD">
        <w:t xml:space="preserve">decision </w:t>
      </w:r>
      <w:r w:rsidRPr="00DD283F">
        <w:t>reviewed under sub</w:t>
      </w:r>
      <w:r w:rsidR="00FE3B26" w:rsidRPr="00DD283F">
        <w:t>clause</w:t>
      </w:r>
      <w:r w:rsidRPr="00DD283F">
        <w:t xml:space="preserve"> (1</w:t>
      </w:r>
      <w:r w:rsidR="00FE3B26" w:rsidRPr="00DD283F">
        <w:t>5</w:t>
      </w:r>
      <w:r w:rsidRPr="00DD283F">
        <w:t>).</w:t>
      </w:r>
    </w:p>
    <w:p w14:paraId="1F279492" w14:textId="77777777" w:rsidR="00136A75" w:rsidRPr="00DD283F" w:rsidRDefault="00136A75" w:rsidP="00136A75">
      <w:pPr>
        <w:pStyle w:val="subsection"/>
        <w:rPr>
          <w:i/>
          <w:iCs/>
        </w:rPr>
      </w:pPr>
      <w:r w:rsidRPr="00DD283F">
        <w:rPr>
          <w:i/>
          <w:iCs/>
        </w:rPr>
        <w:t>Review</w:t>
      </w:r>
    </w:p>
    <w:p w14:paraId="4C7B64E1" w14:textId="5DEFDE72" w:rsidR="00136A75" w:rsidRDefault="00136A75" w:rsidP="00136A75">
      <w:pPr>
        <w:pStyle w:val="subsection"/>
      </w:pPr>
      <w:r w:rsidRPr="00DD283F">
        <w:tab/>
        <w:t>(1</w:t>
      </w:r>
      <w:r w:rsidR="00FE3B26" w:rsidRPr="00DD283F">
        <w:t>5</w:t>
      </w:r>
      <w:r w:rsidRPr="00DD283F">
        <w:t>)</w:t>
      </w:r>
      <w:r w:rsidRPr="00DD283F">
        <w:tab/>
        <w:t>If a decision under sub</w:t>
      </w:r>
      <w:r w:rsidR="00FE3B26" w:rsidRPr="00DD283F">
        <w:t>clause</w:t>
      </w:r>
      <w:r w:rsidRPr="00DD283F">
        <w:t xml:space="preserve"> (1</w:t>
      </w:r>
      <w:r w:rsidR="00BB1CFD">
        <w:t>4</w:t>
      </w:r>
      <w:r w:rsidRPr="00EF3FD6">
        <w:t>)</w:t>
      </w:r>
      <w:r w:rsidR="00B354A5">
        <w:t xml:space="preserve"> </w:t>
      </w:r>
      <w:r w:rsidR="002E7C34">
        <w:t>is specified in paragraph (14)(b)</w:t>
      </w:r>
      <w:r w:rsidRPr="00EF3FD6">
        <w:t>, the licensee may apply to the AAT</w:t>
      </w:r>
      <w:r w:rsidRPr="00894D32">
        <w:t xml:space="preserve"> for review of that decision.</w:t>
      </w:r>
    </w:p>
    <w:p w14:paraId="4976E899" w14:textId="71C620BA" w:rsidR="003B76FB" w:rsidRDefault="003B76FB" w:rsidP="002B4BD1">
      <w:pPr>
        <w:pStyle w:val="paragraph"/>
      </w:pPr>
    </w:p>
    <w:sectPr w:rsidR="003B76FB" w:rsidSect="00957210">
      <w:headerReference w:type="even" r:id="rId24"/>
      <w:head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C827" w14:textId="77777777" w:rsidR="00681257" w:rsidRDefault="00681257" w:rsidP="0017734A">
      <w:pPr>
        <w:spacing w:after="0" w:line="240" w:lineRule="auto"/>
      </w:pPr>
      <w:r>
        <w:separator/>
      </w:r>
    </w:p>
  </w:endnote>
  <w:endnote w:type="continuationSeparator" w:id="0">
    <w:p w14:paraId="1042B037" w14:textId="77777777" w:rsidR="00681257" w:rsidRDefault="00681257"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CAA8" w14:textId="74E155C2" w:rsidR="00F4519A" w:rsidRPr="008139AA" w:rsidRDefault="00F4519A" w:rsidP="00F4519A">
    <w:pPr>
      <w:pStyle w:val="Footer"/>
      <w:pBdr>
        <w:top w:val="single" w:sz="4" w:space="1" w:color="auto"/>
      </w:pBdr>
      <w:jc w:val="center"/>
      <w:rPr>
        <w:rFonts w:ascii="Times New Roman" w:hAnsi="Times New Roman" w:cs="Times New Roman"/>
        <w:i/>
        <w:iCs/>
        <w:sz w:val="20"/>
        <w:szCs w:val="20"/>
      </w:rPr>
    </w:pPr>
    <w:r w:rsidRPr="008139AA">
      <w:rPr>
        <w:rFonts w:ascii="Times New Roman" w:hAnsi="Times New Roman" w:cs="Times New Roman"/>
        <w:i/>
        <w:iCs/>
        <w:sz w:val="20"/>
        <w:szCs w:val="20"/>
      </w:rPr>
      <w:t xml:space="preserve">Radiocommunications </w:t>
    </w:r>
    <w:r w:rsidR="00B35F5E">
      <w:rPr>
        <w:rFonts w:ascii="Times New Roman" w:hAnsi="Times New Roman" w:cs="Times New Roman"/>
        <w:i/>
        <w:iCs/>
        <w:sz w:val="20"/>
        <w:szCs w:val="20"/>
      </w:rPr>
      <w:t>Licence Conditions</w:t>
    </w:r>
    <w:r w:rsidR="004863B5">
      <w:rPr>
        <w:rFonts w:ascii="Times New Roman" w:hAnsi="Times New Roman" w:cs="Times New Roman"/>
        <w:i/>
        <w:iCs/>
        <w:sz w:val="20"/>
        <w:szCs w:val="20"/>
      </w:rPr>
      <w:t xml:space="preserve"> </w:t>
    </w:r>
    <w:r w:rsidRPr="008139AA">
      <w:rPr>
        <w:rFonts w:ascii="Times New Roman" w:hAnsi="Times New Roman" w:cs="Times New Roman"/>
        <w:i/>
        <w:iCs/>
        <w:sz w:val="20"/>
        <w:szCs w:val="20"/>
      </w:rPr>
      <w:t>(</w:t>
    </w:r>
    <w:r w:rsidR="00B35F5E">
      <w:rPr>
        <w:rFonts w:ascii="Times New Roman" w:hAnsi="Times New Roman" w:cs="Times New Roman"/>
        <w:i/>
        <w:iCs/>
        <w:sz w:val="20"/>
        <w:szCs w:val="20"/>
      </w:rPr>
      <w:t>Area-Wide Licence</w:t>
    </w:r>
    <w:r w:rsidRPr="008139AA">
      <w:rPr>
        <w:rFonts w:ascii="Times New Roman" w:hAnsi="Times New Roman" w:cs="Times New Roman"/>
        <w:i/>
        <w:iCs/>
        <w:sz w:val="20"/>
        <w:szCs w:val="20"/>
      </w:rPr>
      <w:t xml:space="preserve">) Amendment </w:t>
    </w:r>
    <w:r w:rsidR="00597D10">
      <w:rPr>
        <w:rFonts w:ascii="Times New Roman" w:hAnsi="Times New Roman" w:cs="Times New Roman"/>
        <w:i/>
        <w:iCs/>
        <w:sz w:val="20"/>
        <w:szCs w:val="20"/>
      </w:rPr>
      <w:t>Determination 202</w:t>
    </w:r>
    <w:r w:rsidR="00BC67A9">
      <w:rPr>
        <w:rFonts w:ascii="Times New Roman" w:hAnsi="Times New Roman" w:cs="Times New Roman"/>
        <w:i/>
        <w:iCs/>
        <w:sz w:val="20"/>
        <w:szCs w:val="20"/>
      </w:rPr>
      <w:t>3</w:t>
    </w:r>
    <w:r w:rsidR="00EC0532">
      <w:rPr>
        <w:rFonts w:ascii="Times New Roman" w:hAnsi="Times New Roman" w:cs="Times New Roman"/>
        <w:i/>
        <w:iCs/>
        <w:sz w:val="20"/>
        <w:szCs w:val="20"/>
      </w:rPr>
      <w:t xml:space="preserve"> (No. 1)</w:t>
    </w:r>
  </w:p>
  <w:p w14:paraId="3D2A2380" w14:textId="5CFFF53E" w:rsidR="00F4519A" w:rsidRDefault="00F4519A" w:rsidP="009223D6">
    <w:pPr>
      <w:pStyle w:val="Footer"/>
      <w:jc w:val="right"/>
      <w:rPr>
        <w:rFonts w:ascii="Times New Roman" w:hAnsi="Times New Roman" w:cs="Times New Roman"/>
        <w:sz w:val="20"/>
        <w:szCs w:val="20"/>
      </w:rPr>
    </w:pPr>
    <w:r w:rsidRPr="008139AA">
      <w:rPr>
        <w:rFonts w:ascii="Times New Roman" w:hAnsi="Times New Roman" w:cs="Times New Roman"/>
        <w:sz w:val="20"/>
        <w:szCs w:val="20"/>
      </w:rPr>
      <w:fldChar w:fldCharType="begin"/>
    </w:r>
    <w:r w:rsidRPr="008139AA">
      <w:rPr>
        <w:rFonts w:ascii="Times New Roman" w:hAnsi="Times New Roman" w:cs="Times New Roman"/>
        <w:sz w:val="20"/>
        <w:szCs w:val="20"/>
      </w:rPr>
      <w:instrText xml:space="preserve"> PAGE  \* Arabic  \* MERGEFORMAT </w:instrText>
    </w:r>
    <w:r w:rsidRPr="008139AA">
      <w:rPr>
        <w:rFonts w:ascii="Times New Roman" w:hAnsi="Times New Roman" w:cs="Times New Roman"/>
        <w:sz w:val="20"/>
        <w:szCs w:val="20"/>
      </w:rPr>
      <w:fldChar w:fldCharType="separate"/>
    </w:r>
    <w:r w:rsidRPr="008139AA">
      <w:rPr>
        <w:rFonts w:ascii="Times New Roman" w:hAnsi="Times New Roman" w:cs="Times New Roman"/>
        <w:sz w:val="20"/>
        <w:szCs w:val="20"/>
      </w:rPr>
      <w:t>1</w:t>
    </w:r>
    <w:r w:rsidRPr="008139AA">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30E08" w14:textId="77777777" w:rsidR="00681257" w:rsidRDefault="00681257" w:rsidP="0017734A">
      <w:pPr>
        <w:spacing w:after="0" w:line="240" w:lineRule="auto"/>
      </w:pPr>
      <w:r>
        <w:separator/>
      </w:r>
    </w:p>
  </w:footnote>
  <w:footnote w:type="continuationSeparator" w:id="0">
    <w:p w14:paraId="444D2F87" w14:textId="77777777" w:rsidR="00681257" w:rsidRDefault="00681257"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7161" w14:textId="39FA67D9" w:rsidR="003B0F89" w:rsidRDefault="003B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DA7" w14:textId="566ECBD8" w:rsidR="00F4519A" w:rsidRPr="008139AA" w:rsidRDefault="00F4519A" w:rsidP="009223D6">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Section 1</w:t>
    </w:r>
  </w:p>
  <w:p w14:paraId="6B49CA6C" w14:textId="77777777" w:rsidR="00122728" w:rsidRPr="008139AA" w:rsidRDefault="00122728" w:rsidP="009223D6">
    <w:pPr>
      <w:pStyle w:val="Header"/>
      <w:pBdr>
        <w:bottom w:val="single" w:sz="4" w:space="1" w:color="auto"/>
      </w:pBd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A24" w14:textId="174E82BE" w:rsidR="003B0F89" w:rsidRDefault="003B0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EA82" w14:textId="4F02DFC0" w:rsidR="003B0F89" w:rsidRDefault="003B0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3C4EA1FD" w:rsidR="00097890" w:rsidRPr="008139AA" w:rsidRDefault="00DB7310" w:rsidP="00892659">
    <w:pPr>
      <w:pStyle w:val="Header"/>
      <w:pBdr>
        <w:bottom w:val="single" w:sz="4" w:space="1" w:color="auto"/>
      </w:pBdr>
      <w:rPr>
        <w:rFonts w:ascii="Times New Roman" w:hAnsi="Times New Roman" w:cs="Times New Roman"/>
        <w:sz w:val="20"/>
        <w:szCs w:val="20"/>
      </w:rPr>
    </w:pPr>
    <w:r w:rsidRPr="008139AA">
      <w:rPr>
        <w:rFonts w:ascii="Times New Roman" w:hAnsi="Times New Roman" w:cs="Times New Roman"/>
        <w:sz w:val="20"/>
        <w:szCs w:val="20"/>
      </w:rPr>
      <w:t>Schedule 1</w:t>
    </w:r>
    <w:r w:rsidR="00193AFA" w:rsidRPr="00CA2DEE">
      <w:rPr>
        <w:rFonts w:ascii="Times New Roman" w:hAnsi="Times New Roman" w:cs="Times New Roman"/>
        <w:sz w:val="20"/>
        <w:szCs w:val="20"/>
      </w:rPr>
      <w:t xml:space="preserve"> </w:t>
    </w:r>
    <w:r w:rsidR="00CA2DEE" w:rsidRPr="008139AA">
      <w:rPr>
        <w:rFonts w:ascii="Times New Roman" w:hAnsi="Times New Roman" w:cs="Times New Roman"/>
        <w:sz w:val="20"/>
        <w:szCs w:val="20"/>
      </w:rPr>
      <w:t xml:space="preserve">— </w:t>
    </w:r>
    <w:r w:rsidR="00CA2DEE">
      <w:rPr>
        <w:rFonts w:ascii="Times New Roman" w:hAnsi="Times New Roman" w:cs="Times New Roman"/>
        <w:sz w:val="20"/>
        <w:szCs w:val="20"/>
      </w:rPr>
      <w:t>Amendments</w:t>
    </w:r>
  </w:p>
  <w:p w14:paraId="7F40F346" w14:textId="77777777" w:rsidR="00DB7310" w:rsidRPr="00CC64DD" w:rsidRDefault="00DB7310" w:rsidP="00892659">
    <w:pPr>
      <w:pStyle w:val="Header"/>
      <w:pBdr>
        <w:bottom w:val="single" w:sz="4" w:space="1" w:color="auto"/>
      </w:pBdr>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603" w14:textId="738EF967" w:rsidR="003B0F89" w:rsidRDefault="003B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7F3"/>
    <w:multiLevelType w:val="hybridMultilevel"/>
    <w:tmpl w:val="78E688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2D3728"/>
    <w:multiLevelType w:val="hybridMultilevel"/>
    <w:tmpl w:val="4F40D800"/>
    <w:lvl w:ilvl="0" w:tplc="AE0A3B96">
      <w:start w:val="1"/>
      <w:numFmt w:val="decimal"/>
      <w:lvlText w:val="(%1)"/>
      <w:lvlJc w:val="left"/>
      <w:pPr>
        <w:ind w:left="1133" w:hanging="375"/>
      </w:pPr>
      <w:rPr>
        <w:rFonts w:hint="default"/>
      </w:rPr>
    </w:lvl>
    <w:lvl w:ilvl="1" w:tplc="0C090019" w:tentative="1">
      <w:start w:val="1"/>
      <w:numFmt w:val="lowerLetter"/>
      <w:lvlText w:val="%2."/>
      <w:lvlJc w:val="left"/>
      <w:pPr>
        <w:ind w:left="1838" w:hanging="360"/>
      </w:pPr>
    </w:lvl>
    <w:lvl w:ilvl="2" w:tplc="0C09001B" w:tentative="1">
      <w:start w:val="1"/>
      <w:numFmt w:val="lowerRoman"/>
      <w:lvlText w:val="%3."/>
      <w:lvlJc w:val="right"/>
      <w:pPr>
        <w:ind w:left="2558" w:hanging="180"/>
      </w:pPr>
    </w:lvl>
    <w:lvl w:ilvl="3" w:tplc="0C09000F" w:tentative="1">
      <w:start w:val="1"/>
      <w:numFmt w:val="decimal"/>
      <w:lvlText w:val="%4."/>
      <w:lvlJc w:val="left"/>
      <w:pPr>
        <w:ind w:left="3278" w:hanging="360"/>
      </w:pPr>
    </w:lvl>
    <w:lvl w:ilvl="4" w:tplc="0C090019" w:tentative="1">
      <w:start w:val="1"/>
      <w:numFmt w:val="lowerLetter"/>
      <w:lvlText w:val="%5."/>
      <w:lvlJc w:val="left"/>
      <w:pPr>
        <w:ind w:left="3998" w:hanging="360"/>
      </w:pPr>
    </w:lvl>
    <w:lvl w:ilvl="5" w:tplc="0C09001B" w:tentative="1">
      <w:start w:val="1"/>
      <w:numFmt w:val="lowerRoman"/>
      <w:lvlText w:val="%6."/>
      <w:lvlJc w:val="right"/>
      <w:pPr>
        <w:ind w:left="4718" w:hanging="180"/>
      </w:pPr>
    </w:lvl>
    <w:lvl w:ilvl="6" w:tplc="0C09000F" w:tentative="1">
      <w:start w:val="1"/>
      <w:numFmt w:val="decimal"/>
      <w:lvlText w:val="%7."/>
      <w:lvlJc w:val="left"/>
      <w:pPr>
        <w:ind w:left="5438" w:hanging="360"/>
      </w:pPr>
    </w:lvl>
    <w:lvl w:ilvl="7" w:tplc="0C090019" w:tentative="1">
      <w:start w:val="1"/>
      <w:numFmt w:val="lowerLetter"/>
      <w:lvlText w:val="%8."/>
      <w:lvlJc w:val="left"/>
      <w:pPr>
        <w:ind w:left="6158" w:hanging="360"/>
      </w:pPr>
    </w:lvl>
    <w:lvl w:ilvl="8" w:tplc="0C09001B" w:tentative="1">
      <w:start w:val="1"/>
      <w:numFmt w:val="lowerRoman"/>
      <w:lvlText w:val="%9."/>
      <w:lvlJc w:val="right"/>
      <w:pPr>
        <w:ind w:left="6878" w:hanging="180"/>
      </w:pPr>
    </w:lvl>
  </w:abstractNum>
  <w:abstractNum w:abstractNumId="6" w15:restartNumberingAfterBreak="0">
    <w:nsid w:val="5F172FB7"/>
    <w:multiLevelType w:val="multilevel"/>
    <w:tmpl w:val="52B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4378704">
    <w:abstractNumId w:val="2"/>
  </w:num>
  <w:num w:numId="2" w16cid:durableId="108747957">
    <w:abstractNumId w:val="8"/>
  </w:num>
  <w:num w:numId="3" w16cid:durableId="161312375">
    <w:abstractNumId w:val="4"/>
  </w:num>
  <w:num w:numId="4" w16cid:durableId="731196141">
    <w:abstractNumId w:val="7"/>
  </w:num>
  <w:num w:numId="5" w16cid:durableId="2132160780">
    <w:abstractNumId w:val="3"/>
  </w:num>
  <w:num w:numId="6" w16cid:durableId="1255017511">
    <w:abstractNumId w:val="1"/>
  </w:num>
  <w:num w:numId="7" w16cid:durableId="871841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3840890">
    <w:abstractNumId w:val="6"/>
  </w:num>
  <w:num w:numId="9" w16cid:durableId="1315640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326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17D0"/>
    <w:rsid w:val="0000189B"/>
    <w:rsid w:val="00001AE4"/>
    <w:rsid w:val="00003E2C"/>
    <w:rsid w:val="00006492"/>
    <w:rsid w:val="00007526"/>
    <w:rsid w:val="00007E9F"/>
    <w:rsid w:val="00010EAB"/>
    <w:rsid w:val="00011714"/>
    <w:rsid w:val="00011920"/>
    <w:rsid w:val="00012ABC"/>
    <w:rsid w:val="00015347"/>
    <w:rsid w:val="00016F19"/>
    <w:rsid w:val="00021F79"/>
    <w:rsid w:val="00023C06"/>
    <w:rsid w:val="00027444"/>
    <w:rsid w:val="00032647"/>
    <w:rsid w:val="00032846"/>
    <w:rsid w:val="000340E0"/>
    <w:rsid w:val="0003680F"/>
    <w:rsid w:val="000376F1"/>
    <w:rsid w:val="00042164"/>
    <w:rsid w:val="00047D36"/>
    <w:rsid w:val="00054A36"/>
    <w:rsid w:val="00055F4D"/>
    <w:rsid w:val="000575DC"/>
    <w:rsid w:val="0006059D"/>
    <w:rsid w:val="00063CF9"/>
    <w:rsid w:val="000646FF"/>
    <w:rsid w:val="00067D2C"/>
    <w:rsid w:val="000724A9"/>
    <w:rsid w:val="00076BC2"/>
    <w:rsid w:val="000800B9"/>
    <w:rsid w:val="00083188"/>
    <w:rsid w:val="00084497"/>
    <w:rsid w:val="0008545C"/>
    <w:rsid w:val="0008702E"/>
    <w:rsid w:val="00087B20"/>
    <w:rsid w:val="00091F19"/>
    <w:rsid w:val="000920D9"/>
    <w:rsid w:val="00092502"/>
    <w:rsid w:val="000937AA"/>
    <w:rsid w:val="00094258"/>
    <w:rsid w:val="000958E9"/>
    <w:rsid w:val="00095E04"/>
    <w:rsid w:val="0009645F"/>
    <w:rsid w:val="0009674B"/>
    <w:rsid w:val="00097890"/>
    <w:rsid w:val="000A29D1"/>
    <w:rsid w:val="000A430B"/>
    <w:rsid w:val="000B018F"/>
    <w:rsid w:val="000B0AD4"/>
    <w:rsid w:val="000B1CC8"/>
    <w:rsid w:val="000B270E"/>
    <w:rsid w:val="000B3F46"/>
    <w:rsid w:val="000B4B8B"/>
    <w:rsid w:val="000B4E0A"/>
    <w:rsid w:val="000B4E1A"/>
    <w:rsid w:val="000B60BE"/>
    <w:rsid w:val="000C007F"/>
    <w:rsid w:val="000C22F0"/>
    <w:rsid w:val="000C4AF3"/>
    <w:rsid w:val="000C5A8B"/>
    <w:rsid w:val="000C60B2"/>
    <w:rsid w:val="000D034B"/>
    <w:rsid w:val="000D2C0A"/>
    <w:rsid w:val="000D5C58"/>
    <w:rsid w:val="000D69BA"/>
    <w:rsid w:val="000D778F"/>
    <w:rsid w:val="000E01B9"/>
    <w:rsid w:val="000E1F34"/>
    <w:rsid w:val="000E33D2"/>
    <w:rsid w:val="000E5161"/>
    <w:rsid w:val="000E56A9"/>
    <w:rsid w:val="000F1B62"/>
    <w:rsid w:val="000F299C"/>
    <w:rsid w:val="000F4B18"/>
    <w:rsid w:val="000F6652"/>
    <w:rsid w:val="000F6E6E"/>
    <w:rsid w:val="000F6E8A"/>
    <w:rsid w:val="000F740E"/>
    <w:rsid w:val="0010130F"/>
    <w:rsid w:val="00101AB4"/>
    <w:rsid w:val="00102D39"/>
    <w:rsid w:val="001043C2"/>
    <w:rsid w:val="00104EA5"/>
    <w:rsid w:val="001063B7"/>
    <w:rsid w:val="00106AA0"/>
    <w:rsid w:val="00106CB1"/>
    <w:rsid w:val="00107781"/>
    <w:rsid w:val="00107A6C"/>
    <w:rsid w:val="00107E24"/>
    <w:rsid w:val="00111F72"/>
    <w:rsid w:val="00112799"/>
    <w:rsid w:val="00112835"/>
    <w:rsid w:val="00114BD7"/>
    <w:rsid w:val="001152E8"/>
    <w:rsid w:val="001154E4"/>
    <w:rsid w:val="001155B7"/>
    <w:rsid w:val="00116F29"/>
    <w:rsid w:val="00117DC7"/>
    <w:rsid w:val="00120A5E"/>
    <w:rsid w:val="001213CE"/>
    <w:rsid w:val="00121BB9"/>
    <w:rsid w:val="001220D9"/>
    <w:rsid w:val="00122728"/>
    <w:rsid w:val="00126BD9"/>
    <w:rsid w:val="00130C48"/>
    <w:rsid w:val="001348AE"/>
    <w:rsid w:val="00136A75"/>
    <w:rsid w:val="001413C2"/>
    <w:rsid w:val="00142A93"/>
    <w:rsid w:val="0014312E"/>
    <w:rsid w:val="0014333A"/>
    <w:rsid w:val="00144AC4"/>
    <w:rsid w:val="0015388C"/>
    <w:rsid w:val="00155BD3"/>
    <w:rsid w:val="00156058"/>
    <w:rsid w:val="00157BD5"/>
    <w:rsid w:val="00162198"/>
    <w:rsid w:val="001634A2"/>
    <w:rsid w:val="0016434C"/>
    <w:rsid w:val="0016750D"/>
    <w:rsid w:val="001734EB"/>
    <w:rsid w:val="00174417"/>
    <w:rsid w:val="0017734A"/>
    <w:rsid w:val="00177874"/>
    <w:rsid w:val="00177A29"/>
    <w:rsid w:val="00183353"/>
    <w:rsid w:val="00183FC9"/>
    <w:rsid w:val="00185FCD"/>
    <w:rsid w:val="001901A2"/>
    <w:rsid w:val="00192429"/>
    <w:rsid w:val="00193AFA"/>
    <w:rsid w:val="00195F88"/>
    <w:rsid w:val="00196336"/>
    <w:rsid w:val="001A008F"/>
    <w:rsid w:val="001A0D49"/>
    <w:rsid w:val="001A1730"/>
    <w:rsid w:val="001A22E3"/>
    <w:rsid w:val="001A6702"/>
    <w:rsid w:val="001B0790"/>
    <w:rsid w:val="001B153B"/>
    <w:rsid w:val="001B20FE"/>
    <w:rsid w:val="001B5262"/>
    <w:rsid w:val="001B655D"/>
    <w:rsid w:val="001B762E"/>
    <w:rsid w:val="001B7FD6"/>
    <w:rsid w:val="001C12ED"/>
    <w:rsid w:val="001C1DAB"/>
    <w:rsid w:val="001C211B"/>
    <w:rsid w:val="001C53BB"/>
    <w:rsid w:val="001D088F"/>
    <w:rsid w:val="001D0C11"/>
    <w:rsid w:val="001D12E7"/>
    <w:rsid w:val="001D1F1A"/>
    <w:rsid w:val="001D410A"/>
    <w:rsid w:val="001D4A6A"/>
    <w:rsid w:val="001D4CCC"/>
    <w:rsid w:val="001E037F"/>
    <w:rsid w:val="001E0770"/>
    <w:rsid w:val="001E0919"/>
    <w:rsid w:val="001E127F"/>
    <w:rsid w:val="001E148A"/>
    <w:rsid w:val="001E21D7"/>
    <w:rsid w:val="001E33B7"/>
    <w:rsid w:val="001E6D18"/>
    <w:rsid w:val="001E7719"/>
    <w:rsid w:val="001F1C2D"/>
    <w:rsid w:val="001F22AD"/>
    <w:rsid w:val="001F2564"/>
    <w:rsid w:val="001F5501"/>
    <w:rsid w:val="001F717E"/>
    <w:rsid w:val="001F76E2"/>
    <w:rsid w:val="00201BFE"/>
    <w:rsid w:val="0020657F"/>
    <w:rsid w:val="00206992"/>
    <w:rsid w:val="00207293"/>
    <w:rsid w:val="002079D8"/>
    <w:rsid w:val="00210D61"/>
    <w:rsid w:val="002129A3"/>
    <w:rsid w:val="00214CF2"/>
    <w:rsid w:val="00217C49"/>
    <w:rsid w:val="002203D7"/>
    <w:rsid w:val="0022286C"/>
    <w:rsid w:val="00222F49"/>
    <w:rsid w:val="00223787"/>
    <w:rsid w:val="0022545B"/>
    <w:rsid w:val="0023229F"/>
    <w:rsid w:val="0023354F"/>
    <w:rsid w:val="00236820"/>
    <w:rsid w:val="0024243C"/>
    <w:rsid w:val="00243EED"/>
    <w:rsid w:val="0024429D"/>
    <w:rsid w:val="00247D4A"/>
    <w:rsid w:val="002509A8"/>
    <w:rsid w:val="0025296D"/>
    <w:rsid w:val="0025311A"/>
    <w:rsid w:val="002539F6"/>
    <w:rsid w:val="002552BA"/>
    <w:rsid w:val="00255C1C"/>
    <w:rsid w:val="00261003"/>
    <w:rsid w:val="002632D6"/>
    <w:rsid w:val="002649EF"/>
    <w:rsid w:val="00265688"/>
    <w:rsid w:val="0026601B"/>
    <w:rsid w:val="00270199"/>
    <w:rsid w:val="0027076E"/>
    <w:rsid w:val="00270CA1"/>
    <w:rsid w:val="00271A6E"/>
    <w:rsid w:val="00272B16"/>
    <w:rsid w:val="0027399B"/>
    <w:rsid w:val="002760CC"/>
    <w:rsid w:val="002761B3"/>
    <w:rsid w:val="0027799C"/>
    <w:rsid w:val="0028032D"/>
    <w:rsid w:val="0028126A"/>
    <w:rsid w:val="002831E4"/>
    <w:rsid w:val="0028333C"/>
    <w:rsid w:val="00283356"/>
    <w:rsid w:val="0028355F"/>
    <w:rsid w:val="0028538A"/>
    <w:rsid w:val="00285899"/>
    <w:rsid w:val="00287044"/>
    <w:rsid w:val="0029301D"/>
    <w:rsid w:val="00296742"/>
    <w:rsid w:val="002A08A4"/>
    <w:rsid w:val="002A1AC6"/>
    <w:rsid w:val="002A4ABC"/>
    <w:rsid w:val="002A7BCA"/>
    <w:rsid w:val="002A7D0A"/>
    <w:rsid w:val="002B18B9"/>
    <w:rsid w:val="002B1D52"/>
    <w:rsid w:val="002B1DFE"/>
    <w:rsid w:val="002B408B"/>
    <w:rsid w:val="002B4114"/>
    <w:rsid w:val="002B43FA"/>
    <w:rsid w:val="002B4BD1"/>
    <w:rsid w:val="002B5793"/>
    <w:rsid w:val="002B5FB0"/>
    <w:rsid w:val="002B73D8"/>
    <w:rsid w:val="002C4FBA"/>
    <w:rsid w:val="002C78A4"/>
    <w:rsid w:val="002D4460"/>
    <w:rsid w:val="002D50EB"/>
    <w:rsid w:val="002D74CD"/>
    <w:rsid w:val="002E035D"/>
    <w:rsid w:val="002E1275"/>
    <w:rsid w:val="002E2439"/>
    <w:rsid w:val="002E7C34"/>
    <w:rsid w:val="002F0AD3"/>
    <w:rsid w:val="002F0E3F"/>
    <w:rsid w:val="002F1045"/>
    <w:rsid w:val="002F2B06"/>
    <w:rsid w:val="002F437F"/>
    <w:rsid w:val="002F6744"/>
    <w:rsid w:val="002F6A7A"/>
    <w:rsid w:val="00300634"/>
    <w:rsid w:val="00300B13"/>
    <w:rsid w:val="00313DBA"/>
    <w:rsid w:val="003166E6"/>
    <w:rsid w:val="00320E49"/>
    <w:rsid w:val="00324A44"/>
    <w:rsid w:val="003304F4"/>
    <w:rsid w:val="003328AB"/>
    <w:rsid w:val="00332F7E"/>
    <w:rsid w:val="00333166"/>
    <w:rsid w:val="003338E8"/>
    <w:rsid w:val="00335AAC"/>
    <w:rsid w:val="0033789E"/>
    <w:rsid w:val="003404D6"/>
    <w:rsid w:val="0034159C"/>
    <w:rsid w:val="00344022"/>
    <w:rsid w:val="00344612"/>
    <w:rsid w:val="00344765"/>
    <w:rsid w:val="003475BB"/>
    <w:rsid w:val="0035174A"/>
    <w:rsid w:val="00351A5F"/>
    <w:rsid w:val="00352C8B"/>
    <w:rsid w:val="0035329C"/>
    <w:rsid w:val="00353BFD"/>
    <w:rsid w:val="00354F87"/>
    <w:rsid w:val="003578E8"/>
    <w:rsid w:val="003618EE"/>
    <w:rsid w:val="00361DA4"/>
    <w:rsid w:val="00363F6E"/>
    <w:rsid w:val="00364BD4"/>
    <w:rsid w:val="00365A97"/>
    <w:rsid w:val="003660B9"/>
    <w:rsid w:val="003666B7"/>
    <w:rsid w:val="00370CD9"/>
    <w:rsid w:val="003751EC"/>
    <w:rsid w:val="00376D02"/>
    <w:rsid w:val="003804C6"/>
    <w:rsid w:val="00384493"/>
    <w:rsid w:val="003852FF"/>
    <w:rsid w:val="00391B87"/>
    <w:rsid w:val="00393537"/>
    <w:rsid w:val="003937D5"/>
    <w:rsid w:val="00393A0B"/>
    <w:rsid w:val="0039598B"/>
    <w:rsid w:val="003974E2"/>
    <w:rsid w:val="003A095A"/>
    <w:rsid w:val="003A4FFB"/>
    <w:rsid w:val="003A58F2"/>
    <w:rsid w:val="003A67C1"/>
    <w:rsid w:val="003A6BDF"/>
    <w:rsid w:val="003B0460"/>
    <w:rsid w:val="003B0F89"/>
    <w:rsid w:val="003B19C9"/>
    <w:rsid w:val="003B3937"/>
    <w:rsid w:val="003B4E00"/>
    <w:rsid w:val="003B6A52"/>
    <w:rsid w:val="003B76FB"/>
    <w:rsid w:val="003C0801"/>
    <w:rsid w:val="003C2AF9"/>
    <w:rsid w:val="003C44A9"/>
    <w:rsid w:val="003D0412"/>
    <w:rsid w:val="003D1458"/>
    <w:rsid w:val="003D4BC0"/>
    <w:rsid w:val="003D69C0"/>
    <w:rsid w:val="003D767F"/>
    <w:rsid w:val="003E0516"/>
    <w:rsid w:val="003E14DE"/>
    <w:rsid w:val="003E4BF2"/>
    <w:rsid w:val="003E76EE"/>
    <w:rsid w:val="003E7BD7"/>
    <w:rsid w:val="003F1AF7"/>
    <w:rsid w:val="003F511E"/>
    <w:rsid w:val="00400DCD"/>
    <w:rsid w:val="00401EDB"/>
    <w:rsid w:val="00403B8C"/>
    <w:rsid w:val="00407C9C"/>
    <w:rsid w:val="00407CB9"/>
    <w:rsid w:val="00410C0A"/>
    <w:rsid w:val="00411C33"/>
    <w:rsid w:val="00412D6D"/>
    <w:rsid w:val="00415638"/>
    <w:rsid w:val="00415EDF"/>
    <w:rsid w:val="00417BE1"/>
    <w:rsid w:val="0042168E"/>
    <w:rsid w:val="00422373"/>
    <w:rsid w:val="00423015"/>
    <w:rsid w:val="00424CFA"/>
    <w:rsid w:val="00425548"/>
    <w:rsid w:val="00425872"/>
    <w:rsid w:val="00427FD1"/>
    <w:rsid w:val="004309EA"/>
    <w:rsid w:val="00430D3B"/>
    <w:rsid w:val="0043392B"/>
    <w:rsid w:val="00433C7A"/>
    <w:rsid w:val="004346D9"/>
    <w:rsid w:val="0043495D"/>
    <w:rsid w:val="00434E95"/>
    <w:rsid w:val="004361D9"/>
    <w:rsid w:val="00441F90"/>
    <w:rsid w:val="00442CE6"/>
    <w:rsid w:val="00442FCA"/>
    <w:rsid w:val="00447152"/>
    <w:rsid w:val="004471BA"/>
    <w:rsid w:val="004500AE"/>
    <w:rsid w:val="00450DB3"/>
    <w:rsid w:val="00452CF5"/>
    <w:rsid w:val="0045669F"/>
    <w:rsid w:val="00460FD9"/>
    <w:rsid w:val="00463807"/>
    <w:rsid w:val="00464647"/>
    <w:rsid w:val="00464A56"/>
    <w:rsid w:val="00470726"/>
    <w:rsid w:val="00470F43"/>
    <w:rsid w:val="00471AA5"/>
    <w:rsid w:val="00471CE1"/>
    <w:rsid w:val="004724CD"/>
    <w:rsid w:val="0047393C"/>
    <w:rsid w:val="004779D9"/>
    <w:rsid w:val="00481968"/>
    <w:rsid w:val="0048380E"/>
    <w:rsid w:val="00484065"/>
    <w:rsid w:val="004860C5"/>
    <w:rsid w:val="004863B5"/>
    <w:rsid w:val="004863EE"/>
    <w:rsid w:val="004864B4"/>
    <w:rsid w:val="00487443"/>
    <w:rsid w:val="00493586"/>
    <w:rsid w:val="00494C07"/>
    <w:rsid w:val="004979F0"/>
    <w:rsid w:val="00497F2C"/>
    <w:rsid w:val="004A0AD6"/>
    <w:rsid w:val="004A1DC5"/>
    <w:rsid w:val="004A4E65"/>
    <w:rsid w:val="004B1300"/>
    <w:rsid w:val="004B1810"/>
    <w:rsid w:val="004B1F38"/>
    <w:rsid w:val="004B436D"/>
    <w:rsid w:val="004B59C2"/>
    <w:rsid w:val="004C0653"/>
    <w:rsid w:val="004C4555"/>
    <w:rsid w:val="004C4778"/>
    <w:rsid w:val="004C6B4E"/>
    <w:rsid w:val="004D0B15"/>
    <w:rsid w:val="004D4485"/>
    <w:rsid w:val="004D4DD3"/>
    <w:rsid w:val="004D51E1"/>
    <w:rsid w:val="004D53D9"/>
    <w:rsid w:val="004D661B"/>
    <w:rsid w:val="004D6B79"/>
    <w:rsid w:val="004D7704"/>
    <w:rsid w:val="004E0095"/>
    <w:rsid w:val="004E059A"/>
    <w:rsid w:val="004E0814"/>
    <w:rsid w:val="004E5BCE"/>
    <w:rsid w:val="004F2C15"/>
    <w:rsid w:val="004F38F0"/>
    <w:rsid w:val="004F5D89"/>
    <w:rsid w:val="004F6858"/>
    <w:rsid w:val="00503D68"/>
    <w:rsid w:val="00504BEF"/>
    <w:rsid w:val="005073A8"/>
    <w:rsid w:val="00510C11"/>
    <w:rsid w:val="00513601"/>
    <w:rsid w:val="005155B8"/>
    <w:rsid w:val="005172B3"/>
    <w:rsid w:val="0052329D"/>
    <w:rsid w:val="00525113"/>
    <w:rsid w:val="005316CF"/>
    <w:rsid w:val="00532293"/>
    <w:rsid w:val="00534A23"/>
    <w:rsid w:val="00534C3B"/>
    <w:rsid w:val="00535C33"/>
    <w:rsid w:val="00541060"/>
    <w:rsid w:val="005414C6"/>
    <w:rsid w:val="00542399"/>
    <w:rsid w:val="00542CCC"/>
    <w:rsid w:val="00545006"/>
    <w:rsid w:val="005460DE"/>
    <w:rsid w:val="005471E2"/>
    <w:rsid w:val="0054759E"/>
    <w:rsid w:val="0055142D"/>
    <w:rsid w:val="00554603"/>
    <w:rsid w:val="0055612B"/>
    <w:rsid w:val="005561CA"/>
    <w:rsid w:val="0055723F"/>
    <w:rsid w:val="00560ABA"/>
    <w:rsid w:val="00563F70"/>
    <w:rsid w:val="00566168"/>
    <w:rsid w:val="00566EF0"/>
    <w:rsid w:val="00566F24"/>
    <w:rsid w:val="0056724A"/>
    <w:rsid w:val="00571FB5"/>
    <w:rsid w:val="005737CF"/>
    <w:rsid w:val="00574253"/>
    <w:rsid w:val="00574BE8"/>
    <w:rsid w:val="00576782"/>
    <w:rsid w:val="00577719"/>
    <w:rsid w:val="00580177"/>
    <w:rsid w:val="00581374"/>
    <w:rsid w:val="005823EB"/>
    <w:rsid w:val="00583D36"/>
    <w:rsid w:val="00584F75"/>
    <w:rsid w:val="0058540F"/>
    <w:rsid w:val="0058778F"/>
    <w:rsid w:val="00591411"/>
    <w:rsid w:val="005927EE"/>
    <w:rsid w:val="00594226"/>
    <w:rsid w:val="005957A6"/>
    <w:rsid w:val="00597B32"/>
    <w:rsid w:val="00597D10"/>
    <w:rsid w:val="005A0DE1"/>
    <w:rsid w:val="005A2B3C"/>
    <w:rsid w:val="005A35DB"/>
    <w:rsid w:val="005B0521"/>
    <w:rsid w:val="005B083D"/>
    <w:rsid w:val="005B110E"/>
    <w:rsid w:val="005B13CB"/>
    <w:rsid w:val="005B14CF"/>
    <w:rsid w:val="005B24A8"/>
    <w:rsid w:val="005B4489"/>
    <w:rsid w:val="005B465C"/>
    <w:rsid w:val="005B6567"/>
    <w:rsid w:val="005B7F65"/>
    <w:rsid w:val="005C10AA"/>
    <w:rsid w:val="005C1ADE"/>
    <w:rsid w:val="005C2B1C"/>
    <w:rsid w:val="005C331F"/>
    <w:rsid w:val="005C3D90"/>
    <w:rsid w:val="005C3E2F"/>
    <w:rsid w:val="005C6DB4"/>
    <w:rsid w:val="005C6E87"/>
    <w:rsid w:val="005D1017"/>
    <w:rsid w:val="005D126B"/>
    <w:rsid w:val="005D38F8"/>
    <w:rsid w:val="005D4FED"/>
    <w:rsid w:val="005D5AB2"/>
    <w:rsid w:val="005D6132"/>
    <w:rsid w:val="005D686C"/>
    <w:rsid w:val="005E24C6"/>
    <w:rsid w:val="005E5606"/>
    <w:rsid w:val="005F2BD0"/>
    <w:rsid w:val="005F39ED"/>
    <w:rsid w:val="005F5A1D"/>
    <w:rsid w:val="005F7E7D"/>
    <w:rsid w:val="0060086F"/>
    <w:rsid w:val="00604AAF"/>
    <w:rsid w:val="006076D0"/>
    <w:rsid w:val="006079AE"/>
    <w:rsid w:val="00612795"/>
    <w:rsid w:val="0061463B"/>
    <w:rsid w:val="006146DA"/>
    <w:rsid w:val="006160BD"/>
    <w:rsid w:val="006161AC"/>
    <w:rsid w:val="00622182"/>
    <w:rsid w:val="0062680C"/>
    <w:rsid w:val="00626A2D"/>
    <w:rsid w:val="00636215"/>
    <w:rsid w:val="00637D82"/>
    <w:rsid w:val="00640708"/>
    <w:rsid w:val="00644471"/>
    <w:rsid w:val="006471F1"/>
    <w:rsid w:val="00650C9F"/>
    <w:rsid w:val="0065107F"/>
    <w:rsid w:val="00651D97"/>
    <w:rsid w:val="00651FF9"/>
    <w:rsid w:val="00652BE3"/>
    <w:rsid w:val="00655A85"/>
    <w:rsid w:val="00657CC1"/>
    <w:rsid w:val="00670F48"/>
    <w:rsid w:val="00671029"/>
    <w:rsid w:val="006724BF"/>
    <w:rsid w:val="00677A4F"/>
    <w:rsid w:val="00680F0A"/>
    <w:rsid w:val="00681257"/>
    <w:rsid w:val="0068502B"/>
    <w:rsid w:val="00686A3C"/>
    <w:rsid w:val="00690F8E"/>
    <w:rsid w:val="00692FE8"/>
    <w:rsid w:val="0069314A"/>
    <w:rsid w:val="00693EA6"/>
    <w:rsid w:val="00697524"/>
    <w:rsid w:val="00697981"/>
    <w:rsid w:val="006A076E"/>
    <w:rsid w:val="006A1F46"/>
    <w:rsid w:val="006A280E"/>
    <w:rsid w:val="006A5A08"/>
    <w:rsid w:val="006A6E7F"/>
    <w:rsid w:val="006A749E"/>
    <w:rsid w:val="006B0532"/>
    <w:rsid w:val="006B0D71"/>
    <w:rsid w:val="006B0DF9"/>
    <w:rsid w:val="006B6DC3"/>
    <w:rsid w:val="006C0251"/>
    <w:rsid w:val="006C13D9"/>
    <w:rsid w:val="006C2274"/>
    <w:rsid w:val="006C4122"/>
    <w:rsid w:val="006C54C2"/>
    <w:rsid w:val="006C655F"/>
    <w:rsid w:val="006C6D24"/>
    <w:rsid w:val="006C71DC"/>
    <w:rsid w:val="006D3698"/>
    <w:rsid w:val="006D3AC3"/>
    <w:rsid w:val="006D4466"/>
    <w:rsid w:val="006D4B44"/>
    <w:rsid w:val="006D5507"/>
    <w:rsid w:val="006D71DD"/>
    <w:rsid w:val="006D7D91"/>
    <w:rsid w:val="006E68D5"/>
    <w:rsid w:val="006E6BC1"/>
    <w:rsid w:val="006F0590"/>
    <w:rsid w:val="006F07B0"/>
    <w:rsid w:val="006F2FDF"/>
    <w:rsid w:val="006F32C4"/>
    <w:rsid w:val="006F4B52"/>
    <w:rsid w:val="006F5CF2"/>
    <w:rsid w:val="006F6C4F"/>
    <w:rsid w:val="006F6DB4"/>
    <w:rsid w:val="00701775"/>
    <w:rsid w:val="00702718"/>
    <w:rsid w:val="00702F7A"/>
    <w:rsid w:val="00703497"/>
    <w:rsid w:val="00703828"/>
    <w:rsid w:val="00704AFD"/>
    <w:rsid w:val="007055D1"/>
    <w:rsid w:val="00705B8D"/>
    <w:rsid w:val="00713C6D"/>
    <w:rsid w:val="00720B9F"/>
    <w:rsid w:val="00721966"/>
    <w:rsid w:val="00723CD5"/>
    <w:rsid w:val="0072485F"/>
    <w:rsid w:val="00726CD4"/>
    <w:rsid w:val="007307F2"/>
    <w:rsid w:val="00730817"/>
    <w:rsid w:val="00731696"/>
    <w:rsid w:val="007316DA"/>
    <w:rsid w:val="00733FB0"/>
    <w:rsid w:val="00734C15"/>
    <w:rsid w:val="00735D64"/>
    <w:rsid w:val="007369E4"/>
    <w:rsid w:val="00736ACD"/>
    <w:rsid w:val="00737051"/>
    <w:rsid w:val="00737333"/>
    <w:rsid w:val="0074433A"/>
    <w:rsid w:val="00747407"/>
    <w:rsid w:val="00750CDC"/>
    <w:rsid w:val="0075715E"/>
    <w:rsid w:val="0076125F"/>
    <w:rsid w:val="00763A81"/>
    <w:rsid w:val="00764B84"/>
    <w:rsid w:val="007677A3"/>
    <w:rsid w:val="007709D7"/>
    <w:rsid w:val="00771489"/>
    <w:rsid w:val="00773FD4"/>
    <w:rsid w:val="00775D79"/>
    <w:rsid w:val="00784A4E"/>
    <w:rsid w:val="007862FA"/>
    <w:rsid w:val="00787B98"/>
    <w:rsid w:val="00792E5F"/>
    <w:rsid w:val="0079450C"/>
    <w:rsid w:val="0079587A"/>
    <w:rsid w:val="007A06BE"/>
    <w:rsid w:val="007A077A"/>
    <w:rsid w:val="007A0B48"/>
    <w:rsid w:val="007A1953"/>
    <w:rsid w:val="007A5FE1"/>
    <w:rsid w:val="007B0679"/>
    <w:rsid w:val="007B202D"/>
    <w:rsid w:val="007B2765"/>
    <w:rsid w:val="007B366F"/>
    <w:rsid w:val="007B4861"/>
    <w:rsid w:val="007C02EC"/>
    <w:rsid w:val="007C04B1"/>
    <w:rsid w:val="007C132E"/>
    <w:rsid w:val="007C382B"/>
    <w:rsid w:val="007C3934"/>
    <w:rsid w:val="007C58DD"/>
    <w:rsid w:val="007C7991"/>
    <w:rsid w:val="007D0EFC"/>
    <w:rsid w:val="007D2DF7"/>
    <w:rsid w:val="007D7411"/>
    <w:rsid w:val="007E0B4C"/>
    <w:rsid w:val="007E168C"/>
    <w:rsid w:val="007E5386"/>
    <w:rsid w:val="007E6712"/>
    <w:rsid w:val="007F0DAE"/>
    <w:rsid w:val="007F1D3F"/>
    <w:rsid w:val="007F285F"/>
    <w:rsid w:val="007F314E"/>
    <w:rsid w:val="007F3B30"/>
    <w:rsid w:val="007F4415"/>
    <w:rsid w:val="007F56D8"/>
    <w:rsid w:val="00800926"/>
    <w:rsid w:val="008021B0"/>
    <w:rsid w:val="00804A70"/>
    <w:rsid w:val="008139AA"/>
    <w:rsid w:val="00813BAB"/>
    <w:rsid w:val="00814AD3"/>
    <w:rsid w:val="00815BF2"/>
    <w:rsid w:val="00822121"/>
    <w:rsid w:val="00825D22"/>
    <w:rsid w:val="0083081F"/>
    <w:rsid w:val="008318DF"/>
    <w:rsid w:val="00831B3B"/>
    <w:rsid w:val="008331B0"/>
    <w:rsid w:val="0083401B"/>
    <w:rsid w:val="00834F1E"/>
    <w:rsid w:val="00835135"/>
    <w:rsid w:val="0083797C"/>
    <w:rsid w:val="00840AB9"/>
    <w:rsid w:val="008413E9"/>
    <w:rsid w:val="00844F58"/>
    <w:rsid w:val="0084555D"/>
    <w:rsid w:val="00847501"/>
    <w:rsid w:val="00851FFF"/>
    <w:rsid w:val="00853EC2"/>
    <w:rsid w:val="00854E89"/>
    <w:rsid w:val="00856282"/>
    <w:rsid w:val="00860F26"/>
    <w:rsid w:val="008614CD"/>
    <w:rsid w:val="00862037"/>
    <w:rsid w:val="0086454B"/>
    <w:rsid w:val="00866266"/>
    <w:rsid w:val="008669F4"/>
    <w:rsid w:val="00871A3F"/>
    <w:rsid w:val="00871E15"/>
    <w:rsid w:val="00872C55"/>
    <w:rsid w:val="00877B4A"/>
    <w:rsid w:val="00880D26"/>
    <w:rsid w:val="00882B48"/>
    <w:rsid w:val="00882E30"/>
    <w:rsid w:val="00884024"/>
    <w:rsid w:val="00884497"/>
    <w:rsid w:val="0088702B"/>
    <w:rsid w:val="0089078D"/>
    <w:rsid w:val="00892310"/>
    <w:rsid w:val="00892659"/>
    <w:rsid w:val="00894D32"/>
    <w:rsid w:val="0089635D"/>
    <w:rsid w:val="00896732"/>
    <w:rsid w:val="00896A23"/>
    <w:rsid w:val="00897161"/>
    <w:rsid w:val="008A14BF"/>
    <w:rsid w:val="008A2494"/>
    <w:rsid w:val="008A3868"/>
    <w:rsid w:val="008A3FFC"/>
    <w:rsid w:val="008A45D5"/>
    <w:rsid w:val="008B07A1"/>
    <w:rsid w:val="008B1699"/>
    <w:rsid w:val="008B32EA"/>
    <w:rsid w:val="008B4700"/>
    <w:rsid w:val="008B53C9"/>
    <w:rsid w:val="008C1997"/>
    <w:rsid w:val="008C1B06"/>
    <w:rsid w:val="008C1DE7"/>
    <w:rsid w:val="008C484E"/>
    <w:rsid w:val="008C4AE3"/>
    <w:rsid w:val="008C7271"/>
    <w:rsid w:val="008C7857"/>
    <w:rsid w:val="008D0531"/>
    <w:rsid w:val="008D0A38"/>
    <w:rsid w:val="008D1846"/>
    <w:rsid w:val="008D2FC0"/>
    <w:rsid w:val="008D34F2"/>
    <w:rsid w:val="008D642E"/>
    <w:rsid w:val="008D7800"/>
    <w:rsid w:val="008E05B6"/>
    <w:rsid w:val="008E4E13"/>
    <w:rsid w:val="008E4FCE"/>
    <w:rsid w:val="008E62E7"/>
    <w:rsid w:val="008E7B65"/>
    <w:rsid w:val="008E7FB9"/>
    <w:rsid w:val="008F00D8"/>
    <w:rsid w:val="008F2BEB"/>
    <w:rsid w:val="008F3E58"/>
    <w:rsid w:val="008F403B"/>
    <w:rsid w:val="008F4474"/>
    <w:rsid w:val="008F4E55"/>
    <w:rsid w:val="008F505A"/>
    <w:rsid w:val="008F5B41"/>
    <w:rsid w:val="00900D55"/>
    <w:rsid w:val="00901131"/>
    <w:rsid w:val="009029E6"/>
    <w:rsid w:val="009034BC"/>
    <w:rsid w:val="00903FEE"/>
    <w:rsid w:val="00904E30"/>
    <w:rsid w:val="00905D58"/>
    <w:rsid w:val="00907D37"/>
    <w:rsid w:val="00907E72"/>
    <w:rsid w:val="00910F30"/>
    <w:rsid w:val="00912BA5"/>
    <w:rsid w:val="0091415F"/>
    <w:rsid w:val="009153B8"/>
    <w:rsid w:val="0091792E"/>
    <w:rsid w:val="009223D6"/>
    <w:rsid w:val="0092675C"/>
    <w:rsid w:val="0092746D"/>
    <w:rsid w:val="00927B06"/>
    <w:rsid w:val="00927E39"/>
    <w:rsid w:val="00930423"/>
    <w:rsid w:val="0093082D"/>
    <w:rsid w:val="00930ACE"/>
    <w:rsid w:val="00933A2A"/>
    <w:rsid w:val="00935133"/>
    <w:rsid w:val="00935767"/>
    <w:rsid w:val="00940376"/>
    <w:rsid w:val="00947B3C"/>
    <w:rsid w:val="0095354F"/>
    <w:rsid w:val="00955E81"/>
    <w:rsid w:val="00957210"/>
    <w:rsid w:val="009601BC"/>
    <w:rsid w:val="0096474E"/>
    <w:rsid w:val="00965EBB"/>
    <w:rsid w:val="00965FB9"/>
    <w:rsid w:val="00971333"/>
    <w:rsid w:val="00981E46"/>
    <w:rsid w:val="00983284"/>
    <w:rsid w:val="00983BA2"/>
    <w:rsid w:val="0098543D"/>
    <w:rsid w:val="00987A5F"/>
    <w:rsid w:val="00990DD7"/>
    <w:rsid w:val="009913A2"/>
    <w:rsid w:val="0099193E"/>
    <w:rsid w:val="00991E75"/>
    <w:rsid w:val="009945B3"/>
    <w:rsid w:val="00995BC0"/>
    <w:rsid w:val="0099620B"/>
    <w:rsid w:val="00997A06"/>
    <w:rsid w:val="009A4402"/>
    <w:rsid w:val="009A4C5A"/>
    <w:rsid w:val="009A5CFC"/>
    <w:rsid w:val="009A6562"/>
    <w:rsid w:val="009A72A0"/>
    <w:rsid w:val="009B01F3"/>
    <w:rsid w:val="009B1331"/>
    <w:rsid w:val="009B32B5"/>
    <w:rsid w:val="009B412B"/>
    <w:rsid w:val="009C04FC"/>
    <w:rsid w:val="009C1EBB"/>
    <w:rsid w:val="009C3352"/>
    <w:rsid w:val="009C35EF"/>
    <w:rsid w:val="009C523F"/>
    <w:rsid w:val="009C67B5"/>
    <w:rsid w:val="009D1BF6"/>
    <w:rsid w:val="009D309D"/>
    <w:rsid w:val="009E0764"/>
    <w:rsid w:val="009E1E3C"/>
    <w:rsid w:val="009E380B"/>
    <w:rsid w:val="009E4402"/>
    <w:rsid w:val="009E7B3E"/>
    <w:rsid w:val="009F134F"/>
    <w:rsid w:val="009F1802"/>
    <w:rsid w:val="009F34A0"/>
    <w:rsid w:val="009F3BC1"/>
    <w:rsid w:val="009F5CBF"/>
    <w:rsid w:val="00A008E9"/>
    <w:rsid w:val="00A04A88"/>
    <w:rsid w:val="00A04B0A"/>
    <w:rsid w:val="00A073FD"/>
    <w:rsid w:val="00A107B7"/>
    <w:rsid w:val="00A12E4E"/>
    <w:rsid w:val="00A13E8E"/>
    <w:rsid w:val="00A17FF9"/>
    <w:rsid w:val="00A21F19"/>
    <w:rsid w:val="00A22762"/>
    <w:rsid w:val="00A22EB8"/>
    <w:rsid w:val="00A24B5D"/>
    <w:rsid w:val="00A25154"/>
    <w:rsid w:val="00A2680B"/>
    <w:rsid w:val="00A36BA6"/>
    <w:rsid w:val="00A370D2"/>
    <w:rsid w:val="00A378D9"/>
    <w:rsid w:val="00A417C1"/>
    <w:rsid w:val="00A42203"/>
    <w:rsid w:val="00A4342C"/>
    <w:rsid w:val="00A43EB0"/>
    <w:rsid w:val="00A44CB8"/>
    <w:rsid w:val="00A44F37"/>
    <w:rsid w:val="00A45D28"/>
    <w:rsid w:val="00A506C6"/>
    <w:rsid w:val="00A5337A"/>
    <w:rsid w:val="00A533E4"/>
    <w:rsid w:val="00A554C4"/>
    <w:rsid w:val="00A554CF"/>
    <w:rsid w:val="00A626AB"/>
    <w:rsid w:val="00A64870"/>
    <w:rsid w:val="00A66206"/>
    <w:rsid w:val="00A67076"/>
    <w:rsid w:val="00A67646"/>
    <w:rsid w:val="00A70CDC"/>
    <w:rsid w:val="00A70DC1"/>
    <w:rsid w:val="00A71E35"/>
    <w:rsid w:val="00A7368D"/>
    <w:rsid w:val="00A7544C"/>
    <w:rsid w:val="00A75F61"/>
    <w:rsid w:val="00A811E1"/>
    <w:rsid w:val="00A83204"/>
    <w:rsid w:val="00A850CE"/>
    <w:rsid w:val="00A852B4"/>
    <w:rsid w:val="00A85C46"/>
    <w:rsid w:val="00A87AD3"/>
    <w:rsid w:val="00A9170C"/>
    <w:rsid w:val="00A92953"/>
    <w:rsid w:val="00A93629"/>
    <w:rsid w:val="00A949C4"/>
    <w:rsid w:val="00A95E77"/>
    <w:rsid w:val="00A965A3"/>
    <w:rsid w:val="00A9794D"/>
    <w:rsid w:val="00AA0734"/>
    <w:rsid w:val="00AA1E9D"/>
    <w:rsid w:val="00AA4347"/>
    <w:rsid w:val="00AA4406"/>
    <w:rsid w:val="00AA4F25"/>
    <w:rsid w:val="00AA59BF"/>
    <w:rsid w:val="00AB63E2"/>
    <w:rsid w:val="00AB663C"/>
    <w:rsid w:val="00AC1169"/>
    <w:rsid w:val="00AC37CE"/>
    <w:rsid w:val="00AC38D4"/>
    <w:rsid w:val="00AC44FE"/>
    <w:rsid w:val="00AC480E"/>
    <w:rsid w:val="00AC4815"/>
    <w:rsid w:val="00AC5189"/>
    <w:rsid w:val="00AC6465"/>
    <w:rsid w:val="00AD0D8A"/>
    <w:rsid w:val="00AD14AA"/>
    <w:rsid w:val="00AD1CAD"/>
    <w:rsid w:val="00AD1CC1"/>
    <w:rsid w:val="00AD1EEA"/>
    <w:rsid w:val="00AD40CA"/>
    <w:rsid w:val="00AD6571"/>
    <w:rsid w:val="00AD7359"/>
    <w:rsid w:val="00AE184D"/>
    <w:rsid w:val="00AE50D5"/>
    <w:rsid w:val="00AE65D1"/>
    <w:rsid w:val="00AE717A"/>
    <w:rsid w:val="00AE787C"/>
    <w:rsid w:val="00AF0329"/>
    <w:rsid w:val="00AF3168"/>
    <w:rsid w:val="00AF66F8"/>
    <w:rsid w:val="00B005EB"/>
    <w:rsid w:val="00B0089D"/>
    <w:rsid w:val="00B00D2D"/>
    <w:rsid w:val="00B024B7"/>
    <w:rsid w:val="00B04B07"/>
    <w:rsid w:val="00B05052"/>
    <w:rsid w:val="00B06B51"/>
    <w:rsid w:val="00B12050"/>
    <w:rsid w:val="00B12BE7"/>
    <w:rsid w:val="00B1572C"/>
    <w:rsid w:val="00B15BED"/>
    <w:rsid w:val="00B15D0E"/>
    <w:rsid w:val="00B16318"/>
    <w:rsid w:val="00B210F1"/>
    <w:rsid w:val="00B22B85"/>
    <w:rsid w:val="00B22B8E"/>
    <w:rsid w:val="00B22FA4"/>
    <w:rsid w:val="00B25291"/>
    <w:rsid w:val="00B3118C"/>
    <w:rsid w:val="00B3360A"/>
    <w:rsid w:val="00B33C30"/>
    <w:rsid w:val="00B3459D"/>
    <w:rsid w:val="00B354A5"/>
    <w:rsid w:val="00B35F5E"/>
    <w:rsid w:val="00B37BE4"/>
    <w:rsid w:val="00B40484"/>
    <w:rsid w:val="00B42221"/>
    <w:rsid w:val="00B44392"/>
    <w:rsid w:val="00B44683"/>
    <w:rsid w:val="00B45174"/>
    <w:rsid w:val="00B46A62"/>
    <w:rsid w:val="00B479DA"/>
    <w:rsid w:val="00B50013"/>
    <w:rsid w:val="00B50FF4"/>
    <w:rsid w:val="00B51DF3"/>
    <w:rsid w:val="00B51E44"/>
    <w:rsid w:val="00B55B1B"/>
    <w:rsid w:val="00B62098"/>
    <w:rsid w:val="00B626F3"/>
    <w:rsid w:val="00B63A59"/>
    <w:rsid w:val="00B64160"/>
    <w:rsid w:val="00B66EAC"/>
    <w:rsid w:val="00B67814"/>
    <w:rsid w:val="00B71038"/>
    <w:rsid w:val="00B7359B"/>
    <w:rsid w:val="00B76C5D"/>
    <w:rsid w:val="00B76EE9"/>
    <w:rsid w:val="00B805C9"/>
    <w:rsid w:val="00B81133"/>
    <w:rsid w:val="00B8191C"/>
    <w:rsid w:val="00B85310"/>
    <w:rsid w:val="00B865D1"/>
    <w:rsid w:val="00B87079"/>
    <w:rsid w:val="00B877B9"/>
    <w:rsid w:val="00B9018D"/>
    <w:rsid w:val="00B9077A"/>
    <w:rsid w:val="00B90F17"/>
    <w:rsid w:val="00B93831"/>
    <w:rsid w:val="00B95B69"/>
    <w:rsid w:val="00BA34C5"/>
    <w:rsid w:val="00BA4979"/>
    <w:rsid w:val="00BA6FBE"/>
    <w:rsid w:val="00BA71B4"/>
    <w:rsid w:val="00BB05CE"/>
    <w:rsid w:val="00BB1A5A"/>
    <w:rsid w:val="00BB1CFD"/>
    <w:rsid w:val="00BB2071"/>
    <w:rsid w:val="00BB5BBD"/>
    <w:rsid w:val="00BB5D49"/>
    <w:rsid w:val="00BB7380"/>
    <w:rsid w:val="00BB79A0"/>
    <w:rsid w:val="00BC0CD2"/>
    <w:rsid w:val="00BC301B"/>
    <w:rsid w:val="00BC34AA"/>
    <w:rsid w:val="00BC4B9E"/>
    <w:rsid w:val="00BC568F"/>
    <w:rsid w:val="00BC5E66"/>
    <w:rsid w:val="00BC6765"/>
    <w:rsid w:val="00BC67A9"/>
    <w:rsid w:val="00BC7D37"/>
    <w:rsid w:val="00BD0924"/>
    <w:rsid w:val="00BD1D9E"/>
    <w:rsid w:val="00BD54F1"/>
    <w:rsid w:val="00BD6029"/>
    <w:rsid w:val="00BD607E"/>
    <w:rsid w:val="00BD6250"/>
    <w:rsid w:val="00BD6D2F"/>
    <w:rsid w:val="00BD77C9"/>
    <w:rsid w:val="00BE00C9"/>
    <w:rsid w:val="00BE266A"/>
    <w:rsid w:val="00BE317F"/>
    <w:rsid w:val="00BE3F2E"/>
    <w:rsid w:val="00BE5D25"/>
    <w:rsid w:val="00BE6672"/>
    <w:rsid w:val="00BE74A9"/>
    <w:rsid w:val="00BF0B64"/>
    <w:rsid w:val="00BF199E"/>
    <w:rsid w:val="00BF3129"/>
    <w:rsid w:val="00BF53D2"/>
    <w:rsid w:val="00BF5809"/>
    <w:rsid w:val="00C02639"/>
    <w:rsid w:val="00C03138"/>
    <w:rsid w:val="00C05637"/>
    <w:rsid w:val="00C06076"/>
    <w:rsid w:val="00C064D0"/>
    <w:rsid w:val="00C07B29"/>
    <w:rsid w:val="00C07BAD"/>
    <w:rsid w:val="00C21741"/>
    <w:rsid w:val="00C228D3"/>
    <w:rsid w:val="00C23129"/>
    <w:rsid w:val="00C2459A"/>
    <w:rsid w:val="00C24F53"/>
    <w:rsid w:val="00C2596F"/>
    <w:rsid w:val="00C30072"/>
    <w:rsid w:val="00C31A95"/>
    <w:rsid w:val="00C32F3A"/>
    <w:rsid w:val="00C35588"/>
    <w:rsid w:val="00C35940"/>
    <w:rsid w:val="00C367C3"/>
    <w:rsid w:val="00C367E0"/>
    <w:rsid w:val="00C37A88"/>
    <w:rsid w:val="00C401AE"/>
    <w:rsid w:val="00C40F18"/>
    <w:rsid w:val="00C41799"/>
    <w:rsid w:val="00C41F11"/>
    <w:rsid w:val="00C4249D"/>
    <w:rsid w:val="00C43723"/>
    <w:rsid w:val="00C452EB"/>
    <w:rsid w:val="00C4721F"/>
    <w:rsid w:val="00C518CA"/>
    <w:rsid w:val="00C565B9"/>
    <w:rsid w:val="00C62EE2"/>
    <w:rsid w:val="00C630F3"/>
    <w:rsid w:val="00C634C8"/>
    <w:rsid w:val="00C6453A"/>
    <w:rsid w:val="00C65D33"/>
    <w:rsid w:val="00C67B3B"/>
    <w:rsid w:val="00C72330"/>
    <w:rsid w:val="00C72BA8"/>
    <w:rsid w:val="00C72FB5"/>
    <w:rsid w:val="00C7448E"/>
    <w:rsid w:val="00C76AD7"/>
    <w:rsid w:val="00C8117F"/>
    <w:rsid w:val="00C8511C"/>
    <w:rsid w:val="00C861D8"/>
    <w:rsid w:val="00C8665D"/>
    <w:rsid w:val="00C87E2F"/>
    <w:rsid w:val="00C91A1F"/>
    <w:rsid w:val="00C93C50"/>
    <w:rsid w:val="00CA201D"/>
    <w:rsid w:val="00CA25D2"/>
    <w:rsid w:val="00CA2DEE"/>
    <w:rsid w:val="00CA72F5"/>
    <w:rsid w:val="00CA7995"/>
    <w:rsid w:val="00CB0E10"/>
    <w:rsid w:val="00CB292E"/>
    <w:rsid w:val="00CB43F1"/>
    <w:rsid w:val="00CB7F88"/>
    <w:rsid w:val="00CB7F96"/>
    <w:rsid w:val="00CC31A4"/>
    <w:rsid w:val="00CC3AFE"/>
    <w:rsid w:val="00CC64DD"/>
    <w:rsid w:val="00CC7B9A"/>
    <w:rsid w:val="00CC7EE9"/>
    <w:rsid w:val="00CD003C"/>
    <w:rsid w:val="00CD3851"/>
    <w:rsid w:val="00CD4804"/>
    <w:rsid w:val="00CD5D06"/>
    <w:rsid w:val="00CE43FC"/>
    <w:rsid w:val="00CE50B0"/>
    <w:rsid w:val="00CE65BC"/>
    <w:rsid w:val="00CF00EC"/>
    <w:rsid w:val="00CF1207"/>
    <w:rsid w:val="00CF219C"/>
    <w:rsid w:val="00CF4767"/>
    <w:rsid w:val="00CF4E28"/>
    <w:rsid w:val="00CF6038"/>
    <w:rsid w:val="00CF6E22"/>
    <w:rsid w:val="00CF754D"/>
    <w:rsid w:val="00D00EFA"/>
    <w:rsid w:val="00D022AE"/>
    <w:rsid w:val="00D063F3"/>
    <w:rsid w:val="00D06557"/>
    <w:rsid w:val="00D07630"/>
    <w:rsid w:val="00D07F2E"/>
    <w:rsid w:val="00D12A18"/>
    <w:rsid w:val="00D12B62"/>
    <w:rsid w:val="00D13CFD"/>
    <w:rsid w:val="00D13FFB"/>
    <w:rsid w:val="00D144E2"/>
    <w:rsid w:val="00D1546E"/>
    <w:rsid w:val="00D17D57"/>
    <w:rsid w:val="00D21A85"/>
    <w:rsid w:val="00D22C1B"/>
    <w:rsid w:val="00D24010"/>
    <w:rsid w:val="00D24744"/>
    <w:rsid w:val="00D24AD4"/>
    <w:rsid w:val="00D25A26"/>
    <w:rsid w:val="00D277FF"/>
    <w:rsid w:val="00D32B83"/>
    <w:rsid w:val="00D36ED6"/>
    <w:rsid w:val="00D41CA9"/>
    <w:rsid w:val="00D42627"/>
    <w:rsid w:val="00D4476B"/>
    <w:rsid w:val="00D464D8"/>
    <w:rsid w:val="00D46BA5"/>
    <w:rsid w:val="00D5113C"/>
    <w:rsid w:val="00D51669"/>
    <w:rsid w:val="00D5505A"/>
    <w:rsid w:val="00D563DD"/>
    <w:rsid w:val="00D57223"/>
    <w:rsid w:val="00D63021"/>
    <w:rsid w:val="00D63F0C"/>
    <w:rsid w:val="00D653E6"/>
    <w:rsid w:val="00D6559D"/>
    <w:rsid w:val="00D655C9"/>
    <w:rsid w:val="00D707A1"/>
    <w:rsid w:val="00D70CE2"/>
    <w:rsid w:val="00D70E56"/>
    <w:rsid w:val="00D750A7"/>
    <w:rsid w:val="00D76F4D"/>
    <w:rsid w:val="00D8171A"/>
    <w:rsid w:val="00D846E8"/>
    <w:rsid w:val="00D85CE1"/>
    <w:rsid w:val="00D91F74"/>
    <w:rsid w:val="00D92D07"/>
    <w:rsid w:val="00D937ED"/>
    <w:rsid w:val="00D93D3A"/>
    <w:rsid w:val="00D93DD7"/>
    <w:rsid w:val="00D95B2E"/>
    <w:rsid w:val="00D971B5"/>
    <w:rsid w:val="00D978A3"/>
    <w:rsid w:val="00DA0D83"/>
    <w:rsid w:val="00DA1089"/>
    <w:rsid w:val="00DA2EC1"/>
    <w:rsid w:val="00DA5453"/>
    <w:rsid w:val="00DA6EA4"/>
    <w:rsid w:val="00DA7147"/>
    <w:rsid w:val="00DB00CD"/>
    <w:rsid w:val="00DB32C3"/>
    <w:rsid w:val="00DB3C67"/>
    <w:rsid w:val="00DB3EF2"/>
    <w:rsid w:val="00DB42A0"/>
    <w:rsid w:val="00DB48BF"/>
    <w:rsid w:val="00DB7310"/>
    <w:rsid w:val="00DC0FD5"/>
    <w:rsid w:val="00DC100F"/>
    <w:rsid w:val="00DC10B4"/>
    <w:rsid w:val="00DC1340"/>
    <w:rsid w:val="00DC21B2"/>
    <w:rsid w:val="00DC2D43"/>
    <w:rsid w:val="00DD283F"/>
    <w:rsid w:val="00DD2B17"/>
    <w:rsid w:val="00DD48A4"/>
    <w:rsid w:val="00DD551C"/>
    <w:rsid w:val="00DE0E10"/>
    <w:rsid w:val="00DE211A"/>
    <w:rsid w:val="00DE32B5"/>
    <w:rsid w:val="00DE3DF2"/>
    <w:rsid w:val="00DE5557"/>
    <w:rsid w:val="00DE6D58"/>
    <w:rsid w:val="00DE74C5"/>
    <w:rsid w:val="00DE77B8"/>
    <w:rsid w:val="00DF1BFA"/>
    <w:rsid w:val="00DF2472"/>
    <w:rsid w:val="00DF2C9B"/>
    <w:rsid w:val="00DF4138"/>
    <w:rsid w:val="00DF74EC"/>
    <w:rsid w:val="00E01D84"/>
    <w:rsid w:val="00E0473A"/>
    <w:rsid w:val="00E051FC"/>
    <w:rsid w:val="00E05AC6"/>
    <w:rsid w:val="00E063E1"/>
    <w:rsid w:val="00E071F9"/>
    <w:rsid w:val="00E101FC"/>
    <w:rsid w:val="00E1191F"/>
    <w:rsid w:val="00E12042"/>
    <w:rsid w:val="00E131F4"/>
    <w:rsid w:val="00E1621B"/>
    <w:rsid w:val="00E16F01"/>
    <w:rsid w:val="00E17B2A"/>
    <w:rsid w:val="00E17E89"/>
    <w:rsid w:val="00E20051"/>
    <w:rsid w:val="00E20149"/>
    <w:rsid w:val="00E21E6F"/>
    <w:rsid w:val="00E226F5"/>
    <w:rsid w:val="00E2377D"/>
    <w:rsid w:val="00E2479C"/>
    <w:rsid w:val="00E27118"/>
    <w:rsid w:val="00E318F7"/>
    <w:rsid w:val="00E363AD"/>
    <w:rsid w:val="00E374AE"/>
    <w:rsid w:val="00E376C0"/>
    <w:rsid w:val="00E401B0"/>
    <w:rsid w:val="00E4132C"/>
    <w:rsid w:val="00E44EFF"/>
    <w:rsid w:val="00E4559F"/>
    <w:rsid w:val="00E474F6"/>
    <w:rsid w:val="00E47D61"/>
    <w:rsid w:val="00E53F1D"/>
    <w:rsid w:val="00E55FC5"/>
    <w:rsid w:val="00E57BE6"/>
    <w:rsid w:val="00E62B65"/>
    <w:rsid w:val="00E63D17"/>
    <w:rsid w:val="00E65A1C"/>
    <w:rsid w:val="00E71140"/>
    <w:rsid w:val="00E71C31"/>
    <w:rsid w:val="00E7332E"/>
    <w:rsid w:val="00E73A31"/>
    <w:rsid w:val="00E749B5"/>
    <w:rsid w:val="00E7502F"/>
    <w:rsid w:val="00E80D6B"/>
    <w:rsid w:val="00E81902"/>
    <w:rsid w:val="00E81D27"/>
    <w:rsid w:val="00E8221E"/>
    <w:rsid w:val="00E83636"/>
    <w:rsid w:val="00E83B60"/>
    <w:rsid w:val="00E84033"/>
    <w:rsid w:val="00E8468B"/>
    <w:rsid w:val="00E86712"/>
    <w:rsid w:val="00E9205E"/>
    <w:rsid w:val="00E940B1"/>
    <w:rsid w:val="00E9422E"/>
    <w:rsid w:val="00E9552E"/>
    <w:rsid w:val="00E96E0D"/>
    <w:rsid w:val="00EA066B"/>
    <w:rsid w:val="00EA0B1E"/>
    <w:rsid w:val="00EA1A6E"/>
    <w:rsid w:val="00EA44FE"/>
    <w:rsid w:val="00EA658C"/>
    <w:rsid w:val="00EA772D"/>
    <w:rsid w:val="00EB16D8"/>
    <w:rsid w:val="00EB223A"/>
    <w:rsid w:val="00EB5E83"/>
    <w:rsid w:val="00EB7681"/>
    <w:rsid w:val="00EC0532"/>
    <w:rsid w:val="00EC07A8"/>
    <w:rsid w:val="00EC18EC"/>
    <w:rsid w:val="00EC1A66"/>
    <w:rsid w:val="00EC4CE4"/>
    <w:rsid w:val="00EC54C3"/>
    <w:rsid w:val="00EC6DB3"/>
    <w:rsid w:val="00ED55CB"/>
    <w:rsid w:val="00ED591F"/>
    <w:rsid w:val="00ED6D09"/>
    <w:rsid w:val="00EE3488"/>
    <w:rsid w:val="00EE47D5"/>
    <w:rsid w:val="00EE5CEA"/>
    <w:rsid w:val="00EE6B45"/>
    <w:rsid w:val="00EF02BA"/>
    <w:rsid w:val="00EF0C03"/>
    <w:rsid w:val="00EF242C"/>
    <w:rsid w:val="00EF3BD0"/>
    <w:rsid w:val="00EF3FD6"/>
    <w:rsid w:val="00EF6088"/>
    <w:rsid w:val="00EF60EC"/>
    <w:rsid w:val="00F00712"/>
    <w:rsid w:val="00F00743"/>
    <w:rsid w:val="00F04785"/>
    <w:rsid w:val="00F048F5"/>
    <w:rsid w:val="00F05151"/>
    <w:rsid w:val="00F05B43"/>
    <w:rsid w:val="00F07B81"/>
    <w:rsid w:val="00F154C2"/>
    <w:rsid w:val="00F21874"/>
    <w:rsid w:val="00F25E76"/>
    <w:rsid w:val="00F26DEC"/>
    <w:rsid w:val="00F27E89"/>
    <w:rsid w:val="00F30AA4"/>
    <w:rsid w:val="00F313A2"/>
    <w:rsid w:val="00F31EC9"/>
    <w:rsid w:val="00F32473"/>
    <w:rsid w:val="00F37DD5"/>
    <w:rsid w:val="00F37E0A"/>
    <w:rsid w:val="00F4187C"/>
    <w:rsid w:val="00F42EA3"/>
    <w:rsid w:val="00F4519A"/>
    <w:rsid w:val="00F456DF"/>
    <w:rsid w:val="00F4710C"/>
    <w:rsid w:val="00F51EF2"/>
    <w:rsid w:val="00F54288"/>
    <w:rsid w:val="00F551E5"/>
    <w:rsid w:val="00F55B9E"/>
    <w:rsid w:val="00F55F44"/>
    <w:rsid w:val="00F576F9"/>
    <w:rsid w:val="00F6385C"/>
    <w:rsid w:val="00F63D03"/>
    <w:rsid w:val="00F65F97"/>
    <w:rsid w:val="00F66D6C"/>
    <w:rsid w:val="00F71526"/>
    <w:rsid w:val="00F74E57"/>
    <w:rsid w:val="00F77DB5"/>
    <w:rsid w:val="00F81D3B"/>
    <w:rsid w:val="00F82F1A"/>
    <w:rsid w:val="00F83E4D"/>
    <w:rsid w:val="00F856A6"/>
    <w:rsid w:val="00F85ED9"/>
    <w:rsid w:val="00F90642"/>
    <w:rsid w:val="00F91045"/>
    <w:rsid w:val="00F91109"/>
    <w:rsid w:val="00F92333"/>
    <w:rsid w:val="00F93416"/>
    <w:rsid w:val="00F9371A"/>
    <w:rsid w:val="00F95196"/>
    <w:rsid w:val="00F95F20"/>
    <w:rsid w:val="00FA188A"/>
    <w:rsid w:val="00FB1C69"/>
    <w:rsid w:val="00FB277F"/>
    <w:rsid w:val="00FB3DA1"/>
    <w:rsid w:val="00FB575F"/>
    <w:rsid w:val="00FB57AF"/>
    <w:rsid w:val="00FB59C1"/>
    <w:rsid w:val="00FB606F"/>
    <w:rsid w:val="00FB6952"/>
    <w:rsid w:val="00FC3F58"/>
    <w:rsid w:val="00FC43EE"/>
    <w:rsid w:val="00FC4798"/>
    <w:rsid w:val="00FC56C1"/>
    <w:rsid w:val="00FC5BF4"/>
    <w:rsid w:val="00FD1588"/>
    <w:rsid w:val="00FD1675"/>
    <w:rsid w:val="00FD25E4"/>
    <w:rsid w:val="00FD6B84"/>
    <w:rsid w:val="00FE1BE7"/>
    <w:rsid w:val="00FE2394"/>
    <w:rsid w:val="00FE3B26"/>
    <w:rsid w:val="00FE43B8"/>
    <w:rsid w:val="00FE4FEB"/>
    <w:rsid w:val="00FE69C7"/>
    <w:rsid w:val="00FE6E00"/>
    <w:rsid w:val="00FF074F"/>
    <w:rsid w:val="00FF13FD"/>
    <w:rsid w:val="00FF34E1"/>
    <w:rsid w:val="00FF4FBF"/>
    <w:rsid w:val="00FF6483"/>
    <w:rsid w:val="00FF65AC"/>
    <w:rsid w:val="14FE0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5BEE"/>
  <w15:chartTrackingRefBased/>
  <w15:docId w15:val="{6619D645-4B3B-4874-9931-18D81D7F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uiPriority w:val="9"/>
    <w:qFormat/>
    <w:rsid w:val="00E413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1E3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link w:val="DefinitionChar"/>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
    <w:name w:val="ACMA Body Text"/>
    <w:rsid w:val="00BB2071"/>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ScheduleHeading">
    <w:name w:val="Schedule Heading"/>
    <w:basedOn w:val="Normal"/>
    <w:next w:val="Normal"/>
    <w:rsid w:val="00464A56"/>
    <w:pPr>
      <w:keepNext/>
      <w:keepLines/>
      <w:spacing w:before="360" w:after="0" w:line="240" w:lineRule="auto"/>
      <w:ind w:left="964" w:hanging="964"/>
    </w:pPr>
    <w:rPr>
      <w:rFonts w:ascii="Arial" w:eastAsia="Times New Roman" w:hAnsi="Arial" w:cs="Times New Roman"/>
      <w:b/>
      <w:sz w:val="24"/>
      <w:szCs w:val="24"/>
    </w:rPr>
  </w:style>
  <w:style w:type="paragraph" w:customStyle="1" w:styleId="TableColHead">
    <w:name w:val="TableColHead"/>
    <w:basedOn w:val="Normal"/>
    <w:rsid w:val="00464A56"/>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464A56"/>
    <w:pPr>
      <w:spacing w:before="60" w:after="60" w:line="240" w:lineRule="exact"/>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413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1E33B7"/>
    <w:rPr>
      <w:rFonts w:asciiTheme="majorHAnsi" w:eastAsiaTheme="majorEastAsia" w:hAnsiTheme="majorHAnsi" w:cstheme="majorBidi"/>
      <w:color w:val="2E74B5" w:themeColor="accent1" w:themeShade="BF"/>
      <w:sz w:val="26"/>
      <w:szCs w:val="26"/>
    </w:rPr>
  </w:style>
  <w:style w:type="character" w:customStyle="1" w:styleId="SOTextChar">
    <w:name w:val="SO Text Char"/>
    <w:aliases w:val="sot Char"/>
    <w:basedOn w:val="DefaultParagraphFont"/>
    <w:link w:val="SOText"/>
    <w:locked/>
    <w:rsid w:val="00D42627"/>
    <w:rPr>
      <w:rFonts w:ascii="Times New Roman" w:hAnsi="Times New Roman" w:cs="Times New Roman"/>
      <w:szCs w:val="20"/>
    </w:rPr>
  </w:style>
  <w:style w:type="paragraph" w:customStyle="1" w:styleId="SOText">
    <w:name w:val="SO Text"/>
    <w:aliases w:val="sot"/>
    <w:link w:val="SOTextChar"/>
    <w:rsid w:val="00D42627"/>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paragraph" w:customStyle="1" w:styleId="Schedulereference">
    <w:name w:val="Schedule reference"/>
    <w:basedOn w:val="Normal"/>
    <w:next w:val="Normal"/>
    <w:rsid w:val="0025311A"/>
    <w:pPr>
      <w:keepNext/>
      <w:keepLines/>
      <w:spacing w:before="60" w:after="0" w:line="200" w:lineRule="exact"/>
      <w:ind w:left="2410"/>
    </w:pPr>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B33C30"/>
    <w:rPr>
      <w:color w:val="605E5C"/>
      <w:shd w:val="clear" w:color="auto" w:fill="E1DFDD"/>
    </w:rPr>
  </w:style>
  <w:style w:type="paragraph" w:customStyle="1" w:styleId="hr">
    <w:name w:val="hr"/>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ED6D09"/>
  </w:style>
  <w:style w:type="character" w:customStyle="1" w:styleId="charpartno0">
    <w:name w:val="charpartno"/>
    <w:basedOn w:val="DefaultParagraphFont"/>
    <w:rsid w:val="00ED6D09"/>
  </w:style>
  <w:style w:type="paragraph" w:customStyle="1" w:styleId="r1">
    <w:name w:val="r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2">
    <w:name w:val="p2"/>
    <w:basedOn w:val="Normal"/>
    <w:rsid w:val="00ED6D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aliases w:val="ta"/>
    <w:basedOn w:val="Normal"/>
    <w:rsid w:val="007F314E"/>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0">
    <w:name w:val="Tabletext"/>
    <w:aliases w:val="tt"/>
    <w:basedOn w:val="Normal"/>
    <w:rsid w:val="007F314E"/>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0"/>
    <w:rsid w:val="007F314E"/>
    <w:pPr>
      <w:keepNext/>
      <w:spacing w:before="60" w:after="0" w:line="240" w:lineRule="atLeast"/>
    </w:pPr>
    <w:rPr>
      <w:rFonts w:ascii="Times New Roman" w:eastAsia="Times New Roman" w:hAnsi="Times New Roman" w:cs="Times New Roman"/>
      <w:b/>
      <w:sz w:val="20"/>
      <w:szCs w:val="20"/>
      <w:lang w:eastAsia="en-AU"/>
    </w:rPr>
  </w:style>
  <w:style w:type="character" w:styleId="FollowedHyperlink">
    <w:name w:val="FollowedHyperlink"/>
    <w:basedOn w:val="DefaultParagraphFont"/>
    <w:uiPriority w:val="99"/>
    <w:semiHidden/>
    <w:unhideWhenUsed/>
    <w:rsid w:val="0092675C"/>
    <w:rPr>
      <w:color w:val="954F72" w:themeColor="followedHyperlink"/>
      <w:u w:val="single"/>
    </w:rPr>
  </w:style>
  <w:style w:type="paragraph" w:styleId="Revision">
    <w:name w:val="Revision"/>
    <w:hidden/>
    <w:uiPriority w:val="99"/>
    <w:semiHidden/>
    <w:rsid w:val="005B0521"/>
    <w:pPr>
      <w:spacing w:after="0" w:line="240" w:lineRule="auto"/>
    </w:pPr>
  </w:style>
  <w:style w:type="character" w:customStyle="1" w:styleId="DefinitionChar">
    <w:name w:val="Definition Char"/>
    <w:aliases w:val="dd Char"/>
    <w:link w:val="Definition"/>
    <w:rsid w:val="00313DBA"/>
    <w:rPr>
      <w:rFonts w:ascii="Times New Roman" w:eastAsia="Times New Roman" w:hAnsi="Times New Roman" w:cs="Times New Roman"/>
      <w:szCs w:val="20"/>
      <w:lang w:eastAsia="en-AU"/>
    </w:rPr>
  </w:style>
  <w:style w:type="paragraph" w:customStyle="1" w:styleId="Note">
    <w:name w:val="Note"/>
    <w:basedOn w:val="Normal"/>
    <w:autoRedefine/>
    <w:rsid w:val="006D4466"/>
    <w:pPr>
      <w:tabs>
        <w:tab w:val="left" w:pos="1276"/>
      </w:tabs>
      <w:spacing w:before="120" w:after="120" w:line="220" w:lineRule="exact"/>
      <w:ind w:left="1276"/>
      <w:jc w:val="both"/>
    </w:pPr>
    <w:rPr>
      <w:rFonts w:ascii="Times" w:eastAsia="Times New Roman" w:hAnsi="Times" w:cs="Times New Roman"/>
      <w:sz w:val="18"/>
      <w:szCs w:val="18"/>
    </w:rPr>
  </w:style>
  <w:style w:type="paragraph" w:styleId="PlainText">
    <w:name w:val="Plain Text"/>
    <w:basedOn w:val="Normal"/>
    <w:link w:val="PlainTextChar"/>
    <w:uiPriority w:val="99"/>
    <w:semiHidden/>
    <w:unhideWhenUsed/>
    <w:rsid w:val="006076D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076D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0324">
      <w:bodyDiv w:val="1"/>
      <w:marLeft w:val="0"/>
      <w:marRight w:val="0"/>
      <w:marTop w:val="0"/>
      <w:marBottom w:val="0"/>
      <w:divBdr>
        <w:top w:val="none" w:sz="0" w:space="0" w:color="auto"/>
        <w:left w:val="none" w:sz="0" w:space="0" w:color="auto"/>
        <w:bottom w:val="none" w:sz="0" w:space="0" w:color="auto"/>
        <w:right w:val="none" w:sz="0" w:space="0" w:color="auto"/>
      </w:divBdr>
    </w:div>
    <w:div w:id="591276981">
      <w:bodyDiv w:val="1"/>
      <w:marLeft w:val="0"/>
      <w:marRight w:val="0"/>
      <w:marTop w:val="0"/>
      <w:marBottom w:val="0"/>
      <w:divBdr>
        <w:top w:val="none" w:sz="0" w:space="0" w:color="auto"/>
        <w:left w:val="none" w:sz="0" w:space="0" w:color="auto"/>
        <w:bottom w:val="none" w:sz="0" w:space="0" w:color="auto"/>
        <w:right w:val="none" w:sz="0" w:space="0" w:color="auto"/>
      </w:divBdr>
    </w:div>
    <w:div w:id="685131045">
      <w:bodyDiv w:val="1"/>
      <w:marLeft w:val="0"/>
      <w:marRight w:val="0"/>
      <w:marTop w:val="0"/>
      <w:marBottom w:val="0"/>
      <w:divBdr>
        <w:top w:val="none" w:sz="0" w:space="0" w:color="auto"/>
        <w:left w:val="none" w:sz="0" w:space="0" w:color="auto"/>
        <w:bottom w:val="none" w:sz="0" w:space="0" w:color="auto"/>
        <w:right w:val="none" w:sz="0" w:space="0" w:color="auto"/>
      </w:divBdr>
    </w:div>
    <w:div w:id="778067051">
      <w:bodyDiv w:val="1"/>
      <w:marLeft w:val="0"/>
      <w:marRight w:val="0"/>
      <w:marTop w:val="0"/>
      <w:marBottom w:val="0"/>
      <w:divBdr>
        <w:top w:val="none" w:sz="0" w:space="0" w:color="auto"/>
        <w:left w:val="none" w:sz="0" w:space="0" w:color="auto"/>
        <w:bottom w:val="none" w:sz="0" w:space="0" w:color="auto"/>
        <w:right w:val="none" w:sz="0" w:space="0" w:color="auto"/>
      </w:divBdr>
    </w:div>
    <w:div w:id="782385366">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064525912">
      <w:bodyDiv w:val="1"/>
      <w:marLeft w:val="0"/>
      <w:marRight w:val="0"/>
      <w:marTop w:val="0"/>
      <w:marBottom w:val="0"/>
      <w:divBdr>
        <w:top w:val="none" w:sz="0" w:space="0" w:color="auto"/>
        <w:left w:val="none" w:sz="0" w:space="0" w:color="auto"/>
        <w:bottom w:val="none" w:sz="0" w:space="0" w:color="auto"/>
        <w:right w:val="none" w:sz="0" w:space="0" w:color="auto"/>
      </w:divBdr>
    </w:div>
    <w:div w:id="1085876955">
      <w:bodyDiv w:val="1"/>
      <w:marLeft w:val="0"/>
      <w:marRight w:val="0"/>
      <w:marTop w:val="0"/>
      <w:marBottom w:val="0"/>
      <w:divBdr>
        <w:top w:val="none" w:sz="0" w:space="0" w:color="auto"/>
        <w:left w:val="none" w:sz="0" w:space="0" w:color="auto"/>
        <w:bottom w:val="none" w:sz="0" w:space="0" w:color="auto"/>
        <w:right w:val="none" w:sz="0" w:space="0" w:color="auto"/>
      </w:divBdr>
    </w:div>
    <w:div w:id="1606114134">
      <w:bodyDiv w:val="1"/>
      <w:marLeft w:val="0"/>
      <w:marRight w:val="0"/>
      <w:marTop w:val="0"/>
      <w:marBottom w:val="0"/>
      <w:divBdr>
        <w:top w:val="none" w:sz="0" w:space="0" w:color="auto"/>
        <w:left w:val="none" w:sz="0" w:space="0" w:color="auto"/>
        <w:bottom w:val="none" w:sz="0" w:space="0" w:color="auto"/>
        <w:right w:val="none" w:sz="0" w:space="0" w:color="auto"/>
      </w:divBdr>
    </w:div>
    <w:div w:id="1629507151">
      <w:bodyDiv w:val="1"/>
      <w:marLeft w:val="0"/>
      <w:marRight w:val="0"/>
      <w:marTop w:val="0"/>
      <w:marBottom w:val="0"/>
      <w:divBdr>
        <w:top w:val="none" w:sz="0" w:space="0" w:color="auto"/>
        <w:left w:val="none" w:sz="0" w:space="0" w:color="auto"/>
        <w:bottom w:val="none" w:sz="0" w:space="0" w:color="auto"/>
        <w:right w:val="none" w:sz="0" w:space="0" w:color="auto"/>
      </w:divBdr>
    </w:div>
    <w:div w:id="1789347007">
      <w:bodyDiv w:val="1"/>
      <w:marLeft w:val="0"/>
      <w:marRight w:val="0"/>
      <w:marTop w:val="0"/>
      <w:marBottom w:val="0"/>
      <w:divBdr>
        <w:top w:val="none" w:sz="0" w:space="0" w:color="auto"/>
        <w:left w:val="none" w:sz="0" w:space="0" w:color="auto"/>
        <w:bottom w:val="none" w:sz="0" w:space="0" w:color="auto"/>
        <w:right w:val="none" w:sz="0" w:space="0" w:color="auto"/>
      </w:divBdr>
    </w:div>
    <w:div w:id="1832981373">
      <w:bodyDiv w:val="1"/>
      <w:marLeft w:val="0"/>
      <w:marRight w:val="0"/>
      <w:marTop w:val="0"/>
      <w:marBottom w:val="0"/>
      <w:divBdr>
        <w:top w:val="none" w:sz="0" w:space="0" w:color="auto"/>
        <w:left w:val="none" w:sz="0" w:space="0" w:color="auto"/>
        <w:bottom w:val="none" w:sz="0" w:space="0" w:color="auto"/>
        <w:right w:val="none" w:sz="0" w:space="0" w:color="auto"/>
      </w:divBdr>
    </w:div>
    <w:div w:id="1857428671">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 w:id="1880818381">
      <w:bodyDiv w:val="1"/>
      <w:marLeft w:val="0"/>
      <w:marRight w:val="0"/>
      <w:marTop w:val="0"/>
      <w:marBottom w:val="0"/>
      <w:divBdr>
        <w:top w:val="none" w:sz="0" w:space="0" w:color="auto"/>
        <w:left w:val="none" w:sz="0" w:space="0" w:color="auto"/>
        <w:bottom w:val="none" w:sz="0" w:space="0" w:color="auto"/>
        <w:right w:val="none" w:sz="0" w:space="0" w:color="auto"/>
      </w:divBdr>
    </w:div>
    <w:div w:id="21227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hyperlink" Target="http://www.acma.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legislation.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ortal.etsi.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legislation.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acma.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UQVA7MFFXVNW-850449931-622</_dlc_DocId>
    <_dlc_DocIdUrl xmlns="04b8ec43-391f-4ce4-8841-d6a482add564">
      <Url>http://collaboration/organisation/auth/Chair/Auth/_layouts/15/DocIdRedir.aspx?ID=UQVA7MFFXVNW-850449931-622</Url>
      <Description>UQVA7MFFXVNW-850449931-622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316CC-E1CA-44F4-88D3-B844E27D5565}">
  <ds:schemaRefs>
    <ds:schemaRef ds:uri="http://purl.org/dc/dcmitype/"/>
    <ds:schemaRef ds:uri="http://schemas.microsoft.com/office/2006/documentManagement/types"/>
    <ds:schemaRef ds:uri="ffcaacd4-51b0-487d-9500-5676dac395a7"/>
    <ds:schemaRef ds:uri="fe763861-97b4-4142-9b42-ef40e7c6d928"/>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customXml/itemProps3.xml><?xml version="1.0" encoding="utf-8"?>
<ds:datastoreItem xmlns:ds="http://schemas.openxmlformats.org/officeDocument/2006/customXml" ds:itemID="{80A6CA1C-4C66-4B16-986E-D9DD20A6D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79BEE-68F1-43A7-BD66-85E2DC487DB6}">
  <ds:schemaRefs>
    <ds:schemaRef ds:uri="http://schemas.microsoft.com/sharepoint/events"/>
  </ds:schemaRefs>
</ds:datastoreItem>
</file>

<file path=customXml/itemProps5.xml><?xml version="1.0" encoding="utf-8"?>
<ds:datastoreItem xmlns:ds="http://schemas.openxmlformats.org/officeDocument/2006/customXml" ds:itemID="{FD683C98-A53D-4FDC-BDF6-BD14B1054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5</cp:revision>
  <cp:lastPrinted>2022-08-17T03:42:00Z</cp:lastPrinted>
  <dcterms:created xsi:type="dcterms:W3CDTF">2023-06-09T04:17:00Z</dcterms:created>
  <dcterms:modified xsi:type="dcterms:W3CDTF">2023-06-16T02:50:00Z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b51c708c-cc6b-4c93-9216-4d81dcc89bc0</vt:lpwstr>
  </property>
  <property fmtid="{D5CDD505-2E9C-101B-9397-08002B2CF9AE}" pid="4" name="TitusGUID">
    <vt:lpwstr>1a36961b-e980-48b7-9197-e82e097a6797</vt:lpwstr>
  </property>
</Properties>
</file>