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DC2A" w14:textId="77777777" w:rsidR="00C303D4" w:rsidRPr="00267527" w:rsidRDefault="00C303D4" w:rsidP="00C303D4">
      <w:pPr>
        <w:pStyle w:val="Heading1"/>
        <w:spacing w:before="0" w:after="0" w:line="240" w:lineRule="auto"/>
        <w:jc w:val="center"/>
        <w:rPr>
          <w:rFonts w:ascii="Times New Roman" w:hAnsi="Times New Roman"/>
          <w:b/>
          <w:sz w:val="24"/>
          <w:szCs w:val="24"/>
          <w:u w:val="single"/>
        </w:rPr>
      </w:pPr>
      <w:r w:rsidRPr="00267527">
        <w:rPr>
          <w:rFonts w:ascii="Times New Roman" w:hAnsi="Times New Roman"/>
          <w:b/>
          <w:sz w:val="24"/>
          <w:szCs w:val="24"/>
          <w:u w:val="single"/>
        </w:rPr>
        <w:t>Legislation (Exemptions and Other Matters) Amendment (2023 Measures No. 1) Regulations 2023</w:t>
      </w:r>
    </w:p>
    <w:p w14:paraId="7A63E33D" w14:textId="77777777" w:rsidR="00C303D4" w:rsidRPr="00267527" w:rsidRDefault="00C303D4" w:rsidP="00C303D4">
      <w:pPr>
        <w:pStyle w:val="Heading1"/>
        <w:spacing w:before="0" w:after="0" w:line="240" w:lineRule="auto"/>
        <w:jc w:val="center"/>
        <w:rPr>
          <w:rFonts w:ascii="Times New Roman" w:hAnsi="Times New Roman"/>
          <w:b/>
          <w:sz w:val="24"/>
          <w:szCs w:val="24"/>
          <w:u w:val="single"/>
        </w:rPr>
      </w:pPr>
    </w:p>
    <w:p w14:paraId="65118CE7" w14:textId="77777777" w:rsidR="00C303D4" w:rsidRPr="00267527" w:rsidRDefault="00C303D4" w:rsidP="00C303D4">
      <w:pPr>
        <w:pStyle w:val="Heading1"/>
        <w:spacing w:before="0" w:after="0" w:line="240" w:lineRule="auto"/>
        <w:jc w:val="center"/>
        <w:rPr>
          <w:rFonts w:ascii="Times New Roman" w:hAnsi="Times New Roman"/>
          <w:caps w:val="0"/>
          <w:sz w:val="24"/>
          <w:szCs w:val="24"/>
        </w:rPr>
      </w:pPr>
      <w:r w:rsidRPr="00267527">
        <w:rPr>
          <w:rFonts w:ascii="Times New Roman" w:hAnsi="Times New Roman"/>
          <w:b/>
          <w:sz w:val="24"/>
          <w:szCs w:val="24"/>
        </w:rPr>
        <w:t xml:space="preserve">EXPLANATORY STATEMENT </w:t>
      </w:r>
      <w:r w:rsidRPr="00267527">
        <w:rPr>
          <w:rFonts w:ascii="Times New Roman" w:hAnsi="Times New Roman"/>
          <w:b/>
          <w:sz w:val="24"/>
          <w:szCs w:val="24"/>
        </w:rPr>
        <w:br/>
      </w:r>
    </w:p>
    <w:p w14:paraId="6D5757CD" w14:textId="77777777" w:rsidR="00C303D4" w:rsidRPr="00267527" w:rsidRDefault="00C303D4" w:rsidP="00C303D4">
      <w:pPr>
        <w:spacing w:after="0" w:line="360" w:lineRule="auto"/>
        <w:jc w:val="center"/>
        <w:rPr>
          <w:rFonts w:ascii="Times New Roman" w:hAnsi="Times New Roman" w:cs="Times New Roman"/>
          <w:sz w:val="24"/>
          <w:szCs w:val="24"/>
        </w:rPr>
      </w:pPr>
      <w:r w:rsidRPr="00267527">
        <w:rPr>
          <w:rFonts w:ascii="Times New Roman" w:hAnsi="Times New Roman" w:cs="Times New Roman"/>
          <w:sz w:val="24"/>
          <w:szCs w:val="24"/>
        </w:rPr>
        <w:t xml:space="preserve">Issued by authority of the Attorney-General </w:t>
      </w:r>
    </w:p>
    <w:p w14:paraId="4AD0442A" w14:textId="77777777" w:rsidR="00C303D4" w:rsidRPr="00267527" w:rsidRDefault="00C303D4" w:rsidP="00C303D4">
      <w:pPr>
        <w:pStyle w:val="NoSpacing"/>
        <w:rPr>
          <w:sz w:val="24"/>
          <w:szCs w:val="24"/>
        </w:rPr>
      </w:pPr>
    </w:p>
    <w:p w14:paraId="32D3E04B" w14:textId="77777777" w:rsidR="00C303D4" w:rsidRPr="00267527" w:rsidRDefault="00C303D4" w:rsidP="00210C75">
      <w:pPr>
        <w:rPr>
          <w:rFonts w:ascii="Times New Roman" w:hAnsi="Times New Roman" w:cs="Times New Roman"/>
          <w:b/>
          <w:caps/>
          <w:sz w:val="24"/>
          <w:szCs w:val="24"/>
        </w:rPr>
      </w:pPr>
      <w:r w:rsidRPr="00267527">
        <w:rPr>
          <w:rFonts w:ascii="Times New Roman" w:hAnsi="Times New Roman" w:cs="Times New Roman"/>
          <w:b/>
          <w:caps/>
          <w:sz w:val="24"/>
          <w:szCs w:val="24"/>
        </w:rPr>
        <w:t>Purpose and operation of the Instrument</w:t>
      </w:r>
    </w:p>
    <w:p w14:paraId="05505958" w14:textId="7523B4A8" w:rsidR="00C303D4" w:rsidRPr="00267527" w:rsidRDefault="00C303D4" w:rsidP="00210C75">
      <w:pPr>
        <w:pStyle w:val="Basetext"/>
        <w:spacing w:before="240" w:after="200"/>
        <w:rPr>
          <w:color w:val="000000"/>
          <w:sz w:val="24"/>
          <w:szCs w:val="24"/>
          <w:lang w:eastAsia="en-AU"/>
        </w:rPr>
      </w:pPr>
      <w:r w:rsidRPr="00267527">
        <w:rPr>
          <w:color w:val="000000"/>
          <w:sz w:val="24"/>
          <w:szCs w:val="24"/>
          <w:lang w:eastAsia="en-AU"/>
        </w:rPr>
        <w:t>The </w:t>
      </w:r>
      <w:r w:rsidRPr="00267527">
        <w:rPr>
          <w:i/>
          <w:iCs/>
          <w:color w:val="000000"/>
          <w:sz w:val="24"/>
          <w:szCs w:val="24"/>
          <w:lang w:eastAsia="en-AU"/>
        </w:rPr>
        <w:t>Legislation Act 2003</w:t>
      </w:r>
      <w:r w:rsidRPr="00267527">
        <w:rPr>
          <w:color w:val="000000"/>
          <w:sz w:val="24"/>
          <w:szCs w:val="24"/>
          <w:lang w:eastAsia="en-AU"/>
        </w:rPr>
        <w:t> (Legislation Act) establishes a comprehensive regime for the publication of Commonwealth Acts and instruments. It also provides for the registration, tabling, parliamentary scrutiny, disallowance and sunsetting of instruments.</w:t>
      </w:r>
    </w:p>
    <w:p w14:paraId="75D68D42" w14:textId="119B44AF" w:rsidR="005925AB" w:rsidRPr="00267527" w:rsidRDefault="005925AB" w:rsidP="00210C75">
      <w:pPr>
        <w:shd w:val="clear" w:color="auto" w:fill="FFFFFF"/>
        <w:spacing w:after="0"/>
        <w:ind w:right="91"/>
        <w:rPr>
          <w:rFonts w:ascii="Calibri" w:eastAsia="Times New Roman" w:hAnsi="Calibri" w:cs="Calibri"/>
          <w:color w:val="000000"/>
          <w:sz w:val="24"/>
          <w:szCs w:val="24"/>
          <w:lang w:eastAsia="en-AU"/>
        </w:rPr>
      </w:pPr>
      <w:r w:rsidRPr="00267527">
        <w:rPr>
          <w:rFonts w:ascii="Times New Roman" w:eastAsia="Times New Roman" w:hAnsi="Times New Roman" w:cs="Times New Roman"/>
          <w:color w:val="000000"/>
          <w:sz w:val="24"/>
          <w:szCs w:val="24"/>
          <w:lang w:eastAsia="en-AU"/>
        </w:rPr>
        <w:t>Section 62 of the Legislation Act provides that the Governor-General may make regulations prescribing matters required or permitted by the Act to be prescribed, or necessary or convenient to be prescribed, for carrying out or giving effect to that Act.</w:t>
      </w:r>
    </w:p>
    <w:p w14:paraId="12369F04" w14:textId="61C11EA0" w:rsidR="005925AB" w:rsidRPr="00267527" w:rsidRDefault="00C303D4" w:rsidP="00210C75">
      <w:pPr>
        <w:pStyle w:val="Basetext"/>
        <w:spacing w:before="240" w:after="200"/>
        <w:rPr>
          <w:snapToGrid/>
          <w:color w:val="000000"/>
          <w:sz w:val="24"/>
          <w:szCs w:val="24"/>
          <w:lang w:eastAsia="en-AU"/>
        </w:rPr>
      </w:pPr>
      <w:r w:rsidRPr="00267527">
        <w:rPr>
          <w:color w:val="000000"/>
          <w:sz w:val="24"/>
          <w:szCs w:val="24"/>
          <w:lang w:eastAsia="en-AU"/>
        </w:rPr>
        <w:t>Part 4 of Chapter 3 of the Legislation Act provides for the sunsetting of legislative instruments. Sunsetting is the process by which instruments are automatically repealed 10</w:t>
      </w:r>
      <w:r w:rsidR="00C52897">
        <w:rPr>
          <w:color w:val="000000"/>
          <w:sz w:val="24"/>
          <w:szCs w:val="24"/>
          <w:lang w:eastAsia="en-AU"/>
        </w:rPr>
        <w:t> </w:t>
      </w:r>
      <w:r w:rsidRPr="00267527">
        <w:rPr>
          <w:color w:val="000000"/>
          <w:sz w:val="24"/>
          <w:szCs w:val="24"/>
          <w:lang w:eastAsia="en-AU"/>
        </w:rPr>
        <w:t>years after they are made unless steps are taken to preserve their operation, or the instruments are exempt from sunsetting</w:t>
      </w:r>
      <w:r w:rsidR="005925AB" w:rsidRPr="00267527">
        <w:rPr>
          <w:snapToGrid/>
          <w:color w:val="000000"/>
          <w:sz w:val="24"/>
          <w:szCs w:val="24"/>
          <w:lang w:eastAsia="en-AU"/>
        </w:rPr>
        <w:t>.</w:t>
      </w:r>
      <w:r w:rsidR="005C6F3A">
        <w:rPr>
          <w:snapToGrid/>
          <w:color w:val="000000"/>
          <w:sz w:val="24"/>
          <w:szCs w:val="24"/>
          <w:lang w:eastAsia="en-AU"/>
        </w:rPr>
        <w:t xml:space="preserve"> </w:t>
      </w:r>
      <w:r w:rsidR="005C6F3A" w:rsidRPr="005C6F3A">
        <w:rPr>
          <w:snapToGrid/>
          <w:color w:val="000000"/>
          <w:sz w:val="24"/>
          <w:szCs w:val="24"/>
          <w:lang w:eastAsia="en-AU"/>
        </w:rPr>
        <w:t xml:space="preserve">As </w:t>
      </w:r>
      <w:r w:rsidR="005C6F3A">
        <w:rPr>
          <w:snapToGrid/>
          <w:color w:val="000000"/>
          <w:sz w:val="24"/>
          <w:szCs w:val="24"/>
          <w:lang w:eastAsia="en-AU"/>
        </w:rPr>
        <w:t>set out</w:t>
      </w:r>
      <w:r w:rsidR="005C6F3A" w:rsidRPr="005C6F3A">
        <w:rPr>
          <w:snapToGrid/>
          <w:color w:val="000000"/>
          <w:sz w:val="24"/>
          <w:szCs w:val="24"/>
          <w:lang w:eastAsia="en-AU"/>
        </w:rPr>
        <w:t xml:space="preserve"> in section 49 of the Legislation Act, the purpose of sunsetting is to ensure that legislative instruments continue to be fit-for-purpose and are kept up to date through regular review.</w:t>
      </w:r>
    </w:p>
    <w:p w14:paraId="2E2D4FE4" w14:textId="42516C5F" w:rsidR="005925AB" w:rsidRPr="00267527" w:rsidRDefault="005925AB" w:rsidP="00210C75">
      <w:pPr>
        <w:pStyle w:val="Basetext"/>
        <w:spacing w:before="240" w:after="200"/>
        <w:rPr>
          <w:color w:val="000000"/>
          <w:sz w:val="24"/>
          <w:szCs w:val="24"/>
          <w:lang w:eastAsia="en-AU"/>
        </w:rPr>
      </w:pPr>
      <w:r w:rsidRPr="00267527">
        <w:rPr>
          <w:color w:val="000000"/>
          <w:sz w:val="24"/>
          <w:szCs w:val="24"/>
          <w:lang w:eastAsia="en-AU"/>
        </w:rPr>
        <w:t>Section 54 of the Legislation Act provides for instruments to which the sunsetting regime in Part 4 of Chapter 3 does not apply. Instruments which are prescribed by the regulations for the purposes of paragraph 54(2)(b) of the Legislation Act are exempt from sunsetting.</w:t>
      </w:r>
      <w:r w:rsidR="00A256E1" w:rsidRPr="00267527">
        <w:rPr>
          <w:color w:val="000000"/>
          <w:sz w:val="24"/>
          <w:szCs w:val="24"/>
          <w:lang w:eastAsia="en-AU"/>
        </w:rPr>
        <w:t xml:space="preserve"> </w:t>
      </w:r>
    </w:p>
    <w:p w14:paraId="72B5DB85" w14:textId="5817671A" w:rsidR="00C303D4" w:rsidRPr="00267527" w:rsidRDefault="00C303D4" w:rsidP="00210C75">
      <w:pPr>
        <w:pStyle w:val="Basetext"/>
        <w:keepLines/>
        <w:spacing w:before="240" w:after="200"/>
        <w:rPr>
          <w:color w:val="000000"/>
          <w:sz w:val="24"/>
          <w:szCs w:val="24"/>
          <w:lang w:eastAsia="en-AU"/>
        </w:rPr>
      </w:pPr>
      <w:r w:rsidRPr="00267527">
        <w:rPr>
          <w:color w:val="000000"/>
          <w:sz w:val="24"/>
          <w:szCs w:val="24"/>
          <w:lang w:eastAsia="en-AU"/>
        </w:rPr>
        <w:t xml:space="preserve">The </w:t>
      </w:r>
      <w:r w:rsidRPr="00267527">
        <w:rPr>
          <w:i/>
          <w:color w:val="000000"/>
          <w:sz w:val="24"/>
          <w:szCs w:val="24"/>
          <w:lang w:eastAsia="en-AU"/>
        </w:rPr>
        <w:t xml:space="preserve">Legislation (Exemptions and Other Matters) Regulation 2015 </w:t>
      </w:r>
      <w:r w:rsidRPr="00267527">
        <w:rPr>
          <w:color w:val="000000"/>
          <w:sz w:val="24"/>
          <w:szCs w:val="24"/>
          <w:lang w:eastAsia="en-AU"/>
        </w:rPr>
        <w:t xml:space="preserve">(the Principal Regulations) </w:t>
      </w:r>
      <w:r w:rsidR="00A256E1" w:rsidRPr="00267527">
        <w:rPr>
          <w:color w:val="000000"/>
          <w:sz w:val="24"/>
          <w:szCs w:val="24"/>
          <w:lang w:eastAsia="en-AU"/>
        </w:rPr>
        <w:t xml:space="preserve">prescribes instruments that are exempt from sunsetting. </w:t>
      </w:r>
      <w:r w:rsidR="006B7345">
        <w:rPr>
          <w:color w:val="000000"/>
          <w:sz w:val="24"/>
          <w:szCs w:val="24"/>
          <w:lang w:eastAsia="en-AU"/>
        </w:rPr>
        <w:t xml:space="preserve">The </w:t>
      </w:r>
      <w:r w:rsidR="00B814C7">
        <w:rPr>
          <w:color w:val="000000"/>
          <w:sz w:val="24"/>
          <w:szCs w:val="24"/>
          <w:lang w:eastAsia="en-AU"/>
        </w:rPr>
        <w:t xml:space="preserve">Principal </w:t>
      </w:r>
      <w:r w:rsidR="006B7345">
        <w:rPr>
          <w:color w:val="000000"/>
          <w:sz w:val="24"/>
          <w:szCs w:val="24"/>
          <w:lang w:eastAsia="en-AU"/>
        </w:rPr>
        <w:t>Regulations prescribe classes of legislative instruments (at section 11) and particular instruments (at s</w:t>
      </w:r>
      <w:r w:rsidR="00A256E1" w:rsidRPr="00267527">
        <w:rPr>
          <w:color w:val="000000"/>
          <w:sz w:val="24"/>
          <w:szCs w:val="24"/>
          <w:lang w:eastAsia="en-AU"/>
        </w:rPr>
        <w:t>ection 12</w:t>
      </w:r>
      <w:r w:rsidR="006B7345">
        <w:rPr>
          <w:color w:val="000000"/>
          <w:sz w:val="24"/>
          <w:szCs w:val="24"/>
          <w:lang w:eastAsia="en-AU"/>
        </w:rPr>
        <w:t>)</w:t>
      </w:r>
      <w:r w:rsidRPr="00267527">
        <w:rPr>
          <w:color w:val="000000"/>
          <w:sz w:val="24"/>
          <w:szCs w:val="24"/>
          <w:lang w:eastAsia="en-AU"/>
        </w:rPr>
        <w:t xml:space="preserve"> that are exempt from sunsetting under paragraph 54(2)(b) of the Act.</w:t>
      </w:r>
      <w:r w:rsidR="006B7345">
        <w:rPr>
          <w:color w:val="000000"/>
          <w:sz w:val="24"/>
          <w:szCs w:val="24"/>
          <w:lang w:eastAsia="en-AU"/>
        </w:rPr>
        <w:t xml:space="preserve"> In this way, the </w:t>
      </w:r>
      <w:r w:rsidR="00B814C7">
        <w:rPr>
          <w:color w:val="000000"/>
          <w:sz w:val="24"/>
          <w:szCs w:val="24"/>
          <w:lang w:eastAsia="en-AU"/>
        </w:rPr>
        <w:t>Principal </w:t>
      </w:r>
      <w:r w:rsidR="006B7345">
        <w:rPr>
          <w:color w:val="000000"/>
          <w:sz w:val="24"/>
          <w:szCs w:val="24"/>
          <w:lang w:eastAsia="en-AU"/>
        </w:rPr>
        <w:t>Regulations serve</w:t>
      </w:r>
      <w:r w:rsidR="006B7345" w:rsidRPr="006B7345">
        <w:rPr>
          <w:color w:val="000000"/>
          <w:sz w:val="24"/>
          <w:szCs w:val="24"/>
          <w:lang w:eastAsia="en-AU"/>
        </w:rPr>
        <w:t xml:space="preserve"> as a central source of sunsetting exemptions</w:t>
      </w:r>
      <w:r w:rsidR="006B7345">
        <w:rPr>
          <w:color w:val="000000"/>
          <w:sz w:val="24"/>
          <w:szCs w:val="24"/>
          <w:lang w:eastAsia="en-AU"/>
        </w:rPr>
        <w:t>,</w:t>
      </w:r>
      <w:r w:rsidR="006B7345" w:rsidRPr="006B7345">
        <w:rPr>
          <w:color w:val="000000"/>
          <w:sz w:val="24"/>
          <w:szCs w:val="24"/>
          <w:lang w:eastAsia="en-AU"/>
        </w:rPr>
        <w:t xml:space="preserve"> facilitat</w:t>
      </w:r>
      <w:r w:rsidR="006B7345">
        <w:rPr>
          <w:color w:val="000000"/>
          <w:sz w:val="24"/>
          <w:szCs w:val="24"/>
          <w:lang w:eastAsia="en-AU"/>
        </w:rPr>
        <w:t>ing</w:t>
      </w:r>
      <w:r w:rsidR="006B7345" w:rsidRPr="006B7345">
        <w:rPr>
          <w:color w:val="000000"/>
          <w:sz w:val="24"/>
          <w:szCs w:val="24"/>
          <w:lang w:eastAsia="en-AU"/>
        </w:rPr>
        <w:t xml:space="preserve"> </w:t>
      </w:r>
      <w:r w:rsidR="006B7345">
        <w:rPr>
          <w:color w:val="000000"/>
          <w:sz w:val="24"/>
          <w:szCs w:val="24"/>
          <w:lang w:eastAsia="en-AU"/>
        </w:rPr>
        <w:t>their</w:t>
      </w:r>
      <w:r w:rsidR="006B7345" w:rsidRPr="006B7345">
        <w:rPr>
          <w:color w:val="000000"/>
          <w:sz w:val="24"/>
          <w:szCs w:val="24"/>
          <w:lang w:eastAsia="en-AU"/>
        </w:rPr>
        <w:t xml:space="preserve"> whole-of-government management and ensur</w:t>
      </w:r>
      <w:r w:rsidR="006B7345">
        <w:rPr>
          <w:color w:val="000000"/>
          <w:sz w:val="24"/>
          <w:szCs w:val="24"/>
          <w:lang w:eastAsia="en-AU"/>
        </w:rPr>
        <w:t>ing</w:t>
      </w:r>
      <w:r w:rsidR="006B7345" w:rsidRPr="006B7345">
        <w:rPr>
          <w:color w:val="000000"/>
          <w:sz w:val="24"/>
          <w:szCs w:val="24"/>
          <w:lang w:eastAsia="en-AU"/>
        </w:rPr>
        <w:t xml:space="preserve"> that accurate sunsetting information can be readily provided to </w:t>
      </w:r>
      <w:r w:rsidR="006B7345">
        <w:rPr>
          <w:color w:val="000000"/>
          <w:sz w:val="24"/>
          <w:szCs w:val="24"/>
          <w:lang w:eastAsia="en-AU"/>
        </w:rPr>
        <w:t xml:space="preserve">Australian Government </w:t>
      </w:r>
      <w:r w:rsidR="006B7345" w:rsidRPr="006B7345">
        <w:rPr>
          <w:color w:val="000000"/>
          <w:sz w:val="24"/>
          <w:szCs w:val="24"/>
          <w:lang w:eastAsia="en-AU"/>
        </w:rPr>
        <w:t>agencies, the Parliament and the general public.</w:t>
      </w:r>
    </w:p>
    <w:p w14:paraId="33744AE6" w14:textId="0F6A2144" w:rsidR="005925AB" w:rsidRPr="00267527" w:rsidRDefault="005925AB" w:rsidP="00210C75">
      <w:pPr>
        <w:pStyle w:val="Basetext"/>
        <w:spacing w:before="240" w:after="200"/>
        <w:rPr>
          <w:color w:val="000000"/>
          <w:sz w:val="24"/>
          <w:szCs w:val="24"/>
          <w:lang w:eastAsia="en-AU"/>
        </w:rPr>
      </w:pPr>
      <w:r w:rsidRPr="00267527">
        <w:rPr>
          <w:i/>
          <w:color w:val="000000"/>
          <w:sz w:val="24"/>
          <w:szCs w:val="24"/>
          <w:lang w:eastAsia="en-AU"/>
        </w:rPr>
        <w:t>The Legislation (Exemptions and Other Matters) Amendment (2023 Measures No. 1) Regulations 2023</w:t>
      </w:r>
      <w:r w:rsidRPr="00267527">
        <w:rPr>
          <w:color w:val="000000"/>
          <w:sz w:val="24"/>
          <w:szCs w:val="24"/>
          <w:lang w:eastAsia="en-AU"/>
        </w:rPr>
        <w:t xml:space="preserve"> (Amendment Regulations) prescribe two additional instruments to be exempt from sunsetting under section 12 of the Principal Regulations. </w:t>
      </w:r>
    </w:p>
    <w:p w14:paraId="0D22330A" w14:textId="5FA269AC" w:rsidR="00420A7A" w:rsidRPr="00267527" w:rsidRDefault="00A40F64" w:rsidP="00210C75">
      <w:pPr>
        <w:pStyle w:val="Basetext"/>
        <w:spacing w:before="240" w:after="200"/>
        <w:rPr>
          <w:i/>
          <w:sz w:val="24"/>
          <w:szCs w:val="24"/>
        </w:rPr>
      </w:pPr>
      <w:r w:rsidRPr="00267527">
        <w:rPr>
          <w:i/>
          <w:sz w:val="24"/>
          <w:szCs w:val="24"/>
        </w:rPr>
        <w:t xml:space="preserve">Exemption from sunsetting – </w:t>
      </w:r>
      <w:r w:rsidR="00420A7A" w:rsidRPr="00267527">
        <w:rPr>
          <w:i/>
          <w:sz w:val="24"/>
          <w:szCs w:val="24"/>
        </w:rPr>
        <w:t>Defence Determination 2016/19, Conditions of service</w:t>
      </w:r>
    </w:p>
    <w:p w14:paraId="740CC2DF" w14:textId="7D11D62F" w:rsidR="00420A7A" w:rsidRPr="00267527" w:rsidRDefault="00420A7A" w:rsidP="00210C75">
      <w:pPr>
        <w:pStyle w:val="Basetext"/>
        <w:spacing w:before="240" w:after="200"/>
        <w:rPr>
          <w:sz w:val="24"/>
          <w:szCs w:val="24"/>
          <w:lang w:eastAsia="en-AU"/>
        </w:rPr>
      </w:pPr>
      <w:r w:rsidRPr="00267527">
        <w:rPr>
          <w:color w:val="000000"/>
          <w:sz w:val="24"/>
          <w:szCs w:val="24"/>
          <w:lang w:eastAsia="en-AU"/>
        </w:rPr>
        <w:t>The</w:t>
      </w:r>
      <w:r w:rsidRPr="00267527">
        <w:rPr>
          <w:i/>
          <w:sz w:val="24"/>
          <w:szCs w:val="24"/>
        </w:rPr>
        <w:t xml:space="preserve"> Defence Determination 2016/19, Conditions of service </w:t>
      </w:r>
      <w:r w:rsidRPr="00267527">
        <w:rPr>
          <w:sz w:val="24"/>
          <w:szCs w:val="24"/>
        </w:rPr>
        <w:t>(</w:t>
      </w:r>
      <w:r w:rsidR="0052291C" w:rsidRPr="00267527">
        <w:rPr>
          <w:sz w:val="24"/>
          <w:szCs w:val="24"/>
        </w:rPr>
        <w:t>D</w:t>
      </w:r>
      <w:r w:rsidRPr="00267527">
        <w:rPr>
          <w:sz w:val="24"/>
          <w:szCs w:val="24"/>
        </w:rPr>
        <w:t xml:space="preserve">efence Determination) is the </w:t>
      </w:r>
      <w:r w:rsidR="005925AB" w:rsidRPr="00267527">
        <w:rPr>
          <w:sz w:val="24"/>
          <w:szCs w:val="24"/>
        </w:rPr>
        <w:t xml:space="preserve">first </w:t>
      </w:r>
      <w:r w:rsidRPr="00267527">
        <w:rPr>
          <w:sz w:val="24"/>
          <w:szCs w:val="24"/>
        </w:rPr>
        <w:t>additional instrument to be exempt from sunsetting under section 12 of the Principal Regulations, effected by the Amendment Regulations. The Defence Determination</w:t>
      </w:r>
      <w:r w:rsidRPr="00267527">
        <w:rPr>
          <w:color w:val="000000"/>
          <w:sz w:val="24"/>
          <w:szCs w:val="24"/>
          <w:lang w:eastAsia="en-AU"/>
        </w:rPr>
        <w:t xml:space="preserve"> is made under section 58B of the </w:t>
      </w:r>
      <w:r w:rsidRPr="00267527">
        <w:rPr>
          <w:i/>
          <w:color w:val="000000"/>
          <w:sz w:val="24"/>
          <w:szCs w:val="24"/>
          <w:lang w:eastAsia="en-AU"/>
        </w:rPr>
        <w:t xml:space="preserve">Defence Act 1903 </w:t>
      </w:r>
      <w:r w:rsidRPr="00267527">
        <w:rPr>
          <w:color w:val="000000"/>
          <w:sz w:val="24"/>
          <w:szCs w:val="24"/>
          <w:lang w:eastAsia="en-AU"/>
        </w:rPr>
        <w:t>(Defence Act)</w:t>
      </w:r>
      <w:r w:rsidRPr="00267527">
        <w:rPr>
          <w:i/>
          <w:color w:val="000000"/>
          <w:sz w:val="24"/>
          <w:szCs w:val="24"/>
          <w:lang w:eastAsia="en-AU"/>
        </w:rPr>
        <w:t xml:space="preserve">. </w:t>
      </w:r>
      <w:r w:rsidRPr="00267527">
        <w:rPr>
          <w:color w:val="000000"/>
          <w:sz w:val="24"/>
          <w:szCs w:val="24"/>
          <w:lang w:eastAsia="en-AU"/>
        </w:rPr>
        <w:t>This section provides that</w:t>
      </w:r>
      <w:r w:rsidRPr="00267527">
        <w:rPr>
          <w:sz w:val="24"/>
          <w:szCs w:val="24"/>
        </w:rPr>
        <w:t xml:space="preserve"> </w:t>
      </w:r>
      <w:r w:rsidRPr="00267527">
        <w:rPr>
          <w:color w:val="000000"/>
          <w:sz w:val="24"/>
          <w:szCs w:val="24"/>
          <w:lang w:eastAsia="en-AU"/>
        </w:rPr>
        <w:t xml:space="preserve">the </w:t>
      </w:r>
      <w:r w:rsidRPr="00267527">
        <w:rPr>
          <w:color w:val="000000"/>
          <w:sz w:val="24"/>
          <w:szCs w:val="24"/>
          <w:lang w:eastAsia="en-AU"/>
        </w:rPr>
        <w:lastRenderedPageBreak/>
        <w:t xml:space="preserve">Minister has the authority to make determinations in relation to Australian Defence Force (ADF) members’ conditions of service. The Defence Determination </w:t>
      </w:r>
      <w:r w:rsidRPr="00267527">
        <w:rPr>
          <w:sz w:val="24"/>
          <w:szCs w:val="24"/>
        </w:rPr>
        <w:t>provides benefits for members of the ADF and their families as part of the member’s conditions of service.</w:t>
      </w:r>
      <w:r w:rsidR="00C5797D" w:rsidRPr="00267527">
        <w:rPr>
          <w:sz w:val="24"/>
          <w:szCs w:val="24"/>
        </w:rPr>
        <w:t xml:space="preserve"> Section</w:t>
      </w:r>
      <w:r w:rsidR="00C52897">
        <w:rPr>
          <w:sz w:val="24"/>
          <w:szCs w:val="24"/>
        </w:rPr>
        <w:t> </w:t>
      </w:r>
      <w:r w:rsidR="00C5797D" w:rsidRPr="00267527">
        <w:rPr>
          <w:sz w:val="24"/>
          <w:szCs w:val="24"/>
        </w:rPr>
        <w:t>58B is the sole source of power to provide benefits to ADF members, and as such the Defence Determination covers many benefits that in other workplaces would be provided by an enterprise agreement or award. In contrast to an enterprise agreement</w:t>
      </w:r>
      <w:r w:rsidR="003C51B1" w:rsidRPr="00267527">
        <w:rPr>
          <w:sz w:val="24"/>
          <w:szCs w:val="24"/>
        </w:rPr>
        <w:t xml:space="preserve"> or award of that kind</w:t>
      </w:r>
      <w:r w:rsidR="00C5797D" w:rsidRPr="00267527">
        <w:rPr>
          <w:sz w:val="24"/>
          <w:szCs w:val="24"/>
        </w:rPr>
        <w:t xml:space="preserve">, the Determination </w:t>
      </w:r>
      <w:r w:rsidR="00C52897">
        <w:rPr>
          <w:sz w:val="24"/>
          <w:szCs w:val="24"/>
        </w:rPr>
        <w:t xml:space="preserve">cannot </w:t>
      </w:r>
      <w:r w:rsidR="00C5797D" w:rsidRPr="00267527">
        <w:rPr>
          <w:sz w:val="24"/>
          <w:szCs w:val="24"/>
        </w:rPr>
        <w:t>refer to internal policies providing the details of the benefits</w:t>
      </w:r>
      <w:r w:rsidR="00C52897">
        <w:rPr>
          <w:sz w:val="24"/>
          <w:szCs w:val="24"/>
        </w:rPr>
        <w:t xml:space="preserve"> due to its legislative nature</w:t>
      </w:r>
      <w:r w:rsidR="00C5797D" w:rsidRPr="00267527">
        <w:rPr>
          <w:sz w:val="24"/>
          <w:szCs w:val="24"/>
        </w:rPr>
        <w:t>.</w:t>
      </w:r>
    </w:p>
    <w:p w14:paraId="264BBE25" w14:textId="424BC2A6" w:rsidR="00420A7A" w:rsidRPr="00267527" w:rsidRDefault="00420A7A" w:rsidP="00210C75">
      <w:pPr>
        <w:pStyle w:val="Basetext"/>
        <w:spacing w:before="240" w:after="200"/>
        <w:rPr>
          <w:i/>
          <w:sz w:val="24"/>
          <w:szCs w:val="24"/>
        </w:rPr>
      </w:pPr>
      <w:r w:rsidRPr="00267527">
        <w:rPr>
          <w:sz w:val="24"/>
          <w:szCs w:val="24"/>
        </w:rPr>
        <w:t>It is appropriate that the Defence Determination be exempt from sunsetting</w:t>
      </w:r>
      <w:r w:rsidR="00225787">
        <w:rPr>
          <w:sz w:val="24"/>
          <w:szCs w:val="24"/>
        </w:rPr>
        <w:t xml:space="preserve"> </w:t>
      </w:r>
      <w:r w:rsidR="009479CA">
        <w:rPr>
          <w:sz w:val="24"/>
          <w:szCs w:val="24"/>
        </w:rPr>
        <w:t>pursuant to the following criteria provided in the Attorney</w:t>
      </w:r>
      <w:r w:rsidR="00A85371">
        <w:rPr>
          <w:sz w:val="24"/>
          <w:szCs w:val="24"/>
        </w:rPr>
        <w:noBreakHyphen/>
      </w:r>
      <w:r w:rsidR="009479CA">
        <w:rPr>
          <w:sz w:val="24"/>
          <w:szCs w:val="24"/>
        </w:rPr>
        <w:t>General’s</w:t>
      </w:r>
      <w:r w:rsidR="00A85371">
        <w:rPr>
          <w:sz w:val="24"/>
          <w:szCs w:val="24"/>
        </w:rPr>
        <w:t> </w:t>
      </w:r>
      <w:r w:rsidR="009479CA">
        <w:rPr>
          <w:sz w:val="24"/>
          <w:szCs w:val="24"/>
        </w:rPr>
        <w:t xml:space="preserve">Department’s </w:t>
      </w:r>
      <w:r w:rsidR="009479CA">
        <w:rPr>
          <w:i/>
          <w:sz w:val="24"/>
          <w:szCs w:val="24"/>
        </w:rPr>
        <w:t>Guide to managing sunsetting of legislative instruments</w:t>
      </w:r>
      <w:r w:rsidRPr="00267527">
        <w:rPr>
          <w:sz w:val="24"/>
          <w:szCs w:val="24"/>
        </w:rPr>
        <w:t>:</w:t>
      </w:r>
    </w:p>
    <w:p w14:paraId="42CA45BE" w14:textId="6F772FA5" w:rsidR="00420A7A" w:rsidRPr="00267527" w:rsidRDefault="00420A7A" w:rsidP="00210C75">
      <w:pPr>
        <w:pStyle w:val="Basetext"/>
        <w:numPr>
          <w:ilvl w:val="0"/>
          <w:numId w:val="6"/>
        </w:numPr>
        <w:spacing w:before="240" w:after="200"/>
        <w:rPr>
          <w:i/>
          <w:color w:val="000000"/>
          <w:sz w:val="24"/>
          <w:szCs w:val="24"/>
          <w:lang w:eastAsia="en-AU"/>
        </w:rPr>
      </w:pPr>
      <w:r w:rsidRPr="00267527">
        <w:rPr>
          <w:sz w:val="24"/>
          <w:szCs w:val="24"/>
        </w:rPr>
        <w:t>sufficiently large and complex that the administrative burden associated with remaking the instrument would outweigh any regulatory benefit</w:t>
      </w:r>
    </w:p>
    <w:p w14:paraId="64E25B9E" w14:textId="77777777" w:rsidR="00420A7A" w:rsidRPr="00267527" w:rsidRDefault="00420A7A" w:rsidP="00210C75">
      <w:pPr>
        <w:pStyle w:val="Basetext"/>
        <w:numPr>
          <w:ilvl w:val="0"/>
          <w:numId w:val="6"/>
        </w:numPr>
        <w:spacing w:before="240" w:after="200"/>
        <w:rPr>
          <w:i/>
          <w:color w:val="000000"/>
          <w:sz w:val="24"/>
          <w:szCs w:val="24"/>
          <w:lang w:eastAsia="en-AU"/>
        </w:rPr>
      </w:pPr>
      <w:r w:rsidRPr="00267527">
        <w:rPr>
          <w:sz w:val="24"/>
          <w:szCs w:val="24"/>
        </w:rPr>
        <w:t>subject to regular review, and</w:t>
      </w:r>
    </w:p>
    <w:p w14:paraId="5AE1B52E" w14:textId="77777777" w:rsidR="00420A7A" w:rsidRPr="00267527" w:rsidRDefault="00420A7A" w:rsidP="00210C75">
      <w:pPr>
        <w:pStyle w:val="Basetext"/>
        <w:numPr>
          <w:ilvl w:val="0"/>
          <w:numId w:val="6"/>
        </w:numPr>
        <w:spacing w:before="240" w:after="200"/>
        <w:rPr>
          <w:i/>
          <w:color w:val="000000"/>
          <w:sz w:val="24"/>
          <w:szCs w:val="24"/>
          <w:lang w:eastAsia="en-AU"/>
        </w:rPr>
      </w:pPr>
      <w:r w:rsidRPr="00267527">
        <w:rPr>
          <w:sz w:val="24"/>
          <w:szCs w:val="24"/>
        </w:rPr>
        <w:t>subject to regular amendment.</w:t>
      </w:r>
    </w:p>
    <w:p w14:paraId="6B5FFFCB" w14:textId="5532EC5A" w:rsidR="003C51B1" w:rsidRPr="00267527" w:rsidRDefault="003C51B1" w:rsidP="00210C75">
      <w:pPr>
        <w:rPr>
          <w:rFonts w:ascii="Times New Roman" w:eastAsia="Times New Roman" w:hAnsi="Times New Roman" w:cs="Times New Roman"/>
          <w:snapToGrid w:val="0"/>
          <w:sz w:val="24"/>
          <w:szCs w:val="24"/>
          <w:u w:val="single"/>
          <w:lang w:eastAsia="en-AU"/>
        </w:rPr>
      </w:pPr>
      <w:r w:rsidRPr="00267527">
        <w:rPr>
          <w:rFonts w:ascii="Times New Roman" w:eastAsia="Times New Roman" w:hAnsi="Times New Roman" w:cs="Times New Roman"/>
          <w:snapToGrid w:val="0"/>
          <w:sz w:val="24"/>
          <w:szCs w:val="24"/>
          <w:u w:val="single"/>
          <w:lang w:eastAsia="en-AU"/>
        </w:rPr>
        <w:t>Sufficiently large and complex</w:t>
      </w:r>
    </w:p>
    <w:p w14:paraId="249B7A2E" w14:textId="1ED1478A" w:rsidR="00C5797D" w:rsidRPr="00267527" w:rsidRDefault="0052291C" w:rsidP="00210C75">
      <w:pPr>
        <w:rPr>
          <w:rFonts w:ascii="Times New Roman" w:eastAsia="Times New Roman" w:hAnsi="Times New Roman" w:cs="Times New Roman"/>
          <w:snapToGrid w:val="0"/>
          <w:sz w:val="24"/>
          <w:szCs w:val="24"/>
          <w:lang w:eastAsia="en-AU"/>
        </w:rPr>
      </w:pPr>
      <w:r w:rsidRPr="00267527">
        <w:rPr>
          <w:rFonts w:ascii="Times New Roman" w:eastAsia="Times New Roman" w:hAnsi="Times New Roman" w:cs="Times New Roman"/>
          <w:snapToGrid w:val="0"/>
          <w:sz w:val="24"/>
          <w:szCs w:val="24"/>
          <w:lang w:eastAsia="en-AU"/>
        </w:rPr>
        <w:t>The Defence Determination was 1</w:t>
      </w:r>
      <w:r w:rsidR="00052C67">
        <w:rPr>
          <w:rFonts w:ascii="Times New Roman" w:eastAsia="Times New Roman" w:hAnsi="Times New Roman" w:cs="Times New Roman"/>
          <w:snapToGrid w:val="0"/>
          <w:sz w:val="24"/>
          <w:szCs w:val="24"/>
          <w:lang w:eastAsia="en-AU"/>
        </w:rPr>
        <w:t>,</w:t>
      </w:r>
      <w:r w:rsidRPr="00267527">
        <w:rPr>
          <w:rFonts w:ascii="Times New Roman" w:eastAsia="Times New Roman" w:hAnsi="Times New Roman" w:cs="Times New Roman"/>
          <w:snapToGrid w:val="0"/>
          <w:sz w:val="24"/>
          <w:szCs w:val="24"/>
          <w:lang w:eastAsia="en-AU"/>
        </w:rPr>
        <w:t>126 pages long as of 4 May 2023, with t</w:t>
      </w:r>
      <w:r w:rsidR="00420A7A" w:rsidRPr="00267527">
        <w:rPr>
          <w:rFonts w:ascii="Times New Roman" w:eastAsia="Times New Roman" w:hAnsi="Times New Roman" w:cs="Times New Roman"/>
          <w:snapToGrid w:val="0"/>
          <w:sz w:val="24"/>
          <w:szCs w:val="24"/>
          <w:lang w:eastAsia="en-AU"/>
        </w:rPr>
        <w:t>he number of benefits provided in the Defence Determination and their interaction and co-dependency mak</w:t>
      </w:r>
      <w:r w:rsidRPr="00267527">
        <w:rPr>
          <w:rFonts w:ascii="Times New Roman" w:eastAsia="Times New Roman" w:hAnsi="Times New Roman" w:cs="Times New Roman"/>
          <w:snapToGrid w:val="0"/>
          <w:sz w:val="24"/>
          <w:szCs w:val="24"/>
          <w:lang w:eastAsia="en-AU"/>
        </w:rPr>
        <w:t>ing</w:t>
      </w:r>
      <w:r w:rsidR="00420A7A" w:rsidRPr="00267527">
        <w:rPr>
          <w:rFonts w:ascii="Times New Roman" w:eastAsia="Times New Roman" w:hAnsi="Times New Roman" w:cs="Times New Roman"/>
          <w:snapToGrid w:val="0"/>
          <w:sz w:val="24"/>
          <w:szCs w:val="24"/>
          <w:lang w:eastAsia="en-AU"/>
        </w:rPr>
        <w:t xml:space="preserve"> the rules in the instrument complex and lengthy. This is due to the varying nature of work undertaken by the ADF, including providing service in Australia, overseas, and on military deployments. The </w:t>
      </w:r>
      <w:r w:rsidRPr="00267527">
        <w:rPr>
          <w:rFonts w:ascii="Times New Roman" w:eastAsia="Times New Roman" w:hAnsi="Times New Roman" w:cs="Times New Roman"/>
          <w:snapToGrid w:val="0"/>
          <w:sz w:val="24"/>
          <w:szCs w:val="24"/>
          <w:lang w:eastAsia="en-AU"/>
        </w:rPr>
        <w:t xml:space="preserve">Defence </w:t>
      </w:r>
      <w:r w:rsidR="00420A7A" w:rsidRPr="00267527">
        <w:rPr>
          <w:rFonts w:ascii="Times New Roman" w:eastAsia="Times New Roman" w:hAnsi="Times New Roman" w:cs="Times New Roman"/>
          <w:snapToGrid w:val="0"/>
          <w:sz w:val="24"/>
          <w:szCs w:val="24"/>
          <w:lang w:eastAsia="en-AU"/>
        </w:rPr>
        <w:t xml:space="preserve">Determination also provides benefits to members of the ADF based on their family composition. The benefits reduce disadvantage that may be suffered by the member’s family as a consequence of the member’s service in the ADF, such as the requirement to move to locations determined by the ADF. This adds increased complexity to the </w:t>
      </w:r>
      <w:r w:rsidRPr="00267527">
        <w:rPr>
          <w:rFonts w:ascii="Times New Roman" w:eastAsia="Times New Roman" w:hAnsi="Times New Roman" w:cs="Times New Roman"/>
          <w:snapToGrid w:val="0"/>
          <w:sz w:val="24"/>
          <w:szCs w:val="24"/>
          <w:lang w:eastAsia="en-AU"/>
        </w:rPr>
        <w:t xml:space="preserve">Defence </w:t>
      </w:r>
      <w:r w:rsidR="00420A7A" w:rsidRPr="00267527">
        <w:rPr>
          <w:rFonts w:ascii="Times New Roman" w:eastAsia="Times New Roman" w:hAnsi="Times New Roman" w:cs="Times New Roman"/>
          <w:snapToGrid w:val="0"/>
          <w:sz w:val="24"/>
          <w:szCs w:val="24"/>
          <w:lang w:eastAsia="en-AU"/>
        </w:rPr>
        <w:t>Determination, as benefits are provided based on whether the member has no immediate dependants, is living with their family or</w:t>
      </w:r>
      <w:r w:rsidR="00CA7BF3">
        <w:rPr>
          <w:rFonts w:ascii="Times New Roman" w:eastAsia="Times New Roman" w:hAnsi="Times New Roman" w:cs="Times New Roman"/>
          <w:snapToGrid w:val="0"/>
          <w:sz w:val="24"/>
          <w:szCs w:val="24"/>
          <w:lang w:eastAsia="en-AU"/>
        </w:rPr>
        <w:t>,</w:t>
      </w:r>
      <w:r w:rsidR="00420A7A" w:rsidRPr="00267527">
        <w:rPr>
          <w:rFonts w:ascii="Times New Roman" w:eastAsia="Times New Roman" w:hAnsi="Times New Roman" w:cs="Times New Roman"/>
          <w:snapToGrid w:val="0"/>
          <w:sz w:val="24"/>
          <w:szCs w:val="24"/>
          <w:lang w:eastAsia="en-AU"/>
        </w:rPr>
        <w:t xml:space="preserve"> as a consequence of their service, live</w:t>
      </w:r>
      <w:r w:rsidR="00CA7BF3">
        <w:rPr>
          <w:rFonts w:ascii="Times New Roman" w:eastAsia="Times New Roman" w:hAnsi="Times New Roman" w:cs="Times New Roman"/>
          <w:snapToGrid w:val="0"/>
          <w:sz w:val="24"/>
          <w:szCs w:val="24"/>
          <w:lang w:eastAsia="en-AU"/>
        </w:rPr>
        <w:t>s</w:t>
      </w:r>
      <w:r w:rsidR="00420A7A" w:rsidRPr="00267527">
        <w:rPr>
          <w:rFonts w:ascii="Times New Roman" w:eastAsia="Times New Roman" w:hAnsi="Times New Roman" w:cs="Times New Roman"/>
          <w:snapToGrid w:val="0"/>
          <w:sz w:val="24"/>
          <w:szCs w:val="24"/>
          <w:lang w:eastAsia="en-AU"/>
        </w:rPr>
        <w:t xml:space="preserve"> away from their family. </w:t>
      </w:r>
    </w:p>
    <w:p w14:paraId="1FF09E6C" w14:textId="2EB1203B" w:rsidR="00420A7A" w:rsidRPr="00267527" w:rsidRDefault="00420A7A" w:rsidP="00210C75">
      <w:pPr>
        <w:rPr>
          <w:rFonts w:ascii="Times New Roman" w:eastAsia="Times New Roman" w:hAnsi="Times New Roman" w:cs="Times New Roman"/>
          <w:snapToGrid w:val="0"/>
          <w:sz w:val="24"/>
          <w:szCs w:val="24"/>
          <w:lang w:eastAsia="en-AU"/>
        </w:rPr>
      </w:pPr>
      <w:r w:rsidRPr="00267527">
        <w:rPr>
          <w:rFonts w:ascii="Times New Roman" w:eastAsia="Times New Roman" w:hAnsi="Times New Roman" w:cs="Times New Roman"/>
          <w:snapToGrid w:val="0"/>
          <w:sz w:val="24"/>
          <w:szCs w:val="24"/>
          <w:lang w:eastAsia="en-AU"/>
        </w:rPr>
        <w:t>Based on the instrument’s size and complexity, and advice from the Office of Parliamentary Counsel, it</w:t>
      </w:r>
      <w:r w:rsidR="00D13DE0" w:rsidRPr="00267527">
        <w:rPr>
          <w:rFonts w:ascii="Times New Roman" w:eastAsia="Times New Roman" w:hAnsi="Times New Roman" w:cs="Times New Roman"/>
          <w:snapToGrid w:val="0"/>
          <w:sz w:val="24"/>
          <w:szCs w:val="24"/>
          <w:lang w:eastAsia="en-AU"/>
        </w:rPr>
        <w:t xml:space="preserve"> is estimated that it</w:t>
      </w:r>
      <w:r w:rsidRPr="00267527">
        <w:rPr>
          <w:rFonts w:ascii="Times New Roman" w:eastAsia="Times New Roman" w:hAnsi="Times New Roman" w:cs="Times New Roman"/>
          <w:snapToGrid w:val="0"/>
          <w:sz w:val="24"/>
          <w:szCs w:val="24"/>
          <w:lang w:eastAsia="en-AU"/>
        </w:rPr>
        <w:t xml:space="preserve"> would take </w:t>
      </w:r>
      <w:r w:rsidR="00853D28">
        <w:rPr>
          <w:rFonts w:ascii="Times New Roman" w:eastAsia="Times New Roman" w:hAnsi="Times New Roman" w:cs="Times New Roman"/>
          <w:snapToGrid w:val="0"/>
          <w:sz w:val="24"/>
          <w:szCs w:val="24"/>
          <w:lang w:eastAsia="en-AU"/>
        </w:rPr>
        <w:t>several</w:t>
      </w:r>
      <w:r w:rsidRPr="00267527">
        <w:rPr>
          <w:rFonts w:ascii="Times New Roman" w:eastAsia="Times New Roman" w:hAnsi="Times New Roman" w:cs="Times New Roman"/>
          <w:snapToGrid w:val="0"/>
          <w:sz w:val="24"/>
          <w:szCs w:val="24"/>
          <w:lang w:eastAsia="en-AU"/>
        </w:rPr>
        <w:t xml:space="preserve"> years to review and remake the </w:t>
      </w:r>
      <w:r w:rsidR="0052291C" w:rsidRPr="00267527">
        <w:rPr>
          <w:rFonts w:ascii="Times New Roman" w:eastAsia="Times New Roman" w:hAnsi="Times New Roman" w:cs="Times New Roman"/>
          <w:snapToGrid w:val="0"/>
          <w:sz w:val="24"/>
          <w:szCs w:val="24"/>
          <w:lang w:eastAsia="en-AU"/>
        </w:rPr>
        <w:t xml:space="preserve">Defence </w:t>
      </w:r>
      <w:r w:rsidRPr="00267527">
        <w:rPr>
          <w:rFonts w:ascii="Times New Roman" w:eastAsia="Times New Roman" w:hAnsi="Times New Roman" w:cs="Times New Roman"/>
          <w:snapToGrid w:val="0"/>
          <w:sz w:val="24"/>
          <w:szCs w:val="24"/>
          <w:lang w:eastAsia="en-AU"/>
        </w:rPr>
        <w:t>Determination</w:t>
      </w:r>
      <w:r w:rsidR="00CA7BF3">
        <w:rPr>
          <w:rFonts w:ascii="Times New Roman" w:eastAsia="Times New Roman" w:hAnsi="Times New Roman" w:cs="Times New Roman"/>
          <w:snapToGrid w:val="0"/>
          <w:sz w:val="24"/>
          <w:szCs w:val="24"/>
          <w:lang w:eastAsia="en-AU"/>
        </w:rPr>
        <w:t xml:space="preserve">. </w:t>
      </w:r>
      <w:r w:rsidR="00853D28">
        <w:rPr>
          <w:rFonts w:ascii="Times New Roman" w:eastAsia="Times New Roman" w:hAnsi="Times New Roman" w:cs="Times New Roman"/>
          <w:snapToGrid w:val="0"/>
          <w:sz w:val="24"/>
          <w:szCs w:val="24"/>
          <w:lang w:eastAsia="en-AU"/>
        </w:rPr>
        <w:t>Under</w:t>
      </w:r>
      <w:r w:rsidR="00853D28" w:rsidRPr="00267527">
        <w:rPr>
          <w:rFonts w:ascii="Times New Roman" w:eastAsia="Times New Roman" w:hAnsi="Times New Roman" w:cs="Times New Roman"/>
          <w:snapToGrid w:val="0"/>
          <w:sz w:val="24"/>
          <w:szCs w:val="24"/>
          <w:lang w:eastAsia="en-AU"/>
        </w:rPr>
        <w:t xml:space="preserve"> </w:t>
      </w:r>
      <w:r w:rsidR="00C5797D" w:rsidRPr="00267527">
        <w:rPr>
          <w:rFonts w:ascii="Times New Roman" w:eastAsia="Times New Roman" w:hAnsi="Times New Roman" w:cs="Times New Roman"/>
          <w:snapToGrid w:val="0"/>
          <w:sz w:val="24"/>
          <w:szCs w:val="24"/>
          <w:lang w:eastAsia="en-AU"/>
        </w:rPr>
        <w:t xml:space="preserve">the standard </w:t>
      </w:r>
      <w:proofErr w:type="gramStart"/>
      <w:r w:rsidR="00853D28">
        <w:rPr>
          <w:rFonts w:ascii="Times New Roman" w:eastAsia="Times New Roman" w:hAnsi="Times New Roman" w:cs="Times New Roman"/>
          <w:snapToGrid w:val="0"/>
          <w:sz w:val="24"/>
          <w:szCs w:val="24"/>
          <w:lang w:eastAsia="en-AU"/>
        </w:rPr>
        <w:t>10 year</w:t>
      </w:r>
      <w:proofErr w:type="gramEnd"/>
      <w:r w:rsidR="00853D28">
        <w:rPr>
          <w:rFonts w:ascii="Times New Roman" w:eastAsia="Times New Roman" w:hAnsi="Times New Roman" w:cs="Times New Roman"/>
          <w:snapToGrid w:val="0"/>
          <w:sz w:val="24"/>
          <w:szCs w:val="24"/>
          <w:lang w:eastAsia="en-AU"/>
        </w:rPr>
        <w:t xml:space="preserve"> </w:t>
      </w:r>
      <w:r w:rsidR="00C5797D" w:rsidRPr="00267527">
        <w:rPr>
          <w:rFonts w:ascii="Times New Roman" w:eastAsia="Times New Roman" w:hAnsi="Times New Roman" w:cs="Times New Roman"/>
          <w:snapToGrid w:val="0"/>
          <w:sz w:val="24"/>
          <w:szCs w:val="24"/>
          <w:lang w:eastAsia="en-AU"/>
        </w:rPr>
        <w:t xml:space="preserve">sunsetting timeframe </w:t>
      </w:r>
      <w:r w:rsidR="00853D28">
        <w:rPr>
          <w:rFonts w:ascii="Times New Roman" w:eastAsia="Times New Roman" w:hAnsi="Times New Roman" w:cs="Times New Roman"/>
          <w:snapToGrid w:val="0"/>
          <w:sz w:val="24"/>
          <w:szCs w:val="24"/>
          <w:lang w:eastAsia="en-AU"/>
        </w:rPr>
        <w:t>in</w:t>
      </w:r>
      <w:r w:rsidR="00C5797D" w:rsidRPr="00267527">
        <w:rPr>
          <w:rFonts w:ascii="Times New Roman" w:eastAsia="Times New Roman" w:hAnsi="Times New Roman" w:cs="Times New Roman"/>
          <w:snapToGrid w:val="0"/>
          <w:sz w:val="24"/>
          <w:szCs w:val="24"/>
          <w:lang w:eastAsia="en-AU"/>
        </w:rPr>
        <w:t xml:space="preserve"> the Legislation</w:t>
      </w:r>
      <w:r w:rsidR="000C112E">
        <w:rPr>
          <w:rFonts w:ascii="Times New Roman" w:eastAsia="Times New Roman" w:hAnsi="Times New Roman" w:cs="Times New Roman"/>
          <w:snapToGrid w:val="0"/>
          <w:sz w:val="24"/>
          <w:szCs w:val="24"/>
          <w:lang w:eastAsia="en-AU"/>
        </w:rPr>
        <w:t> </w:t>
      </w:r>
      <w:r w:rsidR="00C5797D" w:rsidRPr="00267527">
        <w:rPr>
          <w:rFonts w:ascii="Times New Roman" w:eastAsia="Times New Roman" w:hAnsi="Times New Roman" w:cs="Times New Roman"/>
          <w:snapToGrid w:val="0"/>
          <w:sz w:val="24"/>
          <w:szCs w:val="24"/>
          <w:lang w:eastAsia="en-AU"/>
        </w:rPr>
        <w:t>Act</w:t>
      </w:r>
      <w:r w:rsidR="000C112E">
        <w:rPr>
          <w:rFonts w:ascii="Times New Roman" w:eastAsia="Times New Roman" w:hAnsi="Times New Roman" w:cs="Times New Roman"/>
          <w:snapToGrid w:val="0"/>
          <w:sz w:val="24"/>
          <w:szCs w:val="24"/>
          <w:lang w:eastAsia="en-AU"/>
        </w:rPr>
        <w:t xml:space="preserve">, </w:t>
      </w:r>
      <w:r w:rsidR="00853D28">
        <w:rPr>
          <w:rFonts w:ascii="Times New Roman" w:eastAsia="Times New Roman" w:hAnsi="Times New Roman" w:cs="Times New Roman"/>
          <w:snapToGrid w:val="0"/>
          <w:sz w:val="24"/>
          <w:szCs w:val="24"/>
          <w:lang w:eastAsia="en-AU"/>
        </w:rPr>
        <w:t xml:space="preserve">it would be necessary to conduct each successive, comprehensive review of the Determination only a short number of years after the conclusion of the previous review </w:t>
      </w:r>
      <w:r w:rsidR="000C112E">
        <w:rPr>
          <w:rFonts w:ascii="Times New Roman" w:eastAsia="Times New Roman" w:hAnsi="Times New Roman" w:cs="Times New Roman"/>
          <w:snapToGrid w:val="0"/>
          <w:sz w:val="24"/>
          <w:szCs w:val="24"/>
          <w:lang w:eastAsia="en-AU"/>
        </w:rPr>
        <w:t>to ensure the Determination did not inadvertently sunset</w:t>
      </w:r>
      <w:r w:rsidR="00C5797D" w:rsidRPr="00267527">
        <w:rPr>
          <w:rFonts w:ascii="Times New Roman" w:eastAsia="Times New Roman" w:hAnsi="Times New Roman" w:cs="Times New Roman"/>
          <w:snapToGrid w:val="0"/>
          <w:sz w:val="24"/>
          <w:szCs w:val="24"/>
          <w:lang w:eastAsia="en-AU"/>
        </w:rPr>
        <w:t>.</w:t>
      </w:r>
      <w:r w:rsidR="00E22015" w:rsidRPr="00267527">
        <w:rPr>
          <w:rFonts w:ascii="Times New Roman" w:eastAsia="Times New Roman" w:hAnsi="Times New Roman" w:cs="Times New Roman"/>
          <w:snapToGrid w:val="0"/>
          <w:sz w:val="24"/>
          <w:szCs w:val="24"/>
          <w:lang w:eastAsia="en-AU"/>
        </w:rPr>
        <w:t xml:space="preserve"> This would impose a significant administrative burden on the Department of Defence, ADF personnel and the Office of Parliamentary Counsel, outweighing the regulatory benefit of the remaking process.</w:t>
      </w:r>
    </w:p>
    <w:p w14:paraId="13BE34E0" w14:textId="5AB1E9D5" w:rsidR="003C51B1" w:rsidRPr="00267527" w:rsidRDefault="003C51B1" w:rsidP="00210C75">
      <w:pPr>
        <w:rPr>
          <w:rFonts w:ascii="Times New Roman" w:eastAsia="Times New Roman" w:hAnsi="Times New Roman" w:cs="Times New Roman"/>
          <w:snapToGrid w:val="0"/>
          <w:sz w:val="24"/>
          <w:szCs w:val="24"/>
          <w:u w:val="single"/>
          <w:lang w:eastAsia="en-AU"/>
        </w:rPr>
      </w:pPr>
      <w:r w:rsidRPr="00267527">
        <w:rPr>
          <w:rFonts w:ascii="Times New Roman" w:eastAsia="Times New Roman" w:hAnsi="Times New Roman" w:cs="Times New Roman"/>
          <w:snapToGrid w:val="0"/>
          <w:sz w:val="24"/>
          <w:szCs w:val="24"/>
          <w:u w:val="single"/>
          <w:lang w:eastAsia="en-AU"/>
        </w:rPr>
        <w:t>Subject to regular review and amendment</w:t>
      </w:r>
    </w:p>
    <w:p w14:paraId="03FDA875" w14:textId="77777777" w:rsidR="00DD2CE1" w:rsidRPr="00267527" w:rsidRDefault="00DD2CE1" w:rsidP="00210C75">
      <w:pPr>
        <w:rPr>
          <w:rFonts w:ascii="Times New Roman" w:hAnsi="Times New Roman" w:cs="Times New Roman"/>
          <w:b/>
          <w:caps/>
          <w:sz w:val="24"/>
          <w:szCs w:val="24"/>
        </w:rPr>
      </w:pPr>
      <w:r w:rsidRPr="00267527">
        <w:rPr>
          <w:rFonts w:ascii="Times New Roman" w:eastAsia="Times New Roman" w:hAnsi="Times New Roman" w:cs="Times New Roman"/>
          <w:snapToGrid w:val="0"/>
          <w:sz w:val="24"/>
          <w:szCs w:val="24"/>
          <w:lang w:eastAsia="en-AU"/>
        </w:rPr>
        <w:lastRenderedPageBreak/>
        <w:t>In total, since the Defence Determination commenced on 1 July 2016, it has been amended by 96 different determinations, averaging 16 amending determinations a year in response to the Department of Defence’s developing environment. This is as a consequence of the Department of Defence’s usual practice of the ongoing review of the instrument and its underlying policies. Moreover, the Department of Defence’s recent practice is to make monthly omnibus determinations that make multiple changes across the Defence</w:t>
      </w:r>
      <w:r>
        <w:rPr>
          <w:rFonts w:ascii="Times New Roman" w:eastAsia="Times New Roman" w:hAnsi="Times New Roman" w:cs="Times New Roman"/>
          <w:snapToGrid w:val="0"/>
          <w:sz w:val="24"/>
          <w:szCs w:val="24"/>
          <w:lang w:eastAsia="en-AU"/>
        </w:rPr>
        <w:t> </w:t>
      </w:r>
      <w:r w:rsidRPr="00267527">
        <w:rPr>
          <w:rFonts w:ascii="Times New Roman" w:eastAsia="Times New Roman" w:hAnsi="Times New Roman" w:cs="Times New Roman"/>
          <w:snapToGrid w:val="0"/>
          <w:sz w:val="24"/>
          <w:szCs w:val="24"/>
          <w:lang w:eastAsia="en-AU"/>
        </w:rPr>
        <w:t>Determination. Each amending determination may address more than one policy change.</w:t>
      </w:r>
      <w:r w:rsidRPr="00267527">
        <w:rPr>
          <w:rFonts w:ascii="Times New Roman" w:hAnsi="Times New Roman" w:cs="Times New Roman"/>
          <w:b/>
          <w:caps/>
          <w:sz w:val="24"/>
          <w:szCs w:val="24"/>
        </w:rPr>
        <w:t xml:space="preserve"> </w:t>
      </w:r>
    </w:p>
    <w:p w14:paraId="527540D8" w14:textId="3072D555" w:rsidR="00FB40CC" w:rsidRPr="00267527" w:rsidRDefault="00C5797D" w:rsidP="00210C75">
      <w:pPr>
        <w:rPr>
          <w:rFonts w:ascii="Times New Roman" w:eastAsia="Times New Roman" w:hAnsi="Times New Roman" w:cs="Times New Roman"/>
          <w:snapToGrid w:val="0"/>
          <w:sz w:val="24"/>
          <w:szCs w:val="24"/>
          <w:lang w:eastAsia="en-AU"/>
        </w:rPr>
      </w:pPr>
      <w:r w:rsidRPr="00267527">
        <w:rPr>
          <w:rFonts w:ascii="Times New Roman" w:eastAsia="Times New Roman" w:hAnsi="Times New Roman" w:cs="Times New Roman"/>
          <w:snapToGrid w:val="0"/>
          <w:sz w:val="24"/>
          <w:szCs w:val="24"/>
          <w:lang w:eastAsia="en-AU"/>
        </w:rPr>
        <w:t>In practice, t</w:t>
      </w:r>
      <w:r w:rsidR="00420A7A" w:rsidRPr="00267527">
        <w:rPr>
          <w:rFonts w:ascii="Times New Roman" w:eastAsia="Times New Roman" w:hAnsi="Times New Roman" w:cs="Times New Roman"/>
          <w:snapToGrid w:val="0"/>
          <w:sz w:val="24"/>
          <w:szCs w:val="24"/>
          <w:lang w:eastAsia="en-AU"/>
        </w:rPr>
        <w:t xml:space="preserve">he Department of Defence is continually reviewing the policies that underpin the Defence Determination to ensure that the benefits provided by the instrument continue to be fit for purpose and, where relevant, consistent with whole of Australian Government policy. </w:t>
      </w:r>
      <w:r w:rsidR="00DD2CE1">
        <w:rPr>
          <w:rFonts w:ascii="Times New Roman" w:eastAsia="Times New Roman" w:hAnsi="Times New Roman" w:cs="Times New Roman"/>
          <w:snapToGrid w:val="0"/>
          <w:sz w:val="24"/>
          <w:szCs w:val="24"/>
          <w:lang w:eastAsia="en-AU"/>
        </w:rPr>
        <w:t xml:space="preserve"> The Determination is subject to regular amendments </w:t>
      </w:r>
      <w:r w:rsidR="001F13AD">
        <w:rPr>
          <w:rFonts w:ascii="Times New Roman" w:eastAsia="Times New Roman" w:hAnsi="Times New Roman" w:cs="Times New Roman"/>
          <w:snapToGrid w:val="0"/>
          <w:sz w:val="24"/>
          <w:szCs w:val="24"/>
          <w:lang w:eastAsia="en-AU"/>
        </w:rPr>
        <w:t>resulting</w:t>
      </w:r>
      <w:r w:rsidR="00DD2CE1">
        <w:rPr>
          <w:rFonts w:ascii="Times New Roman" w:eastAsia="Times New Roman" w:hAnsi="Times New Roman" w:cs="Times New Roman"/>
          <w:snapToGrid w:val="0"/>
          <w:sz w:val="24"/>
          <w:szCs w:val="24"/>
          <w:lang w:eastAsia="en-AU"/>
        </w:rPr>
        <w:t xml:space="preserve"> from </w:t>
      </w:r>
      <w:r w:rsidR="00730092">
        <w:rPr>
          <w:rFonts w:ascii="Times New Roman" w:eastAsia="Times New Roman" w:hAnsi="Times New Roman" w:cs="Times New Roman"/>
          <w:snapToGrid w:val="0"/>
          <w:sz w:val="24"/>
          <w:szCs w:val="24"/>
          <w:lang w:eastAsia="en-AU"/>
        </w:rPr>
        <w:t xml:space="preserve">reviews </w:t>
      </w:r>
      <w:r w:rsidR="001F13AD">
        <w:rPr>
          <w:rFonts w:ascii="Times New Roman" w:eastAsia="Times New Roman" w:hAnsi="Times New Roman" w:cs="Times New Roman"/>
          <w:snapToGrid w:val="0"/>
          <w:sz w:val="24"/>
          <w:szCs w:val="24"/>
          <w:lang w:eastAsia="en-AU"/>
        </w:rPr>
        <w:t>targeting</w:t>
      </w:r>
      <w:r w:rsidR="00730092">
        <w:rPr>
          <w:rFonts w:ascii="Times New Roman" w:eastAsia="Times New Roman" w:hAnsi="Times New Roman" w:cs="Times New Roman"/>
          <w:snapToGrid w:val="0"/>
          <w:sz w:val="24"/>
          <w:szCs w:val="24"/>
          <w:lang w:eastAsia="en-AU"/>
        </w:rPr>
        <w:t xml:space="preserve"> </w:t>
      </w:r>
      <w:r w:rsidR="001F13AD">
        <w:rPr>
          <w:rFonts w:ascii="Times New Roman" w:eastAsia="Times New Roman" w:hAnsi="Times New Roman" w:cs="Times New Roman"/>
          <w:snapToGrid w:val="0"/>
          <w:sz w:val="24"/>
          <w:szCs w:val="24"/>
          <w:lang w:eastAsia="en-AU"/>
        </w:rPr>
        <w:t>various</w:t>
      </w:r>
      <w:r w:rsidR="00730092">
        <w:rPr>
          <w:rFonts w:ascii="Times New Roman" w:eastAsia="Times New Roman" w:hAnsi="Times New Roman" w:cs="Times New Roman"/>
          <w:snapToGrid w:val="0"/>
          <w:sz w:val="24"/>
          <w:szCs w:val="24"/>
          <w:lang w:eastAsia="en-AU"/>
        </w:rPr>
        <w:t xml:space="preserve"> elements of the instrument. </w:t>
      </w:r>
      <w:r w:rsidR="00FB40CC" w:rsidRPr="00267527">
        <w:rPr>
          <w:rFonts w:ascii="Times New Roman" w:eastAsia="Times New Roman" w:hAnsi="Times New Roman" w:cs="Times New Roman"/>
          <w:snapToGrid w:val="0"/>
          <w:sz w:val="24"/>
          <w:szCs w:val="24"/>
          <w:lang w:eastAsia="en-AU"/>
        </w:rPr>
        <w:t xml:space="preserve">For example, </w:t>
      </w:r>
      <w:r w:rsidR="00DD2CE1">
        <w:rPr>
          <w:rFonts w:ascii="Times New Roman" w:eastAsia="Times New Roman" w:hAnsi="Times New Roman" w:cs="Times New Roman"/>
          <w:snapToGrid w:val="0"/>
          <w:sz w:val="24"/>
          <w:szCs w:val="24"/>
          <w:lang w:eastAsia="en-AU"/>
        </w:rPr>
        <w:t>reviews have resulted in the following amending determinations to the</w:t>
      </w:r>
      <w:r w:rsidR="00FB40CC" w:rsidRPr="00267527">
        <w:rPr>
          <w:rFonts w:ascii="Times New Roman" w:eastAsia="Times New Roman" w:hAnsi="Times New Roman" w:cs="Times New Roman"/>
          <w:snapToGrid w:val="0"/>
          <w:sz w:val="24"/>
          <w:szCs w:val="24"/>
          <w:lang w:eastAsia="en-AU"/>
        </w:rPr>
        <w:t xml:space="preserve"> Determination:</w:t>
      </w:r>
    </w:p>
    <w:p w14:paraId="774582CB" w14:textId="77777777" w:rsidR="00FB40CC" w:rsidRPr="00267527" w:rsidRDefault="00FB40CC" w:rsidP="00210C75">
      <w:pPr>
        <w:pStyle w:val="Basetext"/>
        <w:numPr>
          <w:ilvl w:val="0"/>
          <w:numId w:val="6"/>
        </w:numPr>
        <w:spacing w:before="240" w:after="200"/>
        <w:rPr>
          <w:sz w:val="24"/>
          <w:szCs w:val="24"/>
        </w:rPr>
      </w:pPr>
      <w:r w:rsidRPr="00267527">
        <w:rPr>
          <w:sz w:val="24"/>
          <w:szCs w:val="24"/>
        </w:rPr>
        <w:t>Defence Determination 2017/18, Overseas conditions of service (Budget measures 2017-18 – Overseas allowances) amendment. This determination gave effect to a Whole-of-Australian-Government review of overseas entitlements, allowances, financial support and conditions of service provided to Australian Government employees posted overseas which resulted in substantive changes across 3 chapters in the Determination.</w:t>
      </w:r>
    </w:p>
    <w:p w14:paraId="40B7AE44" w14:textId="77777777" w:rsidR="00FB40CC" w:rsidRPr="00267527" w:rsidRDefault="00FB40CC" w:rsidP="00210C75">
      <w:pPr>
        <w:pStyle w:val="Basetext"/>
        <w:numPr>
          <w:ilvl w:val="0"/>
          <w:numId w:val="6"/>
        </w:numPr>
        <w:spacing w:before="240" w:after="200"/>
        <w:rPr>
          <w:sz w:val="24"/>
          <w:szCs w:val="24"/>
        </w:rPr>
      </w:pPr>
      <w:r w:rsidRPr="00267527">
        <w:rPr>
          <w:sz w:val="24"/>
          <w:szCs w:val="24"/>
        </w:rPr>
        <w:t>Defence Determination, Conditions of Service Amendment (Defence Regulation 2016 – consequential amendments) Determination 2018 (No. 26). This determination gave effect to Defence Regulations 2016 which came about as a result of the changes to the Defence Act by Defence Legislation Amendment (First Principles) Act 2015, which implements recommendations across the entire Determination.</w:t>
      </w:r>
    </w:p>
    <w:p w14:paraId="61A53EBE" w14:textId="2D40B6E0" w:rsidR="00FB40CC" w:rsidRDefault="00FB40CC" w:rsidP="00210C75">
      <w:pPr>
        <w:pStyle w:val="Basetext"/>
        <w:numPr>
          <w:ilvl w:val="0"/>
          <w:numId w:val="6"/>
        </w:numPr>
        <w:spacing w:before="240" w:after="200"/>
        <w:rPr>
          <w:sz w:val="24"/>
          <w:szCs w:val="24"/>
        </w:rPr>
      </w:pPr>
      <w:r w:rsidRPr="00267527">
        <w:rPr>
          <w:sz w:val="24"/>
          <w:szCs w:val="24"/>
        </w:rPr>
        <w:t>Since 2020, 11 amending determinations were made to ensure that the benefits provided in the Determination were fit for purpose during the COVID-19 pandemic. This included urgent amendments to evacuate non-essential overseas ADF members and their families from overseas posts.</w:t>
      </w:r>
    </w:p>
    <w:p w14:paraId="26B47715" w14:textId="799735EA" w:rsidR="00740B98" w:rsidRPr="00740B98" w:rsidRDefault="00740B98" w:rsidP="00210C75">
      <w:pPr>
        <w:pStyle w:val="Basetext"/>
        <w:numPr>
          <w:ilvl w:val="0"/>
          <w:numId w:val="6"/>
        </w:numPr>
        <w:spacing w:before="240" w:after="200"/>
        <w:rPr>
          <w:sz w:val="24"/>
          <w:szCs w:val="24"/>
        </w:rPr>
      </w:pPr>
      <w:r>
        <w:rPr>
          <w:sz w:val="24"/>
          <w:szCs w:val="24"/>
        </w:rPr>
        <w:t>Defence Determination, Conditions of service Amendment (Employment offer modernisation) Determination 2023 (No. 1). This determination commences on 1 July 2023 and gives effect to a new categorisation and location framework which provides the basis on which many conditions of service benefits are provided to members and will result in substantive changes across the majority of the chapters of the Defence Determination that provide benefits to members working within Australia.</w:t>
      </w:r>
    </w:p>
    <w:p w14:paraId="5EBCE431" w14:textId="5E4DC7BA" w:rsidR="00B73158" w:rsidRDefault="00FB40CC" w:rsidP="00210C75">
      <w:pPr>
        <w:pStyle w:val="Basetext"/>
        <w:spacing w:before="240" w:after="200"/>
        <w:rPr>
          <w:sz w:val="24"/>
          <w:szCs w:val="24"/>
          <w:lang w:eastAsia="en-AU"/>
        </w:rPr>
      </w:pPr>
      <w:r w:rsidRPr="00267527">
        <w:rPr>
          <w:sz w:val="24"/>
          <w:szCs w:val="24"/>
        </w:rPr>
        <w:t xml:space="preserve">In addition, the Department of </w:t>
      </w:r>
      <w:r w:rsidRPr="00267527">
        <w:rPr>
          <w:sz w:val="24"/>
          <w:szCs w:val="24"/>
          <w:lang w:eastAsia="en-AU"/>
        </w:rPr>
        <w:t xml:space="preserve">Defence is currently undertaking major policy reviews to </w:t>
      </w:r>
      <w:r w:rsidR="00740B98">
        <w:rPr>
          <w:sz w:val="24"/>
          <w:szCs w:val="24"/>
          <w:lang w:eastAsia="en-AU"/>
        </w:rPr>
        <w:t xml:space="preserve">further </w:t>
      </w:r>
      <w:r w:rsidRPr="00267527">
        <w:rPr>
          <w:sz w:val="24"/>
          <w:szCs w:val="24"/>
          <w:lang w:eastAsia="en-AU"/>
        </w:rPr>
        <w:t>modernise the ADF employment offer</w:t>
      </w:r>
      <w:r w:rsidR="00E97DBD">
        <w:rPr>
          <w:sz w:val="24"/>
          <w:szCs w:val="24"/>
          <w:lang w:eastAsia="en-AU"/>
        </w:rPr>
        <w:t>ing</w:t>
      </w:r>
      <w:r w:rsidRPr="00267527">
        <w:rPr>
          <w:sz w:val="24"/>
          <w:szCs w:val="24"/>
          <w:lang w:eastAsia="en-AU"/>
        </w:rPr>
        <w:t xml:space="preserve">. This will result in significant changes to </w:t>
      </w:r>
      <w:r w:rsidR="00740B98">
        <w:rPr>
          <w:sz w:val="24"/>
          <w:szCs w:val="24"/>
          <w:lang w:eastAsia="en-AU"/>
        </w:rPr>
        <w:t>the</w:t>
      </w:r>
      <w:r w:rsidR="00740B98" w:rsidRPr="00267527">
        <w:rPr>
          <w:sz w:val="24"/>
          <w:szCs w:val="24"/>
          <w:lang w:eastAsia="en-AU"/>
        </w:rPr>
        <w:t xml:space="preserve"> </w:t>
      </w:r>
      <w:r w:rsidRPr="00267527">
        <w:rPr>
          <w:sz w:val="24"/>
          <w:szCs w:val="24"/>
          <w:lang w:eastAsia="en-AU"/>
        </w:rPr>
        <w:t>chapters of the Defence Determination that provide benefits to members working within Australia.</w:t>
      </w:r>
      <w:r w:rsidR="00AD15C9" w:rsidRPr="00267527">
        <w:rPr>
          <w:sz w:val="24"/>
          <w:szCs w:val="24"/>
          <w:lang w:eastAsia="en-AU"/>
        </w:rPr>
        <w:t xml:space="preserve"> </w:t>
      </w:r>
    </w:p>
    <w:p w14:paraId="53F90E05" w14:textId="68F4084E" w:rsidR="00730092" w:rsidRDefault="00730092" w:rsidP="00210C75">
      <w:pPr>
        <w:pStyle w:val="Basetext"/>
        <w:spacing w:before="240" w:after="200"/>
        <w:rPr>
          <w:sz w:val="24"/>
          <w:szCs w:val="24"/>
          <w:lang w:eastAsia="en-AU"/>
        </w:rPr>
      </w:pPr>
      <w:r>
        <w:rPr>
          <w:sz w:val="24"/>
          <w:szCs w:val="24"/>
          <w:lang w:eastAsia="en-AU"/>
        </w:rPr>
        <w:lastRenderedPageBreak/>
        <w:t xml:space="preserve">Consequently, </w:t>
      </w:r>
      <w:r w:rsidR="009479CA">
        <w:rPr>
          <w:sz w:val="24"/>
          <w:szCs w:val="24"/>
          <w:lang w:eastAsia="en-AU"/>
        </w:rPr>
        <w:t xml:space="preserve">it is </w:t>
      </w:r>
      <w:r w:rsidR="00E97DBD">
        <w:rPr>
          <w:sz w:val="24"/>
          <w:szCs w:val="24"/>
          <w:lang w:eastAsia="en-AU"/>
        </w:rPr>
        <w:t>not necessary</w:t>
      </w:r>
      <w:r w:rsidR="009479CA">
        <w:rPr>
          <w:sz w:val="24"/>
          <w:szCs w:val="24"/>
          <w:lang w:eastAsia="en-AU"/>
        </w:rPr>
        <w:t xml:space="preserve"> to subject the </w:t>
      </w:r>
      <w:r w:rsidR="00740B98">
        <w:rPr>
          <w:sz w:val="24"/>
          <w:szCs w:val="24"/>
          <w:lang w:eastAsia="en-AU"/>
        </w:rPr>
        <w:t>D</w:t>
      </w:r>
      <w:r w:rsidR="009479CA">
        <w:rPr>
          <w:sz w:val="24"/>
          <w:szCs w:val="24"/>
          <w:lang w:eastAsia="en-AU"/>
        </w:rPr>
        <w:t xml:space="preserve">efence Determination to the requirements of sunsetting given the instruments are regularly reviewed and corresponding amendments made </w:t>
      </w:r>
      <w:r w:rsidR="00E94453">
        <w:rPr>
          <w:sz w:val="24"/>
          <w:szCs w:val="24"/>
          <w:lang w:eastAsia="en-AU"/>
        </w:rPr>
        <w:t xml:space="preserve">on a regular basis </w:t>
      </w:r>
      <w:r w:rsidR="009479CA">
        <w:rPr>
          <w:sz w:val="24"/>
          <w:szCs w:val="24"/>
          <w:lang w:eastAsia="en-AU"/>
        </w:rPr>
        <w:t xml:space="preserve">to ensure the instrument remains fit-for-purpose and in line with government policy. </w:t>
      </w:r>
    </w:p>
    <w:p w14:paraId="45B371AE" w14:textId="1B09B6F7" w:rsidR="00C303D4" w:rsidRPr="00267527" w:rsidRDefault="00A40F64" w:rsidP="00210C75">
      <w:pPr>
        <w:pStyle w:val="Basetext"/>
        <w:spacing w:before="240" w:after="200"/>
        <w:rPr>
          <w:i/>
          <w:color w:val="000000"/>
          <w:sz w:val="24"/>
          <w:szCs w:val="24"/>
          <w:lang w:eastAsia="en-AU"/>
        </w:rPr>
      </w:pPr>
      <w:r w:rsidRPr="00267527">
        <w:rPr>
          <w:i/>
          <w:color w:val="000000"/>
          <w:sz w:val="24"/>
          <w:szCs w:val="24"/>
          <w:lang w:eastAsia="en-AU"/>
        </w:rPr>
        <w:t xml:space="preserve">Exemption from sunsetting – </w:t>
      </w:r>
      <w:r w:rsidR="00C303D4" w:rsidRPr="00267527">
        <w:rPr>
          <w:i/>
          <w:color w:val="000000"/>
          <w:sz w:val="24"/>
          <w:szCs w:val="24"/>
          <w:lang w:eastAsia="en-AU"/>
        </w:rPr>
        <w:t>Public Governance, Performance and Accountability Rule 2014</w:t>
      </w:r>
    </w:p>
    <w:p w14:paraId="4BDE361A" w14:textId="74EF7B17" w:rsidR="00DB7182" w:rsidRPr="00267527" w:rsidRDefault="00DB7182" w:rsidP="00210C75">
      <w:pPr>
        <w:pStyle w:val="Basetext"/>
        <w:spacing w:before="240" w:after="200"/>
        <w:rPr>
          <w:color w:val="000000"/>
          <w:sz w:val="24"/>
          <w:szCs w:val="24"/>
          <w:lang w:eastAsia="en-AU"/>
        </w:rPr>
      </w:pPr>
      <w:r w:rsidRPr="00267527">
        <w:rPr>
          <w:color w:val="000000"/>
          <w:sz w:val="24"/>
          <w:szCs w:val="24"/>
          <w:lang w:eastAsia="en-AU"/>
        </w:rPr>
        <w:t>The</w:t>
      </w:r>
      <w:r w:rsidR="00C303D4" w:rsidRPr="00267527">
        <w:rPr>
          <w:color w:val="000000"/>
          <w:sz w:val="24"/>
          <w:szCs w:val="24"/>
          <w:lang w:eastAsia="en-AU"/>
        </w:rPr>
        <w:t xml:space="preserve"> </w:t>
      </w:r>
      <w:r w:rsidR="00C303D4" w:rsidRPr="00267527">
        <w:rPr>
          <w:i/>
          <w:color w:val="000000"/>
          <w:sz w:val="24"/>
          <w:szCs w:val="24"/>
          <w:lang w:eastAsia="en-AU"/>
        </w:rPr>
        <w:t xml:space="preserve">Public Governance, Performance and Accountability Rule 2014 </w:t>
      </w:r>
      <w:r w:rsidR="00C303D4" w:rsidRPr="00267527">
        <w:rPr>
          <w:color w:val="000000"/>
          <w:sz w:val="24"/>
          <w:szCs w:val="24"/>
          <w:lang w:eastAsia="en-AU"/>
        </w:rPr>
        <w:t xml:space="preserve">(PGPA Rule), which is made under section 101 of the </w:t>
      </w:r>
      <w:r w:rsidR="00C303D4" w:rsidRPr="00267527">
        <w:rPr>
          <w:i/>
          <w:color w:val="000000"/>
          <w:sz w:val="24"/>
          <w:szCs w:val="24"/>
          <w:lang w:eastAsia="en-AU"/>
        </w:rPr>
        <w:t xml:space="preserve">Public Governance, Performance and Accountability Act 2013 </w:t>
      </w:r>
      <w:r w:rsidR="00C303D4" w:rsidRPr="00267527">
        <w:rPr>
          <w:color w:val="000000"/>
          <w:sz w:val="24"/>
          <w:szCs w:val="24"/>
          <w:lang w:eastAsia="en-AU"/>
        </w:rPr>
        <w:t>(PGPA Act)</w:t>
      </w:r>
      <w:r w:rsidRPr="00267527">
        <w:rPr>
          <w:color w:val="000000"/>
          <w:sz w:val="24"/>
          <w:szCs w:val="24"/>
          <w:lang w:eastAsia="en-AU"/>
        </w:rPr>
        <w:t>, is the second additional instrument to be exempt from sunsetting by the Amendment Regulations</w:t>
      </w:r>
      <w:r w:rsidR="00C303D4" w:rsidRPr="00267527">
        <w:rPr>
          <w:i/>
          <w:color w:val="000000"/>
          <w:sz w:val="24"/>
          <w:szCs w:val="24"/>
          <w:lang w:eastAsia="en-AU"/>
        </w:rPr>
        <w:t xml:space="preserve">. </w:t>
      </w:r>
      <w:r w:rsidR="00DF550B">
        <w:rPr>
          <w:color w:val="000000"/>
          <w:sz w:val="24"/>
          <w:szCs w:val="24"/>
          <w:lang w:eastAsia="en-AU"/>
        </w:rPr>
        <w:t>Section 101</w:t>
      </w:r>
      <w:r w:rsidR="00C303D4" w:rsidRPr="00267527">
        <w:rPr>
          <w:color w:val="000000"/>
          <w:sz w:val="24"/>
          <w:szCs w:val="24"/>
          <w:lang w:eastAsia="en-AU"/>
        </w:rPr>
        <w:t xml:space="preserve"> provides that the Finance Minister may make rules by legislative instrument to prescribe matters necessary or convenient to be prescribed for carrying out or giving effect to the PGPA Act.</w:t>
      </w:r>
      <w:r w:rsidR="000B7CB5" w:rsidRPr="00267527">
        <w:rPr>
          <w:sz w:val="24"/>
          <w:szCs w:val="24"/>
        </w:rPr>
        <w:t xml:space="preserve"> </w:t>
      </w:r>
    </w:p>
    <w:p w14:paraId="4335D072" w14:textId="3F055D6F" w:rsidR="00C303D4" w:rsidRPr="00267527" w:rsidRDefault="00C303D4" w:rsidP="00210C75">
      <w:pPr>
        <w:pStyle w:val="Basetext"/>
        <w:spacing w:before="240" w:after="200"/>
        <w:rPr>
          <w:sz w:val="24"/>
          <w:szCs w:val="24"/>
        </w:rPr>
      </w:pPr>
      <w:r w:rsidRPr="00267527">
        <w:rPr>
          <w:sz w:val="24"/>
          <w:szCs w:val="24"/>
        </w:rPr>
        <w:t xml:space="preserve">The PGPA Rule fulfils a key object of the PGPA Act to establish a coherent framework for the operations of government. The PGPA Rule establishes the requirements and procedures necessary to give effect to the governance, performance and accountability matters covered by the PGPA Act. </w:t>
      </w:r>
    </w:p>
    <w:p w14:paraId="1685AF2F" w14:textId="5F0CC152" w:rsidR="00C303D4" w:rsidRPr="00267527" w:rsidRDefault="00C303D4" w:rsidP="00210C75">
      <w:pPr>
        <w:pStyle w:val="Basetext"/>
        <w:spacing w:before="240" w:after="200"/>
        <w:rPr>
          <w:i/>
          <w:sz w:val="24"/>
          <w:szCs w:val="24"/>
        </w:rPr>
      </w:pPr>
      <w:r w:rsidRPr="00267527">
        <w:rPr>
          <w:sz w:val="24"/>
          <w:szCs w:val="24"/>
        </w:rPr>
        <w:t xml:space="preserve">It is appropriate that the PGPA Rule be exempt from sunsetting </w:t>
      </w:r>
      <w:r w:rsidR="009479CA">
        <w:rPr>
          <w:sz w:val="24"/>
          <w:szCs w:val="24"/>
        </w:rPr>
        <w:t>pursuant to the following criteria provided in the Attorney</w:t>
      </w:r>
      <w:r w:rsidR="009479CA">
        <w:rPr>
          <w:sz w:val="24"/>
          <w:szCs w:val="24"/>
        </w:rPr>
        <w:noBreakHyphen/>
        <w:t>General’s</w:t>
      </w:r>
      <w:r w:rsidR="00A85371">
        <w:rPr>
          <w:sz w:val="24"/>
          <w:szCs w:val="24"/>
        </w:rPr>
        <w:t> </w:t>
      </w:r>
      <w:r w:rsidR="009479CA">
        <w:rPr>
          <w:sz w:val="24"/>
          <w:szCs w:val="24"/>
        </w:rPr>
        <w:t xml:space="preserve">Department’s </w:t>
      </w:r>
      <w:r w:rsidR="009479CA">
        <w:rPr>
          <w:i/>
          <w:sz w:val="24"/>
          <w:szCs w:val="24"/>
        </w:rPr>
        <w:t>Guide to managing sunsetting of legislative instruments</w:t>
      </w:r>
      <w:r w:rsidRPr="00267527">
        <w:rPr>
          <w:sz w:val="24"/>
          <w:szCs w:val="24"/>
        </w:rPr>
        <w:t>:</w:t>
      </w:r>
    </w:p>
    <w:p w14:paraId="219E614A" w14:textId="0761479A" w:rsidR="00C303D4" w:rsidRPr="00267527" w:rsidRDefault="00C303D4" w:rsidP="00210C75">
      <w:pPr>
        <w:pStyle w:val="Basetext"/>
        <w:numPr>
          <w:ilvl w:val="0"/>
          <w:numId w:val="6"/>
        </w:numPr>
        <w:spacing w:before="240" w:after="200"/>
        <w:rPr>
          <w:i/>
          <w:color w:val="000000"/>
          <w:sz w:val="24"/>
          <w:szCs w:val="24"/>
          <w:lang w:eastAsia="en-AU"/>
        </w:rPr>
      </w:pPr>
      <w:r w:rsidRPr="00267527">
        <w:rPr>
          <w:sz w:val="24"/>
          <w:szCs w:val="24"/>
        </w:rPr>
        <w:t>sufficiently large and complex that the administrative burden associated with remaking the instrument would outweigh any regulatory benefit</w:t>
      </w:r>
    </w:p>
    <w:p w14:paraId="54071BBD" w14:textId="77777777" w:rsidR="00C303D4" w:rsidRPr="00267527" w:rsidRDefault="00C303D4" w:rsidP="00210C75">
      <w:pPr>
        <w:pStyle w:val="Basetext"/>
        <w:numPr>
          <w:ilvl w:val="0"/>
          <w:numId w:val="6"/>
        </w:numPr>
        <w:spacing w:before="240" w:after="200"/>
        <w:rPr>
          <w:i/>
          <w:color w:val="000000"/>
          <w:sz w:val="24"/>
          <w:szCs w:val="24"/>
          <w:lang w:eastAsia="en-AU"/>
        </w:rPr>
      </w:pPr>
      <w:r w:rsidRPr="00267527">
        <w:rPr>
          <w:sz w:val="24"/>
          <w:szCs w:val="24"/>
        </w:rPr>
        <w:t>subject to regular review, and</w:t>
      </w:r>
    </w:p>
    <w:p w14:paraId="2FC002EB" w14:textId="77777777" w:rsidR="00C303D4" w:rsidRPr="00267527" w:rsidRDefault="00C303D4" w:rsidP="00210C75">
      <w:pPr>
        <w:pStyle w:val="Basetext"/>
        <w:numPr>
          <w:ilvl w:val="0"/>
          <w:numId w:val="6"/>
        </w:numPr>
        <w:spacing w:before="240" w:after="200"/>
        <w:rPr>
          <w:i/>
          <w:color w:val="000000"/>
          <w:sz w:val="24"/>
          <w:szCs w:val="24"/>
          <w:lang w:eastAsia="en-AU"/>
        </w:rPr>
      </w:pPr>
      <w:r w:rsidRPr="00267527">
        <w:rPr>
          <w:sz w:val="24"/>
          <w:szCs w:val="24"/>
        </w:rPr>
        <w:t>subject to regular amendment.</w:t>
      </w:r>
    </w:p>
    <w:p w14:paraId="64C0C921" w14:textId="701AB81C" w:rsidR="00A40F64" w:rsidRPr="00267527" w:rsidRDefault="00A40F64" w:rsidP="00210C75">
      <w:pPr>
        <w:pStyle w:val="Basetext"/>
        <w:spacing w:before="240" w:after="200"/>
        <w:rPr>
          <w:sz w:val="24"/>
          <w:szCs w:val="24"/>
          <w:u w:val="single"/>
        </w:rPr>
      </w:pPr>
      <w:r w:rsidRPr="00267527">
        <w:rPr>
          <w:sz w:val="24"/>
          <w:szCs w:val="24"/>
          <w:u w:val="single"/>
        </w:rPr>
        <w:t>Sufficiently large and complex</w:t>
      </w:r>
    </w:p>
    <w:p w14:paraId="11AFAC7B" w14:textId="2A832685" w:rsidR="00E22015" w:rsidRPr="00267527" w:rsidRDefault="00C303D4" w:rsidP="00210C75">
      <w:pPr>
        <w:pStyle w:val="Basetext"/>
        <w:spacing w:before="240" w:after="200"/>
        <w:rPr>
          <w:sz w:val="24"/>
          <w:szCs w:val="24"/>
        </w:rPr>
      </w:pPr>
      <w:r w:rsidRPr="00267527">
        <w:rPr>
          <w:sz w:val="24"/>
          <w:szCs w:val="24"/>
        </w:rPr>
        <w:t>As the key legislative instrument supporting the implementation of the PGPA Act, the PGPA</w:t>
      </w:r>
      <w:r w:rsidR="00B73158">
        <w:rPr>
          <w:sz w:val="24"/>
          <w:szCs w:val="24"/>
        </w:rPr>
        <w:t> </w:t>
      </w:r>
      <w:r w:rsidRPr="00267527">
        <w:rPr>
          <w:sz w:val="24"/>
          <w:szCs w:val="24"/>
        </w:rPr>
        <w:t xml:space="preserve">Rule holds a significant number of integral requirements which support the cohesive operation of government and the Commonwealth’s effective management of public resources. </w:t>
      </w:r>
      <w:r w:rsidR="00E22015" w:rsidRPr="00267527">
        <w:rPr>
          <w:sz w:val="24"/>
          <w:szCs w:val="24"/>
        </w:rPr>
        <w:t>The PGPA Rule:</w:t>
      </w:r>
    </w:p>
    <w:p w14:paraId="27ACDBA3" w14:textId="22520AA2" w:rsidR="00E22015" w:rsidRPr="00267527" w:rsidRDefault="00E22015" w:rsidP="00210C75">
      <w:pPr>
        <w:pStyle w:val="Basetext"/>
        <w:numPr>
          <w:ilvl w:val="0"/>
          <w:numId w:val="6"/>
        </w:numPr>
        <w:spacing w:before="240" w:after="200"/>
        <w:rPr>
          <w:sz w:val="24"/>
          <w:szCs w:val="24"/>
        </w:rPr>
      </w:pPr>
      <w:r w:rsidRPr="00267527">
        <w:rPr>
          <w:sz w:val="24"/>
          <w:szCs w:val="24"/>
        </w:rPr>
        <w:t>Currently prescribes 2</w:t>
      </w:r>
      <w:r w:rsidR="000205D0">
        <w:rPr>
          <w:sz w:val="24"/>
          <w:szCs w:val="24"/>
        </w:rPr>
        <w:t>0</w:t>
      </w:r>
      <w:r w:rsidRPr="00267527">
        <w:rPr>
          <w:sz w:val="24"/>
          <w:szCs w:val="24"/>
        </w:rPr>
        <w:t xml:space="preserve"> listed entities in Schedule 1, including the details and purposes of each entity for the finance law. This </w:t>
      </w:r>
      <w:r w:rsidR="00E94453">
        <w:rPr>
          <w:sz w:val="24"/>
          <w:szCs w:val="24"/>
        </w:rPr>
        <w:t>determines each entity’s</w:t>
      </w:r>
      <w:r w:rsidRPr="00267527">
        <w:rPr>
          <w:sz w:val="24"/>
          <w:szCs w:val="24"/>
        </w:rPr>
        <w:t xml:space="preserve"> status within the Commonwealth Resource Management Framework and is integral to entities receiving appropriations from the Commonwealth to implement government policy. Without a clause in Schedule 1, these entities would not have legal status to commit relevant money.</w:t>
      </w:r>
    </w:p>
    <w:p w14:paraId="2D72B22A" w14:textId="5A9AA01D" w:rsidR="00E22015" w:rsidRPr="00267527" w:rsidRDefault="00E22015" w:rsidP="00210C75">
      <w:pPr>
        <w:pStyle w:val="Basetext"/>
        <w:numPr>
          <w:ilvl w:val="0"/>
          <w:numId w:val="6"/>
        </w:numPr>
        <w:spacing w:before="240" w:after="200"/>
        <w:rPr>
          <w:sz w:val="24"/>
          <w:szCs w:val="24"/>
        </w:rPr>
      </w:pPr>
      <w:r w:rsidRPr="00267527">
        <w:rPr>
          <w:sz w:val="24"/>
          <w:szCs w:val="24"/>
        </w:rPr>
        <w:t>Establishes the Commonwealth’s performance reporting framework through 25</w:t>
      </w:r>
      <w:r w:rsidR="00B73158">
        <w:rPr>
          <w:sz w:val="24"/>
          <w:szCs w:val="24"/>
        </w:rPr>
        <w:t> </w:t>
      </w:r>
      <w:r w:rsidRPr="00267527">
        <w:rPr>
          <w:sz w:val="24"/>
          <w:szCs w:val="24"/>
        </w:rPr>
        <w:t xml:space="preserve">sections and </w:t>
      </w:r>
      <w:r w:rsidR="006F1644">
        <w:rPr>
          <w:sz w:val="24"/>
          <w:szCs w:val="24"/>
        </w:rPr>
        <w:t>4</w:t>
      </w:r>
      <w:r w:rsidR="006F1644" w:rsidRPr="00267527">
        <w:rPr>
          <w:sz w:val="24"/>
          <w:szCs w:val="24"/>
        </w:rPr>
        <w:t xml:space="preserve"> </w:t>
      </w:r>
      <w:r w:rsidRPr="00267527">
        <w:rPr>
          <w:sz w:val="24"/>
          <w:szCs w:val="24"/>
        </w:rPr>
        <w:t xml:space="preserve">schedules which prescribe key requirements for annual reports, </w:t>
      </w:r>
      <w:r w:rsidRPr="00267527">
        <w:rPr>
          <w:sz w:val="24"/>
          <w:szCs w:val="24"/>
        </w:rPr>
        <w:lastRenderedPageBreak/>
        <w:t>corporate plans and annual performance statements providi</w:t>
      </w:r>
      <w:bookmarkStart w:id="0" w:name="_GoBack"/>
      <w:bookmarkEnd w:id="0"/>
      <w:r w:rsidRPr="00267527">
        <w:rPr>
          <w:sz w:val="24"/>
          <w:szCs w:val="24"/>
        </w:rPr>
        <w:t>ng transparency and accountability to the Parliament and public.</w:t>
      </w:r>
    </w:p>
    <w:p w14:paraId="2429C6B5" w14:textId="0A8A6198" w:rsidR="00E22015" w:rsidRPr="00267527" w:rsidRDefault="00E22015" w:rsidP="00210C75">
      <w:pPr>
        <w:pStyle w:val="Basetext"/>
        <w:numPr>
          <w:ilvl w:val="0"/>
          <w:numId w:val="6"/>
        </w:numPr>
        <w:spacing w:before="240" w:after="200"/>
        <w:rPr>
          <w:sz w:val="24"/>
          <w:szCs w:val="24"/>
        </w:rPr>
      </w:pPr>
      <w:r w:rsidRPr="00267527">
        <w:rPr>
          <w:sz w:val="24"/>
          <w:szCs w:val="24"/>
        </w:rPr>
        <w:t xml:space="preserve">Supports </w:t>
      </w:r>
      <w:r w:rsidR="00E13884">
        <w:rPr>
          <w:sz w:val="24"/>
          <w:szCs w:val="24"/>
        </w:rPr>
        <w:t>the effective delivery of Government programs and services by</w:t>
      </w:r>
      <w:r w:rsidRPr="00267527">
        <w:rPr>
          <w:sz w:val="24"/>
          <w:szCs w:val="24"/>
        </w:rPr>
        <w:t xml:space="preserve"> prescribing the minimum standard for the management of risk</w:t>
      </w:r>
      <w:r w:rsidR="003C51B1" w:rsidRPr="00267527">
        <w:rPr>
          <w:sz w:val="24"/>
          <w:szCs w:val="24"/>
        </w:rPr>
        <w:t>.</w:t>
      </w:r>
    </w:p>
    <w:p w14:paraId="71B8D23C" w14:textId="463FB381" w:rsidR="00E22015" w:rsidRPr="00267527" w:rsidRDefault="00E22015" w:rsidP="00E13884">
      <w:pPr>
        <w:pStyle w:val="Basetext"/>
        <w:numPr>
          <w:ilvl w:val="0"/>
          <w:numId w:val="6"/>
        </w:numPr>
        <w:spacing w:before="240" w:after="200"/>
        <w:rPr>
          <w:sz w:val="24"/>
          <w:szCs w:val="24"/>
        </w:rPr>
      </w:pPr>
      <w:r w:rsidRPr="00267527">
        <w:rPr>
          <w:sz w:val="24"/>
          <w:szCs w:val="24"/>
        </w:rPr>
        <w:t xml:space="preserve">Supports </w:t>
      </w:r>
      <w:r w:rsidR="003C51B1" w:rsidRPr="00267527">
        <w:rPr>
          <w:sz w:val="24"/>
          <w:szCs w:val="24"/>
        </w:rPr>
        <w:t xml:space="preserve">the </w:t>
      </w:r>
      <w:r w:rsidRPr="00267527">
        <w:rPr>
          <w:sz w:val="24"/>
          <w:szCs w:val="24"/>
        </w:rPr>
        <w:t xml:space="preserve">Government’s key commitment </w:t>
      </w:r>
      <w:r w:rsidR="00E13884">
        <w:rPr>
          <w:sz w:val="24"/>
          <w:szCs w:val="24"/>
        </w:rPr>
        <w:t>to maintaining integrity by setting a minimum standard for countering fraud and corruption and maintains integrity in the</w:t>
      </w:r>
      <w:r w:rsidRPr="00267527">
        <w:rPr>
          <w:sz w:val="24"/>
          <w:szCs w:val="24"/>
        </w:rPr>
        <w:t xml:space="preserve"> Commonwealth Fraud</w:t>
      </w:r>
      <w:r w:rsidR="00E13884">
        <w:rPr>
          <w:sz w:val="24"/>
          <w:szCs w:val="24"/>
        </w:rPr>
        <w:t xml:space="preserve"> and Corruption Control</w:t>
      </w:r>
      <w:r w:rsidRPr="00267527">
        <w:rPr>
          <w:sz w:val="24"/>
          <w:szCs w:val="24"/>
        </w:rPr>
        <w:t xml:space="preserve"> Framework</w:t>
      </w:r>
      <w:r w:rsidR="00A66344" w:rsidRPr="00267527">
        <w:rPr>
          <w:sz w:val="24"/>
          <w:szCs w:val="24"/>
        </w:rPr>
        <w:t>.</w:t>
      </w:r>
    </w:p>
    <w:p w14:paraId="5A6648BF" w14:textId="38165A29" w:rsidR="00E22015" w:rsidRPr="00E13884" w:rsidRDefault="00E13884" w:rsidP="00E13884">
      <w:pPr>
        <w:pStyle w:val="ListParagraph"/>
        <w:numPr>
          <w:ilvl w:val="0"/>
          <w:numId w:val="6"/>
        </w:numPr>
        <w:rPr>
          <w:rFonts w:ascii="Times New Roman" w:eastAsia="Times New Roman" w:hAnsi="Times New Roman" w:cs="Times New Roman"/>
          <w:snapToGrid w:val="0"/>
          <w:sz w:val="24"/>
          <w:szCs w:val="24"/>
        </w:rPr>
      </w:pPr>
      <w:r w:rsidRPr="00E13884">
        <w:rPr>
          <w:rFonts w:ascii="Times New Roman" w:hAnsi="Times New Roman" w:cs="Times New Roman"/>
          <w:sz w:val="24"/>
          <w:szCs w:val="24"/>
        </w:rPr>
        <w:t>Pre</w:t>
      </w:r>
      <w:r w:rsidRPr="00E13884">
        <w:rPr>
          <w:rFonts w:ascii="Times New Roman" w:hAnsi="Times New Roman" w:cs="Times New Roman"/>
        </w:rPr>
        <w:t>s</w:t>
      </w:r>
      <w:r w:rsidRPr="00E13884">
        <w:rPr>
          <w:rFonts w:ascii="Times New Roman" w:eastAsia="Times New Roman" w:hAnsi="Times New Roman" w:cs="Times New Roman"/>
          <w:snapToGrid w:val="0"/>
          <w:sz w:val="24"/>
          <w:szCs w:val="24"/>
        </w:rPr>
        <w:t>cribes the corporate Commonwealth entities</w:t>
      </w:r>
      <w:r>
        <w:rPr>
          <w:rFonts w:ascii="Times New Roman" w:eastAsia="Times New Roman" w:hAnsi="Times New Roman" w:cs="Times New Roman"/>
          <w:snapToGrid w:val="0"/>
          <w:sz w:val="24"/>
          <w:szCs w:val="24"/>
        </w:rPr>
        <w:t xml:space="preserve"> (CCEs)</w:t>
      </w:r>
      <w:r w:rsidRPr="00E13884">
        <w:rPr>
          <w:rFonts w:ascii="Times New Roman" w:eastAsia="Times New Roman" w:hAnsi="Times New Roman" w:cs="Times New Roman"/>
          <w:snapToGrid w:val="0"/>
          <w:sz w:val="24"/>
          <w:szCs w:val="24"/>
        </w:rPr>
        <w:t xml:space="preserve"> that are subject to the Commonwealth Procurement Rules, or any written instrument created by the Finance Minister concerning procurement that affects those </w:t>
      </w:r>
      <w:r>
        <w:rPr>
          <w:rFonts w:ascii="Times New Roman" w:eastAsia="Times New Roman" w:hAnsi="Times New Roman" w:cs="Times New Roman"/>
          <w:snapToGrid w:val="0"/>
          <w:sz w:val="24"/>
          <w:szCs w:val="24"/>
        </w:rPr>
        <w:t>CCEs</w:t>
      </w:r>
      <w:r w:rsidRPr="00E13884">
        <w:rPr>
          <w:rFonts w:ascii="Times New Roman" w:eastAsia="Times New Roman" w:hAnsi="Times New Roman" w:cs="Times New Roman"/>
          <w:snapToGrid w:val="0"/>
          <w:sz w:val="24"/>
          <w:szCs w:val="24"/>
        </w:rPr>
        <w:t>, and outlines certain requirements in relation to CCE grants, providing parliamentary oversight of the procurement and grants arrangements of CCEs which operate at arm’s length to government to ensure and account for the proper use and management of public resources.</w:t>
      </w:r>
    </w:p>
    <w:p w14:paraId="555B01AA" w14:textId="6FA0C67A" w:rsidR="00E22015" w:rsidRPr="00267527" w:rsidRDefault="00E22015" w:rsidP="00210C75">
      <w:pPr>
        <w:pStyle w:val="Basetext"/>
        <w:numPr>
          <w:ilvl w:val="0"/>
          <w:numId w:val="6"/>
        </w:numPr>
        <w:spacing w:before="240" w:after="200"/>
        <w:rPr>
          <w:sz w:val="24"/>
          <w:szCs w:val="24"/>
        </w:rPr>
      </w:pPr>
      <w:r w:rsidRPr="00267527">
        <w:rPr>
          <w:sz w:val="24"/>
          <w:szCs w:val="24"/>
        </w:rPr>
        <w:t>Ensures the continual operation of the ordinary business of government, for example being able to issue indemnities</w:t>
      </w:r>
      <w:r w:rsidR="000205D0">
        <w:rPr>
          <w:sz w:val="24"/>
          <w:szCs w:val="24"/>
        </w:rPr>
        <w:t xml:space="preserve">, </w:t>
      </w:r>
      <w:r w:rsidR="000205D0" w:rsidRPr="00267527">
        <w:rPr>
          <w:sz w:val="24"/>
          <w:szCs w:val="24"/>
        </w:rPr>
        <w:t>bank</w:t>
      </w:r>
      <w:r w:rsidR="000205D0">
        <w:rPr>
          <w:sz w:val="24"/>
          <w:szCs w:val="24"/>
        </w:rPr>
        <w:t xml:space="preserve"> and</w:t>
      </w:r>
      <w:r w:rsidR="000205D0" w:rsidRPr="00267527">
        <w:rPr>
          <w:sz w:val="24"/>
          <w:szCs w:val="24"/>
        </w:rPr>
        <w:t xml:space="preserve"> borrow</w:t>
      </w:r>
      <w:r w:rsidRPr="00267527">
        <w:rPr>
          <w:sz w:val="24"/>
          <w:szCs w:val="24"/>
        </w:rPr>
        <w:t>.</w:t>
      </w:r>
    </w:p>
    <w:p w14:paraId="2A11BC82" w14:textId="0EA3C843" w:rsidR="00A66344" w:rsidRPr="00267527" w:rsidRDefault="00C303D4" w:rsidP="00210C75">
      <w:pPr>
        <w:pStyle w:val="Basetext"/>
        <w:spacing w:before="240" w:after="200"/>
        <w:rPr>
          <w:sz w:val="24"/>
          <w:szCs w:val="24"/>
        </w:rPr>
      </w:pPr>
      <w:r w:rsidRPr="00267527">
        <w:rPr>
          <w:sz w:val="24"/>
          <w:szCs w:val="24"/>
        </w:rPr>
        <w:t>Given the complex range of policy requirements, interconnected frameworks, and governance structures established in the current instrument</w:t>
      </w:r>
      <w:r w:rsidR="006F1644">
        <w:rPr>
          <w:sz w:val="24"/>
          <w:szCs w:val="24"/>
        </w:rPr>
        <w:t xml:space="preserve">, </w:t>
      </w:r>
      <w:r w:rsidR="000205D0">
        <w:rPr>
          <w:sz w:val="24"/>
          <w:szCs w:val="24"/>
        </w:rPr>
        <w:t xml:space="preserve">a policy-based </w:t>
      </w:r>
      <w:r w:rsidR="006F1644">
        <w:rPr>
          <w:sz w:val="24"/>
          <w:szCs w:val="24"/>
        </w:rPr>
        <w:t>review</w:t>
      </w:r>
      <w:r w:rsidR="000205D0">
        <w:rPr>
          <w:sz w:val="24"/>
          <w:szCs w:val="24"/>
        </w:rPr>
        <w:t>, in addition to the regular amendments,</w:t>
      </w:r>
      <w:r w:rsidR="006F1644">
        <w:rPr>
          <w:sz w:val="24"/>
          <w:szCs w:val="24"/>
        </w:rPr>
        <w:t xml:space="preserve"> of the instrument as a whole would place an unreasonable burden on affected entities. C</w:t>
      </w:r>
      <w:r w:rsidRPr="00267527">
        <w:rPr>
          <w:sz w:val="24"/>
          <w:szCs w:val="24"/>
        </w:rPr>
        <w:t xml:space="preserve">onsultation, development and implementation of any amendments to the PGPA Rule are </w:t>
      </w:r>
      <w:r w:rsidR="006F1644">
        <w:rPr>
          <w:sz w:val="24"/>
          <w:szCs w:val="24"/>
        </w:rPr>
        <w:t xml:space="preserve">therefore </w:t>
      </w:r>
      <w:r w:rsidRPr="00267527">
        <w:rPr>
          <w:sz w:val="24"/>
          <w:szCs w:val="24"/>
        </w:rPr>
        <w:t xml:space="preserve">made in increments in order to reduce the burden placed on entities to respond to and update processes to align with new requirements. </w:t>
      </w:r>
    </w:p>
    <w:p w14:paraId="0009CB22" w14:textId="07F794D1" w:rsidR="00A40F64" w:rsidRPr="00267527" w:rsidRDefault="00A40F64" w:rsidP="00210C75">
      <w:pPr>
        <w:pStyle w:val="Basetext"/>
        <w:spacing w:before="240" w:after="200"/>
        <w:rPr>
          <w:sz w:val="24"/>
          <w:szCs w:val="24"/>
          <w:u w:val="single"/>
        </w:rPr>
      </w:pPr>
      <w:r w:rsidRPr="00267527">
        <w:rPr>
          <w:sz w:val="24"/>
          <w:szCs w:val="24"/>
          <w:u w:val="single"/>
        </w:rPr>
        <w:t>Subject to regular review</w:t>
      </w:r>
    </w:p>
    <w:p w14:paraId="0390A4B6" w14:textId="772C6D05" w:rsidR="00A74186" w:rsidRPr="00267527" w:rsidRDefault="00A74186" w:rsidP="00210C75">
      <w:pPr>
        <w:pStyle w:val="Basetext"/>
        <w:spacing w:before="240" w:after="200"/>
        <w:rPr>
          <w:sz w:val="24"/>
          <w:szCs w:val="24"/>
        </w:rPr>
      </w:pPr>
      <w:r w:rsidRPr="00267527">
        <w:rPr>
          <w:sz w:val="24"/>
          <w:szCs w:val="24"/>
        </w:rPr>
        <w:t xml:space="preserve">Since commencing, the PGPA Rule has been and continues to be subject to regular review to ensure it remains responsive to the expectations of the Parliament and </w:t>
      </w:r>
      <w:r w:rsidR="000205D0">
        <w:rPr>
          <w:sz w:val="24"/>
          <w:szCs w:val="24"/>
        </w:rPr>
        <w:t>supports a modern, adaptable and forward-looking public sector.</w:t>
      </w:r>
    </w:p>
    <w:p w14:paraId="0AA8E5F8" w14:textId="2B935ECE" w:rsidR="0087443D" w:rsidRDefault="0087443D" w:rsidP="00210C75">
      <w:pPr>
        <w:pStyle w:val="Basetext"/>
        <w:spacing w:before="240"/>
        <w:rPr>
          <w:rFonts w:eastAsia="Calibri"/>
          <w:sz w:val="24"/>
          <w:szCs w:val="24"/>
          <w:lang w:eastAsia="en-AU"/>
        </w:rPr>
      </w:pPr>
      <w:r>
        <w:rPr>
          <w:sz w:val="24"/>
          <w:szCs w:val="24"/>
        </w:rPr>
        <w:t>Since</w:t>
      </w:r>
      <w:r w:rsidRPr="00267527">
        <w:rPr>
          <w:sz w:val="24"/>
          <w:szCs w:val="24"/>
        </w:rPr>
        <w:t xml:space="preserve"> 2015, an annual survey has been conducted inviting all PGPA Act Commonwealth entities and companies to provide feedback on issues they may have encountered in applying the Commonwealth Resource Management Framework and to certify that the principles-based framework remains fit-for-purpose. The annual survey asks Chief Financial Officers and other officials to assess the fitness-for-purpose of the Commonwealth Resource Management Framework and the requirements and obligations imposed on them through the PGPA Rule. Results of the survey in recent years have found that perceptions of the Commonwealth Resource Management Framework and its functionality are positive. High participation rates ensure that the annual survey is a reliable tool to continually review the operation of the PGPA Rule in assuring that it reflects the changing operational environment and context for Commonwealth entities and companies. T</w:t>
      </w:r>
      <w:r w:rsidRPr="00267527">
        <w:rPr>
          <w:rFonts w:eastAsia="Calibri"/>
          <w:sz w:val="24"/>
          <w:szCs w:val="24"/>
          <w:lang w:eastAsia="en-AU"/>
        </w:rPr>
        <w:t xml:space="preserve">he Department of Finance also </w:t>
      </w:r>
      <w:r w:rsidRPr="00267527">
        <w:rPr>
          <w:rFonts w:eastAsia="Calibri"/>
          <w:sz w:val="24"/>
          <w:szCs w:val="24"/>
          <w:lang w:eastAsia="en-AU"/>
        </w:rPr>
        <w:lastRenderedPageBreak/>
        <w:t>conducts ongoing consultation through communication fora such as Communities of Practice</w:t>
      </w:r>
      <w:r w:rsidR="000205D0">
        <w:rPr>
          <w:rFonts w:eastAsia="Calibri"/>
          <w:sz w:val="24"/>
          <w:szCs w:val="24"/>
          <w:lang w:eastAsia="en-AU"/>
        </w:rPr>
        <w:t>, open to</w:t>
      </w:r>
      <w:r w:rsidRPr="00267527">
        <w:rPr>
          <w:rFonts w:eastAsia="Calibri"/>
          <w:sz w:val="24"/>
          <w:szCs w:val="24"/>
          <w:lang w:eastAsia="en-AU"/>
        </w:rPr>
        <w:t xml:space="preserve"> all Commonwealth entities and companies to identify areas of concern in the PGPA Rule.</w:t>
      </w:r>
    </w:p>
    <w:p w14:paraId="6B6694D5" w14:textId="191A6C70" w:rsidR="00A40F64" w:rsidRPr="00267527" w:rsidRDefault="0087443D" w:rsidP="00210C75">
      <w:pPr>
        <w:pStyle w:val="Basetext"/>
        <w:spacing w:before="240"/>
        <w:rPr>
          <w:sz w:val="24"/>
          <w:szCs w:val="24"/>
        </w:rPr>
      </w:pPr>
      <w:r>
        <w:rPr>
          <w:sz w:val="24"/>
          <w:szCs w:val="24"/>
        </w:rPr>
        <w:t xml:space="preserve">Further, </w:t>
      </w:r>
      <w:r w:rsidR="000205D0">
        <w:rPr>
          <w:sz w:val="24"/>
          <w:szCs w:val="24"/>
        </w:rPr>
        <w:t>s</w:t>
      </w:r>
      <w:r w:rsidR="00C303D4" w:rsidRPr="00267527">
        <w:rPr>
          <w:sz w:val="24"/>
          <w:szCs w:val="24"/>
        </w:rPr>
        <w:t>ection 112</w:t>
      </w:r>
      <w:r w:rsidR="000205D0">
        <w:rPr>
          <w:sz w:val="24"/>
          <w:szCs w:val="24"/>
        </w:rPr>
        <w:t xml:space="preserve"> of the PGPA Act </w:t>
      </w:r>
      <w:r w:rsidR="00A85371">
        <w:rPr>
          <w:sz w:val="24"/>
          <w:szCs w:val="24"/>
        </w:rPr>
        <w:t>require</w:t>
      </w:r>
      <w:r w:rsidR="000205D0">
        <w:rPr>
          <w:sz w:val="24"/>
          <w:szCs w:val="24"/>
        </w:rPr>
        <w:t>d</w:t>
      </w:r>
      <w:r w:rsidR="00A85371">
        <w:rPr>
          <w:sz w:val="24"/>
          <w:szCs w:val="24"/>
        </w:rPr>
        <w:t xml:space="preserve"> </w:t>
      </w:r>
      <w:r w:rsidR="00C303D4" w:rsidRPr="00267527">
        <w:rPr>
          <w:sz w:val="24"/>
          <w:szCs w:val="24"/>
        </w:rPr>
        <w:t xml:space="preserve">the Finance Minister </w:t>
      </w:r>
      <w:r>
        <w:rPr>
          <w:sz w:val="24"/>
          <w:szCs w:val="24"/>
        </w:rPr>
        <w:t>to</w:t>
      </w:r>
      <w:r w:rsidR="00C303D4" w:rsidRPr="00267527">
        <w:rPr>
          <w:sz w:val="24"/>
          <w:szCs w:val="24"/>
        </w:rPr>
        <w:t xml:space="preserve">, in consultation with the Joint Committee of Public Accounts and Audit, cause an independent review to be conducted </w:t>
      </w:r>
      <w:r w:rsidR="000205D0">
        <w:rPr>
          <w:sz w:val="24"/>
          <w:szCs w:val="24"/>
        </w:rPr>
        <w:t>into</w:t>
      </w:r>
      <w:r w:rsidR="000205D0" w:rsidRPr="00267527">
        <w:rPr>
          <w:sz w:val="24"/>
          <w:szCs w:val="24"/>
        </w:rPr>
        <w:t xml:space="preserve"> </w:t>
      </w:r>
      <w:r w:rsidR="00C303D4" w:rsidRPr="00267527">
        <w:rPr>
          <w:sz w:val="24"/>
          <w:szCs w:val="24"/>
        </w:rPr>
        <w:t>the operation of the PGPA Act and the rules</w:t>
      </w:r>
      <w:r>
        <w:rPr>
          <w:sz w:val="24"/>
          <w:szCs w:val="24"/>
        </w:rPr>
        <w:t xml:space="preserve"> as soon as practicable after three years of the Act commencing</w:t>
      </w:r>
      <w:r w:rsidR="00C303D4" w:rsidRPr="00267527">
        <w:rPr>
          <w:sz w:val="24"/>
          <w:szCs w:val="24"/>
        </w:rPr>
        <w:t xml:space="preserve">. The Independent Review into the </w:t>
      </w:r>
      <w:r w:rsidR="00B536B0">
        <w:rPr>
          <w:sz w:val="24"/>
          <w:szCs w:val="24"/>
        </w:rPr>
        <w:t>O</w:t>
      </w:r>
      <w:r w:rsidR="00C303D4" w:rsidRPr="00267527">
        <w:rPr>
          <w:sz w:val="24"/>
          <w:szCs w:val="24"/>
        </w:rPr>
        <w:t xml:space="preserve">peration of the PGPA Act and Rule (Independent Review) was tabled in the Parliament on 19 September 2018. </w:t>
      </w:r>
      <w:r w:rsidR="00A40F64" w:rsidRPr="00267527">
        <w:rPr>
          <w:sz w:val="24"/>
          <w:szCs w:val="24"/>
        </w:rPr>
        <w:t xml:space="preserve">The Review sought submissions and conducted broad consultation with </w:t>
      </w:r>
      <w:r w:rsidR="003208DA">
        <w:rPr>
          <w:sz w:val="24"/>
          <w:szCs w:val="24"/>
        </w:rPr>
        <w:t xml:space="preserve">relevant </w:t>
      </w:r>
      <w:r w:rsidR="00A40F64" w:rsidRPr="00267527">
        <w:rPr>
          <w:sz w:val="24"/>
          <w:szCs w:val="24"/>
        </w:rPr>
        <w:t>Commonwealth entities and companies.</w:t>
      </w:r>
    </w:p>
    <w:p w14:paraId="3A183B7B" w14:textId="79A1334A" w:rsidR="00954DF9" w:rsidRDefault="00A40F64" w:rsidP="00210C75">
      <w:pPr>
        <w:pStyle w:val="Basetext"/>
        <w:spacing w:before="240"/>
        <w:rPr>
          <w:sz w:val="24"/>
          <w:szCs w:val="24"/>
        </w:rPr>
      </w:pPr>
      <w:r w:rsidRPr="00267527">
        <w:rPr>
          <w:sz w:val="24"/>
          <w:szCs w:val="24"/>
        </w:rPr>
        <w:t>Four amending instruments implemented several recommendations from the Independent</w:t>
      </w:r>
      <w:r w:rsidR="00954DF9">
        <w:rPr>
          <w:sz w:val="24"/>
          <w:szCs w:val="24"/>
        </w:rPr>
        <w:t> </w:t>
      </w:r>
      <w:r w:rsidRPr="00267527">
        <w:rPr>
          <w:sz w:val="24"/>
          <w:szCs w:val="24"/>
        </w:rPr>
        <w:t>Review, relating to the</w:t>
      </w:r>
      <w:r w:rsidR="00954DF9">
        <w:rPr>
          <w:sz w:val="24"/>
          <w:szCs w:val="24"/>
        </w:rPr>
        <w:t>:</w:t>
      </w:r>
      <w:r w:rsidRPr="00267527">
        <w:rPr>
          <w:sz w:val="24"/>
          <w:szCs w:val="24"/>
        </w:rPr>
        <w:t xml:space="preserve"> </w:t>
      </w:r>
    </w:p>
    <w:p w14:paraId="23A8FAF1" w14:textId="38398F7A" w:rsidR="00954DF9" w:rsidRDefault="00A40F64" w:rsidP="00210C75">
      <w:pPr>
        <w:pStyle w:val="Basetext"/>
        <w:numPr>
          <w:ilvl w:val="0"/>
          <w:numId w:val="11"/>
        </w:numPr>
        <w:spacing w:before="240"/>
        <w:rPr>
          <w:sz w:val="24"/>
          <w:szCs w:val="24"/>
        </w:rPr>
      </w:pPr>
      <w:r w:rsidRPr="00267527">
        <w:rPr>
          <w:sz w:val="24"/>
          <w:szCs w:val="24"/>
        </w:rPr>
        <w:t>disclosure of material personal interests</w:t>
      </w:r>
    </w:p>
    <w:p w14:paraId="77428E1E" w14:textId="13420AAC" w:rsidR="00954DF9" w:rsidRDefault="00A40F64" w:rsidP="00210C75">
      <w:pPr>
        <w:pStyle w:val="Basetext"/>
        <w:numPr>
          <w:ilvl w:val="0"/>
          <w:numId w:val="11"/>
        </w:numPr>
        <w:spacing w:before="240"/>
        <w:rPr>
          <w:sz w:val="24"/>
          <w:szCs w:val="24"/>
        </w:rPr>
      </w:pPr>
      <w:r w:rsidRPr="00267527">
        <w:rPr>
          <w:sz w:val="24"/>
          <w:szCs w:val="24"/>
        </w:rPr>
        <w:t>executive remuneration reporting</w:t>
      </w:r>
    </w:p>
    <w:p w14:paraId="4F351B35" w14:textId="67A029AB" w:rsidR="00954DF9" w:rsidRDefault="00A40F64" w:rsidP="00210C75">
      <w:pPr>
        <w:pStyle w:val="Basetext"/>
        <w:numPr>
          <w:ilvl w:val="0"/>
          <w:numId w:val="11"/>
        </w:numPr>
        <w:spacing w:before="240"/>
        <w:rPr>
          <w:sz w:val="24"/>
          <w:szCs w:val="24"/>
        </w:rPr>
      </w:pPr>
      <w:r w:rsidRPr="00267527">
        <w:rPr>
          <w:sz w:val="24"/>
          <w:szCs w:val="24"/>
        </w:rPr>
        <w:t>minimum standards of performance reporting</w:t>
      </w:r>
    </w:p>
    <w:p w14:paraId="2BF08F29" w14:textId="066B8660" w:rsidR="00954DF9" w:rsidRDefault="00A40F64" w:rsidP="00210C75">
      <w:pPr>
        <w:pStyle w:val="Basetext"/>
        <w:numPr>
          <w:ilvl w:val="0"/>
          <w:numId w:val="11"/>
        </w:numPr>
        <w:spacing w:before="240"/>
        <w:rPr>
          <w:sz w:val="24"/>
          <w:szCs w:val="24"/>
        </w:rPr>
      </w:pPr>
      <w:r w:rsidRPr="00267527">
        <w:rPr>
          <w:sz w:val="24"/>
          <w:szCs w:val="24"/>
        </w:rPr>
        <w:t>strengthening of audit committee independence</w:t>
      </w:r>
    </w:p>
    <w:p w14:paraId="40980A20" w14:textId="660ED103" w:rsidR="00954DF9" w:rsidRDefault="00A40F64" w:rsidP="00210C75">
      <w:pPr>
        <w:pStyle w:val="Basetext"/>
        <w:numPr>
          <w:ilvl w:val="0"/>
          <w:numId w:val="11"/>
        </w:numPr>
        <w:spacing w:before="240"/>
        <w:rPr>
          <w:sz w:val="24"/>
          <w:szCs w:val="24"/>
        </w:rPr>
      </w:pPr>
      <w:r w:rsidRPr="00267527">
        <w:rPr>
          <w:sz w:val="24"/>
          <w:szCs w:val="24"/>
        </w:rPr>
        <w:t>transparency of audit committee reporting</w:t>
      </w:r>
      <w:r w:rsidR="00954DF9">
        <w:rPr>
          <w:sz w:val="24"/>
          <w:szCs w:val="24"/>
        </w:rPr>
        <w:t>, and</w:t>
      </w:r>
    </w:p>
    <w:p w14:paraId="5D88F57A" w14:textId="77777777" w:rsidR="00954DF9" w:rsidRDefault="00A40F64" w:rsidP="00210C75">
      <w:pPr>
        <w:pStyle w:val="Basetext"/>
        <w:numPr>
          <w:ilvl w:val="0"/>
          <w:numId w:val="11"/>
        </w:numPr>
        <w:spacing w:before="240"/>
        <w:rPr>
          <w:sz w:val="24"/>
          <w:szCs w:val="24"/>
        </w:rPr>
      </w:pPr>
      <w:r w:rsidRPr="00267527">
        <w:rPr>
          <w:sz w:val="24"/>
          <w:szCs w:val="24"/>
        </w:rPr>
        <w:t xml:space="preserve">improvements to corporate plan reporting and disclosure requirements for expenditure on consultancy and non-consultancy contracts. </w:t>
      </w:r>
    </w:p>
    <w:p w14:paraId="25878177" w14:textId="6318CB85" w:rsidR="00CF1D1C" w:rsidRPr="00267527" w:rsidRDefault="00CF1D1C" w:rsidP="00210C75">
      <w:pPr>
        <w:pStyle w:val="Basetext"/>
        <w:spacing w:before="240" w:after="200"/>
        <w:rPr>
          <w:sz w:val="24"/>
          <w:szCs w:val="24"/>
          <w:u w:val="single"/>
        </w:rPr>
      </w:pPr>
      <w:r>
        <w:rPr>
          <w:sz w:val="24"/>
          <w:szCs w:val="24"/>
        </w:rPr>
        <w:t>Further,</w:t>
      </w:r>
      <w:r w:rsidRPr="00267527">
        <w:rPr>
          <w:sz w:val="24"/>
          <w:szCs w:val="24"/>
        </w:rPr>
        <w:t xml:space="preserve"> progressive amendments suited to the operational context continually maintain the health of the PGPA Rule. Regular feedback on the requirements of the PGPA Rule note that while they provide a necessary rigid governance framework, complying with the existing requirements are burdensome </w:t>
      </w:r>
      <w:r w:rsidR="003208DA">
        <w:rPr>
          <w:sz w:val="24"/>
          <w:szCs w:val="24"/>
        </w:rPr>
        <w:t>—</w:t>
      </w:r>
      <w:r w:rsidRPr="00267527">
        <w:rPr>
          <w:sz w:val="24"/>
          <w:szCs w:val="24"/>
        </w:rPr>
        <w:t xml:space="preserve"> especially for smaller, resource poor entities and companies. Assurance that the operation and requirements prescribed by the PGPA Rule remain beyond ten years would provide certainty to entities and companies that the principles-based regime will continue without adding to the administrative burden and considerable demand on resources caused by remaking the PGPA Rule every 10 years</w:t>
      </w:r>
      <w:r>
        <w:rPr>
          <w:sz w:val="24"/>
          <w:szCs w:val="24"/>
        </w:rPr>
        <w:t>, and maintain consistency by reviewing the PGPA Act and PGPA Rule concurrently.</w:t>
      </w:r>
      <w:r w:rsidRPr="00267527" w:rsidDel="0087443D">
        <w:rPr>
          <w:sz w:val="24"/>
          <w:szCs w:val="24"/>
        </w:rPr>
        <w:t xml:space="preserve"> </w:t>
      </w:r>
    </w:p>
    <w:p w14:paraId="7C41E856" w14:textId="15777290" w:rsidR="00A40F64" w:rsidRPr="00267527" w:rsidRDefault="00A40F64" w:rsidP="00210C75">
      <w:pPr>
        <w:pStyle w:val="Basetext"/>
        <w:spacing w:before="240"/>
        <w:rPr>
          <w:sz w:val="24"/>
          <w:szCs w:val="24"/>
        </w:rPr>
      </w:pPr>
      <w:r w:rsidRPr="00267527">
        <w:rPr>
          <w:sz w:val="24"/>
          <w:szCs w:val="24"/>
        </w:rPr>
        <w:t>Amendment</w:t>
      </w:r>
      <w:r w:rsidR="00CF1D1C">
        <w:rPr>
          <w:sz w:val="24"/>
          <w:szCs w:val="24"/>
        </w:rPr>
        <w:t xml:space="preserve">s to the PGPA Rule are </w:t>
      </w:r>
      <w:r w:rsidRPr="00267527">
        <w:rPr>
          <w:sz w:val="24"/>
          <w:szCs w:val="24"/>
        </w:rPr>
        <w:t xml:space="preserve">developed in consultation with all Commonwealth entities and companies and rules prescribing annual report requirements </w:t>
      </w:r>
      <w:r w:rsidR="00CF1D1C">
        <w:rPr>
          <w:sz w:val="24"/>
          <w:szCs w:val="24"/>
        </w:rPr>
        <w:t xml:space="preserve">are </w:t>
      </w:r>
      <w:r w:rsidRPr="00267527">
        <w:rPr>
          <w:sz w:val="24"/>
          <w:szCs w:val="24"/>
        </w:rPr>
        <w:t>approved by the JCPAA</w:t>
      </w:r>
      <w:r w:rsidR="00CF1D1C">
        <w:rPr>
          <w:sz w:val="24"/>
          <w:szCs w:val="24"/>
        </w:rPr>
        <w:t xml:space="preserve">, </w:t>
      </w:r>
      <w:r w:rsidRPr="00267527">
        <w:rPr>
          <w:sz w:val="24"/>
          <w:szCs w:val="24"/>
        </w:rPr>
        <w:t>as required by subsection 46(4) of the PGPA Act</w:t>
      </w:r>
      <w:r w:rsidR="00CF1D1C">
        <w:rPr>
          <w:sz w:val="24"/>
          <w:szCs w:val="24"/>
        </w:rPr>
        <w:t xml:space="preserve">, which </w:t>
      </w:r>
      <w:r w:rsidRPr="00267527">
        <w:rPr>
          <w:sz w:val="24"/>
          <w:szCs w:val="24"/>
        </w:rPr>
        <w:t>ensure</w:t>
      </w:r>
      <w:r w:rsidR="00CF1D1C">
        <w:rPr>
          <w:sz w:val="24"/>
          <w:szCs w:val="24"/>
        </w:rPr>
        <w:t>s</w:t>
      </w:r>
      <w:r w:rsidRPr="00267527">
        <w:rPr>
          <w:sz w:val="24"/>
          <w:szCs w:val="24"/>
        </w:rPr>
        <w:t xml:space="preserve"> transparency, accountability and oversight of the Parliament, to maintain the principles-based nature of the Commonwealth Resource Management Framework and ensure a fit-for-purpose approach to reporting obligations.</w:t>
      </w:r>
    </w:p>
    <w:p w14:paraId="7B6AA476" w14:textId="2E3ABE4A" w:rsidR="001C4BB6" w:rsidRPr="00267527" w:rsidRDefault="001C4BB6" w:rsidP="00265D74">
      <w:pPr>
        <w:pStyle w:val="Basetext"/>
        <w:keepNext/>
        <w:spacing w:before="240" w:after="200"/>
        <w:rPr>
          <w:sz w:val="24"/>
          <w:szCs w:val="24"/>
          <w:u w:val="single"/>
        </w:rPr>
      </w:pPr>
      <w:r w:rsidRPr="00267527">
        <w:rPr>
          <w:sz w:val="24"/>
          <w:szCs w:val="24"/>
          <w:u w:val="single"/>
        </w:rPr>
        <w:lastRenderedPageBreak/>
        <w:t>Subject to regular amendment</w:t>
      </w:r>
    </w:p>
    <w:p w14:paraId="018A2DC3" w14:textId="0415919A" w:rsidR="002D4F03" w:rsidRDefault="002D4F03" w:rsidP="00210C75">
      <w:pPr>
        <w:pStyle w:val="Basetext"/>
        <w:spacing w:before="240" w:after="200"/>
        <w:rPr>
          <w:sz w:val="24"/>
          <w:szCs w:val="24"/>
        </w:rPr>
      </w:pPr>
      <w:r>
        <w:rPr>
          <w:sz w:val="24"/>
          <w:szCs w:val="24"/>
        </w:rPr>
        <w:t>T</w:t>
      </w:r>
      <w:r w:rsidR="00C303D4" w:rsidRPr="00267527">
        <w:rPr>
          <w:sz w:val="24"/>
          <w:szCs w:val="24"/>
        </w:rPr>
        <w:t>he PGPA Rule has been amended 4</w:t>
      </w:r>
      <w:r w:rsidR="00A4365B">
        <w:rPr>
          <w:sz w:val="24"/>
          <w:szCs w:val="24"/>
        </w:rPr>
        <w:t>9</w:t>
      </w:r>
      <w:r w:rsidR="00C303D4" w:rsidRPr="00267527">
        <w:rPr>
          <w:sz w:val="24"/>
          <w:szCs w:val="24"/>
        </w:rPr>
        <w:t xml:space="preserve"> times</w:t>
      </w:r>
      <w:r>
        <w:rPr>
          <w:sz w:val="24"/>
          <w:szCs w:val="24"/>
        </w:rPr>
        <w:t xml:space="preserve"> since it was made in 2014</w:t>
      </w:r>
      <w:r w:rsidR="00A4365B">
        <w:rPr>
          <w:sz w:val="24"/>
          <w:szCs w:val="24"/>
        </w:rPr>
        <w:t xml:space="preserve"> (as at 23 May 2023)</w:t>
      </w:r>
      <w:r w:rsidR="00C303D4" w:rsidRPr="00267527">
        <w:rPr>
          <w:sz w:val="24"/>
          <w:szCs w:val="24"/>
        </w:rPr>
        <w:t>, giving effect to the principles-based framework established by the PGPA Act and ensuring that it supports government policies and priorities.</w:t>
      </w:r>
      <w:r w:rsidR="001C4BB6" w:rsidRPr="00267527">
        <w:rPr>
          <w:sz w:val="24"/>
          <w:szCs w:val="24"/>
        </w:rPr>
        <w:t xml:space="preserve"> </w:t>
      </w:r>
      <w:r>
        <w:rPr>
          <w:sz w:val="24"/>
          <w:szCs w:val="24"/>
        </w:rPr>
        <w:t>Key amendments have included:</w:t>
      </w:r>
    </w:p>
    <w:p w14:paraId="4B8018AA" w14:textId="4A7F6AD4" w:rsidR="002D4F03" w:rsidRDefault="001C4BB6" w:rsidP="00210C75">
      <w:pPr>
        <w:pStyle w:val="Basetext"/>
        <w:numPr>
          <w:ilvl w:val="0"/>
          <w:numId w:val="12"/>
        </w:numPr>
        <w:spacing w:before="240" w:after="200"/>
        <w:rPr>
          <w:sz w:val="24"/>
          <w:szCs w:val="24"/>
        </w:rPr>
      </w:pPr>
      <w:r w:rsidRPr="00267527">
        <w:rPr>
          <w:sz w:val="24"/>
          <w:szCs w:val="24"/>
        </w:rPr>
        <w:t>2</w:t>
      </w:r>
      <w:r w:rsidR="00A4365B">
        <w:rPr>
          <w:sz w:val="24"/>
          <w:szCs w:val="24"/>
        </w:rPr>
        <w:t>8</w:t>
      </w:r>
      <w:r w:rsidRPr="00267527">
        <w:rPr>
          <w:sz w:val="24"/>
          <w:szCs w:val="24"/>
        </w:rPr>
        <w:t xml:space="preserve"> instruments amend</w:t>
      </w:r>
      <w:r w:rsidR="002D4F03">
        <w:rPr>
          <w:sz w:val="24"/>
          <w:szCs w:val="24"/>
        </w:rPr>
        <w:t>ing</w:t>
      </w:r>
      <w:r w:rsidRPr="00267527">
        <w:rPr>
          <w:sz w:val="24"/>
          <w:szCs w:val="24"/>
        </w:rPr>
        <w:t xml:space="preserve"> Schedule 1 of the PGPA Rule, giving effect to the prescription, abolishment or modifying of listed entities and impacting what bodies make up the Commonwealth</w:t>
      </w:r>
    </w:p>
    <w:p w14:paraId="47D07AB0" w14:textId="536B4D4D" w:rsidR="002D4F03" w:rsidRDefault="002D4F03" w:rsidP="00210C75">
      <w:pPr>
        <w:pStyle w:val="Basetext"/>
        <w:numPr>
          <w:ilvl w:val="0"/>
          <w:numId w:val="12"/>
        </w:numPr>
        <w:spacing w:before="240" w:after="200"/>
        <w:rPr>
          <w:sz w:val="24"/>
          <w:szCs w:val="24"/>
        </w:rPr>
      </w:pPr>
      <w:r>
        <w:rPr>
          <w:sz w:val="24"/>
          <w:szCs w:val="24"/>
        </w:rPr>
        <w:t xml:space="preserve">4 </w:t>
      </w:r>
      <w:r w:rsidR="001C4BB6" w:rsidRPr="00267527">
        <w:rPr>
          <w:sz w:val="24"/>
          <w:szCs w:val="24"/>
        </w:rPr>
        <w:t>instruments respond</w:t>
      </w:r>
      <w:r>
        <w:rPr>
          <w:sz w:val="24"/>
          <w:szCs w:val="24"/>
        </w:rPr>
        <w:t>ing</w:t>
      </w:r>
      <w:r w:rsidR="001C4BB6" w:rsidRPr="00267527">
        <w:rPr>
          <w:sz w:val="24"/>
          <w:szCs w:val="24"/>
        </w:rPr>
        <w:t xml:space="preserve"> to the Independent Review to reflect changing government priorities</w:t>
      </w:r>
      <w:r>
        <w:rPr>
          <w:sz w:val="24"/>
          <w:szCs w:val="24"/>
        </w:rPr>
        <w:t>, and</w:t>
      </w:r>
      <w:r w:rsidR="001C4BB6" w:rsidRPr="00267527">
        <w:rPr>
          <w:sz w:val="24"/>
          <w:szCs w:val="24"/>
        </w:rPr>
        <w:t xml:space="preserve"> </w:t>
      </w:r>
    </w:p>
    <w:p w14:paraId="526C292C" w14:textId="06362F61" w:rsidR="00C303D4" w:rsidRPr="00267527" w:rsidRDefault="001C4BB6" w:rsidP="00210C75">
      <w:pPr>
        <w:pStyle w:val="Basetext"/>
        <w:numPr>
          <w:ilvl w:val="0"/>
          <w:numId w:val="12"/>
        </w:numPr>
        <w:spacing w:before="240" w:after="200"/>
        <w:rPr>
          <w:sz w:val="24"/>
          <w:szCs w:val="24"/>
        </w:rPr>
      </w:pPr>
      <w:r w:rsidRPr="00267527">
        <w:rPr>
          <w:sz w:val="24"/>
          <w:szCs w:val="24"/>
        </w:rPr>
        <w:t xml:space="preserve">one </w:t>
      </w:r>
      <w:r w:rsidR="002D4F03">
        <w:rPr>
          <w:sz w:val="24"/>
          <w:szCs w:val="24"/>
        </w:rPr>
        <w:t xml:space="preserve">amendment to </w:t>
      </w:r>
      <w:r w:rsidRPr="00267527">
        <w:rPr>
          <w:sz w:val="24"/>
          <w:szCs w:val="24"/>
        </w:rPr>
        <w:t>support entities to fulfil their accountability and transparency responsibilities in the context of the COVID-19 pandemic.</w:t>
      </w:r>
    </w:p>
    <w:p w14:paraId="653F1931" w14:textId="492098F7" w:rsidR="001C4BB6" w:rsidRPr="00267527" w:rsidRDefault="001C4BB6" w:rsidP="00210C75">
      <w:pPr>
        <w:pStyle w:val="Basetext"/>
        <w:spacing w:before="240"/>
        <w:rPr>
          <w:sz w:val="24"/>
          <w:szCs w:val="24"/>
        </w:rPr>
      </w:pPr>
      <w:r w:rsidRPr="00267527">
        <w:rPr>
          <w:sz w:val="24"/>
          <w:szCs w:val="24"/>
        </w:rPr>
        <w:t xml:space="preserve">The operation of the PGPA Rule and amendments to the instrument are also subject to effective and regular </w:t>
      </w:r>
      <w:r w:rsidR="002D4F03">
        <w:rPr>
          <w:sz w:val="24"/>
          <w:szCs w:val="24"/>
        </w:rPr>
        <w:t>p</w:t>
      </w:r>
      <w:r w:rsidRPr="00267527">
        <w:rPr>
          <w:sz w:val="24"/>
          <w:szCs w:val="24"/>
        </w:rPr>
        <w:t>arliamentary oversight</w:t>
      </w:r>
      <w:r w:rsidR="003A3A78">
        <w:rPr>
          <w:sz w:val="24"/>
          <w:szCs w:val="24"/>
        </w:rPr>
        <w:t>. The instruments are subject to disallowance by Parliament and amendment</w:t>
      </w:r>
      <w:r w:rsidR="00A4365B">
        <w:rPr>
          <w:sz w:val="24"/>
          <w:szCs w:val="24"/>
        </w:rPr>
        <w:t>s</w:t>
      </w:r>
      <w:r w:rsidR="003A3A78">
        <w:rPr>
          <w:sz w:val="24"/>
          <w:szCs w:val="24"/>
        </w:rPr>
        <w:t xml:space="preserve"> to the PGPA Rule </w:t>
      </w:r>
      <w:r w:rsidR="00A4365B">
        <w:rPr>
          <w:sz w:val="24"/>
          <w:szCs w:val="24"/>
        </w:rPr>
        <w:t>are</w:t>
      </w:r>
      <w:r w:rsidR="003A3A78" w:rsidRPr="00267527">
        <w:rPr>
          <w:sz w:val="24"/>
          <w:szCs w:val="24"/>
        </w:rPr>
        <w:t xml:space="preserve"> subject to parliamentary scrutiny upon their introduction, via the Senate Standing Committee for the Scrutiny of Delegated Legislation</w:t>
      </w:r>
      <w:r w:rsidRPr="00267527">
        <w:rPr>
          <w:sz w:val="24"/>
          <w:szCs w:val="24"/>
        </w:rPr>
        <w:t xml:space="preserve">. As part of </w:t>
      </w:r>
      <w:r w:rsidR="002D4F03">
        <w:rPr>
          <w:sz w:val="24"/>
          <w:szCs w:val="24"/>
        </w:rPr>
        <w:t>its</w:t>
      </w:r>
      <w:r w:rsidR="002D4F03" w:rsidRPr="00267527">
        <w:rPr>
          <w:sz w:val="24"/>
          <w:szCs w:val="24"/>
        </w:rPr>
        <w:t xml:space="preserve"> </w:t>
      </w:r>
      <w:r w:rsidRPr="00267527">
        <w:rPr>
          <w:sz w:val="24"/>
          <w:szCs w:val="24"/>
        </w:rPr>
        <w:t>legislative duties and powers, the JCPAA generally reviews all rules under the PGPA Act</w:t>
      </w:r>
      <w:r w:rsidR="00A4365B">
        <w:rPr>
          <w:sz w:val="24"/>
          <w:szCs w:val="24"/>
        </w:rPr>
        <w:t xml:space="preserve"> and are required to approve all rules prescribing annual report requirements, as required by subsection 46(4) of the PGPA Act</w:t>
      </w:r>
      <w:r w:rsidRPr="00267527">
        <w:rPr>
          <w:sz w:val="24"/>
          <w:szCs w:val="24"/>
        </w:rPr>
        <w:t>. Furthermore, the JCPAA has an active general oversight role regarding the objectives as prescribed by section 5 of the PGPA Act.</w:t>
      </w:r>
    </w:p>
    <w:p w14:paraId="2A949392" w14:textId="457B981C" w:rsidR="003A3A78" w:rsidRPr="00267527" w:rsidRDefault="00A4365B" w:rsidP="00210C75">
      <w:pPr>
        <w:pStyle w:val="Basetext"/>
        <w:spacing w:before="240" w:after="200"/>
        <w:rPr>
          <w:sz w:val="24"/>
          <w:szCs w:val="24"/>
        </w:rPr>
      </w:pPr>
      <w:r>
        <w:rPr>
          <w:sz w:val="24"/>
          <w:szCs w:val="24"/>
        </w:rPr>
        <w:t>T</w:t>
      </w:r>
      <w:r w:rsidR="003A3A78">
        <w:rPr>
          <w:sz w:val="24"/>
          <w:szCs w:val="24"/>
        </w:rPr>
        <w:t>he PGPA Rule is subject to regular review and regular amendment, which reduces the benefit of subjecting the Rule to the sunsetting requirements. Frequent amendments and thematic reviews of the PGPA Act and its rules ensures the PGPA Rule remains fit-for-purpose</w:t>
      </w:r>
      <w:r w:rsidR="0020111F">
        <w:rPr>
          <w:sz w:val="24"/>
          <w:szCs w:val="24"/>
        </w:rPr>
        <w:t>,</w:t>
      </w:r>
      <w:r w:rsidR="003A3A78">
        <w:rPr>
          <w:sz w:val="24"/>
          <w:szCs w:val="24"/>
        </w:rPr>
        <w:t xml:space="preserve"> a</w:t>
      </w:r>
      <w:r w:rsidR="0020111F">
        <w:rPr>
          <w:sz w:val="24"/>
          <w:szCs w:val="24"/>
        </w:rPr>
        <w:t xml:space="preserve">s well as </w:t>
      </w:r>
      <w:r w:rsidR="003A3A78">
        <w:rPr>
          <w:sz w:val="24"/>
          <w:szCs w:val="24"/>
        </w:rPr>
        <w:t>clear for Commonwealth entities and companies subject to the PGPA Act to comply with.</w:t>
      </w:r>
    </w:p>
    <w:p w14:paraId="7F55AA3D" w14:textId="4366AB14" w:rsidR="00C303D4" w:rsidRPr="00267527" w:rsidRDefault="00C303D4" w:rsidP="00210C75">
      <w:pPr>
        <w:rPr>
          <w:rFonts w:ascii="Times New Roman" w:hAnsi="Times New Roman" w:cs="Times New Roman"/>
          <w:b/>
          <w:caps/>
          <w:sz w:val="24"/>
          <w:szCs w:val="24"/>
        </w:rPr>
      </w:pPr>
      <w:r w:rsidRPr="00267527">
        <w:rPr>
          <w:rFonts w:ascii="Times New Roman" w:hAnsi="Times New Roman" w:cs="Times New Roman"/>
          <w:b/>
          <w:caps/>
          <w:sz w:val="24"/>
          <w:szCs w:val="24"/>
        </w:rPr>
        <w:t>Consultation</w:t>
      </w:r>
    </w:p>
    <w:p w14:paraId="1470E70A" w14:textId="77777777" w:rsidR="00C303D4" w:rsidRPr="00267527" w:rsidRDefault="00C303D4" w:rsidP="00210C75">
      <w:pPr>
        <w:pStyle w:val="Basetext"/>
        <w:spacing w:before="240" w:after="200"/>
        <w:rPr>
          <w:rFonts w:eastAsia="Calibri"/>
          <w:sz w:val="24"/>
          <w:szCs w:val="24"/>
          <w:lang w:val="en-GB"/>
        </w:rPr>
      </w:pPr>
      <w:r w:rsidRPr="00267527">
        <w:rPr>
          <w:rFonts w:eastAsia="Calibri"/>
          <w:sz w:val="24"/>
          <w:szCs w:val="24"/>
          <w:lang w:val="en-GB"/>
        </w:rPr>
        <w:t>Before the Certificate was issued, the Attorney</w:t>
      </w:r>
      <w:r w:rsidRPr="00267527">
        <w:rPr>
          <w:rFonts w:eastAsia="Calibri"/>
          <w:sz w:val="24"/>
          <w:szCs w:val="24"/>
          <w:lang w:val="en-GB"/>
        </w:rPr>
        <w:noBreakHyphen/>
        <w:t xml:space="preserve">General considered the general obligation to consult imposed by section 17 of the Legislation Act. </w:t>
      </w:r>
    </w:p>
    <w:p w14:paraId="47C517D9" w14:textId="78504345" w:rsidR="00420A7A" w:rsidRPr="00267527" w:rsidRDefault="00420A7A" w:rsidP="00210C75">
      <w:pPr>
        <w:pStyle w:val="Basetext"/>
        <w:spacing w:before="240" w:after="200"/>
        <w:rPr>
          <w:rFonts w:eastAsia="Calibri"/>
          <w:sz w:val="24"/>
          <w:szCs w:val="24"/>
          <w:lang w:eastAsia="en-AU"/>
        </w:rPr>
      </w:pPr>
      <w:r w:rsidRPr="00267527">
        <w:rPr>
          <w:rFonts w:eastAsia="Calibri"/>
          <w:sz w:val="24"/>
          <w:szCs w:val="24"/>
          <w:lang w:eastAsia="en-AU"/>
        </w:rPr>
        <w:t xml:space="preserve">The Minister for Defence, </w:t>
      </w:r>
      <w:r w:rsidR="00AD15C9" w:rsidRPr="00267527">
        <w:rPr>
          <w:rFonts w:eastAsia="Calibri"/>
          <w:sz w:val="24"/>
          <w:szCs w:val="24"/>
          <w:lang w:eastAsia="en-AU"/>
        </w:rPr>
        <w:t xml:space="preserve">the Hon Richard </w:t>
      </w:r>
      <w:proofErr w:type="spellStart"/>
      <w:r w:rsidR="00AD15C9" w:rsidRPr="00267527">
        <w:rPr>
          <w:rFonts w:eastAsia="Calibri"/>
          <w:sz w:val="24"/>
          <w:szCs w:val="24"/>
          <w:lang w:eastAsia="en-AU"/>
        </w:rPr>
        <w:t>Marles</w:t>
      </w:r>
      <w:proofErr w:type="spellEnd"/>
      <w:r w:rsidR="00AD15C9" w:rsidRPr="00267527">
        <w:rPr>
          <w:rFonts w:eastAsia="Calibri"/>
          <w:sz w:val="24"/>
          <w:szCs w:val="24"/>
          <w:lang w:eastAsia="en-AU"/>
        </w:rPr>
        <w:t xml:space="preserve"> MP, </w:t>
      </w:r>
      <w:r w:rsidRPr="00267527">
        <w:rPr>
          <w:rFonts w:eastAsia="Calibri"/>
          <w:sz w:val="24"/>
          <w:szCs w:val="24"/>
          <w:lang w:eastAsia="en-AU"/>
        </w:rPr>
        <w:t>who has portfolio responsibility for the Defence Determination, wrote to the Attorney</w:t>
      </w:r>
      <w:r w:rsidRPr="00267527">
        <w:rPr>
          <w:rFonts w:eastAsia="Calibri"/>
          <w:sz w:val="24"/>
          <w:szCs w:val="24"/>
          <w:lang w:eastAsia="en-AU"/>
        </w:rPr>
        <w:noBreakHyphen/>
        <w:t xml:space="preserve">General requesting that the exemption be made. </w:t>
      </w:r>
      <w:r w:rsidR="004052EF">
        <w:rPr>
          <w:rFonts w:eastAsia="Calibri"/>
          <w:sz w:val="24"/>
          <w:szCs w:val="24"/>
          <w:lang w:eastAsia="en-AU"/>
        </w:rPr>
        <w:t>T</w:t>
      </w:r>
      <w:r w:rsidR="000B7CB5" w:rsidRPr="00267527">
        <w:rPr>
          <w:rFonts w:eastAsia="Calibri"/>
          <w:sz w:val="24"/>
          <w:szCs w:val="24"/>
          <w:lang w:eastAsia="en-AU"/>
        </w:rPr>
        <w:t>he Department of Defence will continue to regularly consult with internal and external partners such as Navy, Army and Air Force, Defence Housing Australia and the Department of Foreign Affairs and Trade in developing underlying policy which is drafted into the Defence Determination.</w:t>
      </w:r>
      <w:r w:rsidR="004052EF">
        <w:rPr>
          <w:rFonts w:eastAsia="Calibri"/>
          <w:sz w:val="24"/>
          <w:szCs w:val="24"/>
          <w:lang w:eastAsia="en-AU"/>
        </w:rPr>
        <w:t xml:space="preserve"> Given this level of continuing consultation with relevant stakeholders on amendments to the Defence Determination, p</w:t>
      </w:r>
      <w:r w:rsidR="004052EF" w:rsidRPr="00267527">
        <w:rPr>
          <w:rFonts w:eastAsia="Calibri"/>
          <w:sz w:val="24"/>
          <w:szCs w:val="24"/>
          <w:lang w:eastAsia="en-AU"/>
        </w:rPr>
        <w:t xml:space="preserve">ublic consultation </w:t>
      </w:r>
      <w:r w:rsidR="00961F60">
        <w:rPr>
          <w:rFonts w:eastAsia="Calibri"/>
          <w:sz w:val="24"/>
          <w:szCs w:val="24"/>
          <w:lang w:eastAsia="en-AU"/>
        </w:rPr>
        <w:t xml:space="preserve">on the Certificate </w:t>
      </w:r>
      <w:r w:rsidR="004052EF" w:rsidRPr="00267527">
        <w:rPr>
          <w:rFonts w:eastAsia="Calibri"/>
          <w:sz w:val="24"/>
          <w:szCs w:val="24"/>
          <w:lang w:eastAsia="en-AU"/>
        </w:rPr>
        <w:t>was not considered appropriate</w:t>
      </w:r>
      <w:r w:rsidR="004052EF">
        <w:rPr>
          <w:rFonts w:eastAsia="Calibri"/>
          <w:sz w:val="24"/>
          <w:szCs w:val="24"/>
          <w:lang w:eastAsia="en-AU"/>
        </w:rPr>
        <w:t xml:space="preserve">, </w:t>
      </w:r>
      <w:r w:rsidR="004052EF" w:rsidRPr="00267527">
        <w:rPr>
          <w:rFonts w:eastAsia="Calibri"/>
          <w:sz w:val="24"/>
          <w:szCs w:val="24"/>
          <w:lang w:eastAsia="en-AU"/>
        </w:rPr>
        <w:t>and was not undertaken.</w:t>
      </w:r>
    </w:p>
    <w:p w14:paraId="4A5C2E4B" w14:textId="73F44F47" w:rsidR="00C303D4" w:rsidRPr="00267527" w:rsidRDefault="00C303D4" w:rsidP="00210C75">
      <w:pPr>
        <w:pStyle w:val="Basetext"/>
        <w:spacing w:before="240"/>
        <w:rPr>
          <w:rFonts w:eastAsia="Calibri"/>
          <w:sz w:val="24"/>
          <w:szCs w:val="24"/>
          <w:lang w:eastAsia="en-AU"/>
        </w:rPr>
      </w:pPr>
      <w:r w:rsidRPr="00267527">
        <w:rPr>
          <w:rFonts w:eastAsia="Calibri"/>
          <w:sz w:val="24"/>
          <w:szCs w:val="24"/>
          <w:lang w:eastAsia="en-AU"/>
        </w:rPr>
        <w:lastRenderedPageBreak/>
        <w:t>The Minister for Finance,</w:t>
      </w:r>
      <w:r w:rsidR="002C223A" w:rsidRPr="00267527">
        <w:rPr>
          <w:rFonts w:eastAsia="Calibri"/>
          <w:sz w:val="24"/>
          <w:szCs w:val="24"/>
          <w:lang w:eastAsia="en-AU"/>
        </w:rPr>
        <w:t xml:space="preserve"> Senator the Hon Katy Gallagher,</w:t>
      </w:r>
      <w:r w:rsidRPr="00267527">
        <w:rPr>
          <w:rFonts w:eastAsia="Calibri"/>
          <w:sz w:val="24"/>
          <w:szCs w:val="24"/>
          <w:lang w:eastAsia="en-AU"/>
        </w:rPr>
        <w:t xml:space="preserve"> who has portfolio responsibility for the PGPA Rule, wrote to the Attorney</w:t>
      </w:r>
      <w:r w:rsidRPr="00267527">
        <w:rPr>
          <w:rFonts w:eastAsia="Calibri"/>
          <w:sz w:val="24"/>
          <w:szCs w:val="24"/>
          <w:lang w:eastAsia="en-AU"/>
        </w:rPr>
        <w:noBreakHyphen/>
        <w:t xml:space="preserve">General requesting that the exemption be made. </w:t>
      </w:r>
      <w:r w:rsidR="00046954">
        <w:rPr>
          <w:rFonts w:eastAsia="Calibri"/>
          <w:sz w:val="24"/>
          <w:szCs w:val="24"/>
          <w:lang w:eastAsia="en-AU"/>
        </w:rPr>
        <w:t xml:space="preserve">The Department of </w:t>
      </w:r>
      <w:r w:rsidR="00046954" w:rsidRPr="00046954">
        <w:rPr>
          <w:rFonts w:eastAsia="Calibri"/>
          <w:sz w:val="24"/>
          <w:szCs w:val="24"/>
          <w:lang w:eastAsia="en-AU"/>
        </w:rPr>
        <w:t xml:space="preserve">Finance undertook extensive consultation with relevant Commonwealth entities and companies in the context of the </w:t>
      </w:r>
      <w:r w:rsidR="00046954">
        <w:rPr>
          <w:rFonts w:eastAsia="Calibri"/>
          <w:sz w:val="24"/>
          <w:szCs w:val="24"/>
          <w:lang w:eastAsia="en-AU"/>
        </w:rPr>
        <w:t xml:space="preserve">2017 </w:t>
      </w:r>
      <w:r w:rsidR="00046954" w:rsidRPr="00046954">
        <w:rPr>
          <w:rFonts w:eastAsia="Calibri"/>
          <w:sz w:val="24"/>
          <w:szCs w:val="24"/>
          <w:lang w:eastAsia="en-AU"/>
        </w:rPr>
        <w:t xml:space="preserve">statutory Independent Review. </w:t>
      </w:r>
      <w:r w:rsidR="00A4365B">
        <w:rPr>
          <w:rFonts w:eastAsia="Calibri"/>
          <w:sz w:val="24"/>
          <w:szCs w:val="24"/>
          <w:lang w:eastAsia="en-AU"/>
        </w:rPr>
        <w:t>Noting</w:t>
      </w:r>
      <w:r w:rsidR="004052EF">
        <w:rPr>
          <w:rFonts w:eastAsia="Calibri"/>
          <w:sz w:val="24"/>
          <w:szCs w:val="24"/>
          <w:lang w:eastAsia="en-AU"/>
        </w:rPr>
        <w:t xml:space="preserve"> th</w:t>
      </w:r>
      <w:r w:rsidR="00A4365B">
        <w:rPr>
          <w:rFonts w:eastAsia="Calibri"/>
          <w:sz w:val="24"/>
          <w:szCs w:val="24"/>
          <w:lang w:eastAsia="en-AU"/>
        </w:rPr>
        <w:t xml:space="preserve">e </w:t>
      </w:r>
      <w:r w:rsidR="004052EF">
        <w:rPr>
          <w:rFonts w:eastAsia="Calibri"/>
          <w:sz w:val="24"/>
          <w:szCs w:val="24"/>
          <w:lang w:eastAsia="en-AU"/>
        </w:rPr>
        <w:t>level of continuing consultation with relevant stakeholders on amendments to the PGPA Rule, p</w:t>
      </w:r>
      <w:r w:rsidR="004052EF" w:rsidRPr="00267527">
        <w:rPr>
          <w:rFonts w:eastAsia="Calibri"/>
          <w:sz w:val="24"/>
          <w:szCs w:val="24"/>
          <w:lang w:eastAsia="en-AU"/>
        </w:rPr>
        <w:t xml:space="preserve">ublic consultation </w:t>
      </w:r>
      <w:r w:rsidR="00A4365B">
        <w:rPr>
          <w:rFonts w:eastAsia="Calibri"/>
          <w:sz w:val="24"/>
          <w:szCs w:val="24"/>
          <w:lang w:eastAsia="en-AU"/>
        </w:rPr>
        <w:t xml:space="preserve">on the Amendment Regulations </w:t>
      </w:r>
      <w:r w:rsidR="004052EF" w:rsidRPr="00267527">
        <w:rPr>
          <w:rFonts w:eastAsia="Calibri"/>
          <w:sz w:val="24"/>
          <w:szCs w:val="24"/>
          <w:lang w:eastAsia="en-AU"/>
        </w:rPr>
        <w:t>was not considered appropriate and was not undertaken.</w:t>
      </w:r>
    </w:p>
    <w:p w14:paraId="4D68CDE9" w14:textId="77777777" w:rsidR="00C303D4" w:rsidRPr="00267527" w:rsidRDefault="00C303D4" w:rsidP="00210C75">
      <w:pPr>
        <w:keepNext/>
        <w:spacing w:after="0"/>
        <w:ind w:right="748"/>
        <w:rPr>
          <w:rFonts w:ascii="Times New Roman" w:eastAsia="Times New Roman" w:hAnsi="Times New Roman" w:cs="Times New Roman"/>
          <w:sz w:val="24"/>
          <w:szCs w:val="24"/>
          <w:lang w:eastAsia="en-AU"/>
        </w:rPr>
      </w:pPr>
    </w:p>
    <w:p w14:paraId="48B0353E" w14:textId="77777777" w:rsidR="00C303D4" w:rsidRPr="00267527" w:rsidRDefault="00C303D4" w:rsidP="00210C75">
      <w:pPr>
        <w:rPr>
          <w:rFonts w:ascii="Times New Roman" w:hAnsi="Times New Roman" w:cs="Times New Roman"/>
          <w:b/>
          <w:caps/>
          <w:sz w:val="24"/>
          <w:szCs w:val="24"/>
        </w:rPr>
      </w:pPr>
      <w:r w:rsidRPr="00267527">
        <w:rPr>
          <w:rFonts w:ascii="Times New Roman" w:hAnsi="Times New Roman" w:cs="Times New Roman"/>
          <w:b/>
          <w:caps/>
          <w:sz w:val="24"/>
          <w:szCs w:val="24"/>
        </w:rPr>
        <w:t>Regulation Impact Statement</w:t>
      </w:r>
    </w:p>
    <w:p w14:paraId="2AF75DF2" w14:textId="1F015B0F" w:rsidR="00C303D4" w:rsidRPr="00267527" w:rsidRDefault="00C303D4" w:rsidP="00210C75">
      <w:pPr>
        <w:pStyle w:val="Basetext"/>
        <w:spacing w:before="240" w:after="200"/>
        <w:rPr>
          <w:rFonts w:eastAsia="Calibri"/>
          <w:sz w:val="24"/>
          <w:szCs w:val="24"/>
          <w:lang w:eastAsia="en-AU"/>
        </w:rPr>
      </w:pPr>
      <w:r w:rsidRPr="00267527">
        <w:rPr>
          <w:rFonts w:eastAsia="Calibri"/>
          <w:sz w:val="24"/>
          <w:szCs w:val="24"/>
          <w:lang w:eastAsia="en-AU"/>
        </w:rPr>
        <w:t xml:space="preserve">The Amendment Regulations do not have any regulatory impact. The </w:t>
      </w:r>
      <w:r w:rsidR="00F84EDC" w:rsidRPr="00267527">
        <w:rPr>
          <w:rFonts w:eastAsia="Calibri"/>
          <w:sz w:val="24"/>
          <w:szCs w:val="24"/>
          <w:lang w:eastAsia="en-AU"/>
        </w:rPr>
        <w:t>Office of Impact Analysis (OIA)</w:t>
      </w:r>
      <w:r w:rsidRPr="00267527">
        <w:rPr>
          <w:rFonts w:eastAsia="Calibri"/>
          <w:sz w:val="24"/>
          <w:szCs w:val="24"/>
          <w:lang w:eastAsia="en-AU"/>
        </w:rPr>
        <w:t xml:space="preserve"> reference is </w:t>
      </w:r>
      <w:r w:rsidR="00F84EDC" w:rsidRPr="00267527">
        <w:rPr>
          <w:rFonts w:eastAsia="Calibri"/>
          <w:sz w:val="24"/>
          <w:szCs w:val="24"/>
          <w:lang w:eastAsia="en-AU"/>
        </w:rPr>
        <w:t>OIA23-04959</w:t>
      </w:r>
      <w:r w:rsidR="000B7CB5" w:rsidRPr="00267527">
        <w:rPr>
          <w:rFonts w:eastAsia="Calibri"/>
          <w:sz w:val="24"/>
          <w:szCs w:val="24"/>
          <w:lang w:eastAsia="en-AU"/>
        </w:rPr>
        <w:t>.</w:t>
      </w:r>
    </w:p>
    <w:p w14:paraId="6EDBDF42" w14:textId="77777777" w:rsidR="00C303D4" w:rsidRPr="00267527" w:rsidRDefault="00C303D4" w:rsidP="00210C75">
      <w:pPr>
        <w:pStyle w:val="Body"/>
        <w:spacing w:line="276" w:lineRule="auto"/>
        <w:rPr>
          <w:b/>
          <w:szCs w:val="24"/>
        </w:rPr>
      </w:pPr>
      <w:r w:rsidRPr="00267527">
        <w:rPr>
          <w:b/>
          <w:szCs w:val="24"/>
        </w:rPr>
        <w:t>OTHER DETAILS</w:t>
      </w:r>
    </w:p>
    <w:p w14:paraId="0410D8B9" w14:textId="77777777" w:rsidR="00C303D4" w:rsidRPr="00267527" w:rsidRDefault="00C303D4" w:rsidP="00210C75">
      <w:pPr>
        <w:pStyle w:val="NoSpacing"/>
        <w:spacing w:line="276" w:lineRule="auto"/>
        <w:rPr>
          <w:rFonts w:ascii="Times New Roman" w:hAnsi="Times New Roman" w:cs="Times New Roman"/>
          <w:sz w:val="24"/>
          <w:szCs w:val="24"/>
        </w:rPr>
      </w:pPr>
    </w:p>
    <w:p w14:paraId="3791F370" w14:textId="072456CB" w:rsidR="001C35A2" w:rsidRPr="00267527" w:rsidRDefault="001C35A2" w:rsidP="00210C75">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 xml:space="preserve">A Statement of Compatibility under subsection 9(1) of the </w:t>
      </w:r>
      <w:r w:rsidRPr="00267527">
        <w:rPr>
          <w:rFonts w:ascii="Times New Roman" w:eastAsia="Times New Roman" w:hAnsi="Times New Roman" w:cs="Times New Roman"/>
          <w:i/>
          <w:sz w:val="24"/>
          <w:szCs w:val="24"/>
          <w:lang w:eastAsia="en-AU"/>
        </w:rPr>
        <w:t xml:space="preserve">Human Rights (Parliamentary Scrutiny) Act 2011 </w:t>
      </w:r>
      <w:r w:rsidRPr="00267527">
        <w:rPr>
          <w:rFonts w:ascii="Times New Roman" w:eastAsia="Times New Roman" w:hAnsi="Times New Roman" w:cs="Times New Roman"/>
          <w:sz w:val="24"/>
          <w:szCs w:val="24"/>
          <w:lang w:eastAsia="en-AU"/>
        </w:rPr>
        <w:t xml:space="preserve">is at </w:t>
      </w:r>
      <w:r w:rsidRPr="00267527">
        <w:rPr>
          <w:rFonts w:ascii="Times New Roman" w:eastAsia="Times New Roman" w:hAnsi="Times New Roman" w:cs="Times New Roman"/>
          <w:sz w:val="24"/>
          <w:szCs w:val="24"/>
          <w:u w:val="single"/>
          <w:lang w:eastAsia="en-AU"/>
        </w:rPr>
        <w:t xml:space="preserve">Attachment </w:t>
      </w:r>
      <w:r w:rsidR="00AD15C9" w:rsidRPr="00267527">
        <w:rPr>
          <w:rFonts w:ascii="Times New Roman" w:eastAsia="Times New Roman" w:hAnsi="Times New Roman" w:cs="Times New Roman"/>
          <w:sz w:val="24"/>
          <w:szCs w:val="24"/>
          <w:u w:val="single"/>
          <w:lang w:eastAsia="en-AU"/>
        </w:rPr>
        <w:t>A</w:t>
      </w:r>
      <w:r w:rsidRPr="00267527">
        <w:rPr>
          <w:rFonts w:ascii="Times New Roman" w:eastAsia="Times New Roman" w:hAnsi="Times New Roman" w:cs="Times New Roman"/>
          <w:sz w:val="24"/>
          <w:szCs w:val="24"/>
          <w:u w:val="single"/>
          <w:lang w:eastAsia="en-AU"/>
        </w:rPr>
        <w:t>.</w:t>
      </w:r>
      <w:r w:rsidRPr="00267527">
        <w:rPr>
          <w:rFonts w:ascii="Times New Roman" w:eastAsia="Times New Roman" w:hAnsi="Times New Roman" w:cs="Times New Roman"/>
          <w:sz w:val="24"/>
          <w:szCs w:val="24"/>
          <w:lang w:eastAsia="en-AU"/>
        </w:rPr>
        <w:t xml:space="preserve"> </w:t>
      </w:r>
    </w:p>
    <w:p w14:paraId="1F0DC87C" w14:textId="77777777" w:rsidR="00AD15C9" w:rsidRPr="00267527" w:rsidRDefault="00AD15C9" w:rsidP="00210C75">
      <w:pPr>
        <w:widowControl w:val="0"/>
        <w:spacing w:after="0"/>
        <w:ind w:right="748"/>
        <w:rPr>
          <w:rFonts w:ascii="Times New Roman" w:eastAsia="Times New Roman" w:hAnsi="Times New Roman" w:cs="Times New Roman"/>
          <w:sz w:val="24"/>
          <w:szCs w:val="24"/>
          <w:lang w:eastAsia="en-AU"/>
        </w:rPr>
      </w:pPr>
    </w:p>
    <w:p w14:paraId="54596362" w14:textId="0792D068" w:rsidR="00AD15C9" w:rsidRPr="00267527" w:rsidRDefault="00AD15C9" w:rsidP="00210C75">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 xml:space="preserve">Details of the Amendment Regulations are set out in </w:t>
      </w:r>
      <w:r w:rsidRPr="00267527">
        <w:rPr>
          <w:rFonts w:ascii="Times New Roman" w:eastAsia="Times New Roman" w:hAnsi="Times New Roman" w:cs="Times New Roman"/>
          <w:sz w:val="24"/>
          <w:szCs w:val="24"/>
          <w:u w:val="single"/>
          <w:lang w:eastAsia="en-AU"/>
        </w:rPr>
        <w:t>Attachment B</w:t>
      </w:r>
      <w:r w:rsidRPr="00267527">
        <w:rPr>
          <w:rFonts w:ascii="Times New Roman" w:eastAsia="Times New Roman" w:hAnsi="Times New Roman" w:cs="Times New Roman"/>
          <w:sz w:val="24"/>
          <w:szCs w:val="24"/>
          <w:lang w:eastAsia="en-AU"/>
        </w:rPr>
        <w:t>.</w:t>
      </w:r>
    </w:p>
    <w:p w14:paraId="3BB195D3" w14:textId="77777777" w:rsidR="001C35A2" w:rsidRPr="00267527" w:rsidRDefault="001C35A2" w:rsidP="00210C75">
      <w:pPr>
        <w:widowControl w:val="0"/>
        <w:spacing w:after="0"/>
        <w:ind w:right="748"/>
        <w:rPr>
          <w:rFonts w:ascii="Times New Roman" w:eastAsia="Times New Roman" w:hAnsi="Times New Roman" w:cs="Times New Roman"/>
          <w:sz w:val="24"/>
          <w:szCs w:val="24"/>
          <w:lang w:eastAsia="en-AU"/>
        </w:rPr>
      </w:pPr>
    </w:p>
    <w:p w14:paraId="704CE0B0" w14:textId="30C697C9" w:rsidR="001C35A2" w:rsidRPr="00267527" w:rsidRDefault="001C35A2" w:rsidP="00210C75">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 xml:space="preserve">The Legislation Act specifies no conditions that need to be satisfied before the power to make the proposed Regulations may be exercised. </w:t>
      </w:r>
    </w:p>
    <w:p w14:paraId="4008F0D6" w14:textId="77777777" w:rsidR="00C303D4" w:rsidRPr="00267527" w:rsidRDefault="00C303D4" w:rsidP="00210C75">
      <w:pPr>
        <w:widowControl w:val="0"/>
        <w:spacing w:after="0"/>
        <w:ind w:right="748"/>
        <w:rPr>
          <w:rFonts w:ascii="Times New Roman" w:eastAsia="Times New Roman" w:hAnsi="Times New Roman" w:cs="Times New Roman"/>
          <w:sz w:val="24"/>
          <w:szCs w:val="24"/>
          <w:lang w:eastAsia="en-AU"/>
        </w:rPr>
      </w:pPr>
    </w:p>
    <w:p w14:paraId="320C0C26" w14:textId="77777777" w:rsidR="00C303D4" w:rsidRPr="00267527" w:rsidRDefault="00C303D4" w:rsidP="00210C75">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The Amendment Regulations are a legislative instrument for the purposes of the Legislation Act.</w:t>
      </w:r>
    </w:p>
    <w:p w14:paraId="133ACF72" w14:textId="77777777" w:rsidR="00C303D4" w:rsidRPr="00267527" w:rsidRDefault="00C303D4" w:rsidP="00210C75">
      <w:pPr>
        <w:widowControl w:val="0"/>
        <w:spacing w:after="0"/>
        <w:ind w:right="748"/>
        <w:rPr>
          <w:rFonts w:ascii="Times New Roman" w:eastAsia="Times New Roman" w:hAnsi="Times New Roman" w:cs="Times New Roman"/>
          <w:sz w:val="24"/>
          <w:szCs w:val="24"/>
          <w:lang w:eastAsia="en-AU"/>
        </w:rPr>
      </w:pPr>
    </w:p>
    <w:p w14:paraId="52350062" w14:textId="77777777" w:rsidR="00C303D4" w:rsidRPr="00267527" w:rsidRDefault="00C303D4" w:rsidP="00210C75">
      <w:pPr>
        <w:widowControl w:val="0"/>
        <w:spacing w:after="0"/>
        <w:ind w:right="748"/>
        <w:rPr>
          <w:rFonts w:ascii="Times New Roman" w:eastAsia="Times New Roman" w:hAnsi="Times New Roman" w:cs="Times New Roman"/>
          <w:sz w:val="24"/>
          <w:szCs w:val="24"/>
          <w:lang w:eastAsia="en-AU"/>
        </w:rPr>
      </w:pPr>
      <w:r w:rsidRPr="00267527">
        <w:rPr>
          <w:rFonts w:ascii="Times New Roman" w:eastAsia="Times New Roman" w:hAnsi="Times New Roman" w:cs="Times New Roman"/>
          <w:sz w:val="24"/>
          <w:szCs w:val="24"/>
          <w:lang w:eastAsia="en-AU"/>
        </w:rPr>
        <w:t>The Amendment Regulations commence immediately after registration.</w:t>
      </w:r>
      <w:r w:rsidRPr="00267527">
        <w:rPr>
          <w:rFonts w:ascii="Times New Roman" w:eastAsia="Times New Roman" w:hAnsi="Times New Roman" w:cs="Times New Roman"/>
          <w:sz w:val="24"/>
          <w:szCs w:val="24"/>
          <w:lang w:eastAsia="en-AU"/>
        </w:rPr>
        <w:tab/>
      </w:r>
    </w:p>
    <w:p w14:paraId="565CA3BD" w14:textId="77777777" w:rsidR="00C303D4" w:rsidRPr="00267527" w:rsidRDefault="00C303D4" w:rsidP="00210C75">
      <w:pPr>
        <w:widowControl w:val="0"/>
        <w:spacing w:after="0"/>
        <w:ind w:right="748"/>
        <w:rPr>
          <w:sz w:val="24"/>
          <w:szCs w:val="24"/>
        </w:rPr>
      </w:pPr>
    </w:p>
    <w:p w14:paraId="3B027854" w14:textId="77777777" w:rsidR="00C303D4" w:rsidRPr="00267527" w:rsidRDefault="00C303D4" w:rsidP="00210C75">
      <w:pPr>
        <w:widowControl w:val="0"/>
        <w:spacing w:after="0"/>
        <w:ind w:right="748"/>
        <w:rPr>
          <w:sz w:val="24"/>
          <w:szCs w:val="24"/>
        </w:rPr>
      </w:pPr>
      <w:r w:rsidRPr="00267527">
        <w:rPr>
          <w:rFonts w:ascii="Times New Roman" w:eastAsia="Times New Roman" w:hAnsi="Times New Roman" w:cs="Times New Roman"/>
          <w:sz w:val="24"/>
          <w:szCs w:val="24"/>
          <w:lang w:eastAsia="en-AU"/>
        </w:rPr>
        <w:t xml:space="preserve">The Amendment Regulations, the Principal Regulations and the Legislation Act are available on the Federal Register of Legislation </w:t>
      </w:r>
      <w:hyperlink r:id="rId11" w:history="1">
        <w:r w:rsidRPr="00267527">
          <w:rPr>
            <w:rStyle w:val="Hyperlink"/>
            <w:rFonts w:ascii="Times New Roman" w:hAnsi="Times New Roman" w:cs="Times New Roman"/>
            <w:sz w:val="24"/>
            <w:szCs w:val="24"/>
          </w:rPr>
          <w:t>https://www.legislation.gov.au/</w:t>
        </w:r>
      </w:hyperlink>
      <w:r w:rsidRPr="00267527">
        <w:rPr>
          <w:rFonts w:ascii="Times New Roman" w:eastAsia="Times New Roman" w:hAnsi="Times New Roman" w:cs="Times New Roman"/>
          <w:sz w:val="24"/>
          <w:szCs w:val="24"/>
          <w:lang w:eastAsia="en-AU"/>
        </w:rPr>
        <w:t>.</w:t>
      </w:r>
    </w:p>
    <w:p w14:paraId="68CF1338" w14:textId="77777777" w:rsidR="00C303D4" w:rsidRPr="00267527" w:rsidRDefault="00C303D4" w:rsidP="00210C75">
      <w:pPr>
        <w:rPr>
          <w:rFonts w:ascii="Times New Roman" w:hAnsi="Times New Roman" w:cs="Times New Roman"/>
          <w:b/>
          <w:caps/>
          <w:sz w:val="24"/>
          <w:szCs w:val="24"/>
        </w:rPr>
      </w:pPr>
      <w:r w:rsidRPr="00267527">
        <w:rPr>
          <w:rFonts w:ascii="Times New Roman" w:hAnsi="Times New Roman" w:cs="Times New Roman"/>
          <w:b/>
          <w:caps/>
          <w:sz w:val="24"/>
          <w:szCs w:val="24"/>
        </w:rPr>
        <w:br w:type="page"/>
      </w:r>
    </w:p>
    <w:p w14:paraId="54B119A6" w14:textId="77777777" w:rsidR="00AD15C9" w:rsidRPr="00420A7A" w:rsidRDefault="00AD15C9" w:rsidP="00AD15C9">
      <w:pPr>
        <w:spacing w:after="0" w:line="240" w:lineRule="auto"/>
        <w:ind w:left="6480" w:firstLine="720"/>
        <w:rPr>
          <w:rFonts w:ascii="Times New Roman" w:eastAsia="Calibri" w:hAnsi="Times New Roman" w:cs="Times New Roman"/>
          <w:sz w:val="24"/>
          <w:szCs w:val="24"/>
          <w:lang w:eastAsia="en-AU"/>
        </w:rPr>
      </w:pPr>
      <w:r>
        <w:rPr>
          <w:rFonts w:ascii="Times New Roman" w:hAnsi="Times New Roman" w:cs="Times New Roman"/>
          <w:b/>
          <w:sz w:val="24"/>
          <w:szCs w:val="24"/>
        </w:rPr>
        <w:lastRenderedPageBreak/>
        <w:t>Attachment A</w:t>
      </w:r>
    </w:p>
    <w:p w14:paraId="2F57C1C3" w14:textId="77777777" w:rsidR="00AD15C9" w:rsidRDefault="00AD15C9" w:rsidP="00C303D4">
      <w:pPr>
        <w:spacing w:after="120" w:line="240" w:lineRule="auto"/>
        <w:rPr>
          <w:rFonts w:ascii="Times New Roman" w:hAnsi="Times New Roman" w:cs="Times New Roman"/>
          <w:b/>
          <w:caps/>
          <w:sz w:val="24"/>
          <w:szCs w:val="24"/>
        </w:rPr>
      </w:pPr>
    </w:p>
    <w:p w14:paraId="6B2129FA" w14:textId="0703942A" w:rsidR="00C303D4" w:rsidRDefault="00C303D4" w:rsidP="00C303D4">
      <w:pPr>
        <w:spacing w:after="120" w:line="240" w:lineRule="auto"/>
        <w:rPr>
          <w:rFonts w:ascii="Times New Roman" w:hAnsi="Times New Roman" w:cs="Times New Roman"/>
          <w:b/>
          <w:caps/>
          <w:sz w:val="24"/>
          <w:szCs w:val="24"/>
        </w:rPr>
      </w:pPr>
      <w:r>
        <w:rPr>
          <w:rFonts w:ascii="Times New Roman" w:hAnsi="Times New Roman" w:cs="Times New Roman"/>
          <w:b/>
          <w:caps/>
          <w:sz w:val="24"/>
          <w:szCs w:val="24"/>
        </w:rPr>
        <w:t>Statement of Compatibility with Human Rights</w:t>
      </w:r>
    </w:p>
    <w:p w14:paraId="0655F297" w14:textId="77777777" w:rsidR="00C303D4" w:rsidRDefault="00C303D4" w:rsidP="00C303D4">
      <w:pPr>
        <w:keepNext/>
        <w:spacing w:after="0" w:line="240" w:lineRule="auto"/>
        <w:ind w:right="748"/>
        <w:rPr>
          <w:rFonts w:ascii="Times New Roman" w:eastAsia="Times New Roman" w:hAnsi="Times New Roman" w:cs="Times New Roman"/>
          <w:sz w:val="24"/>
          <w:lang w:eastAsia="en-AU"/>
        </w:rPr>
      </w:pPr>
    </w:p>
    <w:p w14:paraId="72544577" w14:textId="0500AF69" w:rsidR="00C303D4" w:rsidRDefault="00C303D4" w:rsidP="00210C75">
      <w:pPr>
        <w:keepNext/>
        <w:spacing w:after="0"/>
        <w:ind w:right="748"/>
        <w:rPr>
          <w:rFonts w:ascii="Times New Roman" w:eastAsia="Times New Roman" w:hAnsi="Times New Roman" w:cs="Times New Roman"/>
          <w:i/>
          <w:sz w:val="24"/>
          <w:lang w:eastAsia="en-AU"/>
        </w:rPr>
      </w:pPr>
      <w:r>
        <w:rPr>
          <w:rFonts w:ascii="Times New Roman" w:eastAsia="Times New Roman" w:hAnsi="Times New Roman" w:cs="Times New Roman"/>
          <w:sz w:val="24"/>
          <w:lang w:eastAsia="en-AU"/>
        </w:rPr>
        <w:t>Prepared in accordance with Part 3 of the</w:t>
      </w:r>
      <w:r>
        <w:rPr>
          <w:rFonts w:ascii="Times New Roman" w:eastAsia="Times New Roman" w:hAnsi="Times New Roman" w:cs="Times New Roman"/>
          <w:i/>
          <w:sz w:val="24"/>
          <w:lang w:eastAsia="en-AU"/>
        </w:rPr>
        <w:t xml:space="preserve"> Human Rights (Parliamentary Scrutiny) Act 2011.</w:t>
      </w:r>
    </w:p>
    <w:p w14:paraId="25F9EAEE" w14:textId="77777777" w:rsidR="00C303D4" w:rsidRDefault="00C303D4" w:rsidP="00210C75">
      <w:pPr>
        <w:keepNext/>
        <w:spacing w:after="0"/>
        <w:ind w:right="748"/>
        <w:rPr>
          <w:rFonts w:ascii="Times New Roman" w:eastAsia="Times New Roman" w:hAnsi="Times New Roman" w:cs="Times New Roman"/>
          <w:i/>
          <w:sz w:val="20"/>
          <w:lang w:eastAsia="en-AU"/>
        </w:rPr>
      </w:pPr>
    </w:p>
    <w:p w14:paraId="7FB67A4F" w14:textId="77777777" w:rsidR="00C303D4" w:rsidRDefault="00C303D4" w:rsidP="00210C75">
      <w:pPr>
        <w:pStyle w:val="NoSpacing"/>
        <w:spacing w:line="276" w:lineRule="auto"/>
        <w:rPr>
          <w:rFonts w:ascii="Times New Roman" w:hAnsi="Times New Roman" w:cs="Times New Roman"/>
          <w:b/>
          <w:sz w:val="24"/>
          <w:szCs w:val="24"/>
        </w:rPr>
      </w:pPr>
      <w:r>
        <w:rPr>
          <w:rFonts w:ascii="Times New Roman" w:hAnsi="Times New Roman" w:cs="Times New Roman"/>
          <w:b/>
          <w:i/>
          <w:sz w:val="24"/>
          <w:szCs w:val="24"/>
        </w:rPr>
        <w:t>Legislation (Exemptions and Other Matters) Amendment Regulations 2023</w:t>
      </w:r>
    </w:p>
    <w:p w14:paraId="167F1E57" w14:textId="77777777" w:rsidR="00C303D4" w:rsidRDefault="00C303D4" w:rsidP="00210C75">
      <w:pPr>
        <w:pStyle w:val="NoSpacing"/>
        <w:spacing w:line="276" w:lineRule="auto"/>
        <w:rPr>
          <w:rFonts w:ascii="Times New Roman" w:hAnsi="Times New Roman" w:cs="Times New Roman"/>
          <w:b/>
          <w:sz w:val="16"/>
          <w:szCs w:val="24"/>
        </w:rPr>
      </w:pPr>
    </w:p>
    <w:p w14:paraId="25BBA9FA" w14:textId="4C5DE042" w:rsidR="00C303D4" w:rsidRDefault="00C303D4" w:rsidP="00210C75">
      <w:pPr>
        <w:pStyle w:val="NoSpacing"/>
        <w:spacing w:line="276" w:lineRule="auto"/>
        <w:rPr>
          <w:rFonts w:ascii="Times New Roman" w:hAnsi="Times New Roman" w:cs="Times New Roman"/>
          <w:iCs/>
          <w:sz w:val="24"/>
          <w:szCs w:val="24"/>
        </w:rPr>
      </w:pPr>
      <w:r>
        <w:rPr>
          <w:rFonts w:ascii="Times New Roman" w:hAnsi="Times New Roman" w:cs="Times New Roman"/>
          <w:sz w:val="24"/>
          <w:szCs w:val="24"/>
        </w:rPr>
        <w:t xml:space="preserve">The </w:t>
      </w:r>
      <w:r w:rsidRPr="00944340">
        <w:rPr>
          <w:rFonts w:ascii="Times New Roman" w:hAnsi="Times New Roman" w:cs="Times New Roman"/>
          <w:i/>
          <w:sz w:val="24"/>
          <w:szCs w:val="24"/>
        </w:rPr>
        <w:t>Legislation (Exemptions and Other Matters) Amendment (2023 Measures No. 1) Regulations 2023</w:t>
      </w:r>
      <w:r>
        <w:rPr>
          <w:rFonts w:ascii="Times New Roman" w:hAnsi="Times New Roman" w:cs="Times New Roman"/>
          <w:sz w:val="24"/>
          <w:szCs w:val="24"/>
        </w:rPr>
        <w:t xml:space="preserve"> (the Amendment Regulations) are compatible with the human rights and freedoms recognised or declared in the international instruments listed in section 3 of the </w:t>
      </w:r>
      <w:r>
        <w:rPr>
          <w:rFonts w:ascii="Times New Roman" w:hAnsi="Times New Roman" w:cs="Times New Roman"/>
          <w:i/>
          <w:iCs/>
          <w:sz w:val="24"/>
          <w:szCs w:val="24"/>
        </w:rPr>
        <w:t>Human Rights (Parliamentary Scrutiny) Act 2011</w:t>
      </w:r>
      <w:r w:rsidR="00503AA3">
        <w:rPr>
          <w:rFonts w:ascii="Times New Roman" w:hAnsi="Times New Roman" w:cs="Times New Roman"/>
          <w:i/>
          <w:iCs/>
          <w:sz w:val="24"/>
          <w:szCs w:val="24"/>
        </w:rPr>
        <w:t xml:space="preserve"> </w:t>
      </w:r>
      <w:r w:rsidR="00503AA3">
        <w:rPr>
          <w:rFonts w:ascii="Times New Roman" w:hAnsi="Times New Roman" w:cs="Times New Roman"/>
          <w:iCs/>
          <w:sz w:val="24"/>
          <w:szCs w:val="24"/>
        </w:rPr>
        <w:t>(the Human Rights Act)</w:t>
      </w:r>
      <w:r>
        <w:rPr>
          <w:rFonts w:ascii="Times New Roman" w:hAnsi="Times New Roman" w:cs="Times New Roman"/>
          <w:i/>
          <w:iCs/>
          <w:sz w:val="24"/>
          <w:szCs w:val="24"/>
        </w:rPr>
        <w:t>.</w:t>
      </w:r>
    </w:p>
    <w:p w14:paraId="2B74A268" w14:textId="77777777" w:rsidR="00C303D4" w:rsidRDefault="00C303D4" w:rsidP="00210C75">
      <w:pPr>
        <w:pStyle w:val="NoSpacing"/>
        <w:spacing w:line="276" w:lineRule="auto"/>
        <w:rPr>
          <w:rFonts w:ascii="Times New Roman" w:hAnsi="Times New Roman" w:cs="Times New Roman"/>
          <w:iCs/>
          <w:sz w:val="24"/>
          <w:szCs w:val="24"/>
        </w:rPr>
      </w:pPr>
    </w:p>
    <w:p w14:paraId="3487274E" w14:textId="77777777" w:rsidR="00C303D4" w:rsidRDefault="00C303D4" w:rsidP="00210C75">
      <w:pPr>
        <w:pStyle w:val="NoSpacing"/>
        <w:spacing w:line="276" w:lineRule="auto"/>
        <w:rPr>
          <w:rFonts w:ascii="Times New Roman" w:hAnsi="Times New Roman" w:cs="Times New Roman"/>
          <w:iCs/>
          <w:sz w:val="24"/>
          <w:szCs w:val="24"/>
        </w:rPr>
      </w:pPr>
      <w:r>
        <w:rPr>
          <w:rFonts w:ascii="Times New Roman" w:hAnsi="Times New Roman" w:cs="Times New Roman"/>
          <w:b/>
          <w:iCs/>
          <w:sz w:val="24"/>
          <w:szCs w:val="24"/>
        </w:rPr>
        <w:t>Overview</w:t>
      </w:r>
    </w:p>
    <w:p w14:paraId="3FFBA5AA" w14:textId="77777777" w:rsidR="00C303D4" w:rsidRDefault="00C303D4" w:rsidP="00210C75">
      <w:pPr>
        <w:pStyle w:val="Paragraph"/>
        <w:tabs>
          <w:tab w:val="left" w:pos="567"/>
        </w:tabs>
        <w:spacing w:before="120" w:line="276" w:lineRule="auto"/>
        <w:rPr>
          <w:szCs w:val="24"/>
        </w:rPr>
      </w:pPr>
      <w:r>
        <w:t xml:space="preserve">The </w:t>
      </w:r>
      <w:r>
        <w:rPr>
          <w:i/>
        </w:rPr>
        <w:t xml:space="preserve">Legislation Act 2003 </w:t>
      </w:r>
      <w:r>
        <w:t xml:space="preserve">(Legislation Act) establishes a comprehensive regime for the publication of Commonwealth Acts and Instruments and provides for the sunsetting of legislative instruments. Sunsetting is the process by which instruments are automatically repealed approximately 10 years after they are made unless steps are taken to preserve their operation or the instruments are exempt from sunsetting. </w:t>
      </w:r>
    </w:p>
    <w:p w14:paraId="340F4BCA" w14:textId="77777777" w:rsidR="00C303D4" w:rsidRDefault="00C303D4" w:rsidP="00210C75">
      <w:pPr>
        <w:numPr>
          <w:ilvl w:val="12"/>
          <w:numId w:val="0"/>
        </w:numPr>
        <w:spacing w:before="120" w:after="0"/>
        <w:rPr>
          <w:rFonts w:ascii="Times New Roman" w:eastAsia="Calibri" w:hAnsi="Times New Roman" w:cs="Times New Roman"/>
          <w:sz w:val="24"/>
          <w:szCs w:val="24"/>
          <w:lang w:eastAsia="en-AU"/>
        </w:rPr>
      </w:pPr>
      <w:r>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i/>
          <w:color w:val="000000"/>
          <w:sz w:val="24"/>
          <w:szCs w:val="24"/>
          <w:lang w:eastAsia="en-AU"/>
        </w:rPr>
        <w:t>Legislation (Exemptions and Other Matters) Regulation 2015</w:t>
      </w:r>
      <w:r>
        <w:rPr>
          <w:rFonts w:ascii="Times New Roman" w:eastAsia="Times New Roman" w:hAnsi="Times New Roman" w:cs="Times New Roman"/>
          <w:color w:val="000000"/>
          <w:sz w:val="24"/>
          <w:szCs w:val="24"/>
          <w:lang w:eastAsia="en-AU"/>
        </w:rPr>
        <w:t xml:space="preserve"> (the Principal Regulation) prescribe </w:t>
      </w:r>
      <w:r>
        <w:rPr>
          <w:rFonts w:ascii="Times New Roman" w:eastAsia="Calibri" w:hAnsi="Times New Roman" w:cs="Times New Roman"/>
          <w:sz w:val="24"/>
          <w:szCs w:val="24"/>
          <w:lang w:eastAsia="en-AU"/>
        </w:rPr>
        <w:t xml:space="preserve">classes of instruments (at section 11) and particular instruments (at section 12) that are exempt from sunsetting under paragraph 54(2)(b) of the Act. </w:t>
      </w:r>
    </w:p>
    <w:p w14:paraId="49DB66D7" w14:textId="77777777" w:rsidR="00C303D4" w:rsidRDefault="00C303D4" w:rsidP="00210C75">
      <w:pPr>
        <w:pStyle w:val="NoSpacing"/>
        <w:spacing w:line="276" w:lineRule="auto"/>
        <w:rPr>
          <w:rFonts w:ascii="Times New Roman" w:hAnsi="Times New Roman" w:cs="Times New Roman"/>
          <w:sz w:val="20"/>
          <w:szCs w:val="24"/>
        </w:rPr>
      </w:pPr>
    </w:p>
    <w:p w14:paraId="01051383" w14:textId="77777777" w:rsidR="00C303D4" w:rsidRDefault="00C303D4" w:rsidP="00210C75">
      <w:pPr>
        <w:pStyle w:val="NoSpacing"/>
        <w:spacing w:line="276"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The Amendment Regulations are made under section 62 of the Legislation Act and amend the Principal Regulation </w:t>
      </w:r>
      <w:r>
        <w:rPr>
          <w:rFonts w:ascii="Times New Roman" w:eastAsia="Times New Roman" w:hAnsi="Times New Roman" w:cs="Times New Roman"/>
          <w:sz w:val="24"/>
          <w:szCs w:val="24"/>
          <w:lang w:eastAsia="en-AU"/>
        </w:rPr>
        <w:t xml:space="preserve">by adding items 21A and 53A in section 12 of the Principal Regulations to create exemptions from sunsetting for the </w:t>
      </w:r>
      <w:r w:rsidRPr="00944340">
        <w:rPr>
          <w:rFonts w:ascii="Times New Roman" w:eastAsia="Times New Roman" w:hAnsi="Times New Roman" w:cs="Times New Roman"/>
          <w:i/>
          <w:sz w:val="24"/>
          <w:szCs w:val="24"/>
          <w:lang w:eastAsia="en-AU"/>
        </w:rPr>
        <w:t>Defence Determination 2016/19, Conditions of service</w:t>
      </w:r>
      <w:r>
        <w:rPr>
          <w:rFonts w:ascii="Times New Roman" w:eastAsia="Times New Roman" w:hAnsi="Times New Roman" w:cs="Times New Roman"/>
          <w:sz w:val="24"/>
          <w:szCs w:val="24"/>
          <w:lang w:eastAsia="en-AU"/>
        </w:rPr>
        <w:t xml:space="preserve">, and the </w:t>
      </w:r>
      <w:r w:rsidRPr="00944340">
        <w:rPr>
          <w:rFonts w:ascii="Times New Roman" w:eastAsia="Times New Roman" w:hAnsi="Times New Roman" w:cs="Times New Roman"/>
          <w:i/>
          <w:sz w:val="24"/>
          <w:szCs w:val="24"/>
          <w:lang w:eastAsia="en-AU"/>
        </w:rPr>
        <w:t>Public Governance, Performance and Accountability Rule 2014.</w:t>
      </w:r>
    </w:p>
    <w:p w14:paraId="3ACA2E0E" w14:textId="77777777" w:rsidR="00C303D4" w:rsidRDefault="00C303D4" w:rsidP="00210C75">
      <w:pPr>
        <w:pStyle w:val="NoSpacing"/>
        <w:spacing w:line="276" w:lineRule="auto"/>
        <w:rPr>
          <w:sz w:val="20"/>
        </w:rPr>
      </w:pPr>
    </w:p>
    <w:p w14:paraId="309C47F4" w14:textId="5C2328B1" w:rsidR="006C07D5" w:rsidRDefault="00C303D4" w:rsidP="00210C75">
      <w:pPr>
        <w:rPr>
          <w:rFonts w:ascii="Times New Roman" w:hAnsi="Times New Roman" w:cs="Times New Roman"/>
          <w:sz w:val="24"/>
          <w:szCs w:val="24"/>
        </w:rPr>
      </w:pPr>
      <w:r>
        <w:rPr>
          <w:rFonts w:ascii="Times New Roman" w:hAnsi="Times New Roman" w:cs="Times New Roman"/>
          <w:sz w:val="24"/>
          <w:szCs w:val="24"/>
        </w:rPr>
        <w:t>The sunsetting exemptions made by the Amendment Regulations are in accordance with established policy criteria for the granting of exemptions</w:t>
      </w:r>
      <w:r w:rsidR="00CB5E7F">
        <w:rPr>
          <w:rFonts w:ascii="Times New Roman" w:hAnsi="Times New Roman" w:cs="Times New Roman"/>
          <w:sz w:val="24"/>
          <w:szCs w:val="24"/>
        </w:rPr>
        <w:t>, provided for in the Attorney</w:t>
      </w:r>
      <w:r w:rsidR="00CB5E7F">
        <w:rPr>
          <w:rFonts w:ascii="Times New Roman" w:hAnsi="Times New Roman" w:cs="Times New Roman"/>
          <w:sz w:val="24"/>
          <w:szCs w:val="24"/>
        </w:rPr>
        <w:noBreakHyphen/>
        <w:t xml:space="preserve">General’s Department’s </w:t>
      </w:r>
      <w:r w:rsidR="00CB5E7F">
        <w:rPr>
          <w:rFonts w:ascii="Times New Roman" w:hAnsi="Times New Roman" w:cs="Times New Roman"/>
          <w:i/>
          <w:sz w:val="24"/>
          <w:szCs w:val="24"/>
        </w:rPr>
        <w:t>Guide to managing sunsetting of legislative instruments</w:t>
      </w:r>
      <w:r>
        <w:rPr>
          <w:rFonts w:ascii="Times New Roman" w:hAnsi="Times New Roman" w:cs="Times New Roman"/>
          <w:sz w:val="24"/>
          <w:szCs w:val="24"/>
        </w:rPr>
        <w:t xml:space="preserve">. </w:t>
      </w:r>
      <w:r w:rsidR="007E4D38" w:rsidRPr="007E4D38">
        <w:t xml:space="preserve"> </w:t>
      </w:r>
      <w:r w:rsidR="007E4D38">
        <w:rPr>
          <w:rFonts w:ascii="Times New Roman" w:hAnsi="Times New Roman" w:cs="Times New Roman"/>
          <w:sz w:val="24"/>
          <w:szCs w:val="24"/>
        </w:rPr>
        <w:t>The two instruments are</w:t>
      </w:r>
      <w:r w:rsidR="007E4D38" w:rsidRPr="007E4D38">
        <w:rPr>
          <w:rFonts w:ascii="Times New Roman" w:hAnsi="Times New Roman" w:cs="Times New Roman"/>
          <w:sz w:val="24"/>
          <w:szCs w:val="24"/>
        </w:rPr>
        <w:t xml:space="preserve"> sufficiently large and complex that the administrative burden associated with remaking the instrument</w:t>
      </w:r>
      <w:r w:rsidR="007E4D38">
        <w:rPr>
          <w:rFonts w:ascii="Times New Roman" w:hAnsi="Times New Roman" w:cs="Times New Roman"/>
          <w:sz w:val="24"/>
          <w:szCs w:val="24"/>
        </w:rPr>
        <w:t>s</w:t>
      </w:r>
      <w:r w:rsidR="007E4D38" w:rsidRPr="007E4D38">
        <w:rPr>
          <w:rFonts w:ascii="Times New Roman" w:hAnsi="Times New Roman" w:cs="Times New Roman"/>
          <w:sz w:val="24"/>
          <w:szCs w:val="24"/>
        </w:rPr>
        <w:t xml:space="preserve"> would outweigh any regulatory benefit, and </w:t>
      </w:r>
      <w:r w:rsidR="007E4D38">
        <w:rPr>
          <w:rFonts w:ascii="Times New Roman" w:hAnsi="Times New Roman" w:cs="Times New Roman"/>
          <w:sz w:val="24"/>
          <w:szCs w:val="24"/>
        </w:rPr>
        <w:t>they are</w:t>
      </w:r>
      <w:r w:rsidR="007E4D38" w:rsidRPr="007E4D38">
        <w:rPr>
          <w:rFonts w:ascii="Times New Roman" w:hAnsi="Times New Roman" w:cs="Times New Roman"/>
          <w:sz w:val="24"/>
          <w:szCs w:val="24"/>
        </w:rPr>
        <w:t xml:space="preserve"> subject to regular review and to regular amendment.</w:t>
      </w:r>
    </w:p>
    <w:p w14:paraId="505E3CF8" w14:textId="5EDB4F6D" w:rsidR="00503AA3" w:rsidRDefault="006C07D5" w:rsidP="00210C75">
      <w:r w:rsidRPr="00782043">
        <w:rPr>
          <w:rFonts w:ascii="Times New Roman" w:hAnsi="Times New Roman" w:cs="Times New Roman"/>
          <w:b/>
          <w:sz w:val="24"/>
          <w:szCs w:val="24"/>
        </w:rPr>
        <w:t>Human Rights Implications</w:t>
      </w:r>
    </w:p>
    <w:p w14:paraId="029A86B1" w14:textId="0926B6C6" w:rsidR="0013412F" w:rsidRDefault="00C303D4" w:rsidP="00210C75">
      <w:pPr>
        <w:spacing w:after="0"/>
        <w:rPr>
          <w:rFonts w:ascii="Times New Roman" w:hAnsi="Times New Roman" w:cs="Times New Roman"/>
          <w:spacing w:val="-2"/>
          <w:sz w:val="24"/>
          <w:szCs w:val="24"/>
        </w:rPr>
      </w:pPr>
      <w:r w:rsidRPr="00267527">
        <w:rPr>
          <w:rFonts w:ascii="Times New Roman" w:hAnsi="Times New Roman" w:cs="Times New Roman"/>
          <w:spacing w:val="-2"/>
          <w:sz w:val="24"/>
          <w:szCs w:val="24"/>
        </w:rPr>
        <w:t>The Amendment Regulations provide exemption</w:t>
      </w:r>
      <w:r w:rsidR="0013412F">
        <w:rPr>
          <w:rFonts w:ascii="Times New Roman" w:hAnsi="Times New Roman" w:cs="Times New Roman"/>
          <w:spacing w:val="-2"/>
          <w:sz w:val="24"/>
          <w:szCs w:val="24"/>
        </w:rPr>
        <w:t>s</w:t>
      </w:r>
      <w:r w:rsidRPr="00267527">
        <w:rPr>
          <w:rFonts w:ascii="Times New Roman" w:hAnsi="Times New Roman" w:cs="Times New Roman"/>
          <w:spacing w:val="-2"/>
          <w:sz w:val="24"/>
          <w:szCs w:val="24"/>
        </w:rPr>
        <w:t xml:space="preserve"> from sunsetting for the </w:t>
      </w:r>
      <w:r w:rsidRPr="00267527">
        <w:rPr>
          <w:rFonts w:ascii="Times New Roman" w:eastAsia="Times New Roman" w:hAnsi="Times New Roman" w:cs="Times New Roman"/>
          <w:i/>
          <w:sz w:val="24"/>
          <w:szCs w:val="24"/>
          <w:lang w:eastAsia="en-AU"/>
        </w:rPr>
        <w:t xml:space="preserve">Defence Determination </w:t>
      </w:r>
      <w:r w:rsidRPr="00200E48">
        <w:rPr>
          <w:rFonts w:ascii="Times New Roman" w:eastAsia="Times New Roman" w:hAnsi="Times New Roman" w:cs="Times New Roman"/>
          <w:i/>
          <w:sz w:val="24"/>
          <w:szCs w:val="24"/>
          <w:lang w:eastAsia="en-AU"/>
        </w:rPr>
        <w:t>2016/19, Conditions of service</w:t>
      </w:r>
      <w:r w:rsidR="0013412F">
        <w:rPr>
          <w:rFonts w:ascii="Times New Roman" w:eastAsia="Times New Roman" w:hAnsi="Times New Roman" w:cs="Times New Roman"/>
          <w:i/>
          <w:sz w:val="24"/>
          <w:szCs w:val="24"/>
          <w:lang w:eastAsia="en-AU"/>
        </w:rPr>
        <w:t xml:space="preserve"> </w:t>
      </w:r>
      <w:r w:rsidR="0013412F">
        <w:rPr>
          <w:rFonts w:ascii="Times New Roman" w:eastAsia="Times New Roman" w:hAnsi="Times New Roman" w:cs="Times New Roman"/>
          <w:sz w:val="24"/>
          <w:szCs w:val="24"/>
          <w:lang w:eastAsia="en-AU"/>
        </w:rPr>
        <w:t xml:space="preserve">and the </w:t>
      </w:r>
      <w:r w:rsidR="0013412F" w:rsidRPr="00A4365B">
        <w:rPr>
          <w:rFonts w:ascii="Times New Roman" w:eastAsia="Calibri" w:hAnsi="Times New Roman" w:cs="Times New Roman"/>
          <w:i/>
          <w:sz w:val="24"/>
          <w:szCs w:val="24"/>
          <w:lang w:eastAsia="en-AU"/>
        </w:rPr>
        <w:t>Public Governance, Performance and Accountability Rule 2014</w:t>
      </w:r>
      <w:r w:rsidRPr="00200E48">
        <w:rPr>
          <w:rFonts w:ascii="Times New Roman" w:eastAsia="Times New Roman" w:hAnsi="Times New Roman" w:cs="Times New Roman"/>
          <w:sz w:val="24"/>
          <w:szCs w:val="24"/>
          <w:lang w:eastAsia="en-AU"/>
        </w:rPr>
        <w:t>.</w:t>
      </w:r>
      <w:r w:rsidRPr="005C6F3A">
        <w:rPr>
          <w:rFonts w:ascii="Times New Roman" w:eastAsia="Calibri" w:hAnsi="Times New Roman" w:cs="Times New Roman"/>
          <w:i/>
          <w:sz w:val="24"/>
          <w:szCs w:val="24"/>
          <w:lang w:eastAsia="en-AU"/>
        </w:rPr>
        <w:t xml:space="preserve"> </w:t>
      </w:r>
      <w:r w:rsidRPr="005C6F3A">
        <w:rPr>
          <w:rFonts w:ascii="Times New Roman" w:hAnsi="Times New Roman" w:cs="Times New Roman"/>
          <w:spacing w:val="-2"/>
          <w:sz w:val="24"/>
          <w:szCs w:val="24"/>
        </w:rPr>
        <w:t>The exemption</w:t>
      </w:r>
      <w:r w:rsidR="0013412F">
        <w:rPr>
          <w:rFonts w:ascii="Times New Roman" w:hAnsi="Times New Roman" w:cs="Times New Roman"/>
          <w:spacing w:val="-2"/>
          <w:sz w:val="24"/>
          <w:szCs w:val="24"/>
        </w:rPr>
        <w:t>s</w:t>
      </w:r>
      <w:r w:rsidRPr="005C6F3A">
        <w:rPr>
          <w:rFonts w:ascii="Times New Roman" w:hAnsi="Times New Roman" w:cs="Times New Roman"/>
          <w:spacing w:val="-2"/>
          <w:sz w:val="24"/>
          <w:szCs w:val="24"/>
        </w:rPr>
        <w:t xml:space="preserve"> from sunsetting </w:t>
      </w:r>
      <w:r w:rsidR="00503AA3">
        <w:rPr>
          <w:rFonts w:ascii="Times New Roman" w:hAnsi="Times New Roman" w:cs="Times New Roman"/>
          <w:spacing w:val="-2"/>
          <w:sz w:val="24"/>
          <w:szCs w:val="24"/>
        </w:rPr>
        <w:t>of</w:t>
      </w:r>
      <w:r w:rsidR="0013412F">
        <w:rPr>
          <w:rFonts w:ascii="Times New Roman" w:hAnsi="Times New Roman" w:cs="Times New Roman"/>
          <w:spacing w:val="-2"/>
          <w:sz w:val="24"/>
          <w:szCs w:val="24"/>
        </w:rPr>
        <w:t xml:space="preserve"> these instruments do not raise human rights issues as the </w:t>
      </w:r>
      <w:r w:rsidR="002671B1">
        <w:rPr>
          <w:rFonts w:ascii="Times New Roman" w:hAnsi="Times New Roman" w:cs="Times New Roman"/>
          <w:spacing w:val="-2"/>
          <w:sz w:val="24"/>
          <w:szCs w:val="24"/>
        </w:rPr>
        <w:t>content of the exempted instruments is not altered</w:t>
      </w:r>
      <w:r w:rsidR="00437309">
        <w:rPr>
          <w:rFonts w:ascii="Times New Roman" w:hAnsi="Times New Roman" w:cs="Times New Roman"/>
          <w:spacing w:val="-2"/>
          <w:sz w:val="24"/>
          <w:szCs w:val="24"/>
        </w:rPr>
        <w:t>, nor do the exemptions affect the rights engaged under the original instruments</w:t>
      </w:r>
      <w:r w:rsidR="00A85371">
        <w:rPr>
          <w:rFonts w:ascii="Times New Roman" w:hAnsi="Times New Roman" w:cs="Times New Roman"/>
          <w:spacing w:val="-2"/>
          <w:sz w:val="24"/>
          <w:szCs w:val="24"/>
        </w:rPr>
        <w:t xml:space="preserve">. Further, the exempted instruments are subject to regular review and amendment. </w:t>
      </w:r>
      <w:r w:rsidR="002671B1">
        <w:rPr>
          <w:rFonts w:ascii="Times New Roman" w:hAnsi="Times New Roman" w:cs="Times New Roman"/>
          <w:spacing w:val="-2"/>
          <w:sz w:val="24"/>
          <w:szCs w:val="24"/>
        </w:rPr>
        <w:t xml:space="preserve">All instruments that amend the </w:t>
      </w:r>
      <w:r w:rsidR="002671B1">
        <w:rPr>
          <w:rFonts w:ascii="Times New Roman" w:hAnsi="Times New Roman" w:cs="Times New Roman"/>
          <w:spacing w:val="-2"/>
          <w:sz w:val="24"/>
          <w:szCs w:val="24"/>
        </w:rPr>
        <w:lastRenderedPageBreak/>
        <w:t xml:space="preserve">defence Determination and PGPA Rule are assessed for compatibility with human rights and accordingly includes compatibility statements. </w:t>
      </w:r>
    </w:p>
    <w:p w14:paraId="3CA2BBED" w14:textId="77777777" w:rsidR="00437309" w:rsidRDefault="00437309" w:rsidP="00210C75">
      <w:pPr>
        <w:spacing w:before="80" w:after="80"/>
        <w:rPr>
          <w:rFonts w:ascii="Times New Roman" w:eastAsia="Calibri" w:hAnsi="Times New Roman" w:cs="Times New Roman"/>
          <w:sz w:val="24"/>
          <w:szCs w:val="24"/>
          <w:u w:val="single"/>
          <w:lang w:eastAsia="en-AU"/>
        </w:rPr>
      </w:pPr>
    </w:p>
    <w:p w14:paraId="7EA60EC4" w14:textId="43916A2B" w:rsidR="00437309" w:rsidRPr="00782043" w:rsidRDefault="00437309" w:rsidP="00210C75">
      <w:pPr>
        <w:keepNext/>
        <w:spacing w:before="80" w:after="80"/>
        <w:rPr>
          <w:rFonts w:ascii="Times New Roman" w:eastAsia="Calibri" w:hAnsi="Times New Roman" w:cs="Times New Roman"/>
          <w:i/>
          <w:sz w:val="24"/>
          <w:szCs w:val="24"/>
          <w:lang w:eastAsia="en-AU"/>
        </w:rPr>
      </w:pPr>
      <w:r w:rsidRPr="00782043">
        <w:rPr>
          <w:rFonts w:ascii="Times New Roman" w:eastAsia="Calibri" w:hAnsi="Times New Roman" w:cs="Times New Roman"/>
          <w:i/>
          <w:sz w:val="24"/>
          <w:szCs w:val="24"/>
          <w:lang w:eastAsia="en-AU"/>
        </w:rPr>
        <w:t>Defence Determination 2016/19, Conditions of service</w:t>
      </w:r>
    </w:p>
    <w:p w14:paraId="4A11A93E" w14:textId="22968ADD" w:rsidR="00437309" w:rsidRDefault="00437309" w:rsidP="00210C75">
      <w:pPr>
        <w:spacing w:after="0"/>
        <w:rPr>
          <w:rFonts w:ascii="Times New Roman" w:hAnsi="Times New Roman" w:cs="Times New Roman"/>
          <w:spacing w:val="-2"/>
          <w:sz w:val="24"/>
          <w:szCs w:val="24"/>
        </w:rPr>
      </w:pPr>
    </w:p>
    <w:p w14:paraId="597D3916" w14:textId="1ED0F802" w:rsidR="00344048" w:rsidRDefault="00437309" w:rsidP="00210C75">
      <w:pPr>
        <w:spacing w:after="0"/>
        <w:rPr>
          <w:rFonts w:ascii="Times New Roman" w:hAnsi="Times New Roman" w:cs="Times New Roman"/>
          <w:sz w:val="24"/>
          <w:szCs w:val="24"/>
        </w:rPr>
      </w:pPr>
      <w:r>
        <w:rPr>
          <w:rFonts w:ascii="Times New Roman" w:hAnsi="Times New Roman" w:cs="Times New Roman"/>
          <w:spacing w:val="-2"/>
          <w:sz w:val="24"/>
          <w:szCs w:val="24"/>
        </w:rPr>
        <w:t xml:space="preserve">The Defence Determination </w:t>
      </w:r>
      <w:r w:rsidR="00DE011F" w:rsidRPr="005C6F3A">
        <w:rPr>
          <w:rFonts w:ascii="Times New Roman" w:hAnsi="Times New Roman" w:cs="Times New Roman"/>
          <w:spacing w:val="-2"/>
          <w:sz w:val="24"/>
          <w:szCs w:val="24"/>
        </w:rPr>
        <w:t xml:space="preserve">engages with and upholds the </w:t>
      </w:r>
      <w:r w:rsidR="00344048" w:rsidRPr="007E4D38">
        <w:rPr>
          <w:rFonts w:ascii="Times New Roman" w:hAnsi="Times New Roman" w:cs="Times New Roman"/>
          <w:sz w:val="24"/>
          <w:szCs w:val="24"/>
        </w:rPr>
        <w:t xml:space="preserve">right to the </w:t>
      </w:r>
      <w:r w:rsidR="00344048" w:rsidRPr="00267527">
        <w:rPr>
          <w:rFonts w:ascii="Times New Roman" w:hAnsi="Times New Roman" w:cs="Times New Roman"/>
          <w:sz w:val="24"/>
          <w:szCs w:val="24"/>
        </w:rPr>
        <w:t>enjoyment of just and favourable conditions of work, including remuneration, safe and hea</w:t>
      </w:r>
      <w:r w:rsidR="00344048" w:rsidRPr="00200E48">
        <w:rPr>
          <w:rFonts w:ascii="Times New Roman" w:hAnsi="Times New Roman" w:cs="Times New Roman"/>
          <w:sz w:val="24"/>
          <w:szCs w:val="24"/>
        </w:rPr>
        <w:t>lthy working conditions, equal opportunity and reasonable limitations</w:t>
      </w:r>
      <w:r w:rsidR="00DE011F" w:rsidRPr="00200E48">
        <w:rPr>
          <w:rFonts w:ascii="Times New Roman" w:hAnsi="Times New Roman" w:cs="Times New Roman"/>
          <w:sz w:val="24"/>
          <w:szCs w:val="24"/>
        </w:rPr>
        <w:t xml:space="preserve">. These rights </w:t>
      </w:r>
      <w:r w:rsidR="00344048" w:rsidRPr="005C6F3A">
        <w:rPr>
          <w:rFonts w:ascii="Times New Roman" w:hAnsi="Times New Roman" w:cs="Times New Roman"/>
          <w:sz w:val="24"/>
          <w:szCs w:val="24"/>
        </w:rPr>
        <w:t>all engage</w:t>
      </w:r>
      <w:r w:rsidR="00DE011F" w:rsidRPr="005C6F3A">
        <w:rPr>
          <w:rFonts w:ascii="Times New Roman" w:hAnsi="Times New Roman" w:cs="Times New Roman"/>
          <w:sz w:val="24"/>
          <w:szCs w:val="24"/>
        </w:rPr>
        <w:t xml:space="preserve"> </w:t>
      </w:r>
      <w:r w:rsidR="00344048" w:rsidRPr="005C6F3A">
        <w:rPr>
          <w:rFonts w:ascii="Times New Roman" w:hAnsi="Times New Roman" w:cs="Times New Roman"/>
          <w:sz w:val="24"/>
          <w:szCs w:val="24"/>
        </w:rPr>
        <w:t xml:space="preserve">Article 7 of the International Covenant on Economic, Social and Cultural Rights. </w:t>
      </w:r>
    </w:p>
    <w:p w14:paraId="51C7162E" w14:textId="77777777" w:rsidR="008017DB" w:rsidRPr="0013412F" w:rsidRDefault="008017DB" w:rsidP="00210C75">
      <w:pPr>
        <w:spacing w:after="0"/>
        <w:rPr>
          <w:rFonts w:ascii="Times New Roman" w:eastAsia="Calibri" w:hAnsi="Times New Roman" w:cs="Times New Roman"/>
          <w:sz w:val="24"/>
          <w:szCs w:val="24"/>
          <w:u w:val="single"/>
          <w:lang w:eastAsia="en-AU"/>
        </w:rPr>
      </w:pPr>
    </w:p>
    <w:p w14:paraId="3403D630" w14:textId="68FFA710" w:rsidR="00344048" w:rsidRPr="00DE011F" w:rsidRDefault="00344048" w:rsidP="00210C75">
      <w:pPr>
        <w:rPr>
          <w:rFonts w:ascii="Times New Roman" w:hAnsi="Times New Roman" w:cs="Times New Roman"/>
          <w:sz w:val="24"/>
          <w:szCs w:val="24"/>
        </w:rPr>
      </w:pPr>
      <w:r w:rsidRPr="00DE011F">
        <w:rPr>
          <w:rFonts w:ascii="Times New Roman" w:hAnsi="Times New Roman" w:cs="Times New Roman"/>
          <w:sz w:val="24"/>
          <w:szCs w:val="24"/>
        </w:rPr>
        <w:t>In the context of supporting a member’s capability to provide service, the following human rights are also engaged</w:t>
      </w:r>
      <w:r w:rsidR="00DE011F">
        <w:rPr>
          <w:rFonts w:ascii="Times New Roman" w:hAnsi="Times New Roman" w:cs="Times New Roman"/>
          <w:sz w:val="24"/>
          <w:szCs w:val="24"/>
        </w:rPr>
        <w:t xml:space="preserve"> and upheld:</w:t>
      </w:r>
    </w:p>
    <w:p w14:paraId="123CB712" w14:textId="4E3EB2D3" w:rsidR="00344048" w:rsidRPr="00420A7A" w:rsidRDefault="00344048" w:rsidP="00210C75">
      <w:pPr>
        <w:pStyle w:val="ListParagraph"/>
        <w:numPr>
          <w:ilvl w:val="0"/>
          <w:numId w:val="9"/>
        </w:numPr>
        <w:rPr>
          <w:rFonts w:ascii="Times New Roman" w:hAnsi="Times New Roman" w:cs="Times New Roman"/>
          <w:sz w:val="24"/>
          <w:szCs w:val="24"/>
        </w:rPr>
      </w:pPr>
      <w:r w:rsidRPr="00420A7A">
        <w:rPr>
          <w:rFonts w:ascii="Times New Roman" w:hAnsi="Times New Roman" w:cs="Times New Roman"/>
          <w:sz w:val="24"/>
          <w:szCs w:val="24"/>
        </w:rPr>
        <w:t>Article 11 of the International Covenant on Economic, Social and Cultural Rights</w:t>
      </w:r>
      <w:r w:rsidR="00A9467B" w:rsidRPr="00420A7A">
        <w:rPr>
          <w:rFonts w:ascii="Times New Roman" w:hAnsi="Times New Roman" w:cs="Times New Roman"/>
          <w:sz w:val="24"/>
          <w:szCs w:val="24"/>
        </w:rPr>
        <w:t xml:space="preserve">, </w:t>
      </w:r>
      <w:r w:rsidRPr="00420A7A">
        <w:rPr>
          <w:rFonts w:ascii="Times New Roman" w:hAnsi="Times New Roman" w:cs="Times New Roman"/>
          <w:sz w:val="24"/>
          <w:szCs w:val="24"/>
        </w:rPr>
        <w:t>which recognises the right of everyone to an adequate standard of living for them and their family, including adequate food, clothing and housing, and to the continuous improvement of living conditions</w:t>
      </w:r>
      <w:r w:rsidR="00A9467B" w:rsidRPr="00420A7A">
        <w:rPr>
          <w:rFonts w:ascii="Times New Roman" w:hAnsi="Times New Roman" w:cs="Times New Roman"/>
          <w:sz w:val="24"/>
          <w:szCs w:val="24"/>
        </w:rPr>
        <w:t>; and</w:t>
      </w:r>
    </w:p>
    <w:p w14:paraId="7E723D73" w14:textId="7CB61CA7" w:rsidR="00344048" w:rsidRPr="00420A7A" w:rsidRDefault="00344048" w:rsidP="00210C75">
      <w:pPr>
        <w:pStyle w:val="ListParagraph"/>
        <w:numPr>
          <w:ilvl w:val="0"/>
          <w:numId w:val="9"/>
        </w:numPr>
        <w:rPr>
          <w:rFonts w:ascii="Times New Roman" w:eastAsia="Times New Roman" w:hAnsi="Times New Roman" w:cs="Times New Roman"/>
          <w:sz w:val="24"/>
          <w:szCs w:val="24"/>
          <w:lang w:eastAsia="en-AU"/>
        </w:rPr>
      </w:pPr>
      <w:r w:rsidRPr="00420A7A">
        <w:rPr>
          <w:rFonts w:ascii="Times New Roman" w:hAnsi="Times New Roman" w:cs="Times New Roman"/>
          <w:sz w:val="24"/>
          <w:szCs w:val="24"/>
        </w:rPr>
        <w:t>Article 3 of the Convention of the Rights of the Child and Article 24(1) of the International Covenant on Civil and Political Rights</w:t>
      </w:r>
      <w:r w:rsidR="00A9467B" w:rsidRPr="00420A7A">
        <w:rPr>
          <w:rFonts w:ascii="Times New Roman" w:hAnsi="Times New Roman" w:cs="Times New Roman"/>
          <w:sz w:val="24"/>
          <w:szCs w:val="24"/>
        </w:rPr>
        <w:t>,</w:t>
      </w:r>
      <w:r w:rsidRPr="00420A7A">
        <w:rPr>
          <w:rFonts w:ascii="Times New Roman" w:hAnsi="Times New Roman" w:cs="Times New Roman"/>
          <w:sz w:val="24"/>
          <w:szCs w:val="24"/>
        </w:rPr>
        <w:t xml:space="preserve"> which recognise the rights of parents and children, including the best interests of a child, adoption of children and disability matters</w:t>
      </w:r>
      <w:r w:rsidR="00A9467B" w:rsidRPr="00420A7A">
        <w:rPr>
          <w:rFonts w:ascii="Times New Roman" w:hAnsi="Times New Roman" w:cs="Times New Roman"/>
          <w:sz w:val="24"/>
          <w:szCs w:val="24"/>
        </w:rPr>
        <w:t>.</w:t>
      </w:r>
    </w:p>
    <w:p w14:paraId="0C7A60AF" w14:textId="0AD5452C" w:rsidR="00C303D4" w:rsidRPr="00782043" w:rsidRDefault="00C303D4" w:rsidP="00210C75">
      <w:pPr>
        <w:spacing w:after="0"/>
        <w:rPr>
          <w:rFonts w:ascii="Times New Roman" w:eastAsia="Calibri" w:hAnsi="Times New Roman" w:cs="Times New Roman"/>
          <w:i/>
          <w:sz w:val="24"/>
          <w:szCs w:val="24"/>
          <w:lang w:eastAsia="en-AU"/>
        </w:rPr>
      </w:pPr>
      <w:r w:rsidRPr="00782043">
        <w:rPr>
          <w:rFonts w:ascii="Times New Roman" w:eastAsia="Calibri" w:hAnsi="Times New Roman" w:cs="Times New Roman"/>
          <w:i/>
          <w:sz w:val="24"/>
          <w:szCs w:val="24"/>
          <w:lang w:eastAsia="en-AU"/>
        </w:rPr>
        <w:t>Public Governance, Performance and Accountability Rule 2014</w:t>
      </w:r>
    </w:p>
    <w:p w14:paraId="7A958A14" w14:textId="7E923C78" w:rsidR="00C303D4" w:rsidRPr="00A9467B" w:rsidRDefault="00437309" w:rsidP="00210C75">
      <w:pPr>
        <w:pStyle w:val="Basetext"/>
        <w:keepLines/>
        <w:spacing w:before="240" w:afterLines="200" w:after="480"/>
        <w:contextualSpacing/>
        <w:rPr>
          <w:sz w:val="24"/>
          <w:szCs w:val="24"/>
          <w:lang w:val="en"/>
        </w:rPr>
      </w:pPr>
      <w:r>
        <w:rPr>
          <w:sz w:val="24"/>
          <w:szCs w:val="24"/>
          <w:lang w:val="en"/>
        </w:rPr>
        <w:t>The</w:t>
      </w:r>
      <w:r w:rsidR="00C303D4" w:rsidRPr="00A9467B">
        <w:rPr>
          <w:sz w:val="24"/>
          <w:szCs w:val="24"/>
          <w:lang w:val="en"/>
        </w:rPr>
        <w:t xml:space="preserve"> PGPA Rule engages the right</w:t>
      </w:r>
      <w:r w:rsidR="00A9467B">
        <w:rPr>
          <w:sz w:val="24"/>
          <w:szCs w:val="24"/>
          <w:lang w:val="en"/>
        </w:rPr>
        <w:t xml:space="preserve"> </w:t>
      </w:r>
      <w:r w:rsidR="00C303D4" w:rsidRPr="00A9467B">
        <w:rPr>
          <w:sz w:val="24"/>
          <w:szCs w:val="24"/>
          <w:lang w:val="en"/>
        </w:rPr>
        <w:t>to privacy as contained in Article 17 of the International Covenant on Civil and Political Rights. Article 17 provides that no one shall be subjected to arbitrary or unlawful interference with his or her privacy,</w:t>
      </w:r>
      <w:r w:rsidR="00A9467B">
        <w:rPr>
          <w:sz w:val="24"/>
          <w:szCs w:val="24"/>
          <w:lang w:val="en"/>
        </w:rPr>
        <w:t xml:space="preserve"> </w:t>
      </w:r>
      <w:r w:rsidR="00C303D4" w:rsidRPr="00A9467B">
        <w:rPr>
          <w:sz w:val="24"/>
          <w:szCs w:val="24"/>
          <w:lang w:val="en"/>
        </w:rPr>
        <w:t xml:space="preserve">family, home or correspondence. The right to privacy is not absolute, however limitations on the right must be </w:t>
      </w:r>
      <w:proofErr w:type="spellStart"/>
      <w:r w:rsidR="00C303D4" w:rsidRPr="00A9467B">
        <w:rPr>
          <w:sz w:val="24"/>
          <w:szCs w:val="24"/>
          <w:lang w:val="en"/>
        </w:rPr>
        <w:t>authorised</w:t>
      </w:r>
      <w:proofErr w:type="spellEnd"/>
      <w:r w:rsidR="00C303D4" w:rsidRPr="00A9467B">
        <w:rPr>
          <w:sz w:val="24"/>
          <w:szCs w:val="24"/>
          <w:lang w:val="en"/>
        </w:rPr>
        <w:t xml:space="preserve"> by law and must not be arbitrary. The PGPA Rule engages the right to privacy as it requires the publication, in Commonwealth entities’ and companies’ annual reports, of: </w:t>
      </w:r>
    </w:p>
    <w:p w14:paraId="55DF1867" w14:textId="7B5205F5" w:rsidR="00C303D4" w:rsidRPr="00A9467B" w:rsidRDefault="00C303D4" w:rsidP="00210C75">
      <w:pPr>
        <w:pStyle w:val="Basetext"/>
        <w:keepLines/>
        <w:spacing w:before="240" w:afterLines="200" w:after="480"/>
        <w:contextualSpacing/>
        <w:rPr>
          <w:sz w:val="24"/>
          <w:szCs w:val="24"/>
          <w:lang w:val="en"/>
        </w:rPr>
      </w:pPr>
    </w:p>
    <w:p w14:paraId="6AB7FA10" w14:textId="353FBA41" w:rsidR="00C303D4" w:rsidRPr="00A9467B" w:rsidRDefault="00C303D4" w:rsidP="00210C75">
      <w:pPr>
        <w:pStyle w:val="Basetext"/>
        <w:keepLines/>
        <w:numPr>
          <w:ilvl w:val="0"/>
          <w:numId w:val="7"/>
        </w:numPr>
        <w:spacing w:before="240" w:afterLines="200" w:after="480"/>
        <w:contextualSpacing/>
        <w:rPr>
          <w:sz w:val="24"/>
          <w:szCs w:val="24"/>
          <w:lang w:val="en"/>
        </w:rPr>
      </w:pPr>
      <w:r w:rsidRPr="00A9467B">
        <w:rPr>
          <w:sz w:val="24"/>
          <w:szCs w:val="24"/>
          <w:lang w:val="en"/>
        </w:rPr>
        <w:t>individual remuneration information (including the name, position title and remuneration details) of key management personnel, and, for Commonwealth entities, aggregated remuneration information for senior executive and other highly paid staff, and</w:t>
      </w:r>
    </w:p>
    <w:p w14:paraId="2F011F11" w14:textId="31C6F982" w:rsidR="00C303D4" w:rsidRPr="00A9467B" w:rsidRDefault="00C303D4" w:rsidP="00210C75">
      <w:pPr>
        <w:pStyle w:val="Basetext"/>
        <w:keepLines/>
        <w:numPr>
          <w:ilvl w:val="0"/>
          <w:numId w:val="7"/>
        </w:numPr>
        <w:spacing w:before="240" w:afterLines="200" w:after="480"/>
        <w:contextualSpacing/>
        <w:rPr>
          <w:sz w:val="24"/>
          <w:szCs w:val="24"/>
          <w:lang w:val="en"/>
        </w:rPr>
      </w:pPr>
      <w:r w:rsidRPr="00A9467B">
        <w:rPr>
          <w:sz w:val="24"/>
          <w:szCs w:val="24"/>
          <w:lang w:val="en"/>
        </w:rPr>
        <w:t>the name of each member of the audit committee; the qualifications, knowledge, skills and experience of each audit committee member; information about each member’s attendance at meetings of the audit committee and the remuneration of each member of the entity’s audit committee.</w:t>
      </w:r>
    </w:p>
    <w:p w14:paraId="59118E30" w14:textId="395EC4D2" w:rsidR="00C303D4" w:rsidRPr="00A9467B" w:rsidRDefault="00C303D4" w:rsidP="00210C75">
      <w:pPr>
        <w:pStyle w:val="Basetext"/>
        <w:keepLines/>
        <w:spacing w:before="240" w:afterLines="200" w:after="480"/>
        <w:contextualSpacing/>
        <w:rPr>
          <w:sz w:val="24"/>
          <w:szCs w:val="24"/>
          <w:lang w:val="en"/>
        </w:rPr>
      </w:pPr>
    </w:p>
    <w:p w14:paraId="708ACD33" w14:textId="2CA939C0" w:rsidR="00C303D4" w:rsidRPr="00A9467B" w:rsidRDefault="00C303D4" w:rsidP="00210C75">
      <w:pPr>
        <w:pStyle w:val="Basetext"/>
        <w:keepLines/>
        <w:spacing w:before="240" w:afterLines="200" w:after="480"/>
        <w:contextualSpacing/>
        <w:rPr>
          <w:sz w:val="24"/>
          <w:szCs w:val="24"/>
          <w:lang w:val="en"/>
        </w:rPr>
      </w:pPr>
      <w:r w:rsidRPr="00A9467B">
        <w:rPr>
          <w:sz w:val="24"/>
          <w:szCs w:val="24"/>
          <w:lang w:val="en"/>
        </w:rPr>
        <w:lastRenderedPageBreak/>
        <w:t>The purpose of the relevant provisions in the PGPA Rule is to promote public transparency and scrutiny relating to the use of public resources through the disclosure of the remuneration of certain persons that are paid by Commonwealth entities and companies, and of audit committee members names, qualifications, skills, attendance at meetings and remuneration information of audit committee members.</w:t>
      </w:r>
    </w:p>
    <w:p w14:paraId="17EF1258" w14:textId="7319375D" w:rsidR="00C303D4" w:rsidRPr="00A9467B" w:rsidRDefault="00C303D4" w:rsidP="00210C75">
      <w:pPr>
        <w:pStyle w:val="Basetext"/>
        <w:keepLines/>
        <w:spacing w:before="240" w:afterLines="200" w:after="480"/>
        <w:contextualSpacing/>
        <w:rPr>
          <w:sz w:val="24"/>
          <w:szCs w:val="24"/>
          <w:lang w:val="en"/>
        </w:rPr>
      </w:pPr>
    </w:p>
    <w:p w14:paraId="499F7456" w14:textId="788F2112" w:rsidR="00C303D4" w:rsidRPr="00A9467B" w:rsidRDefault="00C303D4" w:rsidP="00210C75">
      <w:pPr>
        <w:pStyle w:val="Basetext"/>
        <w:keepLines/>
        <w:spacing w:before="240" w:afterLines="200" w:after="480"/>
        <w:contextualSpacing/>
        <w:rPr>
          <w:sz w:val="24"/>
          <w:szCs w:val="24"/>
          <w:lang w:val="en"/>
        </w:rPr>
      </w:pPr>
      <w:r w:rsidRPr="00A9467B">
        <w:rPr>
          <w:sz w:val="24"/>
          <w:szCs w:val="24"/>
          <w:lang w:val="en"/>
        </w:rPr>
        <w:t xml:space="preserve">Reporting this information is consistent with the objects of the PGPA Act, which include </w:t>
      </w:r>
    </w:p>
    <w:p w14:paraId="5992ECB7" w14:textId="05B3CA4A" w:rsidR="00C303D4" w:rsidRPr="00A9467B" w:rsidRDefault="00C303D4" w:rsidP="00210C75">
      <w:pPr>
        <w:pStyle w:val="Basetext"/>
        <w:keepLines/>
        <w:spacing w:before="240" w:afterLines="200" w:after="480"/>
        <w:contextualSpacing/>
        <w:rPr>
          <w:sz w:val="24"/>
          <w:szCs w:val="24"/>
          <w:lang w:val="en"/>
        </w:rPr>
      </w:pPr>
      <w:r w:rsidRPr="00A9467B">
        <w:rPr>
          <w:sz w:val="24"/>
          <w:szCs w:val="24"/>
          <w:lang w:val="en"/>
        </w:rPr>
        <w:t>establishing a coherent system of governance and accountability across Commonwealth entities. The PGPA Rule is compatible with human rights because the extent that it may limit or restrict the right to privacy is reasonable, necessary and proportionate to the objective of ensuring transparency and accountability in the use of public resources.</w:t>
      </w:r>
    </w:p>
    <w:p w14:paraId="74900AEF" w14:textId="77777777" w:rsidR="00C303D4" w:rsidRDefault="00C303D4" w:rsidP="00210C75">
      <w:pPr>
        <w:spacing w:after="0"/>
        <w:rPr>
          <w:rFonts w:ascii="Times New Roman" w:hAnsi="Times New Roman" w:cs="Times New Roman"/>
          <w:b/>
          <w:sz w:val="24"/>
          <w:szCs w:val="24"/>
        </w:rPr>
      </w:pPr>
      <w:r>
        <w:rPr>
          <w:rFonts w:ascii="Times New Roman" w:hAnsi="Times New Roman" w:cs="Times New Roman"/>
          <w:b/>
          <w:sz w:val="24"/>
          <w:szCs w:val="24"/>
        </w:rPr>
        <w:t xml:space="preserve">Conclusion </w:t>
      </w:r>
    </w:p>
    <w:p w14:paraId="05031928" w14:textId="6F5C2AFB" w:rsidR="00420A7A" w:rsidRDefault="00C303D4" w:rsidP="00210C75">
      <w:pPr>
        <w:spacing w:after="0"/>
        <w:rPr>
          <w:rFonts w:ascii="Times New Roman" w:eastAsia="Calibri" w:hAnsi="Times New Roman" w:cs="Times New Roman"/>
          <w:sz w:val="24"/>
          <w:szCs w:val="24"/>
          <w:lang w:eastAsia="en-AU"/>
        </w:rPr>
      </w:pPr>
      <w:r>
        <w:rPr>
          <w:rFonts w:ascii="Times New Roman" w:hAnsi="Times New Roman" w:cs="Times New Roman"/>
          <w:sz w:val="24"/>
          <w:szCs w:val="24"/>
        </w:rPr>
        <w:t xml:space="preserve">Exemptions from sunsetting do not alter the content of the laws to which those exemptions apply. Sunsetting exemptions merely ensure that the legislative instruments in question are </w:t>
      </w:r>
      <w:r w:rsidRPr="00A9467B">
        <w:rPr>
          <w:rFonts w:ascii="Times New Roman" w:hAnsi="Times New Roman" w:cs="Times New Roman"/>
          <w:sz w:val="24"/>
          <w:szCs w:val="24"/>
        </w:rPr>
        <w:t xml:space="preserve">not automatically repealed on the first 1 April or 1 October that falls on or after the tenth anniversary of their registration. </w:t>
      </w:r>
      <w:r w:rsidRPr="00A9467B">
        <w:rPr>
          <w:rFonts w:ascii="Times New Roman" w:eastAsia="Times New Roman" w:hAnsi="Times New Roman" w:cs="Times New Roman"/>
          <w:sz w:val="24"/>
          <w:lang w:eastAsia="en-AU"/>
        </w:rPr>
        <w:t xml:space="preserve">The </w:t>
      </w:r>
      <w:r w:rsidR="003C6F8E">
        <w:rPr>
          <w:rFonts w:ascii="Times New Roman" w:eastAsia="Times New Roman" w:hAnsi="Times New Roman" w:cs="Times New Roman"/>
          <w:sz w:val="24"/>
          <w:lang w:eastAsia="en-AU"/>
        </w:rPr>
        <w:t xml:space="preserve">Amendment </w:t>
      </w:r>
      <w:r w:rsidRPr="00A9467B">
        <w:rPr>
          <w:rFonts w:ascii="Times New Roman" w:eastAsia="Times New Roman" w:hAnsi="Times New Roman" w:cs="Times New Roman"/>
          <w:sz w:val="24"/>
          <w:lang w:eastAsia="en-AU"/>
        </w:rPr>
        <w:t xml:space="preserve">Regulations are compatible with human rights because the </w:t>
      </w:r>
      <w:r w:rsidR="003C6F8E">
        <w:rPr>
          <w:rFonts w:ascii="Times New Roman" w:eastAsia="Times New Roman" w:hAnsi="Times New Roman" w:cs="Times New Roman"/>
          <w:sz w:val="24"/>
          <w:lang w:eastAsia="en-AU"/>
        </w:rPr>
        <w:t xml:space="preserve">exemptions from sunsetting do not </w:t>
      </w:r>
      <w:r w:rsidR="00A9467B" w:rsidRPr="00A9467B">
        <w:rPr>
          <w:rFonts w:ascii="Times New Roman" w:eastAsia="Times New Roman" w:hAnsi="Times New Roman" w:cs="Times New Roman"/>
          <w:sz w:val="24"/>
          <w:lang w:eastAsia="en-AU"/>
        </w:rPr>
        <w:t xml:space="preserve">engage </w:t>
      </w:r>
      <w:r w:rsidR="003C6F8E">
        <w:rPr>
          <w:rFonts w:ascii="Times New Roman" w:eastAsia="Times New Roman" w:hAnsi="Times New Roman" w:cs="Times New Roman"/>
          <w:sz w:val="24"/>
          <w:lang w:eastAsia="en-AU"/>
        </w:rPr>
        <w:t xml:space="preserve">any of the </w:t>
      </w:r>
      <w:r w:rsidRPr="00A9467B">
        <w:rPr>
          <w:rFonts w:ascii="Times New Roman" w:eastAsia="Times New Roman" w:hAnsi="Times New Roman" w:cs="Times New Roman"/>
          <w:sz w:val="24"/>
          <w:lang w:eastAsia="en-AU"/>
        </w:rPr>
        <w:t xml:space="preserve">rights </w:t>
      </w:r>
      <w:r w:rsidR="003C6F8E">
        <w:rPr>
          <w:rFonts w:ascii="Times New Roman" w:eastAsia="Times New Roman" w:hAnsi="Times New Roman" w:cs="Times New Roman"/>
          <w:sz w:val="24"/>
          <w:lang w:eastAsia="en-AU"/>
        </w:rPr>
        <w:t xml:space="preserve">or </w:t>
      </w:r>
      <w:r w:rsidRPr="00A9467B">
        <w:rPr>
          <w:rFonts w:ascii="Times New Roman" w:eastAsia="Times New Roman" w:hAnsi="Times New Roman" w:cs="Times New Roman"/>
          <w:sz w:val="24"/>
          <w:lang w:eastAsia="en-AU"/>
        </w:rPr>
        <w:t xml:space="preserve">freedoms recognised or declared </w:t>
      </w:r>
      <w:r w:rsidRPr="00A9467B">
        <w:rPr>
          <w:rFonts w:ascii="Times New Roman" w:hAnsi="Times New Roman" w:cs="Times New Roman"/>
          <w:sz w:val="24"/>
          <w:szCs w:val="24"/>
        </w:rPr>
        <w:t xml:space="preserve">in the international instruments listed in section 3 of the </w:t>
      </w:r>
      <w:r w:rsidRPr="00A9467B">
        <w:rPr>
          <w:rFonts w:ascii="Times New Roman" w:hAnsi="Times New Roman" w:cs="Times New Roman"/>
          <w:i/>
          <w:sz w:val="24"/>
          <w:szCs w:val="24"/>
        </w:rPr>
        <w:t>Human Rights (Parliamentary Scrutiny) Act 2011</w:t>
      </w:r>
      <w:r w:rsidRPr="00A9467B">
        <w:rPr>
          <w:rFonts w:ascii="Times New Roman" w:hAnsi="Times New Roman" w:cs="Times New Roman"/>
          <w:sz w:val="24"/>
          <w:szCs w:val="24"/>
        </w:rPr>
        <w:t xml:space="preserve">. </w:t>
      </w:r>
      <w:r w:rsidR="002671B1">
        <w:rPr>
          <w:rFonts w:ascii="Times New Roman" w:hAnsi="Times New Roman" w:cs="Times New Roman"/>
          <w:sz w:val="24"/>
          <w:szCs w:val="24"/>
        </w:rPr>
        <w:t>As amending instruments are assessed for compatibility with human rights, t</w:t>
      </w:r>
      <w:r w:rsidRPr="00A9467B">
        <w:rPr>
          <w:rFonts w:ascii="Times New Roman" w:hAnsi="Times New Roman" w:cs="Times New Roman"/>
          <w:sz w:val="24"/>
          <w:szCs w:val="24"/>
        </w:rPr>
        <w:t xml:space="preserve">he compatibility with human rights of </w:t>
      </w:r>
      <w:r w:rsidR="00A9467B" w:rsidRPr="00A9467B">
        <w:rPr>
          <w:rFonts w:ascii="Times New Roman" w:hAnsi="Times New Roman" w:cs="Times New Roman"/>
          <w:sz w:val="24"/>
          <w:szCs w:val="24"/>
        </w:rPr>
        <w:t>any replacement instrument for the PGPA Rule or the Defence Determination</w:t>
      </w:r>
      <w:r w:rsidRPr="00A9467B">
        <w:rPr>
          <w:rFonts w:ascii="Times New Roman" w:eastAsia="Calibri" w:hAnsi="Times New Roman" w:cs="Times New Roman"/>
          <w:sz w:val="24"/>
          <w:szCs w:val="24"/>
          <w:lang w:eastAsia="en-AU"/>
        </w:rPr>
        <w:t xml:space="preserve"> will be assessed </w:t>
      </w:r>
      <w:r w:rsidR="00A9467B" w:rsidRPr="00A9467B">
        <w:rPr>
          <w:rFonts w:ascii="Times New Roman" w:eastAsia="Calibri" w:hAnsi="Times New Roman" w:cs="Times New Roman"/>
          <w:sz w:val="24"/>
          <w:szCs w:val="24"/>
          <w:lang w:eastAsia="en-AU"/>
        </w:rPr>
        <w:t>if</w:t>
      </w:r>
      <w:r w:rsidRPr="00A9467B">
        <w:rPr>
          <w:rFonts w:ascii="Times New Roman" w:eastAsia="Calibri" w:hAnsi="Times New Roman" w:cs="Times New Roman"/>
          <w:sz w:val="24"/>
          <w:szCs w:val="24"/>
          <w:lang w:eastAsia="en-AU"/>
        </w:rPr>
        <w:t xml:space="preserve"> </w:t>
      </w:r>
      <w:r w:rsidR="00A9467B" w:rsidRPr="00A9467B">
        <w:rPr>
          <w:rFonts w:ascii="Times New Roman" w:eastAsia="Calibri" w:hAnsi="Times New Roman" w:cs="Times New Roman"/>
          <w:sz w:val="24"/>
          <w:szCs w:val="24"/>
          <w:lang w:eastAsia="en-AU"/>
        </w:rPr>
        <w:t>such an instrument is made.</w:t>
      </w:r>
      <w:r>
        <w:rPr>
          <w:rFonts w:ascii="Times New Roman" w:eastAsia="Calibri" w:hAnsi="Times New Roman" w:cs="Times New Roman"/>
          <w:sz w:val="24"/>
          <w:szCs w:val="24"/>
          <w:lang w:eastAsia="en-AU"/>
        </w:rPr>
        <w:t xml:space="preserve">  </w:t>
      </w:r>
      <w:r w:rsidR="00420A7A">
        <w:rPr>
          <w:rFonts w:ascii="Times New Roman" w:eastAsia="Calibri" w:hAnsi="Times New Roman" w:cs="Times New Roman"/>
          <w:sz w:val="24"/>
          <w:szCs w:val="24"/>
          <w:lang w:eastAsia="en-AU"/>
        </w:rPr>
        <w:tab/>
      </w:r>
      <w:r w:rsidR="00420A7A">
        <w:rPr>
          <w:rFonts w:ascii="Times New Roman" w:eastAsia="Calibri" w:hAnsi="Times New Roman" w:cs="Times New Roman"/>
          <w:sz w:val="24"/>
          <w:szCs w:val="24"/>
          <w:lang w:eastAsia="en-AU"/>
        </w:rPr>
        <w:tab/>
      </w:r>
      <w:r w:rsidR="00420A7A">
        <w:rPr>
          <w:rFonts w:ascii="Times New Roman" w:eastAsia="Calibri" w:hAnsi="Times New Roman" w:cs="Times New Roman"/>
          <w:sz w:val="24"/>
          <w:szCs w:val="24"/>
          <w:lang w:eastAsia="en-AU"/>
        </w:rPr>
        <w:tab/>
      </w:r>
      <w:r w:rsidR="00420A7A">
        <w:rPr>
          <w:rFonts w:ascii="Times New Roman" w:eastAsia="Calibri" w:hAnsi="Times New Roman" w:cs="Times New Roman"/>
          <w:sz w:val="24"/>
          <w:szCs w:val="24"/>
          <w:lang w:eastAsia="en-AU"/>
        </w:rPr>
        <w:tab/>
      </w:r>
      <w:r w:rsidR="00420A7A">
        <w:rPr>
          <w:rFonts w:ascii="Times New Roman" w:eastAsia="Calibri" w:hAnsi="Times New Roman" w:cs="Times New Roman"/>
          <w:sz w:val="24"/>
          <w:szCs w:val="24"/>
          <w:lang w:eastAsia="en-AU"/>
        </w:rPr>
        <w:tab/>
      </w:r>
      <w:r w:rsidR="00420A7A">
        <w:rPr>
          <w:rFonts w:ascii="Times New Roman" w:eastAsia="Calibri" w:hAnsi="Times New Roman" w:cs="Times New Roman"/>
          <w:sz w:val="24"/>
          <w:szCs w:val="24"/>
          <w:lang w:eastAsia="en-AU"/>
        </w:rPr>
        <w:tab/>
      </w:r>
      <w:r w:rsidR="00420A7A">
        <w:rPr>
          <w:rFonts w:ascii="Times New Roman" w:eastAsia="Calibri" w:hAnsi="Times New Roman" w:cs="Times New Roman"/>
          <w:sz w:val="24"/>
          <w:szCs w:val="24"/>
          <w:lang w:eastAsia="en-AU"/>
        </w:rPr>
        <w:tab/>
      </w:r>
      <w:r w:rsidR="00420A7A">
        <w:rPr>
          <w:rFonts w:ascii="Times New Roman" w:eastAsia="Calibri" w:hAnsi="Times New Roman" w:cs="Times New Roman"/>
          <w:sz w:val="24"/>
          <w:szCs w:val="24"/>
          <w:lang w:eastAsia="en-AU"/>
        </w:rPr>
        <w:tab/>
      </w:r>
    </w:p>
    <w:p w14:paraId="05B93373" w14:textId="77777777" w:rsidR="00DB7182" w:rsidRDefault="00DB7182" w:rsidP="00210C75">
      <w:pPr>
        <w:spacing w:after="160"/>
        <w:rPr>
          <w:rFonts w:ascii="Times New Roman" w:hAnsi="Times New Roman" w:cs="Times New Roman"/>
          <w:b/>
          <w:sz w:val="24"/>
          <w:szCs w:val="24"/>
        </w:rPr>
      </w:pPr>
      <w:r>
        <w:rPr>
          <w:rFonts w:ascii="Times New Roman" w:hAnsi="Times New Roman" w:cs="Times New Roman"/>
          <w:b/>
          <w:sz w:val="24"/>
          <w:szCs w:val="24"/>
        </w:rPr>
        <w:br w:type="page"/>
      </w:r>
    </w:p>
    <w:p w14:paraId="5BAE3E64" w14:textId="38EDC5A3" w:rsidR="00C303D4" w:rsidRPr="00420A7A" w:rsidRDefault="00C303D4" w:rsidP="00420A7A">
      <w:pPr>
        <w:spacing w:after="0" w:line="240" w:lineRule="auto"/>
        <w:ind w:left="6480" w:firstLine="720"/>
        <w:rPr>
          <w:rFonts w:ascii="Times New Roman" w:eastAsia="Calibri" w:hAnsi="Times New Roman" w:cs="Times New Roman"/>
          <w:sz w:val="24"/>
          <w:szCs w:val="24"/>
          <w:lang w:eastAsia="en-AU"/>
        </w:rPr>
      </w:pPr>
      <w:r>
        <w:rPr>
          <w:rFonts w:ascii="Times New Roman" w:hAnsi="Times New Roman" w:cs="Times New Roman"/>
          <w:b/>
          <w:sz w:val="24"/>
          <w:szCs w:val="24"/>
        </w:rPr>
        <w:lastRenderedPageBreak/>
        <w:t xml:space="preserve">Attachment </w:t>
      </w:r>
      <w:r w:rsidR="00AD15C9">
        <w:rPr>
          <w:rFonts w:ascii="Times New Roman" w:hAnsi="Times New Roman" w:cs="Times New Roman"/>
          <w:b/>
          <w:sz w:val="24"/>
          <w:szCs w:val="24"/>
        </w:rPr>
        <w:t>B</w:t>
      </w:r>
    </w:p>
    <w:p w14:paraId="469C5AF8" w14:textId="77777777" w:rsidR="00C303D4" w:rsidRDefault="00C303D4" w:rsidP="00C303D4">
      <w:pPr>
        <w:spacing w:line="360" w:lineRule="auto"/>
        <w:rPr>
          <w:rFonts w:ascii="Times New Roman" w:hAnsi="Times New Roman" w:cs="Times New Roman"/>
          <w:b/>
          <w:caps/>
          <w:sz w:val="24"/>
          <w:szCs w:val="24"/>
        </w:rPr>
      </w:pPr>
      <w:r>
        <w:rPr>
          <w:rFonts w:ascii="Times New Roman" w:hAnsi="Times New Roman" w:cs="Times New Roman"/>
          <w:b/>
          <w:caps/>
          <w:sz w:val="24"/>
          <w:szCs w:val="24"/>
        </w:rPr>
        <w:t>NOTES ON SECTIONS</w:t>
      </w:r>
    </w:p>
    <w:p w14:paraId="775AB15C" w14:textId="77777777" w:rsidR="00C303D4" w:rsidRDefault="00C303D4" w:rsidP="00210C75">
      <w:pPr>
        <w:rPr>
          <w:rFonts w:ascii="Times New Roman" w:hAnsi="Times New Roman" w:cs="Times New Roman"/>
          <w:b/>
          <w:sz w:val="24"/>
          <w:szCs w:val="24"/>
          <w:u w:val="single"/>
        </w:rPr>
      </w:pPr>
      <w:r>
        <w:rPr>
          <w:rFonts w:ascii="Times New Roman" w:hAnsi="Times New Roman" w:cs="Times New Roman"/>
          <w:b/>
          <w:sz w:val="24"/>
          <w:szCs w:val="24"/>
          <w:u w:val="single"/>
        </w:rPr>
        <w:t xml:space="preserve">Details of the </w:t>
      </w:r>
      <w:r w:rsidRPr="00944340">
        <w:rPr>
          <w:rFonts w:ascii="Times New Roman" w:hAnsi="Times New Roman" w:cs="Times New Roman"/>
          <w:b/>
          <w:i/>
          <w:sz w:val="24"/>
          <w:szCs w:val="24"/>
          <w:u w:val="single"/>
        </w:rPr>
        <w:t>Legislation (Exemptions and Other Matters) Amendment (2023 Measures No. 1) Regulations 2023</w:t>
      </w:r>
    </w:p>
    <w:p w14:paraId="6D530B62" w14:textId="77777777" w:rsidR="00C303D4" w:rsidRDefault="00C303D4" w:rsidP="00210C75">
      <w:pPr>
        <w:rPr>
          <w:rFonts w:ascii="Times New Roman" w:hAnsi="Times New Roman" w:cs="Times New Roman"/>
          <w:b/>
          <w:sz w:val="24"/>
          <w:szCs w:val="24"/>
        </w:rPr>
      </w:pPr>
      <w:r>
        <w:rPr>
          <w:rFonts w:ascii="Times New Roman" w:hAnsi="Times New Roman" w:cs="Times New Roman"/>
          <w:b/>
          <w:sz w:val="24"/>
          <w:szCs w:val="24"/>
        </w:rPr>
        <w:t>Section 1 – Name</w:t>
      </w:r>
    </w:p>
    <w:p w14:paraId="25E89D46" w14:textId="77777777" w:rsidR="00C303D4" w:rsidRDefault="00C303D4" w:rsidP="00210C75">
      <w:pPr>
        <w:rPr>
          <w:rFonts w:ascii="Times New Roman" w:hAnsi="Times New Roman" w:cs="Times New Roman"/>
          <w:sz w:val="24"/>
          <w:szCs w:val="24"/>
        </w:rPr>
      </w:pPr>
      <w:r>
        <w:rPr>
          <w:rFonts w:ascii="Times New Roman" w:hAnsi="Times New Roman" w:cs="Times New Roman"/>
          <w:sz w:val="24"/>
          <w:szCs w:val="24"/>
        </w:rPr>
        <w:t xml:space="preserve">This section provides that the title of the Regulations is the </w:t>
      </w:r>
      <w:r w:rsidRPr="00944340">
        <w:rPr>
          <w:rFonts w:ascii="Times New Roman" w:hAnsi="Times New Roman" w:cs="Times New Roman"/>
          <w:i/>
          <w:sz w:val="24"/>
          <w:szCs w:val="24"/>
        </w:rPr>
        <w:t xml:space="preserve">Legislation (Exemptions and Other Matters) Amendment (2023 Measures No. 1) Regulations 2023 </w:t>
      </w:r>
      <w:r>
        <w:rPr>
          <w:rFonts w:ascii="Times New Roman" w:hAnsi="Times New Roman" w:cs="Times New Roman"/>
          <w:i/>
          <w:sz w:val="24"/>
          <w:szCs w:val="24"/>
        </w:rPr>
        <w:t>(</w:t>
      </w:r>
      <w:r>
        <w:rPr>
          <w:rFonts w:ascii="Times New Roman" w:hAnsi="Times New Roman" w:cs="Times New Roman"/>
          <w:sz w:val="24"/>
          <w:szCs w:val="24"/>
        </w:rPr>
        <w:t>Amendment Regulations).</w:t>
      </w:r>
    </w:p>
    <w:p w14:paraId="67E644D8" w14:textId="77777777" w:rsidR="00C303D4" w:rsidRDefault="00C303D4" w:rsidP="00210C75">
      <w:pPr>
        <w:rPr>
          <w:rFonts w:ascii="Times New Roman" w:hAnsi="Times New Roman" w:cs="Times New Roman"/>
          <w:b/>
          <w:sz w:val="24"/>
          <w:szCs w:val="24"/>
        </w:rPr>
      </w:pPr>
      <w:r>
        <w:rPr>
          <w:rFonts w:ascii="Times New Roman" w:hAnsi="Times New Roman" w:cs="Times New Roman"/>
          <w:b/>
          <w:sz w:val="24"/>
          <w:szCs w:val="24"/>
        </w:rPr>
        <w:t>Section 2 – Commencement</w:t>
      </w:r>
    </w:p>
    <w:p w14:paraId="07EBF813" w14:textId="5C4EBCB6" w:rsidR="00C303D4" w:rsidRDefault="00C303D4" w:rsidP="00210C75">
      <w:pPr>
        <w:rPr>
          <w:rFonts w:ascii="Times New Roman" w:hAnsi="Times New Roman" w:cs="Times New Roman"/>
          <w:b/>
          <w:sz w:val="24"/>
          <w:szCs w:val="24"/>
        </w:rPr>
      </w:pPr>
      <w:r>
        <w:rPr>
          <w:rFonts w:ascii="Times New Roman" w:hAnsi="Times New Roman" w:cs="Times New Roman"/>
          <w:sz w:val="24"/>
          <w:szCs w:val="24"/>
        </w:rPr>
        <w:t xml:space="preserve">This section provides for the Amendment Regulations to commence </w:t>
      </w:r>
      <w:r w:rsidR="00267527">
        <w:rPr>
          <w:rFonts w:ascii="Times New Roman" w:hAnsi="Times New Roman" w:cs="Times New Roman"/>
          <w:sz w:val="24"/>
          <w:szCs w:val="24"/>
        </w:rPr>
        <w:t xml:space="preserve">the day </w:t>
      </w:r>
      <w:r>
        <w:rPr>
          <w:rFonts w:ascii="Times New Roman" w:hAnsi="Times New Roman" w:cs="Times New Roman"/>
          <w:sz w:val="24"/>
          <w:szCs w:val="24"/>
        </w:rPr>
        <w:t>after their registration.</w:t>
      </w:r>
    </w:p>
    <w:p w14:paraId="0298B012" w14:textId="77777777" w:rsidR="00C303D4" w:rsidRDefault="00C303D4" w:rsidP="00210C75">
      <w:pPr>
        <w:keepNext/>
        <w:rPr>
          <w:rFonts w:ascii="Times New Roman" w:hAnsi="Times New Roman" w:cs="Times New Roman"/>
          <w:b/>
          <w:sz w:val="24"/>
          <w:szCs w:val="24"/>
        </w:rPr>
      </w:pPr>
      <w:r>
        <w:rPr>
          <w:rFonts w:ascii="Times New Roman" w:hAnsi="Times New Roman" w:cs="Times New Roman"/>
          <w:b/>
          <w:sz w:val="24"/>
          <w:szCs w:val="24"/>
        </w:rPr>
        <w:t>Section 3 – Authority</w:t>
      </w:r>
    </w:p>
    <w:p w14:paraId="36A75ABC" w14:textId="77777777" w:rsidR="00C303D4" w:rsidRDefault="00C303D4" w:rsidP="00210C75">
      <w:pPr>
        <w:keepNext/>
        <w:rPr>
          <w:rFonts w:ascii="Times New Roman" w:hAnsi="Times New Roman" w:cs="Times New Roman"/>
          <w:sz w:val="24"/>
          <w:szCs w:val="24"/>
        </w:rPr>
      </w:pPr>
      <w:r>
        <w:rPr>
          <w:rFonts w:ascii="Times New Roman" w:hAnsi="Times New Roman" w:cs="Times New Roman"/>
          <w:sz w:val="24"/>
          <w:szCs w:val="24"/>
        </w:rPr>
        <w:t>This section provides that the</w:t>
      </w:r>
      <w:r>
        <w:rPr>
          <w:rFonts w:ascii="Times New Roman" w:hAnsi="Times New Roman" w:cs="Times New Roman"/>
          <w:b/>
          <w:sz w:val="24"/>
          <w:szCs w:val="24"/>
        </w:rPr>
        <w:t xml:space="preserve"> </w:t>
      </w:r>
      <w:r>
        <w:rPr>
          <w:rFonts w:ascii="Times New Roman" w:hAnsi="Times New Roman" w:cs="Times New Roman"/>
          <w:sz w:val="24"/>
          <w:szCs w:val="24"/>
        </w:rPr>
        <w:t>Amendment Regulations are</w:t>
      </w:r>
      <w:r>
        <w:rPr>
          <w:rFonts w:ascii="Times New Roman" w:hAnsi="Times New Roman" w:cs="Times New Roman"/>
          <w:i/>
          <w:sz w:val="24"/>
          <w:szCs w:val="24"/>
        </w:rPr>
        <w:t xml:space="preserve"> </w:t>
      </w:r>
      <w:r>
        <w:rPr>
          <w:rFonts w:ascii="Times New Roman" w:hAnsi="Times New Roman" w:cs="Times New Roman"/>
          <w:sz w:val="24"/>
          <w:szCs w:val="24"/>
        </w:rPr>
        <w:t xml:space="preserve">made under the </w:t>
      </w:r>
      <w:r>
        <w:rPr>
          <w:rFonts w:ascii="Times New Roman" w:hAnsi="Times New Roman" w:cs="Times New Roman"/>
          <w:i/>
          <w:sz w:val="24"/>
          <w:szCs w:val="24"/>
        </w:rPr>
        <w:t>Legislation Act 2003</w:t>
      </w:r>
      <w:r>
        <w:rPr>
          <w:rFonts w:ascii="Times New Roman" w:hAnsi="Times New Roman" w:cs="Times New Roman"/>
          <w:sz w:val="24"/>
          <w:szCs w:val="24"/>
        </w:rPr>
        <w:t>.</w:t>
      </w:r>
    </w:p>
    <w:p w14:paraId="4D50C0FB" w14:textId="77777777" w:rsidR="00C303D4" w:rsidRDefault="00C303D4" w:rsidP="00210C75">
      <w:pPr>
        <w:keepNext/>
        <w:rPr>
          <w:rFonts w:ascii="Times New Roman" w:hAnsi="Times New Roman" w:cs="Times New Roman"/>
          <w:b/>
          <w:sz w:val="24"/>
          <w:szCs w:val="24"/>
        </w:rPr>
      </w:pPr>
      <w:r>
        <w:rPr>
          <w:rFonts w:ascii="Times New Roman" w:hAnsi="Times New Roman" w:cs="Times New Roman"/>
          <w:b/>
          <w:sz w:val="24"/>
          <w:szCs w:val="24"/>
        </w:rPr>
        <w:t>Section 4 – Schedules</w:t>
      </w:r>
    </w:p>
    <w:p w14:paraId="2E083021" w14:textId="3DE9C623" w:rsidR="00C303D4" w:rsidRDefault="00C303D4" w:rsidP="00210C75">
      <w:pPr>
        <w:keepNext/>
        <w:rPr>
          <w:rFonts w:ascii="Times New Roman" w:hAnsi="Times New Roman" w:cs="Times New Roman"/>
          <w:sz w:val="24"/>
          <w:szCs w:val="24"/>
        </w:rPr>
      </w:pPr>
      <w:r>
        <w:rPr>
          <w:rFonts w:ascii="Times New Roman" w:hAnsi="Times New Roman" w:cs="Times New Roman"/>
          <w:sz w:val="24"/>
          <w:szCs w:val="24"/>
        </w:rPr>
        <w:t>This section provides that each instrument that is specified in a Schedule to the Amendment</w:t>
      </w:r>
      <w:r w:rsidR="004119A3">
        <w:rPr>
          <w:rFonts w:ascii="Times New Roman" w:hAnsi="Times New Roman" w:cs="Times New Roman"/>
          <w:sz w:val="24"/>
          <w:szCs w:val="24"/>
        </w:rPr>
        <w:t> </w:t>
      </w:r>
      <w:r>
        <w:rPr>
          <w:rFonts w:ascii="Times New Roman" w:hAnsi="Times New Roman" w:cs="Times New Roman"/>
          <w:sz w:val="24"/>
          <w:szCs w:val="24"/>
        </w:rPr>
        <w:t>Regulations is amended or repealed as set out in the applicable items in the Schedule concerned, and any other item in a Schedule to this instrument has effect according to its terms.</w:t>
      </w:r>
    </w:p>
    <w:p w14:paraId="0B2B3EC1" w14:textId="77777777" w:rsidR="00C303D4" w:rsidRDefault="00C303D4" w:rsidP="00210C75">
      <w:pPr>
        <w:keepNext/>
        <w:rPr>
          <w:rFonts w:ascii="Times New Roman" w:hAnsi="Times New Roman" w:cs="Times New Roman"/>
          <w:b/>
          <w:sz w:val="24"/>
          <w:szCs w:val="24"/>
          <w:u w:val="single"/>
        </w:rPr>
      </w:pPr>
      <w:r>
        <w:rPr>
          <w:rFonts w:ascii="Times New Roman" w:hAnsi="Times New Roman" w:cs="Times New Roman"/>
          <w:b/>
          <w:sz w:val="24"/>
          <w:szCs w:val="24"/>
          <w:u w:val="single"/>
        </w:rPr>
        <w:t>Schedule 1 – Amendments</w:t>
      </w:r>
    </w:p>
    <w:p w14:paraId="151320A6" w14:textId="77777777" w:rsidR="00C303D4" w:rsidRDefault="00C303D4" w:rsidP="00210C75">
      <w:pPr>
        <w:keepNext/>
        <w:spacing w:after="120"/>
        <w:rPr>
          <w:rFonts w:ascii="Times New Roman" w:hAnsi="Times New Roman" w:cs="Times New Roman"/>
          <w:i/>
          <w:sz w:val="24"/>
          <w:szCs w:val="24"/>
        </w:rPr>
      </w:pPr>
      <w:bookmarkStart w:id="1" w:name="_Toc96420257"/>
      <w:r>
        <w:rPr>
          <w:rFonts w:ascii="Times New Roman" w:hAnsi="Times New Roman" w:cs="Times New Roman"/>
          <w:i/>
          <w:sz w:val="24"/>
          <w:szCs w:val="24"/>
        </w:rPr>
        <w:t>Legislation (Exemptions and Other Matters) Regulation 2015</w:t>
      </w:r>
      <w:bookmarkEnd w:id="1"/>
    </w:p>
    <w:p w14:paraId="19D82C11" w14:textId="77777777" w:rsidR="00C303D4" w:rsidRDefault="00C303D4" w:rsidP="00210C75">
      <w:pPr>
        <w:keepNext/>
        <w:tabs>
          <w:tab w:val="right" w:pos="8931"/>
        </w:tabs>
        <w:spacing w:after="0"/>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[1] – Section 12 (after table item 21)</w:t>
      </w:r>
    </w:p>
    <w:p w14:paraId="151F3EA7" w14:textId="77777777" w:rsidR="00C303D4" w:rsidRDefault="00C303D4" w:rsidP="00210C75">
      <w:pPr>
        <w:keepNext/>
        <w:tabs>
          <w:tab w:val="right" w:pos="8931"/>
        </w:tabs>
        <w:spacing w:after="0"/>
        <w:ind w:right="91"/>
        <w:rPr>
          <w:rFonts w:ascii="Times New Roman" w:eastAsia="Times New Roman" w:hAnsi="Times New Roman" w:cs="Times New Roman"/>
          <w:sz w:val="24"/>
          <w:lang w:eastAsia="en-AU"/>
        </w:rPr>
      </w:pPr>
    </w:p>
    <w:p w14:paraId="6AB3422A" w14:textId="77777777" w:rsidR="00C303D4" w:rsidRDefault="00C303D4" w:rsidP="00210C75">
      <w:pPr>
        <w:keepNext/>
        <w:spacing w:after="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For the purposes of paragraph 54(2)(b) of the Legislation Act, section 12 of the Principal Regulation provides that instruments contained in the table to that section are not subject to sunsetting.</w:t>
      </w:r>
    </w:p>
    <w:p w14:paraId="79FE399E" w14:textId="77777777" w:rsidR="00C303D4" w:rsidRDefault="00C303D4" w:rsidP="00210C75">
      <w:pPr>
        <w:spacing w:after="0"/>
        <w:ind w:right="91"/>
        <w:rPr>
          <w:rFonts w:ascii="Times New Roman" w:eastAsia="Times New Roman" w:hAnsi="Times New Roman" w:cs="Times New Roman"/>
          <w:sz w:val="24"/>
          <w:lang w:eastAsia="en-AU"/>
        </w:rPr>
      </w:pPr>
    </w:p>
    <w:p w14:paraId="28F565F9" w14:textId="4C62F65E" w:rsidR="00C303D4" w:rsidRDefault="00C303D4" w:rsidP="00210C75">
      <w:pPr>
        <w:tabs>
          <w:tab w:val="right" w:pos="8931"/>
        </w:tabs>
        <w:spacing w:after="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1 of Schedule 1 to the </w:t>
      </w:r>
      <w:r w:rsidR="005E6B2D">
        <w:rPr>
          <w:rFonts w:ascii="Times New Roman" w:eastAsia="Times New Roman" w:hAnsi="Times New Roman" w:cs="Times New Roman"/>
          <w:sz w:val="24"/>
          <w:lang w:eastAsia="en-AU"/>
        </w:rPr>
        <w:t xml:space="preserve">Amendment </w:t>
      </w:r>
      <w:r>
        <w:rPr>
          <w:rFonts w:ascii="Times New Roman" w:eastAsia="Times New Roman" w:hAnsi="Times New Roman" w:cs="Times New Roman"/>
          <w:sz w:val="24"/>
          <w:lang w:eastAsia="en-AU"/>
        </w:rPr>
        <w:t xml:space="preserve">Regulations would insert a new sunsetting exemption (item 21A) </w:t>
      </w:r>
      <w:r>
        <w:rPr>
          <w:rFonts w:ascii="Times New Roman" w:eastAsia="Calibri" w:hAnsi="Times New Roman" w:cs="Times New Roman"/>
          <w:sz w:val="24"/>
          <w:szCs w:val="24"/>
          <w:lang w:eastAsia="en-AU"/>
        </w:rPr>
        <w:t xml:space="preserve">in section 12 of the Principal Regulations. New item 21A would provide an exemption from sunsetting for the </w:t>
      </w:r>
      <w:r w:rsidRPr="00944340">
        <w:rPr>
          <w:rFonts w:ascii="Times New Roman" w:eastAsia="Calibri" w:hAnsi="Times New Roman" w:cs="Times New Roman"/>
          <w:i/>
          <w:sz w:val="24"/>
          <w:szCs w:val="24"/>
          <w:lang w:eastAsia="en-AU"/>
        </w:rPr>
        <w:t>Defence Determination 2016/19, Conditions of service</w:t>
      </w:r>
      <w:r>
        <w:rPr>
          <w:rFonts w:ascii="Times New Roman" w:eastAsia="Calibri" w:hAnsi="Times New Roman" w:cs="Times New Roman"/>
          <w:i/>
          <w:sz w:val="24"/>
          <w:szCs w:val="24"/>
          <w:lang w:eastAsia="en-AU"/>
        </w:rPr>
        <w:t xml:space="preserve"> </w:t>
      </w:r>
      <w:r>
        <w:rPr>
          <w:rFonts w:ascii="Times New Roman" w:eastAsia="Calibri" w:hAnsi="Times New Roman" w:cs="Times New Roman"/>
          <w:sz w:val="24"/>
          <w:szCs w:val="24"/>
          <w:lang w:eastAsia="en-AU"/>
        </w:rPr>
        <w:t>(Defence Determination).</w:t>
      </w:r>
    </w:p>
    <w:p w14:paraId="6955D9CC" w14:textId="77777777" w:rsidR="00C303D4" w:rsidRDefault="00C303D4" w:rsidP="00210C75">
      <w:pPr>
        <w:spacing w:after="0"/>
        <w:ind w:right="91"/>
        <w:rPr>
          <w:rFonts w:ascii="Times New Roman" w:eastAsia="Times New Roman" w:hAnsi="Times New Roman" w:cs="Times New Roman"/>
          <w:sz w:val="24"/>
          <w:lang w:eastAsia="en-AU"/>
        </w:rPr>
      </w:pPr>
    </w:p>
    <w:p w14:paraId="1D9146DF" w14:textId="25DA12ED" w:rsidR="00C303D4" w:rsidRDefault="005E6B2D" w:rsidP="00210C75">
      <w:pPr>
        <w:spacing w:after="0"/>
        <w:ind w:right="91"/>
        <w:rPr>
          <w:rFonts w:ascii="Times New Roman" w:eastAsia="Times New Roman" w:hAnsi="Times New Roman" w:cs="Times New Roman"/>
          <w:sz w:val="24"/>
          <w:lang w:eastAsia="en-AU"/>
        </w:rPr>
      </w:pPr>
      <w:r>
        <w:rPr>
          <w:rFonts w:ascii="Times New Roman" w:eastAsia="Calibri" w:hAnsi="Times New Roman" w:cs="Times New Roman"/>
          <w:sz w:val="24"/>
          <w:szCs w:val="24"/>
          <w:lang w:eastAsia="en-AU"/>
        </w:rPr>
        <w:t>Pursuant to the policy criteria provided for in the Attorney</w:t>
      </w:r>
      <w:r>
        <w:rPr>
          <w:rFonts w:ascii="Times New Roman" w:eastAsia="Calibri" w:hAnsi="Times New Roman" w:cs="Times New Roman"/>
          <w:sz w:val="24"/>
          <w:szCs w:val="24"/>
          <w:lang w:eastAsia="en-AU"/>
        </w:rPr>
        <w:noBreakHyphen/>
        <w:t>General’s </w:t>
      </w:r>
      <w:r w:rsidRPr="005E6B2D">
        <w:rPr>
          <w:rFonts w:ascii="Times New Roman" w:eastAsia="Calibri" w:hAnsi="Times New Roman" w:cs="Times New Roman"/>
          <w:sz w:val="24"/>
          <w:szCs w:val="24"/>
          <w:lang w:eastAsia="en-AU"/>
        </w:rPr>
        <w:t xml:space="preserve">Department’s </w:t>
      </w:r>
      <w:r>
        <w:rPr>
          <w:rFonts w:ascii="Times New Roman" w:eastAsia="Calibri" w:hAnsi="Times New Roman" w:cs="Times New Roman"/>
          <w:i/>
          <w:sz w:val="24"/>
          <w:szCs w:val="24"/>
          <w:lang w:eastAsia="en-AU"/>
        </w:rPr>
        <w:t xml:space="preserve">Guide to managing sunsetting of legislative instruments, </w:t>
      </w:r>
      <w:r w:rsidR="00961F60">
        <w:rPr>
          <w:rFonts w:ascii="Times New Roman" w:eastAsia="Calibri" w:hAnsi="Times New Roman" w:cs="Times New Roman"/>
          <w:sz w:val="24"/>
          <w:szCs w:val="24"/>
          <w:lang w:eastAsia="en-AU"/>
        </w:rPr>
        <w:t>the</w:t>
      </w:r>
      <w:r w:rsidR="00961F60">
        <w:rPr>
          <w:rFonts w:ascii="Times New Roman" w:eastAsia="Times New Roman" w:hAnsi="Times New Roman" w:cs="Times New Roman"/>
          <w:sz w:val="24"/>
          <w:lang w:eastAsia="en-AU"/>
        </w:rPr>
        <w:t xml:space="preserve"> exemption</w:t>
      </w:r>
      <w:r w:rsidR="00C303D4">
        <w:rPr>
          <w:rFonts w:ascii="Times New Roman" w:eastAsia="Times New Roman" w:hAnsi="Times New Roman" w:cs="Times New Roman"/>
          <w:sz w:val="24"/>
          <w:lang w:eastAsia="en-AU"/>
        </w:rPr>
        <w:t xml:space="preserve"> is appropriate as the Defence Determination </w:t>
      </w:r>
      <w:r w:rsidR="00C303D4" w:rsidRPr="00944340">
        <w:rPr>
          <w:rFonts w:ascii="Times New Roman" w:eastAsia="Times New Roman" w:hAnsi="Times New Roman" w:cs="Times New Roman"/>
          <w:sz w:val="24"/>
          <w:lang w:eastAsia="en-AU"/>
        </w:rPr>
        <w:t xml:space="preserve">is sufficiently large and complex that the administrative burden associated with remaking the instrument would outweigh any regulatory benefit, </w:t>
      </w:r>
      <w:r w:rsidR="00C303D4">
        <w:rPr>
          <w:rFonts w:ascii="Times New Roman" w:eastAsia="Times New Roman" w:hAnsi="Times New Roman" w:cs="Times New Roman"/>
          <w:sz w:val="24"/>
          <w:lang w:eastAsia="en-AU"/>
        </w:rPr>
        <w:t xml:space="preserve">and it </w:t>
      </w:r>
      <w:r w:rsidR="00C303D4" w:rsidRPr="00944340">
        <w:rPr>
          <w:rFonts w:ascii="Times New Roman" w:eastAsia="Times New Roman" w:hAnsi="Times New Roman" w:cs="Times New Roman"/>
          <w:sz w:val="24"/>
          <w:lang w:eastAsia="en-AU"/>
        </w:rPr>
        <w:t xml:space="preserve">is subject to </w:t>
      </w:r>
      <w:r w:rsidR="00C303D4" w:rsidRPr="00944340">
        <w:rPr>
          <w:rFonts w:ascii="Times New Roman" w:eastAsia="Times New Roman" w:hAnsi="Times New Roman" w:cs="Times New Roman"/>
          <w:sz w:val="24"/>
          <w:lang w:eastAsia="en-AU"/>
        </w:rPr>
        <w:lastRenderedPageBreak/>
        <w:t>regular review</w:t>
      </w:r>
      <w:r w:rsidR="00C303D4">
        <w:rPr>
          <w:rFonts w:ascii="Times New Roman" w:eastAsia="Times New Roman" w:hAnsi="Times New Roman" w:cs="Times New Roman"/>
          <w:sz w:val="24"/>
          <w:lang w:eastAsia="en-AU"/>
        </w:rPr>
        <w:t xml:space="preserve"> and </w:t>
      </w:r>
      <w:r w:rsidR="00C303D4" w:rsidRPr="00944340">
        <w:rPr>
          <w:rFonts w:ascii="Times New Roman" w:eastAsia="Times New Roman" w:hAnsi="Times New Roman" w:cs="Times New Roman"/>
          <w:sz w:val="24"/>
          <w:lang w:eastAsia="en-AU"/>
        </w:rPr>
        <w:t>to regular amendment. The sunsetting exemption created by the Amendment Regulations is justified on this basis.</w:t>
      </w:r>
    </w:p>
    <w:p w14:paraId="695891BB" w14:textId="77777777" w:rsidR="00C303D4" w:rsidRDefault="00C303D4" w:rsidP="00210C75">
      <w:pPr>
        <w:spacing w:after="0"/>
        <w:ind w:right="91"/>
        <w:rPr>
          <w:rFonts w:ascii="Times New Roman" w:eastAsia="Times New Roman" w:hAnsi="Times New Roman" w:cs="Times New Roman"/>
          <w:sz w:val="24"/>
          <w:lang w:eastAsia="en-AU"/>
        </w:rPr>
      </w:pPr>
    </w:p>
    <w:p w14:paraId="05DBA008" w14:textId="77777777" w:rsidR="00C303D4" w:rsidRDefault="00C303D4" w:rsidP="00210C75">
      <w:pPr>
        <w:keepNext/>
        <w:tabs>
          <w:tab w:val="right" w:pos="8931"/>
        </w:tabs>
        <w:spacing w:after="0"/>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[2] – Section 12 (after table item 53)</w:t>
      </w:r>
    </w:p>
    <w:p w14:paraId="5597185D" w14:textId="77777777" w:rsidR="00C303D4" w:rsidRDefault="00C303D4" w:rsidP="00210C75">
      <w:pPr>
        <w:keepNext/>
        <w:tabs>
          <w:tab w:val="right" w:pos="8931"/>
        </w:tabs>
        <w:spacing w:after="0"/>
        <w:ind w:right="91"/>
        <w:rPr>
          <w:rFonts w:ascii="Times New Roman" w:eastAsia="Times New Roman" w:hAnsi="Times New Roman" w:cs="Times New Roman"/>
          <w:sz w:val="24"/>
          <w:lang w:eastAsia="en-AU"/>
        </w:rPr>
      </w:pPr>
    </w:p>
    <w:p w14:paraId="208E903D" w14:textId="0C88672B" w:rsidR="00C303D4" w:rsidRDefault="00C303D4" w:rsidP="00210C75">
      <w:pPr>
        <w:keepNext/>
        <w:spacing w:after="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For the purposes of paragraph 54(2)(b) of the Legislation Act, section 12 of the Principal</w:t>
      </w:r>
      <w:r w:rsidR="004119A3">
        <w:rPr>
          <w:rFonts w:ascii="Times New Roman" w:eastAsia="Times New Roman" w:hAnsi="Times New Roman" w:cs="Times New Roman"/>
          <w:sz w:val="24"/>
          <w:lang w:eastAsia="en-AU"/>
        </w:rPr>
        <w:t> </w:t>
      </w:r>
      <w:r>
        <w:rPr>
          <w:rFonts w:ascii="Times New Roman" w:eastAsia="Times New Roman" w:hAnsi="Times New Roman" w:cs="Times New Roman"/>
          <w:sz w:val="24"/>
          <w:lang w:eastAsia="en-AU"/>
        </w:rPr>
        <w:t>Regulation provides that instruments contained in the table to that section are not subject to sunsetting.</w:t>
      </w:r>
    </w:p>
    <w:p w14:paraId="18402F95" w14:textId="77777777" w:rsidR="00C303D4" w:rsidRDefault="00C303D4" w:rsidP="00210C75">
      <w:pPr>
        <w:spacing w:after="0"/>
        <w:ind w:right="91"/>
        <w:rPr>
          <w:rFonts w:ascii="Times New Roman" w:eastAsia="Times New Roman" w:hAnsi="Times New Roman" w:cs="Times New Roman"/>
          <w:sz w:val="24"/>
          <w:lang w:eastAsia="en-AU"/>
        </w:rPr>
      </w:pPr>
    </w:p>
    <w:p w14:paraId="716E1C2D" w14:textId="77777777" w:rsidR="00C303D4" w:rsidRDefault="00C303D4" w:rsidP="00210C75">
      <w:pPr>
        <w:tabs>
          <w:tab w:val="right" w:pos="8931"/>
        </w:tabs>
        <w:spacing w:after="0"/>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1 of Schedule 1 to the proposed Regulations would insert a new sunsetting exemption (item 53A) </w:t>
      </w:r>
      <w:r>
        <w:rPr>
          <w:rFonts w:ascii="Times New Roman" w:eastAsia="Calibri" w:hAnsi="Times New Roman" w:cs="Times New Roman"/>
          <w:sz w:val="24"/>
          <w:szCs w:val="24"/>
          <w:lang w:eastAsia="en-AU"/>
        </w:rPr>
        <w:t xml:space="preserve">in section 12 of the Principal Regulations. New item 53A would provide an exemption from sunsetting for the </w:t>
      </w:r>
      <w:r w:rsidRPr="00B652E5">
        <w:rPr>
          <w:rFonts w:ascii="Times New Roman" w:eastAsia="Calibri" w:hAnsi="Times New Roman" w:cs="Times New Roman"/>
          <w:i/>
          <w:sz w:val="24"/>
          <w:szCs w:val="24"/>
          <w:lang w:eastAsia="en-AU"/>
        </w:rPr>
        <w:t xml:space="preserve">Public Governance, Performance and Accountability Rule 2014 </w:t>
      </w:r>
      <w:r>
        <w:rPr>
          <w:rFonts w:ascii="Times New Roman" w:eastAsia="Calibri" w:hAnsi="Times New Roman" w:cs="Times New Roman"/>
          <w:sz w:val="24"/>
          <w:szCs w:val="24"/>
          <w:lang w:eastAsia="en-AU"/>
        </w:rPr>
        <w:t>(PGPA Rule).</w:t>
      </w:r>
    </w:p>
    <w:p w14:paraId="283BDB44" w14:textId="77777777" w:rsidR="00C303D4" w:rsidRDefault="00C303D4" w:rsidP="00210C75">
      <w:pPr>
        <w:spacing w:after="0"/>
        <w:ind w:right="91"/>
        <w:rPr>
          <w:rFonts w:ascii="Times New Roman" w:eastAsia="Times New Roman" w:hAnsi="Times New Roman" w:cs="Times New Roman"/>
          <w:sz w:val="24"/>
          <w:lang w:eastAsia="en-AU"/>
        </w:rPr>
      </w:pPr>
    </w:p>
    <w:p w14:paraId="1B578F5B" w14:textId="4B220B8E" w:rsidR="00C303D4" w:rsidRDefault="005E6B2D" w:rsidP="00210C75">
      <w:pPr>
        <w:spacing w:after="0"/>
        <w:ind w:right="91"/>
        <w:rPr>
          <w:rFonts w:ascii="Times New Roman" w:eastAsia="Times New Roman" w:hAnsi="Times New Roman" w:cs="Times New Roman"/>
          <w:sz w:val="24"/>
          <w:lang w:eastAsia="en-AU"/>
        </w:rPr>
      </w:pPr>
      <w:r>
        <w:rPr>
          <w:rFonts w:ascii="Times New Roman" w:eastAsia="Calibri" w:hAnsi="Times New Roman" w:cs="Times New Roman"/>
          <w:sz w:val="24"/>
          <w:szCs w:val="24"/>
          <w:lang w:eastAsia="en-AU"/>
        </w:rPr>
        <w:t>Pursuant to the policy criteria provided for in the Attorney</w:t>
      </w:r>
      <w:r>
        <w:rPr>
          <w:rFonts w:ascii="Times New Roman" w:eastAsia="Calibri" w:hAnsi="Times New Roman" w:cs="Times New Roman"/>
          <w:sz w:val="24"/>
          <w:szCs w:val="24"/>
          <w:lang w:eastAsia="en-AU"/>
        </w:rPr>
        <w:noBreakHyphen/>
        <w:t>General’s </w:t>
      </w:r>
      <w:r w:rsidRPr="005E6B2D">
        <w:rPr>
          <w:rFonts w:ascii="Times New Roman" w:eastAsia="Calibri" w:hAnsi="Times New Roman" w:cs="Times New Roman"/>
          <w:sz w:val="24"/>
          <w:szCs w:val="24"/>
          <w:lang w:eastAsia="en-AU"/>
        </w:rPr>
        <w:t xml:space="preserve">Department’s </w:t>
      </w:r>
      <w:r>
        <w:rPr>
          <w:rFonts w:ascii="Times New Roman" w:eastAsia="Calibri" w:hAnsi="Times New Roman" w:cs="Times New Roman"/>
          <w:i/>
          <w:sz w:val="24"/>
          <w:szCs w:val="24"/>
          <w:lang w:eastAsia="en-AU"/>
        </w:rPr>
        <w:t xml:space="preserve">Guide to managing sunsetting of legislative instruments, </w:t>
      </w:r>
      <w:r w:rsidR="00961F60">
        <w:rPr>
          <w:rFonts w:ascii="Times New Roman" w:eastAsia="Calibri" w:hAnsi="Times New Roman" w:cs="Times New Roman"/>
          <w:sz w:val="24"/>
          <w:szCs w:val="24"/>
          <w:lang w:eastAsia="en-AU"/>
        </w:rPr>
        <w:t>the</w:t>
      </w:r>
      <w:r w:rsidR="00961F60">
        <w:rPr>
          <w:rFonts w:ascii="Times New Roman" w:eastAsia="Times New Roman" w:hAnsi="Times New Roman" w:cs="Times New Roman"/>
          <w:sz w:val="24"/>
          <w:lang w:eastAsia="en-AU"/>
        </w:rPr>
        <w:t xml:space="preserve"> exemption</w:t>
      </w:r>
      <w:r w:rsidR="00C303D4">
        <w:rPr>
          <w:rFonts w:ascii="Times New Roman" w:eastAsia="Times New Roman" w:hAnsi="Times New Roman" w:cs="Times New Roman"/>
          <w:sz w:val="24"/>
          <w:lang w:eastAsia="en-AU"/>
        </w:rPr>
        <w:t xml:space="preserve"> is appropriate as the PGPA Rule </w:t>
      </w:r>
      <w:r w:rsidR="00C303D4" w:rsidRPr="00944340">
        <w:rPr>
          <w:rFonts w:ascii="Times New Roman" w:eastAsia="Times New Roman" w:hAnsi="Times New Roman" w:cs="Times New Roman"/>
          <w:sz w:val="24"/>
          <w:lang w:eastAsia="en-AU"/>
        </w:rPr>
        <w:t xml:space="preserve">is sufficiently large and complex that the administrative burden associated with remaking the instrument would outweigh any regulatory benefit, </w:t>
      </w:r>
      <w:r w:rsidR="00C303D4">
        <w:rPr>
          <w:rFonts w:ascii="Times New Roman" w:eastAsia="Times New Roman" w:hAnsi="Times New Roman" w:cs="Times New Roman"/>
          <w:sz w:val="24"/>
          <w:lang w:eastAsia="en-AU"/>
        </w:rPr>
        <w:t xml:space="preserve">and it </w:t>
      </w:r>
      <w:r w:rsidR="00C303D4" w:rsidRPr="00944340">
        <w:rPr>
          <w:rFonts w:ascii="Times New Roman" w:eastAsia="Times New Roman" w:hAnsi="Times New Roman" w:cs="Times New Roman"/>
          <w:sz w:val="24"/>
          <w:lang w:eastAsia="en-AU"/>
        </w:rPr>
        <w:t>is subject to regular review</w:t>
      </w:r>
      <w:r w:rsidR="00C303D4">
        <w:rPr>
          <w:rFonts w:ascii="Times New Roman" w:eastAsia="Times New Roman" w:hAnsi="Times New Roman" w:cs="Times New Roman"/>
          <w:sz w:val="24"/>
          <w:lang w:eastAsia="en-AU"/>
        </w:rPr>
        <w:t xml:space="preserve"> and </w:t>
      </w:r>
      <w:r w:rsidR="00C303D4" w:rsidRPr="00944340">
        <w:rPr>
          <w:rFonts w:ascii="Times New Roman" w:eastAsia="Times New Roman" w:hAnsi="Times New Roman" w:cs="Times New Roman"/>
          <w:sz w:val="24"/>
          <w:lang w:eastAsia="en-AU"/>
        </w:rPr>
        <w:t xml:space="preserve">to regular amendment. The sunsetting exemption created by the Amendment Regulations is justified on this basis.   </w:t>
      </w:r>
    </w:p>
    <w:p w14:paraId="09234CC3" w14:textId="77777777" w:rsidR="00C303D4" w:rsidRDefault="00C303D4" w:rsidP="00210C75">
      <w:pPr>
        <w:spacing w:after="0"/>
        <w:ind w:right="91"/>
        <w:rPr>
          <w:rFonts w:ascii="Times New Roman" w:eastAsia="Times New Roman" w:hAnsi="Times New Roman" w:cs="Times New Roman"/>
          <w:sz w:val="24"/>
          <w:lang w:eastAsia="en-AU"/>
        </w:rPr>
      </w:pPr>
      <w:r w:rsidRPr="00944340">
        <w:rPr>
          <w:rFonts w:ascii="Times New Roman" w:eastAsia="Times New Roman" w:hAnsi="Times New Roman" w:cs="Times New Roman"/>
          <w:sz w:val="24"/>
          <w:lang w:eastAsia="en-AU"/>
        </w:rPr>
        <w:t xml:space="preserve">   </w:t>
      </w:r>
    </w:p>
    <w:p w14:paraId="2A4478E2" w14:textId="77777777" w:rsidR="00C303D4" w:rsidRDefault="00C303D4" w:rsidP="00210C75">
      <w:pPr>
        <w:keepNext/>
        <w:rPr>
          <w:rFonts w:ascii="Times New Roman" w:eastAsia="Times New Roman" w:hAnsi="Times New Roman" w:cs="Times New Roman"/>
          <w:sz w:val="24"/>
          <w:lang w:eastAsia="en-AU"/>
        </w:rPr>
      </w:pPr>
    </w:p>
    <w:p w14:paraId="1FDE37BE" w14:textId="77777777" w:rsidR="00C303D4" w:rsidRDefault="00C303D4" w:rsidP="00210C75"/>
    <w:p w14:paraId="751EB459" w14:textId="77777777" w:rsidR="00A679B9" w:rsidRPr="00C303D4" w:rsidRDefault="00A679B9" w:rsidP="00210C75"/>
    <w:sectPr w:rsidR="00A679B9" w:rsidRPr="00C303D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96D5" w14:textId="77777777" w:rsidR="0042403B" w:rsidRDefault="0042403B">
      <w:pPr>
        <w:spacing w:after="0" w:line="240" w:lineRule="auto"/>
      </w:pPr>
      <w:r>
        <w:separator/>
      </w:r>
    </w:p>
  </w:endnote>
  <w:endnote w:type="continuationSeparator" w:id="0">
    <w:p w14:paraId="30A2D061" w14:textId="77777777" w:rsidR="0042403B" w:rsidRDefault="0042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41519E5" w14:textId="77777777" w:rsidR="0002636A" w:rsidRDefault="007A255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88F10D4" w14:textId="77777777" w:rsidR="0002636A" w:rsidRDefault="0042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E1838" w14:textId="77777777" w:rsidR="0042403B" w:rsidRDefault="0042403B">
      <w:pPr>
        <w:spacing w:after="0" w:line="240" w:lineRule="auto"/>
      </w:pPr>
      <w:r>
        <w:separator/>
      </w:r>
    </w:p>
  </w:footnote>
  <w:footnote w:type="continuationSeparator" w:id="0">
    <w:p w14:paraId="19BDD962" w14:textId="77777777" w:rsidR="0042403B" w:rsidRDefault="00424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54BA"/>
    <w:multiLevelType w:val="hybridMultilevel"/>
    <w:tmpl w:val="74B0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90BCF"/>
    <w:multiLevelType w:val="hybridMultilevel"/>
    <w:tmpl w:val="53A8D588"/>
    <w:lvl w:ilvl="0" w:tplc="4EE0448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0D02A7"/>
    <w:multiLevelType w:val="hybridMultilevel"/>
    <w:tmpl w:val="CFF0B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83506"/>
    <w:multiLevelType w:val="hybridMultilevel"/>
    <w:tmpl w:val="B860EB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A6F3126"/>
    <w:multiLevelType w:val="hybridMultilevel"/>
    <w:tmpl w:val="2F4488EE"/>
    <w:lvl w:ilvl="0" w:tplc="A38A4E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097B90"/>
    <w:multiLevelType w:val="hybridMultilevel"/>
    <w:tmpl w:val="0A54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9B3E92"/>
    <w:multiLevelType w:val="hybridMultilevel"/>
    <w:tmpl w:val="65307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E2044"/>
    <w:multiLevelType w:val="hybridMultilevel"/>
    <w:tmpl w:val="0FB6F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F116FA"/>
    <w:multiLevelType w:val="hybridMultilevel"/>
    <w:tmpl w:val="91DE6392"/>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FA08FB"/>
    <w:multiLevelType w:val="hybridMultilevel"/>
    <w:tmpl w:val="7146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15002F"/>
    <w:multiLevelType w:val="hybridMultilevel"/>
    <w:tmpl w:val="7E9E054E"/>
    <w:lvl w:ilvl="0" w:tplc="434E8B22">
      <w:start w:val="1"/>
      <w:numFmt w:val="bullet"/>
      <w:lvlText w:val=""/>
      <w:lvlJc w:val="left"/>
      <w:pPr>
        <w:ind w:left="720" w:hanging="360"/>
      </w:pPr>
      <w:rPr>
        <w:rFonts w:ascii="Symbol" w:hAnsi="Symbol" w:hint="default"/>
      </w:rPr>
    </w:lvl>
    <w:lvl w:ilvl="1" w:tplc="15000F1A" w:tentative="1">
      <w:start w:val="1"/>
      <w:numFmt w:val="bullet"/>
      <w:lvlText w:val="o"/>
      <w:lvlJc w:val="left"/>
      <w:pPr>
        <w:ind w:left="1440" w:hanging="360"/>
      </w:pPr>
      <w:rPr>
        <w:rFonts w:ascii="Courier New" w:hAnsi="Courier New" w:cs="Courier New" w:hint="default"/>
      </w:rPr>
    </w:lvl>
    <w:lvl w:ilvl="2" w:tplc="9360520A" w:tentative="1">
      <w:start w:val="1"/>
      <w:numFmt w:val="bullet"/>
      <w:lvlText w:val=""/>
      <w:lvlJc w:val="left"/>
      <w:pPr>
        <w:ind w:left="2160" w:hanging="360"/>
      </w:pPr>
      <w:rPr>
        <w:rFonts w:ascii="Wingdings" w:hAnsi="Wingdings" w:hint="default"/>
      </w:rPr>
    </w:lvl>
    <w:lvl w:ilvl="3" w:tplc="DDD6D534" w:tentative="1">
      <w:start w:val="1"/>
      <w:numFmt w:val="bullet"/>
      <w:lvlText w:val=""/>
      <w:lvlJc w:val="left"/>
      <w:pPr>
        <w:ind w:left="2880" w:hanging="360"/>
      </w:pPr>
      <w:rPr>
        <w:rFonts w:ascii="Symbol" w:hAnsi="Symbol" w:hint="default"/>
      </w:rPr>
    </w:lvl>
    <w:lvl w:ilvl="4" w:tplc="C884E716" w:tentative="1">
      <w:start w:val="1"/>
      <w:numFmt w:val="bullet"/>
      <w:lvlText w:val="o"/>
      <w:lvlJc w:val="left"/>
      <w:pPr>
        <w:ind w:left="3600" w:hanging="360"/>
      </w:pPr>
      <w:rPr>
        <w:rFonts w:ascii="Courier New" w:hAnsi="Courier New" w:cs="Courier New" w:hint="default"/>
      </w:rPr>
    </w:lvl>
    <w:lvl w:ilvl="5" w:tplc="D9842880" w:tentative="1">
      <w:start w:val="1"/>
      <w:numFmt w:val="bullet"/>
      <w:lvlText w:val=""/>
      <w:lvlJc w:val="left"/>
      <w:pPr>
        <w:ind w:left="4320" w:hanging="360"/>
      </w:pPr>
      <w:rPr>
        <w:rFonts w:ascii="Wingdings" w:hAnsi="Wingdings" w:hint="default"/>
      </w:rPr>
    </w:lvl>
    <w:lvl w:ilvl="6" w:tplc="18F23DE4" w:tentative="1">
      <w:start w:val="1"/>
      <w:numFmt w:val="bullet"/>
      <w:lvlText w:val=""/>
      <w:lvlJc w:val="left"/>
      <w:pPr>
        <w:ind w:left="5040" w:hanging="360"/>
      </w:pPr>
      <w:rPr>
        <w:rFonts w:ascii="Symbol" w:hAnsi="Symbol" w:hint="default"/>
      </w:rPr>
    </w:lvl>
    <w:lvl w:ilvl="7" w:tplc="CAD86AC4" w:tentative="1">
      <w:start w:val="1"/>
      <w:numFmt w:val="bullet"/>
      <w:lvlText w:val="o"/>
      <w:lvlJc w:val="left"/>
      <w:pPr>
        <w:ind w:left="5760" w:hanging="360"/>
      </w:pPr>
      <w:rPr>
        <w:rFonts w:ascii="Courier New" w:hAnsi="Courier New" w:cs="Courier New" w:hint="default"/>
      </w:rPr>
    </w:lvl>
    <w:lvl w:ilvl="8" w:tplc="4D4CF60A"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1"/>
  </w:num>
  <w:num w:numId="5">
    <w:abstractNumId w:val="0"/>
  </w:num>
  <w:num w:numId="6">
    <w:abstractNumId w:val="2"/>
  </w:num>
  <w:num w:numId="7">
    <w:abstractNumId w:val="10"/>
  </w:num>
  <w:num w:numId="8">
    <w:abstractNumId w:val="1"/>
  </w:num>
  <w:num w:numId="9">
    <w:abstractNumId w:val="3"/>
  </w:num>
  <w:num w:numId="10">
    <w:abstractNumId w:val="1"/>
  </w:num>
  <w:num w:numId="11">
    <w:abstractNumId w:val="8"/>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B9"/>
    <w:rsid w:val="0000478C"/>
    <w:rsid w:val="000205D0"/>
    <w:rsid w:val="000240A4"/>
    <w:rsid w:val="000241E3"/>
    <w:rsid w:val="00026925"/>
    <w:rsid w:val="0002768A"/>
    <w:rsid w:val="00046954"/>
    <w:rsid w:val="000474F7"/>
    <w:rsid w:val="00052C67"/>
    <w:rsid w:val="00062526"/>
    <w:rsid w:val="00066352"/>
    <w:rsid w:val="0006663C"/>
    <w:rsid w:val="00074DCF"/>
    <w:rsid w:val="000906BA"/>
    <w:rsid w:val="00090EFD"/>
    <w:rsid w:val="00092D98"/>
    <w:rsid w:val="00094AC7"/>
    <w:rsid w:val="000A38C4"/>
    <w:rsid w:val="000A7C3A"/>
    <w:rsid w:val="000B174D"/>
    <w:rsid w:val="000B7CB5"/>
    <w:rsid w:val="000C112E"/>
    <w:rsid w:val="000D4E36"/>
    <w:rsid w:val="00112DBA"/>
    <w:rsid w:val="00123665"/>
    <w:rsid w:val="0013412F"/>
    <w:rsid w:val="00157958"/>
    <w:rsid w:val="00163A85"/>
    <w:rsid w:val="001714F7"/>
    <w:rsid w:val="00176A76"/>
    <w:rsid w:val="00195580"/>
    <w:rsid w:val="001A0FEF"/>
    <w:rsid w:val="001A40A7"/>
    <w:rsid w:val="001B6EB0"/>
    <w:rsid w:val="001B77FA"/>
    <w:rsid w:val="001C35A2"/>
    <w:rsid w:val="001C4BB6"/>
    <w:rsid w:val="001F13AD"/>
    <w:rsid w:val="001F79C0"/>
    <w:rsid w:val="00200E48"/>
    <w:rsid w:val="0020111F"/>
    <w:rsid w:val="00210C75"/>
    <w:rsid w:val="00225787"/>
    <w:rsid w:val="00232CCA"/>
    <w:rsid w:val="00234292"/>
    <w:rsid w:val="00265D74"/>
    <w:rsid w:val="002671B1"/>
    <w:rsid w:val="00267527"/>
    <w:rsid w:val="00276D03"/>
    <w:rsid w:val="00284823"/>
    <w:rsid w:val="002C223A"/>
    <w:rsid w:val="002D4F03"/>
    <w:rsid w:val="002F2D56"/>
    <w:rsid w:val="00307A48"/>
    <w:rsid w:val="003208DA"/>
    <w:rsid w:val="003243BF"/>
    <w:rsid w:val="00324EE2"/>
    <w:rsid w:val="00333A80"/>
    <w:rsid w:val="00344048"/>
    <w:rsid w:val="003443E2"/>
    <w:rsid w:val="003476CF"/>
    <w:rsid w:val="00353017"/>
    <w:rsid w:val="003668A0"/>
    <w:rsid w:val="003904A1"/>
    <w:rsid w:val="00392840"/>
    <w:rsid w:val="003A18F6"/>
    <w:rsid w:val="003A3A78"/>
    <w:rsid w:val="003C51B1"/>
    <w:rsid w:val="003C6F8E"/>
    <w:rsid w:val="004052EF"/>
    <w:rsid w:val="004119A3"/>
    <w:rsid w:val="00420A7A"/>
    <w:rsid w:val="0042403B"/>
    <w:rsid w:val="00430753"/>
    <w:rsid w:val="00431AAB"/>
    <w:rsid w:val="00437309"/>
    <w:rsid w:val="00437505"/>
    <w:rsid w:val="004A1B79"/>
    <w:rsid w:val="004D0ED9"/>
    <w:rsid w:val="00503AA3"/>
    <w:rsid w:val="0051658C"/>
    <w:rsid w:val="0052291C"/>
    <w:rsid w:val="00523DFF"/>
    <w:rsid w:val="00534452"/>
    <w:rsid w:val="005457D0"/>
    <w:rsid w:val="00573299"/>
    <w:rsid w:val="005925AB"/>
    <w:rsid w:val="005C6F3A"/>
    <w:rsid w:val="005E57E8"/>
    <w:rsid w:val="005E671D"/>
    <w:rsid w:val="005E6B2D"/>
    <w:rsid w:val="00602387"/>
    <w:rsid w:val="0063410E"/>
    <w:rsid w:val="00684AA5"/>
    <w:rsid w:val="006A335C"/>
    <w:rsid w:val="006B5560"/>
    <w:rsid w:val="006B7345"/>
    <w:rsid w:val="006C07D5"/>
    <w:rsid w:val="006F1644"/>
    <w:rsid w:val="00730092"/>
    <w:rsid w:val="00735C04"/>
    <w:rsid w:val="00740B98"/>
    <w:rsid w:val="00744808"/>
    <w:rsid w:val="00781949"/>
    <w:rsid w:val="00782043"/>
    <w:rsid w:val="0078297B"/>
    <w:rsid w:val="00790F2E"/>
    <w:rsid w:val="007A2553"/>
    <w:rsid w:val="007B283E"/>
    <w:rsid w:val="007E4D38"/>
    <w:rsid w:val="007E6A15"/>
    <w:rsid w:val="007F02C0"/>
    <w:rsid w:val="007F0A5B"/>
    <w:rsid w:val="007F54BD"/>
    <w:rsid w:val="007F6C8C"/>
    <w:rsid w:val="008017DB"/>
    <w:rsid w:val="0082628F"/>
    <w:rsid w:val="0084600A"/>
    <w:rsid w:val="00853D28"/>
    <w:rsid w:val="0087443D"/>
    <w:rsid w:val="00877977"/>
    <w:rsid w:val="008A5124"/>
    <w:rsid w:val="008B7CF3"/>
    <w:rsid w:val="008D180E"/>
    <w:rsid w:val="008F6228"/>
    <w:rsid w:val="00932690"/>
    <w:rsid w:val="009479CA"/>
    <w:rsid w:val="00954DF9"/>
    <w:rsid w:val="009565FB"/>
    <w:rsid w:val="00956CAB"/>
    <w:rsid w:val="00961F60"/>
    <w:rsid w:val="009C6B29"/>
    <w:rsid w:val="009D24B8"/>
    <w:rsid w:val="009E7997"/>
    <w:rsid w:val="009F6272"/>
    <w:rsid w:val="00A012E8"/>
    <w:rsid w:val="00A256E1"/>
    <w:rsid w:val="00A335DE"/>
    <w:rsid w:val="00A35F01"/>
    <w:rsid w:val="00A40F64"/>
    <w:rsid w:val="00A4365B"/>
    <w:rsid w:val="00A57A61"/>
    <w:rsid w:val="00A66344"/>
    <w:rsid w:val="00A679B9"/>
    <w:rsid w:val="00A74186"/>
    <w:rsid w:val="00A85371"/>
    <w:rsid w:val="00A9467B"/>
    <w:rsid w:val="00AB361A"/>
    <w:rsid w:val="00AC1CF3"/>
    <w:rsid w:val="00AD15C9"/>
    <w:rsid w:val="00AD327D"/>
    <w:rsid w:val="00B25771"/>
    <w:rsid w:val="00B50C1F"/>
    <w:rsid w:val="00B536B0"/>
    <w:rsid w:val="00B53FD0"/>
    <w:rsid w:val="00B73158"/>
    <w:rsid w:val="00B814C7"/>
    <w:rsid w:val="00B851AA"/>
    <w:rsid w:val="00B9695B"/>
    <w:rsid w:val="00BB56D0"/>
    <w:rsid w:val="00BB6D4E"/>
    <w:rsid w:val="00BD101C"/>
    <w:rsid w:val="00BE5546"/>
    <w:rsid w:val="00BF5D7E"/>
    <w:rsid w:val="00C11CDA"/>
    <w:rsid w:val="00C303D4"/>
    <w:rsid w:val="00C3344F"/>
    <w:rsid w:val="00C52897"/>
    <w:rsid w:val="00C5797D"/>
    <w:rsid w:val="00C76601"/>
    <w:rsid w:val="00C87C40"/>
    <w:rsid w:val="00CA7BF3"/>
    <w:rsid w:val="00CB5E7F"/>
    <w:rsid w:val="00CF1D1C"/>
    <w:rsid w:val="00CF729E"/>
    <w:rsid w:val="00D06E6B"/>
    <w:rsid w:val="00D13DE0"/>
    <w:rsid w:val="00D24758"/>
    <w:rsid w:val="00D534B3"/>
    <w:rsid w:val="00D57916"/>
    <w:rsid w:val="00D57AD1"/>
    <w:rsid w:val="00D6277F"/>
    <w:rsid w:val="00D705FD"/>
    <w:rsid w:val="00D81E0C"/>
    <w:rsid w:val="00D9435B"/>
    <w:rsid w:val="00D96E28"/>
    <w:rsid w:val="00DB7182"/>
    <w:rsid w:val="00DD2CE1"/>
    <w:rsid w:val="00DE011F"/>
    <w:rsid w:val="00DF550B"/>
    <w:rsid w:val="00E0113E"/>
    <w:rsid w:val="00E032A6"/>
    <w:rsid w:val="00E13884"/>
    <w:rsid w:val="00E22015"/>
    <w:rsid w:val="00E62438"/>
    <w:rsid w:val="00E806ED"/>
    <w:rsid w:val="00E94453"/>
    <w:rsid w:val="00E97DBD"/>
    <w:rsid w:val="00ED520A"/>
    <w:rsid w:val="00F0481A"/>
    <w:rsid w:val="00F05956"/>
    <w:rsid w:val="00F22225"/>
    <w:rsid w:val="00F316F8"/>
    <w:rsid w:val="00F355F6"/>
    <w:rsid w:val="00F61A57"/>
    <w:rsid w:val="00F84EDC"/>
    <w:rsid w:val="00FA0F9B"/>
    <w:rsid w:val="00FB40CC"/>
    <w:rsid w:val="00FD2221"/>
    <w:rsid w:val="00FD733E"/>
    <w:rsid w:val="00FF6CED"/>
    <w:rsid w:val="00FF7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85FD"/>
  <w15:chartTrackingRefBased/>
  <w15:docId w15:val="{4601985A-BD00-40AC-B23D-F2F83B37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9B9"/>
    <w:pPr>
      <w:spacing w:after="200" w:line="276" w:lineRule="auto"/>
    </w:pPr>
  </w:style>
  <w:style w:type="paragraph" w:styleId="Heading1">
    <w:name w:val="heading 1"/>
    <w:basedOn w:val="Normal"/>
    <w:next w:val="Normal"/>
    <w:link w:val="Heading1Char"/>
    <w:uiPriority w:val="9"/>
    <w:qFormat/>
    <w:rsid w:val="00C303D4"/>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A679B9"/>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A679B9"/>
    <w:rPr>
      <w:rFonts w:ascii="Times New Roman" w:eastAsia="Times New Roman" w:hAnsi="Times New Roman" w:cs="Times New Roman"/>
      <w:snapToGrid w:val="0"/>
    </w:rPr>
  </w:style>
  <w:style w:type="character" w:styleId="CommentReference">
    <w:name w:val="annotation reference"/>
    <w:basedOn w:val="DefaultParagraphFont"/>
    <w:uiPriority w:val="99"/>
    <w:semiHidden/>
    <w:unhideWhenUsed/>
    <w:rsid w:val="00A679B9"/>
    <w:rPr>
      <w:sz w:val="16"/>
      <w:szCs w:val="16"/>
    </w:rPr>
  </w:style>
  <w:style w:type="paragraph" w:styleId="CommentText">
    <w:name w:val="annotation text"/>
    <w:basedOn w:val="Normal"/>
    <w:link w:val="CommentTextChar"/>
    <w:uiPriority w:val="99"/>
    <w:unhideWhenUsed/>
    <w:rsid w:val="00A679B9"/>
    <w:pPr>
      <w:spacing w:line="240" w:lineRule="auto"/>
    </w:pPr>
    <w:rPr>
      <w:sz w:val="20"/>
      <w:szCs w:val="20"/>
    </w:rPr>
  </w:style>
  <w:style w:type="character" w:customStyle="1" w:styleId="CommentTextChar">
    <w:name w:val="Comment Text Char"/>
    <w:basedOn w:val="DefaultParagraphFont"/>
    <w:link w:val="CommentText"/>
    <w:uiPriority w:val="99"/>
    <w:rsid w:val="00A679B9"/>
    <w:rPr>
      <w:sz w:val="20"/>
      <w:szCs w:val="20"/>
      <w:lang w:val="en-GB"/>
    </w:rPr>
  </w:style>
  <w:style w:type="paragraph" w:styleId="BalloonText">
    <w:name w:val="Balloon Text"/>
    <w:basedOn w:val="Normal"/>
    <w:link w:val="BalloonTextChar"/>
    <w:uiPriority w:val="99"/>
    <w:semiHidden/>
    <w:unhideWhenUsed/>
    <w:rsid w:val="00A6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9B9"/>
    <w:rPr>
      <w:rFonts w:ascii="Segoe UI" w:hAnsi="Segoe UI" w:cs="Segoe UI"/>
      <w:sz w:val="18"/>
      <w:szCs w:val="18"/>
      <w:lang w:val="en-GB"/>
    </w:rPr>
  </w:style>
  <w:style w:type="paragraph" w:styleId="ListParagraph">
    <w:name w:val="List Paragraph"/>
    <w:basedOn w:val="Normal"/>
    <w:uiPriority w:val="34"/>
    <w:qFormat/>
    <w:rsid w:val="00A679B9"/>
    <w:pPr>
      <w:ind w:left="720"/>
      <w:contextualSpacing/>
    </w:pPr>
  </w:style>
  <w:style w:type="paragraph" w:styleId="Footer">
    <w:name w:val="footer"/>
    <w:basedOn w:val="Normal"/>
    <w:link w:val="FooterChar"/>
    <w:uiPriority w:val="99"/>
    <w:unhideWhenUsed/>
    <w:rsid w:val="00A6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9B9"/>
  </w:style>
  <w:style w:type="character" w:customStyle="1" w:styleId="CharSectno">
    <w:name w:val="CharSectno"/>
    <w:basedOn w:val="DefaultParagraphFont"/>
    <w:qFormat/>
    <w:rsid w:val="00A679B9"/>
  </w:style>
  <w:style w:type="paragraph" w:styleId="CommentSubject">
    <w:name w:val="annotation subject"/>
    <w:basedOn w:val="CommentText"/>
    <w:next w:val="CommentText"/>
    <w:link w:val="CommentSubjectChar"/>
    <w:uiPriority w:val="99"/>
    <w:semiHidden/>
    <w:unhideWhenUsed/>
    <w:rsid w:val="00932690"/>
    <w:rPr>
      <w:b/>
      <w:bCs/>
    </w:rPr>
  </w:style>
  <w:style w:type="character" w:customStyle="1" w:styleId="CommentSubjectChar">
    <w:name w:val="Comment Subject Char"/>
    <w:basedOn w:val="CommentTextChar"/>
    <w:link w:val="CommentSubject"/>
    <w:uiPriority w:val="99"/>
    <w:semiHidden/>
    <w:rsid w:val="00932690"/>
    <w:rPr>
      <w:b/>
      <w:bCs/>
      <w:sz w:val="20"/>
      <w:szCs w:val="20"/>
      <w:lang w:val="en-GB"/>
    </w:rPr>
  </w:style>
  <w:style w:type="paragraph" w:customStyle="1" w:styleId="Paragraph">
    <w:name w:val="Paragraph"/>
    <w:basedOn w:val="Normal"/>
    <w:link w:val="ParagraphChar"/>
    <w:rsid w:val="00BB6D4E"/>
    <w:pPr>
      <w:numPr>
        <w:ilvl w:val="12"/>
      </w:numPr>
      <w:spacing w:before="240" w:after="0" w:line="240" w:lineRule="auto"/>
    </w:pPr>
    <w:rPr>
      <w:rFonts w:ascii="Times New Roman" w:eastAsia="Times New Roman" w:hAnsi="Times New Roman" w:cs="Times New Roman"/>
      <w:sz w:val="24"/>
      <w:szCs w:val="20"/>
      <w:lang w:eastAsia="en-AU"/>
    </w:rPr>
  </w:style>
  <w:style w:type="paragraph" w:customStyle="1" w:styleId="Celltext">
    <w:name w:val="Cell text"/>
    <w:basedOn w:val="Normal"/>
    <w:rsid w:val="00BB6D4E"/>
    <w:pPr>
      <w:spacing w:before="120"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F0481A"/>
    <w:rPr>
      <w:color w:val="0000FF"/>
      <w:u w:val="single"/>
    </w:rPr>
  </w:style>
  <w:style w:type="character" w:styleId="FollowedHyperlink">
    <w:name w:val="FollowedHyperlink"/>
    <w:basedOn w:val="DefaultParagraphFont"/>
    <w:uiPriority w:val="99"/>
    <w:semiHidden/>
    <w:unhideWhenUsed/>
    <w:rsid w:val="002F2D56"/>
    <w:rPr>
      <w:color w:val="954F72" w:themeColor="followedHyperlink"/>
      <w:u w:val="single"/>
    </w:rPr>
  </w:style>
  <w:style w:type="character" w:customStyle="1" w:styleId="Heading1Char">
    <w:name w:val="Heading 1 Char"/>
    <w:basedOn w:val="DefaultParagraphFont"/>
    <w:link w:val="Heading1"/>
    <w:uiPriority w:val="9"/>
    <w:rsid w:val="00C303D4"/>
    <w:rPr>
      <w:rFonts w:ascii="Cambria" w:eastAsia="Times New Roman" w:hAnsi="Cambria" w:cs="Times New Roman"/>
      <w:bCs/>
      <w:caps/>
      <w:kern w:val="32"/>
      <w:sz w:val="32"/>
      <w:szCs w:val="32"/>
    </w:rPr>
  </w:style>
  <w:style w:type="paragraph" w:styleId="NoSpacing">
    <w:name w:val="No Spacing"/>
    <w:uiPriority w:val="1"/>
    <w:qFormat/>
    <w:rsid w:val="00C303D4"/>
    <w:pPr>
      <w:spacing w:after="0" w:line="240" w:lineRule="auto"/>
    </w:pPr>
  </w:style>
  <w:style w:type="character" w:customStyle="1" w:styleId="ParagraphChar">
    <w:name w:val="Paragraph Char"/>
    <w:link w:val="Paragraph"/>
    <w:locked/>
    <w:rsid w:val="00C303D4"/>
    <w:rPr>
      <w:rFonts w:ascii="Times New Roman" w:eastAsia="Times New Roman" w:hAnsi="Times New Roman" w:cs="Times New Roman"/>
      <w:sz w:val="24"/>
      <w:szCs w:val="20"/>
      <w:lang w:eastAsia="en-AU"/>
    </w:rPr>
  </w:style>
  <w:style w:type="paragraph" w:customStyle="1" w:styleId="Body">
    <w:name w:val="Body"/>
    <w:aliases w:val="b"/>
    <w:basedOn w:val="Normal"/>
    <w:rsid w:val="00C303D4"/>
    <w:pPr>
      <w:spacing w:before="240"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E57E8"/>
    <w:rPr>
      <w:color w:val="605E5C"/>
      <w:shd w:val="clear" w:color="auto" w:fill="E1DFDD"/>
    </w:rPr>
  </w:style>
  <w:style w:type="paragraph" w:customStyle="1" w:styleId="Default">
    <w:name w:val="Default"/>
    <w:rsid w:val="00FB40C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C35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813">
      <w:bodyDiv w:val="1"/>
      <w:marLeft w:val="0"/>
      <w:marRight w:val="0"/>
      <w:marTop w:val="0"/>
      <w:marBottom w:val="0"/>
      <w:divBdr>
        <w:top w:val="none" w:sz="0" w:space="0" w:color="auto"/>
        <w:left w:val="none" w:sz="0" w:space="0" w:color="auto"/>
        <w:bottom w:val="none" w:sz="0" w:space="0" w:color="auto"/>
        <w:right w:val="none" w:sz="0" w:space="0" w:color="auto"/>
      </w:divBdr>
    </w:div>
    <w:div w:id="127666485">
      <w:bodyDiv w:val="1"/>
      <w:marLeft w:val="0"/>
      <w:marRight w:val="0"/>
      <w:marTop w:val="0"/>
      <w:marBottom w:val="0"/>
      <w:divBdr>
        <w:top w:val="none" w:sz="0" w:space="0" w:color="auto"/>
        <w:left w:val="none" w:sz="0" w:space="0" w:color="auto"/>
        <w:bottom w:val="none" w:sz="0" w:space="0" w:color="auto"/>
        <w:right w:val="none" w:sz="0" w:space="0" w:color="auto"/>
      </w:divBdr>
    </w:div>
    <w:div w:id="153644090">
      <w:bodyDiv w:val="1"/>
      <w:marLeft w:val="0"/>
      <w:marRight w:val="0"/>
      <w:marTop w:val="0"/>
      <w:marBottom w:val="0"/>
      <w:divBdr>
        <w:top w:val="none" w:sz="0" w:space="0" w:color="auto"/>
        <w:left w:val="none" w:sz="0" w:space="0" w:color="auto"/>
        <w:bottom w:val="none" w:sz="0" w:space="0" w:color="auto"/>
        <w:right w:val="none" w:sz="0" w:space="0" w:color="auto"/>
      </w:divBdr>
    </w:div>
    <w:div w:id="357435539">
      <w:bodyDiv w:val="1"/>
      <w:marLeft w:val="0"/>
      <w:marRight w:val="0"/>
      <w:marTop w:val="0"/>
      <w:marBottom w:val="0"/>
      <w:divBdr>
        <w:top w:val="none" w:sz="0" w:space="0" w:color="auto"/>
        <w:left w:val="none" w:sz="0" w:space="0" w:color="auto"/>
        <w:bottom w:val="none" w:sz="0" w:space="0" w:color="auto"/>
        <w:right w:val="none" w:sz="0" w:space="0" w:color="auto"/>
      </w:divBdr>
    </w:div>
    <w:div w:id="458304907">
      <w:bodyDiv w:val="1"/>
      <w:marLeft w:val="0"/>
      <w:marRight w:val="0"/>
      <w:marTop w:val="0"/>
      <w:marBottom w:val="0"/>
      <w:divBdr>
        <w:top w:val="none" w:sz="0" w:space="0" w:color="auto"/>
        <w:left w:val="none" w:sz="0" w:space="0" w:color="auto"/>
        <w:bottom w:val="none" w:sz="0" w:space="0" w:color="auto"/>
        <w:right w:val="none" w:sz="0" w:space="0" w:color="auto"/>
      </w:divBdr>
    </w:div>
    <w:div w:id="565265384">
      <w:bodyDiv w:val="1"/>
      <w:marLeft w:val="0"/>
      <w:marRight w:val="0"/>
      <w:marTop w:val="0"/>
      <w:marBottom w:val="0"/>
      <w:divBdr>
        <w:top w:val="none" w:sz="0" w:space="0" w:color="auto"/>
        <w:left w:val="none" w:sz="0" w:space="0" w:color="auto"/>
        <w:bottom w:val="none" w:sz="0" w:space="0" w:color="auto"/>
        <w:right w:val="none" w:sz="0" w:space="0" w:color="auto"/>
      </w:divBdr>
    </w:div>
    <w:div w:id="603152425">
      <w:bodyDiv w:val="1"/>
      <w:marLeft w:val="0"/>
      <w:marRight w:val="0"/>
      <w:marTop w:val="0"/>
      <w:marBottom w:val="0"/>
      <w:divBdr>
        <w:top w:val="none" w:sz="0" w:space="0" w:color="auto"/>
        <w:left w:val="none" w:sz="0" w:space="0" w:color="auto"/>
        <w:bottom w:val="none" w:sz="0" w:space="0" w:color="auto"/>
        <w:right w:val="none" w:sz="0" w:space="0" w:color="auto"/>
      </w:divBdr>
    </w:div>
    <w:div w:id="607323223">
      <w:bodyDiv w:val="1"/>
      <w:marLeft w:val="0"/>
      <w:marRight w:val="0"/>
      <w:marTop w:val="0"/>
      <w:marBottom w:val="0"/>
      <w:divBdr>
        <w:top w:val="none" w:sz="0" w:space="0" w:color="auto"/>
        <w:left w:val="none" w:sz="0" w:space="0" w:color="auto"/>
        <w:bottom w:val="none" w:sz="0" w:space="0" w:color="auto"/>
        <w:right w:val="none" w:sz="0" w:space="0" w:color="auto"/>
      </w:divBdr>
    </w:div>
    <w:div w:id="790631959">
      <w:bodyDiv w:val="1"/>
      <w:marLeft w:val="0"/>
      <w:marRight w:val="0"/>
      <w:marTop w:val="0"/>
      <w:marBottom w:val="0"/>
      <w:divBdr>
        <w:top w:val="none" w:sz="0" w:space="0" w:color="auto"/>
        <w:left w:val="none" w:sz="0" w:space="0" w:color="auto"/>
        <w:bottom w:val="none" w:sz="0" w:space="0" w:color="auto"/>
        <w:right w:val="none" w:sz="0" w:space="0" w:color="auto"/>
      </w:divBdr>
    </w:div>
    <w:div w:id="791175312">
      <w:bodyDiv w:val="1"/>
      <w:marLeft w:val="0"/>
      <w:marRight w:val="0"/>
      <w:marTop w:val="0"/>
      <w:marBottom w:val="0"/>
      <w:divBdr>
        <w:top w:val="none" w:sz="0" w:space="0" w:color="auto"/>
        <w:left w:val="none" w:sz="0" w:space="0" w:color="auto"/>
        <w:bottom w:val="none" w:sz="0" w:space="0" w:color="auto"/>
        <w:right w:val="none" w:sz="0" w:space="0" w:color="auto"/>
      </w:divBdr>
    </w:div>
    <w:div w:id="877821063">
      <w:bodyDiv w:val="1"/>
      <w:marLeft w:val="0"/>
      <w:marRight w:val="0"/>
      <w:marTop w:val="0"/>
      <w:marBottom w:val="0"/>
      <w:divBdr>
        <w:top w:val="none" w:sz="0" w:space="0" w:color="auto"/>
        <w:left w:val="none" w:sz="0" w:space="0" w:color="auto"/>
        <w:bottom w:val="none" w:sz="0" w:space="0" w:color="auto"/>
        <w:right w:val="none" w:sz="0" w:space="0" w:color="auto"/>
      </w:divBdr>
    </w:div>
    <w:div w:id="1165704160">
      <w:bodyDiv w:val="1"/>
      <w:marLeft w:val="0"/>
      <w:marRight w:val="0"/>
      <w:marTop w:val="0"/>
      <w:marBottom w:val="0"/>
      <w:divBdr>
        <w:top w:val="none" w:sz="0" w:space="0" w:color="auto"/>
        <w:left w:val="none" w:sz="0" w:space="0" w:color="auto"/>
        <w:bottom w:val="none" w:sz="0" w:space="0" w:color="auto"/>
        <w:right w:val="none" w:sz="0" w:space="0" w:color="auto"/>
      </w:divBdr>
    </w:div>
    <w:div w:id="1235242531">
      <w:bodyDiv w:val="1"/>
      <w:marLeft w:val="0"/>
      <w:marRight w:val="0"/>
      <w:marTop w:val="0"/>
      <w:marBottom w:val="0"/>
      <w:divBdr>
        <w:top w:val="none" w:sz="0" w:space="0" w:color="auto"/>
        <w:left w:val="none" w:sz="0" w:space="0" w:color="auto"/>
        <w:bottom w:val="none" w:sz="0" w:space="0" w:color="auto"/>
        <w:right w:val="none" w:sz="0" w:space="0" w:color="auto"/>
      </w:divBdr>
    </w:div>
    <w:div w:id="1297906688">
      <w:bodyDiv w:val="1"/>
      <w:marLeft w:val="0"/>
      <w:marRight w:val="0"/>
      <w:marTop w:val="0"/>
      <w:marBottom w:val="0"/>
      <w:divBdr>
        <w:top w:val="none" w:sz="0" w:space="0" w:color="auto"/>
        <w:left w:val="none" w:sz="0" w:space="0" w:color="auto"/>
        <w:bottom w:val="none" w:sz="0" w:space="0" w:color="auto"/>
        <w:right w:val="none" w:sz="0" w:space="0" w:color="auto"/>
      </w:divBdr>
    </w:div>
    <w:div w:id="1400858473">
      <w:bodyDiv w:val="1"/>
      <w:marLeft w:val="0"/>
      <w:marRight w:val="0"/>
      <w:marTop w:val="0"/>
      <w:marBottom w:val="0"/>
      <w:divBdr>
        <w:top w:val="none" w:sz="0" w:space="0" w:color="auto"/>
        <w:left w:val="none" w:sz="0" w:space="0" w:color="auto"/>
        <w:bottom w:val="none" w:sz="0" w:space="0" w:color="auto"/>
        <w:right w:val="none" w:sz="0" w:space="0" w:color="auto"/>
      </w:divBdr>
    </w:div>
    <w:div w:id="1430077872">
      <w:bodyDiv w:val="1"/>
      <w:marLeft w:val="0"/>
      <w:marRight w:val="0"/>
      <w:marTop w:val="0"/>
      <w:marBottom w:val="0"/>
      <w:divBdr>
        <w:top w:val="none" w:sz="0" w:space="0" w:color="auto"/>
        <w:left w:val="none" w:sz="0" w:space="0" w:color="auto"/>
        <w:bottom w:val="none" w:sz="0" w:space="0" w:color="auto"/>
        <w:right w:val="none" w:sz="0" w:space="0" w:color="auto"/>
      </w:divBdr>
    </w:div>
    <w:div w:id="1438407633">
      <w:bodyDiv w:val="1"/>
      <w:marLeft w:val="0"/>
      <w:marRight w:val="0"/>
      <w:marTop w:val="0"/>
      <w:marBottom w:val="0"/>
      <w:divBdr>
        <w:top w:val="none" w:sz="0" w:space="0" w:color="auto"/>
        <w:left w:val="none" w:sz="0" w:space="0" w:color="auto"/>
        <w:bottom w:val="none" w:sz="0" w:space="0" w:color="auto"/>
        <w:right w:val="none" w:sz="0" w:space="0" w:color="auto"/>
      </w:divBdr>
    </w:div>
    <w:div w:id="1474568558">
      <w:bodyDiv w:val="1"/>
      <w:marLeft w:val="0"/>
      <w:marRight w:val="0"/>
      <w:marTop w:val="0"/>
      <w:marBottom w:val="0"/>
      <w:divBdr>
        <w:top w:val="none" w:sz="0" w:space="0" w:color="auto"/>
        <w:left w:val="none" w:sz="0" w:space="0" w:color="auto"/>
        <w:bottom w:val="none" w:sz="0" w:space="0" w:color="auto"/>
        <w:right w:val="none" w:sz="0" w:space="0" w:color="auto"/>
      </w:divBdr>
    </w:div>
    <w:div w:id="1573806112">
      <w:bodyDiv w:val="1"/>
      <w:marLeft w:val="0"/>
      <w:marRight w:val="0"/>
      <w:marTop w:val="0"/>
      <w:marBottom w:val="0"/>
      <w:divBdr>
        <w:top w:val="none" w:sz="0" w:space="0" w:color="auto"/>
        <w:left w:val="none" w:sz="0" w:space="0" w:color="auto"/>
        <w:bottom w:val="none" w:sz="0" w:space="0" w:color="auto"/>
        <w:right w:val="none" w:sz="0" w:space="0" w:color="auto"/>
      </w:divBdr>
    </w:div>
    <w:div w:id="1644969956">
      <w:bodyDiv w:val="1"/>
      <w:marLeft w:val="0"/>
      <w:marRight w:val="0"/>
      <w:marTop w:val="0"/>
      <w:marBottom w:val="0"/>
      <w:divBdr>
        <w:top w:val="none" w:sz="0" w:space="0" w:color="auto"/>
        <w:left w:val="none" w:sz="0" w:space="0" w:color="auto"/>
        <w:bottom w:val="none" w:sz="0" w:space="0" w:color="auto"/>
        <w:right w:val="none" w:sz="0" w:space="0" w:color="auto"/>
      </w:divBdr>
    </w:div>
    <w:div w:id="1654261058">
      <w:bodyDiv w:val="1"/>
      <w:marLeft w:val="0"/>
      <w:marRight w:val="0"/>
      <w:marTop w:val="0"/>
      <w:marBottom w:val="0"/>
      <w:divBdr>
        <w:top w:val="none" w:sz="0" w:space="0" w:color="auto"/>
        <w:left w:val="none" w:sz="0" w:space="0" w:color="auto"/>
        <w:bottom w:val="none" w:sz="0" w:space="0" w:color="auto"/>
        <w:right w:val="none" w:sz="0" w:space="0" w:color="auto"/>
      </w:divBdr>
    </w:div>
    <w:div w:id="1763716667">
      <w:bodyDiv w:val="1"/>
      <w:marLeft w:val="0"/>
      <w:marRight w:val="0"/>
      <w:marTop w:val="0"/>
      <w:marBottom w:val="0"/>
      <w:divBdr>
        <w:top w:val="none" w:sz="0" w:space="0" w:color="auto"/>
        <w:left w:val="none" w:sz="0" w:space="0" w:color="auto"/>
        <w:bottom w:val="none" w:sz="0" w:space="0" w:color="auto"/>
        <w:right w:val="none" w:sz="0" w:space="0" w:color="auto"/>
      </w:divBdr>
    </w:div>
    <w:div w:id="1797067331">
      <w:bodyDiv w:val="1"/>
      <w:marLeft w:val="0"/>
      <w:marRight w:val="0"/>
      <w:marTop w:val="0"/>
      <w:marBottom w:val="0"/>
      <w:divBdr>
        <w:top w:val="none" w:sz="0" w:space="0" w:color="auto"/>
        <w:left w:val="none" w:sz="0" w:space="0" w:color="auto"/>
        <w:bottom w:val="none" w:sz="0" w:space="0" w:color="auto"/>
        <w:right w:val="none" w:sz="0" w:space="0" w:color="auto"/>
      </w:divBdr>
    </w:div>
    <w:div w:id="1811945710">
      <w:bodyDiv w:val="1"/>
      <w:marLeft w:val="0"/>
      <w:marRight w:val="0"/>
      <w:marTop w:val="0"/>
      <w:marBottom w:val="0"/>
      <w:divBdr>
        <w:top w:val="none" w:sz="0" w:space="0" w:color="auto"/>
        <w:left w:val="none" w:sz="0" w:space="0" w:color="auto"/>
        <w:bottom w:val="none" w:sz="0" w:space="0" w:color="auto"/>
        <w:right w:val="none" w:sz="0" w:space="0" w:color="auto"/>
      </w:divBdr>
    </w:div>
    <w:div w:id="1955399449">
      <w:bodyDiv w:val="1"/>
      <w:marLeft w:val="0"/>
      <w:marRight w:val="0"/>
      <w:marTop w:val="0"/>
      <w:marBottom w:val="0"/>
      <w:divBdr>
        <w:top w:val="none" w:sz="0" w:space="0" w:color="auto"/>
        <w:left w:val="none" w:sz="0" w:space="0" w:color="auto"/>
        <w:bottom w:val="none" w:sz="0" w:space="0" w:color="auto"/>
        <w:right w:val="none" w:sz="0" w:space="0" w:color="auto"/>
      </w:divBdr>
    </w:div>
    <w:div w:id="1997218819">
      <w:bodyDiv w:val="1"/>
      <w:marLeft w:val="0"/>
      <w:marRight w:val="0"/>
      <w:marTop w:val="0"/>
      <w:marBottom w:val="0"/>
      <w:divBdr>
        <w:top w:val="none" w:sz="0" w:space="0" w:color="auto"/>
        <w:left w:val="none" w:sz="0" w:space="0" w:color="auto"/>
        <w:bottom w:val="none" w:sz="0" w:space="0" w:color="auto"/>
        <w:right w:val="none" w:sz="0" w:space="0" w:color="auto"/>
      </w:divBdr>
    </w:div>
    <w:div w:id="20280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17DD4DA-40AE-4382-8520-BA6F2795D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E8B812083E8E74BA93271A5484186F1" ma:contentTypeVersion="" ma:contentTypeDescription="PDMS Document Site Content Type" ma:contentTypeScope="" ma:versionID="c0ba5b4e3fe81305515a4e42baf53184">
  <xsd:schema xmlns:xsd="http://www.w3.org/2001/XMLSchema" xmlns:xs="http://www.w3.org/2001/XMLSchema" xmlns:p="http://schemas.microsoft.com/office/2006/metadata/properties" xmlns:ns2="317DD4DA-40AE-4382-8520-BA6F2795DD14" targetNamespace="http://schemas.microsoft.com/office/2006/metadata/properties" ma:root="true" ma:fieldsID="813f80b78892f37f9c64ba1ba2507b92" ns2:_="">
    <xsd:import namespace="317DD4DA-40AE-4382-8520-BA6F2795DD1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DD4DA-40AE-4382-8520-BA6F2795DD1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B673-DCC5-4E4E-B871-52BBCFAE0572}">
  <ds:schemaRefs>
    <ds:schemaRef ds:uri="http://schemas.microsoft.com/office/2006/metadata/properties"/>
    <ds:schemaRef ds:uri="http://schemas.microsoft.com/office/infopath/2007/PartnerControls"/>
    <ds:schemaRef ds:uri="317DD4DA-40AE-4382-8520-BA6F2795DD14"/>
  </ds:schemaRefs>
</ds:datastoreItem>
</file>

<file path=customXml/itemProps2.xml><?xml version="1.0" encoding="utf-8"?>
<ds:datastoreItem xmlns:ds="http://schemas.openxmlformats.org/officeDocument/2006/customXml" ds:itemID="{AAEF6176-449A-4598-8B7B-A972EB86333C}">
  <ds:schemaRefs>
    <ds:schemaRef ds:uri="http://schemas.microsoft.com/sharepoint/v3/contenttype/forms"/>
  </ds:schemaRefs>
</ds:datastoreItem>
</file>

<file path=customXml/itemProps3.xml><?xml version="1.0" encoding="utf-8"?>
<ds:datastoreItem xmlns:ds="http://schemas.openxmlformats.org/officeDocument/2006/customXml" ds:itemID="{4412A1A1-4116-492B-AF3E-572638B8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DD4DA-40AE-4382-8520-BA6F2795D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DF643-D9E4-45A6-B87A-E8026009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3</cp:revision>
  <dcterms:created xsi:type="dcterms:W3CDTF">2023-06-21T00:14:00Z</dcterms:created>
  <dcterms:modified xsi:type="dcterms:W3CDTF">2023-06-21T00:23:00Z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0x010100266966F133664895A6EE3632470D45F500EE8B812083E8E74BA93271A5484186F1</vt:lpwstr>
  </property>
</Properties>
</file>