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9CDA" w14:textId="77777777" w:rsidR="005833BE" w:rsidRPr="000F7E40" w:rsidRDefault="00F109D4" w:rsidP="0089406B">
      <w:pPr>
        <w:pStyle w:val="Heading1"/>
        <w:spacing w:after="360"/>
        <w:rPr>
          <w:rFonts w:ascii="Times New Roman" w:hAnsi="Times New Roman"/>
        </w:rPr>
      </w:pPr>
      <w:bookmarkStart w:id="0" w:name="OLE_LINK1"/>
      <w:bookmarkStart w:id="1" w:name="OLE_LINK2"/>
      <w:r w:rsidRPr="000F7E40">
        <w:rPr>
          <w:rFonts w:ascii="Times New Roman" w:hAnsi="Times New Roman"/>
        </w:rPr>
        <w:t>EXPLANATORY STATEMENT</w:t>
      </w:r>
    </w:p>
    <w:p w14:paraId="7FD19CDC" w14:textId="3054EAED" w:rsidR="00941C0D" w:rsidRPr="0039795F" w:rsidRDefault="00941C0D" w:rsidP="0089406B">
      <w:pPr>
        <w:pStyle w:val="Heading2"/>
        <w:spacing w:before="360" w:after="360"/>
        <w:jc w:val="center"/>
        <w:rPr>
          <w:b w:val="0"/>
          <w:sz w:val="24"/>
          <w:szCs w:val="24"/>
        </w:rPr>
      </w:pPr>
      <w:r w:rsidRPr="0039795F">
        <w:rPr>
          <w:b w:val="0"/>
          <w:sz w:val="24"/>
          <w:szCs w:val="24"/>
        </w:rPr>
        <w:t xml:space="preserve">Issued by authority </w:t>
      </w:r>
      <w:r w:rsidRPr="00FB4B9D">
        <w:rPr>
          <w:b w:val="0"/>
          <w:sz w:val="24"/>
          <w:szCs w:val="24"/>
        </w:rPr>
        <w:t xml:space="preserve">of the </w:t>
      </w:r>
      <w:r w:rsidR="0039795F" w:rsidRPr="001C28A7">
        <w:rPr>
          <w:b w:val="0"/>
          <w:sz w:val="24"/>
          <w:szCs w:val="24"/>
        </w:rPr>
        <w:t xml:space="preserve">Minister for </w:t>
      </w:r>
      <w:r w:rsidR="00FB4B9D" w:rsidRPr="007A48D5">
        <w:rPr>
          <w:b w:val="0"/>
          <w:sz w:val="24"/>
          <w:szCs w:val="24"/>
        </w:rPr>
        <w:t>Climate</w:t>
      </w:r>
      <w:r w:rsidR="00FB4B9D">
        <w:rPr>
          <w:b w:val="0"/>
          <w:sz w:val="24"/>
          <w:szCs w:val="24"/>
        </w:rPr>
        <w:t xml:space="preserve"> Change and Energy</w:t>
      </w:r>
    </w:p>
    <w:p w14:paraId="7FD19CDD" w14:textId="77777777" w:rsidR="00B460E9" w:rsidRPr="00B460E9" w:rsidRDefault="004A4D33" w:rsidP="0089406B">
      <w:pPr>
        <w:spacing w:before="240" w:after="240"/>
        <w:jc w:val="center"/>
        <w:rPr>
          <w:i/>
        </w:rPr>
      </w:pPr>
      <w:r>
        <w:rPr>
          <w:i/>
          <w:iCs/>
        </w:rPr>
        <w:t>National Greenhouse and Energy Reporting Act 2007</w:t>
      </w:r>
    </w:p>
    <w:p w14:paraId="027E4630" w14:textId="2068AD0E" w:rsidR="0023138A" w:rsidRDefault="0023138A" w:rsidP="0089406B">
      <w:pPr>
        <w:spacing w:before="240" w:after="360"/>
        <w:jc w:val="center"/>
        <w:rPr>
          <w:i/>
        </w:rPr>
      </w:pPr>
      <w:r w:rsidRPr="00B27C6F">
        <w:rPr>
          <w:i/>
        </w:rPr>
        <w:t xml:space="preserve">National Greenhouse and Energy Reporting </w:t>
      </w:r>
      <w:r w:rsidR="00E82202" w:rsidRPr="00B27C6F">
        <w:rPr>
          <w:i/>
        </w:rPr>
        <w:t xml:space="preserve">(Measurement) </w:t>
      </w:r>
      <w:r w:rsidRPr="00B27C6F">
        <w:rPr>
          <w:i/>
        </w:rPr>
        <w:t>Amendment</w:t>
      </w:r>
      <w:r w:rsidR="0039006D">
        <w:rPr>
          <w:i/>
        </w:rPr>
        <w:t xml:space="preserve"> (202</w:t>
      </w:r>
      <w:r w:rsidR="005D121B">
        <w:rPr>
          <w:i/>
        </w:rPr>
        <w:t>3</w:t>
      </w:r>
      <w:r w:rsidR="00E82202" w:rsidRPr="00B27C6F">
        <w:rPr>
          <w:i/>
        </w:rPr>
        <w:t xml:space="preserve"> Update) Determination </w:t>
      </w:r>
      <w:r w:rsidR="0039006D">
        <w:rPr>
          <w:i/>
        </w:rPr>
        <w:t>202</w:t>
      </w:r>
      <w:r w:rsidR="005D121B">
        <w:rPr>
          <w:i/>
        </w:rPr>
        <w:t>3</w:t>
      </w:r>
    </w:p>
    <w:p w14:paraId="2698A20E" w14:textId="46466E5E" w:rsidR="006D7C7D" w:rsidRPr="006D7C7D" w:rsidRDefault="006D7C7D" w:rsidP="00E82202">
      <w:pPr>
        <w:spacing w:before="0" w:after="240"/>
        <w:rPr>
          <w:b/>
          <w:iCs/>
        </w:rPr>
      </w:pPr>
      <w:r w:rsidRPr="006D7C7D">
        <w:rPr>
          <w:b/>
          <w:iCs/>
        </w:rPr>
        <w:t>Background</w:t>
      </w:r>
    </w:p>
    <w:p w14:paraId="597350DF" w14:textId="77777777" w:rsidR="00E2544B" w:rsidRDefault="00E2544B" w:rsidP="009950D4">
      <w:r>
        <w:t xml:space="preserve">The National Greenhouse and Energy Reporting (NGER) Scheme is Australia’s national system for reporting greenhouse gas emissions, energy consumption and energy production by Australian corporations. </w:t>
      </w:r>
    </w:p>
    <w:p w14:paraId="69D9637B" w14:textId="77777777" w:rsidR="00F90995" w:rsidRDefault="00E2544B" w:rsidP="009950D4">
      <w:r>
        <w:t xml:space="preserve">The NGER Scheme is a key data source which supports Australia’s international and domestic reporting obligations and informs domestic climate and energy policies. Emissions reported under the NGER Scheme underpin the operation of the Safeguard Mechanism. </w:t>
      </w:r>
    </w:p>
    <w:p w14:paraId="55B85F13" w14:textId="3A625811" w:rsidR="009950D4" w:rsidRDefault="009950D4" w:rsidP="009950D4">
      <w:r>
        <w:t>NGER Scheme legislation includes:</w:t>
      </w:r>
    </w:p>
    <w:p w14:paraId="1D244302" w14:textId="265EF798" w:rsidR="009950D4" w:rsidRDefault="009950D4" w:rsidP="003B2F24">
      <w:pPr>
        <w:pStyle w:val="ListParagraph"/>
        <w:numPr>
          <w:ilvl w:val="0"/>
          <w:numId w:val="9"/>
        </w:numPr>
        <w:spacing w:before="0" w:line="259" w:lineRule="auto"/>
        <w:ind w:left="714" w:hanging="357"/>
        <w:contextualSpacing w:val="0"/>
      </w:pPr>
      <w:r>
        <w:t xml:space="preserve">the </w:t>
      </w:r>
      <w:r w:rsidR="00DE4269" w:rsidRPr="002E3E7D">
        <w:rPr>
          <w:i/>
          <w:iCs/>
        </w:rPr>
        <w:t xml:space="preserve">National Greenhouse and Energy Reporting </w:t>
      </w:r>
      <w:r w:rsidRPr="002E3E7D">
        <w:rPr>
          <w:i/>
          <w:iCs/>
        </w:rPr>
        <w:t>Act</w:t>
      </w:r>
      <w:r w:rsidR="00DE4269" w:rsidRPr="002E3E7D">
        <w:rPr>
          <w:i/>
          <w:iCs/>
        </w:rPr>
        <w:t xml:space="preserve"> 2007</w:t>
      </w:r>
      <w:r w:rsidR="00DE4269">
        <w:t xml:space="preserve"> (the Act</w:t>
      </w:r>
      <w:proofErr w:type="gramStart"/>
      <w:r w:rsidR="00DE4269">
        <w:t>)</w:t>
      </w:r>
      <w:r>
        <w:t>;</w:t>
      </w:r>
      <w:proofErr w:type="gramEnd"/>
      <w:r>
        <w:t xml:space="preserve"> </w:t>
      </w:r>
    </w:p>
    <w:p w14:paraId="132B54CF" w14:textId="29F1C6E2" w:rsidR="009950D4" w:rsidRDefault="009950D4" w:rsidP="003B2F24">
      <w:pPr>
        <w:pStyle w:val="ListParagraph"/>
        <w:numPr>
          <w:ilvl w:val="0"/>
          <w:numId w:val="9"/>
        </w:numPr>
        <w:spacing w:before="0" w:line="259" w:lineRule="auto"/>
        <w:ind w:left="714" w:hanging="357"/>
        <w:contextualSpacing w:val="0"/>
      </w:pPr>
      <w:r>
        <w:t xml:space="preserve">the </w:t>
      </w:r>
      <w:r w:rsidRPr="00912FE5">
        <w:rPr>
          <w:i/>
        </w:rPr>
        <w:t xml:space="preserve">National Greenhouse and Energy Reporting Regulations 2008 </w:t>
      </w:r>
      <w:r w:rsidRPr="00842202">
        <w:t>(the</w:t>
      </w:r>
      <w:r w:rsidR="00D15BD6">
        <w:t> </w:t>
      </w:r>
      <w:r w:rsidRPr="00677603">
        <w:t>NGER</w:t>
      </w:r>
      <w:r w:rsidR="00D15BD6">
        <w:t> </w:t>
      </w:r>
      <w:r w:rsidRPr="00677603">
        <w:t>Regulations</w:t>
      </w:r>
      <w:r w:rsidRPr="00842202">
        <w:t>)</w:t>
      </w:r>
      <w:r>
        <w:t>;</w:t>
      </w:r>
      <w:r w:rsidRPr="00842202">
        <w:t xml:space="preserve"> and </w:t>
      </w:r>
    </w:p>
    <w:p w14:paraId="55020734" w14:textId="0804A622" w:rsidR="009950D4" w:rsidRDefault="009950D4" w:rsidP="003B2F24">
      <w:pPr>
        <w:pStyle w:val="ListParagraph"/>
        <w:numPr>
          <w:ilvl w:val="0"/>
          <w:numId w:val="9"/>
        </w:numPr>
        <w:spacing w:before="0"/>
        <w:ind w:left="714" w:hanging="357"/>
        <w:contextualSpacing w:val="0"/>
      </w:pPr>
      <w:r>
        <w:t xml:space="preserve">the </w:t>
      </w:r>
      <w:r w:rsidRPr="009950D4">
        <w:rPr>
          <w:i/>
        </w:rPr>
        <w:t>National Greenhouse and</w:t>
      </w:r>
      <w:r>
        <w:rPr>
          <w:i/>
        </w:rPr>
        <w:t xml:space="preserve"> Energy Reporting (Measurement) </w:t>
      </w:r>
      <w:r w:rsidRPr="009950D4">
        <w:rPr>
          <w:i/>
        </w:rPr>
        <w:t xml:space="preserve">Determination 2008 </w:t>
      </w:r>
      <w:r w:rsidRPr="00842202">
        <w:t xml:space="preserve">(the </w:t>
      </w:r>
      <w:r w:rsidRPr="00677603">
        <w:t>Measurement Determination</w:t>
      </w:r>
      <w:r w:rsidRPr="00842202">
        <w:t>)</w:t>
      </w:r>
      <w:r w:rsidR="00D15BD6">
        <w:t>.</w:t>
      </w:r>
    </w:p>
    <w:p w14:paraId="4E6CC260" w14:textId="585A0583" w:rsidR="00C15EDB" w:rsidRPr="006D7C7D" w:rsidRDefault="00C15EDB" w:rsidP="0089406B">
      <w:pPr>
        <w:spacing w:before="240" w:after="240"/>
        <w:rPr>
          <w:u w:val="single"/>
        </w:rPr>
      </w:pPr>
      <w:r w:rsidRPr="006D7C7D">
        <w:rPr>
          <w:u w:val="single"/>
        </w:rPr>
        <w:t>Overview of the</w:t>
      </w:r>
      <w:r w:rsidR="00B4764F">
        <w:rPr>
          <w:u w:val="single"/>
        </w:rPr>
        <w:t xml:space="preserve"> </w:t>
      </w:r>
      <w:r w:rsidR="00624FDA">
        <w:rPr>
          <w:u w:val="single"/>
        </w:rPr>
        <w:t xml:space="preserve">Measurement </w:t>
      </w:r>
      <w:r w:rsidR="00B4764F">
        <w:rPr>
          <w:u w:val="single"/>
        </w:rPr>
        <w:t>Determination</w:t>
      </w:r>
    </w:p>
    <w:p w14:paraId="189D6CFB" w14:textId="61A3E9BF" w:rsidR="00E43967" w:rsidRDefault="00E43967" w:rsidP="00E43967">
      <w:pPr>
        <w:spacing w:before="0" w:after="240"/>
      </w:pPr>
      <w:r w:rsidRPr="006A3A08">
        <w:t xml:space="preserve">The </w:t>
      </w:r>
      <w:r w:rsidRPr="00332AA3">
        <w:t>Measurement Determination</w:t>
      </w:r>
      <w:r>
        <w:t xml:space="preserve"> </w:t>
      </w:r>
      <w:r w:rsidRPr="006A3A08">
        <w:t xml:space="preserve">was made under </w:t>
      </w:r>
      <w:r>
        <w:t xml:space="preserve">section </w:t>
      </w:r>
      <w:r w:rsidRPr="006A3A08">
        <w:t>10 of the Act, which provides for the Minister to determine methods, or criteria for methods, for the measurement of (a)</w:t>
      </w:r>
      <w:r>
        <w:t> </w:t>
      </w:r>
      <w:r w:rsidRPr="006A3A08">
        <w:t>greenhouse gas emissions; (b) the production of energy; an</w:t>
      </w:r>
      <w:r>
        <w:t xml:space="preserve">d (c) the consumption of energy. It </w:t>
      </w:r>
      <w:r w:rsidR="00C15EDB" w:rsidRPr="006A3A08">
        <w:t xml:space="preserve">provides the </w:t>
      </w:r>
      <w:r w:rsidR="00F53C93">
        <w:t xml:space="preserve">technical detail of </w:t>
      </w:r>
      <w:r w:rsidR="00C15EDB" w:rsidRPr="006A3A08">
        <w:t>methods for the estimation of g</w:t>
      </w:r>
      <w:r w:rsidR="00C15EDB">
        <w:t xml:space="preserve">reenhouse gas emissions and </w:t>
      </w:r>
      <w:r w:rsidR="00C15EDB" w:rsidRPr="006A3A08">
        <w:t>the production and consumption of energy</w:t>
      </w:r>
      <w:r w:rsidR="00E701A9">
        <w:t xml:space="preserve"> within the NGER Schem</w:t>
      </w:r>
      <w:r w:rsidR="00751AFA">
        <w:t>e</w:t>
      </w:r>
      <w:r w:rsidR="00214042">
        <w:t>.</w:t>
      </w:r>
      <w:r w:rsidR="00C15EDB">
        <w:t xml:space="preserve"> </w:t>
      </w:r>
    </w:p>
    <w:p w14:paraId="3D69C194" w14:textId="0D4B0B3E" w:rsidR="00C15EDB" w:rsidRPr="006A3A08" w:rsidRDefault="00C15EDB" w:rsidP="00E43967">
      <w:pPr>
        <w:spacing w:before="0" w:after="240"/>
      </w:pPr>
      <w:r w:rsidRPr="006A3A08">
        <w:t xml:space="preserve">The </w:t>
      </w:r>
      <w:r w:rsidR="00542244">
        <w:t>structure</w:t>
      </w:r>
      <w:r w:rsidRPr="006A3A08">
        <w:t xml:space="preserve"> of the </w:t>
      </w:r>
      <w:r w:rsidR="00624FDA">
        <w:t xml:space="preserve">Measurement </w:t>
      </w:r>
      <w:r w:rsidRPr="006A3A08">
        <w:t xml:space="preserve">Determination </w:t>
      </w:r>
      <w:r w:rsidR="00FA5BC0">
        <w:t xml:space="preserve">reflects </w:t>
      </w:r>
      <w:r w:rsidR="00FA5BC0" w:rsidRPr="0022610D">
        <w:t xml:space="preserve">the </w:t>
      </w:r>
      <w:r w:rsidR="00FA5BC0">
        <w:t xml:space="preserve">framework </w:t>
      </w:r>
      <w:r w:rsidR="00FA5BC0" w:rsidRPr="0022610D">
        <w:t xml:space="preserve">of the </w:t>
      </w:r>
      <w:r w:rsidR="00FA5BC0" w:rsidRPr="002D3BB6">
        <w:rPr>
          <w:i/>
        </w:rPr>
        <w:t>2006 I</w:t>
      </w:r>
      <w:r w:rsidR="00D15BD6">
        <w:rPr>
          <w:i/>
        </w:rPr>
        <w:t xml:space="preserve">ntergovernmental </w:t>
      </w:r>
      <w:r w:rsidR="00FA5BC0" w:rsidRPr="002D3BB6">
        <w:rPr>
          <w:i/>
        </w:rPr>
        <w:t>P</w:t>
      </w:r>
      <w:r w:rsidR="00D15BD6">
        <w:rPr>
          <w:i/>
        </w:rPr>
        <w:t xml:space="preserve">anel on </w:t>
      </w:r>
      <w:r w:rsidR="00FA5BC0" w:rsidRPr="002D3BB6">
        <w:rPr>
          <w:i/>
        </w:rPr>
        <w:t>C</w:t>
      </w:r>
      <w:r w:rsidR="00D15BD6">
        <w:rPr>
          <w:i/>
        </w:rPr>
        <w:t xml:space="preserve">limate </w:t>
      </w:r>
      <w:r w:rsidR="00FA5BC0" w:rsidRPr="002D3BB6">
        <w:rPr>
          <w:i/>
        </w:rPr>
        <w:t>C</w:t>
      </w:r>
      <w:r w:rsidR="00D15BD6">
        <w:rPr>
          <w:i/>
        </w:rPr>
        <w:t>hange (IPCC)</w:t>
      </w:r>
      <w:r w:rsidR="00FA5BC0" w:rsidRPr="002D3BB6">
        <w:rPr>
          <w:i/>
        </w:rPr>
        <w:t xml:space="preserve"> Guidelines for National Greenhouse Gas Inventories</w:t>
      </w:r>
      <w:r w:rsidR="00FA5BC0">
        <w:t xml:space="preserve">, as adopted by the </w:t>
      </w:r>
      <w:r w:rsidR="00FA5BC0" w:rsidRPr="004B2643">
        <w:t>Parties to the U</w:t>
      </w:r>
      <w:r w:rsidR="00FA5BC0">
        <w:t>nited</w:t>
      </w:r>
      <w:r w:rsidR="00D15BD6">
        <w:t> </w:t>
      </w:r>
      <w:r w:rsidR="00FA5BC0" w:rsidRPr="004B2643">
        <w:t>N</w:t>
      </w:r>
      <w:r w:rsidR="00FA5BC0">
        <w:t>ations </w:t>
      </w:r>
      <w:r w:rsidR="00FA5BC0" w:rsidRPr="004B2643">
        <w:t>Framework Convention on Clima</w:t>
      </w:r>
      <w:r w:rsidR="00FA5BC0">
        <w:t>te Change (</w:t>
      </w:r>
      <w:r w:rsidR="00FA5BC0" w:rsidRPr="00332AA3">
        <w:t>UNFCCC</w:t>
      </w:r>
      <w:r w:rsidR="00BA5435">
        <w:t>)</w:t>
      </w:r>
      <w:r w:rsidR="00FA5BC0">
        <w:t xml:space="preserve"> and Paris Agreement, </w:t>
      </w:r>
      <w:r>
        <w:t>and includes emissions from</w:t>
      </w:r>
      <w:r w:rsidRPr="006A3A08">
        <w:t xml:space="preserve">: </w:t>
      </w:r>
    </w:p>
    <w:p w14:paraId="1D342967" w14:textId="77777777" w:rsidR="00C15EDB" w:rsidRDefault="00C15EDB" w:rsidP="003B2F24">
      <w:pPr>
        <w:numPr>
          <w:ilvl w:val="0"/>
          <w:numId w:val="6"/>
        </w:numPr>
        <w:spacing w:before="0" w:line="276" w:lineRule="auto"/>
        <w:ind w:left="714" w:hanging="357"/>
      </w:pPr>
      <w:r>
        <w:t xml:space="preserve">the combustion of fuel for </w:t>
      </w:r>
      <w:proofErr w:type="gramStart"/>
      <w:r>
        <w:t>energy;</w:t>
      </w:r>
      <w:proofErr w:type="gramEnd"/>
      <w:r>
        <w:t xml:space="preserve"> </w:t>
      </w:r>
    </w:p>
    <w:p w14:paraId="752517B3" w14:textId="4D57B6F6" w:rsidR="00C15EDB" w:rsidRDefault="00C15EDB" w:rsidP="003B2F24">
      <w:pPr>
        <w:numPr>
          <w:ilvl w:val="0"/>
          <w:numId w:val="6"/>
        </w:numPr>
        <w:spacing w:before="0" w:line="276" w:lineRule="auto"/>
        <w:ind w:left="714" w:hanging="357"/>
      </w:pPr>
      <w:r>
        <w:t>the extraction, production, flaring, processing and distribution of fossil fuels</w:t>
      </w:r>
      <w:r w:rsidR="00766AFA">
        <w:t>,</w:t>
      </w:r>
      <w:r>
        <w:t xml:space="preserve"> and </w:t>
      </w:r>
      <w:r w:rsidR="00766AFA">
        <w:t xml:space="preserve">from </w:t>
      </w:r>
      <w:r>
        <w:t xml:space="preserve">carbon capture and </w:t>
      </w:r>
      <w:proofErr w:type="gramStart"/>
      <w:r>
        <w:t>storage;</w:t>
      </w:r>
      <w:proofErr w:type="gramEnd"/>
      <w:r>
        <w:t xml:space="preserve"> </w:t>
      </w:r>
    </w:p>
    <w:p w14:paraId="2B0B3294" w14:textId="0E162431" w:rsidR="00C15EDB" w:rsidRDefault="00C15EDB" w:rsidP="003B2F24">
      <w:pPr>
        <w:numPr>
          <w:ilvl w:val="0"/>
          <w:numId w:val="6"/>
        </w:numPr>
        <w:spacing w:before="0" w:line="276" w:lineRule="auto"/>
        <w:ind w:left="714" w:hanging="357"/>
      </w:pPr>
      <w:r>
        <w:lastRenderedPageBreak/>
        <w:t>industrial processes where a mineral, chemical or metal product is formed using a chemical reaction that generates greenhouse gases as a by-product</w:t>
      </w:r>
      <w:r w:rsidR="00194F53">
        <w:t>,</w:t>
      </w:r>
      <w:r>
        <w:t xml:space="preserve"> as well as emissions of hydrofluorocarbons</w:t>
      </w:r>
      <w:r w:rsidR="00D15BD6">
        <w:t xml:space="preserve"> (HFCs)</w:t>
      </w:r>
      <w:r>
        <w:t xml:space="preserve"> and sulphur hexafluoride </w:t>
      </w:r>
      <w:r w:rsidR="00D15BD6">
        <w:t xml:space="preserve">(SF6) </w:t>
      </w:r>
      <w:r>
        <w:t xml:space="preserve">resulting from their use by certain industries; and </w:t>
      </w:r>
    </w:p>
    <w:p w14:paraId="67A017AD" w14:textId="0092B1DD" w:rsidR="00C15EDB" w:rsidRDefault="00C15EDB" w:rsidP="003B2F24">
      <w:pPr>
        <w:numPr>
          <w:ilvl w:val="0"/>
          <w:numId w:val="6"/>
        </w:numPr>
        <w:spacing w:before="0" w:line="276" w:lineRule="auto"/>
        <w:ind w:left="714" w:hanging="357"/>
      </w:pPr>
      <w:r>
        <w:t>waste disposal – either in landfill, as management of wastewater or from waste incinera</w:t>
      </w:r>
      <w:r w:rsidR="00A85B64">
        <w:t>tion</w:t>
      </w:r>
      <w:r>
        <w:t xml:space="preserve">. </w:t>
      </w:r>
    </w:p>
    <w:p w14:paraId="75B4D067" w14:textId="291304D7" w:rsidR="00C15EDB" w:rsidRPr="006A3A08" w:rsidRDefault="00C15EDB" w:rsidP="00024D8E">
      <w:pPr>
        <w:spacing w:after="240"/>
      </w:pPr>
      <w:r w:rsidRPr="006A3A08">
        <w:t xml:space="preserve">The scope of the </w:t>
      </w:r>
      <w:r w:rsidR="00624FDA">
        <w:t xml:space="preserve">Measurement </w:t>
      </w:r>
      <w:r w:rsidRPr="006A3A08">
        <w:t>Dete</w:t>
      </w:r>
      <w:r w:rsidR="00512944">
        <w:t>rmination does not include land-</w:t>
      </w:r>
      <w:r w:rsidRPr="006A3A08">
        <w:t xml:space="preserve">based emissions covered by the </w:t>
      </w:r>
      <w:r w:rsidRPr="00332AA3">
        <w:t>IPCC</w:t>
      </w:r>
      <w:r w:rsidRPr="006A3A08">
        <w:t xml:space="preserve"> categories ‘Agriculture’ and ‘Land Use,</w:t>
      </w:r>
      <w:r w:rsidR="00821E29">
        <w:t xml:space="preserve"> Land Use Change and Forestry’.</w:t>
      </w:r>
      <w:r w:rsidRPr="006A3A08">
        <w:t xml:space="preserve"> </w:t>
      </w:r>
    </w:p>
    <w:p w14:paraId="63810FF8" w14:textId="05748D3B" w:rsidR="38DD4F22" w:rsidRDefault="38DD4F22" w:rsidP="2A6477E7">
      <w:pPr>
        <w:spacing w:after="240"/>
      </w:pPr>
      <w:r w:rsidRPr="4A5AD94F">
        <w:rPr>
          <w:szCs w:val="24"/>
        </w:rPr>
        <w:t xml:space="preserve">The NGER Scheme is regularly reviewed by the Department for opportunities to improve the accuracy of estimates while being cognisant of reporting burden. </w:t>
      </w:r>
    </w:p>
    <w:p w14:paraId="51208436" w14:textId="4F1C3A54" w:rsidR="38DD4F22" w:rsidRDefault="38DD4F22" w:rsidP="4A5AD94F">
      <w:pPr>
        <w:spacing w:after="240"/>
      </w:pPr>
      <w:r w:rsidRPr="4A5AD94F">
        <w:rPr>
          <w:szCs w:val="24"/>
        </w:rPr>
        <w:t xml:space="preserve">The NGER Scheme is administered by the Clean Energy Regulator (CER). Further information on NGER reporting is available at the </w:t>
      </w:r>
      <w:hyperlink r:id="rId11" w:history="1">
        <w:r w:rsidRPr="00197180">
          <w:rPr>
            <w:rStyle w:val="Hyperlink"/>
            <w:szCs w:val="24"/>
          </w:rPr>
          <w:t>CER’s website</w:t>
        </w:r>
      </w:hyperlink>
      <w:r w:rsidRPr="4A5AD94F">
        <w:rPr>
          <w:szCs w:val="24"/>
        </w:rPr>
        <w:t>.</w:t>
      </w:r>
    </w:p>
    <w:p w14:paraId="34ABE579" w14:textId="77777777" w:rsidR="00C15EDB" w:rsidRPr="006D7C7D" w:rsidRDefault="00C15EDB" w:rsidP="0089406B">
      <w:pPr>
        <w:keepNext/>
        <w:spacing w:before="360"/>
        <w:outlineLvl w:val="5"/>
        <w:rPr>
          <w:i/>
        </w:rPr>
      </w:pPr>
      <w:r w:rsidRPr="006D7C7D">
        <w:rPr>
          <w:i/>
        </w:rPr>
        <w:t>Methods of measurement</w:t>
      </w:r>
    </w:p>
    <w:p w14:paraId="2941079E" w14:textId="4BAB3189" w:rsidR="00C15EDB" w:rsidRPr="006A3A08" w:rsidRDefault="00C15EDB" w:rsidP="00024D8E">
      <w:pPr>
        <w:spacing w:after="240"/>
      </w:pPr>
      <w:r w:rsidRPr="006A3A08">
        <w:t xml:space="preserve">The </w:t>
      </w:r>
      <w:r w:rsidR="00624FDA">
        <w:t xml:space="preserve">Measurement </w:t>
      </w:r>
      <w:r w:rsidRPr="006A3A08">
        <w:t xml:space="preserve">Determination provides </w:t>
      </w:r>
      <w:r w:rsidR="002D3BB6">
        <w:t xml:space="preserve">a hierarchy of </w:t>
      </w:r>
      <w:r w:rsidR="00995092">
        <w:t xml:space="preserve">emissions </w:t>
      </w:r>
      <w:r w:rsidR="002D3BB6">
        <w:t>reporting methods to accommodate the circumstances of individual reporters:</w:t>
      </w:r>
      <w:r w:rsidRPr="006A3A08">
        <w:t xml:space="preserve">  </w:t>
      </w:r>
    </w:p>
    <w:p w14:paraId="6B48AE80" w14:textId="4E1C2EC9" w:rsidR="00CE5623" w:rsidRDefault="00C15EDB" w:rsidP="003B2F24">
      <w:pPr>
        <w:pStyle w:val="ListParagraph"/>
        <w:numPr>
          <w:ilvl w:val="0"/>
          <w:numId w:val="7"/>
        </w:numPr>
        <w:spacing w:before="0"/>
        <w:ind w:left="714" w:hanging="357"/>
        <w:contextualSpacing w:val="0"/>
      </w:pPr>
      <w:bookmarkStart w:id="2" w:name="_Toc381887671"/>
      <w:r w:rsidRPr="384F8B34">
        <w:rPr>
          <w:u w:val="single"/>
        </w:rPr>
        <w:t>Method 1</w:t>
      </w:r>
      <w:r>
        <w:t xml:space="preserve"> </w:t>
      </w:r>
      <w:r w:rsidR="5F88B4BA">
        <w:t xml:space="preserve">typically </w:t>
      </w:r>
      <w:r w:rsidR="1BAD3072">
        <w:t>specifies</w:t>
      </w:r>
      <w:r w:rsidR="5F88B4BA">
        <w:t xml:space="preserve"> the use of default emission factors to estimate emissions based on </w:t>
      </w:r>
      <w:r w:rsidR="5B82C6A3">
        <w:t>those</w:t>
      </w:r>
      <w:r w:rsidR="004A4E8F">
        <w:t xml:space="preserve"> </w:t>
      </w:r>
      <w:r w:rsidR="00995092">
        <w:t xml:space="preserve">used in Australia’s National </w:t>
      </w:r>
      <w:r w:rsidR="006E300E">
        <w:t xml:space="preserve">Greenhouse Gas </w:t>
      </w:r>
      <w:proofErr w:type="gramStart"/>
      <w:r w:rsidR="00995092">
        <w:t>Inventory</w:t>
      </w:r>
      <w:r w:rsidR="006E4215">
        <w:t>;</w:t>
      </w:r>
      <w:proofErr w:type="gramEnd"/>
    </w:p>
    <w:p w14:paraId="7D4BFD21" w14:textId="79F4D57A" w:rsidR="00C15EDB" w:rsidRPr="006A3A08" w:rsidRDefault="009F7C35" w:rsidP="003B2F24">
      <w:pPr>
        <w:pStyle w:val="ListParagraph"/>
        <w:numPr>
          <w:ilvl w:val="0"/>
          <w:numId w:val="7"/>
        </w:numPr>
        <w:spacing w:before="0"/>
        <w:ind w:left="714" w:hanging="357"/>
        <w:contextualSpacing w:val="0"/>
      </w:pPr>
      <w:r>
        <w:t xml:space="preserve"> </w:t>
      </w:r>
      <w:r w:rsidR="00C15EDB" w:rsidRPr="384F8B34">
        <w:rPr>
          <w:u w:val="single"/>
        </w:rPr>
        <w:t>Method 2</w:t>
      </w:r>
      <w:r w:rsidR="002D3BB6">
        <w:t>, where available,</w:t>
      </w:r>
      <w:r w:rsidR="00C15EDB">
        <w:t xml:space="preserve"> is a facility-specific method</w:t>
      </w:r>
      <w:r w:rsidR="002D3BB6">
        <w:t>, for example</w:t>
      </w:r>
      <w:r w:rsidR="00C15EDB">
        <w:t xml:space="preserve"> using industry sampling and Australian or international standards to provide more accurate estimates of emissions at facility </w:t>
      </w:r>
      <w:proofErr w:type="gramStart"/>
      <w:r w:rsidR="00C15EDB">
        <w:t>level</w:t>
      </w:r>
      <w:r w:rsidR="00995092">
        <w:t>;</w:t>
      </w:r>
      <w:proofErr w:type="gramEnd"/>
      <w:r w:rsidR="00C15EDB">
        <w:t xml:space="preserve">  </w:t>
      </w:r>
    </w:p>
    <w:p w14:paraId="673AD798" w14:textId="33C9008C" w:rsidR="00C15EDB" w:rsidRPr="006A3A08" w:rsidRDefault="002D3BB6" w:rsidP="003B2F24">
      <w:pPr>
        <w:pStyle w:val="ListParagraph"/>
        <w:numPr>
          <w:ilvl w:val="0"/>
          <w:numId w:val="7"/>
        </w:numPr>
        <w:spacing w:before="0"/>
        <w:ind w:left="714" w:hanging="357"/>
        <w:contextualSpacing w:val="0"/>
      </w:pPr>
      <w:r w:rsidRPr="384F8B34">
        <w:rPr>
          <w:u w:val="single"/>
        </w:rPr>
        <w:t>M</w:t>
      </w:r>
      <w:r w:rsidR="00C15EDB" w:rsidRPr="384F8B34">
        <w:rPr>
          <w:u w:val="single"/>
        </w:rPr>
        <w:t>ethod 3</w:t>
      </w:r>
      <w:r>
        <w:t>, where available,</w:t>
      </w:r>
      <w:r w:rsidR="00C15EDB">
        <w:t xml:space="preserve"> is a </w:t>
      </w:r>
      <w:r w:rsidR="00633772">
        <w:t>higher-level</w:t>
      </w:r>
      <w:r>
        <w:t xml:space="preserve"> </w:t>
      </w:r>
      <w:r w:rsidR="00C15EDB">
        <w:t>facility-specific method</w:t>
      </w:r>
      <w:r>
        <w:t>, for instance</w:t>
      </w:r>
      <w:r w:rsidR="00C15EDB">
        <w:t xml:space="preserve"> using Australian or international standards for both sampling and analysis of fuels and raw </w:t>
      </w:r>
      <w:proofErr w:type="gramStart"/>
      <w:r w:rsidR="00C15EDB">
        <w:t>materials</w:t>
      </w:r>
      <w:r w:rsidR="00995092">
        <w:t>;</w:t>
      </w:r>
      <w:proofErr w:type="gramEnd"/>
      <w:r w:rsidR="00C15EDB">
        <w:t xml:space="preserve"> </w:t>
      </w:r>
    </w:p>
    <w:p w14:paraId="576DBEC1" w14:textId="3C99666F" w:rsidR="00C15EDB" w:rsidRPr="006A3A08" w:rsidRDefault="00C15EDB" w:rsidP="003B2F24">
      <w:pPr>
        <w:pStyle w:val="ListParagraph"/>
        <w:numPr>
          <w:ilvl w:val="0"/>
          <w:numId w:val="7"/>
        </w:numPr>
        <w:spacing w:before="0"/>
        <w:ind w:left="714" w:hanging="357"/>
        <w:contextualSpacing w:val="0"/>
      </w:pPr>
      <w:r w:rsidRPr="384F8B34">
        <w:rPr>
          <w:u w:val="single"/>
        </w:rPr>
        <w:t>Method 4</w:t>
      </w:r>
      <w:r w:rsidR="002D3BB6">
        <w:t>, where available,</w:t>
      </w:r>
      <w:r>
        <w:t xml:space="preserve"> </w:t>
      </w:r>
      <w:r w:rsidR="002D3BB6">
        <w:t xml:space="preserve">provides for </w:t>
      </w:r>
      <w:r>
        <w:t>direct monitoring of emission systems, either on a</w:t>
      </w:r>
      <w:r w:rsidR="00AC16D6">
        <w:t xml:space="preserve"> continuous or periodic basis.</w:t>
      </w:r>
      <w:r>
        <w:t xml:space="preserve"> </w:t>
      </w:r>
    </w:p>
    <w:p w14:paraId="417467E0" w14:textId="08AC188D" w:rsidR="00C15EDB" w:rsidRDefault="002D3BB6" w:rsidP="00024D8E">
      <w:pPr>
        <w:spacing w:after="240"/>
      </w:pPr>
      <w:r>
        <w:t>T</w:t>
      </w:r>
      <w:r w:rsidR="00C15EDB" w:rsidRPr="006A3A08">
        <w:t>he</w:t>
      </w:r>
      <w:r w:rsidR="00624FDA">
        <w:t xml:space="preserve"> Measurement</w:t>
      </w:r>
      <w:r w:rsidR="0089406B">
        <w:t xml:space="preserve"> Determination</w:t>
      </w:r>
      <w:r w:rsidR="00C15EDB">
        <w:rPr>
          <w:i/>
        </w:rPr>
        <w:t xml:space="preserve"> </w:t>
      </w:r>
      <w:r w:rsidR="00C15EDB" w:rsidRPr="006A3A08">
        <w:t xml:space="preserve">draws on existing estimation practices wherever possible, including </w:t>
      </w:r>
      <w:proofErr w:type="gramStart"/>
      <w:r w:rsidR="00995092">
        <w:t xml:space="preserve">through </w:t>
      </w:r>
      <w:r w:rsidR="00C15EDB" w:rsidRPr="006A3A08">
        <w:t>the use of</w:t>
      </w:r>
      <w:proofErr w:type="gramEnd"/>
      <w:r w:rsidR="00C15EDB" w:rsidRPr="006A3A08">
        <w:t xml:space="preserve"> data collected for commercial, taxation or other regulatory purposes, with the aim of maximising the use of readily validated data and minimising administrative burdens on reporters</w:t>
      </w:r>
      <w:bookmarkEnd w:id="2"/>
      <w:r w:rsidR="00C15EDB">
        <w:t>.</w:t>
      </w:r>
    </w:p>
    <w:p w14:paraId="4FD6BF86" w14:textId="785CDF5D" w:rsidR="00155854" w:rsidRPr="006D7C7D" w:rsidRDefault="006D7C7D" w:rsidP="006D7C7D">
      <w:pPr>
        <w:keepNext/>
        <w:spacing w:before="360"/>
        <w:rPr>
          <w:b/>
          <w:i/>
        </w:rPr>
      </w:pPr>
      <w:r>
        <w:rPr>
          <w:b/>
        </w:rPr>
        <w:t>Purpose and operation</w:t>
      </w:r>
      <w:r w:rsidR="00024D8E" w:rsidRPr="00024D8E">
        <w:rPr>
          <w:b/>
          <w:i/>
        </w:rPr>
        <w:t xml:space="preserve"> </w:t>
      </w:r>
    </w:p>
    <w:p w14:paraId="1CE52B72" w14:textId="76EA7819" w:rsidR="006D7C7D" w:rsidRPr="006E1C30" w:rsidRDefault="006D7C7D" w:rsidP="006D7C7D">
      <w:pPr>
        <w:spacing w:before="0" w:after="240"/>
      </w:pPr>
      <w:r w:rsidRPr="00644138">
        <w:t xml:space="preserve">The purpose of the </w:t>
      </w:r>
      <w:r w:rsidRPr="00B27C6F">
        <w:rPr>
          <w:i/>
        </w:rPr>
        <w:t xml:space="preserve">National Greenhouse and Energy Reporting (Measurement) Amendment </w:t>
      </w:r>
      <w:r w:rsidR="0039006D">
        <w:rPr>
          <w:i/>
        </w:rPr>
        <w:t>(</w:t>
      </w:r>
      <w:r w:rsidR="61F6B876" w:rsidRPr="5D90B6E9">
        <w:rPr>
          <w:i/>
          <w:iCs/>
        </w:rPr>
        <w:t>202</w:t>
      </w:r>
      <w:r w:rsidR="452C96D8" w:rsidRPr="5D90B6E9">
        <w:rPr>
          <w:i/>
          <w:iCs/>
        </w:rPr>
        <w:t>3</w:t>
      </w:r>
      <w:r w:rsidR="0039006D">
        <w:rPr>
          <w:i/>
        </w:rPr>
        <w:t xml:space="preserve"> Update) Determination </w:t>
      </w:r>
      <w:r w:rsidR="61F6B876" w:rsidRPr="5D90B6E9">
        <w:rPr>
          <w:i/>
          <w:iCs/>
        </w:rPr>
        <w:t>202</w:t>
      </w:r>
      <w:r w:rsidR="7C18AABC" w:rsidRPr="5D90B6E9">
        <w:rPr>
          <w:i/>
          <w:iCs/>
        </w:rPr>
        <w:t>3</w:t>
      </w:r>
      <w:r w:rsidR="00A7166A" w:rsidRPr="00644138">
        <w:rPr>
          <w:i/>
        </w:rPr>
        <w:t xml:space="preserve"> </w:t>
      </w:r>
      <w:r w:rsidR="00A7166A" w:rsidRPr="00B27C6F">
        <w:t>(</w:t>
      </w:r>
      <w:r w:rsidR="00A7166A" w:rsidRPr="00332AA3">
        <w:t xml:space="preserve">the </w:t>
      </w:r>
      <w:r w:rsidR="00E12028" w:rsidRPr="00332AA3">
        <w:t xml:space="preserve">Update </w:t>
      </w:r>
      <w:r w:rsidR="00624FDA" w:rsidRPr="00332AA3">
        <w:t>Determination</w:t>
      </w:r>
      <w:r w:rsidR="00A7166A" w:rsidRPr="00B27C6F">
        <w:t>)</w:t>
      </w:r>
      <w:r w:rsidRPr="00644138">
        <w:t xml:space="preserve"> is to</w:t>
      </w:r>
      <w:r>
        <w:t>:</w:t>
      </w:r>
    </w:p>
    <w:p w14:paraId="068340FD" w14:textId="77777777" w:rsidR="001F47F2" w:rsidRPr="001F47F2" w:rsidRDefault="001F47F2" w:rsidP="003B2F24">
      <w:pPr>
        <w:pStyle w:val="ListNumber2"/>
        <w:numPr>
          <w:ilvl w:val="0"/>
          <w:numId w:val="4"/>
        </w:numPr>
        <w:spacing w:after="120"/>
        <w:rPr>
          <w:rFonts w:ascii="Times New Roman" w:hAnsi="Times New Roman"/>
          <w:sz w:val="24"/>
          <w:szCs w:val="24"/>
        </w:rPr>
      </w:pPr>
      <w:r w:rsidRPr="001F47F2">
        <w:rPr>
          <w:rFonts w:ascii="Times New Roman" w:hAnsi="Times New Roman"/>
          <w:sz w:val="24"/>
          <w:szCs w:val="24"/>
        </w:rPr>
        <w:t>Introduce an optional, supplementary ‘market-based’ method for determining indirect emissions from the consumption of electricity (‘scope 2’ emissions</w:t>
      </w:r>
      <w:proofErr w:type="gramStart"/>
      <w:r w:rsidRPr="001F47F2">
        <w:rPr>
          <w:rFonts w:ascii="Times New Roman" w:hAnsi="Times New Roman"/>
          <w:sz w:val="24"/>
          <w:szCs w:val="24"/>
        </w:rPr>
        <w:t>);</w:t>
      </w:r>
      <w:proofErr w:type="gramEnd"/>
      <w:r w:rsidRPr="001F47F2">
        <w:rPr>
          <w:rFonts w:ascii="Times New Roman" w:hAnsi="Times New Roman"/>
          <w:sz w:val="24"/>
          <w:szCs w:val="24"/>
        </w:rPr>
        <w:t>  </w:t>
      </w:r>
    </w:p>
    <w:p w14:paraId="7460DC09" w14:textId="77777777" w:rsidR="001F47F2" w:rsidRPr="001F47F2" w:rsidRDefault="001F47F2" w:rsidP="003B2F24">
      <w:pPr>
        <w:pStyle w:val="ListNumber2"/>
        <w:numPr>
          <w:ilvl w:val="0"/>
          <w:numId w:val="4"/>
        </w:numPr>
        <w:spacing w:after="120"/>
        <w:rPr>
          <w:rFonts w:ascii="Times New Roman" w:hAnsi="Times New Roman"/>
          <w:sz w:val="24"/>
          <w:szCs w:val="24"/>
        </w:rPr>
      </w:pPr>
      <w:r w:rsidRPr="001F47F2">
        <w:rPr>
          <w:rFonts w:ascii="Times New Roman" w:hAnsi="Times New Roman"/>
          <w:sz w:val="24"/>
          <w:szCs w:val="24"/>
        </w:rPr>
        <w:lastRenderedPageBreak/>
        <w:t xml:space="preserve">Update Method 1 used to calculate emissions from Queensland open cut mines to reflect improvements in data availability and align the method with the National Greenhouse Gas </w:t>
      </w:r>
      <w:proofErr w:type="gramStart"/>
      <w:r w:rsidRPr="001F47F2">
        <w:rPr>
          <w:rFonts w:ascii="Times New Roman" w:hAnsi="Times New Roman"/>
          <w:sz w:val="24"/>
          <w:szCs w:val="24"/>
        </w:rPr>
        <w:t>Inventory;</w:t>
      </w:r>
      <w:proofErr w:type="gramEnd"/>
      <w:r w:rsidRPr="001F47F2">
        <w:rPr>
          <w:rFonts w:ascii="Times New Roman" w:hAnsi="Times New Roman"/>
          <w:sz w:val="24"/>
          <w:szCs w:val="24"/>
        </w:rPr>
        <w:t>  </w:t>
      </w:r>
    </w:p>
    <w:p w14:paraId="42E632F7" w14:textId="77777777" w:rsidR="001F47F2" w:rsidRPr="001F47F2" w:rsidRDefault="001F47F2" w:rsidP="003B2F24">
      <w:pPr>
        <w:pStyle w:val="ListNumber2"/>
        <w:numPr>
          <w:ilvl w:val="0"/>
          <w:numId w:val="4"/>
        </w:numPr>
        <w:spacing w:after="120"/>
        <w:rPr>
          <w:rFonts w:ascii="Times New Roman" w:hAnsi="Times New Roman"/>
          <w:sz w:val="24"/>
          <w:szCs w:val="24"/>
        </w:rPr>
      </w:pPr>
      <w:r w:rsidRPr="001F47F2">
        <w:rPr>
          <w:rFonts w:ascii="Times New Roman" w:hAnsi="Times New Roman"/>
          <w:sz w:val="24"/>
          <w:szCs w:val="24"/>
        </w:rPr>
        <w:t xml:space="preserve">Update Methods 1 and 2 for the estimation of methane released from </w:t>
      </w:r>
      <w:proofErr w:type="gramStart"/>
      <w:r w:rsidRPr="001F47F2">
        <w:rPr>
          <w:rFonts w:ascii="Times New Roman" w:hAnsi="Times New Roman"/>
          <w:sz w:val="24"/>
          <w:szCs w:val="24"/>
        </w:rPr>
        <w:t>landfills;</w:t>
      </w:r>
      <w:proofErr w:type="gramEnd"/>
      <w:r w:rsidRPr="001F47F2">
        <w:rPr>
          <w:rFonts w:ascii="Times New Roman" w:hAnsi="Times New Roman"/>
          <w:sz w:val="24"/>
          <w:szCs w:val="24"/>
        </w:rPr>
        <w:t>  </w:t>
      </w:r>
    </w:p>
    <w:p w14:paraId="143E0493" w14:textId="53895F39" w:rsidR="001F47F2" w:rsidRPr="001F47F2" w:rsidRDefault="001F47F2" w:rsidP="003B2F24">
      <w:pPr>
        <w:pStyle w:val="ListNumber2"/>
        <w:numPr>
          <w:ilvl w:val="0"/>
          <w:numId w:val="4"/>
        </w:numPr>
        <w:spacing w:after="120"/>
        <w:rPr>
          <w:rFonts w:ascii="Times New Roman" w:hAnsi="Times New Roman"/>
          <w:sz w:val="24"/>
          <w:szCs w:val="24"/>
        </w:rPr>
      </w:pPr>
      <w:r w:rsidRPr="001F47F2">
        <w:rPr>
          <w:rFonts w:ascii="Times New Roman" w:hAnsi="Times New Roman"/>
          <w:sz w:val="24"/>
          <w:szCs w:val="24"/>
        </w:rPr>
        <w:t xml:space="preserve">Add two new biofuels, </w:t>
      </w:r>
      <w:r w:rsidRPr="0C325E19">
        <w:rPr>
          <w:rFonts w:ascii="Times New Roman" w:hAnsi="Times New Roman"/>
          <w:i/>
          <w:sz w:val="24"/>
          <w:szCs w:val="24"/>
        </w:rPr>
        <w:t xml:space="preserve">renewable </w:t>
      </w:r>
      <w:proofErr w:type="gramStart"/>
      <w:r w:rsidRPr="0C325E19">
        <w:rPr>
          <w:rFonts w:ascii="Times New Roman" w:hAnsi="Times New Roman"/>
          <w:i/>
          <w:sz w:val="24"/>
          <w:szCs w:val="24"/>
        </w:rPr>
        <w:t>diesel</w:t>
      </w:r>
      <w:proofErr w:type="gramEnd"/>
      <w:r w:rsidRPr="001F47F2">
        <w:rPr>
          <w:rFonts w:ascii="Times New Roman" w:hAnsi="Times New Roman"/>
          <w:sz w:val="24"/>
          <w:szCs w:val="24"/>
        </w:rPr>
        <w:t xml:space="preserve"> and </w:t>
      </w:r>
      <w:r w:rsidRPr="0C325E19">
        <w:rPr>
          <w:rFonts w:ascii="Times New Roman" w:hAnsi="Times New Roman"/>
          <w:i/>
          <w:sz w:val="24"/>
          <w:szCs w:val="24"/>
        </w:rPr>
        <w:t>renewable aviation kerosene</w:t>
      </w:r>
      <w:r w:rsidR="368C9AC1" w:rsidRPr="0C325E19">
        <w:rPr>
          <w:rFonts w:ascii="Times New Roman" w:hAnsi="Times New Roman"/>
          <w:i/>
          <w:iCs/>
          <w:sz w:val="24"/>
          <w:szCs w:val="24"/>
        </w:rPr>
        <w:t xml:space="preserve"> </w:t>
      </w:r>
      <w:r w:rsidR="368C9AC1" w:rsidRPr="0C325E19">
        <w:rPr>
          <w:rFonts w:ascii="Times New Roman" w:hAnsi="Times New Roman"/>
          <w:sz w:val="24"/>
          <w:szCs w:val="24"/>
        </w:rPr>
        <w:t>as reportable fuels under the NGER Scheme</w:t>
      </w:r>
      <w:r w:rsidRPr="001F47F2">
        <w:rPr>
          <w:rFonts w:ascii="Times New Roman" w:hAnsi="Times New Roman"/>
          <w:sz w:val="24"/>
          <w:szCs w:val="24"/>
        </w:rPr>
        <w:t>; and  </w:t>
      </w:r>
    </w:p>
    <w:p w14:paraId="3E87015A" w14:textId="02ED443F" w:rsidR="00E327D7" w:rsidRPr="00A541C6" w:rsidRDefault="001F47F2" w:rsidP="003B2F24">
      <w:pPr>
        <w:pStyle w:val="ListNumber2"/>
        <w:numPr>
          <w:ilvl w:val="0"/>
          <w:numId w:val="4"/>
        </w:numPr>
        <w:spacing w:after="120"/>
        <w:rPr>
          <w:rFonts w:ascii="Times New Roman" w:hAnsi="Times New Roman"/>
          <w:sz w:val="24"/>
          <w:szCs w:val="24"/>
        </w:rPr>
      </w:pPr>
      <w:r w:rsidRPr="001F47F2">
        <w:rPr>
          <w:rFonts w:ascii="Times New Roman" w:hAnsi="Times New Roman"/>
          <w:sz w:val="24"/>
          <w:szCs w:val="24"/>
        </w:rPr>
        <w:t>Make other minor amendments. </w:t>
      </w:r>
    </w:p>
    <w:p w14:paraId="4499354F" w14:textId="446A65A5" w:rsidR="006D7C7D" w:rsidRDefault="006D7C7D" w:rsidP="006D7C7D">
      <w:pPr>
        <w:spacing w:before="200" w:after="200"/>
      </w:pPr>
      <w:r w:rsidRPr="006D7C7D">
        <w:rPr>
          <w:szCs w:val="24"/>
        </w:rPr>
        <w:t xml:space="preserve">The </w:t>
      </w:r>
      <w:r w:rsidR="00E12028">
        <w:rPr>
          <w:szCs w:val="24"/>
        </w:rPr>
        <w:t xml:space="preserve">Update </w:t>
      </w:r>
      <w:r w:rsidR="006951E2">
        <w:rPr>
          <w:szCs w:val="24"/>
        </w:rPr>
        <w:t>Determination</w:t>
      </w:r>
      <w:r w:rsidR="006951E2" w:rsidRPr="006D7C7D">
        <w:rPr>
          <w:szCs w:val="24"/>
        </w:rPr>
        <w:t xml:space="preserve"> </w:t>
      </w:r>
      <w:r w:rsidRPr="006D7C7D">
        <w:rPr>
          <w:szCs w:val="24"/>
        </w:rPr>
        <w:t>will commence</w:t>
      </w:r>
      <w:r w:rsidR="00BF0617">
        <w:t xml:space="preserve"> on 1 July 202</w:t>
      </w:r>
      <w:r w:rsidR="00982B58">
        <w:t>3</w:t>
      </w:r>
      <w:r w:rsidR="00BF0617">
        <w:t xml:space="preserve"> and app</w:t>
      </w:r>
      <w:r w:rsidR="0039006D">
        <w:t>ly to the 202</w:t>
      </w:r>
      <w:r w:rsidR="00982B58">
        <w:t>3</w:t>
      </w:r>
      <w:r w:rsidR="0039006D">
        <w:t>-2</w:t>
      </w:r>
      <w:r w:rsidR="00982B58">
        <w:t>4</w:t>
      </w:r>
      <w:r w:rsidR="00E04E46">
        <w:t xml:space="preserve"> and subsequent</w:t>
      </w:r>
      <w:r>
        <w:t xml:space="preserve"> financial year</w:t>
      </w:r>
      <w:r w:rsidR="00E04E46">
        <w:t>s</w:t>
      </w:r>
      <w:r>
        <w:t>. It</w:t>
      </w:r>
      <w:r w:rsidRPr="006A3A08">
        <w:t xml:space="preserve"> will affect </w:t>
      </w:r>
      <w:r w:rsidR="00EA3DA9">
        <w:t>NGER</w:t>
      </w:r>
      <w:r w:rsidR="00486954">
        <w:t xml:space="preserve"> Scheme</w:t>
      </w:r>
      <w:r w:rsidRPr="006A3A08">
        <w:t xml:space="preserve"> reports </w:t>
      </w:r>
      <w:r w:rsidR="004F63BB">
        <w:t xml:space="preserve">to be </w:t>
      </w:r>
      <w:r w:rsidRPr="006A3A08">
        <w:t>submitte</w:t>
      </w:r>
      <w:r>
        <w:t xml:space="preserve">d by corporations </w:t>
      </w:r>
      <w:r w:rsidR="004F63BB">
        <w:t>by 31</w:t>
      </w:r>
      <w:r w:rsidR="00D15BD6">
        <w:t> </w:t>
      </w:r>
      <w:r w:rsidR="0039006D">
        <w:t>October 202</w:t>
      </w:r>
      <w:r w:rsidR="00982B58">
        <w:t>4</w:t>
      </w:r>
      <w:r>
        <w:t xml:space="preserve">. </w:t>
      </w:r>
    </w:p>
    <w:p w14:paraId="66E6312F" w14:textId="4B4B4002" w:rsidR="00C15EDB" w:rsidRDefault="003A5D5E" w:rsidP="006817CD">
      <w:pPr>
        <w:spacing w:after="240"/>
      </w:pPr>
      <w:r>
        <w:t xml:space="preserve">Further details of the </w:t>
      </w:r>
      <w:r w:rsidR="00E12028">
        <w:t xml:space="preserve">Update </w:t>
      </w:r>
      <w:r w:rsidR="006951E2">
        <w:t>Determination</w:t>
      </w:r>
      <w:r w:rsidR="00EA4F69">
        <w:t xml:space="preserve"> </w:t>
      </w:r>
      <w:r>
        <w:t xml:space="preserve">are outlined in </w:t>
      </w:r>
      <w:r>
        <w:rPr>
          <w:u w:val="single"/>
        </w:rPr>
        <w:t>Attachment A</w:t>
      </w:r>
      <w:r>
        <w:t xml:space="preserve">. </w:t>
      </w:r>
    </w:p>
    <w:p w14:paraId="2CEB074B" w14:textId="726C28BE" w:rsidR="003C3DBF" w:rsidRPr="00366499" w:rsidRDefault="003C3DBF" w:rsidP="006817CD">
      <w:pPr>
        <w:spacing w:after="240"/>
        <w:rPr>
          <w:color w:val="000000" w:themeColor="text1"/>
        </w:rPr>
      </w:pPr>
      <w:r w:rsidRPr="006A3A08">
        <w:t>Th</w:t>
      </w:r>
      <w:r w:rsidR="00EA4F69">
        <w:t xml:space="preserve">e </w:t>
      </w:r>
      <w:r w:rsidR="00E12028">
        <w:t xml:space="preserve">Update </w:t>
      </w:r>
      <w:r w:rsidR="006951E2">
        <w:t>Determination</w:t>
      </w:r>
      <w:r>
        <w:t xml:space="preserve"> is a</w:t>
      </w:r>
      <w:r w:rsidRPr="006A3A08">
        <w:t xml:space="preserve"> legislative instrument for the purposes </w:t>
      </w:r>
      <w:r w:rsidRPr="00366499">
        <w:rPr>
          <w:color w:val="000000" w:themeColor="text1"/>
        </w:rPr>
        <w:t xml:space="preserve">of the </w:t>
      </w:r>
      <w:r w:rsidR="00FD6C51">
        <w:rPr>
          <w:i/>
          <w:color w:val="000000" w:themeColor="text1"/>
        </w:rPr>
        <w:t>Legislation</w:t>
      </w:r>
      <w:r w:rsidR="00FD6C51" w:rsidRPr="00366499">
        <w:rPr>
          <w:i/>
          <w:color w:val="000000" w:themeColor="text1"/>
        </w:rPr>
        <w:t xml:space="preserve"> </w:t>
      </w:r>
      <w:r w:rsidRPr="00366499">
        <w:rPr>
          <w:i/>
          <w:color w:val="000000" w:themeColor="text1"/>
        </w:rPr>
        <w:t>Act 2003</w:t>
      </w:r>
      <w:r w:rsidRPr="00366499">
        <w:rPr>
          <w:color w:val="000000" w:themeColor="text1"/>
        </w:rPr>
        <w:t>.</w:t>
      </w:r>
    </w:p>
    <w:p w14:paraId="435BA8D6" w14:textId="2146AB44" w:rsidR="003A5D5E" w:rsidRDefault="003A5D5E" w:rsidP="006817CD">
      <w:pPr>
        <w:spacing w:after="240"/>
      </w:pPr>
      <w:r w:rsidRPr="0038144C">
        <w:t xml:space="preserve">A statement of the </w:t>
      </w:r>
      <w:r w:rsidR="00E12028">
        <w:t xml:space="preserve">Update </w:t>
      </w:r>
      <w:r w:rsidR="006951E2">
        <w:t>Determination</w:t>
      </w:r>
      <w:r w:rsidR="006951E2" w:rsidRPr="0038144C">
        <w:t xml:space="preserve">’s </w:t>
      </w:r>
      <w:r w:rsidRPr="0038144C">
        <w:t xml:space="preserve">compatibility with human </w:t>
      </w:r>
      <w:r>
        <w:t xml:space="preserve">rights is set out in </w:t>
      </w:r>
      <w:r w:rsidRPr="0047361F">
        <w:rPr>
          <w:u w:val="single"/>
        </w:rPr>
        <w:t>Attachment</w:t>
      </w:r>
      <w:r w:rsidR="00C15EDB">
        <w:rPr>
          <w:u w:val="single"/>
        </w:rPr>
        <w:t xml:space="preserve"> B</w:t>
      </w:r>
      <w:r w:rsidRPr="0038144C">
        <w:t>.</w:t>
      </w:r>
    </w:p>
    <w:p w14:paraId="64910D80" w14:textId="77777777" w:rsidR="007E7318" w:rsidRPr="008F1C35" w:rsidRDefault="007E7318" w:rsidP="007E7318">
      <w:pPr>
        <w:spacing w:before="200" w:after="200"/>
        <w:rPr>
          <w:b/>
        </w:rPr>
      </w:pPr>
      <w:r w:rsidRPr="008F1C35">
        <w:rPr>
          <w:b/>
        </w:rPr>
        <w:t>Consultation</w:t>
      </w:r>
    </w:p>
    <w:p w14:paraId="490E8C82" w14:textId="561B5132" w:rsidR="002E7D7F" w:rsidRDefault="007E7318" w:rsidP="007E7318">
      <w:pPr>
        <w:tabs>
          <w:tab w:val="left" w:pos="1701"/>
          <w:tab w:val="right" w:pos="9072"/>
        </w:tabs>
        <w:spacing w:before="0" w:after="0"/>
        <w:ind w:right="91"/>
      </w:pPr>
      <w:r>
        <w:t xml:space="preserve">The substance of the </w:t>
      </w:r>
      <w:r w:rsidRPr="00C81EBC">
        <w:t>amendments made by the</w:t>
      </w:r>
      <w:r w:rsidR="00EA4F69" w:rsidRPr="00C81EBC">
        <w:t xml:space="preserve"> </w:t>
      </w:r>
      <w:r w:rsidR="00E12028" w:rsidRPr="00C81EBC">
        <w:t xml:space="preserve">Update </w:t>
      </w:r>
      <w:r w:rsidR="006951E2" w:rsidRPr="00C81EBC">
        <w:t>Determination</w:t>
      </w:r>
      <w:r w:rsidR="00C63795" w:rsidRPr="00C81EBC">
        <w:t xml:space="preserve"> </w:t>
      </w:r>
      <w:r w:rsidRPr="00C81EBC">
        <w:t xml:space="preserve">was released for </w:t>
      </w:r>
      <w:hyperlink r:id="rId12">
        <w:r w:rsidR="42C673BC" w:rsidRPr="5D90B6E9">
          <w:rPr>
            <w:rStyle w:val="Hyperlink"/>
          </w:rPr>
          <w:t>public consultation</w:t>
        </w:r>
      </w:hyperlink>
      <w:r w:rsidRPr="00C81EBC">
        <w:t xml:space="preserve"> from </w:t>
      </w:r>
      <w:r w:rsidR="007E4D38" w:rsidRPr="00C81EBC">
        <w:t>3</w:t>
      </w:r>
      <w:r w:rsidRPr="00C81EBC">
        <w:t xml:space="preserve"> </w:t>
      </w:r>
      <w:r w:rsidR="0039006D" w:rsidRPr="00C81EBC">
        <w:t xml:space="preserve">April </w:t>
      </w:r>
      <w:r w:rsidRPr="00C81EBC">
        <w:t xml:space="preserve">to </w:t>
      </w:r>
      <w:r w:rsidR="0039006D" w:rsidRPr="00C81EBC">
        <w:t>2</w:t>
      </w:r>
      <w:r w:rsidR="007E4D38" w:rsidRPr="00C81EBC">
        <w:t>8</w:t>
      </w:r>
      <w:r w:rsidR="006217B4" w:rsidRPr="00C81EBC">
        <w:t xml:space="preserve"> </w:t>
      </w:r>
      <w:r w:rsidR="0039006D" w:rsidRPr="00C81EBC">
        <w:t xml:space="preserve">April </w:t>
      </w:r>
      <w:r w:rsidR="61F6B876">
        <w:t>202</w:t>
      </w:r>
      <w:r w:rsidR="17BB58F2">
        <w:t>3</w:t>
      </w:r>
      <w:r w:rsidR="42C673BC">
        <w:t>.</w:t>
      </w:r>
      <w:r w:rsidR="00EA4F69" w:rsidRPr="00C81EBC">
        <w:t xml:space="preserve"> </w:t>
      </w:r>
      <w:r w:rsidR="002E7D7F" w:rsidRPr="00C81EBC">
        <w:t>4</w:t>
      </w:r>
      <w:r w:rsidR="004F67C1" w:rsidRPr="00C81EBC">
        <w:t>7</w:t>
      </w:r>
      <w:r w:rsidR="00FE7FFC" w:rsidRPr="00C81EBC">
        <w:t xml:space="preserve"> submissions were </w:t>
      </w:r>
      <w:r w:rsidR="004F67C1" w:rsidRPr="00C81EBC">
        <w:t xml:space="preserve">received, </w:t>
      </w:r>
      <w:r w:rsidR="00235F52" w:rsidRPr="00C81EBC">
        <w:t xml:space="preserve">with </w:t>
      </w:r>
      <w:r w:rsidR="005D64D5" w:rsidRPr="00C81EBC">
        <w:t xml:space="preserve">each </w:t>
      </w:r>
      <w:r w:rsidR="007221C5">
        <w:t>of the proposed updates</w:t>
      </w:r>
      <w:r w:rsidR="00716818" w:rsidRPr="00C81EBC">
        <w:t xml:space="preserve"> </w:t>
      </w:r>
      <w:r w:rsidR="00535D63" w:rsidRPr="00C81EBC">
        <w:t xml:space="preserve">receiving support from </w:t>
      </w:r>
      <w:proofErr w:type="gramStart"/>
      <w:r w:rsidR="00535D63" w:rsidRPr="00C81EBC">
        <w:t>a majority of</w:t>
      </w:r>
      <w:proofErr w:type="gramEnd"/>
      <w:r w:rsidR="00535D63" w:rsidRPr="00C81EBC">
        <w:t xml:space="preserve"> </w:t>
      </w:r>
      <w:r w:rsidR="006123E3" w:rsidRPr="00C81EBC">
        <w:t>submissions which commented on it.</w:t>
      </w:r>
      <w:r w:rsidR="00B061AF" w:rsidRPr="00C81EBC">
        <w:t xml:space="preserve"> Following consultation, </w:t>
      </w:r>
      <w:r w:rsidR="00A64876" w:rsidRPr="00C81EBC">
        <w:t>the new</w:t>
      </w:r>
      <w:r w:rsidR="00A64876">
        <w:t xml:space="preserve"> market-based method for estimating scope 2 emissions was revised </w:t>
      </w:r>
      <w:r w:rsidR="0026149C">
        <w:t>to increase its clarity, and additional amendments to section 5.15C were included</w:t>
      </w:r>
      <w:r w:rsidR="004E7BB7">
        <w:t xml:space="preserve"> to revise the calculation of </w:t>
      </w:r>
      <w:r w:rsidR="004E7BB7" w:rsidRPr="0094292F">
        <w:t>maximum</w:t>
      </w:r>
      <w:r w:rsidR="004E7BB7">
        <w:t xml:space="preserve"> </w:t>
      </w:r>
      <w:r w:rsidR="00F72904">
        <w:t xml:space="preserve">methane </w:t>
      </w:r>
      <w:r w:rsidR="0094292F">
        <w:t xml:space="preserve">collection efficiency </w:t>
      </w:r>
      <w:r w:rsidR="00F72904">
        <w:t xml:space="preserve">at landfills in line with industry and </w:t>
      </w:r>
      <w:r w:rsidR="00110C3D">
        <w:t xml:space="preserve">environmental </w:t>
      </w:r>
      <w:r w:rsidR="00F72904">
        <w:t>regulatory practice.</w:t>
      </w:r>
    </w:p>
    <w:p w14:paraId="767D175E" w14:textId="77777777" w:rsidR="007E7318" w:rsidRPr="00C74148" w:rsidRDefault="007E7318" w:rsidP="007E7318">
      <w:pPr>
        <w:tabs>
          <w:tab w:val="left" w:pos="1701"/>
          <w:tab w:val="right" w:pos="9072"/>
        </w:tabs>
        <w:spacing w:before="200" w:after="200"/>
        <w:ind w:right="91"/>
        <w:rPr>
          <w:b/>
        </w:rPr>
      </w:pPr>
      <w:r w:rsidRPr="00C74148">
        <w:rPr>
          <w:b/>
        </w:rPr>
        <w:t>Regulatory Impact</w:t>
      </w:r>
    </w:p>
    <w:p w14:paraId="32ED8697" w14:textId="5CB56531" w:rsidR="007E7318" w:rsidRDefault="007E7318" w:rsidP="007E7318">
      <w:pPr>
        <w:spacing w:after="240"/>
        <w:rPr>
          <w:szCs w:val="24"/>
          <w:lang w:val="en-GB"/>
        </w:rPr>
      </w:pPr>
      <w:r>
        <w:rPr>
          <w:lang w:val="en-GB"/>
        </w:rPr>
        <w:t>The regulatory impacts o</w:t>
      </w:r>
      <w:r w:rsidRPr="0C325E19">
        <w:rPr>
          <w:szCs w:val="24"/>
          <w:lang w:val="en-GB"/>
        </w:rPr>
        <w:t xml:space="preserve">f </w:t>
      </w:r>
      <w:r w:rsidR="00D70E2B" w:rsidRPr="0C325E19">
        <w:rPr>
          <w:szCs w:val="24"/>
          <w:lang w:val="en-GB"/>
        </w:rPr>
        <w:t>the Update Determination</w:t>
      </w:r>
      <w:r w:rsidRPr="0C325E19">
        <w:rPr>
          <w:szCs w:val="24"/>
          <w:lang w:val="en-GB"/>
        </w:rPr>
        <w:t xml:space="preserve"> have been assessed as not requiring a Regulation Impact Statement by the Office o</w:t>
      </w:r>
      <w:r w:rsidR="0039006D" w:rsidRPr="0C325E19">
        <w:rPr>
          <w:szCs w:val="24"/>
          <w:lang w:val="en-GB"/>
        </w:rPr>
        <w:t xml:space="preserve">f </w:t>
      </w:r>
      <w:r w:rsidR="002E7D7F" w:rsidRPr="0C325E19">
        <w:rPr>
          <w:szCs w:val="24"/>
          <w:lang w:val="en-GB"/>
        </w:rPr>
        <w:t xml:space="preserve">Impact Assessment </w:t>
      </w:r>
      <w:r w:rsidR="0039006D" w:rsidRPr="0C325E19">
        <w:rPr>
          <w:szCs w:val="24"/>
          <w:lang w:val="en-GB"/>
        </w:rPr>
        <w:t>(</w:t>
      </w:r>
      <w:r w:rsidR="00C81EBC" w:rsidRPr="0C325E19">
        <w:rPr>
          <w:szCs w:val="24"/>
          <w:lang w:val="en-GB"/>
        </w:rPr>
        <w:t>r</w:t>
      </w:r>
      <w:proofErr w:type="spellStart"/>
      <w:r w:rsidR="00C81EBC" w:rsidRPr="0C325E19">
        <w:rPr>
          <w:rStyle w:val="normaltextrun"/>
          <w:color w:val="000000"/>
          <w:szCs w:val="24"/>
          <w:shd w:val="clear" w:color="auto" w:fill="FFFFFF"/>
        </w:rPr>
        <w:t>ef</w:t>
      </w:r>
      <w:proofErr w:type="spellEnd"/>
      <w:r w:rsidR="00C81EBC" w:rsidRPr="0C325E19">
        <w:rPr>
          <w:rStyle w:val="normaltextrun"/>
          <w:color w:val="000000"/>
          <w:szCs w:val="24"/>
          <w:shd w:val="clear" w:color="auto" w:fill="FFFFFF"/>
        </w:rPr>
        <w:t xml:space="preserve"> OIA23-04928)</w:t>
      </w:r>
      <w:r w:rsidRPr="0C325E19">
        <w:rPr>
          <w:szCs w:val="24"/>
          <w:lang w:val="en-GB"/>
        </w:rPr>
        <w:t>.</w:t>
      </w:r>
    </w:p>
    <w:p w14:paraId="1A8E4BAF" w14:textId="77777777" w:rsidR="006217B4" w:rsidRDefault="006217B4" w:rsidP="007E7318">
      <w:pPr>
        <w:spacing w:after="240"/>
        <w:rPr>
          <w:lang w:val="en-GB"/>
        </w:rPr>
      </w:pPr>
    </w:p>
    <w:p w14:paraId="37908F57" w14:textId="77777777" w:rsidR="003F47E4" w:rsidRDefault="003F47E4">
      <w:pPr>
        <w:spacing w:before="0" w:after="0"/>
      </w:pPr>
      <w:r>
        <w:br w:type="page"/>
      </w:r>
    </w:p>
    <w:p w14:paraId="505F0711" w14:textId="37A6B35C" w:rsidR="003F47E4" w:rsidRPr="00CA2411" w:rsidRDefault="00107EFF" w:rsidP="00CA2411">
      <w:pPr>
        <w:spacing w:before="0"/>
        <w:rPr>
          <w:b/>
        </w:rPr>
      </w:pPr>
      <w:r>
        <w:rPr>
          <w:b/>
        </w:rPr>
        <w:lastRenderedPageBreak/>
        <w:t>Overview</w:t>
      </w:r>
    </w:p>
    <w:p w14:paraId="52C5D560" w14:textId="05529550" w:rsidR="007F7C7C" w:rsidRPr="007F7C7C" w:rsidRDefault="007F7C7C" w:rsidP="00CA2411">
      <w:pPr>
        <w:spacing w:before="0"/>
      </w:pPr>
      <w:r w:rsidRPr="007F7C7C">
        <w:t>An overview</w:t>
      </w:r>
      <w:r>
        <w:t xml:space="preserve"> of amendments made by the Update Determination is provided below. Further </w:t>
      </w:r>
      <w:r w:rsidR="004A3254">
        <w:t xml:space="preserve">background on the </w:t>
      </w:r>
      <w:r w:rsidR="003B2F24">
        <w:t xml:space="preserve">technical </w:t>
      </w:r>
      <w:r w:rsidR="004A3254">
        <w:t xml:space="preserve">development and rationale of the amendments may be found in the </w:t>
      </w:r>
      <w:hyperlink r:id="rId13" w:history="1">
        <w:r w:rsidR="004A3254" w:rsidRPr="005D2468">
          <w:rPr>
            <w:rStyle w:val="Hyperlink"/>
          </w:rPr>
          <w:t>consultation paper</w:t>
        </w:r>
      </w:hyperlink>
      <w:r w:rsidR="004A3254">
        <w:t xml:space="preserve"> which was released with </w:t>
      </w:r>
      <w:r w:rsidR="005D2468">
        <w:t xml:space="preserve">an exposure draft of the amendments for public consultation. </w:t>
      </w:r>
    </w:p>
    <w:p w14:paraId="248CDDE8" w14:textId="7269754C" w:rsidR="00D865B1" w:rsidRPr="00CA2411" w:rsidRDefault="00D865B1" w:rsidP="00CA2411">
      <w:pPr>
        <w:spacing w:before="0"/>
        <w:rPr>
          <w:u w:val="single"/>
        </w:rPr>
      </w:pPr>
      <w:r w:rsidRPr="00457354">
        <w:rPr>
          <w:u w:val="single"/>
        </w:rPr>
        <w:t xml:space="preserve">Optional, supplementary market-based method for calculating scope 2 emissions from electricity </w:t>
      </w:r>
      <w:proofErr w:type="gramStart"/>
      <w:r w:rsidRPr="00457354">
        <w:rPr>
          <w:u w:val="single"/>
        </w:rPr>
        <w:t>consumption</w:t>
      </w:r>
      <w:proofErr w:type="gramEnd"/>
    </w:p>
    <w:p w14:paraId="5E501E84" w14:textId="6ADB310D" w:rsidR="00DC2386" w:rsidRDefault="00DC2386" w:rsidP="00CA2411">
      <w:pPr>
        <w:spacing w:before="0"/>
      </w:pPr>
      <w:r w:rsidRPr="00BE17E2">
        <w:t xml:space="preserve">Item </w:t>
      </w:r>
      <w:r w:rsidR="00663DE8" w:rsidRPr="00C3292E">
        <w:t>1</w:t>
      </w:r>
      <w:r w:rsidR="00BE17E2" w:rsidRPr="00C3292E">
        <w:t>7</w:t>
      </w:r>
      <w:r w:rsidR="00663DE8" w:rsidRPr="00BE17E2">
        <w:t xml:space="preserve"> </w:t>
      </w:r>
      <w:r w:rsidR="00457354" w:rsidRPr="00BE17E2">
        <w:t xml:space="preserve">inserts a new method </w:t>
      </w:r>
      <w:r w:rsidR="00FA5298" w:rsidRPr="00BE17E2">
        <w:t xml:space="preserve">(method B) </w:t>
      </w:r>
      <w:r w:rsidR="00457354" w:rsidRPr="00BE17E2">
        <w:t xml:space="preserve">into Chapter 7 of the </w:t>
      </w:r>
      <w:r w:rsidR="003C2D59" w:rsidRPr="00BE17E2">
        <w:t>Measurement</w:t>
      </w:r>
      <w:r w:rsidR="003C2D59">
        <w:t xml:space="preserve"> </w:t>
      </w:r>
      <w:r w:rsidR="00457354">
        <w:t xml:space="preserve">Determination for the market-based estimation of scope 2 emissions from the consumption of </w:t>
      </w:r>
      <w:r w:rsidR="007528E7">
        <w:t>electricity</w:t>
      </w:r>
      <w:r w:rsidR="00457354">
        <w:t>.</w:t>
      </w:r>
    </w:p>
    <w:p w14:paraId="21A839B5" w14:textId="6FB77E86" w:rsidR="00125511" w:rsidRDefault="00F521C6" w:rsidP="00CA2411">
      <w:pPr>
        <w:spacing w:before="0"/>
      </w:pPr>
      <w:r>
        <w:t>The market-based method</w:t>
      </w:r>
      <w:r w:rsidR="00CE3168">
        <w:t xml:space="preserve"> is voluntary, with existing location-based methods under sections 7.2 and 7.3 </w:t>
      </w:r>
      <w:r w:rsidR="001906C5">
        <w:t xml:space="preserve">(methods A1 and A2) </w:t>
      </w:r>
      <w:r w:rsidR="00CE3168">
        <w:t>remaining compulsory for</w:t>
      </w:r>
      <w:r w:rsidR="0066396D">
        <w:t xml:space="preserve"> facilities meeting the threshold specified in </w:t>
      </w:r>
      <w:r w:rsidR="00DC2C83">
        <w:t>sub</w:t>
      </w:r>
      <w:r w:rsidR="0066396D">
        <w:t>section 7.1(2)</w:t>
      </w:r>
      <w:r w:rsidR="00074552">
        <w:t xml:space="preserve">. Only </w:t>
      </w:r>
      <w:r w:rsidR="006F38E9">
        <w:t>the location</w:t>
      </w:r>
      <w:r w:rsidR="00A83E5C">
        <w:t>-</w:t>
      </w:r>
      <w:r w:rsidR="006F38E9">
        <w:t xml:space="preserve">based methods are to be used </w:t>
      </w:r>
      <w:r w:rsidR="00074552">
        <w:t>for the purpose of calculating whether a controlling corporation’s group meets a threshold for a financial year under section 13 of the Act</w:t>
      </w:r>
      <w:r w:rsidR="00DF7693">
        <w:t>.</w:t>
      </w:r>
    </w:p>
    <w:p w14:paraId="6F9D99A9" w14:textId="564C1F77" w:rsidR="00BC3AB8" w:rsidRDefault="00125511" w:rsidP="00F347DC">
      <w:pPr>
        <w:spacing w:before="240"/>
      </w:pPr>
      <w:r>
        <w:t>The market-based method takes account</w:t>
      </w:r>
      <w:r w:rsidR="00774A60">
        <w:t xml:space="preserve"> of acquisitions of renewable electricity as represented by</w:t>
      </w:r>
      <w:r w:rsidR="001073BE">
        <w:t xml:space="preserve"> surrender of</w:t>
      </w:r>
      <w:r w:rsidR="00774A60">
        <w:t xml:space="preserve"> </w:t>
      </w:r>
      <w:r w:rsidR="00421F6E">
        <w:t xml:space="preserve">Renewable Energy Certificates </w:t>
      </w:r>
      <w:r w:rsidR="008F3573">
        <w:t>(REC</w:t>
      </w:r>
      <w:r w:rsidR="008F3573" w:rsidRPr="007758B3">
        <w:rPr>
          <w:vertAlign w:val="subscript"/>
        </w:rPr>
        <w:t>surr</w:t>
      </w:r>
      <w:r w:rsidR="008F3573">
        <w:t xml:space="preserve"> in the new section 7.4). </w:t>
      </w:r>
      <w:r w:rsidR="00774A60">
        <w:t>Large-scale Generation Certificates</w:t>
      </w:r>
      <w:r w:rsidR="005B6368">
        <w:t xml:space="preserve"> created under the Renewable Energy Target </w:t>
      </w:r>
      <w:r w:rsidR="00CE6B0B">
        <w:t>s</w:t>
      </w:r>
      <w:r w:rsidR="005B6368">
        <w:t>cheme</w:t>
      </w:r>
      <w:r w:rsidR="0033164E">
        <w:t xml:space="preserve"> </w:t>
      </w:r>
      <w:r w:rsidR="00F347DC">
        <w:t xml:space="preserve">are specified as eligible </w:t>
      </w:r>
      <w:r w:rsidR="0015549E">
        <w:t>certificates</w:t>
      </w:r>
      <w:r w:rsidR="00CE6B0B">
        <w:t>.</w:t>
      </w:r>
      <w:r w:rsidR="00F94521">
        <w:t xml:space="preserve"> A purchase of GreenPower electricity from an accredited GreenPower Provider is also considered as an eligible certificate.</w:t>
      </w:r>
      <w:r w:rsidR="00CE6B0B">
        <w:t xml:space="preserve"> </w:t>
      </w:r>
      <w:r w:rsidR="008F3573">
        <w:t xml:space="preserve">The </w:t>
      </w:r>
      <w:r w:rsidR="00E97C9B">
        <w:t xml:space="preserve">portion of a </w:t>
      </w:r>
      <w:bookmarkStart w:id="3" w:name="_Hlk135831646"/>
      <w:r w:rsidR="002462F3">
        <w:t>reporter</w:t>
      </w:r>
      <w:bookmarkEnd w:id="3"/>
      <w:r w:rsidR="00E97C9B">
        <w:t xml:space="preserve">’s electricity consumption </w:t>
      </w:r>
      <w:r w:rsidR="008F3573">
        <w:t xml:space="preserve">represented by surrendered certificates </w:t>
      </w:r>
      <w:r w:rsidR="00E97C9B">
        <w:t xml:space="preserve">is </w:t>
      </w:r>
      <w:r w:rsidR="00163511">
        <w:t>deducted from the quantity of electricity purchased or acquired</w:t>
      </w:r>
      <w:r w:rsidR="00E30A70">
        <w:t xml:space="preserve"> (Q) and effectively </w:t>
      </w:r>
      <w:r w:rsidR="00E97C9B">
        <w:t>assigned a</w:t>
      </w:r>
      <w:r w:rsidR="0037695A">
        <w:t xml:space="preserve"> </w:t>
      </w:r>
      <w:proofErr w:type="gramStart"/>
      <w:r w:rsidR="0037695A">
        <w:t>zero</w:t>
      </w:r>
      <w:r w:rsidR="00E30A70">
        <w:t xml:space="preserve"> emission</w:t>
      </w:r>
      <w:proofErr w:type="gramEnd"/>
      <w:r w:rsidR="00E30A70">
        <w:t xml:space="preserve"> factor</w:t>
      </w:r>
      <w:r w:rsidR="00C5631B">
        <w:t>. Emissions from any residual electricity consumption</w:t>
      </w:r>
      <w:r w:rsidR="00B468AA">
        <w:t xml:space="preserve"> are calculated through application of a </w:t>
      </w:r>
      <w:r w:rsidR="006B2352">
        <w:t>‘</w:t>
      </w:r>
      <w:r w:rsidR="00F94521">
        <w:t>r</w:t>
      </w:r>
      <w:r w:rsidR="006B2352">
        <w:t>esidual mix factor’ (RMF)</w:t>
      </w:r>
      <w:r w:rsidR="00537927">
        <w:t xml:space="preserve">. </w:t>
      </w:r>
    </w:p>
    <w:p w14:paraId="40E88D65" w14:textId="701A5F1B" w:rsidR="00F521C6" w:rsidRDefault="008254C9" w:rsidP="00F347DC">
      <w:pPr>
        <w:spacing w:before="240"/>
      </w:pPr>
      <w:r>
        <w:t xml:space="preserve">Reporters </w:t>
      </w:r>
      <w:r w:rsidR="00537927">
        <w:t>must add back in</w:t>
      </w:r>
      <w:r w:rsidR="00E30A70">
        <w:t xml:space="preserve">to their </w:t>
      </w:r>
      <w:r w:rsidR="00AD7765">
        <w:t xml:space="preserve">electricity consumption </w:t>
      </w:r>
      <w:r w:rsidR="00536922">
        <w:t xml:space="preserve">the quantity of electricity represented </w:t>
      </w:r>
      <w:r w:rsidR="00421F6E">
        <w:t>by certificates</w:t>
      </w:r>
      <w:r w:rsidR="00813CD9">
        <w:t xml:space="preserve"> </w:t>
      </w:r>
      <w:r w:rsidR="00543FCE">
        <w:t xml:space="preserve">issued for </w:t>
      </w:r>
      <w:r w:rsidR="00987D2E">
        <w:t>electricity produced on-site during the year and consumed from the operation of the facility</w:t>
      </w:r>
      <w:r w:rsidR="00391E04">
        <w:t xml:space="preserve"> (REC</w:t>
      </w:r>
      <w:r w:rsidR="00391E04" w:rsidRPr="00391E04">
        <w:rPr>
          <w:vertAlign w:val="subscript"/>
        </w:rPr>
        <w:t>onsite</w:t>
      </w:r>
      <w:r w:rsidR="00391E04">
        <w:t>)</w:t>
      </w:r>
      <w:r w:rsidR="002B01D2">
        <w:t xml:space="preserve">; this prevents double counting of the renewable electricity by both the </w:t>
      </w:r>
      <w:r>
        <w:t xml:space="preserve">reporter </w:t>
      </w:r>
      <w:r w:rsidR="002B01D2">
        <w:t xml:space="preserve">and </w:t>
      </w:r>
      <w:r w:rsidR="00475C50">
        <w:t xml:space="preserve">any other </w:t>
      </w:r>
      <w:r>
        <w:t xml:space="preserve">reporters </w:t>
      </w:r>
      <w:r w:rsidR="004440D6">
        <w:t xml:space="preserve">who </w:t>
      </w:r>
      <w:r w:rsidR="00475C50">
        <w:t xml:space="preserve">may claim the </w:t>
      </w:r>
      <w:r w:rsidR="004D2A8D">
        <w:t>resulting certificate in their own market-based emissions estimates.</w:t>
      </w:r>
      <w:r w:rsidR="00BC3AB8">
        <w:t xml:space="preserve"> A</w:t>
      </w:r>
      <w:r w:rsidR="001839F7">
        <w:t>ppropriate a</w:t>
      </w:r>
      <w:r w:rsidR="00BC3AB8">
        <w:t xml:space="preserve">djustments are also made </w:t>
      </w:r>
      <w:r w:rsidR="001839F7">
        <w:t xml:space="preserve">to exclude </w:t>
      </w:r>
      <w:r w:rsidR="0010378B">
        <w:t>from Q</w:t>
      </w:r>
      <w:r w:rsidR="00216F36">
        <w:t xml:space="preserve"> the portion </w:t>
      </w:r>
      <w:r w:rsidR="00267F4B">
        <w:t xml:space="preserve">of </w:t>
      </w:r>
      <w:r w:rsidR="00216F36">
        <w:t xml:space="preserve">electricity represented by </w:t>
      </w:r>
      <w:r w:rsidR="005E1C32">
        <w:t xml:space="preserve">LGC certificates </w:t>
      </w:r>
      <w:r w:rsidR="00216F36">
        <w:t xml:space="preserve">surrendered </w:t>
      </w:r>
      <w:r w:rsidR="00163E07">
        <w:t xml:space="preserve">as part of the national Renewable Power Percentage </w:t>
      </w:r>
      <w:r w:rsidR="00E10397">
        <w:t>under the RET scheme</w:t>
      </w:r>
      <w:r w:rsidR="00782995">
        <w:t xml:space="preserve"> (RPP)</w:t>
      </w:r>
      <w:r w:rsidR="004141B3">
        <w:t>,</w:t>
      </w:r>
      <w:r w:rsidR="00E10397">
        <w:t xml:space="preserve"> </w:t>
      </w:r>
      <w:r w:rsidR="00163E07">
        <w:t>or the Jurisdiction</w:t>
      </w:r>
      <w:r w:rsidR="00216F36">
        <w:t>al Renewable Power Percentage in the Australian Capital Territory</w:t>
      </w:r>
      <w:r w:rsidR="00171718">
        <w:t xml:space="preserve"> (JRPP)</w:t>
      </w:r>
      <w:r w:rsidR="00216F36">
        <w:t>.</w:t>
      </w:r>
      <w:r w:rsidR="00547833">
        <w:t xml:space="preserve"> </w:t>
      </w:r>
      <w:r w:rsidR="00804266">
        <w:t xml:space="preserve">The deduction in respect of the RPP </w:t>
      </w:r>
      <w:r w:rsidR="008D36C0">
        <w:t xml:space="preserve">(as set under the RET scheme) </w:t>
      </w:r>
      <w:r w:rsidR="00804266">
        <w:t>is not ma</w:t>
      </w:r>
      <w:r w:rsidR="00AE2250">
        <w:t>de in respect of a</w:t>
      </w:r>
      <w:r w:rsidR="00547833">
        <w:t xml:space="preserve">ny portion of an entity’s electricity consumption which is exempt from obligations under the RET scheme </w:t>
      </w:r>
      <w:r w:rsidR="00804266">
        <w:t>(Q</w:t>
      </w:r>
      <w:r w:rsidR="00804266" w:rsidRPr="00AE2250">
        <w:rPr>
          <w:vertAlign w:val="subscript"/>
        </w:rPr>
        <w:t>exempt</w:t>
      </w:r>
      <w:r w:rsidR="00804266">
        <w:t>)</w:t>
      </w:r>
      <w:r w:rsidR="00E10397">
        <w:t>.</w:t>
      </w:r>
    </w:p>
    <w:p w14:paraId="7ED2C093" w14:textId="0D8C92F3" w:rsidR="00D865B1" w:rsidRPr="00457354" w:rsidRDefault="00D76499" w:rsidP="00CA2411">
      <w:pPr>
        <w:spacing w:before="0"/>
        <w:rPr>
          <w:u w:val="single"/>
        </w:rPr>
      </w:pPr>
      <w:r w:rsidRPr="00457354">
        <w:rPr>
          <w:u w:val="single"/>
        </w:rPr>
        <w:t xml:space="preserve">Update to Method 1 used to calculate fugitive methane emissions from Queensland open cut </w:t>
      </w:r>
      <w:proofErr w:type="gramStart"/>
      <w:r w:rsidRPr="00457354">
        <w:rPr>
          <w:u w:val="single"/>
        </w:rPr>
        <w:t>mines</w:t>
      </w:r>
      <w:proofErr w:type="gramEnd"/>
    </w:p>
    <w:p w14:paraId="2CDF477F" w14:textId="5D3E0777" w:rsidR="00D76499" w:rsidRDefault="003B64BC" w:rsidP="00CA2411">
      <w:pPr>
        <w:spacing w:before="0"/>
      </w:pPr>
      <w:r>
        <w:t>Item 9</w:t>
      </w:r>
      <w:r w:rsidR="002456D2">
        <w:t xml:space="preserve"> updates the emission factor in section </w:t>
      </w:r>
      <w:r w:rsidR="00DA5C58">
        <w:t xml:space="preserve">3.20 of the </w:t>
      </w:r>
      <w:r w:rsidR="003C2D59">
        <w:t xml:space="preserve">Measurement </w:t>
      </w:r>
      <w:r w:rsidR="00DA5C58">
        <w:t>Determination to calculate</w:t>
      </w:r>
      <w:r w:rsidR="00074848">
        <w:t xml:space="preserve"> fugitive</w:t>
      </w:r>
      <w:r w:rsidR="00DA5C58">
        <w:t xml:space="preserve"> </w:t>
      </w:r>
      <w:r w:rsidR="001F777C">
        <w:t xml:space="preserve">emissions </w:t>
      </w:r>
      <w:r w:rsidR="00AF18DA">
        <w:t xml:space="preserve">of methane </w:t>
      </w:r>
      <w:r w:rsidR="003956A4">
        <w:t>under Method 1 for open cut coal mines.</w:t>
      </w:r>
    </w:p>
    <w:p w14:paraId="59B6900E" w14:textId="7D2B2B2B" w:rsidR="00CA7DC1" w:rsidRDefault="00CA7DC1" w:rsidP="00CA2411">
      <w:pPr>
        <w:spacing w:before="0"/>
      </w:pPr>
      <w:r>
        <w:t>This update</w:t>
      </w:r>
      <w:r w:rsidR="00696C7E">
        <w:t xml:space="preserve"> </w:t>
      </w:r>
      <w:r w:rsidR="009530B3">
        <w:t xml:space="preserve">aligns with method developments applied in the National </w:t>
      </w:r>
      <w:r w:rsidR="003D1A34">
        <w:t>Greenhouse Gas</w:t>
      </w:r>
      <w:r w:rsidR="009530B3">
        <w:t xml:space="preserve"> Inventory.</w:t>
      </w:r>
    </w:p>
    <w:p w14:paraId="13FF6062" w14:textId="004CD1FC" w:rsidR="00D76499" w:rsidRPr="00CA2411" w:rsidRDefault="00D76499" w:rsidP="004076A1">
      <w:pPr>
        <w:keepNext/>
        <w:spacing w:before="0"/>
        <w:rPr>
          <w:u w:val="single"/>
        </w:rPr>
      </w:pPr>
      <w:r w:rsidRPr="00457354">
        <w:rPr>
          <w:u w:val="single"/>
        </w:rPr>
        <w:lastRenderedPageBreak/>
        <w:t>Update to Method</w:t>
      </w:r>
      <w:r w:rsidR="00694762">
        <w:rPr>
          <w:u w:val="single"/>
        </w:rPr>
        <w:t>s</w:t>
      </w:r>
      <w:r w:rsidRPr="00457354">
        <w:rPr>
          <w:u w:val="single"/>
        </w:rPr>
        <w:t xml:space="preserve"> 1</w:t>
      </w:r>
      <w:r w:rsidR="00694762">
        <w:rPr>
          <w:u w:val="single"/>
        </w:rPr>
        <w:t xml:space="preserve"> and 2</w:t>
      </w:r>
      <w:r w:rsidRPr="00457354">
        <w:rPr>
          <w:u w:val="single"/>
        </w:rPr>
        <w:t xml:space="preserve"> for the estimation of methane emissions released from landfills (other than from flaring of methane)</w:t>
      </w:r>
    </w:p>
    <w:p w14:paraId="6302DD55" w14:textId="289107E0" w:rsidR="00D76499" w:rsidRPr="00C3292E" w:rsidRDefault="00790AA4" w:rsidP="00CA2411">
      <w:pPr>
        <w:spacing w:before="0"/>
      </w:pPr>
      <w:r>
        <w:t xml:space="preserve">Part 5.2 of the </w:t>
      </w:r>
      <w:r w:rsidR="003C2D59">
        <w:t xml:space="preserve">Measurement Determination provides methods for estimating emissions </w:t>
      </w:r>
      <w:r w:rsidR="00857459">
        <w:t>from the decomposition of organic material in landfill</w:t>
      </w:r>
      <w:r w:rsidR="002F4E20">
        <w:t xml:space="preserve"> and in biological treatment of </w:t>
      </w:r>
      <w:r w:rsidR="002F4E20" w:rsidRPr="00C3292E">
        <w:t>solid waste.</w:t>
      </w:r>
    </w:p>
    <w:p w14:paraId="041CAAD0" w14:textId="180D3744" w:rsidR="002F4E20" w:rsidRPr="00C3292E" w:rsidRDefault="00550A24" w:rsidP="00CA2411">
      <w:pPr>
        <w:spacing w:before="0"/>
      </w:pPr>
      <w:r w:rsidRPr="00C3292E">
        <w:t xml:space="preserve">Under </w:t>
      </w:r>
      <w:r w:rsidR="00415FC5" w:rsidRPr="00C3292E">
        <w:t xml:space="preserve">current section 5.4, a maximum </w:t>
      </w:r>
      <w:r w:rsidR="00297A34" w:rsidRPr="00C3292E">
        <w:t xml:space="preserve">value of 75% is imposed on the </w:t>
      </w:r>
      <w:r w:rsidR="00703C0E" w:rsidRPr="00C3292E">
        <w:t xml:space="preserve">collection </w:t>
      </w:r>
      <w:r w:rsidR="00297A34" w:rsidRPr="00C3292E">
        <w:t xml:space="preserve">efficiency </w:t>
      </w:r>
      <w:r w:rsidR="0082396F" w:rsidRPr="00C3292E">
        <w:t xml:space="preserve">(that is, the proportion of generated methane captured for combustion, flaring or transfer offsite) </w:t>
      </w:r>
      <w:r w:rsidR="00636D9D" w:rsidRPr="00C3292E">
        <w:t xml:space="preserve">reflected in a facility’s estimates </w:t>
      </w:r>
      <w:r w:rsidR="008D32F9" w:rsidRPr="00C3292E">
        <w:t xml:space="preserve">under Method 1 for </w:t>
      </w:r>
      <w:r w:rsidR="00636D9D" w:rsidRPr="00C3292E">
        <w:t>emissions</w:t>
      </w:r>
      <w:r w:rsidR="00695544" w:rsidRPr="00C3292E">
        <w:t xml:space="preserve"> of methane from a landfill</w:t>
      </w:r>
      <w:r w:rsidR="008D32F9" w:rsidRPr="00C3292E">
        <w:t xml:space="preserve"> (other than emission</w:t>
      </w:r>
      <w:r w:rsidR="00EA3954" w:rsidRPr="00C3292E">
        <w:t>s</w:t>
      </w:r>
      <w:r w:rsidR="008D32F9" w:rsidRPr="00C3292E">
        <w:t xml:space="preserve"> from flaring)</w:t>
      </w:r>
      <w:r w:rsidR="00695544" w:rsidRPr="00C3292E">
        <w:t xml:space="preserve">. </w:t>
      </w:r>
      <w:r w:rsidR="00041858" w:rsidRPr="00C3292E">
        <w:t>Item 1</w:t>
      </w:r>
      <w:r w:rsidR="00B650E3" w:rsidRPr="00C3292E">
        <w:t>4</w:t>
      </w:r>
      <w:r w:rsidR="00041858" w:rsidRPr="00C3292E">
        <w:t xml:space="preserve"> of the Update </w:t>
      </w:r>
      <w:r w:rsidR="00F21A27" w:rsidRPr="00C3292E">
        <w:t>Determination</w:t>
      </w:r>
      <w:r w:rsidR="00041858" w:rsidRPr="00C3292E">
        <w:t xml:space="preserve"> </w:t>
      </w:r>
      <w:r w:rsidR="00CE4DE1" w:rsidRPr="00C3292E">
        <w:t xml:space="preserve">amends </w:t>
      </w:r>
      <w:r w:rsidR="00434B84" w:rsidRPr="00C3292E">
        <w:t>this section</w:t>
      </w:r>
      <w:r w:rsidR="00CE4DE1" w:rsidRPr="00C3292E">
        <w:t xml:space="preserve"> </w:t>
      </w:r>
      <w:r w:rsidR="00F36DD8" w:rsidRPr="00C3292E">
        <w:t xml:space="preserve">so that the maximum collection efficiency </w:t>
      </w:r>
      <w:r w:rsidR="00556C58" w:rsidRPr="00C3292E">
        <w:t xml:space="preserve">applicable under the Method 1 calculation </w:t>
      </w:r>
      <w:r w:rsidR="00F36DD8" w:rsidRPr="00C3292E">
        <w:t xml:space="preserve">is </w:t>
      </w:r>
      <w:r w:rsidR="00556C58" w:rsidRPr="00C3292E">
        <w:t xml:space="preserve">as </w:t>
      </w:r>
      <w:r w:rsidR="00F36DD8" w:rsidRPr="00C3292E">
        <w:t xml:space="preserve">calculated </w:t>
      </w:r>
      <w:r w:rsidR="00336113" w:rsidRPr="00C3292E">
        <w:t xml:space="preserve">under </w:t>
      </w:r>
      <w:r w:rsidR="00F36DD8" w:rsidRPr="00C3292E">
        <w:t>section 5.15C</w:t>
      </w:r>
      <w:r w:rsidR="00336113" w:rsidRPr="00C3292E">
        <w:t xml:space="preserve"> </w:t>
      </w:r>
      <w:r w:rsidR="00556C58" w:rsidRPr="00C3292E">
        <w:t xml:space="preserve">(Equation – collection efficiency limit at landfill in a particular reporting year). </w:t>
      </w:r>
    </w:p>
    <w:p w14:paraId="0458BB8B" w14:textId="7CF72791" w:rsidR="00F61943" w:rsidRPr="00C3292E" w:rsidRDefault="00266FF3" w:rsidP="00CA2411">
      <w:pPr>
        <w:spacing w:before="0"/>
      </w:pPr>
      <w:r w:rsidRPr="00C3292E">
        <w:t xml:space="preserve">Under current section 5.15C, </w:t>
      </w:r>
      <w:r w:rsidR="00CB3819" w:rsidRPr="00C3292E">
        <w:t xml:space="preserve">the maximum </w:t>
      </w:r>
      <w:r w:rsidR="000B3C7D" w:rsidRPr="00C3292E">
        <w:t xml:space="preserve">collection efficiency </w:t>
      </w:r>
      <w:r w:rsidR="00CB3819" w:rsidRPr="00C3292E">
        <w:t xml:space="preserve">is calculated </w:t>
      </w:r>
      <w:r w:rsidR="000B3C7D" w:rsidRPr="00C3292E">
        <w:t xml:space="preserve">by reference to </w:t>
      </w:r>
      <w:r w:rsidR="00720496" w:rsidRPr="00C3292E">
        <w:t xml:space="preserve">four categories of </w:t>
      </w:r>
      <w:r w:rsidR="00916DE3" w:rsidRPr="00C3292E">
        <w:t xml:space="preserve">landfill </w:t>
      </w:r>
      <w:r w:rsidR="00720496" w:rsidRPr="00C3292E">
        <w:t>management techniques. In order of increasing effectiveness, the categories are A2</w:t>
      </w:r>
      <w:r w:rsidR="00BD0B13" w:rsidRPr="00C3292E">
        <w:t xml:space="preserve"> (</w:t>
      </w:r>
      <w:r w:rsidR="00855A5F" w:rsidRPr="00C3292E">
        <w:t xml:space="preserve">which </w:t>
      </w:r>
      <w:r w:rsidR="003613C0" w:rsidRPr="00C3292E">
        <w:t xml:space="preserve">represents areas without active gas collection and </w:t>
      </w:r>
      <w:r w:rsidR="00855A5F" w:rsidRPr="00C3292E">
        <w:t xml:space="preserve">is assigned a </w:t>
      </w:r>
      <w:r w:rsidR="0078285D" w:rsidRPr="00C3292E">
        <w:t xml:space="preserve">maximum </w:t>
      </w:r>
      <w:r w:rsidR="00855A5F" w:rsidRPr="00C3292E">
        <w:t xml:space="preserve">collection efficiency </w:t>
      </w:r>
      <w:r w:rsidR="003E78F4" w:rsidRPr="00C3292E">
        <w:t xml:space="preserve">of </w:t>
      </w:r>
      <w:r w:rsidR="00BD0B13" w:rsidRPr="00C3292E">
        <w:t>0%)</w:t>
      </w:r>
      <w:r w:rsidR="00720496" w:rsidRPr="00C3292E">
        <w:t>, A3</w:t>
      </w:r>
      <w:r w:rsidR="00BD0B13" w:rsidRPr="00C3292E">
        <w:t xml:space="preserve"> (</w:t>
      </w:r>
      <w:r w:rsidR="00E21722" w:rsidRPr="00C3292E">
        <w:t xml:space="preserve">which </w:t>
      </w:r>
      <w:r w:rsidR="00964B87" w:rsidRPr="00C3292E">
        <w:t xml:space="preserve">represents areas with </w:t>
      </w:r>
      <w:r w:rsidR="00BB30FC" w:rsidRPr="00C3292E">
        <w:t xml:space="preserve">daily soil cover and active gas collection and is assigned a </w:t>
      </w:r>
      <w:r w:rsidR="0078285D" w:rsidRPr="00C3292E">
        <w:t xml:space="preserve">maximum </w:t>
      </w:r>
      <w:r w:rsidR="00BB30FC" w:rsidRPr="00C3292E">
        <w:t xml:space="preserve">collection efficiency of </w:t>
      </w:r>
      <w:r w:rsidR="00BD0B13" w:rsidRPr="00C3292E">
        <w:t>60%)</w:t>
      </w:r>
      <w:r w:rsidR="00720496" w:rsidRPr="00C3292E">
        <w:t xml:space="preserve">, A4 </w:t>
      </w:r>
      <w:r w:rsidR="00BD0B13" w:rsidRPr="00C3292E">
        <w:t>(</w:t>
      </w:r>
      <w:r w:rsidR="001D3A49" w:rsidRPr="00C3292E">
        <w:t xml:space="preserve">which broadly represents areas with </w:t>
      </w:r>
      <w:r w:rsidR="003C64AE" w:rsidRPr="00C3292E">
        <w:t xml:space="preserve">intermediate cover and is assigned a collection efficiency of </w:t>
      </w:r>
      <w:r w:rsidR="00BD0B13" w:rsidRPr="00C3292E">
        <w:t xml:space="preserve">75%) </w:t>
      </w:r>
      <w:r w:rsidR="00720496" w:rsidRPr="00C3292E">
        <w:t>and A5</w:t>
      </w:r>
      <w:r w:rsidR="00BD0B13" w:rsidRPr="00C3292E">
        <w:t xml:space="preserve"> (</w:t>
      </w:r>
      <w:r w:rsidR="00D349D8" w:rsidRPr="00C3292E">
        <w:t xml:space="preserve">which broadly represents areas with final cover and is assigned a collection efficiency of </w:t>
      </w:r>
      <w:r w:rsidR="00BD0B13" w:rsidRPr="00C3292E">
        <w:t>95%)</w:t>
      </w:r>
      <w:r w:rsidR="00720496" w:rsidRPr="00C3292E">
        <w:t xml:space="preserve">. </w:t>
      </w:r>
      <w:r w:rsidR="0075123D" w:rsidRPr="00C3292E">
        <w:t xml:space="preserve">Item </w:t>
      </w:r>
      <w:r w:rsidR="001214D7" w:rsidRPr="00C3292E">
        <w:t>1</w:t>
      </w:r>
      <w:r w:rsidR="00E74677" w:rsidRPr="00C3292E">
        <w:t>6</w:t>
      </w:r>
      <w:r w:rsidR="0075123D" w:rsidRPr="00C3292E">
        <w:t xml:space="preserve"> amends </w:t>
      </w:r>
      <w:r w:rsidR="0043013F" w:rsidRPr="00C3292E">
        <w:t>sub</w:t>
      </w:r>
      <w:r w:rsidR="0075123D" w:rsidRPr="00C3292E">
        <w:t>section 5.15C</w:t>
      </w:r>
      <w:r w:rsidR="0043013F" w:rsidRPr="00C3292E">
        <w:t xml:space="preserve">(1) to </w:t>
      </w:r>
      <w:r w:rsidR="06CCA553" w:rsidRPr="00C3292E">
        <w:t xml:space="preserve">update </w:t>
      </w:r>
      <w:r w:rsidR="00B700C8" w:rsidRPr="00C3292E">
        <w:t>categor</w:t>
      </w:r>
      <w:r w:rsidR="5F75D024" w:rsidRPr="00C3292E">
        <w:t xml:space="preserve">ies A4 and A5. </w:t>
      </w:r>
      <w:r w:rsidR="00104385" w:rsidRPr="00C3292E">
        <w:t xml:space="preserve">Both categories are </w:t>
      </w:r>
      <w:r w:rsidR="5F75D024" w:rsidRPr="00C3292E">
        <w:t xml:space="preserve">amended to be </w:t>
      </w:r>
      <w:r w:rsidR="00B700C8" w:rsidRPr="00C3292E">
        <w:t>less prescriptive and</w:t>
      </w:r>
      <w:r w:rsidR="40F693C8" w:rsidRPr="00C3292E">
        <w:t xml:space="preserve"> to</w:t>
      </w:r>
      <w:r w:rsidR="00B700C8" w:rsidRPr="00C3292E">
        <w:t xml:space="preserve"> include</w:t>
      </w:r>
      <w:r w:rsidR="4828827D" w:rsidRPr="00C3292E">
        <w:t xml:space="preserve"> </w:t>
      </w:r>
      <w:r w:rsidR="00B700C8" w:rsidRPr="00C3292E">
        <w:t xml:space="preserve">intermediate </w:t>
      </w:r>
      <w:r w:rsidR="00C24B26" w:rsidRPr="00C3292E">
        <w:t xml:space="preserve">(A4) </w:t>
      </w:r>
      <w:r w:rsidR="00104385" w:rsidRPr="00C3292E">
        <w:t xml:space="preserve">and final </w:t>
      </w:r>
      <w:r w:rsidR="00C24B26" w:rsidRPr="00C3292E">
        <w:t xml:space="preserve">(A5) </w:t>
      </w:r>
      <w:r w:rsidR="00B700C8" w:rsidRPr="00C3292E">
        <w:t xml:space="preserve">cover types </w:t>
      </w:r>
      <w:r w:rsidR="5DD9FFC3" w:rsidRPr="00C3292E">
        <w:t>that are consistent with relevant</w:t>
      </w:r>
      <w:r w:rsidR="006B42A5" w:rsidRPr="00C3292E">
        <w:t xml:space="preserve"> State or Territory</w:t>
      </w:r>
      <w:r w:rsidR="41A69072" w:rsidRPr="00C3292E">
        <w:t xml:space="preserve"> guidelines</w:t>
      </w:r>
      <w:r w:rsidR="006B42A5" w:rsidRPr="00C3292E">
        <w:t>.</w:t>
      </w:r>
      <w:r w:rsidR="1276D48C" w:rsidRPr="00C3292E">
        <w:t xml:space="preserve"> C</w:t>
      </w:r>
      <w:r w:rsidR="006B42A5" w:rsidRPr="00C3292E">
        <w:t>ategory A5</w:t>
      </w:r>
      <w:r w:rsidR="3EC3825E" w:rsidRPr="00C3292E">
        <w:t xml:space="preserve"> is amended</w:t>
      </w:r>
      <w:r w:rsidR="003A021F" w:rsidRPr="00C3292E">
        <w:t xml:space="preserve"> to explicitly exclude phytocaps, reflecting the current lack of academic literature on landfill gas capture efficiencies demonstrated by phytocaps in Australia.</w:t>
      </w:r>
      <w:r w:rsidR="0043013F" w:rsidRPr="00C3292E">
        <w:t xml:space="preserve">  </w:t>
      </w:r>
    </w:p>
    <w:p w14:paraId="52600B0D" w14:textId="0F687E15" w:rsidR="00821A17" w:rsidRPr="00C3292E" w:rsidRDefault="00F61943" w:rsidP="00CA2411">
      <w:pPr>
        <w:spacing w:before="0"/>
      </w:pPr>
      <w:r w:rsidRPr="00C3292E">
        <w:t>Under current subsection 5.15C(2)</w:t>
      </w:r>
      <w:r w:rsidR="0012382D" w:rsidRPr="00C3292E">
        <w:t xml:space="preserve"> </w:t>
      </w:r>
      <w:r w:rsidR="008D10E0" w:rsidRPr="00C3292E">
        <w:t>a default</w:t>
      </w:r>
      <w:r w:rsidR="0024062A" w:rsidRPr="00C3292E">
        <w:t xml:space="preserve"> collection efficiency</w:t>
      </w:r>
      <w:r w:rsidR="008D10E0" w:rsidRPr="00C3292E">
        <w:t xml:space="preserve"> of 75% is imposed </w:t>
      </w:r>
      <w:r w:rsidR="00992FEB" w:rsidRPr="00C3292E">
        <w:t xml:space="preserve">when a landfill operator is unable to specify the areas for the factors A2, A3, A4 and A5 in subsection 5.15C(1). </w:t>
      </w:r>
      <w:r w:rsidRPr="00C3292E">
        <w:t xml:space="preserve">Item </w:t>
      </w:r>
      <w:r w:rsidR="00935938" w:rsidRPr="00C3292E">
        <w:t>1</w:t>
      </w:r>
      <w:r w:rsidR="008461A6" w:rsidRPr="00C3292E">
        <w:t>6</w:t>
      </w:r>
      <w:r w:rsidRPr="00C3292E">
        <w:t xml:space="preserve"> amends </w:t>
      </w:r>
      <w:r w:rsidR="000173B0" w:rsidRPr="00C3292E">
        <w:t>this</w:t>
      </w:r>
      <w:r w:rsidR="0012382D" w:rsidRPr="00C3292E">
        <w:t xml:space="preserve"> default value to 60%</w:t>
      </w:r>
      <w:r w:rsidR="000C6A8F" w:rsidRPr="00C3292E">
        <w:t xml:space="preserve"> </w:t>
      </w:r>
      <w:r w:rsidR="003F3481" w:rsidRPr="00C3292E">
        <w:t>to better align with</w:t>
      </w:r>
      <w:r w:rsidR="00926BC0" w:rsidRPr="00C3292E">
        <w:t xml:space="preserve"> 5.15C(1) as amended</w:t>
      </w:r>
      <w:r w:rsidR="00516D5C" w:rsidRPr="00C3292E">
        <w:t>.</w:t>
      </w:r>
    </w:p>
    <w:p w14:paraId="3D1773B9" w14:textId="21F6A5D0" w:rsidR="005570A0" w:rsidRPr="00C3292E" w:rsidRDefault="005570A0" w:rsidP="00CA2411">
      <w:pPr>
        <w:spacing w:before="0"/>
      </w:pPr>
      <w:r w:rsidRPr="00C3292E">
        <w:t xml:space="preserve">Together, these items update </w:t>
      </w:r>
      <w:r w:rsidR="00C7622B" w:rsidRPr="00C3292E">
        <w:t xml:space="preserve">Methods 1 and 2 </w:t>
      </w:r>
      <w:r w:rsidR="00B002CC" w:rsidRPr="00C3292E">
        <w:t xml:space="preserve">for </w:t>
      </w:r>
      <w:r w:rsidR="00C7622B" w:rsidRPr="00C3292E">
        <w:t xml:space="preserve">estimating emissions of </w:t>
      </w:r>
      <w:r w:rsidR="00B002CC" w:rsidRPr="00C3292E">
        <w:t xml:space="preserve">methane </w:t>
      </w:r>
      <w:r w:rsidR="00C7622B" w:rsidRPr="00C3292E">
        <w:t xml:space="preserve">from landfills </w:t>
      </w:r>
      <w:r w:rsidR="00B002CC" w:rsidRPr="00C3292E">
        <w:t>to better reflect modern industry practice and environmental regulation.</w:t>
      </w:r>
    </w:p>
    <w:p w14:paraId="253ADC13" w14:textId="2979B0E0" w:rsidR="00F63C71" w:rsidRPr="00C3292E" w:rsidRDefault="00D76499" w:rsidP="00CA2411">
      <w:pPr>
        <w:spacing w:before="0"/>
        <w:rPr>
          <w:u w:val="single"/>
        </w:rPr>
      </w:pPr>
      <w:r w:rsidRPr="00C3292E">
        <w:rPr>
          <w:u w:val="single"/>
        </w:rPr>
        <w:t xml:space="preserve">Renewable diesel and renewable </w:t>
      </w:r>
      <w:r w:rsidR="00EA4AAF" w:rsidRPr="00C3292E">
        <w:rPr>
          <w:u w:val="single"/>
        </w:rPr>
        <w:t xml:space="preserve">aviation </w:t>
      </w:r>
      <w:r w:rsidRPr="00C3292E">
        <w:rPr>
          <w:u w:val="single"/>
        </w:rPr>
        <w:t>kerosene</w:t>
      </w:r>
    </w:p>
    <w:p w14:paraId="733C4BD4" w14:textId="2A7B72B4" w:rsidR="00ED1F03" w:rsidRDefault="00721692" w:rsidP="00CA2411">
      <w:pPr>
        <w:spacing w:before="0"/>
        <w:rPr>
          <w:szCs w:val="24"/>
        </w:rPr>
      </w:pPr>
      <w:r w:rsidRPr="00C3292E">
        <w:rPr>
          <w:szCs w:val="24"/>
        </w:rPr>
        <w:t>T</w:t>
      </w:r>
      <w:r w:rsidR="00237C69" w:rsidRPr="00C3292E">
        <w:rPr>
          <w:szCs w:val="24"/>
        </w:rPr>
        <w:t xml:space="preserve">he Update Determination </w:t>
      </w:r>
      <w:r w:rsidRPr="00C3292E">
        <w:rPr>
          <w:szCs w:val="24"/>
        </w:rPr>
        <w:t>prescribes technical parameters</w:t>
      </w:r>
      <w:r>
        <w:rPr>
          <w:szCs w:val="24"/>
        </w:rPr>
        <w:t xml:space="preserve"> to be used </w:t>
      </w:r>
      <w:r w:rsidR="004A700A">
        <w:rPr>
          <w:szCs w:val="24"/>
        </w:rPr>
        <w:t xml:space="preserve">for reporting emissions and energy information in relation to </w:t>
      </w:r>
      <w:r w:rsidR="00081877">
        <w:rPr>
          <w:szCs w:val="24"/>
        </w:rPr>
        <w:t xml:space="preserve">two new biofuels within the NGER Scheme: </w:t>
      </w:r>
      <w:r w:rsidR="00081877" w:rsidRPr="003359B9">
        <w:rPr>
          <w:i/>
          <w:iCs/>
          <w:szCs w:val="24"/>
        </w:rPr>
        <w:t>renewable diesel</w:t>
      </w:r>
      <w:r w:rsidR="00081877">
        <w:rPr>
          <w:szCs w:val="24"/>
        </w:rPr>
        <w:t xml:space="preserve"> and </w:t>
      </w:r>
      <w:r w:rsidR="00081877" w:rsidRPr="003359B9">
        <w:rPr>
          <w:i/>
          <w:iCs/>
          <w:szCs w:val="24"/>
        </w:rPr>
        <w:t>renewable aviation kerosene</w:t>
      </w:r>
      <w:r w:rsidR="008D0F5C">
        <w:rPr>
          <w:szCs w:val="24"/>
        </w:rPr>
        <w:t>.</w:t>
      </w:r>
      <w:r w:rsidR="00237097">
        <w:rPr>
          <w:szCs w:val="24"/>
        </w:rPr>
        <w:t xml:space="preserve"> </w:t>
      </w:r>
    </w:p>
    <w:p w14:paraId="74CF9C15" w14:textId="5CA64F47" w:rsidR="004F3D3D" w:rsidRDefault="008D0F5C" w:rsidP="00CA2411">
      <w:pPr>
        <w:spacing w:before="0"/>
        <w:rPr>
          <w:szCs w:val="24"/>
        </w:rPr>
      </w:pPr>
      <w:r>
        <w:rPr>
          <w:szCs w:val="24"/>
        </w:rPr>
        <w:t xml:space="preserve">These fuels are </w:t>
      </w:r>
      <w:r w:rsidR="00237097">
        <w:rPr>
          <w:szCs w:val="24"/>
        </w:rPr>
        <w:t xml:space="preserve">defined by </w:t>
      </w:r>
      <w:r>
        <w:rPr>
          <w:szCs w:val="24"/>
        </w:rPr>
        <w:t xml:space="preserve">associated </w:t>
      </w:r>
      <w:r w:rsidR="00237097">
        <w:rPr>
          <w:szCs w:val="24"/>
        </w:rPr>
        <w:t>amendments to the NGER Regulations</w:t>
      </w:r>
      <w:r>
        <w:rPr>
          <w:szCs w:val="24"/>
        </w:rPr>
        <w:t>.</w:t>
      </w:r>
      <w:r w:rsidR="00081877">
        <w:rPr>
          <w:szCs w:val="24"/>
        </w:rPr>
        <w:t xml:space="preserve"> </w:t>
      </w:r>
    </w:p>
    <w:p w14:paraId="1AEFDDA5" w14:textId="2EF480DD" w:rsidR="007E5136" w:rsidRDefault="00C06469" w:rsidP="00CA2411">
      <w:pPr>
        <w:spacing w:before="0"/>
        <w:rPr>
          <w:szCs w:val="24"/>
        </w:rPr>
      </w:pPr>
      <w:r>
        <w:rPr>
          <w:szCs w:val="24"/>
        </w:rPr>
        <w:t>A</w:t>
      </w:r>
      <w:r w:rsidR="001F6C2F">
        <w:rPr>
          <w:szCs w:val="24"/>
        </w:rPr>
        <w:t xml:space="preserve"> </w:t>
      </w:r>
      <w:proofErr w:type="gramStart"/>
      <w:r w:rsidR="001F6C2F">
        <w:rPr>
          <w:szCs w:val="24"/>
        </w:rPr>
        <w:t>zero carbon</w:t>
      </w:r>
      <w:proofErr w:type="gramEnd"/>
      <w:r w:rsidR="001F6C2F">
        <w:rPr>
          <w:szCs w:val="24"/>
        </w:rPr>
        <w:t xml:space="preserve"> dioxide emission factor </w:t>
      </w:r>
      <w:r>
        <w:rPr>
          <w:szCs w:val="24"/>
        </w:rPr>
        <w:t xml:space="preserve">is assigned to the combustion of these fuels, </w:t>
      </w:r>
      <w:r w:rsidR="001F6C2F">
        <w:rPr>
          <w:szCs w:val="24"/>
        </w:rPr>
        <w:t>c</w:t>
      </w:r>
      <w:r w:rsidR="00ED1F03">
        <w:rPr>
          <w:szCs w:val="24"/>
        </w:rPr>
        <w:t xml:space="preserve">onsistent with existing treatment of </w:t>
      </w:r>
      <w:r>
        <w:rPr>
          <w:szCs w:val="24"/>
        </w:rPr>
        <w:t xml:space="preserve">other </w:t>
      </w:r>
      <w:r w:rsidR="00ED1F03">
        <w:rPr>
          <w:szCs w:val="24"/>
        </w:rPr>
        <w:t>biogenic fuels</w:t>
      </w:r>
      <w:r w:rsidR="001F6C2F">
        <w:rPr>
          <w:szCs w:val="24"/>
        </w:rPr>
        <w:t xml:space="preserve"> under </w:t>
      </w:r>
      <w:r w:rsidR="007F098D">
        <w:rPr>
          <w:szCs w:val="24"/>
        </w:rPr>
        <w:t xml:space="preserve">the </w:t>
      </w:r>
      <w:r w:rsidR="001F6C2F">
        <w:rPr>
          <w:szCs w:val="24"/>
        </w:rPr>
        <w:t>NGER</w:t>
      </w:r>
      <w:r w:rsidR="007F098D">
        <w:rPr>
          <w:szCs w:val="24"/>
        </w:rPr>
        <w:t xml:space="preserve"> Scheme</w:t>
      </w:r>
      <w:r w:rsidR="001F6C2F" w:rsidRPr="00664F2E">
        <w:rPr>
          <w:szCs w:val="24"/>
        </w:rPr>
        <w:t xml:space="preserve">. Methane </w:t>
      </w:r>
      <w:r w:rsidRPr="00664F2E">
        <w:rPr>
          <w:szCs w:val="24"/>
        </w:rPr>
        <w:t xml:space="preserve">and nitrous oxide emission factors </w:t>
      </w:r>
      <w:r w:rsidR="007143B8" w:rsidRPr="00664F2E">
        <w:rPr>
          <w:szCs w:val="24"/>
        </w:rPr>
        <w:t xml:space="preserve">and the energy contents </w:t>
      </w:r>
      <w:r w:rsidR="00DB4F43" w:rsidRPr="00664F2E">
        <w:rPr>
          <w:szCs w:val="24"/>
        </w:rPr>
        <w:t>for these fuels are the same as those specified for their fossil equivalents</w:t>
      </w:r>
      <w:r w:rsidR="00A013ED" w:rsidRPr="00664F2E">
        <w:rPr>
          <w:szCs w:val="24"/>
        </w:rPr>
        <w:t xml:space="preserve"> </w:t>
      </w:r>
      <w:r w:rsidR="00A013ED" w:rsidRPr="00664F2E">
        <w:t>(</w:t>
      </w:r>
      <w:r w:rsidR="00A013ED" w:rsidRPr="00664F2E">
        <w:rPr>
          <w:i/>
          <w:iCs/>
        </w:rPr>
        <w:t>diesel oil</w:t>
      </w:r>
      <w:r w:rsidR="00A013ED" w:rsidRPr="00664F2E">
        <w:t xml:space="preserve"> and </w:t>
      </w:r>
      <w:r w:rsidR="00A013ED" w:rsidRPr="00664F2E">
        <w:rPr>
          <w:i/>
          <w:iCs/>
        </w:rPr>
        <w:t>kerosene for use as fuel in an aircraft</w:t>
      </w:r>
      <w:r w:rsidR="00A013ED" w:rsidRPr="00664F2E">
        <w:t>)</w:t>
      </w:r>
      <w:r w:rsidR="00DB4F43" w:rsidRPr="00664F2E">
        <w:rPr>
          <w:szCs w:val="24"/>
        </w:rPr>
        <w:t>.</w:t>
      </w:r>
      <w:r w:rsidR="00DB4F43">
        <w:rPr>
          <w:szCs w:val="24"/>
        </w:rPr>
        <w:t xml:space="preserve"> </w:t>
      </w:r>
    </w:p>
    <w:p w14:paraId="12CC349F" w14:textId="33136711" w:rsidR="004F3D3D" w:rsidRPr="002B2B21" w:rsidRDefault="004F3D3D" w:rsidP="00C3292E">
      <w:pPr>
        <w:keepNext/>
        <w:spacing w:before="0"/>
        <w:rPr>
          <w:b/>
        </w:rPr>
      </w:pPr>
      <w:r>
        <w:rPr>
          <w:b/>
        </w:rPr>
        <w:lastRenderedPageBreak/>
        <w:t xml:space="preserve">Documents incorporated by </w:t>
      </w:r>
      <w:proofErr w:type="gramStart"/>
      <w:r>
        <w:rPr>
          <w:b/>
        </w:rPr>
        <w:t>reference</w:t>
      </w:r>
      <w:proofErr w:type="gramEnd"/>
    </w:p>
    <w:p w14:paraId="698B4B68" w14:textId="0FF12216" w:rsidR="00356CE9" w:rsidRPr="005933BE" w:rsidRDefault="00166494" w:rsidP="00CA2411">
      <w:pPr>
        <w:spacing w:before="0"/>
      </w:pPr>
      <w:r>
        <w:t xml:space="preserve">The Measurement Determination </w:t>
      </w:r>
      <w:r w:rsidR="007A3A1C">
        <w:t xml:space="preserve">specifies the use of </w:t>
      </w:r>
      <w:r w:rsidR="005D536B">
        <w:t xml:space="preserve">technical </w:t>
      </w:r>
      <w:r>
        <w:t>standards</w:t>
      </w:r>
      <w:r w:rsidR="00A025F4">
        <w:t xml:space="preserve"> in the measurement of emissions and energy</w:t>
      </w:r>
      <w:r>
        <w:t xml:space="preserve">. </w:t>
      </w:r>
      <w:r w:rsidR="0D97388A" w:rsidRPr="0C325E19">
        <w:rPr>
          <w:szCs w:val="24"/>
        </w:rPr>
        <w:t>The prescription</w:t>
      </w:r>
      <w:r w:rsidR="00AF7387" w:rsidRPr="0C325E19">
        <w:rPr>
          <w:szCs w:val="24"/>
        </w:rPr>
        <w:t xml:space="preserve"> of </w:t>
      </w:r>
      <w:r w:rsidR="0D97388A" w:rsidRPr="0C325E19">
        <w:rPr>
          <w:szCs w:val="24"/>
        </w:rPr>
        <w:t xml:space="preserve">commercial technical </w:t>
      </w:r>
      <w:r w:rsidR="00AF7387" w:rsidRPr="0C325E19">
        <w:rPr>
          <w:szCs w:val="24"/>
        </w:rPr>
        <w:t>standards</w:t>
      </w:r>
      <w:r w:rsidRPr="0C325E19">
        <w:rPr>
          <w:szCs w:val="24"/>
        </w:rPr>
        <w:t xml:space="preserve"> is </w:t>
      </w:r>
      <w:r w:rsidR="0D97388A" w:rsidRPr="0C325E19">
        <w:rPr>
          <w:szCs w:val="24"/>
        </w:rPr>
        <w:t xml:space="preserve">a </w:t>
      </w:r>
      <w:r w:rsidR="00AF7387" w:rsidRPr="0C325E19">
        <w:rPr>
          <w:szCs w:val="24"/>
        </w:rPr>
        <w:t xml:space="preserve">necessary </w:t>
      </w:r>
      <w:r w:rsidR="0D97388A" w:rsidRPr="0C325E19">
        <w:rPr>
          <w:szCs w:val="24"/>
        </w:rPr>
        <w:t>part of technical regulatory regimes such as</w:t>
      </w:r>
      <w:r w:rsidR="007A3A1C" w:rsidRPr="0C325E19">
        <w:rPr>
          <w:szCs w:val="24"/>
        </w:rPr>
        <w:t xml:space="preserve"> </w:t>
      </w:r>
      <w:r w:rsidRPr="0C325E19">
        <w:rPr>
          <w:szCs w:val="24"/>
        </w:rPr>
        <w:t xml:space="preserve">the </w:t>
      </w:r>
      <w:r w:rsidR="0D97388A" w:rsidRPr="0C325E19">
        <w:rPr>
          <w:szCs w:val="24"/>
        </w:rPr>
        <w:t xml:space="preserve">NGER Scheme </w:t>
      </w:r>
      <w:proofErr w:type="gramStart"/>
      <w:r w:rsidR="0D97388A" w:rsidRPr="0C325E19">
        <w:rPr>
          <w:szCs w:val="24"/>
        </w:rPr>
        <w:t>in order to</w:t>
      </w:r>
      <w:proofErr w:type="gramEnd"/>
      <w:r w:rsidR="0D97388A" w:rsidRPr="0C325E19">
        <w:rPr>
          <w:szCs w:val="24"/>
        </w:rPr>
        <w:t xml:space="preserve"> achieve accurate</w:t>
      </w:r>
      <w:r w:rsidRPr="0C325E19">
        <w:rPr>
          <w:szCs w:val="24"/>
        </w:rPr>
        <w:t xml:space="preserve"> and </w:t>
      </w:r>
      <w:r w:rsidR="0D97388A" w:rsidRPr="0C325E19">
        <w:rPr>
          <w:szCs w:val="24"/>
        </w:rPr>
        <w:t>consistent measurement by regulated entities.</w:t>
      </w:r>
      <w:r>
        <w:t xml:space="preserve"> Reporters meeting </w:t>
      </w:r>
      <w:r w:rsidR="005F5F05">
        <w:t xml:space="preserve">NGER reporting </w:t>
      </w:r>
      <w:r>
        <w:t xml:space="preserve">thresholds </w:t>
      </w:r>
      <w:r w:rsidR="005F5F05">
        <w:t xml:space="preserve">(specified by section 13 of the NGER Act) </w:t>
      </w:r>
      <w:r>
        <w:t xml:space="preserve">are corporate entities who regularly use such standards in their commercial activities and for other regulatory purposes. Such standards are incorporated consistently with section 14 of the </w:t>
      </w:r>
      <w:r w:rsidRPr="005933BE">
        <w:rPr>
          <w:i/>
        </w:rPr>
        <w:t>Legislation Act 2003</w:t>
      </w:r>
      <w:r w:rsidR="007E41D7">
        <w:t>. S</w:t>
      </w:r>
      <w:r w:rsidR="00356CE9">
        <w:t xml:space="preserve">ubsection 1.9(4) of the Measurement Determination sets out a general rule that such documents are those in force on 1 January 2020. </w:t>
      </w:r>
    </w:p>
    <w:p w14:paraId="4624FCB9" w14:textId="1F18536F" w:rsidR="00356CE9" w:rsidRPr="005933BE" w:rsidRDefault="00356CE9" w:rsidP="00CA2411">
      <w:pPr>
        <w:spacing w:before="0"/>
      </w:pPr>
      <w:r w:rsidRPr="005933BE">
        <w:t xml:space="preserve">The Measurement Determination </w:t>
      </w:r>
      <w:r w:rsidR="007E41D7">
        <w:t xml:space="preserve">allows </w:t>
      </w:r>
      <w:r w:rsidRPr="005933BE">
        <w:t>flexibility in the application of some standards. For example</w:t>
      </w:r>
      <w:r w:rsidR="0044607E">
        <w:t>, sections</w:t>
      </w:r>
      <w:r w:rsidRPr="005933BE">
        <w:t xml:space="preserve"> 2.12, 2.24 and 2.26 allow </w:t>
      </w:r>
      <w:r w:rsidR="0044607E">
        <w:t xml:space="preserve">the use of standards which are </w:t>
      </w:r>
      <w:r w:rsidRPr="005933BE">
        <w:t xml:space="preserve">equivalent </w:t>
      </w:r>
      <w:r w:rsidR="0044607E">
        <w:t xml:space="preserve">to those specified </w:t>
      </w:r>
      <w:r w:rsidRPr="005933BE">
        <w:t xml:space="preserve">to be used by reporters where this suits their needs. </w:t>
      </w:r>
    </w:p>
    <w:p w14:paraId="26C2ACD2" w14:textId="09011EA8" w:rsidR="00E004F3" w:rsidRDefault="009B7E66" w:rsidP="00C3292E">
      <w:pPr>
        <w:spacing w:after="240"/>
      </w:pPr>
      <w:r>
        <w:t xml:space="preserve">Items </w:t>
      </w:r>
      <w:r w:rsidR="006A2E2E">
        <w:t>4 and 6</w:t>
      </w:r>
      <w:r>
        <w:t xml:space="preserve"> of the Update Determination </w:t>
      </w:r>
      <w:r w:rsidR="00DC6943">
        <w:t xml:space="preserve">prescribe standards for the sampling and analysis of the new </w:t>
      </w:r>
      <w:proofErr w:type="gramStart"/>
      <w:r w:rsidR="008E687B">
        <w:t>fuel</w:t>
      </w:r>
      <w:r w:rsidR="00DC6943">
        <w:t>s</w:t>
      </w:r>
      <w:proofErr w:type="gramEnd"/>
      <w:r w:rsidR="00DC6943">
        <w:t xml:space="preserve"> </w:t>
      </w:r>
      <w:r w:rsidR="00DC6943" w:rsidRPr="005A7835">
        <w:rPr>
          <w:i/>
          <w:iCs/>
        </w:rPr>
        <w:t>renewable diesel</w:t>
      </w:r>
      <w:r w:rsidR="00DC6943">
        <w:t xml:space="preserve"> and </w:t>
      </w:r>
      <w:r w:rsidR="00DC6943" w:rsidRPr="005A7835">
        <w:rPr>
          <w:i/>
          <w:iCs/>
        </w:rPr>
        <w:t>renewable aviation kerosene</w:t>
      </w:r>
      <w:r w:rsidR="00DC6943">
        <w:t xml:space="preserve">. </w:t>
      </w:r>
      <w:r w:rsidR="005A7835" w:rsidRPr="006F4AE2">
        <w:t xml:space="preserve">Standards prescribed </w:t>
      </w:r>
      <w:r w:rsidR="008C66A1" w:rsidRPr="006F4AE2">
        <w:t>for these fuel</w:t>
      </w:r>
      <w:r w:rsidR="00DD1EE9" w:rsidRPr="006F4AE2">
        <w:t>s</w:t>
      </w:r>
      <w:r w:rsidR="008C66A1" w:rsidRPr="006F4AE2">
        <w:t xml:space="preserve"> </w:t>
      </w:r>
      <w:r w:rsidR="005A7835" w:rsidRPr="006F4AE2">
        <w:t xml:space="preserve">are the same </w:t>
      </w:r>
      <w:r w:rsidR="008C66A1" w:rsidRPr="006F4AE2">
        <w:t xml:space="preserve">as those standards already prescribed </w:t>
      </w:r>
      <w:r w:rsidR="007819E5">
        <w:t xml:space="preserve">under the Measurement Determination </w:t>
      </w:r>
      <w:r w:rsidR="008C66A1" w:rsidRPr="006F4AE2">
        <w:t>in relation of their fossil equivalents</w:t>
      </w:r>
      <w:r w:rsidR="00093083" w:rsidRPr="006F4AE2">
        <w:t xml:space="preserve"> (</w:t>
      </w:r>
      <w:r w:rsidR="00093083" w:rsidRPr="006F4AE2">
        <w:rPr>
          <w:i/>
          <w:iCs/>
        </w:rPr>
        <w:t>diesel oil</w:t>
      </w:r>
      <w:r w:rsidR="00093083" w:rsidRPr="006F4AE2">
        <w:t xml:space="preserve"> and </w:t>
      </w:r>
      <w:r w:rsidR="00310237" w:rsidRPr="006F4AE2">
        <w:rPr>
          <w:i/>
          <w:iCs/>
        </w:rPr>
        <w:t xml:space="preserve">kerosene for use as </w:t>
      </w:r>
      <w:r w:rsidR="005D3277" w:rsidRPr="006F4AE2">
        <w:rPr>
          <w:i/>
          <w:iCs/>
        </w:rPr>
        <w:t>fuel in an aircraft</w:t>
      </w:r>
      <w:r w:rsidR="005D3277" w:rsidRPr="006F4AE2">
        <w:t>).</w:t>
      </w:r>
      <w:bookmarkEnd w:id="0"/>
      <w:bookmarkEnd w:id="1"/>
      <w:r w:rsidR="00DA38E8">
        <w:t xml:space="preserve"> </w:t>
      </w:r>
    </w:p>
    <w:p w14:paraId="0140B4F4" w14:textId="29528698" w:rsidR="00E004F3" w:rsidRDefault="00E004F3" w:rsidP="00CA2411">
      <w:pPr>
        <w:spacing w:before="0"/>
      </w:pPr>
      <w:r>
        <w:t xml:space="preserve">Section 1.9 of the Measurement Determination includes definitions of relevant </w:t>
      </w:r>
      <w:r w:rsidR="002C4594">
        <w:t xml:space="preserve">categories of </w:t>
      </w:r>
      <w:r>
        <w:t xml:space="preserve">standards </w:t>
      </w:r>
      <w:r w:rsidR="00175AD3">
        <w:t xml:space="preserve">referenced </w:t>
      </w:r>
      <w:r>
        <w:t>in the Measurement Determination. These definitions</w:t>
      </w:r>
      <w:r w:rsidR="00175AD3">
        <w:t>,</w:t>
      </w:r>
      <w:r>
        <w:t xml:space="preserve"> and relevant websites to obtain access to the standards</w:t>
      </w:r>
      <w:r w:rsidR="00175AD3">
        <w:t>,</w:t>
      </w:r>
      <w:r>
        <w:t xml:space="preserve"> are as follows:</w:t>
      </w:r>
    </w:p>
    <w:p w14:paraId="65FACBFB" w14:textId="49B9CE92" w:rsidR="00E004F3" w:rsidRDefault="00E004F3" w:rsidP="00146C71">
      <w:pPr>
        <w:pStyle w:val="definition"/>
        <w:shd w:val="clear" w:color="auto" w:fill="FFFFFF"/>
        <w:spacing w:before="180" w:beforeAutospacing="0" w:after="120" w:afterAutospacing="0"/>
        <w:ind w:left="720"/>
        <w:rPr>
          <w:rFonts w:ascii="Times New Roman" w:hAnsi="Times New Roman" w:cs="Times New Roman"/>
          <w:color w:val="000000"/>
        </w:rPr>
      </w:pPr>
      <w:r>
        <w:rPr>
          <w:rFonts w:ascii="Times New Roman" w:hAnsi="Times New Roman" w:cs="Times New Roman"/>
          <w:b/>
          <w:bCs/>
          <w:i/>
          <w:iCs/>
          <w:color w:val="000000"/>
        </w:rPr>
        <w:t>ASTM </w:t>
      </w:r>
      <w:r>
        <w:rPr>
          <w:rFonts w:ascii="Times New Roman" w:hAnsi="Times New Roman" w:cs="Times New Roman"/>
          <w:color w:val="000000"/>
        </w:rPr>
        <w:t>followed by a number (for example, ASTM D6347/D6347M</w:t>
      </w:r>
      <w:r>
        <w:rPr>
          <w:rFonts w:ascii="Times New Roman" w:hAnsi="Times New Roman" w:cs="Times New Roman"/>
          <w:color w:val="000000"/>
        </w:rPr>
        <w:noBreakHyphen/>
        <w:t xml:space="preserve">99) means a standard of that number issued by ASTM International and, if a date is included, of that date. Their website is: </w:t>
      </w:r>
      <w:r w:rsidRPr="00E004F3">
        <w:rPr>
          <w:rFonts w:ascii="Times New Roman" w:hAnsi="Times New Roman" w:cs="Times New Roman"/>
          <w:color w:val="000000"/>
        </w:rPr>
        <w:t>https://www.astm.org/</w:t>
      </w:r>
    </w:p>
    <w:p w14:paraId="61705A49" w14:textId="20ED270F" w:rsidR="00E004F3" w:rsidRDefault="00E004F3" w:rsidP="00146C71">
      <w:pPr>
        <w:pStyle w:val="definition"/>
        <w:shd w:val="clear" w:color="auto" w:fill="FFFFFF"/>
        <w:spacing w:before="180" w:beforeAutospacing="0" w:after="120" w:afterAutospacing="0"/>
        <w:ind w:left="720"/>
        <w:rPr>
          <w:rFonts w:ascii="Times New Roman" w:hAnsi="Times New Roman" w:cs="Times New Roman"/>
          <w:color w:val="000000"/>
        </w:rPr>
      </w:pPr>
      <w:r>
        <w:rPr>
          <w:rFonts w:ascii="Times New Roman" w:hAnsi="Times New Roman" w:cs="Times New Roman"/>
          <w:b/>
          <w:bCs/>
          <w:i/>
          <w:iCs/>
          <w:color w:val="000000"/>
          <w:shd w:val="clear" w:color="auto" w:fill="FFFFFF"/>
        </w:rPr>
        <w:t>CEN/TS </w:t>
      </w:r>
      <w:r>
        <w:rPr>
          <w:rFonts w:ascii="Times New Roman" w:hAnsi="Times New Roman" w:cs="Times New Roman"/>
          <w:color w:val="000000"/>
          <w:shd w:val="clear" w:color="auto" w:fill="FFFFFF"/>
        </w:rPr>
        <w:t xml:space="preserve">followed by a number (for example, CEN/TS 15403) means a technical specification (TS) of that number issued by the European Committee for Standardization and, if a date is included, of that date. </w:t>
      </w:r>
      <w:r>
        <w:rPr>
          <w:rFonts w:ascii="Times New Roman" w:hAnsi="Times New Roman" w:cs="Times New Roman"/>
          <w:color w:val="000000"/>
        </w:rPr>
        <w:t>Their website is</w:t>
      </w:r>
      <w:r>
        <w:rPr>
          <w:rFonts w:ascii="Times New Roman" w:hAnsi="Times New Roman" w:cs="Times New Roman"/>
          <w:color w:val="000000"/>
          <w:shd w:val="clear" w:color="auto" w:fill="FFFFFF"/>
        </w:rPr>
        <w:t xml:space="preserve">: </w:t>
      </w:r>
      <w:r w:rsidRPr="00E004F3">
        <w:rPr>
          <w:rFonts w:ascii="Times New Roman" w:hAnsi="Times New Roman" w:cs="Times New Roman"/>
          <w:color w:val="000000"/>
          <w:shd w:val="clear" w:color="auto" w:fill="FFFFFF"/>
        </w:rPr>
        <w:t>https://www.cencenelec.eu/</w:t>
      </w:r>
    </w:p>
    <w:p w14:paraId="2E449742" w14:textId="41A1A34B" w:rsidR="00E004F3" w:rsidRDefault="00E004F3" w:rsidP="00146C71">
      <w:pPr>
        <w:pStyle w:val="definition"/>
        <w:shd w:val="clear" w:color="auto" w:fill="FFFFFF"/>
        <w:spacing w:before="180" w:beforeAutospacing="0" w:after="120" w:afterAutospacing="0"/>
        <w:ind w:left="720"/>
        <w:rPr>
          <w:rFonts w:ascii="Times New Roman" w:hAnsi="Times New Roman" w:cs="Times New Roman"/>
          <w:color w:val="000000"/>
        </w:rPr>
      </w:pPr>
      <w:r>
        <w:rPr>
          <w:rFonts w:ascii="Times New Roman" w:hAnsi="Times New Roman" w:cs="Times New Roman"/>
          <w:b/>
          <w:bCs/>
          <w:i/>
          <w:iCs/>
          <w:color w:val="000000"/>
          <w:shd w:val="clear" w:color="auto" w:fill="FFFFFF"/>
        </w:rPr>
        <w:t>GPA </w:t>
      </w:r>
      <w:r>
        <w:rPr>
          <w:rFonts w:ascii="Times New Roman" w:hAnsi="Times New Roman" w:cs="Times New Roman"/>
          <w:color w:val="000000"/>
          <w:shd w:val="clear" w:color="auto" w:fill="FFFFFF"/>
        </w:rPr>
        <w:t xml:space="preserve">followed by a number means a standard of that number issued by the Gas Processors Association and, if a date is included, of that date. Their standards can be obtained from: </w:t>
      </w:r>
      <w:proofErr w:type="gramStart"/>
      <w:r w:rsidRPr="00E004F3">
        <w:rPr>
          <w:rFonts w:ascii="Times New Roman" w:hAnsi="Times New Roman" w:cs="Times New Roman"/>
          <w:color w:val="000000"/>
          <w:shd w:val="clear" w:color="auto" w:fill="FFFFFF"/>
        </w:rPr>
        <w:t>https://ihsmarkit.com/products/gpa-standards.html</w:t>
      </w:r>
      <w:proofErr w:type="gramEnd"/>
    </w:p>
    <w:p w14:paraId="6BCF3BF1" w14:textId="1CEEF0CC" w:rsidR="00AB32E4" w:rsidRPr="00664F2E" w:rsidRDefault="00E004F3" w:rsidP="00146C71">
      <w:pPr>
        <w:pStyle w:val="definition"/>
        <w:shd w:val="clear" w:color="auto" w:fill="FFFFFF"/>
        <w:spacing w:before="180" w:beforeAutospacing="0" w:after="120" w:afterAutospacing="0"/>
        <w:ind w:left="720"/>
        <w:rPr>
          <w:rFonts w:ascii="Times New Roman" w:hAnsi="Times New Roman" w:cs="Times New Roman"/>
          <w:color w:val="000000"/>
        </w:rPr>
      </w:pPr>
      <w:r>
        <w:rPr>
          <w:rFonts w:ascii="Times New Roman" w:hAnsi="Times New Roman" w:cs="Times New Roman"/>
          <w:b/>
          <w:bCs/>
          <w:i/>
          <w:iCs/>
          <w:color w:val="000000"/>
          <w:shd w:val="clear" w:color="auto" w:fill="FFFFFF"/>
        </w:rPr>
        <w:t>ISO </w:t>
      </w:r>
      <w:r>
        <w:rPr>
          <w:rFonts w:ascii="Times New Roman" w:hAnsi="Times New Roman" w:cs="Times New Roman"/>
          <w:color w:val="000000"/>
          <w:shd w:val="clear" w:color="auto" w:fill="FFFFFF"/>
        </w:rPr>
        <w:t xml:space="preserve">followed by a number (for example, ISO 10396:2007) means a standard of that number issued by the International Organization of Standardization and, if a date is included, of that date. </w:t>
      </w:r>
      <w:r>
        <w:rPr>
          <w:rFonts w:ascii="Times New Roman" w:hAnsi="Times New Roman" w:cs="Times New Roman"/>
          <w:color w:val="000000"/>
        </w:rPr>
        <w:t>Their website is</w:t>
      </w:r>
      <w:r>
        <w:rPr>
          <w:rFonts w:ascii="Times New Roman" w:hAnsi="Times New Roman" w:cs="Times New Roman"/>
          <w:color w:val="000000"/>
          <w:shd w:val="clear" w:color="auto" w:fill="FFFFFF"/>
        </w:rPr>
        <w:t xml:space="preserve">: </w:t>
      </w:r>
      <w:r w:rsidRPr="00E004F3">
        <w:rPr>
          <w:rFonts w:ascii="Times New Roman" w:hAnsi="Times New Roman" w:cs="Times New Roman"/>
          <w:color w:val="000000"/>
          <w:shd w:val="clear" w:color="auto" w:fill="FFFFFF"/>
        </w:rPr>
        <w:t>https://www.iso.org/</w:t>
      </w:r>
    </w:p>
    <w:p w14:paraId="77DEE318" w14:textId="52E1F464" w:rsidR="00AF14CD" w:rsidRDefault="00CC2A1B" w:rsidP="00CA2411">
      <w:pPr>
        <w:spacing w:before="0"/>
      </w:pPr>
      <w:r>
        <w:t xml:space="preserve">Standards are available for purchase through commercial </w:t>
      </w:r>
      <w:r w:rsidR="00AF57DA">
        <w:t>websites</w:t>
      </w:r>
      <w:r w:rsidR="00803736" w:rsidRPr="005933BE">
        <w:t xml:space="preserve"> such as </w:t>
      </w:r>
      <w:hyperlink r:id="rId14" w:history="1">
        <w:r w:rsidR="00803736" w:rsidRPr="00727C9D">
          <w:rPr>
            <w:rStyle w:val="Hyperlink"/>
          </w:rPr>
          <w:t>https://www.saiglobal.com/</w:t>
        </w:r>
      </w:hyperlink>
      <w:r w:rsidR="00DB0B40" w:rsidRPr="005933BE">
        <w:t xml:space="preserve"> or </w:t>
      </w:r>
      <w:hyperlink r:id="rId15" w:history="1">
        <w:r w:rsidR="00D93BD3" w:rsidRPr="005933BE">
          <w:rPr>
            <w:rStyle w:val="Hyperlink"/>
          </w:rPr>
          <w:t>https://webstore.ansi.org/</w:t>
        </w:r>
      </w:hyperlink>
      <w:r w:rsidR="00803736" w:rsidRPr="005933BE">
        <w:t xml:space="preserve">. </w:t>
      </w:r>
      <w:r w:rsidR="002C4594">
        <w:t>Some s</w:t>
      </w:r>
      <w:r w:rsidR="00AB32E4" w:rsidRPr="005933BE">
        <w:t>tandards are</w:t>
      </w:r>
      <w:r w:rsidR="00803736" w:rsidRPr="005933BE">
        <w:t xml:space="preserve"> </w:t>
      </w:r>
      <w:r w:rsidR="00AB32E4" w:rsidRPr="005933BE">
        <w:t>available through public libraries, such as the National Library of Australia.</w:t>
      </w:r>
      <w:r w:rsidR="008D0335">
        <w:t xml:space="preserve"> Interested persons may also enquire with the department to arrange a viewing of prescribed technical standards at the department’s offices in Canberra, by appointment.</w:t>
      </w:r>
    </w:p>
    <w:p w14:paraId="4BEFDA4E" w14:textId="03BAAB5B" w:rsidR="00EE6749" w:rsidRDefault="003E515C" w:rsidP="00CA2411">
      <w:pPr>
        <w:spacing w:before="0"/>
      </w:pPr>
      <w:r w:rsidRPr="0046799C">
        <w:t xml:space="preserve">Item </w:t>
      </w:r>
      <w:r w:rsidR="0046799C" w:rsidRPr="0046799C">
        <w:t>16</w:t>
      </w:r>
      <w:r>
        <w:t xml:space="preserve"> of the Update Determination </w:t>
      </w:r>
      <w:r w:rsidR="00571D5F">
        <w:t>incorporate</w:t>
      </w:r>
      <w:r w:rsidR="00D856B8">
        <w:t xml:space="preserve">s the document </w:t>
      </w:r>
      <w:r w:rsidR="00D856B8" w:rsidRPr="006A56D1">
        <w:rPr>
          <w:i/>
        </w:rPr>
        <w:t>Siting, design, operation and rehabilitation of landfills</w:t>
      </w:r>
      <w:r w:rsidR="00D856B8">
        <w:t xml:space="preserve"> (Publication 788.3), published by Environment Protection Authority Victoria, for use in determining types of </w:t>
      </w:r>
      <w:proofErr w:type="gramStart"/>
      <w:r w:rsidR="00D856B8">
        <w:t>landfill</w:t>
      </w:r>
      <w:proofErr w:type="gramEnd"/>
      <w:r w:rsidR="00D856B8">
        <w:t xml:space="preserve"> </w:t>
      </w:r>
      <w:r w:rsidR="00D856B8">
        <w:lastRenderedPageBreak/>
        <w:t>covers</w:t>
      </w:r>
      <w:r w:rsidR="003E7FD8">
        <w:t xml:space="preserve"> represented by the categories A4 and A5 in section 5.15C of the Measurement Determination.</w:t>
      </w:r>
      <w:r w:rsidR="00735CEC">
        <w:t xml:space="preserve"> At the time of the making of this instrument, </w:t>
      </w:r>
      <w:r w:rsidR="0099694F">
        <w:t xml:space="preserve">this document </w:t>
      </w:r>
      <w:r w:rsidR="00607B7F">
        <w:t>is freely available</w:t>
      </w:r>
      <w:r w:rsidR="00040B3B">
        <w:t xml:space="preserve"> via the website of the </w:t>
      </w:r>
      <w:r w:rsidR="0064033D">
        <w:t>Environment Pro</w:t>
      </w:r>
      <w:r w:rsidR="00EE6749">
        <w:t xml:space="preserve">tection Authority Victoria at the following link: </w:t>
      </w:r>
      <w:hyperlink r:id="rId16" w:history="1">
        <w:r w:rsidR="00EE6749" w:rsidRPr="00450779">
          <w:rPr>
            <w:rStyle w:val="Hyperlink"/>
          </w:rPr>
          <w:t>https://www.epa.vic.gov.au/about-epa/publications/788-3</w:t>
        </w:r>
      </w:hyperlink>
      <w:r w:rsidR="00EE6749">
        <w:t>.</w:t>
      </w:r>
    </w:p>
    <w:p w14:paraId="1123E99B" w14:textId="3E3D2CE3" w:rsidR="00B97380" w:rsidRPr="005933BE" w:rsidRDefault="00B97380" w:rsidP="00CA2411">
      <w:pPr>
        <w:spacing w:before="0"/>
      </w:pPr>
      <w:r w:rsidRPr="005933BE">
        <w:br w:type="page"/>
      </w:r>
    </w:p>
    <w:p w14:paraId="7FD19CE6" w14:textId="40E0F500" w:rsidR="002D0C0C" w:rsidRPr="001550FB" w:rsidRDefault="002D0C0C" w:rsidP="00773782">
      <w:pPr>
        <w:tabs>
          <w:tab w:val="right" w:pos="9072"/>
        </w:tabs>
        <w:spacing w:before="0" w:after="240"/>
        <w:ind w:right="91"/>
        <w:jc w:val="right"/>
        <w:rPr>
          <w:b/>
          <w:u w:val="single"/>
        </w:rPr>
      </w:pPr>
      <w:r w:rsidRPr="001550FB">
        <w:rPr>
          <w:b/>
          <w:u w:val="single"/>
        </w:rPr>
        <w:lastRenderedPageBreak/>
        <w:t>ATTACHMENT</w:t>
      </w:r>
      <w:r w:rsidR="00534C53">
        <w:rPr>
          <w:b/>
          <w:u w:val="single"/>
        </w:rPr>
        <w:t xml:space="preserve"> A</w:t>
      </w:r>
    </w:p>
    <w:p w14:paraId="66ECED51" w14:textId="6A87289A" w:rsidR="00024882" w:rsidRPr="00024882" w:rsidRDefault="00024882" w:rsidP="004E5651">
      <w:pPr>
        <w:spacing w:before="360" w:after="360"/>
        <w:jc w:val="center"/>
        <w:rPr>
          <w:b/>
          <w:i/>
        </w:rPr>
      </w:pPr>
      <w:r w:rsidRPr="00024882">
        <w:rPr>
          <w:b/>
          <w:i/>
        </w:rPr>
        <w:t xml:space="preserve">National Greenhouse and Energy Reporting (Measurement) Amendment </w:t>
      </w:r>
      <w:r w:rsidR="00E9051F">
        <w:rPr>
          <w:b/>
          <w:i/>
        </w:rPr>
        <w:t>(202</w:t>
      </w:r>
      <w:r w:rsidR="002E7D7F">
        <w:rPr>
          <w:b/>
          <w:i/>
        </w:rPr>
        <w:t>3</w:t>
      </w:r>
      <w:r w:rsidR="00FE1B42">
        <w:rPr>
          <w:b/>
          <w:i/>
        </w:rPr>
        <w:t> Update) Determination 202</w:t>
      </w:r>
      <w:r w:rsidR="002E7D7F">
        <w:rPr>
          <w:b/>
          <w:i/>
        </w:rPr>
        <w:t>3</w:t>
      </w:r>
    </w:p>
    <w:p w14:paraId="7FD19CE8" w14:textId="686EA027" w:rsidR="001F5A3D" w:rsidRPr="00B9380B" w:rsidRDefault="0019209B" w:rsidP="004E5651">
      <w:pPr>
        <w:spacing w:before="240" w:after="240"/>
        <w:ind w:right="91"/>
        <w:rPr>
          <w:szCs w:val="24"/>
        </w:rPr>
      </w:pPr>
      <w:r>
        <w:rPr>
          <w:szCs w:val="24"/>
          <w:u w:val="single"/>
        </w:rPr>
        <w:t xml:space="preserve">Section </w:t>
      </w:r>
      <w:r w:rsidR="008019CF">
        <w:rPr>
          <w:szCs w:val="24"/>
          <w:u w:val="single"/>
        </w:rPr>
        <w:t xml:space="preserve">1 – Name of </w:t>
      </w:r>
      <w:r w:rsidR="00663792">
        <w:rPr>
          <w:szCs w:val="24"/>
          <w:u w:val="single"/>
        </w:rPr>
        <w:t>Determination</w:t>
      </w:r>
    </w:p>
    <w:p w14:paraId="7FD19CE9" w14:textId="34E1A811" w:rsidR="001F5A3D" w:rsidRPr="00F90D84" w:rsidRDefault="00663792" w:rsidP="004E5651">
      <w:pPr>
        <w:spacing w:before="0" w:after="360"/>
        <w:ind w:right="91"/>
        <w:rPr>
          <w:szCs w:val="24"/>
        </w:rPr>
      </w:pPr>
      <w:r>
        <w:rPr>
          <w:szCs w:val="24"/>
        </w:rPr>
        <w:t xml:space="preserve">This </w:t>
      </w:r>
      <w:r w:rsidR="0019209B">
        <w:rPr>
          <w:szCs w:val="24"/>
        </w:rPr>
        <w:t>section</w:t>
      </w:r>
      <w:r w:rsidR="0019209B" w:rsidRPr="00F90D84">
        <w:rPr>
          <w:szCs w:val="24"/>
        </w:rPr>
        <w:t xml:space="preserve"> </w:t>
      </w:r>
      <w:r w:rsidR="001F5A3D" w:rsidRPr="00F90D84">
        <w:rPr>
          <w:szCs w:val="24"/>
        </w:rPr>
        <w:t>provide</w:t>
      </w:r>
      <w:r w:rsidR="003A2330" w:rsidRPr="00F90D84">
        <w:rPr>
          <w:szCs w:val="24"/>
        </w:rPr>
        <w:t>s</w:t>
      </w:r>
      <w:r w:rsidR="001F5A3D" w:rsidRPr="00F90D84">
        <w:rPr>
          <w:szCs w:val="24"/>
        </w:rPr>
        <w:t xml:space="preserve"> that the title of the </w:t>
      </w:r>
      <w:r>
        <w:rPr>
          <w:szCs w:val="24"/>
        </w:rPr>
        <w:t>Instrument</w:t>
      </w:r>
      <w:r w:rsidR="001F5A3D" w:rsidRPr="00F90D84">
        <w:rPr>
          <w:szCs w:val="24"/>
        </w:rPr>
        <w:t xml:space="preserve"> is the </w:t>
      </w:r>
      <w:r w:rsidRPr="0040744E">
        <w:rPr>
          <w:i/>
          <w:szCs w:val="24"/>
        </w:rPr>
        <w:t>National</w:t>
      </w:r>
      <w:r w:rsidRPr="00663792">
        <w:rPr>
          <w:szCs w:val="24"/>
        </w:rPr>
        <w:t xml:space="preserve"> </w:t>
      </w:r>
      <w:r w:rsidRPr="00663792">
        <w:rPr>
          <w:i/>
        </w:rPr>
        <w:t>Energy Report</w:t>
      </w:r>
      <w:r w:rsidR="006067DC">
        <w:rPr>
          <w:i/>
        </w:rPr>
        <w:t>i</w:t>
      </w:r>
      <w:r w:rsidR="00FE1B42">
        <w:rPr>
          <w:i/>
        </w:rPr>
        <w:t>ng (Measurement) Amendment (202</w:t>
      </w:r>
      <w:r w:rsidR="002E7D7F">
        <w:rPr>
          <w:i/>
        </w:rPr>
        <w:t>3</w:t>
      </w:r>
      <w:r w:rsidR="006067DC">
        <w:rPr>
          <w:i/>
        </w:rPr>
        <w:t xml:space="preserve"> Update) </w:t>
      </w:r>
      <w:r w:rsidR="006067DC" w:rsidRPr="006E1C30">
        <w:rPr>
          <w:i/>
        </w:rPr>
        <w:t>Determination</w:t>
      </w:r>
      <w:r w:rsidR="00FE1B42">
        <w:rPr>
          <w:i/>
        </w:rPr>
        <w:t xml:space="preserve"> 202</w:t>
      </w:r>
      <w:r w:rsidR="002E7D7F">
        <w:rPr>
          <w:i/>
        </w:rPr>
        <w:t>3</w:t>
      </w:r>
      <w:r w:rsidR="001F5A3D" w:rsidRPr="00663792">
        <w:rPr>
          <w:szCs w:val="24"/>
        </w:rPr>
        <w:t>.</w:t>
      </w:r>
    </w:p>
    <w:p w14:paraId="7FD19CEA" w14:textId="7702F512" w:rsidR="001F5A3D" w:rsidRPr="00FC52C4" w:rsidRDefault="0019209B" w:rsidP="004E5651">
      <w:pPr>
        <w:spacing w:before="240" w:after="240"/>
        <w:ind w:right="91"/>
        <w:rPr>
          <w:szCs w:val="24"/>
          <w:u w:val="single"/>
        </w:rPr>
      </w:pPr>
      <w:r>
        <w:rPr>
          <w:szCs w:val="24"/>
          <w:u w:val="single"/>
        </w:rPr>
        <w:t xml:space="preserve">Section </w:t>
      </w:r>
      <w:r w:rsidR="00663792">
        <w:rPr>
          <w:szCs w:val="24"/>
          <w:u w:val="single"/>
        </w:rPr>
        <w:t>2</w:t>
      </w:r>
      <w:r w:rsidR="001F5A3D" w:rsidRPr="00FC52C4">
        <w:rPr>
          <w:szCs w:val="24"/>
          <w:u w:val="single"/>
        </w:rPr>
        <w:t xml:space="preserve"> – Commencement</w:t>
      </w:r>
    </w:p>
    <w:p w14:paraId="7FD19CEB" w14:textId="2D7492D8" w:rsidR="001F5A3D" w:rsidRPr="003A612B" w:rsidRDefault="00663792" w:rsidP="004E5651">
      <w:pPr>
        <w:spacing w:before="0" w:after="360"/>
        <w:ind w:right="91"/>
        <w:rPr>
          <w:szCs w:val="24"/>
        </w:rPr>
      </w:pPr>
      <w:r>
        <w:rPr>
          <w:szCs w:val="24"/>
        </w:rPr>
        <w:t xml:space="preserve">This </w:t>
      </w:r>
      <w:r w:rsidR="0019209B">
        <w:rPr>
          <w:szCs w:val="24"/>
        </w:rPr>
        <w:t xml:space="preserve">section </w:t>
      </w:r>
      <w:r w:rsidR="001F5A3D">
        <w:rPr>
          <w:szCs w:val="24"/>
        </w:rPr>
        <w:t>provide</w:t>
      </w:r>
      <w:r w:rsidR="004E7915">
        <w:rPr>
          <w:szCs w:val="24"/>
        </w:rPr>
        <w:t>s</w:t>
      </w:r>
      <w:r>
        <w:rPr>
          <w:szCs w:val="24"/>
        </w:rPr>
        <w:t xml:space="preserve"> for the amendments to commence </w:t>
      </w:r>
      <w:r w:rsidR="00FE1B42">
        <w:rPr>
          <w:szCs w:val="24"/>
        </w:rPr>
        <w:t>on 1 July 202</w:t>
      </w:r>
      <w:r w:rsidR="002E7D7F">
        <w:rPr>
          <w:szCs w:val="24"/>
        </w:rPr>
        <w:t>3</w:t>
      </w:r>
      <w:r w:rsidR="00B719D4">
        <w:rPr>
          <w:szCs w:val="24"/>
        </w:rPr>
        <w:t>.</w:t>
      </w:r>
    </w:p>
    <w:p w14:paraId="7FD19CEC" w14:textId="2E4E7F6D" w:rsidR="001F5A3D" w:rsidRPr="001C68D5" w:rsidRDefault="0019209B" w:rsidP="001F5A3D">
      <w:pPr>
        <w:spacing w:before="0" w:after="240"/>
        <w:ind w:right="91"/>
        <w:rPr>
          <w:szCs w:val="24"/>
        </w:rPr>
      </w:pPr>
      <w:r>
        <w:rPr>
          <w:szCs w:val="24"/>
          <w:u w:val="single"/>
        </w:rPr>
        <w:t>Section</w:t>
      </w:r>
      <w:r w:rsidRPr="00286CC0">
        <w:rPr>
          <w:szCs w:val="24"/>
          <w:u w:val="single"/>
        </w:rPr>
        <w:t xml:space="preserve"> </w:t>
      </w:r>
      <w:r w:rsidR="001F5A3D" w:rsidRPr="00286CC0">
        <w:rPr>
          <w:szCs w:val="24"/>
          <w:u w:val="single"/>
        </w:rPr>
        <w:t>3 – Authority</w:t>
      </w:r>
    </w:p>
    <w:p w14:paraId="6C2B350A" w14:textId="2224D307" w:rsidR="00663792" w:rsidRPr="001B4A72" w:rsidRDefault="00663792" w:rsidP="001B4A72">
      <w:pPr>
        <w:spacing w:after="240"/>
      </w:pPr>
      <w:r w:rsidRPr="00663792">
        <w:t xml:space="preserve">This </w:t>
      </w:r>
      <w:r w:rsidR="0019209B">
        <w:t>section</w:t>
      </w:r>
      <w:r w:rsidR="0019209B" w:rsidRPr="00663792">
        <w:t xml:space="preserve"> </w:t>
      </w:r>
      <w:r w:rsidRPr="00663792">
        <w:t xml:space="preserve">outlines that the </w:t>
      </w:r>
      <w:r w:rsidR="00D15BD6">
        <w:t xml:space="preserve">Update </w:t>
      </w:r>
      <w:r w:rsidRPr="00663792">
        <w:t xml:space="preserve">Determination </w:t>
      </w:r>
      <w:r w:rsidR="00FF49A7">
        <w:t>is made</w:t>
      </w:r>
      <w:r w:rsidRPr="00663792">
        <w:t xml:space="preserve"> under subsection 10(3) of the </w:t>
      </w:r>
      <w:r w:rsidR="00D15BD6">
        <w:t>Act.</w:t>
      </w:r>
      <w:r w:rsidR="00FF49A7" w:rsidRPr="009D5CEE">
        <w:t xml:space="preserve"> </w:t>
      </w:r>
      <w:r w:rsidR="00FF49A7" w:rsidRPr="00FF49A7">
        <w:t xml:space="preserve">The power to make </w:t>
      </w:r>
      <w:r w:rsidR="00FF49A7">
        <w:t>legislative instruments</w:t>
      </w:r>
      <w:r w:rsidR="00FF49A7" w:rsidRPr="009D5CEE">
        <w:t xml:space="preserve"> under this subsection includes th</w:t>
      </w:r>
      <w:r w:rsidR="00FF49A7" w:rsidRPr="00FF49A7">
        <w:t xml:space="preserve">e power to amend or revoke </w:t>
      </w:r>
      <w:r w:rsidR="00FF49A7">
        <w:t>instruments</w:t>
      </w:r>
      <w:r w:rsidR="00FF49A7" w:rsidRPr="009D5CEE">
        <w:t xml:space="preserve"> that have already been made, with any doubt about this resolved by subsection 33(3) of the</w:t>
      </w:r>
      <w:r w:rsidR="00FF49A7" w:rsidRPr="001B4A72">
        <w:t xml:space="preserve"> </w:t>
      </w:r>
      <w:r w:rsidR="00FF49A7" w:rsidRPr="00DD5D6E">
        <w:rPr>
          <w:i/>
        </w:rPr>
        <w:t>Acts Interpretation Act 1901</w:t>
      </w:r>
      <w:r w:rsidR="00FF49A7" w:rsidRPr="001B4A72">
        <w:t>.</w:t>
      </w:r>
    </w:p>
    <w:p w14:paraId="7FD19CEE" w14:textId="57F71CCD" w:rsidR="001F5A3D" w:rsidRPr="00FC52C4" w:rsidRDefault="0019209B" w:rsidP="008019CF">
      <w:pPr>
        <w:spacing w:before="0" w:after="240"/>
        <w:ind w:right="91"/>
        <w:rPr>
          <w:szCs w:val="24"/>
          <w:u w:val="single"/>
        </w:rPr>
      </w:pPr>
      <w:r>
        <w:rPr>
          <w:szCs w:val="24"/>
          <w:u w:val="single"/>
        </w:rPr>
        <w:t>Section</w:t>
      </w:r>
      <w:r w:rsidRPr="00D33F05">
        <w:rPr>
          <w:szCs w:val="24"/>
          <w:u w:val="single"/>
        </w:rPr>
        <w:t xml:space="preserve"> </w:t>
      </w:r>
      <w:r w:rsidR="001F5A3D" w:rsidRPr="00D33F05">
        <w:rPr>
          <w:szCs w:val="24"/>
          <w:u w:val="single"/>
        </w:rPr>
        <w:t>4 – Schedules</w:t>
      </w:r>
    </w:p>
    <w:p w14:paraId="7FD19CEF" w14:textId="147751AF" w:rsidR="001F5A3D" w:rsidRPr="00567F6A" w:rsidRDefault="005A0267" w:rsidP="00567F6A">
      <w:pPr>
        <w:spacing w:after="240"/>
      </w:pPr>
      <w:r w:rsidRPr="005A0267">
        <w:t xml:space="preserve">The amendments to the </w:t>
      </w:r>
      <w:r w:rsidR="00D15BD6">
        <w:t xml:space="preserve">Measurement </w:t>
      </w:r>
      <w:r w:rsidRPr="005A0267">
        <w:t>Determination are outlined at Schedule 1</w:t>
      </w:r>
      <w:r w:rsidR="001F5A3D" w:rsidRPr="00567F6A">
        <w:t>.</w:t>
      </w:r>
    </w:p>
    <w:p w14:paraId="2F98FB3C" w14:textId="77777777" w:rsidR="00567F6A" w:rsidRDefault="00567F6A">
      <w:pPr>
        <w:spacing w:before="0" w:after="0"/>
        <w:rPr>
          <w:szCs w:val="24"/>
          <w:u w:val="single"/>
        </w:rPr>
      </w:pPr>
      <w:r>
        <w:rPr>
          <w:szCs w:val="24"/>
          <w:u w:val="single"/>
        </w:rPr>
        <w:br w:type="page"/>
      </w:r>
    </w:p>
    <w:p w14:paraId="05798206" w14:textId="0637C0DF" w:rsidR="00A6325F" w:rsidRDefault="001F5A3D" w:rsidP="0004485A">
      <w:pPr>
        <w:spacing w:before="0" w:after="240"/>
        <w:ind w:right="91"/>
        <w:rPr>
          <w:b/>
          <w:szCs w:val="24"/>
          <w:u w:val="single"/>
        </w:rPr>
      </w:pPr>
      <w:r w:rsidRPr="00FE1B42">
        <w:rPr>
          <w:b/>
          <w:szCs w:val="24"/>
          <w:u w:val="single"/>
        </w:rPr>
        <w:lastRenderedPageBreak/>
        <w:t xml:space="preserve">Schedule 1 – </w:t>
      </w:r>
      <w:r w:rsidR="00343673" w:rsidRPr="00FE1B42">
        <w:rPr>
          <w:b/>
          <w:szCs w:val="24"/>
          <w:u w:val="single"/>
        </w:rPr>
        <w:t>Amendments</w:t>
      </w:r>
    </w:p>
    <w:p w14:paraId="71C935BD" w14:textId="77777777" w:rsidR="00A6325F" w:rsidRDefault="00A6325F">
      <w:pPr>
        <w:spacing w:before="0" w:after="0"/>
        <w:rPr>
          <w:b/>
          <w:szCs w:val="24"/>
          <w:u w:val="single"/>
        </w:rPr>
      </w:pPr>
    </w:p>
    <w:tbl>
      <w:tblPr>
        <w:tblStyle w:val="TableGrid"/>
        <w:tblW w:w="0" w:type="auto"/>
        <w:tblLook w:val="04A0" w:firstRow="1" w:lastRow="0" w:firstColumn="1" w:lastColumn="0" w:noHBand="0" w:noVBand="1"/>
      </w:tblPr>
      <w:tblGrid>
        <w:gridCol w:w="846"/>
        <w:gridCol w:w="2546"/>
        <w:gridCol w:w="4541"/>
      </w:tblGrid>
      <w:tr w:rsidR="00A6325F" w:rsidRPr="00B704B3" w14:paraId="3B55BF69" w14:textId="77777777" w:rsidTr="00B87C56">
        <w:trPr>
          <w:tblHeader/>
        </w:trPr>
        <w:tc>
          <w:tcPr>
            <w:tcW w:w="846" w:type="dxa"/>
          </w:tcPr>
          <w:p w14:paraId="6AFA1FB2" w14:textId="77777777" w:rsidR="00A6325F" w:rsidRPr="0094292F" w:rsidRDefault="00A6325F" w:rsidP="00A20084">
            <w:pPr>
              <w:tabs>
                <w:tab w:val="right" w:pos="9072"/>
              </w:tabs>
              <w:ind w:right="91"/>
              <w:rPr>
                <w:b/>
                <w:sz w:val="22"/>
                <w:szCs w:val="22"/>
              </w:rPr>
            </w:pPr>
            <w:r w:rsidRPr="0094292F">
              <w:rPr>
                <w:b/>
                <w:sz w:val="22"/>
                <w:szCs w:val="22"/>
              </w:rPr>
              <w:t xml:space="preserve">Item </w:t>
            </w:r>
          </w:p>
        </w:tc>
        <w:tc>
          <w:tcPr>
            <w:tcW w:w="2546" w:type="dxa"/>
          </w:tcPr>
          <w:p w14:paraId="189ED4E5" w14:textId="77777777" w:rsidR="00A6325F" w:rsidRPr="0094292F" w:rsidRDefault="00A6325F" w:rsidP="00A20084">
            <w:pPr>
              <w:tabs>
                <w:tab w:val="right" w:pos="9072"/>
              </w:tabs>
              <w:ind w:right="91"/>
              <w:rPr>
                <w:b/>
                <w:sz w:val="22"/>
                <w:szCs w:val="22"/>
              </w:rPr>
            </w:pPr>
            <w:r w:rsidRPr="0094292F">
              <w:rPr>
                <w:b/>
                <w:sz w:val="22"/>
                <w:szCs w:val="22"/>
              </w:rPr>
              <w:t>Item name</w:t>
            </w:r>
          </w:p>
        </w:tc>
        <w:tc>
          <w:tcPr>
            <w:tcW w:w="4541" w:type="dxa"/>
          </w:tcPr>
          <w:p w14:paraId="205A17F4" w14:textId="77777777" w:rsidR="00A6325F" w:rsidRPr="0094292F" w:rsidRDefault="00A6325F" w:rsidP="00A20084">
            <w:pPr>
              <w:tabs>
                <w:tab w:val="right" w:pos="9072"/>
              </w:tabs>
              <w:ind w:right="91"/>
              <w:rPr>
                <w:b/>
                <w:sz w:val="22"/>
                <w:szCs w:val="22"/>
              </w:rPr>
            </w:pPr>
            <w:r w:rsidRPr="0094292F">
              <w:rPr>
                <w:b/>
                <w:sz w:val="22"/>
                <w:szCs w:val="22"/>
              </w:rPr>
              <w:t>Description of Amendment</w:t>
            </w:r>
          </w:p>
        </w:tc>
      </w:tr>
      <w:tr w:rsidR="00A6325F" w14:paraId="3C4364E0" w14:textId="77777777" w:rsidTr="00E321D3">
        <w:tc>
          <w:tcPr>
            <w:tcW w:w="846" w:type="dxa"/>
            <w:tcBorders>
              <w:top w:val="single" w:sz="4" w:space="0" w:color="auto"/>
              <w:left w:val="single" w:sz="4" w:space="0" w:color="auto"/>
              <w:bottom w:val="single" w:sz="4" w:space="0" w:color="auto"/>
              <w:right w:val="single" w:sz="4" w:space="0" w:color="auto"/>
            </w:tcBorders>
          </w:tcPr>
          <w:p w14:paraId="72B38414" w14:textId="47CC162B"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09A23259" w14:textId="41276ACF" w:rsidR="00A6325F" w:rsidRPr="0094292F" w:rsidRDefault="00A6325F" w:rsidP="00A20084">
            <w:pPr>
              <w:rPr>
                <w:sz w:val="22"/>
                <w:szCs w:val="22"/>
              </w:rPr>
            </w:pPr>
            <w:r w:rsidRPr="0094292F">
              <w:rPr>
                <w:sz w:val="22"/>
                <w:szCs w:val="22"/>
              </w:rPr>
              <w:t>Section 1.8</w:t>
            </w:r>
          </w:p>
        </w:tc>
        <w:tc>
          <w:tcPr>
            <w:tcW w:w="4541" w:type="dxa"/>
            <w:tcBorders>
              <w:top w:val="single" w:sz="4" w:space="0" w:color="auto"/>
              <w:left w:val="single" w:sz="4" w:space="0" w:color="auto"/>
              <w:bottom w:val="single" w:sz="4" w:space="0" w:color="auto"/>
              <w:right w:val="single" w:sz="4" w:space="0" w:color="auto"/>
            </w:tcBorders>
          </w:tcPr>
          <w:p w14:paraId="6D3D6940" w14:textId="77D8662E" w:rsidR="00A6325F" w:rsidRPr="0094292F" w:rsidRDefault="00781287" w:rsidP="00A20084">
            <w:pPr>
              <w:pStyle w:val="TableText0"/>
              <w:spacing w:after="120"/>
              <w:rPr>
                <w:rFonts w:ascii="Times New Roman" w:hAnsi="Times New Roman" w:cs="Times New Roman"/>
                <w:sz w:val="22"/>
              </w:rPr>
            </w:pPr>
            <w:r>
              <w:rPr>
                <w:rFonts w:ascii="Times New Roman" w:hAnsi="Times New Roman" w:cs="Times New Roman"/>
                <w:sz w:val="22"/>
              </w:rPr>
              <w:t xml:space="preserve">Provides that </w:t>
            </w:r>
            <w:r w:rsidR="00A6325F" w:rsidRPr="0094292F">
              <w:rPr>
                <w:rFonts w:ascii="Times New Roman" w:hAnsi="Times New Roman" w:cs="Times New Roman"/>
                <w:i/>
                <w:iCs/>
                <w:sz w:val="22"/>
              </w:rPr>
              <w:t>biodiesel</w:t>
            </w:r>
            <w:r w:rsidR="00A6325F" w:rsidRPr="0094292F">
              <w:rPr>
                <w:rFonts w:ascii="Times New Roman" w:hAnsi="Times New Roman" w:cs="Times New Roman"/>
                <w:sz w:val="22"/>
              </w:rPr>
              <w:t xml:space="preserve">, </w:t>
            </w:r>
            <w:r w:rsidR="00A6325F" w:rsidRPr="0094292F">
              <w:rPr>
                <w:rFonts w:ascii="Times New Roman" w:hAnsi="Times New Roman" w:cs="Times New Roman"/>
                <w:i/>
                <w:iCs/>
                <w:sz w:val="22"/>
              </w:rPr>
              <w:t xml:space="preserve">renewable </w:t>
            </w:r>
            <w:proofErr w:type="gramStart"/>
            <w:r w:rsidR="00A6325F" w:rsidRPr="0094292F">
              <w:rPr>
                <w:rFonts w:ascii="Times New Roman" w:hAnsi="Times New Roman" w:cs="Times New Roman"/>
                <w:i/>
                <w:iCs/>
                <w:sz w:val="22"/>
              </w:rPr>
              <w:t>diesel</w:t>
            </w:r>
            <w:proofErr w:type="gramEnd"/>
            <w:r w:rsidR="00A6325F" w:rsidRPr="0094292F">
              <w:rPr>
                <w:rFonts w:ascii="Times New Roman" w:hAnsi="Times New Roman" w:cs="Times New Roman"/>
                <w:sz w:val="22"/>
              </w:rPr>
              <w:t xml:space="preserve"> and </w:t>
            </w:r>
            <w:r w:rsidR="00A6325F" w:rsidRPr="0094292F">
              <w:rPr>
                <w:rFonts w:ascii="Times New Roman" w:hAnsi="Times New Roman" w:cs="Times New Roman"/>
                <w:i/>
                <w:iCs/>
                <w:sz w:val="22"/>
              </w:rPr>
              <w:t xml:space="preserve">renewable </w:t>
            </w:r>
            <w:r w:rsidR="00F11DA4">
              <w:rPr>
                <w:rFonts w:ascii="Times New Roman" w:hAnsi="Times New Roman" w:cs="Times New Roman"/>
                <w:i/>
                <w:iCs/>
                <w:sz w:val="22"/>
              </w:rPr>
              <w:t xml:space="preserve">aviation </w:t>
            </w:r>
            <w:r w:rsidR="00A6325F" w:rsidRPr="0094292F">
              <w:rPr>
                <w:rFonts w:ascii="Times New Roman" w:hAnsi="Times New Roman" w:cs="Times New Roman"/>
                <w:i/>
                <w:iCs/>
                <w:sz w:val="22"/>
              </w:rPr>
              <w:t>kerosene</w:t>
            </w:r>
            <w:r w:rsidR="00A6325F" w:rsidRPr="0094292F">
              <w:rPr>
                <w:rFonts w:ascii="Times New Roman" w:hAnsi="Times New Roman" w:cs="Times New Roman"/>
                <w:sz w:val="22"/>
              </w:rPr>
              <w:t xml:space="preserve"> </w:t>
            </w:r>
            <w:r w:rsidR="005634D4">
              <w:rPr>
                <w:rFonts w:ascii="Times New Roman" w:hAnsi="Times New Roman" w:cs="Times New Roman"/>
                <w:sz w:val="22"/>
              </w:rPr>
              <w:t xml:space="preserve">have the meaning given by the </w:t>
            </w:r>
            <w:r w:rsidR="003E48C0" w:rsidRPr="003E48C0">
              <w:rPr>
                <w:rFonts w:ascii="Times New Roman" w:hAnsi="Times New Roman" w:cs="Times New Roman"/>
                <w:sz w:val="22"/>
              </w:rPr>
              <w:t>NGER Regulations</w:t>
            </w:r>
            <w:r w:rsidR="00A6325F" w:rsidRPr="0094292F">
              <w:rPr>
                <w:rFonts w:ascii="Times New Roman" w:hAnsi="Times New Roman" w:cs="Times New Roman"/>
                <w:sz w:val="22"/>
              </w:rPr>
              <w:t>.</w:t>
            </w:r>
          </w:p>
          <w:p w14:paraId="67FBA705" w14:textId="5ABA7D14" w:rsidR="00A6325F" w:rsidRPr="0094292F" w:rsidRDefault="00A6325F" w:rsidP="00A20084">
            <w:pPr>
              <w:pStyle w:val="TableText0"/>
              <w:spacing w:after="120"/>
              <w:rPr>
                <w:rFonts w:ascii="Times New Roman" w:hAnsi="Times New Roman" w:cs="Times New Roman"/>
                <w:sz w:val="22"/>
              </w:rPr>
            </w:pPr>
            <w:r w:rsidRPr="0094292F">
              <w:rPr>
                <w:rFonts w:ascii="Times New Roman" w:hAnsi="Times New Roman" w:cs="Times New Roman"/>
                <w:sz w:val="22"/>
              </w:rPr>
              <w:t xml:space="preserve">Inserts definitions of </w:t>
            </w:r>
            <w:r w:rsidRPr="0094292F">
              <w:rPr>
                <w:rFonts w:ascii="Times New Roman" w:hAnsi="Times New Roman" w:cs="Times New Roman"/>
                <w:i/>
                <w:iCs/>
                <w:sz w:val="22"/>
              </w:rPr>
              <w:t>gross vehicle mass</w:t>
            </w:r>
            <w:r w:rsidRPr="0094292F">
              <w:rPr>
                <w:rFonts w:ascii="Times New Roman" w:hAnsi="Times New Roman" w:cs="Times New Roman"/>
                <w:sz w:val="22"/>
              </w:rPr>
              <w:t xml:space="preserve">, </w:t>
            </w:r>
            <w:r w:rsidRPr="0094292F">
              <w:rPr>
                <w:rFonts w:ascii="Times New Roman" w:hAnsi="Times New Roman" w:cs="Times New Roman"/>
                <w:i/>
                <w:iCs/>
                <w:sz w:val="22"/>
              </w:rPr>
              <w:t>heavy duty vehicle</w:t>
            </w:r>
            <w:r w:rsidRPr="0094292F">
              <w:rPr>
                <w:rFonts w:ascii="Times New Roman" w:hAnsi="Times New Roman" w:cs="Times New Roman"/>
                <w:sz w:val="22"/>
              </w:rPr>
              <w:t xml:space="preserve">, </w:t>
            </w:r>
            <w:r w:rsidRPr="0094292F">
              <w:rPr>
                <w:rFonts w:ascii="Times New Roman" w:hAnsi="Times New Roman" w:cs="Times New Roman"/>
                <w:i/>
                <w:iCs/>
                <w:sz w:val="22"/>
              </w:rPr>
              <w:t>light duty vehicle</w:t>
            </w:r>
            <w:r w:rsidRPr="0094292F">
              <w:rPr>
                <w:rFonts w:ascii="Times New Roman" w:hAnsi="Times New Roman" w:cs="Times New Roman"/>
                <w:sz w:val="22"/>
              </w:rPr>
              <w:t xml:space="preserve"> and </w:t>
            </w:r>
            <w:r w:rsidRPr="0094292F">
              <w:rPr>
                <w:rFonts w:ascii="Times New Roman" w:hAnsi="Times New Roman" w:cs="Times New Roman"/>
                <w:i/>
                <w:iCs/>
                <w:sz w:val="22"/>
              </w:rPr>
              <w:t>wet weight</w:t>
            </w:r>
            <w:r w:rsidR="006E4100">
              <w:rPr>
                <w:rFonts w:ascii="Times New Roman" w:hAnsi="Times New Roman" w:cs="Times New Roman"/>
                <w:i/>
                <w:iCs/>
                <w:sz w:val="22"/>
              </w:rPr>
              <w:t xml:space="preserve"> </w:t>
            </w:r>
            <w:r w:rsidR="006E4100">
              <w:rPr>
                <w:rFonts w:ascii="Times New Roman" w:hAnsi="Times New Roman" w:cs="Times New Roman"/>
                <w:sz w:val="22"/>
              </w:rPr>
              <w:t>to remove ambiguity as to the meaning of these terms</w:t>
            </w:r>
            <w:r w:rsidR="00CF4564">
              <w:rPr>
                <w:rFonts w:ascii="Times New Roman" w:hAnsi="Times New Roman" w:cs="Times New Roman"/>
                <w:sz w:val="22"/>
              </w:rPr>
              <w:t xml:space="preserve"> within the Measurement Determination</w:t>
            </w:r>
            <w:r w:rsidRPr="0094292F">
              <w:rPr>
                <w:rFonts w:ascii="Times New Roman" w:hAnsi="Times New Roman" w:cs="Times New Roman"/>
                <w:sz w:val="22"/>
              </w:rPr>
              <w:t>.</w:t>
            </w:r>
          </w:p>
        </w:tc>
      </w:tr>
      <w:tr w:rsidR="00A6325F" w14:paraId="11C78A13" w14:textId="77777777" w:rsidTr="00E321D3">
        <w:tc>
          <w:tcPr>
            <w:tcW w:w="846" w:type="dxa"/>
            <w:tcBorders>
              <w:top w:val="single" w:sz="4" w:space="0" w:color="auto"/>
              <w:left w:val="single" w:sz="4" w:space="0" w:color="auto"/>
              <w:bottom w:val="single" w:sz="4" w:space="0" w:color="auto"/>
              <w:right w:val="single" w:sz="4" w:space="0" w:color="auto"/>
            </w:tcBorders>
          </w:tcPr>
          <w:p w14:paraId="6F249066" w14:textId="7B7B3EF8"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0081BB19" w14:textId="0FB88EB7" w:rsidR="00A6325F" w:rsidRPr="0094292F" w:rsidRDefault="00A6325F" w:rsidP="00A20084">
            <w:pPr>
              <w:rPr>
                <w:sz w:val="22"/>
                <w:szCs w:val="22"/>
              </w:rPr>
            </w:pPr>
            <w:r w:rsidRPr="0094292F">
              <w:rPr>
                <w:sz w:val="22"/>
                <w:szCs w:val="22"/>
              </w:rPr>
              <w:t xml:space="preserve">Subsection 2.20(2) (paragraph (c) of the definition of </w:t>
            </w:r>
            <w:r w:rsidRPr="0094292F">
              <w:rPr>
                <w:i/>
                <w:sz w:val="22"/>
                <w:szCs w:val="22"/>
              </w:rPr>
              <w:t>transport energy purposes</w:t>
            </w:r>
            <w:r w:rsidRPr="0094292F">
              <w:rPr>
                <w:sz w:val="22"/>
                <w:szCs w:val="22"/>
              </w:rPr>
              <w:t>)</w:t>
            </w:r>
          </w:p>
        </w:tc>
        <w:tc>
          <w:tcPr>
            <w:tcW w:w="4541" w:type="dxa"/>
            <w:tcBorders>
              <w:top w:val="single" w:sz="4" w:space="0" w:color="auto"/>
              <w:left w:val="single" w:sz="4" w:space="0" w:color="auto"/>
              <w:bottom w:val="single" w:sz="4" w:space="0" w:color="auto"/>
              <w:right w:val="single" w:sz="4" w:space="0" w:color="auto"/>
            </w:tcBorders>
            <w:hideMark/>
          </w:tcPr>
          <w:p w14:paraId="0BF359C5" w14:textId="06AE933A" w:rsidR="00A6325F" w:rsidRPr="0094292F" w:rsidRDefault="00A6325F" w:rsidP="00A20084">
            <w:pPr>
              <w:rPr>
                <w:sz w:val="22"/>
                <w:szCs w:val="22"/>
              </w:rPr>
            </w:pPr>
            <w:r w:rsidRPr="0094292F">
              <w:rPr>
                <w:sz w:val="22"/>
                <w:szCs w:val="22"/>
              </w:rPr>
              <w:t xml:space="preserve">Repeals the former paragraph (c) of the definition of </w:t>
            </w:r>
            <w:r w:rsidRPr="0094292F">
              <w:rPr>
                <w:i/>
                <w:sz w:val="22"/>
                <w:szCs w:val="22"/>
              </w:rPr>
              <w:t xml:space="preserve">transport energy purposes </w:t>
            </w:r>
            <w:r w:rsidRPr="0094292F">
              <w:rPr>
                <w:sz w:val="22"/>
                <w:szCs w:val="22"/>
              </w:rPr>
              <w:t>‘(c) marine navigation’ and substitutes it with a new paragraph ‘(c) waterborne transport’</w:t>
            </w:r>
            <w:r w:rsidR="00981D17">
              <w:rPr>
                <w:sz w:val="22"/>
                <w:szCs w:val="22"/>
              </w:rPr>
              <w:t xml:space="preserve"> to remove ambiguity as to the meaning of this term. </w:t>
            </w:r>
            <w:r w:rsidR="0069048B">
              <w:rPr>
                <w:sz w:val="22"/>
                <w:szCs w:val="22"/>
              </w:rPr>
              <w:t>‘</w:t>
            </w:r>
            <w:r w:rsidR="006B561E">
              <w:rPr>
                <w:sz w:val="22"/>
                <w:szCs w:val="22"/>
              </w:rPr>
              <w:t>Transport energy purposes</w:t>
            </w:r>
            <w:r w:rsidR="0069048B">
              <w:rPr>
                <w:sz w:val="22"/>
                <w:szCs w:val="22"/>
              </w:rPr>
              <w:t>’</w:t>
            </w:r>
            <w:r w:rsidR="006B561E">
              <w:rPr>
                <w:sz w:val="22"/>
                <w:szCs w:val="22"/>
              </w:rPr>
              <w:t xml:space="preserve"> are intended to include all waterborne transport, not just transport at sea.</w:t>
            </w:r>
            <w:r w:rsidRPr="0094292F">
              <w:rPr>
                <w:sz w:val="22"/>
                <w:szCs w:val="22"/>
              </w:rPr>
              <w:t xml:space="preserve"> </w:t>
            </w:r>
          </w:p>
        </w:tc>
      </w:tr>
      <w:tr w:rsidR="00A6325F" w14:paraId="1D887D4A" w14:textId="77777777" w:rsidTr="00E321D3">
        <w:tc>
          <w:tcPr>
            <w:tcW w:w="846" w:type="dxa"/>
            <w:tcBorders>
              <w:top w:val="single" w:sz="4" w:space="0" w:color="auto"/>
              <w:left w:val="single" w:sz="4" w:space="0" w:color="auto"/>
              <w:bottom w:val="single" w:sz="4" w:space="0" w:color="auto"/>
              <w:right w:val="single" w:sz="4" w:space="0" w:color="auto"/>
            </w:tcBorders>
          </w:tcPr>
          <w:p w14:paraId="65614DA8" w14:textId="422B97A5"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2F08C006" w14:textId="6677615E" w:rsidR="00A6325F" w:rsidRPr="0094292F" w:rsidRDefault="00A6325F" w:rsidP="00A20084">
            <w:pPr>
              <w:rPr>
                <w:sz w:val="22"/>
                <w:szCs w:val="22"/>
              </w:rPr>
            </w:pPr>
            <w:r w:rsidRPr="0094292F">
              <w:rPr>
                <w:sz w:val="22"/>
                <w:szCs w:val="22"/>
              </w:rPr>
              <w:t xml:space="preserve">Subsection 2.41(2) (paragraph (c) of the definition of </w:t>
            </w:r>
            <w:r w:rsidRPr="0094292F">
              <w:rPr>
                <w:i/>
                <w:sz w:val="22"/>
                <w:szCs w:val="22"/>
              </w:rPr>
              <w:t>transport energy purposes</w:t>
            </w:r>
            <w:r w:rsidRPr="0094292F">
              <w:rPr>
                <w:sz w:val="22"/>
                <w:szCs w:val="22"/>
              </w:rPr>
              <w:t>)</w:t>
            </w:r>
          </w:p>
        </w:tc>
        <w:tc>
          <w:tcPr>
            <w:tcW w:w="4541" w:type="dxa"/>
            <w:tcBorders>
              <w:top w:val="single" w:sz="4" w:space="0" w:color="auto"/>
              <w:left w:val="single" w:sz="4" w:space="0" w:color="auto"/>
              <w:bottom w:val="single" w:sz="4" w:space="0" w:color="auto"/>
              <w:right w:val="single" w:sz="4" w:space="0" w:color="auto"/>
            </w:tcBorders>
            <w:hideMark/>
          </w:tcPr>
          <w:p w14:paraId="7DBB8273" w14:textId="69C7D342" w:rsidR="00A6325F" w:rsidRPr="0094292F" w:rsidRDefault="0069048B" w:rsidP="00A20084">
            <w:pPr>
              <w:rPr>
                <w:sz w:val="22"/>
                <w:szCs w:val="22"/>
              </w:rPr>
            </w:pPr>
            <w:r>
              <w:rPr>
                <w:sz w:val="22"/>
                <w:szCs w:val="22"/>
              </w:rPr>
              <w:t>See item 2</w:t>
            </w:r>
            <w:r w:rsidR="00D223FD">
              <w:rPr>
                <w:sz w:val="22"/>
                <w:szCs w:val="22"/>
              </w:rPr>
              <w:t xml:space="preserve"> above. </w:t>
            </w:r>
          </w:p>
        </w:tc>
      </w:tr>
      <w:tr w:rsidR="00A6325F" w14:paraId="2EDECC1C" w14:textId="77777777" w:rsidTr="00E321D3">
        <w:tc>
          <w:tcPr>
            <w:tcW w:w="846" w:type="dxa"/>
            <w:tcBorders>
              <w:top w:val="single" w:sz="4" w:space="0" w:color="auto"/>
              <w:left w:val="single" w:sz="4" w:space="0" w:color="auto"/>
              <w:bottom w:val="single" w:sz="4" w:space="0" w:color="auto"/>
              <w:right w:val="single" w:sz="4" w:space="0" w:color="auto"/>
            </w:tcBorders>
          </w:tcPr>
          <w:p w14:paraId="2BEDE06F" w14:textId="1D656FFB"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183B335C" w14:textId="3C57712B" w:rsidR="00A6325F" w:rsidRPr="0094292F" w:rsidRDefault="00A6325F" w:rsidP="00A20084">
            <w:pPr>
              <w:rPr>
                <w:sz w:val="22"/>
                <w:szCs w:val="22"/>
              </w:rPr>
            </w:pPr>
            <w:r w:rsidRPr="0094292F">
              <w:rPr>
                <w:sz w:val="22"/>
                <w:szCs w:val="22"/>
              </w:rPr>
              <w:t>Subsection 2.45(1) (after table item 20)</w:t>
            </w:r>
          </w:p>
        </w:tc>
        <w:tc>
          <w:tcPr>
            <w:tcW w:w="4541" w:type="dxa"/>
            <w:tcBorders>
              <w:top w:val="single" w:sz="4" w:space="0" w:color="auto"/>
              <w:left w:val="single" w:sz="4" w:space="0" w:color="auto"/>
              <w:bottom w:val="single" w:sz="4" w:space="0" w:color="auto"/>
              <w:right w:val="single" w:sz="4" w:space="0" w:color="auto"/>
            </w:tcBorders>
            <w:hideMark/>
          </w:tcPr>
          <w:p w14:paraId="322E2218" w14:textId="11496672" w:rsidR="00A6325F" w:rsidRPr="0094292F" w:rsidRDefault="00A6325F" w:rsidP="00A20084">
            <w:pPr>
              <w:rPr>
                <w:sz w:val="22"/>
                <w:szCs w:val="22"/>
              </w:rPr>
            </w:pPr>
            <w:r w:rsidRPr="0094292F">
              <w:rPr>
                <w:sz w:val="22"/>
                <w:szCs w:val="22"/>
              </w:rPr>
              <w:t xml:space="preserve">Prescribes standards for analysing samples of </w:t>
            </w:r>
            <w:r w:rsidRPr="0094292F">
              <w:rPr>
                <w:i/>
                <w:sz w:val="22"/>
                <w:szCs w:val="22"/>
              </w:rPr>
              <w:t>renewable diesel</w:t>
            </w:r>
            <w:r w:rsidRPr="0094292F">
              <w:rPr>
                <w:sz w:val="22"/>
                <w:szCs w:val="22"/>
              </w:rPr>
              <w:t xml:space="preserve"> and </w:t>
            </w:r>
            <w:r w:rsidRPr="0094292F">
              <w:rPr>
                <w:i/>
                <w:sz w:val="22"/>
                <w:szCs w:val="22"/>
              </w:rPr>
              <w:t xml:space="preserve">renewable </w:t>
            </w:r>
            <w:r w:rsidR="00E1629B">
              <w:rPr>
                <w:i/>
                <w:sz w:val="22"/>
                <w:szCs w:val="22"/>
              </w:rPr>
              <w:t xml:space="preserve">aviation </w:t>
            </w:r>
            <w:r w:rsidRPr="0094292F">
              <w:rPr>
                <w:i/>
                <w:sz w:val="22"/>
                <w:szCs w:val="22"/>
              </w:rPr>
              <w:t>kerosene</w:t>
            </w:r>
            <w:r w:rsidRPr="0094292F">
              <w:rPr>
                <w:sz w:val="22"/>
                <w:szCs w:val="22"/>
              </w:rPr>
              <w:t xml:space="preserve"> for the purpose of reporting emissions using Method 2 for </w:t>
            </w:r>
            <w:r w:rsidR="001A077B">
              <w:rPr>
                <w:sz w:val="22"/>
                <w:szCs w:val="22"/>
              </w:rPr>
              <w:t xml:space="preserve">estimating emissions of carbon dioxide from the </w:t>
            </w:r>
            <w:r w:rsidRPr="0094292F">
              <w:rPr>
                <w:sz w:val="22"/>
                <w:szCs w:val="22"/>
              </w:rPr>
              <w:t xml:space="preserve">combustion of liquid fuels. Prescribed standards are as for </w:t>
            </w:r>
            <w:r w:rsidRPr="007D205E">
              <w:rPr>
                <w:i/>
                <w:iCs/>
                <w:sz w:val="22"/>
                <w:szCs w:val="22"/>
              </w:rPr>
              <w:t>diesel oil</w:t>
            </w:r>
            <w:r w:rsidRPr="0094292F">
              <w:rPr>
                <w:sz w:val="22"/>
                <w:szCs w:val="22"/>
              </w:rPr>
              <w:t xml:space="preserve"> and </w:t>
            </w:r>
            <w:r w:rsidRPr="007D205E">
              <w:rPr>
                <w:i/>
                <w:iCs/>
                <w:sz w:val="22"/>
                <w:szCs w:val="22"/>
              </w:rPr>
              <w:t>kerosene for use as fuel in an aircraft</w:t>
            </w:r>
            <w:r w:rsidRPr="0094292F">
              <w:rPr>
                <w:sz w:val="22"/>
                <w:szCs w:val="22"/>
              </w:rPr>
              <w:t>.</w:t>
            </w:r>
          </w:p>
        </w:tc>
      </w:tr>
      <w:tr w:rsidR="00A6325F" w14:paraId="0A6A112E" w14:textId="77777777" w:rsidTr="00E321D3">
        <w:tc>
          <w:tcPr>
            <w:tcW w:w="846" w:type="dxa"/>
            <w:tcBorders>
              <w:top w:val="single" w:sz="4" w:space="0" w:color="auto"/>
              <w:left w:val="single" w:sz="4" w:space="0" w:color="auto"/>
              <w:bottom w:val="single" w:sz="4" w:space="0" w:color="auto"/>
              <w:right w:val="single" w:sz="4" w:space="0" w:color="auto"/>
            </w:tcBorders>
          </w:tcPr>
          <w:p w14:paraId="42116140" w14:textId="5785BE42"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34491C66" w14:textId="3460F11B" w:rsidR="00A6325F" w:rsidRPr="0094292F" w:rsidRDefault="00A6325F" w:rsidP="00A20084">
            <w:pPr>
              <w:rPr>
                <w:sz w:val="22"/>
                <w:szCs w:val="22"/>
              </w:rPr>
            </w:pPr>
            <w:r w:rsidRPr="0094292F">
              <w:rPr>
                <w:sz w:val="22"/>
                <w:szCs w:val="22"/>
              </w:rPr>
              <w:t>Subsection 2.45(1) (table item 22)</w:t>
            </w:r>
          </w:p>
        </w:tc>
        <w:tc>
          <w:tcPr>
            <w:tcW w:w="4541" w:type="dxa"/>
            <w:tcBorders>
              <w:top w:val="single" w:sz="4" w:space="0" w:color="auto"/>
              <w:left w:val="single" w:sz="4" w:space="0" w:color="auto"/>
              <w:bottom w:val="single" w:sz="4" w:space="0" w:color="auto"/>
              <w:right w:val="single" w:sz="4" w:space="0" w:color="auto"/>
            </w:tcBorders>
            <w:hideMark/>
          </w:tcPr>
          <w:p w14:paraId="73D340CE" w14:textId="326CDBA3" w:rsidR="00A6325F" w:rsidRPr="0094292F" w:rsidRDefault="00A6325F" w:rsidP="00A20084">
            <w:pPr>
              <w:rPr>
                <w:sz w:val="22"/>
                <w:szCs w:val="22"/>
              </w:rPr>
            </w:pPr>
            <w:r w:rsidRPr="0094292F">
              <w:rPr>
                <w:sz w:val="22"/>
                <w:szCs w:val="22"/>
              </w:rPr>
              <w:t xml:space="preserve">Repeals the former table item 22 and substitutes a new table item 22 </w:t>
            </w:r>
            <w:r w:rsidR="000B4006">
              <w:rPr>
                <w:sz w:val="22"/>
                <w:szCs w:val="22"/>
              </w:rPr>
              <w:t xml:space="preserve">reflecting </w:t>
            </w:r>
            <w:r w:rsidRPr="0094292F">
              <w:rPr>
                <w:sz w:val="22"/>
                <w:szCs w:val="22"/>
              </w:rPr>
              <w:t xml:space="preserve">the </w:t>
            </w:r>
            <w:r w:rsidR="00666EF4">
              <w:rPr>
                <w:sz w:val="22"/>
                <w:szCs w:val="22"/>
              </w:rPr>
              <w:t xml:space="preserve">insertion of </w:t>
            </w:r>
            <w:r w:rsidRPr="0094292F">
              <w:rPr>
                <w:sz w:val="22"/>
                <w:szCs w:val="22"/>
              </w:rPr>
              <w:t>table items 20A and 20B</w:t>
            </w:r>
            <w:r w:rsidR="00666EF4">
              <w:rPr>
                <w:sz w:val="22"/>
                <w:szCs w:val="22"/>
              </w:rPr>
              <w:t xml:space="preserve"> by item 4 above</w:t>
            </w:r>
            <w:r w:rsidRPr="0094292F">
              <w:rPr>
                <w:sz w:val="22"/>
                <w:szCs w:val="22"/>
              </w:rPr>
              <w:t xml:space="preserve">.  </w:t>
            </w:r>
          </w:p>
        </w:tc>
      </w:tr>
      <w:tr w:rsidR="00A6325F" w14:paraId="7A248510" w14:textId="77777777" w:rsidTr="00E321D3">
        <w:tc>
          <w:tcPr>
            <w:tcW w:w="846" w:type="dxa"/>
            <w:tcBorders>
              <w:top w:val="single" w:sz="4" w:space="0" w:color="auto"/>
              <w:left w:val="single" w:sz="4" w:space="0" w:color="auto"/>
              <w:bottom w:val="single" w:sz="4" w:space="0" w:color="auto"/>
              <w:right w:val="single" w:sz="4" w:space="0" w:color="auto"/>
            </w:tcBorders>
          </w:tcPr>
          <w:p w14:paraId="4A146B0B" w14:textId="40E0CE28"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2221CC62" w14:textId="57BA93CF" w:rsidR="00A6325F" w:rsidRPr="0094292F" w:rsidRDefault="00A6325F" w:rsidP="00A20084">
            <w:pPr>
              <w:rPr>
                <w:sz w:val="22"/>
                <w:szCs w:val="22"/>
              </w:rPr>
            </w:pPr>
            <w:r w:rsidRPr="0094292F">
              <w:rPr>
                <w:sz w:val="22"/>
                <w:szCs w:val="22"/>
              </w:rPr>
              <w:t>Subsection 2.47(3) (after table item 20)</w:t>
            </w:r>
          </w:p>
        </w:tc>
        <w:tc>
          <w:tcPr>
            <w:tcW w:w="4541" w:type="dxa"/>
            <w:tcBorders>
              <w:top w:val="single" w:sz="4" w:space="0" w:color="auto"/>
              <w:left w:val="single" w:sz="4" w:space="0" w:color="auto"/>
              <w:bottom w:val="single" w:sz="4" w:space="0" w:color="auto"/>
              <w:right w:val="single" w:sz="4" w:space="0" w:color="auto"/>
            </w:tcBorders>
            <w:hideMark/>
          </w:tcPr>
          <w:p w14:paraId="05AA87B3" w14:textId="648247E3" w:rsidR="00A6325F" w:rsidRPr="0094292F" w:rsidRDefault="00A6325F" w:rsidP="00A20084">
            <w:pPr>
              <w:rPr>
                <w:sz w:val="22"/>
                <w:szCs w:val="22"/>
              </w:rPr>
            </w:pPr>
            <w:r w:rsidRPr="0094292F">
              <w:rPr>
                <w:sz w:val="22"/>
                <w:szCs w:val="22"/>
              </w:rPr>
              <w:t xml:space="preserve">Prescribes standards for sampling </w:t>
            </w:r>
            <w:r w:rsidR="00E1629B" w:rsidRPr="0094292F">
              <w:rPr>
                <w:i/>
                <w:sz w:val="22"/>
                <w:szCs w:val="22"/>
              </w:rPr>
              <w:t>renewable diesel</w:t>
            </w:r>
            <w:r w:rsidR="00E1629B" w:rsidRPr="0094292F">
              <w:rPr>
                <w:sz w:val="22"/>
                <w:szCs w:val="22"/>
              </w:rPr>
              <w:t xml:space="preserve"> and </w:t>
            </w:r>
            <w:r w:rsidR="00E1629B" w:rsidRPr="0094292F">
              <w:rPr>
                <w:i/>
                <w:sz w:val="22"/>
                <w:szCs w:val="22"/>
              </w:rPr>
              <w:t xml:space="preserve">renewable </w:t>
            </w:r>
            <w:r w:rsidR="00E1629B">
              <w:rPr>
                <w:i/>
                <w:sz w:val="22"/>
                <w:szCs w:val="22"/>
              </w:rPr>
              <w:t xml:space="preserve">aviation </w:t>
            </w:r>
            <w:r w:rsidR="00E1629B" w:rsidRPr="0094292F">
              <w:rPr>
                <w:i/>
                <w:sz w:val="22"/>
                <w:szCs w:val="22"/>
              </w:rPr>
              <w:t>kerosene</w:t>
            </w:r>
            <w:r w:rsidR="00E1629B" w:rsidRPr="0094292F">
              <w:rPr>
                <w:sz w:val="22"/>
                <w:szCs w:val="22"/>
              </w:rPr>
              <w:t xml:space="preserve"> </w:t>
            </w:r>
            <w:r w:rsidRPr="0094292F">
              <w:rPr>
                <w:sz w:val="22"/>
                <w:szCs w:val="22"/>
              </w:rPr>
              <w:t xml:space="preserve">for the purpose of reporting emissions using Method 3 for </w:t>
            </w:r>
            <w:r w:rsidR="00750107">
              <w:rPr>
                <w:sz w:val="22"/>
                <w:szCs w:val="22"/>
              </w:rPr>
              <w:t xml:space="preserve">estimating emissions of carbon dioxide from the </w:t>
            </w:r>
            <w:r w:rsidRPr="0094292F">
              <w:rPr>
                <w:sz w:val="22"/>
                <w:szCs w:val="22"/>
              </w:rPr>
              <w:t xml:space="preserve">combustion of liquid fuels. Prescribed standards are as for </w:t>
            </w:r>
            <w:r w:rsidRPr="00245F41">
              <w:rPr>
                <w:i/>
                <w:iCs/>
                <w:sz w:val="22"/>
                <w:szCs w:val="22"/>
              </w:rPr>
              <w:t>diesel oil</w:t>
            </w:r>
            <w:r w:rsidRPr="0094292F">
              <w:rPr>
                <w:sz w:val="22"/>
                <w:szCs w:val="22"/>
              </w:rPr>
              <w:t xml:space="preserve"> and </w:t>
            </w:r>
            <w:r w:rsidRPr="00245F41">
              <w:rPr>
                <w:i/>
                <w:iCs/>
                <w:sz w:val="22"/>
                <w:szCs w:val="22"/>
              </w:rPr>
              <w:t>kerosene for use as fuel in an aircraft</w:t>
            </w:r>
            <w:r w:rsidRPr="0094292F">
              <w:rPr>
                <w:sz w:val="22"/>
                <w:szCs w:val="22"/>
              </w:rPr>
              <w:t xml:space="preserve">. </w:t>
            </w:r>
          </w:p>
        </w:tc>
      </w:tr>
      <w:tr w:rsidR="00A6325F" w14:paraId="2067D976" w14:textId="77777777" w:rsidTr="00E321D3">
        <w:tc>
          <w:tcPr>
            <w:tcW w:w="846" w:type="dxa"/>
            <w:tcBorders>
              <w:top w:val="single" w:sz="4" w:space="0" w:color="auto"/>
              <w:left w:val="single" w:sz="4" w:space="0" w:color="auto"/>
              <w:bottom w:val="single" w:sz="4" w:space="0" w:color="auto"/>
              <w:right w:val="single" w:sz="4" w:space="0" w:color="auto"/>
            </w:tcBorders>
          </w:tcPr>
          <w:p w14:paraId="7E043263" w14:textId="0B51A8C1"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6611A900" w14:textId="4B014D80" w:rsidR="00A6325F" w:rsidRPr="0094292F" w:rsidRDefault="00A6325F" w:rsidP="00A20084">
            <w:pPr>
              <w:rPr>
                <w:sz w:val="22"/>
                <w:szCs w:val="22"/>
              </w:rPr>
            </w:pPr>
            <w:r w:rsidRPr="0094292F">
              <w:rPr>
                <w:sz w:val="22"/>
                <w:szCs w:val="22"/>
              </w:rPr>
              <w:t>Subsection 2.47(3) (table item 22)</w:t>
            </w:r>
          </w:p>
        </w:tc>
        <w:tc>
          <w:tcPr>
            <w:tcW w:w="4541" w:type="dxa"/>
            <w:tcBorders>
              <w:top w:val="single" w:sz="4" w:space="0" w:color="auto"/>
              <w:left w:val="single" w:sz="4" w:space="0" w:color="auto"/>
              <w:bottom w:val="single" w:sz="4" w:space="0" w:color="auto"/>
              <w:right w:val="single" w:sz="4" w:space="0" w:color="auto"/>
            </w:tcBorders>
            <w:hideMark/>
          </w:tcPr>
          <w:p w14:paraId="4E8D5E4F" w14:textId="7D752BB6" w:rsidR="00A6325F" w:rsidRPr="0094292F" w:rsidRDefault="00A6325F" w:rsidP="00A20084">
            <w:pPr>
              <w:rPr>
                <w:sz w:val="22"/>
                <w:szCs w:val="22"/>
              </w:rPr>
            </w:pPr>
            <w:r w:rsidRPr="0094292F">
              <w:rPr>
                <w:sz w:val="22"/>
                <w:szCs w:val="22"/>
              </w:rPr>
              <w:t xml:space="preserve">Repeals the former table item 22 and substitutes a new table item 22 </w:t>
            </w:r>
            <w:r w:rsidR="00FF2D16">
              <w:rPr>
                <w:sz w:val="22"/>
                <w:szCs w:val="22"/>
              </w:rPr>
              <w:t xml:space="preserve">reflecting the insertion of </w:t>
            </w:r>
            <w:r w:rsidRPr="0094292F">
              <w:rPr>
                <w:sz w:val="22"/>
                <w:szCs w:val="22"/>
              </w:rPr>
              <w:t>table items 20A and 20B</w:t>
            </w:r>
            <w:r w:rsidR="00FF2D16">
              <w:rPr>
                <w:sz w:val="22"/>
                <w:szCs w:val="22"/>
              </w:rPr>
              <w:t xml:space="preserve"> by item 6 above</w:t>
            </w:r>
            <w:r w:rsidRPr="0094292F">
              <w:rPr>
                <w:sz w:val="22"/>
                <w:szCs w:val="22"/>
              </w:rPr>
              <w:t xml:space="preserve">.  </w:t>
            </w:r>
          </w:p>
        </w:tc>
      </w:tr>
      <w:tr w:rsidR="00A6325F" w14:paraId="642E7434" w14:textId="77777777" w:rsidTr="00E321D3">
        <w:tc>
          <w:tcPr>
            <w:tcW w:w="846" w:type="dxa"/>
            <w:tcBorders>
              <w:top w:val="single" w:sz="4" w:space="0" w:color="auto"/>
              <w:left w:val="single" w:sz="4" w:space="0" w:color="auto"/>
              <w:bottom w:val="single" w:sz="4" w:space="0" w:color="auto"/>
              <w:right w:val="single" w:sz="4" w:space="0" w:color="auto"/>
            </w:tcBorders>
          </w:tcPr>
          <w:p w14:paraId="5645E460" w14:textId="56C3ADE2"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4B0E58C3" w14:textId="3559419E" w:rsidR="00A6325F" w:rsidRPr="0094292F" w:rsidRDefault="00A6325F" w:rsidP="00A20084">
            <w:pPr>
              <w:rPr>
                <w:sz w:val="22"/>
                <w:szCs w:val="22"/>
              </w:rPr>
            </w:pPr>
            <w:r w:rsidRPr="0094292F">
              <w:rPr>
                <w:sz w:val="22"/>
                <w:szCs w:val="22"/>
              </w:rPr>
              <w:t>Subparagraph 2.67A(b)(ii)</w:t>
            </w:r>
          </w:p>
        </w:tc>
        <w:tc>
          <w:tcPr>
            <w:tcW w:w="4541" w:type="dxa"/>
            <w:tcBorders>
              <w:top w:val="single" w:sz="4" w:space="0" w:color="auto"/>
              <w:left w:val="single" w:sz="4" w:space="0" w:color="auto"/>
              <w:bottom w:val="single" w:sz="4" w:space="0" w:color="auto"/>
              <w:right w:val="single" w:sz="4" w:space="0" w:color="auto"/>
            </w:tcBorders>
            <w:hideMark/>
          </w:tcPr>
          <w:p w14:paraId="007002F7" w14:textId="515E72E1" w:rsidR="00A6325F" w:rsidRPr="0094292F" w:rsidRDefault="00A6325F" w:rsidP="00A20084">
            <w:pPr>
              <w:rPr>
                <w:sz w:val="22"/>
                <w:szCs w:val="22"/>
              </w:rPr>
            </w:pPr>
            <w:r w:rsidRPr="0094292F">
              <w:rPr>
                <w:sz w:val="22"/>
                <w:szCs w:val="22"/>
              </w:rPr>
              <w:t>Editorial correction</w:t>
            </w:r>
            <w:r w:rsidR="00C956C7">
              <w:rPr>
                <w:sz w:val="22"/>
                <w:szCs w:val="22"/>
              </w:rPr>
              <w:t xml:space="preserve"> to remove an unneeded word ‘the’</w:t>
            </w:r>
            <w:r w:rsidRPr="0094292F">
              <w:rPr>
                <w:sz w:val="22"/>
                <w:szCs w:val="22"/>
              </w:rPr>
              <w:t xml:space="preserve">. </w:t>
            </w:r>
          </w:p>
        </w:tc>
      </w:tr>
      <w:tr w:rsidR="00A6325F" w14:paraId="63DA2DF5" w14:textId="77777777" w:rsidTr="00E321D3">
        <w:tc>
          <w:tcPr>
            <w:tcW w:w="846" w:type="dxa"/>
            <w:tcBorders>
              <w:top w:val="single" w:sz="4" w:space="0" w:color="auto"/>
              <w:left w:val="single" w:sz="4" w:space="0" w:color="auto"/>
              <w:bottom w:val="single" w:sz="4" w:space="0" w:color="auto"/>
              <w:right w:val="single" w:sz="4" w:space="0" w:color="auto"/>
            </w:tcBorders>
          </w:tcPr>
          <w:p w14:paraId="74001917" w14:textId="2BF292AA"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652CCAC0" w14:textId="5277D0B3" w:rsidR="00A6325F" w:rsidRPr="0094292F" w:rsidRDefault="00A6325F" w:rsidP="00A20084">
            <w:pPr>
              <w:rPr>
                <w:sz w:val="22"/>
                <w:szCs w:val="22"/>
              </w:rPr>
            </w:pPr>
            <w:r w:rsidRPr="0094292F">
              <w:rPr>
                <w:sz w:val="22"/>
                <w:szCs w:val="22"/>
              </w:rPr>
              <w:t>Section 3.20 (paragraph (c) of the definition of EF</w:t>
            </w:r>
            <w:r w:rsidRPr="0094292F">
              <w:rPr>
                <w:sz w:val="22"/>
                <w:szCs w:val="22"/>
                <w:vertAlign w:val="subscript"/>
              </w:rPr>
              <w:t>j</w:t>
            </w:r>
            <w:r w:rsidRPr="0094292F">
              <w:rPr>
                <w:sz w:val="22"/>
                <w:szCs w:val="22"/>
              </w:rPr>
              <w:t>)</w:t>
            </w:r>
          </w:p>
        </w:tc>
        <w:tc>
          <w:tcPr>
            <w:tcW w:w="4541" w:type="dxa"/>
            <w:tcBorders>
              <w:top w:val="single" w:sz="4" w:space="0" w:color="auto"/>
              <w:left w:val="single" w:sz="4" w:space="0" w:color="auto"/>
              <w:bottom w:val="single" w:sz="4" w:space="0" w:color="auto"/>
              <w:right w:val="single" w:sz="4" w:space="0" w:color="auto"/>
            </w:tcBorders>
            <w:hideMark/>
          </w:tcPr>
          <w:p w14:paraId="026B2795" w14:textId="21E3A646" w:rsidR="00A6325F" w:rsidRPr="0094292F" w:rsidRDefault="00A6325F" w:rsidP="00A20084">
            <w:pPr>
              <w:rPr>
                <w:sz w:val="22"/>
                <w:szCs w:val="22"/>
              </w:rPr>
            </w:pPr>
            <w:r w:rsidRPr="0094292F">
              <w:rPr>
                <w:sz w:val="22"/>
                <w:szCs w:val="22"/>
              </w:rPr>
              <w:t xml:space="preserve">Updates the emission factor </w:t>
            </w:r>
            <w:r w:rsidR="00607E08">
              <w:rPr>
                <w:sz w:val="22"/>
                <w:szCs w:val="22"/>
              </w:rPr>
              <w:t xml:space="preserve">to be used </w:t>
            </w:r>
            <w:r w:rsidR="006B11FF">
              <w:rPr>
                <w:sz w:val="22"/>
                <w:szCs w:val="22"/>
              </w:rPr>
              <w:t xml:space="preserve">under Method 1 for estimating fugitive emissions of methane from the extraction of coal from open cut </w:t>
            </w:r>
            <w:r w:rsidR="003C50E6">
              <w:rPr>
                <w:sz w:val="22"/>
                <w:szCs w:val="22"/>
              </w:rPr>
              <w:t xml:space="preserve">mines in </w:t>
            </w:r>
            <w:r w:rsidRPr="0094292F">
              <w:rPr>
                <w:sz w:val="22"/>
                <w:szCs w:val="22"/>
              </w:rPr>
              <w:t>Queensland.</w:t>
            </w:r>
          </w:p>
        </w:tc>
      </w:tr>
      <w:tr w:rsidR="00A6325F" w14:paraId="71B15C5A" w14:textId="77777777" w:rsidTr="00E321D3">
        <w:tc>
          <w:tcPr>
            <w:tcW w:w="846" w:type="dxa"/>
            <w:tcBorders>
              <w:top w:val="single" w:sz="4" w:space="0" w:color="auto"/>
              <w:left w:val="single" w:sz="4" w:space="0" w:color="auto"/>
              <w:bottom w:val="single" w:sz="4" w:space="0" w:color="auto"/>
              <w:right w:val="single" w:sz="4" w:space="0" w:color="auto"/>
            </w:tcBorders>
          </w:tcPr>
          <w:p w14:paraId="77C14E04" w14:textId="13F15C40"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4421FE00" w14:textId="7A792A7F" w:rsidR="00A6325F" w:rsidRPr="0094292F" w:rsidRDefault="00A6325F" w:rsidP="00A20084">
            <w:pPr>
              <w:rPr>
                <w:sz w:val="22"/>
                <w:szCs w:val="22"/>
              </w:rPr>
            </w:pPr>
            <w:r w:rsidRPr="0094292F">
              <w:rPr>
                <w:sz w:val="22"/>
                <w:szCs w:val="22"/>
              </w:rPr>
              <w:t>Subsection 3.54(2)</w:t>
            </w:r>
          </w:p>
        </w:tc>
        <w:tc>
          <w:tcPr>
            <w:tcW w:w="4541" w:type="dxa"/>
            <w:tcBorders>
              <w:top w:val="single" w:sz="4" w:space="0" w:color="auto"/>
              <w:left w:val="single" w:sz="4" w:space="0" w:color="auto"/>
              <w:bottom w:val="single" w:sz="4" w:space="0" w:color="auto"/>
              <w:right w:val="single" w:sz="4" w:space="0" w:color="auto"/>
            </w:tcBorders>
            <w:hideMark/>
          </w:tcPr>
          <w:p w14:paraId="671A295A" w14:textId="77514ABC" w:rsidR="00A6325F" w:rsidRPr="0094292F" w:rsidRDefault="00A6325F" w:rsidP="00A20084">
            <w:pPr>
              <w:rPr>
                <w:sz w:val="22"/>
                <w:szCs w:val="22"/>
              </w:rPr>
            </w:pPr>
            <w:r w:rsidRPr="0094292F">
              <w:rPr>
                <w:sz w:val="22"/>
                <w:szCs w:val="22"/>
              </w:rPr>
              <w:t>Editorial correction</w:t>
            </w:r>
            <w:r w:rsidR="00551B54">
              <w:rPr>
                <w:sz w:val="22"/>
                <w:szCs w:val="22"/>
              </w:rPr>
              <w:t xml:space="preserve"> so that the provision refers to the correct subparagraph</w:t>
            </w:r>
            <w:r w:rsidRPr="0094292F">
              <w:rPr>
                <w:sz w:val="22"/>
                <w:szCs w:val="22"/>
              </w:rPr>
              <w:t xml:space="preserve">. </w:t>
            </w:r>
          </w:p>
        </w:tc>
      </w:tr>
      <w:tr w:rsidR="00A6325F" w14:paraId="27A2A617" w14:textId="77777777" w:rsidTr="00E321D3">
        <w:tc>
          <w:tcPr>
            <w:tcW w:w="846" w:type="dxa"/>
            <w:tcBorders>
              <w:top w:val="single" w:sz="4" w:space="0" w:color="auto"/>
              <w:left w:val="single" w:sz="4" w:space="0" w:color="auto"/>
              <w:bottom w:val="single" w:sz="4" w:space="0" w:color="auto"/>
              <w:right w:val="single" w:sz="4" w:space="0" w:color="auto"/>
            </w:tcBorders>
          </w:tcPr>
          <w:p w14:paraId="79073C84" w14:textId="2D6CCA95"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3C30CFCC" w14:textId="60D498A8" w:rsidR="00A6325F" w:rsidRPr="0094292F" w:rsidRDefault="00A6325F" w:rsidP="00A20084">
            <w:pPr>
              <w:rPr>
                <w:sz w:val="22"/>
                <w:szCs w:val="22"/>
              </w:rPr>
            </w:pPr>
            <w:r w:rsidRPr="0094292F">
              <w:rPr>
                <w:sz w:val="22"/>
                <w:szCs w:val="22"/>
              </w:rPr>
              <w:t>Subparagraph 3.88N(1)(c)(ii)</w:t>
            </w:r>
          </w:p>
        </w:tc>
        <w:tc>
          <w:tcPr>
            <w:tcW w:w="4541" w:type="dxa"/>
            <w:tcBorders>
              <w:top w:val="single" w:sz="4" w:space="0" w:color="auto"/>
              <w:left w:val="single" w:sz="4" w:space="0" w:color="auto"/>
              <w:bottom w:val="single" w:sz="4" w:space="0" w:color="auto"/>
              <w:right w:val="single" w:sz="4" w:space="0" w:color="auto"/>
            </w:tcBorders>
            <w:hideMark/>
          </w:tcPr>
          <w:p w14:paraId="37A09C8D" w14:textId="77777777" w:rsidR="00A6325F" w:rsidRPr="0094292F" w:rsidRDefault="00A6325F" w:rsidP="00A20084">
            <w:pPr>
              <w:rPr>
                <w:sz w:val="22"/>
                <w:szCs w:val="22"/>
              </w:rPr>
            </w:pPr>
            <w:r w:rsidRPr="0094292F">
              <w:rPr>
                <w:sz w:val="22"/>
                <w:szCs w:val="22"/>
              </w:rPr>
              <w:t xml:space="preserve">Editorial correction. </w:t>
            </w:r>
          </w:p>
        </w:tc>
      </w:tr>
      <w:tr w:rsidR="00A6325F" w14:paraId="762EEC46" w14:textId="77777777" w:rsidTr="00E321D3">
        <w:tc>
          <w:tcPr>
            <w:tcW w:w="846" w:type="dxa"/>
            <w:tcBorders>
              <w:top w:val="single" w:sz="4" w:space="0" w:color="auto"/>
              <w:left w:val="single" w:sz="4" w:space="0" w:color="auto"/>
              <w:bottom w:val="single" w:sz="4" w:space="0" w:color="auto"/>
              <w:right w:val="single" w:sz="4" w:space="0" w:color="auto"/>
            </w:tcBorders>
          </w:tcPr>
          <w:p w14:paraId="58A67656" w14:textId="41A48CF9"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25CA842B" w14:textId="0C9CB490" w:rsidR="00A6325F" w:rsidRPr="0094292F" w:rsidRDefault="00A6325F" w:rsidP="00A20084">
            <w:pPr>
              <w:rPr>
                <w:sz w:val="22"/>
                <w:szCs w:val="22"/>
              </w:rPr>
            </w:pPr>
            <w:r w:rsidRPr="0094292F">
              <w:rPr>
                <w:sz w:val="22"/>
                <w:szCs w:val="22"/>
              </w:rPr>
              <w:t xml:space="preserve">Section 3.88 (the section 3.88 inserted by item 62 of Schedule 1 to the </w:t>
            </w:r>
            <w:r w:rsidRPr="0094292F">
              <w:rPr>
                <w:i/>
                <w:sz w:val="22"/>
                <w:szCs w:val="22"/>
              </w:rPr>
              <w:t>National Greenhouse and Energy Reporting (Measurement) Amendment Determination 2010 (No. 1)</w:t>
            </w:r>
            <w:r w:rsidRPr="0094292F">
              <w:rPr>
                <w:sz w:val="22"/>
                <w:szCs w:val="22"/>
              </w:rPr>
              <w:t>)</w:t>
            </w:r>
          </w:p>
        </w:tc>
        <w:tc>
          <w:tcPr>
            <w:tcW w:w="4541" w:type="dxa"/>
            <w:tcBorders>
              <w:top w:val="single" w:sz="4" w:space="0" w:color="auto"/>
              <w:left w:val="single" w:sz="4" w:space="0" w:color="auto"/>
              <w:bottom w:val="single" w:sz="4" w:space="0" w:color="auto"/>
              <w:right w:val="single" w:sz="4" w:space="0" w:color="auto"/>
            </w:tcBorders>
            <w:hideMark/>
          </w:tcPr>
          <w:p w14:paraId="653D27DB" w14:textId="491A0594" w:rsidR="00A6325F" w:rsidRPr="0094292F" w:rsidRDefault="00A6325F" w:rsidP="00A20084">
            <w:pPr>
              <w:rPr>
                <w:sz w:val="22"/>
                <w:szCs w:val="22"/>
              </w:rPr>
            </w:pPr>
            <w:r w:rsidRPr="0094292F">
              <w:rPr>
                <w:sz w:val="22"/>
                <w:szCs w:val="22"/>
              </w:rPr>
              <w:t>Editorial correction</w:t>
            </w:r>
            <w:r w:rsidR="00551B54">
              <w:rPr>
                <w:sz w:val="22"/>
                <w:szCs w:val="22"/>
              </w:rPr>
              <w:t xml:space="preserve"> to renumber the provision</w:t>
            </w:r>
            <w:r w:rsidRPr="0094292F">
              <w:rPr>
                <w:sz w:val="22"/>
                <w:szCs w:val="22"/>
              </w:rPr>
              <w:t xml:space="preserve">. </w:t>
            </w:r>
          </w:p>
        </w:tc>
      </w:tr>
      <w:tr w:rsidR="00A6325F" w14:paraId="7DBA568A" w14:textId="77777777" w:rsidTr="00E321D3">
        <w:tc>
          <w:tcPr>
            <w:tcW w:w="846" w:type="dxa"/>
            <w:tcBorders>
              <w:top w:val="single" w:sz="4" w:space="0" w:color="auto"/>
              <w:left w:val="single" w:sz="4" w:space="0" w:color="auto"/>
              <w:bottom w:val="single" w:sz="4" w:space="0" w:color="auto"/>
              <w:right w:val="single" w:sz="4" w:space="0" w:color="auto"/>
            </w:tcBorders>
          </w:tcPr>
          <w:p w14:paraId="28407E7F" w14:textId="60C0F3F0"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012B32F8" w14:textId="37704ACB" w:rsidR="00A6325F" w:rsidRPr="0094292F" w:rsidRDefault="00A6325F" w:rsidP="00A20084">
            <w:pPr>
              <w:rPr>
                <w:sz w:val="22"/>
                <w:szCs w:val="22"/>
              </w:rPr>
            </w:pPr>
            <w:r w:rsidRPr="0094292F">
              <w:rPr>
                <w:sz w:val="22"/>
                <w:szCs w:val="22"/>
              </w:rPr>
              <w:t>Sections 4.85 and 4.89</w:t>
            </w:r>
          </w:p>
        </w:tc>
        <w:tc>
          <w:tcPr>
            <w:tcW w:w="4541" w:type="dxa"/>
            <w:tcBorders>
              <w:top w:val="single" w:sz="4" w:space="0" w:color="auto"/>
              <w:left w:val="single" w:sz="4" w:space="0" w:color="auto"/>
              <w:bottom w:val="single" w:sz="4" w:space="0" w:color="auto"/>
              <w:right w:val="single" w:sz="4" w:space="0" w:color="auto"/>
            </w:tcBorders>
            <w:hideMark/>
          </w:tcPr>
          <w:p w14:paraId="714EF92E" w14:textId="6EE439AF" w:rsidR="00A6325F" w:rsidRPr="0094292F" w:rsidRDefault="00A6325F" w:rsidP="00A20084">
            <w:pPr>
              <w:rPr>
                <w:sz w:val="22"/>
                <w:szCs w:val="22"/>
              </w:rPr>
            </w:pPr>
            <w:r w:rsidRPr="0094292F">
              <w:rPr>
                <w:sz w:val="22"/>
                <w:szCs w:val="22"/>
              </w:rPr>
              <w:t xml:space="preserve">Repeals Method 1 for estimating emissions of tetrafluoromethane and hexafluoroethane in aluminium production. These methods are redundant as they are not available </w:t>
            </w:r>
            <w:r w:rsidR="00551B54">
              <w:rPr>
                <w:sz w:val="22"/>
                <w:szCs w:val="22"/>
              </w:rPr>
              <w:t xml:space="preserve">to </w:t>
            </w:r>
            <w:r w:rsidRPr="0094292F">
              <w:rPr>
                <w:sz w:val="22"/>
                <w:szCs w:val="22"/>
              </w:rPr>
              <w:t xml:space="preserve">be used to estimate emissions of these gases from aluminium production (see subsections 4.84(1) and 4.88(1) of the Measurement Determination). </w:t>
            </w:r>
          </w:p>
        </w:tc>
      </w:tr>
      <w:tr w:rsidR="00A6325F" w:rsidRPr="00862958" w14:paraId="21D08A1F" w14:textId="77777777" w:rsidTr="00E321D3">
        <w:tc>
          <w:tcPr>
            <w:tcW w:w="846" w:type="dxa"/>
            <w:tcBorders>
              <w:top w:val="single" w:sz="4" w:space="0" w:color="auto"/>
              <w:left w:val="single" w:sz="4" w:space="0" w:color="auto"/>
              <w:bottom w:val="single" w:sz="4" w:space="0" w:color="auto"/>
              <w:right w:val="single" w:sz="4" w:space="0" w:color="auto"/>
            </w:tcBorders>
          </w:tcPr>
          <w:p w14:paraId="75DD96AB" w14:textId="655B22F7"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7096E909" w14:textId="18A151DA" w:rsidR="00A6325F" w:rsidRPr="00862958" w:rsidRDefault="00643260" w:rsidP="00A20084">
            <w:pPr>
              <w:rPr>
                <w:sz w:val="22"/>
                <w:szCs w:val="22"/>
              </w:rPr>
            </w:pPr>
            <w:r w:rsidRPr="00862958">
              <w:rPr>
                <w:sz w:val="22"/>
                <w:szCs w:val="22"/>
              </w:rPr>
              <w:t>S</w:t>
            </w:r>
            <w:r w:rsidR="00A6325F" w:rsidRPr="00862958">
              <w:rPr>
                <w:sz w:val="22"/>
                <w:szCs w:val="22"/>
              </w:rPr>
              <w:t>ubsections 5.4(2) to (5)</w:t>
            </w:r>
          </w:p>
        </w:tc>
        <w:tc>
          <w:tcPr>
            <w:tcW w:w="4541" w:type="dxa"/>
            <w:tcBorders>
              <w:top w:val="single" w:sz="4" w:space="0" w:color="auto"/>
              <w:left w:val="single" w:sz="4" w:space="0" w:color="auto"/>
              <w:bottom w:val="single" w:sz="4" w:space="0" w:color="auto"/>
              <w:right w:val="single" w:sz="4" w:space="0" w:color="auto"/>
            </w:tcBorders>
            <w:hideMark/>
          </w:tcPr>
          <w:p w14:paraId="36E24728" w14:textId="4485CEB5" w:rsidR="00E15391" w:rsidRPr="00862958" w:rsidRDefault="00A6325F" w:rsidP="00A20084">
            <w:pPr>
              <w:rPr>
                <w:sz w:val="22"/>
                <w:szCs w:val="22"/>
              </w:rPr>
            </w:pPr>
            <w:r w:rsidRPr="00862958">
              <w:rPr>
                <w:sz w:val="22"/>
                <w:szCs w:val="22"/>
              </w:rPr>
              <w:t>Updates the formula under Method 1 for estimating methane released from landfills (other than from flaring of methane)</w:t>
            </w:r>
            <w:r w:rsidR="00C74636" w:rsidRPr="00862958">
              <w:rPr>
                <w:sz w:val="22"/>
                <w:szCs w:val="22"/>
              </w:rPr>
              <w:t xml:space="preserve"> to increas</w:t>
            </w:r>
            <w:r w:rsidR="00884E1B" w:rsidRPr="00862958">
              <w:rPr>
                <w:sz w:val="22"/>
                <w:szCs w:val="22"/>
              </w:rPr>
              <w:t>e the maximum methane collection efficiency</w:t>
            </w:r>
            <w:r w:rsidR="0044340D" w:rsidRPr="00862958">
              <w:rPr>
                <w:sz w:val="22"/>
                <w:szCs w:val="22"/>
              </w:rPr>
              <w:t xml:space="preserve"> for the landfill</w:t>
            </w:r>
            <w:r w:rsidR="009C5434" w:rsidRPr="00C3292E">
              <w:rPr>
                <w:sz w:val="22"/>
                <w:szCs w:val="22"/>
              </w:rPr>
              <w:t xml:space="preserve">, which </w:t>
            </w:r>
            <w:r w:rsidR="0000752B" w:rsidRPr="00C3292E">
              <w:rPr>
                <w:sz w:val="22"/>
                <w:szCs w:val="22"/>
              </w:rPr>
              <w:t>is now calculated under section 5.15C</w:t>
            </w:r>
            <w:r w:rsidR="00BA5159" w:rsidRPr="00C3292E">
              <w:rPr>
                <w:sz w:val="22"/>
                <w:szCs w:val="22"/>
              </w:rPr>
              <w:t>.</w:t>
            </w:r>
          </w:p>
        </w:tc>
      </w:tr>
      <w:tr w:rsidR="00A6325F" w:rsidRPr="00862958" w14:paraId="42BA1020" w14:textId="77777777" w:rsidTr="00E321D3">
        <w:tc>
          <w:tcPr>
            <w:tcW w:w="846" w:type="dxa"/>
            <w:tcBorders>
              <w:top w:val="single" w:sz="4" w:space="0" w:color="auto"/>
              <w:left w:val="single" w:sz="4" w:space="0" w:color="auto"/>
              <w:bottom w:val="single" w:sz="4" w:space="0" w:color="auto"/>
              <w:right w:val="single" w:sz="4" w:space="0" w:color="auto"/>
            </w:tcBorders>
          </w:tcPr>
          <w:p w14:paraId="1F338D01" w14:textId="74594355" w:rsidR="00A6325F" w:rsidRPr="00862958"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584F90C4" w14:textId="7C33E1E2" w:rsidR="00A6325F" w:rsidRPr="00862958" w:rsidRDefault="00A6325F" w:rsidP="00A20084">
            <w:pPr>
              <w:rPr>
                <w:sz w:val="22"/>
                <w:szCs w:val="22"/>
              </w:rPr>
            </w:pPr>
            <w:r w:rsidRPr="00862958">
              <w:rPr>
                <w:sz w:val="22"/>
                <w:szCs w:val="22"/>
              </w:rPr>
              <w:t>Sections 5.4A, 5.4B, 5.4C, 5.4D, 5.13, and 5.15</w:t>
            </w:r>
          </w:p>
        </w:tc>
        <w:tc>
          <w:tcPr>
            <w:tcW w:w="4541" w:type="dxa"/>
            <w:tcBorders>
              <w:top w:val="single" w:sz="4" w:space="0" w:color="auto"/>
              <w:left w:val="single" w:sz="4" w:space="0" w:color="auto"/>
              <w:bottom w:val="single" w:sz="4" w:space="0" w:color="auto"/>
              <w:right w:val="single" w:sz="4" w:space="0" w:color="auto"/>
            </w:tcBorders>
            <w:hideMark/>
          </w:tcPr>
          <w:p w14:paraId="7F71904F" w14:textId="5E8B52EB" w:rsidR="00A6325F" w:rsidRPr="00862958" w:rsidRDefault="00A6325F" w:rsidP="00A20084">
            <w:pPr>
              <w:rPr>
                <w:sz w:val="22"/>
                <w:szCs w:val="22"/>
              </w:rPr>
            </w:pPr>
            <w:r w:rsidRPr="00862958">
              <w:rPr>
                <w:sz w:val="22"/>
                <w:szCs w:val="22"/>
              </w:rPr>
              <w:t>Replaces references to subsection 5.4(5) wherever occurring with references to subsection 5.4(4)</w:t>
            </w:r>
            <w:r w:rsidR="00356FEB" w:rsidRPr="00862958">
              <w:rPr>
                <w:sz w:val="22"/>
                <w:szCs w:val="22"/>
              </w:rPr>
              <w:t xml:space="preserve"> to </w:t>
            </w:r>
            <w:r w:rsidR="00AC705D" w:rsidRPr="00862958">
              <w:rPr>
                <w:sz w:val="22"/>
                <w:szCs w:val="22"/>
              </w:rPr>
              <w:t>reflect the amendment made by item 14 above.</w:t>
            </w:r>
          </w:p>
        </w:tc>
      </w:tr>
      <w:tr w:rsidR="00207991" w:rsidRPr="00862958" w14:paraId="30A81FE1" w14:textId="77777777" w:rsidTr="00E321D3">
        <w:tc>
          <w:tcPr>
            <w:tcW w:w="846" w:type="dxa"/>
            <w:tcBorders>
              <w:top w:val="single" w:sz="4" w:space="0" w:color="auto"/>
              <w:left w:val="single" w:sz="4" w:space="0" w:color="auto"/>
              <w:bottom w:val="single" w:sz="4" w:space="0" w:color="auto"/>
              <w:right w:val="single" w:sz="4" w:space="0" w:color="auto"/>
            </w:tcBorders>
          </w:tcPr>
          <w:p w14:paraId="249644C2" w14:textId="77777777" w:rsidR="00207991" w:rsidRPr="00862958" w:rsidRDefault="00207991"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3D89EAB" w14:textId="3008C8CA" w:rsidR="00207991" w:rsidRPr="00862958" w:rsidRDefault="00207991" w:rsidP="00A20084">
            <w:pPr>
              <w:rPr>
                <w:sz w:val="22"/>
                <w:szCs w:val="22"/>
              </w:rPr>
            </w:pPr>
            <w:r w:rsidRPr="00862958">
              <w:rPr>
                <w:sz w:val="22"/>
                <w:szCs w:val="22"/>
              </w:rPr>
              <w:t>Subsection 5.15</w:t>
            </w:r>
            <w:r w:rsidR="003A3525" w:rsidRPr="00C3292E">
              <w:rPr>
                <w:sz w:val="22"/>
                <w:szCs w:val="22"/>
              </w:rPr>
              <w:t>C</w:t>
            </w:r>
          </w:p>
        </w:tc>
        <w:tc>
          <w:tcPr>
            <w:tcW w:w="4541" w:type="dxa"/>
            <w:tcBorders>
              <w:top w:val="single" w:sz="4" w:space="0" w:color="auto"/>
              <w:left w:val="single" w:sz="4" w:space="0" w:color="auto"/>
              <w:bottom w:val="single" w:sz="4" w:space="0" w:color="auto"/>
              <w:right w:val="single" w:sz="4" w:space="0" w:color="auto"/>
            </w:tcBorders>
          </w:tcPr>
          <w:p w14:paraId="3D68B570" w14:textId="5C0BB098" w:rsidR="00207991" w:rsidRPr="00C3292E" w:rsidRDefault="007C59E3" w:rsidP="00A20084">
            <w:pPr>
              <w:rPr>
                <w:sz w:val="22"/>
                <w:szCs w:val="22"/>
              </w:rPr>
            </w:pPr>
            <w:r w:rsidRPr="00862958">
              <w:rPr>
                <w:sz w:val="22"/>
                <w:szCs w:val="22"/>
              </w:rPr>
              <w:t>Updates</w:t>
            </w:r>
            <w:r w:rsidR="00DD3FCC" w:rsidRPr="00862958">
              <w:rPr>
                <w:sz w:val="22"/>
                <w:szCs w:val="22"/>
              </w:rPr>
              <w:t xml:space="preserve"> </w:t>
            </w:r>
            <w:r w:rsidR="00120A8D" w:rsidRPr="00862958">
              <w:rPr>
                <w:sz w:val="22"/>
                <w:szCs w:val="22"/>
              </w:rPr>
              <w:t xml:space="preserve">the definitions of </w:t>
            </w:r>
            <w:r w:rsidR="00DD3FCC" w:rsidRPr="00862958">
              <w:rPr>
                <w:sz w:val="22"/>
                <w:szCs w:val="22"/>
              </w:rPr>
              <w:t>categories A4 and A5</w:t>
            </w:r>
            <w:r w:rsidR="00AD08BA" w:rsidRPr="00862958">
              <w:rPr>
                <w:sz w:val="22"/>
                <w:szCs w:val="22"/>
              </w:rPr>
              <w:t xml:space="preserve"> to </w:t>
            </w:r>
            <w:r w:rsidR="004C439D" w:rsidRPr="00862958">
              <w:rPr>
                <w:sz w:val="22"/>
                <w:szCs w:val="22"/>
              </w:rPr>
              <w:t>better reflect modern industry practice and environmental regulation.</w:t>
            </w:r>
          </w:p>
          <w:p w14:paraId="184BD7F2" w14:textId="77E2D9E2" w:rsidR="00A6304C" w:rsidRPr="00862958" w:rsidRDefault="00E04C32" w:rsidP="00A20084">
            <w:pPr>
              <w:rPr>
                <w:sz w:val="22"/>
                <w:szCs w:val="22"/>
              </w:rPr>
            </w:pPr>
            <w:r w:rsidRPr="00C3292E">
              <w:rPr>
                <w:sz w:val="22"/>
                <w:szCs w:val="22"/>
              </w:rPr>
              <w:t xml:space="preserve">Updates </w:t>
            </w:r>
            <w:r w:rsidR="00BF6C7A" w:rsidRPr="00C3292E">
              <w:rPr>
                <w:sz w:val="22"/>
                <w:szCs w:val="22"/>
              </w:rPr>
              <w:t xml:space="preserve">the equation to be applied </w:t>
            </w:r>
            <w:r w:rsidR="00D132FB">
              <w:rPr>
                <w:sz w:val="22"/>
                <w:szCs w:val="22"/>
              </w:rPr>
              <w:t xml:space="preserve">in </w:t>
            </w:r>
            <w:r w:rsidR="00AE5488" w:rsidRPr="00C3292E">
              <w:rPr>
                <w:sz w:val="22"/>
                <w:szCs w:val="22"/>
              </w:rPr>
              <w:t>subsection</w:t>
            </w:r>
            <w:r w:rsidR="00E47B24">
              <w:rPr>
                <w:sz w:val="22"/>
                <w:szCs w:val="22"/>
              </w:rPr>
              <w:t> </w:t>
            </w:r>
            <w:r w:rsidR="00AE5488" w:rsidRPr="00C3292E">
              <w:rPr>
                <w:sz w:val="22"/>
                <w:szCs w:val="22"/>
              </w:rPr>
              <w:t>(3)</w:t>
            </w:r>
            <w:r w:rsidR="00BF6C7A" w:rsidRPr="00C3292E">
              <w:rPr>
                <w:sz w:val="22"/>
                <w:szCs w:val="22"/>
              </w:rPr>
              <w:t xml:space="preserve"> to calculate</w:t>
            </w:r>
            <w:r w:rsidR="000C304A" w:rsidRPr="00C3292E">
              <w:rPr>
                <w:sz w:val="22"/>
                <w:szCs w:val="22"/>
              </w:rPr>
              <w:t xml:space="preserve"> collection efficiency </w:t>
            </w:r>
            <w:r w:rsidR="00C42C61" w:rsidRPr="00C3292E">
              <w:rPr>
                <w:sz w:val="22"/>
                <w:szCs w:val="22"/>
              </w:rPr>
              <w:lastRenderedPageBreak/>
              <w:t>where a landfill operator</w:t>
            </w:r>
            <w:r w:rsidR="00675937" w:rsidRPr="00C3292E">
              <w:rPr>
                <w:sz w:val="22"/>
                <w:szCs w:val="22"/>
              </w:rPr>
              <w:t xml:space="preserve"> is unable to specify the areas</w:t>
            </w:r>
            <w:r w:rsidR="00E21B98" w:rsidRPr="00C3292E">
              <w:rPr>
                <w:sz w:val="22"/>
                <w:szCs w:val="22"/>
              </w:rPr>
              <w:t xml:space="preserve"> to which different categories of </w:t>
            </w:r>
            <w:r w:rsidR="000862C5" w:rsidRPr="00C3292E">
              <w:rPr>
                <w:sz w:val="22"/>
                <w:szCs w:val="22"/>
              </w:rPr>
              <w:t xml:space="preserve">management </w:t>
            </w:r>
            <w:r w:rsidR="00862958" w:rsidRPr="00C3292E">
              <w:rPr>
                <w:sz w:val="22"/>
                <w:szCs w:val="22"/>
              </w:rPr>
              <w:t xml:space="preserve">techniques </w:t>
            </w:r>
            <w:r w:rsidR="000862C5" w:rsidRPr="00C3292E">
              <w:rPr>
                <w:sz w:val="22"/>
                <w:szCs w:val="22"/>
              </w:rPr>
              <w:t>are applied</w:t>
            </w:r>
            <w:r w:rsidR="00BF6C7A" w:rsidRPr="00C3292E">
              <w:rPr>
                <w:sz w:val="22"/>
                <w:szCs w:val="22"/>
              </w:rPr>
              <w:t>.</w:t>
            </w:r>
          </w:p>
        </w:tc>
      </w:tr>
      <w:tr w:rsidR="00A6325F" w14:paraId="7A40A282" w14:textId="77777777" w:rsidTr="00E321D3">
        <w:tc>
          <w:tcPr>
            <w:tcW w:w="846" w:type="dxa"/>
            <w:tcBorders>
              <w:top w:val="single" w:sz="4" w:space="0" w:color="auto"/>
              <w:left w:val="single" w:sz="4" w:space="0" w:color="auto"/>
              <w:bottom w:val="single" w:sz="4" w:space="0" w:color="auto"/>
              <w:right w:val="single" w:sz="4" w:space="0" w:color="auto"/>
            </w:tcBorders>
          </w:tcPr>
          <w:p w14:paraId="71A20271" w14:textId="1F78F969" w:rsidR="00A6325F" w:rsidRPr="00862958"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770964FA" w14:textId="1D731005" w:rsidR="00A6325F" w:rsidRPr="00862958" w:rsidRDefault="00A6325F" w:rsidP="00A20084">
            <w:pPr>
              <w:rPr>
                <w:sz w:val="22"/>
                <w:szCs w:val="22"/>
              </w:rPr>
            </w:pPr>
            <w:r w:rsidRPr="00862958">
              <w:rPr>
                <w:sz w:val="22"/>
                <w:szCs w:val="22"/>
              </w:rPr>
              <w:t>Chapter 7</w:t>
            </w:r>
          </w:p>
        </w:tc>
        <w:tc>
          <w:tcPr>
            <w:tcW w:w="4541" w:type="dxa"/>
            <w:tcBorders>
              <w:top w:val="single" w:sz="4" w:space="0" w:color="auto"/>
              <w:left w:val="single" w:sz="4" w:space="0" w:color="auto"/>
              <w:bottom w:val="single" w:sz="4" w:space="0" w:color="auto"/>
              <w:right w:val="single" w:sz="4" w:space="0" w:color="auto"/>
            </w:tcBorders>
            <w:hideMark/>
          </w:tcPr>
          <w:p w14:paraId="3E73C45B" w14:textId="1863E49D" w:rsidR="00A6325F" w:rsidRPr="0094292F" w:rsidRDefault="00A6325F" w:rsidP="00A20084">
            <w:pPr>
              <w:rPr>
                <w:sz w:val="22"/>
                <w:szCs w:val="22"/>
              </w:rPr>
            </w:pPr>
            <w:r w:rsidRPr="00862958">
              <w:rPr>
                <w:sz w:val="22"/>
                <w:szCs w:val="22"/>
              </w:rPr>
              <w:t xml:space="preserve">Introduces an optional, supplementary market-based method </w:t>
            </w:r>
            <w:r w:rsidR="00F22382" w:rsidRPr="00862958">
              <w:rPr>
                <w:sz w:val="22"/>
                <w:szCs w:val="22"/>
              </w:rPr>
              <w:t xml:space="preserve">(method B) </w:t>
            </w:r>
            <w:r w:rsidRPr="00862958">
              <w:rPr>
                <w:sz w:val="22"/>
                <w:szCs w:val="22"/>
              </w:rPr>
              <w:t>for the estimation of scope 2 emissions from purchased or acquired electricity.</w:t>
            </w:r>
          </w:p>
        </w:tc>
      </w:tr>
      <w:tr w:rsidR="00A6325F" w14:paraId="5FFFF8E7" w14:textId="77777777" w:rsidTr="00E321D3">
        <w:tc>
          <w:tcPr>
            <w:tcW w:w="846" w:type="dxa"/>
            <w:tcBorders>
              <w:top w:val="single" w:sz="4" w:space="0" w:color="auto"/>
              <w:left w:val="single" w:sz="4" w:space="0" w:color="auto"/>
              <w:bottom w:val="single" w:sz="4" w:space="0" w:color="auto"/>
              <w:right w:val="single" w:sz="4" w:space="0" w:color="auto"/>
            </w:tcBorders>
          </w:tcPr>
          <w:p w14:paraId="3BF9B289" w14:textId="7F04E96A"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1CA7520F" w14:textId="46DD3C5E" w:rsidR="00A6325F" w:rsidRPr="0094292F" w:rsidRDefault="00A6325F" w:rsidP="00A20084">
            <w:pPr>
              <w:rPr>
                <w:sz w:val="22"/>
                <w:szCs w:val="22"/>
              </w:rPr>
            </w:pPr>
            <w:r w:rsidRPr="0094292F">
              <w:rPr>
                <w:sz w:val="22"/>
                <w:szCs w:val="22"/>
              </w:rPr>
              <w:t>Subsection 8.6(1) (table item 30)</w:t>
            </w:r>
          </w:p>
        </w:tc>
        <w:tc>
          <w:tcPr>
            <w:tcW w:w="4541" w:type="dxa"/>
            <w:tcBorders>
              <w:top w:val="single" w:sz="4" w:space="0" w:color="auto"/>
              <w:left w:val="single" w:sz="4" w:space="0" w:color="auto"/>
              <w:bottom w:val="single" w:sz="4" w:space="0" w:color="auto"/>
              <w:right w:val="single" w:sz="4" w:space="0" w:color="auto"/>
            </w:tcBorders>
            <w:hideMark/>
          </w:tcPr>
          <w:p w14:paraId="5A03D49A" w14:textId="3DDA2CF3" w:rsidR="00A6325F" w:rsidRPr="0094292F" w:rsidRDefault="00A6325F" w:rsidP="00A20084">
            <w:pPr>
              <w:rPr>
                <w:sz w:val="22"/>
                <w:szCs w:val="22"/>
              </w:rPr>
            </w:pPr>
            <w:r w:rsidRPr="0094292F">
              <w:rPr>
                <w:sz w:val="22"/>
                <w:szCs w:val="22"/>
              </w:rPr>
              <w:t>Editorial correction</w:t>
            </w:r>
            <w:r w:rsidR="00E32046">
              <w:rPr>
                <w:sz w:val="22"/>
                <w:szCs w:val="22"/>
              </w:rPr>
              <w:t xml:space="preserve"> so that the table item refers to the correct table item numbers</w:t>
            </w:r>
            <w:r w:rsidRPr="0094292F">
              <w:rPr>
                <w:sz w:val="22"/>
                <w:szCs w:val="22"/>
              </w:rPr>
              <w:t xml:space="preserve">.   </w:t>
            </w:r>
          </w:p>
        </w:tc>
      </w:tr>
      <w:tr w:rsidR="00A6325F" w14:paraId="190EBFCB" w14:textId="77777777" w:rsidTr="00E321D3">
        <w:tc>
          <w:tcPr>
            <w:tcW w:w="846" w:type="dxa"/>
            <w:tcBorders>
              <w:top w:val="single" w:sz="4" w:space="0" w:color="auto"/>
              <w:left w:val="single" w:sz="4" w:space="0" w:color="auto"/>
              <w:bottom w:val="single" w:sz="4" w:space="0" w:color="auto"/>
              <w:right w:val="single" w:sz="4" w:space="0" w:color="auto"/>
            </w:tcBorders>
          </w:tcPr>
          <w:p w14:paraId="7F1BB868" w14:textId="7A7B7127"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79FC9167" w14:textId="162D7A54" w:rsidR="00A6325F" w:rsidRPr="0094292F" w:rsidRDefault="00A6325F" w:rsidP="00A20084">
            <w:pPr>
              <w:rPr>
                <w:sz w:val="22"/>
                <w:szCs w:val="22"/>
              </w:rPr>
            </w:pPr>
            <w:r w:rsidRPr="0094292F">
              <w:rPr>
                <w:sz w:val="22"/>
                <w:szCs w:val="22"/>
              </w:rPr>
              <w:t>Subsection 8.6(1) (after table item 50)</w:t>
            </w:r>
          </w:p>
        </w:tc>
        <w:tc>
          <w:tcPr>
            <w:tcW w:w="4541" w:type="dxa"/>
            <w:tcBorders>
              <w:top w:val="single" w:sz="4" w:space="0" w:color="auto"/>
              <w:left w:val="single" w:sz="4" w:space="0" w:color="auto"/>
              <w:bottom w:val="single" w:sz="4" w:space="0" w:color="auto"/>
              <w:right w:val="single" w:sz="4" w:space="0" w:color="auto"/>
            </w:tcBorders>
            <w:hideMark/>
          </w:tcPr>
          <w:p w14:paraId="6AB2080A" w14:textId="77777777" w:rsidR="00C5416E" w:rsidRDefault="00A6325F" w:rsidP="00A20084">
            <w:pPr>
              <w:rPr>
                <w:sz w:val="22"/>
                <w:szCs w:val="22"/>
              </w:rPr>
            </w:pPr>
            <w:r w:rsidRPr="0094292F">
              <w:rPr>
                <w:sz w:val="22"/>
                <w:szCs w:val="22"/>
              </w:rPr>
              <w:t xml:space="preserve">Prescribes the energy content uncertainty and carbon dioxide emission factor uncertainty to be used when reporting emissions from combustion of </w:t>
            </w:r>
            <w:r w:rsidR="005A1B3D" w:rsidRPr="0094292F">
              <w:rPr>
                <w:i/>
                <w:sz w:val="22"/>
                <w:szCs w:val="22"/>
              </w:rPr>
              <w:t>renewable diesel</w:t>
            </w:r>
            <w:r w:rsidR="005A1B3D" w:rsidRPr="0094292F">
              <w:rPr>
                <w:sz w:val="22"/>
                <w:szCs w:val="22"/>
              </w:rPr>
              <w:t xml:space="preserve"> and </w:t>
            </w:r>
            <w:r w:rsidR="005A1B3D" w:rsidRPr="0094292F">
              <w:rPr>
                <w:i/>
                <w:sz w:val="22"/>
                <w:szCs w:val="22"/>
              </w:rPr>
              <w:t xml:space="preserve">renewable </w:t>
            </w:r>
            <w:r w:rsidR="005A1B3D">
              <w:rPr>
                <w:i/>
                <w:sz w:val="22"/>
                <w:szCs w:val="22"/>
              </w:rPr>
              <w:t xml:space="preserve">aviation </w:t>
            </w:r>
            <w:r w:rsidR="005A1B3D" w:rsidRPr="0094292F">
              <w:rPr>
                <w:i/>
                <w:sz w:val="22"/>
                <w:szCs w:val="22"/>
              </w:rPr>
              <w:t>kerosene</w:t>
            </w:r>
            <w:r w:rsidR="005A1B3D" w:rsidRPr="0094292F">
              <w:rPr>
                <w:sz w:val="22"/>
                <w:szCs w:val="22"/>
              </w:rPr>
              <w:t xml:space="preserve"> </w:t>
            </w:r>
            <w:r w:rsidRPr="0094292F">
              <w:rPr>
                <w:sz w:val="22"/>
                <w:szCs w:val="22"/>
              </w:rPr>
              <w:t>using Method 1.</w:t>
            </w:r>
            <w:r w:rsidR="00A27F0A">
              <w:rPr>
                <w:sz w:val="22"/>
                <w:szCs w:val="22"/>
              </w:rPr>
              <w:t xml:space="preserve"> </w:t>
            </w:r>
          </w:p>
          <w:p w14:paraId="6963144D" w14:textId="4E1A86CB" w:rsidR="00A6325F" w:rsidRPr="0094292F" w:rsidRDefault="00A27F0A" w:rsidP="00A20084">
            <w:pPr>
              <w:rPr>
                <w:sz w:val="22"/>
                <w:szCs w:val="22"/>
              </w:rPr>
            </w:pPr>
            <w:r>
              <w:rPr>
                <w:sz w:val="22"/>
                <w:szCs w:val="22"/>
              </w:rPr>
              <w:t xml:space="preserve">Energy content uncertainty factors are as for </w:t>
            </w:r>
            <w:r w:rsidR="00B0391B" w:rsidRPr="00F50673">
              <w:rPr>
                <w:i/>
                <w:iCs/>
                <w:sz w:val="22"/>
                <w:szCs w:val="22"/>
              </w:rPr>
              <w:t>diesel oil</w:t>
            </w:r>
            <w:r w:rsidR="00B0391B">
              <w:rPr>
                <w:sz w:val="22"/>
                <w:szCs w:val="22"/>
              </w:rPr>
              <w:t xml:space="preserve"> and </w:t>
            </w:r>
            <w:r w:rsidR="00B0391B" w:rsidRPr="00F50673">
              <w:rPr>
                <w:i/>
                <w:iCs/>
                <w:sz w:val="22"/>
                <w:szCs w:val="22"/>
              </w:rPr>
              <w:t>kerosene for use in an aircraft</w:t>
            </w:r>
            <w:r w:rsidR="00B0391B">
              <w:rPr>
                <w:sz w:val="22"/>
                <w:szCs w:val="22"/>
              </w:rPr>
              <w:t>.</w:t>
            </w:r>
            <w:r w:rsidR="00F50673">
              <w:rPr>
                <w:sz w:val="22"/>
                <w:szCs w:val="22"/>
              </w:rPr>
              <w:t xml:space="preserve"> Carbon dioxide uncertainty factors are not applicable as these fuels are assigned a </w:t>
            </w:r>
            <w:r w:rsidR="000128C7">
              <w:rPr>
                <w:sz w:val="22"/>
                <w:szCs w:val="22"/>
              </w:rPr>
              <w:t>carbon dioxide emission factor of zero by item</w:t>
            </w:r>
            <w:r w:rsidR="00BA5F75">
              <w:rPr>
                <w:sz w:val="22"/>
                <w:szCs w:val="22"/>
              </w:rPr>
              <w:t>s 22 to 26 below.</w:t>
            </w:r>
            <w:r w:rsidR="000128C7">
              <w:rPr>
                <w:sz w:val="22"/>
                <w:szCs w:val="22"/>
              </w:rPr>
              <w:t xml:space="preserve"> </w:t>
            </w:r>
          </w:p>
        </w:tc>
      </w:tr>
      <w:tr w:rsidR="00A6325F" w14:paraId="7665438B" w14:textId="77777777" w:rsidTr="00E321D3">
        <w:tc>
          <w:tcPr>
            <w:tcW w:w="846" w:type="dxa"/>
            <w:tcBorders>
              <w:top w:val="single" w:sz="4" w:space="0" w:color="auto"/>
              <w:left w:val="single" w:sz="4" w:space="0" w:color="auto"/>
              <w:bottom w:val="single" w:sz="4" w:space="0" w:color="auto"/>
              <w:right w:val="single" w:sz="4" w:space="0" w:color="auto"/>
            </w:tcBorders>
          </w:tcPr>
          <w:p w14:paraId="54CDB051" w14:textId="6CB0E9DD"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65E07ED9" w14:textId="67981D9A" w:rsidR="00A6325F" w:rsidRPr="0094292F" w:rsidRDefault="00A6325F" w:rsidP="00A20084">
            <w:pPr>
              <w:rPr>
                <w:sz w:val="22"/>
                <w:szCs w:val="22"/>
              </w:rPr>
            </w:pPr>
            <w:r w:rsidRPr="0094292F">
              <w:rPr>
                <w:sz w:val="22"/>
                <w:szCs w:val="22"/>
              </w:rPr>
              <w:t>Subsection 8.6(1) (table item 52)</w:t>
            </w:r>
          </w:p>
        </w:tc>
        <w:tc>
          <w:tcPr>
            <w:tcW w:w="4541" w:type="dxa"/>
            <w:tcBorders>
              <w:top w:val="single" w:sz="4" w:space="0" w:color="auto"/>
              <w:left w:val="single" w:sz="4" w:space="0" w:color="auto"/>
              <w:bottom w:val="single" w:sz="4" w:space="0" w:color="auto"/>
              <w:right w:val="single" w:sz="4" w:space="0" w:color="auto"/>
            </w:tcBorders>
            <w:hideMark/>
          </w:tcPr>
          <w:p w14:paraId="706F3C32" w14:textId="77777777" w:rsidR="00A6325F" w:rsidRPr="0094292F" w:rsidRDefault="00A6325F" w:rsidP="00A20084">
            <w:pPr>
              <w:rPr>
                <w:sz w:val="22"/>
                <w:szCs w:val="22"/>
              </w:rPr>
            </w:pPr>
            <w:r w:rsidRPr="0094292F">
              <w:rPr>
                <w:sz w:val="22"/>
                <w:szCs w:val="22"/>
              </w:rPr>
              <w:t xml:space="preserve">Repeals the former table item 52 and substitutes a new table item 52 that accounts for the newly inserted table items 50A and 50B.  </w:t>
            </w:r>
          </w:p>
        </w:tc>
      </w:tr>
      <w:tr w:rsidR="00A6325F" w14:paraId="4F9D7CDB" w14:textId="77777777" w:rsidTr="00E321D3">
        <w:tc>
          <w:tcPr>
            <w:tcW w:w="846" w:type="dxa"/>
            <w:tcBorders>
              <w:top w:val="single" w:sz="4" w:space="0" w:color="auto"/>
              <w:left w:val="single" w:sz="4" w:space="0" w:color="auto"/>
              <w:bottom w:val="single" w:sz="4" w:space="0" w:color="auto"/>
              <w:right w:val="single" w:sz="4" w:space="0" w:color="auto"/>
            </w:tcBorders>
          </w:tcPr>
          <w:p w14:paraId="637C871B" w14:textId="5A08B77F"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25DD3597" w14:textId="584304A2" w:rsidR="00A6325F" w:rsidRPr="0094292F" w:rsidRDefault="00A6325F" w:rsidP="00A20084">
            <w:pPr>
              <w:rPr>
                <w:sz w:val="22"/>
                <w:szCs w:val="22"/>
              </w:rPr>
            </w:pPr>
            <w:r w:rsidRPr="0094292F">
              <w:rPr>
                <w:sz w:val="22"/>
                <w:szCs w:val="22"/>
              </w:rPr>
              <w:t>After section 9.15</w:t>
            </w:r>
          </w:p>
        </w:tc>
        <w:tc>
          <w:tcPr>
            <w:tcW w:w="4541" w:type="dxa"/>
            <w:tcBorders>
              <w:top w:val="single" w:sz="4" w:space="0" w:color="auto"/>
              <w:left w:val="single" w:sz="4" w:space="0" w:color="auto"/>
              <w:bottom w:val="single" w:sz="4" w:space="0" w:color="auto"/>
              <w:right w:val="single" w:sz="4" w:space="0" w:color="auto"/>
            </w:tcBorders>
            <w:hideMark/>
          </w:tcPr>
          <w:p w14:paraId="325DB2B4" w14:textId="77777777" w:rsidR="00A6325F" w:rsidRPr="0094292F" w:rsidRDefault="00A6325F" w:rsidP="00A20084">
            <w:pPr>
              <w:rPr>
                <w:sz w:val="22"/>
                <w:szCs w:val="22"/>
              </w:rPr>
            </w:pPr>
            <w:r w:rsidRPr="0094292F">
              <w:rPr>
                <w:sz w:val="22"/>
                <w:szCs w:val="22"/>
              </w:rPr>
              <w:t>Provides that amendments made by this instrument apply in relation to reporting for the financial year 2023-24 and later financial years.</w:t>
            </w:r>
          </w:p>
        </w:tc>
      </w:tr>
      <w:tr w:rsidR="00A6325F" w14:paraId="29061406" w14:textId="77777777" w:rsidTr="00E321D3">
        <w:tc>
          <w:tcPr>
            <w:tcW w:w="846" w:type="dxa"/>
            <w:tcBorders>
              <w:top w:val="single" w:sz="4" w:space="0" w:color="auto"/>
              <w:left w:val="single" w:sz="4" w:space="0" w:color="auto"/>
              <w:bottom w:val="single" w:sz="4" w:space="0" w:color="auto"/>
              <w:right w:val="single" w:sz="4" w:space="0" w:color="auto"/>
            </w:tcBorders>
          </w:tcPr>
          <w:p w14:paraId="7C61986D" w14:textId="1B7478DA"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67CBB2C0" w14:textId="193E37F9" w:rsidR="00A6325F" w:rsidRPr="0094292F" w:rsidRDefault="00A6325F" w:rsidP="00A20084">
            <w:pPr>
              <w:rPr>
                <w:sz w:val="22"/>
                <w:szCs w:val="22"/>
              </w:rPr>
            </w:pPr>
            <w:r w:rsidRPr="0094292F">
              <w:rPr>
                <w:sz w:val="22"/>
                <w:szCs w:val="22"/>
              </w:rPr>
              <w:t>Part 2 of Schedule 1 (table item 17, column 2)</w:t>
            </w:r>
          </w:p>
        </w:tc>
        <w:tc>
          <w:tcPr>
            <w:tcW w:w="4541" w:type="dxa"/>
            <w:tcBorders>
              <w:top w:val="single" w:sz="4" w:space="0" w:color="auto"/>
              <w:left w:val="single" w:sz="4" w:space="0" w:color="auto"/>
              <w:bottom w:val="single" w:sz="4" w:space="0" w:color="auto"/>
              <w:right w:val="single" w:sz="4" w:space="0" w:color="auto"/>
            </w:tcBorders>
            <w:hideMark/>
          </w:tcPr>
          <w:p w14:paraId="0C955DC0" w14:textId="35C08C97" w:rsidR="00A6325F" w:rsidRPr="0094292F" w:rsidRDefault="00A6325F" w:rsidP="00A20084">
            <w:pPr>
              <w:rPr>
                <w:sz w:val="22"/>
                <w:szCs w:val="22"/>
              </w:rPr>
            </w:pPr>
            <w:r w:rsidRPr="0094292F">
              <w:rPr>
                <w:sz w:val="22"/>
                <w:szCs w:val="22"/>
              </w:rPr>
              <w:t xml:space="preserve">Amends table item 17, column 2 to specify that item 17 applies to the </w:t>
            </w:r>
            <w:r w:rsidR="008E687B">
              <w:rPr>
                <w:sz w:val="22"/>
                <w:szCs w:val="22"/>
              </w:rPr>
              <w:t>fuel</w:t>
            </w:r>
            <w:r w:rsidRPr="0094292F">
              <w:rPr>
                <w:sz w:val="22"/>
                <w:szCs w:val="22"/>
              </w:rPr>
              <w:t xml:space="preserve"> </w:t>
            </w:r>
            <w:r w:rsidRPr="0094292F">
              <w:rPr>
                <w:i/>
                <w:sz w:val="22"/>
                <w:szCs w:val="22"/>
              </w:rPr>
              <w:t>natural gas transmitted or distributed in a pipeline.</w:t>
            </w:r>
            <w:r w:rsidRPr="0094292F">
              <w:rPr>
                <w:sz w:val="22"/>
                <w:szCs w:val="22"/>
              </w:rPr>
              <w:t xml:space="preserve"> This amendment is consistent with previous amendments to the NGER Regulations and clarifies that this </w:t>
            </w:r>
            <w:r w:rsidR="008E687B">
              <w:rPr>
                <w:sz w:val="22"/>
                <w:szCs w:val="22"/>
              </w:rPr>
              <w:t>fuel</w:t>
            </w:r>
            <w:r w:rsidRPr="0094292F">
              <w:rPr>
                <w:sz w:val="22"/>
                <w:szCs w:val="22"/>
              </w:rPr>
              <w:t xml:space="preserve"> covers natural gas wherever occurring in the supply chain. </w:t>
            </w:r>
          </w:p>
          <w:p w14:paraId="593A34BD" w14:textId="2AB9126E" w:rsidR="00A6325F" w:rsidRPr="0094292F" w:rsidRDefault="00A6325F" w:rsidP="00A20084">
            <w:pPr>
              <w:rPr>
                <w:sz w:val="22"/>
                <w:szCs w:val="22"/>
              </w:rPr>
            </w:pPr>
            <w:r w:rsidRPr="0094292F">
              <w:rPr>
                <w:sz w:val="22"/>
                <w:szCs w:val="22"/>
              </w:rPr>
              <w:t xml:space="preserve">Amendments with identical effect are made throughout the </w:t>
            </w:r>
            <w:r w:rsidR="002D78BA">
              <w:rPr>
                <w:sz w:val="22"/>
                <w:szCs w:val="22"/>
              </w:rPr>
              <w:t>Update Determination</w:t>
            </w:r>
            <w:r w:rsidRPr="0094292F">
              <w:rPr>
                <w:sz w:val="22"/>
                <w:szCs w:val="22"/>
              </w:rPr>
              <w:t xml:space="preserve">.  </w:t>
            </w:r>
          </w:p>
        </w:tc>
      </w:tr>
      <w:tr w:rsidR="00A6325F" w14:paraId="14B247A2" w14:textId="77777777" w:rsidTr="00E321D3">
        <w:tc>
          <w:tcPr>
            <w:tcW w:w="846" w:type="dxa"/>
            <w:tcBorders>
              <w:top w:val="single" w:sz="4" w:space="0" w:color="auto"/>
              <w:left w:val="single" w:sz="4" w:space="0" w:color="auto"/>
              <w:bottom w:val="single" w:sz="4" w:space="0" w:color="auto"/>
              <w:right w:val="single" w:sz="4" w:space="0" w:color="auto"/>
            </w:tcBorders>
          </w:tcPr>
          <w:p w14:paraId="78146539" w14:textId="5E4D0462"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693AEA17" w14:textId="18C76633" w:rsidR="00A6325F" w:rsidRPr="0094292F" w:rsidRDefault="00A6325F" w:rsidP="00A20084">
            <w:pPr>
              <w:rPr>
                <w:sz w:val="22"/>
                <w:szCs w:val="22"/>
              </w:rPr>
            </w:pPr>
            <w:r w:rsidRPr="0094292F">
              <w:rPr>
                <w:sz w:val="22"/>
                <w:szCs w:val="22"/>
              </w:rPr>
              <w:t>Part 3 of Schedule 1 (after table item 50)</w:t>
            </w:r>
          </w:p>
        </w:tc>
        <w:tc>
          <w:tcPr>
            <w:tcW w:w="4541" w:type="dxa"/>
            <w:tcBorders>
              <w:top w:val="single" w:sz="4" w:space="0" w:color="auto"/>
              <w:left w:val="single" w:sz="4" w:space="0" w:color="auto"/>
              <w:bottom w:val="single" w:sz="4" w:space="0" w:color="auto"/>
              <w:right w:val="single" w:sz="4" w:space="0" w:color="auto"/>
            </w:tcBorders>
            <w:hideMark/>
          </w:tcPr>
          <w:p w14:paraId="1433723D" w14:textId="0BA7F138" w:rsidR="00A6325F" w:rsidRPr="0094292F" w:rsidRDefault="00A6325F" w:rsidP="00A20084">
            <w:pPr>
              <w:rPr>
                <w:sz w:val="22"/>
                <w:szCs w:val="22"/>
              </w:rPr>
            </w:pPr>
            <w:r w:rsidRPr="0094292F">
              <w:rPr>
                <w:sz w:val="22"/>
                <w:szCs w:val="22"/>
              </w:rPr>
              <w:t xml:space="preserve">Specifies the energy content factor and carbon dioxide, methane and nitrous oxide emission factors for the new </w:t>
            </w:r>
            <w:proofErr w:type="gramStart"/>
            <w:r w:rsidR="008E687B">
              <w:rPr>
                <w:sz w:val="22"/>
                <w:szCs w:val="22"/>
              </w:rPr>
              <w:t>fuel</w:t>
            </w:r>
            <w:r w:rsidRPr="0094292F">
              <w:rPr>
                <w:sz w:val="22"/>
                <w:szCs w:val="22"/>
              </w:rPr>
              <w:t>s</w:t>
            </w:r>
            <w:proofErr w:type="gramEnd"/>
            <w:r w:rsidRPr="0094292F">
              <w:rPr>
                <w:sz w:val="22"/>
                <w:szCs w:val="22"/>
              </w:rPr>
              <w:t xml:space="preserve"> </w:t>
            </w:r>
            <w:r w:rsidR="00651B39" w:rsidRPr="0094292F">
              <w:rPr>
                <w:i/>
                <w:sz w:val="22"/>
                <w:szCs w:val="22"/>
              </w:rPr>
              <w:t>renewable diesel</w:t>
            </w:r>
            <w:r w:rsidR="00651B39" w:rsidRPr="0094292F">
              <w:rPr>
                <w:sz w:val="22"/>
                <w:szCs w:val="22"/>
              </w:rPr>
              <w:t xml:space="preserve"> and </w:t>
            </w:r>
            <w:r w:rsidR="00651B39" w:rsidRPr="0094292F">
              <w:rPr>
                <w:i/>
                <w:sz w:val="22"/>
                <w:szCs w:val="22"/>
              </w:rPr>
              <w:t xml:space="preserve">renewable </w:t>
            </w:r>
            <w:r w:rsidR="00651B39">
              <w:rPr>
                <w:i/>
                <w:sz w:val="22"/>
                <w:szCs w:val="22"/>
              </w:rPr>
              <w:t xml:space="preserve">aviation </w:t>
            </w:r>
            <w:r w:rsidR="00651B39" w:rsidRPr="0094292F">
              <w:rPr>
                <w:i/>
                <w:sz w:val="22"/>
                <w:szCs w:val="22"/>
              </w:rPr>
              <w:t>kerosene</w:t>
            </w:r>
            <w:r w:rsidR="00651B39" w:rsidRPr="0094292F">
              <w:rPr>
                <w:sz w:val="22"/>
                <w:szCs w:val="22"/>
              </w:rPr>
              <w:t xml:space="preserve"> </w:t>
            </w:r>
            <w:r w:rsidRPr="0094292F">
              <w:rPr>
                <w:sz w:val="22"/>
                <w:szCs w:val="22"/>
              </w:rPr>
              <w:t xml:space="preserve">when they are combusted for stationary energy purposes. </w:t>
            </w:r>
            <w:r w:rsidRPr="0094292F">
              <w:rPr>
                <w:sz w:val="22"/>
                <w:szCs w:val="22"/>
              </w:rPr>
              <w:br/>
              <w:t xml:space="preserve">The carbon dioxide emission factor is zero consistent with other biogenic </w:t>
            </w:r>
            <w:r w:rsidR="008E687B">
              <w:rPr>
                <w:sz w:val="22"/>
                <w:szCs w:val="22"/>
              </w:rPr>
              <w:t>fuel</w:t>
            </w:r>
            <w:r w:rsidRPr="0094292F">
              <w:rPr>
                <w:sz w:val="22"/>
                <w:szCs w:val="22"/>
              </w:rPr>
              <w:t xml:space="preserve">s; other </w:t>
            </w:r>
            <w:r w:rsidRPr="0094292F">
              <w:rPr>
                <w:sz w:val="22"/>
                <w:szCs w:val="22"/>
              </w:rPr>
              <w:lastRenderedPageBreak/>
              <w:t xml:space="preserve">parameters are as for </w:t>
            </w:r>
            <w:r w:rsidRPr="0094292F">
              <w:rPr>
                <w:i/>
                <w:iCs/>
                <w:sz w:val="22"/>
                <w:szCs w:val="22"/>
              </w:rPr>
              <w:t>diesel oil</w:t>
            </w:r>
            <w:r w:rsidRPr="0094292F">
              <w:rPr>
                <w:sz w:val="22"/>
                <w:szCs w:val="22"/>
              </w:rPr>
              <w:t xml:space="preserve"> and </w:t>
            </w:r>
            <w:r w:rsidRPr="0094292F">
              <w:rPr>
                <w:i/>
                <w:iCs/>
                <w:sz w:val="22"/>
                <w:szCs w:val="22"/>
              </w:rPr>
              <w:t>kerosene for use as fuel in an aircraft</w:t>
            </w:r>
            <w:r w:rsidRPr="0094292F">
              <w:rPr>
                <w:sz w:val="22"/>
                <w:szCs w:val="22"/>
              </w:rPr>
              <w:t xml:space="preserve"> respectively.  </w:t>
            </w:r>
          </w:p>
        </w:tc>
      </w:tr>
      <w:tr w:rsidR="00A6325F" w14:paraId="4621EC01" w14:textId="77777777" w:rsidTr="00E321D3">
        <w:tc>
          <w:tcPr>
            <w:tcW w:w="846" w:type="dxa"/>
            <w:tcBorders>
              <w:top w:val="single" w:sz="4" w:space="0" w:color="auto"/>
              <w:left w:val="single" w:sz="4" w:space="0" w:color="auto"/>
              <w:bottom w:val="single" w:sz="4" w:space="0" w:color="auto"/>
              <w:right w:val="single" w:sz="4" w:space="0" w:color="auto"/>
            </w:tcBorders>
          </w:tcPr>
          <w:p w14:paraId="7D1F061E" w14:textId="4BADFE7D"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1672D18B" w14:textId="2C4851C4" w:rsidR="00A6325F" w:rsidRPr="0094292F" w:rsidRDefault="00A6325F" w:rsidP="00A20084">
            <w:pPr>
              <w:rPr>
                <w:sz w:val="22"/>
                <w:szCs w:val="22"/>
              </w:rPr>
            </w:pPr>
            <w:r w:rsidRPr="0094292F">
              <w:rPr>
                <w:sz w:val="22"/>
                <w:szCs w:val="22"/>
              </w:rPr>
              <w:t>Part 3 of Schedule 1 (table item 52)</w:t>
            </w:r>
          </w:p>
        </w:tc>
        <w:tc>
          <w:tcPr>
            <w:tcW w:w="4541" w:type="dxa"/>
            <w:tcBorders>
              <w:top w:val="single" w:sz="4" w:space="0" w:color="auto"/>
              <w:left w:val="single" w:sz="4" w:space="0" w:color="auto"/>
              <w:bottom w:val="single" w:sz="4" w:space="0" w:color="auto"/>
              <w:right w:val="single" w:sz="4" w:space="0" w:color="auto"/>
            </w:tcBorders>
            <w:hideMark/>
          </w:tcPr>
          <w:p w14:paraId="4DDD841B" w14:textId="77777777" w:rsidR="00A6325F" w:rsidRPr="0094292F" w:rsidRDefault="00A6325F" w:rsidP="00A20084">
            <w:pPr>
              <w:rPr>
                <w:sz w:val="22"/>
                <w:szCs w:val="22"/>
              </w:rPr>
            </w:pPr>
            <w:r w:rsidRPr="0094292F">
              <w:rPr>
                <w:sz w:val="22"/>
                <w:szCs w:val="22"/>
              </w:rPr>
              <w:t xml:space="preserve">Repeals the former table item 52 and substitutes a new table item 52 that accounts for the newly inserted table items 50A and 50B.  </w:t>
            </w:r>
          </w:p>
        </w:tc>
      </w:tr>
      <w:tr w:rsidR="00A6325F" w14:paraId="7ABAED84" w14:textId="77777777" w:rsidTr="00E321D3">
        <w:tc>
          <w:tcPr>
            <w:tcW w:w="846" w:type="dxa"/>
            <w:tcBorders>
              <w:top w:val="single" w:sz="4" w:space="0" w:color="auto"/>
              <w:left w:val="single" w:sz="4" w:space="0" w:color="auto"/>
              <w:bottom w:val="single" w:sz="4" w:space="0" w:color="auto"/>
              <w:right w:val="single" w:sz="4" w:space="0" w:color="auto"/>
            </w:tcBorders>
          </w:tcPr>
          <w:p w14:paraId="7EBF36D2" w14:textId="6D08E7E9"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1E67C74B" w14:textId="0BABF52F" w:rsidR="00A6325F" w:rsidRPr="0094292F" w:rsidRDefault="00A6325F" w:rsidP="00A20084">
            <w:pPr>
              <w:rPr>
                <w:sz w:val="22"/>
                <w:szCs w:val="22"/>
              </w:rPr>
            </w:pPr>
            <w:r w:rsidRPr="0094292F">
              <w:rPr>
                <w:sz w:val="22"/>
                <w:szCs w:val="22"/>
              </w:rPr>
              <w:t>Division 4.1 of Schedule 1 (after table item 59)</w:t>
            </w:r>
          </w:p>
        </w:tc>
        <w:tc>
          <w:tcPr>
            <w:tcW w:w="4541" w:type="dxa"/>
            <w:tcBorders>
              <w:top w:val="single" w:sz="4" w:space="0" w:color="auto"/>
              <w:left w:val="single" w:sz="4" w:space="0" w:color="auto"/>
              <w:bottom w:val="single" w:sz="4" w:space="0" w:color="auto"/>
              <w:right w:val="single" w:sz="4" w:space="0" w:color="auto"/>
            </w:tcBorders>
            <w:hideMark/>
          </w:tcPr>
          <w:p w14:paraId="0E55556D" w14:textId="0498EE85" w:rsidR="00A6325F" w:rsidRPr="0094292F" w:rsidRDefault="00A6325F" w:rsidP="00A20084">
            <w:pPr>
              <w:rPr>
                <w:sz w:val="22"/>
                <w:szCs w:val="22"/>
              </w:rPr>
            </w:pPr>
            <w:r w:rsidRPr="0094292F">
              <w:rPr>
                <w:sz w:val="22"/>
                <w:szCs w:val="22"/>
              </w:rPr>
              <w:t xml:space="preserve">Specifies the energy content factor and carbon dioxide, methane and nitrous oxide emission factors for the new </w:t>
            </w:r>
            <w:proofErr w:type="gramStart"/>
            <w:r w:rsidR="008E687B">
              <w:rPr>
                <w:sz w:val="22"/>
                <w:szCs w:val="22"/>
              </w:rPr>
              <w:t>fuel</w:t>
            </w:r>
            <w:r w:rsidRPr="0094292F">
              <w:rPr>
                <w:sz w:val="22"/>
                <w:szCs w:val="22"/>
              </w:rPr>
              <w:t>s</w:t>
            </w:r>
            <w:proofErr w:type="gramEnd"/>
            <w:r w:rsidRPr="0094292F">
              <w:rPr>
                <w:sz w:val="22"/>
                <w:szCs w:val="22"/>
              </w:rPr>
              <w:t xml:space="preserve"> </w:t>
            </w:r>
            <w:r w:rsidR="00651B39" w:rsidRPr="0094292F">
              <w:rPr>
                <w:i/>
                <w:sz w:val="22"/>
                <w:szCs w:val="22"/>
              </w:rPr>
              <w:t>renewable diesel</w:t>
            </w:r>
            <w:r w:rsidR="00651B39" w:rsidRPr="0094292F">
              <w:rPr>
                <w:sz w:val="22"/>
                <w:szCs w:val="22"/>
              </w:rPr>
              <w:t xml:space="preserve"> and </w:t>
            </w:r>
            <w:r w:rsidR="00651B39" w:rsidRPr="0094292F">
              <w:rPr>
                <w:i/>
                <w:sz w:val="22"/>
                <w:szCs w:val="22"/>
              </w:rPr>
              <w:t xml:space="preserve">renewable </w:t>
            </w:r>
            <w:r w:rsidR="00651B39">
              <w:rPr>
                <w:i/>
                <w:sz w:val="22"/>
                <w:szCs w:val="22"/>
              </w:rPr>
              <w:t xml:space="preserve">aviation </w:t>
            </w:r>
            <w:r w:rsidR="00651B39" w:rsidRPr="0094292F">
              <w:rPr>
                <w:i/>
                <w:sz w:val="22"/>
                <w:szCs w:val="22"/>
              </w:rPr>
              <w:t>kerosene</w:t>
            </w:r>
            <w:r w:rsidR="00651B39" w:rsidRPr="0094292F">
              <w:rPr>
                <w:sz w:val="22"/>
                <w:szCs w:val="22"/>
              </w:rPr>
              <w:t xml:space="preserve"> </w:t>
            </w:r>
            <w:r w:rsidRPr="0094292F">
              <w:rPr>
                <w:sz w:val="22"/>
                <w:szCs w:val="22"/>
              </w:rPr>
              <w:t xml:space="preserve">when they are combusted for transport energy purposes. </w:t>
            </w:r>
            <w:r w:rsidRPr="0094292F">
              <w:rPr>
                <w:sz w:val="22"/>
                <w:szCs w:val="22"/>
              </w:rPr>
              <w:br/>
              <w:t xml:space="preserve">The carbon dioxide emission factor is zero consistent with other biogenic </w:t>
            </w:r>
            <w:r w:rsidR="008E687B">
              <w:rPr>
                <w:sz w:val="22"/>
                <w:szCs w:val="22"/>
              </w:rPr>
              <w:t>fuel</w:t>
            </w:r>
            <w:r w:rsidRPr="0094292F">
              <w:rPr>
                <w:sz w:val="22"/>
                <w:szCs w:val="22"/>
              </w:rPr>
              <w:t xml:space="preserve">s; other parameters are as for </w:t>
            </w:r>
            <w:r w:rsidRPr="0094292F">
              <w:rPr>
                <w:i/>
                <w:iCs/>
                <w:sz w:val="22"/>
                <w:szCs w:val="22"/>
              </w:rPr>
              <w:t>diesel oil</w:t>
            </w:r>
            <w:r w:rsidRPr="0094292F">
              <w:rPr>
                <w:sz w:val="22"/>
                <w:szCs w:val="22"/>
              </w:rPr>
              <w:t xml:space="preserve"> and </w:t>
            </w:r>
            <w:r w:rsidRPr="0094292F">
              <w:rPr>
                <w:i/>
                <w:iCs/>
                <w:sz w:val="22"/>
                <w:szCs w:val="22"/>
              </w:rPr>
              <w:t>kerosene for use as fuel in an aircraft</w:t>
            </w:r>
            <w:r w:rsidRPr="0094292F">
              <w:rPr>
                <w:sz w:val="22"/>
                <w:szCs w:val="22"/>
              </w:rPr>
              <w:t xml:space="preserve"> respectively.  </w:t>
            </w:r>
          </w:p>
        </w:tc>
      </w:tr>
      <w:tr w:rsidR="00A6325F" w14:paraId="2C120F60" w14:textId="77777777" w:rsidTr="00E321D3">
        <w:tc>
          <w:tcPr>
            <w:tcW w:w="846" w:type="dxa"/>
            <w:tcBorders>
              <w:top w:val="single" w:sz="4" w:space="0" w:color="auto"/>
              <w:left w:val="single" w:sz="4" w:space="0" w:color="auto"/>
              <w:bottom w:val="single" w:sz="4" w:space="0" w:color="auto"/>
              <w:right w:val="single" w:sz="4" w:space="0" w:color="auto"/>
            </w:tcBorders>
          </w:tcPr>
          <w:p w14:paraId="0C4575ED" w14:textId="09B5C212"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7036E69F" w14:textId="36D06415" w:rsidR="00A6325F" w:rsidRPr="0094292F" w:rsidRDefault="00A6325F" w:rsidP="00A20084">
            <w:pPr>
              <w:rPr>
                <w:sz w:val="22"/>
                <w:szCs w:val="22"/>
              </w:rPr>
            </w:pPr>
            <w:r w:rsidRPr="0094292F">
              <w:rPr>
                <w:sz w:val="22"/>
                <w:szCs w:val="22"/>
              </w:rPr>
              <w:t>Division 4.1 of Part 4 of Schedule 1 (table item 61)</w:t>
            </w:r>
          </w:p>
        </w:tc>
        <w:tc>
          <w:tcPr>
            <w:tcW w:w="4541" w:type="dxa"/>
            <w:tcBorders>
              <w:top w:val="single" w:sz="4" w:space="0" w:color="auto"/>
              <w:left w:val="single" w:sz="4" w:space="0" w:color="auto"/>
              <w:bottom w:val="single" w:sz="4" w:space="0" w:color="auto"/>
              <w:right w:val="single" w:sz="4" w:space="0" w:color="auto"/>
            </w:tcBorders>
            <w:hideMark/>
          </w:tcPr>
          <w:p w14:paraId="053A63C4" w14:textId="77777777" w:rsidR="00A6325F" w:rsidRPr="0094292F" w:rsidRDefault="00A6325F" w:rsidP="00A20084">
            <w:pPr>
              <w:rPr>
                <w:sz w:val="22"/>
                <w:szCs w:val="22"/>
              </w:rPr>
            </w:pPr>
            <w:r w:rsidRPr="0094292F">
              <w:rPr>
                <w:sz w:val="22"/>
                <w:szCs w:val="22"/>
              </w:rPr>
              <w:t xml:space="preserve">Repeals the former table item 61 and substitutes a new table item 61 that accounts for the newly inserted table items 59A and 59B.  </w:t>
            </w:r>
          </w:p>
        </w:tc>
      </w:tr>
      <w:tr w:rsidR="00A6325F" w14:paraId="67292B68" w14:textId="77777777" w:rsidTr="00E321D3">
        <w:tc>
          <w:tcPr>
            <w:tcW w:w="846" w:type="dxa"/>
            <w:tcBorders>
              <w:top w:val="single" w:sz="4" w:space="0" w:color="auto"/>
              <w:left w:val="single" w:sz="4" w:space="0" w:color="auto"/>
              <w:bottom w:val="single" w:sz="4" w:space="0" w:color="auto"/>
              <w:right w:val="single" w:sz="4" w:space="0" w:color="auto"/>
            </w:tcBorders>
          </w:tcPr>
          <w:p w14:paraId="433C8D46" w14:textId="1CE2D9B9"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4BE4A00E" w14:textId="1C101453" w:rsidR="00A6325F" w:rsidRPr="0094292F" w:rsidRDefault="00A6325F" w:rsidP="00A20084">
            <w:pPr>
              <w:rPr>
                <w:sz w:val="22"/>
                <w:szCs w:val="22"/>
              </w:rPr>
            </w:pPr>
            <w:r w:rsidRPr="0094292F">
              <w:rPr>
                <w:sz w:val="22"/>
                <w:szCs w:val="22"/>
              </w:rPr>
              <w:t>Division 4.2 of Schedule 1 (after table item 65)</w:t>
            </w:r>
          </w:p>
        </w:tc>
        <w:tc>
          <w:tcPr>
            <w:tcW w:w="4541" w:type="dxa"/>
            <w:tcBorders>
              <w:top w:val="single" w:sz="4" w:space="0" w:color="auto"/>
              <w:left w:val="single" w:sz="4" w:space="0" w:color="auto"/>
              <w:bottom w:val="single" w:sz="4" w:space="0" w:color="auto"/>
              <w:right w:val="single" w:sz="4" w:space="0" w:color="auto"/>
            </w:tcBorders>
            <w:hideMark/>
          </w:tcPr>
          <w:p w14:paraId="1CDD0C2F" w14:textId="0CDCC1C0" w:rsidR="00A6325F" w:rsidRPr="0094292F" w:rsidRDefault="00A6325F" w:rsidP="00A20084">
            <w:pPr>
              <w:rPr>
                <w:sz w:val="22"/>
                <w:szCs w:val="22"/>
              </w:rPr>
            </w:pPr>
            <w:r w:rsidRPr="0094292F">
              <w:rPr>
                <w:sz w:val="22"/>
                <w:szCs w:val="22"/>
              </w:rPr>
              <w:t xml:space="preserve">Specifies the energy content factor and carbon dioxide, </w:t>
            </w:r>
            <w:proofErr w:type="gramStart"/>
            <w:r w:rsidRPr="0094292F">
              <w:rPr>
                <w:sz w:val="22"/>
                <w:szCs w:val="22"/>
              </w:rPr>
              <w:t>methane</w:t>
            </w:r>
            <w:proofErr w:type="gramEnd"/>
            <w:r w:rsidRPr="0094292F">
              <w:rPr>
                <w:sz w:val="22"/>
                <w:szCs w:val="22"/>
              </w:rPr>
              <w:t xml:space="preserve"> and nitrous oxide emission factors for the new </w:t>
            </w:r>
            <w:r w:rsidR="008E687B">
              <w:rPr>
                <w:sz w:val="22"/>
                <w:szCs w:val="22"/>
              </w:rPr>
              <w:t>fuel</w:t>
            </w:r>
            <w:r w:rsidRPr="0094292F">
              <w:rPr>
                <w:sz w:val="22"/>
                <w:szCs w:val="22"/>
              </w:rPr>
              <w:t xml:space="preserve"> </w:t>
            </w:r>
            <w:r w:rsidRPr="0094292F">
              <w:rPr>
                <w:i/>
                <w:sz w:val="22"/>
                <w:szCs w:val="22"/>
              </w:rPr>
              <w:t xml:space="preserve">renewable diesel </w:t>
            </w:r>
            <w:r w:rsidRPr="0094292F">
              <w:rPr>
                <w:sz w:val="22"/>
                <w:szCs w:val="22"/>
              </w:rPr>
              <w:t xml:space="preserve">when it is combusted for transport energy purposes for post-2004 vehicles. </w:t>
            </w:r>
            <w:r w:rsidRPr="0094292F">
              <w:rPr>
                <w:sz w:val="22"/>
                <w:szCs w:val="22"/>
              </w:rPr>
              <w:br/>
              <w:t xml:space="preserve">The carbon dioxide emission factor is zero consistent with other biogenic </w:t>
            </w:r>
            <w:r w:rsidR="008E687B">
              <w:rPr>
                <w:sz w:val="22"/>
                <w:szCs w:val="22"/>
              </w:rPr>
              <w:t>fuel</w:t>
            </w:r>
            <w:r w:rsidRPr="0094292F">
              <w:rPr>
                <w:sz w:val="22"/>
                <w:szCs w:val="22"/>
              </w:rPr>
              <w:t xml:space="preserve">s; other parameters are as for </w:t>
            </w:r>
            <w:r w:rsidRPr="0094292F">
              <w:rPr>
                <w:i/>
                <w:iCs/>
                <w:sz w:val="22"/>
                <w:szCs w:val="22"/>
              </w:rPr>
              <w:t>diesel oil</w:t>
            </w:r>
            <w:r w:rsidRPr="0094292F">
              <w:rPr>
                <w:sz w:val="22"/>
                <w:szCs w:val="22"/>
              </w:rPr>
              <w:t>.</w:t>
            </w:r>
          </w:p>
        </w:tc>
      </w:tr>
      <w:tr w:rsidR="00A6325F" w14:paraId="5B0265FA" w14:textId="77777777" w:rsidTr="00E321D3">
        <w:tc>
          <w:tcPr>
            <w:tcW w:w="846" w:type="dxa"/>
            <w:tcBorders>
              <w:top w:val="single" w:sz="4" w:space="0" w:color="auto"/>
              <w:left w:val="single" w:sz="4" w:space="0" w:color="auto"/>
              <w:bottom w:val="single" w:sz="4" w:space="0" w:color="auto"/>
              <w:right w:val="single" w:sz="4" w:space="0" w:color="auto"/>
            </w:tcBorders>
          </w:tcPr>
          <w:p w14:paraId="34B64E0E" w14:textId="45C755FD"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317327CC" w14:textId="3D6892CB" w:rsidR="00A6325F" w:rsidRPr="0094292F" w:rsidRDefault="00A6325F" w:rsidP="00A20084">
            <w:pPr>
              <w:rPr>
                <w:sz w:val="22"/>
                <w:szCs w:val="22"/>
              </w:rPr>
            </w:pPr>
            <w:r w:rsidRPr="0094292F">
              <w:rPr>
                <w:sz w:val="22"/>
                <w:szCs w:val="22"/>
              </w:rPr>
              <w:t>Division 4.3 of Schedule 1 (table)</w:t>
            </w:r>
          </w:p>
        </w:tc>
        <w:tc>
          <w:tcPr>
            <w:tcW w:w="4541" w:type="dxa"/>
            <w:tcBorders>
              <w:top w:val="single" w:sz="4" w:space="0" w:color="auto"/>
              <w:left w:val="single" w:sz="4" w:space="0" w:color="auto"/>
              <w:bottom w:val="single" w:sz="4" w:space="0" w:color="auto"/>
              <w:right w:val="single" w:sz="4" w:space="0" w:color="auto"/>
            </w:tcBorders>
            <w:hideMark/>
          </w:tcPr>
          <w:p w14:paraId="29CA8FFB" w14:textId="09324F66" w:rsidR="00A6325F" w:rsidRPr="0094292F" w:rsidRDefault="00A6325F" w:rsidP="00A20084">
            <w:pPr>
              <w:rPr>
                <w:sz w:val="22"/>
                <w:szCs w:val="22"/>
              </w:rPr>
            </w:pPr>
            <w:r w:rsidRPr="0094292F">
              <w:rPr>
                <w:sz w:val="22"/>
                <w:szCs w:val="22"/>
              </w:rPr>
              <w:t xml:space="preserve">Specifies the energy content factor and carbon dioxide, </w:t>
            </w:r>
            <w:proofErr w:type="gramStart"/>
            <w:r w:rsidRPr="0094292F">
              <w:rPr>
                <w:sz w:val="22"/>
                <w:szCs w:val="22"/>
              </w:rPr>
              <w:t>methane</w:t>
            </w:r>
            <w:proofErr w:type="gramEnd"/>
            <w:r w:rsidRPr="0094292F">
              <w:rPr>
                <w:sz w:val="22"/>
                <w:szCs w:val="22"/>
              </w:rPr>
              <w:t xml:space="preserve"> and nitrous oxide emission factors for the new </w:t>
            </w:r>
            <w:r w:rsidR="008E687B">
              <w:rPr>
                <w:sz w:val="22"/>
                <w:szCs w:val="22"/>
              </w:rPr>
              <w:t>fuel</w:t>
            </w:r>
            <w:r w:rsidRPr="0094292F">
              <w:rPr>
                <w:sz w:val="22"/>
                <w:szCs w:val="22"/>
              </w:rPr>
              <w:t xml:space="preserve"> </w:t>
            </w:r>
            <w:r w:rsidRPr="0094292F">
              <w:rPr>
                <w:i/>
                <w:sz w:val="22"/>
                <w:szCs w:val="22"/>
              </w:rPr>
              <w:t xml:space="preserve">renewable diesel </w:t>
            </w:r>
            <w:r w:rsidRPr="0094292F">
              <w:rPr>
                <w:sz w:val="22"/>
                <w:szCs w:val="22"/>
              </w:rPr>
              <w:t xml:space="preserve">when it is combusted for transport energy purposes for certain trucks. </w:t>
            </w:r>
            <w:r w:rsidRPr="0094292F">
              <w:rPr>
                <w:sz w:val="22"/>
                <w:szCs w:val="22"/>
              </w:rPr>
              <w:br/>
              <w:t xml:space="preserve">The carbon dioxide emission factor is zero consistent with other biogenic </w:t>
            </w:r>
            <w:r w:rsidR="008E687B">
              <w:rPr>
                <w:sz w:val="22"/>
                <w:szCs w:val="22"/>
              </w:rPr>
              <w:t>fuel</w:t>
            </w:r>
            <w:r w:rsidRPr="0094292F">
              <w:rPr>
                <w:sz w:val="22"/>
                <w:szCs w:val="22"/>
              </w:rPr>
              <w:t xml:space="preserve">s; other parameters are as for </w:t>
            </w:r>
            <w:r w:rsidRPr="0094292F">
              <w:rPr>
                <w:i/>
                <w:iCs/>
                <w:sz w:val="22"/>
                <w:szCs w:val="22"/>
              </w:rPr>
              <w:t>diesel oil</w:t>
            </w:r>
            <w:r w:rsidRPr="0094292F">
              <w:rPr>
                <w:sz w:val="22"/>
                <w:szCs w:val="22"/>
              </w:rPr>
              <w:t xml:space="preserve"> for the relevant heavy vehicle design standard. </w:t>
            </w:r>
          </w:p>
        </w:tc>
      </w:tr>
      <w:tr w:rsidR="00A6325F" w14:paraId="53C7D9AB" w14:textId="77777777" w:rsidTr="00E321D3">
        <w:tc>
          <w:tcPr>
            <w:tcW w:w="846" w:type="dxa"/>
            <w:tcBorders>
              <w:top w:val="single" w:sz="4" w:space="0" w:color="auto"/>
              <w:left w:val="single" w:sz="4" w:space="0" w:color="auto"/>
              <w:bottom w:val="single" w:sz="4" w:space="0" w:color="auto"/>
              <w:right w:val="single" w:sz="4" w:space="0" w:color="auto"/>
            </w:tcBorders>
          </w:tcPr>
          <w:p w14:paraId="69D8F715" w14:textId="0B3AA534"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060F00D7" w14:textId="4997D1FB" w:rsidR="00A6325F" w:rsidRPr="0094292F" w:rsidRDefault="00A6325F" w:rsidP="00A20084">
            <w:pPr>
              <w:rPr>
                <w:sz w:val="22"/>
                <w:szCs w:val="22"/>
              </w:rPr>
            </w:pPr>
            <w:r w:rsidRPr="0094292F">
              <w:rPr>
                <w:sz w:val="22"/>
                <w:szCs w:val="22"/>
              </w:rPr>
              <w:t xml:space="preserve">Part 6 of Schedule 1 </w:t>
            </w:r>
          </w:p>
        </w:tc>
        <w:tc>
          <w:tcPr>
            <w:tcW w:w="4541" w:type="dxa"/>
            <w:tcBorders>
              <w:top w:val="single" w:sz="4" w:space="0" w:color="auto"/>
              <w:left w:val="single" w:sz="4" w:space="0" w:color="auto"/>
              <w:bottom w:val="single" w:sz="4" w:space="0" w:color="auto"/>
              <w:right w:val="single" w:sz="4" w:space="0" w:color="auto"/>
            </w:tcBorders>
            <w:hideMark/>
          </w:tcPr>
          <w:p w14:paraId="089FE37E" w14:textId="0153B123" w:rsidR="00A6325F" w:rsidRPr="0094292F" w:rsidRDefault="00A6325F" w:rsidP="00A20084">
            <w:pPr>
              <w:rPr>
                <w:sz w:val="22"/>
                <w:szCs w:val="22"/>
              </w:rPr>
            </w:pPr>
            <w:r w:rsidRPr="0094292F">
              <w:rPr>
                <w:sz w:val="22"/>
                <w:szCs w:val="22"/>
              </w:rPr>
              <w:t xml:space="preserve">Updates the emission </w:t>
            </w:r>
            <w:r w:rsidR="00BD345A">
              <w:rPr>
                <w:sz w:val="22"/>
                <w:szCs w:val="22"/>
              </w:rPr>
              <w:t xml:space="preserve">factors applicable when using </w:t>
            </w:r>
            <w:r w:rsidR="00BC63B8">
              <w:rPr>
                <w:sz w:val="22"/>
                <w:szCs w:val="22"/>
              </w:rPr>
              <w:t xml:space="preserve">the </w:t>
            </w:r>
            <w:r w:rsidRPr="0094292F">
              <w:rPr>
                <w:sz w:val="22"/>
                <w:szCs w:val="22"/>
              </w:rPr>
              <w:t>location-based method</w:t>
            </w:r>
            <w:r w:rsidR="00F51E7B">
              <w:rPr>
                <w:sz w:val="22"/>
                <w:szCs w:val="22"/>
              </w:rPr>
              <w:t xml:space="preserve"> under section 7.2</w:t>
            </w:r>
            <w:r w:rsidR="00BD345A">
              <w:rPr>
                <w:sz w:val="22"/>
                <w:szCs w:val="22"/>
              </w:rPr>
              <w:t xml:space="preserve"> to estimate scope 2 emissions from the consumption</w:t>
            </w:r>
            <w:r w:rsidR="00C83547">
              <w:rPr>
                <w:sz w:val="22"/>
                <w:szCs w:val="22"/>
              </w:rPr>
              <w:t xml:space="preserve"> of electricity from the main grid in a State or Territory</w:t>
            </w:r>
            <w:r w:rsidRPr="0094292F">
              <w:rPr>
                <w:sz w:val="22"/>
                <w:szCs w:val="22"/>
              </w:rPr>
              <w:t xml:space="preserve">. </w:t>
            </w:r>
          </w:p>
          <w:p w14:paraId="78E712C4" w14:textId="31E9E503" w:rsidR="00A6325F" w:rsidRPr="0094292F" w:rsidRDefault="00A6325F" w:rsidP="00A20084">
            <w:pPr>
              <w:rPr>
                <w:sz w:val="22"/>
                <w:szCs w:val="22"/>
              </w:rPr>
            </w:pPr>
            <w:r w:rsidRPr="0094292F">
              <w:rPr>
                <w:sz w:val="22"/>
                <w:szCs w:val="22"/>
              </w:rPr>
              <w:t xml:space="preserve">Specifies the </w:t>
            </w:r>
            <w:r w:rsidR="006A4702">
              <w:rPr>
                <w:sz w:val="22"/>
                <w:szCs w:val="22"/>
              </w:rPr>
              <w:t>r</w:t>
            </w:r>
            <w:r w:rsidRPr="0094292F">
              <w:rPr>
                <w:sz w:val="22"/>
                <w:szCs w:val="22"/>
              </w:rPr>
              <w:t xml:space="preserve">esidual </w:t>
            </w:r>
            <w:r w:rsidR="006A4702">
              <w:rPr>
                <w:sz w:val="22"/>
                <w:szCs w:val="22"/>
              </w:rPr>
              <w:t>m</w:t>
            </w:r>
            <w:r w:rsidRPr="0094292F">
              <w:rPr>
                <w:sz w:val="22"/>
                <w:szCs w:val="22"/>
              </w:rPr>
              <w:t xml:space="preserve">ix </w:t>
            </w:r>
            <w:r w:rsidR="006A4702">
              <w:rPr>
                <w:sz w:val="22"/>
                <w:szCs w:val="22"/>
              </w:rPr>
              <w:t>f</w:t>
            </w:r>
            <w:r w:rsidRPr="0094292F">
              <w:rPr>
                <w:sz w:val="22"/>
                <w:szCs w:val="22"/>
              </w:rPr>
              <w:t xml:space="preserve">actor (RMF) for use in estimating scope 2 emissions from purchased or acquired electricity using </w:t>
            </w:r>
            <w:r w:rsidR="00E9093C">
              <w:rPr>
                <w:sz w:val="22"/>
                <w:szCs w:val="22"/>
              </w:rPr>
              <w:t xml:space="preserve">the </w:t>
            </w:r>
            <w:r w:rsidRPr="0094292F">
              <w:rPr>
                <w:sz w:val="22"/>
                <w:szCs w:val="22"/>
              </w:rPr>
              <w:t>market-based method</w:t>
            </w:r>
            <w:r w:rsidR="00BC63B8">
              <w:rPr>
                <w:sz w:val="22"/>
                <w:szCs w:val="22"/>
              </w:rPr>
              <w:t xml:space="preserve"> </w:t>
            </w:r>
            <w:r w:rsidR="006A4702">
              <w:rPr>
                <w:sz w:val="22"/>
                <w:szCs w:val="22"/>
              </w:rPr>
              <w:t xml:space="preserve">(method B) </w:t>
            </w:r>
            <w:r w:rsidR="00BC63B8">
              <w:rPr>
                <w:sz w:val="22"/>
                <w:szCs w:val="22"/>
              </w:rPr>
              <w:t>under section 7.4</w:t>
            </w:r>
            <w:r w:rsidRPr="0094292F">
              <w:rPr>
                <w:sz w:val="22"/>
                <w:szCs w:val="22"/>
              </w:rPr>
              <w:t>.</w:t>
            </w:r>
          </w:p>
        </w:tc>
      </w:tr>
      <w:tr w:rsidR="00A6325F" w14:paraId="21D2A9F1" w14:textId="77777777" w:rsidTr="00E321D3">
        <w:tc>
          <w:tcPr>
            <w:tcW w:w="846" w:type="dxa"/>
            <w:tcBorders>
              <w:top w:val="single" w:sz="4" w:space="0" w:color="auto"/>
              <w:left w:val="single" w:sz="4" w:space="0" w:color="auto"/>
              <w:bottom w:val="single" w:sz="4" w:space="0" w:color="auto"/>
              <w:right w:val="single" w:sz="4" w:space="0" w:color="auto"/>
            </w:tcBorders>
          </w:tcPr>
          <w:p w14:paraId="55808962" w14:textId="63E06AA5"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34F667B0" w14:textId="7B9C82BD" w:rsidR="00A6325F" w:rsidRPr="0094292F" w:rsidRDefault="00A6325F" w:rsidP="00A20084">
            <w:pPr>
              <w:rPr>
                <w:sz w:val="22"/>
                <w:szCs w:val="22"/>
              </w:rPr>
            </w:pPr>
            <w:r w:rsidRPr="0094292F">
              <w:rPr>
                <w:sz w:val="22"/>
                <w:szCs w:val="22"/>
              </w:rPr>
              <w:t>Part 2 of Schedule 3 (table item 17A, column 2)</w:t>
            </w:r>
          </w:p>
        </w:tc>
        <w:tc>
          <w:tcPr>
            <w:tcW w:w="4541" w:type="dxa"/>
            <w:tcBorders>
              <w:top w:val="single" w:sz="4" w:space="0" w:color="auto"/>
              <w:left w:val="single" w:sz="4" w:space="0" w:color="auto"/>
              <w:bottom w:val="single" w:sz="4" w:space="0" w:color="auto"/>
              <w:right w:val="single" w:sz="4" w:space="0" w:color="auto"/>
            </w:tcBorders>
            <w:hideMark/>
          </w:tcPr>
          <w:p w14:paraId="6BF49A5C" w14:textId="3A437185" w:rsidR="00A6325F" w:rsidRPr="0094292F" w:rsidRDefault="00A6325F" w:rsidP="00A20084">
            <w:pPr>
              <w:rPr>
                <w:sz w:val="22"/>
                <w:szCs w:val="22"/>
              </w:rPr>
            </w:pPr>
            <w:r w:rsidRPr="0094292F">
              <w:rPr>
                <w:sz w:val="22"/>
                <w:szCs w:val="22"/>
              </w:rPr>
              <w:t>See description of item 21</w:t>
            </w:r>
            <w:r w:rsidR="00917F96">
              <w:rPr>
                <w:sz w:val="22"/>
                <w:szCs w:val="22"/>
              </w:rPr>
              <w:t xml:space="preserve"> above</w:t>
            </w:r>
            <w:r w:rsidRPr="0094292F">
              <w:rPr>
                <w:sz w:val="22"/>
                <w:szCs w:val="22"/>
              </w:rPr>
              <w:t>.</w:t>
            </w:r>
          </w:p>
        </w:tc>
      </w:tr>
      <w:tr w:rsidR="00A6325F" w14:paraId="2AAC5FC4" w14:textId="77777777" w:rsidTr="00E321D3">
        <w:tc>
          <w:tcPr>
            <w:tcW w:w="846" w:type="dxa"/>
            <w:tcBorders>
              <w:top w:val="single" w:sz="4" w:space="0" w:color="auto"/>
              <w:left w:val="single" w:sz="4" w:space="0" w:color="auto"/>
              <w:bottom w:val="single" w:sz="4" w:space="0" w:color="auto"/>
              <w:right w:val="single" w:sz="4" w:space="0" w:color="auto"/>
            </w:tcBorders>
          </w:tcPr>
          <w:p w14:paraId="6EC8C143" w14:textId="336822F8"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29CE5965" w14:textId="5F173D60" w:rsidR="00A6325F" w:rsidRPr="0094292F" w:rsidRDefault="00A6325F" w:rsidP="00A20084">
            <w:pPr>
              <w:rPr>
                <w:sz w:val="22"/>
                <w:szCs w:val="22"/>
              </w:rPr>
            </w:pPr>
            <w:r w:rsidRPr="0094292F">
              <w:rPr>
                <w:sz w:val="22"/>
                <w:szCs w:val="22"/>
              </w:rPr>
              <w:t>Part 3 of Schedule 3 (after table item 52)</w:t>
            </w:r>
          </w:p>
        </w:tc>
        <w:tc>
          <w:tcPr>
            <w:tcW w:w="4541" w:type="dxa"/>
            <w:tcBorders>
              <w:top w:val="single" w:sz="4" w:space="0" w:color="auto"/>
              <w:left w:val="single" w:sz="4" w:space="0" w:color="auto"/>
              <w:bottom w:val="single" w:sz="4" w:space="0" w:color="auto"/>
              <w:right w:val="single" w:sz="4" w:space="0" w:color="auto"/>
            </w:tcBorders>
            <w:hideMark/>
          </w:tcPr>
          <w:p w14:paraId="6C483F2C" w14:textId="69250A79" w:rsidR="00A6325F" w:rsidRPr="0094292F" w:rsidRDefault="00A6325F" w:rsidP="00A20084">
            <w:pPr>
              <w:rPr>
                <w:sz w:val="22"/>
                <w:szCs w:val="22"/>
              </w:rPr>
            </w:pPr>
            <w:r w:rsidRPr="0094292F">
              <w:rPr>
                <w:sz w:val="22"/>
                <w:szCs w:val="22"/>
              </w:rPr>
              <w:t xml:space="preserve">Specifies the carbon content for the new </w:t>
            </w:r>
            <w:proofErr w:type="gramStart"/>
            <w:r w:rsidR="008E687B">
              <w:rPr>
                <w:sz w:val="22"/>
                <w:szCs w:val="22"/>
              </w:rPr>
              <w:t>fuel</w:t>
            </w:r>
            <w:r w:rsidRPr="0094292F">
              <w:rPr>
                <w:sz w:val="22"/>
                <w:szCs w:val="22"/>
              </w:rPr>
              <w:t>s</w:t>
            </w:r>
            <w:proofErr w:type="gramEnd"/>
            <w:r w:rsidRPr="0094292F">
              <w:rPr>
                <w:sz w:val="22"/>
                <w:szCs w:val="22"/>
              </w:rPr>
              <w:t xml:space="preserve"> </w:t>
            </w:r>
            <w:r w:rsidR="00F51E7B" w:rsidRPr="0094292F">
              <w:rPr>
                <w:i/>
                <w:sz w:val="22"/>
                <w:szCs w:val="22"/>
              </w:rPr>
              <w:t>renewable diesel</w:t>
            </w:r>
            <w:r w:rsidR="00F51E7B" w:rsidRPr="0094292F">
              <w:rPr>
                <w:sz w:val="22"/>
                <w:szCs w:val="22"/>
              </w:rPr>
              <w:t xml:space="preserve"> and </w:t>
            </w:r>
            <w:r w:rsidR="00F51E7B" w:rsidRPr="0094292F">
              <w:rPr>
                <w:i/>
                <w:sz w:val="22"/>
                <w:szCs w:val="22"/>
              </w:rPr>
              <w:t xml:space="preserve">renewable </w:t>
            </w:r>
            <w:r w:rsidR="00F51E7B">
              <w:rPr>
                <w:i/>
                <w:sz w:val="22"/>
                <w:szCs w:val="22"/>
              </w:rPr>
              <w:t xml:space="preserve">aviation </w:t>
            </w:r>
            <w:r w:rsidR="00F51E7B" w:rsidRPr="0094292F">
              <w:rPr>
                <w:i/>
                <w:sz w:val="22"/>
                <w:szCs w:val="22"/>
              </w:rPr>
              <w:t>kerosene</w:t>
            </w:r>
            <w:r w:rsidRPr="0094292F">
              <w:rPr>
                <w:sz w:val="22"/>
                <w:szCs w:val="22"/>
              </w:rPr>
              <w:t xml:space="preserve">, which is zero for both </w:t>
            </w:r>
            <w:r w:rsidR="008E687B">
              <w:rPr>
                <w:sz w:val="22"/>
                <w:szCs w:val="22"/>
              </w:rPr>
              <w:t>fuel</w:t>
            </w:r>
            <w:r w:rsidRPr="0094292F">
              <w:rPr>
                <w:sz w:val="22"/>
                <w:szCs w:val="22"/>
              </w:rPr>
              <w:t>s as for other biogenic fuel</w:t>
            </w:r>
            <w:r w:rsidR="00F51E7B">
              <w:rPr>
                <w:sz w:val="22"/>
                <w:szCs w:val="22"/>
              </w:rPr>
              <w:t>s</w:t>
            </w:r>
            <w:r w:rsidRPr="0094292F">
              <w:rPr>
                <w:sz w:val="22"/>
                <w:szCs w:val="22"/>
              </w:rPr>
              <w:t xml:space="preserve">. </w:t>
            </w:r>
          </w:p>
        </w:tc>
      </w:tr>
      <w:tr w:rsidR="003354E2" w14:paraId="57E0883A" w14:textId="77777777" w:rsidTr="00E321D3">
        <w:tc>
          <w:tcPr>
            <w:tcW w:w="846" w:type="dxa"/>
            <w:tcBorders>
              <w:top w:val="single" w:sz="4" w:space="0" w:color="auto"/>
              <w:left w:val="single" w:sz="4" w:space="0" w:color="auto"/>
              <w:bottom w:val="single" w:sz="4" w:space="0" w:color="auto"/>
              <w:right w:val="single" w:sz="4" w:space="0" w:color="auto"/>
            </w:tcBorders>
          </w:tcPr>
          <w:p w14:paraId="7D1BEFC9" w14:textId="77777777" w:rsidR="003354E2" w:rsidRPr="0094292F" w:rsidRDefault="003354E2"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3CAF0F3" w14:textId="66448983" w:rsidR="003354E2" w:rsidRPr="0094292F" w:rsidRDefault="001A65DC" w:rsidP="00A20084">
            <w:pPr>
              <w:rPr>
                <w:sz w:val="22"/>
                <w:szCs w:val="22"/>
              </w:rPr>
            </w:pPr>
            <w:r w:rsidRPr="00467522">
              <w:rPr>
                <w:sz w:val="22"/>
                <w:szCs w:val="22"/>
              </w:rPr>
              <w:t>Part 2 of Schedule</w:t>
            </w:r>
            <w:r>
              <w:t xml:space="preserve"> 4</w:t>
            </w:r>
          </w:p>
        </w:tc>
        <w:tc>
          <w:tcPr>
            <w:tcW w:w="4541" w:type="dxa"/>
            <w:tcBorders>
              <w:top w:val="single" w:sz="4" w:space="0" w:color="auto"/>
              <w:left w:val="single" w:sz="4" w:space="0" w:color="auto"/>
              <w:bottom w:val="single" w:sz="4" w:space="0" w:color="auto"/>
              <w:right w:val="single" w:sz="4" w:space="0" w:color="auto"/>
            </w:tcBorders>
          </w:tcPr>
          <w:p w14:paraId="0B8A68BB" w14:textId="2776F6F9" w:rsidR="003354E2" w:rsidRPr="0094292F" w:rsidRDefault="001A65DC" w:rsidP="00A20084">
            <w:pPr>
              <w:rPr>
                <w:sz w:val="22"/>
                <w:szCs w:val="22"/>
              </w:rPr>
            </w:pPr>
            <w:r>
              <w:rPr>
                <w:sz w:val="22"/>
                <w:szCs w:val="22"/>
              </w:rPr>
              <w:t>Rep</w:t>
            </w:r>
            <w:r w:rsidR="004B7B4E">
              <w:rPr>
                <w:sz w:val="22"/>
                <w:szCs w:val="22"/>
              </w:rPr>
              <w:t>laces the unit of energy “megajoule” with the unit of energy “gigajoule” wherever occurring in Part 2 of Schedule 4 of the Measurement Determination. This brings the Part</w:t>
            </w:r>
            <w:r w:rsidR="00C85922">
              <w:rPr>
                <w:sz w:val="22"/>
                <w:szCs w:val="22"/>
              </w:rPr>
              <w:t xml:space="preserve"> into consistency with unit convention </w:t>
            </w:r>
            <w:r w:rsidR="0013190B">
              <w:rPr>
                <w:sz w:val="22"/>
                <w:szCs w:val="22"/>
              </w:rPr>
              <w:t xml:space="preserve">applied elsewhere </w:t>
            </w:r>
            <w:r w:rsidR="00C85922">
              <w:rPr>
                <w:sz w:val="22"/>
                <w:szCs w:val="22"/>
              </w:rPr>
              <w:t>within the Measurement Determination</w:t>
            </w:r>
            <w:r w:rsidR="00222521">
              <w:rPr>
                <w:sz w:val="22"/>
                <w:szCs w:val="22"/>
              </w:rPr>
              <w:t xml:space="preserve"> (</w:t>
            </w:r>
            <w:proofErr w:type="gramStart"/>
            <w:r w:rsidR="006F6A81">
              <w:rPr>
                <w:sz w:val="22"/>
                <w:szCs w:val="22"/>
              </w:rPr>
              <w:t xml:space="preserve">in particular </w:t>
            </w:r>
            <w:r w:rsidR="00222521">
              <w:rPr>
                <w:sz w:val="22"/>
                <w:szCs w:val="22"/>
              </w:rPr>
              <w:t>section</w:t>
            </w:r>
            <w:proofErr w:type="gramEnd"/>
            <w:r w:rsidR="00222521">
              <w:rPr>
                <w:sz w:val="22"/>
                <w:szCs w:val="22"/>
              </w:rPr>
              <w:t xml:space="preserve"> </w:t>
            </w:r>
            <w:r w:rsidR="006F6A81">
              <w:rPr>
                <w:sz w:val="22"/>
                <w:szCs w:val="22"/>
              </w:rPr>
              <w:t>1.15(3)).</w:t>
            </w:r>
          </w:p>
        </w:tc>
      </w:tr>
      <w:tr w:rsidR="0025156B" w14:paraId="72C6AC63" w14:textId="77777777" w:rsidTr="00E321D3">
        <w:tc>
          <w:tcPr>
            <w:tcW w:w="846" w:type="dxa"/>
            <w:tcBorders>
              <w:top w:val="single" w:sz="4" w:space="0" w:color="auto"/>
              <w:left w:val="single" w:sz="4" w:space="0" w:color="auto"/>
              <w:bottom w:val="single" w:sz="4" w:space="0" w:color="auto"/>
              <w:right w:val="single" w:sz="4" w:space="0" w:color="auto"/>
            </w:tcBorders>
          </w:tcPr>
          <w:p w14:paraId="3C21D32D" w14:textId="77777777" w:rsidR="0025156B" w:rsidRPr="0094292F" w:rsidRDefault="0025156B"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8AF2CE7" w14:textId="419DF4F7" w:rsidR="0025156B" w:rsidRPr="00467522" w:rsidRDefault="00B758BF" w:rsidP="00A20084">
            <w:pPr>
              <w:rPr>
                <w:sz w:val="22"/>
                <w:szCs w:val="22"/>
              </w:rPr>
            </w:pPr>
            <w:r>
              <w:rPr>
                <w:sz w:val="22"/>
                <w:szCs w:val="22"/>
              </w:rPr>
              <w:t>After Part 6 of Schedule 4</w:t>
            </w:r>
          </w:p>
        </w:tc>
        <w:tc>
          <w:tcPr>
            <w:tcW w:w="4541" w:type="dxa"/>
            <w:tcBorders>
              <w:top w:val="single" w:sz="4" w:space="0" w:color="auto"/>
              <w:left w:val="single" w:sz="4" w:space="0" w:color="auto"/>
              <w:bottom w:val="single" w:sz="4" w:space="0" w:color="auto"/>
              <w:right w:val="single" w:sz="4" w:space="0" w:color="auto"/>
            </w:tcBorders>
          </w:tcPr>
          <w:p w14:paraId="7FBD5C73" w14:textId="77777777" w:rsidR="00FD78B5" w:rsidRDefault="00B758BF" w:rsidP="00A20084">
            <w:pPr>
              <w:rPr>
                <w:sz w:val="22"/>
                <w:szCs w:val="22"/>
              </w:rPr>
            </w:pPr>
            <w:r>
              <w:rPr>
                <w:sz w:val="22"/>
                <w:szCs w:val="22"/>
              </w:rPr>
              <w:t xml:space="preserve">Specifies </w:t>
            </w:r>
            <w:r w:rsidR="00893668">
              <w:rPr>
                <w:sz w:val="22"/>
                <w:szCs w:val="22"/>
              </w:rPr>
              <w:t>information which must be reported under subsection 4.17B(2) of the NGER Regulations</w:t>
            </w:r>
            <w:r w:rsidR="00CF351B">
              <w:rPr>
                <w:sz w:val="22"/>
                <w:szCs w:val="22"/>
              </w:rPr>
              <w:t xml:space="preserve"> by reporters using the market-based method in section 7.4 (method B)</w:t>
            </w:r>
            <w:r w:rsidR="00C82379">
              <w:rPr>
                <w:sz w:val="22"/>
                <w:szCs w:val="22"/>
              </w:rPr>
              <w:t xml:space="preserve"> to estimate scope 2 emissions. </w:t>
            </w:r>
          </w:p>
          <w:p w14:paraId="233234B8" w14:textId="04605C30" w:rsidR="00BC3AFE" w:rsidRDefault="002F2ECC" w:rsidP="00A20084">
            <w:pPr>
              <w:rPr>
                <w:sz w:val="22"/>
                <w:szCs w:val="22"/>
              </w:rPr>
            </w:pPr>
            <w:r>
              <w:rPr>
                <w:sz w:val="22"/>
                <w:szCs w:val="22"/>
              </w:rPr>
              <w:t>The following values must be reported when using this method</w:t>
            </w:r>
            <w:r w:rsidR="00CF3688">
              <w:rPr>
                <w:sz w:val="22"/>
                <w:szCs w:val="22"/>
              </w:rPr>
              <w:t xml:space="preserve">: </w:t>
            </w:r>
          </w:p>
          <w:p w14:paraId="2A1499B3" w14:textId="057F793F" w:rsidR="00AF306E" w:rsidRPr="003B4029" w:rsidRDefault="002F2ECC" w:rsidP="00BC3AFE">
            <w:pPr>
              <w:pStyle w:val="ListParagraph"/>
              <w:numPr>
                <w:ilvl w:val="0"/>
                <w:numId w:val="10"/>
              </w:numPr>
              <w:rPr>
                <w:sz w:val="22"/>
                <w:szCs w:val="22"/>
              </w:rPr>
            </w:pPr>
            <w:r w:rsidRPr="003B4029">
              <w:rPr>
                <w:sz w:val="22"/>
                <w:szCs w:val="22"/>
              </w:rPr>
              <w:t>Q (</w:t>
            </w:r>
            <w:r w:rsidR="00BC3AFE" w:rsidRPr="003B4029">
              <w:rPr>
                <w:sz w:val="22"/>
                <w:szCs w:val="22"/>
              </w:rPr>
              <w:t>the quantity of electricity purchased or acquired from an electricity transmission network or distribution network during the year and consumed from the operation of the facility measured in kilowatt hours</w:t>
            </w:r>
            <w:proofErr w:type="gramStart"/>
            <w:r w:rsidRPr="003B4029">
              <w:rPr>
                <w:sz w:val="22"/>
                <w:szCs w:val="22"/>
              </w:rPr>
              <w:t>)</w:t>
            </w:r>
            <w:r w:rsidR="00DE10E6">
              <w:rPr>
                <w:sz w:val="22"/>
                <w:szCs w:val="22"/>
              </w:rPr>
              <w:t>;</w:t>
            </w:r>
            <w:proofErr w:type="gramEnd"/>
            <w:r w:rsidR="00CF3688" w:rsidRPr="003B4029">
              <w:rPr>
                <w:sz w:val="22"/>
                <w:szCs w:val="22"/>
              </w:rPr>
              <w:t xml:space="preserve"> </w:t>
            </w:r>
          </w:p>
          <w:p w14:paraId="72836293" w14:textId="7B07356C" w:rsidR="002F2ECC" w:rsidRPr="003B4029" w:rsidRDefault="002F2ECC" w:rsidP="00BC3AFE">
            <w:pPr>
              <w:pStyle w:val="ListParagraph"/>
              <w:numPr>
                <w:ilvl w:val="0"/>
                <w:numId w:val="10"/>
              </w:numPr>
              <w:rPr>
                <w:sz w:val="22"/>
                <w:szCs w:val="22"/>
              </w:rPr>
            </w:pPr>
            <w:r w:rsidRPr="003B4029">
              <w:rPr>
                <w:sz w:val="22"/>
                <w:szCs w:val="22"/>
              </w:rPr>
              <w:t>Q</w:t>
            </w:r>
            <w:r w:rsidRPr="003B4029">
              <w:rPr>
                <w:sz w:val="22"/>
                <w:szCs w:val="22"/>
                <w:vertAlign w:val="subscript"/>
              </w:rPr>
              <w:t>exempt</w:t>
            </w:r>
            <w:r w:rsidRPr="003B4029">
              <w:rPr>
                <w:sz w:val="22"/>
                <w:szCs w:val="22"/>
              </w:rPr>
              <w:t xml:space="preserve"> (</w:t>
            </w:r>
            <w:r w:rsidR="00806F95" w:rsidRPr="003B4029">
              <w:rPr>
                <w:sz w:val="22"/>
                <w:szCs w:val="22"/>
              </w:rPr>
              <w:t xml:space="preserve">the quantity of electricity </w:t>
            </w:r>
            <w:proofErr w:type="gramStart"/>
            <w:r w:rsidR="00806F95" w:rsidRPr="003B4029">
              <w:rPr>
                <w:sz w:val="22"/>
                <w:szCs w:val="22"/>
              </w:rPr>
              <w:t>exempt</w:t>
            </w:r>
            <w:proofErr w:type="gramEnd"/>
            <w:r w:rsidR="00806F95" w:rsidRPr="003B4029">
              <w:rPr>
                <w:sz w:val="22"/>
                <w:szCs w:val="22"/>
              </w:rPr>
              <w:t xml:space="preserve"> from Renewable Energy Target (RET) liability, measured in kilowatt hours</w:t>
            </w:r>
            <w:r w:rsidRPr="003B4029">
              <w:rPr>
                <w:sz w:val="22"/>
                <w:szCs w:val="22"/>
              </w:rPr>
              <w:t>)</w:t>
            </w:r>
            <w:r w:rsidR="00DE10E6">
              <w:rPr>
                <w:sz w:val="22"/>
                <w:szCs w:val="22"/>
              </w:rPr>
              <w:t>;</w:t>
            </w:r>
            <w:r w:rsidR="00CF3688" w:rsidRPr="003B4029">
              <w:rPr>
                <w:sz w:val="22"/>
                <w:szCs w:val="22"/>
              </w:rPr>
              <w:t xml:space="preserve"> </w:t>
            </w:r>
          </w:p>
          <w:p w14:paraId="0E734560" w14:textId="1F5E8916" w:rsidR="002F2ECC" w:rsidRPr="003B4029" w:rsidRDefault="00CF3688" w:rsidP="00BC3AFE">
            <w:pPr>
              <w:pStyle w:val="ListParagraph"/>
              <w:numPr>
                <w:ilvl w:val="0"/>
                <w:numId w:val="10"/>
              </w:numPr>
              <w:rPr>
                <w:sz w:val="22"/>
                <w:szCs w:val="22"/>
              </w:rPr>
            </w:pPr>
            <w:r w:rsidRPr="003B4029">
              <w:rPr>
                <w:sz w:val="22"/>
                <w:szCs w:val="22"/>
              </w:rPr>
              <w:t>REC</w:t>
            </w:r>
            <w:r w:rsidRPr="003B4029">
              <w:rPr>
                <w:sz w:val="22"/>
                <w:szCs w:val="22"/>
                <w:vertAlign w:val="subscript"/>
              </w:rPr>
              <w:t>surr</w:t>
            </w:r>
            <w:r w:rsidRPr="003B4029">
              <w:rPr>
                <w:sz w:val="22"/>
                <w:szCs w:val="22"/>
              </w:rPr>
              <w:t xml:space="preserve"> </w:t>
            </w:r>
            <w:r w:rsidR="008810D6" w:rsidRPr="003B4029">
              <w:rPr>
                <w:sz w:val="22"/>
                <w:szCs w:val="22"/>
              </w:rPr>
              <w:t>(</w:t>
            </w:r>
            <w:r w:rsidR="00A1767A" w:rsidRPr="003B4029">
              <w:rPr>
                <w:bCs/>
                <w:iCs/>
                <w:sz w:val="22"/>
                <w:szCs w:val="22"/>
              </w:rPr>
              <w:t>the number of eligible Renewable Energy Certificates voluntarily surrendered in the reporting year equivalent to megawatt hours</w:t>
            </w:r>
            <w:r w:rsidR="008810D6" w:rsidRPr="003B4029">
              <w:rPr>
                <w:sz w:val="22"/>
                <w:szCs w:val="22"/>
              </w:rPr>
              <w:t>)</w:t>
            </w:r>
            <w:r w:rsidR="00DE10E6">
              <w:rPr>
                <w:sz w:val="22"/>
                <w:szCs w:val="22"/>
              </w:rPr>
              <w:t>;</w:t>
            </w:r>
            <w:r w:rsidR="008810D6" w:rsidRPr="003B4029">
              <w:rPr>
                <w:sz w:val="22"/>
                <w:szCs w:val="22"/>
              </w:rPr>
              <w:t xml:space="preserve"> </w:t>
            </w:r>
            <w:r w:rsidRPr="003B4029">
              <w:rPr>
                <w:sz w:val="22"/>
                <w:szCs w:val="22"/>
              </w:rPr>
              <w:t xml:space="preserve">and </w:t>
            </w:r>
          </w:p>
          <w:p w14:paraId="735A85A9" w14:textId="703AD8FD" w:rsidR="0025156B" w:rsidRPr="00BC3AFE" w:rsidRDefault="00CF3688" w:rsidP="003B4029">
            <w:pPr>
              <w:pStyle w:val="ListParagraph"/>
              <w:numPr>
                <w:ilvl w:val="0"/>
                <w:numId w:val="10"/>
              </w:numPr>
              <w:rPr>
                <w:sz w:val="22"/>
                <w:szCs w:val="22"/>
              </w:rPr>
            </w:pPr>
            <w:r w:rsidRPr="003B4029">
              <w:rPr>
                <w:sz w:val="22"/>
                <w:szCs w:val="22"/>
              </w:rPr>
              <w:t>REC</w:t>
            </w:r>
            <w:r w:rsidRPr="003B4029">
              <w:rPr>
                <w:sz w:val="22"/>
                <w:szCs w:val="22"/>
                <w:vertAlign w:val="subscript"/>
              </w:rPr>
              <w:t>onsite</w:t>
            </w:r>
            <w:r w:rsidR="00CF7DA0" w:rsidRPr="003B4029">
              <w:rPr>
                <w:sz w:val="22"/>
                <w:szCs w:val="22"/>
                <w:vertAlign w:val="subscript"/>
              </w:rPr>
              <w:t xml:space="preserve"> </w:t>
            </w:r>
            <w:r w:rsidR="00CF7DA0" w:rsidRPr="00C703DD">
              <w:rPr>
                <w:sz w:val="22"/>
                <w:szCs w:val="22"/>
              </w:rPr>
              <w:t>(</w:t>
            </w:r>
            <w:r w:rsidR="00CF7DA0" w:rsidRPr="003B4029">
              <w:rPr>
                <w:sz w:val="22"/>
                <w:szCs w:val="22"/>
              </w:rPr>
              <w:t xml:space="preserve">the number of eligible </w:t>
            </w:r>
            <w:r w:rsidR="00CF7DA0" w:rsidRPr="003B4029">
              <w:rPr>
                <w:bCs/>
                <w:iCs/>
                <w:sz w:val="22"/>
                <w:szCs w:val="22"/>
              </w:rPr>
              <w:t>Renewable Energy Certificates</w:t>
            </w:r>
            <w:r w:rsidR="00CF7DA0" w:rsidRPr="003B4029">
              <w:rPr>
                <w:sz w:val="22"/>
                <w:szCs w:val="22"/>
              </w:rPr>
              <w:t xml:space="preserve"> that have been or will be issued for electricity produced on-site during the year and consumed from the operation of the facility equivalent to megawatt hours</w:t>
            </w:r>
            <w:r w:rsidR="00CF7DA0" w:rsidRPr="00C703DD">
              <w:rPr>
                <w:sz w:val="22"/>
                <w:szCs w:val="22"/>
              </w:rPr>
              <w:t>).</w:t>
            </w:r>
          </w:p>
        </w:tc>
      </w:tr>
      <w:tr w:rsidR="00A6325F" w14:paraId="6B84E337" w14:textId="77777777" w:rsidTr="00E321D3">
        <w:tc>
          <w:tcPr>
            <w:tcW w:w="846" w:type="dxa"/>
            <w:tcBorders>
              <w:top w:val="single" w:sz="4" w:space="0" w:color="auto"/>
              <w:left w:val="single" w:sz="4" w:space="0" w:color="auto"/>
              <w:bottom w:val="single" w:sz="4" w:space="0" w:color="auto"/>
              <w:right w:val="single" w:sz="4" w:space="0" w:color="auto"/>
            </w:tcBorders>
          </w:tcPr>
          <w:p w14:paraId="6DA1C590" w14:textId="3D125491"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31E2A185" w14:textId="30381288" w:rsidR="00A6325F" w:rsidRPr="0094292F" w:rsidRDefault="00A6325F" w:rsidP="00A20084">
            <w:pPr>
              <w:rPr>
                <w:sz w:val="22"/>
                <w:szCs w:val="22"/>
              </w:rPr>
            </w:pPr>
            <w:r w:rsidRPr="0094292F">
              <w:rPr>
                <w:sz w:val="22"/>
                <w:szCs w:val="22"/>
              </w:rPr>
              <w:t>Amendments of listed provisions—Valves—leaker</w:t>
            </w:r>
          </w:p>
        </w:tc>
        <w:tc>
          <w:tcPr>
            <w:tcW w:w="4541" w:type="dxa"/>
            <w:tcBorders>
              <w:top w:val="single" w:sz="4" w:space="0" w:color="auto"/>
              <w:left w:val="single" w:sz="4" w:space="0" w:color="auto"/>
              <w:bottom w:val="single" w:sz="4" w:space="0" w:color="auto"/>
              <w:right w:val="single" w:sz="4" w:space="0" w:color="auto"/>
            </w:tcBorders>
            <w:hideMark/>
          </w:tcPr>
          <w:p w14:paraId="5E5B3173" w14:textId="77777777" w:rsidR="00A6325F" w:rsidRPr="0094292F" w:rsidRDefault="00A6325F" w:rsidP="00A20084">
            <w:pPr>
              <w:rPr>
                <w:sz w:val="22"/>
                <w:szCs w:val="22"/>
              </w:rPr>
            </w:pPr>
            <w:r w:rsidRPr="0094292F">
              <w:rPr>
                <w:sz w:val="22"/>
                <w:szCs w:val="22"/>
              </w:rPr>
              <w:t xml:space="preserve">Editorial correction. </w:t>
            </w:r>
          </w:p>
        </w:tc>
      </w:tr>
      <w:tr w:rsidR="00A6325F" w14:paraId="0B735A0E" w14:textId="77777777" w:rsidTr="00E321D3">
        <w:tc>
          <w:tcPr>
            <w:tcW w:w="846" w:type="dxa"/>
            <w:tcBorders>
              <w:top w:val="single" w:sz="4" w:space="0" w:color="auto"/>
              <w:left w:val="single" w:sz="4" w:space="0" w:color="auto"/>
              <w:bottom w:val="single" w:sz="4" w:space="0" w:color="auto"/>
              <w:right w:val="single" w:sz="4" w:space="0" w:color="auto"/>
            </w:tcBorders>
          </w:tcPr>
          <w:p w14:paraId="38289836" w14:textId="03431BAA" w:rsidR="00A6325F" w:rsidRPr="0094292F" w:rsidRDefault="00A6325F" w:rsidP="00A20084">
            <w:pPr>
              <w:pStyle w:val="ListParagraph"/>
              <w:numPr>
                <w:ilvl w:val="0"/>
                <w:numId w:val="8"/>
              </w:numPr>
              <w:contextualSpacing w:val="0"/>
              <w:rPr>
                <w:sz w:val="22"/>
                <w:szCs w:val="22"/>
              </w:rPr>
            </w:pPr>
          </w:p>
        </w:tc>
        <w:tc>
          <w:tcPr>
            <w:tcW w:w="2546" w:type="dxa"/>
            <w:tcBorders>
              <w:top w:val="single" w:sz="4" w:space="0" w:color="auto"/>
              <w:left w:val="single" w:sz="4" w:space="0" w:color="auto"/>
              <w:bottom w:val="single" w:sz="4" w:space="0" w:color="auto"/>
              <w:right w:val="single" w:sz="4" w:space="0" w:color="auto"/>
            </w:tcBorders>
            <w:hideMark/>
          </w:tcPr>
          <w:p w14:paraId="640D9809" w14:textId="5E97A6A0" w:rsidR="00A6325F" w:rsidRPr="0094292F" w:rsidRDefault="00A6325F" w:rsidP="00A20084">
            <w:pPr>
              <w:rPr>
                <w:sz w:val="22"/>
                <w:szCs w:val="22"/>
              </w:rPr>
            </w:pPr>
            <w:r w:rsidRPr="0094292F">
              <w:rPr>
                <w:sz w:val="22"/>
                <w:szCs w:val="22"/>
              </w:rPr>
              <w:t>Amendments of listed provisions—Natural gas transmitted or distributed in a pipeline</w:t>
            </w:r>
          </w:p>
        </w:tc>
        <w:tc>
          <w:tcPr>
            <w:tcW w:w="4541" w:type="dxa"/>
            <w:tcBorders>
              <w:top w:val="single" w:sz="4" w:space="0" w:color="auto"/>
              <w:left w:val="single" w:sz="4" w:space="0" w:color="auto"/>
              <w:bottom w:val="single" w:sz="4" w:space="0" w:color="auto"/>
              <w:right w:val="single" w:sz="4" w:space="0" w:color="auto"/>
            </w:tcBorders>
            <w:hideMark/>
          </w:tcPr>
          <w:p w14:paraId="788E7033" w14:textId="1F59A3C9" w:rsidR="00A6325F" w:rsidRPr="0094292F" w:rsidRDefault="00A6325F" w:rsidP="00A20084">
            <w:pPr>
              <w:rPr>
                <w:sz w:val="22"/>
                <w:szCs w:val="22"/>
              </w:rPr>
            </w:pPr>
            <w:r w:rsidRPr="0094292F">
              <w:rPr>
                <w:sz w:val="22"/>
                <w:szCs w:val="22"/>
              </w:rPr>
              <w:t>See description of item 21.</w:t>
            </w:r>
          </w:p>
        </w:tc>
      </w:tr>
    </w:tbl>
    <w:p w14:paraId="392B41B2" w14:textId="217DCA5E" w:rsidR="00486954" w:rsidRDefault="00486954">
      <w:pPr>
        <w:spacing w:before="0" w:after="0"/>
        <w:rPr>
          <w:b/>
          <w:szCs w:val="24"/>
          <w:u w:val="single"/>
        </w:rPr>
      </w:pPr>
      <w:r>
        <w:rPr>
          <w:b/>
          <w:szCs w:val="24"/>
          <w:u w:val="single"/>
        </w:rPr>
        <w:br w:type="page"/>
      </w:r>
    </w:p>
    <w:p w14:paraId="7FD19CF6" w14:textId="2E55C512" w:rsidR="005B17D1" w:rsidRDefault="00C15EDB" w:rsidP="003A5D5E">
      <w:pPr>
        <w:tabs>
          <w:tab w:val="right" w:pos="9072"/>
        </w:tabs>
        <w:spacing w:after="240"/>
        <w:ind w:right="91"/>
        <w:jc w:val="right"/>
        <w:rPr>
          <w:b/>
          <w:szCs w:val="24"/>
          <w:u w:val="single"/>
        </w:rPr>
      </w:pPr>
      <w:r>
        <w:rPr>
          <w:b/>
          <w:szCs w:val="24"/>
          <w:u w:val="single"/>
        </w:rPr>
        <w:lastRenderedPageBreak/>
        <w:t>ATTACHMENT B</w:t>
      </w:r>
    </w:p>
    <w:p w14:paraId="3E58A369" w14:textId="77777777" w:rsidR="003A5D5E" w:rsidRPr="009D5CEE" w:rsidRDefault="003A5D5E" w:rsidP="005B17D1">
      <w:pPr>
        <w:pStyle w:val="Heading3"/>
        <w:spacing w:before="0" w:after="240"/>
        <w:jc w:val="center"/>
        <w:rPr>
          <w:rFonts w:ascii="Times New Roman" w:hAnsi="Times New Roman"/>
          <w:szCs w:val="24"/>
        </w:rPr>
      </w:pPr>
    </w:p>
    <w:p w14:paraId="7FD19CF7" w14:textId="77777777" w:rsidR="005B17D1" w:rsidRPr="009D5CEE" w:rsidRDefault="005B17D1" w:rsidP="005B17D1">
      <w:pPr>
        <w:pStyle w:val="Heading3"/>
        <w:spacing w:before="0" w:after="240"/>
        <w:jc w:val="center"/>
        <w:rPr>
          <w:rFonts w:ascii="Times New Roman" w:hAnsi="Times New Roman"/>
          <w:sz w:val="28"/>
          <w:szCs w:val="28"/>
        </w:rPr>
      </w:pPr>
      <w:r w:rsidRPr="009D5CEE">
        <w:rPr>
          <w:rFonts w:ascii="Times New Roman" w:hAnsi="Times New Roman"/>
          <w:sz w:val="28"/>
          <w:szCs w:val="28"/>
        </w:rPr>
        <w:t>Statement of Compatibility with Human Rights</w:t>
      </w:r>
    </w:p>
    <w:p w14:paraId="7FD19CF8" w14:textId="77777777" w:rsidR="005B17D1" w:rsidRDefault="005B17D1" w:rsidP="005B17D1">
      <w:pPr>
        <w:spacing w:after="240"/>
        <w:jc w:val="center"/>
        <w:rPr>
          <w:i/>
          <w:szCs w:val="24"/>
        </w:rPr>
      </w:pPr>
      <w:r>
        <w:rPr>
          <w:i/>
          <w:szCs w:val="24"/>
        </w:rPr>
        <w:t>Prepared in accordance with Part 3 of the Human Rights (Parliamentary Scrutiny) Act 2011</w:t>
      </w:r>
    </w:p>
    <w:p w14:paraId="7A48698C" w14:textId="67D79727" w:rsidR="0023138A" w:rsidRDefault="0023138A" w:rsidP="0023138A">
      <w:pPr>
        <w:spacing w:after="240"/>
        <w:jc w:val="center"/>
        <w:rPr>
          <w:b/>
          <w:i/>
        </w:rPr>
      </w:pPr>
      <w:r w:rsidRPr="0023138A">
        <w:rPr>
          <w:b/>
          <w:i/>
        </w:rPr>
        <w:t xml:space="preserve">National Greenhouse and Energy Reporting </w:t>
      </w:r>
      <w:r w:rsidR="0016437F">
        <w:rPr>
          <w:b/>
          <w:i/>
        </w:rPr>
        <w:t xml:space="preserve">(Measurement) </w:t>
      </w:r>
      <w:r w:rsidRPr="0023138A">
        <w:rPr>
          <w:b/>
          <w:i/>
        </w:rPr>
        <w:t>Amendment (</w:t>
      </w:r>
      <w:r w:rsidR="005E1B5A">
        <w:rPr>
          <w:b/>
          <w:i/>
        </w:rPr>
        <w:t>202</w:t>
      </w:r>
      <w:r w:rsidR="006531BE">
        <w:rPr>
          <w:b/>
          <w:i/>
        </w:rPr>
        <w:t>3</w:t>
      </w:r>
      <w:r w:rsidR="0016437F">
        <w:rPr>
          <w:b/>
          <w:i/>
        </w:rPr>
        <w:t xml:space="preserve"> Update</w:t>
      </w:r>
      <w:r w:rsidRPr="0023138A">
        <w:rPr>
          <w:b/>
          <w:i/>
        </w:rPr>
        <w:t xml:space="preserve">) </w:t>
      </w:r>
      <w:r w:rsidR="0016437F">
        <w:rPr>
          <w:b/>
          <w:i/>
        </w:rPr>
        <w:t>Determination</w:t>
      </w:r>
      <w:r w:rsidR="0039006D">
        <w:rPr>
          <w:b/>
          <w:i/>
        </w:rPr>
        <w:t xml:space="preserve"> 202</w:t>
      </w:r>
      <w:r w:rsidR="006531BE">
        <w:rPr>
          <w:b/>
          <w:i/>
        </w:rPr>
        <w:t>3</w:t>
      </w:r>
    </w:p>
    <w:p w14:paraId="7FD19CFB" w14:textId="470623BC" w:rsidR="005B17D1" w:rsidRDefault="005B17D1" w:rsidP="005B17D1">
      <w:pPr>
        <w:spacing w:after="24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r w:rsidR="00221281">
        <w:rPr>
          <w:szCs w:val="24"/>
        </w:rPr>
        <w:t xml:space="preserve"> </w:t>
      </w:r>
    </w:p>
    <w:p w14:paraId="7FD19CFC" w14:textId="77777777" w:rsidR="005B17D1" w:rsidRDefault="005B17D1" w:rsidP="005B17D1">
      <w:pPr>
        <w:pStyle w:val="Heading4"/>
        <w:spacing w:after="240"/>
        <w:rPr>
          <w:szCs w:val="24"/>
        </w:rPr>
      </w:pPr>
      <w:r>
        <w:rPr>
          <w:szCs w:val="24"/>
        </w:rPr>
        <w:t>Overview of the Legislative Instrument</w:t>
      </w:r>
    </w:p>
    <w:p w14:paraId="7FD19CFD" w14:textId="1897CDDD" w:rsidR="005B17D1" w:rsidRDefault="000F0BED" w:rsidP="0082028E">
      <w:pPr>
        <w:spacing w:after="240"/>
      </w:pPr>
      <w:r w:rsidRPr="001751AC">
        <w:rPr>
          <w:szCs w:val="24"/>
        </w:rPr>
        <w:t>T</w:t>
      </w:r>
      <w:r w:rsidR="005B17D1" w:rsidRPr="001751AC">
        <w:rPr>
          <w:szCs w:val="24"/>
        </w:rPr>
        <w:t xml:space="preserve">he </w:t>
      </w:r>
      <w:r w:rsidR="0023138A" w:rsidRPr="001751AC">
        <w:rPr>
          <w:i/>
        </w:rPr>
        <w:t xml:space="preserve">National Greenhouse and Energy Reporting </w:t>
      </w:r>
      <w:r w:rsidR="0016437F" w:rsidRPr="001751AC">
        <w:rPr>
          <w:i/>
        </w:rPr>
        <w:t xml:space="preserve">(Measurement) </w:t>
      </w:r>
      <w:r w:rsidR="0023138A" w:rsidRPr="001751AC">
        <w:rPr>
          <w:i/>
        </w:rPr>
        <w:t xml:space="preserve">Amendment </w:t>
      </w:r>
      <w:r w:rsidR="0039006D">
        <w:rPr>
          <w:i/>
        </w:rPr>
        <w:t>(202</w:t>
      </w:r>
      <w:r w:rsidR="00132527">
        <w:rPr>
          <w:i/>
        </w:rPr>
        <w:t>3</w:t>
      </w:r>
      <w:r w:rsidR="00233D3E">
        <w:rPr>
          <w:i/>
        </w:rPr>
        <w:t> </w:t>
      </w:r>
      <w:r w:rsidR="0016437F" w:rsidRPr="001751AC">
        <w:rPr>
          <w:i/>
        </w:rPr>
        <w:t xml:space="preserve">Update) Determination </w:t>
      </w:r>
      <w:r w:rsidR="0039006D">
        <w:rPr>
          <w:i/>
        </w:rPr>
        <w:t>202</w:t>
      </w:r>
      <w:r w:rsidR="00132527">
        <w:rPr>
          <w:i/>
        </w:rPr>
        <w:t>3</w:t>
      </w:r>
      <w:r w:rsidR="0023138A" w:rsidRPr="001751AC">
        <w:rPr>
          <w:i/>
        </w:rPr>
        <w:t xml:space="preserve"> </w:t>
      </w:r>
      <w:r w:rsidR="00265B58" w:rsidRPr="001751AC">
        <w:t>makes minor amendments to</w:t>
      </w:r>
      <w:r w:rsidR="003515C5" w:rsidRPr="001751AC">
        <w:t xml:space="preserve"> the </w:t>
      </w:r>
      <w:r w:rsidR="0016437F" w:rsidRPr="001751AC">
        <w:rPr>
          <w:i/>
        </w:rPr>
        <w:t xml:space="preserve">National Greenhouse and Energy Reporting (Measurement) Determination 2008 </w:t>
      </w:r>
      <w:proofErr w:type="gramStart"/>
      <w:r w:rsidR="00D63625" w:rsidRPr="001751AC">
        <w:t>in order to</w:t>
      </w:r>
      <w:proofErr w:type="gramEnd"/>
      <w:r w:rsidR="00D63625" w:rsidRPr="001751AC">
        <w:t>:</w:t>
      </w:r>
    </w:p>
    <w:p w14:paraId="4C9D0CD7" w14:textId="77777777" w:rsidR="005E71BF" w:rsidRPr="001F47F2" w:rsidRDefault="005E71BF" w:rsidP="005E71BF">
      <w:pPr>
        <w:pStyle w:val="ListNumber2"/>
        <w:numPr>
          <w:ilvl w:val="0"/>
          <w:numId w:val="4"/>
        </w:numPr>
        <w:spacing w:after="120"/>
        <w:rPr>
          <w:rFonts w:ascii="Times New Roman" w:hAnsi="Times New Roman"/>
          <w:sz w:val="24"/>
          <w:szCs w:val="24"/>
        </w:rPr>
      </w:pPr>
      <w:r w:rsidRPr="001F47F2">
        <w:rPr>
          <w:rFonts w:ascii="Times New Roman" w:hAnsi="Times New Roman"/>
          <w:sz w:val="24"/>
          <w:szCs w:val="24"/>
        </w:rPr>
        <w:t>Introduce an optional, supplementary ‘market-based’ method for determining indirect emissions from the consumption of electricity (‘scope 2’ emissions</w:t>
      </w:r>
      <w:proofErr w:type="gramStart"/>
      <w:r w:rsidRPr="001F47F2">
        <w:rPr>
          <w:rFonts w:ascii="Times New Roman" w:hAnsi="Times New Roman"/>
          <w:sz w:val="24"/>
          <w:szCs w:val="24"/>
        </w:rPr>
        <w:t>);</w:t>
      </w:r>
      <w:proofErr w:type="gramEnd"/>
      <w:r w:rsidRPr="001F47F2">
        <w:rPr>
          <w:rFonts w:ascii="Times New Roman" w:hAnsi="Times New Roman"/>
          <w:sz w:val="24"/>
          <w:szCs w:val="24"/>
        </w:rPr>
        <w:t>  </w:t>
      </w:r>
    </w:p>
    <w:p w14:paraId="40026BFF" w14:textId="77777777" w:rsidR="005E71BF" w:rsidRPr="001F47F2" w:rsidRDefault="005E71BF" w:rsidP="005E71BF">
      <w:pPr>
        <w:pStyle w:val="ListNumber2"/>
        <w:numPr>
          <w:ilvl w:val="0"/>
          <w:numId w:val="4"/>
        </w:numPr>
        <w:spacing w:after="120"/>
        <w:rPr>
          <w:rFonts w:ascii="Times New Roman" w:hAnsi="Times New Roman"/>
          <w:sz w:val="24"/>
          <w:szCs w:val="24"/>
        </w:rPr>
      </w:pPr>
      <w:r w:rsidRPr="001F47F2">
        <w:rPr>
          <w:rFonts w:ascii="Times New Roman" w:hAnsi="Times New Roman"/>
          <w:sz w:val="24"/>
          <w:szCs w:val="24"/>
        </w:rPr>
        <w:t xml:space="preserve">Update Method 1 used to calculate emissions from Queensland open cut mines to reflect improvements in data availability and align the method with the National Greenhouse Gas </w:t>
      </w:r>
      <w:proofErr w:type="gramStart"/>
      <w:r w:rsidRPr="001F47F2">
        <w:rPr>
          <w:rFonts w:ascii="Times New Roman" w:hAnsi="Times New Roman"/>
          <w:sz w:val="24"/>
          <w:szCs w:val="24"/>
        </w:rPr>
        <w:t>Inventory;</w:t>
      </w:r>
      <w:proofErr w:type="gramEnd"/>
      <w:r w:rsidRPr="001F47F2">
        <w:rPr>
          <w:rFonts w:ascii="Times New Roman" w:hAnsi="Times New Roman"/>
          <w:sz w:val="24"/>
          <w:szCs w:val="24"/>
        </w:rPr>
        <w:t>  </w:t>
      </w:r>
    </w:p>
    <w:p w14:paraId="37F5F1F3" w14:textId="77777777" w:rsidR="005E71BF" w:rsidRPr="001F47F2" w:rsidRDefault="005E71BF" w:rsidP="005E71BF">
      <w:pPr>
        <w:pStyle w:val="ListNumber2"/>
        <w:numPr>
          <w:ilvl w:val="0"/>
          <w:numId w:val="4"/>
        </w:numPr>
        <w:spacing w:after="120"/>
        <w:rPr>
          <w:rFonts w:ascii="Times New Roman" w:hAnsi="Times New Roman"/>
          <w:sz w:val="24"/>
          <w:szCs w:val="24"/>
        </w:rPr>
      </w:pPr>
      <w:r w:rsidRPr="001F47F2">
        <w:rPr>
          <w:rFonts w:ascii="Times New Roman" w:hAnsi="Times New Roman"/>
          <w:sz w:val="24"/>
          <w:szCs w:val="24"/>
        </w:rPr>
        <w:t xml:space="preserve">Update Methods 1 and 2 for the estimation of methane released from </w:t>
      </w:r>
      <w:proofErr w:type="gramStart"/>
      <w:r w:rsidRPr="001F47F2">
        <w:rPr>
          <w:rFonts w:ascii="Times New Roman" w:hAnsi="Times New Roman"/>
          <w:sz w:val="24"/>
          <w:szCs w:val="24"/>
        </w:rPr>
        <w:t>landfills;</w:t>
      </w:r>
      <w:proofErr w:type="gramEnd"/>
      <w:r w:rsidRPr="001F47F2">
        <w:rPr>
          <w:rFonts w:ascii="Times New Roman" w:hAnsi="Times New Roman"/>
          <w:sz w:val="24"/>
          <w:szCs w:val="24"/>
        </w:rPr>
        <w:t>  </w:t>
      </w:r>
    </w:p>
    <w:p w14:paraId="714FC8B9" w14:textId="77777777" w:rsidR="005E71BF" w:rsidRPr="001F47F2" w:rsidRDefault="005E71BF" w:rsidP="005E71BF">
      <w:pPr>
        <w:pStyle w:val="ListNumber2"/>
        <w:numPr>
          <w:ilvl w:val="0"/>
          <w:numId w:val="4"/>
        </w:numPr>
        <w:spacing w:after="120"/>
        <w:rPr>
          <w:rFonts w:ascii="Times New Roman" w:hAnsi="Times New Roman"/>
          <w:sz w:val="24"/>
          <w:szCs w:val="24"/>
        </w:rPr>
      </w:pPr>
      <w:r w:rsidRPr="001F47F2">
        <w:rPr>
          <w:rFonts w:ascii="Times New Roman" w:hAnsi="Times New Roman"/>
          <w:sz w:val="24"/>
          <w:szCs w:val="24"/>
        </w:rPr>
        <w:t xml:space="preserve">Add two new reportable biofuels, renewable </w:t>
      </w:r>
      <w:proofErr w:type="gramStart"/>
      <w:r w:rsidRPr="001F47F2">
        <w:rPr>
          <w:rFonts w:ascii="Times New Roman" w:hAnsi="Times New Roman"/>
          <w:sz w:val="24"/>
          <w:szCs w:val="24"/>
        </w:rPr>
        <w:t>diesel</w:t>
      </w:r>
      <w:proofErr w:type="gramEnd"/>
      <w:r w:rsidRPr="001F47F2">
        <w:rPr>
          <w:rFonts w:ascii="Times New Roman" w:hAnsi="Times New Roman"/>
          <w:sz w:val="24"/>
          <w:szCs w:val="24"/>
        </w:rPr>
        <w:t xml:space="preserve"> and renewable aviation kerosene; and  </w:t>
      </w:r>
    </w:p>
    <w:p w14:paraId="7BF32173" w14:textId="1CD44C0F" w:rsidR="0039006D" w:rsidRPr="001751AC" w:rsidRDefault="005E71BF" w:rsidP="005E71BF">
      <w:pPr>
        <w:pStyle w:val="ListParagraph"/>
        <w:numPr>
          <w:ilvl w:val="0"/>
          <w:numId w:val="4"/>
        </w:numPr>
        <w:spacing w:after="240"/>
      </w:pPr>
      <w:r w:rsidRPr="001F47F2">
        <w:rPr>
          <w:szCs w:val="24"/>
          <w:lang w:eastAsia="en-US"/>
        </w:rPr>
        <w:t>Make other minor amendments. </w:t>
      </w:r>
    </w:p>
    <w:p w14:paraId="7FD19CFE" w14:textId="77777777" w:rsidR="005B17D1" w:rsidRDefault="005B17D1" w:rsidP="005B17D1">
      <w:pPr>
        <w:pStyle w:val="Heading4"/>
        <w:spacing w:after="240"/>
        <w:rPr>
          <w:szCs w:val="24"/>
        </w:rPr>
      </w:pPr>
      <w:r>
        <w:rPr>
          <w:szCs w:val="24"/>
        </w:rPr>
        <w:t>Human rights implications</w:t>
      </w:r>
    </w:p>
    <w:p w14:paraId="7FD19CFF" w14:textId="77777777" w:rsidR="00C507FD" w:rsidRDefault="005B17D1" w:rsidP="00742F0C">
      <w:pPr>
        <w:spacing w:after="240"/>
        <w:rPr>
          <w:szCs w:val="24"/>
        </w:rPr>
      </w:pPr>
      <w:r>
        <w:rPr>
          <w:szCs w:val="24"/>
        </w:rPr>
        <w:t>This Legislative Instrument does not engage any of the applicable human rights or free</w:t>
      </w:r>
      <w:r w:rsidR="00221281">
        <w:rPr>
          <w:szCs w:val="24"/>
        </w:rPr>
        <w:t xml:space="preserve">doms. </w:t>
      </w:r>
    </w:p>
    <w:p w14:paraId="7FD19D00" w14:textId="77777777" w:rsidR="005B17D1" w:rsidRDefault="005B17D1" w:rsidP="005B17D1">
      <w:pPr>
        <w:pStyle w:val="Heading4"/>
        <w:spacing w:after="240"/>
        <w:rPr>
          <w:szCs w:val="24"/>
        </w:rPr>
      </w:pPr>
      <w:r>
        <w:rPr>
          <w:szCs w:val="24"/>
        </w:rPr>
        <w:t>Conclusion</w:t>
      </w:r>
    </w:p>
    <w:p w14:paraId="7FD19D03" w14:textId="6BCD41C9" w:rsidR="003515C5" w:rsidRDefault="005B17D1">
      <w:pPr>
        <w:rPr>
          <w:szCs w:val="24"/>
        </w:rPr>
      </w:pPr>
      <w:r>
        <w:rPr>
          <w:szCs w:val="24"/>
        </w:rPr>
        <w:t>This Legislative Instrument is compatible with human rights as it does not</w:t>
      </w:r>
      <w:r w:rsidR="00D00C39">
        <w:rPr>
          <w:szCs w:val="24"/>
        </w:rPr>
        <w:t xml:space="preserve"> raise any human rights issues. </w:t>
      </w:r>
    </w:p>
    <w:p w14:paraId="7FD19D04" w14:textId="1ACB18D2" w:rsidR="00723C9D" w:rsidRPr="00CF5BDB" w:rsidRDefault="00723C9D" w:rsidP="00FE795E">
      <w:pPr>
        <w:jc w:val="center"/>
        <w:rPr>
          <w:b/>
          <w:szCs w:val="24"/>
        </w:rPr>
      </w:pPr>
      <w:r w:rsidRPr="00CF5BDB">
        <w:rPr>
          <w:b/>
          <w:szCs w:val="24"/>
        </w:rPr>
        <w:t xml:space="preserve">The Hon </w:t>
      </w:r>
      <w:r w:rsidR="00375D14" w:rsidRPr="00CF5BDB">
        <w:rPr>
          <w:b/>
          <w:szCs w:val="24"/>
        </w:rPr>
        <w:t>Chris Bowen MP</w:t>
      </w:r>
    </w:p>
    <w:p w14:paraId="7FD19D06" w14:textId="1A4ADDF0" w:rsidR="00AC5531" w:rsidRPr="000927D4" w:rsidRDefault="00723C9D" w:rsidP="000927D4">
      <w:pPr>
        <w:jc w:val="center"/>
        <w:rPr>
          <w:b/>
          <w:szCs w:val="24"/>
        </w:rPr>
      </w:pPr>
      <w:r w:rsidRPr="00CF5BDB">
        <w:rPr>
          <w:b/>
          <w:szCs w:val="24"/>
        </w:rPr>
        <w:t xml:space="preserve">Minister for </w:t>
      </w:r>
      <w:r w:rsidR="00375D14" w:rsidRPr="007A48D5">
        <w:rPr>
          <w:b/>
          <w:szCs w:val="24"/>
        </w:rPr>
        <w:t>Climate Change and Energy</w:t>
      </w:r>
    </w:p>
    <w:sectPr w:rsidR="00AC5531" w:rsidRPr="000927D4" w:rsidSect="00392BBA">
      <w:footerReference w:type="defaul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9DC5" w14:textId="77777777" w:rsidR="0039740C" w:rsidRDefault="0039740C" w:rsidP="00CF785C">
      <w:pPr>
        <w:spacing w:before="0" w:after="0"/>
      </w:pPr>
      <w:r>
        <w:separator/>
      </w:r>
    </w:p>
  </w:endnote>
  <w:endnote w:type="continuationSeparator" w:id="0">
    <w:p w14:paraId="28B51377" w14:textId="77777777" w:rsidR="0039740C" w:rsidRDefault="0039740C" w:rsidP="00CF785C">
      <w:pPr>
        <w:spacing w:before="0" w:after="0"/>
      </w:pPr>
      <w:r>
        <w:continuationSeparator/>
      </w:r>
    </w:p>
  </w:endnote>
  <w:endnote w:type="continuationNotice" w:id="1">
    <w:p w14:paraId="5176CF58" w14:textId="77777777" w:rsidR="0039740C" w:rsidRDefault="003974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64BC" w14:textId="77777777" w:rsidR="00C92563" w:rsidRPr="00E33C1C" w:rsidRDefault="00C92563" w:rsidP="004E4FE7">
    <w:pPr>
      <w:pBdr>
        <w:top w:val="single" w:sz="6" w:space="1" w:color="auto"/>
      </w:pBdr>
      <w:spacing w:line="0" w:lineRule="atLeast"/>
      <w:rPr>
        <w:sz w:val="16"/>
        <w:szCs w:val="16"/>
      </w:rPr>
    </w:pPr>
    <w:r>
      <w:rPr>
        <w:noProof/>
      </w:rPr>
      <mc:AlternateContent>
        <mc:Choice Requires="wps">
          <w:drawing>
            <wp:anchor distT="0" distB="0" distL="114300" distR="114300" simplePos="0" relativeHeight="251658240" behindDoc="1" locked="0" layoutInCell="1" allowOverlap="1" wp14:anchorId="0C08DDCC" wp14:editId="4B3191A8">
              <wp:simplePos x="0" y="0"/>
              <wp:positionH relativeFrom="column">
                <wp:align>center</wp:align>
              </wp:positionH>
              <wp:positionV relativeFrom="page">
                <wp:posOffset>10079990</wp:posOffset>
              </wp:positionV>
              <wp:extent cx="4410075" cy="4000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1CC88F8" w14:textId="77777777" w:rsidR="00C92563" w:rsidRPr="00581211" w:rsidRDefault="00C92563" w:rsidP="004E4FE7">
                          <w:pPr>
                            <w:jc w:val="center"/>
                            <w:rPr>
                              <w:rFonts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8DDCC" id="_x0000_t202" coordsize="21600,21600" o:spt="202" path="m,l,21600r21600,l21600,xe">
              <v:stroke joinstyle="miter"/>
              <v:path gradientshapeok="t" o:connecttype="rect"/>
            </v:shapetype>
            <v:shape id="Text Box 1" o:spid="_x0000_s1026"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" stroked="f">
              <v:stroke joinstyle="round"/>
              <v:path arrowok="t"/>
              <v:textbox>
                <w:txbxContent>
                  <w:p w14:paraId="71CC88F8" w14:textId="77777777" w:rsidR="00C92563" w:rsidRPr="00581211" w:rsidRDefault="00C92563" w:rsidP="004E4FE7">
                    <w:pPr>
                      <w:jc w:val="center"/>
                      <w:rPr>
                        <w:rFonts w:cs="Arial"/>
                        <w:b/>
                        <w:sz w:val="40"/>
                      </w:rPr>
                    </w:pPr>
                  </w:p>
                </w:txbxContent>
              </v:textbox>
              <w10:wrap anchory="page"/>
            </v:shape>
          </w:pict>
        </mc:Fallback>
      </mc:AlternateContent>
    </w:r>
  </w:p>
  <w:p w14:paraId="362350C5" w14:textId="77777777" w:rsidR="00C92563" w:rsidRDefault="00C92563">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709"/>
    </w:tblGrid>
    <w:tr w:rsidR="00C92563" w14:paraId="55DF2CF0" w14:textId="77777777" w:rsidTr="004E4FE7">
      <w:tc>
        <w:tcPr>
          <w:tcW w:w="6379" w:type="dxa"/>
          <w:tcBorders>
            <w:top w:val="nil"/>
            <w:left w:val="nil"/>
            <w:bottom w:val="nil"/>
            <w:right w:val="nil"/>
          </w:tcBorders>
        </w:tcPr>
        <w:p w14:paraId="03DE728E" w14:textId="77777777" w:rsidR="00C92563" w:rsidRDefault="00C92563">
          <w:pPr>
            <w:spacing w:line="0" w:lineRule="atLeast"/>
            <w:jc w:val="center"/>
            <w:rPr>
              <w:sz w:val="18"/>
            </w:rPr>
          </w:pPr>
        </w:p>
      </w:tc>
      <w:tc>
        <w:tcPr>
          <w:tcW w:w="709" w:type="dxa"/>
          <w:tcBorders>
            <w:top w:val="nil"/>
            <w:left w:val="nil"/>
            <w:bottom w:val="nil"/>
            <w:right w:val="nil"/>
          </w:tcBorders>
          <w:hideMark/>
        </w:tcPr>
        <w:p w14:paraId="07DD7506" w14:textId="77777777" w:rsidR="00C92563" w:rsidRDefault="00C92563">
          <w:pPr>
            <w:spacing w:line="0" w:lineRule="atLeast"/>
            <w:jc w:val="right"/>
            <w:rPr>
              <w:sz w:val="18"/>
            </w:rPr>
          </w:pPr>
          <w:r>
            <w:rPr>
              <w:i/>
              <w:sz w:val="18"/>
            </w:rPr>
            <w:fldChar w:fldCharType="begin"/>
          </w:r>
          <w:r>
            <w:rPr>
              <w:i/>
              <w:sz w:val="18"/>
            </w:rPr>
            <w:instrText xml:space="preserve"> PAGE </w:instrText>
          </w:r>
          <w:r>
            <w:rPr>
              <w:i/>
              <w:sz w:val="18"/>
            </w:rPr>
            <w:fldChar w:fldCharType="separate"/>
          </w:r>
          <w:r w:rsidR="00AC2FA2">
            <w:rPr>
              <w:i/>
              <w:noProof/>
              <w:sz w:val="18"/>
            </w:rPr>
            <w:t>4</w:t>
          </w:r>
          <w:r>
            <w:rPr>
              <w:i/>
              <w:sz w:val="18"/>
            </w:rPr>
            <w:fldChar w:fldCharType="end"/>
          </w:r>
        </w:p>
      </w:tc>
    </w:tr>
  </w:tbl>
  <w:p w14:paraId="6DCBD125" w14:textId="77777777" w:rsidR="00C92563" w:rsidRDefault="00C92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726E" w14:textId="68AD9F51" w:rsidR="00C92563" w:rsidRDefault="00C92563">
    <w:pPr>
      <w:pStyle w:val="Footer"/>
      <w:jc w:val="right"/>
    </w:pPr>
  </w:p>
  <w:p w14:paraId="3982CFC3" w14:textId="67C5E5E0" w:rsidR="00C92563" w:rsidRDefault="00C92563">
    <w:pPr>
      <w:pStyle w:val="Footer"/>
      <w:jc w:val="right"/>
    </w:pPr>
  </w:p>
  <w:p w14:paraId="6A693199" w14:textId="77777777" w:rsidR="00C92563" w:rsidRDefault="00C92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59A4" w14:textId="77777777" w:rsidR="0039740C" w:rsidRDefault="0039740C" w:rsidP="00CF785C">
      <w:pPr>
        <w:spacing w:before="0" w:after="0"/>
      </w:pPr>
      <w:r>
        <w:separator/>
      </w:r>
    </w:p>
  </w:footnote>
  <w:footnote w:type="continuationSeparator" w:id="0">
    <w:p w14:paraId="0EBCEACA" w14:textId="77777777" w:rsidR="0039740C" w:rsidRDefault="0039740C" w:rsidP="00CF785C">
      <w:pPr>
        <w:spacing w:before="0" w:after="0"/>
      </w:pPr>
      <w:r>
        <w:continuationSeparator/>
      </w:r>
    </w:p>
  </w:footnote>
  <w:footnote w:type="continuationNotice" w:id="1">
    <w:p w14:paraId="7E5BBCD0" w14:textId="77777777" w:rsidR="0039740C" w:rsidRDefault="0039740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E06E7C"/>
    <w:multiLevelType w:val="hybridMultilevel"/>
    <w:tmpl w:val="AE72F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5458B"/>
    <w:multiLevelType w:val="hybridMultilevel"/>
    <w:tmpl w:val="46D4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4E927EA1"/>
    <w:multiLevelType w:val="hybridMultilevel"/>
    <w:tmpl w:val="0EC27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6B7685"/>
    <w:multiLevelType w:val="hybridMultilevel"/>
    <w:tmpl w:val="23D63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456429"/>
    <w:multiLevelType w:val="multilevel"/>
    <w:tmpl w:val="E898CC72"/>
    <w:lvl w:ilvl="0">
      <w:numFmt w:val="decimal"/>
      <w:pStyle w:val="ListNumber"/>
      <w:lvlText w:val=""/>
      <w:lvlJc w:val="left"/>
    </w:lvl>
    <w:lvl w:ilvl="1">
      <w:numFmt w:val="decimal"/>
      <w:pStyle w:val="ListNumber2"/>
      <w:lvlText w:val=""/>
      <w:lvlJc w:val="left"/>
    </w:lvl>
    <w:lvl w:ilvl="2">
      <w:numFmt w:val="decimal"/>
      <w:pStyle w:val="ListNumber3"/>
      <w:lvlText w:val=""/>
      <w:lvlJc w:val="left"/>
    </w:lvl>
    <w:lvl w:ilvl="3">
      <w:numFmt w:val="decimal"/>
      <w:pStyle w:val="ListNumber4"/>
      <w:lvlText w:val=""/>
      <w:lvlJc w:val="left"/>
    </w:lvl>
    <w:lvl w:ilvl="4">
      <w:numFmt w:val="decimal"/>
      <w:pStyle w:val="ListNumber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A505623"/>
    <w:multiLevelType w:val="hybridMultilevel"/>
    <w:tmpl w:val="757E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1B148E"/>
    <w:multiLevelType w:val="hybridMultilevel"/>
    <w:tmpl w:val="368A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1455882">
    <w:abstractNumId w:val="3"/>
  </w:num>
  <w:num w:numId="2" w16cid:durableId="1970356333">
    <w:abstractNumId w:val="7"/>
  </w:num>
  <w:num w:numId="3" w16cid:durableId="831915341">
    <w:abstractNumId w:val="0"/>
  </w:num>
  <w:num w:numId="4" w16cid:durableId="517551269">
    <w:abstractNumId w:val="1"/>
  </w:num>
  <w:num w:numId="5" w16cid:durableId="713433712">
    <w:abstractNumId w:val="6"/>
  </w:num>
  <w:num w:numId="6" w16cid:durableId="187262702">
    <w:abstractNumId w:val="8"/>
  </w:num>
  <w:num w:numId="7" w16cid:durableId="695620563">
    <w:abstractNumId w:val="5"/>
  </w:num>
  <w:num w:numId="8" w16cid:durableId="1608535738">
    <w:abstractNumId w:val="4"/>
  </w:num>
  <w:num w:numId="9" w16cid:durableId="769736206">
    <w:abstractNumId w:val="9"/>
  </w:num>
  <w:num w:numId="10" w16cid:durableId="132188138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E9"/>
    <w:rsid w:val="00001339"/>
    <w:rsid w:val="00001661"/>
    <w:rsid w:val="0000546B"/>
    <w:rsid w:val="0000557A"/>
    <w:rsid w:val="00005DA9"/>
    <w:rsid w:val="000061B4"/>
    <w:rsid w:val="00006FA6"/>
    <w:rsid w:val="0000727E"/>
    <w:rsid w:val="0000752B"/>
    <w:rsid w:val="00010C51"/>
    <w:rsid w:val="00011A3E"/>
    <w:rsid w:val="00011BE2"/>
    <w:rsid w:val="00011FCD"/>
    <w:rsid w:val="000128C7"/>
    <w:rsid w:val="00012FFD"/>
    <w:rsid w:val="000160B4"/>
    <w:rsid w:val="00016AB4"/>
    <w:rsid w:val="00016EA2"/>
    <w:rsid w:val="000173B0"/>
    <w:rsid w:val="00020882"/>
    <w:rsid w:val="000212FB"/>
    <w:rsid w:val="0002168E"/>
    <w:rsid w:val="00022119"/>
    <w:rsid w:val="00022A12"/>
    <w:rsid w:val="00023CBC"/>
    <w:rsid w:val="00024432"/>
    <w:rsid w:val="00024882"/>
    <w:rsid w:val="00024D8E"/>
    <w:rsid w:val="000250CB"/>
    <w:rsid w:val="000263D6"/>
    <w:rsid w:val="0002655C"/>
    <w:rsid w:val="00026576"/>
    <w:rsid w:val="00026BD0"/>
    <w:rsid w:val="00027420"/>
    <w:rsid w:val="00027827"/>
    <w:rsid w:val="00027846"/>
    <w:rsid w:val="0003092B"/>
    <w:rsid w:val="00030CCB"/>
    <w:rsid w:val="00030FBE"/>
    <w:rsid w:val="0003196C"/>
    <w:rsid w:val="00031B03"/>
    <w:rsid w:val="00032226"/>
    <w:rsid w:val="00035ADA"/>
    <w:rsid w:val="00035B94"/>
    <w:rsid w:val="000372F4"/>
    <w:rsid w:val="00037744"/>
    <w:rsid w:val="00040B3B"/>
    <w:rsid w:val="00040CEC"/>
    <w:rsid w:val="00040E7B"/>
    <w:rsid w:val="00041858"/>
    <w:rsid w:val="0004434C"/>
    <w:rsid w:val="0004485A"/>
    <w:rsid w:val="00044A6E"/>
    <w:rsid w:val="00045C2F"/>
    <w:rsid w:val="00046C9F"/>
    <w:rsid w:val="00047D54"/>
    <w:rsid w:val="00055A6B"/>
    <w:rsid w:val="000562DA"/>
    <w:rsid w:val="00056C8F"/>
    <w:rsid w:val="00057627"/>
    <w:rsid w:val="000629F0"/>
    <w:rsid w:val="00062FFE"/>
    <w:rsid w:val="00065B05"/>
    <w:rsid w:val="0006629C"/>
    <w:rsid w:val="000665DB"/>
    <w:rsid w:val="000667CB"/>
    <w:rsid w:val="00070C06"/>
    <w:rsid w:val="00070C3D"/>
    <w:rsid w:val="0007281C"/>
    <w:rsid w:val="00074552"/>
    <w:rsid w:val="00074848"/>
    <w:rsid w:val="00074927"/>
    <w:rsid w:val="00081877"/>
    <w:rsid w:val="00082011"/>
    <w:rsid w:val="000832D0"/>
    <w:rsid w:val="00084593"/>
    <w:rsid w:val="000858FA"/>
    <w:rsid w:val="000862C5"/>
    <w:rsid w:val="00086ADC"/>
    <w:rsid w:val="000879AF"/>
    <w:rsid w:val="00087A55"/>
    <w:rsid w:val="00090393"/>
    <w:rsid w:val="000927D4"/>
    <w:rsid w:val="00093083"/>
    <w:rsid w:val="00094EDF"/>
    <w:rsid w:val="00095211"/>
    <w:rsid w:val="0009613C"/>
    <w:rsid w:val="00096DF9"/>
    <w:rsid w:val="00097C07"/>
    <w:rsid w:val="00097F6B"/>
    <w:rsid w:val="000A12F0"/>
    <w:rsid w:val="000A2491"/>
    <w:rsid w:val="000A2BAF"/>
    <w:rsid w:val="000A2C46"/>
    <w:rsid w:val="000A3A21"/>
    <w:rsid w:val="000A5077"/>
    <w:rsid w:val="000A5473"/>
    <w:rsid w:val="000A6D39"/>
    <w:rsid w:val="000B0950"/>
    <w:rsid w:val="000B0B40"/>
    <w:rsid w:val="000B0E9E"/>
    <w:rsid w:val="000B1F03"/>
    <w:rsid w:val="000B2694"/>
    <w:rsid w:val="000B2AE3"/>
    <w:rsid w:val="000B3C7D"/>
    <w:rsid w:val="000B3EF3"/>
    <w:rsid w:val="000B4006"/>
    <w:rsid w:val="000B469D"/>
    <w:rsid w:val="000B514B"/>
    <w:rsid w:val="000B6310"/>
    <w:rsid w:val="000B6571"/>
    <w:rsid w:val="000B696B"/>
    <w:rsid w:val="000B791F"/>
    <w:rsid w:val="000B7B18"/>
    <w:rsid w:val="000C10DF"/>
    <w:rsid w:val="000C304A"/>
    <w:rsid w:val="000C349C"/>
    <w:rsid w:val="000C6869"/>
    <w:rsid w:val="000C6A8F"/>
    <w:rsid w:val="000C7E88"/>
    <w:rsid w:val="000D26AB"/>
    <w:rsid w:val="000D27C0"/>
    <w:rsid w:val="000D45D5"/>
    <w:rsid w:val="000D640B"/>
    <w:rsid w:val="000E1FD4"/>
    <w:rsid w:val="000E2087"/>
    <w:rsid w:val="000E36D8"/>
    <w:rsid w:val="000E631A"/>
    <w:rsid w:val="000E6E99"/>
    <w:rsid w:val="000F0BED"/>
    <w:rsid w:val="000F0ECC"/>
    <w:rsid w:val="000F1815"/>
    <w:rsid w:val="000F26C9"/>
    <w:rsid w:val="000F2873"/>
    <w:rsid w:val="000F2D8C"/>
    <w:rsid w:val="000F47F6"/>
    <w:rsid w:val="000F618F"/>
    <w:rsid w:val="000F636A"/>
    <w:rsid w:val="000F6ED3"/>
    <w:rsid w:val="000F7E40"/>
    <w:rsid w:val="0010030C"/>
    <w:rsid w:val="00100BB2"/>
    <w:rsid w:val="0010378B"/>
    <w:rsid w:val="001037D5"/>
    <w:rsid w:val="00104230"/>
    <w:rsid w:val="00104385"/>
    <w:rsid w:val="0010738D"/>
    <w:rsid w:val="001073BE"/>
    <w:rsid w:val="00107EFF"/>
    <w:rsid w:val="00110C3D"/>
    <w:rsid w:val="00111C06"/>
    <w:rsid w:val="00111F32"/>
    <w:rsid w:val="00112387"/>
    <w:rsid w:val="00112888"/>
    <w:rsid w:val="00113B45"/>
    <w:rsid w:val="00114F70"/>
    <w:rsid w:val="001154C7"/>
    <w:rsid w:val="0011580C"/>
    <w:rsid w:val="00116BEF"/>
    <w:rsid w:val="00117066"/>
    <w:rsid w:val="00117213"/>
    <w:rsid w:val="001173DD"/>
    <w:rsid w:val="00117DBA"/>
    <w:rsid w:val="00120A8D"/>
    <w:rsid w:val="00120B5C"/>
    <w:rsid w:val="001214D7"/>
    <w:rsid w:val="001218DE"/>
    <w:rsid w:val="001235FA"/>
    <w:rsid w:val="0012382D"/>
    <w:rsid w:val="001253F7"/>
    <w:rsid w:val="00125511"/>
    <w:rsid w:val="00125688"/>
    <w:rsid w:val="001268C6"/>
    <w:rsid w:val="00126F22"/>
    <w:rsid w:val="00130C93"/>
    <w:rsid w:val="00131714"/>
    <w:rsid w:val="001318AC"/>
    <w:rsid w:val="0013190B"/>
    <w:rsid w:val="00132527"/>
    <w:rsid w:val="0013445F"/>
    <w:rsid w:val="0013640C"/>
    <w:rsid w:val="0013786F"/>
    <w:rsid w:val="00140A21"/>
    <w:rsid w:val="0014294B"/>
    <w:rsid w:val="0014344B"/>
    <w:rsid w:val="00145352"/>
    <w:rsid w:val="00145CCE"/>
    <w:rsid w:val="0014688B"/>
    <w:rsid w:val="00146C71"/>
    <w:rsid w:val="00147F5F"/>
    <w:rsid w:val="001500D9"/>
    <w:rsid w:val="0015062A"/>
    <w:rsid w:val="001538C5"/>
    <w:rsid w:val="00154215"/>
    <w:rsid w:val="001545C6"/>
    <w:rsid w:val="00154F2C"/>
    <w:rsid w:val="0015549E"/>
    <w:rsid w:val="00155854"/>
    <w:rsid w:val="001579B3"/>
    <w:rsid w:val="00160094"/>
    <w:rsid w:val="00160725"/>
    <w:rsid w:val="001623AD"/>
    <w:rsid w:val="00162755"/>
    <w:rsid w:val="00163511"/>
    <w:rsid w:val="00163E07"/>
    <w:rsid w:val="0016437F"/>
    <w:rsid w:val="00166494"/>
    <w:rsid w:val="0017130A"/>
    <w:rsid w:val="00171438"/>
    <w:rsid w:val="001716D8"/>
    <w:rsid w:val="00171718"/>
    <w:rsid w:val="00174C3E"/>
    <w:rsid w:val="001751AC"/>
    <w:rsid w:val="00175AD3"/>
    <w:rsid w:val="00175EF5"/>
    <w:rsid w:val="00176A1C"/>
    <w:rsid w:val="00176AFF"/>
    <w:rsid w:val="00176B5E"/>
    <w:rsid w:val="00177B8B"/>
    <w:rsid w:val="00177BE4"/>
    <w:rsid w:val="001807C7"/>
    <w:rsid w:val="001807E5"/>
    <w:rsid w:val="001826FD"/>
    <w:rsid w:val="00183027"/>
    <w:rsid w:val="001839F7"/>
    <w:rsid w:val="00184B1C"/>
    <w:rsid w:val="00185207"/>
    <w:rsid w:val="001855A0"/>
    <w:rsid w:val="00185DAB"/>
    <w:rsid w:val="001866AE"/>
    <w:rsid w:val="00187130"/>
    <w:rsid w:val="001906C5"/>
    <w:rsid w:val="00190B26"/>
    <w:rsid w:val="00191E55"/>
    <w:rsid w:val="0019209B"/>
    <w:rsid w:val="00193F22"/>
    <w:rsid w:val="00194F53"/>
    <w:rsid w:val="001955F8"/>
    <w:rsid w:val="00196ABF"/>
    <w:rsid w:val="00197180"/>
    <w:rsid w:val="001A0106"/>
    <w:rsid w:val="001A077B"/>
    <w:rsid w:val="001A0EF2"/>
    <w:rsid w:val="001A1C60"/>
    <w:rsid w:val="001A2640"/>
    <w:rsid w:val="001A31C5"/>
    <w:rsid w:val="001A3988"/>
    <w:rsid w:val="001A65DC"/>
    <w:rsid w:val="001A6C0C"/>
    <w:rsid w:val="001B0EC8"/>
    <w:rsid w:val="001B1332"/>
    <w:rsid w:val="001B4A72"/>
    <w:rsid w:val="001B64F7"/>
    <w:rsid w:val="001C0C93"/>
    <w:rsid w:val="001C2159"/>
    <w:rsid w:val="001C2227"/>
    <w:rsid w:val="001C28A7"/>
    <w:rsid w:val="001C32DA"/>
    <w:rsid w:val="001C399E"/>
    <w:rsid w:val="001C54F0"/>
    <w:rsid w:val="001D0FCF"/>
    <w:rsid w:val="001D2A02"/>
    <w:rsid w:val="001D2B38"/>
    <w:rsid w:val="001D3A49"/>
    <w:rsid w:val="001D4BFE"/>
    <w:rsid w:val="001D61B8"/>
    <w:rsid w:val="001D668E"/>
    <w:rsid w:val="001D6ED0"/>
    <w:rsid w:val="001E2E16"/>
    <w:rsid w:val="001E510E"/>
    <w:rsid w:val="001E5B50"/>
    <w:rsid w:val="001E6956"/>
    <w:rsid w:val="001E6A74"/>
    <w:rsid w:val="001E765C"/>
    <w:rsid w:val="001E772E"/>
    <w:rsid w:val="001F0026"/>
    <w:rsid w:val="001F018D"/>
    <w:rsid w:val="001F1215"/>
    <w:rsid w:val="001F1C48"/>
    <w:rsid w:val="001F41D0"/>
    <w:rsid w:val="001F47F2"/>
    <w:rsid w:val="001F5A3D"/>
    <w:rsid w:val="001F5C8A"/>
    <w:rsid w:val="001F6217"/>
    <w:rsid w:val="001F6752"/>
    <w:rsid w:val="001F697F"/>
    <w:rsid w:val="001F6C2F"/>
    <w:rsid w:val="001F73B2"/>
    <w:rsid w:val="001F777C"/>
    <w:rsid w:val="00201FFF"/>
    <w:rsid w:val="00204BDB"/>
    <w:rsid w:val="002069C7"/>
    <w:rsid w:val="00207991"/>
    <w:rsid w:val="00210F96"/>
    <w:rsid w:val="0021220C"/>
    <w:rsid w:val="0021245F"/>
    <w:rsid w:val="00212CEF"/>
    <w:rsid w:val="0021388D"/>
    <w:rsid w:val="00214042"/>
    <w:rsid w:val="002143AB"/>
    <w:rsid w:val="00214B6C"/>
    <w:rsid w:val="00214C5F"/>
    <w:rsid w:val="00214CD6"/>
    <w:rsid w:val="002154D3"/>
    <w:rsid w:val="00215B9D"/>
    <w:rsid w:val="00215F7A"/>
    <w:rsid w:val="0021614B"/>
    <w:rsid w:val="00216F36"/>
    <w:rsid w:val="002177CD"/>
    <w:rsid w:val="00217AAB"/>
    <w:rsid w:val="00220F16"/>
    <w:rsid w:val="00221281"/>
    <w:rsid w:val="00221988"/>
    <w:rsid w:val="00222521"/>
    <w:rsid w:val="00222B8E"/>
    <w:rsid w:val="00222FAB"/>
    <w:rsid w:val="00223642"/>
    <w:rsid w:val="00224554"/>
    <w:rsid w:val="002250CC"/>
    <w:rsid w:val="00226D26"/>
    <w:rsid w:val="00227363"/>
    <w:rsid w:val="0023004F"/>
    <w:rsid w:val="0023138A"/>
    <w:rsid w:val="00232591"/>
    <w:rsid w:val="0023283C"/>
    <w:rsid w:val="00233D3E"/>
    <w:rsid w:val="00235F52"/>
    <w:rsid w:val="00236E66"/>
    <w:rsid w:val="00236F04"/>
    <w:rsid w:val="00237097"/>
    <w:rsid w:val="00237BEA"/>
    <w:rsid w:val="00237C69"/>
    <w:rsid w:val="00237DBC"/>
    <w:rsid w:val="0024062A"/>
    <w:rsid w:val="00241264"/>
    <w:rsid w:val="002415FC"/>
    <w:rsid w:val="00241E16"/>
    <w:rsid w:val="002456D2"/>
    <w:rsid w:val="00245F41"/>
    <w:rsid w:val="002462F3"/>
    <w:rsid w:val="0024738F"/>
    <w:rsid w:val="002474EA"/>
    <w:rsid w:val="0024774F"/>
    <w:rsid w:val="0025112C"/>
    <w:rsid w:val="0025156B"/>
    <w:rsid w:val="00251AAE"/>
    <w:rsid w:val="002520AA"/>
    <w:rsid w:val="00253A4F"/>
    <w:rsid w:val="00253FBA"/>
    <w:rsid w:val="00254C5B"/>
    <w:rsid w:val="00257FE6"/>
    <w:rsid w:val="0026006C"/>
    <w:rsid w:val="00260139"/>
    <w:rsid w:val="00260C11"/>
    <w:rsid w:val="0026149C"/>
    <w:rsid w:val="00261A55"/>
    <w:rsid w:val="00262EB1"/>
    <w:rsid w:val="00265B58"/>
    <w:rsid w:val="0026628B"/>
    <w:rsid w:val="002668FC"/>
    <w:rsid w:val="00266F1F"/>
    <w:rsid w:val="00266FF3"/>
    <w:rsid w:val="002679E3"/>
    <w:rsid w:val="00267F4B"/>
    <w:rsid w:val="00271380"/>
    <w:rsid w:val="0027222B"/>
    <w:rsid w:val="00273465"/>
    <w:rsid w:val="00273892"/>
    <w:rsid w:val="002739D4"/>
    <w:rsid w:val="002748EC"/>
    <w:rsid w:val="00274F6A"/>
    <w:rsid w:val="00275447"/>
    <w:rsid w:val="002805A4"/>
    <w:rsid w:val="00281840"/>
    <w:rsid w:val="00282925"/>
    <w:rsid w:val="00284DB0"/>
    <w:rsid w:val="002868CE"/>
    <w:rsid w:val="00286D32"/>
    <w:rsid w:val="00291728"/>
    <w:rsid w:val="00291ECB"/>
    <w:rsid w:val="00292712"/>
    <w:rsid w:val="002950B6"/>
    <w:rsid w:val="00295270"/>
    <w:rsid w:val="00295ABE"/>
    <w:rsid w:val="00295B17"/>
    <w:rsid w:val="002967CB"/>
    <w:rsid w:val="00297A34"/>
    <w:rsid w:val="002A2C02"/>
    <w:rsid w:val="002A309E"/>
    <w:rsid w:val="002A3988"/>
    <w:rsid w:val="002A3F9A"/>
    <w:rsid w:val="002A3FE1"/>
    <w:rsid w:val="002A5479"/>
    <w:rsid w:val="002A5DF1"/>
    <w:rsid w:val="002B01D2"/>
    <w:rsid w:val="002B1A4C"/>
    <w:rsid w:val="002B2B21"/>
    <w:rsid w:val="002B2DD7"/>
    <w:rsid w:val="002B42DD"/>
    <w:rsid w:val="002B6A65"/>
    <w:rsid w:val="002B764F"/>
    <w:rsid w:val="002C10A3"/>
    <w:rsid w:val="002C12DE"/>
    <w:rsid w:val="002C3183"/>
    <w:rsid w:val="002C38C9"/>
    <w:rsid w:val="002C3C2E"/>
    <w:rsid w:val="002C4594"/>
    <w:rsid w:val="002C4981"/>
    <w:rsid w:val="002C50CE"/>
    <w:rsid w:val="002C6488"/>
    <w:rsid w:val="002C7F63"/>
    <w:rsid w:val="002D0C0C"/>
    <w:rsid w:val="002D0DB3"/>
    <w:rsid w:val="002D2CFD"/>
    <w:rsid w:val="002D2E26"/>
    <w:rsid w:val="002D3BB6"/>
    <w:rsid w:val="002D49C0"/>
    <w:rsid w:val="002D5C37"/>
    <w:rsid w:val="002D73B7"/>
    <w:rsid w:val="002D78BA"/>
    <w:rsid w:val="002E0BB9"/>
    <w:rsid w:val="002E18B4"/>
    <w:rsid w:val="002E335E"/>
    <w:rsid w:val="002E3E7D"/>
    <w:rsid w:val="002E41E0"/>
    <w:rsid w:val="002E4E62"/>
    <w:rsid w:val="002E53A7"/>
    <w:rsid w:val="002E63F8"/>
    <w:rsid w:val="002E7D7F"/>
    <w:rsid w:val="002F20AF"/>
    <w:rsid w:val="002F24FC"/>
    <w:rsid w:val="002F2564"/>
    <w:rsid w:val="002F25C9"/>
    <w:rsid w:val="002F2816"/>
    <w:rsid w:val="002F2ECC"/>
    <w:rsid w:val="002F32E5"/>
    <w:rsid w:val="002F4AC4"/>
    <w:rsid w:val="002F4E20"/>
    <w:rsid w:val="002F50B3"/>
    <w:rsid w:val="002F58BF"/>
    <w:rsid w:val="002F5FDB"/>
    <w:rsid w:val="002F7D2C"/>
    <w:rsid w:val="002F7DEB"/>
    <w:rsid w:val="00300396"/>
    <w:rsid w:val="0030117F"/>
    <w:rsid w:val="00301A8C"/>
    <w:rsid w:val="00301E34"/>
    <w:rsid w:val="003054AB"/>
    <w:rsid w:val="003063ED"/>
    <w:rsid w:val="003065A0"/>
    <w:rsid w:val="003068C2"/>
    <w:rsid w:val="00310237"/>
    <w:rsid w:val="0031132E"/>
    <w:rsid w:val="00312D98"/>
    <w:rsid w:val="00314976"/>
    <w:rsid w:val="003157AD"/>
    <w:rsid w:val="00317799"/>
    <w:rsid w:val="003178E9"/>
    <w:rsid w:val="00320766"/>
    <w:rsid w:val="003223E4"/>
    <w:rsid w:val="00322BFE"/>
    <w:rsid w:val="00325864"/>
    <w:rsid w:val="00326FD4"/>
    <w:rsid w:val="00330418"/>
    <w:rsid w:val="0033164E"/>
    <w:rsid w:val="0033187D"/>
    <w:rsid w:val="00331DB4"/>
    <w:rsid w:val="00332AA3"/>
    <w:rsid w:val="00332E5A"/>
    <w:rsid w:val="003342CD"/>
    <w:rsid w:val="00335042"/>
    <w:rsid w:val="003354E2"/>
    <w:rsid w:val="003358AC"/>
    <w:rsid w:val="003359B9"/>
    <w:rsid w:val="00336113"/>
    <w:rsid w:val="00337B38"/>
    <w:rsid w:val="0034011A"/>
    <w:rsid w:val="00342492"/>
    <w:rsid w:val="00343673"/>
    <w:rsid w:val="00343B96"/>
    <w:rsid w:val="003440EB"/>
    <w:rsid w:val="00346F24"/>
    <w:rsid w:val="00350B8F"/>
    <w:rsid w:val="003515C5"/>
    <w:rsid w:val="00352DFD"/>
    <w:rsid w:val="00353530"/>
    <w:rsid w:val="0035409D"/>
    <w:rsid w:val="003543D4"/>
    <w:rsid w:val="0035469B"/>
    <w:rsid w:val="0035681A"/>
    <w:rsid w:val="00356B48"/>
    <w:rsid w:val="00356CE9"/>
    <w:rsid w:val="00356E31"/>
    <w:rsid w:val="00356FEB"/>
    <w:rsid w:val="003579FD"/>
    <w:rsid w:val="00360420"/>
    <w:rsid w:val="003611B4"/>
    <w:rsid w:val="003613C0"/>
    <w:rsid w:val="0036170D"/>
    <w:rsid w:val="00361912"/>
    <w:rsid w:val="00361DB4"/>
    <w:rsid w:val="0036204F"/>
    <w:rsid w:val="00362704"/>
    <w:rsid w:val="00364F27"/>
    <w:rsid w:val="0036570A"/>
    <w:rsid w:val="00366499"/>
    <w:rsid w:val="003670B8"/>
    <w:rsid w:val="003676D5"/>
    <w:rsid w:val="003678A8"/>
    <w:rsid w:val="0036799A"/>
    <w:rsid w:val="00370929"/>
    <w:rsid w:val="00372800"/>
    <w:rsid w:val="00373BAB"/>
    <w:rsid w:val="00375618"/>
    <w:rsid w:val="00375D14"/>
    <w:rsid w:val="0037695A"/>
    <w:rsid w:val="0037720A"/>
    <w:rsid w:val="0037741B"/>
    <w:rsid w:val="00377848"/>
    <w:rsid w:val="00377BEE"/>
    <w:rsid w:val="003833E9"/>
    <w:rsid w:val="00383E19"/>
    <w:rsid w:val="00385170"/>
    <w:rsid w:val="003855E0"/>
    <w:rsid w:val="0038686C"/>
    <w:rsid w:val="00386E5D"/>
    <w:rsid w:val="00386F76"/>
    <w:rsid w:val="003878F8"/>
    <w:rsid w:val="0039006D"/>
    <w:rsid w:val="00390E6B"/>
    <w:rsid w:val="003915C9"/>
    <w:rsid w:val="003919A0"/>
    <w:rsid w:val="00391E04"/>
    <w:rsid w:val="00392BBA"/>
    <w:rsid w:val="00393EEB"/>
    <w:rsid w:val="00394700"/>
    <w:rsid w:val="003956A4"/>
    <w:rsid w:val="00397036"/>
    <w:rsid w:val="0039740C"/>
    <w:rsid w:val="0039795F"/>
    <w:rsid w:val="003A021F"/>
    <w:rsid w:val="003A11B3"/>
    <w:rsid w:val="003A2330"/>
    <w:rsid w:val="003A300A"/>
    <w:rsid w:val="003A3289"/>
    <w:rsid w:val="003A3525"/>
    <w:rsid w:val="003A39D3"/>
    <w:rsid w:val="003A5683"/>
    <w:rsid w:val="003A5D5E"/>
    <w:rsid w:val="003A5DE0"/>
    <w:rsid w:val="003A6048"/>
    <w:rsid w:val="003A612B"/>
    <w:rsid w:val="003B0E36"/>
    <w:rsid w:val="003B1CEC"/>
    <w:rsid w:val="003B2F24"/>
    <w:rsid w:val="003B4029"/>
    <w:rsid w:val="003B544B"/>
    <w:rsid w:val="003B56F0"/>
    <w:rsid w:val="003B5B37"/>
    <w:rsid w:val="003B6048"/>
    <w:rsid w:val="003B64BC"/>
    <w:rsid w:val="003B7174"/>
    <w:rsid w:val="003B7A0A"/>
    <w:rsid w:val="003C2D59"/>
    <w:rsid w:val="003C2D79"/>
    <w:rsid w:val="003C3846"/>
    <w:rsid w:val="003C3B4D"/>
    <w:rsid w:val="003C3D01"/>
    <w:rsid w:val="003C3DBF"/>
    <w:rsid w:val="003C456B"/>
    <w:rsid w:val="003C50E6"/>
    <w:rsid w:val="003C5B6A"/>
    <w:rsid w:val="003C64AE"/>
    <w:rsid w:val="003C70C7"/>
    <w:rsid w:val="003D039F"/>
    <w:rsid w:val="003D0A33"/>
    <w:rsid w:val="003D1A34"/>
    <w:rsid w:val="003D41F6"/>
    <w:rsid w:val="003D44E6"/>
    <w:rsid w:val="003E090D"/>
    <w:rsid w:val="003E1CCD"/>
    <w:rsid w:val="003E26B2"/>
    <w:rsid w:val="003E285E"/>
    <w:rsid w:val="003E460C"/>
    <w:rsid w:val="003E48C0"/>
    <w:rsid w:val="003E515C"/>
    <w:rsid w:val="003E527B"/>
    <w:rsid w:val="003E5CB8"/>
    <w:rsid w:val="003E5E25"/>
    <w:rsid w:val="003E6571"/>
    <w:rsid w:val="003E6A52"/>
    <w:rsid w:val="003E7563"/>
    <w:rsid w:val="003E78F4"/>
    <w:rsid w:val="003E7FD8"/>
    <w:rsid w:val="003F1C1B"/>
    <w:rsid w:val="003F20ED"/>
    <w:rsid w:val="003F3481"/>
    <w:rsid w:val="003F35E8"/>
    <w:rsid w:val="003F47E4"/>
    <w:rsid w:val="003F5F7B"/>
    <w:rsid w:val="003F6649"/>
    <w:rsid w:val="003F6B70"/>
    <w:rsid w:val="003F6DC0"/>
    <w:rsid w:val="003F7416"/>
    <w:rsid w:val="004001DD"/>
    <w:rsid w:val="00401D67"/>
    <w:rsid w:val="004026D9"/>
    <w:rsid w:val="004028A4"/>
    <w:rsid w:val="00406042"/>
    <w:rsid w:val="00406810"/>
    <w:rsid w:val="0040744E"/>
    <w:rsid w:val="004076A1"/>
    <w:rsid w:val="00407C9C"/>
    <w:rsid w:val="004106FD"/>
    <w:rsid w:val="004141B3"/>
    <w:rsid w:val="0041437A"/>
    <w:rsid w:val="0041495E"/>
    <w:rsid w:val="004153BE"/>
    <w:rsid w:val="004153C7"/>
    <w:rsid w:val="00415A00"/>
    <w:rsid w:val="00415FC5"/>
    <w:rsid w:val="00416A0F"/>
    <w:rsid w:val="00417C27"/>
    <w:rsid w:val="00420244"/>
    <w:rsid w:val="00420346"/>
    <w:rsid w:val="0042088A"/>
    <w:rsid w:val="00421F6E"/>
    <w:rsid w:val="004223D1"/>
    <w:rsid w:val="00422752"/>
    <w:rsid w:val="004231E5"/>
    <w:rsid w:val="00423533"/>
    <w:rsid w:val="0042555B"/>
    <w:rsid w:val="00426D68"/>
    <w:rsid w:val="00427375"/>
    <w:rsid w:val="00427786"/>
    <w:rsid w:val="0043013F"/>
    <w:rsid w:val="00430343"/>
    <w:rsid w:val="00431010"/>
    <w:rsid w:val="00434B84"/>
    <w:rsid w:val="00434CF8"/>
    <w:rsid w:val="00434F63"/>
    <w:rsid w:val="0043650C"/>
    <w:rsid w:val="004369A8"/>
    <w:rsid w:val="004372DE"/>
    <w:rsid w:val="00441068"/>
    <w:rsid w:val="00441460"/>
    <w:rsid w:val="0044340D"/>
    <w:rsid w:val="00443C1E"/>
    <w:rsid w:val="004440D6"/>
    <w:rsid w:val="0044607E"/>
    <w:rsid w:val="004466CE"/>
    <w:rsid w:val="00447D0B"/>
    <w:rsid w:val="00450549"/>
    <w:rsid w:val="00454AD5"/>
    <w:rsid w:val="004554E9"/>
    <w:rsid w:val="004562A6"/>
    <w:rsid w:val="00457354"/>
    <w:rsid w:val="00460431"/>
    <w:rsid w:val="00460A9B"/>
    <w:rsid w:val="00460D26"/>
    <w:rsid w:val="004629E6"/>
    <w:rsid w:val="00467522"/>
    <w:rsid w:val="0046799C"/>
    <w:rsid w:val="0047182D"/>
    <w:rsid w:val="00471D19"/>
    <w:rsid w:val="00471DAF"/>
    <w:rsid w:val="004727FF"/>
    <w:rsid w:val="00472EAB"/>
    <w:rsid w:val="004731D6"/>
    <w:rsid w:val="0047357E"/>
    <w:rsid w:val="004747AC"/>
    <w:rsid w:val="00475643"/>
    <w:rsid w:val="00475B2B"/>
    <w:rsid w:val="00475C50"/>
    <w:rsid w:val="00476549"/>
    <w:rsid w:val="00476DF8"/>
    <w:rsid w:val="00477B56"/>
    <w:rsid w:val="00483BB1"/>
    <w:rsid w:val="004845BF"/>
    <w:rsid w:val="00484AD3"/>
    <w:rsid w:val="00484D65"/>
    <w:rsid w:val="00484F41"/>
    <w:rsid w:val="0048629D"/>
    <w:rsid w:val="0048682A"/>
    <w:rsid w:val="00486954"/>
    <w:rsid w:val="00486CB2"/>
    <w:rsid w:val="004876B0"/>
    <w:rsid w:val="00487724"/>
    <w:rsid w:val="00487B5B"/>
    <w:rsid w:val="004900B4"/>
    <w:rsid w:val="00491AEA"/>
    <w:rsid w:val="0049209C"/>
    <w:rsid w:val="004926E5"/>
    <w:rsid w:val="00493374"/>
    <w:rsid w:val="00493B9D"/>
    <w:rsid w:val="00496334"/>
    <w:rsid w:val="004977AC"/>
    <w:rsid w:val="004A0370"/>
    <w:rsid w:val="004A051E"/>
    <w:rsid w:val="004A3254"/>
    <w:rsid w:val="004A4D33"/>
    <w:rsid w:val="004A4E8F"/>
    <w:rsid w:val="004A700A"/>
    <w:rsid w:val="004A7AF7"/>
    <w:rsid w:val="004B1DF5"/>
    <w:rsid w:val="004B2249"/>
    <w:rsid w:val="004B2F9C"/>
    <w:rsid w:val="004B3171"/>
    <w:rsid w:val="004B3FF5"/>
    <w:rsid w:val="004B5194"/>
    <w:rsid w:val="004B606B"/>
    <w:rsid w:val="004B7388"/>
    <w:rsid w:val="004B7B4E"/>
    <w:rsid w:val="004C0C24"/>
    <w:rsid w:val="004C0F54"/>
    <w:rsid w:val="004C2054"/>
    <w:rsid w:val="004C3F85"/>
    <w:rsid w:val="004C439D"/>
    <w:rsid w:val="004C469A"/>
    <w:rsid w:val="004C61E0"/>
    <w:rsid w:val="004C687E"/>
    <w:rsid w:val="004C6BED"/>
    <w:rsid w:val="004D2A8D"/>
    <w:rsid w:val="004D41FC"/>
    <w:rsid w:val="004D4467"/>
    <w:rsid w:val="004D544A"/>
    <w:rsid w:val="004D5858"/>
    <w:rsid w:val="004D5AA9"/>
    <w:rsid w:val="004D5CA8"/>
    <w:rsid w:val="004D609F"/>
    <w:rsid w:val="004D7AFE"/>
    <w:rsid w:val="004E0423"/>
    <w:rsid w:val="004E09E7"/>
    <w:rsid w:val="004E2255"/>
    <w:rsid w:val="004E36B7"/>
    <w:rsid w:val="004E39E1"/>
    <w:rsid w:val="004E4FD3"/>
    <w:rsid w:val="004E4FE7"/>
    <w:rsid w:val="004E5651"/>
    <w:rsid w:val="004E65A0"/>
    <w:rsid w:val="004E6A9C"/>
    <w:rsid w:val="004E7602"/>
    <w:rsid w:val="004E7915"/>
    <w:rsid w:val="004E7B19"/>
    <w:rsid w:val="004E7BB7"/>
    <w:rsid w:val="004E7EDA"/>
    <w:rsid w:val="004F0195"/>
    <w:rsid w:val="004F0771"/>
    <w:rsid w:val="004F2ACC"/>
    <w:rsid w:val="004F2F0E"/>
    <w:rsid w:val="004F3D3D"/>
    <w:rsid w:val="004F63BB"/>
    <w:rsid w:val="004F6671"/>
    <w:rsid w:val="004F67C1"/>
    <w:rsid w:val="00503E44"/>
    <w:rsid w:val="00505FD7"/>
    <w:rsid w:val="0050647C"/>
    <w:rsid w:val="005100CE"/>
    <w:rsid w:val="005119FA"/>
    <w:rsid w:val="00512944"/>
    <w:rsid w:val="00515041"/>
    <w:rsid w:val="00515283"/>
    <w:rsid w:val="00516B96"/>
    <w:rsid w:val="00516D5C"/>
    <w:rsid w:val="0052107C"/>
    <w:rsid w:val="005221AB"/>
    <w:rsid w:val="005224B7"/>
    <w:rsid w:val="005228CB"/>
    <w:rsid w:val="005234D1"/>
    <w:rsid w:val="00523768"/>
    <w:rsid w:val="00523A71"/>
    <w:rsid w:val="00524916"/>
    <w:rsid w:val="00525756"/>
    <w:rsid w:val="00527FC7"/>
    <w:rsid w:val="005300BF"/>
    <w:rsid w:val="0053037A"/>
    <w:rsid w:val="005326EC"/>
    <w:rsid w:val="00534C53"/>
    <w:rsid w:val="00535D63"/>
    <w:rsid w:val="00536922"/>
    <w:rsid w:val="00536B7A"/>
    <w:rsid w:val="005372EE"/>
    <w:rsid w:val="00537927"/>
    <w:rsid w:val="00540471"/>
    <w:rsid w:val="005407A8"/>
    <w:rsid w:val="00540ACA"/>
    <w:rsid w:val="00542244"/>
    <w:rsid w:val="00543697"/>
    <w:rsid w:val="00543F2B"/>
    <w:rsid w:val="00543FCE"/>
    <w:rsid w:val="005443FB"/>
    <w:rsid w:val="00544811"/>
    <w:rsid w:val="00547833"/>
    <w:rsid w:val="005500D0"/>
    <w:rsid w:val="0055061F"/>
    <w:rsid w:val="00550A24"/>
    <w:rsid w:val="00551B54"/>
    <w:rsid w:val="00552FA5"/>
    <w:rsid w:val="00554100"/>
    <w:rsid w:val="00555A43"/>
    <w:rsid w:val="0055675D"/>
    <w:rsid w:val="00556C58"/>
    <w:rsid w:val="005570A0"/>
    <w:rsid w:val="00560912"/>
    <w:rsid w:val="00562D29"/>
    <w:rsid w:val="005630F0"/>
    <w:rsid w:val="0056348D"/>
    <w:rsid w:val="005634D4"/>
    <w:rsid w:val="00565C6D"/>
    <w:rsid w:val="005669F8"/>
    <w:rsid w:val="00566A21"/>
    <w:rsid w:val="00566E17"/>
    <w:rsid w:val="00567F6A"/>
    <w:rsid w:val="00570080"/>
    <w:rsid w:val="005713D8"/>
    <w:rsid w:val="00571A35"/>
    <w:rsid w:val="00571D5F"/>
    <w:rsid w:val="0057281A"/>
    <w:rsid w:val="00572B4C"/>
    <w:rsid w:val="00575F59"/>
    <w:rsid w:val="005769F4"/>
    <w:rsid w:val="00582298"/>
    <w:rsid w:val="00582CB6"/>
    <w:rsid w:val="005833BE"/>
    <w:rsid w:val="005843E1"/>
    <w:rsid w:val="00584DAC"/>
    <w:rsid w:val="005871CF"/>
    <w:rsid w:val="005908BD"/>
    <w:rsid w:val="00590EE5"/>
    <w:rsid w:val="00592403"/>
    <w:rsid w:val="005933BE"/>
    <w:rsid w:val="00593679"/>
    <w:rsid w:val="00597552"/>
    <w:rsid w:val="00597CDB"/>
    <w:rsid w:val="005A0267"/>
    <w:rsid w:val="005A05A8"/>
    <w:rsid w:val="005A09FB"/>
    <w:rsid w:val="005A1B3D"/>
    <w:rsid w:val="005A266E"/>
    <w:rsid w:val="005A349F"/>
    <w:rsid w:val="005A4C83"/>
    <w:rsid w:val="005A7371"/>
    <w:rsid w:val="005A7835"/>
    <w:rsid w:val="005A7AAF"/>
    <w:rsid w:val="005B09F7"/>
    <w:rsid w:val="005B17D1"/>
    <w:rsid w:val="005B1DDF"/>
    <w:rsid w:val="005B3CA2"/>
    <w:rsid w:val="005B4365"/>
    <w:rsid w:val="005B5BF3"/>
    <w:rsid w:val="005B6368"/>
    <w:rsid w:val="005B7897"/>
    <w:rsid w:val="005C0D0D"/>
    <w:rsid w:val="005C10B9"/>
    <w:rsid w:val="005C407C"/>
    <w:rsid w:val="005C62E5"/>
    <w:rsid w:val="005C6A2D"/>
    <w:rsid w:val="005C6ACE"/>
    <w:rsid w:val="005C7417"/>
    <w:rsid w:val="005C7779"/>
    <w:rsid w:val="005C7C06"/>
    <w:rsid w:val="005D085A"/>
    <w:rsid w:val="005D121B"/>
    <w:rsid w:val="005D2468"/>
    <w:rsid w:val="005D2703"/>
    <w:rsid w:val="005D3032"/>
    <w:rsid w:val="005D3277"/>
    <w:rsid w:val="005D3B39"/>
    <w:rsid w:val="005D3D88"/>
    <w:rsid w:val="005D536B"/>
    <w:rsid w:val="005D64D5"/>
    <w:rsid w:val="005D753D"/>
    <w:rsid w:val="005D7D5A"/>
    <w:rsid w:val="005E19D0"/>
    <w:rsid w:val="005E1B5A"/>
    <w:rsid w:val="005E1C32"/>
    <w:rsid w:val="005E4C76"/>
    <w:rsid w:val="005E5EC7"/>
    <w:rsid w:val="005E6AFC"/>
    <w:rsid w:val="005E71BF"/>
    <w:rsid w:val="005F2439"/>
    <w:rsid w:val="005F34B6"/>
    <w:rsid w:val="005F5F05"/>
    <w:rsid w:val="005F6120"/>
    <w:rsid w:val="005F6666"/>
    <w:rsid w:val="005F76E3"/>
    <w:rsid w:val="005F7AE5"/>
    <w:rsid w:val="0060130D"/>
    <w:rsid w:val="00601B43"/>
    <w:rsid w:val="00602D03"/>
    <w:rsid w:val="00603099"/>
    <w:rsid w:val="00604BED"/>
    <w:rsid w:val="00604DCE"/>
    <w:rsid w:val="00605580"/>
    <w:rsid w:val="0060644A"/>
    <w:rsid w:val="006067DC"/>
    <w:rsid w:val="00606ED8"/>
    <w:rsid w:val="00607054"/>
    <w:rsid w:val="00607362"/>
    <w:rsid w:val="00607B7F"/>
    <w:rsid w:val="00607D10"/>
    <w:rsid w:val="00607E08"/>
    <w:rsid w:val="00607FC8"/>
    <w:rsid w:val="006102B4"/>
    <w:rsid w:val="00610426"/>
    <w:rsid w:val="00611E56"/>
    <w:rsid w:val="006123E3"/>
    <w:rsid w:val="006125F0"/>
    <w:rsid w:val="00613826"/>
    <w:rsid w:val="00613A28"/>
    <w:rsid w:val="006148E4"/>
    <w:rsid w:val="006154E7"/>
    <w:rsid w:val="006157CC"/>
    <w:rsid w:val="00616BCC"/>
    <w:rsid w:val="00620DA1"/>
    <w:rsid w:val="006217B4"/>
    <w:rsid w:val="00622EF5"/>
    <w:rsid w:val="00624FDA"/>
    <w:rsid w:val="00625CFC"/>
    <w:rsid w:val="0062726A"/>
    <w:rsid w:val="00627B34"/>
    <w:rsid w:val="00633772"/>
    <w:rsid w:val="00634B56"/>
    <w:rsid w:val="00634DFE"/>
    <w:rsid w:val="00634F7B"/>
    <w:rsid w:val="006351EA"/>
    <w:rsid w:val="006354FA"/>
    <w:rsid w:val="00635FE0"/>
    <w:rsid w:val="00636D9D"/>
    <w:rsid w:val="00637449"/>
    <w:rsid w:val="0064033D"/>
    <w:rsid w:val="006407EA"/>
    <w:rsid w:val="00640A16"/>
    <w:rsid w:val="0064100E"/>
    <w:rsid w:val="0064129F"/>
    <w:rsid w:val="00642A4E"/>
    <w:rsid w:val="00643260"/>
    <w:rsid w:val="006438B5"/>
    <w:rsid w:val="00644138"/>
    <w:rsid w:val="006454EC"/>
    <w:rsid w:val="00650FE5"/>
    <w:rsid w:val="00651B39"/>
    <w:rsid w:val="006531BE"/>
    <w:rsid w:val="006550D3"/>
    <w:rsid w:val="00656633"/>
    <w:rsid w:val="00660764"/>
    <w:rsid w:val="00661CB6"/>
    <w:rsid w:val="006621E4"/>
    <w:rsid w:val="00662B8C"/>
    <w:rsid w:val="006631A1"/>
    <w:rsid w:val="00663792"/>
    <w:rsid w:val="0066396D"/>
    <w:rsid w:val="00663DE8"/>
    <w:rsid w:val="00664F2E"/>
    <w:rsid w:val="0066630D"/>
    <w:rsid w:val="00666424"/>
    <w:rsid w:val="00666B56"/>
    <w:rsid w:val="00666EF4"/>
    <w:rsid w:val="00667045"/>
    <w:rsid w:val="0067378E"/>
    <w:rsid w:val="0067514C"/>
    <w:rsid w:val="00675937"/>
    <w:rsid w:val="0067615F"/>
    <w:rsid w:val="00676F4F"/>
    <w:rsid w:val="00677877"/>
    <w:rsid w:val="006817CD"/>
    <w:rsid w:val="00681E5A"/>
    <w:rsid w:val="00682AB3"/>
    <w:rsid w:val="006835EE"/>
    <w:rsid w:val="0069048B"/>
    <w:rsid w:val="00691490"/>
    <w:rsid w:val="00694762"/>
    <w:rsid w:val="006951E2"/>
    <w:rsid w:val="00695544"/>
    <w:rsid w:val="00696C7E"/>
    <w:rsid w:val="006A0194"/>
    <w:rsid w:val="006A1BEB"/>
    <w:rsid w:val="006A2753"/>
    <w:rsid w:val="006A2E2E"/>
    <w:rsid w:val="006A3413"/>
    <w:rsid w:val="006A39D2"/>
    <w:rsid w:val="006A4702"/>
    <w:rsid w:val="006A4A6E"/>
    <w:rsid w:val="006A50D2"/>
    <w:rsid w:val="006A5160"/>
    <w:rsid w:val="006A51A2"/>
    <w:rsid w:val="006A5B46"/>
    <w:rsid w:val="006A6A8A"/>
    <w:rsid w:val="006A7670"/>
    <w:rsid w:val="006A7C7F"/>
    <w:rsid w:val="006B11FF"/>
    <w:rsid w:val="006B21ED"/>
    <w:rsid w:val="006B2352"/>
    <w:rsid w:val="006B351E"/>
    <w:rsid w:val="006B3AB0"/>
    <w:rsid w:val="006B3CDA"/>
    <w:rsid w:val="006B42A5"/>
    <w:rsid w:val="006B5237"/>
    <w:rsid w:val="006B561E"/>
    <w:rsid w:val="006C01BF"/>
    <w:rsid w:val="006C1EBD"/>
    <w:rsid w:val="006C1F4C"/>
    <w:rsid w:val="006C2644"/>
    <w:rsid w:val="006C332F"/>
    <w:rsid w:val="006C368B"/>
    <w:rsid w:val="006C38BE"/>
    <w:rsid w:val="006C433C"/>
    <w:rsid w:val="006C4FD1"/>
    <w:rsid w:val="006C636C"/>
    <w:rsid w:val="006C679D"/>
    <w:rsid w:val="006C7CC5"/>
    <w:rsid w:val="006D104A"/>
    <w:rsid w:val="006D1370"/>
    <w:rsid w:val="006D2BC6"/>
    <w:rsid w:val="006D2BF5"/>
    <w:rsid w:val="006D3653"/>
    <w:rsid w:val="006D4DEB"/>
    <w:rsid w:val="006D5F6C"/>
    <w:rsid w:val="006D7303"/>
    <w:rsid w:val="006D7C7D"/>
    <w:rsid w:val="006E0505"/>
    <w:rsid w:val="006E1335"/>
    <w:rsid w:val="006E1C30"/>
    <w:rsid w:val="006E300E"/>
    <w:rsid w:val="006E3589"/>
    <w:rsid w:val="006E4100"/>
    <w:rsid w:val="006E4215"/>
    <w:rsid w:val="006E7774"/>
    <w:rsid w:val="006F0F85"/>
    <w:rsid w:val="006F1005"/>
    <w:rsid w:val="006F2591"/>
    <w:rsid w:val="006F317D"/>
    <w:rsid w:val="006F38E9"/>
    <w:rsid w:val="006F4AE2"/>
    <w:rsid w:val="006F6A81"/>
    <w:rsid w:val="006F7A52"/>
    <w:rsid w:val="00701146"/>
    <w:rsid w:val="007025D4"/>
    <w:rsid w:val="00702EE2"/>
    <w:rsid w:val="00703C0E"/>
    <w:rsid w:val="00705D34"/>
    <w:rsid w:val="007065C3"/>
    <w:rsid w:val="00710233"/>
    <w:rsid w:val="00712019"/>
    <w:rsid w:val="00712BEB"/>
    <w:rsid w:val="007143B8"/>
    <w:rsid w:val="00714B37"/>
    <w:rsid w:val="00714C8F"/>
    <w:rsid w:val="00715C57"/>
    <w:rsid w:val="00715F6C"/>
    <w:rsid w:val="007165EF"/>
    <w:rsid w:val="00716818"/>
    <w:rsid w:val="00717609"/>
    <w:rsid w:val="007200E3"/>
    <w:rsid w:val="00720496"/>
    <w:rsid w:val="0072126D"/>
    <w:rsid w:val="00721692"/>
    <w:rsid w:val="007221C5"/>
    <w:rsid w:val="00722A48"/>
    <w:rsid w:val="00723A75"/>
    <w:rsid w:val="00723C9D"/>
    <w:rsid w:val="00724DB6"/>
    <w:rsid w:val="00727596"/>
    <w:rsid w:val="00727C9D"/>
    <w:rsid w:val="00730D8B"/>
    <w:rsid w:val="0073175F"/>
    <w:rsid w:val="00732AC4"/>
    <w:rsid w:val="007333A5"/>
    <w:rsid w:val="00735A47"/>
    <w:rsid w:val="00735CEC"/>
    <w:rsid w:val="00737F8C"/>
    <w:rsid w:val="00740DD0"/>
    <w:rsid w:val="0074266C"/>
    <w:rsid w:val="007429BD"/>
    <w:rsid w:val="00742F0C"/>
    <w:rsid w:val="00743469"/>
    <w:rsid w:val="00744C1D"/>
    <w:rsid w:val="0074614E"/>
    <w:rsid w:val="0074648C"/>
    <w:rsid w:val="00750107"/>
    <w:rsid w:val="00750FA6"/>
    <w:rsid w:val="0075123D"/>
    <w:rsid w:val="00751AFA"/>
    <w:rsid w:val="00751ED7"/>
    <w:rsid w:val="007528E7"/>
    <w:rsid w:val="00753068"/>
    <w:rsid w:val="00755C46"/>
    <w:rsid w:val="00757797"/>
    <w:rsid w:val="007608A6"/>
    <w:rsid w:val="00760A76"/>
    <w:rsid w:val="007621EE"/>
    <w:rsid w:val="00762AC0"/>
    <w:rsid w:val="00765E69"/>
    <w:rsid w:val="00766AFA"/>
    <w:rsid w:val="00767B82"/>
    <w:rsid w:val="00770D7F"/>
    <w:rsid w:val="00771105"/>
    <w:rsid w:val="00771BCF"/>
    <w:rsid w:val="00772C40"/>
    <w:rsid w:val="00773527"/>
    <w:rsid w:val="00773782"/>
    <w:rsid w:val="0077436D"/>
    <w:rsid w:val="0077437F"/>
    <w:rsid w:val="00774A60"/>
    <w:rsid w:val="00774F23"/>
    <w:rsid w:val="0077528A"/>
    <w:rsid w:val="00775624"/>
    <w:rsid w:val="007758B3"/>
    <w:rsid w:val="007758E3"/>
    <w:rsid w:val="00776B98"/>
    <w:rsid w:val="00777094"/>
    <w:rsid w:val="00777C25"/>
    <w:rsid w:val="007807C7"/>
    <w:rsid w:val="00780B9C"/>
    <w:rsid w:val="00780FF9"/>
    <w:rsid w:val="00781287"/>
    <w:rsid w:val="007819E5"/>
    <w:rsid w:val="00782690"/>
    <w:rsid w:val="0078285D"/>
    <w:rsid w:val="00782995"/>
    <w:rsid w:val="00784198"/>
    <w:rsid w:val="007876D2"/>
    <w:rsid w:val="00790AA4"/>
    <w:rsid w:val="007912BB"/>
    <w:rsid w:val="0079497A"/>
    <w:rsid w:val="00794DF6"/>
    <w:rsid w:val="007956DA"/>
    <w:rsid w:val="00795925"/>
    <w:rsid w:val="00796445"/>
    <w:rsid w:val="00796B53"/>
    <w:rsid w:val="0079757D"/>
    <w:rsid w:val="007A19BE"/>
    <w:rsid w:val="007A1DB7"/>
    <w:rsid w:val="007A1FBB"/>
    <w:rsid w:val="007A2AC8"/>
    <w:rsid w:val="007A3A1C"/>
    <w:rsid w:val="007A4336"/>
    <w:rsid w:val="007A4725"/>
    <w:rsid w:val="007A48D5"/>
    <w:rsid w:val="007A5F44"/>
    <w:rsid w:val="007B0097"/>
    <w:rsid w:val="007B069E"/>
    <w:rsid w:val="007B1117"/>
    <w:rsid w:val="007B161D"/>
    <w:rsid w:val="007B2E69"/>
    <w:rsid w:val="007B3C2D"/>
    <w:rsid w:val="007B4971"/>
    <w:rsid w:val="007B4C78"/>
    <w:rsid w:val="007C160E"/>
    <w:rsid w:val="007C23BF"/>
    <w:rsid w:val="007C2839"/>
    <w:rsid w:val="007C42FF"/>
    <w:rsid w:val="007C4CC7"/>
    <w:rsid w:val="007C4F4B"/>
    <w:rsid w:val="007C59E3"/>
    <w:rsid w:val="007C77DE"/>
    <w:rsid w:val="007D0765"/>
    <w:rsid w:val="007D0977"/>
    <w:rsid w:val="007D0AD0"/>
    <w:rsid w:val="007D0CC1"/>
    <w:rsid w:val="007D205E"/>
    <w:rsid w:val="007D205F"/>
    <w:rsid w:val="007D233B"/>
    <w:rsid w:val="007D32D9"/>
    <w:rsid w:val="007D38F7"/>
    <w:rsid w:val="007D3CE0"/>
    <w:rsid w:val="007D44CE"/>
    <w:rsid w:val="007D4F2C"/>
    <w:rsid w:val="007D5218"/>
    <w:rsid w:val="007D776C"/>
    <w:rsid w:val="007D7F08"/>
    <w:rsid w:val="007E018D"/>
    <w:rsid w:val="007E15D6"/>
    <w:rsid w:val="007E1D41"/>
    <w:rsid w:val="007E1E38"/>
    <w:rsid w:val="007E2211"/>
    <w:rsid w:val="007E2EC2"/>
    <w:rsid w:val="007E347E"/>
    <w:rsid w:val="007E3B31"/>
    <w:rsid w:val="007E41D7"/>
    <w:rsid w:val="007E4966"/>
    <w:rsid w:val="007E4D38"/>
    <w:rsid w:val="007E5136"/>
    <w:rsid w:val="007E62AF"/>
    <w:rsid w:val="007E7318"/>
    <w:rsid w:val="007E75E1"/>
    <w:rsid w:val="007E7D11"/>
    <w:rsid w:val="007F098D"/>
    <w:rsid w:val="007F16E5"/>
    <w:rsid w:val="007F239B"/>
    <w:rsid w:val="007F3852"/>
    <w:rsid w:val="007F3DF7"/>
    <w:rsid w:val="007F4087"/>
    <w:rsid w:val="007F541E"/>
    <w:rsid w:val="007F7643"/>
    <w:rsid w:val="007F7C7C"/>
    <w:rsid w:val="00800611"/>
    <w:rsid w:val="008019CF"/>
    <w:rsid w:val="00802575"/>
    <w:rsid w:val="00802E33"/>
    <w:rsid w:val="0080321D"/>
    <w:rsid w:val="00803736"/>
    <w:rsid w:val="00804266"/>
    <w:rsid w:val="0080442C"/>
    <w:rsid w:val="008048C4"/>
    <w:rsid w:val="00805F4C"/>
    <w:rsid w:val="00806120"/>
    <w:rsid w:val="0080689B"/>
    <w:rsid w:val="00806F95"/>
    <w:rsid w:val="0080714C"/>
    <w:rsid w:val="00807DB4"/>
    <w:rsid w:val="00807E7D"/>
    <w:rsid w:val="00810B4A"/>
    <w:rsid w:val="00812B83"/>
    <w:rsid w:val="00813CD9"/>
    <w:rsid w:val="00813CEA"/>
    <w:rsid w:val="008141F2"/>
    <w:rsid w:val="00814D0E"/>
    <w:rsid w:val="00815230"/>
    <w:rsid w:val="00815B12"/>
    <w:rsid w:val="00815F14"/>
    <w:rsid w:val="00817C9B"/>
    <w:rsid w:val="0082028E"/>
    <w:rsid w:val="00821A17"/>
    <w:rsid w:val="00821E29"/>
    <w:rsid w:val="00822144"/>
    <w:rsid w:val="008221BA"/>
    <w:rsid w:val="00822C3A"/>
    <w:rsid w:val="00822CCA"/>
    <w:rsid w:val="00823128"/>
    <w:rsid w:val="0082396F"/>
    <w:rsid w:val="00823EC0"/>
    <w:rsid w:val="008254C9"/>
    <w:rsid w:val="008272A9"/>
    <w:rsid w:val="008273EC"/>
    <w:rsid w:val="00830DF0"/>
    <w:rsid w:val="00831471"/>
    <w:rsid w:val="00831675"/>
    <w:rsid w:val="00832B02"/>
    <w:rsid w:val="00834029"/>
    <w:rsid w:val="00834A07"/>
    <w:rsid w:val="00836176"/>
    <w:rsid w:val="0083693E"/>
    <w:rsid w:val="00836C25"/>
    <w:rsid w:val="0083772D"/>
    <w:rsid w:val="0084414F"/>
    <w:rsid w:val="0084579D"/>
    <w:rsid w:val="00845B2E"/>
    <w:rsid w:val="008461A6"/>
    <w:rsid w:val="00850507"/>
    <w:rsid w:val="00850D53"/>
    <w:rsid w:val="00852C36"/>
    <w:rsid w:val="00852D1C"/>
    <w:rsid w:val="00853CF5"/>
    <w:rsid w:val="0085448E"/>
    <w:rsid w:val="00854645"/>
    <w:rsid w:val="00855A5F"/>
    <w:rsid w:val="00855A81"/>
    <w:rsid w:val="00856C27"/>
    <w:rsid w:val="00856C94"/>
    <w:rsid w:val="008571BB"/>
    <w:rsid w:val="00857459"/>
    <w:rsid w:val="00857544"/>
    <w:rsid w:val="00857FFE"/>
    <w:rsid w:val="008603BF"/>
    <w:rsid w:val="00860977"/>
    <w:rsid w:val="00861DC8"/>
    <w:rsid w:val="00862122"/>
    <w:rsid w:val="00862958"/>
    <w:rsid w:val="0086575D"/>
    <w:rsid w:val="00865F8E"/>
    <w:rsid w:val="008700B0"/>
    <w:rsid w:val="008701C1"/>
    <w:rsid w:val="00870E6F"/>
    <w:rsid w:val="008720B7"/>
    <w:rsid w:val="00872AE6"/>
    <w:rsid w:val="00872B1B"/>
    <w:rsid w:val="00874D48"/>
    <w:rsid w:val="00880A02"/>
    <w:rsid w:val="008810D6"/>
    <w:rsid w:val="008837E0"/>
    <w:rsid w:val="0088467C"/>
    <w:rsid w:val="00884E1B"/>
    <w:rsid w:val="00885158"/>
    <w:rsid w:val="0088560C"/>
    <w:rsid w:val="00885BF8"/>
    <w:rsid w:val="0088615C"/>
    <w:rsid w:val="008867FC"/>
    <w:rsid w:val="00886896"/>
    <w:rsid w:val="00893668"/>
    <w:rsid w:val="0089406B"/>
    <w:rsid w:val="00896F9D"/>
    <w:rsid w:val="0089776D"/>
    <w:rsid w:val="008A041B"/>
    <w:rsid w:val="008A0BE8"/>
    <w:rsid w:val="008A1684"/>
    <w:rsid w:val="008A251E"/>
    <w:rsid w:val="008A2A07"/>
    <w:rsid w:val="008A430D"/>
    <w:rsid w:val="008A4C4F"/>
    <w:rsid w:val="008A566C"/>
    <w:rsid w:val="008A6A44"/>
    <w:rsid w:val="008A75EC"/>
    <w:rsid w:val="008B2CFF"/>
    <w:rsid w:val="008B3A82"/>
    <w:rsid w:val="008B43B3"/>
    <w:rsid w:val="008B549A"/>
    <w:rsid w:val="008C00ED"/>
    <w:rsid w:val="008C031A"/>
    <w:rsid w:val="008C26DE"/>
    <w:rsid w:val="008C3260"/>
    <w:rsid w:val="008C3586"/>
    <w:rsid w:val="008C42B5"/>
    <w:rsid w:val="008C6508"/>
    <w:rsid w:val="008C65D6"/>
    <w:rsid w:val="008C66A1"/>
    <w:rsid w:val="008C6BB7"/>
    <w:rsid w:val="008C6DFB"/>
    <w:rsid w:val="008C6E1E"/>
    <w:rsid w:val="008C79C6"/>
    <w:rsid w:val="008D0335"/>
    <w:rsid w:val="008D03F8"/>
    <w:rsid w:val="008D0F5C"/>
    <w:rsid w:val="008D10E0"/>
    <w:rsid w:val="008D10F6"/>
    <w:rsid w:val="008D1336"/>
    <w:rsid w:val="008D16F7"/>
    <w:rsid w:val="008D1746"/>
    <w:rsid w:val="008D2F53"/>
    <w:rsid w:val="008D32F9"/>
    <w:rsid w:val="008D36C0"/>
    <w:rsid w:val="008D4E9F"/>
    <w:rsid w:val="008D66F3"/>
    <w:rsid w:val="008D67AB"/>
    <w:rsid w:val="008D6A23"/>
    <w:rsid w:val="008D6E72"/>
    <w:rsid w:val="008D7ABF"/>
    <w:rsid w:val="008D7AFF"/>
    <w:rsid w:val="008E240D"/>
    <w:rsid w:val="008E2CED"/>
    <w:rsid w:val="008E3817"/>
    <w:rsid w:val="008E5397"/>
    <w:rsid w:val="008E5DC0"/>
    <w:rsid w:val="008E6751"/>
    <w:rsid w:val="008E687B"/>
    <w:rsid w:val="008E78FC"/>
    <w:rsid w:val="008F3573"/>
    <w:rsid w:val="008F3969"/>
    <w:rsid w:val="008F4188"/>
    <w:rsid w:val="008F4574"/>
    <w:rsid w:val="008F597C"/>
    <w:rsid w:val="008F652D"/>
    <w:rsid w:val="008F78A2"/>
    <w:rsid w:val="008F7F15"/>
    <w:rsid w:val="0090036B"/>
    <w:rsid w:val="009004B3"/>
    <w:rsid w:val="00903325"/>
    <w:rsid w:val="00903962"/>
    <w:rsid w:val="00905CF5"/>
    <w:rsid w:val="0090726C"/>
    <w:rsid w:val="0091094A"/>
    <w:rsid w:val="009113FD"/>
    <w:rsid w:val="0091194A"/>
    <w:rsid w:val="00911DA8"/>
    <w:rsid w:val="0091528F"/>
    <w:rsid w:val="00916DE3"/>
    <w:rsid w:val="00917F96"/>
    <w:rsid w:val="009225B3"/>
    <w:rsid w:val="00922F8D"/>
    <w:rsid w:val="009231C7"/>
    <w:rsid w:val="00923A4B"/>
    <w:rsid w:val="00923CDD"/>
    <w:rsid w:val="00924423"/>
    <w:rsid w:val="009265D5"/>
    <w:rsid w:val="00926BC0"/>
    <w:rsid w:val="00926F2E"/>
    <w:rsid w:val="009309A8"/>
    <w:rsid w:val="00931370"/>
    <w:rsid w:val="0093273B"/>
    <w:rsid w:val="0093354F"/>
    <w:rsid w:val="00933748"/>
    <w:rsid w:val="00934C83"/>
    <w:rsid w:val="00935938"/>
    <w:rsid w:val="00936040"/>
    <w:rsid w:val="00937164"/>
    <w:rsid w:val="00937D90"/>
    <w:rsid w:val="00940C6E"/>
    <w:rsid w:val="00940F11"/>
    <w:rsid w:val="00941218"/>
    <w:rsid w:val="00941373"/>
    <w:rsid w:val="00941C0D"/>
    <w:rsid w:val="00941E30"/>
    <w:rsid w:val="009426B7"/>
    <w:rsid w:val="0094292F"/>
    <w:rsid w:val="00943A67"/>
    <w:rsid w:val="00945253"/>
    <w:rsid w:val="00945762"/>
    <w:rsid w:val="009461AD"/>
    <w:rsid w:val="00946328"/>
    <w:rsid w:val="009517A8"/>
    <w:rsid w:val="00951EE3"/>
    <w:rsid w:val="009530B3"/>
    <w:rsid w:val="00954D24"/>
    <w:rsid w:val="00955D92"/>
    <w:rsid w:val="00956C03"/>
    <w:rsid w:val="009579A5"/>
    <w:rsid w:val="00963006"/>
    <w:rsid w:val="00963533"/>
    <w:rsid w:val="00964B87"/>
    <w:rsid w:val="00964C64"/>
    <w:rsid w:val="00967E6E"/>
    <w:rsid w:val="00970A74"/>
    <w:rsid w:val="00971062"/>
    <w:rsid w:val="00974884"/>
    <w:rsid w:val="00974A45"/>
    <w:rsid w:val="00977146"/>
    <w:rsid w:val="00980D13"/>
    <w:rsid w:val="00981D17"/>
    <w:rsid w:val="00982662"/>
    <w:rsid w:val="00982B58"/>
    <w:rsid w:val="009830B8"/>
    <w:rsid w:val="00985056"/>
    <w:rsid w:val="00985FB9"/>
    <w:rsid w:val="00986B60"/>
    <w:rsid w:val="00987D29"/>
    <w:rsid w:val="00987D2E"/>
    <w:rsid w:val="009914C8"/>
    <w:rsid w:val="00991834"/>
    <w:rsid w:val="00991D3F"/>
    <w:rsid w:val="00992DE0"/>
    <w:rsid w:val="00992FEB"/>
    <w:rsid w:val="009938ED"/>
    <w:rsid w:val="00995092"/>
    <w:rsid w:val="009950D4"/>
    <w:rsid w:val="00995406"/>
    <w:rsid w:val="0099694F"/>
    <w:rsid w:val="009970D7"/>
    <w:rsid w:val="00997A53"/>
    <w:rsid w:val="009A15B1"/>
    <w:rsid w:val="009A3ACF"/>
    <w:rsid w:val="009A5B6C"/>
    <w:rsid w:val="009A5F2E"/>
    <w:rsid w:val="009A6768"/>
    <w:rsid w:val="009B198F"/>
    <w:rsid w:val="009B1E7C"/>
    <w:rsid w:val="009B2647"/>
    <w:rsid w:val="009B4157"/>
    <w:rsid w:val="009B4B0B"/>
    <w:rsid w:val="009B6788"/>
    <w:rsid w:val="009B7A83"/>
    <w:rsid w:val="009B7E66"/>
    <w:rsid w:val="009C1A22"/>
    <w:rsid w:val="009C334F"/>
    <w:rsid w:val="009C355B"/>
    <w:rsid w:val="009C3801"/>
    <w:rsid w:val="009C3E1D"/>
    <w:rsid w:val="009C3F66"/>
    <w:rsid w:val="009C52A6"/>
    <w:rsid w:val="009C5434"/>
    <w:rsid w:val="009C5A5B"/>
    <w:rsid w:val="009C5EBC"/>
    <w:rsid w:val="009C5EF7"/>
    <w:rsid w:val="009C664C"/>
    <w:rsid w:val="009D0F9E"/>
    <w:rsid w:val="009D1951"/>
    <w:rsid w:val="009D2059"/>
    <w:rsid w:val="009D20AB"/>
    <w:rsid w:val="009D2E5E"/>
    <w:rsid w:val="009D5CEE"/>
    <w:rsid w:val="009D74C8"/>
    <w:rsid w:val="009D75E1"/>
    <w:rsid w:val="009D7AF3"/>
    <w:rsid w:val="009E1599"/>
    <w:rsid w:val="009E1677"/>
    <w:rsid w:val="009E1D9C"/>
    <w:rsid w:val="009E1F81"/>
    <w:rsid w:val="009E2EB1"/>
    <w:rsid w:val="009E2F86"/>
    <w:rsid w:val="009E3E69"/>
    <w:rsid w:val="009E3EF0"/>
    <w:rsid w:val="009E44D5"/>
    <w:rsid w:val="009E4EF6"/>
    <w:rsid w:val="009E702C"/>
    <w:rsid w:val="009F05FA"/>
    <w:rsid w:val="009F079C"/>
    <w:rsid w:val="009F18AE"/>
    <w:rsid w:val="009F3B7D"/>
    <w:rsid w:val="009F60A3"/>
    <w:rsid w:val="009F6F76"/>
    <w:rsid w:val="009F7C35"/>
    <w:rsid w:val="009F7C70"/>
    <w:rsid w:val="00A013ED"/>
    <w:rsid w:val="00A025F4"/>
    <w:rsid w:val="00A02A3E"/>
    <w:rsid w:val="00A02B59"/>
    <w:rsid w:val="00A03285"/>
    <w:rsid w:val="00A03936"/>
    <w:rsid w:val="00A06664"/>
    <w:rsid w:val="00A06AB8"/>
    <w:rsid w:val="00A076F4"/>
    <w:rsid w:val="00A10F57"/>
    <w:rsid w:val="00A1147B"/>
    <w:rsid w:val="00A12209"/>
    <w:rsid w:val="00A129EC"/>
    <w:rsid w:val="00A132C5"/>
    <w:rsid w:val="00A133E9"/>
    <w:rsid w:val="00A14E73"/>
    <w:rsid w:val="00A154FE"/>
    <w:rsid w:val="00A1685B"/>
    <w:rsid w:val="00A1767A"/>
    <w:rsid w:val="00A176B0"/>
    <w:rsid w:val="00A20084"/>
    <w:rsid w:val="00A22994"/>
    <w:rsid w:val="00A22BE0"/>
    <w:rsid w:val="00A22D88"/>
    <w:rsid w:val="00A24A78"/>
    <w:rsid w:val="00A26E2C"/>
    <w:rsid w:val="00A27115"/>
    <w:rsid w:val="00A271B4"/>
    <w:rsid w:val="00A27CEA"/>
    <w:rsid w:val="00A27F0A"/>
    <w:rsid w:val="00A303F2"/>
    <w:rsid w:val="00A32A0A"/>
    <w:rsid w:val="00A34805"/>
    <w:rsid w:val="00A351CB"/>
    <w:rsid w:val="00A368B1"/>
    <w:rsid w:val="00A36DF3"/>
    <w:rsid w:val="00A41742"/>
    <w:rsid w:val="00A430ED"/>
    <w:rsid w:val="00A439CA"/>
    <w:rsid w:val="00A43C5C"/>
    <w:rsid w:val="00A43C76"/>
    <w:rsid w:val="00A44443"/>
    <w:rsid w:val="00A456D0"/>
    <w:rsid w:val="00A469C6"/>
    <w:rsid w:val="00A46C12"/>
    <w:rsid w:val="00A47571"/>
    <w:rsid w:val="00A507AA"/>
    <w:rsid w:val="00A51ADE"/>
    <w:rsid w:val="00A532DD"/>
    <w:rsid w:val="00A541C6"/>
    <w:rsid w:val="00A545C4"/>
    <w:rsid w:val="00A571C6"/>
    <w:rsid w:val="00A6237B"/>
    <w:rsid w:val="00A62E10"/>
    <w:rsid w:val="00A6304C"/>
    <w:rsid w:val="00A6325F"/>
    <w:rsid w:val="00A63E06"/>
    <w:rsid w:val="00A64876"/>
    <w:rsid w:val="00A65730"/>
    <w:rsid w:val="00A66D73"/>
    <w:rsid w:val="00A672FB"/>
    <w:rsid w:val="00A67D5C"/>
    <w:rsid w:val="00A707AF"/>
    <w:rsid w:val="00A71497"/>
    <w:rsid w:val="00A7166A"/>
    <w:rsid w:val="00A71C6E"/>
    <w:rsid w:val="00A72A8A"/>
    <w:rsid w:val="00A7590D"/>
    <w:rsid w:val="00A765C6"/>
    <w:rsid w:val="00A80AF5"/>
    <w:rsid w:val="00A80BCF"/>
    <w:rsid w:val="00A81DEF"/>
    <w:rsid w:val="00A8304D"/>
    <w:rsid w:val="00A83762"/>
    <w:rsid w:val="00A83E5C"/>
    <w:rsid w:val="00A84920"/>
    <w:rsid w:val="00A84BA3"/>
    <w:rsid w:val="00A856E6"/>
    <w:rsid w:val="00A85B64"/>
    <w:rsid w:val="00A86EAB"/>
    <w:rsid w:val="00A86F60"/>
    <w:rsid w:val="00A90292"/>
    <w:rsid w:val="00A90F72"/>
    <w:rsid w:val="00A91D55"/>
    <w:rsid w:val="00A93029"/>
    <w:rsid w:val="00A96062"/>
    <w:rsid w:val="00AA15A0"/>
    <w:rsid w:val="00AA19C9"/>
    <w:rsid w:val="00AA2FE7"/>
    <w:rsid w:val="00AA43D6"/>
    <w:rsid w:val="00AA4492"/>
    <w:rsid w:val="00AA494B"/>
    <w:rsid w:val="00AAED8C"/>
    <w:rsid w:val="00AB26AE"/>
    <w:rsid w:val="00AB32E4"/>
    <w:rsid w:val="00AB3BAF"/>
    <w:rsid w:val="00AB4433"/>
    <w:rsid w:val="00AB64FF"/>
    <w:rsid w:val="00AB66B7"/>
    <w:rsid w:val="00AB6B64"/>
    <w:rsid w:val="00AC0B74"/>
    <w:rsid w:val="00AC0B78"/>
    <w:rsid w:val="00AC16D6"/>
    <w:rsid w:val="00AC214A"/>
    <w:rsid w:val="00AC2FA2"/>
    <w:rsid w:val="00AC5531"/>
    <w:rsid w:val="00AC5C69"/>
    <w:rsid w:val="00AC6E7F"/>
    <w:rsid w:val="00AC705D"/>
    <w:rsid w:val="00AC76B3"/>
    <w:rsid w:val="00AD0392"/>
    <w:rsid w:val="00AD044E"/>
    <w:rsid w:val="00AD08BA"/>
    <w:rsid w:val="00AD3063"/>
    <w:rsid w:val="00AD30C3"/>
    <w:rsid w:val="00AD31B6"/>
    <w:rsid w:val="00AD3352"/>
    <w:rsid w:val="00AD46F0"/>
    <w:rsid w:val="00AD5D4C"/>
    <w:rsid w:val="00AD5F73"/>
    <w:rsid w:val="00AD6DF8"/>
    <w:rsid w:val="00AD7765"/>
    <w:rsid w:val="00AE2250"/>
    <w:rsid w:val="00AE2FD3"/>
    <w:rsid w:val="00AE3449"/>
    <w:rsid w:val="00AE3D7F"/>
    <w:rsid w:val="00AE5488"/>
    <w:rsid w:val="00AE5916"/>
    <w:rsid w:val="00AE65E9"/>
    <w:rsid w:val="00AF14CD"/>
    <w:rsid w:val="00AF18DA"/>
    <w:rsid w:val="00AF306E"/>
    <w:rsid w:val="00AF380D"/>
    <w:rsid w:val="00AF3F53"/>
    <w:rsid w:val="00AF4BAD"/>
    <w:rsid w:val="00AF57DA"/>
    <w:rsid w:val="00AF58D1"/>
    <w:rsid w:val="00AF7387"/>
    <w:rsid w:val="00AF7576"/>
    <w:rsid w:val="00B002CC"/>
    <w:rsid w:val="00B011D5"/>
    <w:rsid w:val="00B01E66"/>
    <w:rsid w:val="00B02848"/>
    <w:rsid w:val="00B0391B"/>
    <w:rsid w:val="00B03BDD"/>
    <w:rsid w:val="00B05A08"/>
    <w:rsid w:val="00B061AF"/>
    <w:rsid w:val="00B062D0"/>
    <w:rsid w:val="00B06597"/>
    <w:rsid w:val="00B06B51"/>
    <w:rsid w:val="00B07B0C"/>
    <w:rsid w:val="00B10746"/>
    <w:rsid w:val="00B10FE5"/>
    <w:rsid w:val="00B1126D"/>
    <w:rsid w:val="00B148BE"/>
    <w:rsid w:val="00B14D9E"/>
    <w:rsid w:val="00B15AAF"/>
    <w:rsid w:val="00B202E1"/>
    <w:rsid w:val="00B210A1"/>
    <w:rsid w:val="00B22D9B"/>
    <w:rsid w:val="00B24F9D"/>
    <w:rsid w:val="00B2584A"/>
    <w:rsid w:val="00B26020"/>
    <w:rsid w:val="00B26123"/>
    <w:rsid w:val="00B26F7D"/>
    <w:rsid w:val="00B27C6F"/>
    <w:rsid w:val="00B27F1D"/>
    <w:rsid w:val="00B30E77"/>
    <w:rsid w:val="00B31DBF"/>
    <w:rsid w:val="00B32362"/>
    <w:rsid w:val="00B348D4"/>
    <w:rsid w:val="00B353EC"/>
    <w:rsid w:val="00B36237"/>
    <w:rsid w:val="00B36843"/>
    <w:rsid w:val="00B37138"/>
    <w:rsid w:val="00B372D1"/>
    <w:rsid w:val="00B37D0F"/>
    <w:rsid w:val="00B40541"/>
    <w:rsid w:val="00B41182"/>
    <w:rsid w:val="00B41499"/>
    <w:rsid w:val="00B427B9"/>
    <w:rsid w:val="00B42EE4"/>
    <w:rsid w:val="00B4337C"/>
    <w:rsid w:val="00B459A6"/>
    <w:rsid w:val="00B460E9"/>
    <w:rsid w:val="00B468AA"/>
    <w:rsid w:val="00B46F1B"/>
    <w:rsid w:val="00B4764F"/>
    <w:rsid w:val="00B50D14"/>
    <w:rsid w:val="00B51BBE"/>
    <w:rsid w:val="00B553D6"/>
    <w:rsid w:val="00B55843"/>
    <w:rsid w:val="00B56D89"/>
    <w:rsid w:val="00B576A5"/>
    <w:rsid w:val="00B61214"/>
    <w:rsid w:val="00B61E53"/>
    <w:rsid w:val="00B649FC"/>
    <w:rsid w:val="00B650E3"/>
    <w:rsid w:val="00B6661D"/>
    <w:rsid w:val="00B672D8"/>
    <w:rsid w:val="00B700C8"/>
    <w:rsid w:val="00B704B3"/>
    <w:rsid w:val="00B711DB"/>
    <w:rsid w:val="00B719D4"/>
    <w:rsid w:val="00B739F5"/>
    <w:rsid w:val="00B758BF"/>
    <w:rsid w:val="00B76FD6"/>
    <w:rsid w:val="00B81919"/>
    <w:rsid w:val="00B83D07"/>
    <w:rsid w:val="00B86A4D"/>
    <w:rsid w:val="00B86BFC"/>
    <w:rsid w:val="00B87C56"/>
    <w:rsid w:val="00B9106D"/>
    <w:rsid w:val="00B9129B"/>
    <w:rsid w:val="00B912E6"/>
    <w:rsid w:val="00B934FD"/>
    <w:rsid w:val="00B949F2"/>
    <w:rsid w:val="00B96109"/>
    <w:rsid w:val="00B97380"/>
    <w:rsid w:val="00BA3E60"/>
    <w:rsid w:val="00BA4001"/>
    <w:rsid w:val="00BA45D7"/>
    <w:rsid w:val="00BA5159"/>
    <w:rsid w:val="00BA5366"/>
    <w:rsid w:val="00BA5435"/>
    <w:rsid w:val="00BA5B86"/>
    <w:rsid w:val="00BA5F75"/>
    <w:rsid w:val="00BA65CB"/>
    <w:rsid w:val="00BB2429"/>
    <w:rsid w:val="00BB30FC"/>
    <w:rsid w:val="00BB43C8"/>
    <w:rsid w:val="00BB4C00"/>
    <w:rsid w:val="00BB6FD5"/>
    <w:rsid w:val="00BB787A"/>
    <w:rsid w:val="00BC3AB8"/>
    <w:rsid w:val="00BC3AFE"/>
    <w:rsid w:val="00BC43CD"/>
    <w:rsid w:val="00BC54E9"/>
    <w:rsid w:val="00BC63B8"/>
    <w:rsid w:val="00BD05BF"/>
    <w:rsid w:val="00BD0B13"/>
    <w:rsid w:val="00BD345A"/>
    <w:rsid w:val="00BD53F3"/>
    <w:rsid w:val="00BD5578"/>
    <w:rsid w:val="00BD5625"/>
    <w:rsid w:val="00BD61A2"/>
    <w:rsid w:val="00BD6806"/>
    <w:rsid w:val="00BD6E26"/>
    <w:rsid w:val="00BD6FFD"/>
    <w:rsid w:val="00BE06F5"/>
    <w:rsid w:val="00BE1353"/>
    <w:rsid w:val="00BE17E2"/>
    <w:rsid w:val="00BE484D"/>
    <w:rsid w:val="00BE4996"/>
    <w:rsid w:val="00BE4AC2"/>
    <w:rsid w:val="00BE5EFB"/>
    <w:rsid w:val="00BE78E1"/>
    <w:rsid w:val="00BF0617"/>
    <w:rsid w:val="00BF1150"/>
    <w:rsid w:val="00BF38F4"/>
    <w:rsid w:val="00BF3F51"/>
    <w:rsid w:val="00BF4201"/>
    <w:rsid w:val="00BF6C7A"/>
    <w:rsid w:val="00C00147"/>
    <w:rsid w:val="00C01CF7"/>
    <w:rsid w:val="00C05C4D"/>
    <w:rsid w:val="00C05D3D"/>
    <w:rsid w:val="00C06469"/>
    <w:rsid w:val="00C10863"/>
    <w:rsid w:val="00C108C5"/>
    <w:rsid w:val="00C12179"/>
    <w:rsid w:val="00C129C1"/>
    <w:rsid w:val="00C12AF7"/>
    <w:rsid w:val="00C14511"/>
    <w:rsid w:val="00C15441"/>
    <w:rsid w:val="00C1548E"/>
    <w:rsid w:val="00C15EDB"/>
    <w:rsid w:val="00C170E7"/>
    <w:rsid w:val="00C22D9D"/>
    <w:rsid w:val="00C2489F"/>
    <w:rsid w:val="00C24B26"/>
    <w:rsid w:val="00C2772A"/>
    <w:rsid w:val="00C31A85"/>
    <w:rsid w:val="00C3292E"/>
    <w:rsid w:val="00C333B8"/>
    <w:rsid w:val="00C35B52"/>
    <w:rsid w:val="00C36C94"/>
    <w:rsid w:val="00C37E05"/>
    <w:rsid w:val="00C4116C"/>
    <w:rsid w:val="00C42C61"/>
    <w:rsid w:val="00C4363E"/>
    <w:rsid w:val="00C4664A"/>
    <w:rsid w:val="00C47CBA"/>
    <w:rsid w:val="00C50054"/>
    <w:rsid w:val="00C507FD"/>
    <w:rsid w:val="00C50C78"/>
    <w:rsid w:val="00C51008"/>
    <w:rsid w:val="00C51152"/>
    <w:rsid w:val="00C51C57"/>
    <w:rsid w:val="00C51DC3"/>
    <w:rsid w:val="00C53EFE"/>
    <w:rsid w:val="00C5416E"/>
    <w:rsid w:val="00C54F32"/>
    <w:rsid w:val="00C55D29"/>
    <w:rsid w:val="00C5631B"/>
    <w:rsid w:val="00C563FB"/>
    <w:rsid w:val="00C56A03"/>
    <w:rsid w:val="00C56D78"/>
    <w:rsid w:val="00C57149"/>
    <w:rsid w:val="00C6365A"/>
    <w:rsid w:val="00C63795"/>
    <w:rsid w:val="00C639C9"/>
    <w:rsid w:val="00C640CA"/>
    <w:rsid w:val="00C66739"/>
    <w:rsid w:val="00C703DD"/>
    <w:rsid w:val="00C70A1E"/>
    <w:rsid w:val="00C7122F"/>
    <w:rsid w:val="00C7171B"/>
    <w:rsid w:val="00C71D4D"/>
    <w:rsid w:val="00C7432A"/>
    <w:rsid w:val="00C74636"/>
    <w:rsid w:val="00C75C96"/>
    <w:rsid w:val="00C75DEC"/>
    <w:rsid w:val="00C7622B"/>
    <w:rsid w:val="00C76719"/>
    <w:rsid w:val="00C7709E"/>
    <w:rsid w:val="00C81EBC"/>
    <w:rsid w:val="00C82379"/>
    <w:rsid w:val="00C83547"/>
    <w:rsid w:val="00C85922"/>
    <w:rsid w:val="00C875AC"/>
    <w:rsid w:val="00C87A94"/>
    <w:rsid w:val="00C920DF"/>
    <w:rsid w:val="00C92563"/>
    <w:rsid w:val="00C9412B"/>
    <w:rsid w:val="00C956C7"/>
    <w:rsid w:val="00C95858"/>
    <w:rsid w:val="00C96175"/>
    <w:rsid w:val="00C96958"/>
    <w:rsid w:val="00C970F0"/>
    <w:rsid w:val="00CA0A94"/>
    <w:rsid w:val="00CA2411"/>
    <w:rsid w:val="00CA659A"/>
    <w:rsid w:val="00CA675B"/>
    <w:rsid w:val="00CA6BB9"/>
    <w:rsid w:val="00CA6E1F"/>
    <w:rsid w:val="00CA788B"/>
    <w:rsid w:val="00CA7DC1"/>
    <w:rsid w:val="00CB17B5"/>
    <w:rsid w:val="00CB2479"/>
    <w:rsid w:val="00CB2761"/>
    <w:rsid w:val="00CB31F3"/>
    <w:rsid w:val="00CB3819"/>
    <w:rsid w:val="00CB6358"/>
    <w:rsid w:val="00CB78AB"/>
    <w:rsid w:val="00CC032A"/>
    <w:rsid w:val="00CC0A7F"/>
    <w:rsid w:val="00CC2A1B"/>
    <w:rsid w:val="00CC336A"/>
    <w:rsid w:val="00CC4248"/>
    <w:rsid w:val="00CC4565"/>
    <w:rsid w:val="00CC5E0C"/>
    <w:rsid w:val="00CC6927"/>
    <w:rsid w:val="00CC6AE7"/>
    <w:rsid w:val="00CC70A3"/>
    <w:rsid w:val="00CD3982"/>
    <w:rsid w:val="00CD444D"/>
    <w:rsid w:val="00CD496A"/>
    <w:rsid w:val="00CD4DC5"/>
    <w:rsid w:val="00CD691D"/>
    <w:rsid w:val="00CD6FE4"/>
    <w:rsid w:val="00CD79DE"/>
    <w:rsid w:val="00CD7B95"/>
    <w:rsid w:val="00CE0B53"/>
    <w:rsid w:val="00CE0E6F"/>
    <w:rsid w:val="00CE137E"/>
    <w:rsid w:val="00CE15B9"/>
    <w:rsid w:val="00CE1884"/>
    <w:rsid w:val="00CE1DD5"/>
    <w:rsid w:val="00CE256D"/>
    <w:rsid w:val="00CE3168"/>
    <w:rsid w:val="00CE46DA"/>
    <w:rsid w:val="00CE48BC"/>
    <w:rsid w:val="00CE4DE1"/>
    <w:rsid w:val="00CE5623"/>
    <w:rsid w:val="00CE5C5F"/>
    <w:rsid w:val="00CE6B0B"/>
    <w:rsid w:val="00CE76F3"/>
    <w:rsid w:val="00CE7DAA"/>
    <w:rsid w:val="00CF0D0E"/>
    <w:rsid w:val="00CF1B9D"/>
    <w:rsid w:val="00CF2544"/>
    <w:rsid w:val="00CF2B0D"/>
    <w:rsid w:val="00CF351B"/>
    <w:rsid w:val="00CF3688"/>
    <w:rsid w:val="00CF4564"/>
    <w:rsid w:val="00CF4D9D"/>
    <w:rsid w:val="00CF5548"/>
    <w:rsid w:val="00CF5BAC"/>
    <w:rsid w:val="00CF5BDB"/>
    <w:rsid w:val="00CF785C"/>
    <w:rsid w:val="00CF7DA0"/>
    <w:rsid w:val="00D00C39"/>
    <w:rsid w:val="00D01464"/>
    <w:rsid w:val="00D01997"/>
    <w:rsid w:val="00D01D31"/>
    <w:rsid w:val="00D036C0"/>
    <w:rsid w:val="00D05AFC"/>
    <w:rsid w:val="00D05F80"/>
    <w:rsid w:val="00D0743B"/>
    <w:rsid w:val="00D10CDA"/>
    <w:rsid w:val="00D12321"/>
    <w:rsid w:val="00D12B71"/>
    <w:rsid w:val="00D132FB"/>
    <w:rsid w:val="00D1332D"/>
    <w:rsid w:val="00D14CC0"/>
    <w:rsid w:val="00D15BD6"/>
    <w:rsid w:val="00D16209"/>
    <w:rsid w:val="00D16E3A"/>
    <w:rsid w:val="00D205B8"/>
    <w:rsid w:val="00D20AAB"/>
    <w:rsid w:val="00D20ACB"/>
    <w:rsid w:val="00D223FD"/>
    <w:rsid w:val="00D2364C"/>
    <w:rsid w:val="00D25A55"/>
    <w:rsid w:val="00D27609"/>
    <w:rsid w:val="00D30368"/>
    <w:rsid w:val="00D31B88"/>
    <w:rsid w:val="00D32F64"/>
    <w:rsid w:val="00D33B82"/>
    <w:rsid w:val="00D34626"/>
    <w:rsid w:val="00D349D8"/>
    <w:rsid w:val="00D36904"/>
    <w:rsid w:val="00D37149"/>
    <w:rsid w:val="00D3757F"/>
    <w:rsid w:val="00D40B87"/>
    <w:rsid w:val="00D4167F"/>
    <w:rsid w:val="00D4257A"/>
    <w:rsid w:val="00D42A3B"/>
    <w:rsid w:val="00D43ABB"/>
    <w:rsid w:val="00D45C94"/>
    <w:rsid w:val="00D508C7"/>
    <w:rsid w:val="00D520DF"/>
    <w:rsid w:val="00D53B6A"/>
    <w:rsid w:val="00D5505A"/>
    <w:rsid w:val="00D5553F"/>
    <w:rsid w:val="00D55CBC"/>
    <w:rsid w:val="00D568F5"/>
    <w:rsid w:val="00D56BDD"/>
    <w:rsid w:val="00D629CD"/>
    <w:rsid w:val="00D633FF"/>
    <w:rsid w:val="00D63625"/>
    <w:rsid w:val="00D63831"/>
    <w:rsid w:val="00D64080"/>
    <w:rsid w:val="00D64A38"/>
    <w:rsid w:val="00D66A6E"/>
    <w:rsid w:val="00D67018"/>
    <w:rsid w:val="00D67A41"/>
    <w:rsid w:val="00D70A52"/>
    <w:rsid w:val="00D70E2B"/>
    <w:rsid w:val="00D727C4"/>
    <w:rsid w:val="00D73BDB"/>
    <w:rsid w:val="00D75537"/>
    <w:rsid w:val="00D75BC6"/>
    <w:rsid w:val="00D7606D"/>
    <w:rsid w:val="00D760C5"/>
    <w:rsid w:val="00D763EB"/>
    <w:rsid w:val="00D76499"/>
    <w:rsid w:val="00D77861"/>
    <w:rsid w:val="00D77B6A"/>
    <w:rsid w:val="00D81868"/>
    <w:rsid w:val="00D81C8B"/>
    <w:rsid w:val="00D8277A"/>
    <w:rsid w:val="00D84BBC"/>
    <w:rsid w:val="00D856B8"/>
    <w:rsid w:val="00D85BB2"/>
    <w:rsid w:val="00D861B5"/>
    <w:rsid w:val="00D865B1"/>
    <w:rsid w:val="00D8745F"/>
    <w:rsid w:val="00D87AD7"/>
    <w:rsid w:val="00D91511"/>
    <w:rsid w:val="00D91573"/>
    <w:rsid w:val="00D93BD3"/>
    <w:rsid w:val="00D94E98"/>
    <w:rsid w:val="00D95E69"/>
    <w:rsid w:val="00D965C8"/>
    <w:rsid w:val="00D968AB"/>
    <w:rsid w:val="00D96919"/>
    <w:rsid w:val="00D9789E"/>
    <w:rsid w:val="00D97D5C"/>
    <w:rsid w:val="00D97EDC"/>
    <w:rsid w:val="00DA0573"/>
    <w:rsid w:val="00DA0D2C"/>
    <w:rsid w:val="00DA142F"/>
    <w:rsid w:val="00DA38E8"/>
    <w:rsid w:val="00DA4605"/>
    <w:rsid w:val="00DA543D"/>
    <w:rsid w:val="00DA5C58"/>
    <w:rsid w:val="00DB0B40"/>
    <w:rsid w:val="00DB0D1C"/>
    <w:rsid w:val="00DB23DD"/>
    <w:rsid w:val="00DB4F43"/>
    <w:rsid w:val="00DB51FE"/>
    <w:rsid w:val="00DB59CB"/>
    <w:rsid w:val="00DC0CDE"/>
    <w:rsid w:val="00DC0EF8"/>
    <w:rsid w:val="00DC1400"/>
    <w:rsid w:val="00DC2386"/>
    <w:rsid w:val="00DC2C83"/>
    <w:rsid w:val="00DC55C9"/>
    <w:rsid w:val="00DC5D29"/>
    <w:rsid w:val="00DC66FA"/>
    <w:rsid w:val="00DC6943"/>
    <w:rsid w:val="00DD01C7"/>
    <w:rsid w:val="00DD1D7F"/>
    <w:rsid w:val="00DD1EE9"/>
    <w:rsid w:val="00DD2A03"/>
    <w:rsid w:val="00DD2BBF"/>
    <w:rsid w:val="00DD322D"/>
    <w:rsid w:val="00DD3FCC"/>
    <w:rsid w:val="00DD4ED3"/>
    <w:rsid w:val="00DD5CFD"/>
    <w:rsid w:val="00DD5D6E"/>
    <w:rsid w:val="00DD6E4E"/>
    <w:rsid w:val="00DE0467"/>
    <w:rsid w:val="00DE10E6"/>
    <w:rsid w:val="00DE27BE"/>
    <w:rsid w:val="00DE4269"/>
    <w:rsid w:val="00DE5807"/>
    <w:rsid w:val="00DE5E54"/>
    <w:rsid w:val="00DE67B0"/>
    <w:rsid w:val="00DE7642"/>
    <w:rsid w:val="00DF07F0"/>
    <w:rsid w:val="00DF0F47"/>
    <w:rsid w:val="00DF1188"/>
    <w:rsid w:val="00DF1E25"/>
    <w:rsid w:val="00DF2389"/>
    <w:rsid w:val="00DF29F5"/>
    <w:rsid w:val="00DF3CD3"/>
    <w:rsid w:val="00DF49BA"/>
    <w:rsid w:val="00DF4AC5"/>
    <w:rsid w:val="00DF4FF6"/>
    <w:rsid w:val="00DF619D"/>
    <w:rsid w:val="00DF6909"/>
    <w:rsid w:val="00DF736B"/>
    <w:rsid w:val="00DF7693"/>
    <w:rsid w:val="00E004F3"/>
    <w:rsid w:val="00E0152D"/>
    <w:rsid w:val="00E02D37"/>
    <w:rsid w:val="00E02F57"/>
    <w:rsid w:val="00E043AE"/>
    <w:rsid w:val="00E04C32"/>
    <w:rsid w:val="00E04E46"/>
    <w:rsid w:val="00E060D1"/>
    <w:rsid w:val="00E0624D"/>
    <w:rsid w:val="00E10397"/>
    <w:rsid w:val="00E115AF"/>
    <w:rsid w:val="00E11FD5"/>
    <w:rsid w:val="00E12028"/>
    <w:rsid w:val="00E12CFF"/>
    <w:rsid w:val="00E13544"/>
    <w:rsid w:val="00E136C1"/>
    <w:rsid w:val="00E13E23"/>
    <w:rsid w:val="00E14493"/>
    <w:rsid w:val="00E15391"/>
    <w:rsid w:val="00E1629B"/>
    <w:rsid w:val="00E17010"/>
    <w:rsid w:val="00E17330"/>
    <w:rsid w:val="00E1742A"/>
    <w:rsid w:val="00E21722"/>
    <w:rsid w:val="00E21B98"/>
    <w:rsid w:val="00E239CE"/>
    <w:rsid w:val="00E2544B"/>
    <w:rsid w:val="00E2649A"/>
    <w:rsid w:val="00E26BFA"/>
    <w:rsid w:val="00E302E6"/>
    <w:rsid w:val="00E30A70"/>
    <w:rsid w:val="00E31448"/>
    <w:rsid w:val="00E31F90"/>
    <w:rsid w:val="00E32046"/>
    <w:rsid w:val="00E321D3"/>
    <w:rsid w:val="00E327D7"/>
    <w:rsid w:val="00E335FF"/>
    <w:rsid w:val="00E337BA"/>
    <w:rsid w:val="00E3382E"/>
    <w:rsid w:val="00E35D1D"/>
    <w:rsid w:val="00E436F5"/>
    <w:rsid w:val="00E43967"/>
    <w:rsid w:val="00E44330"/>
    <w:rsid w:val="00E4438C"/>
    <w:rsid w:val="00E448E0"/>
    <w:rsid w:val="00E457F3"/>
    <w:rsid w:val="00E458EC"/>
    <w:rsid w:val="00E46855"/>
    <w:rsid w:val="00E47533"/>
    <w:rsid w:val="00E47B24"/>
    <w:rsid w:val="00E5080B"/>
    <w:rsid w:val="00E52180"/>
    <w:rsid w:val="00E528AA"/>
    <w:rsid w:val="00E55886"/>
    <w:rsid w:val="00E57517"/>
    <w:rsid w:val="00E60CB6"/>
    <w:rsid w:val="00E60F82"/>
    <w:rsid w:val="00E63F53"/>
    <w:rsid w:val="00E701A9"/>
    <w:rsid w:val="00E70245"/>
    <w:rsid w:val="00E74677"/>
    <w:rsid w:val="00E74F1F"/>
    <w:rsid w:val="00E779E1"/>
    <w:rsid w:val="00E77C58"/>
    <w:rsid w:val="00E81140"/>
    <w:rsid w:val="00E81D59"/>
    <w:rsid w:val="00E82202"/>
    <w:rsid w:val="00E8411A"/>
    <w:rsid w:val="00E849ED"/>
    <w:rsid w:val="00E85C6B"/>
    <w:rsid w:val="00E860F1"/>
    <w:rsid w:val="00E86D21"/>
    <w:rsid w:val="00E9051F"/>
    <w:rsid w:val="00E9059F"/>
    <w:rsid w:val="00E9093C"/>
    <w:rsid w:val="00E93479"/>
    <w:rsid w:val="00E9352E"/>
    <w:rsid w:val="00E9430A"/>
    <w:rsid w:val="00E943F8"/>
    <w:rsid w:val="00E95095"/>
    <w:rsid w:val="00E95609"/>
    <w:rsid w:val="00E960A9"/>
    <w:rsid w:val="00E963BC"/>
    <w:rsid w:val="00E967FB"/>
    <w:rsid w:val="00E973D8"/>
    <w:rsid w:val="00E97C9B"/>
    <w:rsid w:val="00EA1670"/>
    <w:rsid w:val="00EA1E60"/>
    <w:rsid w:val="00EA287B"/>
    <w:rsid w:val="00EA2D53"/>
    <w:rsid w:val="00EA37B9"/>
    <w:rsid w:val="00EA3954"/>
    <w:rsid w:val="00EA3AA1"/>
    <w:rsid w:val="00EA3DA9"/>
    <w:rsid w:val="00EA3F6C"/>
    <w:rsid w:val="00EA4AAF"/>
    <w:rsid w:val="00EA4F69"/>
    <w:rsid w:val="00EA5660"/>
    <w:rsid w:val="00EA5EF0"/>
    <w:rsid w:val="00EA6ACD"/>
    <w:rsid w:val="00EA767C"/>
    <w:rsid w:val="00EB0346"/>
    <w:rsid w:val="00EB07F9"/>
    <w:rsid w:val="00EB2D4F"/>
    <w:rsid w:val="00EB372A"/>
    <w:rsid w:val="00EB3F46"/>
    <w:rsid w:val="00EB4372"/>
    <w:rsid w:val="00EB44D7"/>
    <w:rsid w:val="00EB44EB"/>
    <w:rsid w:val="00EB62ED"/>
    <w:rsid w:val="00EB791E"/>
    <w:rsid w:val="00EB7E71"/>
    <w:rsid w:val="00EC037D"/>
    <w:rsid w:val="00EC0938"/>
    <w:rsid w:val="00EC0AF3"/>
    <w:rsid w:val="00EC14FA"/>
    <w:rsid w:val="00EC52D3"/>
    <w:rsid w:val="00EC6045"/>
    <w:rsid w:val="00EC620E"/>
    <w:rsid w:val="00ED1B4D"/>
    <w:rsid w:val="00ED1F03"/>
    <w:rsid w:val="00ED26A6"/>
    <w:rsid w:val="00ED33A1"/>
    <w:rsid w:val="00ED6407"/>
    <w:rsid w:val="00ED72AF"/>
    <w:rsid w:val="00ED7FC7"/>
    <w:rsid w:val="00EE0965"/>
    <w:rsid w:val="00EE0ABE"/>
    <w:rsid w:val="00EE172C"/>
    <w:rsid w:val="00EE1D2C"/>
    <w:rsid w:val="00EE2BCD"/>
    <w:rsid w:val="00EE2F0A"/>
    <w:rsid w:val="00EE2FAF"/>
    <w:rsid w:val="00EE34E2"/>
    <w:rsid w:val="00EE45C6"/>
    <w:rsid w:val="00EE6749"/>
    <w:rsid w:val="00EE7032"/>
    <w:rsid w:val="00EE76B8"/>
    <w:rsid w:val="00EE78A6"/>
    <w:rsid w:val="00EE7E6E"/>
    <w:rsid w:val="00EE7F5B"/>
    <w:rsid w:val="00EF1A55"/>
    <w:rsid w:val="00EF3347"/>
    <w:rsid w:val="00EF3C79"/>
    <w:rsid w:val="00EF40AC"/>
    <w:rsid w:val="00EF476A"/>
    <w:rsid w:val="00EF77E3"/>
    <w:rsid w:val="00F009DF"/>
    <w:rsid w:val="00F00AA3"/>
    <w:rsid w:val="00F0639A"/>
    <w:rsid w:val="00F07AAA"/>
    <w:rsid w:val="00F109D4"/>
    <w:rsid w:val="00F11313"/>
    <w:rsid w:val="00F11DA4"/>
    <w:rsid w:val="00F120FC"/>
    <w:rsid w:val="00F125E3"/>
    <w:rsid w:val="00F146A6"/>
    <w:rsid w:val="00F14AD7"/>
    <w:rsid w:val="00F15975"/>
    <w:rsid w:val="00F17501"/>
    <w:rsid w:val="00F211E3"/>
    <w:rsid w:val="00F2134D"/>
    <w:rsid w:val="00F21A27"/>
    <w:rsid w:val="00F21CB0"/>
    <w:rsid w:val="00F22382"/>
    <w:rsid w:val="00F23459"/>
    <w:rsid w:val="00F23CC0"/>
    <w:rsid w:val="00F2411A"/>
    <w:rsid w:val="00F24791"/>
    <w:rsid w:val="00F251D1"/>
    <w:rsid w:val="00F2572B"/>
    <w:rsid w:val="00F272AB"/>
    <w:rsid w:val="00F30E57"/>
    <w:rsid w:val="00F30E9A"/>
    <w:rsid w:val="00F32E7F"/>
    <w:rsid w:val="00F33C6D"/>
    <w:rsid w:val="00F347DC"/>
    <w:rsid w:val="00F35972"/>
    <w:rsid w:val="00F35F02"/>
    <w:rsid w:val="00F36655"/>
    <w:rsid w:val="00F36DD8"/>
    <w:rsid w:val="00F37449"/>
    <w:rsid w:val="00F417B5"/>
    <w:rsid w:val="00F41D5A"/>
    <w:rsid w:val="00F41E25"/>
    <w:rsid w:val="00F42688"/>
    <w:rsid w:val="00F42803"/>
    <w:rsid w:val="00F44835"/>
    <w:rsid w:val="00F46BBD"/>
    <w:rsid w:val="00F471B9"/>
    <w:rsid w:val="00F47564"/>
    <w:rsid w:val="00F50673"/>
    <w:rsid w:val="00F51909"/>
    <w:rsid w:val="00F51ADD"/>
    <w:rsid w:val="00F51E7B"/>
    <w:rsid w:val="00F51EEE"/>
    <w:rsid w:val="00F51F77"/>
    <w:rsid w:val="00F521C6"/>
    <w:rsid w:val="00F53C93"/>
    <w:rsid w:val="00F55A7A"/>
    <w:rsid w:val="00F55ECB"/>
    <w:rsid w:val="00F60BB3"/>
    <w:rsid w:val="00F61943"/>
    <w:rsid w:val="00F62BE8"/>
    <w:rsid w:val="00F63C71"/>
    <w:rsid w:val="00F640E4"/>
    <w:rsid w:val="00F64C57"/>
    <w:rsid w:val="00F651E1"/>
    <w:rsid w:val="00F6625F"/>
    <w:rsid w:val="00F66832"/>
    <w:rsid w:val="00F706B7"/>
    <w:rsid w:val="00F70DB1"/>
    <w:rsid w:val="00F71364"/>
    <w:rsid w:val="00F71F27"/>
    <w:rsid w:val="00F72904"/>
    <w:rsid w:val="00F7300E"/>
    <w:rsid w:val="00F7681C"/>
    <w:rsid w:val="00F77C79"/>
    <w:rsid w:val="00F802AC"/>
    <w:rsid w:val="00F81BE7"/>
    <w:rsid w:val="00F8313D"/>
    <w:rsid w:val="00F832A1"/>
    <w:rsid w:val="00F83332"/>
    <w:rsid w:val="00F847DF"/>
    <w:rsid w:val="00F84803"/>
    <w:rsid w:val="00F85F1F"/>
    <w:rsid w:val="00F85FD2"/>
    <w:rsid w:val="00F86FC4"/>
    <w:rsid w:val="00F87C1E"/>
    <w:rsid w:val="00F90469"/>
    <w:rsid w:val="00F90995"/>
    <w:rsid w:val="00F90D84"/>
    <w:rsid w:val="00F9136F"/>
    <w:rsid w:val="00F921B4"/>
    <w:rsid w:val="00F92DE2"/>
    <w:rsid w:val="00F93706"/>
    <w:rsid w:val="00F94521"/>
    <w:rsid w:val="00F97333"/>
    <w:rsid w:val="00FA05D6"/>
    <w:rsid w:val="00FA19C4"/>
    <w:rsid w:val="00FA25AC"/>
    <w:rsid w:val="00FA4366"/>
    <w:rsid w:val="00FA4FCA"/>
    <w:rsid w:val="00FA5298"/>
    <w:rsid w:val="00FA54EC"/>
    <w:rsid w:val="00FA5BC0"/>
    <w:rsid w:val="00FB1CE7"/>
    <w:rsid w:val="00FB2F8B"/>
    <w:rsid w:val="00FB3FDB"/>
    <w:rsid w:val="00FB4B9D"/>
    <w:rsid w:val="00FB5F79"/>
    <w:rsid w:val="00FC08FD"/>
    <w:rsid w:val="00FC0DF2"/>
    <w:rsid w:val="00FC122D"/>
    <w:rsid w:val="00FC20DF"/>
    <w:rsid w:val="00FC21B2"/>
    <w:rsid w:val="00FC2EEC"/>
    <w:rsid w:val="00FC36B4"/>
    <w:rsid w:val="00FC45F5"/>
    <w:rsid w:val="00FC6407"/>
    <w:rsid w:val="00FC6BB9"/>
    <w:rsid w:val="00FC6CFA"/>
    <w:rsid w:val="00FC723E"/>
    <w:rsid w:val="00FD0E0B"/>
    <w:rsid w:val="00FD1DA2"/>
    <w:rsid w:val="00FD28A5"/>
    <w:rsid w:val="00FD4A64"/>
    <w:rsid w:val="00FD51AF"/>
    <w:rsid w:val="00FD5A2D"/>
    <w:rsid w:val="00FD63A1"/>
    <w:rsid w:val="00FD6C51"/>
    <w:rsid w:val="00FD6FDF"/>
    <w:rsid w:val="00FD78B5"/>
    <w:rsid w:val="00FE1B42"/>
    <w:rsid w:val="00FE46C1"/>
    <w:rsid w:val="00FE46EE"/>
    <w:rsid w:val="00FE5C24"/>
    <w:rsid w:val="00FE6F03"/>
    <w:rsid w:val="00FE795E"/>
    <w:rsid w:val="00FE7FFC"/>
    <w:rsid w:val="00FF1057"/>
    <w:rsid w:val="00FF12EB"/>
    <w:rsid w:val="00FF133C"/>
    <w:rsid w:val="00FF1B6F"/>
    <w:rsid w:val="00FF2D16"/>
    <w:rsid w:val="00FF3705"/>
    <w:rsid w:val="00FF429C"/>
    <w:rsid w:val="00FF47A0"/>
    <w:rsid w:val="00FF49A7"/>
    <w:rsid w:val="00FF52E5"/>
    <w:rsid w:val="00FF5BD4"/>
    <w:rsid w:val="00FF7E17"/>
    <w:rsid w:val="023217AA"/>
    <w:rsid w:val="04DFF739"/>
    <w:rsid w:val="06CCA553"/>
    <w:rsid w:val="06F52DF2"/>
    <w:rsid w:val="0B352FD1"/>
    <w:rsid w:val="0C325E19"/>
    <w:rsid w:val="0D97388A"/>
    <w:rsid w:val="0DEC8713"/>
    <w:rsid w:val="1276D48C"/>
    <w:rsid w:val="12FD5163"/>
    <w:rsid w:val="17A4414E"/>
    <w:rsid w:val="17BB58F2"/>
    <w:rsid w:val="19E33442"/>
    <w:rsid w:val="1BAD3072"/>
    <w:rsid w:val="1C82744D"/>
    <w:rsid w:val="1E85799A"/>
    <w:rsid w:val="1F0DC07E"/>
    <w:rsid w:val="21BABFBD"/>
    <w:rsid w:val="273B8246"/>
    <w:rsid w:val="2A03D083"/>
    <w:rsid w:val="2A6477E7"/>
    <w:rsid w:val="2AF6B852"/>
    <w:rsid w:val="2BB1B0DE"/>
    <w:rsid w:val="2CF0B6BB"/>
    <w:rsid w:val="31552BA2"/>
    <w:rsid w:val="368C9AC1"/>
    <w:rsid w:val="37B40779"/>
    <w:rsid w:val="3847ACEF"/>
    <w:rsid w:val="384F8B34"/>
    <w:rsid w:val="38DD4F22"/>
    <w:rsid w:val="398E6DFE"/>
    <w:rsid w:val="3EC3825E"/>
    <w:rsid w:val="40F693C8"/>
    <w:rsid w:val="4124534F"/>
    <w:rsid w:val="41A69072"/>
    <w:rsid w:val="42C673BC"/>
    <w:rsid w:val="452C96D8"/>
    <w:rsid w:val="45B976B9"/>
    <w:rsid w:val="4828827D"/>
    <w:rsid w:val="48CE9A6C"/>
    <w:rsid w:val="4A5AD94F"/>
    <w:rsid w:val="51966AE6"/>
    <w:rsid w:val="52991DAB"/>
    <w:rsid w:val="563DD269"/>
    <w:rsid w:val="571943F9"/>
    <w:rsid w:val="57C5720B"/>
    <w:rsid w:val="5B82C6A3"/>
    <w:rsid w:val="5D4DD6FE"/>
    <w:rsid w:val="5D90B6E9"/>
    <w:rsid w:val="5DA7910B"/>
    <w:rsid w:val="5DD9FFC3"/>
    <w:rsid w:val="5ED1EE13"/>
    <w:rsid w:val="5F75D024"/>
    <w:rsid w:val="5F88B4BA"/>
    <w:rsid w:val="5FEBCEA4"/>
    <w:rsid w:val="61F6B876"/>
    <w:rsid w:val="6224F54B"/>
    <w:rsid w:val="62541DD9"/>
    <w:rsid w:val="625D18DF"/>
    <w:rsid w:val="684D68F6"/>
    <w:rsid w:val="6897CD64"/>
    <w:rsid w:val="6EA19170"/>
    <w:rsid w:val="72028039"/>
    <w:rsid w:val="775E8EF6"/>
    <w:rsid w:val="7C18AA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19CDA"/>
  <w15:docId w15:val="{6F01413A-7770-43D2-90D9-1C5FDE4D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6">
    <w:name w:val="heading 6"/>
    <w:basedOn w:val="Normal"/>
    <w:next w:val="Normal"/>
    <w:link w:val="Heading6Char"/>
    <w:uiPriority w:val="9"/>
    <w:semiHidden/>
    <w:unhideWhenUsed/>
    <w:qFormat/>
    <w:rsid w:val="0016437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unhideWhenUsed/>
    <w:rsid w:val="005F76E3"/>
    <w:rPr>
      <w:sz w:val="16"/>
      <w:szCs w:val="16"/>
    </w:rPr>
  </w:style>
  <w:style w:type="paragraph" w:styleId="CommentText">
    <w:name w:val="annotation text"/>
    <w:basedOn w:val="Normal"/>
    <w:link w:val="CommentTextChar"/>
    <w:uiPriority w:val="99"/>
    <w:unhideWhenUsed/>
    <w:rsid w:val="005F76E3"/>
    <w:rPr>
      <w:sz w:val="20"/>
    </w:rPr>
  </w:style>
  <w:style w:type="character" w:customStyle="1" w:styleId="CommentTextChar">
    <w:name w:val="Comment Text Char"/>
    <w:basedOn w:val="DefaultParagraphFont"/>
    <w:link w:val="CommentText"/>
    <w:uiPriority w:val="99"/>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3"/>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3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0C6869"/>
    <w:pPr>
      <w:numPr>
        <w:numId w:val="5"/>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0C6869"/>
    <w:pPr>
      <w:numPr>
        <w:ilvl w:val="1"/>
        <w:numId w:val="5"/>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0C6869"/>
    <w:pPr>
      <w:numPr>
        <w:ilvl w:val="2"/>
        <w:numId w:val="5"/>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0C6869"/>
    <w:pPr>
      <w:numPr>
        <w:ilvl w:val="3"/>
        <w:numId w:val="5"/>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0C6869"/>
    <w:pPr>
      <w:numPr>
        <w:ilvl w:val="4"/>
        <w:numId w:val="5"/>
      </w:numPr>
      <w:spacing w:before="0" w:after="200" w:line="276" w:lineRule="auto"/>
    </w:pPr>
    <w:rPr>
      <w:rFonts w:ascii="Arial" w:eastAsia="Calibri" w:hAnsi="Arial"/>
      <w:sz w:val="22"/>
      <w:szCs w:val="22"/>
      <w:lang w:eastAsia="en-US"/>
    </w:rPr>
  </w:style>
  <w:style w:type="character" w:customStyle="1" w:styleId="Heading6Char">
    <w:name w:val="Heading 6 Char"/>
    <w:basedOn w:val="DefaultParagraphFont"/>
    <w:link w:val="Heading6"/>
    <w:uiPriority w:val="9"/>
    <w:semiHidden/>
    <w:rsid w:val="0016437F"/>
    <w:rPr>
      <w:rFonts w:asciiTheme="majorHAnsi" w:eastAsiaTheme="majorEastAsia" w:hAnsiTheme="majorHAnsi" w:cstheme="majorBidi"/>
      <w:color w:val="243F60" w:themeColor="accent1" w:themeShade="7F"/>
      <w:sz w:val="24"/>
    </w:rPr>
  </w:style>
  <w:style w:type="paragraph" w:customStyle="1" w:styleId="Normal1">
    <w:name w:val="Normal1"/>
    <w:basedOn w:val="Normal"/>
    <w:link w:val="NormalChar"/>
    <w:qFormat/>
    <w:rsid w:val="00663792"/>
    <w:pPr>
      <w:spacing w:before="240" w:after="0" w:line="312" w:lineRule="auto"/>
    </w:pPr>
    <w:rPr>
      <w:sz w:val="22"/>
      <w:lang w:eastAsia="en-US"/>
    </w:rPr>
  </w:style>
  <w:style w:type="character" w:customStyle="1" w:styleId="NormalChar">
    <w:name w:val="Normal Char"/>
    <w:link w:val="Normal1"/>
    <w:rsid w:val="00663792"/>
    <w:rPr>
      <w:sz w:val="22"/>
      <w:lang w:eastAsia="en-US"/>
    </w:rPr>
  </w:style>
  <w:style w:type="paragraph" w:styleId="Footer">
    <w:name w:val="footer"/>
    <w:basedOn w:val="Normal"/>
    <w:link w:val="FooterChar"/>
    <w:uiPriority w:val="99"/>
    <w:unhideWhenUsed/>
    <w:rsid w:val="0088560C"/>
    <w:pPr>
      <w:tabs>
        <w:tab w:val="center" w:pos="4513"/>
        <w:tab w:val="right" w:pos="9026"/>
      </w:tabs>
      <w:spacing w:before="0" w:after="0"/>
    </w:pPr>
    <w:rPr>
      <w:rFonts w:ascii="Arial" w:eastAsia="Calibri" w:hAnsi="Arial"/>
      <w:sz w:val="22"/>
      <w:szCs w:val="22"/>
      <w:lang w:eastAsia="en-US"/>
    </w:rPr>
  </w:style>
  <w:style w:type="character" w:customStyle="1" w:styleId="FooterChar">
    <w:name w:val="Footer Char"/>
    <w:basedOn w:val="DefaultParagraphFont"/>
    <w:link w:val="Footer"/>
    <w:uiPriority w:val="99"/>
    <w:rsid w:val="0088560C"/>
    <w:rPr>
      <w:rFonts w:ascii="Arial" w:eastAsia="Calibri" w:hAnsi="Arial"/>
      <w:sz w:val="22"/>
      <w:szCs w:val="22"/>
      <w:lang w:eastAsia="en-US"/>
    </w:rPr>
  </w:style>
  <w:style w:type="character" w:customStyle="1" w:styleId="CharSectno">
    <w:name w:val="CharSectno"/>
    <w:basedOn w:val="DefaultParagraphFont"/>
    <w:qFormat/>
    <w:rsid w:val="0088560C"/>
  </w:style>
  <w:style w:type="character" w:customStyle="1" w:styleId="CharDivNo">
    <w:name w:val="CharDivNo"/>
    <w:basedOn w:val="DefaultParagraphFont"/>
    <w:qFormat/>
    <w:rsid w:val="00C15EDB"/>
  </w:style>
  <w:style w:type="paragraph" w:customStyle="1" w:styleId="Tabletext">
    <w:name w:val="Tabletext"/>
    <w:aliases w:val="tt"/>
    <w:basedOn w:val="Normal"/>
    <w:rsid w:val="00EA1670"/>
    <w:pPr>
      <w:spacing w:before="60" w:after="0" w:line="240" w:lineRule="atLeast"/>
    </w:pPr>
    <w:rPr>
      <w:sz w:val="20"/>
    </w:rPr>
  </w:style>
  <w:style w:type="paragraph" w:customStyle="1" w:styleId="TableHeading">
    <w:name w:val="TableHeading"/>
    <w:aliases w:val="th"/>
    <w:basedOn w:val="Normal"/>
    <w:next w:val="Tabletext"/>
    <w:rsid w:val="00EA1670"/>
    <w:pPr>
      <w:keepNext/>
      <w:spacing w:before="60" w:after="0" w:line="240" w:lineRule="atLeast"/>
    </w:pPr>
    <w:rPr>
      <w:b/>
      <w:sz w:val="20"/>
    </w:rPr>
  </w:style>
  <w:style w:type="character" w:customStyle="1" w:styleId="CharSubdNo">
    <w:name w:val="CharSubdNo"/>
    <w:basedOn w:val="DefaultParagraphFont"/>
    <w:uiPriority w:val="1"/>
    <w:qFormat/>
    <w:rsid w:val="00F51ADD"/>
  </w:style>
  <w:style w:type="character" w:customStyle="1" w:styleId="CharDivText">
    <w:name w:val="CharDivText"/>
    <w:basedOn w:val="DefaultParagraphFont"/>
    <w:qFormat/>
    <w:rsid w:val="00F51ADD"/>
  </w:style>
  <w:style w:type="paragraph" w:styleId="Header">
    <w:name w:val="header"/>
    <w:basedOn w:val="Normal"/>
    <w:link w:val="HeaderChar"/>
    <w:uiPriority w:val="99"/>
    <w:semiHidden/>
    <w:unhideWhenUsed/>
    <w:rsid w:val="00006FA6"/>
    <w:pPr>
      <w:tabs>
        <w:tab w:val="center" w:pos="4513"/>
        <w:tab w:val="right" w:pos="9026"/>
      </w:tabs>
      <w:spacing w:before="0" w:after="0"/>
    </w:pPr>
  </w:style>
  <w:style w:type="character" w:customStyle="1" w:styleId="HeaderChar">
    <w:name w:val="Header Char"/>
    <w:basedOn w:val="DefaultParagraphFont"/>
    <w:link w:val="Header"/>
    <w:uiPriority w:val="99"/>
    <w:semiHidden/>
    <w:rsid w:val="00006FA6"/>
    <w:rPr>
      <w:sz w:val="24"/>
    </w:rPr>
  </w:style>
  <w:style w:type="character" w:customStyle="1" w:styleId="CharSubdText">
    <w:name w:val="CharSubdText"/>
    <w:basedOn w:val="DefaultParagraphFont"/>
    <w:uiPriority w:val="1"/>
    <w:qFormat/>
    <w:rsid w:val="00613826"/>
  </w:style>
  <w:style w:type="paragraph" w:customStyle="1" w:styleId="sbFirstSection">
    <w:name w:val="sb_First_Section"/>
    <w:basedOn w:val="Normal"/>
    <w:qFormat/>
    <w:rsid w:val="007912BB"/>
    <w:pPr>
      <w:spacing w:before="0" w:after="0" w:line="160" w:lineRule="exact"/>
    </w:pPr>
    <w:rPr>
      <w:rFonts w:eastAsia="Calibri"/>
      <w:sz w:val="16"/>
      <w:lang w:eastAsia="en-US"/>
    </w:rPr>
  </w:style>
  <w:style w:type="paragraph" w:styleId="Revision">
    <w:name w:val="Revision"/>
    <w:hidden/>
    <w:uiPriority w:val="99"/>
    <w:semiHidden/>
    <w:rsid w:val="00C970F0"/>
    <w:rPr>
      <w:sz w:val="24"/>
    </w:rPr>
  </w:style>
  <w:style w:type="paragraph" w:customStyle="1" w:styleId="h5SchItem">
    <w:name w:val="h5_Sch_Item"/>
    <w:basedOn w:val="Normal"/>
    <w:next w:val="Normal"/>
    <w:qFormat/>
    <w:rsid w:val="007D38F7"/>
    <w:pPr>
      <w:keepNext/>
      <w:keepLines/>
      <w:spacing w:before="360" w:after="60"/>
      <w:ind w:left="964" w:hanging="964"/>
    </w:pPr>
    <w:rPr>
      <w:rFonts w:ascii="Arial" w:hAnsi="Arial" w:cs="Arial"/>
      <w:b/>
      <w:bCs/>
      <w:kern w:val="32"/>
      <w:szCs w:val="32"/>
    </w:rPr>
  </w:style>
  <w:style w:type="paragraph" w:styleId="Caption">
    <w:name w:val="caption"/>
    <w:basedOn w:val="Normal"/>
    <w:next w:val="Normal"/>
    <w:uiPriority w:val="35"/>
    <w:unhideWhenUsed/>
    <w:qFormat/>
    <w:rsid w:val="003F47E4"/>
    <w:pPr>
      <w:spacing w:before="0"/>
    </w:pPr>
    <w:rPr>
      <w:rFonts w:asciiTheme="minorHAnsi" w:eastAsiaTheme="minorHAnsi" w:hAnsiTheme="minorHAnsi" w:cstheme="minorBidi"/>
      <w:i/>
      <w:iCs/>
      <w:color w:val="1F497D" w:themeColor="text2"/>
      <w:sz w:val="22"/>
      <w:szCs w:val="18"/>
      <w:lang w:eastAsia="en-US"/>
    </w:rPr>
  </w:style>
  <w:style w:type="character" w:styleId="FollowedHyperlink">
    <w:name w:val="FollowedHyperlink"/>
    <w:basedOn w:val="DefaultParagraphFont"/>
    <w:uiPriority w:val="99"/>
    <w:semiHidden/>
    <w:unhideWhenUsed/>
    <w:rsid w:val="007A5F44"/>
    <w:rPr>
      <w:color w:val="800080" w:themeColor="followedHyperlink"/>
      <w:u w:val="single"/>
    </w:rPr>
  </w:style>
  <w:style w:type="paragraph" w:customStyle="1" w:styleId="definition">
    <w:name w:val="definition"/>
    <w:basedOn w:val="Normal"/>
    <w:rsid w:val="00A02B59"/>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197180"/>
    <w:rPr>
      <w:color w:val="605E5C"/>
      <w:shd w:val="clear" w:color="auto" w:fill="E1DFDD"/>
    </w:rPr>
  </w:style>
  <w:style w:type="paragraph" w:customStyle="1" w:styleId="TableText0">
    <w:name w:val="Table Text"/>
    <w:basedOn w:val="Normal"/>
    <w:uiPriority w:val="13"/>
    <w:qFormat/>
    <w:rsid w:val="00A6325F"/>
    <w:pPr>
      <w:spacing w:before="60" w:after="60"/>
    </w:pPr>
    <w:rPr>
      <w:rFonts w:asciiTheme="minorHAnsi" w:eastAsiaTheme="minorHAnsi" w:hAnsiTheme="minorHAnsi" w:cstheme="minorBidi"/>
      <w:sz w:val="18"/>
      <w:szCs w:val="22"/>
      <w:lang w:eastAsia="en-US"/>
    </w:rPr>
  </w:style>
  <w:style w:type="character" w:customStyle="1" w:styleId="normaltextrun">
    <w:name w:val="normaltextrun"/>
    <w:basedOn w:val="DefaultParagraphFont"/>
    <w:rsid w:val="00C81EBC"/>
  </w:style>
  <w:style w:type="character" w:customStyle="1" w:styleId="eop">
    <w:name w:val="eop"/>
    <w:basedOn w:val="DefaultParagraphFont"/>
    <w:rsid w:val="00C81EBC"/>
  </w:style>
  <w:style w:type="character" w:styleId="Mention">
    <w:name w:val="Mention"/>
    <w:basedOn w:val="DefaultParagraphFont"/>
    <w:uiPriority w:val="99"/>
    <w:unhideWhenUsed/>
    <w:rsid w:val="00CD69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6119">
      <w:bodyDiv w:val="1"/>
      <w:marLeft w:val="0"/>
      <w:marRight w:val="0"/>
      <w:marTop w:val="0"/>
      <w:marBottom w:val="0"/>
      <w:divBdr>
        <w:top w:val="none" w:sz="0" w:space="0" w:color="auto"/>
        <w:left w:val="none" w:sz="0" w:space="0" w:color="auto"/>
        <w:bottom w:val="none" w:sz="0" w:space="0" w:color="auto"/>
        <w:right w:val="none" w:sz="0" w:space="0" w:color="auto"/>
      </w:divBdr>
    </w:div>
    <w:div w:id="356808760">
      <w:bodyDiv w:val="1"/>
      <w:marLeft w:val="0"/>
      <w:marRight w:val="0"/>
      <w:marTop w:val="0"/>
      <w:marBottom w:val="0"/>
      <w:divBdr>
        <w:top w:val="none" w:sz="0" w:space="0" w:color="auto"/>
        <w:left w:val="none" w:sz="0" w:space="0" w:color="auto"/>
        <w:bottom w:val="none" w:sz="0" w:space="0" w:color="auto"/>
        <w:right w:val="none" w:sz="0" w:space="0" w:color="auto"/>
      </w:divBdr>
    </w:div>
    <w:div w:id="428894475">
      <w:bodyDiv w:val="1"/>
      <w:marLeft w:val="0"/>
      <w:marRight w:val="0"/>
      <w:marTop w:val="0"/>
      <w:marBottom w:val="0"/>
      <w:divBdr>
        <w:top w:val="none" w:sz="0" w:space="0" w:color="auto"/>
        <w:left w:val="none" w:sz="0" w:space="0" w:color="auto"/>
        <w:bottom w:val="none" w:sz="0" w:space="0" w:color="auto"/>
        <w:right w:val="none" w:sz="0" w:space="0" w:color="auto"/>
      </w:divBdr>
    </w:div>
    <w:div w:id="487593338">
      <w:bodyDiv w:val="1"/>
      <w:marLeft w:val="0"/>
      <w:marRight w:val="0"/>
      <w:marTop w:val="0"/>
      <w:marBottom w:val="0"/>
      <w:divBdr>
        <w:top w:val="none" w:sz="0" w:space="0" w:color="auto"/>
        <w:left w:val="none" w:sz="0" w:space="0" w:color="auto"/>
        <w:bottom w:val="none" w:sz="0" w:space="0" w:color="auto"/>
        <w:right w:val="none" w:sz="0" w:space="0" w:color="auto"/>
      </w:divBdr>
    </w:div>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692726672">
      <w:bodyDiv w:val="1"/>
      <w:marLeft w:val="0"/>
      <w:marRight w:val="0"/>
      <w:marTop w:val="0"/>
      <w:marBottom w:val="0"/>
      <w:divBdr>
        <w:top w:val="none" w:sz="0" w:space="0" w:color="auto"/>
        <w:left w:val="none" w:sz="0" w:space="0" w:color="auto"/>
        <w:bottom w:val="none" w:sz="0" w:space="0" w:color="auto"/>
        <w:right w:val="none" w:sz="0" w:space="0" w:color="auto"/>
      </w:divBdr>
    </w:div>
    <w:div w:id="986863114">
      <w:bodyDiv w:val="1"/>
      <w:marLeft w:val="0"/>
      <w:marRight w:val="0"/>
      <w:marTop w:val="0"/>
      <w:marBottom w:val="0"/>
      <w:divBdr>
        <w:top w:val="none" w:sz="0" w:space="0" w:color="auto"/>
        <w:left w:val="none" w:sz="0" w:space="0" w:color="auto"/>
        <w:bottom w:val="none" w:sz="0" w:space="0" w:color="auto"/>
        <w:right w:val="none" w:sz="0" w:space="0" w:color="auto"/>
      </w:divBdr>
    </w:div>
    <w:div w:id="117384086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 w:id="1298534774">
      <w:bodyDiv w:val="1"/>
      <w:marLeft w:val="0"/>
      <w:marRight w:val="0"/>
      <w:marTop w:val="0"/>
      <w:marBottom w:val="0"/>
      <w:divBdr>
        <w:top w:val="none" w:sz="0" w:space="0" w:color="auto"/>
        <w:left w:val="none" w:sz="0" w:space="0" w:color="auto"/>
        <w:bottom w:val="none" w:sz="0" w:space="0" w:color="auto"/>
        <w:right w:val="none" w:sz="0" w:space="0" w:color="auto"/>
      </w:divBdr>
    </w:div>
    <w:div w:id="1349527239">
      <w:bodyDiv w:val="1"/>
      <w:marLeft w:val="0"/>
      <w:marRight w:val="0"/>
      <w:marTop w:val="0"/>
      <w:marBottom w:val="0"/>
      <w:divBdr>
        <w:top w:val="none" w:sz="0" w:space="0" w:color="auto"/>
        <w:left w:val="none" w:sz="0" w:space="0" w:color="auto"/>
        <w:bottom w:val="none" w:sz="0" w:space="0" w:color="auto"/>
        <w:right w:val="none" w:sz="0" w:space="0" w:color="auto"/>
      </w:divBdr>
    </w:div>
    <w:div w:id="1453162053">
      <w:bodyDiv w:val="1"/>
      <w:marLeft w:val="0"/>
      <w:marRight w:val="0"/>
      <w:marTop w:val="0"/>
      <w:marBottom w:val="0"/>
      <w:divBdr>
        <w:top w:val="none" w:sz="0" w:space="0" w:color="auto"/>
        <w:left w:val="none" w:sz="0" w:space="0" w:color="auto"/>
        <w:bottom w:val="none" w:sz="0" w:space="0" w:color="auto"/>
        <w:right w:val="none" w:sz="0" w:space="0" w:color="auto"/>
      </w:divBdr>
    </w:div>
    <w:div w:id="1639342237">
      <w:bodyDiv w:val="1"/>
      <w:marLeft w:val="0"/>
      <w:marRight w:val="0"/>
      <w:marTop w:val="0"/>
      <w:marBottom w:val="0"/>
      <w:divBdr>
        <w:top w:val="none" w:sz="0" w:space="0" w:color="auto"/>
        <w:left w:val="none" w:sz="0" w:space="0" w:color="auto"/>
        <w:bottom w:val="none" w:sz="0" w:space="0" w:color="auto"/>
        <w:right w:val="none" w:sz="0" w:space="0" w:color="auto"/>
      </w:divBdr>
    </w:div>
    <w:div w:id="171955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age.googleapis.com/files-au-climate/climate-au/p/prj25b794744762ba7f9facb/public_assets/NGER%202023%20Update%20-%20Consultation%20paper.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lt.dcceew.gov.au/2023-nger-scheme-proposed-upda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pa.vic.gov.au/about-epa/publications/78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eanenergyregulator.gov.au/NGER/National%20greenhouse%20and%20energy%20reporting%20data/Corporate%20emissions%20and%20energy%20data/corporate-emissions-and-energy-data-2021-22" TargetMode="External"/><Relationship Id="rId5" Type="http://schemas.openxmlformats.org/officeDocument/2006/relationships/numbering" Target="numbering.xml"/><Relationship Id="rId15" Type="http://schemas.openxmlformats.org/officeDocument/2006/relationships/hyperlink" Target="https://webstore.ansi.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iglob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E0A45B2CE75474187F05584F9641D9F" ma:contentTypeVersion="" ma:contentTypeDescription="PDMS Document Site Content Type" ma:contentTypeScope="" ma:versionID="13d7dd53b5b1d0fc3a76af119878f704">
  <xsd:schema xmlns:xsd="http://www.w3.org/2001/XMLSchema" xmlns:xs="http://www.w3.org/2001/XMLSchema" xmlns:p="http://schemas.microsoft.com/office/2006/metadata/properties" xmlns:ns2="B874AA47-AEED-4785-8C87-A49C148A999E" targetNamespace="http://schemas.microsoft.com/office/2006/metadata/properties" ma:root="true" ma:fieldsID="bebf1dc36444904a1e5e971a9b656422" ns2:_="">
    <xsd:import namespace="B874AA47-AEED-4785-8C87-A49C148A99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4AA47-AEED-4785-8C87-A49C148A99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874AA47-AEED-4785-8C87-A49C148A99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78D60-F9D0-4CA2-B17B-EFBCE564DE62}"/>
</file>

<file path=customXml/itemProps2.xml><?xml version="1.0" encoding="utf-8"?>
<ds:datastoreItem xmlns:ds="http://schemas.openxmlformats.org/officeDocument/2006/customXml" ds:itemID="{2216FF66-99B7-403E-A933-C5B0F12D8626}">
  <ds:schemaRefs>
    <ds:schemaRef ds:uri="http://schemas.openxmlformats.org/officeDocument/2006/bibliography"/>
  </ds:schemaRefs>
</ds:datastoreItem>
</file>

<file path=customXml/itemProps3.xml><?xml version="1.0" encoding="utf-8"?>
<ds:datastoreItem xmlns:ds="http://schemas.openxmlformats.org/officeDocument/2006/customXml" ds:itemID="{70EC9033-3E77-43CB-8AA0-E65435C01C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EDBEFE-73E6-499D-9329-D3DD4A47A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92</TotalTime>
  <Pages>15</Pages>
  <Words>4102</Words>
  <Characters>24122</Characters>
  <Application>Microsoft Office Word</Application>
  <DocSecurity>0</DocSecurity>
  <Lines>201</Lines>
  <Paragraphs>56</Paragraphs>
  <ScaleCrop>false</ScaleCrop>
  <Company>ATO</Company>
  <LinksUpToDate>false</LinksUpToDate>
  <CharactersWithSpaces>28168</CharactersWithSpaces>
  <SharedDoc>false</SharedDoc>
  <HLinks>
    <vt:vector size="36" baseType="variant">
      <vt:variant>
        <vt:i4>3932278</vt:i4>
      </vt:variant>
      <vt:variant>
        <vt:i4>15</vt:i4>
      </vt:variant>
      <vt:variant>
        <vt:i4>0</vt:i4>
      </vt:variant>
      <vt:variant>
        <vt:i4>5</vt:i4>
      </vt:variant>
      <vt:variant>
        <vt:lpwstr>https://www.epa.vic.gov.au/about-epa/publications/788-3</vt:lpwstr>
      </vt:variant>
      <vt:variant>
        <vt:lpwstr/>
      </vt:variant>
      <vt:variant>
        <vt:i4>7078002</vt:i4>
      </vt:variant>
      <vt:variant>
        <vt:i4>12</vt:i4>
      </vt:variant>
      <vt:variant>
        <vt:i4>0</vt:i4>
      </vt:variant>
      <vt:variant>
        <vt:i4>5</vt:i4>
      </vt:variant>
      <vt:variant>
        <vt:lpwstr>https://webstore.ansi.org/</vt:lpwstr>
      </vt:variant>
      <vt:variant>
        <vt:lpwstr/>
      </vt:variant>
      <vt:variant>
        <vt:i4>3014710</vt:i4>
      </vt:variant>
      <vt:variant>
        <vt:i4>9</vt:i4>
      </vt:variant>
      <vt:variant>
        <vt:i4>0</vt:i4>
      </vt:variant>
      <vt:variant>
        <vt:i4>5</vt:i4>
      </vt:variant>
      <vt:variant>
        <vt:lpwstr>https://www.saiglobal.com/</vt:lpwstr>
      </vt:variant>
      <vt:variant>
        <vt:lpwstr/>
      </vt:variant>
      <vt:variant>
        <vt:i4>1703990</vt:i4>
      </vt:variant>
      <vt:variant>
        <vt:i4>6</vt:i4>
      </vt:variant>
      <vt:variant>
        <vt:i4>0</vt:i4>
      </vt:variant>
      <vt:variant>
        <vt:i4>5</vt:i4>
      </vt:variant>
      <vt:variant>
        <vt:lpwstr>https://storage.googleapis.com/files-au-climate/climate-au/p/prj25b794744762ba7f9facb/public_assets/NGER 2023 Update - Consultation paper.pdf</vt:lpwstr>
      </vt:variant>
      <vt:variant>
        <vt:lpwstr/>
      </vt:variant>
      <vt:variant>
        <vt:i4>7012391</vt:i4>
      </vt:variant>
      <vt:variant>
        <vt:i4>3</vt:i4>
      </vt:variant>
      <vt:variant>
        <vt:i4>0</vt:i4>
      </vt:variant>
      <vt:variant>
        <vt:i4>5</vt:i4>
      </vt:variant>
      <vt:variant>
        <vt:lpwstr>https://consult.dcceew.gov.au/2023-nger-scheme-proposed-updates</vt:lpwstr>
      </vt:variant>
      <vt:variant>
        <vt:lpwstr/>
      </vt:variant>
      <vt:variant>
        <vt:i4>2883681</vt:i4>
      </vt:variant>
      <vt:variant>
        <vt:i4>0</vt:i4>
      </vt:variant>
      <vt:variant>
        <vt:i4>0</vt:i4>
      </vt:variant>
      <vt:variant>
        <vt:i4>5</vt:i4>
      </vt:variant>
      <vt:variant>
        <vt:lpwstr>https://www.cleanenergyregulator.gov.au/NGER/National greenhouse and energy reporting data/Corporate emissions and energy data/corporate-emissions-and-energy-data-2021-22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Explanatory Statement- Package 1 (UAG, Scope 2)</dc:title>
  <dc:subject/>
  <dc:creator>Kiang, Tommy</dc:creator>
  <cp:keywords/>
  <cp:lastModifiedBy>Straton, Mark</cp:lastModifiedBy>
  <cp:revision>501</cp:revision>
  <cp:lastPrinted>2014-11-12T17:54:00Z</cp:lastPrinted>
  <dcterms:created xsi:type="dcterms:W3CDTF">2022-05-25T16:07:00Z</dcterms:created>
  <dcterms:modified xsi:type="dcterms:W3CDTF">2023-06-01T07:23:00Z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0x010100266966F133664895A6EE3632470D45F500BE0A45B2CE75474187F05584F9641D9F</vt:lpwstr>
  </property>
  <property fmtid="{D5CDD505-2E9C-101B-9397-08002B2CF9AE}" pid="4" name="_dlc_DocIdItemGuid">
    <vt:lpwstr>8de186f9-cbec-4100-a06c-5656481bb452</vt:lpwstr>
  </property>
  <property fmtid="{D5CDD505-2E9C-101B-9397-08002B2CF9AE}" pid="5" name="RecordPoint_ActiveItemUniqueId">
    <vt:lpwstr>{867636ec-f8ac-488a-8482-14b18334501a}</vt:lpwstr>
  </property>
  <property fmtid="{D5CDD505-2E9C-101B-9397-08002B2CF9AE}" pid="6" name="RecordPoint_WorkflowType">
    <vt:lpwstr>ActiveSubmitStub</vt:lpwstr>
  </property>
  <property fmtid="{D5CDD505-2E9C-101B-9397-08002B2CF9AE}" pid="7" name="RecordPoint_SubmissionDate">
    <vt:lpwstr/>
  </property>
  <property fmtid="{D5CDD505-2E9C-101B-9397-08002B2CF9AE}" pid="8" name="RecordPoint_RecordNumberSubmitted">
    <vt:lpwstr>002839944</vt:lpwstr>
  </property>
  <property fmtid="{D5CDD505-2E9C-101B-9397-08002B2CF9AE}" pid="9" name="RecordPoint_ActiveItemMoved">
    <vt:lpwstr/>
  </property>
  <property fmtid="{D5CDD505-2E9C-101B-9397-08002B2CF9AE}" pid="10" name="RecordPoint_SubmissionCompleted">
    <vt:lpwstr>2019-06-04T06:26:22.1173898+10:00</vt:lpwstr>
  </property>
  <property fmtid="{D5CDD505-2E9C-101B-9397-08002B2CF9AE}" pid="11" name="RecordPoint_RecordFormat">
    <vt:lpwstr/>
  </property>
  <property fmtid="{D5CDD505-2E9C-101B-9397-08002B2CF9AE}" pid="12" name="RecordPoint_ActiveItemWebId">
    <vt:lpwstr>{2059673b-20f6-40c5-8fb8-ce838aef26a0}</vt:lpwstr>
  </property>
  <property fmtid="{D5CDD505-2E9C-101B-9397-08002B2CF9AE}" pid="13" name="RecordPoint_ActiveItemSiteId">
    <vt:lpwstr>{22ddc83e-3d55-4f4b-84b0-b8f29513b89f}</vt:lpwstr>
  </property>
  <property fmtid="{D5CDD505-2E9C-101B-9397-08002B2CF9AE}" pid="14" name="RecordPoint_ActiveItemListId">
    <vt:lpwstr>{e6c83a4c-6c4c-4890-af15-8d1f7414f297}</vt:lpwstr>
  </property>
  <property fmtid="{D5CDD505-2E9C-101B-9397-08002B2CF9AE}" pid="15" name="IconOverlay">
    <vt:lpwstr/>
  </property>
  <property fmtid="{D5CDD505-2E9C-101B-9397-08002B2CF9AE}" pid="16" name="ObjectiveRef">
    <vt:lpwstr>Removed</vt:lpwstr>
  </property>
  <property fmtid="{D5CDD505-2E9C-101B-9397-08002B2CF9AE}" pid="17" name="LeadingLawyers">
    <vt:lpwstr>Removed</vt:lpwstr>
  </property>
  <property fmtid="{D5CDD505-2E9C-101B-9397-08002B2CF9AE}" pid="18" name="DocHub_Year">
    <vt:lpwstr/>
  </property>
  <property fmtid="{D5CDD505-2E9C-101B-9397-08002B2CF9AE}" pid="19" name="DocHub_DocumentType">
    <vt:lpwstr>183;#Legislative Instrument|edbe159b-95f5-40e7-bf23-9dfb62f2e7f0</vt:lpwstr>
  </property>
  <property fmtid="{D5CDD505-2E9C-101B-9397-08002B2CF9AE}" pid="20" name="DocHub_SecurityClassification">
    <vt:lpwstr>26;#For Official Use Only|11f6fb0b-52ce-4109-8f7f-521b2a62f692</vt:lpwstr>
  </property>
  <property fmtid="{D5CDD505-2E9C-101B-9397-08002B2CF9AE}" pid="21" name="DocHub_WorkActivity">
    <vt:lpwstr/>
  </property>
  <property fmtid="{D5CDD505-2E9C-101B-9397-08002B2CF9AE}" pid="22" name="DocHub_RegulatoryFrameworksLegislationType">
    <vt:lpwstr/>
  </property>
  <property fmtid="{D5CDD505-2E9C-101B-9397-08002B2CF9AE}" pid="23" name="DocHub_Keywords">
    <vt:lpwstr/>
  </property>
</Properties>
</file>